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6EE601" w14:textId="16939853" w:rsidR="00F06E14" w:rsidRPr="00A51D1A" w:rsidRDefault="007912DF" w:rsidP="00A51D1A">
      <w:pPr>
        <w:pStyle w:val="Reporttitle"/>
      </w:pPr>
      <w:r>
        <w:t xml:space="preserve">Radiocommunications </w:t>
      </w:r>
      <w:r w:rsidR="00DD7F57">
        <w:t>e</w:t>
      </w:r>
      <w:r w:rsidR="003A4AD5">
        <w:t xml:space="preserve">quipment </w:t>
      </w:r>
      <w:r w:rsidR="00003940">
        <w:t>r</w:t>
      </w:r>
      <w:r w:rsidR="003A4AD5">
        <w:t xml:space="preserve">ules </w:t>
      </w:r>
    </w:p>
    <w:p w14:paraId="487A9D7D" w14:textId="063A8B8C" w:rsidR="00F06E14" w:rsidRDefault="00770B3F" w:rsidP="00F06E14">
      <w:pPr>
        <w:pStyle w:val="Reportsubtitle"/>
      </w:pPr>
      <w:r>
        <w:t xml:space="preserve">Consultation </w:t>
      </w:r>
      <w:r w:rsidR="003A4AD5">
        <w:t>paper</w:t>
      </w:r>
    </w:p>
    <w:p w14:paraId="22F8982F" w14:textId="5E281514" w:rsidR="00C97736" w:rsidRPr="000D76E0" w:rsidRDefault="003A4AD5" w:rsidP="00EC2B68">
      <w:pPr>
        <w:pStyle w:val="Reportdate"/>
        <w:spacing w:after="720"/>
        <w:rPr>
          <w:rFonts w:cs="Arial"/>
        </w:rPr>
        <w:sectPr w:rsidR="00C97736" w:rsidRPr="000D76E0" w:rsidSect="0021426C">
          <w:headerReference w:type="default" r:id="rId8"/>
          <w:footerReference w:type="default" r:id="rId9"/>
          <w:headerReference w:type="first" r:id="rId10"/>
          <w:pgSz w:w="11906" w:h="16838" w:code="9"/>
          <w:pgMar w:top="3924" w:right="992" w:bottom="1440" w:left="1134" w:header="709" w:footer="454" w:gutter="0"/>
          <w:cols w:space="708"/>
          <w:docGrid w:linePitch="360"/>
        </w:sectPr>
      </w:pPr>
      <w:r>
        <w:t>MARCH</w:t>
      </w:r>
      <w:r w:rsidR="00BD4421">
        <w:t xml:space="preserve"> 20</w:t>
      </w:r>
      <w:r w:rsidR="008E0428">
        <w:t>2</w:t>
      </w:r>
      <w:r>
        <w:t>1</w:t>
      </w:r>
    </w:p>
    <w:p w14:paraId="35F2F966" w14:textId="77777777" w:rsidR="0005011A" w:rsidRPr="00F44F3A" w:rsidRDefault="0005011A" w:rsidP="00FC07B9">
      <w:pPr>
        <w:pStyle w:val="ACMACorporateAddressHeader"/>
      </w:pPr>
      <w:r w:rsidRPr="00F44F3A">
        <w:lastRenderedPageBreak/>
        <w:t>Canberra</w:t>
      </w:r>
    </w:p>
    <w:p w14:paraId="45568BFB" w14:textId="77777777" w:rsidR="0005011A" w:rsidRPr="00FC07B9" w:rsidRDefault="0005011A" w:rsidP="00FC07B9">
      <w:pPr>
        <w:pStyle w:val="ACMACorporateAddresses"/>
      </w:pPr>
      <w:r w:rsidRPr="00FC07B9">
        <w:t xml:space="preserve">Red Building </w:t>
      </w:r>
      <w:r w:rsidRPr="00FC07B9">
        <w:br/>
        <w:t>Benjamin Offices</w:t>
      </w:r>
      <w:r w:rsidRPr="00FC07B9">
        <w:br/>
        <w:t xml:space="preserve">Chan Street </w:t>
      </w:r>
      <w:r w:rsidRPr="00FC07B9">
        <w:br/>
        <w:t>Belconnen ACT</w:t>
      </w:r>
    </w:p>
    <w:p w14:paraId="2444F26E" w14:textId="77777777" w:rsidR="0005011A" w:rsidRPr="00FC07B9" w:rsidRDefault="0005011A" w:rsidP="00FC07B9">
      <w:pPr>
        <w:pStyle w:val="ACMACorporateAddresses"/>
      </w:pPr>
      <w:r w:rsidRPr="00FC07B9">
        <w:t>PO Box 78</w:t>
      </w:r>
      <w:r w:rsidRPr="00FC07B9">
        <w:br/>
        <w:t>Belconnen ACT 2616</w:t>
      </w:r>
    </w:p>
    <w:p w14:paraId="04151C10" w14:textId="4B265162" w:rsidR="00FE1823" w:rsidRPr="00FC07B9" w:rsidRDefault="0005011A" w:rsidP="00FC07B9">
      <w:pPr>
        <w:pStyle w:val="ACMACorporateAddresses"/>
      </w:pPr>
      <w:r w:rsidRPr="00FC07B9">
        <w:t>T</w:t>
      </w:r>
      <w:r w:rsidR="00537604" w:rsidRPr="00FC07B9">
        <w:tab/>
      </w:r>
      <w:r w:rsidRPr="00FC07B9">
        <w:t>+61 2 6219 5555</w:t>
      </w:r>
      <w:r w:rsidRPr="00FC07B9">
        <w:br/>
      </w:r>
    </w:p>
    <w:p w14:paraId="38E24AD5" w14:textId="77777777" w:rsidR="0005011A" w:rsidRPr="00F44F3A" w:rsidRDefault="0005011A" w:rsidP="00FC07B9">
      <w:pPr>
        <w:pStyle w:val="ACMACorporateAddressHeader"/>
      </w:pPr>
      <w:r w:rsidRPr="00F44F3A">
        <w:t>Melbourne</w:t>
      </w:r>
    </w:p>
    <w:p w14:paraId="5C5DAFFC" w14:textId="77777777" w:rsidR="0005011A" w:rsidRPr="00F44F3A" w:rsidRDefault="0005011A" w:rsidP="00FC07B9">
      <w:pPr>
        <w:pStyle w:val="ACMACorporateAddresses"/>
      </w:pPr>
      <w:r w:rsidRPr="00F44F3A">
        <w:t xml:space="preserve">Level 32 </w:t>
      </w:r>
      <w:r w:rsidRPr="00F44F3A">
        <w:br/>
        <w:t>Melbourne Central Tower</w:t>
      </w:r>
      <w:r w:rsidRPr="00F44F3A">
        <w:br/>
        <w:t xml:space="preserve">360 Elizabeth Street </w:t>
      </w:r>
      <w:r w:rsidR="008C10F4" w:rsidRPr="00F44F3A">
        <w:br/>
      </w:r>
      <w:r w:rsidRPr="00F44F3A">
        <w:t>Melbourne VIC</w:t>
      </w:r>
    </w:p>
    <w:p w14:paraId="113531E3" w14:textId="77777777" w:rsidR="0005011A" w:rsidRPr="00F44F3A" w:rsidRDefault="0005011A" w:rsidP="00FC07B9">
      <w:pPr>
        <w:pStyle w:val="ACMACorporateAddresses"/>
      </w:pPr>
      <w:r w:rsidRPr="00F44F3A">
        <w:t>PO Box 13112</w:t>
      </w:r>
      <w:r w:rsidRPr="00F44F3A">
        <w:br/>
        <w:t xml:space="preserve">Law Courts </w:t>
      </w:r>
      <w:r w:rsidRPr="00F44F3A">
        <w:br/>
        <w:t>Melbourne VIC 8010</w:t>
      </w:r>
    </w:p>
    <w:p w14:paraId="40C7950D" w14:textId="180D0A4D" w:rsidR="0005011A" w:rsidRPr="00F44F3A" w:rsidRDefault="0005011A" w:rsidP="00FC07B9">
      <w:pPr>
        <w:pStyle w:val="ACMACorporateAddresses"/>
      </w:pPr>
      <w:r w:rsidRPr="00F44F3A">
        <w:t>T</w:t>
      </w:r>
      <w:r w:rsidR="00140318" w:rsidRPr="00F44F3A">
        <w:tab/>
      </w:r>
      <w:r w:rsidRPr="00F44F3A">
        <w:t>+61 3 9963 6800</w:t>
      </w:r>
      <w:r w:rsidRPr="00F44F3A">
        <w:br/>
      </w:r>
    </w:p>
    <w:p w14:paraId="43ADE76B" w14:textId="77777777" w:rsidR="0005011A" w:rsidRPr="00F44F3A" w:rsidRDefault="0005011A" w:rsidP="00FC07B9">
      <w:pPr>
        <w:pStyle w:val="ACMACorporateAddressHeader"/>
      </w:pPr>
      <w:r w:rsidRPr="00F44F3A">
        <w:t>Sydney</w:t>
      </w:r>
    </w:p>
    <w:p w14:paraId="0193C998" w14:textId="77777777" w:rsidR="0005011A" w:rsidRPr="00F44F3A" w:rsidRDefault="0005011A" w:rsidP="00FC07B9">
      <w:pPr>
        <w:pStyle w:val="ACMACorporateAddresses"/>
      </w:pPr>
      <w:r w:rsidRPr="00F44F3A">
        <w:t xml:space="preserve">Level 5 </w:t>
      </w:r>
      <w:r w:rsidRPr="00F44F3A">
        <w:br/>
        <w:t>The Bay Centre</w:t>
      </w:r>
      <w:r w:rsidRPr="00F44F3A">
        <w:br/>
        <w:t xml:space="preserve">65 Pirrama Road </w:t>
      </w:r>
      <w:r w:rsidRPr="00F44F3A">
        <w:br/>
        <w:t>Pyrmont NSW</w:t>
      </w:r>
    </w:p>
    <w:p w14:paraId="1DA977E8" w14:textId="77777777" w:rsidR="0005011A" w:rsidRPr="00F44F3A" w:rsidRDefault="0005011A" w:rsidP="00FC07B9">
      <w:pPr>
        <w:pStyle w:val="ACMACorporateAddresses"/>
      </w:pPr>
      <w:r w:rsidRPr="00F44F3A">
        <w:t>PO Box Q500</w:t>
      </w:r>
      <w:r w:rsidRPr="00F44F3A">
        <w:br/>
        <w:t xml:space="preserve">Queen Victoria Building </w:t>
      </w:r>
      <w:r w:rsidRPr="00F44F3A">
        <w:br/>
        <w:t>NSW 1230</w:t>
      </w:r>
    </w:p>
    <w:p w14:paraId="0969AECA" w14:textId="4750DC73" w:rsidR="0005011A" w:rsidRPr="00F44F3A" w:rsidRDefault="0005011A" w:rsidP="00FC07B9">
      <w:pPr>
        <w:pStyle w:val="ACMACorporateAddresses"/>
      </w:pPr>
      <w:r w:rsidRPr="00F44F3A">
        <w:t>T</w:t>
      </w:r>
      <w:r w:rsidR="00140318" w:rsidRPr="00F44F3A">
        <w:tab/>
      </w:r>
      <w:r w:rsidRPr="00F44F3A">
        <w:t>+61 2 9334 7700</w:t>
      </w:r>
      <w:r w:rsidR="00140318" w:rsidRPr="00F44F3A">
        <w:t xml:space="preserve"> or</w:t>
      </w:r>
      <w:r w:rsidRPr="00F44F3A">
        <w:t xml:space="preserve"> 1800 226 667</w:t>
      </w:r>
      <w:r w:rsidRPr="00F44F3A">
        <w:br/>
      </w:r>
    </w:p>
    <w:p w14:paraId="36634081" w14:textId="77777777" w:rsidR="00140318" w:rsidRPr="006D46E5" w:rsidRDefault="00140318" w:rsidP="00FC07B9">
      <w:pPr>
        <w:pStyle w:val="ACMACopyrightHeader"/>
      </w:pPr>
      <w:r w:rsidRPr="00140318">
        <w:t>Copyright notice</w:t>
      </w:r>
    </w:p>
    <w:p w14:paraId="18AE7124" w14:textId="77777777" w:rsidR="00140318" w:rsidRPr="006D46E5" w:rsidRDefault="00623FF9" w:rsidP="00623FF9">
      <w:pPr>
        <w:pStyle w:val="ACMACClogo"/>
      </w:pPr>
      <w:r w:rsidRPr="00623FF9">
        <w:rPr>
          <w:noProof/>
        </w:rPr>
        <w:drawing>
          <wp:inline distT="0" distB="0" distL="0" distR="0" wp14:anchorId="1CFD1C8E" wp14:editId="353D3D8B">
            <wp:extent cx="838200" cy="295275"/>
            <wp:effectExtent l="0" t="0" r="0" b="0"/>
            <wp:docPr id="1" name="Picture 1" title="Creative Commons 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1"/>
                    </pic:cNvPr>
                    <pic:cNvPicPr>
                      <a:picLocks noChangeAspect="1" noChangeArrowheads="1"/>
                    </pic:cNvPicPr>
                  </pic:nvPicPr>
                  <pic:blipFill>
                    <a:blip r:embed="rId12" cstate="print"/>
                    <a:srcRect/>
                    <a:stretch>
                      <a:fillRect/>
                    </a:stretch>
                  </pic:blipFill>
                  <pic:spPr bwMode="auto">
                    <a:xfrm>
                      <a:off x="0" y="0"/>
                      <a:ext cx="838200" cy="295275"/>
                    </a:xfrm>
                    <a:prstGeom prst="rect">
                      <a:avLst/>
                    </a:prstGeom>
                    <a:noFill/>
                  </pic:spPr>
                </pic:pic>
              </a:graphicData>
            </a:graphic>
          </wp:inline>
        </w:drawing>
      </w:r>
    </w:p>
    <w:p w14:paraId="77372CD2" w14:textId="77777777" w:rsidR="00AA2DE5" w:rsidRDefault="00823083" w:rsidP="00AA2DE5">
      <w:pPr>
        <w:pStyle w:val="ACMACorporateAddresses"/>
        <w:rPr>
          <w:rStyle w:val="Hyperlink"/>
        </w:rPr>
      </w:pPr>
      <w:hyperlink r:id="rId13" w:history="1">
        <w:r w:rsidR="00AA2DE5">
          <w:rPr>
            <w:rStyle w:val="Hyperlink"/>
          </w:rPr>
          <w:t>https://creativecommons.org/licenses/by/4.0/</w:t>
        </w:r>
      </w:hyperlink>
    </w:p>
    <w:p w14:paraId="1ABF5DB7" w14:textId="77777777" w:rsidR="00AA2DE5" w:rsidRDefault="00AA2DE5" w:rsidP="00AA2DE5">
      <w:pPr>
        <w:pStyle w:val="ACMACorporateAddresses"/>
      </w:pPr>
      <w:r>
        <w:t xml:space="preserve">With the exception of coats of arms, logos, emblems, images, other third-party material or devices protected by a trademark, this content is made available under the terms of the Creative Commons Attribution 4.0 International (CC BY 4.0) licence. </w:t>
      </w:r>
    </w:p>
    <w:p w14:paraId="3A7AFED6" w14:textId="4418598A" w:rsidR="00AA2DE5" w:rsidRDefault="00AA2DE5" w:rsidP="00AA2DE5">
      <w:pPr>
        <w:pStyle w:val="ACMACorporateAddresses"/>
      </w:pPr>
      <w:r>
        <w:t>We request attribution as © Commonwealth of Australia (Australian Communications and Media Authority) 20</w:t>
      </w:r>
      <w:r w:rsidR="00C41F21">
        <w:t>2</w:t>
      </w:r>
      <w:r w:rsidR="003A4AD5">
        <w:t>1</w:t>
      </w:r>
      <w:r>
        <w:t>.</w:t>
      </w:r>
    </w:p>
    <w:p w14:paraId="1B8F2AEA" w14:textId="77777777" w:rsidR="00AA2DE5" w:rsidRDefault="00AA2DE5" w:rsidP="00AA2DE5">
      <w:pPr>
        <w:pStyle w:val="ACMACorporateAddresses"/>
      </w:pPr>
      <w:r>
        <w:t>All other rights are reserved.</w:t>
      </w:r>
    </w:p>
    <w:p w14:paraId="5E6E1E4F" w14:textId="77777777" w:rsidR="00AA2DE5" w:rsidRDefault="00AA2DE5" w:rsidP="00AA2DE5">
      <w:pPr>
        <w:pStyle w:val="ACMACorporateAddresses"/>
      </w:pPr>
      <w:r>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418DAB98" w14:textId="77777777" w:rsidR="00AA2DE5" w:rsidRDefault="00AA2DE5" w:rsidP="00AA2DE5">
      <w:pPr>
        <w:pStyle w:val="ACMACorporateAddresses"/>
      </w:pPr>
      <w:r>
        <w:t>Written enquiries may be sent to:</w:t>
      </w:r>
    </w:p>
    <w:p w14:paraId="72FCB976" w14:textId="77777777" w:rsidR="00AA2DE5" w:rsidRDefault="00AA2DE5" w:rsidP="00AA2DE5">
      <w:pPr>
        <w:pStyle w:val="ACMACorporateAddresses"/>
        <w:rPr>
          <w:rStyle w:val="Hyperlink"/>
        </w:rPr>
      </w:pPr>
      <w:r>
        <w:t xml:space="preserve">Manager, Editorial </w:t>
      </w:r>
      <w:r w:rsidR="000245E5">
        <w:t>Services</w:t>
      </w:r>
      <w:r>
        <w:br/>
        <w:t>PO Box 13112</w:t>
      </w:r>
      <w:r>
        <w:br/>
        <w:t>Law Courts</w:t>
      </w:r>
      <w:r>
        <w:br/>
        <w:t>Melbourne VIC 8010</w:t>
      </w:r>
      <w:r>
        <w:br/>
        <w:t xml:space="preserve">Email: </w:t>
      </w:r>
      <w:hyperlink r:id="rId14" w:history="1">
        <w:r>
          <w:rPr>
            <w:rStyle w:val="Hyperlink"/>
          </w:rPr>
          <w:t>info@acma.gov.au</w:t>
        </w:r>
      </w:hyperlink>
    </w:p>
    <w:p w14:paraId="6463DC80" w14:textId="77777777" w:rsidR="00D16FE3" w:rsidRDefault="00D16FE3" w:rsidP="00D16FE3">
      <w:pPr>
        <w:pStyle w:val="ACMACorporateAddresses"/>
        <w:rPr>
          <w:rStyle w:val="Hyperlink"/>
        </w:rPr>
      </w:pPr>
    </w:p>
    <w:p w14:paraId="660F056C" w14:textId="77777777" w:rsidR="00D16FE3" w:rsidRPr="00D16FE3" w:rsidRDefault="00D16FE3" w:rsidP="00D16FE3">
      <w:pPr>
        <w:pStyle w:val="ACMACorporateAddresses"/>
        <w:sectPr w:rsidR="00D16FE3" w:rsidRPr="00D16FE3">
          <w:headerReference w:type="even" r:id="rId15"/>
          <w:headerReference w:type="default" r:id="rId16"/>
          <w:footerReference w:type="even" r:id="rId17"/>
          <w:footerReference w:type="default" r:id="rId18"/>
          <w:pgSz w:w="11906" w:h="16838" w:code="9"/>
          <w:pgMar w:top="3924" w:right="1797" w:bottom="697" w:left="1134" w:header="709" w:footer="119" w:gutter="0"/>
          <w:cols w:space="708"/>
          <w:docGrid w:linePitch="360"/>
        </w:sectPr>
      </w:pPr>
    </w:p>
    <w:p w14:paraId="0AA5D4D4" w14:textId="47B609C5" w:rsidR="005366C1" w:rsidRDefault="00C65F61">
      <w:pPr>
        <w:pStyle w:val="TOC1"/>
        <w:rPr>
          <w:rFonts w:asciiTheme="minorHAnsi" w:eastAsiaTheme="minorEastAsia" w:hAnsiTheme="minorHAnsi" w:cstheme="minorBidi"/>
          <w:b w:val="0"/>
          <w:spacing w:val="0"/>
          <w:sz w:val="22"/>
          <w:szCs w:val="22"/>
        </w:rPr>
      </w:pPr>
      <w:r>
        <w:rPr>
          <w:rFonts w:cs="Arial"/>
          <w:b w:val="0"/>
        </w:rPr>
        <w:lastRenderedPageBreak/>
        <w:fldChar w:fldCharType="begin"/>
      </w:r>
      <w:r>
        <w:rPr>
          <w:rFonts w:cs="Arial"/>
          <w:b w:val="0"/>
        </w:rPr>
        <w:instrText xml:space="preserve"> TOC \o "1-2" \t "Exec summary heading,1" </w:instrText>
      </w:r>
      <w:r>
        <w:rPr>
          <w:rFonts w:cs="Arial"/>
          <w:b w:val="0"/>
        </w:rPr>
        <w:fldChar w:fldCharType="separate"/>
      </w:r>
      <w:r w:rsidR="005366C1">
        <w:t>Executive summary</w:t>
      </w:r>
      <w:r w:rsidR="005366C1">
        <w:tab/>
      </w:r>
      <w:r w:rsidR="005366C1">
        <w:fldChar w:fldCharType="begin"/>
      </w:r>
      <w:r w:rsidR="005366C1">
        <w:instrText xml:space="preserve"> PAGEREF _Toc65767817 \h </w:instrText>
      </w:r>
      <w:r w:rsidR="005366C1">
        <w:fldChar w:fldCharType="separate"/>
      </w:r>
      <w:r w:rsidR="005D093F">
        <w:t>1</w:t>
      </w:r>
      <w:r w:rsidR="005366C1">
        <w:fldChar w:fldCharType="end"/>
      </w:r>
    </w:p>
    <w:p w14:paraId="16E288DB" w14:textId="2F188557" w:rsidR="005366C1" w:rsidRDefault="005366C1">
      <w:pPr>
        <w:pStyle w:val="TOC1"/>
        <w:rPr>
          <w:rFonts w:asciiTheme="minorHAnsi" w:eastAsiaTheme="minorEastAsia" w:hAnsiTheme="minorHAnsi" w:cstheme="minorBidi"/>
          <w:b w:val="0"/>
          <w:spacing w:val="0"/>
          <w:sz w:val="22"/>
          <w:szCs w:val="22"/>
        </w:rPr>
      </w:pPr>
      <w:r>
        <w:t>Issues for comment</w:t>
      </w:r>
      <w:r>
        <w:tab/>
      </w:r>
      <w:r>
        <w:fldChar w:fldCharType="begin"/>
      </w:r>
      <w:r>
        <w:instrText xml:space="preserve"> PAGEREF _Toc65767818 \h </w:instrText>
      </w:r>
      <w:r>
        <w:fldChar w:fldCharType="separate"/>
      </w:r>
      <w:r w:rsidR="005D093F">
        <w:t>2</w:t>
      </w:r>
      <w:r>
        <w:fldChar w:fldCharType="end"/>
      </w:r>
    </w:p>
    <w:p w14:paraId="0BA90A1C" w14:textId="1878444F" w:rsidR="005366C1" w:rsidRDefault="005366C1">
      <w:pPr>
        <w:pStyle w:val="TOC1"/>
        <w:rPr>
          <w:rFonts w:asciiTheme="minorHAnsi" w:eastAsiaTheme="minorEastAsia" w:hAnsiTheme="minorHAnsi" w:cstheme="minorBidi"/>
          <w:b w:val="0"/>
          <w:spacing w:val="0"/>
          <w:sz w:val="22"/>
          <w:szCs w:val="22"/>
        </w:rPr>
      </w:pPr>
      <w:r>
        <w:t>Introduction</w:t>
      </w:r>
      <w:r>
        <w:tab/>
      </w:r>
      <w:r>
        <w:fldChar w:fldCharType="begin"/>
      </w:r>
      <w:r>
        <w:instrText xml:space="preserve"> PAGEREF _Toc65767819 \h </w:instrText>
      </w:r>
      <w:r>
        <w:fldChar w:fldCharType="separate"/>
      </w:r>
      <w:r w:rsidR="005D093F">
        <w:t>3</w:t>
      </w:r>
      <w:r>
        <w:fldChar w:fldCharType="end"/>
      </w:r>
    </w:p>
    <w:p w14:paraId="6EF591C3" w14:textId="53BC3A49" w:rsidR="005366C1" w:rsidRDefault="005366C1">
      <w:pPr>
        <w:pStyle w:val="TOC2"/>
        <w:rPr>
          <w:rFonts w:asciiTheme="minorHAnsi" w:eastAsiaTheme="minorEastAsia" w:hAnsiTheme="minorHAnsi" w:cstheme="minorBidi"/>
          <w:spacing w:val="0"/>
          <w:sz w:val="22"/>
          <w:szCs w:val="22"/>
        </w:rPr>
      </w:pPr>
      <w:r>
        <w:t>Background</w:t>
      </w:r>
      <w:r>
        <w:tab/>
      </w:r>
      <w:r>
        <w:fldChar w:fldCharType="begin"/>
      </w:r>
      <w:r>
        <w:instrText xml:space="preserve"> PAGEREF _Toc65767820 \h </w:instrText>
      </w:r>
      <w:r>
        <w:fldChar w:fldCharType="separate"/>
      </w:r>
      <w:r w:rsidR="005D093F">
        <w:t>3</w:t>
      </w:r>
      <w:r>
        <w:fldChar w:fldCharType="end"/>
      </w:r>
    </w:p>
    <w:p w14:paraId="5DE5CB84" w14:textId="796743C9" w:rsidR="005366C1" w:rsidRDefault="005366C1">
      <w:pPr>
        <w:pStyle w:val="TOC1"/>
        <w:rPr>
          <w:rFonts w:asciiTheme="minorHAnsi" w:eastAsiaTheme="minorEastAsia" w:hAnsiTheme="minorHAnsi" w:cstheme="minorBidi"/>
          <w:b w:val="0"/>
          <w:spacing w:val="0"/>
          <w:sz w:val="22"/>
          <w:szCs w:val="22"/>
        </w:rPr>
      </w:pPr>
      <w:r>
        <w:t>Effect on existing arrangements</w:t>
      </w:r>
      <w:r>
        <w:tab/>
      </w:r>
      <w:r>
        <w:fldChar w:fldCharType="begin"/>
      </w:r>
      <w:r>
        <w:instrText xml:space="preserve"> PAGEREF _Toc65767821 \h </w:instrText>
      </w:r>
      <w:r>
        <w:fldChar w:fldCharType="separate"/>
      </w:r>
      <w:r w:rsidR="005D093F">
        <w:t>4</w:t>
      </w:r>
      <w:r>
        <w:fldChar w:fldCharType="end"/>
      </w:r>
    </w:p>
    <w:p w14:paraId="53BD7386" w14:textId="69F5D0B2" w:rsidR="005366C1" w:rsidRDefault="005366C1">
      <w:pPr>
        <w:pStyle w:val="TOC2"/>
        <w:rPr>
          <w:rFonts w:asciiTheme="minorHAnsi" w:eastAsiaTheme="minorEastAsia" w:hAnsiTheme="minorHAnsi" w:cstheme="minorBidi"/>
          <w:spacing w:val="0"/>
          <w:sz w:val="22"/>
          <w:szCs w:val="22"/>
        </w:rPr>
      </w:pPr>
      <w:r>
        <w:t>Legislative instruments which remain in force</w:t>
      </w:r>
      <w:r>
        <w:tab/>
      </w:r>
      <w:r>
        <w:fldChar w:fldCharType="begin"/>
      </w:r>
      <w:r>
        <w:instrText xml:space="preserve"> PAGEREF _Toc65767822 \h </w:instrText>
      </w:r>
      <w:r>
        <w:fldChar w:fldCharType="separate"/>
      </w:r>
      <w:r w:rsidR="005D093F">
        <w:t>4</w:t>
      </w:r>
      <w:r>
        <w:fldChar w:fldCharType="end"/>
      </w:r>
    </w:p>
    <w:p w14:paraId="2605BD17" w14:textId="3CC08183" w:rsidR="005366C1" w:rsidRDefault="005366C1" w:rsidP="005D093F">
      <w:pPr>
        <w:pStyle w:val="TOC2"/>
        <w:ind w:left="0" w:firstLine="0"/>
        <w:rPr>
          <w:rFonts w:asciiTheme="minorHAnsi" w:eastAsiaTheme="minorEastAsia" w:hAnsiTheme="minorHAnsi" w:cstheme="minorBidi"/>
          <w:spacing w:val="0"/>
          <w:sz w:val="22"/>
          <w:szCs w:val="22"/>
        </w:rPr>
      </w:pPr>
      <w:r>
        <w:t xml:space="preserve">Existing arrangements </w:t>
      </w:r>
      <w:r w:rsidR="005D093F">
        <w:t>that</w:t>
      </w:r>
      <w:r>
        <w:t xml:space="preserve"> do not survive commencement of the equipment-related amendments to the Act</w:t>
      </w:r>
      <w:r>
        <w:tab/>
      </w:r>
      <w:r>
        <w:fldChar w:fldCharType="begin"/>
      </w:r>
      <w:r>
        <w:instrText xml:space="preserve"> PAGEREF _Toc65767823 \h </w:instrText>
      </w:r>
      <w:r>
        <w:fldChar w:fldCharType="separate"/>
      </w:r>
      <w:r w:rsidR="005D093F">
        <w:t>4</w:t>
      </w:r>
      <w:r>
        <w:fldChar w:fldCharType="end"/>
      </w:r>
    </w:p>
    <w:p w14:paraId="4533D3ED" w14:textId="5365273C" w:rsidR="005366C1" w:rsidRDefault="005366C1">
      <w:pPr>
        <w:pStyle w:val="TOC1"/>
        <w:rPr>
          <w:rFonts w:asciiTheme="minorHAnsi" w:eastAsiaTheme="minorEastAsia" w:hAnsiTheme="minorHAnsi" w:cstheme="minorBidi"/>
          <w:b w:val="0"/>
          <w:spacing w:val="0"/>
          <w:sz w:val="22"/>
          <w:szCs w:val="22"/>
        </w:rPr>
      </w:pPr>
      <w:r>
        <w:t>New arrangements – equipment rules</w:t>
      </w:r>
      <w:r>
        <w:tab/>
      </w:r>
      <w:r>
        <w:fldChar w:fldCharType="begin"/>
      </w:r>
      <w:r>
        <w:instrText xml:space="preserve"> PAGEREF _Toc65767824 \h </w:instrText>
      </w:r>
      <w:r>
        <w:fldChar w:fldCharType="separate"/>
      </w:r>
      <w:r w:rsidR="005D093F">
        <w:t>6</w:t>
      </w:r>
      <w:r>
        <w:fldChar w:fldCharType="end"/>
      </w:r>
    </w:p>
    <w:p w14:paraId="70560A41" w14:textId="72A20876" w:rsidR="005366C1" w:rsidRDefault="005366C1">
      <w:pPr>
        <w:pStyle w:val="TOC2"/>
        <w:rPr>
          <w:rFonts w:asciiTheme="minorHAnsi" w:eastAsiaTheme="minorEastAsia" w:hAnsiTheme="minorHAnsi" w:cstheme="minorBidi"/>
          <w:spacing w:val="0"/>
          <w:sz w:val="22"/>
          <w:szCs w:val="22"/>
        </w:rPr>
      </w:pPr>
      <w:r>
        <w:t>Transition to – and implementation of – the new arrangements</w:t>
      </w:r>
      <w:r>
        <w:tab/>
      </w:r>
      <w:r>
        <w:fldChar w:fldCharType="begin"/>
      </w:r>
      <w:r>
        <w:instrText xml:space="preserve"> PAGEREF _Toc65767825 \h </w:instrText>
      </w:r>
      <w:r>
        <w:fldChar w:fldCharType="separate"/>
      </w:r>
      <w:r w:rsidR="005D093F">
        <w:t>7</w:t>
      </w:r>
      <w:r>
        <w:fldChar w:fldCharType="end"/>
      </w:r>
    </w:p>
    <w:p w14:paraId="2FD453AE" w14:textId="188C6A8A" w:rsidR="005366C1" w:rsidRDefault="005366C1">
      <w:pPr>
        <w:pStyle w:val="TOC1"/>
        <w:rPr>
          <w:rFonts w:asciiTheme="minorHAnsi" w:eastAsiaTheme="minorEastAsia" w:hAnsiTheme="minorHAnsi" w:cstheme="minorBidi"/>
          <w:b w:val="0"/>
          <w:spacing w:val="0"/>
          <w:sz w:val="22"/>
          <w:szCs w:val="22"/>
        </w:rPr>
      </w:pPr>
      <w:r>
        <w:t>Proposed new equipment rules</w:t>
      </w:r>
      <w:r>
        <w:tab/>
      </w:r>
      <w:r>
        <w:fldChar w:fldCharType="begin"/>
      </w:r>
      <w:r>
        <w:instrText xml:space="preserve"> PAGEREF _Toc65767826 \h </w:instrText>
      </w:r>
      <w:r>
        <w:fldChar w:fldCharType="separate"/>
      </w:r>
      <w:r w:rsidR="005D093F">
        <w:t>9</w:t>
      </w:r>
      <w:r>
        <w:fldChar w:fldCharType="end"/>
      </w:r>
    </w:p>
    <w:p w14:paraId="7F9AFB9F" w14:textId="71064B06" w:rsidR="005366C1" w:rsidRDefault="005366C1">
      <w:pPr>
        <w:pStyle w:val="TOC1"/>
        <w:rPr>
          <w:rFonts w:asciiTheme="minorHAnsi" w:eastAsiaTheme="minorEastAsia" w:hAnsiTheme="minorHAnsi" w:cstheme="minorBidi"/>
          <w:b w:val="0"/>
          <w:spacing w:val="0"/>
          <w:sz w:val="22"/>
          <w:szCs w:val="22"/>
        </w:rPr>
      </w:pPr>
      <w:r>
        <w:t>Invitation to comment</w:t>
      </w:r>
      <w:r>
        <w:tab/>
      </w:r>
      <w:r>
        <w:fldChar w:fldCharType="begin"/>
      </w:r>
      <w:r>
        <w:instrText xml:space="preserve"> PAGEREF _Toc65767827 \h </w:instrText>
      </w:r>
      <w:r>
        <w:fldChar w:fldCharType="separate"/>
      </w:r>
      <w:r w:rsidR="005D093F">
        <w:t>11</w:t>
      </w:r>
      <w:r>
        <w:fldChar w:fldCharType="end"/>
      </w:r>
    </w:p>
    <w:p w14:paraId="77B3F28D" w14:textId="54127B03" w:rsidR="005366C1" w:rsidRDefault="005366C1">
      <w:pPr>
        <w:pStyle w:val="TOC2"/>
        <w:rPr>
          <w:rFonts w:asciiTheme="minorHAnsi" w:eastAsiaTheme="minorEastAsia" w:hAnsiTheme="minorHAnsi" w:cstheme="minorBidi"/>
          <w:spacing w:val="0"/>
          <w:sz w:val="22"/>
          <w:szCs w:val="22"/>
        </w:rPr>
      </w:pPr>
      <w:r>
        <w:t>Making a submission</w:t>
      </w:r>
      <w:r>
        <w:tab/>
      </w:r>
      <w:r>
        <w:fldChar w:fldCharType="begin"/>
      </w:r>
      <w:r>
        <w:instrText xml:space="preserve"> PAGEREF _Toc65767828 \h </w:instrText>
      </w:r>
      <w:r>
        <w:fldChar w:fldCharType="separate"/>
      </w:r>
      <w:r w:rsidR="005D093F">
        <w:t>11</w:t>
      </w:r>
      <w:r>
        <w:fldChar w:fldCharType="end"/>
      </w:r>
    </w:p>
    <w:p w14:paraId="4D6D0BB9" w14:textId="539ED6A4" w:rsidR="005366C1" w:rsidRDefault="005366C1">
      <w:pPr>
        <w:pStyle w:val="TOC1"/>
        <w:rPr>
          <w:rFonts w:asciiTheme="minorHAnsi" w:eastAsiaTheme="minorEastAsia" w:hAnsiTheme="minorHAnsi" w:cstheme="minorBidi"/>
          <w:b w:val="0"/>
          <w:spacing w:val="0"/>
          <w:sz w:val="22"/>
          <w:szCs w:val="22"/>
        </w:rPr>
      </w:pPr>
      <w:r>
        <w:t>Attachments</w:t>
      </w:r>
      <w:r>
        <w:tab/>
      </w:r>
      <w:r>
        <w:fldChar w:fldCharType="begin"/>
      </w:r>
      <w:r>
        <w:instrText xml:space="preserve"> PAGEREF _Toc65767829 \h </w:instrText>
      </w:r>
      <w:r>
        <w:fldChar w:fldCharType="separate"/>
      </w:r>
      <w:r w:rsidR="005D093F">
        <w:t>12</w:t>
      </w:r>
      <w:r>
        <w:fldChar w:fldCharType="end"/>
      </w:r>
    </w:p>
    <w:p w14:paraId="078C90F2" w14:textId="6B67A5D3" w:rsidR="00BF1522" w:rsidRPr="000D76E0" w:rsidRDefault="00C65F61">
      <w:pPr>
        <w:rPr>
          <w:rFonts w:cs="Arial"/>
        </w:rPr>
        <w:sectPr w:rsidR="00BF1522" w:rsidRPr="000D76E0" w:rsidSect="00C77380">
          <w:headerReference w:type="even" r:id="rId19"/>
          <w:headerReference w:type="default" r:id="rId20"/>
          <w:footerReference w:type="even" r:id="rId21"/>
          <w:footerReference w:type="default" r:id="rId22"/>
          <w:footerReference w:type="first" r:id="rId23"/>
          <w:pgSz w:w="11906" w:h="16838" w:code="9"/>
          <w:pgMar w:top="3646" w:right="3101" w:bottom="1134" w:left="1134" w:header="709" w:footer="119" w:gutter="0"/>
          <w:cols w:space="708"/>
          <w:titlePg/>
          <w:docGrid w:linePitch="360"/>
        </w:sectPr>
      </w:pPr>
      <w:r>
        <w:rPr>
          <w:rFonts w:cs="Arial"/>
          <w:b/>
          <w:noProof/>
          <w:spacing w:val="-14"/>
          <w:sz w:val="28"/>
        </w:rPr>
        <w:fldChar w:fldCharType="end"/>
      </w:r>
    </w:p>
    <w:p w14:paraId="36A150D5" w14:textId="77777777" w:rsidR="009D6C71" w:rsidRPr="009174F3" w:rsidRDefault="009D6C71" w:rsidP="009174F3">
      <w:pPr>
        <w:pStyle w:val="Execsummaryheading"/>
      </w:pPr>
      <w:bookmarkStart w:id="0" w:name="_Toc65767817"/>
      <w:r w:rsidRPr="009174F3">
        <w:lastRenderedPageBreak/>
        <w:t>Executive summary</w:t>
      </w:r>
      <w:bookmarkEnd w:id="0"/>
    </w:p>
    <w:p w14:paraId="3F5AD7A0" w14:textId="663D1DEC" w:rsidR="00003940" w:rsidRDefault="00003940" w:rsidP="00B73E66">
      <w:pPr>
        <w:pStyle w:val="Paragraph"/>
        <w:rPr>
          <w:b/>
        </w:rPr>
      </w:pPr>
      <w:r w:rsidRPr="00647D04">
        <w:rPr>
          <w:bCs/>
        </w:rPr>
        <w:t>The Australian</w:t>
      </w:r>
      <w:r>
        <w:t xml:space="preserve"> Communications and Media Authority (the ACMA) </w:t>
      </w:r>
      <w:r w:rsidR="00282962">
        <w:t xml:space="preserve">makes standards for the </w:t>
      </w:r>
      <w:r w:rsidR="009505F3">
        <w:t xml:space="preserve">performance of </w:t>
      </w:r>
      <w:r w:rsidR="00051DEC">
        <w:t xml:space="preserve">radiocommunications </w:t>
      </w:r>
      <w:r w:rsidR="0013573D">
        <w:t xml:space="preserve">devices </w:t>
      </w:r>
      <w:r w:rsidR="009505F3">
        <w:t xml:space="preserve">and maximum permitted levels of radio emissions </w:t>
      </w:r>
      <w:r w:rsidR="0013573D">
        <w:t xml:space="preserve">of devices </w:t>
      </w:r>
      <w:r w:rsidR="00051DEC">
        <w:t xml:space="preserve">under the </w:t>
      </w:r>
      <w:r w:rsidR="00051DEC" w:rsidRPr="00291E1B">
        <w:rPr>
          <w:bCs/>
          <w:i/>
          <w:iCs/>
        </w:rPr>
        <w:t>Radiocommunications Act 1992</w:t>
      </w:r>
      <w:r w:rsidR="00051DEC">
        <w:t xml:space="preserve"> (the Act). The </w:t>
      </w:r>
      <w:r w:rsidR="009505F3">
        <w:t xml:space="preserve">Act </w:t>
      </w:r>
      <w:r w:rsidR="00A205CB">
        <w:t xml:space="preserve">imposes </w:t>
      </w:r>
      <w:r w:rsidR="00051DEC">
        <w:t xml:space="preserve">obligations </w:t>
      </w:r>
      <w:r w:rsidR="00A5366C">
        <w:t xml:space="preserve">and prohibitions </w:t>
      </w:r>
      <w:r w:rsidR="00ED3C33">
        <w:t xml:space="preserve">in relation to the </w:t>
      </w:r>
      <w:r w:rsidR="00051DEC">
        <w:t>manufacture or import</w:t>
      </w:r>
      <w:r w:rsidR="00ED3C33">
        <w:t>ation of such</w:t>
      </w:r>
      <w:r w:rsidR="00051DEC">
        <w:t xml:space="preserve"> devices </w:t>
      </w:r>
      <w:r w:rsidR="00ED3C33">
        <w:t xml:space="preserve">and the operation, possession or supply of such </w:t>
      </w:r>
      <w:r w:rsidR="00051DEC">
        <w:t xml:space="preserve">devices. </w:t>
      </w:r>
    </w:p>
    <w:p w14:paraId="208CE9FD" w14:textId="3EA27B40" w:rsidR="00051DEC" w:rsidRDefault="00051DEC" w:rsidP="00B73E66">
      <w:pPr>
        <w:pStyle w:val="Paragraph"/>
        <w:rPr>
          <w:b/>
        </w:rPr>
      </w:pPr>
      <w:r>
        <w:t xml:space="preserve">The Act </w:t>
      </w:r>
      <w:r w:rsidR="00A713C7">
        <w:t>will be</w:t>
      </w:r>
      <w:r>
        <w:t xml:space="preserve"> amended by </w:t>
      </w:r>
      <w:r w:rsidR="00DF656A" w:rsidRPr="00EE4DE9">
        <w:t xml:space="preserve">the </w:t>
      </w:r>
      <w:r w:rsidR="00DF656A" w:rsidRPr="004418C6">
        <w:rPr>
          <w:i/>
          <w:iCs/>
        </w:rPr>
        <w:t>Radiocommunications Legislation Amendment (Reform and Modernisation)</w:t>
      </w:r>
      <w:r w:rsidR="00B151A6">
        <w:rPr>
          <w:i/>
          <w:iCs/>
        </w:rPr>
        <w:t xml:space="preserve"> </w:t>
      </w:r>
      <w:r w:rsidR="006E47C9">
        <w:rPr>
          <w:i/>
          <w:iCs/>
        </w:rPr>
        <w:t>Act</w:t>
      </w:r>
      <w:r w:rsidR="00DF656A" w:rsidRPr="004418C6">
        <w:rPr>
          <w:i/>
          <w:iCs/>
        </w:rPr>
        <w:t xml:space="preserve"> 2020</w:t>
      </w:r>
      <w:r w:rsidR="00DF656A">
        <w:rPr>
          <w:rStyle w:val="FootnoteReference"/>
          <w:bCs/>
          <w:szCs w:val="20"/>
        </w:rPr>
        <w:footnoteReference w:id="2"/>
      </w:r>
      <w:r w:rsidR="001914BD">
        <w:rPr>
          <w:i/>
          <w:iCs/>
        </w:rPr>
        <w:t xml:space="preserve"> </w:t>
      </w:r>
      <w:r w:rsidR="00DF656A">
        <w:t xml:space="preserve">(the </w:t>
      </w:r>
      <w:r w:rsidR="005D093F">
        <w:t>Modernisation</w:t>
      </w:r>
      <w:r w:rsidR="00687020">
        <w:t xml:space="preserve"> </w:t>
      </w:r>
      <w:r w:rsidR="006E47C9">
        <w:t>Act</w:t>
      </w:r>
      <w:r w:rsidR="00DF656A">
        <w:t xml:space="preserve">) to modernise the legislative framework for spectrum management. </w:t>
      </w:r>
    </w:p>
    <w:p w14:paraId="59DE290A" w14:textId="0F3409D2" w:rsidR="00F04F89" w:rsidRDefault="00F04F89" w:rsidP="00F04F89">
      <w:pPr>
        <w:pStyle w:val="Paragraph"/>
      </w:pPr>
      <w:r>
        <w:t xml:space="preserve">This paper outlines the key equipment related amendments to the Act and seeks stakeholder feedback on proposed new equipment rules. These proposed new equipment rules are designed to </w:t>
      </w:r>
      <w:r w:rsidR="00AB0A23">
        <w:t xml:space="preserve">ensure the </w:t>
      </w:r>
      <w:r>
        <w:t xml:space="preserve">existing </w:t>
      </w:r>
      <w:r w:rsidR="003C3842">
        <w:t>s</w:t>
      </w:r>
      <w:r>
        <w:t xml:space="preserve">tandards and </w:t>
      </w:r>
      <w:r w:rsidR="003C3842">
        <w:t>l</w:t>
      </w:r>
      <w:r>
        <w:t xml:space="preserve">abelling </w:t>
      </w:r>
      <w:r w:rsidR="00AB0A23">
        <w:t>requirements</w:t>
      </w:r>
      <w:r w:rsidR="008955D7">
        <w:t xml:space="preserve">, </w:t>
      </w:r>
      <w:r w:rsidR="00AA591C">
        <w:t xml:space="preserve">saved </w:t>
      </w:r>
      <w:r>
        <w:t>under the transitional and consequential provisions of the Act</w:t>
      </w:r>
      <w:r w:rsidR="008955D7">
        <w:t>, remain enforceable</w:t>
      </w:r>
      <w:r>
        <w:t xml:space="preserve">. </w:t>
      </w:r>
    </w:p>
    <w:p w14:paraId="3AD95254" w14:textId="7A214D54" w:rsidR="00F04F89" w:rsidRDefault="00F04F89" w:rsidP="009706A6">
      <w:pPr>
        <w:pStyle w:val="Paragraphbeforelist"/>
      </w:pPr>
      <w:r>
        <w:t xml:space="preserve">The proposed new equipment rules are designed to provide certainty to the equipment supply industry and, as far as possible, provide a seamless transition to the new arrangements. They give effect to </w:t>
      </w:r>
      <w:r w:rsidR="00E21522">
        <w:t xml:space="preserve">4 </w:t>
      </w:r>
      <w:r>
        <w:t>objectives:</w:t>
      </w:r>
    </w:p>
    <w:p w14:paraId="3E38375C" w14:textId="6EDF61ED" w:rsidR="00F04F89" w:rsidRDefault="005D093F" w:rsidP="00F155FC">
      <w:pPr>
        <w:pStyle w:val="Bulletlevel1"/>
      </w:pPr>
      <w:r>
        <w:t>e</w:t>
      </w:r>
      <w:r w:rsidR="00F04F89">
        <w:t xml:space="preserve">nsuring the </w:t>
      </w:r>
      <w:r w:rsidR="00D02DE2">
        <w:t>application of</w:t>
      </w:r>
      <w:r w:rsidR="00F04F89">
        <w:t xml:space="preserve"> sanctions for possession, operation or supply of devices that do not comply with</w:t>
      </w:r>
      <w:r w:rsidR="008263E6">
        <w:t xml:space="preserve"> mandated </w:t>
      </w:r>
      <w:r w:rsidR="00057821">
        <w:t>s</w:t>
      </w:r>
      <w:r w:rsidR="00F04F89">
        <w:t>tandards</w:t>
      </w:r>
    </w:p>
    <w:p w14:paraId="6DA41BD8" w14:textId="0328BD24" w:rsidR="00F04F89" w:rsidRDefault="005D093F" w:rsidP="00F155FC">
      <w:pPr>
        <w:pStyle w:val="Bulletlevel1"/>
      </w:pPr>
      <w:r>
        <w:t>e</w:t>
      </w:r>
      <w:r w:rsidR="00F04F89">
        <w:t xml:space="preserve">nabling the ACMA to provide permits for </w:t>
      </w:r>
      <w:r w:rsidR="005A0D40">
        <w:t>the use</w:t>
      </w:r>
      <w:r w:rsidR="00A35AA1">
        <w:t xml:space="preserve">, </w:t>
      </w:r>
      <w:r w:rsidR="005A0D40">
        <w:t xml:space="preserve">possession </w:t>
      </w:r>
      <w:r w:rsidR="00A35AA1">
        <w:t xml:space="preserve">and supply </w:t>
      </w:r>
      <w:r w:rsidR="005A0D40">
        <w:t xml:space="preserve">of non-standard </w:t>
      </w:r>
      <w:r w:rsidR="00B327B1">
        <w:t>devices</w:t>
      </w:r>
    </w:p>
    <w:p w14:paraId="38BCADB6" w14:textId="4CECAFCC" w:rsidR="00084568" w:rsidRDefault="005D093F" w:rsidP="00F155FC">
      <w:pPr>
        <w:pStyle w:val="Bulletlevel1"/>
      </w:pPr>
      <w:r>
        <w:t>e</w:t>
      </w:r>
      <w:r w:rsidR="00084568">
        <w:t>nsur</w:t>
      </w:r>
      <w:r w:rsidR="00E21522">
        <w:t>ing</w:t>
      </w:r>
      <w:r w:rsidR="00084568">
        <w:t xml:space="preserve"> the continuation of prohibitions and obligations in relation to labelling equipment that complies with standards</w:t>
      </w:r>
      <w:r w:rsidR="00E21522">
        <w:t xml:space="preserve"> </w:t>
      </w:r>
    </w:p>
    <w:p w14:paraId="0DB08BE8" w14:textId="69013872" w:rsidR="00F04F89" w:rsidRDefault="005D093F" w:rsidP="00F155FC">
      <w:pPr>
        <w:pStyle w:val="Bulletlevel1"/>
      </w:pPr>
      <w:r>
        <w:t>e</w:t>
      </w:r>
      <w:r w:rsidR="00F04F89">
        <w:t xml:space="preserve">nabling the maintenance of existing limitations on the supply of mobile phone repeaters, to ensure that such devices may only be supplied to </w:t>
      </w:r>
      <w:r w:rsidR="00736C3D">
        <w:t xml:space="preserve">persons </w:t>
      </w:r>
      <w:r w:rsidR="00F04F89">
        <w:t xml:space="preserve">licensed </w:t>
      </w:r>
      <w:r w:rsidR="00736C3D">
        <w:t>to operate such devices</w:t>
      </w:r>
      <w:r w:rsidR="00F04F89">
        <w:t>.</w:t>
      </w:r>
    </w:p>
    <w:p w14:paraId="612FCC8F" w14:textId="64219F5C" w:rsidR="00DF656A" w:rsidRPr="004418C6" w:rsidRDefault="00DF656A" w:rsidP="00B73E66">
      <w:pPr>
        <w:pStyle w:val="Paragraph"/>
      </w:pPr>
    </w:p>
    <w:p w14:paraId="12029E4D" w14:textId="457BAD1D" w:rsidR="00715722" w:rsidRDefault="00715722" w:rsidP="00715722">
      <w:pPr>
        <w:pStyle w:val="Heading1"/>
      </w:pPr>
      <w:bookmarkStart w:id="1" w:name="_Toc433122125"/>
      <w:bookmarkStart w:id="2" w:name="_Toc65767818"/>
      <w:r>
        <w:lastRenderedPageBreak/>
        <w:t>Issue</w:t>
      </w:r>
      <w:r w:rsidRPr="00B73E66">
        <w:t>s</w:t>
      </w:r>
      <w:r>
        <w:t xml:space="preserve"> for comment</w:t>
      </w:r>
      <w:bookmarkEnd w:id="1"/>
      <w:bookmarkEnd w:id="2"/>
    </w:p>
    <w:p w14:paraId="090FCC87" w14:textId="017C6F73" w:rsidR="003A4AD5" w:rsidRDefault="00715722" w:rsidP="00D61243">
      <w:pPr>
        <w:pStyle w:val="Paragraph"/>
      </w:pPr>
      <w:r>
        <w:t xml:space="preserve">This </w:t>
      </w:r>
      <w:r w:rsidR="003545E8">
        <w:t>consultation</w:t>
      </w:r>
      <w:r>
        <w:t xml:space="preserve"> </w:t>
      </w:r>
      <w:r w:rsidR="00BA3114">
        <w:t xml:space="preserve">paper </w:t>
      </w:r>
      <w:r>
        <w:t xml:space="preserve">does not </w:t>
      </w:r>
      <w:r w:rsidR="003545E8">
        <w:t>ask</w:t>
      </w:r>
      <w:r>
        <w:t xml:space="preserve"> specific questions. However, </w:t>
      </w:r>
      <w:r w:rsidR="005D093F">
        <w:t>we are</w:t>
      </w:r>
      <w:r w:rsidR="003A4AD5">
        <w:t xml:space="preserve"> seeking feedback on the proposed </w:t>
      </w:r>
      <w:r w:rsidR="00BD33D6">
        <w:t>new</w:t>
      </w:r>
      <w:r w:rsidR="003A4AD5">
        <w:t xml:space="preserve"> equipment rules </w:t>
      </w:r>
      <w:r w:rsidR="005C1C84">
        <w:t xml:space="preserve">at </w:t>
      </w:r>
      <w:r w:rsidR="00307734">
        <w:t>A</w:t>
      </w:r>
      <w:r w:rsidR="003A4AD5">
        <w:t>ttachment A to this paper.</w:t>
      </w:r>
    </w:p>
    <w:p w14:paraId="4673047B" w14:textId="10F820E7" w:rsidR="005E250B" w:rsidRDefault="005D093F" w:rsidP="00D61243">
      <w:pPr>
        <w:pStyle w:val="Paragraph"/>
      </w:pPr>
      <w:r>
        <w:t>We</w:t>
      </w:r>
      <w:r w:rsidR="003A4AD5">
        <w:t xml:space="preserve"> also welcome </w:t>
      </w:r>
      <w:r w:rsidR="00715722">
        <w:t>comment</w:t>
      </w:r>
      <w:r w:rsidR="008356C2">
        <w:t>s</w:t>
      </w:r>
      <w:r w:rsidR="00715722">
        <w:t xml:space="preserve"> from interested stakeholders on the issues raised in this </w:t>
      </w:r>
      <w:r w:rsidR="003545E8">
        <w:t>consultation</w:t>
      </w:r>
      <w:r w:rsidR="00BA3114">
        <w:t xml:space="preserve"> paper</w:t>
      </w:r>
      <w:r w:rsidR="00E21522">
        <w:t>,</w:t>
      </w:r>
      <w:r w:rsidR="00715722">
        <w:t xml:space="preserve"> or any other issues relevant to</w:t>
      </w:r>
      <w:r w:rsidR="003A4AD5">
        <w:t xml:space="preserve"> equipment rules under </w:t>
      </w:r>
      <w:r w:rsidR="00307734">
        <w:t>the</w:t>
      </w:r>
      <w:r w:rsidR="00E21522">
        <w:t> </w:t>
      </w:r>
      <w:r w:rsidR="00307734">
        <w:t>Act</w:t>
      </w:r>
      <w:r w:rsidR="00715722">
        <w:t>.</w:t>
      </w:r>
    </w:p>
    <w:p w14:paraId="4ED11508" w14:textId="2CACD78F" w:rsidR="00D43345" w:rsidRPr="009D4C85" w:rsidRDefault="00E21522" w:rsidP="00D61243">
      <w:pPr>
        <w:pStyle w:val="Paragraph"/>
      </w:pPr>
      <w:r>
        <w:t xml:space="preserve">We are </w:t>
      </w:r>
      <w:r w:rsidR="00D43345">
        <w:t xml:space="preserve">consulting on </w:t>
      </w:r>
      <w:r w:rsidR="00CE2C5E">
        <w:t>other changes to i</w:t>
      </w:r>
      <w:r w:rsidR="00B06910">
        <w:t xml:space="preserve">nstruments associated with changes to the Radiocommunications Act. These include </w:t>
      </w:r>
      <w:r w:rsidR="00D43345">
        <w:t xml:space="preserve">changes to class licences as part of implementation of the </w:t>
      </w:r>
      <w:r w:rsidR="005D093F">
        <w:t>Modernisation</w:t>
      </w:r>
      <w:r w:rsidR="00D43345">
        <w:t xml:space="preserve"> Act</w:t>
      </w:r>
      <w:r w:rsidR="00961CA3">
        <w:t xml:space="preserve"> to reflect the new equipment rules</w:t>
      </w:r>
      <w:r w:rsidR="00D43345">
        <w:t>.</w:t>
      </w:r>
    </w:p>
    <w:p w14:paraId="72727DAD" w14:textId="77777777" w:rsidR="003F5D0B" w:rsidRDefault="003F5D0B">
      <w:pPr>
        <w:spacing w:after="0" w:line="240" w:lineRule="auto"/>
        <w:rPr>
          <w:rFonts w:cs="Arial"/>
          <w:bCs/>
          <w:color w:val="323232"/>
          <w:kern w:val="32"/>
          <w:sz w:val="53"/>
          <w:szCs w:val="32"/>
        </w:rPr>
      </w:pPr>
      <w:r>
        <w:br w:type="page"/>
      </w:r>
    </w:p>
    <w:p w14:paraId="68FC21AF" w14:textId="77777777" w:rsidR="003F5D0B" w:rsidRDefault="003F5D0B" w:rsidP="003F5D0B">
      <w:pPr>
        <w:pStyle w:val="Heading1"/>
      </w:pPr>
      <w:bookmarkStart w:id="3" w:name="_Toc56613588"/>
      <w:bookmarkStart w:id="4" w:name="_Toc65767819"/>
      <w:r w:rsidRPr="004E543D">
        <w:lastRenderedPageBreak/>
        <w:t>Introduction</w:t>
      </w:r>
      <w:bookmarkEnd w:id="3"/>
      <w:bookmarkEnd w:id="4"/>
    </w:p>
    <w:p w14:paraId="2BA52AA4" w14:textId="77777777" w:rsidR="003F5D0B" w:rsidRPr="00C35CCE" w:rsidRDefault="003F5D0B" w:rsidP="003F5D0B">
      <w:pPr>
        <w:pStyle w:val="Heading2"/>
      </w:pPr>
      <w:bookmarkStart w:id="5" w:name="_Toc56613589"/>
      <w:bookmarkStart w:id="6" w:name="_Toc65767820"/>
      <w:r w:rsidRPr="0008495B">
        <w:t>Background</w:t>
      </w:r>
      <w:bookmarkEnd w:id="5"/>
      <w:bookmarkEnd w:id="6"/>
      <w:r w:rsidRPr="0008495B">
        <w:t xml:space="preserve"> </w:t>
      </w:r>
      <w:r w:rsidRPr="00C35CCE">
        <w:t xml:space="preserve"> </w:t>
      </w:r>
    </w:p>
    <w:p w14:paraId="28CF5E6A" w14:textId="79EE4D09" w:rsidR="00AF1DE9" w:rsidRPr="000F3B7A" w:rsidRDefault="00AF1DE9" w:rsidP="009706A6">
      <w:pPr>
        <w:pStyle w:val="Paragraphbeforelist"/>
        <w:rPr>
          <w:szCs w:val="20"/>
        </w:rPr>
      </w:pPr>
      <w:r>
        <w:t xml:space="preserve">Equipment </w:t>
      </w:r>
      <w:r w:rsidR="00DC1AAE">
        <w:t xml:space="preserve">capable of causing radio emissions </w:t>
      </w:r>
      <w:r>
        <w:t xml:space="preserve">supplied to the Australian market may cause harm when operated. </w:t>
      </w:r>
      <w:r w:rsidR="005C1C84">
        <w:t>Potential</w:t>
      </w:r>
      <w:r>
        <w:t xml:space="preserve"> harms </w:t>
      </w:r>
      <w:r w:rsidRPr="002C7190">
        <w:rPr>
          <w:szCs w:val="20"/>
        </w:rPr>
        <w:t xml:space="preserve">include: </w:t>
      </w:r>
    </w:p>
    <w:p w14:paraId="3665D29D" w14:textId="6252A884" w:rsidR="00AF1DE9" w:rsidRDefault="005D093F" w:rsidP="00F155FC">
      <w:pPr>
        <w:pStyle w:val="Bulletlevel1"/>
      </w:pPr>
      <w:r>
        <w:t>i</w:t>
      </w:r>
      <w:r w:rsidR="00AF1DE9" w:rsidRPr="00B73E66">
        <w:t>nterference to radiocommunications services due to the operation of radio</w:t>
      </w:r>
      <w:r w:rsidR="00512032">
        <w:t>communications</w:t>
      </w:r>
      <w:r w:rsidR="00AF1DE9" w:rsidRPr="00B73E66">
        <w:t xml:space="preserve"> equipment that uses incorrect frequencies or inappropriate emission levels</w:t>
      </w:r>
    </w:p>
    <w:p w14:paraId="27420590" w14:textId="3AA672F0" w:rsidR="007A51FC" w:rsidRPr="00B73E66" w:rsidRDefault="005D093F" w:rsidP="00F155FC">
      <w:pPr>
        <w:pStyle w:val="Bulletlevel1"/>
      </w:pPr>
      <w:r>
        <w:t>i</w:t>
      </w:r>
      <w:r w:rsidR="007A51FC">
        <w:t>nterference to radiocommunications services caused by equipment, other than radiocommunications equipment, generating high levels of radio emissions</w:t>
      </w:r>
    </w:p>
    <w:p w14:paraId="7B4D9D29" w14:textId="33EEF827" w:rsidR="00AF1DE9" w:rsidRPr="00B73E66" w:rsidRDefault="005D093F" w:rsidP="00F155FC">
      <w:pPr>
        <w:pStyle w:val="Bulletlevel1last"/>
      </w:pPr>
      <w:r>
        <w:t>r</w:t>
      </w:r>
      <w:r w:rsidR="005C1C84">
        <w:t xml:space="preserve">isks to </w:t>
      </w:r>
      <w:r w:rsidR="00AF1DE9" w:rsidRPr="00B73E66">
        <w:t>health and safety due to the level of radio emissions from radio</w:t>
      </w:r>
      <w:r w:rsidR="00AE40C0">
        <w:t>communications</w:t>
      </w:r>
      <w:r w:rsidR="00AF1DE9" w:rsidRPr="00B73E66">
        <w:t xml:space="preserve"> equipment.</w:t>
      </w:r>
    </w:p>
    <w:p w14:paraId="2DC85072" w14:textId="200F654E" w:rsidR="003462C6" w:rsidRDefault="00933118" w:rsidP="00F155FC">
      <w:pPr>
        <w:pStyle w:val="Paragraph"/>
      </w:pPr>
      <w:r>
        <w:t xml:space="preserve">Amendments to the Radiocommunications Act made by </w:t>
      </w:r>
      <w:r w:rsidRPr="00EE4DE9">
        <w:t xml:space="preserve">the </w:t>
      </w:r>
      <w:r w:rsidRPr="004418C6">
        <w:rPr>
          <w:i/>
          <w:iCs/>
        </w:rPr>
        <w:t>Radiocommunications Legislation Amendment (Reform and Modernisation)</w:t>
      </w:r>
      <w:r>
        <w:rPr>
          <w:i/>
          <w:iCs/>
        </w:rPr>
        <w:t xml:space="preserve"> Act</w:t>
      </w:r>
      <w:r w:rsidRPr="004418C6">
        <w:rPr>
          <w:i/>
          <w:iCs/>
        </w:rPr>
        <w:t xml:space="preserve"> 2020</w:t>
      </w:r>
      <w:r>
        <w:rPr>
          <w:i/>
          <w:iCs/>
        </w:rPr>
        <w:t xml:space="preserve"> </w:t>
      </w:r>
      <w:r>
        <w:rPr>
          <w:rStyle w:val="FootnoteReference"/>
          <w:bCs/>
          <w:szCs w:val="20"/>
        </w:rPr>
        <w:footnoteReference w:id="3"/>
      </w:r>
      <w:r w:rsidR="00E21522">
        <w:rPr>
          <w:i/>
          <w:iCs/>
        </w:rPr>
        <w:t xml:space="preserve"> </w:t>
      </w:r>
      <w:r>
        <w:t xml:space="preserve">(the </w:t>
      </w:r>
      <w:r w:rsidR="005D093F">
        <w:t>Modernisation</w:t>
      </w:r>
      <w:r>
        <w:t xml:space="preserve"> Act) </w:t>
      </w:r>
      <w:r w:rsidR="00162860">
        <w:t xml:space="preserve">will </w:t>
      </w:r>
      <w:r w:rsidR="005E3F54">
        <w:t xml:space="preserve">have the effect of repealing the existing </w:t>
      </w:r>
      <w:r w:rsidR="005E3F54" w:rsidRPr="009706A6">
        <w:t>Part 4.1 – Standards and other technical regulation</w:t>
      </w:r>
      <w:r w:rsidR="005E3F54">
        <w:t xml:space="preserve"> of the Act and inserting a new </w:t>
      </w:r>
      <w:r w:rsidR="005E3F54" w:rsidRPr="009706A6">
        <w:t>Part 4.1</w:t>
      </w:r>
      <w:r w:rsidR="00BE2F06">
        <w:t xml:space="preserve"> </w:t>
      </w:r>
      <w:r w:rsidR="00E21522">
        <w:t>–</w:t>
      </w:r>
      <w:r w:rsidR="005E3F54" w:rsidRPr="009706A6">
        <w:t xml:space="preserve"> Equipment</w:t>
      </w:r>
      <w:r w:rsidR="005E3F54">
        <w:t xml:space="preserve">. </w:t>
      </w:r>
      <w:r w:rsidR="00CF300F">
        <w:t xml:space="preserve">The amendments </w:t>
      </w:r>
      <w:r w:rsidR="00162860">
        <w:t xml:space="preserve">will </w:t>
      </w:r>
      <w:r w:rsidR="00CF300F">
        <w:t xml:space="preserve">also repeal section 301 of the </w:t>
      </w:r>
      <w:r w:rsidR="00B327B1">
        <w:t xml:space="preserve">Act </w:t>
      </w:r>
      <w:r w:rsidR="00BA3114">
        <w:t xml:space="preserve">and </w:t>
      </w:r>
      <w:r w:rsidR="009831B9">
        <w:t xml:space="preserve">allow for </w:t>
      </w:r>
      <w:r w:rsidR="008C0845">
        <w:t>the</w:t>
      </w:r>
      <w:r w:rsidR="00CF300F">
        <w:t xml:space="preserve"> supply </w:t>
      </w:r>
      <w:r w:rsidR="008C0845">
        <w:t xml:space="preserve">of </w:t>
      </w:r>
      <w:r w:rsidR="00CF300F">
        <w:t>specified kind</w:t>
      </w:r>
      <w:r w:rsidR="008C0845">
        <w:t>s</w:t>
      </w:r>
      <w:r w:rsidR="00CF300F">
        <w:t xml:space="preserve"> of equipment </w:t>
      </w:r>
      <w:r w:rsidR="00162860">
        <w:t xml:space="preserve">to be regulated </w:t>
      </w:r>
      <w:r w:rsidR="008C0845">
        <w:t>under equipment rules</w:t>
      </w:r>
      <w:r w:rsidR="001F48D9">
        <w:t xml:space="preserve"> to be made under the new Part 4.1</w:t>
      </w:r>
      <w:r w:rsidR="00CF300F">
        <w:t>.</w:t>
      </w:r>
    </w:p>
    <w:p w14:paraId="7586DA87" w14:textId="78A0275E" w:rsidR="00CF300F" w:rsidRDefault="001F48D9" w:rsidP="005E3F54">
      <w:r>
        <w:t>The</w:t>
      </w:r>
      <w:r w:rsidR="001C6300">
        <w:t xml:space="preserve">se amendments are </w:t>
      </w:r>
      <w:r w:rsidR="00BA3114">
        <w:t xml:space="preserve">expected </w:t>
      </w:r>
      <w:r w:rsidR="001C6300">
        <w:t xml:space="preserve">to commence </w:t>
      </w:r>
      <w:r w:rsidR="00EC3AAC">
        <w:t xml:space="preserve">on </w:t>
      </w:r>
      <w:r w:rsidR="004023A5">
        <w:t xml:space="preserve">17 June 2021, </w:t>
      </w:r>
      <w:r w:rsidR="00EC3AAC">
        <w:t xml:space="preserve">6 months </w:t>
      </w:r>
      <w:r w:rsidR="004023A5">
        <w:t>after</w:t>
      </w:r>
      <w:r w:rsidR="00EC3AAC">
        <w:t xml:space="preserve"> the </w:t>
      </w:r>
      <w:r w:rsidR="005D093F">
        <w:t>Modernisation</w:t>
      </w:r>
      <w:r w:rsidR="005916A7">
        <w:t xml:space="preserve"> Act received Royal Assent</w:t>
      </w:r>
      <w:r w:rsidR="009D5845">
        <w:t>.</w:t>
      </w:r>
    </w:p>
    <w:p w14:paraId="55761807" w14:textId="0912F9A0" w:rsidR="00CF300F" w:rsidRDefault="000D784E" w:rsidP="009706A6">
      <w:pPr>
        <w:pStyle w:val="Paragraphbeforelist"/>
      </w:pPr>
      <w:r>
        <w:t xml:space="preserve">The </w:t>
      </w:r>
      <w:r w:rsidR="005E3F54">
        <w:t xml:space="preserve">transitional provisions save existing </w:t>
      </w:r>
      <w:r w:rsidR="003C3842" w:rsidRPr="009706A6">
        <w:t>s</w:t>
      </w:r>
      <w:r w:rsidR="005E3F54" w:rsidRPr="009706A6">
        <w:t>tandards</w:t>
      </w:r>
      <w:r w:rsidR="005E3F54">
        <w:t xml:space="preserve"> and </w:t>
      </w:r>
      <w:r w:rsidR="003C3842" w:rsidRPr="009706A6">
        <w:t>l</w:t>
      </w:r>
      <w:r w:rsidR="005E3F54" w:rsidRPr="009706A6">
        <w:t xml:space="preserve">abelling </w:t>
      </w:r>
      <w:r w:rsidR="00FE001A" w:rsidRPr="009706A6">
        <w:t>n</w:t>
      </w:r>
      <w:r w:rsidR="005E3F54" w:rsidRPr="009706A6">
        <w:t>otices</w:t>
      </w:r>
      <w:r w:rsidR="00B03DCE">
        <w:rPr>
          <w:b/>
          <w:bCs/>
        </w:rPr>
        <w:t>,</w:t>
      </w:r>
      <w:r w:rsidR="005E3F54">
        <w:t xml:space="preserve"> </w:t>
      </w:r>
      <w:r w:rsidR="009D5845">
        <w:t xml:space="preserve">made under </w:t>
      </w:r>
      <w:r w:rsidR="00B03DCE">
        <w:t xml:space="preserve">sections 162 and 182 of the Act respectively, </w:t>
      </w:r>
      <w:r w:rsidR="005E3F54">
        <w:t xml:space="preserve">as </w:t>
      </w:r>
      <w:r w:rsidR="00BE2F06" w:rsidRPr="005B2D96">
        <w:t>e</w:t>
      </w:r>
      <w:r w:rsidR="005E3F54" w:rsidRPr="009706A6">
        <w:t xml:space="preserve">quipment </w:t>
      </w:r>
      <w:r w:rsidR="00BE2F06">
        <w:t>r</w:t>
      </w:r>
      <w:r w:rsidR="005E3F54" w:rsidRPr="009706A6">
        <w:t>ules</w:t>
      </w:r>
      <w:r w:rsidR="006E7893">
        <w:rPr>
          <w:b/>
          <w:bCs/>
        </w:rPr>
        <w:t xml:space="preserve"> </w:t>
      </w:r>
      <w:r w:rsidR="006E7893">
        <w:t>are</w:t>
      </w:r>
      <w:r w:rsidR="00B03DCE">
        <w:rPr>
          <w:b/>
          <w:bCs/>
        </w:rPr>
        <w:t xml:space="preserve"> </w:t>
      </w:r>
      <w:r w:rsidR="00B03DCE" w:rsidRPr="005874C8">
        <w:t>made under the new</w:t>
      </w:r>
      <w:r w:rsidR="00B03DCE">
        <w:rPr>
          <w:b/>
          <w:bCs/>
        </w:rPr>
        <w:t xml:space="preserve"> </w:t>
      </w:r>
      <w:r w:rsidR="00660ECB">
        <w:t>provisions of the Act</w:t>
      </w:r>
      <w:r>
        <w:t xml:space="preserve">. However, </w:t>
      </w:r>
      <w:r w:rsidR="005D093F">
        <w:t>we</w:t>
      </w:r>
      <w:r w:rsidR="005E3F54">
        <w:t xml:space="preserve"> consider it </w:t>
      </w:r>
      <w:r w:rsidR="00D53755">
        <w:t xml:space="preserve">necessary </w:t>
      </w:r>
      <w:r w:rsidR="00933118">
        <w:t xml:space="preserve">to </w:t>
      </w:r>
      <w:r w:rsidR="00B327B1">
        <w:t>make e</w:t>
      </w:r>
      <w:r w:rsidR="005E3F54" w:rsidRPr="009706A6">
        <w:t xml:space="preserve">quipment </w:t>
      </w:r>
      <w:r w:rsidR="00BE2F06">
        <w:t>r</w:t>
      </w:r>
      <w:r w:rsidR="005E3F54" w:rsidRPr="009706A6">
        <w:t>ules</w:t>
      </w:r>
      <w:r w:rsidR="005E3F54">
        <w:t xml:space="preserve"> to</w:t>
      </w:r>
      <w:r w:rsidR="00CF300F">
        <w:t>:</w:t>
      </w:r>
    </w:p>
    <w:p w14:paraId="1FADAE06" w14:textId="5B575DBD" w:rsidR="00CF300F" w:rsidRDefault="005D093F" w:rsidP="00F155FC">
      <w:pPr>
        <w:pStyle w:val="Bulletlevel1"/>
      </w:pPr>
      <w:r>
        <w:t>e</w:t>
      </w:r>
      <w:r w:rsidR="00CF300F">
        <w:t xml:space="preserve">nsure the continuation of </w:t>
      </w:r>
      <w:r w:rsidR="00D53755">
        <w:t xml:space="preserve">prohibitions in relation to the </w:t>
      </w:r>
      <w:r w:rsidR="00CF300F">
        <w:t xml:space="preserve">possession, operation </w:t>
      </w:r>
      <w:r w:rsidR="0053797A">
        <w:t>and</w:t>
      </w:r>
      <w:r w:rsidR="00CF300F">
        <w:t xml:space="preserve"> supply of devices that do not comply with </w:t>
      </w:r>
      <w:r w:rsidR="005A0D40">
        <w:t>s</w:t>
      </w:r>
      <w:r w:rsidR="00CF300F">
        <w:t>tandards</w:t>
      </w:r>
    </w:p>
    <w:p w14:paraId="2D928BA9" w14:textId="41B3F1AE" w:rsidR="00FE001A" w:rsidRDefault="005D093F" w:rsidP="00F155FC">
      <w:pPr>
        <w:pStyle w:val="Bulletlevel1"/>
      </w:pPr>
      <w:r>
        <w:t>e</w:t>
      </w:r>
      <w:r w:rsidR="00FE001A">
        <w:t>nabl</w:t>
      </w:r>
      <w:r w:rsidR="00D53755">
        <w:t>e</w:t>
      </w:r>
      <w:r w:rsidR="00FE001A">
        <w:t xml:space="preserve"> the ACMA to </w:t>
      </w:r>
      <w:r w:rsidR="0005371F">
        <w:t xml:space="preserve">allow the </w:t>
      </w:r>
      <w:r w:rsidR="00FE001A">
        <w:t>use</w:t>
      </w:r>
      <w:r w:rsidR="0005371F">
        <w:t xml:space="preserve">, </w:t>
      </w:r>
      <w:r w:rsidR="00FE001A">
        <w:t xml:space="preserve">possession </w:t>
      </w:r>
      <w:r w:rsidR="0005371F">
        <w:t xml:space="preserve">or supply </w:t>
      </w:r>
      <w:r w:rsidR="00FE001A">
        <w:t xml:space="preserve">of non-standard devices </w:t>
      </w:r>
      <w:r w:rsidR="0005371F">
        <w:t xml:space="preserve">by the issuing of permits </w:t>
      </w:r>
      <w:r w:rsidR="00FE001A">
        <w:t>whe</w:t>
      </w:r>
      <w:r w:rsidR="0005371F">
        <w:t xml:space="preserve">re it is </w:t>
      </w:r>
      <w:r w:rsidR="00FE001A">
        <w:t>appropriate to do so</w:t>
      </w:r>
    </w:p>
    <w:p w14:paraId="02ECF715" w14:textId="2F4B67C5" w:rsidR="008409E3" w:rsidRDefault="005D093F" w:rsidP="00F155FC">
      <w:pPr>
        <w:pStyle w:val="Bulletlevel1"/>
      </w:pPr>
      <w:r>
        <w:t>e</w:t>
      </w:r>
      <w:r w:rsidR="008409E3">
        <w:t>nsure the continuation of prohibitions and obligations in relation to labelling equipment that complies with standards</w:t>
      </w:r>
    </w:p>
    <w:p w14:paraId="60B6D9A6" w14:textId="51D45F43" w:rsidR="00CF300F" w:rsidRDefault="005D093F" w:rsidP="00F155FC">
      <w:pPr>
        <w:pStyle w:val="Bulletlevel1last"/>
      </w:pPr>
      <w:r>
        <w:t>e</w:t>
      </w:r>
      <w:r w:rsidR="005E2915">
        <w:t xml:space="preserve">nsure the continuation </w:t>
      </w:r>
      <w:r w:rsidR="00CF300F">
        <w:t xml:space="preserve">of existing limitations on the supply of mobile phone repeaters, to ensure that such devices may only be supplied to </w:t>
      </w:r>
      <w:r w:rsidR="005E2915">
        <w:t xml:space="preserve">persons </w:t>
      </w:r>
      <w:r w:rsidR="00CF300F">
        <w:t xml:space="preserve">licensed </w:t>
      </w:r>
      <w:r w:rsidR="005E2915">
        <w:t xml:space="preserve">to operate </w:t>
      </w:r>
      <w:r w:rsidR="00C60B3E">
        <w:t>them</w:t>
      </w:r>
      <w:r w:rsidR="00CF300F">
        <w:t>.</w:t>
      </w:r>
    </w:p>
    <w:p w14:paraId="12D64D1C" w14:textId="0C8F155A" w:rsidR="00AF1DE9" w:rsidRDefault="00AF1DE9" w:rsidP="003F5D0B">
      <w:pPr>
        <w:rPr>
          <w:rFonts w:cs="Arial"/>
          <w:szCs w:val="20"/>
        </w:rPr>
      </w:pPr>
    </w:p>
    <w:p w14:paraId="6A9201F1" w14:textId="51F6BA9B" w:rsidR="007A51FC" w:rsidRDefault="008D389F" w:rsidP="001A5876">
      <w:pPr>
        <w:pStyle w:val="Heading1"/>
      </w:pPr>
      <w:bookmarkStart w:id="7" w:name="_Toc65767821"/>
      <w:r>
        <w:lastRenderedPageBreak/>
        <w:t>E</w:t>
      </w:r>
      <w:r w:rsidR="00FE001A">
        <w:t>ffect on e</w:t>
      </w:r>
      <w:r w:rsidR="007A51FC">
        <w:t>xisting arrangements</w:t>
      </w:r>
      <w:bookmarkEnd w:id="7"/>
    </w:p>
    <w:p w14:paraId="1727A759" w14:textId="7C72C5E2" w:rsidR="00142ACC" w:rsidRPr="0030235D" w:rsidRDefault="00142ACC" w:rsidP="00AB341D">
      <w:pPr>
        <w:pStyle w:val="Heading2"/>
      </w:pPr>
      <w:bookmarkStart w:id="8" w:name="_Toc65767822"/>
      <w:r w:rsidRPr="0030235D">
        <w:t>Legislative instruments which remain in force</w:t>
      </w:r>
      <w:bookmarkEnd w:id="8"/>
    </w:p>
    <w:p w14:paraId="581D3D9E" w14:textId="19F9ED7B" w:rsidR="00BD6B4E" w:rsidRDefault="009C1B56" w:rsidP="007A51FC">
      <w:r>
        <w:t>T</w:t>
      </w:r>
      <w:r w:rsidR="00A63E67">
        <w:t>he</w:t>
      </w:r>
      <w:r w:rsidR="00FA7636">
        <w:t xml:space="preserve">re are currently </w:t>
      </w:r>
      <w:r w:rsidR="001C5999">
        <w:t xml:space="preserve">16 standards made by the ACMA </w:t>
      </w:r>
      <w:r w:rsidR="007A51FC">
        <w:t>under section 162 of the Act that identify required technical characteristics</w:t>
      </w:r>
      <w:r w:rsidR="00BB7D0E">
        <w:t xml:space="preserve"> for equipment,</w:t>
      </w:r>
      <w:r w:rsidR="007A51FC">
        <w:t xml:space="preserve"> and methods for assessing the compliance of equipment with those characteristics. The standards </w:t>
      </w:r>
      <w:r w:rsidR="001C5999">
        <w:t xml:space="preserve">incorporate </w:t>
      </w:r>
      <w:r w:rsidR="007A51FC">
        <w:t>industry standards</w:t>
      </w:r>
      <w:r w:rsidR="00084568">
        <w:t>, such as those published by Standards Australia</w:t>
      </w:r>
      <w:r w:rsidR="00CD349F">
        <w:t xml:space="preserve">, in </w:t>
      </w:r>
      <w:r w:rsidR="00A430D2">
        <w:t>whole or in</w:t>
      </w:r>
      <w:r w:rsidR="00BE2F06">
        <w:t> </w:t>
      </w:r>
      <w:r w:rsidR="00A430D2">
        <w:t>part.</w:t>
      </w:r>
    </w:p>
    <w:p w14:paraId="2D656EAF" w14:textId="15A2AE09" w:rsidR="00BD6B4E" w:rsidRDefault="00AA121A" w:rsidP="007A51FC">
      <w:r>
        <w:t xml:space="preserve">There are also </w:t>
      </w:r>
      <w:r w:rsidR="00E21522">
        <w:t xml:space="preserve">3 </w:t>
      </w:r>
      <w:r w:rsidR="00A63E67">
        <w:t xml:space="preserve">labelling notices </w:t>
      </w:r>
      <w:r>
        <w:t xml:space="preserve">made </w:t>
      </w:r>
      <w:r w:rsidR="00A63E67">
        <w:t>under section 182 of the Act</w:t>
      </w:r>
      <w:r w:rsidR="005D093F">
        <w:t xml:space="preserve">, </w:t>
      </w:r>
      <w:r w:rsidR="00A63E67">
        <w:t>which place obligations on people who manufacture or import devices to ensure</w:t>
      </w:r>
      <w:r w:rsidR="00142ACC">
        <w:t xml:space="preserve"> that they are compliant with applicable standards before they are labelled. </w:t>
      </w:r>
    </w:p>
    <w:p w14:paraId="18B58B5E" w14:textId="01E4CC4C" w:rsidR="007A51FC" w:rsidRDefault="00F72F7A" w:rsidP="007A51FC">
      <w:r>
        <w:t xml:space="preserve">Provisions in the </w:t>
      </w:r>
      <w:r w:rsidR="005D093F">
        <w:t>Modernisation</w:t>
      </w:r>
      <w:r>
        <w:t xml:space="preserve"> Act have the effect that t</w:t>
      </w:r>
      <w:r w:rsidR="00142ACC">
        <w:t xml:space="preserve">hese legislative standards and labelling notices </w:t>
      </w:r>
      <w:r w:rsidR="007C5E5F">
        <w:t xml:space="preserve">will </w:t>
      </w:r>
      <w:r w:rsidR="00142ACC">
        <w:t>remain in force</w:t>
      </w:r>
      <w:r w:rsidR="007C5E5F">
        <w:t xml:space="preserve"> under the Act</w:t>
      </w:r>
      <w:r>
        <w:t>,</w:t>
      </w:r>
      <w:r w:rsidR="007C5E5F">
        <w:t xml:space="preserve"> as amended</w:t>
      </w:r>
      <w:r>
        <w:t>,</w:t>
      </w:r>
      <w:r w:rsidR="007C5E5F">
        <w:t xml:space="preserve"> as if they were equipment rules made under the new Part 4.1 of the Act</w:t>
      </w:r>
      <w:r w:rsidR="00142ACC">
        <w:t>.</w:t>
      </w:r>
    </w:p>
    <w:p w14:paraId="59BC3CB4" w14:textId="0D8934BF" w:rsidR="00142ACC" w:rsidRPr="00613F86" w:rsidRDefault="00142ACC" w:rsidP="00AB341D">
      <w:pPr>
        <w:pStyle w:val="Heading2"/>
      </w:pPr>
      <w:bookmarkStart w:id="9" w:name="_Toc65767823"/>
      <w:r w:rsidRPr="00613F86">
        <w:t xml:space="preserve">Existing arrangements </w:t>
      </w:r>
      <w:r w:rsidR="005D093F">
        <w:t>that</w:t>
      </w:r>
      <w:r w:rsidRPr="00613F86">
        <w:t xml:space="preserve"> do not survive commencement of the </w:t>
      </w:r>
      <w:r w:rsidR="002C505C">
        <w:t>equipment</w:t>
      </w:r>
      <w:r w:rsidR="00BE2F06">
        <w:t>-</w:t>
      </w:r>
      <w:r w:rsidR="002C505C">
        <w:t xml:space="preserve">related </w:t>
      </w:r>
      <w:r w:rsidRPr="00613F86">
        <w:t>amendments to the Act</w:t>
      </w:r>
      <w:bookmarkEnd w:id="9"/>
    </w:p>
    <w:p w14:paraId="3B64E845" w14:textId="27D868EC" w:rsidR="00142ACC" w:rsidRDefault="00142ACC" w:rsidP="007A51FC">
      <w:r>
        <w:t xml:space="preserve">The ACMA </w:t>
      </w:r>
      <w:r w:rsidR="005F0DE8">
        <w:t xml:space="preserve">will be able to </w:t>
      </w:r>
      <w:r>
        <w:t xml:space="preserve">continue to use existing powers under sections 162 and 182 </w:t>
      </w:r>
      <w:r w:rsidR="00EA663B">
        <w:t xml:space="preserve">of the Act </w:t>
      </w:r>
      <w:r>
        <w:t>to make and amend standards and labelling</w:t>
      </w:r>
      <w:r w:rsidR="00EA663B">
        <w:t xml:space="preserve"> notices</w:t>
      </w:r>
      <w:r>
        <w:t xml:space="preserve"> until the commencement of the </w:t>
      </w:r>
      <w:r w:rsidR="00BA3114">
        <w:t>equipment-</w:t>
      </w:r>
      <w:r>
        <w:t>related amendments to the Act. After that time, the AC</w:t>
      </w:r>
      <w:r w:rsidR="002C505C">
        <w:t>MA</w:t>
      </w:r>
      <w:r>
        <w:t xml:space="preserve"> will no longer be able to use those powers.</w:t>
      </w:r>
    </w:p>
    <w:p w14:paraId="2DDACB64" w14:textId="343DDB16" w:rsidR="00142ACC" w:rsidRDefault="00142ACC" w:rsidP="007A51FC">
      <w:r>
        <w:t>Additionally</w:t>
      </w:r>
      <w:r w:rsidR="002C505C">
        <w:t xml:space="preserve">, </w:t>
      </w:r>
      <w:r w:rsidR="005F0DE8">
        <w:t xml:space="preserve">a number of </w:t>
      </w:r>
      <w:r w:rsidR="002C505C">
        <w:t>the ACMA</w:t>
      </w:r>
      <w:r w:rsidR="00BE2F06">
        <w:t>’</w:t>
      </w:r>
      <w:r w:rsidR="002C505C">
        <w:t xml:space="preserve">s </w:t>
      </w:r>
      <w:r w:rsidR="005F0DE8">
        <w:t xml:space="preserve">existing </w:t>
      </w:r>
      <w:r w:rsidR="002C505C">
        <w:t xml:space="preserve">powers </w:t>
      </w:r>
      <w:r w:rsidR="005F0DE8">
        <w:t xml:space="preserve">in relation to non-standard devices and to limitations on the supply of devices will not be available to it after the commencement of the </w:t>
      </w:r>
      <w:r w:rsidR="00BA3114">
        <w:t>equipment-</w:t>
      </w:r>
      <w:r w:rsidR="005F0DE8">
        <w:t>related amendments to the Act.</w:t>
      </w:r>
    </w:p>
    <w:p w14:paraId="56CC9449" w14:textId="10F38CF8" w:rsidR="005F0DE8" w:rsidRPr="00613F86" w:rsidRDefault="005F0DE8" w:rsidP="00AB341D">
      <w:pPr>
        <w:pStyle w:val="Heading3"/>
      </w:pPr>
      <w:r w:rsidRPr="00613F86">
        <w:t xml:space="preserve">Non-standard device arrangements </w:t>
      </w:r>
    </w:p>
    <w:p w14:paraId="7947F14F" w14:textId="0B7A9311" w:rsidR="00FF7A9A" w:rsidRDefault="005F0DE8" w:rsidP="009706A6">
      <w:pPr>
        <w:pStyle w:val="Paragraphbeforelist"/>
      </w:pPr>
      <w:r>
        <w:t>Currently, s</w:t>
      </w:r>
      <w:r w:rsidR="00057821">
        <w:t>ubject to some exceptions, the Act prohibits the following activities related to non-standard devices</w:t>
      </w:r>
      <w:r w:rsidR="00FF7A9A">
        <w:t xml:space="preserve">: </w:t>
      </w:r>
    </w:p>
    <w:p w14:paraId="378B78A3" w14:textId="580CE27C" w:rsidR="00FF7A9A" w:rsidRPr="00BD72B8" w:rsidRDefault="005D093F" w:rsidP="00F155FC">
      <w:pPr>
        <w:pStyle w:val="Bulletlevel1"/>
      </w:pPr>
      <w:r>
        <w:t>c</w:t>
      </w:r>
      <w:r w:rsidR="00FF7A9A" w:rsidRPr="00BD72B8">
        <w:t>aus</w:t>
      </w:r>
      <w:r w:rsidR="008239E4">
        <w:t>ing</w:t>
      </w:r>
      <w:r w:rsidR="00FF7A9A" w:rsidRPr="00BD72B8">
        <w:t xml:space="preserve"> radio emission</w:t>
      </w:r>
      <w:r w:rsidR="008239E4">
        <w:t>s</w:t>
      </w:r>
      <w:r w:rsidR="00FF7A9A" w:rsidRPr="00BD72B8">
        <w:t xml:space="preserve"> to be made by a transmitter that the person knows is a non-standard transmitter (section 157)</w:t>
      </w:r>
    </w:p>
    <w:p w14:paraId="34255676" w14:textId="01598B23" w:rsidR="00FF7A9A" w:rsidRPr="00BD72B8" w:rsidRDefault="005D093F" w:rsidP="00F155FC">
      <w:pPr>
        <w:pStyle w:val="Bulletlevel1"/>
      </w:pPr>
      <w:r>
        <w:t>p</w:t>
      </w:r>
      <w:r w:rsidR="00FF7A9A" w:rsidRPr="00BD72B8">
        <w:t>ossess</w:t>
      </w:r>
      <w:r w:rsidR="009A5202">
        <w:t xml:space="preserve">ing a non-standard device </w:t>
      </w:r>
      <w:r w:rsidR="00FF7A9A" w:rsidRPr="00BD72B8">
        <w:t>for the purpose of operation</w:t>
      </w:r>
      <w:r w:rsidR="00F61B48">
        <w:t>, if</w:t>
      </w:r>
      <w:r w:rsidR="00FF7A9A" w:rsidRPr="00BD72B8">
        <w:t xml:space="preserve"> the person knows </w:t>
      </w:r>
      <w:r w:rsidR="00F61B48">
        <w:t xml:space="preserve">the device is </w:t>
      </w:r>
      <w:r w:rsidR="00FF7A9A" w:rsidRPr="00BD72B8">
        <w:t>a non-standard device (section 158)</w:t>
      </w:r>
    </w:p>
    <w:p w14:paraId="6F91F4A7" w14:textId="7BCE06D2" w:rsidR="00FF7A9A" w:rsidRPr="00BD72B8" w:rsidRDefault="005D093F" w:rsidP="00F155FC">
      <w:pPr>
        <w:pStyle w:val="Bulletlevel1last"/>
      </w:pPr>
      <w:r>
        <w:t>s</w:t>
      </w:r>
      <w:r w:rsidR="00FF7A9A" w:rsidRPr="00BD72B8">
        <w:t>upply</w:t>
      </w:r>
      <w:r w:rsidR="007A4494">
        <w:t>ing</w:t>
      </w:r>
      <w:r w:rsidR="00FF7A9A" w:rsidRPr="00BD72B8">
        <w:t xml:space="preserve"> a device that the person knows is a non-standard device (section 160)</w:t>
      </w:r>
      <w:r w:rsidR="00226F3A">
        <w:t>.</w:t>
      </w:r>
    </w:p>
    <w:p w14:paraId="2AD93DCB" w14:textId="4C958DDE" w:rsidR="00945BDC" w:rsidRDefault="00057821" w:rsidP="007A51FC">
      <w:pPr>
        <w:rPr>
          <w:rFonts w:cs="Arial"/>
          <w:szCs w:val="20"/>
        </w:rPr>
      </w:pPr>
      <w:r>
        <w:rPr>
          <w:rFonts w:cs="Arial"/>
          <w:szCs w:val="20"/>
        </w:rPr>
        <w:t xml:space="preserve">The ACMA </w:t>
      </w:r>
      <w:r w:rsidR="005F0DE8">
        <w:rPr>
          <w:rFonts w:cs="Arial"/>
          <w:szCs w:val="20"/>
        </w:rPr>
        <w:t xml:space="preserve">currently </w:t>
      </w:r>
      <w:r>
        <w:rPr>
          <w:rFonts w:cs="Arial"/>
          <w:szCs w:val="20"/>
        </w:rPr>
        <w:t xml:space="preserve">has several related powers to </w:t>
      </w:r>
      <w:r w:rsidR="001632C5">
        <w:rPr>
          <w:rFonts w:cs="Arial"/>
          <w:szCs w:val="20"/>
        </w:rPr>
        <w:t>issue permits or permissions</w:t>
      </w:r>
      <w:r w:rsidR="004836F4">
        <w:rPr>
          <w:rFonts w:cs="Arial"/>
          <w:szCs w:val="20"/>
        </w:rPr>
        <w:t xml:space="preserve">, which have the effect of making </w:t>
      </w:r>
      <w:r w:rsidR="008114A7">
        <w:rPr>
          <w:rFonts w:cs="Arial"/>
          <w:szCs w:val="20"/>
        </w:rPr>
        <w:t xml:space="preserve">activities related to non-standard devices </w:t>
      </w:r>
      <w:r>
        <w:rPr>
          <w:rFonts w:cs="Arial"/>
          <w:szCs w:val="20"/>
        </w:rPr>
        <w:t>lawful</w:t>
      </w:r>
      <w:r w:rsidR="00755B8B">
        <w:rPr>
          <w:rFonts w:cs="Arial"/>
          <w:szCs w:val="20"/>
        </w:rPr>
        <w:t xml:space="preserve">. </w:t>
      </w:r>
      <w:r w:rsidR="007A51FC" w:rsidRPr="00B73E66">
        <w:rPr>
          <w:rFonts w:cs="Arial"/>
          <w:szCs w:val="20"/>
        </w:rPr>
        <w:t xml:space="preserve">Under </w:t>
      </w:r>
      <w:r w:rsidR="007A51FC">
        <w:rPr>
          <w:rFonts w:cs="Arial"/>
          <w:szCs w:val="20"/>
        </w:rPr>
        <w:t>subs</w:t>
      </w:r>
      <w:r w:rsidR="007A51FC" w:rsidRPr="00B73E66">
        <w:rPr>
          <w:rFonts w:cs="Arial"/>
          <w:szCs w:val="20"/>
        </w:rPr>
        <w:t xml:space="preserve">ection 167(2) of the Act, the ACMA may issue a permit </w:t>
      </w:r>
      <w:r w:rsidR="00791D14" w:rsidRPr="00B73E66">
        <w:rPr>
          <w:rFonts w:cs="Arial"/>
          <w:szCs w:val="20"/>
        </w:rPr>
        <w:t xml:space="preserve">to a person </w:t>
      </w:r>
      <w:r w:rsidR="007A51FC" w:rsidRPr="00B73E66">
        <w:rPr>
          <w:rFonts w:cs="Arial"/>
          <w:szCs w:val="20"/>
        </w:rPr>
        <w:t xml:space="preserve">authorising the person to possess a specified non-standard device. </w:t>
      </w:r>
      <w:r w:rsidR="00793C6D">
        <w:rPr>
          <w:rFonts w:cs="Arial"/>
          <w:szCs w:val="20"/>
        </w:rPr>
        <w:t>A</w:t>
      </w:r>
      <w:r w:rsidR="00793C6D" w:rsidRPr="00B73E66">
        <w:rPr>
          <w:rFonts w:cs="Arial"/>
          <w:szCs w:val="20"/>
        </w:rPr>
        <w:t xml:space="preserve"> </w:t>
      </w:r>
      <w:r w:rsidR="007A51FC" w:rsidRPr="00B73E66">
        <w:rPr>
          <w:rFonts w:cs="Arial"/>
          <w:szCs w:val="20"/>
        </w:rPr>
        <w:t xml:space="preserve">permit may also allow </w:t>
      </w:r>
      <w:r w:rsidR="00830603">
        <w:rPr>
          <w:rFonts w:cs="Arial"/>
          <w:szCs w:val="20"/>
        </w:rPr>
        <w:t>a</w:t>
      </w:r>
      <w:r w:rsidR="007A51FC" w:rsidRPr="00B73E66">
        <w:rPr>
          <w:rFonts w:cs="Arial"/>
          <w:szCs w:val="20"/>
        </w:rPr>
        <w:t xml:space="preserve"> person to cause such a device to make radio emissions. </w:t>
      </w:r>
    </w:p>
    <w:p w14:paraId="1431C18C" w14:textId="77777777" w:rsidR="00A430D2" w:rsidRDefault="00FF7A9A" w:rsidP="007A51FC">
      <w:pPr>
        <w:rPr>
          <w:rFonts w:cs="Arial"/>
          <w:szCs w:val="20"/>
        </w:rPr>
      </w:pPr>
      <w:r>
        <w:rPr>
          <w:rFonts w:cs="Arial"/>
          <w:szCs w:val="20"/>
        </w:rPr>
        <w:t xml:space="preserve">Section 174 of the Act </w:t>
      </w:r>
      <w:r w:rsidR="00BA478F">
        <w:rPr>
          <w:rFonts w:cs="Arial"/>
          <w:szCs w:val="20"/>
        </w:rPr>
        <w:t>provides that a person does not contravene section 160 by supplying a non-standard device in accordance with the ACMA’s written permission</w:t>
      </w:r>
      <w:r>
        <w:rPr>
          <w:rFonts w:cs="Arial"/>
          <w:szCs w:val="20"/>
        </w:rPr>
        <w:t>.</w:t>
      </w:r>
      <w:r w:rsidR="005F0DE8">
        <w:rPr>
          <w:rFonts w:cs="Arial"/>
          <w:szCs w:val="20"/>
        </w:rPr>
        <w:t xml:space="preserve"> </w:t>
      </w:r>
    </w:p>
    <w:p w14:paraId="54B095BB" w14:textId="6F24637D" w:rsidR="00FF7A9A" w:rsidRDefault="005F0DE8" w:rsidP="007A51FC">
      <w:r>
        <w:rPr>
          <w:rFonts w:cs="Arial"/>
          <w:szCs w:val="20"/>
        </w:rPr>
        <w:t xml:space="preserve">These powers will not be available to the ACMA after the commencement of the equipment related amendments to the </w:t>
      </w:r>
      <w:r w:rsidR="005D093F">
        <w:rPr>
          <w:rFonts w:cs="Arial"/>
          <w:szCs w:val="20"/>
        </w:rPr>
        <w:t>Act unless</w:t>
      </w:r>
      <w:r w:rsidR="00F215A0">
        <w:rPr>
          <w:rFonts w:cs="Arial"/>
          <w:szCs w:val="20"/>
        </w:rPr>
        <w:t xml:space="preserve"> they are incorporated into equipment rules</w:t>
      </w:r>
      <w:r>
        <w:rPr>
          <w:rFonts w:cs="Arial"/>
          <w:szCs w:val="20"/>
        </w:rPr>
        <w:t>.</w:t>
      </w:r>
    </w:p>
    <w:p w14:paraId="209AC5DB" w14:textId="77777777" w:rsidR="005F0DE8" w:rsidRPr="0030235D" w:rsidRDefault="005F0DE8" w:rsidP="00AB341D">
      <w:pPr>
        <w:pStyle w:val="Heading3"/>
      </w:pPr>
      <w:r w:rsidRPr="0030235D">
        <w:lastRenderedPageBreak/>
        <w:t xml:space="preserve">Limitations on the supply of certain devices </w:t>
      </w:r>
    </w:p>
    <w:p w14:paraId="400A12B3" w14:textId="77777777" w:rsidR="00BE2F06" w:rsidRDefault="007A51FC" w:rsidP="005F0DE8">
      <w:r>
        <w:rPr>
          <w:rFonts w:cs="Arial"/>
          <w:szCs w:val="20"/>
        </w:rPr>
        <w:t>In addition, s</w:t>
      </w:r>
      <w:r w:rsidRPr="00B73E66">
        <w:rPr>
          <w:rFonts w:cs="Arial"/>
          <w:szCs w:val="20"/>
        </w:rPr>
        <w:t>ection 301 of the Act</w:t>
      </w:r>
      <w:r w:rsidR="00BA478F">
        <w:rPr>
          <w:rFonts w:cs="Arial"/>
          <w:szCs w:val="20"/>
        </w:rPr>
        <w:t xml:space="preserve"> </w:t>
      </w:r>
      <w:r w:rsidRPr="00B73E66">
        <w:rPr>
          <w:rFonts w:cs="Arial"/>
          <w:szCs w:val="20"/>
        </w:rPr>
        <w:t>prohibit</w:t>
      </w:r>
      <w:r w:rsidR="00984FD6">
        <w:rPr>
          <w:rFonts w:cs="Arial"/>
          <w:szCs w:val="20"/>
        </w:rPr>
        <w:t>s</w:t>
      </w:r>
      <w:r w:rsidRPr="00B73E66">
        <w:rPr>
          <w:rFonts w:cs="Arial"/>
          <w:szCs w:val="20"/>
        </w:rPr>
        <w:t xml:space="preserve"> </w:t>
      </w:r>
      <w:r w:rsidR="00984FD6">
        <w:rPr>
          <w:rFonts w:cs="Arial"/>
          <w:szCs w:val="20"/>
        </w:rPr>
        <w:t xml:space="preserve">the </w:t>
      </w:r>
      <w:r w:rsidRPr="00B73E66">
        <w:rPr>
          <w:rFonts w:cs="Arial"/>
          <w:szCs w:val="20"/>
        </w:rPr>
        <w:t>suppl</w:t>
      </w:r>
      <w:r w:rsidR="00984FD6">
        <w:rPr>
          <w:rFonts w:cs="Arial"/>
          <w:szCs w:val="20"/>
        </w:rPr>
        <w:t>y</w:t>
      </w:r>
      <w:r w:rsidRPr="00B73E66">
        <w:rPr>
          <w:rFonts w:cs="Arial"/>
          <w:szCs w:val="20"/>
        </w:rPr>
        <w:t xml:space="preserve"> of </w:t>
      </w:r>
      <w:r w:rsidR="00A02C95">
        <w:rPr>
          <w:rFonts w:cs="Arial"/>
          <w:szCs w:val="20"/>
        </w:rPr>
        <w:t xml:space="preserve">an </w:t>
      </w:r>
      <w:r w:rsidRPr="00B73E66">
        <w:rPr>
          <w:rFonts w:cs="Arial"/>
          <w:szCs w:val="20"/>
        </w:rPr>
        <w:t xml:space="preserve">‘eligible radiocommunications device’ </w:t>
      </w:r>
      <w:r w:rsidR="00A02C95">
        <w:rPr>
          <w:rFonts w:cs="Arial"/>
          <w:szCs w:val="20"/>
        </w:rPr>
        <w:t xml:space="preserve">to a person </w:t>
      </w:r>
      <w:r w:rsidRPr="00B73E66">
        <w:rPr>
          <w:rFonts w:cs="Arial"/>
          <w:szCs w:val="20"/>
        </w:rPr>
        <w:t>unless the person has shown the supplier the licence authorising operation of the device and the supplier records specified particulars relating to the supply.</w:t>
      </w:r>
      <w:r>
        <w:t xml:space="preserve"> </w:t>
      </w:r>
    </w:p>
    <w:p w14:paraId="1467487B" w14:textId="546739B7" w:rsidR="005F0DE8" w:rsidRDefault="00A430D2" w:rsidP="005F0DE8">
      <w:r>
        <w:t>‘</w:t>
      </w:r>
      <w:r w:rsidR="00BA478F">
        <w:t>Eligible radiocommunications device</w:t>
      </w:r>
      <w:r>
        <w:t>’</w:t>
      </w:r>
      <w:r w:rsidR="00BA478F">
        <w:t xml:space="preserve"> means a radiocommunications device included in a class of radiocommunications devices specified in</w:t>
      </w:r>
      <w:r w:rsidR="00BE2F06">
        <w:t xml:space="preserve"> the</w:t>
      </w:r>
      <w:r w:rsidR="00E42905">
        <w:rPr>
          <w:i/>
          <w:iCs/>
        </w:rPr>
        <w:t xml:space="preserve"> Radiocommunications Regulations 1993</w:t>
      </w:r>
      <w:r w:rsidR="008650B5">
        <w:rPr>
          <w:i/>
          <w:iCs/>
        </w:rPr>
        <w:t xml:space="preserve"> </w:t>
      </w:r>
      <w:r w:rsidR="00E42905">
        <w:t>(</w:t>
      </w:r>
      <w:r w:rsidR="00BE2F06">
        <w:t xml:space="preserve">the </w:t>
      </w:r>
      <w:r w:rsidR="00E42905">
        <w:t>Regulations) made under the Act</w:t>
      </w:r>
      <w:r w:rsidR="00BA478F">
        <w:t xml:space="preserve">. </w:t>
      </w:r>
      <w:r w:rsidR="00BD72B8">
        <w:t>The</w:t>
      </w:r>
      <w:r w:rsidR="00E42905">
        <w:t>re is currently</w:t>
      </w:r>
      <w:r w:rsidR="00BD72B8">
        <w:t xml:space="preserve"> only </w:t>
      </w:r>
      <w:r w:rsidR="00E42905">
        <w:t xml:space="preserve">one </w:t>
      </w:r>
      <w:r w:rsidR="00BD72B8">
        <w:t>class of eligible radiocommunications device specified</w:t>
      </w:r>
      <w:r w:rsidR="00E42905">
        <w:t xml:space="preserve"> in the Regulations, which is </w:t>
      </w:r>
      <w:r w:rsidR="00BD72B8">
        <w:t>cellular mobile repeaters.</w:t>
      </w:r>
      <w:r w:rsidR="00BA478F">
        <w:t xml:space="preserve"> </w:t>
      </w:r>
      <w:r w:rsidR="004D0B7C">
        <w:t xml:space="preserve">Section 301 will be repealed by the </w:t>
      </w:r>
      <w:r w:rsidR="005F0DE8">
        <w:rPr>
          <w:rFonts w:cs="Arial"/>
          <w:szCs w:val="20"/>
        </w:rPr>
        <w:t>amendments to the Act.</w:t>
      </w:r>
    </w:p>
    <w:p w14:paraId="7A479663" w14:textId="78604E27" w:rsidR="007A51FC" w:rsidRDefault="000A23BE" w:rsidP="007A51FC">
      <w:pPr>
        <w:pStyle w:val="Heading1"/>
      </w:pPr>
      <w:bookmarkStart w:id="10" w:name="_Toc65767824"/>
      <w:r>
        <w:lastRenderedPageBreak/>
        <w:t>New</w:t>
      </w:r>
      <w:r w:rsidR="007A51FC">
        <w:t xml:space="preserve"> arrangements</w:t>
      </w:r>
      <w:r w:rsidR="00FE001A">
        <w:t xml:space="preserve"> – </w:t>
      </w:r>
      <w:r w:rsidR="00BE2F06">
        <w:t>e</w:t>
      </w:r>
      <w:r w:rsidR="00FE001A">
        <w:t xml:space="preserve">quipment </w:t>
      </w:r>
      <w:r w:rsidR="00BE2F06">
        <w:t>r</w:t>
      </w:r>
      <w:r w:rsidR="00FE001A">
        <w:t>ules</w:t>
      </w:r>
      <w:bookmarkEnd w:id="10"/>
    </w:p>
    <w:p w14:paraId="20133748" w14:textId="21A31439" w:rsidR="007A51FC" w:rsidRDefault="00656383" w:rsidP="007A51FC">
      <w:r>
        <w:t>A</w:t>
      </w:r>
      <w:r w:rsidR="007A51FC">
        <w:t xml:space="preserve">mendments to the Act </w:t>
      </w:r>
      <w:r>
        <w:t xml:space="preserve">will </w:t>
      </w:r>
      <w:r w:rsidR="007A51FC">
        <w:t xml:space="preserve">repeal </w:t>
      </w:r>
      <w:r w:rsidR="00B93A9C">
        <w:t xml:space="preserve">the existing </w:t>
      </w:r>
      <w:r w:rsidR="007A51FC">
        <w:t>Part 4.1 of the Act (sections 155</w:t>
      </w:r>
      <w:r w:rsidR="00BE2F06">
        <w:t>–</w:t>
      </w:r>
      <w:r w:rsidR="007A51FC">
        <w:t>191 inclusive)</w:t>
      </w:r>
      <w:r w:rsidR="00B93A9C">
        <w:t xml:space="preserve"> relating to </w:t>
      </w:r>
      <w:r w:rsidR="00BD3C39">
        <w:t>s</w:t>
      </w:r>
      <w:r w:rsidR="00B93A9C">
        <w:t xml:space="preserve">tandards and other technical regulation and replace it with a new Part 4.1 relating to </w:t>
      </w:r>
      <w:r w:rsidR="00BD3C39">
        <w:t>e</w:t>
      </w:r>
      <w:r w:rsidR="00B93A9C">
        <w:t>quipment</w:t>
      </w:r>
      <w:r w:rsidR="007A51FC">
        <w:t xml:space="preserve">. The </w:t>
      </w:r>
      <w:r w:rsidR="00B93A9C">
        <w:t xml:space="preserve">existing </w:t>
      </w:r>
      <w:r w:rsidR="007A51FC">
        <w:t xml:space="preserve">provisions </w:t>
      </w:r>
      <w:r w:rsidR="00483081">
        <w:t xml:space="preserve">containing obligations and prohibitions in </w:t>
      </w:r>
      <w:r w:rsidR="007A51FC">
        <w:t>relati</w:t>
      </w:r>
      <w:r w:rsidR="00483081">
        <w:t>on</w:t>
      </w:r>
      <w:r w:rsidR="007A51FC">
        <w:t xml:space="preserve"> to non-standard devices </w:t>
      </w:r>
      <w:r w:rsidR="00483081">
        <w:t xml:space="preserve">will be </w:t>
      </w:r>
      <w:r w:rsidR="007A51FC">
        <w:t xml:space="preserve">removed and the provisions relating to labelling notices and standards </w:t>
      </w:r>
      <w:r w:rsidR="00483081">
        <w:t xml:space="preserve">will be </w:t>
      </w:r>
      <w:r w:rsidR="007A51FC">
        <w:t xml:space="preserve">replaced with equipment rules. </w:t>
      </w:r>
      <w:r w:rsidR="00483081">
        <w:t>L</w:t>
      </w:r>
      <w:r w:rsidR="002A368F">
        <w:t xml:space="preserve">abelling notices and </w:t>
      </w:r>
      <w:r w:rsidR="00053728">
        <w:t>s</w:t>
      </w:r>
      <w:r w:rsidR="002A368F">
        <w:t xml:space="preserve">tandards </w:t>
      </w:r>
      <w:r w:rsidR="00483081">
        <w:t xml:space="preserve">in force immediately before the amendments commence will be </w:t>
      </w:r>
      <w:r w:rsidR="003F3BC1">
        <w:t xml:space="preserve">preserved </w:t>
      </w:r>
      <w:r w:rsidR="002A368F">
        <w:t xml:space="preserve">as </w:t>
      </w:r>
      <w:r w:rsidR="00483081">
        <w:t xml:space="preserve">if they were </w:t>
      </w:r>
      <w:r w:rsidR="002A368F">
        <w:t xml:space="preserve">equipment rules </w:t>
      </w:r>
      <w:r w:rsidR="00483081">
        <w:t>made under the new provisions</w:t>
      </w:r>
      <w:r w:rsidR="002A368F">
        <w:t>.</w:t>
      </w:r>
    </w:p>
    <w:p w14:paraId="7E39AA2B" w14:textId="6F9E4A7A" w:rsidR="000A23BE" w:rsidRDefault="000A23BE" w:rsidP="007A51FC">
      <w:r>
        <w:t xml:space="preserve">The amendments include new and revised definitions, such as new definitions of </w:t>
      </w:r>
      <w:r w:rsidR="006B7E84">
        <w:t xml:space="preserve">the terms </w:t>
      </w:r>
      <w:r w:rsidR="00BE2F06">
        <w:t>‘</w:t>
      </w:r>
      <w:r w:rsidRPr="009706A6">
        <w:t>equipment</w:t>
      </w:r>
      <w:r w:rsidR="00BE2F06">
        <w:t>’</w:t>
      </w:r>
      <w:r>
        <w:t xml:space="preserve"> and </w:t>
      </w:r>
      <w:r w:rsidR="00BE2F06">
        <w:t>‘</w:t>
      </w:r>
      <w:r w:rsidRPr="009706A6">
        <w:t>offer to supply</w:t>
      </w:r>
      <w:r w:rsidR="00BE2F06">
        <w:t>’</w:t>
      </w:r>
      <w:r>
        <w:t>, and revise</w:t>
      </w:r>
      <w:r w:rsidR="007677A6">
        <w:t>d</w:t>
      </w:r>
      <w:r>
        <w:t xml:space="preserve"> definition</w:t>
      </w:r>
      <w:r w:rsidR="007677A6">
        <w:t>s</w:t>
      </w:r>
      <w:r>
        <w:t xml:space="preserve"> of</w:t>
      </w:r>
      <w:r w:rsidR="006B7E84">
        <w:t xml:space="preserve"> the terms</w:t>
      </w:r>
      <w:r>
        <w:t xml:space="preserve"> </w:t>
      </w:r>
      <w:r w:rsidR="00BE2F06">
        <w:t>‘</w:t>
      </w:r>
      <w:r w:rsidRPr="009706A6">
        <w:t>label</w:t>
      </w:r>
      <w:r w:rsidR="00BE2F06">
        <w:t>’</w:t>
      </w:r>
      <w:r w:rsidRPr="0030235D">
        <w:rPr>
          <w:i/>
          <w:iCs/>
        </w:rPr>
        <w:t xml:space="preserve"> </w:t>
      </w:r>
      <w:r>
        <w:t xml:space="preserve">and </w:t>
      </w:r>
      <w:r w:rsidR="00BE2F06">
        <w:t>‘</w:t>
      </w:r>
      <w:r w:rsidRPr="009706A6">
        <w:t>permit</w:t>
      </w:r>
      <w:r w:rsidR="00BE2F06">
        <w:t>’</w:t>
      </w:r>
      <w:r w:rsidRPr="00BE2F06">
        <w:t>.</w:t>
      </w:r>
    </w:p>
    <w:p w14:paraId="558BA0C8" w14:textId="58211A03" w:rsidR="000A23BE" w:rsidRDefault="0037067D" w:rsidP="007A51FC">
      <w:r>
        <w:t>Rather than the labelling notices and standards that we are used to, t</w:t>
      </w:r>
      <w:r w:rsidR="000A23BE">
        <w:t>he new arrangements allow the ACMA to make equipment rules. The equipment rules may prescribe standards for equipment.</w:t>
      </w:r>
      <w:r w:rsidR="001A18EF">
        <w:t xml:space="preserve"> </w:t>
      </w:r>
      <w:r w:rsidR="007677A6">
        <w:t>These s</w:t>
      </w:r>
      <w:r w:rsidR="001A18EF">
        <w:t xml:space="preserve">tandards may require equipment to have particular design </w:t>
      </w:r>
      <w:r w:rsidR="00E14B46">
        <w:t>features</w:t>
      </w:r>
      <w:r>
        <w:t xml:space="preserve">. </w:t>
      </w:r>
      <w:r w:rsidR="006B7E84">
        <w:t>Unlike the current arrang</w:t>
      </w:r>
      <w:r w:rsidR="00F97475">
        <w:t>e</w:t>
      </w:r>
      <w:r w:rsidR="006B7E84">
        <w:t xml:space="preserve">ments, the ACMA will not be making </w:t>
      </w:r>
      <w:r w:rsidR="00F97475">
        <w:t>legislative s</w:t>
      </w:r>
      <w:r w:rsidR="006B7E84">
        <w:t xml:space="preserve">tandards under </w:t>
      </w:r>
      <w:r w:rsidR="00F97475">
        <w:t xml:space="preserve">section 162 </w:t>
      </w:r>
      <w:r w:rsidR="006B7E84">
        <w:t>the Act. Rather, the ACMA may make enforceable equipment rules which incorporate industry standards.</w:t>
      </w:r>
    </w:p>
    <w:p w14:paraId="4D0ADDA4" w14:textId="56187C5D" w:rsidR="008B3A0B" w:rsidRDefault="008B3A0B" w:rsidP="008B3A0B">
      <w:r>
        <w:t xml:space="preserve">The equipment rules provisions provide greater flexibility and more options for the ACMA in addressing requirements relating to equipment. </w:t>
      </w:r>
      <w:r w:rsidRPr="00215DB0">
        <w:t xml:space="preserve">In contrast to the previous arrangements, the </w:t>
      </w:r>
      <w:r w:rsidR="00A22F0E" w:rsidRPr="005874C8">
        <w:t xml:space="preserve">persons on whom </w:t>
      </w:r>
      <w:r w:rsidRPr="005874C8">
        <w:t xml:space="preserve">obligations and prohibitions </w:t>
      </w:r>
      <w:r w:rsidR="00A22F0E" w:rsidRPr="005874C8">
        <w:t xml:space="preserve">in equipment </w:t>
      </w:r>
      <w:r w:rsidR="00B327B1" w:rsidRPr="005874C8">
        <w:t>rules may</w:t>
      </w:r>
      <w:r w:rsidR="00117029" w:rsidRPr="005874C8">
        <w:t xml:space="preserve"> be </w:t>
      </w:r>
      <w:r w:rsidR="00A22F0E" w:rsidRPr="005874C8">
        <w:t xml:space="preserve">imposed </w:t>
      </w:r>
      <w:r w:rsidRPr="005874C8">
        <w:t>are not limited to manufacturers or importers of equipment.</w:t>
      </w:r>
      <w:r w:rsidR="00147ABF">
        <w:t xml:space="preserve"> This provides additional flexibility for the ACMA to place obligations on the most appropriate person in the supply chain.</w:t>
      </w:r>
    </w:p>
    <w:p w14:paraId="1D6F0C0D" w14:textId="39E1A7AA" w:rsidR="000A23BE" w:rsidRPr="0019437E" w:rsidRDefault="000A23BE" w:rsidP="005D093F">
      <w:pPr>
        <w:pStyle w:val="Paragraphbeforelist"/>
      </w:pPr>
      <w:r w:rsidRPr="001A18EF">
        <w:t>The equipment rules</w:t>
      </w:r>
      <w:r w:rsidR="000C3567">
        <w:t xml:space="preserve"> expand the </w:t>
      </w:r>
      <w:r w:rsidR="00EA3AF6">
        <w:t xml:space="preserve">range of </w:t>
      </w:r>
      <w:r w:rsidRPr="001A18EF">
        <w:t xml:space="preserve">obligations </w:t>
      </w:r>
      <w:r w:rsidR="00EA3AF6">
        <w:t>and</w:t>
      </w:r>
      <w:r w:rsidRPr="001A18EF">
        <w:t xml:space="preserve"> prohibitions</w:t>
      </w:r>
      <w:r w:rsidR="000C3567">
        <w:t xml:space="preserve"> that the ACMA may impose</w:t>
      </w:r>
      <w:r w:rsidRPr="001A18EF">
        <w:t xml:space="preserve"> in relation to equip</w:t>
      </w:r>
      <w:r w:rsidRPr="00391933">
        <w:t>ment</w:t>
      </w:r>
      <w:r w:rsidR="00A22F0E">
        <w:t>, by enabling the</w:t>
      </w:r>
      <w:r w:rsidR="00F215A0">
        <w:t xml:space="preserve"> ACMA to make rules that </w:t>
      </w:r>
      <w:r w:rsidR="0049054C">
        <w:t>place obligations</w:t>
      </w:r>
      <w:r w:rsidR="00F215A0">
        <w:t xml:space="preserve"> </w:t>
      </w:r>
      <w:r w:rsidR="0049054C">
        <w:t>on</w:t>
      </w:r>
      <w:r w:rsidR="00F215A0">
        <w:t xml:space="preserve"> people who</w:t>
      </w:r>
      <w:r w:rsidR="00A22F0E">
        <w:t xml:space="preserve"> offer </w:t>
      </w:r>
      <w:r w:rsidR="00F215A0">
        <w:t>equipment for supply</w:t>
      </w:r>
      <w:r w:rsidRPr="00391933">
        <w:t>. An obligation or prohibition may relate to:</w:t>
      </w:r>
    </w:p>
    <w:p w14:paraId="7B3D14E7" w14:textId="075BAF64" w:rsidR="000A23BE" w:rsidRPr="00E14B46" w:rsidRDefault="000A23BE" w:rsidP="005D093F">
      <w:pPr>
        <w:pStyle w:val="ListParagraph"/>
        <w:numPr>
          <w:ilvl w:val="0"/>
          <w:numId w:val="20"/>
        </w:numPr>
        <w:spacing w:after="80" w:line="240" w:lineRule="atLeast"/>
        <w:contextualSpacing w:val="0"/>
        <w:rPr>
          <w:rFonts w:ascii="Arial" w:hAnsi="Arial" w:cs="Arial"/>
          <w:sz w:val="20"/>
          <w:szCs w:val="20"/>
        </w:rPr>
      </w:pPr>
      <w:r w:rsidRPr="00E14B46">
        <w:rPr>
          <w:rFonts w:ascii="Arial" w:hAnsi="Arial" w:cs="Arial"/>
          <w:sz w:val="20"/>
          <w:szCs w:val="20"/>
        </w:rPr>
        <w:t>the operation of equipment</w:t>
      </w:r>
    </w:p>
    <w:p w14:paraId="334F8177" w14:textId="342E37FC" w:rsidR="000A23BE" w:rsidRPr="00E14B46" w:rsidRDefault="000A23BE" w:rsidP="005D093F">
      <w:pPr>
        <w:pStyle w:val="ListParagraph"/>
        <w:numPr>
          <w:ilvl w:val="0"/>
          <w:numId w:val="20"/>
        </w:numPr>
        <w:spacing w:after="80" w:line="240" w:lineRule="atLeast"/>
        <w:contextualSpacing w:val="0"/>
        <w:rPr>
          <w:rFonts w:ascii="Arial" w:hAnsi="Arial" w:cs="Arial"/>
          <w:sz w:val="20"/>
          <w:szCs w:val="20"/>
        </w:rPr>
      </w:pPr>
      <w:r w:rsidRPr="00E14B46">
        <w:rPr>
          <w:rFonts w:ascii="Arial" w:hAnsi="Arial" w:cs="Arial"/>
          <w:sz w:val="20"/>
          <w:szCs w:val="20"/>
        </w:rPr>
        <w:t>the supply of equipment</w:t>
      </w:r>
    </w:p>
    <w:p w14:paraId="428CA8FD" w14:textId="547655DD" w:rsidR="000A23BE" w:rsidRPr="00E14B46" w:rsidRDefault="000A23BE" w:rsidP="005D093F">
      <w:pPr>
        <w:pStyle w:val="ListParagraph"/>
        <w:numPr>
          <w:ilvl w:val="0"/>
          <w:numId w:val="20"/>
        </w:numPr>
        <w:spacing w:after="80" w:line="240" w:lineRule="atLeast"/>
        <w:contextualSpacing w:val="0"/>
        <w:rPr>
          <w:rFonts w:ascii="Arial" w:hAnsi="Arial" w:cs="Arial"/>
          <w:sz w:val="20"/>
          <w:szCs w:val="20"/>
        </w:rPr>
      </w:pPr>
      <w:r w:rsidRPr="00E14B46">
        <w:rPr>
          <w:rFonts w:ascii="Arial" w:hAnsi="Arial" w:cs="Arial"/>
          <w:sz w:val="20"/>
          <w:szCs w:val="20"/>
        </w:rPr>
        <w:t>offers to supply equipment</w:t>
      </w:r>
    </w:p>
    <w:p w14:paraId="2C0F00E0" w14:textId="69B75C42" w:rsidR="000A23BE" w:rsidRPr="00E14B46" w:rsidRDefault="000A23BE" w:rsidP="005D093F">
      <w:pPr>
        <w:pStyle w:val="ListParagraph"/>
        <w:numPr>
          <w:ilvl w:val="0"/>
          <w:numId w:val="20"/>
        </w:numPr>
        <w:spacing w:after="80" w:line="240" w:lineRule="atLeast"/>
        <w:contextualSpacing w:val="0"/>
        <w:rPr>
          <w:rFonts w:ascii="Arial" w:hAnsi="Arial" w:cs="Arial"/>
          <w:sz w:val="20"/>
          <w:szCs w:val="20"/>
        </w:rPr>
      </w:pPr>
      <w:r w:rsidRPr="00E14B46">
        <w:rPr>
          <w:rFonts w:ascii="Arial" w:hAnsi="Arial" w:cs="Arial"/>
          <w:sz w:val="20"/>
          <w:szCs w:val="20"/>
        </w:rPr>
        <w:t>the possession of equipment</w:t>
      </w:r>
      <w:r w:rsidR="0037067D">
        <w:rPr>
          <w:rFonts w:ascii="Arial" w:hAnsi="Arial" w:cs="Arial"/>
          <w:sz w:val="20"/>
          <w:szCs w:val="20"/>
        </w:rPr>
        <w:t>,</w:t>
      </w:r>
      <w:r w:rsidRPr="00E14B46">
        <w:rPr>
          <w:rFonts w:ascii="Arial" w:hAnsi="Arial" w:cs="Arial"/>
          <w:sz w:val="20"/>
          <w:szCs w:val="20"/>
        </w:rPr>
        <w:t xml:space="preserve"> or</w:t>
      </w:r>
    </w:p>
    <w:p w14:paraId="4B257B1F" w14:textId="2421F3D8" w:rsidR="000A23BE" w:rsidRPr="00E14B46" w:rsidRDefault="000A23BE" w:rsidP="005D093F">
      <w:pPr>
        <w:pStyle w:val="ListParagraph"/>
        <w:numPr>
          <w:ilvl w:val="0"/>
          <w:numId w:val="20"/>
        </w:numPr>
        <w:spacing w:after="240"/>
        <w:rPr>
          <w:rFonts w:ascii="Arial" w:hAnsi="Arial" w:cs="Arial"/>
          <w:sz w:val="20"/>
          <w:szCs w:val="20"/>
        </w:rPr>
      </w:pPr>
      <w:r w:rsidRPr="00E14B46">
        <w:rPr>
          <w:rFonts w:ascii="Arial" w:hAnsi="Arial" w:cs="Arial"/>
          <w:sz w:val="20"/>
          <w:szCs w:val="20"/>
        </w:rPr>
        <w:t>the import of equipment.</w:t>
      </w:r>
    </w:p>
    <w:p w14:paraId="45947A83" w14:textId="2DD1E366" w:rsidR="000A23BE" w:rsidRDefault="00F0512E" w:rsidP="000A23BE">
      <w:r>
        <w:rPr>
          <w:rFonts w:cs="Arial"/>
          <w:szCs w:val="20"/>
        </w:rPr>
        <w:t xml:space="preserve">Amendments to the Act will also </w:t>
      </w:r>
      <w:r w:rsidR="000A23BE" w:rsidRPr="00391933">
        <w:rPr>
          <w:rFonts w:cs="Arial"/>
          <w:szCs w:val="20"/>
        </w:rPr>
        <w:t>provide the ACMA with the powers to impose interim</w:t>
      </w:r>
      <w:r w:rsidR="000A23BE">
        <w:t xml:space="preserve"> or permanent bans on equipment and to require a supplier to recall equipment.</w:t>
      </w:r>
    </w:p>
    <w:p w14:paraId="322A0B20" w14:textId="484F8DFE" w:rsidR="000A23BE" w:rsidRDefault="0019437E" w:rsidP="005D093F">
      <w:pPr>
        <w:pStyle w:val="Paragraphbeforelist"/>
      </w:pPr>
      <w:r>
        <w:t xml:space="preserve">The objectives for equipment rules are very similar to the </w:t>
      </w:r>
      <w:r w:rsidR="00E9207C">
        <w:t>objectives</w:t>
      </w:r>
      <w:r w:rsidR="00F0512E">
        <w:t xml:space="preserve"> relating to </w:t>
      </w:r>
      <w:r w:rsidR="00E9207C">
        <w:t>standards and other technical regulation under section 155 of the Act</w:t>
      </w:r>
      <w:r>
        <w:t xml:space="preserve">. Equipment rules </w:t>
      </w:r>
      <w:r w:rsidR="000A23BE">
        <w:t>must be directed towards achieving any or all of the following objectives:</w:t>
      </w:r>
    </w:p>
    <w:p w14:paraId="596B63C4" w14:textId="3A1BD74A" w:rsidR="000A23BE" w:rsidRPr="0019437E" w:rsidRDefault="000A23BE" w:rsidP="005D093F">
      <w:pPr>
        <w:pStyle w:val="ListParagraph"/>
        <w:numPr>
          <w:ilvl w:val="0"/>
          <w:numId w:val="21"/>
        </w:numPr>
        <w:spacing w:after="80" w:line="240" w:lineRule="atLeast"/>
        <w:contextualSpacing w:val="0"/>
        <w:rPr>
          <w:rFonts w:ascii="Arial" w:hAnsi="Arial" w:cs="Arial"/>
          <w:sz w:val="20"/>
          <w:szCs w:val="20"/>
        </w:rPr>
      </w:pPr>
      <w:r w:rsidRPr="0019437E">
        <w:rPr>
          <w:rFonts w:ascii="Arial" w:hAnsi="Arial" w:cs="Arial"/>
          <w:sz w:val="20"/>
          <w:szCs w:val="20"/>
        </w:rPr>
        <w:t>ensuring the electromagnetic com</w:t>
      </w:r>
      <w:r w:rsidR="005E0896" w:rsidRPr="0019437E">
        <w:rPr>
          <w:rFonts w:ascii="Arial" w:hAnsi="Arial" w:cs="Arial"/>
          <w:sz w:val="20"/>
          <w:szCs w:val="20"/>
        </w:rPr>
        <w:t>patibility of equipment</w:t>
      </w:r>
    </w:p>
    <w:p w14:paraId="4EF329FF" w14:textId="457A51B9" w:rsidR="005E0896" w:rsidRPr="0019437E" w:rsidRDefault="005E0896" w:rsidP="005D093F">
      <w:pPr>
        <w:pStyle w:val="ListParagraph"/>
        <w:numPr>
          <w:ilvl w:val="0"/>
          <w:numId w:val="21"/>
        </w:numPr>
        <w:spacing w:after="80" w:line="240" w:lineRule="atLeast"/>
        <w:contextualSpacing w:val="0"/>
        <w:rPr>
          <w:rFonts w:ascii="Arial" w:hAnsi="Arial" w:cs="Arial"/>
          <w:sz w:val="20"/>
          <w:szCs w:val="20"/>
        </w:rPr>
      </w:pPr>
      <w:r w:rsidRPr="0019437E">
        <w:rPr>
          <w:rFonts w:ascii="Arial" w:hAnsi="Arial" w:cs="Arial"/>
          <w:sz w:val="20"/>
          <w:szCs w:val="20"/>
        </w:rPr>
        <w:t>containing interference to radiocommunications</w:t>
      </w:r>
    </w:p>
    <w:p w14:paraId="009E0419" w14:textId="019F405E" w:rsidR="005E0896" w:rsidRPr="0019437E" w:rsidRDefault="005E0896" w:rsidP="005D093F">
      <w:pPr>
        <w:pStyle w:val="ListParagraph"/>
        <w:numPr>
          <w:ilvl w:val="0"/>
          <w:numId w:val="21"/>
        </w:numPr>
        <w:spacing w:after="80" w:line="240" w:lineRule="atLeast"/>
        <w:contextualSpacing w:val="0"/>
        <w:rPr>
          <w:rFonts w:ascii="Arial" w:hAnsi="Arial" w:cs="Arial"/>
          <w:sz w:val="20"/>
          <w:szCs w:val="20"/>
        </w:rPr>
      </w:pPr>
      <w:r w:rsidRPr="0019437E">
        <w:rPr>
          <w:rFonts w:ascii="Arial" w:hAnsi="Arial" w:cs="Arial"/>
          <w:sz w:val="20"/>
          <w:szCs w:val="20"/>
        </w:rPr>
        <w:t>containing interference to any uses or functions of equipment</w:t>
      </w:r>
    </w:p>
    <w:p w14:paraId="557500A2" w14:textId="334EDFDC" w:rsidR="005E0896" w:rsidRPr="0019437E" w:rsidRDefault="005E0896" w:rsidP="005D093F">
      <w:pPr>
        <w:pStyle w:val="ListParagraph"/>
        <w:numPr>
          <w:ilvl w:val="0"/>
          <w:numId w:val="21"/>
        </w:numPr>
        <w:spacing w:after="80" w:line="240" w:lineRule="atLeast"/>
        <w:contextualSpacing w:val="0"/>
        <w:rPr>
          <w:rFonts w:ascii="Arial" w:hAnsi="Arial" w:cs="Arial"/>
          <w:sz w:val="20"/>
          <w:szCs w:val="20"/>
        </w:rPr>
      </w:pPr>
      <w:r w:rsidRPr="0019437E">
        <w:rPr>
          <w:rFonts w:ascii="Arial" w:hAnsi="Arial" w:cs="Arial"/>
          <w:sz w:val="20"/>
          <w:szCs w:val="20"/>
        </w:rPr>
        <w:lastRenderedPageBreak/>
        <w:t>establishing for the uses or functions of equipment an adequate level of immunity from electromagnetic disturbances caused by the use of other equipment</w:t>
      </w:r>
    </w:p>
    <w:p w14:paraId="73EEB942" w14:textId="54288B48" w:rsidR="005E0896" w:rsidRPr="0019437E" w:rsidRDefault="005E0896" w:rsidP="005D093F">
      <w:pPr>
        <w:pStyle w:val="ListParagraph"/>
        <w:numPr>
          <w:ilvl w:val="0"/>
          <w:numId w:val="21"/>
        </w:numPr>
        <w:spacing w:after="80" w:line="240" w:lineRule="atLeast"/>
        <w:contextualSpacing w:val="0"/>
        <w:rPr>
          <w:rFonts w:ascii="Arial" w:hAnsi="Arial" w:cs="Arial"/>
          <w:sz w:val="20"/>
          <w:szCs w:val="20"/>
        </w:rPr>
      </w:pPr>
      <w:r w:rsidRPr="0019437E">
        <w:rPr>
          <w:rFonts w:ascii="Arial" w:hAnsi="Arial" w:cs="Arial"/>
          <w:sz w:val="20"/>
          <w:szCs w:val="20"/>
        </w:rPr>
        <w:t>protecting the health of safety of individuals from any adverse effect likely to be attributable to radio emissions resulting from a reasonably foreseeable use (including a misuse) of radiocommunications transmitters</w:t>
      </w:r>
    </w:p>
    <w:p w14:paraId="3274223F" w14:textId="5208BF46" w:rsidR="005E0896" w:rsidRPr="0019437E" w:rsidRDefault="005E0896" w:rsidP="005D093F">
      <w:pPr>
        <w:pStyle w:val="ListParagraph"/>
        <w:numPr>
          <w:ilvl w:val="0"/>
          <w:numId w:val="21"/>
        </w:numPr>
        <w:spacing w:after="80" w:line="240" w:lineRule="atLeast"/>
        <w:contextualSpacing w:val="0"/>
        <w:rPr>
          <w:rFonts w:ascii="Arial" w:hAnsi="Arial" w:cs="Arial"/>
          <w:sz w:val="20"/>
          <w:szCs w:val="20"/>
        </w:rPr>
      </w:pPr>
      <w:r w:rsidRPr="0019437E">
        <w:rPr>
          <w:rFonts w:ascii="Arial" w:hAnsi="Arial" w:cs="Arial"/>
          <w:sz w:val="20"/>
          <w:szCs w:val="20"/>
        </w:rPr>
        <w:t>ensuring that persons who operate equipment have access to information about the equipment</w:t>
      </w:r>
    </w:p>
    <w:p w14:paraId="349EB51A" w14:textId="12BFADF1" w:rsidR="005E0896" w:rsidRPr="0019437E" w:rsidRDefault="005E0896" w:rsidP="005D093F">
      <w:pPr>
        <w:pStyle w:val="ListParagraph"/>
        <w:numPr>
          <w:ilvl w:val="0"/>
          <w:numId w:val="21"/>
        </w:numPr>
        <w:spacing w:after="80" w:line="240" w:lineRule="atLeast"/>
        <w:contextualSpacing w:val="0"/>
        <w:rPr>
          <w:rFonts w:ascii="Arial" w:hAnsi="Arial" w:cs="Arial"/>
          <w:sz w:val="20"/>
          <w:szCs w:val="20"/>
        </w:rPr>
      </w:pPr>
      <w:r w:rsidRPr="0019437E">
        <w:rPr>
          <w:rFonts w:ascii="Arial" w:hAnsi="Arial" w:cs="Arial"/>
          <w:sz w:val="20"/>
          <w:szCs w:val="20"/>
        </w:rPr>
        <w:t>ensuring that radiocommunications transmitters are not supplied to persons intending to operate those transmitters unless those persons are authorised by or under the Act to operate those transmitters</w:t>
      </w:r>
    </w:p>
    <w:p w14:paraId="5E80A7A1" w14:textId="610455D3" w:rsidR="005E0896" w:rsidRPr="0019437E" w:rsidRDefault="005E0896" w:rsidP="005D093F">
      <w:pPr>
        <w:pStyle w:val="ListParagraph"/>
        <w:numPr>
          <w:ilvl w:val="0"/>
          <w:numId w:val="21"/>
        </w:numPr>
        <w:spacing w:after="80" w:line="240" w:lineRule="atLeast"/>
        <w:contextualSpacing w:val="0"/>
        <w:rPr>
          <w:rFonts w:ascii="Arial" w:hAnsi="Arial" w:cs="Arial"/>
          <w:sz w:val="20"/>
          <w:szCs w:val="20"/>
        </w:rPr>
      </w:pPr>
      <w:r w:rsidRPr="0019437E">
        <w:rPr>
          <w:rFonts w:ascii="Arial" w:hAnsi="Arial" w:cs="Arial"/>
          <w:sz w:val="20"/>
          <w:szCs w:val="20"/>
        </w:rPr>
        <w:t>ensuring that designated radiocommunications receivers are not supplied to persons intending to operate those receivers unless those persons are authorised by or under the Act to operate those receivers</w:t>
      </w:r>
    </w:p>
    <w:p w14:paraId="7E5D6075" w14:textId="57A7E578" w:rsidR="005E0896" w:rsidRPr="0019437E" w:rsidRDefault="005E0896" w:rsidP="005D093F">
      <w:pPr>
        <w:pStyle w:val="ListParagraph"/>
        <w:numPr>
          <w:ilvl w:val="0"/>
          <w:numId w:val="21"/>
        </w:numPr>
        <w:spacing w:after="80" w:line="240" w:lineRule="atLeast"/>
        <w:ind w:left="714" w:hanging="357"/>
        <w:contextualSpacing w:val="0"/>
        <w:rPr>
          <w:rFonts w:ascii="Arial" w:hAnsi="Arial" w:cs="Arial"/>
          <w:sz w:val="20"/>
          <w:szCs w:val="20"/>
        </w:rPr>
      </w:pPr>
      <w:r w:rsidRPr="0019437E">
        <w:rPr>
          <w:rFonts w:ascii="Arial" w:hAnsi="Arial" w:cs="Arial"/>
          <w:sz w:val="20"/>
          <w:szCs w:val="20"/>
        </w:rPr>
        <w:t xml:space="preserve">an objective specified in the legislative </w:t>
      </w:r>
      <w:proofErr w:type="gramStart"/>
      <w:r w:rsidRPr="0019437E">
        <w:rPr>
          <w:rFonts w:ascii="Arial" w:hAnsi="Arial" w:cs="Arial"/>
          <w:sz w:val="20"/>
          <w:szCs w:val="20"/>
        </w:rPr>
        <w:t>rules</w:t>
      </w:r>
      <w:proofErr w:type="gramEnd"/>
    </w:p>
    <w:p w14:paraId="5F1B08D4" w14:textId="440A9B0E" w:rsidR="005E0896" w:rsidRPr="0019437E" w:rsidRDefault="005E0896" w:rsidP="005D093F">
      <w:pPr>
        <w:pStyle w:val="ListParagraph"/>
        <w:numPr>
          <w:ilvl w:val="0"/>
          <w:numId w:val="21"/>
        </w:numPr>
        <w:spacing w:after="240"/>
        <w:rPr>
          <w:rFonts w:ascii="Arial" w:hAnsi="Arial" w:cs="Arial"/>
          <w:sz w:val="20"/>
          <w:szCs w:val="20"/>
        </w:rPr>
      </w:pPr>
      <w:r w:rsidRPr="0019437E">
        <w:rPr>
          <w:rFonts w:ascii="Arial" w:hAnsi="Arial" w:cs="Arial"/>
          <w:sz w:val="20"/>
          <w:szCs w:val="20"/>
        </w:rPr>
        <w:t xml:space="preserve">an </w:t>
      </w:r>
      <w:r w:rsidR="00BA3114" w:rsidRPr="0019437E">
        <w:rPr>
          <w:rFonts w:ascii="Arial" w:hAnsi="Arial" w:cs="Arial"/>
          <w:sz w:val="20"/>
          <w:szCs w:val="20"/>
        </w:rPr>
        <w:t>objecti</w:t>
      </w:r>
      <w:r w:rsidR="00BA3114">
        <w:rPr>
          <w:rFonts w:ascii="Arial" w:hAnsi="Arial" w:cs="Arial"/>
          <w:sz w:val="20"/>
          <w:szCs w:val="20"/>
        </w:rPr>
        <w:t>ve</w:t>
      </w:r>
      <w:r w:rsidR="00BA3114" w:rsidRPr="0019437E">
        <w:rPr>
          <w:rFonts w:ascii="Arial" w:hAnsi="Arial" w:cs="Arial"/>
          <w:sz w:val="20"/>
          <w:szCs w:val="20"/>
        </w:rPr>
        <w:t xml:space="preserve"> </w:t>
      </w:r>
      <w:r w:rsidRPr="0019437E">
        <w:rPr>
          <w:rFonts w:ascii="Arial" w:hAnsi="Arial" w:cs="Arial"/>
          <w:sz w:val="20"/>
          <w:szCs w:val="20"/>
        </w:rPr>
        <w:t>that is incidental or ancillary to any of the above objectives.</w:t>
      </w:r>
    </w:p>
    <w:p w14:paraId="10E76626" w14:textId="4FC2A59F" w:rsidR="00CD6E64" w:rsidRPr="0019437E" w:rsidRDefault="00673607" w:rsidP="005D093F">
      <w:pPr>
        <w:pStyle w:val="Paragraphbeforelist"/>
      </w:pPr>
      <w:r>
        <w:t>The ACMA may make e</w:t>
      </w:r>
      <w:r w:rsidR="008D389F">
        <w:t xml:space="preserve">quipment </w:t>
      </w:r>
      <w:r>
        <w:t>r</w:t>
      </w:r>
      <w:r w:rsidR="008D389F">
        <w:t xml:space="preserve">ules, </w:t>
      </w:r>
      <w:r w:rsidR="00CD6E64">
        <w:t>impos</w:t>
      </w:r>
      <w:r>
        <w:t>ing</w:t>
      </w:r>
      <w:r w:rsidR="00CD6E64">
        <w:t xml:space="preserve"> </w:t>
      </w:r>
      <w:r w:rsidR="008D389F">
        <w:t>obligations</w:t>
      </w:r>
      <w:r w:rsidR="001C3258">
        <w:rPr>
          <w:rStyle w:val="FootnoteReference"/>
          <w:szCs w:val="20"/>
        </w:rPr>
        <w:footnoteReference w:id="4"/>
      </w:r>
      <w:r w:rsidR="008D389F">
        <w:t xml:space="preserve"> in relation to equipment to</w:t>
      </w:r>
      <w:r w:rsidR="00A46687">
        <w:t>, among other things</w:t>
      </w:r>
      <w:r w:rsidR="00CD6E64" w:rsidRPr="0019437E">
        <w:t>:</w:t>
      </w:r>
    </w:p>
    <w:p w14:paraId="18467143" w14:textId="4257C057" w:rsidR="00CD6E64" w:rsidRPr="0019437E" w:rsidRDefault="00CD6E64" w:rsidP="005D093F">
      <w:pPr>
        <w:pStyle w:val="ListParagraph"/>
        <w:numPr>
          <w:ilvl w:val="0"/>
          <w:numId w:val="23"/>
        </w:numPr>
        <w:spacing w:after="80" w:line="240" w:lineRule="atLeast"/>
        <w:contextualSpacing w:val="0"/>
        <w:rPr>
          <w:rFonts w:ascii="Arial" w:hAnsi="Arial" w:cs="Arial"/>
          <w:sz w:val="20"/>
          <w:szCs w:val="20"/>
        </w:rPr>
      </w:pPr>
      <w:r w:rsidRPr="0019437E">
        <w:rPr>
          <w:rFonts w:ascii="Arial" w:hAnsi="Arial" w:cs="Arial"/>
          <w:sz w:val="20"/>
          <w:szCs w:val="20"/>
        </w:rPr>
        <w:t xml:space="preserve">ensure that quality assurance programs in relation to equipment are </w:t>
      </w:r>
      <w:proofErr w:type="gramStart"/>
      <w:r w:rsidRPr="0019437E">
        <w:rPr>
          <w:rFonts w:ascii="Arial" w:hAnsi="Arial" w:cs="Arial"/>
          <w:sz w:val="20"/>
          <w:szCs w:val="20"/>
        </w:rPr>
        <w:t>conducted</w:t>
      </w:r>
      <w:proofErr w:type="gramEnd"/>
    </w:p>
    <w:p w14:paraId="6173C651" w14:textId="3B7AAE16" w:rsidR="00CD6E64" w:rsidRPr="0019437E" w:rsidRDefault="00CD6E64" w:rsidP="005D093F">
      <w:pPr>
        <w:pStyle w:val="ListParagraph"/>
        <w:numPr>
          <w:ilvl w:val="0"/>
          <w:numId w:val="23"/>
        </w:numPr>
        <w:spacing w:after="80" w:line="240" w:lineRule="atLeast"/>
        <w:contextualSpacing w:val="0"/>
        <w:rPr>
          <w:rFonts w:ascii="Arial" w:hAnsi="Arial" w:cs="Arial"/>
          <w:sz w:val="20"/>
          <w:szCs w:val="20"/>
        </w:rPr>
      </w:pPr>
      <w:r w:rsidRPr="0019437E">
        <w:rPr>
          <w:rFonts w:ascii="Arial" w:hAnsi="Arial" w:cs="Arial"/>
          <w:sz w:val="20"/>
          <w:szCs w:val="20"/>
        </w:rPr>
        <w:t xml:space="preserve">ensure that tests in relation to equipment are </w:t>
      </w:r>
      <w:proofErr w:type="gramStart"/>
      <w:r w:rsidRPr="0019437E">
        <w:rPr>
          <w:rFonts w:ascii="Arial" w:hAnsi="Arial" w:cs="Arial"/>
          <w:sz w:val="20"/>
          <w:szCs w:val="20"/>
        </w:rPr>
        <w:t>conducted</w:t>
      </w:r>
      <w:proofErr w:type="gramEnd"/>
    </w:p>
    <w:p w14:paraId="318C0D5C" w14:textId="6C754BB8" w:rsidR="00CD6E64" w:rsidRPr="0019437E" w:rsidRDefault="00CD6E64" w:rsidP="005D093F">
      <w:pPr>
        <w:pStyle w:val="ListParagraph"/>
        <w:numPr>
          <w:ilvl w:val="0"/>
          <w:numId w:val="23"/>
        </w:numPr>
        <w:spacing w:after="80" w:line="240" w:lineRule="atLeast"/>
        <w:contextualSpacing w:val="0"/>
        <w:rPr>
          <w:rFonts w:ascii="Arial" w:hAnsi="Arial" w:cs="Arial"/>
          <w:sz w:val="20"/>
          <w:szCs w:val="20"/>
        </w:rPr>
      </w:pPr>
      <w:r w:rsidRPr="0019437E">
        <w:rPr>
          <w:rFonts w:ascii="Arial" w:hAnsi="Arial" w:cs="Arial"/>
          <w:sz w:val="20"/>
          <w:szCs w:val="20"/>
        </w:rPr>
        <w:t xml:space="preserve">ensure that labels are applied to </w:t>
      </w:r>
      <w:proofErr w:type="gramStart"/>
      <w:r w:rsidRPr="0019437E">
        <w:rPr>
          <w:rFonts w:ascii="Arial" w:hAnsi="Arial" w:cs="Arial"/>
          <w:sz w:val="20"/>
          <w:szCs w:val="20"/>
        </w:rPr>
        <w:t>equipment</w:t>
      </w:r>
      <w:proofErr w:type="gramEnd"/>
    </w:p>
    <w:p w14:paraId="64E94688" w14:textId="6AE6C7DB" w:rsidR="00CD6E64" w:rsidRPr="0019437E" w:rsidRDefault="00CD6E64" w:rsidP="005D093F">
      <w:pPr>
        <w:pStyle w:val="ListParagraph"/>
        <w:numPr>
          <w:ilvl w:val="0"/>
          <w:numId w:val="23"/>
        </w:numPr>
        <w:spacing w:after="80" w:line="240" w:lineRule="atLeast"/>
        <w:contextualSpacing w:val="0"/>
        <w:rPr>
          <w:rFonts w:ascii="Arial" w:hAnsi="Arial" w:cs="Arial"/>
          <w:sz w:val="20"/>
          <w:szCs w:val="20"/>
        </w:rPr>
      </w:pPr>
      <w:r w:rsidRPr="0019437E">
        <w:rPr>
          <w:rFonts w:ascii="Arial" w:hAnsi="Arial" w:cs="Arial"/>
          <w:sz w:val="20"/>
          <w:szCs w:val="20"/>
        </w:rPr>
        <w:t xml:space="preserve">ensure that records are kept or </w:t>
      </w:r>
      <w:proofErr w:type="gramStart"/>
      <w:r w:rsidRPr="0019437E">
        <w:rPr>
          <w:rFonts w:ascii="Arial" w:hAnsi="Arial" w:cs="Arial"/>
          <w:sz w:val="20"/>
          <w:szCs w:val="20"/>
        </w:rPr>
        <w:t>retained</w:t>
      </w:r>
      <w:proofErr w:type="gramEnd"/>
    </w:p>
    <w:p w14:paraId="6443AD84" w14:textId="5E60C4B1" w:rsidR="00CD6E64" w:rsidRPr="0019437E" w:rsidRDefault="00CD6E64" w:rsidP="005D093F">
      <w:pPr>
        <w:pStyle w:val="ListParagraph"/>
        <w:numPr>
          <w:ilvl w:val="0"/>
          <w:numId w:val="23"/>
        </w:numPr>
        <w:spacing w:after="240"/>
        <w:rPr>
          <w:rFonts w:ascii="Arial" w:hAnsi="Arial" w:cs="Arial"/>
          <w:sz w:val="20"/>
          <w:szCs w:val="20"/>
        </w:rPr>
      </w:pPr>
      <w:r w:rsidRPr="0019437E">
        <w:rPr>
          <w:rFonts w:ascii="Arial" w:hAnsi="Arial" w:cs="Arial"/>
          <w:sz w:val="20"/>
          <w:szCs w:val="20"/>
        </w:rPr>
        <w:t>ensure that a thing specified in the legislative rules is done</w:t>
      </w:r>
      <w:r w:rsidR="00BE2F06">
        <w:rPr>
          <w:rFonts w:ascii="Arial" w:hAnsi="Arial" w:cs="Arial"/>
          <w:sz w:val="20"/>
          <w:szCs w:val="20"/>
        </w:rPr>
        <w:t>.</w:t>
      </w:r>
    </w:p>
    <w:p w14:paraId="416635E8" w14:textId="2CBD4F8A" w:rsidR="00391933" w:rsidRDefault="0037067D" w:rsidP="0037067D">
      <w:pPr>
        <w:pStyle w:val="Heading2"/>
      </w:pPr>
      <w:bookmarkStart w:id="11" w:name="_Toc65767825"/>
      <w:r>
        <w:t xml:space="preserve">Transition </w:t>
      </w:r>
      <w:r w:rsidR="000E3F3C">
        <w:t xml:space="preserve">to </w:t>
      </w:r>
      <w:r w:rsidR="00BE2F06">
        <w:t>–</w:t>
      </w:r>
      <w:r w:rsidR="00FA23B8">
        <w:t xml:space="preserve"> </w:t>
      </w:r>
      <w:r>
        <w:t xml:space="preserve">and implementation of </w:t>
      </w:r>
      <w:r w:rsidR="00BE2F06">
        <w:t>–</w:t>
      </w:r>
      <w:r w:rsidR="00FA23B8">
        <w:t xml:space="preserve"> </w:t>
      </w:r>
      <w:r>
        <w:t>the new arrangements</w:t>
      </w:r>
      <w:bookmarkEnd w:id="11"/>
    </w:p>
    <w:p w14:paraId="020936A1" w14:textId="1E58A8C0" w:rsidR="004C1301" w:rsidRDefault="00AC37EC" w:rsidP="009706A6">
      <w:pPr>
        <w:pStyle w:val="Paragraphbeforelist"/>
      </w:pPr>
      <w:r>
        <w:t xml:space="preserve">Labelling notices in force prior to the commencement of the amendments to the Act are </w:t>
      </w:r>
      <w:r w:rsidR="006C69B1">
        <w:t xml:space="preserve">to </w:t>
      </w:r>
      <w:r w:rsidR="00712FA2">
        <w:t xml:space="preserve">continue in effect as if they were made as equipment rules under </w:t>
      </w:r>
      <w:r w:rsidR="003F3BC1">
        <w:t>sub</w:t>
      </w:r>
      <w:r w:rsidR="00712FA2">
        <w:t xml:space="preserve">section 156(1) of the Act </w:t>
      </w:r>
      <w:r>
        <w:t xml:space="preserve">under transitional provisions in the </w:t>
      </w:r>
      <w:r w:rsidR="005D093F">
        <w:t>Modernisation</w:t>
      </w:r>
      <w:r>
        <w:t xml:space="preserve"> Act</w:t>
      </w:r>
      <w:r w:rsidR="004C1301">
        <w:t xml:space="preserve">. </w:t>
      </w:r>
      <w:r w:rsidR="00254DC7">
        <w:t xml:space="preserve">The </w:t>
      </w:r>
      <w:r>
        <w:t>saved</w:t>
      </w:r>
      <w:r w:rsidR="00254DC7">
        <w:t xml:space="preserve"> labelling notices are</w:t>
      </w:r>
      <w:r w:rsidR="00967181">
        <w:t xml:space="preserve"> the</w:t>
      </w:r>
      <w:r w:rsidR="00254DC7">
        <w:t>:</w:t>
      </w:r>
    </w:p>
    <w:p w14:paraId="204575B7" w14:textId="0891F308" w:rsidR="004C1301" w:rsidRPr="00147407" w:rsidRDefault="00823083" w:rsidP="009706A6">
      <w:pPr>
        <w:pStyle w:val="Bulletlevel1"/>
      </w:pPr>
      <w:hyperlink r:id="rId24" w:history="1">
        <w:r w:rsidR="004C1301" w:rsidRPr="0011472C">
          <w:rPr>
            <w:rStyle w:val="Hyperlink"/>
            <w:szCs w:val="20"/>
          </w:rPr>
          <w:t>Radiocommunications (Compliance Labelling – Devices) Notice 2014</w:t>
        </w:r>
      </w:hyperlink>
      <w:r w:rsidR="004C1301" w:rsidRPr="00147407">
        <w:t xml:space="preserve"> </w:t>
      </w:r>
    </w:p>
    <w:p w14:paraId="5A78D870" w14:textId="6A3EF82D" w:rsidR="004C1301" w:rsidRPr="00147407" w:rsidRDefault="00823083" w:rsidP="009706A6">
      <w:pPr>
        <w:pStyle w:val="Bulletlevel1"/>
      </w:pPr>
      <w:hyperlink r:id="rId25" w:history="1">
        <w:r w:rsidR="004C1301" w:rsidRPr="0011472C">
          <w:rPr>
            <w:rStyle w:val="Hyperlink"/>
            <w:szCs w:val="20"/>
          </w:rPr>
          <w:t>Radiocommunications Labelling (Electromagnetic Compatibility) Notice 2017</w:t>
        </w:r>
      </w:hyperlink>
    </w:p>
    <w:p w14:paraId="42D4A404" w14:textId="73BF1524" w:rsidR="004C1301" w:rsidRPr="00147407" w:rsidRDefault="00823083" w:rsidP="009706A6">
      <w:pPr>
        <w:pStyle w:val="Bulletlevel1last"/>
      </w:pPr>
      <w:hyperlink r:id="rId26" w:history="1">
        <w:r w:rsidR="004C1301" w:rsidRPr="0011472C">
          <w:rPr>
            <w:rStyle w:val="Hyperlink"/>
            <w:szCs w:val="20"/>
          </w:rPr>
          <w:t>Radiocommunications (Compliance Labelling – Electromagnetic Radiation) Notice 2014</w:t>
        </w:r>
      </w:hyperlink>
      <w:r w:rsidR="00B327B1" w:rsidRPr="005B2D96">
        <w:rPr>
          <w:rStyle w:val="Hyperlink"/>
          <w:color w:val="auto"/>
          <w:szCs w:val="20"/>
          <w:u w:val="none"/>
        </w:rPr>
        <w:t>.</w:t>
      </w:r>
    </w:p>
    <w:p w14:paraId="3A8B180B" w14:textId="38200FA7" w:rsidR="005A647F" w:rsidRDefault="004C1301" w:rsidP="007A51FC">
      <w:r>
        <w:t xml:space="preserve">If </w:t>
      </w:r>
      <w:r w:rsidR="00015A14">
        <w:t>a</w:t>
      </w:r>
      <w:r>
        <w:t xml:space="preserve"> labelling notice place</w:t>
      </w:r>
      <w:r w:rsidR="00584ED2">
        <w:t>s</w:t>
      </w:r>
      <w:r>
        <w:t xml:space="preserve"> obligations or prohibitions on </w:t>
      </w:r>
      <w:r w:rsidR="00147407">
        <w:t>a person (such as the manufacturer or importer</w:t>
      </w:r>
      <w:r w:rsidR="00D3792D">
        <w:t xml:space="preserve"> of equipment</w:t>
      </w:r>
      <w:r w:rsidR="00147407">
        <w:t>), the person must comply with that obligation or prohibition. Failure to comply is</w:t>
      </w:r>
      <w:r w:rsidR="00584ED2">
        <w:t>, with some exceptions,</w:t>
      </w:r>
      <w:r w:rsidR="00147407">
        <w:t xml:space="preserve"> an offence and </w:t>
      </w:r>
      <w:r w:rsidR="002A01A6">
        <w:t xml:space="preserve">is also </w:t>
      </w:r>
      <w:r w:rsidR="00147407">
        <w:t>subject to a civil penalty under the new section 160.</w:t>
      </w:r>
    </w:p>
    <w:p w14:paraId="74D82BCD" w14:textId="43F67AC1" w:rsidR="00D65726" w:rsidRDefault="00C43611" w:rsidP="007A51FC">
      <w:r>
        <w:t>The transition</w:t>
      </w:r>
      <w:r w:rsidR="002A01A6">
        <w:t>al</w:t>
      </w:r>
      <w:r>
        <w:t xml:space="preserve"> provisions of new section 300A </w:t>
      </w:r>
      <w:r w:rsidR="005F1C6A">
        <w:t xml:space="preserve">will </w:t>
      </w:r>
      <w:r>
        <w:t xml:space="preserve">maintain the obligation for manufacturers and importers to comply with the requirements in the labelling notices that </w:t>
      </w:r>
      <w:r w:rsidR="00F368F0">
        <w:t xml:space="preserve">must </w:t>
      </w:r>
      <w:r>
        <w:t>be met after a label has been applied</w:t>
      </w:r>
      <w:r w:rsidR="00A43E95">
        <w:t>, such as retention of records</w:t>
      </w:r>
      <w:r w:rsidR="008838B3">
        <w:t xml:space="preserve">, where the label was applied before the commencement of the relevant provisions of the </w:t>
      </w:r>
      <w:r w:rsidR="005D093F">
        <w:t>Modernisation</w:t>
      </w:r>
      <w:r w:rsidR="008838B3">
        <w:t xml:space="preserve"> Act</w:t>
      </w:r>
      <w:r>
        <w:t>.</w:t>
      </w:r>
    </w:p>
    <w:p w14:paraId="4EE4070E" w14:textId="5FC5C67E" w:rsidR="00485DD5" w:rsidRDefault="00C43611" w:rsidP="009706A6">
      <w:pPr>
        <w:keepNext/>
        <w:keepLines/>
      </w:pPr>
      <w:r>
        <w:lastRenderedPageBreak/>
        <w:t xml:space="preserve">New section 300B </w:t>
      </w:r>
      <w:r w:rsidR="005F1C6A">
        <w:t xml:space="preserve">will </w:t>
      </w:r>
      <w:r w:rsidR="00BA3114">
        <w:t xml:space="preserve">preserve </w:t>
      </w:r>
      <w:r>
        <w:t>the ability for an inspector to require a person who has been required to retain records under the labelling notices to produce those records.</w:t>
      </w:r>
    </w:p>
    <w:p w14:paraId="6AABBBAC" w14:textId="7AD3AF45" w:rsidR="005C7474" w:rsidRDefault="00BC436B" w:rsidP="007A51FC">
      <w:r>
        <w:t xml:space="preserve">The </w:t>
      </w:r>
      <w:r w:rsidR="00F0615F">
        <w:t xml:space="preserve">main </w:t>
      </w:r>
      <w:r>
        <w:t>offence</w:t>
      </w:r>
      <w:r w:rsidR="00A946A0">
        <w:t xml:space="preserve"> and civil penalty</w:t>
      </w:r>
      <w:r>
        <w:t xml:space="preserve"> provisions for equipment rules (section 160) </w:t>
      </w:r>
      <w:r w:rsidR="00DB38DD">
        <w:t>apply when a</w:t>
      </w:r>
      <w:r>
        <w:t xml:space="preserve"> person </w:t>
      </w:r>
      <w:r w:rsidR="00DB38DD">
        <w:t xml:space="preserve">breaches a prohibition or requirement </w:t>
      </w:r>
      <w:r w:rsidR="00C7773A">
        <w:t>imposed by the equipment rules</w:t>
      </w:r>
      <w:r>
        <w:t xml:space="preserve">. The </w:t>
      </w:r>
      <w:r w:rsidR="00A1375C">
        <w:t xml:space="preserve">saved </w:t>
      </w:r>
      <w:r>
        <w:t xml:space="preserve">labelling notices place obligations on people and therefore </w:t>
      </w:r>
      <w:r w:rsidR="00C7773A">
        <w:t xml:space="preserve">non-compliance with those obligations </w:t>
      </w:r>
      <w:r>
        <w:t>remain</w:t>
      </w:r>
      <w:r w:rsidR="00C7773A">
        <w:t>s</w:t>
      </w:r>
      <w:r>
        <w:t xml:space="preserve"> enforceable </w:t>
      </w:r>
      <w:r w:rsidR="00C7773A">
        <w:t xml:space="preserve">under </w:t>
      </w:r>
      <w:r>
        <w:t xml:space="preserve">section 160. </w:t>
      </w:r>
      <w:r w:rsidR="000510AD">
        <w:t xml:space="preserve">However, </w:t>
      </w:r>
      <w:r w:rsidR="000510AD" w:rsidRPr="000510AD">
        <w:t xml:space="preserve">some specific prohibitions and obligations </w:t>
      </w:r>
      <w:r w:rsidR="000510AD">
        <w:t xml:space="preserve">relating to labelling </w:t>
      </w:r>
      <w:r w:rsidR="000510AD" w:rsidRPr="000510AD">
        <w:t xml:space="preserve">are contained in </w:t>
      </w:r>
      <w:r w:rsidR="00DE1406">
        <w:t xml:space="preserve">the </w:t>
      </w:r>
      <w:r w:rsidR="000510AD" w:rsidRPr="000510AD">
        <w:t xml:space="preserve">current Part 4.1 of the Act and will not be included in the Act as amended. </w:t>
      </w:r>
      <w:r w:rsidR="001E2269">
        <w:t xml:space="preserve">These </w:t>
      </w:r>
      <w:r w:rsidR="000510AD" w:rsidRPr="000510AD">
        <w:t xml:space="preserve">prohibitions and obligations </w:t>
      </w:r>
      <w:r w:rsidR="001E2269">
        <w:t xml:space="preserve">will not be </w:t>
      </w:r>
      <w:r w:rsidR="000510AD" w:rsidRPr="000510AD">
        <w:t>enforceable under</w:t>
      </w:r>
      <w:r w:rsidR="000510AD">
        <w:t xml:space="preserve"> section 160</w:t>
      </w:r>
      <w:r w:rsidR="00A946A0">
        <w:t>, without additional equipment rules being made</w:t>
      </w:r>
      <w:r w:rsidR="000510AD" w:rsidRPr="000510AD">
        <w:t>.</w:t>
      </w:r>
    </w:p>
    <w:p w14:paraId="131ED810" w14:textId="2F071C72" w:rsidR="00F0615F" w:rsidRPr="00613F86" w:rsidRDefault="000510AD" w:rsidP="007A51FC">
      <w:r>
        <w:t xml:space="preserve">In </w:t>
      </w:r>
      <w:r w:rsidR="001E2269">
        <w:t>addition,</w:t>
      </w:r>
      <w:r w:rsidR="00254DC7" w:rsidRPr="00613F86">
        <w:t xml:space="preserve"> the</w:t>
      </w:r>
      <w:r w:rsidR="007A51FC" w:rsidRPr="00613F86">
        <w:t xml:space="preserve"> </w:t>
      </w:r>
      <w:r w:rsidR="00A1375C">
        <w:t>saved</w:t>
      </w:r>
      <w:r w:rsidR="00A1375C" w:rsidRPr="00613F86">
        <w:t xml:space="preserve"> </w:t>
      </w:r>
      <w:r w:rsidR="007A51FC" w:rsidRPr="00613F86">
        <w:t xml:space="preserve">standards </w:t>
      </w:r>
      <w:r w:rsidR="00C7773A">
        <w:t xml:space="preserve">do not directly place obligations or prohibitions on </w:t>
      </w:r>
      <w:r w:rsidR="003F3BC1">
        <w:t xml:space="preserve">a </w:t>
      </w:r>
      <w:r w:rsidR="00C7773A">
        <w:t xml:space="preserve">person and therefore </w:t>
      </w:r>
      <w:r w:rsidR="00F0615F" w:rsidRPr="00613F86">
        <w:t xml:space="preserve">will not be enforceable </w:t>
      </w:r>
      <w:r w:rsidR="00C7773A">
        <w:t>under new section 160 wi</w:t>
      </w:r>
      <w:r w:rsidR="00AD6E44">
        <w:t>thout additional equipment rules being made</w:t>
      </w:r>
      <w:r w:rsidR="00F0615F" w:rsidRPr="00613F86">
        <w:t xml:space="preserve">. </w:t>
      </w:r>
    </w:p>
    <w:p w14:paraId="42426F64" w14:textId="7426E904" w:rsidR="00933118" w:rsidRDefault="00F0615F" w:rsidP="007A51FC">
      <w:r w:rsidRPr="00613F86">
        <w:t xml:space="preserve">The ACMA is proposing </w:t>
      </w:r>
      <w:r w:rsidR="007A51FC" w:rsidRPr="00613F86">
        <w:t>new equipment rules</w:t>
      </w:r>
      <w:r w:rsidR="00254DC7" w:rsidRPr="00613F86">
        <w:t xml:space="preserve"> that </w:t>
      </w:r>
      <w:r w:rsidRPr="00613F86">
        <w:t>prohibit</w:t>
      </w:r>
      <w:r w:rsidR="00254DC7" w:rsidRPr="00613F86">
        <w:t xml:space="preserve"> a person</w:t>
      </w:r>
      <w:r w:rsidRPr="00613F86">
        <w:t xml:space="preserve"> from</w:t>
      </w:r>
      <w:r w:rsidR="00254DC7" w:rsidRPr="00613F86">
        <w:t xml:space="preserve"> </w:t>
      </w:r>
      <w:r w:rsidR="00831A7D" w:rsidRPr="00613F86">
        <w:t>operating, possessing or supplying equipment that does not comply with a</w:t>
      </w:r>
      <w:r w:rsidR="0007356B">
        <w:t xml:space="preserve"> saved</w:t>
      </w:r>
      <w:r w:rsidR="00831A7D" w:rsidRPr="00613F86">
        <w:t xml:space="preserve"> </w:t>
      </w:r>
      <w:r w:rsidR="005F28B6" w:rsidRPr="00613F86">
        <w:t>standard</w:t>
      </w:r>
      <w:r w:rsidRPr="00613F86">
        <w:t xml:space="preserve">, unless the person has </w:t>
      </w:r>
      <w:r w:rsidR="001E2269">
        <w:t xml:space="preserve">a permit </w:t>
      </w:r>
      <w:r w:rsidRPr="00613F86">
        <w:t>to do so</w:t>
      </w:r>
      <w:r w:rsidR="001E2269">
        <w:t xml:space="preserve"> or is otherwise exempt</w:t>
      </w:r>
      <w:r w:rsidR="007A51FC" w:rsidRPr="00613F86">
        <w:t>.</w:t>
      </w:r>
      <w:r w:rsidR="001E2269">
        <w:t xml:space="preserve"> </w:t>
      </w:r>
    </w:p>
    <w:p w14:paraId="2302B519" w14:textId="77777777" w:rsidR="00B327B1" w:rsidRDefault="00DE5382" w:rsidP="007A51FC">
      <w:r>
        <w:t xml:space="preserve">The new equipment rules will also </w:t>
      </w:r>
      <w:r w:rsidR="00442C01">
        <w:t xml:space="preserve">include </w:t>
      </w:r>
      <w:r w:rsidR="003807DF">
        <w:t xml:space="preserve">prohibitions and obligations in relation to the </w:t>
      </w:r>
      <w:r w:rsidR="00442C01">
        <w:t xml:space="preserve">supply </w:t>
      </w:r>
      <w:r w:rsidR="00442C01" w:rsidRPr="00442C01">
        <w:t>of equipment that is labelled, and in relation to the supply of equipment that is unlabelled</w:t>
      </w:r>
      <w:r w:rsidR="00AE02C0">
        <w:t>, in order to maintain the current regulatory arrangements.</w:t>
      </w:r>
      <w:r w:rsidR="007A2BA0">
        <w:t xml:space="preserve"> </w:t>
      </w:r>
    </w:p>
    <w:p w14:paraId="7981D12C" w14:textId="1D8C1B5E" w:rsidR="007A51FC" w:rsidRDefault="007A2BA0" w:rsidP="007A51FC">
      <w:r>
        <w:t>These equipment rules would largely replicate the existing prohibitions and obligations in current Part 4.1 of the Act, in relation to standards and labelling notices</w:t>
      </w:r>
      <w:r w:rsidR="005F1C6A">
        <w:t xml:space="preserve"> (for more</w:t>
      </w:r>
      <w:r w:rsidR="00E668E0">
        <w:t xml:space="preserve"> information, see below)</w:t>
      </w:r>
      <w:r>
        <w:t>.</w:t>
      </w:r>
    </w:p>
    <w:p w14:paraId="658388C9" w14:textId="0125BDCC" w:rsidR="00FB0EE0" w:rsidRPr="0030235D" w:rsidRDefault="00FB0EE0" w:rsidP="00AB341D">
      <w:pPr>
        <w:pStyle w:val="Heading3"/>
      </w:pPr>
      <w:r w:rsidRPr="0030235D">
        <w:t xml:space="preserve">Permits for non-standard </w:t>
      </w:r>
      <w:proofErr w:type="gramStart"/>
      <w:r w:rsidRPr="00FB0EE0">
        <w:t>e</w:t>
      </w:r>
      <w:r>
        <w:t>q</w:t>
      </w:r>
      <w:r w:rsidRPr="00FB0EE0">
        <w:t>uipment</w:t>
      </w:r>
      <w:proofErr w:type="gramEnd"/>
    </w:p>
    <w:p w14:paraId="4C3764C8" w14:textId="285C7C62" w:rsidR="0030235D" w:rsidRDefault="007A51FC" w:rsidP="007A51FC">
      <w:r w:rsidRPr="000F3B7A">
        <w:rPr>
          <w:rFonts w:cs="Arial"/>
          <w:szCs w:val="20"/>
        </w:rPr>
        <w:t>The</w:t>
      </w:r>
      <w:r w:rsidRPr="00EE4DE9">
        <w:rPr>
          <w:rFonts w:cs="Arial"/>
          <w:szCs w:val="20"/>
        </w:rPr>
        <w:t xml:space="preserve"> </w:t>
      </w:r>
      <w:r>
        <w:t>amendments</w:t>
      </w:r>
      <w:r w:rsidR="0030235D">
        <w:t xml:space="preserve"> </w:t>
      </w:r>
      <w:r w:rsidR="00A42E26">
        <w:t xml:space="preserve">to the Act will </w:t>
      </w:r>
      <w:r w:rsidR="0030235D">
        <w:t>remove the existing permit related provisions from the Act</w:t>
      </w:r>
      <w:r w:rsidR="00B52FB7">
        <w:t xml:space="preserve">. Instead, </w:t>
      </w:r>
      <w:r w:rsidR="0030235D">
        <w:t>new section 159</w:t>
      </w:r>
      <w:r>
        <w:t xml:space="preserve"> </w:t>
      </w:r>
      <w:r w:rsidR="00995760">
        <w:t xml:space="preserve">expressly </w:t>
      </w:r>
      <w:r w:rsidR="007F1CD5">
        <w:t xml:space="preserve">allows </w:t>
      </w:r>
      <w:r w:rsidR="00BC5C1A">
        <w:t xml:space="preserve">for </w:t>
      </w:r>
      <w:r w:rsidR="00E42B78">
        <w:t xml:space="preserve">equipment rules </w:t>
      </w:r>
      <w:r w:rsidR="00B52FB7">
        <w:t>to make provision for the ACMA to issue such permits</w:t>
      </w:r>
      <w:r w:rsidR="0030235D">
        <w:t xml:space="preserve">. </w:t>
      </w:r>
    </w:p>
    <w:p w14:paraId="1548D4FD" w14:textId="1B60786D" w:rsidR="009B49CF" w:rsidRDefault="0030235D" w:rsidP="007A51FC">
      <w:r>
        <w:t xml:space="preserve">The </w:t>
      </w:r>
      <w:r w:rsidR="009B49CF">
        <w:t xml:space="preserve">transition provisions </w:t>
      </w:r>
      <w:r>
        <w:t xml:space="preserve">for the amendments to the Act </w:t>
      </w:r>
      <w:r w:rsidR="009B49CF">
        <w:t>retain</w:t>
      </w:r>
      <w:r>
        <w:t xml:space="preserve"> any</w:t>
      </w:r>
      <w:r w:rsidR="009B49CF">
        <w:t xml:space="preserve"> permits</w:t>
      </w:r>
      <w:r>
        <w:t xml:space="preserve"> </w:t>
      </w:r>
      <w:r w:rsidR="009B49CF">
        <w:t xml:space="preserve">that have been issued under subsection 167(2) of the Act </w:t>
      </w:r>
      <w:r w:rsidR="003A0783">
        <w:t xml:space="preserve">and are in force immediately before the commencement of the amendments. These existing permits remain in force </w:t>
      </w:r>
      <w:r w:rsidR="00626BFC">
        <w:t xml:space="preserve">until the date of expiry specified in </w:t>
      </w:r>
      <w:r w:rsidR="009B49CF">
        <w:t>the permit.</w:t>
      </w:r>
    </w:p>
    <w:p w14:paraId="2E6FDDAB" w14:textId="77777777" w:rsidR="003A0783" w:rsidRPr="0030235D" w:rsidRDefault="003A0783" w:rsidP="00DB19F6">
      <w:pPr>
        <w:pStyle w:val="Heading3"/>
      </w:pPr>
      <w:r w:rsidRPr="0030235D">
        <w:t xml:space="preserve">Limitations on the supply of certain devices </w:t>
      </w:r>
    </w:p>
    <w:p w14:paraId="360246C1" w14:textId="439860B0" w:rsidR="007A51FC" w:rsidRDefault="003A0783" w:rsidP="007A51FC">
      <w:r>
        <w:rPr>
          <w:rFonts w:cs="Arial"/>
          <w:szCs w:val="20"/>
        </w:rPr>
        <w:t>T</w:t>
      </w:r>
      <w:r w:rsidR="007A51FC">
        <w:t>he amendments</w:t>
      </w:r>
      <w:r>
        <w:t xml:space="preserve"> </w:t>
      </w:r>
      <w:r w:rsidR="008A3092">
        <w:t xml:space="preserve">to the Act </w:t>
      </w:r>
      <w:r>
        <w:t>repeal</w:t>
      </w:r>
      <w:r w:rsidR="007A51FC">
        <w:t xml:space="preserve"> section 301 of the Act</w:t>
      </w:r>
      <w:r w:rsidR="000964B8">
        <w:t xml:space="preserve">. However, </w:t>
      </w:r>
      <w:r w:rsidR="005414ED">
        <w:t xml:space="preserve">new </w:t>
      </w:r>
      <w:r w:rsidR="000964B8">
        <w:t xml:space="preserve">section 159 allows for the </w:t>
      </w:r>
      <w:r w:rsidR="00287CCF">
        <w:t xml:space="preserve">equipment rules to prohibit a person </w:t>
      </w:r>
      <w:r w:rsidR="00465828">
        <w:t xml:space="preserve">supplying or offering to supply a specified kind of equipment unless the person </w:t>
      </w:r>
      <w:r w:rsidR="00BA3114">
        <w:t xml:space="preserve">satisfies </w:t>
      </w:r>
      <w:r w:rsidR="00465828">
        <w:t>one or more specified conditions</w:t>
      </w:r>
      <w:r w:rsidR="000D28C4">
        <w:t>.</w:t>
      </w:r>
    </w:p>
    <w:p w14:paraId="4FC3E371" w14:textId="67A53359" w:rsidR="00C43611" w:rsidRDefault="005F1C6A" w:rsidP="007A51FC">
      <w:r>
        <w:t>N</w:t>
      </w:r>
      <w:r w:rsidR="00C43611">
        <w:t>ew section 300C</w:t>
      </w:r>
      <w:r w:rsidR="005414ED">
        <w:t xml:space="preserve"> will</w:t>
      </w:r>
      <w:r w:rsidR="0011472C">
        <w:t xml:space="preserve"> </w:t>
      </w:r>
      <w:r w:rsidR="000D28C4">
        <w:t>ha</w:t>
      </w:r>
      <w:r>
        <w:t>ve</w:t>
      </w:r>
      <w:r w:rsidR="000D28C4">
        <w:t xml:space="preserve"> a</w:t>
      </w:r>
      <w:r w:rsidR="00C43611">
        <w:t xml:space="preserve"> requirement </w:t>
      </w:r>
      <w:r w:rsidR="000D28C4">
        <w:t xml:space="preserve">that if </w:t>
      </w:r>
      <w:r w:rsidR="00C43611">
        <w:t>a person supplied a radiocommunications device</w:t>
      </w:r>
      <w:r w:rsidR="000D28C4">
        <w:t xml:space="preserve"> in the </w:t>
      </w:r>
      <w:r w:rsidR="00E21522">
        <w:t>2-</w:t>
      </w:r>
      <w:r w:rsidR="000D28C4">
        <w:t>year period ending at the commencement of the amendments, and that person was required by</w:t>
      </w:r>
      <w:r w:rsidR="00C43611">
        <w:t xml:space="preserve"> the repealed section 301 to retain </w:t>
      </w:r>
      <w:r w:rsidR="000D28C4">
        <w:t xml:space="preserve">documents relating to the supply of the device, that person must retain the documents for at least </w:t>
      </w:r>
      <w:r w:rsidR="00E21522">
        <w:t xml:space="preserve">2 </w:t>
      </w:r>
      <w:r w:rsidR="000D28C4">
        <w:t>years after the supply of the device</w:t>
      </w:r>
      <w:r w:rsidR="00C43611">
        <w:t>.</w:t>
      </w:r>
    </w:p>
    <w:p w14:paraId="0CC5AC85" w14:textId="45285CBC" w:rsidR="00421CBB" w:rsidRPr="00DC54AB" w:rsidRDefault="00421CBB" w:rsidP="001A5876">
      <w:pPr>
        <w:pStyle w:val="Heading1"/>
      </w:pPr>
      <w:bookmarkStart w:id="12" w:name="_Toc65767826"/>
      <w:r w:rsidRPr="00DC54AB">
        <w:lastRenderedPageBreak/>
        <w:t xml:space="preserve">Proposed </w:t>
      </w:r>
      <w:r w:rsidR="00B327B1">
        <w:t>n</w:t>
      </w:r>
      <w:r w:rsidR="006B7E84">
        <w:t xml:space="preserve">ew </w:t>
      </w:r>
      <w:r w:rsidR="00B327B1">
        <w:t>e</w:t>
      </w:r>
      <w:r w:rsidR="00DC54AB" w:rsidRPr="00DC54AB">
        <w:t xml:space="preserve">quipment </w:t>
      </w:r>
      <w:proofErr w:type="gramStart"/>
      <w:r w:rsidR="00B327B1">
        <w:t>r</w:t>
      </w:r>
      <w:r w:rsidR="00DC54AB" w:rsidRPr="00DC54AB">
        <w:t>ules</w:t>
      </w:r>
      <w:bookmarkEnd w:id="12"/>
      <w:proofErr w:type="gramEnd"/>
    </w:p>
    <w:p w14:paraId="5D9B0DD0" w14:textId="4DA74CCF" w:rsidR="00F33AA7" w:rsidRDefault="00F33AA7">
      <w:pPr>
        <w:rPr>
          <w:rFonts w:cs="Arial"/>
          <w:szCs w:val="20"/>
        </w:rPr>
      </w:pPr>
      <w:r>
        <w:rPr>
          <w:rFonts w:cs="Arial"/>
          <w:szCs w:val="20"/>
        </w:rPr>
        <w:t xml:space="preserve">The amendments to the Act provide more flexibility and options for the ACMA </w:t>
      </w:r>
      <w:r w:rsidR="00933118">
        <w:rPr>
          <w:rFonts w:cs="Arial"/>
          <w:szCs w:val="20"/>
        </w:rPr>
        <w:t xml:space="preserve">to manage the supply and use of </w:t>
      </w:r>
      <w:r w:rsidR="00B327B1">
        <w:rPr>
          <w:rFonts w:cs="Arial"/>
          <w:szCs w:val="20"/>
        </w:rPr>
        <w:t>communications equipment</w:t>
      </w:r>
      <w:r>
        <w:rPr>
          <w:rFonts w:cs="Arial"/>
          <w:szCs w:val="20"/>
        </w:rPr>
        <w:t xml:space="preserve">. The new equipment rules proposed in this paper </w:t>
      </w:r>
      <w:r w:rsidR="00892914">
        <w:rPr>
          <w:rFonts w:cs="Arial"/>
          <w:szCs w:val="20"/>
        </w:rPr>
        <w:t>are</w:t>
      </w:r>
      <w:r>
        <w:rPr>
          <w:rFonts w:cs="Arial"/>
          <w:szCs w:val="20"/>
        </w:rPr>
        <w:t xml:space="preserve"> the first stage of the ACMA’s </w:t>
      </w:r>
      <w:r w:rsidR="00A10A3A">
        <w:rPr>
          <w:rFonts w:cs="Arial"/>
          <w:szCs w:val="20"/>
        </w:rPr>
        <w:t xml:space="preserve">planned </w:t>
      </w:r>
      <w:r>
        <w:rPr>
          <w:rFonts w:cs="Arial"/>
          <w:szCs w:val="20"/>
        </w:rPr>
        <w:t>implementation of equipment rules.</w:t>
      </w:r>
      <w:r w:rsidR="00147ABF">
        <w:rPr>
          <w:rFonts w:cs="Arial"/>
          <w:szCs w:val="20"/>
        </w:rPr>
        <w:t xml:space="preserve"> The ACMA will consider opportunities to streamline and improve the regulation of equipment as </w:t>
      </w:r>
      <w:r w:rsidR="00357CEF">
        <w:rPr>
          <w:rFonts w:cs="Arial"/>
          <w:szCs w:val="20"/>
        </w:rPr>
        <w:t xml:space="preserve">any approaches to do so are received from industry participants, or in any event as existing instruments begin to </w:t>
      </w:r>
      <w:r w:rsidR="00147ABF">
        <w:rPr>
          <w:rFonts w:cs="Arial"/>
          <w:szCs w:val="20"/>
        </w:rPr>
        <w:t xml:space="preserve">sunset </w:t>
      </w:r>
      <w:r w:rsidR="00357CEF">
        <w:rPr>
          <w:rFonts w:cs="Arial"/>
          <w:szCs w:val="20"/>
        </w:rPr>
        <w:t xml:space="preserve">from </w:t>
      </w:r>
      <w:r w:rsidR="00147ABF">
        <w:rPr>
          <w:rFonts w:cs="Arial"/>
          <w:szCs w:val="20"/>
        </w:rPr>
        <w:t>2023.</w:t>
      </w:r>
    </w:p>
    <w:p w14:paraId="153C18BF" w14:textId="33545077" w:rsidR="005C3683" w:rsidRDefault="00F33AA7">
      <w:pPr>
        <w:rPr>
          <w:rFonts w:cs="Arial"/>
          <w:szCs w:val="20"/>
        </w:rPr>
      </w:pPr>
      <w:r>
        <w:rPr>
          <w:rFonts w:cs="Arial"/>
          <w:szCs w:val="20"/>
        </w:rPr>
        <w:t>While</w:t>
      </w:r>
      <w:r w:rsidR="001B10D5">
        <w:rPr>
          <w:rFonts w:cs="Arial"/>
          <w:szCs w:val="20"/>
        </w:rPr>
        <w:t xml:space="preserve"> the transition provisions retain key portions of the existing equipment arrangements, t</w:t>
      </w:r>
      <w:r w:rsidR="005C3683">
        <w:rPr>
          <w:rFonts w:cs="Arial"/>
          <w:szCs w:val="20"/>
        </w:rPr>
        <w:t>he focus of th</w:t>
      </w:r>
      <w:r w:rsidR="001B10D5">
        <w:rPr>
          <w:rFonts w:cs="Arial"/>
          <w:szCs w:val="20"/>
        </w:rPr>
        <w:t xml:space="preserve">e proposed </w:t>
      </w:r>
      <w:r w:rsidR="000E3F3C">
        <w:rPr>
          <w:rFonts w:cs="Arial"/>
          <w:szCs w:val="20"/>
        </w:rPr>
        <w:t xml:space="preserve">new </w:t>
      </w:r>
      <w:r w:rsidR="001B10D5">
        <w:rPr>
          <w:rFonts w:cs="Arial"/>
          <w:szCs w:val="20"/>
        </w:rPr>
        <w:t xml:space="preserve">equipment rules is </w:t>
      </w:r>
      <w:r w:rsidR="0011472C">
        <w:rPr>
          <w:rFonts w:cs="Arial"/>
          <w:szCs w:val="20"/>
        </w:rPr>
        <w:t xml:space="preserve">to </w:t>
      </w:r>
      <w:r>
        <w:rPr>
          <w:rFonts w:cs="Arial"/>
          <w:szCs w:val="20"/>
        </w:rPr>
        <w:t>continue some desirable features of the existing arrangements that would otherwise end on commencement of the amendments</w:t>
      </w:r>
      <w:r w:rsidR="005C3683">
        <w:rPr>
          <w:rFonts w:cs="Arial"/>
          <w:szCs w:val="20"/>
        </w:rPr>
        <w:t>.</w:t>
      </w:r>
    </w:p>
    <w:p w14:paraId="55B15171" w14:textId="1763C8B1" w:rsidR="008F5538" w:rsidRDefault="004A2DDD">
      <w:pPr>
        <w:rPr>
          <w:rFonts w:cs="Arial"/>
          <w:szCs w:val="20"/>
        </w:rPr>
      </w:pPr>
      <w:r>
        <w:rPr>
          <w:rFonts w:cs="Arial"/>
          <w:szCs w:val="20"/>
        </w:rPr>
        <w:t xml:space="preserve">A key </w:t>
      </w:r>
      <w:r w:rsidR="00F33AA7">
        <w:rPr>
          <w:rFonts w:cs="Arial"/>
          <w:szCs w:val="20"/>
        </w:rPr>
        <w:t xml:space="preserve">feature of the existing arrangements </w:t>
      </w:r>
      <w:r>
        <w:rPr>
          <w:rFonts w:cs="Arial"/>
          <w:szCs w:val="20"/>
        </w:rPr>
        <w:t>is the prohibitions relating to non-standard devices</w:t>
      </w:r>
      <w:r w:rsidR="00617C91">
        <w:rPr>
          <w:rFonts w:cs="Arial"/>
          <w:szCs w:val="20"/>
        </w:rPr>
        <w:t>, and the supply of unlabelled equipment</w:t>
      </w:r>
      <w:r>
        <w:rPr>
          <w:rFonts w:cs="Arial"/>
          <w:szCs w:val="20"/>
        </w:rPr>
        <w:t xml:space="preserve">. </w:t>
      </w:r>
      <w:r w:rsidR="001A5876" w:rsidRPr="001A5876">
        <w:rPr>
          <w:rFonts w:cs="Arial"/>
          <w:szCs w:val="20"/>
        </w:rPr>
        <w:t>To</w:t>
      </w:r>
      <w:r w:rsidR="001A5876">
        <w:rPr>
          <w:rFonts w:cs="Arial"/>
          <w:szCs w:val="20"/>
        </w:rPr>
        <w:t xml:space="preserve"> keep the</w:t>
      </w:r>
      <w:r>
        <w:rPr>
          <w:rFonts w:cs="Arial"/>
          <w:szCs w:val="20"/>
        </w:rPr>
        <w:t>se</w:t>
      </w:r>
      <w:r w:rsidR="001A5876">
        <w:rPr>
          <w:rFonts w:cs="Arial"/>
          <w:szCs w:val="20"/>
        </w:rPr>
        <w:t xml:space="preserve"> prohibitions</w:t>
      </w:r>
      <w:r w:rsidR="00F33AA7">
        <w:rPr>
          <w:rFonts w:cs="Arial"/>
          <w:szCs w:val="20"/>
        </w:rPr>
        <w:t xml:space="preserve"> after commencement</w:t>
      </w:r>
      <w:r w:rsidR="001A5876">
        <w:rPr>
          <w:rFonts w:cs="Arial"/>
          <w:szCs w:val="20"/>
        </w:rPr>
        <w:t>, the ACMA will need to incorporate the requirements into equipment rules.</w:t>
      </w:r>
    </w:p>
    <w:p w14:paraId="10A5DA2B" w14:textId="269E25A3" w:rsidR="00696ADC" w:rsidRDefault="00696ADC">
      <w:pPr>
        <w:rPr>
          <w:rFonts w:cs="Arial"/>
          <w:szCs w:val="20"/>
        </w:rPr>
      </w:pPr>
      <w:r>
        <w:rPr>
          <w:rFonts w:cs="Arial"/>
          <w:szCs w:val="20"/>
        </w:rPr>
        <w:t xml:space="preserve">The ACMA also considers it appropriate to retain the restriction on the supply of cellular mobile repeaters to ensure this equipment is only supplied to people </w:t>
      </w:r>
      <w:r w:rsidR="00BA3114">
        <w:rPr>
          <w:rFonts w:cs="Arial"/>
          <w:szCs w:val="20"/>
        </w:rPr>
        <w:t xml:space="preserve">who </w:t>
      </w:r>
      <w:r>
        <w:rPr>
          <w:rFonts w:cs="Arial"/>
          <w:szCs w:val="20"/>
        </w:rPr>
        <w:t>have a licence to operate the repeater.</w:t>
      </w:r>
    </w:p>
    <w:p w14:paraId="748847DE" w14:textId="08BAABBA" w:rsidR="001B10D5" w:rsidRDefault="00DC54AB" w:rsidP="009706A6">
      <w:pPr>
        <w:pStyle w:val="Paragraphbeforelist"/>
      </w:pPr>
      <w:r>
        <w:t xml:space="preserve">The ACMA is proposing to make new equipment rules under section 159 of the Act </w:t>
      </w:r>
      <w:r w:rsidR="00F136A4">
        <w:t xml:space="preserve">which will </w:t>
      </w:r>
      <w:r w:rsidR="00E10C5E">
        <w:t xml:space="preserve">commence at the same time as Part 1 of Schedule 4 to the </w:t>
      </w:r>
      <w:r w:rsidR="005D093F">
        <w:t>Modernisation</w:t>
      </w:r>
      <w:r w:rsidR="00E10C5E">
        <w:t xml:space="preserve"> Act. These equipment rules will</w:t>
      </w:r>
      <w:r w:rsidR="001B10D5">
        <w:t>:</w:t>
      </w:r>
    </w:p>
    <w:p w14:paraId="513FA109" w14:textId="0E4121ED" w:rsidR="001B10D5" w:rsidRPr="00F33AA7" w:rsidRDefault="005D093F" w:rsidP="009706A6">
      <w:pPr>
        <w:pStyle w:val="Bulletlevel1"/>
      </w:pPr>
      <w:r>
        <w:t>r</w:t>
      </w:r>
      <w:r w:rsidR="001B10D5" w:rsidRPr="00F33AA7">
        <w:t>equir</w:t>
      </w:r>
      <w:r w:rsidR="002129CE">
        <w:t>e</w:t>
      </w:r>
      <w:r w:rsidR="001B10D5" w:rsidRPr="00F33AA7">
        <w:t xml:space="preserve"> persons manufacturing or importing specified equipment to </w:t>
      </w:r>
      <w:r w:rsidR="00A758AE">
        <w:t xml:space="preserve">apply labels to such equipment in accordance with the </w:t>
      </w:r>
      <w:r w:rsidR="0007356B">
        <w:t xml:space="preserve">saved </w:t>
      </w:r>
      <w:r w:rsidR="00A758AE">
        <w:t xml:space="preserve">labelling </w:t>
      </w:r>
      <w:proofErr w:type="gramStart"/>
      <w:r w:rsidR="00A758AE">
        <w:t>notices</w:t>
      </w:r>
      <w:proofErr w:type="gramEnd"/>
    </w:p>
    <w:p w14:paraId="68C4DE35" w14:textId="1BCFCEE7" w:rsidR="000F732E" w:rsidRDefault="005D093F" w:rsidP="009706A6">
      <w:pPr>
        <w:pStyle w:val="Bulletlevel1"/>
      </w:pPr>
      <w:r>
        <w:t>p</w:t>
      </w:r>
      <w:r w:rsidR="001B10D5" w:rsidRPr="00F33AA7">
        <w:t xml:space="preserve">rohibit the possession, operation or supply of equipment that does not comply with the </w:t>
      </w:r>
      <w:r w:rsidR="005F557D">
        <w:t xml:space="preserve">requirements of the applicable </w:t>
      </w:r>
      <w:r w:rsidR="0007356B">
        <w:t>saved</w:t>
      </w:r>
      <w:r w:rsidR="005F557D">
        <w:t xml:space="preserve"> standards</w:t>
      </w:r>
      <w:r w:rsidR="000F732E">
        <w:t>,</w:t>
      </w:r>
      <w:r w:rsidR="001B10D5" w:rsidRPr="00F33AA7">
        <w:t xml:space="preserve"> unless the person has a permit that allows possession</w:t>
      </w:r>
      <w:r w:rsidR="00BA3114">
        <w:t>,</w:t>
      </w:r>
      <w:r w:rsidR="001B10D5" w:rsidRPr="00F33AA7">
        <w:t xml:space="preserve"> operation, or supply of such </w:t>
      </w:r>
      <w:proofErr w:type="gramStart"/>
      <w:r w:rsidR="001B10D5" w:rsidRPr="00F33AA7">
        <w:t>equipment</w:t>
      </w:r>
      <w:proofErr w:type="gramEnd"/>
    </w:p>
    <w:p w14:paraId="4805A089" w14:textId="39375BF6" w:rsidR="00FB405F" w:rsidRPr="00F33AA7" w:rsidRDefault="005D093F" w:rsidP="009706A6">
      <w:pPr>
        <w:pStyle w:val="Bulletlevel1"/>
      </w:pPr>
      <w:r>
        <w:t>p</w:t>
      </w:r>
      <w:r w:rsidR="00FB405F">
        <w:t xml:space="preserve">rohibit the supply of certain equipment without a label that certifies that the equipment meets applicable standards, set out in equipment </w:t>
      </w:r>
      <w:proofErr w:type="gramStart"/>
      <w:r w:rsidR="00FB405F">
        <w:t>rules</w:t>
      </w:r>
      <w:proofErr w:type="gramEnd"/>
    </w:p>
    <w:p w14:paraId="70DFB9D9" w14:textId="631F0CB5" w:rsidR="001B10D5" w:rsidRPr="00F33AA7" w:rsidRDefault="005D093F" w:rsidP="009706A6">
      <w:pPr>
        <w:pStyle w:val="Bulletlevel1last"/>
      </w:pPr>
      <w:r>
        <w:t>p</w:t>
      </w:r>
      <w:r w:rsidR="001B10D5" w:rsidRPr="00F33AA7">
        <w:t xml:space="preserve">rohibit the supply of </w:t>
      </w:r>
      <w:r w:rsidR="005F557D">
        <w:t>cellular mobile repeaters</w:t>
      </w:r>
      <w:r w:rsidR="001B10D5" w:rsidRPr="00F33AA7">
        <w:t xml:space="preserve"> to a person unless the person has a licence authorising the operation of such equipment.</w:t>
      </w:r>
    </w:p>
    <w:p w14:paraId="7403C0DC" w14:textId="409AEEF1" w:rsidR="00696ADC" w:rsidRDefault="00696ADC" w:rsidP="009706A6">
      <w:pPr>
        <w:pStyle w:val="Paragraphbeforelist"/>
      </w:pPr>
      <w:r>
        <w:t xml:space="preserve">The effect of these new equipment rules in conjunction with the transition provisions in the </w:t>
      </w:r>
      <w:r w:rsidR="005D093F">
        <w:t>Modernisation</w:t>
      </w:r>
      <w:r w:rsidR="00674330">
        <w:t xml:space="preserve"> Act </w:t>
      </w:r>
      <w:r>
        <w:t>is that the following requirements continue:</w:t>
      </w:r>
    </w:p>
    <w:p w14:paraId="79DE5F74" w14:textId="6209B3F6" w:rsidR="00421CBB" w:rsidRPr="0034036E" w:rsidRDefault="00696ADC" w:rsidP="009706A6">
      <w:pPr>
        <w:pStyle w:val="Bulletlevel1"/>
      </w:pPr>
      <w:r w:rsidRPr="0034036E">
        <w:t>the</w:t>
      </w:r>
      <w:r w:rsidR="00421CBB" w:rsidRPr="0034036E">
        <w:t xml:space="preserve"> requirement for persons in Australia who manufacture or import specified equipment to ensure the equipment complies with mandatory technical standards before the equipment can be supplied to the </w:t>
      </w:r>
      <w:proofErr w:type="gramStart"/>
      <w:r w:rsidR="00421CBB" w:rsidRPr="0034036E">
        <w:t>market</w:t>
      </w:r>
      <w:proofErr w:type="gramEnd"/>
    </w:p>
    <w:p w14:paraId="7321F2EF" w14:textId="2949C075" w:rsidR="004A2DDD" w:rsidRPr="0034036E" w:rsidRDefault="00696ADC" w:rsidP="009706A6">
      <w:pPr>
        <w:pStyle w:val="Bulletlevel1"/>
      </w:pPr>
      <w:r w:rsidRPr="0034036E">
        <w:t>the</w:t>
      </w:r>
      <w:r w:rsidR="004A2DDD" w:rsidRPr="0034036E">
        <w:t xml:space="preserve"> requirements </w:t>
      </w:r>
      <w:r w:rsidR="005F557D" w:rsidRPr="0034036E">
        <w:t>for</w:t>
      </w:r>
      <w:r w:rsidR="004A2DDD" w:rsidRPr="0034036E">
        <w:t xml:space="preserve"> manufacturers and importers</w:t>
      </w:r>
      <w:r w:rsidR="005F557D" w:rsidRPr="0034036E">
        <w:t xml:space="preserve"> to</w:t>
      </w:r>
      <w:r w:rsidR="004A2DDD" w:rsidRPr="0034036E">
        <w:t xml:space="preserve"> label their equipment</w:t>
      </w:r>
      <w:r w:rsidR="00693CBF">
        <w:t>, to</w:t>
      </w:r>
      <w:r w:rsidR="004A2DDD" w:rsidRPr="0034036E">
        <w:t xml:space="preserve"> retain compliance records</w:t>
      </w:r>
      <w:r w:rsidR="00693CBF">
        <w:t xml:space="preserve">, and to </w:t>
      </w:r>
      <w:r w:rsidR="00CA62F2">
        <w:t xml:space="preserve">obtain reports or records that the equipment complies with applicable </w:t>
      </w:r>
      <w:proofErr w:type="gramStart"/>
      <w:r w:rsidR="00CA62F2">
        <w:t>standards</w:t>
      </w:r>
      <w:proofErr w:type="gramEnd"/>
    </w:p>
    <w:p w14:paraId="356B3267" w14:textId="0D69050D" w:rsidR="00421CBB" w:rsidRPr="0034036E" w:rsidRDefault="00BA2DAE" w:rsidP="009706A6">
      <w:pPr>
        <w:pStyle w:val="Bulletlevel1"/>
      </w:pPr>
      <w:r>
        <w:t>t</w:t>
      </w:r>
      <w:r w:rsidR="00421CBB" w:rsidRPr="0034036E">
        <w:t>he prohibition on possession, operation or supply of specified equipment that does not comply with the mandatory technical standards, unless the person has a permit that allows possession, operation, or supply of such equipment</w:t>
      </w:r>
      <w:r w:rsidR="0065297A">
        <w:t xml:space="preserve">, or is otherwise </w:t>
      </w:r>
      <w:proofErr w:type="gramStart"/>
      <w:r w:rsidR="0065297A">
        <w:t>exempt</w:t>
      </w:r>
      <w:proofErr w:type="gramEnd"/>
    </w:p>
    <w:p w14:paraId="36E84DB9" w14:textId="1A3B740A" w:rsidR="00696ADC" w:rsidRPr="0034036E" w:rsidRDefault="00696ADC" w:rsidP="009706A6">
      <w:pPr>
        <w:pStyle w:val="Bulletlevel1last"/>
      </w:pPr>
      <w:r w:rsidRPr="0034036E">
        <w:t xml:space="preserve">the </w:t>
      </w:r>
      <w:r w:rsidR="0065297A">
        <w:t xml:space="preserve">prohibition on the </w:t>
      </w:r>
      <w:r w:rsidRPr="0034036E">
        <w:t>supply of cellular mobile repeaters to person</w:t>
      </w:r>
      <w:r w:rsidR="0065297A">
        <w:t>s</w:t>
      </w:r>
      <w:r w:rsidRPr="0034036E">
        <w:t xml:space="preserve"> </w:t>
      </w:r>
      <w:r w:rsidR="00CC4FE3">
        <w:t xml:space="preserve">who do not have </w:t>
      </w:r>
      <w:r w:rsidRPr="0034036E">
        <w:t>a licence authorising the operation of the cellular mobile repeater.</w:t>
      </w:r>
    </w:p>
    <w:p w14:paraId="4B5C64A9" w14:textId="58C7D131" w:rsidR="00421CBB" w:rsidRDefault="00696ADC" w:rsidP="00E028E1">
      <w:pPr>
        <w:rPr>
          <w:rFonts w:cs="Arial"/>
          <w:szCs w:val="20"/>
        </w:rPr>
      </w:pPr>
      <w:r>
        <w:rPr>
          <w:rFonts w:cs="Arial"/>
          <w:szCs w:val="20"/>
        </w:rPr>
        <w:lastRenderedPageBreak/>
        <w:t>In addition, e</w:t>
      </w:r>
      <w:r w:rsidR="00421CBB">
        <w:rPr>
          <w:rFonts w:cs="Arial"/>
          <w:szCs w:val="20"/>
        </w:rPr>
        <w:t>xisting permits</w:t>
      </w:r>
      <w:r w:rsidR="004A2DDD">
        <w:rPr>
          <w:rFonts w:cs="Arial"/>
          <w:szCs w:val="20"/>
        </w:rPr>
        <w:t xml:space="preserve"> issued under the previous subsection 167(2)</w:t>
      </w:r>
      <w:r w:rsidR="00421CBB">
        <w:rPr>
          <w:rFonts w:cs="Arial"/>
          <w:szCs w:val="20"/>
        </w:rPr>
        <w:t xml:space="preserve"> will remain </w:t>
      </w:r>
      <w:r w:rsidR="00FC03DF">
        <w:rPr>
          <w:rFonts w:cs="Arial"/>
          <w:szCs w:val="20"/>
        </w:rPr>
        <w:t xml:space="preserve">in force </w:t>
      </w:r>
      <w:r w:rsidR="00421CBB">
        <w:rPr>
          <w:rFonts w:cs="Arial"/>
          <w:szCs w:val="20"/>
        </w:rPr>
        <w:t>under the new rules until the permit’s current expiry date.</w:t>
      </w:r>
      <w:r w:rsidR="0047335F">
        <w:rPr>
          <w:rFonts w:cs="Arial"/>
          <w:szCs w:val="20"/>
        </w:rPr>
        <w:t xml:space="preserve"> The draft equipment rules will contain a regime for giving new permits.</w:t>
      </w:r>
    </w:p>
    <w:p w14:paraId="07BA0E4E" w14:textId="6EC4DD2B" w:rsidR="001C3258" w:rsidRDefault="001C3258" w:rsidP="00E028E1">
      <w:pPr>
        <w:rPr>
          <w:rFonts w:cs="Arial"/>
          <w:szCs w:val="20"/>
        </w:rPr>
      </w:pPr>
      <w:r>
        <w:rPr>
          <w:rFonts w:cs="Arial"/>
          <w:szCs w:val="20"/>
        </w:rPr>
        <w:t xml:space="preserve">Unlike permits </w:t>
      </w:r>
      <w:r w:rsidR="00BD7F68">
        <w:rPr>
          <w:rFonts w:cs="Arial"/>
          <w:szCs w:val="20"/>
        </w:rPr>
        <w:t xml:space="preserve">issued </w:t>
      </w:r>
      <w:r>
        <w:rPr>
          <w:rFonts w:cs="Arial"/>
          <w:szCs w:val="20"/>
        </w:rPr>
        <w:t>under section 167</w:t>
      </w:r>
      <w:r w:rsidR="00BD7F68">
        <w:rPr>
          <w:rFonts w:cs="Arial"/>
          <w:szCs w:val="20"/>
        </w:rPr>
        <w:t>(2) of the Act</w:t>
      </w:r>
      <w:r>
        <w:rPr>
          <w:rFonts w:cs="Arial"/>
          <w:szCs w:val="20"/>
        </w:rPr>
        <w:t>,</w:t>
      </w:r>
      <w:r w:rsidR="00BD7F68">
        <w:rPr>
          <w:rFonts w:cs="Arial"/>
          <w:szCs w:val="20"/>
        </w:rPr>
        <w:t xml:space="preserve"> </w:t>
      </w:r>
      <w:r w:rsidR="00AB341D">
        <w:rPr>
          <w:rFonts w:cs="Arial"/>
          <w:szCs w:val="20"/>
        </w:rPr>
        <w:t>any</w:t>
      </w:r>
      <w:r w:rsidR="00BD7F68">
        <w:rPr>
          <w:rFonts w:cs="Arial"/>
          <w:szCs w:val="20"/>
        </w:rPr>
        <w:t xml:space="preserve"> existing permissions issued under section 174 of the Act do not remain in force under the </w:t>
      </w:r>
      <w:r w:rsidR="005D093F">
        <w:rPr>
          <w:rFonts w:cs="Arial"/>
          <w:szCs w:val="20"/>
        </w:rPr>
        <w:t>Modernisation</w:t>
      </w:r>
      <w:r w:rsidR="00BD7F68">
        <w:rPr>
          <w:rFonts w:cs="Arial"/>
          <w:szCs w:val="20"/>
        </w:rPr>
        <w:t xml:space="preserve"> Act. However, the draft equipment rules </w:t>
      </w:r>
      <w:r w:rsidR="00AB341D">
        <w:rPr>
          <w:rFonts w:cs="Arial"/>
          <w:szCs w:val="20"/>
        </w:rPr>
        <w:t xml:space="preserve">will </w:t>
      </w:r>
      <w:r w:rsidR="00BD7F68">
        <w:rPr>
          <w:rFonts w:cs="Arial"/>
          <w:szCs w:val="20"/>
        </w:rPr>
        <w:t xml:space="preserve">provide a transition arrangement for existing permissions. </w:t>
      </w:r>
    </w:p>
    <w:p w14:paraId="3111295C" w14:textId="667E64F8" w:rsidR="00421CBB" w:rsidRDefault="00DC54AB" w:rsidP="00E028E1">
      <w:pPr>
        <w:rPr>
          <w:rFonts w:cs="Arial"/>
          <w:szCs w:val="20"/>
        </w:rPr>
      </w:pPr>
      <w:r>
        <w:rPr>
          <w:rFonts w:cs="Arial"/>
          <w:szCs w:val="20"/>
        </w:rPr>
        <w:t xml:space="preserve">Draft </w:t>
      </w:r>
      <w:r w:rsidR="00A505C0" w:rsidRPr="005D093F">
        <w:rPr>
          <w:rFonts w:cs="Arial"/>
          <w:szCs w:val="20"/>
        </w:rPr>
        <w:t>Radiocommunications Equipment (General) Rules 2021</w:t>
      </w:r>
      <w:r w:rsidR="00A505C0">
        <w:rPr>
          <w:rFonts w:cs="Arial"/>
          <w:szCs w:val="20"/>
        </w:rPr>
        <w:t xml:space="preserve"> </w:t>
      </w:r>
      <w:r>
        <w:rPr>
          <w:rFonts w:cs="Arial"/>
          <w:szCs w:val="20"/>
        </w:rPr>
        <w:t xml:space="preserve">are </w:t>
      </w:r>
      <w:r w:rsidR="001914BD">
        <w:t>located in the key documents section of the website for this consultation.</w:t>
      </w:r>
    </w:p>
    <w:p w14:paraId="027F77BD" w14:textId="77777777" w:rsidR="006C1631" w:rsidRDefault="006C1631" w:rsidP="006C1631">
      <w:pPr>
        <w:pStyle w:val="Heading1"/>
      </w:pPr>
      <w:bookmarkStart w:id="13" w:name="_Toc65767827"/>
      <w:r>
        <w:lastRenderedPageBreak/>
        <w:t>Invitation to comment</w:t>
      </w:r>
      <w:bookmarkEnd w:id="13"/>
    </w:p>
    <w:p w14:paraId="6F214B2C" w14:textId="77777777" w:rsidR="006C1631" w:rsidRDefault="006C1631" w:rsidP="006C1631">
      <w:pPr>
        <w:pStyle w:val="Heading2"/>
      </w:pPr>
      <w:bookmarkStart w:id="14" w:name="_Toc433122131"/>
      <w:bookmarkStart w:id="15" w:name="_Toc348105637"/>
      <w:bookmarkStart w:id="16" w:name="_Toc300909556"/>
      <w:bookmarkStart w:id="17" w:name="_Toc298924673"/>
      <w:bookmarkStart w:id="18" w:name="_Toc65767828"/>
      <w:bookmarkStart w:id="19" w:name="_Toc348105638"/>
      <w:bookmarkStart w:id="20" w:name="_Toc300909557"/>
      <w:bookmarkStart w:id="21" w:name="_Toc298924674"/>
      <w:bookmarkStart w:id="22" w:name="_Toc274296357"/>
      <w:r>
        <w:t>Making a submission</w:t>
      </w:r>
      <w:bookmarkEnd w:id="14"/>
      <w:bookmarkEnd w:id="15"/>
      <w:bookmarkEnd w:id="16"/>
      <w:bookmarkEnd w:id="17"/>
      <w:bookmarkEnd w:id="18"/>
    </w:p>
    <w:p w14:paraId="6B4DDC0F" w14:textId="47C21AFA" w:rsidR="006C1631" w:rsidRDefault="006C1631" w:rsidP="006C1631">
      <w:r>
        <w:t xml:space="preserve">The ACMA invites comments on the issues set out in this </w:t>
      </w:r>
      <w:r w:rsidR="00BA3114">
        <w:t xml:space="preserve">consultation </w:t>
      </w:r>
      <w:r>
        <w:t xml:space="preserve">paper. </w:t>
      </w:r>
    </w:p>
    <w:p w14:paraId="25000CC8" w14:textId="77777777" w:rsidR="0070133D" w:rsidRDefault="00823083" w:rsidP="0070133D">
      <w:pPr>
        <w:pStyle w:val="Bulletlevel1"/>
      </w:pPr>
      <w:hyperlink r:id="rId27" w:history="1">
        <w:r w:rsidR="0070133D">
          <w:rPr>
            <w:rStyle w:val="Hyperlink"/>
          </w:rPr>
          <w:t>Online submissions</w:t>
        </w:r>
      </w:hyperlink>
      <w:r w:rsidR="0070133D">
        <w:t xml:space="preserve"> can be made by </w:t>
      </w:r>
      <w:r w:rsidR="0070133D" w:rsidRPr="0070133D">
        <w:t>uploading</w:t>
      </w:r>
      <w:r w:rsidR="0070133D">
        <w:t xml:space="preserve"> a document. Submissions in</w:t>
      </w:r>
      <w:r w:rsidR="00396DC2">
        <w:t xml:space="preserve"> PDF, </w:t>
      </w:r>
      <w:r w:rsidR="0070133D">
        <w:t>Microsoft Word or Rich Text Format are preferred.</w:t>
      </w:r>
    </w:p>
    <w:p w14:paraId="0DF72CB3" w14:textId="77777777" w:rsidR="006C1631" w:rsidRDefault="006C1631" w:rsidP="0070133D">
      <w:pPr>
        <w:pStyle w:val="Bulletlevel1"/>
      </w:pPr>
      <w:r>
        <w:t xml:space="preserve">Submissions by post can be sent to: </w:t>
      </w:r>
    </w:p>
    <w:p w14:paraId="5E7A92E9" w14:textId="77777777" w:rsidR="006C1631" w:rsidRPr="00082590" w:rsidRDefault="006C1631" w:rsidP="006C1631">
      <w:pPr>
        <w:tabs>
          <w:tab w:val="num" w:pos="295"/>
        </w:tabs>
        <w:spacing w:after="0"/>
        <w:ind w:left="295"/>
        <w:rPr>
          <w:szCs w:val="20"/>
        </w:rPr>
      </w:pPr>
      <w:r w:rsidRPr="00082590">
        <w:rPr>
          <w:szCs w:val="20"/>
        </w:rPr>
        <w:t>The Manager</w:t>
      </w:r>
    </w:p>
    <w:p w14:paraId="109A3F8F" w14:textId="77777777" w:rsidR="003F5D0B" w:rsidRPr="00E949F8" w:rsidRDefault="003F5D0B" w:rsidP="003F5D0B">
      <w:pPr>
        <w:spacing w:after="0"/>
        <w:ind w:left="295"/>
        <w:rPr>
          <w:szCs w:val="20"/>
        </w:rPr>
      </w:pPr>
      <w:r w:rsidRPr="00E949F8">
        <w:rPr>
          <w:szCs w:val="20"/>
        </w:rPr>
        <w:t xml:space="preserve">Technical Regulation &amp; Carrier Infrastructure Section </w:t>
      </w:r>
    </w:p>
    <w:p w14:paraId="08850B66" w14:textId="77777777" w:rsidR="003F5D0B" w:rsidRPr="00E949F8" w:rsidRDefault="003F5D0B" w:rsidP="003F5D0B">
      <w:pPr>
        <w:spacing w:after="0"/>
        <w:ind w:left="295"/>
        <w:rPr>
          <w:szCs w:val="20"/>
        </w:rPr>
      </w:pPr>
      <w:r w:rsidRPr="00E949F8">
        <w:rPr>
          <w:szCs w:val="20"/>
        </w:rPr>
        <w:t>Australian Communications and Media Authority</w:t>
      </w:r>
    </w:p>
    <w:p w14:paraId="7312EF3D" w14:textId="77777777" w:rsidR="003F5D0B" w:rsidRPr="00E949F8" w:rsidRDefault="003F5D0B" w:rsidP="003F5D0B">
      <w:pPr>
        <w:spacing w:after="0"/>
        <w:ind w:left="295"/>
        <w:rPr>
          <w:szCs w:val="20"/>
        </w:rPr>
      </w:pPr>
      <w:r w:rsidRPr="00E949F8">
        <w:rPr>
          <w:szCs w:val="20"/>
        </w:rPr>
        <w:t xml:space="preserve">PO Box 13112 Law Courts </w:t>
      </w:r>
    </w:p>
    <w:p w14:paraId="3870F74A" w14:textId="77777777" w:rsidR="003F5D0B" w:rsidRDefault="003F5D0B" w:rsidP="003F5D0B">
      <w:pPr>
        <w:ind w:left="295"/>
        <w:rPr>
          <w:szCs w:val="20"/>
        </w:rPr>
      </w:pPr>
      <w:r w:rsidRPr="00E949F8">
        <w:rPr>
          <w:szCs w:val="20"/>
        </w:rPr>
        <w:t>Melbourne VIC 8010</w:t>
      </w:r>
      <w:r>
        <w:rPr>
          <w:szCs w:val="20"/>
        </w:rPr>
        <w:t xml:space="preserve"> </w:t>
      </w:r>
    </w:p>
    <w:p w14:paraId="30C6BEF1" w14:textId="7C91B6E4" w:rsidR="006C1631" w:rsidRDefault="006C1631" w:rsidP="006C1631">
      <w:r>
        <w:t xml:space="preserve">The closing date for submissions is </w:t>
      </w:r>
      <w:r w:rsidRPr="009706A6">
        <w:rPr>
          <w:b/>
          <w:bCs/>
        </w:rPr>
        <w:t xml:space="preserve">COB, </w:t>
      </w:r>
      <w:r w:rsidR="00B73E66" w:rsidRPr="009706A6">
        <w:rPr>
          <w:b/>
          <w:bCs/>
        </w:rPr>
        <w:t xml:space="preserve">Friday </w:t>
      </w:r>
      <w:r w:rsidR="00444560">
        <w:rPr>
          <w:b/>
          <w:bCs/>
        </w:rPr>
        <w:t>9</w:t>
      </w:r>
      <w:r w:rsidR="00444560" w:rsidRPr="009706A6">
        <w:rPr>
          <w:b/>
          <w:bCs/>
        </w:rPr>
        <w:t xml:space="preserve"> </w:t>
      </w:r>
      <w:r w:rsidR="00B73E66" w:rsidRPr="009706A6">
        <w:rPr>
          <w:b/>
          <w:bCs/>
        </w:rPr>
        <w:t>April 2021</w:t>
      </w:r>
      <w:r w:rsidRPr="00B73E66">
        <w:t>.</w:t>
      </w:r>
    </w:p>
    <w:p w14:paraId="5397F8AB" w14:textId="41669A5C" w:rsidR="006C1631" w:rsidRDefault="006C1631" w:rsidP="006C1631">
      <w:pPr>
        <w:rPr>
          <w:szCs w:val="20"/>
        </w:rPr>
      </w:pPr>
      <w:r>
        <w:t xml:space="preserve">Consultation enquiries can be emailed </w:t>
      </w:r>
      <w:r>
        <w:rPr>
          <w:szCs w:val="20"/>
        </w:rPr>
        <w:t xml:space="preserve">to </w:t>
      </w:r>
      <w:hyperlink r:id="rId28" w:history="1">
        <w:r w:rsidR="003F5D0B" w:rsidRPr="00561EFE">
          <w:rPr>
            <w:rStyle w:val="Hyperlink"/>
            <w:szCs w:val="20"/>
          </w:rPr>
          <w:t>techreg@acma.gov.au</w:t>
        </w:r>
      </w:hyperlink>
      <w:r>
        <w:rPr>
          <w:szCs w:val="20"/>
        </w:rPr>
        <w:t>.</w:t>
      </w:r>
    </w:p>
    <w:p w14:paraId="082B9F27" w14:textId="77777777" w:rsidR="006C1631" w:rsidRDefault="006C1631" w:rsidP="005B2F0D">
      <w:pPr>
        <w:pStyle w:val="Heading4"/>
      </w:pPr>
      <w:bookmarkStart w:id="23" w:name="_Toc348105639"/>
      <w:bookmarkStart w:id="24" w:name="_Toc300909558"/>
      <w:bookmarkEnd w:id="19"/>
      <w:bookmarkEnd w:id="20"/>
      <w:r>
        <w:t xml:space="preserve">Publication of </w:t>
      </w:r>
      <w:r w:rsidRPr="005B2F0D">
        <w:t>submissions</w:t>
      </w:r>
      <w:bookmarkEnd w:id="21"/>
      <w:bookmarkEnd w:id="22"/>
      <w:bookmarkEnd w:id="23"/>
      <w:bookmarkEnd w:id="24"/>
    </w:p>
    <w:p w14:paraId="0C854548" w14:textId="77777777" w:rsidR="006C1631" w:rsidRDefault="006C1631" w:rsidP="006C1631">
      <w:bookmarkStart w:id="25" w:name="_Toc348105640"/>
      <w:bookmarkStart w:id="26" w:name="_Toc300909559"/>
      <w:bookmarkStart w:id="27" w:name="_Toc265246234"/>
      <w:r>
        <w:t>The ACMA publishes submissions on our website</w:t>
      </w:r>
      <w:r>
        <w:rPr>
          <w:rFonts w:cs="Arial"/>
        </w:rPr>
        <w:t>, including personal information (such as names and contact details)</w:t>
      </w:r>
      <w:r>
        <w:t xml:space="preserve">, except for information that you have claimed (and we have accepted) is confidential. </w:t>
      </w:r>
    </w:p>
    <w:p w14:paraId="6FBF91C7" w14:textId="77777777" w:rsidR="006C1631" w:rsidRDefault="006C1631" w:rsidP="006C1631">
      <w:r>
        <w:t>Confidential information will not be published or otherwise released unless required or authorised by law.</w:t>
      </w:r>
    </w:p>
    <w:p w14:paraId="23486918" w14:textId="77777777" w:rsidR="006C1631" w:rsidRDefault="006C1631" w:rsidP="005B2F0D">
      <w:pPr>
        <w:pStyle w:val="Heading4"/>
      </w:pPr>
      <w:r>
        <w:t>Privacy</w:t>
      </w:r>
    </w:p>
    <w:p w14:paraId="2BF4837B" w14:textId="77777777" w:rsidR="006C1631" w:rsidRDefault="00E21056" w:rsidP="005B2F0D">
      <w:pPr>
        <w:pStyle w:val="Paragraph"/>
      </w:pPr>
      <w:r>
        <w:t>View</w:t>
      </w:r>
      <w:r w:rsidR="006C1631">
        <w:t xml:space="preserve"> information about </w:t>
      </w:r>
      <w:r>
        <w:t xml:space="preserve">our policy on the </w:t>
      </w:r>
      <w:hyperlink r:id="rId29" w:history="1">
        <w:r>
          <w:rPr>
            <w:rStyle w:val="Hyperlink"/>
          </w:rPr>
          <w:t>p</w:t>
        </w:r>
        <w:r w:rsidRPr="00E21056">
          <w:rPr>
            <w:rStyle w:val="Hyperlink"/>
          </w:rPr>
          <w:t>ublication of submissions</w:t>
        </w:r>
      </w:hyperlink>
      <w:r>
        <w:t xml:space="preserve">, including </w:t>
      </w:r>
      <w:r w:rsidR="006C1631">
        <w:t>collection of personal information during consultation and how we handle that information</w:t>
      </w:r>
      <w:r>
        <w:t>.</w:t>
      </w:r>
    </w:p>
    <w:bookmarkEnd w:id="25"/>
    <w:bookmarkEnd w:id="26"/>
    <w:bookmarkEnd w:id="27"/>
    <w:p w14:paraId="5E64BD47" w14:textId="77777777" w:rsidR="00A4193E" w:rsidRPr="0041233F" w:rsidRDefault="006C1631" w:rsidP="005B2F0D">
      <w:pPr>
        <w:pStyle w:val="Paragraph"/>
      </w:pPr>
      <w:r>
        <w:t xml:space="preserve">Information on the </w:t>
      </w:r>
      <w:r>
        <w:rPr>
          <w:i/>
        </w:rPr>
        <w:t>Privacy Act 1988</w:t>
      </w:r>
      <w:r w:rsidR="006A4CCA">
        <w:rPr>
          <w:i/>
        </w:rPr>
        <w:t xml:space="preserve">, </w:t>
      </w:r>
      <w:r>
        <w:t>how to access or correct personal information, how to make a privacy complaint and how we will deal with the complaint</w:t>
      </w:r>
      <w:r w:rsidR="00BB6335">
        <w:t>,</w:t>
      </w:r>
      <w:r w:rsidR="00CF0BFE">
        <w:t xml:space="preserve"> </w:t>
      </w:r>
      <w:r>
        <w:t xml:space="preserve">is available </w:t>
      </w:r>
      <w:r w:rsidR="00E21056">
        <w:t xml:space="preserve">in our </w:t>
      </w:r>
      <w:hyperlink r:id="rId30" w:history="1">
        <w:r w:rsidR="00E21056" w:rsidRPr="00E21056">
          <w:rPr>
            <w:rStyle w:val="Hyperlink"/>
          </w:rPr>
          <w:t>privacy policy</w:t>
        </w:r>
      </w:hyperlink>
      <w:r>
        <w:t>.</w:t>
      </w:r>
      <w:r w:rsidR="00A4193E">
        <w:t xml:space="preserve"> </w:t>
      </w:r>
    </w:p>
    <w:p w14:paraId="59BE4474" w14:textId="61594BFC" w:rsidR="00240CE9" w:rsidRDefault="00FE4A7D" w:rsidP="00FF3C69">
      <w:pPr>
        <w:pStyle w:val="Heading1"/>
      </w:pPr>
      <w:bookmarkStart w:id="28" w:name="_Toc348105641"/>
      <w:bookmarkStart w:id="29" w:name="_Toc65767829"/>
      <w:r>
        <w:lastRenderedPageBreak/>
        <w:t>Attachment</w:t>
      </w:r>
      <w:r w:rsidR="00BF1522">
        <w:t>s</w:t>
      </w:r>
      <w:bookmarkEnd w:id="28"/>
      <w:bookmarkEnd w:id="29"/>
    </w:p>
    <w:p w14:paraId="52691E4A" w14:textId="73BF48CD" w:rsidR="00FF3C69" w:rsidRDefault="00FE4A7D" w:rsidP="00C113EB">
      <w:r>
        <w:t xml:space="preserve">Please refer to the proposed draft </w:t>
      </w:r>
      <w:r w:rsidR="00082590" w:rsidRPr="005D093F">
        <w:t>Radiocommunications Equipment (General) Rules 2021</w:t>
      </w:r>
      <w:r>
        <w:t xml:space="preserve"> in the key documents section of the website for this consultation.</w:t>
      </w:r>
      <w:r w:rsidR="005B6079">
        <w:t xml:space="preserve"> We have also created a diagram showing the key changes to radiocommunications equipment rules, which can also be found in the key documents section of the website. </w:t>
      </w:r>
    </w:p>
    <w:sectPr w:rsidR="00FF3C69" w:rsidSect="00C77380">
      <w:headerReference w:type="even" r:id="rId31"/>
      <w:headerReference w:type="default" r:id="rId32"/>
      <w:footerReference w:type="even" r:id="rId33"/>
      <w:footerReference w:type="default" r:id="rId34"/>
      <w:pgSz w:w="11906" w:h="16838" w:code="9"/>
      <w:pgMar w:top="1945" w:right="3101" w:bottom="1134" w:left="1134" w:header="709" w:footer="11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AA5928" w14:textId="77777777" w:rsidR="000B61EB" w:rsidRDefault="000B61EB">
      <w:r>
        <w:separator/>
      </w:r>
    </w:p>
  </w:endnote>
  <w:endnote w:type="continuationSeparator" w:id="0">
    <w:p w14:paraId="50AF04BA" w14:textId="77777777" w:rsidR="000B61EB" w:rsidRDefault="000B61EB">
      <w:r>
        <w:continuationSeparator/>
      </w:r>
    </w:p>
  </w:endnote>
  <w:endnote w:type="continuationNotice" w:id="1">
    <w:p w14:paraId="0F6E4A50" w14:textId="77777777" w:rsidR="000B61EB" w:rsidRDefault="000B61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HelveticaNeueLT Std Lt">
    <w:altName w:val="Malgun Gothic"/>
    <w:panose1 w:val="020B0403020202020204"/>
    <w:charset w:val="00"/>
    <w:family w:val="swiss"/>
    <w:notTrueType/>
    <w:pitch w:val="variable"/>
    <w:sig w:usb0="800000AF" w:usb1="4000204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T Std">
    <w:altName w:val="Arial"/>
    <w:panose1 w:val="020B0604020202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2DB234" w14:textId="77777777" w:rsidR="004643CD" w:rsidRDefault="004643CD" w:rsidP="005E250B">
    <w:pPr>
      <w:pStyle w:val="Footer"/>
      <w:jc w:val="right"/>
    </w:pPr>
    <w:r w:rsidRPr="005E250B">
      <w:rPr>
        <w:noProof/>
        <w:vertAlign w:val="subscript"/>
      </w:rPr>
      <w:drawing>
        <wp:inline distT="0" distB="0" distL="0" distR="0" wp14:anchorId="0CD1FE72" wp14:editId="6F1B049F">
          <wp:extent cx="1066800" cy="277368"/>
          <wp:effectExtent l="0" t="0" r="0" b="0"/>
          <wp:docPr id="15" name="Picture 15" descr="acma.gov.au">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cma.gov.au">
                    <a:hlinkClick r:id="rId1"/>
                  </pic:cNvPr>
                  <pic:cNvPicPr/>
                </pic:nvPicPr>
                <pic:blipFill>
                  <a:blip r:embed="rId2"/>
                  <a:stretch>
                    <a:fillRect/>
                  </a:stretch>
                </pic:blipFill>
                <pic:spPr>
                  <a:xfrm>
                    <a:off x="0" y="0"/>
                    <a:ext cx="1133985" cy="294836"/>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1EAE9" w14:textId="77777777" w:rsidR="004643CD" w:rsidRDefault="004643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9B0711" w14:textId="77777777" w:rsidR="004643CD" w:rsidRDefault="004643C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D49D38" w14:textId="77777777" w:rsidR="004643CD" w:rsidRPr="00622A3B" w:rsidRDefault="004643CD"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iv</w:t>
    </w:r>
    <w:r w:rsidRPr="002E4DDC">
      <w:rPr>
        <w:color w:val="505050"/>
      </w:rPr>
      <w:fldChar w:fldCharType="end"/>
    </w:r>
  </w:p>
  <w:p w14:paraId="44A03D4B" w14:textId="77777777" w:rsidR="004643CD" w:rsidRPr="00A5474E" w:rsidRDefault="004643CD" w:rsidP="00A547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FC8A36" w14:textId="77777777" w:rsidR="004643CD" w:rsidRPr="00622A3B" w:rsidRDefault="004643CD"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v</w:t>
    </w:r>
    <w:r w:rsidRPr="002E4DDC">
      <w:rPr>
        <w:color w:val="505050"/>
      </w:rPr>
      <w:fldChar w:fldCharType="end"/>
    </w:r>
  </w:p>
  <w:p w14:paraId="114EFCC2" w14:textId="77777777" w:rsidR="004643CD" w:rsidRPr="00A5474E" w:rsidRDefault="004643CD" w:rsidP="00A5474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3BDFDE" w14:textId="77777777" w:rsidR="004643CD" w:rsidRPr="00622A3B" w:rsidRDefault="004643CD"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iii</w:t>
    </w:r>
    <w:r w:rsidRPr="002E4DDC">
      <w:rPr>
        <w:color w:val="505050"/>
      </w:rPr>
      <w:fldChar w:fldCharType="end"/>
    </w:r>
  </w:p>
  <w:p w14:paraId="12081773" w14:textId="77777777" w:rsidR="004643CD" w:rsidRPr="00A5474E" w:rsidRDefault="004643CD" w:rsidP="00A547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E848C2" w14:textId="77777777" w:rsidR="004643CD" w:rsidRPr="00622A3B" w:rsidRDefault="004643CD"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Pr>
        <w:noProof/>
      </w:rPr>
      <w:t>6</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503BFBF7" w14:textId="77777777" w:rsidR="004643CD" w:rsidRPr="00A5474E" w:rsidRDefault="004643CD" w:rsidP="00A5474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0ADF01" w14:textId="77777777" w:rsidR="004643CD" w:rsidRPr="00622A3B" w:rsidRDefault="004643CD"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Pr>
        <w:noProof/>
        <w:color w:val="505050"/>
      </w:rPr>
      <w:t>1</w:t>
    </w:r>
    <w:r w:rsidRPr="00575AC5">
      <w:rPr>
        <w:color w:val="505050"/>
      </w:rPr>
      <w:fldChar w:fldCharType="end"/>
    </w:r>
  </w:p>
  <w:p w14:paraId="321A1749" w14:textId="77777777" w:rsidR="004643CD" w:rsidRPr="00A5474E" w:rsidRDefault="004643CD" w:rsidP="00A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15ED12" w14:textId="77777777" w:rsidR="000B61EB" w:rsidRDefault="000B61EB">
      <w:r>
        <w:separator/>
      </w:r>
    </w:p>
  </w:footnote>
  <w:footnote w:type="continuationSeparator" w:id="0">
    <w:p w14:paraId="6C6366CF" w14:textId="77777777" w:rsidR="000B61EB" w:rsidRDefault="000B61EB">
      <w:r>
        <w:continuationSeparator/>
      </w:r>
    </w:p>
  </w:footnote>
  <w:footnote w:type="continuationNotice" w:id="1">
    <w:p w14:paraId="155A1466" w14:textId="77777777" w:rsidR="000B61EB" w:rsidRDefault="000B61EB">
      <w:pPr>
        <w:spacing w:after="0" w:line="240" w:lineRule="auto"/>
      </w:pPr>
    </w:p>
  </w:footnote>
  <w:footnote w:id="2">
    <w:p w14:paraId="02DD2332" w14:textId="58537013" w:rsidR="004643CD" w:rsidRDefault="004643CD">
      <w:pPr>
        <w:pStyle w:val="FootnoteText"/>
      </w:pPr>
      <w:r>
        <w:rPr>
          <w:rStyle w:val="FootnoteReference"/>
        </w:rPr>
        <w:footnoteRef/>
      </w:r>
      <w:r>
        <w:t xml:space="preserve"> </w:t>
      </w:r>
      <w:hyperlink r:id="rId1" w:history="1">
        <w:r w:rsidR="001B78EB" w:rsidRPr="00E21522">
          <w:rPr>
            <w:rStyle w:val="Hyperlink"/>
          </w:rPr>
          <w:t>https://www.legislation.gov.au/Details/C2020A00151</w:t>
        </w:r>
      </w:hyperlink>
      <w:r w:rsidR="00E21522">
        <w:rPr>
          <w:u w:color="0000FF"/>
        </w:rPr>
        <w:t>.</w:t>
      </w:r>
    </w:p>
    <w:p w14:paraId="44BAAD0C" w14:textId="77777777" w:rsidR="004643CD" w:rsidRDefault="004643CD">
      <w:pPr>
        <w:pStyle w:val="FootnoteText"/>
      </w:pPr>
    </w:p>
  </w:footnote>
  <w:footnote w:id="3">
    <w:p w14:paraId="151124F5" w14:textId="49FB5474" w:rsidR="00933118" w:rsidRDefault="00933118" w:rsidP="00933118">
      <w:pPr>
        <w:pStyle w:val="FootnoteText"/>
      </w:pPr>
      <w:r>
        <w:rPr>
          <w:rStyle w:val="FootnoteReference"/>
        </w:rPr>
        <w:footnoteRef/>
      </w:r>
      <w:r>
        <w:t xml:space="preserve"> </w:t>
      </w:r>
      <w:hyperlink r:id="rId2" w:history="1">
        <w:r w:rsidR="005D093F" w:rsidRPr="00E21522">
          <w:rPr>
            <w:rStyle w:val="Hyperlink"/>
          </w:rPr>
          <w:t>https://www.legislation.gov.au/Details/C2020A00151</w:t>
        </w:r>
      </w:hyperlink>
      <w:r w:rsidR="005D093F">
        <w:rPr>
          <w:u w:color="0000FF"/>
        </w:rPr>
        <w:t>.</w:t>
      </w:r>
    </w:p>
    <w:p w14:paraId="4DC398A1" w14:textId="77777777" w:rsidR="00933118" w:rsidRDefault="00933118" w:rsidP="00933118">
      <w:pPr>
        <w:pStyle w:val="FootnoteText"/>
      </w:pPr>
    </w:p>
  </w:footnote>
  <w:footnote w:id="4">
    <w:p w14:paraId="749E85C1" w14:textId="05BA4E0B" w:rsidR="001C3258" w:rsidRDefault="001C3258">
      <w:pPr>
        <w:pStyle w:val="FootnoteText"/>
      </w:pPr>
      <w:r>
        <w:rPr>
          <w:rStyle w:val="FootnoteReference"/>
        </w:rPr>
        <w:footnoteRef/>
      </w:r>
      <w:r>
        <w:t xml:space="preserve"> </w:t>
      </w:r>
      <w:r w:rsidR="00291E1B">
        <w:t xml:space="preserve">See section 159 of the </w:t>
      </w:r>
      <w:r w:rsidR="005D093F">
        <w:t>Modernisation</w:t>
      </w:r>
      <w:r w:rsidR="00291E1B">
        <w:t xml:space="preserve"> Act</w:t>
      </w:r>
      <w:r w:rsidR="00FA23B8">
        <w:t xml:space="preserve"> for full details of the obligations that may be imposed</w:t>
      </w:r>
      <w:r w:rsidR="00291E1B">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A1B400" w14:textId="77777777" w:rsidR="004643CD" w:rsidRPr="00A5474E" w:rsidRDefault="004643CD" w:rsidP="00A5474E">
    <w:pPr>
      <w:pStyle w:val="Header"/>
    </w:pPr>
    <w:r>
      <w:rPr>
        <w:noProof/>
      </w:rPr>
      <w:drawing>
        <wp:inline distT="0" distB="0" distL="0" distR="0" wp14:anchorId="19364BDA" wp14:editId="53089F3E">
          <wp:extent cx="6210300" cy="571134"/>
          <wp:effectExtent l="0" t="0" r="0" b="0"/>
          <wp:docPr id="14" name="Picture 14" descr="ACM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stretch>
                    <a:fillRect/>
                  </a:stretch>
                </pic:blipFill>
                <pic:spPr>
                  <a:xfrm>
                    <a:off x="0" y="0"/>
                    <a:ext cx="6210300" cy="57113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D24787" w14:textId="77777777" w:rsidR="004643CD" w:rsidRPr="00A5474E" w:rsidRDefault="004643CD" w:rsidP="00594E9C">
    <w:pPr>
      <w:pStyle w:val="TOCHeading"/>
    </w:pPr>
    <w:r w:rsidRPr="0029593B">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5696C7" w14:textId="77777777" w:rsidR="004643CD" w:rsidRDefault="004643C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6874E1" w14:textId="77777777" w:rsidR="004643CD" w:rsidRDefault="004643C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7678" w:type="dxa"/>
      <w:tblLayout w:type="fixed"/>
      <w:tblCellMar>
        <w:left w:w="0" w:type="dxa"/>
        <w:right w:w="0" w:type="dxa"/>
      </w:tblCellMar>
      <w:tblLook w:val="01E0" w:firstRow="1" w:lastRow="1" w:firstColumn="1" w:lastColumn="1" w:noHBand="0" w:noVBand="0"/>
    </w:tblPr>
    <w:tblGrid>
      <w:gridCol w:w="7678"/>
    </w:tblGrid>
    <w:tr w:rsidR="004643CD" w14:paraId="5F583730" w14:textId="77777777" w:rsidTr="00F136A4">
      <w:trPr>
        <w:trHeight w:hRule="exact" w:val="988"/>
      </w:trPr>
      <w:tc>
        <w:tcPr>
          <w:tcW w:w="7678" w:type="dxa"/>
          <w:shd w:val="clear" w:color="auto" w:fill="auto"/>
        </w:tcPr>
        <w:p w14:paraId="0A11939A" w14:textId="77777777" w:rsidR="004643CD" w:rsidRDefault="004643CD" w:rsidP="00971914">
          <w:pPr>
            <w:pStyle w:val="Header"/>
          </w:pPr>
        </w:p>
      </w:tc>
    </w:tr>
    <w:tr w:rsidR="004643CD" w14:paraId="711920E0" w14:textId="77777777" w:rsidTr="00F136A4">
      <w:tc>
        <w:tcPr>
          <w:tcW w:w="7678" w:type="dxa"/>
          <w:shd w:val="clear" w:color="auto" w:fill="auto"/>
        </w:tcPr>
        <w:p w14:paraId="564A07C6" w14:textId="77777777" w:rsidR="004643CD" w:rsidRDefault="004643CD" w:rsidP="00971914">
          <w:pPr>
            <w:pStyle w:val="GridTable31"/>
          </w:pPr>
          <w:r>
            <w:t xml:space="preserve">Contents </w:t>
          </w:r>
          <w:r w:rsidRPr="00915B1C">
            <w:rPr>
              <w:b w:val="0"/>
              <w:spacing w:val="0"/>
              <w:sz w:val="28"/>
              <w:szCs w:val="28"/>
            </w:rPr>
            <w:t>(Continued)</w:t>
          </w:r>
        </w:p>
      </w:tc>
    </w:tr>
    <w:tr w:rsidR="004643CD" w14:paraId="1D02171F" w14:textId="77777777" w:rsidTr="00F136A4">
      <w:trPr>
        <w:trHeight w:val="1220"/>
      </w:trPr>
      <w:tc>
        <w:tcPr>
          <w:tcW w:w="7678" w:type="dxa"/>
          <w:shd w:val="clear" w:color="auto" w:fill="auto"/>
        </w:tcPr>
        <w:p w14:paraId="6C0F2B6E" w14:textId="77777777" w:rsidR="004643CD" w:rsidRDefault="004643CD" w:rsidP="00971914"/>
      </w:tc>
    </w:tr>
  </w:tbl>
  <w:p w14:paraId="743DB2FC" w14:textId="77777777" w:rsidR="004643CD" w:rsidRDefault="004643CD" w:rsidP="0097191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7678" w:type="dxa"/>
      <w:tblLayout w:type="fixed"/>
      <w:tblCellMar>
        <w:left w:w="0" w:type="dxa"/>
        <w:right w:w="0" w:type="dxa"/>
      </w:tblCellMar>
      <w:tblLook w:val="01E0" w:firstRow="1" w:lastRow="1" w:firstColumn="1" w:lastColumn="1" w:noHBand="0" w:noVBand="0"/>
    </w:tblPr>
    <w:tblGrid>
      <w:gridCol w:w="7678"/>
    </w:tblGrid>
    <w:tr w:rsidR="004643CD" w14:paraId="2F994457" w14:textId="77777777" w:rsidTr="00F136A4">
      <w:trPr>
        <w:trHeight w:hRule="exact" w:val="988"/>
      </w:trPr>
      <w:tc>
        <w:tcPr>
          <w:tcW w:w="7678" w:type="dxa"/>
          <w:shd w:val="clear" w:color="auto" w:fill="auto"/>
        </w:tcPr>
        <w:p w14:paraId="243C125D" w14:textId="77777777" w:rsidR="004643CD" w:rsidRDefault="004643CD" w:rsidP="00971914">
          <w:pPr>
            <w:pStyle w:val="Header"/>
          </w:pPr>
        </w:p>
      </w:tc>
    </w:tr>
    <w:tr w:rsidR="004643CD" w14:paraId="0C37F3CF" w14:textId="77777777" w:rsidTr="00F136A4">
      <w:tc>
        <w:tcPr>
          <w:tcW w:w="7678" w:type="dxa"/>
          <w:shd w:val="clear" w:color="auto" w:fill="auto"/>
        </w:tcPr>
        <w:p w14:paraId="25DF8D2E" w14:textId="77777777" w:rsidR="004643CD" w:rsidRDefault="004643CD" w:rsidP="00971914">
          <w:pPr>
            <w:pStyle w:val="GridTable31"/>
          </w:pPr>
          <w:r>
            <w:t xml:space="preserve">Contents </w:t>
          </w:r>
          <w:r w:rsidRPr="00915B1C">
            <w:rPr>
              <w:b w:val="0"/>
              <w:spacing w:val="0"/>
              <w:sz w:val="28"/>
              <w:szCs w:val="28"/>
            </w:rPr>
            <w:t>(Continued)</w:t>
          </w:r>
        </w:p>
      </w:tc>
    </w:tr>
    <w:tr w:rsidR="004643CD" w14:paraId="28FB550D" w14:textId="77777777" w:rsidTr="00F136A4">
      <w:trPr>
        <w:trHeight w:val="1220"/>
      </w:trPr>
      <w:tc>
        <w:tcPr>
          <w:tcW w:w="7678" w:type="dxa"/>
          <w:shd w:val="clear" w:color="auto" w:fill="auto"/>
        </w:tcPr>
        <w:p w14:paraId="5990F45C" w14:textId="77777777" w:rsidR="004643CD" w:rsidRDefault="004643CD" w:rsidP="00971914"/>
      </w:tc>
    </w:tr>
  </w:tbl>
  <w:p w14:paraId="4CFA8F37" w14:textId="77777777" w:rsidR="004643CD" w:rsidRPr="00A5474E" w:rsidRDefault="004643CD" w:rsidP="00A5474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57B3AC" w14:textId="77777777" w:rsidR="004643CD" w:rsidRDefault="004643C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60354E" w14:textId="77777777" w:rsidR="004643CD" w:rsidRDefault="004643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75F22F60"/>
    <w:lvl w:ilvl="0">
      <w:start w:val="1"/>
      <w:numFmt w:val="lowerRoman"/>
      <w:pStyle w:val="ListNumber2"/>
      <w:lvlText w:val="%1."/>
      <w:lvlJc w:val="right"/>
      <w:pPr>
        <w:ind w:left="717" w:hanging="360"/>
      </w:pPr>
      <w:rPr>
        <w:rFonts w:hint="default"/>
      </w:rPr>
    </w:lvl>
  </w:abstractNum>
  <w:abstractNum w:abstractNumId="1" w15:restartNumberingAfterBreak="0">
    <w:nsid w:val="FFFFFF83"/>
    <w:multiLevelType w:val="singleLevel"/>
    <w:tmpl w:val="909E78BC"/>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2" w15:restartNumberingAfterBreak="0">
    <w:nsid w:val="FFFFFF88"/>
    <w:multiLevelType w:val="singleLevel"/>
    <w:tmpl w:val="51B60EB2"/>
    <w:lvl w:ilvl="0">
      <w:start w:val="1"/>
      <w:numFmt w:val="decimal"/>
      <w:pStyle w:val="ListNumber"/>
      <w:lvlText w:val="%1."/>
      <w:lvlJc w:val="left"/>
      <w:pPr>
        <w:ind w:left="360" w:hanging="360"/>
      </w:pPr>
      <w:rPr>
        <w:rFonts w:hint="default"/>
        <w:b w:val="0"/>
        <w:bCs/>
        <w:caps/>
        <w:sz w:val="20"/>
      </w:rPr>
    </w:lvl>
  </w:abstractNum>
  <w:abstractNum w:abstractNumId="3" w15:restartNumberingAfterBreak="0">
    <w:nsid w:val="FFFFFF89"/>
    <w:multiLevelType w:val="singleLevel"/>
    <w:tmpl w:val="E552FEBA"/>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4" w15:restartNumberingAfterBreak="0">
    <w:nsid w:val="02AF1222"/>
    <w:multiLevelType w:val="hybridMultilevel"/>
    <w:tmpl w:val="BC6E3CC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87C268C"/>
    <w:multiLevelType w:val="hybridMultilevel"/>
    <w:tmpl w:val="E0A6CA9A"/>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EEE7384"/>
    <w:multiLevelType w:val="hybridMultilevel"/>
    <w:tmpl w:val="AFC0CC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CD13003"/>
    <w:multiLevelType w:val="hybridMultilevel"/>
    <w:tmpl w:val="E49E3902"/>
    <w:lvl w:ilvl="0" w:tplc="0C9C3120">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8" w15:restartNumberingAfterBreak="0">
    <w:nsid w:val="1FEB3589"/>
    <w:multiLevelType w:val="hybridMultilevel"/>
    <w:tmpl w:val="10CE1972"/>
    <w:lvl w:ilvl="0" w:tplc="0C9C3120">
      <w:start w:val="1"/>
      <w:numFmt w:val="bullet"/>
      <w:lvlText w:val=""/>
      <w:lvlJc w:val="left"/>
      <w:pPr>
        <w:ind w:left="644" w:hanging="360"/>
      </w:pPr>
      <w:rPr>
        <w:rFonts w:ascii="Symbol" w:hAnsi="Symbol" w:hint="default"/>
      </w:rPr>
    </w:lvl>
    <w:lvl w:ilvl="1" w:tplc="0C090003">
      <w:start w:val="1"/>
      <w:numFmt w:val="bullet"/>
      <w:lvlText w:val="o"/>
      <w:lvlJc w:val="left"/>
      <w:pPr>
        <w:ind w:left="1364" w:hanging="360"/>
      </w:pPr>
      <w:rPr>
        <w:rFonts w:ascii="Courier New" w:hAnsi="Courier New" w:cs="Courier New" w:hint="default"/>
      </w:rPr>
    </w:lvl>
    <w:lvl w:ilvl="2" w:tplc="0C090005">
      <w:start w:val="1"/>
      <w:numFmt w:val="bullet"/>
      <w:lvlText w:val=""/>
      <w:lvlJc w:val="left"/>
      <w:pPr>
        <w:ind w:left="2084" w:hanging="360"/>
      </w:pPr>
      <w:rPr>
        <w:rFonts w:ascii="Wingdings" w:hAnsi="Wingdings" w:hint="default"/>
      </w:rPr>
    </w:lvl>
    <w:lvl w:ilvl="3" w:tplc="0C090001">
      <w:start w:val="1"/>
      <w:numFmt w:val="bullet"/>
      <w:lvlText w:val=""/>
      <w:lvlJc w:val="left"/>
      <w:pPr>
        <w:ind w:left="2804" w:hanging="360"/>
      </w:pPr>
      <w:rPr>
        <w:rFonts w:ascii="Symbol" w:hAnsi="Symbol" w:hint="default"/>
      </w:rPr>
    </w:lvl>
    <w:lvl w:ilvl="4" w:tplc="0C090003">
      <w:start w:val="1"/>
      <w:numFmt w:val="bullet"/>
      <w:lvlText w:val="o"/>
      <w:lvlJc w:val="left"/>
      <w:pPr>
        <w:ind w:left="3524" w:hanging="360"/>
      </w:pPr>
      <w:rPr>
        <w:rFonts w:ascii="Courier New" w:hAnsi="Courier New" w:cs="Courier New" w:hint="default"/>
      </w:rPr>
    </w:lvl>
    <w:lvl w:ilvl="5" w:tplc="0C090005">
      <w:start w:val="1"/>
      <w:numFmt w:val="bullet"/>
      <w:lvlText w:val=""/>
      <w:lvlJc w:val="left"/>
      <w:pPr>
        <w:ind w:left="4244" w:hanging="360"/>
      </w:pPr>
      <w:rPr>
        <w:rFonts w:ascii="Wingdings" w:hAnsi="Wingdings" w:hint="default"/>
      </w:rPr>
    </w:lvl>
    <w:lvl w:ilvl="6" w:tplc="0C090001">
      <w:start w:val="1"/>
      <w:numFmt w:val="bullet"/>
      <w:lvlText w:val=""/>
      <w:lvlJc w:val="left"/>
      <w:pPr>
        <w:ind w:left="4964" w:hanging="360"/>
      </w:pPr>
      <w:rPr>
        <w:rFonts w:ascii="Symbol" w:hAnsi="Symbol" w:hint="default"/>
      </w:rPr>
    </w:lvl>
    <w:lvl w:ilvl="7" w:tplc="0C090003">
      <w:start w:val="1"/>
      <w:numFmt w:val="bullet"/>
      <w:lvlText w:val="o"/>
      <w:lvlJc w:val="left"/>
      <w:pPr>
        <w:ind w:left="5684" w:hanging="360"/>
      </w:pPr>
      <w:rPr>
        <w:rFonts w:ascii="Courier New" w:hAnsi="Courier New" w:cs="Courier New" w:hint="default"/>
      </w:rPr>
    </w:lvl>
    <w:lvl w:ilvl="8" w:tplc="0C090005">
      <w:start w:val="1"/>
      <w:numFmt w:val="bullet"/>
      <w:lvlText w:val=""/>
      <w:lvlJc w:val="left"/>
      <w:pPr>
        <w:ind w:left="6404" w:hanging="360"/>
      </w:pPr>
      <w:rPr>
        <w:rFonts w:ascii="Wingdings" w:hAnsi="Wingdings" w:hint="default"/>
      </w:rPr>
    </w:lvl>
  </w:abstractNum>
  <w:abstractNum w:abstractNumId="9" w15:restartNumberingAfterBreak="0">
    <w:nsid w:val="21B66D7E"/>
    <w:multiLevelType w:val="hybridMultilevel"/>
    <w:tmpl w:val="A192FE0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1" w15:restartNumberingAfterBreak="0">
    <w:nsid w:val="2F5A5080"/>
    <w:multiLevelType w:val="hybridMultilevel"/>
    <w:tmpl w:val="BE2AF6CE"/>
    <w:lvl w:ilvl="0" w:tplc="D05E2434">
      <w:start w:val="1"/>
      <w:numFmt w:val="bullet"/>
      <w:pStyle w:val="ACMABulletLevel1"/>
      <w:lvlText w:val="●"/>
      <w:lvlJc w:val="left"/>
      <w:pPr>
        <w:ind w:left="357" w:hanging="357"/>
      </w:pPr>
      <w:rPr>
        <w:rFonts w:ascii="Arial" w:hAnsi="Arial" w:cs="Arial" w:hint="default"/>
        <w:sz w:val="20"/>
        <w:szCs w:val="20"/>
      </w:rPr>
    </w:lvl>
    <w:lvl w:ilvl="1" w:tplc="04090003">
      <w:start w:val="1"/>
      <w:numFmt w:val="bullet"/>
      <w:lvlText w:val="o"/>
      <w:lvlJc w:val="left"/>
      <w:pPr>
        <w:tabs>
          <w:tab w:val="num" w:pos="1728"/>
        </w:tabs>
        <w:ind w:left="1728" w:hanging="360"/>
      </w:pPr>
      <w:rPr>
        <w:rFonts w:ascii="Courier New" w:hAnsi="Courier New" w:cs="Times New Roman" w:hint="default"/>
      </w:rPr>
    </w:lvl>
    <w:lvl w:ilvl="2" w:tplc="04090005">
      <w:start w:val="1"/>
      <w:numFmt w:val="bullet"/>
      <w:lvlText w:val=""/>
      <w:lvlJc w:val="left"/>
      <w:pPr>
        <w:tabs>
          <w:tab w:val="num" w:pos="2448"/>
        </w:tabs>
        <w:ind w:left="2448" w:hanging="360"/>
      </w:pPr>
      <w:rPr>
        <w:rFonts w:ascii="Wingdings" w:hAnsi="Wingdings" w:hint="default"/>
      </w:rPr>
    </w:lvl>
    <w:lvl w:ilvl="3" w:tplc="04090001">
      <w:start w:val="1"/>
      <w:numFmt w:val="bullet"/>
      <w:lvlText w:val=""/>
      <w:lvlJc w:val="left"/>
      <w:pPr>
        <w:tabs>
          <w:tab w:val="num" w:pos="3168"/>
        </w:tabs>
        <w:ind w:left="3168" w:hanging="360"/>
      </w:pPr>
      <w:rPr>
        <w:rFonts w:ascii="Symbol" w:hAnsi="Symbol" w:hint="default"/>
      </w:rPr>
    </w:lvl>
    <w:lvl w:ilvl="4" w:tplc="04090003">
      <w:start w:val="1"/>
      <w:numFmt w:val="bullet"/>
      <w:lvlText w:val="o"/>
      <w:lvlJc w:val="left"/>
      <w:pPr>
        <w:tabs>
          <w:tab w:val="num" w:pos="3888"/>
        </w:tabs>
        <w:ind w:left="3888" w:hanging="360"/>
      </w:pPr>
      <w:rPr>
        <w:rFonts w:ascii="Courier New" w:hAnsi="Courier New" w:cs="Times New Roman" w:hint="default"/>
      </w:rPr>
    </w:lvl>
    <w:lvl w:ilvl="5" w:tplc="04090005">
      <w:start w:val="1"/>
      <w:numFmt w:val="bullet"/>
      <w:lvlText w:val=""/>
      <w:lvlJc w:val="left"/>
      <w:pPr>
        <w:tabs>
          <w:tab w:val="num" w:pos="4608"/>
        </w:tabs>
        <w:ind w:left="4608" w:hanging="360"/>
      </w:pPr>
      <w:rPr>
        <w:rFonts w:ascii="Wingdings" w:hAnsi="Wingdings" w:hint="default"/>
      </w:rPr>
    </w:lvl>
    <w:lvl w:ilvl="6" w:tplc="04090001">
      <w:start w:val="1"/>
      <w:numFmt w:val="bullet"/>
      <w:lvlText w:val=""/>
      <w:lvlJc w:val="left"/>
      <w:pPr>
        <w:tabs>
          <w:tab w:val="num" w:pos="5328"/>
        </w:tabs>
        <w:ind w:left="5328" w:hanging="360"/>
      </w:pPr>
      <w:rPr>
        <w:rFonts w:ascii="Symbol" w:hAnsi="Symbol" w:hint="default"/>
      </w:rPr>
    </w:lvl>
    <w:lvl w:ilvl="7" w:tplc="04090003">
      <w:start w:val="1"/>
      <w:numFmt w:val="bullet"/>
      <w:lvlText w:val="o"/>
      <w:lvlJc w:val="left"/>
      <w:pPr>
        <w:tabs>
          <w:tab w:val="num" w:pos="6048"/>
        </w:tabs>
        <w:ind w:left="6048" w:hanging="360"/>
      </w:pPr>
      <w:rPr>
        <w:rFonts w:ascii="Courier New" w:hAnsi="Courier New" w:cs="Times New Roman" w:hint="default"/>
      </w:rPr>
    </w:lvl>
    <w:lvl w:ilvl="8" w:tplc="04090005">
      <w:start w:val="1"/>
      <w:numFmt w:val="bullet"/>
      <w:lvlText w:val=""/>
      <w:lvlJc w:val="left"/>
      <w:pPr>
        <w:tabs>
          <w:tab w:val="num" w:pos="6768"/>
        </w:tabs>
        <w:ind w:left="6768" w:hanging="360"/>
      </w:pPr>
      <w:rPr>
        <w:rFonts w:ascii="Wingdings" w:hAnsi="Wingdings" w:hint="default"/>
      </w:rPr>
    </w:lvl>
  </w:abstractNum>
  <w:abstractNum w:abstractNumId="12" w15:restartNumberingAfterBreak="0">
    <w:nsid w:val="3C3E6413"/>
    <w:multiLevelType w:val="hybridMultilevel"/>
    <w:tmpl w:val="78B8D0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2D6588D"/>
    <w:multiLevelType w:val="hybridMultilevel"/>
    <w:tmpl w:val="CD1087DA"/>
    <w:lvl w:ilvl="0" w:tplc="0C9C3120">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4" w15:restartNumberingAfterBreak="0">
    <w:nsid w:val="4578584B"/>
    <w:multiLevelType w:val="hybridMultilevel"/>
    <w:tmpl w:val="1278D8E2"/>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15" w15:restartNumberingAfterBreak="0">
    <w:nsid w:val="4A54486E"/>
    <w:multiLevelType w:val="hybridMultilevel"/>
    <w:tmpl w:val="41F853D0"/>
    <w:lvl w:ilvl="0" w:tplc="3DBCCFF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15D34BD"/>
    <w:multiLevelType w:val="hybridMultilevel"/>
    <w:tmpl w:val="F8DA68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5AA21F0"/>
    <w:multiLevelType w:val="hybridMultilevel"/>
    <w:tmpl w:val="9B5CB936"/>
    <w:lvl w:ilvl="0" w:tplc="CCA08FFA">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24625D"/>
    <w:multiLevelType w:val="hybridMultilevel"/>
    <w:tmpl w:val="4A9C92C2"/>
    <w:lvl w:ilvl="0" w:tplc="EA1A6F9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C7301F6"/>
    <w:multiLevelType w:val="hybridMultilevel"/>
    <w:tmpl w:val="CBECCC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DA24813"/>
    <w:multiLevelType w:val="hybridMultilevel"/>
    <w:tmpl w:val="F1EEBB5A"/>
    <w:lvl w:ilvl="0" w:tplc="36941E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0B95844"/>
    <w:multiLevelType w:val="hybridMultilevel"/>
    <w:tmpl w:val="C0A02EFA"/>
    <w:lvl w:ilvl="0" w:tplc="0C9C312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071478"/>
    <w:multiLevelType w:val="hybridMultilevel"/>
    <w:tmpl w:val="16D2B96E"/>
    <w:lvl w:ilvl="0" w:tplc="3A9CF91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AC6F9A"/>
    <w:multiLevelType w:val="hybridMultilevel"/>
    <w:tmpl w:val="1EB6A1DA"/>
    <w:lvl w:ilvl="0" w:tplc="C4CE8B6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6BF434F8"/>
    <w:multiLevelType w:val="hybridMultilevel"/>
    <w:tmpl w:val="AE3813FE"/>
    <w:lvl w:ilvl="0" w:tplc="71B48A3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2D6CB1"/>
    <w:multiLevelType w:val="hybridMultilevel"/>
    <w:tmpl w:val="1250E5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10"/>
  </w:num>
  <w:num w:numId="6">
    <w:abstractNumId w:val="23"/>
  </w:num>
  <w:num w:numId="7">
    <w:abstractNumId w:val="17"/>
  </w:num>
  <w:num w:numId="8">
    <w:abstractNumId w:val="22"/>
  </w:num>
  <w:num w:numId="9">
    <w:abstractNumId w:val="26"/>
  </w:num>
  <w:num w:numId="10">
    <w:abstractNumId w:val="5"/>
  </w:num>
  <w:num w:numId="11">
    <w:abstractNumId w:val="4"/>
  </w:num>
  <w:num w:numId="12">
    <w:abstractNumId w:val="3"/>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1"/>
  </w:num>
  <w:num w:numId="17">
    <w:abstractNumId w:val="12"/>
  </w:num>
  <w:num w:numId="18">
    <w:abstractNumId w:val="27"/>
  </w:num>
  <w:num w:numId="19">
    <w:abstractNumId w:val="19"/>
  </w:num>
  <w:num w:numId="20">
    <w:abstractNumId w:val="15"/>
  </w:num>
  <w:num w:numId="21">
    <w:abstractNumId w:val="25"/>
  </w:num>
  <w:num w:numId="22">
    <w:abstractNumId w:val="18"/>
  </w:num>
  <w:num w:numId="23">
    <w:abstractNumId w:val="20"/>
  </w:num>
  <w:num w:numId="24">
    <w:abstractNumId w:val="24"/>
  </w:num>
  <w:num w:numId="25">
    <w:abstractNumId w:val="13"/>
  </w:num>
  <w:num w:numId="26">
    <w:abstractNumId w:val="21"/>
  </w:num>
  <w:num w:numId="27">
    <w:abstractNumId w:val="14"/>
  </w:num>
  <w:num w:numId="28">
    <w:abstractNumId w:val="8"/>
  </w:num>
  <w:num w:numId="29">
    <w:abstractNumId w:val="14"/>
  </w:num>
  <w:num w:numId="30">
    <w:abstractNumId w:val="9"/>
  </w:num>
  <w:num w:numId="31">
    <w:abstractNumId w:val="6"/>
  </w:num>
  <w:num w:numId="32">
    <w:abstractNumId w:val="7"/>
  </w:num>
  <w:num w:numId="33">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284"/>
  <w:evenAndOddHeaders/>
  <w:drawingGridHorizontalSpacing w:val="100"/>
  <w:displayHorizontalDrawingGridEvery w:val="2"/>
  <w:characterSpacingControl w:val="doNotCompress"/>
  <w:hdrShapeDefaults>
    <o:shapedefaults v:ext="edit" spidmax="69633">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AD5"/>
    <w:rsid w:val="00000FF9"/>
    <w:rsid w:val="00003940"/>
    <w:rsid w:val="00010667"/>
    <w:rsid w:val="000113D8"/>
    <w:rsid w:val="000129D5"/>
    <w:rsid w:val="00015A14"/>
    <w:rsid w:val="00015AE7"/>
    <w:rsid w:val="00016E21"/>
    <w:rsid w:val="0001719C"/>
    <w:rsid w:val="0002224E"/>
    <w:rsid w:val="000245E5"/>
    <w:rsid w:val="00026F91"/>
    <w:rsid w:val="00032621"/>
    <w:rsid w:val="00043361"/>
    <w:rsid w:val="0004764C"/>
    <w:rsid w:val="0005011A"/>
    <w:rsid w:val="0005045A"/>
    <w:rsid w:val="000510AD"/>
    <w:rsid w:val="00051C1E"/>
    <w:rsid w:val="00051DEC"/>
    <w:rsid w:val="00052CE7"/>
    <w:rsid w:val="0005371F"/>
    <w:rsid w:val="00053728"/>
    <w:rsid w:val="000539F9"/>
    <w:rsid w:val="00053A05"/>
    <w:rsid w:val="00054C27"/>
    <w:rsid w:val="00055EC3"/>
    <w:rsid w:val="000563CE"/>
    <w:rsid w:val="00057821"/>
    <w:rsid w:val="000659B6"/>
    <w:rsid w:val="0006686F"/>
    <w:rsid w:val="0006722A"/>
    <w:rsid w:val="000732CF"/>
    <w:rsid w:val="0007356B"/>
    <w:rsid w:val="00075B96"/>
    <w:rsid w:val="0008196A"/>
    <w:rsid w:val="00082590"/>
    <w:rsid w:val="00084568"/>
    <w:rsid w:val="00084B33"/>
    <w:rsid w:val="00085E20"/>
    <w:rsid w:val="000863CB"/>
    <w:rsid w:val="000915ED"/>
    <w:rsid w:val="0009209D"/>
    <w:rsid w:val="0009463C"/>
    <w:rsid w:val="000964B8"/>
    <w:rsid w:val="000969BD"/>
    <w:rsid w:val="000969BF"/>
    <w:rsid w:val="000A0C22"/>
    <w:rsid w:val="000A1400"/>
    <w:rsid w:val="000A1DCC"/>
    <w:rsid w:val="000A23BE"/>
    <w:rsid w:val="000A3C43"/>
    <w:rsid w:val="000A4A51"/>
    <w:rsid w:val="000A5D2B"/>
    <w:rsid w:val="000B4664"/>
    <w:rsid w:val="000B5DE3"/>
    <w:rsid w:val="000B61EB"/>
    <w:rsid w:val="000B639A"/>
    <w:rsid w:val="000C0A57"/>
    <w:rsid w:val="000C1A9D"/>
    <w:rsid w:val="000C230C"/>
    <w:rsid w:val="000C3567"/>
    <w:rsid w:val="000C6AB4"/>
    <w:rsid w:val="000D28C4"/>
    <w:rsid w:val="000D71D9"/>
    <w:rsid w:val="000D76E0"/>
    <w:rsid w:val="000D784E"/>
    <w:rsid w:val="000D7E8B"/>
    <w:rsid w:val="000E3F3C"/>
    <w:rsid w:val="000E4449"/>
    <w:rsid w:val="000E6097"/>
    <w:rsid w:val="000E6CD4"/>
    <w:rsid w:val="000F11A0"/>
    <w:rsid w:val="000F3B7A"/>
    <w:rsid w:val="000F732E"/>
    <w:rsid w:val="0010337C"/>
    <w:rsid w:val="00103829"/>
    <w:rsid w:val="00111FCE"/>
    <w:rsid w:val="0011472C"/>
    <w:rsid w:val="00117029"/>
    <w:rsid w:val="001229A5"/>
    <w:rsid w:val="0012489B"/>
    <w:rsid w:val="00130017"/>
    <w:rsid w:val="00130F91"/>
    <w:rsid w:val="001349ED"/>
    <w:rsid w:val="0013573D"/>
    <w:rsid w:val="00137424"/>
    <w:rsid w:val="00140318"/>
    <w:rsid w:val="00141AD9"/>
    <w:rsid w:val="00142ACC"/>
    <w:rsid w:val="00146CE6"/>
    <w:rsid w:val="00147407"/>
    <w:rsid w:val="00147ABF"/>
    <w:rsid w:val="00152903"/>
    <w:rsid w:val="00153FD5"/>
    <w:rsid w:val="0015614F"/>
    <w:rsid w:val="001577C2"/>
    <w:rsid w:val="00162860"/>
    <w:rsid w:val="001632C5"/>
    <w:rsid w:val="001633C4"/>
    <w:rsid w:val="001704D5"/>
    <w:rsid w:val="00171591"/>
    <w:rsid w:val="00173981"/>
    <w:rsid w:val="0017719D"/>
    <w:rsid w:val="00183FD7"/>
    <w:rsid w:val="00185CAB"/>
    <w:rsid w:val="001875B7"/>
    <w:rsid w:val="00187CB3"/>
    <w:rsid w:val="0019050A"/>
    <w:rsid w:val="001910D4"/>
    <w:rsid w:val="001914BD"/>
    <w:rsid w:val="00191D9D"/>
    <w:rsid w:val="0019437E"/>
    <w:rsid w:val="001976E3"/>
    <w:rsid w:val="001A18EF"/>
    <w:rsid w:val="001A44EC"/>
    <w:rsid w:val="001A4A69"/>
    <w:rsid w:val="001A5876"/>
    <w:rsid w:val="001B10D5"/>
    <w:rsid w:val="001B58AA"/>
    <w:rsid w:val="001B5AC6"/>
    <w:rsid w:val="001B78EB"/>
    <w:rsid w:val="001B7E48"/>
    <w:rsid w:val="001C0EBB"/>
    <w:rsid w:val="001C17CE"/>
    <w:rsid w:val="001C17DA"/>
    <w:rsid w:val="001C3258"/>
    <w:rsid w:val="001C36CA"/>
    <w:rsid w:val="001C3E63"/>
    <w:rsid w:val="001C44D1"/>
    <w:rsid w:val="001C5999"/>
    <w:rsid w:val="001C6300"/>
    <w:rsid w:val="001C6AEE"/>
    <w:rsid w:val="001C7630"/>
    <w:rsid w:val="001D0C2B"/>
    <w:rsid w:val="001D6D15"/>
    <w:rsid w:val="001E2269"/>
    <w:rsid w:val="001F013A"/>
    <w:rsid w:val="001F0A99"/>
    <w:rsid w:val="001F48D9"/>
    <w:rsid w:val="001F50F7"/>
    <w:rsid w:val="001F5B03"/>
    <w:rsid w:val="001F640E"/>
    <w:rsid w:val="001F7558"/>
    <w:rsid w:val="00201EE2"/>
    <w:rsid w:val="00205B57"/>
    <w:rsid w:val="002129CE"/>
    <w:rsid w:val="0021426C"/>
    <w:rsid w:val="00214357"/>
    <w:rsid w:val="002157E0"/>
    <w:rsid w:val="00215DB0"/>
    <w:rsid w:val="00216A57"/>
    <w:rsid w:val="00217448"/>
    <w:rsid w:val="0022334F"/>
    <w:rsid w:val="00226819"/>
    <w:rsid w:val="00226F3A"/>
    <w:rsid w:val="00233101"/>
    <w:rsid w:val="00233817"/>
    <w:rsid w:val="002367FF"/>
    <w:rsid w:val="00240759"/>
    <w:rsid w:val="00240CE9"/>
    <w:rsid w:val="002434BA"/>
    <w:rsid w:val="00246089"/>
    <w:rsid w:val="00246093"/>
    <w:rsid w:val="00246702"/>
    <w:rsid w:val="00247C59"/>
    <w:rsid w:val="00247F2E"/>
    <w:rsid w:val="00250ADC"/>
    <w:rsid w:val="00250B07"/>
    <w:rsid w:val="00254DC7"/>
    <w:rsid w:val="00257553"/>
    <w:rsid w:val="0026077F"/>
    <w:rsid w:val="00260EE7"/>
    <w:rsid w:val="00260FB2"/>
    <w:rsid w:val="002619A1"/>
    <w:rsid w:val="00262128"/>
    <w:rsid w:val="0027165D"/>
    <w:rsid w:val="00273CEB"/>
    <w:rsid w:val="002800EF"/>
    <w:rsid w:val="00281C89"/>
    <w:rsid w:val="0028282F"/>
    <w:rsid w:val="00282962"/>
    <w:rsid w:val="0028446A"/>
    <w:rsid w:val="00287CCF"/>
    <w:rsid w:val="00291E1B"/>
    <w:rsid w:val="0029593B"/>
    <w:rsid w:val="00297FC5"/>
    <w:rsid w:val="002A01A6"/>
    <w:rsid w:val="002A0417"/>
    <w:rsid w:val="002A16D8"/>
    <w:rsid w:val="002A1BC8"/>
    <w:rsid w:val="002A368F"/>
    <w:rsid w:val="002A3EF2"/>
    <w:rsid w:val="002B0DED"/>
    <w:rsid w:val="002B19A2"/>
    <w:rsid w:val="002B381A"/>
    <w:rsid w:val="002B4360"/>
    <w:rsid w:val="002B4FCC"/>
    <w:rsid w:val="002B7408"/>
    <w:rsid w:val="002B7A1A"/>
    <w:rsid w:val="002B7CFD"/>
    <w:rsid w:val="002C0530"/>
    <w:rsid w:val="002C210F"/>
    <w:rsid w:val="002C45A1"/>
    <w:rsid w:val="002C505C"/>
    <w:rsid w:val="002C5606"/>
    <w:rsid w:val="002C7190"/>
    <w:rsid w:val="002D1712"/>
    <w:rsid w:val="002D3600"/>
    <w:rsid w:val="002D40E9"/>
    <w:rsid w:val="002E4DDC"/>
    <w:rsid w:val="002F2048"/>
    <w:rsid w:val="0030235D"/>
    <w:rsid w:val="00302480"/>
    <w:rsid w:val="00302758"/>
    <w:rsid w:val="00307734"/>
    <w:rsid w:val="003165E6"/>
    <w:rsid w:val="003215B5"/>
    <w:rsid w:val="003221CF"/>
    <w:rsid w:val="003233ED"/>
    <w:rsid w:val="00324D9F"/>
    <w:rsid w:val="00327948"/>
    <w:rsid w:val="0033000F"/>
    <w:rsid w:val="003307A7"/>
    <w:rsid w:val="00332011"/>
    <w:rsid w:val="00332518"/>
    <w:rsid w:val="00332925"/>
    <w:rsid w:val="00332E3F"/>
    <w:rsid w:val="003332ED"/>
    <w:rsid w:val="003368DC"/>
    <w:rsid w:val="0034036E"/>
    <w:rsid w:val="00345927"/>
    <w:rsid w:val="003462C6"/>
    <w:rsid w:val="00350584"/>
    <w:rsid w:val="00351857"/>
    <w:rsid w:val="00351D43"/>
    <w:rsid w:val="0035398D"/>
    <w:rsid w:val="003545E8"/>
    <w:rsid w:val="00357CEF"/>
    <w:rsid w:val="003610E1"/>
    <w:rsid w:val="0036361A"/>
    <w:rsid w:val="00363745"/>
    <w:rsid w:val="003671BE"/>
    <w:rsid w:val="0037067D"/>
    <w:rsid w:val="00372485"/>
    <w:rsid w:val="00373200"/>
    <w:rsid w:val="003741C3"/>
    <w:rsid w:val="00375EF5"/>
    <w:rsid w:val="003767A5"/>
    <w:rsid w:val="003807DF"/>
    <w:rsid w:val="00381D15"/>
    <w:rsid w:val="00385254"/>
    <w:rsid w:val="00391933"/>
    <w:rsid w:val="003933E8"/>
    <w:rsid w:val="00394031"/>
    <w:rsid w:val="00396DC2"/>
    <w:rsid w:val="003A04DB"/>
    <w:rsid w:val="003A0783"/>
    <w:rsid w:val="003A4AD5"/>
    <w:rsid w:val="003A5F5B"/>
    <w:rsid w:val="003A789A"/>
    <w:rsid w:val="003B12EC"/>
    <w:rsid w:val="003C03B8"/>
    <w:rsid w:val="003C3842"/>
    <w:rsid w:val="003C77E0"/>
    <w:rsid w:val="003D17D7"/>
    <w:rsid w:val="003D2678"/>
    <w:rsid w:val="003D43CF"/>
    <w:rsid w:val="003D71A3"/>
    <w:rsid w:val="003D79B3"/>
    <w:rsid w:val="003E2B8A"/>
    <w:rsid w:val="003E7D64"/>
    <w:rsid w:val="003F10EE"/>
    <w:rsid w:val="003F16F6"/>
    <w:rsid w:val="003F3BC1"/>
    <w:rsid w:val="003F4DC7"/>
    <w:rsid w:val="003F5235"/>
    <w:rsid w:val="003F5D0B"/>
    <w:rsid w:val="003F6434"/>
    <w:rsid w:val="003F7515"/>
    <w:rsid w:val="004023A5"/>
    <w:rsid w:val="004027E4"/>
    <w:rsid w:val="00407C44"/>
    <w:rsid w:val="0041071D"/>
    <w:rsid w:val="00414AFC"/>
    <w:rsid w:val="004151A7"/>
    <w:rsid w:val="00415310"/>
    <w:rsid w:val="00421709"/>
    <w:rsid w:val="00421CBB"/>
    <w:rsid w:val="00423763"/>
    <w:rsid w:val="0042762F"/>
    <w:rsid w:val="00427DC7"/>
    <w:rsid w:val="00431613"/>
    <w:rsid w:val="00431792"/>
    <w:rsid w:val="0043297A"/>
    <w:rsid w:val="00432EB2"/>
    <w:rsid w:val="0043714F"/>
    <w:rsid w:val="004418C6"/>
    <w:rsid w:val="00442C01"/>
    <w:rsid w:val="004438B5"/>
    <w:rsid w:val="00444560"/>
    <w:rsid w:val="00445DE7"/>
    <w:rsid w:val="00447037"/>
    <w:rsid w:val="0045124D"/>
    <w:rsid w:val="00454596"/>
    <w:rsid w:val="0045605D"/>
    <w:rsid w:val="0046135B"/>
    <w:rsid w:val="00461D47"/>
    <w:rsid w:val="004643CD"/>
    <w:rsid w:val="00465828"/>
    <w:rsid w:val="004718CC"/>
    <w:rsid w:val="0047335F"/>
    <w:rsid w:val="00481695"/>
    <w:rsid w:val="00483081"/>
    <w:rsid w:val="004836F4"/>
    <w:rsid w:val="00485DD5"/>
    <w:rsid w:val="0049054C"/>
    <w:rsid w:val="00492885"/>
    <w:rsid w:val="00495A96"/>
    <w:rsid w:val="00495BB3"/>
    <w:rsid w:val="004A2DDD"/>
    <w:rsid w:val="004A56BB"/>
    <w:rsid w:val="004A70D6"/>
    <w:rsid w:val="004B1751"/>
    <w:rsid w:val="004B4583"/>
    <w:rsid w:val="004C0253"/>
    <w:rsid w:val="004C1301"/>
    <w:rsid w:val="004C6EA6"/>
    <w:rsid w:val="004D0B7C"/>
    <w:rsid w:val="004D56FF"/>
    <w:rsid w:val="004E39D3"/>
    <w:rsid w:val="004E3C0C"/>
    <w:rsid w:val="004E508A"/>
    <w:rsid w:val="004E616D"/>
    <w:rsid w:val="004F1BDE"/>
    <w:rsid w:val="004F2CEE"/>
    <w:rsid w:val="004F556E"/>
    <w:rsid w:val="004F591C"/>
    <w:rsid w:val="004F7F44"/>
    <w:rsid w:val="00500847"/>
    <w:rsid w:val="005037B4"/>
    <w:rsid w:val="005079BF"/>
    <w:rsid w:val="00512032"/>
    <w:rsid w:val="0051269A"/>
    <w:rsid w:val="005219E7"/>
    <w:rsid w:val="00531B9A"/>
    <w:rsid w:val="00531D15"/>
    <w:rsid w:val="005333DA"/>
    <w:rsid w:val="005366C1"/>
    <w:rsid w:val="00537604"/>
    <w:rsid w:val="0053797A"/>
    <w:rsid w:val="005414ED"/>
    <w:rsid w:val="00542377"/>
    <w:rsid w:val="005476EB"/>
    <w:rsid w:val="00551782"/>
    <w:rsid w:val="00563EF1"/>
    <w:rsid w:val="00566AB4"/>
    <w:rsid w:val="00573812"/>
    <w:rsid w:val="00575AC5"/>
    <w:rsid w:val="0057605D"/>
    <w:rsid w:val="00581347"/>
    <w:rsid w:val="00581AC9"/>
    <w:rsid w:val="005849F8"/>
    <w:rsid w:val="00584ED2"/>
    <w:rsid w:val="005874C8"/>
    <w:rsid w:val="005916A7"/>
    <w:rsid w:val="005938DF"/>
    <w:rsid w:val="00594E9C"/>
    <w:rsid w:val="005A099B"/>
    <w:rsid w:val="005A0D40"/>
    <w:rsid w:val="005A2D9C"/>
    <w:rsid w:val="005A55FE"/>
    <w:rsid w:val="005A647F"/>
    <w:rsid w:val="005A6A11"/>
    <w:rsid w:val="005B2D96"/>
    <w:rsid w:val="005B2F0D"/>
    <w:rsid w:val="005B6079"/>
    <w:rsid w:val="005C07B3"/>
    <w:rsid w:val="005C1C84"/>
    <w:rsid w:val="005C34EF"/>
    <w:rsid w:val="005C3683"/>
    <w:rsid w:val="005C7474"/>
    <w:rsid w:val="005D03FB"/>
    <w:rsid w:val="005D093F"/>
    <w:rsid w:val="005D2502"/>
    <w:rsid w:val="005D40BB"/>
    <w:rsid w:val="005D47F3"/>
    <w:rsid w:val="005D49BF"/>
    <w:rsid w:val="005D4AA5"/>
    <w:rsid w:val="005D6F4E"/>
    <w:rsid w:val="005D7C73"/>
    <w:rsid w:val="005E0896"/>
    <w:rsid w:val="005E250B"/>
    <w:rsid w:val="005E2915"/>
    <w:rsid w:val="005E3ACD"/>
    <w:rsid w:val="005E3F54"/>
    <w:rsid w:val="005E7226"/>
    <w:rsid w:val="005E7A57"/>
    <w:rsid w:val="005F0DE8"/>
    <w:rsid w:val="005F1C6A"/>
    <w:rsid w:val="005F24B0"/>
    <w:rsid w:val="005F28B6"/>
    <w:rsid w:val="005F557D"/>
    <w:rsid w:val="00604315"/>
    <w:rsid w:val="00604E26"/>
    <w:rsid w:val="0060523F"/>
    <w:rsid w:val="006052CF"/>
    <w:rsid w:val="006072CE"/>
    <w:rsid w:val="00607B8D"/>
    <w:rsid w:val="00611F5C"/>
    <w:rsid w:val="00613F86"/>
    <w:rsid w:val="00616E09"/>
    <w:rsid w:val="00617C91"/>
    <w:rsid w:val="00622A3B"/>
    <w:rsid w:val="00622EEA"/>
    <w:rsid w:val="0062396C"/>
    <w:rsid w:val="00623FF9"/>
    <w:rsid w:val="00626BFC"/>
    <w:rsid w:val="00627D4E"/>
    <w:rsid w:val="00632943"/>
    <w:rsid w:val="00632B89"/>
    <w:rsid w:val="0063346D"/>
    <w:rsid w:val="00634478"/>
    <w:rsid w:val="00644373"/>
    <w:rsid w:val="00645915"/>
    <w:rsid w:val="00645A43"/>
    <w:rsid w:val="00646CC4"/>
    <w:rsid w:val="00647D04"/>
    <w:rsid w:val="006519C3"/>
    <w:rsid w:val="0065297A"/>
    <w:rsid w:val="00652B30"/>
    <w:rsid w:val="00656345"/>
    <w:rsid w:val="00656383"/>
    <w:rsid w:val="00656DC6"/>
    <w:rsid w:val="00660EC6"/>
    <w:rsid w:val="00660ECB"/>
    <w:rsid w:val="00664110"/>
    <w:rsid w:val="00664D17"/>
    <w:rsid w:val="00666520"/>
    <w:rsid w:val="00667C5B"/>
    <w:rsid w:val="00673607"/>
    <w:rsid w:val="00674330"/>
    <w:rsid w:val="00687020"/>
    <w:rsid w:val="00691EB8"/>
    <w:rsid w:val="00692CDE"/>
    <w:rsid w:val="00693073"/>
    <w:rsid w:val="00693CBF"/>
    <w:rsid w:val="00695F14"/>
    <w:rsid w:val="00696ADC"/>
    <w:rsid w:val="006977FF"/>
    <w:rsid w:val="006A01FA"/>
    <w:rsid w:val="006A0E9E"/>
    <w:rsid w:val="006A25C7"/>
    <w:rsid w:val="006A4AAD"/>
    <w:rsid w:val="006A4CA4"/>
    <w:rsid w:val="006A4CCA"/>
    <w:rsid w:val="006A6DA2"/>
    <w:rsid w:val="006A7AB2"/>
    <w:rsid w:val="006B52DE"/>
    <w:rsid w:val="006B5717"/>
    <w:rsid w:val="006B582F"/>
    <w:rsid w:val="006B5EB2"/>
    <w:rsid w:val="006B7CC7"/>
    <w:rsid w:val="006B7E84"/>
    <w:rsid w:val="006C0CEB"/>
    <w:rsid w:val="006C1631"/>
    <w:rsid w:val="006C3B1E"/>
    <w:rsid w:val="006C47FD"/>
    <w:rsid w:val="006C5C19"/>
    <w:rsid w:val="006C69B1"/>
    <w:rsid w:val="006C70A0"/>
    <w:rsid w:val="006D27CB"/>
    <w:rsid w:val="006D2F08"/>
    <w:rsid w:val="006D38F8"/>
    <w:rsid w:val="006D576C"/>
    <w:rsid w:val="006D5865"/>
    <w:rsid w:val="006D7138"/>
    <w:rsid w:val="006E2196"/>
    <w:rsid w:val="006E47C9"/>
    <w:rsid w:val="006E4B1B"/>
    <w:rsid w:val="006E5445"/>
    <w:rsid w:val="006E7893"/>
    <w:rsid w:val="006E7D93"/>
    <w:rsid w:val="0070133D"/>
    <w:rsid w:val="007029A3"/>
    <w:rsid w:val="00706E4E"/>
    <w:rsid w:val="0070791C"/>
    <w:rsid w:val="0071003A"/>
    <w:rsid w:val="00712FA2"/>
    <w:rsid w:val="0071383C"/>
    <w:rsid w:val="0071411F"/>
    <w:rsid w:val="007141A7"/>
    <w:rsid w:val="00715722"/>
    <w:rsid w:val="00715BAF"/>
    <w:rsid w:val="00716525"/>
    <w:rsid w:val="00721032"/>
    <w:rsid w:val="00721B55"/>
    <w:rsid w:val="00726CE4"/>
    <w:rsid w:val="007317D4"/>
    <w:rsid w:val="00733143"/>
    <w:rsid w:val="00734143"/>
    <w:rsid w:val="00736C3D"/>
    <w:rsid w:val="00737E47"/>
    <w:rsid w:val="00740EAC"/>
    <w:rsid w:val="00744956"/>
    <w:rsid w:val="00745A5C"/>
    <w:rsid w:val="0074605F"/>
    <w:rsid w:val="00747E94"/>
    <w:rsid w:val="00754C83"/>
    <w:rsid w:val="00755B8B"/>
    <w:rsid w:val="00761E5C"/>
    <w:rsid w:val="0076569C"/>
    <w:rsid w:val="00765DF8"/>
    <w:rsid w:val="00766749"/>
    <w:rsid w:val="007677A6"/>
    <w:rsid w:val="00767C1B"/>
    <w:rsid w:val="00770B3F"/>
    <w:rsid w:val="007714A9"/>
    <w:rsid w:val="00774F88"/>
    <w:rsid w:val="00774FDB"/>
    <w:rsid w:val="00777BA2"/>
    <w:rsid w:val="007809F8"/>
    <w:rsid w:val="00781408"/>
    <w:rsid w:val="00784F7F"/>
    <w:rsid w:val="007878BD"/>
    <w:rsid w:val="007912DF"/>
    <w:rsid w:val="00791D14"/>
    <w:rsid w:val="00793C6D"/>
    <w:rsid w:val="00794AAC"/>
    <w:rsid w:val="00796F25"/>
    <w:rsid w:val="007A2BA0"/>
    <w:rsid w:val="007A2E98"/>
    <w:rsid w:val="007A3BA3"/>
    <w:rsid w:val="007A4494"/>
    <w:rsid w:val="007A51FC"/>
    <w:rsid w:val="007A6CC0"/>
    <w:rsid w:val="007A7FEC"/>
    <w:rsid w:val="007B1499"/>
    <w:rsid w:val="007B1BBF"/>
    <w:rsid w:val="007B2960"/>
    <w:rsid w:val="007B355D"/>
    <w:rsid w:val="007B7980"/>
    <w:rsid w:val="007C0DEF"/>
    <w:rsid w:val="007C5D5A"/>
    <w:rsid w:val="007C5E5F"/>
    <w:rsid w:val="007C607F"/>
    <w:rsid w:val="007C79DD"/>
    <w:rsid w:val="007C7AF6"/>
    <w:rsid w:val="007D0D5D"/>
    <w:rsid w:val="007D1A97"/>
    <w:rsid w:val="007D2CD6"/>
    <w:rsid w:val="007D3063"/>
    <w:rsid w:val="007D3CEB"/>
    <w:rsid w:val="007D5D60"/>
    <w:rsid w:val="007E7683"/>
    <w:rsid w:val="007F1CD5"/>
    <w:rsid w:val="007F49FA"/>
    <w:rsid w:val="007F51FE"/>
    <w:rsid w:val="007F54C4"/>
    <w:rsid w:val="007F6E9A"/>
    <w:rsid w:val="00800CCD"/>
    <w:rsid w:val="008044D4"/>
    <w:rsid w:val="00804BA3"/>
    <w:rsid w:val="00810AB4"/>
    <w:rsid w:val="008114A7"/>
    <w:rsid w:val="00817B56"/>
    <w:rsid w:val="00821A88"/>
    <w:rsid w:val="00823083"/>
    <w:rsid w:val="0082322E"/>
    <w:rsid w:val="008239E4"/>
    <w:rsid w:val="0082495D"/>
    <w:rsid w:val="00825584"/>
    <w:rsid w:val="008263E6"/>
    <w:rsid w:val="00830603"/>
    <w:rsid w:val="00831A7D"/>
    <w:rsid w:val="00831AC3"/>
    <w:rsid w:val="008356C2"/>
    <w:rsid w:val="00836FCE"/>
    <w:rsid w:val="008408FF"/>
    <w:rsid w:val="008409E3"/>
    <w:rsid w:val="00851F3F"/>
    <w:rsid w:val="00856EDC"/>
    <w:rsid w:val="008605CC"/>
    <w:rsid w:val="008623B5"/>
    <w:rsid w:val="008650B5"/>
    <w:rsid w:val="00870ABA"/>
    <w:rsid w:val="008710E1"/>
    <w:rsid w:val="008716E5"/>
    <w:rsid w:val="0087437C"/>
    <w:rsid w:val="008809E3"/>
    <w:rsid w:val="00881822"/>
    <w:rsid w:val="00881CA9"/>
    <w:rsid w:val="00883628"/>
    <w:rsid w:val="008838B3"/>
    <w:rsid w:val="00885544"/>
    <w:rsid w:val="0088634E"/>
    <w:rsid w:val="00892914"/>
    <w:rsid w:val="00893AB8"/>
    <w:rsid w:val="008955D7"/>
    <w:rsid w:val="008A04C8"/>
    <w:rsid w:val="008A3092"/>
    <w:rsid w:val="008A448D"/>
    <w:rsid w:val="008A6913"/>
    <w:rsid w:val="008B3A0B"/>
    <w:rsid w:val="008B70F3"/>
    <w:rsid w:val="008B71C4"/>
    <w:rsid w:val="008B76DF"/>
    <w:rsid w:val="008C0845"/>
    <w:rsid w:val="008C10F4"/>
    <w:rsid w:val="008C65F7"/>
    <w:rsid w:val="008C6D99"/>
    <w:rsid w:val="008D389F"/>
    <w:rsid w:val="008D6449"/>
    <w:rsid w:val="008E0428"/>
    <w:rsid w:val="008E4767"/>
    <w:rsid w:val="008E6B86"/>
    <w:rsid w:val="008E7A8C"/>
    <w:rsid w:val="008F5538"/>
    <w:rsid w:val="008F68B4"/>
    <w:rsid w:val="0090203B"/>
    <w:rsid w:val="00903285"/>
    <w:rsid w:val="00904D1E"/>
    <w:rsid w:val="00906F40"/>
    <w:rsid w:val="0090731E"/>
    <w:rsid w:val="009147B9"/>
    <w:rsid w:val="00915B1C"/>
    <w:rsid w:val="009174F3"/>
    <w:rsid w:val="0091797D"/>
    <w:rsid w:val="00923CBA"/>
    <w:rsid w:val="00926703"/>
    <w:rsid w:val="00927691"/>
    <w:rsid w:val="00927A5F"/>
    <w:rsid w:val="00930510"/>
    <w:rsid w:val="00932AA8"/>
    <w:rsid w:val="00932BD7"/>
    <w:rsid w:val="00933118"/>
    <w:rsid w:val="00935B63"/>
    <w:rsid w:val="00936E95"/>
    <w:rsid w:val="0094078F"/>
    <w:rsid w:val="00940FA3"/>
    <w:rsid w:val="00941065"/>
    <w:rsid w:val="00941FB0"/>
    <w:rsid w:val="009426D4"/>
    <w:rsid w:val="00945BDC"/>
    <w:rsid w:val="00947F25"/>
    <w:rsid w:val="00950159"/>
    <w:rsid w:val="009505F3"/>
    <w:rsid w:val="00951C57"/>
    <w:rsid w:val="0095490B"/>
    <w:rsid w:val="00960A33"/>
    <w:rsid w:val="00961B35"/>
    <w:rsid w:val="00961CA3"/>
    <w:rsid w:val="00967181"/>
    <w:rsid w:val="009706A6"/>
    <w:rsid w:val="00971914"/>
    <w:rsid w:val="00974363"/>
    <w:rsid w:val="00981898"/>
    <w:rsid w:val="00983154"/>
    <w:rsid w:val="009831B9"/>
    <w:rsid w:val="00984C3A"/>
    <w:rsid w:val="00984FD6"/>
    <w:rsid w:val="00995760"/>
    <w:rsid w:val="0099577C"/>
    <w:rsid w:val="009A021C"/>
    <w:rsid w:val="009A25CC"/>
    <w:rsid w:val="009A5202"/>
    <w:rsid w:val="009B24A5"/>
    <w:rsid w:val="009B2601"/>
    <w:rsid w:val="009B2BA3"/>
    <w:rsid w:val="009B49CF"/>
    <w:rsid w:val="009B4E9E"/>
    <w:rsid w:val="009C1690"/>
    <w:rsid w:val="009C1B56"/>
    <w:rsid w:val="009C6881"/>
    <w:rsid w:val="009C7759"/>
    <w:rsid w:val="009D043D"/>
    <w:rsid w:val="009D07C8"/>
    <w:rsid w:val="009D4C85"/>
    <w:rsid w:val="009D5845"/>
    <w:rsid w:val="009D6C71"/>
    <w:rsid w:val="009E0631"/>
    <w:rsid w:val="009E16D0"/>
    <w:rsid w:val="009E2051"/>
    <w:rsid w:val="009E38FD"/>
    <w:rsid w:val="009E5CBA"/>
    <w:rsid w:val="009F13D6"/>
    <w:rsid w:val="009F4C6B"/>
    <w:rsid w:val="009F78A8"/>
    <w:rsid w:val="00A02AD6"/>
    <w:rsid w:val="00A02C95"/>
    <w:rsid w:val="00A07096"/>
    <w:rsid w:val="00A07318"/>
    <w:rsid w:val="00A10A3A"/>
    <w:rsid w:val="00A11370"/>
    <w:rsid w:val="00A1375C"/>
    <w:rsid w:val="00A205CB"/>
    <w:rsid w:val="00A20D14"/>
    <w:rsid w:val="00A224CE"/>
    <w:rsid w:val="00A22522"/>
    <w:rsid w:val="00A22F0E"/>
    <w:rsid w:val="00A2474D"/>
    <w:rsid w:val="00A24AFD"/>
    <w:rsid w:val="00A24F5C"/>
    <w:rsid w:val="00A26FA9"/>
    <w:rsid w:val="00A3129C"/>
    <w:rsid w:val="00A3191A"/>
    <w:rsid w:val="00A32F96"/>
    <w:rsid w:val="00A35AA1"/>
    <w:rsid w:val="00A40871"/>
    <w:rsid w:val="00A412AB"/>
    <w:rsid w:val="00A4193E"/>
    <w:rsid w:val="00A42E26"/>
    <w:rsid w:val="00A430D2"/>
    <w:rsid w:val="00A432BB"/>
    <w:rsid w:val="00A43E95"/>
    <w:rsid w:val="00A440E0"/>
    <w:rsid w:val="00A442EF"/>
    <w:rsid w:val="00A46687"/>
    <w:rsid w:val="00A505C0"/>
    <w:rsid w:val="00A51D1A"/>
    <w:rsid w:val="00A5366C"/>
    <w:rsid w:val="00A5418D"/>
    <w:rsid w:val="00A5474E"/>
    <w:rsid w:val="00A63E67"/>
    <w:rsid w:val="00A64234"/>
    <w:rsid w:val="00A67781"/>
    <w:rsid w:val="00A70ADF"/>
    <w:rsid w:val="00A713C7"/>
    <w:rsid w:val="00A71466"/>
    <w:rsid w:val="00A74695"/>
    <w:rsid w:val="00A74B5E"/>
    <w:rsid w:val="00A758AE"/>
    <w:rsid w:val="00A8182C"/>
    <w:rsid w:val="00A81BED"/>
    <w:rsid w:val="00A81EC4"/>
    <w:rsid w:val="00A824E8"/>
    <w:rsid w:val="00A82661"/>
    <w:rsid w:val="00A946A0"/>
    <w:rsid w:val="00A967FD"/>
    <w:rsid w:val="00AA121A"/>
    <w:rsid w:val="00AA2DE5"/>
    <w:rsid w:val="00AA591C"/>
    <w:rsid w:val="00AB0A23"/>
    <w:rsid w:val="00AB156C"/>
    <w:rsid w:val="00AB341D"/>
    <w:rsid w:val="00AB4394"/>
    <w:rsid w:val="00AB6814"/>
    <w:rsid w:val="00AC04BA"/>
    <w:rsid w:val="00AC0E39"/>
    <w:rsid w:val="00AC37EC"/>
    <w:rsid w:val="00AC5C79"/>
    <w:rsid w:val="00AD3082"/>
    <w:rsid w:val="00AD32B4"/>
    <w:rsid w:val="00AD4AD0"/>
    <w:rsid w:val="00AD5436"/>
    <w:rsid w:val="00AD60CD"/>
    <w:rsid w:val="00AD6C8C"/>
    <w:rsid w:val="00AD6E44"/>
    <w:rsid w:val="00AE02C0"/>
    <w:rsid w:val="00AE091D"/>
    <w:rsid w:val="00AE3B60"/>
    <w:rsid w:val="00AE40C0"/>
    <w:rsid w:val="00AE53A1"/>
    <w:rsid w:val="00AF1DE9"/>
    <w:rsid w:val="00AF2484"/>
    <w:rsid w:val="00AF63E7"/>
    <w:rsid w:val="00AF6E17"/>
    <w:rsid w:val="00B0165D"/>
    <w:rsid w:val="00B01B60"/>
    <w:rsid w:val="00B031F3"/>
    <w:rsid w:val="00B03DCE"/>
    <w:rsid w:val="00B052A4"/>
    <w:rsid w:val="00B06910"/>
    <w:rsid w:val="00B125DE"/>
    <w:rsid w:val="00B13FDD"/>
    <w:rsid w:val="00B151A6"/>
    <w:rsid w:val="00B22EB2"/>
    <w:rsid w:val="00B27442"/>
    <w:rsid w:val="00B27B6D"/>
    <w:rsid w:val="00B31167"/>
    <w:rsid w:val="00B327B1"/>
    <w:rsid w:val="00B329D8"/>
    <w:rsid w:val="00B32BB9"/>
    <w:rsid w:val="00B33AE1"/>
    <w:rsid w:val="00B37C38"/>
    <w:rsid w:val="00B40388"/>
    <w:rsid w:val="00B4288C"/>
    <w:rsid w:val="00B43262"/>
    <w:rsid w:val="00B44100"/>
    <w:rsid w:val="00B46CBA"/>
    <w:rsid w:val="00B46F94"/>
    <w:rsid w:val="00B52FB7"/>
    <w:rsid w:val="00B6003C"/>
    <w:rsid w:val="00B61F03"/>
    <w:rsid w:val="00B626E4"/>
    <w:rsid w:val="00B72F4A"/>
    <w:rsid w:val="00B73AD5"/>
    <w:rsid w:val="00B73E66"/>
    <w:rsid w:val="00B8388E"/>
    <w:rsid w:val="00B83C27"/>
    <w:rsid w:val="00B84BC3"/>
    <w:rsid w:val="00B84BDD"/>
    <w:rsid w:val="00B92812"/>
    <w:rsid w:val="00B93A9C"/>
    <w:rsid w:val="00BA2DAE"/>
    <w:rsid w:val="00BA3114"/>
    <w:rsid w:val="00BA478F"/>
    <w:rsid w:val="00BB2763"/>
    <w:rsid w:val="00BB45A1"/>
    <w:rsid w:val="00BB6335"/>
    <w:rsid w:val="00BB7686"/>
    <w:rsid w:val="00BB7802"/>
    <w:rsid w:val="00BB7D0E"/>
    <w:rsid w:val="00BC23F9"/>
    <w:rsid w:val="00BC3421"/>
    <w:rsid w:val="00BC436B"/>
    <w:rsid w:val="00BC5C1A"/>
    <w:rsid w:val="00BC732C"/>
    <w:rsid w:val="00BD33D6"/>
    <w:rsid w:val="00BD3C39"/>
    <w:rsid w:val="00BD4421"/>
    <w:rsid w:val="00BD6B4E"/>
    <w:rsid w:val="00BD72B8"/>
    <w:rsid w:val="00BD7F68"/>
    <w:rsid w:val="00BE03F2"/>
    <w:rsid w:val="00BE2580"/>
    <w:rsid w:val="00BE266D"/>
    <w:rsid w:val="00BE2F06"/>
    <w:rsid w:val="00BE3938"/>
    <w:rsid w:val="00BE4C11"/>
    <w:rsid w:val="00BE71C0"/>
    <w:rsid w:val="00BF1522"/>
    <w:rsid w:val="00BF16D2"/>
    <w:rsid w:val="00BF19C1"/>
    <w:rsid w:val="00BF610C"/>
    <w:rsid w:val="00C0060B"/>
    <w:rsid w:val="00C00E2F"/>
    <w:rsid w:val="00C01A6C"/>
    <w:rsid w:val="00C01C07"/>
    <w:rsid w:val="00C0277D"/>
    <w:rsid w:val="00C02F26"/>
    <w:rsid w:val="00C053A1"/>
    <w:rsid w:val="00C104A3"/>
    <w:rsid w:val="00C113EB"/>
    <w:rsid w:val="00C16198"/>
    <w:rsid w:val="00C2083D"/>
    <w:rsid w:val="00C24A53"/>
    <w:rsid w:val="00C34A05"/>
    <w:rsid w:val="00C35CCE"/>
    <w:rsid w:val="00C4032F"/>
    <w:rsid w:val="00C41F21"/>
    <w:rsid w:val="00C43611"/>
    <w:rsid w:val="00C44047"/>
    <w:rsid w:val="00C44BBF"/>
    <w:rsid w:val="00C45155"/>
    <w:rsid w:val="00C5498F"/>
    <w:rsid w:val="00C55235"/>
    <w:rsid w:val="00C56295"/>
    <w:rsid w:val="00C60B3E"/>
    <w:rsid w:val="00C64CD0"/>
    <w:rsid w:val="00C65F61"/>
    <w:rsid w:val="00C6684F"/>
    <w:rsid w:val="00C70E70"/>
    <w:rsid w:val="00C7391A"/>
    <w:rsid w:val="00C75524"/>
    <w:rsid w:val="00C75F8D"/>
    <w:rsid w:val="00C76382"/>
    <w:rsid w:val="00C77380"/>
    <w:rsid w:val="00C7773A"/>
    <w:rsid w:val="00C819B0"/>
    <w:rsid w:val="00C87E8A"/>
    <w:rsid w:val="00C913D6"/>
    <w:rsid w:val="00C97736"/>
    <w:rsid w:val="00CA345A"/>
    <w:rsid w:val="00CA62F2"/>
    <w:rsid w:val="00CB1E82"/>
    <w:rsid w:val="00CB4BA8"/>
    <w:rsid w:val="00CB52D7"/>
    <w:rsid w:val="00CB5BDA"/>
    <w:rsid w:val="00CC4FE3"/>
    <w:rsid w:val="00CC6732"/>
    <w:rsid w:val="00CD349F"/>
    <w:rsid w:val="00CD6ACF"/>
    <w:rsid w:val="00CD6E64"/>
    <w:rsid w:val="00CE2C5E"/>
    <w:rsid w:val="00CE3C96"/>
    <w:rsid w:val="00CE51A8"/>
    <w:rsid w:val="00CE5F8F"/>
    <w:rsid w:val="00CF0BFE"/>
    <w:rsid w:val="00CF300F"/>
    <w:rsid w:val="00CF369B"/>
    <w:rsid w:val="00D00E28"/>
    <w:rsid w:val="00D0269E"/>
    <w:rsid w:val="00D02DE2"/>
    <w:rsid w:val="00D05D6C"/>
    <w:rsid w:val="00D11E1F"/>
    <w:rsid w:val="00D15810"/>
    <w:rsid w:val="00D16D4E"/>
    <w:rsid w:val="00D16FE3"/>
    <w:rsid w:val="00D27F41"/>
    <w:rsid w:val="00D36441"/>
    <w:rsid w:val="00D3792D"/>
    <w:rsid w:val="00D4064E"/>
    <w:rsid w:val="00D43345"/>
    <w:rsid w:val="00D44E9B"/>
    <w:rsid w:val="00D45E15"/>
    <w:rsid w:val="00D47AEB"/>
    <w:rsid w:val="00D50DB9"/>
    <w:rsid w:val="00D51302"/>
    <w:rsid w:val="00D52C43"/>
    <w:rsid w:val="00D53755"/>
    <w:rsid w:val="00D61243"/>
    <w:rsid w:val="00D6507F"/>
    <w:rsid w:val="00D65726"/>
    <w:rsid w:val="00D730BC"/>
    <w:rsid w:val="00D73912"/>
    <w:rsid w:val="00D77F1A"/>
    <w:rsid w:val="00D827F1"/>
    <w:rsid w:val="00D85226"/>
    <w:rsid w:val="00D87B94"/>
    <w:rsid w:val="00D92D49"/>
    <w:rsid w:val="00D92EC1"/>
    <w:rsid w:val="00D93A3C"/>
    <w:rsid w:val="00D96DEA"/>
    <w:rsid w:val="00DA267B"/>
    <w:rsid w:val="00DA4E41"/>
    <w:rsid w:val="00DB117A"/>
    <w:rsid w:val="00DB19F6"/>
    <w:rsid w:val="00DB38DD"/>
    <w:rsid w:val="00DB5173"/>
    <w:rsid w:val="00DB7873"/>
    <w:rsid w:val="00DC187B"/>
    <w:rsid w:val="00DC1AAE"/>
    <w:rsid w:val="00DC54AB"/>
    <w:rsid w:val="00DD1A43"/>
    <w:rsid w:val="00DD73C2"/>
    <w:rsid w:val="00DD7F57"/>
    <w:rsid w:val="00DE1406"/>
    <w:rsid w:val="00DE319B"/>
    <w:rsid w:val="00DE5382"/>
    <w:rsid w:val="00DF2EF8"/>
    <w:rsid w:val="00DF34FE"/>
    <w:rsid w:val="00DF56AA"/>
    <w:rsid w:val="00DF56AF"/>
    <w:rsid w:val="00DF656A"/>
    <w:rsid w:val="00DF78E7"/>
    <w:rsid w:val="00E028E1"/>
    <w:rsid w:val="00E10C5E"/>
    <w:rsid w:val="00E110E0"/>
    <w:rsid w:val="00E14B46"/>
    <w:rsid w:val="00E15371"/>
    <w:rsid w:val="00E21056"/>
    <w:rsid w:val="00E21522"/>
    <w:rsid w:val="00E24104"/>
    <w:rsid w:val="00E26616"/>
    <w:rsid w:val="00E302D0"/>
    <w:rsid w:val="00E35707"/>
    <w:rsid w:val="00E36AA1"/>
    <w:rsid w:val="00E41ECB"/>
    <w:rsid w:val="00E42676"/>
    <w:rsid w:val="00E42905"/>
    <w:rsid w:val="00E42B78"/>
    <w:rsid w:val="00E50456"/>
    <w:rsid w:val="00E54FDB"/>
    <w:rsid w:val="00E5617D"/>
    <w:rsid w:val="00E563D7"/>
    <w:rsid w:val="00E663F4"/>
    <w:rsid w:val="00E666F2"/>
    <w:rsid w:val="00E668E0"/>
    <w:rsid w:val="00E66DD4"/>
    <w:rsid w:val="00E71872"/>
    <w:rsid w:val="00E748CC"/>
    <w:rsid w:val="00E75415"/>
    <w:rsid w:val="00E77509"/>
    <w:rsid w:val="00E775B1"/>
    <w:rsid w:val="00E810A7"/>
    <w:rsid w:val="00E8152A"/>
    <w:rsid w:val="00E918F1"/>
    <w:rsid w:val="00E9207C"/>
    <w:rsid w:val="00E93629"/>
    <w:rsid w:val="00E93B5C"/>
    <w:rsid w:val="00E94CEC"/>
    <w:rsid w:val="00EA04EF"/>
    <w:rsid w:val="00EA3AF6"/>
    <w:rsid w:val="00EA663B"/>
    <w:rsid w:val="00EA6C79"/>
    <w:rsid w:val="00EA6F19"/>
    <w:rsid w:val="00EB7090"/>
    <w:rsid w:val="00EC1041"/>
    <w:rsid w:val="00EC1BBE"/>
    <w:rsid w:val="00EC2B68"/>
    <w:rsid w:val="00EC3AAC"/>
    <w:rsid w:val="00EC3AEF"/>
    <w:rsid w:val="00EC5CD7"/>
    <w:rsid w:val="00ED3C33"/>
    <w:rsid w:val="00EE4DE9"/>
    <w:rsid w:val="00EE5FB3"/>
    <w:rsid w:val="00EE7F79"/>
    <w:rsid w:val="00EF715A"/>
    <w:rsid w:val="00F04F89"/>
    <w:rsid w:val="00F0512E"/>
    <w:rsid w:val="00F0615F"/>
    <w:rsid w:val="00F06E14"/>
    <w:rsid w:val="00F136A4"/>
    <w:rsid w:val="00F155FC"/>
    <w:rsid w:val="00F179D4"/>
    <w:rsid w:val="00F20D0B"/>
    <w:rsid w:val="00F215A0"/>
    <w:rsid w:val="00F22A23"/>
    <w:rsid w:val="00F323F3"/>
    <w:rsid w:val="00F33AA7"/>
    <w:rsid w:val="00F33C56"/>
    <w:rsid w:val="00F347C7"/>
    <w:rsid w:val="00F34848"/>
    <w:rsid w:val="00F368F0"/>
    <w:rsid w:val="00F40462"/>
    <w:rsid w:val="00F42D46"/>
    <w:rsid w:val="00F4496C"/>
    <w:rsid w:val="00F44F3A"/>
    <w:rsid w:val="00F46079"/>
    <w:rsid w:val="00F51F10"/>
    <w:rsid w:val="00F529A5"/>
    <w:rsid w:val="00F5310D"/>
    <w:rsid w:val="00F60F00"/>
    <w:rsid w:val="00F614C0"/>
    <w:rsid w:val="00F61B48"/>
    <w:rsid w:val="00F72F7A"/>
    <w:rsid w:val="00F83848"/>
    <w:rsid w:val="00F97475"/>
    <w:rsid w:val="00F975E9"/>
    <w:rsid w:val="00FA1B7D"/>
    <w:rsid w:val="00FA23B8"/>
    <w:rsid w:val="00FA61D5"/>
    <w:rsid w:val="00FA7636"/>
    <w:rsid w:val="00FB0EE0"/>
    <w:rsid w:val="00FB405F"/>
    <w:rsid w:val="00FC03DF"/>
    <w:rsid w:val="00FC07B9"/>
    <w:rsid w:val="00FC407C"/>
    <w:rsid w:val="00FC4E21"/>
    <w:rsid w:val="00FC5F6D"/>
    <w:rsid w:val="00FD0107"/>
    <w:rsid w:val="00FD0610"/>
    <w:rsid w:val="00FD2C2F"/>
    <w:rsid w:val="00FD3B31"/>
    <w:rsid w:val="00FE001A"/>
    <w:rsid w:val="00FE1823"/>
    <w:rsid w:val="00FE487A"/>
    <w:rsid w:val="00FE4A7D"/>
    <w:rsid w:val="00FF0569"/>
    <w:rsid w:val="00FF206E"/>
    <w:rsid w:val="00FF3C69"/>
    <w:rsid w:val="00FF6E0A"/>
    <w:rsid w:val="00FF7A9A"/>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9633">
      <o:colormru v:ext="edit" colors="red,#4d4d4f"/>
    </o:shapedefaults>
    <o:shapelayout v:ext="edit">
      <o:idmap v:ext="edit" data="1"/>
    </o:shapelayout>
  </w:shapeDefaults>
  <w:decimalSymbol w:val="."/>
  <w:listSeparator w:val=","/>
  <w14:docId w14:val="491F3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23" w:unhideWhenUsed="1"/>
    <w:lsdException w:name="annotation text" w:semiHidden="1" w:uiPriority="99"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uiPriority="99" w:qFormat="1"/>
    <w:lsdException w:name="Strong" w:semiHidden="1"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qFormat/>
    <w:rsid w:val="005C34EF"/>
    <w:pPr>
      <w:spacing w:after="240" w:line="240" w:lineRule="atLeast"/>
    </w:pPr>
    <w:rPr>
      <w:rFonts w:ascii="Arial" w:hAnsi="Arial"/>
      <w:sz w:val="20"/>
    </w:rPr>
  </w:style>
  <w:style w:type="paragraph" w:styleId="Heading1">
    <w:name w:val="heading 1"/>
    <w:basedOn w:val="Normal"/>
    <w:next w:val="Normal"/>
    <w:link w:val="Heading1Char"/>
    <w:uiPriority w:val="1"/>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Paragraph"/>
    <w:link w:val="Heading2Char"/>
    <w:uiPriority w:val="1"/>
    <w:qFormat/>
    <w:rsid w:val="00C55235"/>
    <w:pPr>
      <w:keepNext/>
      <w:spacing w:before="320" w:after="60"/>
      <w:outlineLvl w:val="1"/>
    </w:pPr>
    <w:rPr>
      <w:rFonts w:cs="Arial"/>
      <w:b/>
      <w:bCs/>
      <w:iCs/>
      <w:sz w:val="28"/>
      <w:szCs w:val="28"/>
    </w:rPr>
  </w:style>
  <w:style w:type="paragraph" w:styleId="Heading3">
    <w:name w:val="heading 3"/>
    <w:basedOn w:val="Normal"/>
    <w:next w:val="Normal"/>
    <w:link w:val="Heading3Char"/>
    <w:qFormat/>
    <w:rsid w:val="00C55235"/>
    <w:pPr>
      <w:keepNext/>
      <w:spacing w:before="60" w:after="60"/>
      <w:outlineLvl w:val="2"/>
    </w:pPr>
    <w:rPr>
      <w:rFonts w:cs="Arial"/>
      <w:b/>
      <w:bCs/>
      <w:szCs w:val="26"/>
    </w:rPr>
  </w:style>
  <w:style w:type="paragraph" w:styleId="Heading4">
    <w:name w:val="heading 4"/>
    <w:basedOn w:val="BodySubHeader"/>
    <w:next w:val="Normal"/>
    <w:uiPriority w:val="2"/>
    <w:qFormat/>
    <w:rsid w:val="005B2F0D"/>
    <w:pPr>
      <w:outlineLvl w:val="3"/>
    </w:pPr>
    <w:rPr>
      <w:rFonts w:cs="Arial"/>
    </w:rPr>
  </w:style>
  <w:style w:type="paragraph" w:styleId="Heading5">
    <w:name w:val="heading 5"/>
    <w:basedOn w:val="Normal"/>
    <w:next w:val="Normal"/>
    <w:semiHidden/>
    <w:qFormat/>
    <w:rsid w:val="00AD5436"/>
    <w:pPr>
      <w:numPr>
        <w:ilvl w:val="4"/>
        <w:numId w:val="5"/>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5"/>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semiHidden/>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semiHidden/>
    <w:rsid w:val="00EC2B68"/>
    <w:rPr>
      <w:rFonts w:ascii="Arial" w:hAnsi="Arial"/>
      <w:color w:val="323232"/>
      <w:sz w:val="16"/>
    </w:rPr>
  </w:style>
  <w:style w:type="paragraph" w:customStyle="1" w:styleId="Reporttitle">
    <w:name w:val="Report title"/>
    <w:basedOn w:val="Normal"/>
    <w:uiPriority w:val="19"/>
    <w:qFormat/>
    <w:rsid w:val="00A51D1A"/>
    <w:pPr>
      <w:spacing w:after="0" w:line="560" w:lineRule="exact"/>
    </w:pPr>
    <w:rPr>
      <w:b/>
      <w:spacing w:val="-28"/>
      <w:sz w:val="53"/>
    </w:rPr>
  </w:style>
  <w:style w:type="paragraph" w:customStyle="1" w:styleId="Reportsubtitle">
    <w:name w:val="Report subtitle"/>
    <w:basedOn w:val="Normal"/>
    <w:uiPriority w:val="20"/>
    <w:qFormat/>
    <w:rsid w:val="00950159"/>
    <w:pPr>
      <w:spacing w:after="200" w:line="560" w:lineRule="exact"/>
    </w:pPr>
    <w:rPr>
      <w:color w:val="323232"/>
      <w:spacing w:val="-28"/>
      <w:sz w:val="53"/>
    </w:rPr>
  </w:style>
  <w:style w:type="table" w:styleId="TableGrid">
    <w:name w:val="Table Grid"/>
    <w:basedOn w:val="TableNormal"/>
    <w:uiPriority w:val="5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date">
    <w:name w:val="Report date"/>
    <w:basedOn w:val="Reportsubtitle"/>
    <w:uiPriority w:val="21"/>
    <w:qFormat/>
    <w:rsid w:val="00950159"/>
    <w:pPr>
      <w:spacing w:after="1200" w:line="240" w:lineRule="auto"/>
    </w:pPr>
    <w:rPr>
      <w:caps/>
      <w:spacing w:val="-10"/>
      <w:sz w:val="20"/>
    </w:rPr>
  </w:style>
  <w:style w:type="paragraph" w:customStyle="1" w:styleId="Tableheaderrow">
    <w:name w:val="Table header row"/>
    <w:basedOn w:val="Normal"/>
    <w:uiPriority w:val="14"/>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semiHidden/>
    <w:qFormat/>
    <w:rsid w:val="00950159"/>
    <w:pPr>
      <w:spacing w:before="1200" w:line="240" w:lineRule="auto"/>
    </w:pPr>
    <w:rPr>
      <w:b/>
      <w:color w:val="323232"/>
      <w:spacing w:val="-28"/>
      <w:sz w:val="53"/>
    </w:rPr>
  </w:style>
  <w:style w:type="paragraph" w:styleId="Caption">
    <w:name w:val="caption"/>
    <w:aliases w:val="Caption table"/>
    <w:basedOn w:val="Normal"/>
    <w:next w:val="Normal"/>
    <w:semiHidden/>
    <w:qFormat/>
    <w:rsid w:val="00E8152A"/>
    <w:pPr>
      <w:numPr>
        <w:numId w:val="9"/>
      </w:numPr>
      <w:spacing w:after="0"/>
    </w:pPr>
    <w:rPr>
      <w:b/>
      <w:bCs/>
      <w:color w:val="323232"/>
      <w:szCs w:val="20"/>
    </w:rPr>
  </w:style>
  <w:style w:type="paragraph" w:customStyle="1" w:styleId="BodySubHeader">
    <w:name w:val="BodySubHeader"/>
    <w:basedOn w:val="Normal"/>
    <w:next w:val="Normal"/>
    <w:semiHidden/>
    <w:rsid w:val="00146CE6"/>
    <w:pPr>
      <w:spacing w:before="240" w:after="0"/>
    </w:pPr>
    <w:rPr>
      <w:b/>
      <w:i/>
    </w:rPr>
  </w:style>
  <w:style w:type="paragraph" w:styleId="ListBullet">
    <w:name w:val="List Bullet"/>
    <w:basedOn w:val="Normal"/>
    <w:semiHidden/>
    <w:qFormat/>
    <w:rsid w:val="001C6AEE"/>
    <w:pPr>
      <w:numPr>
        <w:numId w:val="1"/>
      </w:numPr>
      <w:spacing w:after="80"/>
    </w:pPr>
  </w:style>
  <w:style w:type="paragraph" w:styleId="ListBullet2">
    <w:name w:val="List Bullet 2"/>
    <w:basedOn w:val="Normal"/>
    <w:semiHidden/>
    <w:qFormat/>
    <w:rsid w:val="001C6AEE"/>
    <w:pPr>
      <w:numPr>
        <w:numId w:val="2"/>
      </w:numPr>
      <w:spacing w:after="80"/>
    </w:pPr>
  </w:style>
  <w:style w:type="paragraph" w:styleId="ListNumber">
    <w:name w:val="List Number"/>
    <w:basedOn w:val="Normal"/>
    <w:semiHidden/>
    <w:qFormat/>
    <w:rsid w:val="00C24A53"/>
    <w:pPr>
      <w:numPr>
        <w:numId w:val="3"/>
      </w:numPr>
      <w:spacing w:after="80"/>
    </w:pPr>
  </w:style>
  <w:style w:type="paragraph" w:styleId="ListNumber2">
    <w:name w:val="List Number 2"/>
    <w:basedOn w:val="Normal"/>
    <w:semiHidden/>
    <w:qFormat/>
    <w:rsid w:val="004A70D6"/>
    <w:pPr>
      <w:numPr>
        <w:numId w:val="4"/>
      </w:numPr>
      <w:spacing w:after="80"/>
      <w:ind w:left="828" w:hanging="357"/>
    </w:pPr>
  </w:style>
  <w:style w:type="paragraph" w:customStyle="1" w:styleId="URLEmail">
    <w:name w:val="URL/Email"/>
    <w:basedOn w:val="Normal"/>
    <w:semiHidden/>
    <w:rsid w:val="00302480"/>
    <w:rPr>
      <w:color w:val="4D4D4F"/>
      <w:spacing w:val="4"/>
    </w:rPr>
  </w:style>
  <w:style w:type="paragraph" w:customStyle="1" w:styleId="Execsummaryheading">
    <w:name w:val="Exec summary heading"/>
    <w:basedOn w:val="Normal"/>
    <w:uiPriority w:val="22"/>
    <w:qFormat/>
    <w:rsid w:val="006B52DE"/>
    <w:pPr>
      <w:pageBreakBefore/>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ListContinue5">
    <w:name w:val="List Continue 5"/>
    <w:basedOn w:val="Normal"/>
    <w:semiHidden/>
    <w:rsid w:val="00EC2B68"/>
    <w:pPr>
      <w:spacing w:after="120"/>
      <w:ind w:left="1415"/>
      <w:contextualSpacing/>
    </w:pPr>
  </w:style>
  <w:style w:type="paragraph" w:customStyle="1" w:styleId="Paragraphbeforelist">
    <w:name w:val="Paragraph before list"/>
    <w:basedOn w:val="Paragraph"/>
    <w:uiPriority w:val="4"/>
    <w:qFormat/>
    <w:rsid w:val="00C87E8A"/>
    <w:pPr>
      <w:spacing w:after="80"/>
    </w:p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basedOn w:val="DefaultParagraphFont"/>
    <w:uiPriority w:val="99"/>
    <w:qFormat/>
    <w:rsid w:val="00C35CCE"/>
    <w:rPr>
      <w:color w:val="0000FF"/>
      <w:u w:val="single" w:color="0000FF"/>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
    <w:basedOn w:val="DefaultParagraphFont"/>
    <w:rsid w:val="00566AB4"/>
    <w:rPr>
      <w:rFonts w:ascii="Arial" w:hAnsi="Arial"/>
      <w:vertAlign w:val="superscript"/>
    </w:rPr>
  </w:style>
  <w:style w:type="paragraph" w:styleId="FootnoteText">
    <w:name w:val="footnote text"/>
    <w:aliases w:val="Footnote text,ACMA Footnote Text,ABA Footnote Text,footnote text,Footnote Text Char Char,Footnote Text Char1 Char Char,Footnote Text Char Char Char Char,Footnote Text Char1 Char Char Char Char,Footnote Text Char2 Char Char,f"/>
    <w:basedOn w:val="Normal"/>
    <w:link w:val="FootnoteTextChar"/>
    <w:uiPriority w:val="23"/>
    <w:rsid w:val="00D61243"/>
    <w:pPr>
      <w:spacing w:after="0"/>
    </w:pPr>
    <w:rPr>
      <w:sz w:val="16"/>
      <w:szCs w:val="16"/>
    </w:rPr>
  </w:style>
  <w:style w:type="paragraph" w:customStyle="1" w:styleId="TableBody">
    <w:name w:val="Table Body"/>
    <w:basedOn w:val="Normal"/>
    <w:uiPriority w:val="15"/>
    <w:qFormat/>
    <w:rsid w:val="00774FDB"/>
    <w:pPr>
      <w:spacing w:after="0" w:line="240" w:lineRule="auto"/>
    </w:pPr>
  </w:style>
  <w:style w:type="character" w:styleId="CommentReference">
    <w:name w:val="annotation reference"/>
    <w:basedOn w:val="DefaultParagraphFont"/>
    <w:uiPriority w:val="99"/>
    <w:semiHidden/>
    <w:rsid w:val="00EE7F79"/>
    <w:rPr>
      <w:sz w:val="16"/>
      <w:szCs w:val="16"/>
    </w:rPr>
  </w:style>
  <w:style w:type="paragraph" w:styleId="CommentText">
    <w:name w:val="annotation text"/>
    <w:basedOn w:val="Normal"/>
    <w:link w:val="CommentTextChar"/>
    <w:uiPriority w:val="99"/>
    <w:semiHidden/>
    <w:rsid w:val="00EE7F79"/>
    <w:pPr>
      <w:spacing w:line="240" w:lineRule="auto"/>
    </w:pPr>
    <w:rPr>
      <w:szCs w:val="20"/>
    </w:rPr>
  </w:style>
  <w:style w:type="character" w:customStyle="1" w:styleId="CommentTextChar">
    <w:name w:val="Comment Text Char"/>
    <w:basedOn w:val="DefaultParagraphFont"/>
    <w:link w:val="CommentText"/>
    <w:uiPriority w:val="99"/>
    <w:semiHidden/>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semiHidden/>
    <w:unhideWhenUsed/>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paragraph" w:customStyle="1" w:styleId="Bulletlevel1">
    <w:name w:val="Bullet level 1"/>
    <w:basedOn w:val="ListBullet"/>
    <w:uiPriority w:val="5"/>
    <w:qFormat/>
    <w:rsid w:val="00A824E8"/>
    <w:rPr>
      <w:rFonts w:cs="Arial"/>
    </w:rPr>
  </w:style>
  <w:style w:type="paragraph" w:customStyle="1" w:styleId="ACMACorporateAddressHeader">
    <w:name w:val="ACMA_CorporateAddressHeader"/>
    <w:basedOn w:val="Normal"/>
    <w:next w:val="ACMACorporateAddresses"/>
    <w:semiHidden/>
    <w:unhideWhenUsed/>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semiHidden/>
    <w:unhideWhenUsed/>
    <w:qFormat/>
    <w:rsid w:val="00FC07B9"/>
    <w:pPr>
      <w:spacing w:before="0" w:after="120"/>
    </w:pPr>
    <w:rPr>
      <w:b w:val="0"/>
    </w:rPr>
  </w:style>
  <w:style w:type="paragraph" w:customStyle="1" w:styleId="ACMACopyrightHeader">
    <w:name w:val="ACMA_CopyrightHeader"/>
    <w:basedOn w:val="ACMACorporateAddressHeader"/>
    <w:semiHidden/>
    <w:unhideWhenUsed/>
    <w:qFormat/>
    <w:rsid w:val="00950159"/>
    <w:pPr>
      <w:spacing w:before="3000"/>
    </w:pPr>
  </w:style>
  <w:style w:type="paragraph" w:customStyle="1" w:styleId="ACMACClogo">
    <w:name w:val="ACMA_CClogo"/>
    <w:semiHidden/>
    <w:unhideWhenUsed/>
    <w:qFormat/>
    <w:rsid w:val="00623FF9"/>
    <w:pPr>
      <w:spacing w:before="160" w:after="120"/>
    </w:pPr>
    <w:rPr>
      <w:rFonts w:ascii="Arial" w:hAnsi="Arial"/>
      <w:b/>
      <w:sz w:val="13"/>
    </w:rPr>
  </w:style>
  <w:style w:type="paragraph" w:customStyle="1" w:styleId="ListBulletLast">
    <w:name w:val="List Bullet Last"/>
    <w:basedOn w:val="ListBullet"/>
    <w:semiHidden/>
    <w:qFormat/>
    <w:rsid w:val="00146CE6"/>
    <w:pPr>
      <w:spacing w:after="240"/>
    </w:pPr>
    <w:rPr>
      <w:rFonts w:cs="Arial"/>
    </w:rPr>
  </w:style>
  <w:style w:type="paragraph" w:customStyle="1" w:styleId="ListNumberLast">
    <w:name w:val="List Number Last"/>
    <w:basedOn w:val="ListNumber"/>
    <w:semiHidden/>
    <w:qFormat/>
    <w:rsid w:val="00C16198"/>
    <w:pPr>
      <w:spacing w:after="240"/>
      <w:ind w:left="357" w:hanging="357"/>
    </w:pPr>
    <w:rPr>
      <w:rFonts w:cs="Arial"/>
    </w:rPr>
  </w:style>
  <w:style w:type="paragraph" w:customStyle="1" w:styleId="ACMATableHeader">
    <w:name w:val="ACMA_TableHeader"/>
    <w:semiHidden/>
    <w:qFormat/>
    <w:rsid w:val="003F10EE"/>
    <w:pPr>
      <w:numPr>
        <w:numId w:val="7"/>
      </w:numPr>
      <w:spacing w:after="160"/>
    </w:pPr>
    <w:rPr>
      <w:rFonts w:ascii="Arial" w:hAnsi="Arial"/>
      <w:b/>
      <w:bCs/>
      <w:color w:val="323232"/>
      <w:sz w:val="20"/>
      <w:szCs w:val="20"/>
    </w:rPr>
  </w:style>
  <w:style w:type="paragraph" w:customStyle="1" w:styleId="ACMANotes">
    <w:name w:val="ACMA_Notes"/>
    <w:semiHidden/>
    <w:rsid w:val="00FF206E"/>
    <w:pPr>
      <w:spacing w:before="80"/>
    </w:pPr>
    <w:rPr>
      <w:rFonts w:ascii="Arial" w:hAnsi="Arial" w:cs="Arial"/>
      <w:i/>
      <w:sz w:val="16"/>
    </w:rPr>
  </w:style>
  <w:style w:type="paragraph" w:customStyle="1" w:styleId="Numberlistlevel1">
    <w:name w:val="Number list level 1"/>
    <w:basedOn w:val="ListNumber"/>
    <w:uiPriority w:val="9"/>
    <w:qFormat/>
    <w:rsid w:val="004A70D6"/>
  </w:style>
  <w:style w:type="character" w:styleId="Emphasis">
    <w:name w:val="Emphasis"/>
    <w:basedOn w:val="DefaultParagraphFont"/>
    <w:semiHidden/>
    <w:qFormat/>
    <w:rsid w:val="006D576C"/>
    <w:rPr>
      <w:i/>
      <w:iCs/>
    </w:rPr>
  </w:style>
  <w:style w:type="paragraph" w:customStyle="1" w:styleId="ListNumber2Last">
    <w:name w:val="List Number 2 Last"/>
    <w:basedOn w:val="ListNumber2"/>
    <w:semiHidden/>
    <w:qFormat/>
    <w:rsid w:val="00E35707"/>
    <w:pPr>
      <w:spacing w:after="240"/>
      <w:ind w:left="907"/>
    </w:pPr>
    <w:rPr>
      <w:rFonts w:cs="Arial"/>
    </w:rPr>
  </w:style>
  <w:style w:type="paragraph" w:customStyle="1" w:styleId="Spaceaftertable">
    <w:name w:val="Space after table"/>
    <w:basedOn w:val="Normal"/>
    <w:uiPriority w:val="99"/>
    <w:qFormat/>
    <w:rsid w:val="00C2083D"/>
    <w:rPr>
      <w:rFonts w:cs="Arial"/>
    </w:rPr>
  </w:style>
  <w:style w:type="paragraph" w:customStyle="1" w:styleId="FooterLeft">
    <w:name w:val="Footer Left"/>
    <w:basedOn w:val="Footer"/>
    <w:semiHidden/>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semiHidden/>
    <w:qFormat/>
    <w:rsid w:val="003F10EE"/>
    <w:pPr>
      <w:numPr>
        <w:numId w:val="6"/>
      </w:numPr>
      <w:spacing w:after="160"/>
    </w:pPr>
    <w:rPr>
      <w:rFonts w:ascii="Arial" w:hAnsi="Arial"/>
      <w:b/>
      <w:bCs/>
      <w:color w:val="323232"/>
      <w:sz w:val="20"/>
      <w:szCs w:val="20"/>
    </w:rPr>
  </w:style>
  <w:style w:type="paragraph" w:customStyle="1" w:styleId="Captionfigure">
    <w:name w:val="Caption figure"/>
    <w:basedOn w:val="Caption"/>
    <w:semiHidden/>
    <w:qFormat/>
    <w:rsid w:val="00E8152A"/>
    <w:pPr>
      <w:keepNext/>
      <w:numPr>
        <w:numId w:val="8"/>
      </w:numPr>
    </w:pPr>
    <w:rPr>
      <w:rFonts w:cs="Arial"/>
    </w:rPr>
  </w:style>
  <w:style w:type="paragraph" w:customStyle="1" w:styleId="GridTable31">
    <w:name w:val="Grid Table 31"/>
    <w:basedOn w:val="Normal"/>
    <w:semiHidden/>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character" w:customStyle="1" w:styleId="Heading1Char">
    <w:name w:val="Heading 1 Char"/>
    <w:basedOn w:val="DefaultParagraphFont"/>
    <w:link w:val="Heading1"/>
    <w:uiPriority w:val="1"/>
    <w:rsid w:val="00F5310D"/>
    <w:rPr>
      <w:rFonts w:ascii="Arial" w:hAnsi="Arial" w:cs="Arial"/>
      <w:bCs/>
      <w:color w:val="323232"/>
      <w:kern w:val="32"/>
      <w:sz w:val="53"/>
      <w:szCs w:val="32"/>
    </w:rPr>
  </w:style>
  <w:style w:type="character" w:customStyle="1" w:styleId="Heading2Char">
    <w:name w:val="Heading 2 Char"/>
    <w:basedOn w:val="DefaultParagraphFont"/>
    <w:link w:val="Heading2"/>
    <w:uiPriority w:val="1"/>
    <w:rsid w:val="00800CCD"/>
    <w:rPr>
      <w:rFonts w:ascii="Arial" w:hAnsi="Arial" w:cs="Arial"/>
      <w:b/>
      <w:bCs/>
      <w:iCs/>
      <w:sz w:val="28"/>
      <w:szCs w:val="28"/>
    </w:rPr>
  </w:style>
  <w:style w:type="character" w:styleId="UnresolvedMention">
    <w:name w:val="Unresolved Mention"/>
    <w:basedOn w:val="DefaultParagraphFont"/>
    <w:uiPriority w:val="99"/>
    <w:semiHidden/>
    <w:unhideWhenUsed/>
    <w:rsid w:val="006B52DE"/>
    <w:rPr>
      <w:color w:val="605E5C"/>
      <w:shd w:val="clear" w:color="auto" w:fill="E1DFDD"/>
    </w:rPr>
  </w:style>
  <w:style w:type="character" w:customStyle="1" w:styleId="Heading3Char">
    <w:name w:val="Heading 3 Char"/>
    <w:basedOn w:val="DefaultParagraphFont"/>
    <w:link w:val="Heading3"/>
    <w:rsid w:val="00800CCD"/>
    <w:rPr>
      <w:rFonts w:ascii="Arial" w:hAnsi="Arial" w:cs="Arial"/>
      <w:b/>
      <w:bCs/>
      <w:sz w:val="20"/>
      <w:szCs w:val="26"/>
    </w:rPr>
  </w:style>
  <w:style w:type="paragraph" w:customStyle="1" w:styleId="Paragraph">
    <w:name w:val="Paragraph"/>
    <w:basedOn w:val="Normal"/>
    <w:qFormat/>
    <w:rsid w:val="00A824E8"/>
    <w:rPr>
      <w:rFonts w:cs="Arial"/>
    </w:rPr>
  </w:style>
  <w:style w:type="paragraph" w:customStyle="1" w:styleId="Bulletlevel2">
    <w:name w:val="Bullet level 2"/>
    <w:basedOn w:val="ListBullet2"/>
    <w:uiPriority w:val="7"/>
    <w:qFormat/>
    <w:rsid w:val="00A824E8"/>
    <w:rPr>
      <w:rFonts w:cs="Arial"/>
    </w:rPr>
  </w:style>
  <w:style w:type="paragraph" w:customStyle="1" w:styleId="Bulletlevel1last">
    <w:name w:val="Bullet level 1 last"/>
    <w:basedOn w:val="ListBulletLast"/>
    <w:uiPriority w:val="6"/>
    <w:qFormat/>
    <w:rsid w:val="00A824E8"/>
  </w:style>
  <w:style w:type="paragraph" w:customStyle="1" w:styleId="Numberlistlevel2">
    <w:name w:val="Number list level 2"/>
    <w:basedOn w:val="ListNumber2"/>
    <w:uiPriority w:val="11"/>
    <w:qFormat/>
    <w:rsid w:val="004A70D6"/>
  </w:style>
  <w:style w:type="paragraph" w:customStyle="1" w:styleId="Numberlistlast">
    <w:name w:val="Number list last"/>
    <w:basedOn w:val="ListNumberLast"/>
    <w:uiPriority w:val="10"/>
    <w:qFormat/>
    <w:rsid w:val="004A70D6"/>
  </w:style>
  <w:style w:type="paragraph" w:customStyle="1" w:styleId="Numberlistlevel2last">
    <w:name w:val="Number list level 2 last"/>
    <w:basedOn w:val="Numberlistlevel2"/>
    <w:uiPriority w:val="12"/>
    <w:qFormat/>
    <w:rsid w:val="004A70D6"/>
    <w:pPr>
      <w:spacing w:after="240"/>
    </w:pPr>
  </w:style>
  <w:style w:type="paragraph" w:customStyle="1" w:styleId="Bulletlevel2last">
    <w:name w:val="Bullet level 2 last"/>
    <w:basedOn w:val="Bulletlevel2"/>
    <w:uiPriority w:val="8"/>
    <w:qFormat/>
    <w:rsid w:val="004A70D6"/>
    <w:pPr>
      <w:spacing w:after="240"/>
    </w:pPr>
  </w:style>
  <w:style w:type="table" w:customStyle="1" w:styleId="ACMAtablestyle">
    <w:name w:val="ACMA table style"/>
    <w:basedOn w:val="TableNormal"/>
    <w:uiPriority w:val="99"/>
    <w:rsid w:val="0063346D"/>
    <w:rPr>
      <w:rFonts w:ascii="Arial" w:hAnsi="Arial"/>
      <w:sz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blStylePr w:type="firstRow">
      <w:rPr>
        <w:rFonts w:ascii="Arial" w:hAnsi="Arial"/>
        <w:b w:val="0"/>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nil"/>
          <w:insideV w:val="nil"/>
        </w:tcBorders>
        <w:shd w:val="clear" w:color="auto" w:fill="404040" w:themeFill="text1" w:themeFillTint="BF"/>
      </w:tcPr>
    </w:tblStylePr>
    <w:tblStylePr w:type="band1Horz">
      <w:rPr>
        <w:rFonts w:ascii="Arial" w:hAnsi="Arial"/>
        <w:sz w:val="20"/>
      </w:rPr>
      <w:tblPr/>
      <w:tcPr>
        <w:shd w:val="clear" w:color="auto" w:fill="F2F2F2" w:themeFill="background1" w:themeFillShade="F2"/>
      </w:tcPr>
    </w:tblStylePr>
    <w:tblStylePr w:type="band2Horz">
      <w:rPr>
        <w:rFonts w:ascii="Arial" w:hAnsi="Arial"/>
        <w:sz w:val="20"/>
      </w:rPr>
    </w:tblStylePr>
  </w:style>
  <w:style w:type="paragraph" w:customStyle="1" w:styleId="Tableheading">
    <w:name w:val="Table heading"/>
    <w:basedOn w:val="ACMATableHeader"/>
    <w:next w:val="Paragraph"/>
    <w:uiPriority w:val="13"/>
    <w:qFormat/>
    <w:rsid w:val="0063346D"/>
    <w:pPr>
      <w:keepNext/>
      <w:spacing w:line="240" w:lineRule="atLeast"/>
    </w:pPr>
  </w:style>
  <w:style w:type="paragraph" w:customStyle="1" w:styleId="Tableorfigurenote">
    <w:name w:val="Table or figure note"/>
    <w:basedOn w:val="ACMANotes"/>
    <w:uiPriority w:val="17"/>
    <w:qFormat/>
    <w:rsid w:val="00930510"/>
    <w:pPr>
      <w:spacing w:after="240"/>
    </w:pPr>
  </w:style>
  <w:style w:type="paragraph" w:customStyle="1" w:styleId="Figureheading">
    <w:name w:val="Figure heading"/>
    <w:basedOn w:val="ACMAFigureHeader"/>
    <w:next w:val="Paragraph"/>
    <w:uiPriority w:val="16"/>
    <w:qFormat/>
    <w:rsid w:val="0063346D"/>
    <w:pPr>
      <w:keepNext/>
      <w:spacing w:line="240" w:lineRule="atLeast"/>
    </w:pPr>
  </w:style>
  <w:style w:type="paragraph" w:customStyle="1" w:styleId="Tableorfigurenotemultiple">
    <w:name w:val="Table or figure note multiple"/>
    <w:basedOn w:val="Tableorfigurenote"/>
    <w:uiPriority w:val="18"/>
    <w:qFormat/>
    <w:rsid w:val="00930510"/>
    <w:pPr>
      <w:spacing w:after="80"/>
    </w:pPr>
  </w:style>
  <w:style w:type="paragraph" w:styleId="BalloonText">
    <w:name w:val="Balloon Text"/>
    <w:basedOn w:val="Normal"/>
    <w:link w:val="BalloonTextChar"/>
    <w:semiHidden/>
    <w:unhideWhenUsed/>
    <w:rsid w:val="003933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3933E8"/>
    <w:rPr>
      <w:rFonts w:ascii="Segoe UI" w:hAnsi="Segoe UI" w:cs="Segoe UI"/>
      <w:sz w:val="18"/>
      <w:szCs w:val="18"/>
    </w:rPr>
  </w:style>
  <w:style w:type="paragraph" w:customStyle="1" w:styleId="Note">
    <w:name w:val="Note"/>
    <w:basedOn w:val="ACMANotes"/>
    <w:uiPriority w:val="23"/>
    <w:semiHidden/>
    <w:qFormat/>
    <w:rsid w:val="00D61243"/>
  </w:style>
  <w:style w:type="paragraph" w:customStyle="1" w:styleId="ACMABulletLevel1">
    <w:name w:val="ACMA Bullet Level 1"/>
    <w:rsid w:val="005C34EF"/>
    <w:pPr>
      <w:numPr>
        <w:numId w:val="16"/>
      </w:numPr>
      <w:tabs>
        <w:tab w:val="num" w:pos="-31680"/>
      </w:tabs>
      <w:spacing w:after="120"/>
    </w:pPr>
    <w:rPr>
      <w:szCs w:val="20"/>
      <w:lang w:eastAsia="en-US"/>
    </w:rPr>
  </w:style>
  <w:style w:type="paragraph" w:customStyle="1" w:styleId="Protectivemarking">
    <w:name w:val="Protective marking"/>
    <w:basedOn w:val="ACMABulletLevel1"/>
    <w:uiPriority w:val="99"/>
    <w:qFormat/>
    <w:rsid w:val="005C34EF"/>
    <w:pPr>
      <w:numPr>
        <w:numId w:val="0"/>
      </w:numPr>
      <w:tabs>
        <w:tab w:val="left" w:pos="720"/>
      </w:tabs>
      <w:spacing w:after="0"/>
      <w:jc w:val="center"/>
    </w:pPr>
    <w:rPr>
      <w:rFonts w:ascii="Arial" w:hAnsi="Arial" w:cs="Arial"/>
      <w:b/>
      <w:bCs/>
      <w:color w:val="FF0000"/>
      <w:sz w:val="32"/>
      <w:szCs w:val="24"/>
    </w:rPr>
  </w:style>
  <w:style w:type="character" w:customStyle="1" w:styleId="FootnoteTextChar">
    <w:name w:val="Footnote Text Char"/>
    <w:aliases w:val="Footnote text Char,ACMA Footnote Text Char,ABA Footnote Text Char,footnote text Char,Footnote Text Char Char Char,Footnote Text Char1 Char Char Char,Footnote Text Char Char Char Char Char,Footnote Text Char1 Char Char Char Char Char"/>
    <w:basedOn w:val="DefaultParagraphFont"/>
    <w:link w:val="FootnoteText"/>
    <w:rsid w:val="003F5D0B"/>
    <w:rPr>
      <w:rFonts w:ascii="Arial" w:hAnsi="Arial"/>
      <w:sz w:val="16"/>
      <w:szCs w:val="16"/>
    </w:rPr>
  </w:style>
  <w:style w:type="paragraph" w:styleId="ListParagraph">
    <w:name w:val="List Paragraph"/>
    <w:basedOn w:val="Normal"/>
    <w:uiPriority w:val="34"/>
    <w:qFormat/>
    <w:rsid w:val="00AF1DE9"/>
    <w:pPr>
      <w:spacing w:after="200" w:line="276" w:lineRule="auto"/>
      <w:ind w:left="720"/>
      <w:contextualSpacing/>
    </w:pPr>
    <w:rPr>
      <w:rFonts w:ascii="Calibri" w:eastAsia="Calibri" w:hAnsi="Calibri"/>
      <w:sz w:val="22"/>
      <w:szCs w:val="22"/>
      <w:lang w:eastAsia="en-US"/>
    </w:rPr>
  </w:style>
  <w:style w:type="paragraph" w:customStyle="1" w:styleId="Definition">
    <w:name w:val="Definition"/>
    <w:aliases w:val="dd"/>
    <w:basedOn w:val="Normal"/>
    <w:link w:val="DefinitionChar"/>
    <w:rsid w:val="002800EF"/>
    <w:pPr>
      <w:spacing w:before="180" w:after="0" w:line="240" w:lineRule="auto"/>
      <w:ind w:left="1134"/>
    </w:pPr>
    <w:rPr>
      <w:rFonts w:ascii="Times New Roman" w:hAnsi="Times New Roman"/>
      <w:sz w:val="22"/>
      <w:szCs w:val="20"/>
    </w:rPr>
  </w:style>
  <w:style w:type="paragraph" w:customStyle="1" w:styleId="paragraph0">
    <w:name w:val="paragraph"/>
    <w:aliases w:val="a"/>
    <w:basedOn w:val="Normal"/>
    <w:link w:val="paragraphChar"/>
    <w:rsid w:val="002800EF"/>
    <w:pPr>
      <w:tabs>
        <w:tab w:val="right" w:pos="1531"/>
      </w:tabs>
      <w:spacing w:before="40" w:after="0" w:line="240" w:lineRule="auto"/>
      <w:ind w:left="1644" w:hanging="1644"/>
    </w:pPr>
    <w:rPr>
      <w:rFonts w:ascii="Times New Roman" w:hAnsi="Times New Roman"/>
      <w:sz w:val="22"/>
      <w:szCs w:val="20"/>
    </w:rPr>
  </w:style>
  <w:style w:type="character" w:customStyle="1" w:styleId="paragraphChar">
    <w:name w:val="paragraph Char"/>
    <w:aliases w:val="a Char"/>
    <w:link w:val="paragraph0"/>
    <w:rsid w:val="002800EF"/>
    <w:rPr>
      <w:sz w:val="22"/>
      <w:szCs w:val="20"/>
    </w:rPr>
  </w:style>
  <w:style w:type="character" w:customStyle="1" w:styleId="DefinitionChar">
    <w:name w:val="Definition Char"/>
    <w:aliases w:val="dd Char"/>
    <w:link w:val="Definition"/>
    <w:rsid w:val="002800EF"/>
    <w:rPr>
      <w:sz w:val="22"/>
      <w:szCs w:val="20"/>
    </w:rPr>
  </w:style>
  <w:style w:type="paragraph" w:styleId="Revision">
    <w:name w:val="Revision"/>
    <w:hidden/>
    <w:semiHidden/>
    <w:rsid w:val="002800EF"/>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2813674">
      <w:bodyDiv w:val="1"/>
      <w:marLeft w:val="0"/>
      <w:marRight w:val="0"/>
      <w:marTop w:val="0"/>
      <w:marBottom w:val="0"/>
      <w:divBdr>
        <w:top w:val="none" w:sz="0" w:space="0" w:color="auto"/>
        <w:left w:val="none" w:sz="0" w:space="0" w:color="auto"/>
        <w:bottom w:val="none" w:sz="0" w:space="0" w:color="auto"/>
        <w:right w:val="none" w:sz="0" w:space="0" w:color="auto"/>
      </w:divBdr>
    </w:div>
    <w:div w:id="343673195">
      <w:bodyDiv w:val="1"/>
      <w:marLeft w:val="0"/>
      <w:marRight w:val="0"/>
      <w:marTop w:val="0"/>
      <w:marBottom w:val="0"/>
      <w:divBdr>
        <w:top w:val="none" w:sz="0" w:space="0" w:color="auto"/>
        <w:left w:val="none" w:sz="0" w:space="0" w:color="auto"/>
        <w:bottom w:val="none" w:sz="0" w:space="0" w:color="auto"/>
        <w:right w:val="none" w:sz="0" w:space="0" w:color="auto"/>
      </w:divBdr>
    </w:div>
    <w:div w:id="576784553">
      <w:bodyDiv w:val="1"/>
      <w:marLeft w:val="0"/>
      <w:marRight w:val="0"/>
      <w:marTop w:val="0"/>
      <w:marBottom w:val="0"/>
      <w:divBdr>
        <w:top w:val="none" w:sz="0" w:space="0" w:color="auto"/>
        <w:left w:val="none" w:sz="0" w:space="0" w:color="auto"/>
        <w:bottom w:val="none" w:sz="0" w:space="0" w:color="auto"/>
        <w:right w:val="none" w:sz="0" w:space="0" w:color="auto"/>
      </w:divBdr>
    </w:div>
    <w:div w:id="722483422">
      <w:bodyDiv w:val="1"/>
      <w:marLeft w:val="0"/>
      <w:marRight w:val="0"/>
      <w:marTop w:val="0"/>
      <w:marBottom w:val="0"/>
      <w:divBdr>
        <w:top w:val="none" w:sz="0" w:space="0" w:color="auto"/>
        <w:left w:val="none" w:sz="0" w:space="0" w:color="auto"/>
        <w:bottom w:val="none" w:sz="0" w:space="0" w:color="auto"/>
        <w:right w:val="none" w:sz="0" w:space="0" w:color="auto"/>
      </w:divBdr>
    </w:div>
    <w:div w:id="1409771268">
      <w:bodyDiv w:val="1"/>
      <w:marLeft w:val="0"/>
      <w:marRight w:val="0"/>
      <w:marTop w:val="0"/>
      <w:marBottom w:val="0"/>
      <w:divBdr>
        <w:top w:val="none" w:sz="0" w:space="0" w:color="auto"/>
        <w:left w:val="none" w:sz="0" w:space="0" w:color="auto"/>
        <w:bottom w:val="none" w:sz="0" w:space="0" w:color="auto"/>
        <w:right w:val="none" w:sz="0" w:space="0" w:color="auto"/>
      </w:divBdr>
    </w:div>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 w:id="192591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reativecommons.org/licenses/by/4.0/" TargetMode="External"/><Relationship Id="rId18" Type="http://schemas.openxmlformats.org/officeDocument/2006/relationships/footer" Target="footer3.xml"/><Relationship Id="rId26" Type="http://schemas.openxmlformats.org/officeDocument/2006/relationships/hyperlink" Target="https://www.legislation.gov.au/Details/F2017C01073" TargetMode="Externa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5" Type="http://schemas.openxmlformats.org/officeDocument/2006/relationships/hyperlink" Target="https://www.legislation.gov.au/Details/F2018L00028" TargetMode="External"/><Relationship Id="rId33"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s://www.acma.gov.au/publication-submission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creativecommons.org/l/by/3.0/88x31.png" TargetMode="External"/><Relationship Id="rId24" Type="http://schemas.openxmlformats.org/officeDocument/2006/relationships/hyperlink" Target="https://www.legislation.gov.au/Details/F2019C00052" TargetMode="External"/><Relationship Id="rId32"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yperlink" Target="mailto:techreg@acma.gov.au" TargetMode="Externa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acma.gov.au" TargetMode="External"/><Relationship Id="rId22" Type="http://schemas.openxmlformats.org/officeDocument/2006/relationships/footer" Target="footer5.xml"/><Relationship Id="rId27" Type="http://schemas.openxmlformats.org/officeDocument/2006/relationships/hyperlink" Target="https://www.acma.gov.au/have-your-say" TargetMode="External"/><Relationship Id="rId30" Type="http://schemas.openxmlformats.org/officeDocument/2006/relationships/hyperlink" Target="https://www.acma.gov.au/privacy-policy" TargetMode="External"/><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acma.gov.a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legislation.gov.au/Details/C2020A00151" TargetMode="External"/><Relationship Id="rId1" Type="http://schemas.openxmlformats.org/officeDocument/2006/relationships/hyperlink" Target="https://www.legislation.gov.au/Details/C2020A0015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9A989-5C4A-4385-8AA8-9B897F0D8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3560</Words>
  <Characters>20294</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23807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2021-03-04T05:29:00Z</dcterms:created>
  <dcterms:modified xsi:type="dcterms:W3CDTF">2021-03-05T04:46:00Z</dcterms:modified>
  <cp:category/>
</cp:coreProperties>
</file>