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4F9F11" w14:textId="07035747" w:rsidR="009C682F" w:rsidRDefault="009C682F" w:rsidP="002919AB">
      <w:pPr>
        <w:pStyle w:val="Reportsubtitle"/>
        <w:spacing w:after="0"/>
        <w:rPr>
          <w:b/>
          <w:color w:val="auto"/>
        </w:rPr>
      </w:pPr>
      <w:r w:rsidRPr="009C682F">
        <w:rPr>
          <w:b/>
          <w:color w:val="auto"/>
        </w:rPr>
        <w:t>Proposed licensing arrangements for 2</w:t>
      </w:r>
      <w:r>
        <w:rPr>
          <w:b/>
          <w:color w:val="auto"/>
        </w:rPr>
        <w:t> </w:t>
      </w:r>
      <w:r w:rsidRPr="009C682F">
        <w:rPr>
          <w:b/>
          <w:color w:val="auto"/>
        </w:rPr>
        <w:t>GHz narrowband mobile-satellite services and 28 GHz fixed-satellite services</w:t>
      </w:r>
    </w:p>
    <w:p w14:paraId="794DB86E" w14:textId="2631A834" w:rsidR="00F06E14" w:rsidRPr="00E162C4" w:rsidRDefault="002115A1" w:rsidP="00F06E14">
      <w:pPr>
        <w:pStyle w:val="Reportsubtitle"/>
      </w:pPr>
      <w:r>
        <w:t>R</w:t>
      </w:r>
      <w:r w:rsidR="009C682F">
        <w:t>esponse to submissions</w:t>
      </w:r>
    </w:p>
    <w:p w14:paraId="35A95331" w14:textId="55731F0B" w:rsidR="00C97736" w:rsidRPr="00E162C4" w:rsidRDefault="00AD4E8F" w:rsidP="00106114">
      <w:pPr>
        <w:pStyle w:val="Reportdate"/>
        <w:numPr>
          <w:ilvl w:val="0"/>
          <w:numId w:val="0"/>
        </w:numPr>
        <w:spacing w:after="720"/>
        <w:rPr>
          <w:rFonts w:cs="Arial"/>
        </w:rPr>
        <w:sectPr w:rsidR="00C97736" w:rsidRPr="00E162C4" w:rsidSect="0021426C">
          <w:headerReference w:type="default" r:id="rId8"/>
          <w:footerReference w:type="default" r:id="rId9"/>
          <w:headerReference w:type="first" r:id="rId10"/>
          <w:pgSz w:w="11906" w:h="16838" w:code="9"/>
          <w:pgMar w:top="3924" w:right="992" w:bottom="1440" w:left="1134" w:header="709" w:footer="454" w:gutter="0"/>
          <w:cols w:space="708"/>
          <w:docGrid w:linePitch="360"/>
        </w:sectPr>
      </w:pPr>
      <w:r>
        <w:t>JU</w:t>
      </w:r>
      <w:r w:rsidR="0071763F">
        <w:t>LY</w:t>
      </w:r>
      <w:r w:rsidR="00BD4421" w:rsidRPr="00E162C4">
        <w:t xml:space="preserve"> 20</w:t>
      </w:r>
      <w:r w:rsidR="008E0428" w:rsidRPr="00E162C4">
        <w:t>2</w:t>
      </w:r>
      <w:r w:rsidR="00E162C4">
        <w:t>2</w:t>
      </w:r>
    </w:p>
    <w:p w14:paraId="3BE942C3" w14:textId="77777777" w:rsidR="0005011A" w:rsidRPr="00E162C4" w:rsidRDefault="0005011A" w:rsidP="00FC07B9">
      <w:pPr>
        <w:pStyle w:val="ACMACorporateAddressHeader"/>
      </w:pPr>
      <w:r w:rsidRPr="00E162C4">
        <w:lastRenderedPageBreak/>
        <w:t>Canberra</w:t>
      </w:r>
    </w:p>
    <w:p w14:paraId="7EB30302" w14:textId="77777777" w:rsidR="0005011A" w:rsidRPr="00E162C4" w:rsidRDefault="0005011A" w:rsidP="00FC07B9">
      <w:pPr>
        <w:pStyle w:val="ACMACorporateAddresses"/>
      </w:pPr>
      <w:r w:rsidRPr="00E162C4">
        <w:t xml:space="preserve">Red Building </w:t>
      </w:r>
      <w:r w:rsidRPr="00E162C4">
        <w:br/>
        <w:t>Benjamin Offices</w:t>
      </w:r>
      <w:r w:rsidRPr="00E162C4">
        <w:br/>
        <w:t xml:space="preserve">Chan Street </w:t>
      </w:r>
      <w:r w:rsidRPr="00E162C4">
        <w:br/>
        <w:t>Belconnen ACT</w:t>
      </w:r>
    </w:p>
    <w:p w14:paraId="34877191" w14:textId="77777777" w:rsidR="0005011A" w:rsidRPr="00E162C4" w:rsidRDefault="0005011A" w:rsidP="00FC07B9">
      <w:pPr>
        <w:pStyle w:val="ACMACorporateAddresses"/>
      </w:pPr>
      <w:r w:rsidRPr="00E162C4">
        <w:t>PO Box 78</w:t>
      </w:r>
      <w:r w:rsidRPr="00E162C4">
        <w:br/>
        <w:t>Belconnen ACT 2616</w:t>
      </w:r>
    </w:p>
    <w:p w14:paraId="4B1C9BAC" w14:textId="77777777" w:rsidR="00FE1823" w:rsidRPr="00E162C4" w:rsidRDefault="0005011A" w:rsidP="00FC07B9">
      <w:pPr>
        <w:pStyle w:val="ACMACorporateAddresses"/>
      </w:pPr>
      <w:r w:rsidRPr="00E162C4">
        <w:t>T</w:t>
      </w:r>
      <w:r w:rsidR="00537604" w:rsidRPr="00E162C4">
        <w:tab/>
      </w:r>
      <w:r w:rsidRPr="00E162C4">
        <w:t>+61 2 6219 5555</w:t>
      </w:r>
      <w:r w:rsidRPr="00E162C4">
        <w:br/>
        <w:t>F</w:t>
      </w:r>
      <w:r w:rsidR="00537604" w:rsidRPr="00E162C4">
        <w:tab/>
      </w:r>
      <w:r w:rsidRPr="00E162C4">
        <w:t>+61 2 6219 5353</w:t>
      </w:r>
    </w:p>
    <w:p w14:paraId="238CE0B7" w14:textId="77777777" w:rsidR="0005011A" w:rsidRPr="00E162C4" w:rsidRDefault="0005011A" w:rsidP="00FC07B9">
      <w:pPr>
        <w:pStyle w:val="ACMACorporateAddressHeader"/>
      </w:pPr>
      <w:r w:rsidRPr="00E162C4">
        <w:t>Melbourne</w:t>
      </w:r>
    </w:p>
    <w:p w14:paraId="6E958E0A" w14:textId="77777777" w:rsidR="0005011A" w:rsidRPr="00E162C4" w:rsidRDefault="0005011A" w:rsidP="00FC07B9">
      <w:pPr>
        <w:pStyle w:val="ACMACorporateAddresses"/>
      </w:pPr>
      <w:r w:rsidRPr="00E162C4">
        <w:t xml:space="preserve">Level 32 </w:t>
      </w:r>
      <w:r w:rsidRPr="00E162C4">
        <w:br/>
        <w:t>Melbourne Central Tower</w:t>
      </w:r>
      <w:r w:rsidRPr="00E162C4">
        <w:br/>
        <w:t xml:space="preserve">360 Elizabeth Street </w:t>
      </w:r>
      <w:r w:rsidR="008C10F4" w:rsidRPr="00E162C4">
        <w:br/>
      </w:r>
      <w:r w:rsidRPr="00E162C4">
        <w:t>Melbourne VIC</w:t>
      </w:r>
    </w:p>
    <w:p w14:paraId="7A77135C" w14:textId="77777777" w:rsidR="0005011A" w:rsidRPr="00E162C4" w:rsidRDefault="0005011A" w:rsidP="00FC07B9">
      <w:pPr>
        <w:pStyle w:val="ACMACorporateAddresses"/>
      </w:pPr>
      <w:r w:rsidRPr="00E162C4">
        <w:t>PO Box 13112</w:t>
      </w:r>
      <w:r w:rsidRPr="00E162C4">
        <w:br/>
        <w:t xml:space="preserve">Law Courts </w:t>
      </w:r>
      <w:r w:rsidRPr="00E162C4">
        <w:br/>
        <w:t>Melbourne VIC 8010</w:t>
      </w:r>
    </w:p>
    <w:p w14:paraId="452EA8D5" w14:textId="77777777" w:rsidR="0005011A" w:rsidRPr="00E162C4" w:rsidRDefault="0005011A" w:rsidP="00FC07B9">
      <w:pPr>
        <w:pStyle w:val="ACMACorporateAddresses"/>
      </w:pPr>
      <w:r w:rsidRPr="00E162C4">
        <w:t>T</w:t>
      </w:r>
      <w:r w:rsidR="00140318" w:rsidRPr="00E162C4">
        <w:tab/>
      </w:r>
      <w:r w:rsidRPr="00E162C4">
        <w:t>+61 3 9963 6800</w:t>
      </w:r>
      <w:r w:rsidRPr="00E162C4">
        <w:br/>
        <w:t>F</w:t>
      </w:r>
      <w:r w:rsidR="00140318" w:rsidRPr="00E162C4">
        <w:tab/>
      </w:r>
      <w:r w:rsidRPr="00E162C4">
        <w:t>+61 3 9963 6899</w:t>
      </w:r>
    </w:p>
    <w:p w14:paraId="2A0FC953" w14:textId="77777777" w:rsidR="0005011A" w:rsidRPr="00E162C4" w:rsidRDefault="0005011A" w:rsidP="00FC07B9">
      <w:pPr>
        <w:pStyle w:val="ACMACorporateAddressHeader"/>
      </w:pPr>
      <w:r w:rsidRPr="00E162C4">
        <w:t>Sydney</w:t>
      </w:r>
    </w:p>
    <w:p w14:paraId="3AAB35BE" w14:textId="77777777" w:rsidR="0005011A" w:rsidRPr="00E162C4" w:rsidRDefault="0005011A" w:rsidP="00FC07B9">
      <w:pPr>
        <w:pStyle w:val="ACMACorporateAddresses"/>
      </w:pPr>
      <w:r w:rsidRPr="00E162C4">
        <w:t xml:space="preserve">Level 5 </w:t>
      </w:r>
      <w:r w:rsidRPr="00E162C4">
        <w:br/>
        <w:t>The Bay Centre</w:t>
      </w:r>
      <w:r w:rsidRPr="00E162C4">
        <w:br/>
        <w:t xml:space="preserve">65 Pirrama Road </w:t>
      </w:r>
      <w:r w:rsidRPr="00E162C4">
        <w:br/>
        <w:t>Pyrmont NSW</w:t>
      </w:r>
    </w:p>
    <w:p w14:paraId="55398387" w14:textId="77777777" w:rsidR="0005011A" w:rsidRPr="00E162C4" w:rsidRDefault="0005011A" w:rsidP="00FC07B9">
      <w:pPr>
        <w:pStyle w:val="ACMACorporateAddresses"/>
      </w:pPr>
      <w:r w:rsidRPr="00E162C4">
        <w:t>PO Box Q500</w:t>
      </w:r>
      <w:r w:rsidRPr="00E162C4">
        <w:br/>
        <w:t xml:space="preserve">Queen Victoria Building </w:t>
      </w:r>
      <w:r w:rsidRPr="00E162C4">
        <w:br/>
        <w:t>NSW 1230</w:t>
      </w:r>
    </w:p>
    <w:p w14:paraId="1A77B327" w14:textId="77777777" w:rsidR="0005011A" w:rsidRPr="00E162C4" w:rsidRDefault="0005011A" w:rsidP="00FC07B9">
      <w:pPr>
        <w:pStyle w:val="ACMACorporateAddresses"/>
      </w:pPr>
      <w:r w:rsidRPr="00E162C4">
        <w:t>T</w:t>
      </w:r>
      <w:r w:rsidR="00140318" w:rsidRPr="00E162C4">
        <w:tab/>
      </w:r>
      <w:r w:rsidRPr="00E162C4">
        <w:t>+61 2 9334 7700</w:t>
      </w:r>
      <w:r w:rsidR="00140318" w:rsidRPr="00E162C4">
        <w:t xml:space="preserve"> or</w:t>
      </w:r>
      <w:r w:rsidRPr="00E162C4">
        <w:t xml:space="preserve"> 1800 226 667</w:t>
      </w:r>
      <w:r w:rsidRPr="00E162C4">
        <w:br/>
        <w:t>F</w:t>
      </w:r>
      <w:r w:rsidR="00140318" w:rsidRPr="00E162C4">
        <w:tab/>
      </w:r>
      <w:r w:rsidRPr="00E162C4">
        <w:t>+61 2 9334 7799</w:t>
      </w:r>
    </w:p>
    <w:p w14:paraId="7D20A23A" w14:textId="77777777" w:rsidR="00140318" w:rsidRPr="00E162C4" w:rsidRDefault="00140318" w:rsidP="00FC07B9">
      <w:pPr>
        <w:pStyle w:val="ACMACopyrightHeader"/>
      </w:pPr>
      <w:r w:rsidRPr="00E162C4">
        <w:t>Copyright notice</w:t>
      </w:r>
    </w:p>
    <w:p w14:paraId="67FC7AB6" w14:textId="77777777" w:rsidR="00140318" w:rsidRPr="00E162C4" w:rsidRDefault="00623FF9" w:rsidP="00623FF9">
      <w:pPr>
        <w:pStyle w:val="ACMACClogo"/>
      </w:pPr>
      <w:r w:rsidRPr="00E162C4">
        <w:rPr>
          <w:noProof/>
        </w:rPr>
        <w:drawing>
          <wp:inline distT="0" distB="0" distL="0" distR="0" wp14:anchorId="6C4110E8" wp14:editId="173292FD">
            <wp:extent cx="838200" cy="295275"/>
            <wp:effectExtent l="0" t="0" r="0" b="0"/>
            <wp:docPr id="1" name="Picture 1" title="Creative Commons logo">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by">
                      <a:hlinkClick r:id="rId11"/>
                    </pic:cNvPr>
                    <pic:cNvPicPr>
                      <a:picLocks noChangeAspect="1" noChangeArrowheads="1"/>
                    </pic:cNvPicPr>
                  </pic:nvPicPr>
                  <pic:blipFill>
                    <a:blip r:embed="rId12" cstate="print"/>
                    <a:srcRect/>
                    <a:stretch>
                      <a:fillRect/>
                    </a:stretch>
                  </pic:blipFill>
                  <pic:spPr bwMode="auto">
                    <a:xfrm>
                      <a:off x="0" y="0"/>
                      <a:ext cx="838200" cy="295275"/>
                    </a:xfrm>
                    <a:prstGeom prst="rect">
                      <a:avLst/>
                    </a:prstGeom>
                    <a:noFill/>
                  </pic:spPr>
                </pic:pic>
              </a:graphicData>
            </a:graphic>
          </wp:inline>
        </w:drawing>
      </w:r>
    </w:p>
    <w:p w14:paraId="5BFC8AD5" w14:textId="2ED765A5" w:rsidR="00AA2DE5" w:rsidRPr="00E162C4" w:rsidRDefault="00A54434" w:rsidP="00AA2DE5">
      <w:pPr>
        <w:pStyle w:val="ACMACorporateAddresses"/>
        <w:rPr>
          <w:rStyle w:val="Hyperlink"/>
        </w:rPr>
      </w:pPr>
      <w:hyperlink r:id="rId13" w:history="1">
        <w:r w:rsidR="00AA2DE5" w:rsidRPr="00E162C4">
          <w:rPr>
            <w:rStyle w:val="Hyperlink"/>
          </w:rPr>
          <w:t>https://creativecommons.org/licenses/by/4.0/</w:t>
        </w:r>
      </w:hyperlink>
    </w:p>
    <w:p w14:paraId="0266EABE" w14:textId="77777777" w:rsidR="00AA2DE5" w:rsidRPr="00E162C4" w:rsidRDefault="00AA2DE5" w:rsidP="00AA2DE5">
      <w:pPr>
        <w:pStyle w:val="ACMACorporateAddresses"/>
      </w:pPr>
      <w:r w:rsidRPr="00E162C4">
        <w:t xml:space="preserve">With the exception of coats of arms, logos, emblems, images, other third-party material or devices protected by a trademark, this content is made available under the terms of the Creative Commons Attribution 4.0 International (CC BY 4.0) licence. </w:t>
      </w:r>
    </w:p>
    <w:p w14:paraId="41483AF0" w14:textId="77777777" w:rsidR="00AA2DE5" w:rsidRPr="00E162C4" w:rsidRDefault="00AA2DE5" w:rsidP="00AA2DE5">
      <w:pPr>
        <w:pStyle w:val="ACMACorporateAddresses"/>
      </w:pPr>
      <w:r w:rsidRPr="00E162C4">
        <w:t>We request attribution as © Commonwealth of Australia (Australian Communications and Media Authority) 20</w:t>
      </w:r>
      <w:r w:rsidR="00C41F21" w:rsidRPr="00E162C4">
        <w:t>2</w:t>
      </w:r>
      <w:r w:rsidR="00E162C4">
        <w:t>2</w:t>
      </w:r>
      <w:r w:rsidRPr="00E162C4">
        <w:t>.</w:t>
      </w:r>
    </w:p>
    <w:p w14:paraId="0B09E0B6" w14:textId="77777777" w:rsidR="00AA2DE5" w:rsidRPr="00E162C4" w:rsidRDefault="00AA2DE5" w:rsidP="00AA2DE5">
      <w:pPr>
        <w:pStyle w:val="ACMACorporateAddresses"/>
      </w:pPr>
      <w:r w:rsidRPr="00E162C4">
        <w:t>All other rights are reserved.</w:t>
      </w:r>
    </w:p>
    <w:p w14:paraId="14FE503B" w14:textId="77777777" w:rsidR="00AA2DE5" w:rsidRPr="00E162C4" w:rsidRDefault="00AA2DE5" w:rsidP="00AA2DE5">
      <w:pPr>
        <w:pStyle w:val="ACMACorporateAddresses"/>
      </w:pPr>
      <w:r w:rsidRPr="00E162C4">
        <w:t xml:space="preserve">The Australian Communications and Media Authority has undertaken reasonable enquiries to identify material owned by third parties and secure permission for its reproduction. Permission may need to be obtained from third parties to re-use their material. </w:t>
      </w:r>
    </w:p>
    <w:p w14:paraId="7B589E0E" w14:textId="77777777" w:rsidR="00AA2DE5" w:rsidRPr="00E162C4" w:rsidRDefault="00AA2DE5" w:rsidP="00AA2DE5">
      <w:pPr>
        <w:pStyle w:val="ACMACorporateAddresses"/>
      </w:pPr>
      <w:r w:rsidRPr="00E162C4">
        <w:t>Written enquiries may be sent to:</w:t>
      </w:r>
    </w:p>
    <w:p w14:paraId="11B468E3" w14:textId="1863326D" w:rsidR="00AA2DE5" w:rsidRPr="00E162C4" w:rsidRDefault="00AA2DE5" w:rsidP="00AA2DE5">
      <w:pPr>
        <w:pStyle w:val="ACMACorporateAddresses"/>
        <w:rPr>
          <w:rStyle w:val="Hyperlink"/>
        </w:rPr>
      </w:pPr>
      <w:r w:rsidRPr="00E162C4">
        <w:t xml:space="preserve">Manager, Editorial </w:t>
      </w:r>
      <w:r w:rsidR="000245E5" w:rsidRPr="00E162C4">
        <w:t>Services</w:t>
      </w:r>
      <w:r w:rsidRPr="00E162C4">
        <w:br/>
        <w:t>PO Box 13112</w:t>
      </w:r>
      <w:r w:rsidRPr="00E162C4">
        <w:br/>
        <w:t>Law Courts</w:t>
      </w:r>
      <w:r w:rsidRPr="00E162C4">
        <w:br/>
        <w:t>Melbourne VIC 8010</w:t>
      </w:r>
      <w:r w:rsidRPr="00E162C4">
        <w:br/>
        <w:t xml:space="preserve">Email: </w:t>
      </w:r>
      <w:hyperlink r:id="rId14" w:history="1">
        <w:r w:rsidRPr="00E162C4">
          <w:rPr>
            <w:rStyle w:val="Hyperlink"/>
          </w:rPr>
          <w:t>info@acma.gov.au</w:t>
        </w:r>
      </w:hyperlink>
    </w:p>
    <w:p w14:paraId="51289239" w14:textId="77777777" w:rsidR="00D16FE3" w:rsidRPr="00E162C4" w:rsidRDefault="00D16FE3" w:rsidP="00D16FE3">
      <w:pPr>
        <w:pStyle w:val="ACMACorporateAddresses"/>
        <w:rPr>
          <w:rStyle w:val="Hyperlink"/>
        </w:rPr>
      </w:pPr>
    </w:p>
    <w:p w14:paraId="1C7E72AB" w14:textId="77777777" w:rsidR="00D16FE3" w:rsidRPr="00E162C4" w:rsidRDefault="00D16FE3" w:rsidP="00D16FE3">
      <w:pPr>
        <w:pStyle w:val="ACMACorporateAddresses"/>
        <w:sectPr w:rsidR="00D16FE3" w:rsidRPr="00E162C4">
          <w:headerReference w:type="even" r:id="rId15"/>
          <w:headerReference w:type="default" r:id="rId16"/>
          <w:footerReference w:type="even" r:id="rId17"/>
          <w:footerReference w:type="default" r:id="rId18"/>
          <w:pgSz w:w="11906" w:h="16838" w:code="9"/>
          <w:pgMar w:top="3924" w:right="1797" w:bottom="697" w:left="1134" w:header="709" w:footer="119" w:gutter="0"/>
          <w:cols w:space="708"/>
          <w:docGrid w:linePitch="360"/>
        </w:sectPr>
      </w:pPr>
    </w:p>
    <w:p w14:paraId="4287D058" w14:textId="49684FD8" w:rsidR="007B3DF6" w:rsidRDefault="006A3ECF">
      <w:pPr>
        <w:pStyle w:val="TOC1"/>
        <w:rPr>
          <w:rFonts w:asciiTheme="minorHAnsi" w:eastAsiaTheme="minorEastAsia" w:hAnsiTheme="minorHAnsi" w:cstheme="minorBidi"/>
          <w:b w:val="0"/>
          <w:spacing w:val="0"/>
          <w:sz w:val="22"/>
          <w:szCs w:val="22"/>
        </w:rPr>
      </w:pPr>
      <w:r w:rsidRPr="00E162C4">
        <w:rPr>
          <w:rFonts w:cs="Arial"/>
        </w:rPr>
        <w:lastRenderedPageBreak/>
        <w:fldChar w:fldCharType="begin"/>
      </w:r>
      <w:r w:rsidRPr="00E162C4">
        <w:rPr>
          <w:rFonts w:cs="Arial"/>
        </w:rPr>
        <w:instrText xml:space="preserve"> TOC \o "1-2" \h \z \t "Exec summary heading,1" </w:instrText>
      </w:r>
      <w:r w:rsidRPr="00E162C4">
        <w:rPr>
          <w:rFonts w:cs="Arial"/>
        </w:rPr>
        <w:fldChar w:fldCharType="separate"/>
      </w:r>
      <w:hyperlink w:anchor="_Toc107506498" w:history="1">
        <w:r w:rsidR="007B3DF6" w:rsidRPr="00785848">
          <w:rPr>
            <w:rStyle w:val="Hyperlink"/>
          </w:rPr>
          <w:t>Executive summary</w:t>
        </w:r>
        <w:r w:rsidR="007B3DF6">
          <w:rPr>
            <w:webHidden/>
          </w:rPr>
          <w:tab/>
        </w:r>
        <w:r w:rsidR="007B3DF6">
          <w:rPr>
            <w:webHidden/>
          </w:rPr>
          <w:fldChar w:fldCharType="begin"/>
        </w:r>
        <w:r w:rsidR="007B3DF6">
          <w:rPr>
            <w:webHidden/>
          </w:rPr>
          <w:instrText xml:space="preserve"> PAGEREF _Toc107506498 \h </w:instrText>
        </w:r>
        <w:r w:rsidR="007B3DF6">
          <w:rPr>
            <w:webHidden/>
          </w:rPr>
        </w:r>
        <w:r w:rsidR="007B3DF6">
          <w:rPr>
            <w:webHidden/>
          </w:rPr>
          <w:fldChar w:fldCharType="separate"/>
        </w:r>
        <w:r w:rsidR="00EC17BA">
          <w:rPr>
            <w:webHidden/>
          </w:rPr>
          <w:t>1</w:t>
        </w:r>
        <w:r w:rsidR="007B3DF6">
          <w:rPr>
            <w:webHidden/>
          </w:rPr>
          <w:fldChar w:fldCharType="end"/>
        </w:r>
      </w:hyperlink>
    </w:p>
    <w:p w14:paraId="6F50A56B" w14:textId="0F0D417F" w:rsidR="007B3DF6" w:rsidRDefault="00A54434">
      <w:pPr>
        <w:pStyle w:val="TOC1"/>
        <w:rPr>
          <w:rFonts w:asciiTheme="minorHAnsi" w:eastAsiaTheme="minorEastAsia" w:hAnsiTheme="minorHAnsi" w:cstheme="minorBidi"/>
          <w:b w:val="0"/>
          <w:spacing w:val="0"/>
          <w:sz w:val="22"/>
          <w:szCs w:val="22"/>
        </w:rPr>
      </w:pPr>
      <w:hyperlink w:anchor="_Toc107506499" w:history="1">
        <w:r w:rsidR="007B3DF6" w:rsidRPr="00785848">
          <w:rPr>
            <w:rStyle w:val="Hyperlink"/>
          </w:rPr>
          <w:t>Introduction</w:t>
        </w:r>
        <w:r w:rsidR="007B3DF6">
          <w:rPr>
            <w:webHidden/>
          </w:rPr>
          <w:tab/>
        </w:r>
        <w:r w:rsidR="007B3DF6">
          <w:rPr>
            <w:webHidden/>
          </w:rPr>
          <w:fldChar w:fldCharType="begin"/>
        </w:r>
        <w:r w:rsidR="007B3DF6">
          <w:rPr>
            <w:webHidden/>
          </w:rPr>
          <w:instrText xml:space="preserve"> PAGEREF _Toc107506499 \h </w:instrText>
        </w:r>
        <w:r w:rsidR="007B3DF6">
          <w:rPr>
            <w:webHidden/>
          </w:rPr>
        </w:r>
        <w:r w:rsidR="007B3DF6">
          <w:rPr>
            <w:webHidden/>
          </w:rPr>
          <w:fldChar w:fldCharType="separate"/>
        </w:r>
        <w:r w:rsidR="00EC17BA">
          <w:rPr>
            <w:webHidden/>
          </w:rPr>
          <w:t>4</w:t>
        </w:r>
        <w:r w:rsidR="007B3DF6">
          <w:rPr>
            <w:webHidden/>
          </w:rPr>
          <w:fldChar w:fldCharType="end"/>
        </w:r>
      </w:hyperlink>
    </w:p>
    <w:p w14:paraId="03E6F7D4" w14:textId="25DDD713" w:rsidR="007B3DF6" w:rsidRDefault="00A54434">
      <w:pPr>
        <w:pStyle w:val="TOC2"/>
        <w:rPr>
          <w:rFonts w:asciiTheme="minorHAnsi" w:eastAsiaTheme="minorEastAsia" w:hAnsiTheme="minorHAnsi" w:cstheme="minorBidi"/>
          <w:spacing w:val="0"/>
          <w:sz w:val="22"/>
          <w:szCs w:val="22"/>
        </w:rPr>
      </w:pPr>
      <w:hyperlink w:anchor="_Toc107506500" w:history="1">
        <w:r w:rsidR="007B3DF6" w:rsidRPr="00785848">
          <w:rPr>
            <w:rStyle w:val="Hyperlink"/>
          </w:rPr>
          <w:t>Background</w:t>
        </w:r>
        <w:r w:rsidR="007B3DF6">
          <w:rPr>
            <w:webHidden/>
          </w:rPr>
          <w:tab/>
        </w:r>
        <w:r w:rsidR="007B3DF6">
          <w:rPr>
            <w:webHidden/>
          </w:rPr>
          <w:fldChar w:fldCharType="begin"/>
        </w:r>
        <w:r w:rsidR="007B3DF6">
          <w:rPr>
            <w:webHidden/>
          </w:rPr>
          <w:instrText xml:space="preserve"> PAGEREF _Toc107506500 \h </w:instrText>
        </w:r>
        <w:r w:rsidR="007B3DF6">
          <w:rPr>
            <w:webHidden/>
          </w:rPr>
        </w:r>
        <w:r w:rsidR="007B3DF6">
          <w:rPr>
            <w:webHidden/>
          </w:rPr>
          <w:fldChar w:fldCharType="separate"/>
        </w:r>
        <w:r w:rsidR="00EC17BA">
          <w:rPr>
            <w:webHidden/>
          </w:rPr>
          <w:t>4</w:t>
        </w:r>
        <w:r w:rsidR="007B3DF6">
          <w:rPr>
            <w:webHidden/>
          </w:rPr>
          <w:fldChar w:fldCharType="end"/>
        </w:r>
      </w:hyperlink>
    </w:p>
    <w:p w14:paraId="4EBE4087" w14:textId="3E0DB599" w:rsidR="007B3DF6" w:rsidRDefault="00A54434">
      <w:pPr>
        <w:pStyle w:val="TOC2"/>
        <w:rPr>
          <w:rFonts w:asciiTheme="minorHAnsi" w:eastAsiaTheme="minorEastAsia" w:hAnsiTheme="minorHAnsi" w:cstheme="minorBidi"/>
          <w:spacing w:val="0"/>
          <w:sz w:val="22"/>
          <w:szCs w:val="22"/>
        </w:rPr>
      </w:pPr>
      <w:hyperlink w:anchor="_Toc107506501" w:history="1">
        <w:r w:rsidR="007B3DF6" w:rsidRPr="00785848">
          <w:rPr>
            <w:rStyle w:val="Hyperlink"/>
          </w:rPr>
          <w:t>Submissions</w:t>
        </w:r>
        <w:r w:rsidR="007B3DF6">
          <w:rPr>
            <w:webHidden/>
          </w:rPr>
          <w:tab/>
        </w:r>
        <w:r w:rsidR="007B3DF6">
          <w:rPr>
            <w:webHidden/>
          </w:rPr>
          <w:fldChar w:fldCharType="begin"/>
        </w:r>
        <w:r w:rsidR="007B3DF6">
          <w:rPr>
            <w:webHidden/>
          </w:rPr>
          <w:instrText xml:space="preserve"> PAGEREF _Toc107506501 \h </w:instrText>
        </w:r>
        <w:r w:rsidR="007B3DF6">
          <w:rPr>
            <w:webHidden/>
          </w:rPr>
        </w:r>
        <w:r w:rsidR="007B3DF6">
          <w:rPr>
            <w:webHidden/>
          </w:rPr>
          <w:fldChar w:fldCharType="separate"/>
        </w:r>
        <w:r w:rsidR="00EC17BA">
          <w:rPr>
            <w:webHidden/>
          </w:rPr>
          <w:t>4</w:t>
        </w:r>
        <w:r w:rsidR="007B3DF6">
          <w:rPr>
            <w:webHidden/>
          </w:rPr>
          <w:fldChar w:fldCharType="end"/>
        </w:r>
      </w:hyperlink>
    </w:p>
    <w:p w14:paraId="73BE63F1" w14:textId="4049EB72" w:rsidR="007B3DF6" w:rsidRDefault="00A54434">
      <w:pPr>
        <w:pStyle w:val="TOC1"/>
        <w:rPr>
          <w:rFonts w:asciiTheme="minorHAnsi" w:eastAsiaTheme="minorEastAsia" w:hAnsiTheme="minorHAnsi" w:cstheme="minorBidi"/>
          <w:b w:val="0"/>
          <w:spacing w:val="0"/>
          <w:sz w:val="22"/>
          <w:szCs w:val="22"/>
        </w:rPr>
      </w:pPr>
      <w:hyperlink w:anchor="_Toc107506502" w:history="1">
        <w:r w:rsidR="007B3DF6" w:rsidRPr="00785848">
          <w:rPr>
            <w:rStyle w:val="Hyperlink"/>
          </w:rPr>
          <w:t>2 GHz shared narrowband MSS segment</w:t>
        </w:r>
        <w:r w:rsidR="007B3DF6">
          <w:rPr>
            <w:webHidden/>
          </w:rPr>
          <w:tab/>
        </w:r>
        <w:r w:rsidR="007B3DF6">
          <w:rPr>
            <w:webHidden/>
          </w:rPr>
          <w:fldChar w:fldCharType="begin"/>
        </w:r>
        <w:r w:rsidR="007B3DF6">
          <w:rPr>
            <w:webHidden/>
          </w:rPr>
          <w:instrText xml:space="preserve"> PAGEREF _Toc107506502 \h </w:instrText>
        </w:r>
        <w:r w:rsidR="007B3DF6">
          <w:rPr>
            <w:webHidden/>
          </w:rPr>
        </w:r>
        <w:r w:rsidR="007B3DF6">
          <w:rPr>
            <w:webHidden/>
          </w:rPr>
          <w:fldChar w:fldCharType="separate"/>
        </w:r>
        <w:r w:rsidR="00EC17BA">
          <w:rPr>
            <w:webHidden/>
          </w:rPr>
          <w:t>5</w:t>
        </w:r>
        <w:r w:rsidR="007B3DF6">
          <w:rPr>
            <w:webHidden/>
          </w:rPr>
          <w:fldChar w:fldCharType="end"/>
        </w:r>
      </w:hyperlink>
    </w:p>
    <w:p w14:paraId="6A0CF9C7" w14:textId="48A3EAAE" w:rsidR="007B3DF6" w:rsidRDefault="00A54434">
      <w:pPr>
        <w:pStyle w:val="TOC2"/>
        <w:rPr>
          <w:rFonts w:asciiTheme="minorHAnsi" w:eastAsiaTheme="minorEastAsia" w:hAnsiTheme="minorHAnsi" w:cstheme="minorBidi"/>
          <w:spacing w:val="0"/>
          <w:sz w:val="22"/>
          <w:szCs w:val="22"/>
        </w:rPr>
      </w:pPr>
      <w:hyperlink w:anchor="_Toc107506503" w:history="1">
        <w:r w:rsidR="007B3DF6" w:rsidRPr="00785848">
          <w:rPr>
            <w:rStyle w:val="Hyperlink"/>
          </w:rPr>
          <w:t>Overview</w:t>
        </w:r>
        <w:r w:rsidR="007B3DF6">
          <w:rPr>
            <w:webHidden/>
          </w:rPr>
          <w:tab/>
        </w:r>
        <w:r w:rsidR="007B3DF6">
          <w:rPr>
            <w:webHidden/>
          </w:rPr>
          <w:fldChar w:fldCharType="begin"/>
        </w:r>
        <w:r w:rsidR="007B3DF6">
          <w:rPr>
            <w:webHidden/>
          </w:rPr>
          <w:instrText xml:space="preserve"> PAGEREF _Toc107506503 \h </w:instrText>
        </w:r>
        <w:r w:rsidR="007B3DF6">
          <w:rPr>
            <w:webHidden/>
          </w:rPr>
        </w:r>
        <w:r w:rsidR="007B3DF6">
          <w:rPr>
            <w:webHidden/>
          </w:rPr>
          <w:fldChar w:fldCharType="separate"/>
        </w:r>
        <w:r w:rsidR="00EC17BA">
          <w:rPr>
            <w:webHidden/>
          </w:rPr>
          <w:t>5</w:t>
        </w:r>
        <w:r w:rsidR="007B3DF6">
          <w:rPr>
            <w:webHidden/>
          </w:rPr>
          <w:fldChar w:fldCharType="end"/>
        </w:r>
      </w:hyperlink>
    </w:p>
    <w:p w14:paraId="0ED7306C" w14:textId="2AA5C0F2" w:rsidR="007B3DF6" w:rsidRDefault="00A54434">
      <w:pPr>
        <w:pStyle w:val="TOC2"/>
        <w:rPr>
          <w:rFonts w:asciiTheme="minorHAnsi" w:eastAsiaTheme="minorEastAsia" w:hAnsiTheme="minorHAnsi" w:cstheme="minorBidi"/>
          <w:spacing w:val="0"/>
          <w:sz w:val="22"/>
          <w:szCs w:val="22"/>
        </w:rPr>
      </w:pPr>
      <w:hyperlink w:anchor="_Toc107506504" w:history="1">
        <w:r w:rsidR="007B3DF6" w:rsidRPr="00785848">
          <w:rPr>
            <w:rStyle w:val="Hyperlink"/>
          </w:rPr>
          <w:t>Issues</w:t>
        </w:r>
        <w:r w:rsidR="007B3DF6">
          <w:rPr>
            <w:webHidden/>
          </w:rPr>
          <w:tab/>
        </w:r>
        <w:r w:rsidR="007B3DF6">
          <w:rPr>
            <w:webHidden/>
          </w:rPr>
          <w:tab/>
        </w:r>
        <w:r w:rsidR="007B3DF6">
          <w:rPr>
            <w:webHidden/>
          </w:rPr>
          <w:fldChar w:fldCharType="begin"/>
        </w:r>
        <w:r w:rsidR="007B3DF6">
          <w:rPr>
            <w:webHidden/>
          </w:rPr>
          <w:instrText xml:space="preserve"> PAGEREF _Toc107506504 \h </w:instrText>
        </w:r>
        <w:r w:rsidR="007B3DF6">
          <w:rPr>
            <w:webHidden/>
          </w:rPr>
        </w:r>
        <w:r w:rsidR="007B3DF6">
          <w:rPr>
            <w:webHidden/>
          </w:rPr>
          <w:fldChar w:fldCharType="separate"/>
        </w:r>
        <w:r w:rsidR="00EC17BA">
          <w:rPr>
            <w:webHidden/>
          </w:rPr>
          <w:t>5</w:t>
        </w:r>
        <w:r w:rsidR="007B3DF6">
          <w:rPr>
            <w:webHidden/>
          </w:rPr>
          <w:fldChar w:fldCharType="end"/>
        </w:r>
      </w:hyperlink>
    </w:p>
    <w:p w14:paraId="70694CA3" w14:textId="3EC9D2A8" w:rsidR="007B3DF6" w:rsidRDefault="00A54434">
      <w:pPr>
        <w:pStyle w:val="TOC2"/>
        <w:rPr>
          <w:rFonts w:asciiTheme="minorHAnsi" w:eastAsiaTheme="minorEastAsia" w:hAnsiTheme="minorHAnsi" w:cstheme="minorBidi"/>
          <w:spacing w:val="0"/>
          <w:sz w:val="22"/>
          <w:szCs w:val="22"/>
        </w:rPr>
      </w:pPr>
      <w:hyperlink w:anchor="_Toc107506505" w:history="1">
        <w:r w:rsidR="007B3DF6" w:rsidRPr="00785848">
          <w:rPr>
            <w:rStyle w:val="Hyperlink"/>
          </w:rPr>
          <w:t>Consultation outcome and next steps</w:t>
        </w:r>
        <w:r w:rsidR="007B3DF6">
          <w:rPr>
            <w:webHidden/>
          </w:rPr>
          <w:tab/>
        </w:r>
        <w:r w:rsidR="007B3DF6">
          <w:rPr>
            <w:webHidden/>
          </w:rPr>
          <w:fldChar w:fldCharType="begin"/>
        </w:r>
        <w:r w:rsidR="007B3DF6">
          <w:rPr>
            <w:webHidden/>
          </w:rPr>
          <w:instrText xml:space="preserve"> PAGEREF _Toc107506505 \h </w:instrText>
        </w:r>
        <w:r w:rsidR="007B3DF6">
          <w:rPr>
            <w:webHidden/>
          </w:rPr>
        </w:r>
        <w:r w:rsidR="007B3DF6">
          <w:rPr>
            <w:webHidden/>
          </w:rPr>
          <w:fldChar w:fldCharType="separate"/>
        </w:r>
        <w:r w:rsidR="00EC17BA">
          <w:rPr>
            <w:webHidden/>
          </w:rPr>
          <w:t>9</w:t>
        </w:r>
        <w:r w:rsidR="007B3DF6">
          <w:rPr>
            <w:webHidden/>
          </w:rPr>
          <w:fldChar w:fldCharType="end"/>
        </w:r>
      </w:hyperlink>
    </w:p>
    <w:p w14:paraId="12AE0C44" w14:textId="3F4EB729" w:rsidR="007B3DF6" w:rsidRDefault="00A54434">
      <w:pPr>
        <w:pStyle w:val="TOC1"/>
        <w:rPr>
          <w:rFonts w:asciiTheme="minorHAnsi" w:eastAsiaTheme="minorEastAsia" w:hAnsiTheme="minorHAnsi" w:cstheme="minorBidi"/>
          <w:b w:val="0"/>
          <w:spacing w:val="0"/>
          <w:sz w:val="22"/>
          <w:szCs w:val="22"/>
        </w:rPr>
      </w:pPr>
      <w:hyperlink w:anchor="_Toc107506506" w:history="1">
        <w:r w:rsidR="007B3DF6" w:rsidRPr="00785848">
          <w:rPr>
            <w:rStyle w:val="Hyperlink"/>
          </w:rPr>
          <w:t>28 GHz fixed-satellite services</w:t>
        </w:r>
        <w:r w:rsidR="007B3DF6">
          <w:rPr>
            <w:webHidden/>
          </w:rPr>
          <w:tab/>
        </w:r>
        <w:r w:rsidR="007B3DF6">
          <w:rPr>
            <w:webHidden/>
          </w:rPr>
          <w:fldChar w:fldCharType="begin"/>
        </w:r>
        <w:r w:rsidR="007B3DF6">
          <w:rPr>
            <w:webHidden/>
          </w:rPr>
          <w:instrText xml:space="preserve"> PAGEREF _Toc107506506 \h </w:instrText>
        </w:r>
        <w:r w:rsidR="007B3DF6">
          <w:rPr>
            <w:webHidden/>
          </w:rPr>
        </w:r>
        <w:r w:rsidR="007B3DF6">
          <w:rPr>
            <w:webHidden/>
          </w:rPr>
          <w:fldChar w:fldCharType="separate"/>
        </w:r>
        <w:r w:rsidR="00EC17BA">
          <w:rPr>
            <w:webHidden/>
          </w:rPr>
          <w:t>11</w:t>
        </w:r>
        <w:r w:rsidR="007B3DF6">
          <w:rPr>
            <w:webHidden/>
          </w:rPr>
          <w:fldChar w:fldCharType="end"/>
        </w:r>
      </w:hyperlink>
    </w:p>
    <w:p w14:paraId="3A195AB4" w14:textId="046C8973" w:rsidR="007B3DF6" w:rsidRDefault="00A54434">
      <w:pPr>
        <w:pStyle w:val="TOC2"/>
        <w:rPr>
          <w:rFonts w:asciiTheme="minorHAnsi" w:eastAsiaTheme="minorEastAsia" w:hAnsiTheme="minorHAnsi" w:cstheme="minorBidi"/>
          <w:spacing w:val="0"/>
          <w:sz w:val="22"/>
          <w:szCs w:val="22"/>
        </w:rPr>
      </w:pPr>
      <w:hyperlink w:anchor="_Toc107506507" w:history="1">
        <w:r w:rsidR="007B3DF6" w:rsidRPr="00785848">
          <w:rPr>
            <w:rStyle w:val="Hyperlink"/>
          </w:rPr>
          <w:t>Overview</w:t>
        </w:r>
        <w:r w:rsidR="007B3DF6">
          <w:rPr>
            <w:webHidden/>
          </w:rPr>
          <w:tab/>
        </w:r>
        <w:r w:rsidR="007B3DF6">
          <w:rPr>
            <w:webHidden/>
          </w:rPr>
          <w:fldChar w:fldCharType="begin"/>
        </w:r>
        <w:r w:rsidR="007B3DF6">
          <w:rPr>
            <w:webHidden/>
          </w:rPr>
          <w:instrText xml:space="preserve"> PAGEREF _Toc107506507 \h </w:instrText>
        </w:r>
        <w:r w:rsidR="007B3DF6">
          <w:rPr>
            <w:webHidden/>
          </w:rPr>
        </w:r>
        <w:r w:rsidR="007B3DF6">
          <w:rPr>
            <w:webHidden/>
          </w:rPr>
          <w:fldChar w:fldCharType="separate"/>
        </w:r>
        <w:r w:rsidR="00EC17BA">
          <w:rPr>
            <w:webHidden/>
          </w:rPr>
          <w:t>11</w:t>
        </w:r>
        <w:r w:rsidR="007B3DF6">
          <w:rPr>
            <w:webHidden/>
          </w:rPr>
          <w:fldChar w:fldCharType="end"/>
        </w:r>
      </w:hyperlink>
    </w:p>
    <w:p w14:paraId="79B98899" w14:textId="2CD98FB6" w:rsidR="007B3DF6" w:rsidRDefault="00A54434">
      <w:pPr>
        <w:pStyle w:val="TOC2"/>
        <w:rPr>
          <w:rFonts w:asciiTheme="minorHAnsi" w:eastAsiaTheme="minorEastAsia" w:hAnsiTheme="minorHAnsi" w:cstheme="minorBidi"/>
          <w:spacing w:val="0"/>
          <w:sz w:val="22"/>
          <w:szCs w:val="22"/>
        </w:rPr>
      </w:pPr>
      <w:hyperlink w:anchor="_Toc107506508" w:history="1">
        <w:r w:rsidR="007B3DF6" w:rsidRPr="00785848">
          <w:rPr>
            <w:rStyle w:val="Hyperlink"/>
          </w:rPr>
          <w:t>Issues</w:t>
        </w:r>
        <w:r w:rsidR="007B3DF6">
          <w:rPr>
            <w:webHidden/>
          </w:rPr>
          <w:tab/>
        </w:r>
        <w:r w:rsidR="007B3DF6">
          <w:rPr>
            <w:webHidden/>
          </w:rPr>
          <w:tab/>
        </w:r>
        <w:r w:rsidR="007B3DF6">
          <w:rPr>
            <w:webHidden/>
          </w:rPr>
          <w:fldChar w:fldCharType="begin"/>
        </w:r>
        <w:r w:rsidR="007B3DF6">
          <w:rPr>
            <w:webHidden/>
          </w:rPr>
          <w:instrText xml:space="preserve"> PAGEREF _Toc107506508 \h </w:instrText>
        </w:r>
        <w:r w:rsidR="007B3DF6">
          <w:rPr>
            <w:webHidden/>
          </w:rPr>
        </w:r>
        <w:r w:rsidR="007B3DF6">
          <w:rPr>
            <w:webHidden/>
          </w:rPr>
          <w:fldChar w:fldCharType="separate"/>
        </w:r>
        <w:r w:rsidR="00EC17BA">
          <w:rPr>
            <w:webHidden/>
          </w:rPr>
          <w:t>11</w:t>
        </w:r>
        <w:r w:rsidR="007B3DF6">
          <w:rPr>
            <w:webHidden/>
          </w:rPr>
          <w:fldChar w:fldCharType="end"/>
        </w:r>
      </w:hyperlink>
    </w:p>
    <w:p w14:paraId="5DBA5449" w14:textId="2D63E52D" w:rsidR="007B3DF6" w:rsidRDefault="00A54434">
      <w:pPr>
        <w:pStyle w:val="TOC1"/>
        <w:rPr>
          <w:rFonts w:asciiTheme="minorHAnsi" w:eastAsiaTheme="minorEastAsia" w:hAnsiTheme="minorHAnsi" w:cstheme="minorBidi"/>
          <w:b w:val="0"/>
          <w:spacing w:val="0"/>
          <w:sz w:val="22"/>
          <w:szCs w:val="22"/>
        </w:rPr>
      </w:pPr>
      <w:hyperlink w:anchor="_Toc107506509" w:history="1">
        <w:r w:rsidR="007B3DF6" w:rsidRPr="00785848">
          <w:rPr>
            <w:rStyle w:val="Hyperlink"/>
          </w:rPr>
          <w:t>Appendix A: 2 GHz technical analysis</w:t>
        </w:r>
        <w:r w:rsidR="007B3DF6">
          <w:rPr>
            <w:webHidden/>
          </w:rPr>
          <w:tab/>
        </w:r>
        <w:r w:rsidR="007B3DF6">
          <w:rPr>
            <w:webHidden/>
          </w:rPr>
          <w:fldChar w:fldCharType="begin"/>
        </w:r>
        <w:r w:rsidR="007B3DF6">
          <w:rPr>
            <w:webHidden/>
          </w:rPr>
          <w:instrText xml:space="preserve"> PAGEREF _Toc107506509 \h </w:instrText>
        </w:r>
        <w:r w:rsidR="007B3DF6">
          <w:rPr>
            <w:webHidden/>
          </w:rPr>
        </w:r>
        <w:r w:rsidR="007B3DF6">
          <w:rPr>
            <w:webHidden/>
          </w:rPr>
          <w:fldChar w:fldCharType="separate"/>
        </w:r>
        <w:r w:rsidR="00EC17BA">
          <w:rPr>
            <w:webHidden/>
          </w:rPr>
          <w:t>15</w:t>
        </w:r>
        <w:r w:rsidR="007B3DF6">
          <w:rPr>
            <w:webHidden/>
          </w:rPr>
          <w:fldChar w:fldCharType="end"/>
        </w:r>
      </w:hyperlink>
    </w:p>
    <w:p w14:paraId="5040545A" w14:textId="30642918" w:rsidR="007B3DF6" w:rsidRDefault="00A54434">
      <w:pPr>
        <w:pStyle w:val="TOC2"/>
        <w:rPr>
          <w:rFonts w:asciiTheme="minorHAnsi" w:eastAsiaTheme="minorEastAsia" w:hAnsiTheme="minorHAnsi" w:cstheme="minorBidi"/>
          <w:spacing w:val="0"/>
          <w:sz w:val="22"/>
          <w:szCs w:val="22"/>
        </w:rPr>
      </w:pPr>
      <w:hyperlink w:anchor="_Toc107506510" w:history="1">
        <w:r w:rsidR="007B3DF6" w:rsidRPr="00785848">
          <w:rPr>
            <w:rStyle w:val="Hyperlink"/>
          </w:rPr>
          <w:t>Narrowband MSS characteristics</w:t>
        </w:r>
        <w:r w:rsidR="007B3DF6">
          <w:rPr>
            <w:webHidden/>
          </w:rPr>
          <w:tab/>
        </w:r>
        <w:r w:rsidR="007B3DF6">
          <w:rPr>
            <w:webHidden/>
          </w:rPr>
          <w:fldChar w:fldCharType="begin"/>
        </w:r>
        <w:r w:rsidR="007B3DF6">
          <w:rPr>
            <w:webHidden/>
          </w:rPr>
          <w:instrText xml:space="preserve"> PAGEREF _Toc107506510 \h </w:instrText>
        </w:r>
        <w:r w:rsidR="007B3DF6">
          <w:rPr>
            <w:webHidden/>
          </w:rPr>
        </w:r>
        <w:r w:rsidR="007B3DF6">
          <w:rPr>
            <w:webHidden/>
          </w:rPr>
          <w:fldChar w:fldCharType="separate"/>
        </w:r>
        <w:r w:rsidR="00EC17BA">
          <w:rPr>
            <w:webHidden/>
          </w:rPr>
          <w:t>15</w:t>
        </w:r>
        <w:r w:rsidR="007B3DF6">
          <w:rPr>
            <w:webHidden/>
          </w:rPr>
          <w:fldChar w:fldCharType="end"/>
        </w:r>
      </w:hyperlink>
    </w:p>
    <w:p w14:paraId="4EF0E6BF" w14:textId="0F1CCDC1" w:rsidR="007B3DF6" w:rsidRDefault="00A54434">
      <w:pPr>
        <w:pStyle w:val="TOC2"/>
        <w:rPr>
          <w:rFonts w:asciiTheme="minorHAnsi" w:eastAsiaTheme="minorEastAsia" w:hAnsiTheme="minorHAnsi" w:cstheme="minorBidi"/>
          <w:spacing w:val="0"/>
          <w:sz w:val="22"/>
          <w:szCs w:val="22"/>
        </w:rPr>
      </w:pPr>
      <w:hyperlink w:anchor="_Toc107506511" w:history="1">
        <w:r w:rsidR="007B3DF6" w:rsidRPr="00785848">
          <w:rPr>
            <w:rStyle w:val="Hyperlink"/>
          </w:rPr>
          <w:t>Technical parameters to assess protection of TOB in adjacent band</w:t>
        </w:r>
        <w:r w:rsidR="007B3DF6">
          <w:rPr>
            <w:webHidden/>
          </w:rPr>
          <w:tab/>
        </w:r>
        <w:r w:rsidR="007B3DF6">
          <w:rPr>
            <w:webHidden/>
          </w:rPr>
          <w:fldChar w:fldCharType="begin"/>
        </w:r>
        <w:r w:rsidR="007B3DF6">
          <w:rPr>
            <w:webHidden/>
          </w:rPr>
          <w:instrText xml:space="preserve"> PAGEREF _Toc107506511 \h </w:instrText>
        </w:r>
        <w:r w:rsidR="007B3DF6">
          <w:rPr>
            <w:webHidden/>
          </w:rPr>
        </w:r>
        <w:r w:rsidR="007B3DF6">
          <w:rPr>
            <w:webHidden/>
          </w:rPr>
          <w:fldChar w:fldCharType="separate"/>
        </w:r>
        <w:r w:rsidR="00EC17BA">
          <w:rPr>
            <w:webHidden/>
          </w:rPr>
          <w:t>16</w:t>
        </w:r>
        <w:r w:rsidR="007B3DF6">
          <w:rPr>
            <w:webHidden/>
          </w:rPr>
          <w:fldChar w:fldCharType="end"/>
        </w:r>
      </w:hyperlink>
    </w:p>
    <w:p w14:paraId="0AD1165D" w14:textId="72203A70" w:rsidR="007B3DF6" w:rsidRDefault="00A54434">
      <w:pPr>
        <w:pStyle w:val="TOC2"/>
        <w:rPr>
          <w:rFonts w:asciiTheme="minorHAnsi" w:eastAsiaTheme="minorEastAsia" w:hAnsiTheme="minorHAnsi" w:cstheme="minorBidi"/>
          <w:spacing w:val="0"/>
          <w:sz w:val="22"/>
          <w:szCs w:val="22"/>
        </w:rPr>
      </w:pPr>
      <w:hyperlink w:anchor="_Toc107506512" w:history="1">
        <w:r w:rsidR="007B3DF6" w:rsidRPr="00785848">
          <w:rPr>
            <w:rStyle w:val="Hyperlink"/>
          </w:rPr>
          <w:t>Interference scenarios</w:t>
        </w:r>
        <w:r w:rsidR="007B3DF6">
          <w:rPr>
            <w:webHidden/>
          </w:rPr>
          <w:tab/>
        </w:r>
        <w:r w:rsidR="007B3DF6">
          <w:rPr>
            <w:webHidden/>
          </w:rPr>
          <w:fldChar w:fldCharType="begin"/>
        </w:r>
        <w:r w:rsidR="007B3DF6">
          <w:rPr>
            <w:webHidden/>
          </w:rPr>
          <w:instrText xml:space="preserve"> PAGEREF _Toc107506512 \h </w:instrText>
        </w:r>
        <w:r w:rsidR="007B3DF6">
          <w:rPr>
            <w:webHidden/>
          </w:rPr>
        </w:r>
        <w:r w:rsidR="007B3DF6">
          <w:rPr>
            <w:webHidden/>
          </w:rPr>
          <w:fldChar w:fldCharType="separate"/>
        </w:r>
        <w:r w:rsidR="00EC17BA">
          <w:rPr>
            <w:webHidden/>
          </w:rPr>
          <w:t>19</w:t>
        </w:r>
        <w:r w:rsidR="007B3DF6">
          <w:rPr>
            <w:webHidden/>
          </w:rPr>
          <w:fldChar w:fldCharType="end"/>
        </w:r>
      </w:hyperlink>
    </w:p>
    <w:p w14:paraId="1253B39F" w14:textId="2B5C84D9" w:rsidR="007B3DF6" w:rsidRDefault="00A54434">
      <w:pPr>
        <w:pStyle w:val="TOC2"/>
        <w:rPr>
          <w:rFonts w:asciiTheme="minorHAnsi" w:eastAsiaTheme="minorEastAsia" w:hAnsiTheme="minorHAnsi" w:cstheme="minorBidi"/>
          <w:spacing w:val="0"/>
          <w:sz w:val="22"/>
          <w:szCs w:val="22"/>
        </w:rPr>
      </w:pPr>
      <w:hyperlink w:anchor="_Toc107506513" w:history="1">
        <w:r w:rsidR="007B3DF6" w:rsidRPr="00785848">
          <w:rPr>
            <w:rStyle w:val="Hyperlink"/>
          </w:rPr>
          <w:t>Summary of results</w:t>
        </w:r>
        <w:r w:rsidR="007B3DF6">
          <w:rPr>
            <w:webHidden/>
          </w:rPr>
          <w:tab/>
        </w:r>
        <w:r w:rsidR="007B3DF6">
          <w:rPr>
            <w:webHidden/>
          </w:rPr>
          <w:fldChar w:fldCharType="begin"/>
        </w:r>
        <w:r w:rsidR="007B3DF6">
          <w:rPr>
            <w:webHidden/>
          </w:rPr>
          <w:instrText xml:space="preserve"> PAGEREF _Toc107506513 \h </w:instrText>
        </w:r>
        <w:r w:rsidR="007B3DF6">
          <w:rPr>
            <w:webHidden/>
          </w:rPr>
        </w:r>
        <w:r w:rsidR="007B3DF6">
          <w:rPr>
            <w:webHidden/>
          </w:rPr>
          <w:fldChar w:fldCharType="separate"/>
        </w:r>
        <w:r w:rsidR="00EC17BA">
          <w:rPr>
            <w:webHidden/>
          </w:rPr>
          <w:t>24</w:t>
        </w:r>
        <w:r w:rsidR="007B3DF6">
          <w:rPr>
            <w:webHidden/>
          </w:rPr>
          <w:fldChar w:fldCharType="end"/>
        </w:r>
      </w:hyperlink>
    </w:p>
    <w:p w14:paraId="301E9954" w14:textId="4D0C6FA2" w:rsidR="007B3DF6" w:rsidRDefault="00A54434">
      <w:pPr>
        <w:pStyle w:val="TOC2"/>
        <w:rPr>
          <w:rFonts w:asciiTheme="minorHAnsi" w:eastAsiaTheme="minorEastAsia" w:hAnsiTheme="minorHAnsi" w:cstheme="minorBidi"/>
          <w:spacing w:val="0"/>
          <w:sz w:val="22"/>
          <w:szCs w:val="22"/>
        </w:rPr>
      </w:pPr>
      <w:hyperlink w:anchor="_Toc107506514" w:history="1">
        <w:r w:rsidR="007B3DF6" w:rsidRPr="00785848">
          <w:rPr>
            <w:rStyle w:val="Hyperlink"/>
          </w:rPr>
          <w:t>Licence assessment procedures</w:t>
        </w:r>
        <w:r w:rsidR="007B3DF6">
          <w:rPr>
            <w:webHidden/>
          </w:rPr>
          <w:tab/>
        </w:r>
        <w:r w:rsidR="007B3DF6">
          <w:rPr>
            <w:webHidden/>
          </w:rPr>
          <w:fldChar w:fldCharType="begin"/>
        </w:r>
        <w:r w:rsidR="007B3DF6">
          <w:rPr>
            <w:webHidden/>
          </w:rPr>
          <w:instrText xml:space="preserve"> PAGEREF _Toc107506514 \h </w:instrText>
        </w:r>
        <w:r w:rsidR="007B3DF6">
          <w:rPr>
            <w:webHidden/>
          </w:rPr>
        </w:r>
        <w:r w:rsidR="007B3DF6">
          <w:rPr>
            <w:webHidden/>
          </w:rPr>
          <w:fldChar w:fldCharType="separate"/>
        </w:r>
        <w:r w:rsidR="00EC17BA">
          <w:rPr>
            <w:webHidden/>
          </w:rPr>
          <w:t>25</w:t>
        </w:r>
        <w:r w:rsidR="007B3DF6">
          <w:rPr>
            <w:webHidden/>
          </w:rPr>
          <w:fldChar w:fldCharType="end"/>
        </w:r>
      </w:hyperlink>
    </w:p>
    <w:p w14:paraId="20ECF8B2" w14:textId="075D7779" w:rsidR="007B3DF6" w:rsidRDefault="00A54434">
      <w:pPr>
        <w:pStyle w:val="TOC2"/>
        <w:rPr>
          <w:rFonts w:asciiTheme="minorHAnsi" w:eastAsiaTheme="minorEastAsia" w:hAnsiTheme="minorHAnsi" w:cstheme="minorBidi"/>
          <w:spacing w:val="0"/>
          <w:sz w:val="22"/>
          <w:szCs w:val="22"/>
        </w:rPr>
      </w:pPr>
      <w:hyperlink w:anchor="_Toc107506515" w:history="1">
        <w:r w:rsidR="007B3DF6" w:rsidRPr="00785848">
          <w:rPr>
            <w:rStyle w:val="Hyperlink"/>
          </w:rPr>
          <w:t>List of high gain TOB sites</w:t>
        </w:r>
        <w:r w:rsidR="007B3DF6">
          <w:rPr>
            <w:webHidden/>
          </w:rPr>
          <w:tab/>
        </w:r>
        <w:r w:rsidR="007B3DF6">
          <w:rPr>
            <w:webHidden/>
          </w:rPr>
          <w:fldChar w:fldCharType="begin"/>
        </w:r>
        <w:r w:rsidR="007B3DF6">
          <w:rPr>
            <w:webHidden/>
          </w:rPr>
          <w:instrText xml:space="preserve"> PAGEREF _Toc107506515 \h </w:instrText>
        </w:r>
        <w:r w:rsidR="007B3DF6">
          <w:rPr>
            <w:webHidden/>
          </w:rPr>
        </w:r>
        <w:r w:rsidR="007B3DF6">
          <w:rPr>
            <w:webHidden/>
          </w:rPr>
          <w:fldChar w:fldCharType="separate"/>
        </w:r>
        <w:r w:rsidR="00EC17BA">
          <w:rPr>
            <w:webHidden/>
          </w:rPr>
          <w:t>28</w:t>
        </w:r>
        <w:r w:rsidR="007B3DF6">
          <w:rPr>
            <w:webHidden/>
          </w:rPr>
          <w:fldChar w:fldCharType="end"/>
        </w:r>
      </w:hyperlink>
    </w:p>
    <w:p w14:paraId="3E0D7B96" w14:textId="58963171" w:rsidR="007B3DF6" w:rsidRDefault="00A54434">
      <w:pPr>
        <w:pStyle w:val="TOC2"/>
        <w:rPr>
          <w:rFonts w:asciiTheme="minorHAnsi" w:eastAsiaTheme="minorEastAsia" w:hAnsiTheme="minorHAnsi" w:cstheme="minorBidi"/>
          <w:spacing w:val="0"/>
          <w:sz w:val="22"/>
          <w:szCs w:val="22"/>
        </w:rPr>
      </w:pPr>
      <w:hyperlink w:anchor="_Toc107506516" w:history="1">
        <w:r w:rsidR="007B3DF6" w:rsidRPr="00785848">
          <w:rPr>
            <w:rStyle w:val="Hyperlink"/>
          </w:rPr>
          <w:t>List of moderate gain TOB sites</w:t>
        </w:r>
        <w:r w:rsidR="007B3DF6">
          <w:rPr>
            <w:webHidden/>
          </w:rPr>
          <w:tab/>
        </w:r>
        <w:r w:rsidR="007B3DF6">
          <w:rPr>
            <w:webHidden/>
          </w:rPr>
          <w:fldChar w:fldCharType="begin"/>
        </w:r>
        <w:r w:rsidR="007B3DF6">
          <w:rPr>
            <w:webHidden/>
          </w:rPr>
          <w:instrText xml:space="preserve"> PAGEREF _Toc107506516 \h </w:instrText>
        </w:r>
        <w:r w:rsidR="007B3DF6">
          <w:rPr>
            <w:webHidden/>
          </w:rPr>
        </w:r>
        <w:r w:rsidR="007B3DF6">
          <w:rPr>
            <w:webHidden/>
          </w:rPr>
          <w:fldChar w:fldCharType="separate"/>
        </w:r>
        <w:r w:rsidR="00EC17BA">
          <w:rPr>
            <w:webHidden/>
          </w:rPr>
          <w:t>29</w:t>
        </w:r>
        <w:r w:rsidR="007B3DF6">
          <w:rPr>
            <w:webHidden/>
          </w:rPr>
          <w:fldChar w:fldCharType="end"/>
        </w:r>
      </w:hyperlink>
    </w:p>
    <w:p w14:paraId="264B08CE" w14:textId="0760D7E1" w:rsidR="007B3DF6" w:rsidRDefault="00A54434">
      <w:pPr>
        <w:pStyle w:val="TOC1"/>
        <w:rPr>
          <w:rFonts w:asciiTheme="minorHAnsi" w:eastAsiaTheme="minorEastAsia" w:hAnsiTheme="minorHAnsi" w:cstheme="minorBidi"/>
          <w:b w:val="0"/>
          <w:spacing w:val="0"/>
          <w:sz w:val="22"/>
          <w:szCs w:val="22"/>
        </w:rPr>
      </w:pPr>
      <w:hyperlink w:anchor="_Toc107506517" w:history="1">
        <w:r w:rsidR="007B3DF6" w:rsidRPr="00785848">
          <w:rPr>
            <w:rStyle w:val="Hyperlink"/>
          </w:rPr>
          <w:t>Appendix B: Response to Communications Alliance SSWG</w:t>
        </w:r>
        <w:r w:rsidR="007B3DF6">
          <w:rPr>
            <w:webHidden/>
          </w:rPr>
          <w:tab/>
        </w:r>
        <w:r w:rsidR="007B3DF6">
          <w:rPr>
            <w:webHidden/>
          </w:rPr>
          <w:fldChar w:fldCharType="begin"/>
        </w:r>
        <w:r w:rsidR="007B3DF6">
          <w:rPr>
            <w:webHidden/>
          </w:rPr>
          <w:instrText xml:space="preserve"> PAGEREF _Toc107506517 \h </w:instrText>
        </w:r>
        <w:r w:rsidR="007B3DF6">
          <w:rPr>
            <w:webHidden/>
          </w:rPr>
        </w:r>
        <w:r w:rsidR="007B3DF6">
          <w:rPr>
            <w:webHidden/>
          </w:rPr>
          <w:fldChar w:fldCharType="separate"/>
        </w:r>
        <w:r w:rsidR="00EC17BA">
          <w:rPr>
            <w:webHidden/>
          </w:rPr>
          <w:t>32</w:t>
        </w:r>
        <w:r w:rsidR="007B3DF6">
          <w:rPr>
            <w:webHidden/>
          </w:rPr>
          <w:fldChar w:fldCharType="end"/>
        </w:r>
      </w:hyperlink>
    </w:p>
    <w:p w14:paraId="279D7C1D" w14:textId="5E50CEEC" w:rsidR="007B3DF6" w:rsidRDefault="00A54434">
      <w:pPr>
        <w:pStyle w:val="TOC2"/>
        <w:rPr>
          <w:rFonts w:asciiTheme="minorHAnsi" w:eastAsiaTheme="minorEastAsia" w:hAnsiTheme="minorHAnsi" w:cstheme="minorBidi"/>
          <w:spacing w:val="0"/>
          <w:sz w:val="22"/>
          <w:szCs w:val="22"/>
        </w:rPr>
      </w:pPr>
      <w:hyperlink w:anchor="_Toc107506518" w:history="1">
        <w:r w:rsidR="007B3DF6" w:rsidRPr="00785848">
          <w:rPr>
            <w:rStyle w:val="Hyperlink"/>
          </w:rPr>
          <w:t>Technical paper</w:t>
        </w:r>
        <w:r w:rsidR="007B3DF6">
          <w:rPr>
            <w:webHidden/>
          </w:rPr>
          <w:tab/>
        </w:r>
        <w:r w:rsidR="007B3DF6">
          <w:rPr>
            <w:webHidden/>
          </w:rPr>
          <w:fldChar w:fldCharType="begin"/>
        </w:r>
        <w:r w:rsidR="007B3DF6">
          <w:rPr>
            <w:webHidden/>
          </w:rPr>
          <w:instrText xml:space="preserve"> PAGEREF _Toc107506518 \h </w:instrText>
        </w:r>
        <w:r w:rsidR="007B3DF6">
          <w:rPr>
            <w:webHidden/>
          </w:rPr>
        </w:r>
        <w:r w:rsidR="007B3DF6">
          <w:rPr>
            <w:webHidden/>
          </w:rPr>
          <w:fldChar w:fldCharType="separate"/>
        </w:r>
        <w:r w:rsidR="00EC17BA">
          <w:rPr>
            <w:webHidden/>
          </w:rPr>
          <w:t>32</w:t>
        </w:r>
        <w:r w:rsidR="007B3DF6">
          <w:rPr>
            <w:webHidden/>
          </w:rPr>
          <w:fldChar w:fldCharType="end"/>
        </w:r>
      </w:hyperlink>
    </w:p>
    <w:p w14:paraId="5FAF1DA1" w14:textId="7EB454A2" w:rsidR="007B3DF6" w:rsidRDefault="00A54434">
      <w:pPr>
        <w:pStyle w:val="TOC2"/>
        <w:rPr>
          <w:rFonts w:asciiTheme="minorHAnsi" w:eastAsiaTheme="minorEastAsia" w:hAnsiTheme="minorHAnsi" w:cstheme="minorBidi"/>
          <w:spacing w:val="0"/>
          <w:sz w:val="22"/>
          <w:szCs w:val="22"/>
        </w:rPr>
      </w:pPr>
      <w:hyperlink w:anchor="_Toc107506519" w:history="1">
        <w:r w:rsidR="007B3DF6" w:rsidRPr="00785848">
          <w:rPr>
            <w:rStyle w:val="Hyperlink"/>
          </w:rPr>
          <w:t>Other issues raised in the CA SSWG response</w:t>
        </w:r>
        <w:r w:rsidR="007B3DF6">
          <w:rPr>
            <w:webHidden/>
          </w:rPr>
          <w:tab/>
        </w:r>
        <w:r w:rsidR="007B3DF6">
          <w:rPr>
            <w:webHidden/>
          </w:rPr>
          <w:fldChar w:fldCharType="begin"/>
        </w:r>
        <w:r w:rsidR="007B3DF6">
          <w:rPr>
            <w:webHidden/>
          </w:rPr>
          <w:instrText xml:space="preserve"> PAGEREF _Toc107506519 \h </w:instrText>
        </w:r>
        <w:r w:rsidR="007B3DF6">
          <w:rPr>
            <w:webHidden/>
          </w:rPr>
        </w:r>
        <w:r w:rsidR="007B3DF6">
          <w:rPr>
            <w:webHidden/>
          </w:rPr>
          <w:fldChar w:fldCharType="separate"/>
        </w:r>
        <w:r w:rsidR="00EC17BA">
          <w:rPr>
            <w:webHidden/>
          </w:rPr>
          <w:t>32</w:t>
        </w:r>
        <w:r w:rsidR="007B3DF6">
          <w:rPr>
            <w:webHidden/>
          </w:rPr>
          <w:fldChar w:fldCharType="end"/>
        </w:r>
      </w:hyperlink>
    </w:p>
    <w:p w14:paraId="5C109310" w14:textId="2E31ED52" w:rsidR="007B3DF6" w:rsidRDefault="00A54434">
      <w:pPr>
        <w:pStyle w:val="TOC2"/>
        <w:rPr>
          <w:rFonts w:asciiTheme="minorHAnsi" w:eastAsiaTheme="minorEastAsia" w:hAnsiTheme="minorHAnsi" w:cstheme="minorBidi"/>
          <w:spacing w:val="0"/>
          <w:sz w:val="22"/>
          <w:szCs w:val="22"/>
        </w:rPr>
      </w:pPr>
      <w:hyperlink w:anchor="_Toc107506520" w:history="1">
        <w:r w:rsidR="007B3DF6" w:rsidRPr="00785848">
          <w:rPr>
            <w:rStyle w:val="Hyperlink"/>
          </w:rPr>
          <w:t>Burden sharing</w:t>
        </w:r>
        <w:r w:rsidR="007B3DF6">
          <w:rPr>
            <w:webHidden/>
          </w:rPr>
          <w:tab/>
        </w:r>
        <w:r w:rsidR="007B3DF6">
          <w:rPr>
            <w:webHidden/>
          </w:rPr>
          <w:fldChar w:fldCharType="begin"/>
        </w:r>
        <w:r w:rsidR="007B3DF6">
          <w:rPr>
            <w:webHidden/>
          </w:rPr>
          <w:instrText xml:space="preserve"> PAGEREF _Toc107506520 \h </w:instrText>
        </w:r>
        <w:r w:rsidR="007B3DF6">
          <w:rPr>
            <w:webHidden/>
          </w:rPr>
        </w:r>
        <w:r w:rsidR="007B3DF6">
          <w:rPr>
            <w:webHidden/>
          </w:rPr>
          <w:fldChar w:fldCharType="separate"/>
        </w:r>
        <w:r w:rsidR="00EC17BA">
          <w:rPr>
            <w:webHidden/>
          </w:rPr>
          <w:t>33</w:t>
        </w:r>
        <w:r w:rsidR="007B3DF6">
          <w:rPr>
            <w:webHidden/>
          </w:rPr>
          <w:fldChar w:fldCharType="end"/>
        </w:r>
      </w:hyperlink>
    </w:p>
    <w:p w14:paraId="02E6A408" w14:textId="00042E38" w:rsidR="007B3DF6" w:rsidRDefault="00A54434">
      <w:pPr>
        <w:pStyle w:val="TOC2"/>
        <w:rPr>
          <w:rFonts w:asciiTheme="minorHAnsi" w:eastAsiaTheme="minorEastAsia" w:hAnsiTheme="minorHAnsi" w:cstheme="minorBidi"/>
          <w:spacing w:val="0"/>
          <w:sz w:val="22"/>
          <w:szCs w:val="22"/>
        </w:rPr>
      </w:pPr>
      <w:hyperlink w:anchor="_Toc107506521" w:history="1">
        <w:r w:rsidR="007B3DF6" w:rsidRPr="00785848">
          <w:rPr>
            <w:rStyle w:val="Hyperlink"/>
          </w:rPr>
          <w:t>RALI MS 46</w:t>
        </w:r>
        <w:r w:rsidR="007B3DF6">
          <w:rPr>
            <w:webHidden/>
          </w:rPr>
          <w:tab/>
        </w:r>
        <w:r w:rsidR="007B3DF6">
          <w:rPr>
            <w:webHidden/>
          </w:rPr>
          <w:fldChar w:fldCharType="begin"/>
        </w:r>
        <w:r w:rsidR="007B3DF6">
          <w:rPr>
            <w:webHidden/>
          </w:rPr>
          <w:instrText xml:space="preserve"> PAGEREF _Toc107506521 \h </w:instrText>
        </w:r>
        <w:r w:rsidR="007B3DF6">
          <w:rPr>
            <w:webHidden/>
          </w:rPr>
        </w:r>
        <w:r w:rsidR="007B3DF6">
          <w:rPr>
            <w:webHidden/>
          </w:rPr>
          <w:fldChar w:fldCharType="separate"/>
        </w:r>
        <w:r w:rsidR="00EC17BA">
          <w:rPr>
            <w:webHidden/>
          </w:rPr>
          <w:t>34</w:t>
        </w:r>
        <w:r w:rsidR="007B3DF6">
          <w:rPr>
            <w:webHidden/>
          </w:rPr>
          <w:fldChar w:fldCharType="end"/>
        </w:r>
      </w:hyperlink>
    </w:p>
    <w:p w14:paraId="652F8ADD" w14:textId="55278343" w:rsidR="007B3DF6" w:rsidRDefault="00A54434">
      <w:pPr>
        <w:pStyle w:val="TOC2"/>
        <w:rPr>
          <w:rFonts w:asciiTheme="minorHAnsi" w:eastAsiaTheme="minorEastAsia" w:hAnsiTheme="minorHAnsi" w:cstheme="minorBidi"/>
          <w:spacing w:val="0"/>
          <w:sz w:val="22"/>
          <w:szCs w:val="22"/>
        </w:rPr>
      </w:pPr>
      <w:hyperlink w:anchor="_Toc107506522" w:history="1">
        <w:r w:rsidR="007B3DF6" w:rsidRPr="00785848">
          <w:rPr>
            <w:rStyle w:val="Hyperlink"/>
          </w:rPr>
          <w:t>Study parameters and methodology</w:t>
        </w:r>
        <w:r w:rsidR="007B3DF6">
          <w:rPr>
            <w:webHidden/>
          </w:rPr>
          <w:tab/>
        </w:r>
        <w:r w:rsidR="007B3DF6">
          <w:rPr>
            <w:webHidden/>
          </w:rPr>
          <w:fldChar w:fldCharType="begin"/>
        </w:r>
        <w:r w:rsidR="007B3DF6">
          <w:rPr>
            <w:webHidden/>
          </w:rPr>
          <w:instrText xml:space="preserve"> PAGEREF _Toc107506522 \h </w:instrText>
        </w:r>
        <w:r w:rsidR="007B3DF6">
          <w:rPr>
            <w:webHidden/>
          </w:rPr>
        </w:r>
        <w:r w:rsidR="007B3DF6">
          <w:rPr>
            <w:webHidden/>
          </w:rPr>
          <w:fldChar w:fldCharType="separate"/>
        </w:r>
        <w:r w:rsidR="00EC17BA">
          <w:rPr>
            <w:webHidden/>
          </w:rPr>
          <w:t>34</w:t>
        </w:r>
        <w:r w:rsidR="007B3DF6">
          <w:rPr>
            <w:webHidden/>
          </w:rPr>
          <w:fldChar w:fldCharType="end"/>
        </w:r>
      </w:hyperlink>
    </w:p>
    <w:p w14:paraId="6BEF36D2" w14:textId="67E4E63C" w:rsidR="007B3DF6" w:rsidRDefault="00A54434">
      <w:pPr>
        <w:pStyle w:val="TOC2"/>
        <w:rPr>
          <w:rFonts w:asciiTheme="minorHAnsi" w:eastAsiaTheme="minorEastAsia" w:hAnsiTheme="minorHAnsi" w:cstheme="minorBidi"/>
          <w:spacing w:val="0"/>
          <w:sz w:val="22"/>
          <w:szCs w:val="22"/>
        </w:rPr>
      </w:pPr>
      <w:hyperlink w:anchor="_Toc107506523" w:history="1">
        <w:r w:rsidR="007B3DF6" w:rsidRPr="00785848">
          <w:rPr>
            <w:rStyle w:val="Hyperlink"/>
          </w:rPr>
          <w:t>Proposed arrangements for ubiquitous FSS</w:t>
        </w:r>
        <w:r w:rsidR="007B3DF6">
          <w:rPr>
            <w:webHidden/>
          </w:rPr>
          <w:tab/>
        </w:r>
        <w:r w:rsidR="007B3DF6">
          <w:rPr>
            <w:webHidden/>
          </w:rPr>
          <w:fldChar w:fldCharType="begin"/>
        </w:r>
        <w:r w:rsidR="007B3DF6">
          <w:rPr>
            <w:webHidden/>
          </w:rPr>
          <w:instrText xml:space="preserve"> PAGEREF _Toc107506523 \h </w:instrText>
        </w:r>
        <w:r w:rsidR="007B3DF6">
          <w:rPr>
            <w:webHidden/>
          </w:rPr>
        </w:r>
        <w:r w:rsidR="007B3DF6">
          <w:rPr>
            <w:webHidden/>
          </w:rPr>
          <w:fldChar w:fldCharType="separate"/>
        </w:r>
        <w:r w:rsidR="00EC17BA">
          <w:rPr>
            <w:webHidden/>
          </w:rPr>
          <w:t>35</w:t>
        </w:r>
        <w:r w:rsidR="007B3DF6">
          <w:rPr>
            <w:webHidden/>
          </w:rPr>
          <w:fldChar w:fldCharType="end"/>
        </w:r>
      </w:hyperlink>
    </w:p>
    <w:p w14:paraId="531714C4" w14:textId="53F18111" w:rsidR="007B3DF6" w:rsidRDefault="00A54434">
      <w:pPr>
        <w:pStyle w:val="TOC2"/>
        <w:rPr>
          <w:rFonts w:asciiTheme="minorHAnsi" w:eastAsiaTheme="minorEastAsia" w:hAnsiTheme="minorHAnsi" w:cstheme="minorBidi"/>
          <w:spacing w:val="0"/>
          <w:sz w:val="22"/>
          <w:szCs w:val="22"/>
        </w:rPr>
      </w:pPr>
      <w:hyperlink w:anchor="_Toc107506524" w:history="1">
        <w:r w:rsidR="007B3DF6" w:rsidRPr="00785848">
          <w:rPr>
            <w:rStyle w:val="Hyperlink"/>
          </w:rPr>
          <w:t>Next steps</w:t>
        </w:r>
        <w:r w:rsidR="007B3DF6">
          <w:rPr>
            <w:webHidden/>
          </w:rPr>
          <w:tab/>
        </w:r>
        <w:r w:rsidR="007B3DF6">
          <w:rPr>
            <w:webHidden/>
          </w:rPr>
          <w:fldChar w:fldCharType="begin"/>
        </w:r>
        <w:r w:rsidR="007B3DF6">
          <w:rPr>
            <w:webHidden/>
          </w:rPr>
          <w:instrText xml:space="preserve"> PAGEREF _Toc107506524 \h </w:instrText>
        </w:r>
        <w:r w:rsidR="007B3DF6">
          <w:rPr>
            <w:webHidden/>
          </w:rPr>
        </w:r>
        <w:r w:rsidR="007B3DF6">
          <w:rPr>
            <w:webHidden/>
          </w:rPr>
          <w:fldChar w:fldCharType="separate"/>
        </w:r>
        <w:r w:rsidR="00EC17BA">
          <w:rPr>
            <w:webHidden/>
          </w:rPr>
          <w:t>35</w:t>
        </w:r>
        <w:r w:rsidR="007B3DF6">
          <w:rPr>
            <w:webHidden/>
          </w:rPr>
          <w:fldChar w:fldCharType="end"/>
        </w:r>
      </w:hyperlink>
    </w:p>
    <w:p w14:paraId="21A6F0B9" w14:textId="29CF53B7" w:rsidR="004D56FF" w:rsidRPr="00E162C4" w:rsidRDefault="006A3ECF">
      <w:pPr>
        <w:rPr>
          <w:rFonts w:cs="Arial"/>
        </w:rPr>
        <w:sectPr w:rsidR="004D56FF" w:rsidRPr="00E162C4" w:rsidSect="00C77380">
          <w:headerReference w:type="even" r:id="rId19"/>
          <w:headerReference w:type="default" r:id="rId20"/>
          <w:footerReference w:type="even" r:id="rId21"/>
          <w:footerReference w:type="default" r:id="rId22"/>
          <w:footerReference w:type="first" r:id="rId23"/>
          <w:pgSz w:w="11906" w:h="16838" w:code="9"/>
          <w:pgMar w:top="3646" w:right="3101" w:bottom="1134" w:left="1134" w:header="709" w:footer="119" w:gutter="0"/>
          <w:cols w:space="708"/>
          <w:titlePg/>
          <w:docGrid w:linePitch="360"/>
        </w:sectPr>
      </w:pPr>
      <w:r w:rsidRPr="00E162C4">
        <w:rPr>
          <w:rFonts w:cs="Arial"/>
          <w:noProof/>
          <w:spacing w:val="-14"/>
          <w:sz w:val="28"/>
        </w:rPr>
        <w:fldChar w:fldCharType="end"/>
      </w:r>
    </w:p>
    <w:p w14:paraId="1C6DB0C4" w14:textId="77777777" w:rsidR="009D6C71" w:rsidRPr="00E162C4" w:rsidRDefault="009D6C71" w:rsidP="009174F3">
      <w:pPr>
        <w:pStyle w:val="Execsummaryheading"/>
      </w:pPr>
      <w:bookmarkStart w:id="0" w:name="_Toc107506498"/>
      <w:r w:rsidRPr="00E162C4">
        <w:lastRenderedPageBreak/>
        <w:t>Executive summary</w:t>
      </w:r>
      <w:bookmarkEnd w:id="0"/>
    </w:p>
    <w:p w14:paraId="51A6DC90" w14:textId="0090A7C5" w:rsidR="00D66C63" w:rsidRDefault="00D66C63" w:rsidP="00D66C63">
      <w:pPr>
        <w:pStyle w:val="Paragraphbeforelist"/>
        <w:rPr>
          <w:rFonts w:asciiTheme="minorHAnsi" w:hAnsiTheme="minorHAnsi"/>
        </w:rPr>
      </w:pPr>
      <w:r>
        <w:t xml:space="preserve">On 17 December 2021, the Australian Communications and Media Authority commenced a public </w:t>
      </w:r>
      <w:hyperlink r:id="rId24" w:history="1">
        <w:r w:rsidRPr="00074CF0">
          <w:rPr>
            <w:rStyle w:val="Hyperlink"/>
          </w:rPr>
          <w:t>consultation</w:t>
        </w:r>
      </w:hyperlink>
      <w:r>
        <w:t xml:space="preserve"> on proposed arrangements to authorise use of uncoordinated earth stations under class-licensing arrangements in 2 frequency bands:</w:t>
      </w:r>
    </w:p>
    <w:p w14:paraId="09685955" w14:textId="659E7DC0" w:rsidR="00D66C63" w:rsidRDefault="00D66C63" w:rsidP="00D66C63">
      <w:pPr>
        <w:pStyle w:val="ListBullet"/>
        <w:spacing w:line="256" w:lineRule="auto"/>
        <w:rPr>
          <w:rFonts w:cs="Arial"/>
        </w:rPr>
      </w:pPr>
      <w:r>
        <w:rPr>
          <w:rFonts w:cs="Arial"/>
        </w:rPr>
        <w:t>part of the 2 GHz band</w:t>
      </w:r>
      <w:r w:rsidR="00097DA6">
        <w:rPr>
          <w:rFonts w:cs="Arial"/>
        </w:rPr>
        <w:t>,</w:t>
      </w:r>
      <w:r>
        <w:rPr>
          <w:rFonts w:cs="Arial"/>
        </w:rPr>
        <w:t xml:space="preserve"> in the frequency range 2005–2010 MHz paired with the frequency range 2195–2200 MHz, a bandwidth of 2 x 5 MHz</w:t>
      </w:r>
      <w:r w:rsidR="009F0FE8">
        <w:rPr>
          <w:rFonts w:cs="Arial"/>
        </w:rPr>
        <w:t xml:space="preserve"> (the </w:t>
      </w:r>
      <w:r w:rsidR="009F0FE8">
        <w:t>2 GHz shared narrowband MSS segment)</w:t>
      </w:r>
    </w:p>
    <w:p w14:paraId="0337BD44" w14:textId="77777777" w:rsidR="00D66C63" w:rsidRDefault="00D66C63" w:rsidP="00D66C63">
      <w:pPr>
        <w:pStyle w:val="Bulletlevel1last"/>
        <w:spacing w:line="256" w:lineRule="auto"/>
      </w:pPr>
      <w:r>
        <w:t>the 28 GHz band in the frequency range 27.5–28.3 GHz.</w:t>
      </w:r>
    </w:p>
    <w:p w14:paraId="0C6493B3" w14:textId="667F212F" w:rsidR="00D66C63" w:rsidRDefault="00D66C63" w:rsidP="00D66C63">
      <w:pPr>
        <w:pStyle w:val="Paragraph"/>
      </w:pPr>
      <w:r>
        <w:t>To implement these arrangements, we proposed to vary the</w:t>
      </w:r>
      <w:r>
        <w:rPr>
          <w:i/>
          <w:iCs/>
        </w:rPr>
        <w:t xml:space="preserve"> </w:t>
      </w:r>
      <w:hyperlink r:id="rId25" w:history="1">
        <w:r w:rsidRPr="00FD7240">
          <w:rPr>
            <w:rStyle w:val="Hyperlink"/>
            <w:szCs w:val="20"/>
          </w:rPr>
          <w:t>Radiocommunications (Communication with Space Object) Class Licence 2015</w:t>
        </w:r>
      </w:hyperlink>
      <w:r>
        <w:t xml:space="preserve"> (CSO Class Licence), as detailed in the draft legislative instrument accompanying the consultation – the Radiocommunications (Communication With Space Object) Class Licence Variation 2022 (No.1)</w:t>
      </w:r>
      <w:r>
        <w:rPr>
          <w:i/>
          <w:iCs/>
        </w:rPr>
        <w:t xml:space="preserve"> </w:t>
      </w:r>
      <w:r>
        <w:t xml:space="preserve">(the draft variation). </w:t>
      </w:r>
    </w:p>
    <w:p w14:paraId="6D5AE573" w14:textId="72C06F1B" w:rsidR="00711AE8" w:rsidRDefault="00711AE8" w:rsidP="00D66C63">
      <w:pPr>
        <w:pStyle w:val="Paragraph"/>
      </w:pPr>
      <w:r>
        <w:t xml:space="preserve">We received </w:t>
      </w:r>
      <w:r w:rsidR="0085117C">
        <w:t>11</w:t>
      </w:r>
      <w:r w:rsidR="00625398">
        <w:t xml:space="preserve"> submissions to the consultation</w:t>
      </w:r>
      <w:r w:rsidR="00A523AA">
        <w:t>,</w:t>
      </w:r>
      <w:r w:rsidR="00625398">
        <w:t xml:space="preserve"> which closed on 28 February 2022.</w:t>
      </w:r>
    </w:p>
    <w:p w14:paraId="23364825" w14:textId="0AD394A1" w:rsidR="00106426" w:rsidRPr="00106426" w:rsidRDefault="00106426" w:rsidP="00EF17B3">
      <w:pPr>
        <w:pStyle w:val="Paragraphbeforelist"/>
        <w:rPr>
          <w:b/>
          <w:bCs/>
        </w:rPr>
      </w:pPr>
      <w:r w:rsidRPr="00106426">
        <w:rPr>
          <w:b/>
          <w:bCs/>
        </w:rPr>
        <w:t>2 GHz</w:t>
      </w:r>
      <w:r w:rsidR="008D6E17">
        <w:rPr>
          <w:b/>
          <w:bCs/>
        </w:rPr>
        <w:t xml:space="preserve"> narrowband</w:t>
      </w:r>
      <w:r w:rsidR="00DC1991">
        <w:rPr>
          <w:b/>
          <w:bCs/>
        </w:rPr>
        <w:t xml:space="preserve"> mobile-satellite services</w:t>
      </w:r>
    </w:p>
    <w:p w14:paraId="3B976F17" w14:textId="75C2C235" w:rsidR="00EF17B3" w:rsidRDefault="00EF17B3" w:rsidP="00EF17B3">
      <w:pPr>
        <w:pStyle w:val="Paragraphbeforelist"/>
      </w:pPr>
      <w:r>
        <w:t>Eight respondents commented on the p</w:t>
      </w:r>
      <w:r w:rsidRPr="00437BE6">
        <w:t>roposed licensing arrangements for 2 GHz narrowband mobile-satellite services</w:t>
      </w:r>
      <w:r w:rsidR="00554FB2">
        <w:t xml:space="preserve"> (MSS)</w:t>
      </w:r>
      <w:r>
        <w:t>:</w:t>
      </w:r>
    </w:p>
    <w:p w14:paraId="3B8DA4ED" w14:textId="3EC65F48" w:rsidR="00EF17B3" w:rsidRDefault="00EF17B3" w:rsidP="00EF17B3">
      <w:pPr>
        <w:pStyle w:val="Bulletlevel1"/>
      </w:pPr>
      <w:r>
        <w:t xml:space="preserve">Three requested reconsideration of </w:t>
      </w:r>
      <w:r w:rsidR="00A523AA">
        <w:t>our</w:t>
      </w:r>
      <w:r>
        <w:t xml:space="preserve"> planning decision to introduce the 2 GHz shared narrowband MSS segment (Communications Alliance Satellite Services Working Group </w:t>
      </w:r>
      <w:r w:rsidR="00F34747">
        <w:t xml:space="preserve">(SSWG) </w:t>
      </w:r>
      <w:r>
        <w:t>and their member organisations EchoStar Global Australia and Omnispace Australia).</w:t>
      </w:r>
    </w:p>
    <w:p w14:paraId="43FCF8E8" w14:textId="6DBF6808" w:rsidR="00EF17B3" w:rsidRDefault="00EF17B3" w:rsidP="00EF17B3">
      <w:pPr>
        <w:pStyle w:val="Bulletlevel1"/>
      </w:pPr>
      <w:r>
        <w:t>Three supported the proposals (Fleet Space Technologies, OQ Technology and Sateliot), and requested no technical limits</w:t>
      </w:r>
      <w:r w:rsidRPr="00DE4D01">
        <w:t xml:space="preserve"> </w:t>
      </w:r>
      <w:r>
        <w:t xml:space="preserve">on </w:t>
      </w:r>
      <w:r w:rsidRPr="00DE4D01">
        <w:t>narrowband MSS services operating in non-metro</w:t>
      </w:r>
      <w:r w:rsidR="002C695B">
        <w:t>politan</w:t>
      </w:r>
      <w:r w:rsidRPr="00DE4D01">
        <w:t xml:space="preserve"> areas</w:t>
      </w:r>
      <w:r>
        <w:t>.</w:t>
      </w:r>
    </w:p>
    <w:p w14:paraId="5AE5A9D5" w14:textId="0263489B" w:rsidR="00EF17B3" w:rsidRDefault="00C46D81" w:rsidP="00EF17B3">
      <w:pPr>
        <w:pStyle w:val="Bulletlevel1last"/>
      </w:pPr>
      <w:r>
        <w:t>The Australian Broadcasting Corporation</w:t>
      </w:r>
      <w:r w:rsidR="00EF17B3">
        <w:t xml:space="preserve"> (ABC</w:t>
      </w:r>
      <w:r>
        <w:t>)</w:t>
      </w:r>
      <w:r w:rsidR="00EF17B3">
        <w:t xml:space="preserve"> and Free TV</w:t>
      </w:r>
      <w:r>
        <w:t xml:space="preserve"> Australia (</w:t>
      </w:r>
      <w:r w:rsidR="00EF17B3">
        <w:t>Free TV) did not object to the overall proposal</w:t>
      </w:r>
      <w:r w:rsidR="00847E4C">
        <w:t>,</w:t>
      </w:r>
      <w:r w:rsidR="00EF17B3">
        <w:t xml:space="preserve"> but requested that technical limits be applied to narrowband MSS services operating in non-metro</w:t>
      </w:r>
      <w:r w:rsidR="008D6407">
        <w:t>politan</w:t>
      </w:r>
      <w:r w:rsidR="00EF17B3">
        <w:t xml:space="preserve"> areas to protect their adjacent-band </w:t>
      </w:r>
      <w:r w:rsidR="00405C28">
        <w:t>television outside broadcast (</w:t>
      </w:r>
      <w:r w:rsidR="00EF17B3">
        <w:t>TOB</w:t>
      </w:r>
      <w:r w:rsidR="00405C28">
        <w:t>)</w:t>
      </w:r>
      <w:r w:rsidR="00EF17B3">
        <w:t xml:space="preserve"> services. </w:t>
      </w:r>
    </w:p>
    <w:p w14:paraId="37B12A25" w14:textId="7AEA6624" w:rsidR="00EF17B3" w:rsidRDefault="00EF17B3" w:rsidP="00EF17B3">
      <w:pPr>
        <w:pStyle w:val="Paragraph"/>
      </w:pPr>
      <w:r>
        <w:t>Other technical issues raised included a request for MSS ground stations</w:t>
      </w:r>
      <w:r w:rsidRPr="00D26DB6">
        <w:t xml:space="preserve"> to be mandated to transition to terrestrial networks where possible</w:t>
      </w:r>
      <w:r>
        <w:t xml:space="preserve"> and alternatives to sharing the band to avoid coordination problems. </w:t>
      </w:r>
    </w:p>
    <w:p w14:paraId="2561C5CD" w14:textId="77777777" w:rsidR="00BB5DEA" w:rsidRDefault="006A4169" w:rsidP="00725B1B">
      <w:pPr>
        <w:pStyle w:val="Paragraph"/>
      </w:pPr>
      <w:r>
        <w:t xml:space="preserve">After considering </w:t>
      </w:r>
      <w:r w:rsidR="007A17AF">
        <w:t xml:space="preserve">the </w:t>
      </w:r>
      <w:r w:rsidR="0094345C">
        <w:t xml:space="preserve">issues raised in the consultation, the ACMA </w:t>
      </w:r>
      <w:r w:rsidR="00BA4353">
        <w:t xml:space="preserve">made the </w:t>
      </w:r>
      <w:r w:rsidR="006D0FC6" w:rsidRPr="00FD7240">
        <w:rPr>
          <w:iCs/>
        </w:rPr>
        <w:t xml:space="preserve">Radiocommunications (Communication </w:t>
      </w:r>
      <w:r w:rsidR="0044217A" w:rsidRPr="00FD7240">
        <w:rPr>
          <w:iCs/>
        </w:rPr>
        <w:t>w</w:t>
      </w:r>
      <w:r w:rsidR="006D0FC6" w:rsidRPr="00FD7240">
        <w:rPr>
          <w:iCs/>
        </w:rPr>
        <w:t>ith Space Object) Class Licence Variation 2022 (No.1)</w:t>
      </w:r>
      <w:r w:rsidR="006D0FC6" w:rsidRPr="00475819">
        <w:rPr>
          <w:iCs/>
        </w:rPr>
        <w:t>.</w:t>
      </w:r>
      <w:r w:rsidR="00F8723E">
        <w:t xml:space="preserve"> </w:t>
      </w:r>
      <w:r w:rsidR="00A82C66">
        <w:t>There were no</w:t>
      </w:r>
      <w:r w:rsidR="00344B2C">
        <w:t xml:space="preserve"> substantive</w:t>
      </w:r>
      <w:r w:rsidR="00A82C66">
        <w:t xml:space="preserve"> changes </w:t>
      </w:r>
      <w:r w:rsidR="00DB0C76">
        <w:t xml:space="preserve">to the draft </w:t>
      </w:r>
      <w:r w:rsidR="00823E1F">
        <w:t xml:space="preserve">variation. </w:t>
      </w:r>
    </w:p>
    <w:p w14:paraId="7FAEE31B" w14:textId="17D210F9" w:rsidR="005C15D3" w:rsidRDefault="00B809D2" w:rsidP="005C15D3">
      <w:pPr>
        <w:pStyle w:val="Paragraph"/>
      </w:pPr>
      <w:r>
        <w:t>However, a</w:t>
      </w:r>
      <w:r w:rsidR="005C15D3">
        <w:t xml:space="preserve">s </w:t>
      </w:r>
      <w:r w:rsidR="00910EBF">
        <w:t xml:space="preserve">a </w:t>
      </w:r>
      <w:r w:rsidR="005C15D3">
        <w:t>result of issues raised in submissions regarding the protection of adjacent band TOB services and subsequent ACMA technical analysis, we have decided to place additional limitation on the operation of earth station transmitters in the 2005</w:t>
      </w:r>
      <w:r w:rsidR="00A523AA">
        <w:t>–</w:t>
      </w:r>
      <w:r w:rsidR="005C15D3">
        <w:t>2010 MHz</w:t>
      </w:r>
      <w:r w:rsidR="00A523AA">
        <w:t xml:space="preserve"> band</w:t>
      </w:r>
      <w:r w:rsidR="005C15D3">
        <w:t xml:space="preserve">. These will include a policy (to be included in </w:t>
      </w:r>
      <w:hyperlink r:id="rId26" w:history="1">
        <w:r w:rsidR="005C15D3" w:rsidRPr="00B80EB8">
          <w:rPr>
            <w:rStyle w:val="Hyperlink"/>
          </w:rPr>
          <w:t xml:space="preserve">spectrum </w:t>
        </w:r>
        <w:r w:rsidR="005C15D3" w:rsidRPr="00B80EB8">
          <w:rPr>
            <w:rStyle w:val="Hyperlink"/>
          </w:rPr>
          <w:lastRenderedPageBreak/>
          <w:t>embargo</w:t>
        </w:r>
        <w:r w:rsidR="00A64676" w:rsidRPr="00B80EB8">
          <w:rPr>
            <w:rStyle w:val="Hyperlink"/>
          </w:rPr>
          <w:t xml:space="preserve"> 23</w:t>
        </w:r>
      </w:hyperlink>
      <w:r w:rsidR="006B240B">
        <w:rPr>
          <w:rStyle w:val="FootnoteReference"/>
        </w:rPr>
        <w:footnoteReference w:id="2"/>
      </w:r>
      <w:r w:rsidR="005C15D3">
        <w:t>) of not allowing space receive licences in the upper 1 MHz (2009–2010 MHz), along with restrictions on earth station transmit locations and duty cycle</w:t>
      </w:r>
      <w:r w:rsidR="007155FD">
        <w:t>s</w:t>
      </w:r>
      <w:r w:rsidR="005C15D3">
        <w:t xml:space="preserve"> (to be recorded in our licence assessment procedures </w:t>
      </w:r>
      <w:r w:rsidR="005C15D3" w:rsidRPr="008017B5">
        <w:t xml:space="preserve">for </w:t>
      </w:r>
      <w:hyperlink r:id="rId27" w:history="1">
        <w:r w:rsidR="00424FC6">
          <w:rPr>
            <w:rStyle w:val="Hyperlink"/>
          </w:rPr>
          <w:t>space and space receive licences</w:t>
        </w:r>
      </w:hyperlink>
      <w:r w:rsidR="005C15D3">
        <w:rPr>
          <w:rStyle w:val="Hyperlink"/>
        </w:rPr>
        <w:t>)</w:t>
      </w:r>
      <w:r w:rsidR="005C15D3" w:rsidRPr="00BA7532">
        <w:rPr>
          <w:rStyle w:val="Hyperlink"/>
          <w:color w:val="auto"/>
          <w:u w:val="none"/>
        </w:rPr>
        <w:t>.</w:t>
      </w:r>
    </w:p>
    <w:p w14:paraId="5F186D15" w14:textId="5C373545" w:rsidR="007F6389" w:rsidRDefault="00A523AA" w:rsidP="007F6389">
      <w:pPr>
        <w:pStyle w:val="Paragraph"/>
      </w:pPr>
      <w:r>
        <w:t xml:space="preserve">We </w:t>
      </w:r>
      <w:r w:rsidR="007F6389">
        <w:t xml:space="preserve">decided </w:t>
      </w:r>
      <w:r>
        <w:t xml:space="preserve">to include </w:t>
      </w:r>
      <w:r w:rsidR="007F6389">
        <w:t xml:space="preserve">the limitation in a spectrum embargo and </w:t>
      </w:r>
      <w:r>
        <w:t xml:space="preserve">leave </w:t>
      </w:r>
      <w:r w:rsidR="007F6389">
        <w:t>the 1 MHz (2009</w:t>
      </w:r>
      <w:r>
        <w:t>–</w:t>
      </w:r>
      <w:r w:rsidR="007F6389">
        <w:t xml:space="preserve">2010 MHz) in the CSO Class Licence for now, to facilitate </w:t>
      </w:r>
      <w:r w:rsidR="000846FE">
        <w:t>development of revised arrangements</w:t>
      </w:r>
      <w:r w:rsidR="007F6389">
        <w:t xml:space="preserve"> in the event new information and/or experience with the MSS deployment indicates these frequencies may be used without causing interference to TOB. </w:t>
      </w:r>
    </w:p>
    <w:p w14:paraId="3B92DF22" w14:textId="30F647E7" w:rsidR="00771065" w:rsidRDefault="00771065" w:rsidP="00771065">
      <w:pPr>
        <w:pStyle w:val="Paragraph"/>
      </w:pPr>
      <w:r w:rsidRPr="00482B6C">
        <w:t>Recognising that the arrangements restrict MSS services</w:t>
      </w:r>
      <w:r>
        <w:t xml:space="preserve"> </w:t>
      </w:r>
      <w:r w:rsidR="00FF441A" w:rsidRPr="00482B6C">
        <w:t xml:space="preserve">further </w:t>
      </w:r>
      <w:r>
        <w:t>than previously proposed</w:t>
      </w:r>
      <w:r w:rsidRPr="00482B6C">
        <w:t xml:space="preserve">, </w:t>
      </w:r>
      <w:r w:rsidR="00A523AA">
        <w:t>we are</w:t>
      </w:r>
      <w:r w:rsidRPr="00482B6C">
        <w:t xml:space="preserve"> open to reviewing these arrangements if the satellite industry can provide supporting information</w:t>
      </w:r>
      <w:r>
        <w:rPr>
          <w:rStyle w:val="FootnoteReference"/>
        </w:rPr>
        <w:footnoteReference w:id="3"/>
      </w:r>
      <w:r w:rsidRPr="00482B6C">
        <w:t xml:space="preserve"> documenting </w:t>
      </w:r>
      <w:r>
        <w:t xml:space="preserve">the reasons for and </w:t>
      </w:r>
      <w:r w:rsidRPr="00482B6C">
        <w:t>the benefits of such a review.</w:t>
      </w:r>
      <w:r>
        <w:t xml:space="preserve"> </w:t>
      </w:r>
      <w:r w:rsidRPr="00482B6C">
        <w:t>However</w:t>
      </w:r>
      <w:r>
        <w:t>,</w:t>
      </w:r>
      <w:r w:rsidRPr="00482B6C">
        <w:t xml:space="preserve"> at this stage no further work is proposed as it would delay making the band available for MSS services. If required, further work can be considered as part of work on developing arrangements in the remaining part of the 2 GHz band, which </w:t>
      </w:r>
      <w:r w:rsidR="00A523AA">
        <w:t>we</w:t>
      </w:r>
      <w:r>
        <w:t xml:space="preserve"> presently intend to</w:t>
      </w:r>
      <w:r w:rsidRPr="00482B6C">
        <w:t xml:space="preserve"> be subject to a price-based allocation process</w:t>
      </w:r>
      <w:r>
        <w:t>.</w:t>
      </w:r>
    </w:p>
    <w:p w14:paraId="7EC0EFE9" w14:textId="019E01BA" w:rsidR="008017B5" w:rsidRDefault="008017B5" w:rsidP="00EF17B3">
      <w:pPr>
        <w:pStyle w:val="Paragraph"/>
      </w:pPr>
      <w:r w:rsidRPr="008017B5">
        <w:t xml:space="preserve">As a next step, we will update </w:t>
      </w:r>
      <w:r w:rsidR="00022C59">
        <w:t>ou</w:t>
      </w:r>
      <w:r w:rsidR="00B61885">
        <w:t>r</w:t>
      </w:r>
      <w:r w:rsidR="00022C59">
        <w:t xml:space="preserve"> licence assessment procedures </w:t>
      </w:r>
      <w:r w:rsidRPr="008017B5">
        <w:t>for</w:t>
      </w:r>
      <w:r w:rsidR="00051C32" w:rsidRPr="008017B5">
        <w:t xml:space="preserve"> </w:t>
      </w:r>
      <w:hyperlink r:id="rId28" w:history="1">
        <w:r w:rsidR="00051C32">
          <w:rPr>
            <w:rStyle w:val="Hyperlink"/>
          </w:rPr>
          <w:t>space and space receive licences</w:t>
        </w:r>
      </w:hyperlink>
      <w:r w:rsidRPr="008017B5">
        <w:t xml:space="preserve"> to give effect to new licensing procedures for 2 GHz narrowband MSS</w:t>
      </w:r>
      <w:r w:rsidR="00724D8A">
        <w:t xml:space="preserve"> and </w:t>
      </w:r>
      <w:hyperlink r:id="rId29" w:history="1">
        <w:r w:rsidR="0019780B">
          <w:rPr>
            <w:rStyle w:val="Hyperlink"/>
          </w:rPr>
          <w:t>Embargo 23</w:t>
        </w:r>
      </w:hyperlink>
      <w:r w:rsidR="0019780B">
        <w:t xml:space="preserve"> </w:t>
      </w:r>
      <w:r w:rsidR="00724D8A">
        <w:t>(to include the limitation on 2009–2010 MHz)</w:t>
      </w:r>
      <w:r w:rsidRPr="008017B5">
        <w:t>.</w:t>
      </w:r>
      <w:r w:rsidR="00CA1FA9">
        <w:t xml:space="preserve"> </w:t>
      </w:r>
      <w:r w:rsidR="005D5A8F">
        <w:t>Consequential</w:t>
      </w:r>
      <w:r w:rsidR="00CA1FA9">
        <w:t xml:space="preserve"> updates will also </w:t>
      </w:r>
      <w:r w:rsidR="00D61403">
        <w:t>be</w:t>
      </w:r>
      <w:r w:rsidR="00CA1FA9">
        <w:t xml:space="preserve"> made to ACMA planning instruments </w:t>
      </w:r>
      <w:hyperlink r:id="rId30" w:history="1">
        <w:r w:rsidR="00CA1FA9">
          <w:rPr>
            <w:rStyle w:val="Hyperlink"/>
          </w:rPr>
          <w:t>RALI FX21</w:t>
        </w:r>
      </w:hyperlink>
      <w:r w:rsidR="00CA1FA9">
        <w:t xml:space="preserve"> </w:t>
      </w:r>
      <w:r w:rsidR="00A10C87">
        <w:t>(</w:t>
      </w:r>
      <w:r w:rsidR="00BA4541">
        <w:t>t</w:t>
      </w:r>
      <w:r w:rsidR="00A10C87" w:rsidRPr="00A10C87">
        <w:t>elevision outside broadcasting services</w:t>
      </w:r>
      <w:r w:rsidR="00A10C87">
        <w:t>)</w:t>
      </w:r>
      <w:r w:rsidR="00A10C87" w:rsidRPr="00A10C87">
        <w:t xml:space="preserve"> </w:t>
      </w:r>
      <w:r w:rsidR="00CA1FA9">
        <w:t>to reflect TOB transition timelines.</w:t>
      </w:r>
    </w:p>
    <w:p w14:paraId="3A1518BD" w14:textId="09661E8A" w:rsidR="002861A3" w:rsidRDefault="00C56645" w:rsidP="0090359E">
      <w:pPr>
        <w:pStyle w:val="Paragraphbeforelist"/>
      </w:pPr>
      <w:r>
        <w:t>T</w:t>
      </w:r>
      <w:r w:rsidR="00E23567" w:rsidRPr="0099328A">
        <w:t xml:space="preserve">he 2 GHz narrowband </w:t>
      </w:r>
      <w:r w:rsidR="00E23567">
        <w:t xml:space="preserve">MSS </w:t>
      </w:r>
      <w:r w:rsidR="00E23567" w:rsidRPr="0099328A">
        <w:t>segment</w:t>
      </w:r>
      <w:r w:rsidR="00E23567">
        <w:t xml:space="preserve"> is intended to become available for use under a phased implementation approach</w:t>
      </w:r>
      <w:r w:rsidR="007966A2">
        <w:t>,</w:t>
      </w:r>
      <w:r w:rsidR="00A320E5" w:rsidRPr="00A320E5">
        <w:t xml:space="preserve"> </w:t>
      </w:r>
      <w:r w:rsidR="00A320E5">
        <w:t>once the licence assessment procedures and ACMA planning instruments have been updated</w:t>
      </w:r>
      <w:r w:rsidR="00DA3FC7">
        <w:t>, as follows</w:t>
      </w:r>
      <w:r w:rsidR="002861A3">
        <w:t>:</w:t>
      </w:r>
    </w:p>
    <w:p w14:paraId="00CEB31A" w14:textId="1B5D5C82" w:rsidR="006975B8" w:rsidRDefault="006C0C7F" w:rsidP="00CA77AB">
      <w:pPr>
        <w:pStyle w:val="Bulletlevel1"/>
      </w:pPr>
      <w:r>
        <w:t xml:space="preserve">Until </w:t>
      </w:r>
      <w:r w:rsidR="002515B8">
        <w:t xml:space="preserve">29 </w:t>
      </w:r>
      <w:r>
        <w:t>February 2024, use is permitted only</w:t>
      </w:r>
      <w:r w:rsidR="003F42EB">
        <w:t xml:space="preserve"> outside </w:t>
      </w:r>
      <w:r w:rsidR="008F6F08">
        <w:t>of</w:t>
      </w:r>
      <w:r w:rsidR="00D528F4">
        <w:t xml:space="preserve"> </w:t>
      </w:r>
      <w:r w:rsidR="003F42EB" w:rsidRPr="003F42EB">
        <w:t>metropolitan areas and</w:t>
      </w:r>
      <w:r w:rsidR="00D528F4">
        <w:t xml:space="preserve"> </w:t>
      </w:r>
      <w:r w:rsidR="003F42EB" w:rsidRPr="003F42EB">
        <w:t>designated areas</w:t>
      </w:r>
      <w:r w:rsidR="003F42EB">
        <w:t xml:space="preserve"> </w:t>
      </w:r>
      <w:r w:rsidR="009041B8" w:rsidRPr="009041B8">
        <w:t>on the basis of no protection afforded from and no interference to TOB</w:t>
      </w:r>
      <w:r w:rsidR="00C05F8A">
        <w:t xml:space="preserve"> services</w:t>
      </w:r>
      <w:r w:rsidR="00D82951">
        <w:t>.</w:t>
      </w:r>
    </w:p>
    <w:p w14:paraId="0DD896DD" w14:textId="19C09DE7" w:rsidR="0090576D" w:rsidRDefault="00A86E41" w:rsidP="00CA77AB">
      <w:pPr>
        <w:pStyle w:val="Bulletlevel1"/>
      </w:pPr>
      <w:r w:rsidRPr="00A86E41">
        <w:t>From 1 March 2024 until 28 February 2026</w:t>
      </w:r>
      <w:r w:rsidR="008F6F08">
        <w:t xml:space="preserve">, use is </w:t>
      </w:r>
      <w:r w:rsidR="00B97084">
        <w:t xml:space="preserve">still </w:t>
      </w:r>
      <w:r w:rsidR="008F6F08">
        <w:t xml:space="preserve">permitted </w:t>
      </w:r>
      <w:r w:rsidR="00645931">
        <w:t xml:space="preserve">only outside of </w:t>
      </w:r>
      <w:r w:rsidR="00645931" w:rsidRPr="003F42EB">
        <w:t>metropolitan areas and</w:t>
      </w:r>
      <w:r w:rsidR="00645931">
        <w:t xml:space="preserve"> </w:t>
      </w:r>
      <w:r w:rsidR="00645931" w:rsidRPr="003F42EB">
        <w:t>designated areas</w:t>
      </w:r>
      <w:r w:rsidR="00D82951">
        <w:t xml:space="preserve">, </w:t>
      </w:r>
      <w:r w:rsidR="00B97084">
        <w:t xml:space="preserve">but there are </w:t>
      </w:r>
      <w:r w:rsidR="005B4D96">
        <w:t xml:space="preserve">no conditions </w:t>
      </w:r>
      <w:r w:rsidR="003D7414">
        <w:t>in relation to</w:t>
      </w:r>
      <w:r w:rsidR="005B4D96">
        <w:t xml:space="preserve"> TOB services</w:t>
      </w:r>
      <w:r w:rsidR="00D82951">
        <w:t>.</w:t>
      </w:r>
    </w:p>
    <w:p w14:paraId="5EEB5315" w14:textId="66386431" w:rsidR="005B4D96" w:rsidRDefault="005A398D" w:rsidP="00A86E41">
      <w:pPr>
        <w:pStyle w:val="Bulletlevel1last"/>
      </w:pPr>
      <w:r>
        <w:t>From 1 March 2026, use is permitted Australia-wide (including in metropolitan and designated areas).</w:t>
      </w:r>
    </w:p>
    <w:p w14:paraId="0825B206" w14:textId="39C5EAB5" w:rsidR="003D09AE" w:rsidRPr="007B3DF6" w:rsidRDefault="00A6478D" w:rsidP="00EF17B3">
      <w:pPr>
        <w:pStyle w:val="Paragraph"/>
      </w:pPr>
      <w:r>
        <w:t xml:space="preserve">These timeframes and conditions are set out </w:t>
      </w:r>
      <w:r w:rsidR="00FC52A3">
        <w:t xml:space="preserve">in the </w:t>
      </w:r>
      <w:r w:rsidR="00E21059" w:rsidRPr="00BA7532">
        <w:rPr>
          <w:iCs/>
        </w:rPr>
        <w:t>Radiocommunications (Mobile-Satellite Service) (1980–2010 MHz and 2170–2200 MHz) Frequency Band Plan 2022</w:t>
      </w:r>
      <w:r w:rsidR="008F6DB4" w:rsidRPr="007B3DF6">
        <w:t xml:space="preserve">. Operation </w:t>
      </w:r>
      <w:r w:rsidR="00CB768C" w:rsidRPr="007B3DF6">
        <w:t>in metropolitan and designated areas is not to commence before 1 March 2026.</w:t>
      </w:r>
    </w:p>
    <w:p w14:paraId="4ACECC69" w14:textId="17483CDA" w:rsidR="008D6E17" w:rsidRPr="007B3DF6" w:rsidRDefault="008D6E17" w:rsidP="00BA7532">
      <w:pPr>
        <w:pStyle w:val="Paragraphbeforelist"/>
        <w:numPr>
          <w:ilvl w:val="0"/>
          <w:numId w:val="37"/>
        </w:numPr>
        <w:ind w:left="0" w:firstLine="0"/>
        <w:rPr>
          <w:b/>
          <w:bCs/>
        </w:rPr>
      </w:pPr>
      <w:r w:rsidRPr="007B3DF6">
        <w:rPr>
          <w:b/>
          <w:bCs/>
        </w:rPr>
        <w:t xml:space="preserve">GHz </w:t>
      </w:r>
      <w:r w:rsidR="009260B0" w:rsidRPr="007B3DF6">
        <w:rPr>
          <w:b/>
          <w:bCs/>
        </w:rPr>
        <w:t>fixed-satellite services</w:t>
      </w:r>
    </w:p>
    <w:p w14:paraId="0E105BE3" w14:textId="6F20E912" w:rsidR="00DD286B" w:rsidRDefault="00106426" w:rsidP="007F737B">
      <w:pPr>
        <w:pStyle w:val="Paragraphbeforelist"/>
      </w:pPr>
      <w:r w:rsidRPr="007B3DF6">
        <w:t>Four respondents commented on the pr</w:t>
      </w:r>
      <w:r w:rsidRPr="00437BE6">
        <w:t>oposed licensing arrangements for 2</w:t>
      </w:r>
      <w:r>
        <w:t>8</w:t>
      </w:r>
      <w:r w:rsidRPr="00437BE6">
        <w:t xml:space="preserve"> GHz </w:t>
      </w:r>
      <w:r>
        <w:t>band ubiquitous</w:t>
      </w:r>
      <w:r w:rsidRPr="00437BE6">
        <w:t xml:space="preserve"> </w:t>
      </w:r>
      <w:r>
        <w:t>fixed</w:t>
      </w:r>
      <w:r w:rsidRPr="00437BE6">
        <w:t>-satellite services</w:t>
      </w:r>
      <w:r w:rsidR="00A523AA">
        <w:t xml:space="preserve">. </w:t>
      </w:r>
      <w:r w:rsidR="00DD286B">
        <w:t xml:space="preserve">While all four respondents (SSWG, NBN Co, Telesat and Viasat) supported the inclusion of arrangements for ubiquitous </w:t>
      </w:r>
      <w:r w:rsidR="00B66A90">
        <w:t>fixed</w:t>
      </w:r>
      <w:r w:rsidR="00D357F4">
        <w:t xml:space="preserve"> </w:t>
      </w:r>
      <w:r w:rsidR="00B66A90">
        <w:t>satellite services (</w:t>
      </w:r>
      <w:r w:rsidR="00DD286B">
        <w:t>FSS</w:t>
      </w:r>
      <w:r w:rsidR="00B66A90">
        <w:t>)</w:t>
      </w:r>
      <w:r w:rsidR="00DD286B">
        <w:t xml:space="preserve"> in the 27.5–28.3 GHz frequency range, the respondents </w:t>
      </w:r>
      <w:r w:rsidR="00531AF5">
        <w:t>suggested</w:t>
      </w:r>
      <w:r w:rsidR="00AC0E5B">
        <w:t>:</w:t>
      </w:r>
    </w:p>
    <w:p w14:paraId="24A1CF7C" w14:textId="5C9A3799" w:rsidR="00DD286B" w:rsidRPr="00475819" w:rsidRDefault="00DD286B" w:rsidP="007F737B">
      <w:pPr>
        <w:pStyle w:val="ListBullet"/>
      </w:pPr>
      <w:r>
        <w:t>allow</w:t>
      </w:r>
      <w:r w:rsidRPr="00475819">
        <w:t xml:space="preserve">ing </w:t>
      </w:r>
      <w:r w:rsidR="001C3925" w:rsidRPr="00475819">
        <w:t>t</w:t>
      </w:r>
      <w:r w:rsidRPr="00475819">
        <w:t>he operation of ubiquitous Very Small Aperture Terminals (VSATs) inside defined population centres within 27.5–28.1 GHz</w:t>
      </w:r>
    </w:p>
    <w:p w14:paraId="6EA18E7A" w14:textId="4E32F580" w:rsidR="00DD286B" w:rsidRPr="00D04242" w:rsidRDefault="00DD286B" w:rsidP="007F737B">
      <w:pPr>
        <w:pStyle w:val="ListBullet"/>
      </w:pPr>
      <w:r w:rsidRPr="00475819">
        <w:t xml:space="preserve">using </w:t>
      </w:r>
      <w:r w:rsidRPr="00D04242">
        <w:t>a</w:t>
      </w:r>
      <w:r>
        <w:t>n</w:t>
      </w:r>
      <w:r w:rsidR="000B22D5">
        <w:t xml:space="preserve"> </w:t>
      </w:r>
      <w:r>
        <w:t xml:space="preserve">onshore power flux density </w:t>
      </w:r>
      <w:r w:rsidR="00114CA8">
        <w:t xml:space="preserve">(PFD) </w:t>
      </w:r>
      <w:r>
        <w:t xml:space="preserve">limit </w:t>
      </w:r>
      <w:r w:rsidRPr="00D04242">
        <w:t>of -91 dBW/m</w:t>
      </w:r>
      <w:r w:rsidRPr="00D04242">
        <w:rPr>
          <w:vertAlign w:val="superscript"/>
        </w:rPr>
        <w:t>2</w:t>
      </w:r>
      <w:r w:rsidRPr="00D04242">
        <w:t>/MHz</w:t>
      </w:r>
      <w:r w:rsidR="00A523AA">
        <w:t xml:space="preserve"> for maritime e</w:t>
      </w:r>
      <w:r w:rsidR="00A523AA" w:rsidRPr="00D04242">
        <w:t xml:space="preserve">arth </w:t>
      </w:r>
      <w:r w:rsidR="00A523AA">
        <w:t>s</w:t>
      </w:r>
      <w:r w:rsidR="00A523AA" w:rsidRPr="00D04242">
        <w:t xml:space="preserve">tations in </w:t>
      </w:r>
      <w:r w:rsidR="00A523AA">
        <w:t>m</w:t>
      </w:r>
      <w:r w:rsidR="00A523AA" w:rsidRPr="00D04242">
        <w:t>otion</w:t>
      </w:r>
      <w:r w:rsidR="00A523AA">
        <w:t xml:space="preserve"> (ESIM),</w:t>
      </w:r>
      <w:r w:rsidR="00A523AA" w:rsidRPr="00D04242">
        <w:t xml:space="preserve"> </w:t>
      </w:r>
      <w:r w:rsidRPr="00D04242">
        <w:t xml:space="preserve">instead of </w:t>
      </w:r>
      <w:r>
        <w:t xml:space="preserve">the proposed </w:t>
      </w:r>
      <w:r>
        <w:noBreakHyphen/>
      </w:r>
      <w:r w:rsidRPr="00D04242">
        <w:t>112.2 dBW/m</w:t>
      </w:r>
      <w:r w:rsidRPr="00D04242">
        <w:rPr>
          <w:vertAlign w:val="superscript"/>
        </w:rPr>
        <w:t>2</w:t>
      </w:r>
      <w:r w:rsidRPr="00D04242">
        <w:t>/MHz</w:t>
      </w:r>
    </w:p>
    <w:p w14:paraId="46E3D4A2" w14:textId="14010B11" w:rsidR="00DD286B" w:rsidRPr="00475819" w:rsidRDefault="00DD286B" w:rsidP="007F737B">
      <w:pPr>
        <w:pStyle w:val="ListBullet"/>
      </w:pPr>
      <w:r w:rsidRPr="00D04242">
        <w:lastRenderedPageBreak/>
        <w:t>allo</w:t>
      </w:r>
      <w:r w:rsidRPr="00475819">
        <w:t>wing operation from gate-</w:t>
      </w:r>
      <w:r w:rsidR="00F06F90">
        <w:t>to-</w:t>
      </w:r>
      <w:r w:rsidRPr="00475819">
        <w:t xml:space="preserve">gate for both aeronautical and </w:t>
      </w:r>
      <w:r w:rsidR="00783EA5" w:rsidRPr="00475819">
        <w:t>m</w:t>
      </w:r>
      <w:r w:rsidRPr="00475819">
        <w:t xml:space="preserve">aritime </w:t>
      </w:r>
      <w:r w:rsidR="00941240" w:rsidRPr="00475819">
        <w:t>ESIM</w:t>
      </w:r>
      <w:r w:rsidRPr="00475819">
        <w:t xml:space="preserve"> </w:t>
      </w:r>
    </w:p>
    <w:p w14:paraId="2D611D80" w14:textId="07123D4E" w:rsidR="00DD286B" w:rsidRPr="00475819" w:rsidRDefault="00DD286B" w:rsidP="007F737B">
      <w:pPr>
        <w:pStyle w:val="ListBullet"/>
      </w:pPr>
      <w:r w:rsidRPr="00475819">
        <w:t xml:space="preserve">using unwanted emission limits criteria to </w:t>
      </w:r>
      <w:r w:rsidR="00783EA5" w:rsidRPr="00475819">
        <w:t>m</w:t>
      </w:r>
      <w:r w:rsidRPr="00475819">
        <w:t>anage adjacent band coexistence at the 28.1 GHz frequency boundary instead of using the guard bands as proposed</w:t>
      </w:r>
    </w:p>
    <w:p w14:paraId="01B57864" w14:textId="76C24936" w:rsidR="00DD286B" w:rsidRPr="00475819" w:rsidRDefault="00DD286B" w:rsidP="007F737B">
      <w:pPr>
        <w:pStyle w:val="ListBullet"/>
      </w:pPr>
      <w:r w:rsidRPr="00475819">
        <w:t>adopt</w:t>
      </w:r>
      <w:r w:rsidR="00730604" w:rsidRPr="00475819">
        <w:t>ing</w:t>
      </w:r>
      <w:r w:rsidRPr="00475819">
        <w:t xml:space="preserve"> Australian</w:t>
      </w:r>
      <w:r w:rsidR="00A523AA" w:rsidRPr="00475819">
        <w:t>-</w:t>
      </w:r>
      <w:r w:rsidRPr="00475819">
        <w:t xml:space="preserve">defined </w:t>
      </w:r>
      <w:r w:rsidR="00114CA8" w:rsidRPr="00475819">
        <w:t>PFD</w:t>
      </w:r>
      <w:r w:rsidRPr="00475819">
        <w:t xml:space="preserve"> limits for aeronautical </w:t>
      </w:r>
      <w:r w:rsidR="00941240" w:rsidRPr="00475819">
        <w:t>ESIM</w:t>
      </w:r>
      <w:r w:rsidRPr="00475819">
        <w:t xml:space="preserve"> based on European Communications Committee (ECC) criteria </w:t>
      </w:r>
      <w:r w:rsidR="00A523AA" w:rsidRPr="00475819">
        <w:t>instead of</w:t>
      </w:r>
      <w:r w:rsidRPr="00475819">
        <w:t xml:space="preserve"> </w:t>
      </w:r>
      <w:r w:rsidR="00F920E0" w:rsidRPr="00475819">
        <w:t xml:space="preserve">International </w:t>
      </w:r>
      <w:r w:rsidR="005A7637" w:rsidRPr="00475819">
        <w:t xml:space="preserve">Telecommunications Union </w:t>
      </w:r>
      <w:r w:rsidR="003E1EA8" w:rsidRPr="00475819">
        <w:t>–</w:t>
      </w:r>
      <w:r w:rsidR="005A7637" w:rsidRPr="00475819">
        <w:t xml:space="preserve"> Radioc</w:t>
      </w:r>
      <w:r w:rsidR="003E1EA8" w:rsidRPr="00475819">
        <w:t xml:space="preserve">ommunications </w:t>
      </w:r>
      <w:r w:rsidR="007B35AD" w:rsidRPr="00475819">
        <w:t>(</w:t>
      </w:r>
      <w:r w:rsidRPr="00475819">
        <w:t>ITU-R</w:t>
      </w:r>
      <w:r w:rsidR="007B35AD" w:rsidRPr="00475819">
        <w:t>)</w:t>
      </w:r>
      <w:r w:rsidRPr="00475819">
        <w:t xml:space="preserve"> Resolution 169 criteria</w:t>
      </w:r>
    </w:p>
    <w:p w14:paraId="29D85358" w14:textId="28D333A5" w:rsidR="00DD286B" w:rsidRPr="00D04242" w:rsidRDefault="00A523AA" w:rsidP="007F737B">
      <w:pPr>
        <w:pStyle w:val="ListBullet"/>
      </w:pPr>
      <w:r w:rsidRPr="00475819">
        <w:t>propos</w:t>
      </w:r>
      <w:r>
        <w:t xml:space="preserve">ing </w:t>
      </w:r>
      <w:r w:rsidR="00DD286B">
        <w:t xml:space="preserve">new </w:t>
      </w:r>
      <w:r w:rsidR="00114CA8">
        <w:t>PFD</w:t>
      </w:r>
      <w:r w:rsidR="00DD286B">
        <w:t xml:space="preserve"> </w:t>
      </w:r>
      <w:r w:rsidR="00DD286B" w:rsidRPr="00D04242">
        <w:t xml:space="preserve">limits for aeronautical </w:t>
      </w:r>
      <w:r w:rsidR="00941240">
        <w:t>ESIM</w:t>
      </w:r>
    </w:p>
    <w:p w14:paraId="6B022797" w14:textId="49711B61" w:rsidR="00DD286B" w:rsidRPr="00D04242" w:rsidRDefault="00A523AA" w:rsidP="007F737B">
      <w:pPr>
        <w:pStyle w:val="Bulletlevel1last"/>
      </w:pPr>
      <w:r>
        <w:t>clarifying</w:t>
      </w:r>
      <w:r w:rsidR="00DD286B" w:rsidRPr="00D04242">
        <w:t xml:space="preserve"> the use of non</w:t>
      </w:r>
      <w:r w:rsidR="00DD286B">
        <w:t>-</w:t>
      </w:r>
      <w:r w:rsidR="00DD286B" w:rsidRPr="00D04242">
        <w:t>geostationary orbit (NGSO) VSAT</w:t>
      </w:r>
      <w:r w:rsidR="00DD286B">
        <w:t>s</w:t>
      </w:r>
      <w:r w:rsidR="00DD286B" w:rsidRPr="00D04242">
        <w:t xml:space="preserve"> in the 28 GHz band.</w:t>
      </w:r>
    </w:p>
    <w:p w14:paraId="6EFAAA23" w14:textId="341F2142" w:rsidR="00013571" w:rsidRDefault="00DD286B" w:rsidP="00EF17B3">
      <w:pPr>
        <w:pStyle w:val="Paragraph"/>
      </w:pPr>
      <w:r>
        <w:t>The majority of these issues have been previously addressed in correspondence from the ACMA to the satellite industry</w:t>
      </w:r>
      <w:r w:rsidR="001D3506">
        <w:t xml:space="preserve"> as part of informal preliminary consultation on the matter</w:t>
      </w:r>
      <w:r>
        <w:t>.</w:t>
      </w:r>
      <w:r w:rsidR="00EB5AD2">
        <w:t xml:space="preserve"> </w:t>
      </w:r>
      <w:r w:rsidR="00013571">
        <w:t xml:space="preserve">After considering the issues raised in the consultation, the ACMA made the </w:t>
      </w:r>
      <w:r w:rsidR="00013571" w:rsidRPr="007F737B">
        <w:rPr>
          <w:iCs/>
        </w:rPr>
        <w:t xml:space="preserve">Radiocommunications (Communication </w:t>
      </w:r>
      <w:r w:rsidR="00FE1B0C" w:rsidRPr="007F737B">
        <w:rPr>
          <w:iCs/>
        </w:rPr>
        <w:t>w</w:t>
      </w:r>
      <w:r w:rsidR="00013571" w:rsidRPr="007F737B">
        <w:rPr>
          <w:iCs/>
        </w:rPr>
        <w:t>ith Space Object) Class Licence Variation 2022 (No.1)</w:t>
      </w:r>
      <w:r w:rsidR="00013571" w:rsidRPr="006D0FC6">
        <w:t>.</w:t>
      </w:r>
      <w:r w:rsidR="00013571">
        <w:t xml:space="preserve"> </w:t>
      </w:r>
      <w:r w:rsidR="00AF4D2F">
        <w:t>There were no substantive changes to the draft variation.</w:t>
      </w:r>
    </w:p>
    <w:p w14:paraId="49B20643" w14:textId="14B737B9" w:rsidR="002D721A" w:rsidRPr="00013AA9" w:rsidRDefault="002D721A" w:rsidP="002D721A">
      <w:r w:rsidRPr="008017B5">
        <w:t xml:space="preserve">As a next step, we will update </w:t>
      </w:r>
      <w:r>
        <w:t xml:space="preserve">our licence assessment procedures </w:t>
      </w:r>
      <w:r w:rsidRPr="008017B5">
        <w:t xml:space="preserve">for </w:t>
      </w:r>
      <w:hyperlink r:id="rId31" w:history="1">
        <w:r>
          <w:rPr>
            <w:rStyle w:val="Hyperlink"/>
          </w:rPr>
          <w:t>space and space receive licences</w:t>
        </w:r>
      </w:hyperlink>
      <w:r w:rsidRPr="008017B5">
        <w:t xml:space="preserve"> </w:t>
      </w:r>
      <w:r>
        <w:t xml:space="preserve">to </w:t>
      </w:r>
      <w:r w:rsidR="00AD54B6">
        <w:t>include arrangements</w:t>
      </w:r>
      <w:r w:rsidRPr="008017B5">
        <w:t xml:space="preserve"> for </w:t>
      </w:r>
      <w:r>
        <w:t>the 28 GHz band.</w:t>
      </w:r>
    </w:p>
    <w:p w14:paraId="10C3FC48" w14:textId="77777777" w:rsidR="002D721A" w:rsidRDefault="002D721A" w:rsidP="00EF17B3">
      <w:pPr>
        <w:pStyle w:val="Paragraph"/>
      </w:pPr>
    </w:p>
    <w:p w14:paraId="6461AA4E" w14:textId="25910A03" w:rsidR="005E250B" w:rsidRPr="00E162C4" w:rsidRDefault="00DE7716" w:rsidP="000A665A">
      <w:pPr>
        <w:pStyle w:val="Heading1"/>
        <w:numPr>
          <w:ilvl w:val="0"/>
          <w:numId w:val="0"/>
        </w:numPr>
      </w:pPr>
      <w:bookmarkStart w:id="1" w:name="_Toc107506499"/>
      <w:r>
        <w:lastRenderedPageBreak/>
        <w:t>Introduction</w:t>
      </w:r>
      <w:bookmarkEnd w:id="1"/>
    </w:p>
    <w:p w14:paraId="4BE60F26" w14:textId="0EC4E810" w:rsidR="00720E3F" w:rsidRDefault="00720E3F" w:rsidP="005B7E45">
      <w:pPr>
        <w:pStyle w:val="Heading2"/>
      </w:pPr>
      <w:bookmarkStart w:id="2" w:name="_Toc107506500"/>
      <w:bookmarkStart w:id="3" w:name="_Hlk26868779"/>
      <w:r>
        <w:t>Background</w:t>
      </w:r>
      <w:bookmarkEnd w:id="2"/>
    </w:p>
    <w:p w14:paraId="56732015" w14:textId="4901CF1B" w:rsidR="00EE61A4" w:rsidRDefault="00920C43" w:rsidP="00EE61A4">
      <w:pPr>
        <w:pStyle w:val="Paragraphbeforelist"/>
        <w:rPr>
          <w:rFonts w:asciiTheme="minorHAnsi" w:hAnsiTheme="minorHAnsi"/>
        </w:rPr>
      </w:pPr>
      <w:r>
        <w:t>On 17 December 2021, t</w:t>
      </w:r>
      <w:r w:rsidR="00EE61A4">
        <w:t xml:space="preserve">he Australian Communications and Media Authority  </w:t>
      </w:r>
      <w:r w:rsidR="00EF60F6">
        <w:t xml:space="preserve">commenced a public </w:t>
      </w:r>
      <w:hyperlink r:id="rId32" w:history="1">
        <w:r w:rsidR="00EF60F6" w:rsidRPr="00074CF0">
          <w:rPr>
            <w:rStyle w:val="Hyperlink"/>
          </w:rPr>
          <w:t>consultation</w:t>
        </w:r>
      </w:hyperlink>
      <w:r w:rsidR="00EF60F6">
        <w:t xml:space="preserve"> on proposed a</w:t>
      </w:r>
      <w:r w:rsidR="00EE61A4">
        <w:t>rrangements to authorise use of uncoordinated earth station</w:t>
      </w:r>
      <w:r w:rsidR="00FB4AAA">
        <w:t>s</w:t>
      </w:r>
      <w:r w:rsidR="00EE61A4">
        <w:t xml:space="preserve"> under class-licensing arrangements in 2 frequency bands:</w:t>
      </w:r>
    </w:p>
    <w:p w14:paraId="19A29BB9" w14:textId="0CC887DC" w:rsidR="00EE61A4" w:rsidRDefault="00EE61A4" w:rsidP="00EE61A4">
      <w:pPr>
        <w:pStyle w:val="ListBullet"/>
        <w:spacing w:line="256" w:lineRule="auto"/>
        <w:rPr>
          <w:rFonts w:cs="Arial"/>
        </w:rPr>
      </w:pPr>
      <w:r>
        <w:rPr>
          <w:rFonts w:cs="Arial"/>
        </w:rPr>
        <w:t xml:space="preserve">part of the 2 GHz band in the frequency range 2005–2010 MHz paired with the frequency range 2195–2200 MHz, a bandwidth of 2 x 5 MHz (the 2 GHz </w:t>
      </w:r>
      <w:r w:rsidR="007623DB">
        <w:rPr>
          <w:rFonts w:cs="Arial"/>
        </w:rPr>
        <w:t xml:space="preserve">shared </w:t>
      </w:r>
      <w:r>
        <w:rPr>
          <w:rFonts w:cs="Arial"/>
        </w:rPr>
        <w:t xml:space="preserve">narrowband </w:t>
      </w:r>
      <w:r w:rsidR="00320446" w:rsidRPr="00437BE6">
        <w:t>mobile-satellite services</w:t>
      </w:r>
      <w:r w:rsidR="00320446">
        <w:rPr>
          <w:rFonts w:cs="Arial"/>
        </w:rPr>
        <w:t xml:space="preserve"> (</w:t>
      </w:r>
      <w:r w:rsidR="007623DB">
        <w:rPr>
          <w:rFonts w:cs="Arial"/>
        </w:rPr>
        <w:t>MSS</w:t>
      </w:r>
      <w:r w:rsidR="00320446">
        <w:rPr>
          <w:rFonts w:cs="Arial"/>
        </w:rPr>
        <w:t>)</w:t>
      </w:r>
      <w:r>
        <w:rPr>
          <w:rFonts w:cs="Arial"/>
        </w:rPr>
        <w:t xml:space="preserve"> segment)</w:t>
      </w:r>
    </w:p>
    <w:p w14:paraId="0E3CD6BC" w14:textId="77777777" w:rsidR="00EE61A4" w:rsidRDefault="00EE61A4" w:rsidP="00EE61A4">
      <w:pPr>
        <w:pStyle w:val="Bulletlevel1last"/>
        <w:spacing w:line="256" w:lineRule="auto"/>
      </w:pPr>
      <w:r>
        <w:t>the 28 GHz band in the frequency range 27.5–28.3 GHz.</w:t>
      </w:r>
    </w:p>
    <w:p w14:paraId="4F06AB8F" w14:textId="28DCF45F" w:rsidR="00EE61A4" w:rsidRDefault="00EE61A4" w:rsidP="00EE61A4">
      <w:pPr>
        <w:pStyle w:val="Paragraph"/>
      </w:pPr>
      <w:r>
        <w:t>To implement these arrangements, we propose</w:t>
      </w:r>
      <w:r w:rsidR="00AC50AA">
        <w:t>d</w:t>
      </w:r>
      <w:r>
        <w:t xml:space="preserve"> to vary the</w:t>
      </w:r>
      <w:r>
        <w:rPr>
          <w:i/>
          <w:iCs/>
        </w:rPr>
        <w:t xml:space="preserve"> </w:t>
      </w:r>
      <w:hyperlink r:id="rId33" w:history="1">
        <w:r w:rsidRPr="00AB6C64">
          <w:rPr>
            <w:rStyle w:val="Hyperlink"/>
            <w:szCs w:val="20"/>
          </w:rPr>
          <w:t>Radiocommunications (Communication with Space Object) Class Licence 2015</w:t>
        </w:r>
      </w:hyperlink>
      <w:r>
        <w:t xml:space="preserve"> (CSO </w:t>
      </w:r>
      <w:r w:rsidR="00724830">
        <w:t>C</w:t>
      </w:r>
      <w:r>
        <w:t xml:space="preserve">lass </w:t>
      </w:r>
      <w:r w:rsidR="00724830">
        <w:t>L</w:t>
      </w:r>
      <w:r>
        <w:t>icence), as detailed in the draft</w:t>
      </w:r>
      <w:r w:rsidR="00861C78">
        <w:t xml:space="preserve"> legislative instrument accompanying the consultation – the</w:t>
      </w:r>
      <w:r>
        <w:t xml:space="preserve"> Radiocommunications (Communication </w:t>
      </w:r>
      <w:r w:rsidR="0075772C">
        <w:t>w</w:t>
      </w:r>
      <w:r>
        <w:t>ith Space Object) Class Licence Variation 2022 (No.1)</w:t>
      </w:r>
      <w:r>
        <w:rPr>
          <w:i/>
          <w:iCs/>
        </w:rPr>
        <w:t xml:space="preserve"> </w:t>
      </w:r>
      <w:r>
        <w:t xml:space="preserve">(the draft variation). </w:t>
      </w:r>
    </w:p>
    <w:p w14:paraId="6DE7AAB4" w14:textId="44465B1A" w:rsidR="000F42C6" w:rsidRDefault="000F42C6" w:rsidP="000F42C6">
      <w:pPr>
        <w:pStyle w:val="Heading2"/>
      </w:pPr>
      <w:bookmarkStart w:id="4" w:name="_Toc107506501"/>
      <w:r>
        <w:t>Submissions</w:t>
      </w:r>
      <w:bookmarkEnd w:id="4"/>
    </w:p>
    <w:p w14:paraId="6770D5C4" w14:textId="0F247A7B" w:rsidR="00642A8A" w:rsidRDefault="000F3912" w:rsidP="00CA0157">
      <w:pPr>
        <w:pStyle w:val="Paragraphbeforelist"/>
      </w:pPr>
      <w:r>
        <w:t xml:space="preserve">The consultation closed on 28 February 2022. </w:t>
      </w:r>
      <w:r w:rsidR="000F42C6">
        <w:t>We received 1</w:t>
      </w:r>
      <w:r w:rsidR="00F710E5">
        <w:t>2</w:t>
      </w:r>
      <w:r w:rsidR="000F42C6">
        <w:t xml:space="preserve"> submissions </w:t>
      </w:r>
      <w:r w:rsidR="00A82E9A">
        <w:t xml:space="preserve">from the </w:t>
      </w:r>
      <w:r w:rsidR="00642A8A">
        <w:t>follow</w:t>
      </w:r>
      <w:r w:rsidR="00A82E9A">
        <w:t>ing organisations:</w:t>
      </w:r>
    </w:p>
    <w:p w14:paraId="4912E9BC" w14:textId="178645B7" w:rsidR="00DD3D1E" w:rsidRDefault="00DD3D1E" w:rsidP="00DD3D1E">
      <w:pPr>
        <w:pStyle w:val="Bulletlevel1"/>
      </w:pPr>
      <w:r w:rsidRPr="00D04242">
        <w:t>ABC</w:t>
      </w:r>
    </w:p>
    <w:p w14:paraId="34E62CC2" w14:textId="405EE5C6" w:rsidR="00F710E5" w:rsidRPr="00D04242" w:rsidRDefault="00F710E5" w:rsidP="00F710E5">
      <w:pPr>
        <w:pStyle w:val="Bulletlevel1"/>
      </w:pPr>
      <w:r w:rsidRPr="00F710E5">
        <w:t xml:space="preserve">Australian Subscription Television </w:t>
      </w:r>
      <w:r w:rsidR="00A523AA">
        <w:t>a</w:t>
      </w:r>
      <w:r w:rsidRPr="00F710E5">
        <w:t>nd Radio Association</w:t>
      </w:r>
    </w:p>
    <w:p w14:paraId="3A5F8A8C" w14:textId="7004C3DB" w:rsidR="00DD3D1E" w:rsidRPr="00D04242" w:rsidRDefault="00DD3D1E" w:rsidP="00DD3D1E">
      <w:pPr>
        <w:pStyle w:val="Bulletlevel1"/>
      </w:pPr>
      <w:r w:rsidRPr="00D04242">
        <w:t>Communications Alliance SSWG</w:t>
      </w:r>
    </w:p>
    <w:p w14:paraId="7E52E550" w14:textId="77777777" w:rsidR="00DD3D1E" w:rsidRPr="00D04242" w:rsidRDefault="00DD3D1E" w:rsidP="00DD3D1E">
      <w:pPr>
        <w:pStyle w:val="Bulletlevel1"/>
      </w:pPr>
      <w:bookmarkStart w:id="5" w:name="OLE_LINK1"/>
      <w:r w:rsidRPr="00D04242">
        <w:t>EchoStar Global Australia</w:t>
      </w:r>
    </w:p>
    <w:bookmarkEnd w:id="5"/>
    <w:p w14:paraId="4D3420B4" w14:textId="77777777" w:rsidR="00DD3D1E" w:rsidRPr="00D04242" w:rsidRDefault="00DD3D1E" w:rsidP="00DD3D1E">
      <w:pPr>
        <w:pStyle w:val="Bulletlevel1"/>
      </w:pPr>
      <w:r w:rsidRPr="00D04242">
        <w:t>Fleet Space Technologies</w:t>
      </w:r>
    </w:p>
    <w:p w14:paraId="63D76FEE" w14:textId="501DEBFA" w:rsidR="00DD3D1E" w:rsidRPr="00D04242" w:rsidRDefault="00DD3D1E" w:rsidP="00DD3D1E">
      <w:pPr>
        <w:pStyle w:val="Bulletlevel1"/>
      </w:pPr>
      <w:r w:rsidRPr="00D04242">
        <w:t>Free TV</w:t>
      </w:r>
    </w:p>
    <w:p w14:paraId="5AEDF5CB" w14:textId="61356763" w:rsidR="00DD3D1E" w:rsidRPr="00D04242" w:rsidRDefault="00DD3D1E" w:rsidP="00DD3D1E">
      <w:pPr>
        <w:pStyle w:val="Bulletlevel1"/>
      </w:pPr>
      <w:r w:rsidRPr="00D04242">
        <w:t>NBN Co</w:t>
      </w:r>
    </w:p>
    <w:p w14:paraId="75FB6202" w14:textId="28A77A10" w:rsidR="00DD3D1E" w:rsidRPr="00D04242" w:rsidRDefault="00DD3D1E" w:rsidP="00DD3D1E">
      <w:pPr>
        <w:pStyle w:val="Bulletlevel1"/>
      </w:pPr>
      <w:r w:rsidRPr="00D04242">
        <w:t>Omnispace Australia</w:t>
      </w:r>
    </w:p>
    <w:p w14:paraId="47EBCAD5" w14:textId="1392BAC9" w:rsidR="00DD3D1E" w:rsidRPr="00D04242" w:rsidRDefault="00DD3D1E" w:rsidP="00DD3D1E">
      <w:pPr>
        <w:pStyle w:val="Bulletlevel1"/>
      </w:pPr>
      <w:r w:rsidRPr="00D04242">
        <w:t>OQ Technology</w:t>
      </w:r>
      <w:r w:rsidR="00FB203C">
        <w:t xml:space="preserve"> (con</w:t>
      </w:r>
      <w:r w:rsidR="00FF3DC0">
        <w:t>fidential)</w:t>
      </w:r>
    </w:p>
    <w:p w14:paraId="3BD11AA1" w14:textId="4301322E" w:rsidR="00DD3D1E" w:rsidRPr="00D04242" w:rsidRDefault="00DD3D1E" w:rsidP="00DD3D1E">
      <w:pPr>
        <w:pStyle w:val="Bulletlevel1"/>
      </w:pPr>
      <w:r w:rsidRPr="00D04242">
        <w:t>Sateliot</w:t>
      </w:r>
      <w:r w:rsidR="00F12355">
        <w:t xml:space="preserve"> (confidential)</w:t>
      </w:r>
    </w:p>
    <w:p w14:paraId="5FF776BE" w14:textId="77777777" w:rsidR="00DD3D1E" w:rsidRPr="00D04242" w:rsidRDefault="00DD3D1E" w:rsidP="00DD3D1E">
      <w:pPr>
        <w:pStyle w:val="Bulletlevel1"/>
      </w:pPr>
      <w:r w:rsidRPr="00D04242">
        <w:t>Telesat</w:t>
      </w:r>
    </w:p>
    <w:p w14:paraId="33933236" w14:textId="4EC1367D" w:rsidR="00DD3D1E" w:rsidRPr="00D04242" w:rsidRDefault="00DD3D1E" w:rsidP="00FB203C">
      <w:pPr>
        <w:pStyle w:val="Bulletlevel1last"/>
      </w:pPr>
      <w:r w:rsidRPr="00D04242">
        <w:t>Viasat Australia</w:t>
      </w:r>
      <w:r w:rsidR="00320446">
        <w:t>.</w:t>
      </w:r>
    </w:p>
    <w:p w14:paraId="3C3F2E5C" w14:textId="13A1A337" w:rsidR="00683930" w:rsidRDefault="00A82E9A" w:rsidP="00EE61A4">
      <w:pPr>
        <w:pStyle w:val="Paragraph"/>
      </w:pPr>
      <w:r>
        <w:t>With the exception of 2 confidential submissions,</w:t>
      </w:r>
      <w:r w:rsidR="00597427">
        <w:t xml:space="preserve"> these are available on the </w:t>
      </w:r>
      <w:hyperlink r:id="rId34" w:history="1">
        <w:r w:rsidR="00597427" w:rsidRPr="007F6920">
          <w:rPr>
            <w:rStyle w:val="Hyperlink"/>
          </w:rPr>
          <w:t>ACMA website</w:t>
        </w:r>
      </w:hyperlink>
      <w:r w:rsidR="00597427">
        <w:t>.</w:t>
      </w:r>
    </w:p>
    <w:p w14:paraId="6A3A69B0" w14:textId="08CCD7C9" w:rsidR="008357E1" w:rsidRDefault="00FF3DC0" w:rsidP="00EE61A4">
      <w:pPr>
        <w:pStyle w:val="Paragraph"/>
      </w:pPr>
      <w:r>
        <w:t xml:space="preserve">Since there is no overlap between proposals </w:t>
      </w:r>
      <w:r w:rsidR="00C23335">
        <w:t xml:space="preserve">for the 2 GHz </w:t>
      </w:r>
      <w:r w:rsidR="002B0E83">
        <w:t>shared narrowband MSS segment</w:t>
      </w:r>
      <w:r w:rsidR="00C23335">
        <w:t xml:space="preserve"> and 28 GHz bands, the</w:t>
      </w:r>
      <w:r w:rsidR="001B0576">
        <w:t xml:space="preserve"> issues raised by respondents </w:t>
      </w:r>
      <w:r w:rsidR="00CA3EDE">
        <w:t xml:space="preserve">in each band are </w:t>
      </w:r>
      <w:r w:rsidR="00C23335">
        <w:t>considered in turn below.</w:t>
      </w:r>
    </w:p>
    <w:p w14:paraId="74E38730" w14:textId="74916364" w:rsidR="00B91419" w:rsidRDefault="00B91419" w:rsidP="00EE61A4">
      <w:pPr>
        <w:pStyle w:val="Paragraph"/>
      </w:pPr>
    </w:p>
    <w:p w14:paraId="11CF6A73" w14:textId="4DF06ECE" w:rsidR="003253EE" w:rsidRPr="00E162C4" w:rsidRDefault="003253EE" w:rsidP="003253EE">
      <w:pPr>
        <w:pStyle w:val="Paragraph"/>
      </w:pPr>
    </w:p>
    <w:p w14:paraId="2459B2E3" w14:textId="035DD6EA" w:rsidR="0044335B" w:rsidRDefault="0044335B" w:rsidP="000A665A">
      <w:pPr>
        <w:pStyle w:val="Heading1"/>
        <w:numPr>
          <w:ilvl w:val="0"/>
          <w:numId w:val="0"/>
        </w:numPr>
      </w:pPr>
      <w:bookmarkStart w:id="6" w:name="_Toc107506502"/>
      <w:bookmarkEnd w:id="3"/>
      <w:r w:rsidRPr="00CD2B0D">
        <w:lastRenderedPageBreak/>
        <w:t xml:space="preserve">2 GHz </w:t>
      </w:r>
      <w:r w:rsidR="00D55117">
        <w:t xml:space="preserve">shared </w:t>
      </w:r>
      <w:r w:rsidRPr="00CD2B0D">
        <w:t xml:space="preserve">narrowband </w:t>
      </w:r>
      <w:r w:rsidR="00D55117">
        <w:t>MSS segment</w:t>
      </w:r>
      <w:bookmarkEnd w:id="6"/>
    </w:p>
    <w:p w14:paraId="7CA2E77E" w14:textId="252B228E" w:rsidR="00CD2B0D" w:rsidRDefault="00A83883" w:rsidP="00A83883">
      <w:pPr>
        <w:pStyle w:val="Heading2"/>
      </w:pPr>
      <w:bookmarkStart w:id="7" w:name="_Toc107506503"/>
      <w:r>
        <w:t>Overview</w:t>
      </w:r>
      <w:bookmarkEnd w:id="7"/>
    </w:p>
    <w:p w14:paraId="27C6A88D" w14:textId="04AED156" w:rsidR="00B57EF6" w:rsidRDefault="00B57EF6" w:rsidP="00262774">
      <w:pPr>
        <w:pStyle w:val="Paragraphbeforelist"/>
      </w:pPr>
      <w:r>
        <w:t xml:space="preserve">Eight respondents commented on the </w:t>
      </w:r>
      <w:r w:rsidR="00437BE6">
        <w:t>p</w:t>
      </w:r>
      <w:r w:rsidR="00437BE6" w:rsidRPr="00437BE6">
        <w:t xml:space="preserve">roposed licensing arrangements for </w:t>
      </w:r>
      <w:r w:rsidR="00CF6E3D">
        <w:t xml:space="preserve">the </w:t>
      </w:r>
      <w:r w:rsidR="00437BE6" w:rsidRPr="00437BE6">
        <w:t xml:space="preserve">2 GHz </w:t>
      </w:r>
      <w:r w:rsidR="00CF6E3D">
        <w:t>shared</w:t>
      </w:r>
      <w:r w:rsidR="00437BE6" w:rsidRPr="00437BE6">
        <w:t xml:space="preserve"> narrowband </w:t>
      </w:r>
      <w:r w:rsidR="00CF6E3D">
        <w:t>MSS segment</w:t>
      </w:r>
      <w:r w:rsidR="00811A83">
        <w:t>:</w:t>
      </w:r>
    </w:p>
    <w:p w14:paraId="3D639D3A" w14:textId="6554489A" w:rsidR="00B57EF6" w:rsidRDefault="00B57EF6" w:rsidP="00262774">
      <w:pPr>
        <w:pStyle w:val="Bulletlevel1"/>
      </w:pPr>
      <w:r>
        <w:t xml:space="preserve">Three requested reconsideration of the ACMA’s planning decision to introduce the 2 GHz shared narrowband MSS segment (Communications Alliance </w:t>
      </w:r>
      <w:r w:rsidR="003C6D82">
        <w:t>SSWG</w:t>
      </w:r>
      <w:r>
        <w:t xml:space="preserve"> and their member organisations</w:t>
      </w:r>
      <w:r w:rsidR="00320446">
        <w:t>,</w:t>
      </w:r>
      <w:r>
        <w:t xml:space="preserve"> EchoStar Global Australia and Omnispace Australia).</w:t>
      </w:r>
    </w:p>
    <w:p w14:paraId="23C211F9" w14:textId="6CA31609" w:rsidR="001E3B22" w:rsidRDefault="001E3B22" w:rsidP="00DE4D01">
      <w:pPr>
        <w:pStyle w:val="Bulletlevel1"/>
      </w:pPr>
      <w:r>
        <w:t>Three supported the proposals (Fleet Space Technologies, OQ Technology and Sateliot)</w:t>
      </w:r>
      <w:r w:rsidR="00F14152">
        <w:t xml:space="preserve">, and requested </w:t>
      </w:r>
      <w:r w:rsidR="00FA63C0">
        <w:t>no t</w:t>
      </w:r>
      <w:r>
        <w:t>echnical limits</w:t>
      </w:r>
      <w:r w:rsidR="00DE4D01" w:rsidRPr="00DE4D01">
        <w:t xml:space="preserve"> </w:t>
      </w:r>
      <w:r w:rsidR="00155F09">
        <w:t xml:space="preserve">on </w:t>
      </w:r>
      <w:r w:rsidR="00DE4D01" w:rsidRPr="00DE4D01">
        <w:t>narrowband MSS services operating in non-</w:t>
      </w:r>
      <w:r w:rsidR="002702BD">
        <w:t>metropolitan</w:t>
      </w:r>
      <w:r w:rsidR="00DE4D01" w:rsidRPr="00DE4D01">
        <w:t xml:space="preserve"> areas</w:t>
      </w:r>
      <w:r>
        <w:t>.</w:t>
      </w:r>
    </w:p>
    <w:p w14:paraId="31939CE7" w14:textId="4AC5928F" w:rsidR="00B57EF6" w:rsidRDefault="00B57EF6" w:rsidP="0055465C">
      <w:pPr>
        <w:pStyle w:val="Bulletlevel1last"/>
      </w:pPr>
      <w:r>
        <w:t xml:space="preserve">Two from the </w:t>
      </w:r>
      <w:r w:rsidR="009E2F86">
        <w:t>broadcasting</w:t>
      </w:r>
      <w:r>
        <w:t xml:space="preserve"> industry (ABC and Free TV) did not object to the overall proposal but requested </w:t>
      </w:r>
      <w:r w:rsidR="00E7218F">
        <w:t xml:space="preserve">that </w:t>
      </w:r>
      <w:r>
        <w:t>technical limits be applied to narrowband MSS services operating in non-</w:t>
      </w:r>
      <w:r w:rsidR="002702BD">
        <w:t>metropolitan</w:t>
      </w:r>
      <w:r>
        <w:t xml:space="preserve"> areas to protect their adjacent-band </w:t>
      </w:r>
      <w:r w:rsidR="00475819">
        <w:t>television outside broadcast (</w:t>
      </w:r>
      <w:r>
        <w:t>TOB</w:t>
      </w:r>
      <w:r w:rsidR="00475819">
        <w:t>)</w:t>
      </w:r>
      <w:r>
        <w:t xml:space="preserve"> services. </w:t>
      </w:r>
    </w:p>
    <w:p w14:paraId="7C9DEC0F" w14:textId="6D722B10" w:rsidR="00433F4C" w:rsidRDefault="004968A6" w:rsidP="00BA721E">
      <w:pPr>
        <w:pStyle w:val="Paragraph"/>
      </w:pPr>
      <w:bookmarkStart w:id="8" w:name="_Toc348105641"/>
      <w:r>
        <w:t>Other technical issues raised</w:t>
      </w:r>
      <w:r w:rsidR="00433F4C">
        <w:t xml:space="preserve"> included </w:t>
      </w:r>
      <w:r w:rsidR="00A8106B">
        <w:t xml:space="preserve">a request for </w:t>
      </w:r>
      <w:r w:rsidR="00D26DB6">
        <w:t xml:space="preserve">MSS </w:t>
      </w:r>
      <w:r w:rsidR="005A2BDA">
        <w:t>ground stations</w:t>
      </w:r>
      <w:r w:rsidR="00D26DB6" w:rsidRPr="00D26DB6">
        <w:t xml:space="preserve"> to be mandated to transition to terrestrial networks where possible</w:t>
      </w:r>
      <w:r w:rsidR="00320446">
        <w:t>,</w:t>
      </w:r>
      <w:r>
        <w:t xml:space="preserve"> </w:t>
      </w:r>
      <w:r w:rsidR="005A2BDA">
        <w:t>and</w:t>
      </w:r>
      <w:r w:rsidR="00DE6170">
        <w:t xml:space="preserve"> alternatives to sharing the </w:t>
      </w:r>
      <w:r w:rsidR="0011687A">
        <w:t xml:space="preserve">band to avoid </w:t>
      </w:r>
      <w:r w:rsidR="00F847BD">
        <w:t xml:space="preserve">coordination </w:t>
      </w:r>
      <w:r w:rsidR="0047118C">
        <w:t>issues</w:t>
      </w:r>
      <w:r w:rsidR="00F847BD">
        <w:t xml:space="preserve">. </w:t>
      </w:r>
      <w:r w:rsidR="00433F4C">
        <w:t>We address these issues in turn below.</w:t>
      </w:r>
    </w:p>
    <w:p w14:paraId="6840C8A0" w14:textId="4D05A9F8" w:rsidR="008C6132" w:rsidRDefault="008C6132" w:rsidP="008C6132">
      <w:pPr>
        <w:pStyle w:val="Heading2"/>
      </w:pPr>
      <w:bookmarkStart w:id="9" w:name="_Toc107506504"/>
      <w:r>
        <w:t>Issues</w:t>
      </w:r>
      <w:bookmarkEnd w:id="9"/>
    </w:p>
    <w:p w14:paraId="08FEBD89" w14:textId="60C9ACF9" w:rsidR="001E3B22" w:rsidRDefault="00EF7562" w:rsidP="00EF7562">
      <w:pPr>
        <w:pStyle w:val="Heading3"/>
      </w:pPr>
      <w:r>
        <w:t>Reconsider</w:t>
      </w:r>
      <w:r w:rsidR="00320446">
        <w:t>ation of</w:t>
      </w:r>
      <w:r w:rsidR="002A50FF">
        <w:t xml:space="preserve"> planning decision</w:t>
      </w:r>
    </w:p>
    <w:p w14:paraId="331D4EF0" w14:textId="33FDC6F7" w:rsidR="00795A86" w:rsidRDefault="00262774" w:rsidP="00BA721E">
      <w:pPr>
        <w:pStyle w:val="Paragraph"/>
      </w:pPr>
      <w:r w:rsidRPr="00D04242">
        <w:t xml:space="preserve">The 3 </w:t>
      </w:r>
      <w:r w:rsidR="00743DCD">
        <w:t>respondents</w:t>
      </w:r>
      <w:r w:rsidRPr="00D04242">
        <w:t xml:space="preserve"> opposing the proposal</w:t>
      </w:r>
      <w:r w:rsidR="00304331">
        <w:t xml:space="preserve"> to </w:t>
      </w:r>
      <w:r w:rsidR="00304331" w:rsidRPr="00304331">
        <w:t xml:space="preserve">introduce the 2 GHz shared narrowband MSS segment </w:t>
      </w:r>
      <w:r w:rsidR="00313A41">
        <w:t>re-</w:t>
      </w:r>
      <w:r w:rsidR="00C7616A">
        <w:t xml:space="preserve">prosecuted proposals </w:t>
      </w:r>
      <w:r w:rsidRPr="00D04242">
        <w:t>to plan the entire 2 GHz band (2</w:t>
      </w:r>
      <w:r w:rsidR="004C3629">
        <w:t> </w:t>
      </w:r>
      <w:r w:rsidRPr="00D04242">
        <w:t>x 30 MHz) for exclusively-licensed MSS.</w:t>
      </w:r>
      <w:r w:rsidRPr="00304331">
        <w:rPr>
          <w:vertAlign w:val="superscript"/>
        </w:rPr>
        <w:footnoteReference w:id="4"/>
      </w:r>
      <w:r w:rsidRPr="00304331">
        <w:rPr>
          <w:vertAlign w:val="superscript"/>
        </w:rPr>
        <w:t xml:space="preserve"> </w:t>
      </w:r>
      <w:r w:rsidRPr="00D04242">
        <w:t xml:space="preserve">They argued that </w:t>
      </w:r>
      <w:r w:rsidR="00E011AA">
        <w:t>allocation of this</w:t>
      </w:r>
      <w:r w:rsidRPr="00D04242">
        <w:t xml:space="preserve"> shared narrowband segment would create a unique Australian arrangement, generat</w:t>
      </w:r>
      <w:r w:rsidR="005C5026">
        <w:t>e</w:t>
      </w:r>
      <w:r w:rsidRPr="00D04242">
        <w:t xml:space="preserve"> challenges for global satellite IoT providers</w:t>
      </w:r>
      <w:r w:rsidR="00320446">
        <w:t>,</w:t>
      </w:r>
      <w:r w:rsidR="00E011AA">
        <w:t xml:space="preserve"> and result in ‘wasted spectrum’. </w:t>
      </w:r>
    </w:p>
    <w:p w14:paraId="2605BF17" w14:textId="6FD47C20" w:rsidR="004604EB" w:rsidRDefault="00586A62" w:rsidP="004604EB">
      <w:pPr>
        <w:pStyle w:val="Heading4"/>
      </w:pPr>
      <w:r w:rsidRPr="00586A62">
        <w:t>ACMA response</w:t>
      </w:r>
    </w:p>
    <w:p w14:paraId="38AA885C" w14:textId="38412E0C" w:rsidR="00C871A0" w:rsidRDefault="0096442F" w:rsidP="00475819">
      <w:pPr>
        <w:pStyle w:val="Paragraph"/>
      </w:pPr>
      <w:r>
        <w:t xml:space="preserve">Our decision to replan part of the 2 GHz band for shared narrowband MSS was </w:t>
      </w:r>
      <w:r w:rsidR="00654861">
        <w:t xml:space="preserve">announced in the 2 GHz </w:t>
      </w:r>
      <w:hyperlink r:id="rId35" w:history="1">
        <w:r w:rsidR="00654861" w:rsidRPr="00654861">
          <w:rPr>
            <w:rStyle w:val="Hyperlink"/>
          </w:rPr>
          <w:t>outcomes paper</w:t>
        </w:r>
      </w:hyperlink>
      <w:r w:rsidR="00654861">
        <w:t xml:space="preserve"> </w:t>
      </w:r>
      <w:r w:rsidR="007737F8">
        <w:t>in</w:t>
      </w:r>
      <w:r w:rsidR="005374CC">
        <w:t xml:space="preserve"> </w:t>
      </w:r>
      <w:r w:rsidR="00654861">
        <w:t xml:space="preserve">January 2021. As noted in that paper, </w:t>
      </w:r>
      <w:r w:rsidR="00B4318E">
        <w:t>this 2 x 5 MHz</w:t>
      </w:r>
      <w:r w:rsidR="00A57C46">
        <w:t xml:space="preserve"> segment is </w:t>
      </w:r>
      <w:r w:rsidR="0079532A">
        <w:t xml:space="preserve">required as </w:t>
      </w:r>
      <w:r w:rsidR="00A57C46">
        <w:t xml:space="preserve">a </w:t>
      </w:r>
      <w:r w:rsidR="00D549CC">
        <w:t>restricted band (</w:t>
      </w:r>
      <w:r w:rsidR="00A57C46">
        <w:t>guard band</w:t>
      </w:r>
      <w:r w:rsidR="00D549CC">
        <w:t>)</w:t>
      </w:r>
      <w:r w:rsidR="00A57C46">
        <w:t xml:space="preserve"> </w:t>
      </w:r>
      <w:r w:rsidR="00262774" w:rsidRPr="00D04242">
        <w:t>provid</w:t>
      </w:r>
      <w:r w:rsidR="00A57C46">
        <w:t>ing</w:t>
      </w:r>
      <w:r w:rsidR="00262774" w:rsidRPr="00D04242">
        <w:t xml:space="preserve"> protection to adjacent-band TOB services.</w:t>
      </w:r>
      <w:r w:rsidR="00B4318E">
        <w:t xml:space="preserve"> </w:t>
      </w:r>
      <w:r w:rsidR="00CE3202">
        <w:t>The</w:t>
      </w:r>
      <w:r w:rsidR="0014371D">
        <w:t xml:space="preserve"> </w:t>
      </w:r>
      <w:r w:rsidR="00E24817">
        <w:t>envisage</w:t>
      </w:r>
      <w:r w:rsidR="00B613F6">
        <w:t>d</w:t>
      </w:r>
      <w:r w:rsidR="00E24817">
        <w:t xml:space="preserve"> restriction</w:t>
      </w:r>
      <w:r w:rsidR="00B72EA7">
        <w:t>s</w:t>
      </w:r>
      <w:r w:rsidR="00E24817">
        <w:t xml:space="preserve"> were consider</w:t>
      </w:r>
      <w:r w:rsidR="00CA7AA7">
        <w:t>ed</w:t>
      </w:r>
      <w:r w:rsidR="00CD7902">
        <w:t xml:space="preserve"> to limit </w:t>
      </w:r>
      <w:r w:rsidR="00B613F6">
        <w:t>the</w:t>
      </w:r>
      <w:r w:rsidR="00CD7902">
        <w:t xml:space="preserve"> usability </w:t>
      </w:r>
      <w:r w:rsidR="00CA1AB2">
        <w:t xml:space="preserve">of the band </w:t>
      </w:r>
      <w:r w:rsidR="00F237A6">
        <w:t xml:space="preserve">by </w:t>
      </w:r>
      <w:r w:rsidR="00A45B75">
        <w:t xml:space="preserve">typical </w:t>
      </w:r>
      <w:r w:rsidR="00F237A6">
        <w:t>MSS</w:t>
      </w:r>
      <w:r w:rsidR="00B613F6">
        <w:t>, thereby</w:t>
      </w:r>
      <w:r w:rsidR="001532D1">
        <w:t xml:space="preserve"> impacting the </w:t>
      </w:r>
      <w:r w:rsidR="004D6977">
        <w:t xml:space="preserve">viability </w:t>
      </w:r>
      <w:r w:rsidR="008B62D5">
        <w:t>of providing services</w:t>
      </w:r>
      <w:r w:rsidR="008A6FC1">
        <w:t>. Analysis at Appendix A confirm</w:t>
      </w:r>
      <w:r w:rsidR="00B613F6">
        <w:t>s</w:t>
      </w:r>
      <w:r w:rsidR="008A6FC1">
        <w:t xml:space="preserve"> that restrictions are required</w:t>
      </w:r>
      <w:r w:rsidR="0000332B">
        <w:t>. C</w:t>
      </w:r>
      <w:r w:rsidR="00E13D3A">
        <w:t>onsider</w:t>
      </w:r>
      <w:r w:rsidR="0000332B">
        <w:t xml:space="preserve">ing </w:t>
      </w:r>
      <w:r w:rsidR="00E13D3A">
        <w:t>views expressed by respondents</w:t>
      </w:r>
      <w:r w:rsidR="00C07827">
        <w:t>,</w:t>
      </w:r>
      <w:r w:rsidR="00E13D3A">
        <w:t xml:space="preserve"> </w:t>
      </w:r>
      <w:r w:rsidR="0000332B">
        <w:t xml:space="preserve">the </w:t>
      </w:r>
      <w:r w:rsidR="00F20973">
        <w:t xml:space="preserve">restrictions will </w:t>
      </w:r>
      <w:r w:rsidR="00216A52">
        <w:t xml:space="preserve">limit </w:t>
      </w:r>
      <w:r w:rsidR="00357442">
        <w:t xml:space="preserve">operational areas and the </w:t>
      </w:r>
      <w:r w:rsidR="00216A52">
        <w:t xml:space="preserve">range of user </w:t>
      </w:r>
      <w:r w:rsidR="00296919">
        <w:t>terminals</w:t>
      </w:r>
      <w:r w:rsidR="00216A52">
        <w:t xml:space="preserve"> </w:t>
      </w:r>
      <w:r w:rsidR="00E13D3A">
        <w:t xml:space="preserve">that can </w:t>
      </w:r>
      <w:r w:rsidR="00835428">
        <w:t xml:space="preserve">be </w:t>
      </w:r>
      <w:r w:rsidR="00E13D3A">
        <w:t>supported</w:t>
      </w:r>
      <w:r w:rsidR="00296919">
        <w:t xml:space="preserve">. </w:t>
      </w:r>
    </w:p>
    <w:p w14:paraId="1EA613F2" w14:textId="13BEAF00" w:rsidR="00D5317A" w:rsidRDefault="001D790C" w:rsidP="00F72F52">
      <w:pPr>
        <w:pStyle w:val="Paragraph"/>
      </w:pPr>
      <w:r>
        <w:t>A</w:t>
      </w:r>
      <w:r w:rsidR="00FF28D8">
        <w:t xml:space="preserve">s expressed in the </w:t>
      </w:r>
      <w:r>
        <w:t xml:space="preserve">2 GHz </w:t>
      </w:r>
      <w:r w:rsidR="00FF28D8">
        <w:t>outcomes paper</w:t>
      </w:r>
      <w:r w:rsidR="003C3288">
        <w:t xml:space="preserve">, </w:t>
      </w:r>
      <w:r w:rsidR="00320446">
        <w:t>our</w:t>
      </w:r>
      <w:r w:rsidR="00D5317A">
        <w:t xml:space="preserve"> view is</w:t>
      </w:r>
      <w:r w:rsidR="003C3288">
        <w:t xml:space="preserve"> that these restrictions </w:t>
      </w:r>
      <w:r w:rsidR="00320446">
        <w:t xml:space="preserve">require </w:t>
      </w:r>
      <w:r w:rsidR="003C3288">
        <w:t>a diff</w:t>
      </w:r>
      <w:r w:rsidR="000D264A">
        <w:t xml:space="preserve">erent approach to licensing </w:t>
      </w:r>
      <w:r w:rsidR="00B475A8">
        <w:t>and use</w:t>
      </w:r>
      <w:r w:rsidR="005D16FC">
        <w:t xml:space="preserve">. </w:t>
      </w:r>
      <w:r w:rsidR="00FC5315">
        <w:t>Accordingly,</w:t>
      </w:r>
      <w:r w:rsidR="00B45B89">
        <w:t xml:space="preserve"> </w:t>
      </w:r>
      <w:r w:rsidR="00320446">
        <w:t>we</w:t>
      </w:r>
      <w:r w:rsidR="00FC5315">
        <w:t xml:space="preserve"> made</w:t>
      </w:r>
      <w:r w:rsidR="00B45B89">
        <w:t xml:space="preserve"> the </w:t>
      </w:r>
      <w:r w:rsidR="00FA4433">
        <w:t xml:space="preserve">decision to </w:t>
      </w:r>
      <w:r w:rsidR="009C5BF3">
        <w:t xml:space="preserve">repurpose this segment </w:t>
      </w:r>
      <w:r w:rsidR="00755031">
        <w:t xml:space="preserve">for use by </w:t>
      </w:r>
      <w:r w:rsidR="00584B81" w:rsidRPr="00584B81">
        <w:t xml:space="preserve">low-powered, low-duty-cycle </w:t>
      </w:r>
      <w:r w:rsidR="00584B81">
        <w:t>MSS on a shared basis</w:t>
      </w:r>
      <w:r w:rsidR="00FA4433">
        <w:t>.</w:t>
      </w:r>
      <w:r w:rsidR="00F77F33">
        <w:t xml:space="preserve"> </w:t>
      </w:r>
      <w:r w:rsidR="00FA4433">
        <w:t>This approach also provide</w:t>
      </w:r>
      <w:r w:rsidR="00AE606B">
        <w:t>s</w:t>
      </w:r>
      <w:r w:rsidR="00FA4433">
        <w:t xml:space="preserve"> </w:t>
      </w:r>
      <w:r w:rsidR="000A6370">
        <w:t xml:space="preserve">the opportunity for </w:t>
      </w:r>
      <w:r w:rsidR="00FA4433">
        <w:t xml:space="preserve">arrangements </w:t>
      </w:r>
      <w:r w:rsidR="001E5538">
        <w:t xml:space="preserve">with a </w:t>
      </w:r>
      <w:r w:rsidR="004C5DD0" w:rsidRPr="004C5DD0">
        <w:t>low barrier to entry</w:t>
      </w:r>
      <w:r w:rsidR="001E5538">
        <w:t xml:space="preserve"> </w:t>
      </w:r>
      <w:r w:rsidR="004C5DD0" w:rsidRPr="004C5DD0">
        <w:t>support</w:t>
      </w:r>
      <w:r w:rsidR="00F17BCE">
        <w:t>ing</w:t>
      </w:r>
      <w:r w:rsidR="004C5DD0" w:rsidRPr="004C5DD0">
        <w:t xml:space="preserve"> innovative satellite applications</w:t>
      </w:r>
      <w:r w:rsidR="00F17BCE">
        <w:t xml:space="preserve">. It is intended to provide </w:t>
      </w:r>
      <w:r w:rsidR="004C5DD0" w:rsidRPr="004C5DD0">
        <w:t>opportunities for new entrants and support growth in the Australian space industry.</w:t>
      </w:r>
      <w:r w:rsidR="007C6D5D">
        <w:t xml:space="preserve"> </w:t>
      </w:r>
    </w:p>
    <w:p w14:paraId="77EB276A" w14:textId="212FE5D2" w:rsidR="00E26ED2" w:rsidRDefault="007C6D5D" w:rsidP="00BA721E">
      <w:pPr>
        <w:pStyle w:val="Paragraph"/>
        <w:rPr>
          <w:lang w:eastAsia="en-US"/>
        </w:rPr>
      </w:pPr>
      <w:r>
        <w:t xml:space="preserve">However, </w:t>
      </w:r>
      <w:r w:rsidR="009171CA" w:rsidRPr="00A85D75">
        <w:rPr>
          <w:rFonts w:cstheme="minorHAnsi"/>
        </w:rPr>
        <w:t>as with any satellite service</w:t>
      </w:r>
      <w:r w:rsidR="00320446">
        <w:rPr>
          <w:rFonts w:cstheme="minorHAnsi"/>
        </w:rPr>
        <w:t>,</w:t>
      </w:r>
      <w:r w:rsidR="009171CA" w:rsidRPr="00A85D75">
        <w:rPr>
          <w:rFonts w:cstheme="minorHAnsi"/>
        </w:rPr>
        <w:t xml:space="preserve"> viability</w:t>
      </w:r>
      <w:r w:rsidR="00093D24">
        <w:rPr>
          <w:rFonts w:cstheme="minorHAnsi"/>
        </w:rPr>
        <w:t xml:space="preserve"> </w:t>
      </w:r>
      <w:r w:rsidR="009171CA" w:rsidRPr="00A85D75">
        <w:rPr>
          <w:rFonts w:cstheme="minorHAnsi"/>
        </w:rPr>
        <w:t xml:space="preserve">is in part dependent on the status of the satellite network in the </w:t>
      </w:r>
      <w:r w:rsidR="00B050DA">
        <w:rPr>
          <w:rFonts w:cstheme="minorHAnsi"/>
        </w:rPr>
        <w:t>International Telecommunication Union (</w:t>
      </w:r>
      <w:r w:rsidR="009171CA" w:rsidRPr="00A85D75">
        <w:t>ITU</w:t>
      </w:r>
      <w:r w:rsidR="00B050DA">
        <w:t>)</w:t>
      </w:r>
      <w:r w:rsidR="009171CA" w:rsidRPr="00A85D75">
        <w:t xml:space="preserve"> </w:t>
      </w:r>
      <w:r w:rsidR="009171CA" w:rsidRPr="00A85D75">
        <w:rPr>
          <w:rFonts w:cstheme="minorHAnsi"/>
        </w:rPr>
        <w:t xml:space="preserve">satellite </w:t>
      </w:r>
      <w:r w:rsidR="009171CA" w:rsidRPr="00A85D75">
        <w:rPr>
          <w:rFonts w:cstheme="minorHAnsi"/>
        </w:rPr>
        <w:lastRenderedPageBreak/>
        <w:t>coordination process</w:t>
      </w:r>
      <w:r w:rsidR="009171CA">
        <w:rPr>
          <w:rFonts w:cstheme="minorHAnsi"/>
        </w:rPr>
        <w:t>,</w:t>
      </w:r>
      <w:r w:rsidR="009171CA" w:rsidRPr="00A85D75">
        <w:rPr>
          <w:rFonts w:cstheme="minorHAnsi"/>
        </w:rPr>
        <w:t xml:space="preserve"> which is the responsibility of the satellite operator to </w:t>
      </w:r>
      <w:r w:rsidR="009171CA">
        <w:rPr>
          <w:rFonts w:cstheme="minorHAnsi"/>
        </w:rPr>
        <w:t>manage</w:t>
      </w:r>
      <w:r w:rsidR="009171CA" w:rsidRPr="00A85D75">
        <w:rPr>
          <w:rFonts w:cstheme="minorHAnsi"/>
        </w:rPr>
        <w:t>.</w:t>
      </w:r>
      <w:r w:rsidR="007C7EC2">
        <w:rPr>
          <w:rFonts w:cstheme="minorHAnsi"/>
        </w:rPr>
        <w:t xml:space="preserve"> </w:t>
      </w:r>
      <w:r w:rsidR="00B66B08" w:rsidRPr="00A85D75">
        <w:rPr>
          <w:rFonts w:cstheme="minorHAnsi"/>
        </w:rPr>
        <w:t xml:space="preserve">While </w:t>
      </w:r>
      <w:r w:rsidR="00320446">
        <w:rPr>
          <w:rFonts w:cstheme="minorHAnsi"/>
        </w:rPr>
        <w:t xml:space="preserve">we </w:t>
      </w:r>
      <w:r w:rsidR="00B66B08" w:rsidRPr="00A85D75">
        <w:rPr>
          <w:rFonts w:cstheme="minorHAnsi"/>
        </w:rPr>
        <w:t xml:space="preserve">acknowledge that </w:t>
      </w:r>
      <w:r w:rsidR="00B66B08" w:rsidRPr="00A85D75">
        <w:t xml:space="preserve">ITU </w:t>
      </w:r>
      <w:r w:rsidR="00B66B08" w:rsidRPr="00A85D75">
        <w:rPr>
          <w:rFonts w:cstheme="minorHAnsi"/>
        </w:rPr>
        <w:t xml:space="preserve">satellite coordination requirements might limit the utility of these arrangements for new entrants </w:t>
      </w:r>
      <w:r w:rsidR="006A15A4">
        <w:rPr>
          <w:rFonts w:cstheme="minorHAnsi"/>
        </w:rPr>
        <w:t xml:space="preserve">both inside and </w:t>
      </w:r>
      <w:r w:rsidR="00B66B08" w:rsidRPr="00A85D75">
        <w:rPr>
          <w:rFonts w:cstheme="minorHAnsi"/>
        </w:rPr>
        <w:t xml:space="preserve">outside of Australia, </w:t>
      </w:r>
      <w:r w:rsidR="00320446">
        <w:rPr>
          <w:rFonts w:cstheme="minorHAnsi"/>
        </w:rPr>
        <w:t xml:space="preserve">we </w:t>
      </w:r>
      <w:r w:rsidR="00B66B08" w:rsidRPr="00A85D75">
        <w:rPr>
          <w:rFonts w:cstheme="minorHAnsi"/>
        </w:rPr>
        <w:t xml:space="preserve">consider </w:t>
      </w:r>
      <w:r w:rsidR="009D13CF">
        <w:rPr>
          <w:rFonts w:cstheme="minorHAnsi"/>
        </w:rPr>
        <w:t>there is a benefit in</w:t>
      </w:r>
      <w:r w:rsidR="00EB1DDE">
        <w:rPr>
          <w:rFonts w:cstheme="minorHAnsi"/>
        </w:rPr>
        <w:t xml:space="preserve"> </w:t>
      </w:r>
      <w:r w:rsidR="00B66B08">
        <w:rPr>
          <w:rFonts w:cstheme="minorHAnsi"/>
        </w:rPr>
        <w:t>providing</w:t>
      </w:r>
      <w:r w:rsidR="00B66B08" w:rsidRPr="00A85D75">
        <w:rPr>
          <w:rFonts w:cstheme="minorHAnsi"/>
        </w:rPr>
        <w:t xml:space="preserve"> </w:t>
      </w:r>
      <w:r w:rsidR="00B66B08" w:rsidRPr="00A85D75">
        <w:t xml:space="preserve">opportunities </w:t>
      </w:r>
      <w:r w:rsidR="00B66B08" w:rsidRPr="00A85D75">
        <w:rPr>
          <w:lang w:eastAsia="en-US"/>
        </w:rPr>
        <w:t>for new entrants</w:t>
      </w:r>
      <w:r w:rsidR="00B66B08" w:rsidRPr="00A85D75">
        <w:t xml:space="preserve"> </w:t>
      </w:r>
      <w:r w:rsidR="00B66B08">
        <w:t xml:space="preserve">in Australia </w:t>
      </w:r>
      <w:r w:rsidR="006A2E34">
        <w:t>that may</w:t>
      </w:r>
      <w:r w:rsidR="00B66B08" w:rsidRPr="00A85D75">
        <w:t xml:space="preserve"> support </w:t>
      </w:r>
      <w:r w:rsidR="00B66B08" w:rsidRPr="00A85D75">
        <w:rPr>
          <w:lang w:eastAsia="en-US"/>
        </w:rPr>
        <w:t xml:space="preserve">growth </w:t>
      </w:r>
      <w:r w:rsidR="00B66B08">
        <w:rPr>
          <w:lang w:eastAsia="en-US"/>
        </w:rPr>
        <w:t>of</w:t>
      </w:r>
      <w:r w:rsidR="00B66B08" w:rsidRPr="00A85D75">
        <w:rPr>
          <w:lang w:eastAsia="en-US"/>
        </w:rPr>
        <w:t xml:space="preserve"> the Australia</w:t>
      </w:r>
      <w:r w:rsidR="00B66B08">
        <w:rPr>
          <w:lang w:eastAsia="en-US"/>
        </w:rPr>
        <w:t>n</w:t>
      </w:r>
      <w:r w:rsidR="00B66B08" w:rsidRPr="00A85D75">
        <w:rPr>
          <w:lang w:eastAsia="en-US"/>
        </w:rPr>
        <w:t xml:space="preserve"> space industry</w:t>
      </w:r>
      <w:r w:rsidR="004A4EFC">
        <w:rPr>
          <w:lang w:eastAsia="en-US"/>
        </w:rPr>
        <w:t xml:space="preserve">. </w:t>
      </w:r>
    </w:p>
    <w:p w14:paraId="3E83E6EF" w14:textId="4E3AFD43" w:rsidR="009171CA" w:rsidRDefault="00320446" w:rsidP="00BA721E">
      <w:pPr>
        <w:pStyle w:val="Paragraph"/>
      </w:pPr>
      <w:r>
        <w:rPr>
          <w:lang w:eastAsia="en-US"/>
        </w:rPr>
        <w:t>We have</w:t>
      </w:r>
      <w:r w:rsidR="00E26ED2">
        <w:rPr>
          <w:lang w:eastAsia="en-US"/>
        </w:rPr>
        <w:t xml:space="preserve"> decide</w:t>
      </w:r>
      <w:r w:rsidR="00E0076A">
        <w:rPr>
          <w:lang w:eastAsia="en-US"/>
        </w:rPr>
        <w:t>d</w:t>
      </w:r>
      <w:r w:rsidR="00E26ED2">
        <w:rPr>
          <w:lang w:eastAsia="en-US"/>
        </w:rPr>
        <w:t xml:space="preserve"> to proceed </w:t>
      </w:r>
      <w:r w:rsidR="00FD0971">
        <w:rPr>
          <w:lang w:eastAsia="en-US"/>
        </w:rPr>
        <w:t>with</w:t>
      </w:r>
      <w:r w:rsidR="00E26ED2">
        <w:rPr>
          <w:lang w:eastAsia="en-US"/>
        </w:rPr>
        <w:t xml:space="preserve"> implement</w:t>
      </w:r>
      <w:r w:rsidR="00FD0971">
        <w:rPr>
          <w:lang w:eastAsia="en-US"/>
        </w:rPr>
        <w:t>ing</w:t>
      </w:r>
      <w:r w:rsidR="00E26ED2">
        <w:rPr>
          <w:lang w:eastAsia="en-US"/>
        </w:rPr>
        <w:t xml:space="preserve"> arrangement</w:t>
      </w:r>
      <w:r w:rsidR="0088645A">
        <w:rPr>
          <w:lang w:eastAsia="en-US"/>
        </w:rPr>
        <w:t>s</w:t>
      </w:r>
      <w:r w:rsidR="00E26ED2">
        <w:rPr>
          <w:lang w:eastAsia="en-US"/>
        </w:rPr>
        <w:t xml:space="preserve"> to support shared use of the band. </w:t>
      </w:r>
      <w:r w:rsidR="0012559F">
        <w:rPr>
          <w:lang w:eastAsia="en-US"/>
        </w:rPr>
        <w:t xml:space="preserve">Licensees </w:t>
      </w:r>
      <w:r w:rsidR="00A1207F">
        <w:rPr>
          <w:lang w:eastAsia="en-US"/>
        </w:rPr>
        <w:t>wi</w:t>
      </w:r>
      <w:r w:rsidR="0012559F">
        <w:rPr>
          <w:lang w:eastAsia="en-US"/>
        </w:rPr>
        <w:t>l</w:t>
      </w:r>
      <w:r w:rsidR="008552B5">
        <w:rPr>
          <w:lang w:eastAsia="en-US"/>
        </w:rPr>
        <w:t>l</w:t>
      </w:r>
      <w:r w:rsidR="0012559F">
        <w:rPr>
          <w:lang w:eastAsia="en-US"/>
        </w:rPr>
        <w:t xml:space="preserve"> </w:t>
      </w:r>
      <w:r w:rsidR="00A1207F">
        <w:rPr>
          <w:lang w:eastAsia="en-US"/>
        </w:rPr>
        <w:t xml:space="preserve">be </w:t>
      </w:r>
      <w:r w:rsidR="0012559F">
        <w:rPr>
          <w:lang w:eastAsia="en-US"/>
        </w:rPr>
        <w:t>expect</w:t>
      </w:r>
      <w:r w:rsidR="006D0EBF">
        <w:rPr>
          <w:lang w:eastAsia="en-US"/>
        </w:rPr>
        <w:t>ed</w:t>
      </w:r>
      <w:r w:rsidR="0012559F">
        <w:rPr>
          <w:lang w:eastAsia="en-US"/>
        </w:rPr>
        <w:t xml:space="preserve"> to </w:t>
      </w:r>
      <w:r w:rsidR="000A6370">
        <w:rPr>
          <w:lang w:eastAsia="en-US"/>
        </w:rPr>
        <w:t xml:space="preserve">both </w:t>
      </w:r>
      <w:r w:rsidR="005E0BD9">
        <w:rPr>
          <w:lang w:eastAsia="en-US"/>
        </w:rPr>
        <w:t>coordinate</w:t>
      </w:r>
      <w:r w:rsidR="0012559F">
        <w:rPr>
          <w:lang w:eastAsia="en-US"/>
        </w:rPr>
        <w:t xml:space="preserve"> with other </w:t>
      </w:r>
      <w:r w:rsidR="005E0BD9">
        <w:rPr>
          <w:lang w:eastAsia="en-US"/>
        </w:rPr>
        <w:t xml:space="preserve">licensees </w:t>
      </w:r>
      <w:r w:rsidR="0012559F">
        <w:rPr>
          <w:lang w:eastAsia="en-US"/>
        </w:rPr>
        <w:t xml:space="preserve">and </w:t>
      </w:r>
      <w:r w:rsidR="005E0BD9">
        <w:rPr>
          <w:lang w:eastAsia="en-US"/>
        </w:rPr>
        <w:t>operate</w:t>
      </w:r>
      <w:r w:rsidR="0012559F">
        <w:rPr>
          <w:lang w:eastAsia="en-US"/>
        </w:rPr>
        <w:t xml:space="preserve"> in </w:t>
      </w:r>
      <w:r w:rsidR="005E0BD9">
        <w:rPr>
          <w:lang w:eastAsia="en-US"/>
        </w:rPr>
        <w:t>accordance</w:t>
      </w:r>
      <w:r w:rsidR="0012559F">
        <w:rPr>
          <w:lang w:eastAsia="en-US"/>
        </w:rPr>
        <w:t xml:space="preserve"> </w:t>
      </w:r>
      <w:r w:rsidR="005E0BD9">
        <w:rPr>
          <w:lang w:eastAsia="en-US"/>
        </w:rPr>
        <w:t>with the ITU satellite coordination process (including operat</w:t>
      </w:r>
      <w:r w:rsidR="00236AAD">
        <w:rPr>
          <w:lang w:eastAsia="en-US"/>
        </w:rPr>
        <w:t>ing</w:t>
      </w:r>
      <w:r w:rsidR="005E0BD9">
        <w:rPr>
          <w:lang w:eastAsia="en-US"/>
        </w:rPr>
        <w:t xml:space="preserve"> in accordance with any agreement made between Administrations).</w:t>
      </w:r>
      <w:r w:rsidR="00A1207F">
        <w:rPr>
          <w:lang w:eastAsia="en-US"/>
        </w:rPr>
        <w:t xml:space="preserve"> </w:t>
      </w:r>
    </w:p>
    <w:p w14:paraId="4AB1008A" w14:textId="7241FC39" w:rsidR="00187F33" w:rsidRDefault="00187F33" w:rsidP="00187F33">
      <w:pPr>
        <w:pStyle w:val="Heading3"/>
      </w:pPr>
      <w:r>
        <w:t>Technical limits</w:t>
      </w:r>
    </w:p>
    <w:p w14:paraId="49A007A3" w14:textId="2936B255" w:rsidR="00157F98" w:rsidRDefault="00317D6C" w:rsidP="00BA721E">
      <w:pPr>
        <w:pStyle w:val="Paragraph"/>
      </w:pPr>
      <w:r>
        <w:t>On</w:t>
      </w:r>
      <w:r w:rsidR="000966FD">
        <w:t>e respondent</w:t>
      </w:r>
      <w:r w:rsidR="00417C3B">
        <w:t xml:space="preserve"> </w:t>
      </w:r>
      <w:r w:rsidR="007572D4">
        <w:t>object</w:t>
      </w:r>
      <w:r w:rsidR="0084209E">
        <w:t>ed</w:t>
      </w:r>
      <w:r w:rsidR="007572D4">
        <w:t xml:space="preserve"> to the proposed limits in metropolitan areas </w:t>
      </w:r>
      <w:r w:rsidR="00B80FFD">
        <w:t xml:space="preserve">as they are </w:t>
      </w:r>
      <w:r w:rsidR="00A84F36">
        <w:t xml:space="preserve">significantly </w:t>
      </w:r>
      <w:r w:rsidR="00B80FFD">
        <w:t>lower t</w:t>
      </w:r>
      <w:r w:rsidR="00621E30">
        <w:t>han th</w:t>
      </w:r>
      <w:r w:rsidR="00113F67">
        <w:t xml:space="preserve">e maximum </w:t>
      </w:r>
      <w:r w:rsidR="00621E30">
        <w:t xml:space="preserve">provided </w:t>
      </w:r>
      <w:r w:rsidR="00A84F36">
        <w:t xml:space="preserve">by </w:t>
      </w:r>
      <w:r w:rsidR="00A84F36" w:rsidRPr="00A84F36">
        <w:t>3GPP</w:t>
      </w:r>
      <w:r w:rsidR="00A04012">
        <w:t>,</w:t>
      </w:r>
      <w:r w:rsidR="00113F67">
        <w:t xml:space="preserve"> and </w:t>
      </w:r>
      <w:r w:rsidR="00475819">
        <w:t xml:space="preserve">the respondent </w:t>
      </w:r>
      <w:r w:rsidR="00113F67">
        <w:t xml:space="preserve">would be unable to provide a meaningful service </w:t>
      </w:r>
      <w:r w:rsidR="00B953E3">
        <w:t>within</w:t>
      </w:r>
      <w:r w:rsidR="00D15A27">
        <w:t xml:space="preserve"> th</w:t>
      </w:r>
      <w:r w:rsidR="00604CFD">
        <w:t>e</w:t>
      </w:r>
      <w:r w:rsidR="00D15A27">
        <w:t xml:space="preserve"> limits due to an inability to close the </w:t>
      </w:r>
      <w:r w:rsidR="00803896">
        <w:t>link budget</w:t>
      </w:r>
      <w:r w:rsidR="00475819">
        <w:t>.</w:t>
      </w:r>
      <w:r w:rsidR="00205F88">
        <w:rPr>
          <w:rStyle w:val="FootnoteReference"/>
        </w:rPr>
        <w:footnoteReference w:id="5"/>
      </w:r>
    </w:p>
    <w:p w14:paraId="17A0E848" w14:textId="4812D918" w:rsidR="00EF7562" w:rsidRDefault="00187F33" w:rsidP="00BA721E">
      <w:pPr>
        <w:pStyle w:val="Paragraph"/>
      </w:pPr>
      <w:r>
        <w:t>T</w:t>
      </w:r>
      <w:r w:rsidR="00EF7562" w:rsidRPr="00D04242">
        <w:t>he satellite operator</w:t>
      </w:r>
      <w:r w:rsidR="00FF559F">
        <w:t>s</w:t>
      </w:r>
      <w:r w:rsidR="00EF7562" w:rsidRPr="00D04242">
        <w:t xml:space="preserve"> </w:t>
      </w:r>
      <w:r w:rsidR="00475819">
        <w:t>that</w:t>
      </w:r>
      <w:r w:rsidR="00475819" w:rsidRPr="00D04242">
        <w:t xml:space="preserve"> </w:t>
      </w:r>
      <w:r w:rsidR="00EF7562" w:rsidRPr="00D04242">
        <w:t>support</w:t>
      </w:r>
      <w:r w:rsidR="008F6FE3">
        <w:t>ed</w:t>
      </w:r>
      <w:r w:rsidR="00EF7562" w:rsidRPr="00D04242">
        <w:t xml:space="preserve"> the proposals are opposed to any imposition of technical limits for MSS operating outside of </w:t>
      </w:r>
      <w:r w:rsidR="002702BD">
        <w:t>metropolitan</w:t>
      </w:r>
      <w:r w:rsidR="00EF7562" w:rsidRPr="00D04242">
        <w:t xml:space="preserve"> areas, suggesting this would impose a regulatory barrier to entry and is unnecessary given the low probability of interference from low power </w:t>
      </w:r>
      <w:r w:rsidR="00FC5688">
        <w:t>internet of things (</w:t>
      </w:r>
      <w:r w:rsidR="00EF7562" w:rsidRPr="00D04242">
        <w:t>IoT</w:t>
      </w:r>
      <w:r w:rsidR="00FC5688">
        <w:t>)</w:t>
      </w:r>
      <w:r w:rsidR="00EF7562" w:rsidRPr="00D04242">
        <w:t xml:space="preserve"> deployments.</w:t>
      </w:r>
    </w:p>
    <w:p w14:paraId="393DE967" w14:textId="7CC43847" w:rsidR="004D4E86" w:rsidRDefault="00547FA9" w:rsidP="004D4E86">
      <w:pPr>
        <w:pStyle w:val="Paragraph"/>
      </w:pPr>
      <w:r>
        <w:t>T</w:t>
      </w:r>
      <w:r w:rsidR="004D4E86" w:rsidRPr="00D04242">
        <w:t>he ABC and Free TV</w:t>
      </w:r>
      <w:r w:rsidR="00D26C46">
        <w:t xml:space="preserve"> </w:t>
      </w:r>
      <w:r w:rsidR="004D4E86" w:rsidRPr="00D04242">
        <w:t xml:space="preserve">did not object to the overall proposal but recommended that the technical limits </w:t>
      </w:r>
      <w:r w:rsidR="00D26C46">
        <w:t xml:space="preserve">proposed for </w:t>
      </w:r>
      <w:r w:rsidR="002702BD">
        <w:t>metropolitan</w:t>
      </w:r>
      <w:r w:rsidR="004D4E86" w:rsidRPr="00D04242">
        <w:t xml:space="preserve"> areas be applied Australia-wide. This would mitigate the risk of interference to TOB services operated in the adjacent band by free-to-air broadcasters in regional areas.</w:t>
      </w:r>
    </w:p>
    <w:p w14:paraId="6A66E01B" w14:textId="77777777" w:rsidR="004604EB" w:rsidRDefault="004604EB" w:rsidP="004604EB">
      <w:pPr>
        <w:pStyle w:val="Heading4"/>
      </w:pPr>
      <w:r w:rsidRPr="00586A62">
        <w:t>ACMA response</w:t>
      </w:r>
    </w:p>
    <w:p w14:paraId="6407C6DE" w14:textId="161F3AD3" w:rsidR="00F84B96" w:rsidRDefault="00475819" w:rsidP="0079255D">
      <w:pPr>
        <w:pStyle w:val="Paragraph"/>
        <w:spacing w:after="80"/>
      </w:pPr>
      <w:r>
        <w:t xml:space="preserve">Our </w:t>
      </w:r>
      <w:r w:rsidR="009F06A8">
        <w:t xml:space="preserve">analysis at Appendix A </w:t>
      </w:r>
      <w:r w:rsidR="00EB0B75">
        <w:t>indicates</w:t>
      </w:r>
      <w:r w:rsidR="009F06A8">
        <w:t xml:space="preserve"> that </w:t>
      </w:r>
      <w:r w:rsidR="00E03607">
        <w:t>some</w:t>
      </w:r>
      <w:r w:rsidR="002E45AA">
        <w:t xml:space="preserve"> additional </w:t>
      </w:r>
      <w:r w:rsidR="009F06A8">
        <w:t xml:space="preserve">restrictions are required </w:t>
      </w:r>
      <w:r w:rsidR="00293585">
        <w:t xml:space="preserve">in </w:t>
      </w:r>
      <w:r w:rsidR="00803896">
        <w:t xml:space="preserve">both metropolitan and </w:t>
      </w:r>
      <w:r w:rsidR="00CB3FDD">
        <w:t>non-metropolitan areas</w:t>
      </w:r>
      <w:r w:rsidR="002E45AA">
        <w:t xml:space="preserve">, but </w:t>
      </w:r>
      <w:r w:rsidR="00AC2675">
        <w:t>not all are required Australia wide.</w:t>
      </w:r>
      <w:r w:rsidR="00481D07">
        <w:t xml:space="preserve"> </w:t>
      </w:r>
      <w:r w:rsidR="00731C58">
        <w:t xml:space="preserve">The results </w:t>
      </w:r>
      <w:r w:rsidR="00F0742A">
        <w:t>are summarised below.</w:t>
      </w:r>
    </w:p>
    <w:p w14:paraId="0BA62D45" w14:textId="0031493B" w:rsidR="00FE19A4" w:rsidRDefault="00FE19A4" w:rsidP="00FE19A4">
      <w:pPr>
        <w:pStyle w:val="Bulletlevel1"/>
      </w:pPr>
      <w:r>
        <w:t xml:space="preserve">Single-interferer </w:t>
      </w:r>
      <w:r w:rsidR="00E950A3">
        <w:t xml:space="preserve">(worst-case) </w:t>
      </w:r>
      <w:r>
        <w:t>separation distances required are manageable</w:t>
      </w:r>
      <w:r w:rsidR="00E950A3">
        <w:t xml:space="preserve">: </w:t>
      </w:r>
      <w:r>
        <w:t>approximately 0.</w:t>
      </w:r>
      <w:r w:rsidR="009D4E23">
        <w:t>7</w:t>
      </w:r>
      <w:r>
        <w:t xml:space="preserve">5 km to a mobile </w:t>
      </w:r>
      <w:r w:rsidR="00D65147">
        <w:t xml:space="preserve">TOB </w:t>
      </w:r>
      <w:r>
        <w:t>receiver and 1.5 km for high</w:t>
      </w:r>
      <w:r w:rsidR="00E950A3">
        <w:t xml:space="preserve"> gain</w:t>
      </w:r>
      <w:r>
        <w:t xml:space="preserve"> </w:t>
      </w:r>
      <w:r w:rsidR="00D65147">
        <w:t xml:space="preserve">TOB </w:t>
      </w:r>
      <w:r>
        <w:t>receivers)</w:t>
      </w:r>
      <w:r w:rsidR="00F0742A">
        <w:t>.</w:t>
      </w:r>
    </w:p>
    <w:p w14:paraId="01235682" w14:textId="2A50AA35" w:rsidR="00FE19A4" w:rsidRDefault="009B2615" w:rsidP="00FE19A4">
      <w:pPr>
        <w:pStyle w:val="Bulletlevel1"/>
      </w:pPr>
      <w:r>
        <w:t>S</w:t>
      </w:r>
      <w:r w:rsidR="00FE19A4">
        <w:t>mall separation</w:t>
      </w:r>
      <w:r w:rsidR="00D2062B">
        <w:t xml:space="preserve">s are required </w:t>
      </w:r>
      <w:r w:rsidR="00FE19A4">
        <w:t>between multiple earth stations and mobile receivers (up to 5 km</w:t>
      </w:r>
      <w:r w:rsidR="00335B91">
        <w:t xml:space="preserve"> in cases of </w:t>
      </w:r>
      <w:r w:rsidR="006A0205">
        <w:t xml:space="preserve">dense </w:t>
      </w:r>
      <w:r w:rsidR="00A44834">
        <w:t xml:space="preserve">earth station </w:t>
      </w:r>
      <w:r w:rsidR="006A0205">
        <w:t xml:space="preserve">deployment </w:t>
      </w:r>
      <w:r w:rsidR="00D2062B">
        <w:t>and unfavourable terrain</w:t>
      </w:r>
      <w:r w:rsidR="00FE19A4">
        <w:t>)</w:t>
      </w:r>
      <w:r>
        <w:t>.</w:t>
      </w:r>
    </w:p>
    <w:p w14:paraId="571DEC3E" w14:textId="56334DF0" w:rsidR="00F84B96" w:rsidRDefault="008846AB" w:rsidP="00A77018">
      <w:pPr>
        <w:pStyle w:val="Bulletlevel1"/>
      </w:pPr>
      <w:r>
        <w:t xml:space="preserve">High </w:t>
      </w:r>
      <w:r w:rsidR="0010183B">
        <w:t xml:space="preserve">gain </w:t>
      </w:r>
      <w:r>
        <w:t xml:space="preserve">TOB </w:t>
      </w:r>
      <w:r w:rsidR="000C794F">
        <w:t>receivers</w:t>
      </w:r>
      <w:r>
        <w:t xml:space="preserve"> are susceptible to interference from large numbers of </w:t>
      </w:r>
      <w:r w:rsidR="000C794F">
        <w:t>earth</w:t>
      </w:r>
      <w:r>
        <w:t xml:space="preserve"> stations. </w:t>
      </w:r>
      <w:r w:rsidR="007544CA">
        <w:t xml:space="preserve">There are a number of TOB receiving sites </w:t>
      </w:r>
      <w:r w:rsidR="00180E09">
        <w:t xml:space="preserve">outside of metropolitan areas. </w:t>
      </w:r>
      <w:r w:rsidR="00FE19A4">
        <w:t>T</w:t>
      </w:r>
      <w:r>
        <w:t>h</w:t>
      </w:r>
      <w:r w:rsidR="00180E09">
        <w:t>e</w:t>
      </w:r>
      <w:r>
        <w:t xml:space="preserve"> potential for </w:t>
      </w:r>
      <w:r w:rsidR="00FE19A4">
        <w:t xml:space="preserve">interference </w:t>
      </w:r>
      <w:r w:rsidR="00180E09">
        <w:t xml:space="preserve">to </w:t>
      </w:r>
      <w:r w:rsidR="00D65038">
        <w:t>fixed</w:t>
      </w:r>
      <w:r w:rsidR="00180E09">
        <w:t xml:space="preserve"> TOB receivers </w:t>
      </w:r>
      <w:r w:rsidR="0077792B">
        <w:t xml:space="preserve">can be managed by limiting </w:t>
      </w:r>
      <w:r w:rsidR="00FE19A4">
        <w:t xml:space="preserve">the number of </w:t>
      </w:r>
      <w:r w:rsidR="003310CB">
        <w:t xml:space="preserve">concurrently transmitting </w:t>
      </w:r>
      <w:r w:rsidR="0027310F">
        <w:t xml:space="preserve">narrowband </w:t>
      </w:r>
      <w:r w:rsidR="00FE19A4">
        <w:t>MSS devices with line-of-sight to the receive</w:t>
      </w:r>
      <w:r w:rsidR="00A77018">
        <w:t>r</w:t>
      </w:r>
      <w:r w:rsidR="002608D9">
        <w:t xml:space="preserve"> via a duty cycle requirement</w:t>
      </w:r>
      <w:r w:rsidR="00AF7DEA">
        <w:t xml:space="preserve"> (</w:t>
      </w:r>
      <w:r w:rsidR="0027310F">
        <w:t>f</w:t>
      </w:r>
      <w:r w:rsidR="00AF7DEA">
        <w:t xml:space="preserve">or some high </w:t>
      </w:r>
      <w:r w:rsidR="00432ACD">
        <w:t>gain</w:t>
      </w:r>
      <w:r w:rsidR="00AF7DEA">
        <w:t xml:space="preserve"> receivers, this distance can be up to 120 km)</w:t>
      </w:r>
      <w:r w:rsidR="0027310F">
        <w:t>.</w:t>
      </w:r>
    </w:p>
    <w:p w14:paraId="067ADFC7" w14:textId="7DDD2486" w:rsidR="00A77018" w:rsidRDefault="00727A07" w:rsidP="00AF7DEA">
      <w:pPr>
        <w:pStyle w:val="Bulletlevel1"/>
        <w:spacing w:after="240"/>
      </w:pPr>
      <w:r>
        <w:t xml:space="preserve">Sharing near the 2010 MHz band edge is </w:t>
      </w:r>
      <w:r w:rsidR="00490D81">
        <w:t>challenging,</w:t>
      </w:r>
      <w:r w:rsidR="008556BF">
        <w:t xml:space="preserve"> and frequency separation </w:t>
      </w:r>
      <w:r w:rsidR="00510401">
        <w:t>between the adjacent TOB band and MSS</w:t>
      </w:r>
      <w:r w:rsidR="00E2677E">
        <w:t xml:space="preserve"> </w:t>
      </w:r>
      <w:r w:rsidR="008556BF">
        <w:t>is required.</w:t>
      </w:r>
    </w:p>
    <w:p w14:paraId="4D68FF42" w14:textId="2F1274D7" w:rsidR="00F84B96" w:rsidRDefault="00B7527D" w:rsidP="008011F8">
      <w:pPr>
        <w:pStyle w:val="Paragraphbeforelist"/>
        <w:keepLines/>
      </w:pPr>
      <w:r>
        <w:lastRenderedPageBreak/>
        <w:t>To facilitate sharing</w:t>
      </w:r>
      <w:r w:rsidR="009C3146">
        <w:t xml:space="preserve"> (and manage the potential for interference)</w:t>
      </w:r>
      <w:r w:rsidR="00AD4AA0">
        <w:t>, in addition to conditions in the CSO Class Licence,</w:t>
      </w:r>
      <w:r w:rsidR="009C3146">
        <w:t xml:space="preserve"> the </w:t>
      </w:r>
      <w:r w:rsidR="00AD4AA0">
        <w:t xml:space="preserve">following </w:t>
      </w:r>
      <w:r w:rsidR="002822BC">
        <w:t>requirements</w:t>
      </w:r>
      <w:r w:rsidR="00232238">
        <w:t xml:space="preserve"> </w:t>
      </w:r>
      <w:r w:rsidR="000B04B7">
        <w:t xml:space="preserve">will be implemented in updates to the </w:t>
      </w:r>
      <w:r w:rsidR="009C41ED">
        <w:t xml:space="preserve">policy contained in the </w:t>
      </w:r>
      <w:r w:rsidR="00516C10">
        <w:t>relevant</w:t>
      </w:r>
      <w:r w:rsidR="00DD15A0">
        <w:t xml:space="preserve"> </w:t>
      </w:r>
      <w:hyperlink r:id="rId36" w:history="1">
        <w:r w:rsidR="00ED70A6">
          <w:rPr>
            <w:rStyle w:val="Hyperlink"/>
          </w:rPr>
          <w:t>business operating procedure</w:t>
        </w:r>
      </w:hyperlink>
      <w:r w:rsidR="002D13C4">
        <w:t xml:space="preserve"> (BOP)</w:t>
      </w:r>
      <w:r w:rsidR="00516C10">
        <w:rPr>
          <w:rStyle w:val="FootnoteReference"/>
        </w:rPr>
        <w:footnoteReference w:id="6"/>
      </w:r>
      <w:r w:rsidR="00232238">
        <w:t>:</w:t>
      </w:r>
    </w:p>
    <w:p w14:paraId="0FB9EA86" w14:textId="025C8526" w:rsidR="004604EB" w:rsidRPr="00D04242" w:rsidRDefault="00E072A2" w:rsidP="008011F8">
      <w:pPr>
        <w:pStyle w:val="Bulletlevel1"/>
        <w:keepNext/>
        <w:keepLines/>
      </w:pPr>
      <w:r>
        <w:t>Eart</w:t>
      </w:r>
      <w:r w:rsidR="00125C19">
        <w:t>h</w:t>
      </w:r>
      <w:r>
        <w:t xml:space="preserve"> station</w:t>
      </w:r>
      <w:r w:rsidR="007B3DF6">
        <w:t>s</w:t>
      </w:r>
      <w:r>
        <w:t xml:space="preserve"> transmit</w:t>
      </w:r>
      <w:r w:rsidR="00943813" w:rsidRPr="00943813">
        <w:t xml:space="preserve"> </w:t>
      </w:r>
      <w:r w:rsidR="00943813" w:rsidRPr="005952A7">
        <w:t xml:space="preserve">equivalent isotropic radiated power </w:t>
      </w:r>
      <w:r w:rsidR="00943813">
        <w:t>(EIRP)</w:t>
      </w:r>
      <w:r>
        <w:t xml:space="preserve"> limited to -7 dBW, and bandwidth</w:t>
      </w:r>
      <w:r w:rsidR="00125C19">
        <w:t xml:space="preserve"> must be at least 3.75</w:t>
      </w:r>
      <w:r w:rsidR="00502C5D">
        <w:t> </w:t>
      </w:r>
      <w:r w:rsidR="00191F4B">
        <w:t>k</w:t>
      </w:r>
      <w:r w:rsidR="00125C19">
        <w:t>Hz</w:t>
      </w:r>
      <w:r w:rsidR="000930AF">
        <w:t xml:space="preserve"> (</w:t>
      </w:r>
      <w:r w:rsidR="00502C5D">
        <w:t>n</w:t>
      </w:r>
      <w:r w:rsidR="000930AF">
        <w:t>ote</w:t>
      </w:r>
      <w:r w:rsidR="00502C5D">
        <w:t xml:space="preserve"> that</w:t>
      </w:r>
      <w:r w:rsidR="000930AF">
        <w:t xml:space="preserve"> the </w:t>
      </w:r>
      <w:r w:rsidR="00502C5D">
        <w:t>CSO C</w:t>
      </w:r>
      <w:r w:rsidR="000930AF">
        <w:t xml:space="preserve">lass </w:t>
      </w:r>
      <w:r w:rsidR="00502C5D">
        <w:t>L</w:t>
      </w:r>
      <w:r w:rsidR="001B6C1E">
        <w:t xml:space="preserve">icence will </w:t>
      </w:r>
      <w:r w:rsidR="00827F20">
        <w:t>keep the proposed</w:t>
      </w:r>
      <w:r w:rsidR="000930AF">
        <w:t xml:space="preserve"> EIRP spectral density limit in metropolitan areas</w:t>
      </w:r>
      <w:r w:rsidR="001B6C1E">
        <w:t>)</w:t>
      </w:r>
      <w:r w:rsidR="002D1BFD">
        <w:t>.</w:t>
      </w:r>
    </w:p>
    <w:p w14:paraId="668BC3B0" w14:textId="30194D91" w:rsidR="00125C19" w:rsidRDefault="00125C19" w:rsidP="008011F8">
      <w:pPr>
        <w:pStyle w:val="Bulletlevel1"/>
        <w:keepNext/>
        <w:keepLines/>
      </w:pPr>
      <w:r>
        <w:t xml:space="preserve">Earth stations will not be permitted to transmit within 10 km of </w:t>
      </w:r>
      <w:r w:rsidR="0005357D">
        <w:t xml:space="preserve">TOB </w:t>
      </w:r>
      <w:r w:rsidR="003F0BD3">
        <w:t xml:space="preserve">collection points (listed below, and in </w:t>
      </w:r>
      <w:r w:rsidR="002D13C4">
        <w:t xml:space="preserve">the </w:t>
      </w:r>
      <w:r w:rsidR="003F0BD3">
        <w:t>relevant BOP)</w:t>
      </w:r>
      <w:r w:rsidR="00A557DD">
        <w:t>.</w:t>
      </w:r>
    </w:p>
    <w:p w14:paraId="5D1F91AE" w14:textId="6FCBBEA5" w:rsidR="00A557DD" w:rsidRDefault="00EA60D8" w:rsidP="008011F8">
      <w:pPr>
        <w:pStyle w:val="Bulletlevel1"/>
      </w:pPr>
      <w:r>
        <w:t xml:space="preserve">The </w:t>
      </w:r>
      <w:r w:rsidR="00521A00">
        <w:t>2009</w:t>
      </w:r>
      <w:r w:rsidR="00FF7D35">
        <w:t>–</w:t>
      </w:r>
      <w:r w:rsidR="00521A00">
        <w:t xml:space="preserve">2010 MHz </w:t>
      </w:r>
      <w:r>
        <w:t xml:space="preserve">portion of the band </w:t>
      </w:r>
      <w:r w:rsidR="00521A00">
        <w:t>will not be available for space receive licences</w:t>
      </w:r>
      <w:r w:rsidR="00E2677E">
        <w:t xml:space="preserve"> (that is</w:t>
      </w:r>
      <w:r w:rsidR="00575FEC">
        <w:t>,</w:t>
      </w:r>
      <w:r w:rsidR="00E2677E">
        <w:t xml:space="preserve"> no </w:t>
      </w:r>
      <w:r w:rsidR="00E9550B">
        <w:t>uncoordinated</w:t>
      </w:r>
      <w:r w:rsidR="00E2677E">
        <w:t xml:space="preserve"> earth station transmitters will be supported in this frequency range)</w:t>
      </w:r>
      <w:r w:rsidR="00521A00">
        <w:t>.</w:t>
      </w:r>
    </w:p>
    <w:p w14:paraId="71392668" w14:textId="7D819156" w:rsidR="00521A00" w:rsidRDefault="00B445A5" w:rsidP="008011F8">
      <w:pPr>
        <w:pStyle w:val="Bulletlevel1"/>
      </w:pPr>
      <w:r>
        <w:t>Outside of metropolitan areas</w:t>
      </w:r>
      <w:r w:rsidR="00F34E99">
        <w:t>:</w:t>
      </w:r>
    </w:p>
    <w:p w14:paraId="6021C161" w14:textId="55D38B08" w:rsidR="00B445A5" w:rsidRDefault="00AD4AA0" w:rsidP="008011F8">
      <w:pPr>
        <w:pStyle w:val="Bulletlevel2"/>
      </w:pPr>
      <w:r>
        <w:t>d</w:t>
      </w:r>
      <w:r w:rsidR="00333DB9">
        <w:t xml:space="preserve">evices </w:t>
      </w:r>
      <w:r w:rsidR="00DC57E1">
        <w:t>meeting the</w:t>
      </w:r>
      <w:r w:rsidR="00333DB9">
        <w:t xml:space="preserve"> </w:t>
      </w:r>
      <w:r w:rsidR="00DC57E1">
        <w:t xml:space="preserve">metropolitan area </w:t>
      </w:r>
      <w:r w:rsidR="00333DB9">
        <w:t xml:space="preserve">EIRP spectral density </w:t>
      </w:r>
      <w:r w:rsidR="00216BD2">
        <w:t xml:space="preserve">may operate at up to </w:t>
      </w:r>
      <w:r w:rsidR="00AF06A6">
        <w:t xml:space="preserve">a </w:t>
      </w:r>
      <w:r w:rsidR="00216BD2">
        <w:t>duty cycle</w:t>
      </w:r>
      <w:r w:rsidR="00AF06A6">
        <w:t xml:space="preserve"> of 10%</w:t>
      </w:r>
    </w:p>
    <w:p w14:paraId="209D25A2" w14:textId="70339FE9" w:rsidR="00CF7B9E" w:rsidRDefault="00AD4AA0" w:rsidP="008011F8">
      <w:pPr>
        <w:pStyle w:val="Bulletlevel2"/>
      </w:pPr>
      <w:r>
        <w:t>f</w:t>
      </w:r>
      <w:r w:rsidR="00CF7B9E">
        <w:t>or d</w:t>
      </w:r>
      <w:r w:rsidR="00DC57E1">
        <w:t xml:space="preserve">evices operating </w:t>
      </w:r>
      <w:r w:rsidR="00667C8C">
        <w:t xml:space="preserve">with EIRP spectral densities above </w:t>
      </w:r>
      <w:r w:rsidR="00DC57E1">
        <w:t xml:space="preserve">the metropolitan area </w:t>
      </w:r>
      <w:r w:rsidR="00667C8C">
        <w:t>limit</w:t>
      </w:r>
      <w:r w:rsidR="00CF7B9E">
        <w:t>:</w:t>
      </w:r>
    </w:p>
    <w:p w14:paraId="4D41C5FD" w14:textId="697C4635" w:rsidR="00BE4C32" w:rsidRDefault="00AD4AA0" w:rsidP="008011F8">
      <w:pPr>
        <w:pStyle w:val="Bulletlevel2"/>
        <w:tabs>
          <w:tab w:val="clear" w:pos="845"/>
          <w:tab w:val="num" w:pos="1118"/>
        </w:tabs>
        <w:ind w:left="863"/>
      </w:pPr>
      <w:r>
        <w:t>i</w:t>
      </w:r>
      <w:r w:rsidR="00CF7B9E">
        <w:t xml:space="preserve">f the device is </w:t>
      </w:r>
      <w:r w:rsidR="00EA592F">
        <w:t xml:space="preserve">within certain distances of </w:t>
      </w:r>
      <w:r w:rsidR="00BE4C32" w:rsidRPr="00BE4C32">
        <w:t xml:space="preserve">TOB </w:t>
      </w:r>
      <w:r w:rsidR="00BE4C32">
        <w:t>site</w:t>
      </w:r>
      <w:r w:rsidR="00EA592F">
        <w:t>s</w:t>
      </w:r>
      <w:r w:rsidR="00245107">
        <w:t xml:space="preserve"> (120 km from a listed high gain site and 20 km from a listed moderate gain site)</w:t>
      </w:r>
      <w:r w:rsidR="00CF7B9E">
        <w:t>,</w:t>
      </w:r>
      <w:r w:rsidR="00EA592F">
        <w:t xml:space="preserve"> </w:t>
      </w:r>
      <w:r w:rsidR="00CF7B9E">
        <w:t xml:space="preserve">it </w:t>
      </w:r>
      <w:r w:rsidR="00EA592F">
        <w:t xml:space="preserve">will </w:t>
      </w:r>
      <w:r w:rsidR="00BE4C32" w:rsidRPr="00BE4C32">
        <w:t xml:space="preserve">not </w:t>
      </w:r>
      <w:r w:rsidR="00EA592F">
        <w:t xml:space="preserve">be permitted to </w:t>
      </w:r>
      <w:r w:rsidR="00BE4C32" w:rsidRPr="00BE4C32">
        <w:t xml:space="preserve">exceed </w:t>
      </w:r>
      <w:r w:rsidR="00EA592F">
        <w:t xml:space="preserve">a duty cycle of </w:t>
      </w:r>
      <w:r w:rsidR="00BE4C32" w:rsidRPr="00BE4C32">
        <w:t>1%</w:t>
      </w:r>
      <w:r w:rsidR="00BE4C32">
        <w:t xml:space="preserve"> </w:t>
      </w:r>
    </w:p>
    <w:p w14:paraId="1A566127" w14:textId="5F9E4980" w:rsidR="00CF7B9E" w:rsidRPr="00BE4C32" w:rsidRDefault="00AD4AA0" w:rsidP="008011F8">
      <w:pPr>
        <w:pStyle w:val="Bulletlevel2"/>
        <w:tabs>
          <w:tab w:val="clear" w:pos="845"/>
          <w:tab w:val="num" w:pos="1118"/>
        </w:tabs>
        <w:spacing w:after="240"/>
        <w:ind w:left="863"/>
      </w:pPr>
      <w:r>
        <w:t>i</w:t>
      </w:r>
      <w:r w:rsidR="00681EB3">
        <w:t xml:space="preserve">f the device is beyond </w:t>
      </w:r>
      <w:r w:rsidR="00704D4C">
        <w:t xml:space="preserve">the </w:t>
      </w:r>
      <w:r w:rsidR="00681EB3">
        <w:t xml:space="preserve">distances </w:t>
      </w:r>
      <w:r w:rsidR="00704D4C">
        <w:t xml:space="preserve">in the point above </w:t>
      </w:r>
      <w:r w:rsidR="00681EB3">
        <w:t xml:space="preserve">from </w:t>
      </w:r>
      <w:r w:rsidR="00681EB3" w:rsidRPr="00BE4C32">
        <w:t xml:space="preserve">TOB </w:t>
      </w:r>
      <w:r w:rsidR="00681EB3">
        <w:t xml:space="preserve">sites, it will </w:t>
      </w:r>
      <w:r w:rsidR="00681EB3" w:rsidRPr="00BE4C32">
        <w:t xml:space="preserve">not </w:t>
      </w:r>
      <w:r w:rsidR="00681EB3">
        <w:t xml:space="preserve">be permitted to </w:t>
      </w:r>
      <w:r w:rsidR="00681EB3" w:rsidRPr="00BE4C32">
        <w:t xml:space="preserve">exceed </w:t>
      </w:r>
      <w:r w:rsidR="00681EB3">
        <w:t xml:space="preserve">a duty cycle of </w:t>
      </w:r>
      <w:r w:rsidR="00681EB3" w:rsidRPr="00BE4C32">
        <w:t>1</w:t>
      </w:r>
      <w:r w:rsidR="009A2548">
        <w:t>0</w:t>
      </w:r>
      <w:r w:rsidR="00681EB3" w:rsidRPr="00BE4C32">
        <w:t>%.</w:t>
      </w:r>
    </w:p>
    <w:p w14:paraId="5F07DF98" w14:textId="0E6A089E" w:rsidR="00BF326C" w:rsidRDefault="00D22AE6" w:rsidP="008011F8">
      <w:pPr>
        <w:pStyle w:val="Heading3"/>
        <w:keepNext w:val="0"/>
      </w:pPr>
      <w:r>
        <w:t>Protection o</w:t>
      </w:r>
      <w:r w:rsidR="00BF326C">
        <w:t>f</w:t>
      </w:r>
      <w:r>
        <w:t xml:space="preserve"> TO</w:t>
      </w:r>
      <w:r w:rsidR="00BF326C">
        <w:t>B main collection (receiving) sites</w:t>
      </w:r>
    </w:p>
    <w:p w14:paraId="08257703" w14:textId="1764E518" w:rsidR="007A3EA5" w:rsidRDefault="000027BB" w:rsidP="008011F8">
      <w:pPr>
        <w:pStyle w:val="Paragraph"/>
      </w:pPr>
      <w:r>
        <w:t>Submissions from the TOB industry expressed concern about the protection of adjacent band TOB services</w:t>
      </w:r>
      <w:r w:rsidR="00880316">
        <w:t xml:space="preserve"> </w:t>
      </w:r>
      <w:r w:rsidR="00AD4AA0">
        <w:t xml:space="preserve">that </w:t>
      </w:r>
      <w:r w:rsidR="00880316">
        <w:t xml:space="preserve">operate in the </w:t>
      </w:r>
      <w:r w:rsidR="0040050C">
        <w:t>bands</w:t>
      </w:r>
      <w:r w:rsidR="00880316">
        <w:t xml:space="preserve"> 2010</w:t>
      </w:r>
      <w:r w:rsidR="00686436">
        <w:t>–</w:t>
      </w:r>
      <w:r w:rsidR="00880316">
        <w:t>2110</w:t>
      </w:r>
      <w:r w:rsidR="00686436">
        <w:t xml:space="preserve"> MHz and </w:t>
      </w:r>
      <w:r w:rsidR="00880316">
        <w:t>2</w:t>
      </w:r>
      <w:r w:rsidR="00AF25EA">
        <w:t>200</w:t>
      </w:r>
      <w:r w:rsidR="00686436">
        <w:t>–</w:t>
      </w:r>
      <w:r w:rsidR="00AF25EA">
        <w:t>2300 MHz</w:t>
      </w:r>
      <w:r w:rsidR="00F64AF0">
        <w:t>. A p</w:t>
      </w:r>
      <w:r>
        <w:t>articular</w:t>
      </w:r>
      <w:r w:rsidR="00A472EF">
        <w:t xml:space="preserve"> </w:t>
      </w:r>
      <w:r w:rsidR="00F64AF0">
        <w:t xml:space="preserve">concern was </w:t>
      </w:r>
      <w:r w:rsidR="00AD4AA0">
        <w:t xml:space="preserve">the </w:t>
      </w:r>
      <w:r w:rsidR="00F64AF0">
        <w:t xml:space="preserve">protection of </w:t>
      </w:r>
      <w:r w:rsidR="007B1047">
        <w:t xml:space="preserve">26 </w:t>
      </w:r>
      <w:r w:rsidR="00A472EF">
        <w:t>main TOB collection (receiving) sites</w:t>
      </w:r>
      <w:r>
        <w:t xml:space="preserve"> </w:t>
      </w:r>
      <w:r w:rsidR="00F64AF0">
        <w:t xml:space="preserve">around Australia, </w:t>
      </w:r>
      <w:r w:rsidR="008737D7">
        <w:t>predomina</w:t>
      </w:r>
      <w:r w:rsidR="00E97268">
        <w:t>ntly</w:t>
      </w:r>
      <w:r w:rsidR="00F64AF0">
        <w:t xml:space="preserve"> in </w:t>
      </w:r>
      <w:r w:rsidR="008737D7">
        <w:t>metropolitan areas</w:t>
      </w:r>
      <w:r w:rsidR="004C2AA4">
        <w:t>.</w:t>
      </w:r>
      <w:r w:rsidR="00F64AF0">
        <w:t xml:space="preserve"> </w:t>
      </w:r>
    </w:p>
    <w:p w14:paraId="1006EF17" w14:textId="77777777" w:rsidR="00FB00C1" w:rsidRDefault="00FB00C1" w:rsidP="00FB00C1">
      <w:pPr>
        <w:pStyle w:val="Heading4"/>
      </w:pPr>
      <w:r w:rsidRPr="00586A62">
        <w:t>ACMA response</w:t>
      </w:r>
    </w:p>
    <w:p w14:paraId="30A4543C" w14:textId="647D75A9" w:rsidR="004E0C6D" w:rsidRDefault="00AD4AA0" w:rsidP="00E44519">
      <w:pPr>
        <w:pStyle w:val="Paragraph"/>
      </w:pPr>
      <w:r>
        <w:t xml:space="preserve">We have </w:t>
      </w:r>
      <w:r w:rsidR="004A3B4A">
        <w:t>further</w:t>
      </w:r>
      <w:r w:rsidR="008D480F">
        <w:t xml:space="preserve"> studied </w:t>
      </w:r>
      <w:r w:rsidR="006E6845">
        <w:t xml:space="preserve">the potential for interference from MSS to </w:t>
      </w:r>
      <w:r w:rsidR="00811E0E">
        <w:t>adjacent</w:t>
      </w:r>
      <w:r w:rsidR="006E6845">
        <w:t xml:space="preserve"> </w:t>
      </w:r>
      <w:r w:rsidR="00811E0E">
        <w:t>band</w:t>
      </w:r>
      <w:r w:rsidR="006E6845">
        <w:t xml:space="preserve"> TOB services (see Appendix A). This analysis </w:t>
      </w:r>
      <w:r w:rsidR="009A4567">
        <w:t>used the p</w:t>
      </w:r>
      <w:r w:rsidR="00E44519">
        <w:t>rotection requirements for TOB collection station</w:t>
      </w:r>
      <w:r w:rsidR="003049AF">
        <w:t>s</w:t>
      </w:r>
      <w:r w:rsidR="00E44519">
        <w:t xml:space="preserve"> a</w:t>
      </w:r>
      <w:r w:rsidR="003049AF">
        <w:t>s</w:t>
      </w:r>
      <w:r w:rsidR="00E44519">
        <w:t xml:space="preserve"> specified in </w:t>
      </w:r>
      <w:hyperlink r:id="rId37" w:history="1">
        <w:r w:rsidR="004E0C6D" w:rsidRPr="00B75E84">
          <w:rPr>
            <w:rStyle w:val="Hyperlink"/>
          </w:rPr>
          <w:t>RALI FX2</w:t>
        </w:r>
        <w:r w:rsidR="00811E0E" w:rsidRPr="00B75E84">
          <w:rPr>
            <w:rStyle w:val="Hyperlink"/>
          </w:rPr>
          <w:t>1</w:t>
        </w:r>
      </w:hyperlink>
      <w:r w:rsidR="004E0C6D">
        <w:rPr>
          <w:u w:color="0000FF"/>
        </w:rPr>
        <w:t xml:space="preserve">. </w:t>
      </w:r>
      <w:r w:rsidR="00891928">
        <w:rPr>
          <w:u w:color="0000FF"/>
        </w:rPr>
        <w:t xml:space="preserve">With </w:t>
      </w:r>
      <w:r w:rsidR="002A148C">
        <w:rPr>
          <w:u w:color="0000FF"/>
        </w:rPr>
        <w:t xml:space="preserve">spectrum arrangements only supporting </w:t>
      </w:r>
      <w:r w:rsidR="00891928">
        <w:rPr>
          <w:u w:color="0000FF"/>
        </w:rPr>
        <w:t xml:space="preserve">earth </w:t>
      </w:r>
      <w:r w:rsidR="002A148C">
        <w:rPr>
          <w:u w:color="0000FF"/>
        </w:rPr>
        <w:t>station transmitters in 1980</w:t>
      </w:r>
      <w:r>
        <w:rPr>
          <w:u w:color="0000FF"/>
        </w:rPr>
        <w:t>–</w:t>
      </w:r>
      <w:r w:rsidR="002A148C">
        <w:rPr>
          <w:u w:color="0000FF"/>
        </w:rPr>
        <w:t>2010 MHz</w:t>
      </w:r>
      <w:r w:rsidR="009374B4">
        <w:rPr>
          <w:rStyle w:val="FootnoteReference"/>
          <w:u w:color="0000FF"/>
        </w:rPr>
        <w:footnoteReference w:id="7"/>
      </w:r>
      <w:r w:rsidR="002A148C">
        <w:rPr>
          <w:u w:color="0000FF"/>
        </w:rPr>
        <w:t xml:space="preserve">, </w:t>
      </w:r>
      <w:r w:rsidR="0006096A">
        <w:rPr>
          <w:u w:color="0000FF"/>
        </w:rPr>
        <w:t>it</w:t>
      </w:r>
      <w:r w:rsidR="00F85A93">
        <w:rPr>
          <w:u w:color="0000FF"/>
        </w:rPr>
        <w:t xml:space="preserve"> </w:t>
      </w:r>
      <w:r w:rsidR="0006096A">
        <w:rPr>
          <w:u w:color="0000FF"/>
        </w:rPr>
        <w:t>is the 2010 MHz band edge that is of key concern</w:t>
      </w:r>
      <w:r w:rsidR="00825118">
        <w:rPr>
          <w:u w:color="0000FF"/>
        </w:rPr>
        <w:t>;</w:t>
      </w:r>
      <w:r w:rsidR="0083370D">
        <w:rPr>
          <w:u w:color="0000FF"/>
        </w:rPr>
        <w:t xml:space="preserve"> Network 10 </w:t>
      </w:r>
      <w:r w:rsidR="00431C96">
        <w:rPr>
          <w:u w:color="0000FF"/>
        </w:rPr>
        <w:t xml:space="preserve">operates immediately adjacent to </w:t>
      </w:r>
      <w:r w:rsidR="007209AD">
        <w:rPr>
          <w:u w:color="0000FF"/>
        </w:rPr>
        <w:t>t</w:t>
      </w:r>
      <w:r w:rsidR="0083370D">
        <w:rPr>
          <w:u w:color="0000FF"/>
        </w:rPr>
        <w:t xml:space="preserve">hat </w:t>
      </w:r>
      <w:r w:rsidR="00431C96">
        <w:rPr>
          <w:u w:color="0000FF"/>
        </w:rPr>
        <w:t>edge</w:t>
      </w:r>
      <w:r w:rsidR="0083370D">
        <w:rPr>
          <w:u w:color="0000FF"/>
        </w:rPr>
        <w:t xml:space="preserve"> (2010</w:t>
      </w:r>
      <w:r w:rsidR="008861F4">
        <w:rPr>
          <w:u w:color="0000FF"/>
        </w:rPr>
        <w:t>–</w:t>
      </w:r>
      <w:r w:rsidR="00431C96">
        <w:rPr>
          <w:u w:color="0000FF"/>
        </w:rPr>
        <w:t>2034 MHz).</w:t>
      </w:r>
      <w:r w:rsidR="009374B4">
        <w:rPr>
          <w:u w:color="0000FF"/>
        </w:rPr>
        <w:t xml:space="preserve"> </w:t>
      </w:r>
    </w:p>
    <w:p w14:paraId="587B83AC" w14:textId="0CD46F2F" w:rsidR="00B22E23" w:rsidRDefault="00AD4AA0" w:rsidP="00E44519">
      <w:pPr>
        <w:pStyle w:val="Paragraph"/>
      </w:pPr>
      <w:r>
        <w:t>We are</w:t>
      </w:r>
      <w:r w:rsidR="00194F08">
        <w:t xml:space="preserve"> </w:t>
      </w:r>
      <w:r w:rsidR="009753A8">
        <w:t xml:space="preserve">imposing additional restrictions to ensure protection of the adjacent </w:t>
      </w:r>
      <w:r w:rsidR="00390F15">
        <w:t>band</w:t>
      </w:r>
      <w:r w:rsidR="009753A8">
        <w:t xml:space="preserve"> TOB </w:t>
      </w:r>
      <w:r w:rsidR="00390F15">
        <w:t>services. These include not supporting MSS in 2009</w:t>
      </w:r>
      <w:r w:rsidR="009A7783">
        <w:t>–</w:t>
      </w:r>
      <w:r w:rsidR="00390F15">
        <w:t xml:space="preserve">2010 MHz and placing restrictions on MSS earth stations within 120 km of </w:t>
      </w:r>
      <w:r w:rsidR="00682606">
        <w:t xml:space="preserve">24 </w:t>
      </w:r>
      <w:r w:rsidR="00390F15">
        <w:t>high gain TOB collection (receiving</w:t>
      </w:r>
      <w:r w:rsidR="00B22E23">
        <w:t>)</w:t>
      </w:r>
      <w:r w:rsidR="00390F15">
        <w:t xml:space="preserve"> sites.</w:t>
      </w:r>
    </w:p>
    <w:p w14:paraId="5B744EA0" w14:textId="52D5C777" w:rsidR="006A47E3" w:rsidRDefault="002B1320" w:rsidP="006A47E3">
      <w:pPr>
        <w:pStyle w:val="Paragraph"/>
      </w:pPr>
      <w:r>
        <w:t>Compliance</w:t>
      </w:r>
      <w:r w:rsidR="006D628E">
        <w:t xml:space="preserve"> with these requirements would be assess</w:t>
      </w:r>
      <w:r w:rsidR="004F2674">
        <w:t>ed</w:t>
      </w:r>
      <w:r w:rsidR="006D628E">
        <w:t xml:space="preserve"> </w:t>
      </w:r>
      <w:r w:rsidR="00040E28">
        <w:t xml:space="preserve">when applicants apply for </w:t>
      </w:r>
      <w:r w:rsidR="00DC5AEE">
        <w:t xml:space="preserve">a </w:t>
      </w:r>
      <w:r w:rsidR="00040E28">
        <w:t>space receive licence</w:t>
      </w:r>
      <w:r w:rsidR="00102A28">
        <w:t xml:space="preserve"> (</w:t>
      </w:r>
      <w:r w:rsidR="00CB3FC3">
        <w:t>note that authorisation of a radiocommunications device under the CSO Class Licence requires the device to communicate with a station on a space object authorised by a space licence or space receive licence</w:t>
      </w:r>
      <w:r>
        <w:t>)</w:t>
      </w:r>
      <w:r w:rsidR="00CD3495">
        <w:t>.</w:t>
      </w:r>
      <w:r w:rsidR="00B4093D">
        <w:t xml:space="preserve"> As </w:t>
      </w:r>
      <w:r w:rsidR="001B518D">
        <w:t xml:space="preserve">under current arrangements </w:t>
      </w:r>
      <w:r w:rsidR="00B4093D">
        <w:t>the location of TOB collection stations in</w:t>
      </w:r>
      <w:r w:rsidR="0040050C">
        <w:t xml:space="preserve"> the bands 2010</w:t>
      </w:r>
      <w:r w:rsidR="008958B5">
        <w:t>–</w:t>
      </w:r>
      <w:r w:rsidR="0040050C">
        <w:t>2110</w:t>
      </w:r>
      <w:r w:rsidR="008958B5">
        <w:t xml:space="preserve"> MHz and </w:t>
      </w:r>
      <w:r w:rsidR="0040050C">
        <w:t>2200</w:t>
      </w:r>
      <w:r w:rsidR="008958B5">
        <w:t>–</w:t>
      </w:r>
      <w:r w:rsidR="0040050C">
        <w:t xml:space="preserve">2300 MHz is </w:t>
      </w:r>
      <w:r w:rsidR="006A47E3">
        <w:t xml:space="preserve">not required to be recorded in the Register of Radiocommunication Licences, a list of TOB collection sites will be included in the ACMA assessment procedures for space and space receive licences. The list is based </w:t>
      </w:r>
      <w:r w:rsidR="006A47E3">
        <w:lastRenderedPageBreak/>
        <w:t xml:space="preserve">on </w:t>
      </w:r>
      <w:r w:rsidR="00AD4AA0">
        <w:t xml:space="preserve">the </w:t>
      </w:r>
      <w:r w:rsidR="006A47E3">
        <w:t xml:space="preserve">location of collection stations as registered in </w:t>
      </w:r>
      <w:hyperlink r:id="rId38" w:history="1">
        <w:r w:rsidR="00A52BBB" w:rsidRPr="00937E70">
          <w:rPr>
            <w:rStyle w:val="Hyperlink"/>
          </w:rPr>
          <w:t xml:space="preserve">the 2.5 GHz </w:t>
        </w:r>
        <w:r w:rsidR="00372FCC" w:rsidRPr="00937E70">
          <w:rPr>
            <w:rStyle w:val="Hyperlink"/>
          </w:rPr>
          <w:t>Mid Band Gap</w:t>
        </w:r>
      </w:hyperlink>
      <w:r w:rsidR="006A47E3">
        <w:t xml:space="preserve"> spectrum licences.</w:t>
      </w:r>
    </w:p>
    <w:p w14:paraId="467540B2" w14:textId="4C52A7CB" w:rsidR="006D628E" w:rsidRDefault="00AD4AA0" w:rsidP="00E44519">
      <w:pPr>
        <w:pStyle w:val="Paragraph"/>
      </w:pPr>
      <w:r>
        <w:t xml:space="preserve">Our view </w:t>
      </w:r>
      <w:r w:rsidR="00061360">
        <w:t xml:space="preserve">is that these requirements </w:t>
      </w:r>
      <w:r w:rsidR="00167F1A">
        <w:t xml:space="preserve">support </w:t>
      </w:r>
      <w:r w:rsidR="00EC624D">
        <w:t>protect</w:t>
      </w:r>
      <w:r w:rsidR="00167F1A">
        <w:t>ion of</w:t>
      </w:r>
      <w:r w:rsidR="00EC624D">
        <w:t xml:space="preserve"> TOB </w:t>
      </w:r>
      <w:r w:rsidR="00167F1A">
        <w:t>services</w:t>
      </w:r>
      <w:r w:rsidR="00EC624D">
        <w:t xml:space="preserve"> as they are based on reasonable (if not </w:t>
      </w:r>
      <w:r w:rsidR="00C91677">
        <w:t>conversative</w:t>
      </w:r>
      <w:r w:rsidR="005C06DB">
        <w:t>)</w:t>
      </w:r>
      <w:r w:rsidR="00EC624D">
        <w:t xml:space="preserve"> </w:t>
      </w:r>
      <w:r w:rsidR="00C91677">
        <w:t>assumptions about MSS performance. ACMA assessment procedures for space</w:t>
      </w:r>
      <w:r w:rsidR="00171F6F">
        <w:t xml:space="preserve"> licences and </w:t>
      </w:r>
      <w:r w:rsidR="00C91677">
        <w:t>space receive licence</w:t>
      </w:r>
      <w:r w:rsidR="00296E2B">
        <w:t>s</w:t>
      </w:r>
      <w:r w:rsidR="00C91677">
        <w:t xml:space="preserve"> will require applicant</w:t>
      </w:r>
      <w:r w:rsidR="00296E2B">
        <w:t>s</w:t>
      </w:r>
      <w:r w:rsidR="00C91677">
        <w:t xml:space="preserve"> to demonstrate </w:t>
      </w:r>
      <w:r w:rsidR="00D2796D">
        <w:t>the</w:t>
      </w:r>
      <w:r w:rsidR="00A567B3">
        <w:t>ir</w:t>
      </w:r>
      <w:r w:rsidR="00D2796D">
        <w:t xml:space="preserve"> operation will meet those requirements. This will include mechanism</w:t>
      </w:r>
      <w:r w:rsidR="00A432E6">
        <w:t>s</w:t>
      </w:r>
      <w:r w:rsidR="00D2796D">
        <w:t xml:space="preserve"> to manage limitation</w:t>
      </w:r>
      <w:r w:rsidR="0099346F">
        <w:t>s</w:t>
      </w:r>
      <w:r w:rsidR="00D2796D">
        <w:t xml:space="preserve"> on devices as they transition from one area to another (for example</w:t>
      </w:r>
      <w:r>
        <w:t>,</w:t>
      </w:r>
      <w:r w:rsidR="00D2796D">
        <w:t xml:space="preserve"> geofencing or network control functionality).</w:t>
      </w:r>
      <w:r w:rsidR="00C91677">
        <w:t xml:space="preserve">  </w:t>
      </w:r>
    </w:p>
    <w:p w14:paraId="39183AEF" w14:textId="30ADFC18" w:rsidR="004D4E86" w:rsidRDefault="004D4E86" w:rsidP="004B61A8">
      <w:pPr>
        <w:pStyle w:val="Heading3"/>
      </w:pPr>
      <w:r>
        <w:t xml:space="preserve">Transition </w:t>
      </w:r>
      <w:r w:rsidR="00D2796D">
        <w:t xml:space="preserve">of MSS </w:t>
      </w:r>
      <w:r>
        <w:t xml:space="preserve">to terrestrial </w:t>
      </w:r>
      <w:r w:rsidR="00176D8D">
        <w:t xml:space="preserve">wireless broadband </w:t>
      </w:r>
      <w:r>
        <w:t>networks</w:t>
      </w:r>
    </w:p>
    <w:p w14:paraId="3280458E" w14:textId="6C41354B" w:rsidR="00E07F0B" w:rsidRDefault="00A820DA" w:rsidP="00E07F0B">
      <w:r>
        <w:t xml:space="preserve">One submission </w:t>
      </w:r>
      <w:r w:rsidR="00356184">
        <w:t>suggested that</w:t>
      </w:r>
      <w:r>
        <w:t xml:space="preserve"> </w:t>
      </w:r>
      <w:r w:rsidR="00E47086" w:rsidRPr="00E47086">
        <w:t>the non-availability of terrestrial wireless broadband might make for a more appropriate geographical boundary for higher power, higher duty-cycle devices than</w:t>
      </w:r>
      <w:r w:rsidR="00E47086">
        <w:t xml:space="preserve"> the </w:t>
      </w:r>
      <w:r w:rsidR="00E47086" w:rsidRPr="00E47086">
        <w:t>‘metropolitan area’ boundaries currently proposed.</w:t>
      </w:r>
      <w:r w:rsidR="005F40DB">
        <w:t xml:space="preserve"> </w:t>
      </w:r>
      <w:r w:rsidR="00956BB8">
        <w:t>This respondent also r</w:t>
      </w:r>
      <w:r w:rsidR="00E07F0B" w:rsidRPr="004413E7">
        <w:t>equest</w:t>
      </w:r>
      <w:r w:rsidR="00E07F0B">
        <w:t xml:space="preserve">ed </w:t>
      </w:r>
      <w:r w:rsidR="00436617">
        <w:t xml:space="preserve">that </w:t>
      </w:r>
      <w:r w:rsidR="00E07F0B" w:rsidRPr="004413E7">
        <w:t xml:space="preserve">MSS ground stations be </w:t>
      </w:r>
      <w:r w:rsidR="007F169B">
        <w:t>required</w:t>
      </w:r>
      <w:r w:rsidR="00E07F0B" w:rsidRPr="004413E7">
        <w:t xml:space="preserve"> to transition to terrestrial networks where possible</w:t>
      </w:r>
      <w:r w:rsidR="00E07F0B">
        <w:t>.</w:t>
      </w:r>
    </w:p>
    <w:p w14:paraId="16455863" w14:textId="77777777" w:rsidR="00E90105" w:rsidRDefault="00E90105" w:rsidP="00E90105">
      <w:pPr>
        <w:pStyle w:val="Heading4"/>
      </w:pPr>
      <w:r w:rsidRPr="00586A62">
        <w:t>ACMA response</w:t>
      </w:r>
    </w:p>
    <w:p w14:paraId="7D5C888E" w14:textId="704CC0D4" w:rsidR="00E90105" w:rsidRPr="00D04242" w:rsidRDefault="00AD4AA0" w:rsidP="00E90105">
      <w:pPr>
        <w:pStyle w:val="Paragraph"/>
      </w:pPr>
      <w:r>
        <w:t xml:space="preserve">We </w:t>
      </w:r>
      <w:r w:rsidR="0026078F">
        <w:t xml:space="preserve">recognise the likely area separations of the </w:t>
      </w:r>
      <w:r>
        <w:t xml:space="preserve">2 </w:t>
      </w:r>
      <w:r w:rsidR="0026078F">
        <w:t xml:space="preserve">services and there will likely be a preference </w:t>
      </w:r>
      <w:r w:rsidR="00D638BD">
        <w:t xml:space="preserve">for low data rate </w:t>
      </w:r>
      <w:r w:rsidR="00D53DAA">
        <w:t xml:space="preserve">applications to use </w:t>
      </w:r>
      <w:r w:rsidR="0026078F">
        <w:t xml:space="preserve">terrestrial networks </w:t>
      </w:r>
      <w:r w:rsidR="00D638BD">
        <w:t xml:space="preserve">(rather than satellite) </w:t>
      </w:r>
      <w:r w:rsidR="0026078F">
        <w:t>in many cases. It is, however, considered an unnecessary inter</w:t>
      </w:r>
      <w:r w:rsidR="00D53DAA">
        <w:t>v</w:t>
      </w:r>
      <w:r w:rsidR="0026078F">
        <w:t>ention to ma</w:t>
      </w:r>
      <w:r w:rsidR="00AA472E">
        <w:t>n</w:t>
      </w:r>
      <w:r w:rsidR="0026078F">
        <w:t>date</w:t>
      </w:r>
      <w:r w:rsidR="00AA472E">
        <w:t xml:space="preserve"> </w:t>
      </w:r>
      <w:r w:rsidR="00AE6146">
        <w:t xml:space="preserve">terrestrial use where possible, and one that may limit innovation. </w:t>
      </w:r>
    </w:p>
    <w:p w14:paraId="146D0369" w14:textId="0D9D90D4" w:rsidR="00063A61" w:rsidRPr="00D04242" w:rsidRDefault="00063A61" w:rsidP="00E90105">
      <w:pPr>
        <w:pStyle w:val="Paragraph"/>
      </w:pPr>
      <w:r>
        <w:t xml:space="preserve">It is further noted that </w:t>
      </w:r>
      <w:r w:rsidR="007452F5">
        <w:t xml:space="preserve">the lack of a defined set of </w:t>
      </w:r>
      <w:r w:rsidR="00CA0F96">
        <w:t>areas</w:t>
      </w:r>
      <w:r w:rsidR="007452F5">
        <w:t xml:space="preserve"> </w:t>
      </w:r>
      <w:r>
        <w:t xml:space="preserve">where terrestrial networks are </w:t>
      </w:r>
      <w:r w:rsidR="007452F5">
        <w:t xml:space="preserve">available is problematic when using </w:t>
      </w:r>
      <w:r w:rsidR="00AD4AA0">
        <w:t xml:space="preserve">this </w:t>
      </w:r>
      <w:r w:rsidR="007452F5">
        <w:t>as a condition of operation</w:t>
      </w:r>
      <w:r w:rsidR="0025009A">
        <w:t>,</w:t>
      </w:r>
      <w:r w:rsidR="00AA472E">
        <w:t xml:space="preserve"> and that some areas of limited terrestrial coverage may </w:t>
      </w:r>
      <w:r w:rsidR="00AE6146">
        <w:t xml:space="preserve">occur in metropolitan areas. </w:t>
      </w:r>
    </w:p>
    <w:p w14:paraId="70558CDD" w14:textId="5EAB806B" w:rsidR="004B61A8" w:rsidRPr="004B61A8" w:rsidRDefault="004B61A8" w:rsidP="004B61A8">
      <w:pPr>
        <w:pStyle w:val="Heading3"/>
      </w:pPr>
      <w:r w:rsidRPr="004B61A8">
        <w:t>Alternatives to sharing</w:t>
      </w:r>
      <w:r w:rsidR="000673DD">
        <w:t xml:space="preserve"> between MSS </w:t>
      </w:r>
      <w:r w:rsidR="00405116">
        <w:t>operators</w:t>
      </w:r>
    </w:p>
    <w:p w14:paraId="441691CD" w14:textId="658B7533" w:rsidR="00262774" w:rsidRDefault="00AD4AA0" w:rsidP="00BA721E">
      <w:pPr>
        <w:pStyle w:val="Paragraph"/>
      </w:pPr>
      <w:r>
        <w:t>If</w:t>
      </w:r>
      <w:r w:rsidRPr="00D04242">
        <w:t xml:space="preserve"> </w:t>
      </w:r>
      <w:r w:rsidR="00262774" w:rsidRPr="00D04242">
        <w:t>the ACMA proceed</w:t>
      </w:r>
      <w:r>
        <w:t>s</w:t>
      </w:r>
      <w:r w:rsidR="00262774" w:rsidRPr="00D04242">
        <w:t xml:space="preserve"> with the shared narrowband segment, Omnispace recommended relaxing the proposed technical limits to better align with 3GPP technical parameters for the band.</w:t>
      </w:r>
      <w:r w:rsidR="00262774" w:rsidRPr="00AD2FE9">
        <w:rPr>
          <w:vertAlign w:val="superscript"/>
        </w:rPr>
        <w:footnoteReference w:id="8"/>
      </w:r>
      <w:r w:rsidR="00262774" w:rsidRPr="00D04242">
        <w:t xml:space="preserve"> </w:t>
      </w:r>
      <w:r>
        <w:t>Omnispace</w:t>
      </w:r>
      <w:r w:rsidRPr="00D04242">
        <w:t xml:space="preserve"> </w:t>
      </w:r>
      <w:r w:rsidR="00262774" w:rsidRPr="00D04242">
        <w:t>also suggested that sharing this segment is unworkable unless the band is divided into 5 exclusively-licensed segments.</w:t>
      </w:r>
    </w:p>
    <w:p w14:paraId="06B71B37" w14:textId="77777777" w:rsidR="00E90105" w:rsidRDefault="00E90105" w:rsidP="00E90105">
      <w:pPr>
        <w:pStyle w:val="Heading4"/>
      </w:pPr>
      <w:r w:rsidRPr="00586A62">
        <w:t>ACMA response</w:t>
      </w:r>
    </w:p>
    <w:p w14:paraId="79C37AB0" w14:textId="7762A7D8" w:rsidR="0019040F" w:rsidRDefault="00AD4AA0" w:rsidP="00E90105">
      <w:pPr>
        <w:pStyle w:val="Paragraph"/>
      </w:pPr>
      <w:r>
        <w:t xml:space="preserve">We </w:t>
      </w:r>
      <w:r w:rsidR="004A2D72">
        <w:t xml:space="preserve">consider </w:t>
      </w:r>
      <w:r w:rsidR="005C4DAE">
        <w:t xml:space="preserve">coexistence </w:t>
      </w:r>
      <w:r w:rsidR="00AF4345">
        <w:t xml:space="preserve">between satellite systems </w:t>
      </w:r>
      <w:r w:rsidR="005C4DAE">
        <w:t>is</w:t>
      </w:r>
      <w:r w:rsidR="00E4462F">
        <w:t xml:space="preserve"> a</w:t>
      </w:r>
      <w:r w:rsidR="00D93A73">
        <w:t xml:space="preserve"> </w:t>
      </w:r>
      <w:r w:rsidR="00D53B03">
        <w:t xml:space="preserve">matter for industry to self-manage, noting that the ITU satellite coordination framework </w:t>
      </w:r>
      <w:r w:rsidR="00E35A01">
        <w:t>place</w:t>
      </w:r>
      <w:r w:rsidR="0003182E">
        <w:t>s</w:t>
      </w:r>
      <w:r w:rsidR="00E35A01">
        <w:t xml:space="preserve"> an obligation </w:t>
      </w:r>
      <w:r w:rsidR="006E3859">
        <w:t xml:space="preserve">on </w:t>
      </w:r>
      <w:r w:rsidR="001A0F78">
        <w:t xml:space="preserve">a satellite </w:t>
      </w:r>
      <w:r w:rsidR="006E3859">
        <w:t>operator</w:t>
      </w:r>
      <w:r w:rsidR="001A0F78">
        <w:t xml:space="preserve"> to ensure </w:t>
      </w:r>
      <w:r w:rsidR="00F8791E">
        <w:t>protection</w:t>
      </w:r>
      <w:r w:rsidR="001A0F78">
        <w:t xml:space="preserve"> of </w:t>
      </w:r>
      <w:r w:rsidR="00F8791E">
        <w:t>services</w:t>
      </w:r>
      <w:r w:rsidR="001A0F78">
        <w:t xml:space="preserve"> </w:t>
      </w:r>
      <w:r w:rsidR="00F8791E">
        <w:t>outside of Australia</w:t>
      </w:r>
      <w:r w:rsidR="006E3859">
        <w:t>,</w:t>
      </w:r>
      <w:r w:rsidR="00EA2EAC">
        <w:t xml:space="preserve"> </w:t>
      </w:r>
      <w:r w:rsidR="00DC0AB3">
        <w:t xml:space="preserve">which might </w:t>
      </w:r>
      <w:r w:rsidR="00AF4400">
        <w:t xml:space="preserve">also </w:t>
      </w:r>
      <w:r w:rsidR="00DC0AB3">
        <w:t xml:space="preserve">place limitations on the operation of devices in </w:t>
      </w:r>
      <w:r w:rsidR="00666319">
        <w:t>Australia.</w:t>
      </w:r>
    </w:p>
    <w:p w14:paraId="4CD977C2" w14:textId="65153242" w:rsidR="00942506" w:rsidRPr="00D04242" w:rsidRDefault="006624BA" w:rsidP="00E90105">
      <w:pPr>
        <w:pStyle w:val="Paragraph"/>
      </w:pPr>
      <w:r>
        <w:t xml:space="preserve">While </w:t>
      </w:r>
      <w:r w:rsidR="00583EBD">
        <w:t>observing</w:t>
      </w:r>
      <w:r>
        <w:t xml:space="preserve"> </w:t>
      </w:r>
      <w:r w:rsidR="00BF66C5">
        <w:t>frequency sharing</w:t>
      </w:r>
      <w:r w:rsidR="00062FD5">
        <w:t xml:space="preserve"> </w:t>
      </w:r>
      <w:r>
        <w:t>is a common spectrum</w:t>
      </w:r>
      <w:r w:rsidR="00062FD5">
        <w:t>-</w:t>
      </w:r>
      <w:r w:rsidR="00BF66C5">
        <w:t xml:space="preserve">management </w:t>
      </w:r>
      <w:r>
        <w:t xml:space="preserve">practice, </w:t>
      </w:r>
      <w:r w:rsidR="00062FD5">
        <w:t xml:space="preserve">we </w:t>
      </w:r>
      <w:r w:rsidR="00B7035E">
        <w:t>consider</w:t>
      </w:r>
      <w:r w:rsidR="008502D8">
        <w:t xml:space="preserve"> that m</w:t>
      </w:r>
      <w:r w:rsidR="00B25617">
        <w:t xml:space="preserve">andating exclusive blocks </w:t>
      </w:r>
      <w:r w:rsidR="004023B1">
        <w:t>in this band</w:t>
      </w:r>
      <w:r w:rsidR="008C0779">
        <w:t xml:space="preserve"> </w:t>
      </w:r>
      <w:r w:rsidR="00B25617">
        <w:t xml:space="preserve">has </w:t>
      </w:r>
      <w:r w:rsidR="00D62B41">
        <w:t>the</w:t>
      </w:r>
      <w:r w:rsidR="00B25617">
        <w:t xml:space="preserve"> potential to limit flexibility</w:t>
      </w:r>
      <w:r w:rsidR="0012587C">
        <w:t xml:space="preserve">. Instead, </w:t>
      </w:r>
      <w:r w:rsidR="00D62B41">
        <w:t>our</w:t>
      </w:r>
      <w:r>
        <w:t xml:space="preserve"> preference is</w:t>
      </w:r>
      <w:r w:rsidR="00942506">
        <w:t xml:space="preserve"> that operators </w:t>
      </w:r>
      <w:r w:rsidR="00552C6B">
        <w:t>self</w:t>
      </w:r>
      <w:r w:rsidR="00F367EA">
        <w:t>-</w:t>
      </w:r>
      <w:r w:rsidR="00942506">
        <w:t xml:space="preserve">coordinate </w:t>
      </w:r>
      <w:r w:rsidR="00552C6B">
        <w:t>access to the ba</w:t>
      </w:r>
      <w:r w:rsidR="004D614D">
        <w:t xml:space="preserve">nd, </w:t>
      </w:r>
      <w:r w:rsidR="00062FD5">
        <w:t>for</w:t>
      </w:r>
      <w:r w:rsidR="004D614D">
        <w:t xml:space="preserve"> their system needs and characteristics. This may be </w:t>
      </w:r>
      <w:r w:rsidR="00EC6F67">
        <w:t xml:space="preserve">in </w:t>
      </w:r>
      <w:r w:rsidR="00062FD5">
        <w:t xml:space="preserve">4 </w:t>
      </w:r>
      <w:r w:rsidR="00F367EA">
        <w:t>bands of 1 MHz</w:t>
      </w:r>
      <w:r>
        <w:t>, however o</w:t>
      </w:r>
      <w:r w:rsidR="0006455D">
        <w:t>ther methods of sharing remain possible (for example</w:t>
      </w:r>
      <w:r w:rsidR="00D072F4">
        <w:t>,</w:t>
      </w:r>
      <w:r w:rsidR="0006455D">
        <w:t xml:space="preserve"> </w:t>
      </w:r>
      <w:r w:rsidR="00B9357B">
        <w:t>smaller non-contiguous bands total</w:t>
      </w:r>
      <w:r w:rsidR="009B454B">
        <w:t>l</w:t>
      </w:r>
      <w:r w:rsidR="00B9357B">
        <w:t xml:space="preserve">ing 1 MHz per operator, </w:t>
      </w:r>
      <w:r w:rsidR="00AF4345">
        <w:t xml:space="preserve">limiting the number of devices </w:t>
      </w:r>
      <w:r w:rsidR="00EC1E74">
        <w:t xml:space="preserve">or </w:t>
      </w:r>
      <w:r w:rsidR="0053650B">
        <w:t>time di</w:t>
      </w:r>
      <w:r w:rsidR="001B52B0">
        <w:t>v</w:t>
      </w:r>
      <w:r w:rsidR="0053650B">
        <w:t>ision sharing</w:t>
      </w:r>
      <w:r w:rsidR="001B52B0">
        <w:t>)</w:t>
      </w:r>
      <w:r w:rsidR="0012587C">
        <w:t>.</w:t>
      </w:r>
    </w:p>
    <w:p w14:paraId="12B73B59" w14:textId="716D3DF9" w:rsidR="009336A9" w:rsidRDefault="00947B93" w:rsidP="008011F8">
      <w:pPr>
        <w:pStyle w:val="Heading2"/>
        <w:keepLines/>
      </w:pPr>
      <w:bookmarkStart w:id="10" w:name="_Toc107506505"/>
      <w:r>
        <w:lastRenderedPageBreak/>
        <w:t>Consultation outcome and n</w:t>
      </w:r>
      <w:r w:rsidR="009336A9">
        <w:t>ext steps</w:t>
      </w:r>
      <w:bookmarkEnd w:id="10"/>
    </w:p>
    <w:p w14:paraId="5C1DBF21" w14:textId="553E3168" w:rsidR="00947B93" w:rsidRDefault="00CE1153" w:rsidP="008011F8">
      <w:pPr>
        <w:pStyle w:val="Paragraph"/>
        <w:keepNext/>
        <w:keepLines/>
      </w:pPr>
      <w:r>
        <w:t xml:space="preserve">On </w:t>
      </w:r>
      <w:r w:rsidR="00EC17BA" w:rsidRPr="00EC17BA">
        <w:t>30 June</w:t>
      </w:r>
      <w:r w:rsidR="00843A8A" w:rsidRPr="00EC17BA">
        <w:t xml:space="preserve"> 2022</w:t>
      </w:r>
      <w:r w:rsidR="00843A8A">
        <w:t>, t</w:t>
      </w:r>
      <w:r w:rsidR="00490DBF">
        <w:t xml:space="preserve">he ACMA made the </w:t>
      </w:r>
      <w:hyperlink r:id="rId39" w:history="1">
        <w:r w:rsidRPr="00EC17BA">
          <w:rPr>
            <w:rStyle w:val="Hyperlink"/>
            <w:iCs/>
          </w:rPr>
          <w:t xml:space="preserve">Radiocommunications (Communication </w:t>
        </w:r>
        <w:r w:rsidR="00120663" w:rsidRPr="00EC17BA">
          <w:rPr>
            <w:rStyle w:val="Hyperlink"/>
            <w:iCs/>
          </w:rPr>
          <w:t>w</w:t>
        </w:r>
        <w:r w:rsidRPr="00EC17BA">
          <w:rPr>
            <w:rStyle w:val="Hyperlink"/>
            <w:iCs/>
          </w:rPr>
          <w:t>ith Space Object) Class Licence Variation 2022 (No.1)</w:t>
        </w:r>
      </w:hyperlink>
      <w:r>
        <w:t xml:space="preserve">. </w:t>
      </w:r>
      <w:r w:rsidR="00462A80">
        <w:t xml:space="preserve">This is available on the </w:t>
      </w:r>
      <w:r w:rsidR="00BD071F">
        <w:t>Federal Register of Legislation.</w:t>
      </w:r>
    </w:p>
    <w:p w14:paraId="14547271" w14:textId="1DCBFC68" w:rsidR="00E90105" w:rsidRDefault="00181821" w:rsidP="008011F8">
      <w:pPr>
        <w:pStyle w:val="Paragraph"/>
        <w:keepNext/>
        <w:keepLines/>
      </w:pPr>
      <w:r>
        <w:t xml:space="preserve">As a next step, </w:t>
      </w:r>
      <w:r w:rsidR="0000268F">
        <w:t>w</w:t>
      </w:r>
      <w:r w:rsidR="00E94856">
        <w:t>e will</w:t>
      </w:r>
      <w:r w:rsidR="007B4264">
        <w:t xml:space="preserve"> u</w:t>
      </w:r>
      <w:r w:rsidR="00E94856">
        <w:t>pdate t</w:t>
      </w:r>
      <w:r w:rsidR="00867D45">
        <w:t>he</w:t>
      </w:r>
      <w:r w:rsidR="00E94856">
        <w:t xml:space="preserve"> </w:t>
      </w:r>
      <w:r w:rsidR="00F86C1E">
        <w:t>BOP</w:t>
      </w:r>
      <w:r w:rsidR="006F3E43">
        <w:t xml:space="preserve"> for </w:t>
      </w:r>
      <w:hyperlink r:id="rId40" w:history="1">
        <w:r w:rsidR="006F3E43">
          <w:rPr>
            <w:rStyle w:val="Hyperlink"/>
          </w:rPr>
          <w:t>space and space receive licences</w:t>
        </w:r>
      </w:hyperlink>
      <w:r w:rsidR="00E94856">
        <w:t xml:space="preserve"> to give effect to </w:t>
      </w:r>
      <w:r w:rsidR="00867D45">
        <w:t xml:space="preserve">new </w:t>
      </w:r>
      <w:r w:rsidR="00E94856">
        <w:t>licensing procedures for 2 GHz narrowband MSS</w:t>
      </w:r>
      <w:r w:rsidR="00303926">
        <w:t xml:space="preserve"> and </w:t>
      </w:r>
      <w:hyperlink r:id="rId41" w:history="1">
        <w:r w:rsidR="00303926">
          <w:rPr>
            <w:rStyle w:val="Hyperlink"/>
          </w:rPr>
          <w:t>Embargo 23</w:t>
        </w:r>
      </w:hyperlink>
      <w:r w:rsidR="00303926">
        <w:t xml:space="preserve"> (to include the limitation on 2009–2010 MHz)</w:t>
      </w:r>
      <w:r w:rsidR="00303926" w:rsidRPr="008017B5">
        <w:t>.</w:t>
      </w:r>
      <w:r w:rsidR="00E94856">
        <w:t xml:space="preserve"> The BOP will be updated to require </w:t>
      </w:r>
      <w:r w:rsidR="00E95FB2">
        <w:t>applicants for space licences and space receive licences</w:t>
      </w:r>
      <w:r w:rsidR="00E94856">
        <w:t xml:space="preserve"> to provide information that the proposed services will meet the conditions of the CSO Class Licence</w:t>
      </w:r>
      <w:r w:rsidR="00303926">
        <w:t>.</w:t>
      </w:r>
    </w:p>
    <w:p w14:paraId="584DE767" w14:textId="073F4481" w:rsidR="000B47F6" w:rsidRDefault="00BD3851" w:rsidP="000B47F6">
      <w:r>
        <w:t>Consequential</w:t>
      </w:r>
      <w:r w:rsidR="000B47F6">
        <w:t xml:space="preserve"> updates will be also made to ACMA planning instruments </w:t>
      </w:r>
      <w:hyperlink r:id="rId42" w:history="1">
        <w:r w:rsidR="000B47F6">
          <w:rPr>
            <w:rStyle w:val="Hyperlink"/>
          </w:rPr>
          <w:t>Embargo 23</w:t>
        </w:r>
      </w:hyperlink>
      <w:r w:rsidR="000B47F6">
        <w:t xml:space="preserve"> and </w:t>
      </w:r>
      <w:hyperlink r:id="rId43" w:history="1">
        <w:r w:rsidR="000B47F6">
          <w:rPr>
            <w:rStyle w:val="Hyperlink"/>
          </w:rPr>
          <w:t>RALI FX21</w:t>
        </w:r>
      </w:hyperlink>
      <w:r w:rsidR="000B47F6">
        <w:t xml:space="preserve"> to reflect </w:t>
      </w:r>
      <w:r w:rsidR="00320660">
        <w:t>TOB transition timelines</w:t>
      </w:r>
      <w:r w:rsidR="000B47F6">
        <w:t>.</w:t>
      </w:r>
    </w:p>
    <w:p w14:paraId="4329A09F" w14:textId="2F1D0441" w:rsidR="007B3845" w:rsidRDefault="007B3845" w:rsidP="00B61885">
      <w:pPr>
        <w:pStyle w:val="Paragraph"/>
      </w:pPr>
      <w:r>
        <w:t>T</w:t>
      </w:r>
      <w:r w:rsidRPr="0099328A">
        <w:t xml:space="preserve">he 2 GHz narrowband </w:t>
      </w:r>
      <w:r>
        <w:t xml:space="preserve">MSS </w:t>
      </w:r>
      <w:r w:rsidRPr="0099328A">
        <w:t>segment</w:t>
      </w:r>
      <w:r>
        <w:t xml:space="preserve"> is intended to become available for use under a phased implementation approach.  </w:t>
      </w:r>
    </w:p>
    <w:p w14:paraId="68EEA263" w14:textId="14617BB1" w:rsidR="00B61885" w:rsidRDefault="00B61885" w:rsidP="00B61885">
      <w:pPr>
        <w:pStyle w:val="Paragraph"/>
      </w:pPr>
      <w:r>
        <w:t>Once the licence assessment procedures</w:t>
      </w:r>
      <w:r w:rsidR="00A1465B">
        <w:t xml:space="preserve"> and </w:t>
      </w:r>
      <w:r w:rsidR="00726E2E">
        <w:t xml:space="preserve">planning instruments </w:t>
      </w:r>
      <w:r>
        <w:t xml:space="preserve">have been updated, </w:t>
      </w:r>
      <w:r w:rsidRPr="0099328A">
        <w:t xml:space="preserve">2 GHz narrowband </w:t>
      </w:r>
      <w:r>
        <w:t xml:space="preserve">MSS services </w:t>
      </w:r>
      <w:r w:rsidR="004D79C2">
        <w:t xml:space="preserve">will </w:t>
      </w:r>
      <w:r w:rsidRPr="000C7CF8">
        <w:t>be permitted outside of metropolitan areas and designated areas</w:t>
      </w:r>
      <w:r w:rsidR="00062FD5">
        <w:t>,</w:t>
      </w:r>
      <w:r>
        <w:t xml:space="preserve"> as defined in the </w:t>
      </w:r>
      <w:r w:rsidRPr="00F52503">
        <w:rPr>
          <w:iCs/>
        </w:rPr>
        <w:t>Radiocommunications (Mobile-Satellite Service) (1980–2010 MHz and 2170–2200 MHz) Frequency Band Plan 2022</w:t>
      </w:r>
      <w:r>
        <w:t xml:space="preserve">.  Operation in </w:t>
      </w:r>
      <w:r w:rsidRPr="000C7CF8">
        <w:t xml:space="preserve">metropolitan and designated areas </w:t>
      </w:r>
      <w:r>
        <w:t xml:space="preserve">is not to commence </w:t>
      </w:r>
      <w:r w:rsidRPr="000C7CF8">
        <w:t>before 1 March 2026</w:t>
      </w:r>
      <w:r>
        <w:t>.</w:t>
      </w:r>
    </w:p>
    <w:p w14:paraId="51C29DC9" w14:textId="77777777" w:rsidR="00862302" w:rsidRDefault="00862302" w:rsidP="00862302">
      <w:pPr>
        <w:pStyle w:val="Heading3"/>
      </w:pPr>
      <w:bookmarkStart w:id="11" w:name="_Toc90635454"/>
      <w:r>
        <w:t>Protection of TOB services during the transition period</w:t>
      </w:r>
      <w:bookmarkEnd w:id="11"/>
    </w:p>
    <w:p w14:paraId="322C02C2" w14:textId="47606BEE" w:rsidR="00862302" w:rsidRDefault="00862302" w:rsidP="00862302">
      <w:pPr>
        <w:pStyle w:val="Paragraph"/>
      </w:pPr>
      <w:r>
        <w:t xml:space="preserve">During </w:t>
      </w:r>
      <w:r w:rsidR="00323576">
        <w:t xml:space="preserve">the </w:t>
      </w:r>
      <w:r w:rsidR="00C64EF6">
        <w:t>transition</w:t>
      </w:r>
      <w:r w:rsidR="00C64EF6" w:rsidDel="0057113B">
        <w:t xml:space="preserve"> </w:t>
      </w:r>
      <w:r w:rsidR="00C64EF6">
        <w:t>of the 2 GHz band from TOB to MSS</w:t>
      </w:r>
      <w:r>
        <w:t>, the operation of MSS will be restricted to protect TOB services in the transition to new arrangements.</w:t>
      </w:r>
    </w:p>
    <w:p w14:paraId="7AFB5362" w14:textId="659E01C9" w:rsidR="005D0198" w:rsidRDefault="005D0198" w:rsidP="00F52503">
      <w:pPr>
        <w:pStyle w:val="Tableheading"/>
      </w:pPr>
      <w:r w:rsidRPr="009A7CB1">
        <w:t>MSS and TOB transitional arrangements in the 2 GHz band</w:t>
      </w:r>
    </w:p>
    <w:tbl>
      <w:tblPr>
        <w:tblStyle w:val="ACMAtablestyle"/>
        <w:tblW w:w="5548" w:type="pct"/>
        <w:tblCellMar>
          <w:top w:w="113" w:type="dxa"/>
          <w:bottom w:w="113" w:type="dxa"/>
        </w:tblCellMar>
        <w:tblLook w:val="01E0" w:firstRow="1" w:lastRow="1" w:firstColumn="1" w:lastColumn="1" w:noHBand="0" w:noVBand="0"/>
        <w:tblCaption w:val="Table title to go here"/>
        <w:tblDescription w:val="Table description to go here"/>
      </w:tblPr>
      <w:tblGrid>
        <w:gridCol w:w="1697"/>
        <w:gridCol w:w="1700"/>
        <w:gridCol w:w="5104"/>
      </w:tblGrid>
      <w:tr w:rsidR="00862302" w14:paraId="25CA608E" w14:textId="77777777" w:rsidTr="008F4B37">
        <w:trPr>
          <w:cnfStyle w:val="100000000000" w:firstRow="1" w:lastRow="0" w:firstColumn="0" w:lastColumn="0" w:oddVBand="0" w:evenVBand="0" w:oddHBand="0" w:evenHBand="0" w:firstRowFirstColumn="0" w:firstRowLastColumn="0" w:lastRowFirstColumn="0" w:lastRowLastColumn="0"/>
        </w:trPr>
        <w:tc>
          <w:tcPr>
            <w:tcW w:w="998" w:type="pct"/>
            <w:tcMar>
              <w:top w:w="57" w:type="dxa"/>
              <w:left w:w="108" w:type="dxa"/>
              <w:bottom w:w="57" w:type="dxa"/>
              <w:right w:w="108" w:type="dxa"/>
            </w:tcMar>
            <w:hideMark/>
          </w:tcPr>
          <w:p w14:paraId="1232654D" w14:textId="77777777" w:rsidR="00862302" w:rsidRDefault="00862302" w:rsidP="00CF0474">
            <w:pPr>
              <w:pStyle w:val="Tableheaderrow"/>
              <w:keepNext/>
              <w:spacing w:line="240" w:lineRule="auto"/>
              <w:rPr>
                <w:rFonts w:cs="Arial"/>
              </w:rPr>
            </w:pPr>
            <w:r>
              <w:rPr>
                <w:rFonts w:cs="Arial"/>
              </w:rPr>
              <w:t>Area</w:t>
            </w:r>
          </w:p>
        </w:tc>
        <w:tc>
          <w:tcPr>
            <w:tcW w:w="1000" w:type="pct"/>
            <w:tcMar>
              <w:top w:w="57" w:type="dxa"/>
              <w:left w:w="108" w:type="dxa"/>
              <w:bottom w:w="57" w:type="dxa"/>
              <w:right w:w="108" w:type="dxa"/>
            </w:tcMar>
            <w:hideMark/>
          </w:tcPr>
          <w:p w14:paraId="3264E755" w14:textId="77777777" w:rsidR="00862302" w:rsidRDefault="00862302" w:rsidP="00CF0474">
            <w:pPr>
              <w:pStyle w:val="Tableheaderrow"/>
              <w:keepNext/>
              <w:spacing w:line="240" w:lineRule="auto"/>
              <w:rPr>
                <w:rFonts w:cs="Arial"/>
              </w:rPr>
            </w:pPr>
            <w:r>
              <w:rPr>
                <w:rFonts w:cs="Arial"/>
              </w:rPr>
              <w:t>Service</w:t>
            </w:r>
          </w:p>
        </w:tc>
        <w:tc>
          <w:tcPr>
            <w:tcW w:w="3002" w:type="pct"/>
            <w:tcMar>
              <w:top w:w="57" w:type="dxa"/>
              <w:left w:w="108" w:type="dxa"/>
              <w:bottom w:w="57" w:type="dxa"/>
              <w:right w:w="108" w:type="dxa"/>
            </w:tcMar>
            <w:hideMark/>
          </w:tcPr>
          <w:p w14:paraId="640B6FBC" w14:textId="77777777" w:rsidR="00862302" w:rsidRDefault="00862302" w:rsidP="00CF0474">
            <w:pPr>
              <w:pStyle w:val="Tableheaderrow"/>
              <w:keepNext/>
              <w:spacing w:line="240" w:lineRule="auto"/>
              <w:rPr>
                <w:rFonts w:cs="Arial"/>
              </w:rPr>
            </w:pPr>
            <w:r>
              <w:rPr>
                <w:rFonts w:cs="Arial"/>
              </w:rPr>
              <w:t xml:space="preserve">Requirement </w:t>
            </w:r>
          </w:p>
        </w:tc>
      </w:tr>
      <w:tr w:rsidR="00862302" w14:paraId="6B7C0E24" w14:textId="77777777" w:rsidTr="008F4B37">
        <w:trPr>
          <w:cnfStyle w:val="000000100000" w:firstRow="0" w:lastRow="0" w:firstColumn="0" w:lastColumn="0" w:oddVBand="0" w:evenVBand="0" w:oddHBand="1" w:evenHBand="0" w:firstRowFirstColumn="0" w:firstRowLastColumn="0" w:lastRowFirstColumn="0" w:lastRowLastColumn="0"/>
        </w:trPr>
        <w:tc>
          <w:tcPr>
            <w:tcW w:w="998" w:type="pct"/>
            <w:vMerge w:val="restart"/>
            <w:tcBorders>
              <w:top w:val="single" w:sz="4" w:space="0" w:color="auto"/>
              <w:left w:val="single" w:sz="4" w:space="0" w:color="auto"/>
              <w:bottom w:val="single" w:sz="4" w:space="0" w:color="auto"/>
              <w:right w:val="single" w:sz="4" w:space="0" w:color="auto"/>
            </w:tcBorders>
          </w:tcPr>
          <w:p w14:paraId="5FE6F895" w14:textId="77777777" w:rsidR="00862302" w:rsidRDefault="00862302" w:rsidP="00CF0474">
            <w:pPr>
              <w:pStyle w:val="TableBody"/>
              <w:keepNext/>
              <w:spacing w:line="220" w:lineRule="atLeast"/>
              <w:rPr>
                <w:rFonts w:cs="Arial"/>
                <w:sz w:val="18"/>
                <w:szCs w:val="18"/>
              </w:rPr>
            </w:pPr>
            <w:r>
              <w:rPr>
                <w:rFonts w:cs="Arial"/>
                <w:color w:val="000000"/>
                <w:sz w:val="18"/>
                <w:szCs w:val="18"/>
              </w:rPr>
              <w:t>Metropolitan areas and designated areas</w:t>
            </w:r>
            <w:r>
              <w:rPr>
                <w:rStyle w:val="FootnoteReference"/>
                <w:color w:val="000000"/>
                <w:sz w:val="18"/>
                <w:szCs w:val="18"/>
              </w:rPr>
              <w:footnoteReference w:id="9"/>
            </w:r>
            <w:r>
              <w:rPr>
                <w:rFonts w:cs="Arial"/>
                <w:color w:val="000000"/>
                <w:sz w:val="18"/>
                <w:szCs w:val="18"/>
              </w:rPr>
              <w:t xml:space="preserve"> </w:t>
            </w:r>
          </w:p>
          <w:p w14:paraId="3ADB5388" w14:textId="77777777" w:rsidR="00862302" w:rsidRDefault="00862302" w:rsidP="00CF0474">
            <w:pPr>
              <w:pStyle w:val="TableBody"/>
              <w:keepNext/>
              <w:spacing w:line="220" w:lineRule="atLeast"/>
              <w:rPr>
                <w:rFonts w:cs="Arial"/>
                <w:sz w:val="18"/>
                <w:szCs w:val="18"/>
              </w:rPr>
            </w:pPr>
          </w:p>
        </w:tc>
        <w:tc>
          <w:tcPr>
            <w:tcW w:w="1000" w:type="pct"/>
            <w:tcBorders>
              <w:top w:val="single" w:sz="4" w:space="0" w:color="auto"/>
              <w:left w:val="single" w:sz="4" w:space="0" w:color="auto"/>
              <w:bottom w:val="single" w:sz="4" w:space="0" w:color="auto"/>
              <w:right w:val="single" w:sz="4" w:space="0" w:color="auto"/>
            </w:tcBorders>
            <w:hideMark/>
          </w:tcPr>
          <w:p w14:paraId="0B20555C" w14:textId="77777777" w:rsidR="00862302" w:rsidRDefault="00862302" w:rsidP="00CF0474">
            <w:pPr>
              <w:pStyle w:val="TableBody"/>
              <w:keepNext/>
              <w:spacing w:line="220" w:lineRule="atLeast"/>
              <w:rPr>
                <w:rFonts w:cs="Arial"/>
                <w:sz w:val="18"/>
                <w:szCs w:val="18"/>
              </w:rPr>
            </w:pPr>
            <w:r>
              <w:rPr>
                <w:rFonts w:cs="Arial"/>
                <w:sz w:val="18"/>
                <w:szCs w:val="18"/>
              </w:rPr>
              <w:t>TOB</w:t>
            </w:r>
          </w:p>
        </w:tc>
        <w:tc>
          <w:tcPr>
            <w:tcW w:w="3002" w:type="pct"/>
            <w:tcBorders>
              <w:top w:val="single" w:sz="4" w:space="0" w:color="auto"/>
              <w:left w:val="single" w:sz="4" w:space="0" w:color="auto"/>
              <w:bottom w:val="single" w:sz="4" w:space="0" w:color="auto"/>
              <w:right w:val="single" w:sz="4" w:space="0" w:color="auto"/>
            </w:tcBorders>
            <w:hideMark/>
          </w:tcPr>
          <w:p w14:paraId="727772CD" w14:textId="77777777" w:rsidR="00862302" w:rsidRDefault="00862302" w:rsidP="00CF0474">
            <w:pPr>
              <w:pStyle w:val="TableBody"/>
              <w:keepNext/>
              <w:spacing w:line="220" w:lineRule="atLeast"/>
              <w:rPr>
                <w:rFonts w:cs="Arial"/>
                <w:sz w:val="18"/>
                <w:szCs w:val="18"/>
              </w:rPr>
            </w:pPr>
            <w:r>
              <w:rPr>
                <w:rFonts w:cs="Arial"/>
                <w:color w:val="000000"/>
                <w:sz w:val="18"/>
                <w:szCs w:val="18"/>
              </w:rPr>
              <w:t>Operations cease by 28</w:t>
            </w:r>
            <w:r>
              <w:rPr>
                <w:rFonts w:cs="Arial"/>
              </w:rPr>
              <w:t xml:space="preserve"> </w:t>
            </w:r>
            <w:r>
              <w:rPr>
                <w:rFonts w:cs="Arial"/>
                <w:color w:val="000000"/>
                <w:sz w:val="18"/>
                <w:szCs w:val="18"/>
              </w:rPr>
              <w:t>February 2026,</w:t>
            </w:r>
            <w:r>
              <w:rPr>
                <w:rFonts w:cs="Arial"/>
                <w:color w:val="000000"/>
                <w:sz w:val="18"/>
                <w:szCs w:val="18"/>
              </w:rPr>
              <w:br/>
              <w:t>protected from narrowband MSS until then.</w:t>
            </w:r>
          </w:p>
        </w:tc>
      </w:tr>
      <w:tr w:rsidR="00862302" w14:paraId="102C6FEE" w14:textId="77777777" w:rsidTr="008F4B37">
        <w:trPr>
          <w:cnfStyle w:val="000000010000" w:firstRow="0" w:lastRow="0" w:firstColumn="0" w:lastColumn="0" w:oddVBand="0" w:evenVBand="0" w:oddHBand="0" w:evenHBand="1" w:firstRowFirstColumn="0" w:firstRowLastColumn="0" w:lastRowFirstColumn="0" w:lastRowLastColumn="0"/>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11377C08" w14:textId="77777777" w:rsidR="00862302" w:rsidRDefault="00862302" w:rsidP="00CF0474">
            <w:pPr>
              <w:spacing w:after="0" w:line="240" w:lineRule="auto"/>
              <w:rPr>
                <w:rFonts w:asciiTheme="minorHAnsi" w:eastAsiaTheme="minorHAnsi" w:hAnsiTheme="minorHAnsi" w:cs="Arial"/>
                <w:sz w:val="18"/>
                <w:szCs w:val="18"/>
                <w:lang w:eastAsia="en-US"/>
              </w:rPr>
            </w:pPr>
          </w:p>
        </w:tc>
        <w:tc>
          <w:tcPr>
            <w:tcW w:w="1000" w:type="pct"/>
            <w:tcBorders>
              <w:top w:val="single" w:sz="4" w:space="0" w:color="auto"/>
              <w:left w:val="single" w:sz="4" w:space="0" w:color="auto"/>
              <w:bottom w:val="single" w:sz="4" w:space="0" w:color="auto"/>
              <w:right w:val="single" w:sz="4" w:space="0" w:color="auto"/>
            </w:tcBorders>
            <w:hideMark/>
          </w:tcPr>
          <w:p w14:paraId="189E099D" w14:textId="77777777" w:rsidR="00862302" w:rsidRDefault="00862302" w:rsidP="00CF0474">
            <w:pPr>
              <w:pStyle w:val="TableBody"/>
              <w:keepNext/>
              <w:spacing w:line="220" w:lineRule="atLeast"/>
              <w:rPr>
                <w:rFonts w:cs="Arial"/>
                <w:sz w:val="18"/>
                <w:szCs w:val="18"/>
              </w:rPr>
            </w:pPr>
            <w:r>
              <w:rPr>
                <w:rFonts w:cs="Arial"/>
                <w:sz w:val="18"/>
                <w:szCs w:val="18"/>
              </w:rPr>
              <w:t>Narrowband MSS</w:t>
            </w:r>
          </w:p>
        </w:tc>
        <w:tc>
          <w:tcPr>
            <w:tcW w:w="3002" w:type="pct"/>
            <w:tcBorders>
              <w:top w:val="single" w:sz="4" w:space="0" w:color="auto"/>
              <w:left w:val="single" w:sz="4" w:space="0" w:color="auto"/>
              <w:bottom w:val="single" w:sz="4" w:space="0" w:color="auto"/>
              <w:right w:val="single" w:sz="4" w:space="0" w:color="auto"/>
            </w:tcBorders>
            <w:hideMark/>
          </w:tcPr>
          <w:p w14:paraId="01E38330" w14:textId="77777777" w:rsidR="00862302" w:rsidRDefault="00862302" w:rsidP="00CF0474">
            <w:pPr>
              <w:pStyle w:val="TableBody"/>
              <w:keepNext/>
              <w:spacing w:line="220" w:lineRule="atLeast"/>
              <w:rPr>
                <w:rFonts w:cs="Arial"/>
                <w:sz w:val="18"/>
                <w:szCs w:val="18"/>
              </w:rPr>
            </w:pPr>
            <w:r>
              <w:rPr>
                <w:rFonts w:cs="Arial"/>
                <w:color w:val="000000"/>
                <w:sz w:val="18"/>
                <w:szCs w:val="18"/>
              </w:rPr>
              <w:t>Operations not to commence until 1 March 2026.</w:t>
            </w:r>
          </w:p>
        </w:tc>
      </w:tr>
      <w:tr w:rsidR="00862302" w14:paraId="36AB0035" w14:textId="77777777" w:rsidTr="008F4B37">
        <w:trPr>
          <w:cnfStyle w:val="000000100000" w:firstRow="0" w:lastRow="0" w:firstColumn="0" w:lastColumn="0" w:oddVBand="0" w:evenVBand="0" w:oddHBand="1" w:evenHBand="0" w:firstRowFirstColumn="0" w:firstRowLastColumn="0" w:lastRowFirstColumn="0" w:lastRowLastColumn="0"/>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13CEA661" w14:textId="77777777" w:rsidR="00862302" w:rsidRDefault="00862302" w:rsidP="00CF0474">
            <w:pPr>
              <w:spacing w:after="0" w:line="240" w:lineRule="auto"/>
              <w:rPr>
                <w:rFonts w:asciiTheme="minorHAnsi" w:eastAsiaTheme="minorHAnsi" w:hAnsiTheme="minorHAnsi" w:cs="Arial"/>
                <w:sz w:val="18"/>
                <w:szCs w:val="18"/>
                <w:lang w:eastAsia="en-US"/>
              </w:rPr>
            </w:pPr>
          </w:p>
        </w:tc>
        <w:tc>
          <w:tcPr>
            <w:tcW w:w="1000" w:type="pct"/>
            <w:tcBorders>
              <w:top w:val="single" w:sz="4" w:space="0" w:color="auto"/>
              <w:left w:val="single" w:sz="4" w:space="0" w:color="auto"/>
              <w:bottom w:val="single" w:sz="4" w:space="0" w:color="auto"/>
              <w:right w:val="single" w:sz="4" w:space="0" w:color="auto"/>
            </w:tcBorders>
            <w:hideMark/>
          </w:tcPr>
          <w:p w14:paraId="79D18218" w14:textId="77777777" w:rsidR="00862302" w:rsidRDefault="00862302" w:rsidP="00CF0474">
            <w:pPr>
              <w:pStyle w:val="TableBody"/>
              <w:keepNext/>
              <w:spacing w:line="220" w:lineRule="atLeast"/>
              <w:rPr>
                <w:rFonts w:cs="Arial"/>
                <w:sz w:val="18"/>
                <w:szCs w:val="18"/>
              </w:rPr>
            </w:pPr>
            <w:r>
              <w:rPr>
                <w:rFonts w:cs="Arial"/>
                <w:sz w:val="18"/>
                <w:szCs w:val="18"/>
              </w:rPr>
              <w:t>MSS (2 x 25 MHz)</w:t>
            </w:r>
          </w:p>
        </w:tc>
        <w:tc>
          <w:tcPr>
            <w:tcW w:w="3002" w:type="pct"/>
            <w:tcBorders>
              <w:top w:val="single" w:sz="4" w:space="0" w:color="auto"/>
              <w:left w:val="single" w:sz="4" w:space="0" w:color="auto"/>
              <w:bottom w:val="single" w:sz="4" w:space="0" w:color="auto"/>
              <w:right w:val="single" w:sz="4" w:space="0" w:color="auto"/>
            </w:tcBorders>
            <w:hideMark/>
          </w:tcPr>
          <w:p w14:paraId="7578CF06" w14:textId="77777777" w:rsidR="00862302" w:rsidRDefault="00862302" w:rsidP="00CF0474">
            <w:pPr>
              <w:pStyle w:val="TableBody"/>
              <w:keepNext/>
              <w:spacing w:line="220" w:lineRule="atLeast"/>
              <w:rPr>
                <w:rFonts w:cs="Arial"/>
                <w:color w:val="000000"/>
                <w:sz w:val="18"/>
                <w:szCs w:val="18"/>
              </w:rPr>
            </w:pPr>
            <w:r>
              <w:rPr>
                <w:rFonts w:cs="Arial"/>
                <w:color w:val="000000"/>
                <w:sz w:val="18"/>
                <w:szCs w:val="18"/>
              </w:rPr>
              <w:t>Licence allocation arrangements to be determined. Operations not to commence until 1 March 2026.</w:t>
            </w:r>
          </w:p>
        </w:tc>
      </w:tr>
      <w:tr w:rsidR="00862302" w14:paraId="436B7389" w14:textId="77777777" w:rsidTr="008F4B37">
        <w:trPr>
          <w:cnfStyle w:val="000000010000" w:firstRow="0" w:lastRow="0" w:firstColumn="0" w:lastColumn="0" w:oddVBand="0" w:evenVBand="0" w:oddHBand="0" w:evenHBand="1" w:firstRowFirstColumn="0" w:firstRowLastColumn="0" w:lastRowFirstColumn="0" w:lastRowLastColumn="0"/>
        </w:trPr>
        <w:tc>
          <w:tcPr>
            <w:tcW w:w="998" w:type="pct"/>
            <w:vMerge w:val="restart"/>
            <w:tcBorders>
              <w:top w:val="single" w:sz="4" w:space="0" w:color="auto"/>
              <w:left w:val="single" w:sz="4" w:space="0" w:color="auto"/>
              <w:bottom w:val="single" w:sz="4" w:space="0" w:color="auto"/>
              <w:right w:val="single" w:sz="4" w:space="0" w:color="auto"/>
            </w:tcBorders>
          </w:tcPr>
          <w:p w14:paraId="5933C1CD" w14:textId="77777777" w:rsidR="00862302" w:rsidRDefault="00862302" w:rsidP="00CF0474">
            <w:pPr>
              <w:pStyle w:val="TableBody"/>
              <w:spacing w:line="220" w:lineRule="atLeast"/>
              <w:rPr>
                <w:rFonts w:cs="Arial"/>
                <w:sz w:val="18"/>
                <w:szCs w:val="18"/>
              </w:rPr>
            </w:pPr>
            <w:r>
              <w:rPr>
                <w:rFonts w:cs="Arial"/>
                <w:sz w:val="18"/>
                <w:szCs w:val="18"/>
              </w:rPr>
              <w:t xml:space="preserve">Outside metropolitan areas and outside </w:t>
            </w:r>
            <w:r>
              <w:rPr>
                <w:rFonts w:cs="Arial"/>
                <w:color w:val="000000"/>
                <w:sz w:val="18"/>
                <w:szCs w:val="18"/>
              </w:rPr>
              <w:t>designated areas</w:t>
            </w:r>
          </w:p>
          <w:p w14:paraId="319EB96E" w14:textId="77777777" w:rsidR="00862302" w:rsidRDefault="00862302" w:rsidP="00CF0474">
            <w:pPr>
              <w:pStyle w:val="TableBody"/>
              <w:spacing w:line="220" w:lineRule="atLeast"/>
              <w:rPr>
                <w:rFonts w:cs="Arial"/>
                <w:sz w:val="18"/>
                <w:szCs w:val="18"/>
              </w:rPr>
            </w:pPr>
          </w:p>
        </w:tc>
        <w:tc>
          <w:tcPr>
            <w:tcW w:w="1000" w:type="pct"/>
            <w:tcBorders>
              <w:top w:val="single" w:sz="4" w:space="0" w:color="auto"/>
              <w:left w:val="single" w:sz="4" w:space="0" w:color="auto"/>
              <w:bottom w:val="single" w:sz="4" w:space="0" w:color="auto"/>
              <w:right w:val="single" w:sz="4" w:space="0" w:color="auto"/>
            </w:tcBorders>
            <w:hideMark/>
          </w:tcPr>
          <w:p w14:paraId="313C7047" w14:textId="77777777" w:rsidR="00862302" w:rsidRDefault="00862302" w:rsidP="00CF0474">
            <w:pPr>
              <w:pStyle w:val="TableBody"/>
              <w:spacing w:line="220" w:lineRule="atLeast"/>
              <w:rPr>
                <w:rFonts w:cs="Arial"/>
                <w:sz w:val="18"/>
                <w:szCs w:val="18"/>
              </w:rPr>
            </w:pPr>
            <w:r>
              <w:rPr>
                <w:rFonts w:cs="Arial"/>
                <w:sz w:val="18"/>
                <w:szCs w:val="18"/>
              </w:rPr>
              <w:t>TOB</w:t>
            </w:r>
          </w:p>
        </w:tc>
        <w:tc>
          <w:tcPr>
            <w:tcW w:w="3002" w:type="pct"/>
            <w:tcBorders>
              <w:top w:val="single" w:sz="4" w:space="0" w:color="auto"/>
              <w:left w:val="single" w:sz="4" w:space="0" w:color="auto"/>
              <w:bottom w:val="single" w:sz="4" w:space="0" w:color="auto"/>
              <w:right w:val="single" w:sz="4" w:space="0" w:color="auto"/>
            </w:tcBorders>
            <w:hideMark/>
          </w:tcPr>
          <w:p w14:paraId="76AC19EC" w14:textId="77777777" w:rsidR="00862302" w:rsidRDefault="00862302" w:rsidP="00CF0474">
            <w:pPr>
              <w:pStyle w:val="TableBody"/>
              <w:spacing w:line="220" w:lineRule="atLeast"/>
              <w:rPr>
                <w:rFonts w:cs="Arial"/>
                <w:sz w:val="18"/>
                <w:szCs w:val="18"/>
              </w:rPr>
            </w:pPr>
            <w:r>
              <w:rPr>
                <w:rFonts w:cs="Arial"/>
                <w:sz w:val="18"/>
                <w:szCs w:val="18"/>
              </w:rPr>
              <w:t>Operations cease by 29</w:t>
            </w:r>
            <w:r>
              <w:rPr>
                <w:rFonts w:cs="Arial"/>
              </w:rPr>
              <w:t xml:space="preserve"> </w:t>
            </w:r>
            <w:r>
              <w:rPr>
                <w:rFonts w:cs="Arial"/>
                <w:sz w:val="18"/>
                <w:szCs w:val="18"/>
              </w:rPr>
              <w:t>February 2024, protected from narrowband MSS until then.</w:t>
            </w:r>
          </w:p>
        </w:tc>
      </w:tr>
      <w:tr w:rsidR="00862302" w14:paraId="09336BB0" w14:textId="77777777" w:rsidTr="008F4B37">
        <w:trPr>
          <w:cnfStyle w:val="000000100000" w:firstRow="0" w:lastRow="0" w:firstColumn="0" w:lastColumn="0" w:oddVBand="0" w:evenVBand="0" w:oddHBand="1" w:evenHBand="0" w:firstRowFirstColumn="0" w:firstRowLastColumn="0" w:lastRowFirstColumn="0" w:lastRowLastColumn="0"/>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0C3C31E7" w14:textId="77777777" w:rsidR="00862302" w:rsidRDefault="00862302" w:rsidP="00CF0474">
            <w:pPr>
              <w:spacing w:after="0" w:line="240" w:lineRule="auto"/>
              <w:rPr>
                <w:rFonts w:asciiTheme="minorHAnsi" w:eastAsiaTheme="minorHAnsi" w:hAnsiTheme="minorHAnsi" w:cs="Arial"/>
                <w:sz w:val="18"/>
                <w:szCs w:val="18"/>
                <w:lang w:eastAsia="en-US"/>
              </w:rPr>
            </w:pPr>
          </w:p>
        </w:tc>
        <w:tc>
          <w:tcPr>
            <w:tcW w:w="1000" w:type="pct"/>
            <w:tcBorders>
              <w:top w:val="single" w:sz="4" w:space="0" w:color="auto"/>
              <w:left w:val="single" w:sz="4" w:space="0" w:color="auto"/>
              <w:bottom w:val="single" w:sz="4" w:space="0" w:color="auto"/>
              <w:right w:val="single" w:sz="4" w:space="0" w:color="auto"/>
            </w:tcBorders>
            <w:hideMark/>
          </w:tcPr>
          <w:p w14:paraId="7C532A4E" w14:textId="77777777" w:rsidR="00862302" w:rsidRDefault="00862302" w:rsidP="00CF0474">
            <w:pPr>
              <w:pStyle w:val="TableBody"/>
              <w:spacing w:line="220" w:lineRule="atLeast"/>
              <w:rPr>
                <w:rFonts w:cs="Arial"/>
                <w:sz w:val="18"/>
                <w:szCs w:val="18"/>
              </w:rPr>
            </w:pPr>
            <w:r>
              <w:rPr>
                <w:rFonts w:cs="Arial"/>
                <w:sz w:val="18"/>
                <w:szCs w:val="18"/>
              </w:rPr>
              <w:t>Narrowband MSS</w:t>
            </w:r>
          </w:p>
        </w:tc>
        <w:tc>
          <w:tcPr>
            <w:tcW w:w="3002" w:type="pct"/>
            <w:tcBorders>
              <w:top w:val="single" w:sz="4" w:space="0" w:color="auto"/>
              <w:left w:val="single" w:sz="4" w:space="0" w:color="auto"/>
              <w:bottom w:val="single" w:sz="4" w:space="0" w:color="auto"/>
              <w:right w:val="single" w:sz="4" w:space="0" w:color="auto"/>
            </w:tcBorders>
            <w:hideMark/>
          </w:tcPr>
          <w:p w14:paraId="1D8AE5CE" w14:textId="77777777" w:rsidR="00862302" w:rsidRDefault="00862302" w:rsidP="00CF0474">
            <w:pPr>
              <w:pStyle w:val="TableBody"/>
              <w:spacing w:after="120" w:line="220" w:lineRule="atLeast"/>
              <w:rPr>
                <w:rFonts w:cs="Arial"/>
                <w:sz w:val="18"/>
                <w:szCs w:val="18"/>
              </w:rPr>
            </w:pPr>
            <w:r>
              <w:rPr>
                <w:rFonts w:cs="Arial"/>
                <w:sz w:val="18"/>
                <w:szCs w:val="18"/>
              </w:rPr>
              <w:t>Until 29 February 2024, operation is on the basis of no protection afforded from TOB and no interference to TOB.</w:t>
            </w:r>
          </w:p>
          <w:p w14:paraId="749EBFDD" w14:textId="77777777" w:rsidR="00862302" w:rsidRDefault="00862302" w:rsidP="00CF0474">
            <w:pPr>
              <w:pStyle w:val="TableBody"/>
              <w:spacing w:line="220" w:lineRule="atLeast"/>
              <w:rPr>
                <w:rFonts w:cs="Arial"/>
                <w:sz w:val="18"/>
                <w:szCs w:val="18"/>
              </w:rPr>
            </w:pPr>
            <w:r>
              <w:rPr>
                <w:rFonts w:cs="Arial"/>
                <w:sz w:val="18"/>
                <w:szCs w:val="18"/>
              </w:rPr>
              <w:t>From 1 March 2024 until 28 February 2026, only TOB services in metropolitan areas and designated areas require protection.</w:t>
            </w:r>
          </w:p>
        </w:tc>
      </w:tr>
      <w:tr w:rsidR="00862302" w14:paraId="646AD094" w14:textId="77777777" w:rsidTr="008F4B37">
        <w:trPr>
          <w:cnfStyle w:val="000000010000" w:firstRow="0" w:lastRow="0" w:firstColumn="0" w:lastColumn="0" w:oddVBand="0" w:evenVBand="0" w:oddHBand="0" w:evenHBand="1" w:firstRowFirstColumn="0" w:firstRowLastColumn="0" w:lastRowFirstColumn="0" w:lastRowLastColumn="0"/>
        </w:trPr>
        <w:tc>
          <w:tcPr>
            <w:tcW w:w="998" w:type="pct"/>
            <w:vMerge/>
            <w:tcBorders>
              <w:top w:val="single" w:sz="4" w:space="0" w:color="auto"/>
              <w:left w:val="single" w:sz="4" w:space="0" w:color="auto"/>
              <w:bottom w:val="single" w:sz="4" w:space="0" w:color="auto"/>
              <w:right w:val="single" w:sz="4" w:space="0" w:color="auto"/>
            </w:tcBorders>
            <w:vAlign w:val="center"/>
            <w:hideMark/>
          </w:tcPr>
          <w:p w14:paraId="14B6EFB8" w14:textId="77777777" w:rsidR="00862302" w:rsidRDefault="00862302" w:rsidP="00CF0474">
            <w:pPr>
              <w:spacing w:after="0" w:line="240" w:lineRule="auto"/>
              <w:rPr>
                <w:rFonts w:asciiTheme="minorHAnsi" w:eastAsiaTheme="minorHAnsi" w:hAnsiTheme="minorHAnsi" w:cs="Arial"/>
                <w:sz w:val="18"/>
                <w:szCs w:val="18"/>
                <w:lang w:eastAsia="en-US"/>
              </w:rPr>
            </w:pPr>
          </w:p>
        </w:tc>
        <w:tc>
          <w:tcPr>
            <w:tcW w:w="1000" w:type="pct"/>
            <w:tcBorders>
              <w:top w:val="single" w:sz="4" w:space="0" w:color="auto"/>
              <w:left w:val="single" w:sz="4" w:space="0" w:color="auto"/>
              <w:bottom w:val="single" w:sz="4" w:space="0" w:color="auto"/>
              <w:right w:val="single" w:sz="4" w:space="0" w:color="auto"/>
            </w:tcBorders>
            <w:hideMark/>
          </w:tcPr>
          <w:p w14:paraId="491722D6" w14:textId="77777777" w:rsidR="00862302" w:rsidRDefault="00862302" w:rsidP="00CF0474">
            <w:pPr>
              <w:pStyle w:val="TableBody"/>
              <w:spacing w:line="220" w:lineRule="atLeast"/>
              <w:rPr>
                <w:rFonts w:cs="Arial"/>
                <w:sz w:val="18"/>
                <w:szCs w:val="18"/>
              </w:rPr>
            </w:pPr>
            <w:r>
              <w:rPr>
                <w:rFonts w:cs="Arial"/>
                <w:sz w:val="18"/>
                <w:szCs w:val="18"/>
              </w:rPr>
              <w:t>MSS (2 x 25 MHz)</w:t>
            </w:r>
          </w:p>
        </w:tc>
        <w:tc>
          <w:tcPr>
            <w:tcW w:w="3002" w:type="pct"/>
            <w:tcBorders>
              <w:top w:val="single" w:sz="4" w:space="0" w:color="auto"/>
              <w:left w:val="single" w:sz="4" w:space="0" w:color="auto"/>
              <w:bottom w:val="single" w:sz="4" w:space="0" w:color="auto"/>
              <w:right w:val="single" w:sz="4" w:space="0" w:color="auto"/>
            </w:tcBorders>
            <w:hideMark/>
          </w:tcPr>
          <w:p w14:paraId="17A0400A" w14:textId="77777777" w:rsidR="00862302" w:rsidRDefault="00862302" w:rsidP="00CF0474">
            <w:pPr>
              <w:pStyle w:val="TableBody"/>
              <w:spacing w:after="120" w:line="220" w:lineRule="atLeast"/>
              <w:rPr>
                <w:rFonts w:cs="Arial"/>
                <w:color w:val="000000"/>
                <w:sz w:val="18"/>
                <w:szCs w:val="18"/>
              </w:rPr>
            </w:pPr>
            <w:r>
              <w:rPr>
                <w:rFonts w:cs="Arial"/>
                <w:color w:val="000000"/>
                <w:sz w:val="18"/>
                <w:szCs w:val="18"/>
              </w:rPr>
              <w:t>Licence allocation arrangements to be determined.</w:t>
            </w:r>
          </w:p>
          <w:p w14:paraId="79C5805E" w14:textId="77777777" w:rsidR="00862302" w:rsidRDefault="00862302" w:rsidP="00CF0474">
            <w:pPr>
              <w:pStyle w:val="TableBody"/>
              <w:spacing w:after="120" w:line="220" w:lineRule="atLeast"/>
              <w:rPr>
                <w:rFonts w:cs="Arial"/>
                <w:sz w:val="18"/>
                <w:szCs w:val="18"/>
              </w:rPr>
            </w:pPr>
            <w:r>
              <w:rPr>
                <w:rFonts w:cs="Arial"/>
                <w:sz w:val="18"/>
                <w:szCs w:val="18"/>
              </w:rPr>
              <w:t>Until 29 February 2024, operation is on the basis of no protection afforded from TOB and no interference to TOB.</w:t>
            </w:r>
          </w:p>
          <w:p w14:paraId="28DA93F4" w14:textId="77777777" w:rsidR="00862302" w:rsidRDefault="00862302" w:rsidP="00F52503">
            <w:pPr>
              <w:pStyle w:val="TableBody"/>
              <w:spacing w:line="220" w:lineRule="atLeast"/>
              <w:rPr>
                <w:rFonts w:cs="Arial"/>
                <w:sz w:val="18"/>
                <w:szCs w:val="18"/>
              </w:rPr>
            </w:pPr>
            <w:r>
              <w:rPr>
                <w:rFonts w:cs="Arial"/>
                <w:sz w:val="18"/>
                <w:szCs w:val="18"/>
              </w:rPr>
              <w:t xml:space="preserve">From 1 March 2024 until 28 February 2026, only TOB services in metropolitan areas and </w:t>
            </w:r>
            <w:r>
              <w:rPr>
                <w:rFonts w:cs="Arial"/>
                <w:color w:val="000000"/>
                <w:sz w:val="18"/>
                <w:szCs w:val="18"/>
              </w:rPr>
              <w:t>designated areas require protection.</w:t>
            </w:r>
          </w:p>
        </w:tc>
      </w:tr>
    </w:tbl>
    <w:p w14:paraId="7A34D95C" w14:textId="1C559516" w:rsidR="00B61885" w:rsidRDefault="00062FD5" w:rsidP="00F52503">
      <w:pPr>
        <w:pStyle w:val="Paragraph"/>
        <w:keepNext/>
        <w:keepLines/>
      </w:pPr>
      <w:r>
        <w:lastRenderedPageBreak/>
        <w:t>In r</w:t>
      </w:r>
      <w:r w:rsidR="000F0BA9" w:rsidRPr="00482B6C">
        <w:t>ecogni</w:t>
      </w:r>
      <w:r>
        <w:t>tion</w:t>
      </w:r>
      <w:r w:rsidR="000F0BA9" w:rsidRPr="00482B6C">
        <w:t xml:space="preserve"> that the arrangements further restrict MSS services</w:t>
      </w:r>
      <w:r w:rsidR="00A616B8">
        <w:t xml:space="preserve"> tha</w:t>
      </w:r>
      <w:r w:rsidR="00C4448A">
        <w:t>n</w:t>
      </w:r>
      <w:r w:rsidR="00A616B8">
        <w:t xml:space="preserve"> previously proposed</w:t>
      </w:r>
      <w:r w:rsidR="000F0BA9" w:rsidRPr="00482B6C">
        <w:t xml:space="preserve">, </w:t>
      </w:r>
      <w:r>
        <w:t xml:space="preserve">we are </w:t>
      </w:r>
      <w:r w:rsidR="000F0BA9" w:rsidRPr="00482B6C">
        <w:t>open to reviewing these arrangements if the satellite industry can provide supporting information</w:t>
      </w:r>
      <w:r w:rsidR="00793E59">
        <w:rPr>
          <w:rStyle w:val="FootnoteReference"/>
        </w:rPr>
        <w:footnoteReference w:id="10"/>
      </w:r>
      <w:r w:rsidR="000F0BA9" w:rsidRPr="00482B6C">
        <w:t xml:space="preserve"> documenting </w:t>
      </w:r>
      <w:r w:rsidR="007F43FF">
        <w:t xml:space="preserve">the reasons for </w:t>
      </w:r>
      <w:r w:rsidR="00AA69D4">
        <w:t xml:space="preserve">and </w:t>
      </w:r>
      <w:r w:rsidR="000F0BA9" w:rsidRPr="00482B6C">
        <w:t>the benefits of such a review</w:t>
      </w:r>
      <w:r>
        <w:t xml:space="preserve"> </w:t>
      </w:r>
      <w:r w:rsidR="00DF16CC">
        <w:t>(</w:t>
      </w:r>
      <w:r>
        <w:t>f</w:t>
      </w:r>
      <w:r w:rsidR="00DF16CC">
        <w:t xml:space="preserve">or example, </w:t>
      </w:r>
      <w:r w:rsidR="001C7386">
        <w:t>2009</w:t>
      </w:r>
      <w:r w:rsidR="004B0FBD">
        <w:t>–</w:t>
      </w:r>
      <w:r w:rsidR="001C7386">
        <w:t xml:space="preserve">2010 MHz has been retained in the CSO Class </w:t>
      </w:r>
      <w:r w:rsidR="00485F2D">
        <w:t>L</w:t>
      </w:r>
      <w:r w:rsidR="001C7386">
        <w:t>icence</w:t>
      </w:r>
      <w:r w:rsidR="000F0BA9" w:rsidRPr="00482B6C">
        <w:t xml:space="preserve"> </w:t>
      </w:r>
      <w:r w:rsidR="00DF16CC" w:rsidRPr="00DF16CC">
        <w:t>in case</w:t>
      </w:r>
      <w:r w:rsidR="008C6D8F">
        <w:t xml:space="preserve"> </w:t>
      </w:r>
      <w:r w:rsidR="00DF16CC" w:rsidRPr="00DF16CC">
        <w:t>new information or experience with the MSS deployment indicate these frequencies may be used without causing interference to TOB</w:t>
      </w:r>
      <w:r w:rsidR="00DF16CC">
        <w:t>)</w:t>
      </w:r>
      <w:r>
        <w:t>.</w:t>
      </w:r>
      <w:r w:rsidR="00DF16CC">
        <w:t xml:space="preserve"> </w:t>
      </w:r>
      <w:r w:rsidR="000F0BA9" w:rsidRPr="00482B6C">
        <w:t>However</w:t>
      </w:r>
      <w:r w:rsidR="00E8225D">
        <w:t>,</w:t>
      </w:r>
      <w:r w:rsidR="000F0BA9" w:rsidRPr="00482B6C">
        <w:t xml:space="preserve"> at this stage</w:t>
      </w:r>
      <w:r>
        <w:t>,</w:t>
      </w:r>
      <w:r w:rsidR="000F0BA9" w:rsidRPr="00482B6C">
        <w:t xml:space="preserve"> no further work is proposed as it would delay making the band available for MSS services. If required, further work </w:t>
      </w:r>
      <w:r>
        <w:t>could</w:t>
      </w:r>
      <w:r w:rsidRPr="00482B6C">
        <w:t xml:space="preserve"> </w:t>
      </w:r>
      <w:r w:rsidR="000F0BA9" w:rsidRPr="00482B6C">
        <w:t xml:space="preserve">be considered as part of developing arrangements in the remaining part of the 2 GHz band, which </w:t>
      </w:r>
      <w:r>
        <w:t xml:space="preserve">we </w:t>
      </w:r>
      <w:r w:rsidR="000845F4">
        <w:t>presently intend to</w:t>
      </w:r>
      <w:r w:rsidR="000F0BA9" w:rsidRPr="00482B6C">
        <w:t xml:space="preserve"> be a price-based allocation process</w:t>
      </w:r>
      <w:r w:rsidR="003D0B23">
        <w:t>.</w:t>
      </w:r>
    </w:p>
    <w:p w14:paraId="46F544DD" w14:textId="7202B78F" w:rsidR="00980E33" w:rsidRDefault="00980E33" w:rsidP="000A665A">
      <w:pPr>
        <w:pStyle w:val="Heading1"/>
        <w:numPr>
          <w:ilvl w:val="0"/>
          <w:numId w:val="0"/>
        </w:numPr>
      </w:pPr>
      <w:bookmarkStart w:id="12" w:name="_Toc107506506"/>
      <w:r w:rsidRPr="00CD2B0D">
        <w:lastRenderedPageBreak/>
        <w:t>2</w:t>
      </w:r>
      <w:r>
        <w:t>8</w:t>
      </w:r>
      <w:r w:rsidRPr="00CD2B0D">
        <w:t xml:space="preserve"> GHz </w:t>
      </w:r>
      <w:r w:rsidR="00C405DF">
        <w:t>fixed</w:t>
      </w:r>
      <w:r w:rsidRPr="00CD2B0D">
        <w:t>-satellite services</w:t>
      </w:r>
      <w:bookmarkEnd w:id="12"/>
    </w:p>
    <w:p w14:paraId="1CD8ED18" w14:textId="77777777" w:rsidR="00980E33" w:rsidRDefault="00980E33" w:rsidP="00980E33">
      <w:pPr>
        <w:pStyle w:val="Heading2"/>
      </w:pPr>
      <w:bookmarkStart w:id="13" w:name="_Toc107506507"/>
      <w:r>
        <w:t>Overview</w:t>
      </w:r>
      <w:bookmarkEnd w:id="13"/>
    </w:p>
    <w:p w14:paraId="7DF1858B" w14:textId="437723DB" w:rsidR="0046193D" w:rsidRPr="00F204B5" w:rsidRDefault="0046193D" w:rsidP="00C56FCF">
      <w:pPr>
        <w:pStyle w:val="Paragraphbeforelist"/>
      </w:pPr>
      <w:r>
        <w:t xml:space="preserve">Four </w:t>
      </w:r>
      <w:r w:rsidR="00AD404B">
        <w:t xml:space="preserve">submitters </w:t>
      </w:r>
      <w:r>
        <w:t>commented on the p</w:t>
      </w:r>
      <w:r w:rsidRPr="0040457C">
        <w:rPr>
          <w:szCs w:val="20"/>
        </w:rPr>
        <w:t xml:space="preserve">roposed licensing </w:t>
      </w:r>
      <w:r w:rsidRPr="00413153">
        <w:rPr>
          <w:szCs w:val="20"/>
        </w:rPr>
        <w:t>arrangements for 28</w:t>
      </w:r>
      <w:r w:rsidRPr="00611E1D">
        <w:rPr>
          <w:szCs w:val="20"/>
        </w:rPr>
        <w:t xml:space="preserve"> GHz </w:t>
      </w:r>
      <w:r w:rsidR="00C91887" w:rsidRPr="00D46AE9">
        <w:rPr>
          <w:szCs w:val="20"/>
        </w:rPr>
        <w:t xml:space="preserve">band </w:t>
      </w:r>
      <w:r w:rsidR="00C130B9" w:rsidRPr="00D46AE9">
        <w:rPr>
          <w:szCs w:val="20"/>
        </w:rPr>
        <w:t>ubiquitous</w:t>
      </w:r>
      <w:r w:rsidRPr="00D46AE9">
        <w:rPr>
          <w:szCs w:val="20"/>
        </w:rPr>
        <w:t xml:space="preserve"> </w:t>
      </w:r>
      <w:r w:rsidR="00094360">
        <w:rPr>
          <w:szCs w:val="20"/>
        </w:rPr>
        <w:t>FSS</w:t>
      </w:r>
      <w:r w:rsidR="00062FD5">
        <w:rPr>
          <w:szCs w:val="20"/>
        </w:rPr>
        <w:t xml:space="preserve">. </w:t>
      </w:r>
      <w:r w:rsidR="00D91F0D" w:rsidRPr="00F5323E">
        <w:t xml:space="preserve">While all </w:t>
      </w:r>
      <w:r w:rsidR="00062FD5">
        <w:t>4</w:t>
      </w:r>
      <w:r w:rsidR="00062FD5" w:rsidRPr="00F5323E">
        <w:t xml:space="preserve"> </w:t>
      </w:r>
      <w:r w:rsidR="00AD404B">
        <w:t xml:space="preserve">submitters </w:t>
      </w:r>
      <w:r w:rsidR="00A675D9" w:rsidRPr="00B83DEA">
        <w:t>(</w:t>
      </w:r>
      <w:r w:rsidR="009D4A0D" w:rsidRPr="00B83DEA">
        <w:t xml:space="preserve">SSWG, NBN </w:t>
      </w:r>
      <w:r w:rsidR="00C91887" w:rsidRPr="00B83DEA">
        <w:t>C</w:t>
      </w:r>
      <w:r w:rsidR="009D4A0D" w:rsidRPr="00B83DEA">
        <w:t>o, Telesat</w:t>
      </w:r>
      <w:r w:rsidR="00F72540" w:rsidRPr="00B83DEA">
        <w:t xml:space="preserve"> and Viasat) </w:t>
      </w:r>
      <w:r w:rsidR="00D91F0D" w:rsidRPr="00B83DEA">
        <w:t>su</w:t>
      </w:r>
      <w:r w:rsidR="008A1913" w:rsidRPr="00B83DEA">
        <w:t>pported inc</w:t>
      </w:r>
      <w:r w:rsidR="00A678DE" w:rsidRPr="00F25020">
        <w:t>lu</w:t>
      </w:r>
      <w:r w:rsidR="00062FD5">
        <w:t>ding</w:t>
      </w:r>
      <w:r w:rsidR="00A678DE" w:rsidRPr="00F25020">
        <w:t xml:space="preserve"> </w:t>
      </w:r>
      <w:r w:rsidR="00DE69D9" w:rsidRPr="009F2CA6">
        <w:t xml:space="preserve">arrangements for </w:t>
      </w:r>
      <w:r w:rsidR="00A678DE" w:rsidRPr="00747FA0">
        <w:t xml:space="preserve">ubiquitous </w:t>
      </w:r>
      <w:r w:rsidR="00CF5648" w:rsidRPr="004D3483">
        <w:t xml:space="preserve">FSS in the </w:t>
      </w:r>
      <w:r w:rsidR="00A675D9" w:rsidRPr="004F03F3">
        <w:t xml:space="preserve">27.5–28.3 GHz frequency </w:t>
      </w:r>
      <w:r w:rsidR="00A675D9" w:rsidRPr="008514B5">
        <w:t>range</w:t>
      </w:r>
      <w:r w:rsidR="00F72540" w:rsidRPr="008514B5">
        <w:t>, the respondents raised the fo</w:t>
      </w:r>
      <w:r w:rsidR="00F72540" w:rsidRPr="00F204B5">
        <w:t>llowing issues</w:t>
      </w:r>
      <w:r w:rsidR="00533298" w:rsidRPr="00F204B5">
        <w:t>:</w:t>
      </w:r>
    </w:p>
    <w:p w14:paraId="2F5EDA31" w14:textId="6C389E5A" w:rsidR="00731482" w:rsidRPr="008C76A5" w:rsidRDefault="00731482" w:rsidP="00C56FCF">
      <w:pPr>
        <w:pStyle w:val="ListBullet"/>
      </w:pPr>
      <w:r w:rsidRPr="00F204B5">
        <w:t>Based on an NBN Co study, NBN</w:t>
      </w:r>
      <w:r w:rsidRPr="008C76A5">
        <w:t xml:space="preserve"> Co, Viasat and the SSWG proposed </w:t>
      </w:r>
      <w:r w:rsidR="0041448E" w:rsidRPr="008C76A5">
        <w:t xml:space="preserve">allowing </w:t>
      </w:r>
      <w:r w:rsidRPr="008C76A5">
        <w:t xml:space="preserve">the operation of </w:t>
      </w:r>
      <w:r w:rsidR="002C582B" w:rsidRPr="008C76A5">
        <w:t xml:space="preserve">ubiquitous </w:t>
      </w:r>
      <w:r w:rsidRPr="008C76A5">
        <w:t>VSATs inside defined population centres within 27.5–28.1 GHz.</w:t>
      </w:r>
    </w:p>
    <w:p w14:paraId="64E56716" w14:textId="3149F476" w:rsidR="00731482" w:rsidRPr="008C76A5" w:rsidRDefault="00731482" w:rsidP="00C56FCF">
      <w:pPr>
        <w:pStyle w:val="ListBullet"/>
      </w:pPr>
      <w:r w:rsidRPr="008C76A5">
        <w:t xml:space="preserve">For maritime </w:t>
      </w:r>
      <w:r w:rsidR="00631811" w:rsidRPr="008C76A5">
        <w:t>ESIM</w:t>
      </w:r>
      <w:r w:rsidRPr="008C76A5">
        <w:t xml:space="preserve">, all </w:t>
      </w:r>
      <w:r w:rsidR="008C76A5">
        <w:t>4</w:t>
      </w:r>
      <w:r w:rsidR="008C76A5" w:rsidRPr="008C76A5">
        <w:t xml:space="preserve"> </w:t>
      </w:r>
      <w:r w:rsidRPr="008C76A5">
        <w:t xml:space="preserve">submissions proposed using an onshore </w:t>
      </w:r>
      <w:r w:rsidR="00114CA8" w:rsidRPr="008C76A5">
        <w:t>PFD</w:t>
      </w:r>
      <w:r w:rsidRPr="008C76A5">
        <w:t xml:space="preserve"> limit of -91 dBW/m</w:t>
      </w:r>
      <w:r w:rsidRPr="00883438">
        <w:rPr>
          <w:szCs w:val="20"/>
          <w:vertAlign w:val="superscript"/>
        </w:rPr>
        <w:t>2</w:t>
      </w:r>
      <w:r w:rsidRPr="008C76A5">
        <w:t xml:space="preserve">/MHz, instead of the proposed </w:t>
      </w:r>
      <w:r w:rsidRPr="008C76A5">
        <w:noBreakHyphen/>
        <w:t>112.2 dBW/m</w:t>
      </w:r>
      <w:r w:rsidRPr="00883438">
        <w:rPr>
          <w:szCs w:val="20"/>
          <w:vertAlign w:val="superscript"/>
        </w:rPr>
        <w:t>2</w:t>
      </w:r>
      <w:r w:rsidRPr="008C76A5">
        <w:t>/MHz.</w:t>
      </w:r>
    </w:p>
    <w:p w14:paraId="4FB0964D" w14:textId="3EDD8C59" w:rsidR="00731482" w:rsidRPr="008C76A5" w:rsidRDefault="00731482" w:rsidP="00C56FCF">
      <w:pPr>
        <w:pStyle w:val="ListBullet"/>
      </w:pPr>
      <w:r w:rsidRPr="008C76A5">
        <w:t>Viasat proposed allowing operation from gate-</w:t>
      </w:r>
      <w:r w:rsidR="00F06F90">
        <w:t>to-</w:t>
      </w:r>
      <w:r w:rsidRPr="008C76A5">
        <w:t>gate for both aeronautical and maritime</w:t>
      </w:r>
      <w:r w:rsidR="00631811" w:rsidRPr="008C76A5">
        <w:t xml:space="preserve"> ESIM</w:t>
      </w:r>
      <w:r w:rsidRPr="008C76A5">
        <w:t xml:space="preserve">. </w:t>
      </w:r>
    </w:p>
    <w:p w14:paraId="4482E39C" w14:textId="7CFE6ECE" w:rsidR="00731482" w:rsidRPr="008C76A5" w:rsidRDefault="00731482" w:rsidP="00C56FCF">
      <w:pPr>
        <w:pStyle w:val="ListBullet"/>
      </w:pPr>
      <w:r w:rsidRPr="008C76A5">
        <w:t xml:space="preserve">All </w:t>
      </w:r>
      <w:r w:rsidR="008C76A5">
        <w:t>4</w:t>
      </w:r>
      <w:r w:rsidR="008C76A5" w:rsidRPr="008C76A5">
        <w:t xml:space="preserve"> </w:t>
      </w:r>
      <w:r w:rsidRPr="008C76A5">
        <w:t xml:space="preserve">submissions proposed using unwanted emission </w:t>
      </w:r>
      <w:r w:rsidR="00C2052E" w:rsidRPr="008C76A5">
        <w:t xml:space="preserve">limits </w:t>
      </w:r>
      <w:r w:rsidRPr="008C76A5">
        <w:t xml:space="preserve">to manage adjacent band coexistence at </w:t>
      </w:r>
      <w:r w:rsidR="0096566D" w:rsidRPr="008C76A5">
        <w:t xml:space="preserve">the </w:t>
      </w:r>
      <w:r w:rsidRPr="008C76A5">
        <w:t xml:space="preserve">28.1 GHz </w:t>
      </w:r>
      <w:r w:rsidR="0096566D" w:rsidRPr="008C76A5">
        <w:t xml:space="preserve">frequency boundary </w:t>
      </w:r>
      <w:r w:rsidRPr="008C76A5">
        <w:t xml:space="preserve">instead of using the guard bands </w:t>
      </w:r>
      <w:r w:rsidR="0096566D" w:rsidRPr="008C76A5">
        <w:t xml:space="preserve">as </w:t>
      </w:r>
      <w:r w:rsidRPr="008C76A5">
        <w:t>proposed.</w:t>
      </w:r>
    </w:p>
    <w:p w14:paraId="6C62B721" w14:textId="47EDCC0C" w:rsidR="00731482" w:rsidRPr="008C76A5" w:rsidRDefault="00731482" w:rsidP="00C56FCF">
      <w:pPr>
        <w:pStyle w:val="ListBullet"/>
      </w:pPr>
      <w:r w:rsidRPr="008C76A5">
        <w:t>Viasat proposed that the ACMA adopt Australian</w:t>
      </w:r>
      <w:r w:rsidR="008C76A5">
        <w:t>-</w:t>
      </w:r>
      <w:r w:rsidRPr="008C76A5">
        <w:t xml:space="preserve">defined </w:t>
      </w:r>
      <w:r w:rsidR="00114CA8" w:rsidRPr="008C76A5">
        <w:t>PFD</w:t>
      </w:r>
      <w:r w:rsidRPr="008C76A5">
        <w:t xml:space="preserve"> limits for aeronautical </w:t>
      </w:r>
      <w:r w:rsidR="00631811" w:rsidRPr="008C76A5">
        <w:t xml:space="preserve">ESIM </w:t>
      </w:r>
      <w:r w:rsidRPr="008C76A5">
        <w:t>based on ECC criteria and should not adopt ITU-R Resolution 169 criteria.</w:t>
      </w:r>
    </w:p>
    <w:p w14:paraId="22185690" w14:textId="42894F57" w:rsidR="00731482" w:rsidRPr="008C76A5" w:rsidRDefault="00731482" w:rsidP="00C56FCF">
      <w:pPr>
        <w:pStyle w:val="ListBullet"/>
      </w:pPr>
      <w:r w:rsidRPr="008C76A5">
        <w:t xml:space="preserve">SSWG proposed new </w:t>
      </w:r>
      <w:r w:rsidR="00114CA8" w:rsidRPr="008C76A5">
        <w:t>PFD</w:t>
      </w:r>
      <w:r w:rsidRPr="008C76A5">
        <w:t xml:space="preserve"> limits for aeronautical</w:t>
      </w:r>
      <w:r w:rsidR="00631811" w:rsidRPr="008C76A5">
        <w:t xml:space="preserve"> ESIM</w:t>
      </w:r>
      <w:r w:rsidRPr="008C76A5">
        <w:t xml:space="preserve">. </w:t>
      </w:r>
    </w:p>
    <w:p w14:paraId="1ABDA99B" w14:textId="29AB6EFF" w:rsidR="00731482" w:rsidRPr="005E20A3" w:rsidRDefault="00731482" w:rsidP="004D4DC7">
      <w:pPr>
        <w:pStyle w:val="Bulletlevel1last"/>
      </w:pPr>
      <w:r w:rsidRPr="008C76A5">
        <w:t>SSWG, Telesat and V</w:t>
      </w:r>
      <w:r w:rsidRPr="00747FA0">
        <w:t>ias</w:t>
      </w:r>
      <w:r w:rsidRPr="004D3483">
        <w:t xml:space="preserve">at asked for clarification on the use of </w:t>
      </w:r>
      <w:r w:rsidRPr="00F84F19">
        <w:t>NGSO VSAT</w:t>
      </w:r>
      <w:r w:rsidR="00C83CA4" w:rsidRPr="004F03F3">
        <w:t>s</w:t>
      </w:r>
      <w:r w:rsidRPr="00552397">
        <w:t xml:space="preserve"> in the 28 GHz band.</w:t>
      </w:r>
    </w:p>
    <w:p w14:paraId="25FB8D61" w14:textId="68BAE34F" w:rsidR="0046193D" w:rsidRPr="00413153" w:rsidRDefault="00A216EF" w:rsidP="0046193D">
      <w:pPr>
        <w:pStyle w:val="Paragraph"/>
        <w:rPr>
          <w:szCs w:val="20"/>
        </w:rPr>
      </w:pPr>
      <w:r w:rsidRPr="005E20A3">
        <w:rPr>
          <w:szCs w:val="20"/>
        </w:rPr>
        <w:t>T</w:t>
      </w:r>
      <w:r w:rsidR="00C45531" w:rsidRPr="005E20A3">
        <w:rPr>
          <w:szCs w:val="20"/>
        </w:rPr>
        <w:t>he majority of these issues have been previously addressed in</w:t>
      </w:r>
      <w:r w:rsidR="006C4D3B" w:rsidRPr="005E20A3">
        <w:rPr>
          <w:szCs w:val="20"/>
        </w:rPr>
        <w:t xml:space="preserve"> </w:t>
      </w:r>
      <w:r w:rsidR="00365002" w:rsidRPr="005E20A3">
        <w:rPr>
          <w:szCs w:val="20"/>
        </w:rPr>
        <w:t>correspondence</w:t>
      </w:r>
      <w:r w:rsidR="006C4D3B" w:rsidRPr="005E20A3">
        <w:rPr>
          <w:szCs w:val="20"/>
        </w:rPr>
        <w:t xml:space="preserve"> </w:t>
      </w:r>
      <w:r w:rsidR="00DA6C60" w:rsidRPr="005E20A3">
        <w:rPr>
          <w:szCs w:val="20"/>
        </w:rPr>
        <w:t xml:space="preserve">from the ACMA </w:t>
      </w:r>
      <w:r w:rsidR="006C4D3B" w:rsidRPr="005E20A3">
        <w:rPr>
          <w:szCs w:val="20"/>
        </w:rPr>
        <w:t xml:space="preserve">to </w:t>
      </w:r>
      <w:r w:rsidR="00877C6B" w:rsidRPr="005E20A3">
        <w:rPr>
          <w:szCs w:val="20"/>
        </w:rPr>
        <w:t xml:space="preserve">the </w:t>
      </w:r>
      <w:r w:rsidR="00A971B4" w:rsidRPr="005E20A3">
        <w:rPr>
          <w:szCs w:val="20"/>
        </w:rPr>
        <w:t>satellite industry</w:t>
      </w:r>
      <w:r w:rsidR="00EE2728">
        <w:rPr>
          <w:szCs w:val="20"/>
        </w:rPr>
        <w:t>,</w:t>
      </w:r>
      <w:r w:rsidR="00CC7778">
        <w:rPr>
          <w:szCs w:val="20"/>
        </w:rPr>
        <w:t xml:space="preserve"> through the SSWG</w:t>
      </w:r>
      <w:r>
        <w:t>.</w:t>
      </w:r>
      <w:r w:rsidR="006C4D3B">
        <w:t xml:space="preserve"> </w:t>
      </w:r>
      <w:r>
        <w:t>W</w:t>
      </w:r>
      <w:r w:rsidR="0046193D" w:rsidRPr="0040457C">
        <w:rPr>
          <w:szCs w:val="20"/>
        </w:rPr>
        <w:t xml:space="preserve">e </w:t>
      </w:r>
      <w:r w:rsidR="00CF2BB5" w:rsidRPr="00413153">
        <w:rPr>
          <w:szCs w:val="20"/>
        </w:rPr>
        <w:t>discuss</w:t>
      </w:r>
      <w:r w:rsidR="0046193D" w:rsidRPr="00413153">
        <w:rPr>
          <w:szCs w:val="20"/>
        </w:rPr>
        <w:t xml:space="preserve"> these issues in turn below.</w:t>
      </w:r>
    </w:p>
    <w:p w14:paraId="3E6B818E" w14:textId="77777777" w:rsidR="00011E52" w:rsidRDefault="00011E52" w:rsidP="00011E52">
      <w:pPr>
        <w:pStyle w:val="Heading2"/>
      </w:pPr>
      <w:bookmarkStart w:id="14" w:name="_Toc107506508"/>
      <w:r>
        <w:t>Issues</w:t>
      </w:r>
      <w:bookmarkEnd w:id="14"/>
    </w:p>
    <w:p w14:paraId="3D55EAB8" w14:textId="2255F00D" w:rsidR="0046193D" w:rsidRDefault="0046193D" w:rsidP="0046193D">
      <w:pPr>
        <w:pStyle w:val="Heading3"/>
      </w:pPr>
      <w:r w:rsidRPr="007B3DF6">
        <w:t>Reconsider</w:t>
      </w:r>
      <w:r w:rsidR="002C6D87">
        <w:t xml:space="preserve"> including</w:t>
      </w:r>
      <w:r>
        <w:t xml:space="preserve"> </w:t>
      </w:r>
      <w:r w:rsidR="00607966">
        <w:t xml:space="preserve">arrangements for ubiquitous </w:t>
      </w:r>
      <w:r w:rsidR="002C6D87" w:rsidRPr="002C6D87">
        <w:t>VSATs</w:t>
      </w:r>
      <w:r w:rsidR="002C6D87">
        <w:t xml:space="preserve"> </w:t>
      </w:r>
      <w:r w:rsidR="002C6D87" w:rsidRPr="002C6D87">
        <w:t>inside defined population centres within 27.5–28.1 GHz</w:t>
      </w:r>
    </w:p>
    <w:p w14:paraId="241A6F49" w14:textId="0FEC6E9D" w:rsidR="0046193D" w:rsidRPr="00611E1D" w:rsidRDefault="008C76A5" w:rsidP="0046193D">
      <w:pPr>
        <w:pStyle w:val="Paragraph"/>
        <w:rPr>
          <w:szCs w:val="20"/>
        </w:rPr>
      </w:pPr>
      <w:r>
        <w:rPr>
          <w:szCs w:val="20"/>
        </w:rPr>
        <w:t>To</w:t>
      </w:r>
      <w:r w:rsidRPr="00413153">
        <w:rPr>
          <w:szCs w:val="20"/>
        </w:rPr>
        <w:t xml:space="preserve"> determin</w:t>
      </w:r>
      <w:r>
        <w:rPr>
          <w:szCs w:val="20"/>
        </w:rPr>
        <w:t>e</w:t>
      </w:r>
      <w:r w:rsidRPr="00413153">
        <w:rPr>
          <w:szCs w:val="20"/>
        </w:rPr>
        <w:t xml:space="preserve"> </w:t>
      </w:r>
      <w:r w:rsidR="00100CAE" w:rsidRPr="00EC0B2B">
        <w:rPr>
          <w:szCs w:val="20"/>
        </w:rPr>
        <w:t>the potential planni</w:t>
      </w:r>
      <w:r w:rsidR="00100CAE" w:rsidRPr="00611E1D">
        <w:rPr>
          <w:szCs w:val="20"/>
        </w:rPr>
        <w:t>ng arrangements for the 28 GHz</w:t>
      </w:r>
      <w:r>
        <w:rPr>
          <w:szCs w:val="20"/>
        </w:rPr>
        <w:t xml:space="preserve"> band</w:t>
      </w:r>
      <w:r w:rsidR="003722DD" w:rsidRPr="00611E1D">
        <w:rPr>
          <w:szCs w:val="20"/>
        </w:rPr>
        <w:t>,</w:t>
      </w:r>
      <w:r w:rsidR="00100CAE" w:rsidRPr="00611E1D">
        <w:rPr>
          <w:szCs w:val="20"/>
        </w:rPr>
        <w:t xml:space="preserve"> </w:t>
      </w:r>
      <w:r>
        <w:rPr>
          <w:szCs w:val="20"/>
        </w:rPr>
        <w:t xml:space="preserve">we </w:t>
      </w:r>
      <w:r w:rsidR="00100CAE" w:rsidRPr="00611E1D">
        <w:rPr>
          <w:szCs w:val="20"/>
        </w:rPr>
        <w:t>conducted a</w:t>
      </w:r>
      <w:r w:rsidR="003438C0" w:rsidRPr="00611E1D">
        <w:rPr>
          <w:szCs w:val="20"/>
        </w:rPr>
        <w:t xml:space="preserve"> comprehensive study investigating </w:t>
      </w:r>
      <w:r w:rsidR="00882C39" w:rsidRPr="00611E1D">
        <w:rPr>
          <w:szCs w:val="20"/>
        </w:rPr>
        <w:t xml:space="preserve">potential </w:t>
      </w:r>
      <w:r w:rsidR="003438C0" w:rsidRPr="00611E1D">
        <w:rPr>
          <w:szCs w:val="20"/>
        </w:rPr>
        <w:t xml:space="preserve">interference between </w:t>
      </w:r>
      <w:r w:rsidR="002B48A2" w:rsidRPr="00611E1D">
        <w:rPr>
          <w:szCs w:val="20"/>
        </w:rPr>
        <w:t>services</w:t>
      </w:r>
      <w:r w:rsidR="00D17C71" w:rsidRPr="00413153">
        <w:rPr>
          <w:szCs w:val="20"/>
        </w:rPr>
        <w:t>,</w:t>
      </w:r>
      <w:r w:rsidR="00D17C71" w:rsidRPr="00EC0B2B">
        <w:rPr>
          <w:szCs w:val="20"/>
        </w:rPr>
        <w:t xml:space="preserve"> </w:t>
      </w:r>
      <w:hyperlink r:id="rId44" w:history="1">
        <w:r w:rsidR="00D17C71" w:rsidRPr="00EC0B2B">
          <w:rPr>
            <w:rStyle w:val="Hyperlink"/>
            <w:szCs w:val="20"/>
          </w:rPr>
          <w:t>Uncoordinated ubiquitous FSS earth station coexistence with FWA in the 28 GHz band</w:t>
        </w:r>
      </w:hyperlink>
      <w:r w:rsidR="002B48A2" w:rsidRPr="00413153">
        <w:rPr>
          <w:szCs w:val="20"/>
        </w:rPr>
        <w:t>.</w:t>
      </w:r>
      <w:r w:rsidR="002B48A2" w:rsidRPr="00EC0B2B">
        <w:rPr>
          <w:szCs w:val="20"/>
        </w:rPr>
        <w:t xml:space="preserve"> Following </w:t>
      </w:r>
      <w:r>
        <w:rPr>
          <w:szCs w:val="20"/>
        </w:rPr>
        <w:t>this</w:t>
      </w:r>
      <w:r w:rsidR="002B48A2" w:rsidRPr="00EC0B2B">
        <w:rPr>
          <w:szCs w:val="20"/>
        </w:rPr>
        <w:t xml:space="preserve">, </w:t>
      </w:r>
      <w:r w:rsidR="00243143" w:rsidRPr="00EC0B2B">
        <w:rPr>
          <w:szCs w:val="20"/>
        </w:rPr>
        <w:t xml:space="preserve">NBN </w:t>
      </w:r>
      <w:r w:rsidR="00607966" w:rsidRPr="00EC0B2B">
        <w:rPr>
          <w:szCs w:val="20"/>
        </w:rPr>
        <w:t>C</w:t>
      </w:r>
      <w:r w:rsidR="00243143" w:rsidRPr="00EC0B2B">
        <w:rPr>
          <w:szCs w:val="20"/>
        </w:rPr>
        <w:t xml:space="preserve">o </w:t>
      </w:r>
      <w:r w:rsidR="002B48A2" w:rsidRPr="00EC0B2B">
        <w:rPr>
          <w:szCs w:val="20"/>
        </w:rPr>
        <w:t xml:space="preserve">also </w:t>
      </w:r>
      <w:r w:rsidR="00243143" w:rsidRPr="00EC0B2B">
        <w:rPr>
          <w:szCs w:val="20"/>
        </w:rPr>
        <w:t xml:space="preserve">conducted a study considering the </w:t>
      </w:r>
      <w:r w:rsidR="002E31EE" w:rsidRPr="00611E1D">
        <w:rPr>
          <w:szCs w:val="20"/>
        </w:rPr>
        <w:t xml:space="preserve">use </w:t>
      </w:r>
      <w:r w:rsidR="00243143" w:rsidRPr="00611E1D">
        <w:rPr>
          <w:szCs w:val="20"/>
        </w:rPr>
        <w:t>of VSATs inside</w:t>
      </w:r>
      <w:r w:rsidR="00ED3F94" w:rsidRPr="00611E1D">
        <w:rPr>
          <w:szCs w:val="20"/>
        </w:rPr>
        <w:t xml:space="preserve"> defined population centres within 27.5–28.1 GHz</w:t>
      </w:r>
      <w:r>
        <w:rPr>
          <w:szCs w:val="20"/>
        </w:rPr>
        <w:t>,</w:t>
      </w:r>
      <w:r w:rsidR="00ED3F94" w:rsidRPr="00611E1D">
        <w:rPr>
          <w:szCs w:val="20"/>
        </w:rPr>
        <w:t xml:space="preserve"> which examined the potential interference to </w:t>
      </w:r>
      <w:r w:rsidR="0054582D" w:rsidRPr="00611E1D">
        <w:rPr>
          <w:szCs w:val="20"/>
        </w:rPr>
        <w:t xml:space="preserve">fixed wireless access (FWA) services. </w:t>
      </w:r>
      <w:r w:rsidR="00FE3AAC" w:rsidRPr="00611E1D">
        <w:rPr>
          <w:szCs w:val="20"/>
        </w:rPr>
        <w:t>T</w:t>
      </w:r>
      <w:r w:rsidR="004A0E2B" w:rsidRPr="00611E1D">
        <w:rPr>
          <w:szCs w:val="20"/>
        </w:rPr>
        <w:t>aking</w:t>
      </w:r>
      <w:r w:rsidR="00FE3AAC" w:rsidRPr="00611E1D">
        <w:rPr>
          <w:szCs w:val="20"/>
        </w:rPr>
        <w:t xml:space="preserve"> </w:t>
      </w:r>
      <w:r w:rsidR="00A81B38" w:rsidRPr="00611E1D">
        <w:rPr>
          <w:szCs w:val="20"/>
        </w:rPr>
        <w:t xml:space="preserve">both studies </w:t>
      </w:r>
      <w:r w:rsidR="00FE3AAC" w:rsidRPr="00611E1D">
        <w:rPr>
          <w:szCs w:val="20"/>
        </w:rPr>
        <w:t>in</w:t>
      </w:r>
      <w:r w:rsidR="00C81CF1" w:rsidRPr="00611E1D">
        <w:rPr>
          <w:szCs w:val="20"/>
        </w:rPr>
        <w:t>to</w:t>
      </w:r>
      <w:r w:rsidR="00FE3AAC" w:rsidRPr="00611E1D">
        <w:rPr>
          <w:szCs w:val="20"/>
        </w:rPr>
        <w:t xml:space="preserve"> account</w:t>
      </w:r>
      <w:r>
        <w:rPr>
          <w:szCs w:val="20"/>
        </w:rPr>
        <w:t>, we</w:t>
      </w:r>
      <w:r w:rsidR="00A81B38" w:rsidRPr="00611E1D">
        <w:rPr>
          <w:szCs w:val="20"/>
        </w:rPr>
        <w:t xml:space="preserve"> </w:t>
      </w:r>
      <w:r w:rsidR="00967C62" w:rsidRPr="00611E1D">
        <w:rPr>
          <w:szCs w:val="20"/>
        </w:rPr>
        <w:t xml:space="preserve">concluded </w:t>
      </w:r>
      <w:r>
        <w:rPr>
          <w:szCs w:val="20"/>
        </w:rPr>
        <w:t xml:space="preserve">that </w:t>
      </w:r>
      <w:r w:rsidR="00D36440" w:rsidRPr="00611E1D">
        <w:rPr>
          <w:szCs w:val="20"/>
        </w:rPr>
        <w:t xml:space="preserve">VSATs posed an unacceptable risk to FWA and </w:t>
      </w:r>
      <w:r w:rsidR="00785D3A" w:rsidRPr="00611E1D">
        <w:rPr>
          <w:szCs w:val="20"/>
        </w:rPr>
        <w:t xml:space="preserve">provision for ubiquitous </w:t>
      </w:r>
      <w:r w:rsidR="00587DEA" w:rsidRPr="00611E1D">
        <w:rPr>
          <w:szCs w:val="20"/>
        </w:rPr>
        <w:t>VSATs would not be included in the planning arrangements inside defined population centres within 27.5–28.1 GHz.</w:t>
      </w:r>
    </w:p>
    <w:p w14:paraId="0D5AFD00" w14:textId="344CE10E" w:rsidR="00CD321A" w:rsidRPr="00611E1D" w:rsidRDefault="00CD321A" w:rsidP="0046193D">
      <w:pPr>
        <w:pStyle w:val="Paragraph"/>
        <w:rPr>
          <w:szCs w:val="20"/>
        </w:rPr>
      </w:pPr>
      <w:r w:rsidRPr="00611E1D">
        <w:rPr>
          <w:szCs w:val="20"/>
        </w:rPr>
        <w:t>In the</w:t>
      </w:r>
      <w:r w:rsidR="00C202A0" w:rsidRPr="00611E1D">
        <w:rPr>
          <w:szCs w:val="20"/>
        </w:rPr>
        <w:t>ir</w:t>
      </w:r>
      <w:r w:rsidRPr="00611E1D">
        <w:rPr>
          <w:szCs w:val="20"/>
        </w:rPr>
        <w:t xml:space="preserve"> submissions, NBN Co, Viasat and the SSWG proposed </w:t>
      </w:r>
      <w:r w:rsidR="0001530A">
        <w:rPr>
          <w:szCs w:val="20"/>
        </w:rPr>
        <w:t>that the ACMA</w:t>
      </w:r>
      <w:r w:rsidRPr="00611E1D">
        <w:rPr>
          <w:szCs w:val="20"/>
        </w:rPr>
        <w:t xml:space="preserve"> reverse this </w:t>
      </w:r>
      <w:r w:rsidR="008156D7" w:rsidRPr="00611E1D">
        <w:rPr>
          <w:szCs w:val="20"/>
        </w:rPr>
        <w:t xml:space="preserve">decision and include </w:t>
      </w:r>
      <w:r w:rsidR="00B23D72" w:rsidRPr="00611E1D">
        <w:rPr>
          <w:szCs w:val="20"/>
        </w:rPr>
        <w:t xml:space="preserve">provision for </w:t>
      </w:r>
      <w:r w:rsidR="008156D7" w:rsidRPr="00611E1D">
        <w:rPr>
          <w:szCs w:val="20"/>
        </w:rPr>
        <w:t xml:space="preserve">VSATs inside defined population centres within 27.5–28.1 GHz based on the NBN </w:t>
      </w:r>
      <w:r w:rsidR="00BC3BC4" w:rsidRPr="00611E1D">
        <w:rPr>
          <w:szCs w:val="20"/>
        </w:rPr>
        <w:t>C</w:t>
      </w:r>
      <w:r w:rsidR="008156D7" w:rsidRPr="00611E1D">
        <w:rPr>
          <w:szCs w:val="20"/>
        </w:rPr>
        <w:t>o study</w:t>
      </w:r>
      <w:r w:rsidR="00D35D78" w:rsidRPr="00611E1D">
        <w:rPr>
          <w:szCs w:val="20"/>
        </w:rPr>
        <w:t>.</w:t>
      </w:r>
    </w:p>
    <w:p w14:paraId="252C0037" w14:textId="77777777" w:rsidR="0046193D" w:rsidRDefault="0046193D" w:rsidP="00154CCD">
      <w:pPr>
        <w:pStyle w:val="Heading4"/>
        <w:keepNext/>
      </w:pPr>
      <w:r w:rsidRPr="00586A62">
        <w:t>ACMA response</w:t>
      </w:r>
    </w:p>
    <w:p w14:paraId="7E1159A2" w14:textId="0D61D435" w:rsidR="00011E52" w:rsidRDefault="00D35D78" w:rsidP="00BA721E">
      <w:pPr>
        <w:pStyle w:val="Paragraph"/>
      </w:pPr>
      <w:r>
        <w:t>The</w:t>
      </w:r>
      <w:r w:rsidR="00BA62FD" w:rsidDel="00A07523">
        <w:t xml:space="preserve"> </w:t>
      </w:r>
      <w:r w:rsidR="00BA62FD">
        <w:t>submission</w:t>
      </w:r>
      <w:r w:rsidR="00710839">
        <w:t>s</w:t>
      </w:r>
      <w:r w:rsidR="00BA62FD">
        <w:t xml:space="preserve"> to this consultation</w:t>
      </w:r>
      <w:r>
        <w:t xml:space="preserve"> to include </w:t>
      </w:r>
      <w:r w:rsidR="00110A8B">
        <w:t xml:space="preserve">provision for use of </w:t>
      </w:r>
      <w:r>
        <w:t xml:space="preserve">VSATs </w:t>
      </w:r>
      <w:r w:rsidRPr="00587DEA">
        <w:t>inside defined population centres within 27.5–28.1 GHz</w:t>
      </w:r>
      <w:r>
        <w:t xml:space="preserve"> </w:t>
      </w:r>
      <w:r w:rsidR="000B5BDC">
        <w:t xml:space="preserve">did not provide any new supporting evidence for </w:t>
      </w:r>
      <w:r w:rsidR="008C76A5">
        <w:t xml:space="preserve">us </w:t>
      </w:r>
      <w:r w:rsidR="000B5BDC">
        <w:t xml:space="preserve">to reconsider </w:t>
      </w:r>
      <w:r w:rsidR="008C76A5">
        <w:t xml:space="preserve">our </w:t>
      </w:r>
      <w:r w:rsidR="000B5BDC">
        <w:t>position</w:t>
      </w:r>
      <w:r>
        <w:t>.</w:t>
      </w:r>
      <w:r w:rsidR="00A96411">
        <w:t xml:space="preserve"> </w:t>
      </w:r>
      <w:r w:rsidR="008C76A5">
        <w:t xml:space="preserve">Our </w:t>
      </w:r>
      <w:r w:rsidR="00822983">
        <w:t xml:space="preserve">response to the satellite industry provided </w:t>
      </w:r>
      <w:r w:rsidR="008C76A5">
        <w:t xml:space="preserve">our </w:t>
      </w:r>
      <w:r w:rsidR="00822983">
        <w:t xml:space="preserve">consideration of the issue </w:t>
      </w:r>
      <w:r w:rsidR="006A72CF">
        <w:t>(</w:t>
      </w:r>
      <w:r w:rsidR="00822983">
        <w:t>see Appendix B</w:t>
      </w:r>
      <w:r w:rsidR="006A72CF">
        <w:t>)</w:t>
      </w:r>
      <w:r w:rsidR="00822983">
        <w:t xml:space="preserve">. </w:t>
      </w:r>
      <w:r w:rsidR="008C76A5">
        <w:t xml:space="preserve">We </w:t>
      </w:r>
      <w:r w:rsidR="00D8378A">
        <w:t xml:space="preserve">will </w:t>
      </w:r>
      <w:r w:rsidR="00975DEA">
        <w:t xml:space="preserve">maintain </w:t>
      </w:r>
      <w:r w:rsidR="008C76A5">
        <w:t xml:space="preserve">our </w:t>
      </w:r>
      <w:r w:rsidR="00BA62FD">
        <w:t xml:space="preserve">initial </w:t>
      </w:r>
      <w:r w:rsidR="0046193D">
        <w:lastRenderedPageBreak/>
        <w:t>decision</w:t>
      </w:r>
      <w:r w:rsidR="00B110E4">
        <w:t>, as consulted</w:t>
      </w:r>
      <w:r w:rsidR="007C6BD0">
        <w:t xml:space="preserve"> on</w:t>
      </w:r>
      <w:r w:rsidR="00B110E4">
        <w:t>,</w:t>
      </w:r>
      <w:r w:rsidR="0046193D">
        <w:t xml:space="preserve"> </w:t>
      </w:r>
      <w:r w:rsidR="008C76A5">
        <w:t xml:space="preserve">to </w:t>
      </w:r>
      <w:r w:rsidR="009C1527">
        <w:t xml:space="preserve">not </w:t>
      </w:r>
      <w:r w:rsidR="00BA62FD">
        <w:t xml:space="preserve">include </w:t>
      </w:r>
      <w:r w:rsidR="00C2643C">
        <w:t xml:space="preserve">arrangements for ubiquitous </w:t>
      </w:r>
      <w:r w:rsidR="00BA62FD">
        <w:t xml:space="preserve">VSATs </w:t>
      </w:r>
      <w:r w:rsidR="00BA62FD" w:rsidRPr="00587DEA">
        <w:t>inside defined population centres within 27.5–28.1 GHz</w:t>
      </w:r>
      <w:r w:rsidR="00BA62FD">
        <w:t>.</w:t>
      </w:r>
    </w:p>
    <w:p w14:paraId="55937C6B" w14:textId="105C8285" w:rsidR="00556621" w:rsidRDefault="00C2563C" w:rsidP="00556621">
      <w:pPr>
        <w:pStyle w:val="Heading3"/>
      </w:pPr>
      <w:r>
        <w:t xml:space="preserve">Adopt a power flux density limit </w:t>
      </w:r>
      <w:r w:rsidRPr="00D04242">
        <w:t>of -91 dBW/m</w:t>
      </w:r>
      <w:r w:rsidRPr="00D04242">
        <w:rPr>
          <w:vertAlign w:val="superscript"/>
        </w:rPr>
        <w:t>2</w:t>
      </w:r>
      <w:r w:rsidRPr="00D04242">
        <w:t>/MHz</w:t>
      </w:r>
      <w:r w:rsidR="00556621">
        <w:t xml:space="preserve"> </w:t>
      </w:r>
      <w:r>
        <w:t xml:space="preserve">for maritime ESIM </w:t>
      </w:r>
    </w:p>
    <w:p w14:paraId="161903B1" w14:textId="6C3CBE4B" w:rsidR="00556621" w:rsidRDefault="007E6D0B" w:rsidP="00556621">
      <w:pPr>
        <w:pStyle w:val="Paragraph"/>
      </w:pPr>
      <w:r>
        <w:t xml:space="preserve">All </w:t>
      </w:r>
      <w:r w:rsidR="008C76A5">
        <w:t xml:space="preserve">4 </w:t>
      </w:r>
      <w:r w:rsidR="00752FB2">
        <w:t xml:space="preserve">submissions proposed adopting </w:t>
      </w:r>
      <w:r w:rsidR="00752FB2" w:rsidRPr="00D04242">
        <w:t>a</w:t>
      </w:r>
      <w:r w:rsidR="00752FB2">
        <w:t xml:space="preserve">n onshore </w:t>
      </w:r>
      <w:r w:rsidR="00114CA8">
        <w:t>PFD</w:t>
      </w:r>
      <w:r w:rsidR="00752FB2">
        <w:t xml:space="preserve"> limit </w:t>
      </w:r>
      <w:r w:rsidR="00752FB2" w:rsidRPr="00D04242">
        <w:t>of -91 dBW/m</w:t>
      </w:r>
      <w:r w:rsidR="00752FB2" w:rsidRPr="00D04242">
        <w:rPr>
          <w:vertAlign w:val="superscript"/>
        </w:rPr>
        <w:t>2</w:t>
      </w:r>
      <w:r w:rsidR="00752FB2" w:rsidRPr="00D04242">
        <w:t xml:space="preserve">/MHz, instead of </w:t>
      </w:r>
      <w:r w:rsidR="00752FB2">
        <w:t xml:space="preserve">the proposed </w:t>
      </w:r>
      <w:r w:rsidR="00752FB2">
        <w:noBreakHyphen/>
      </w:r>
      <w:r w:rsidR="00752FB2" w:rsidRPr="00D04242">
        <w:t>112.2 dBW/m</w:t>
      </w:r>
      <w:r w:rsidR="00752FB2" w:rsidRPr="00D04242">
        <w:rPr>
          <w:vertAlign w:val="superscript"/>
        </w:rPr>
        <w:t>2</w:t>
      </w:r>
      <w:r w:rsidR="00752FB2" w:rsidRPr="00D04242">
        <w:t>/MHz</w:t>
      </w:r>
      <w:r w:rsidR="00752FB2">
        <w:t xml:space="preserve"> for maritime ESIM</w:t>
      </w:r>
      <w:r w:rsidR="0023752D">
        <w:t xml:space="preserve">. </w:t>
      </w:r>
      <w:r w:rsidR="00F06F90">
        <w:t>This alternative was proposed as</w:t>
      </w:r>
      <w:r w:rsidR="00203395">
        <w:t xml:space="preserve"> </w:t>
      </w:r>
      <w:r w:rsidR="00C43F64">
        <w:t>it is</w:t>
      </w:r>
      <w:r w:rsidR="0058379D">
        <w:t xml:space="preserve"> </w:t>
      </w:r>
      <w:r w:rsidR="003E15DE">
        <w:t xml:space="preserve">the PFD </w:t>
      </w:r>
      <w:r w:rsidR="001412B5">
        <w:t>value</w:t>
      </w:r>
      <w:r w:rsidR="00DD757C">
        <w:t xml:space="preserve"> </w:t>
      </w:r>
      <w:r w:rsidR="00773756">
        <w:t xml:space="preserve">FWA services </w:t>
      </w:r>
      <w:r w:rsidR="00DD757C">
        <w:t xml:space="preserve">are required </w:t>
      </w:r>
      <w:r w:rsidR="00773756">
        <w:t xml:space="preserve">to meet </w:t>
      </w:r>
      <w:r w:rsidR="003B2854">
        <w:t>at the boundary of their area wide licences (AWLs)</w:t>
      </w:r>
      <w:r w:rsidR="008C76A5">
        <w:t>,</w:t>
      </w:r>
      <w:r w:rsidR="002724E7">
        <w:t xml:space="preserve"> </w:t>
      </w:r>
      <w:r w:rsidR="0017615D">
        <w:t>in accordance</w:t>
      </w:r>
      <w:r w:rsidR="002724E7">
        <w:t xml:space="preserve"> </w:t>
      </w:r>
      <w:r w:rsidR="006A3642">
        <w:t>with</w:t>
      </w:r>
      <w:r w:rsidR="002724E7">
        <w:t xml:space="preserve"> RALI </w:t>
      </w:r>
      <w:r w:rsidR="007E1485">
        <w:t>MS 46</w:t>
      </w:r>
      <w:r w:rsidR="006E4AD3">
        <w:t xml:space="preserve"> and the </w:t>
      </w:r>
      <w:r w:rsidR="006E4AD3" w:rsidRPr="000551BF">
        <w:t>Radiocommunications Licence Conditions (Area-Wide Licence) Determination 2020</w:t>
      </w:r>
      <w:r w:rsidR="006E4AD3">
        <w:t>.</w:t>
      </w:r>
    </w:p>
    <w:p w14:paraId="5C722928" w14:textId="77777777" w:rsidR="00556621" w:rsidRDefault="00556621" w:rsidP="00556621">
      <w:pPr>
        <w:pStyle w:val="Heading4"/>
      </w:pPr>
      <w:r w:rsidRPr="00586A62">
        <w:t>ACMA response</w:t>
      </w:r>
    </w:p>
    <w:p w14:paraId="22A1CDEE" w14:textId="70975241" w:rsidR="00556621" w:rsidRDefault="00556621" w:rsidP="00556621">
      <w:pPr>
        <w:pStyle w:val="Paragraph"/>
      </w:pPr>
      <w:r>
        <w:t>The proposal</w:t>
      </w:r>
      <w:r w:rsidR="00B9170E">
        <w:t xml:space="preserve"> to use a PFD of </w:t>
      </w:r>
      <w:r w:rsidR="00B9170E" w:rsidRPr="00D04242">
        <w:t>-91 dBW/m</w:t>
      </w:r>
      <w:r w:rsidR="00B9170E" w:rsidRPr="00D04242">
        <w:rPr>
          <w:vertAlign w:val="superscript"/>
        </w:rPr>
        <w:t>2</w:t>
      </w:r>
      <w:r w:rsidR="00B9170E" w:rsidRPr="00D04242">
        <w:t>/MHz</w:t>
      </w:r>
      <w:r w:rsidR="00B9170E">
        <w:t xml:space="preserve"> has </w:t>
      </w:r>
      <w:r w:rsidR="005972AB">
        <w:t xml:space="preserve">previously been raised and </w:t>
      </w:r>
      <w:r w:rsidR="00F06F90">
        <w:t xml:space="preserve">we have provided </w:t>
      </w:r>
      <w:r w:rsidR="005972AB">
        <w:t xml:space="preserve">a detailed </w:t>
      </w:r>
      <w:r w:rsidR="00287778" w:rsidRPr="004E09F0">
        <w:t>response to the satellite industry</w:t>
      </w:r>
      <w:r w:rsidR="006F4F02">
        <w:t>, see Appendix B</w:t>
      </w:r>
      <w:r w:rsidR="005972AB" w:rsidRPr="004E09F0">
        <w:t>.</w:t>
      </w:r>
      <w:r w:rsidR="005972AB">
        <w:t xml:space="preserve"> </w:t>
      </w:r>
      <w:r w:rsidR="004D1552">
        <w:t xml:space="preserve">For </w:t>
      </w:r>
      <w:r w:rsidR="007B3DF6">
        <w:t>FWA-to-FWA</w:t>
      </w:r>
      <w:r w:rsidR="004D1552">
        <w:t xml:space="preserve"> coordination, as the base stations can synchro</w:t>
      </w:r>
      <w:r w:rsidR="00EC6067">
        <w:t xml:space="preserve">nise, the dominant interference scenario is from </w:t>
      </w:r>
      <w:r w:rsidR="004466C0">
        <w:t xml:space="preserve">FWA </w:t>
      </w:r>
      <w:r w:rsidR="00EC6067">
        <w:t xml:space="preserve">base station to </w:t>
      </w:r>
      <w:r w:rsidR="004466C0">
        <w:t xml:space="preserve">FWA </w:t>
      </w:r>
      <w:r w:rsidR="00EC6067">
        <w:t>user equipment. In this scenario</w:t>
      </w:r>
      <w:r w:rsidR="00F06F90">
        <w:t>,</w:t>
      </w:r>
      <w:r w:rsidR="00EC6067">
        <w:t xml:space="preserve"> an </w:t>
      </w:r>
      <w:r w:rsidR="009B27D7">
        <w:t xml:space="preserve">I/N of </w:t>
      </w:r>
      <w:r w:rsidR="00F06F90">
        <w:noBreakHyphen/>
      </w:r>
      <w:r w:rsidR="009B27D7">
        <w:t>6 dB and an antenna gain of 0 dBi was used.</w:t>
      </w:r>
      <w:r w:rsidR="00597747">
        <w:t xml:space="preserve"> For ubiquitous FSS to FWA coordination, as the services cannot synchronise, </w:t>
      </w:r>
      <w:r w:rsidR="00072673">
        <w:t>the domina</w:t>
      </w:r>
      <w:r w:rsidR="007F4922">
        <w:t xml:space="preserve">nt interference scenario is from FSS </w:t>
      </w:r>
      <w:r w:rsidR="00583E8C">
        <w:t>earth station to FWA base s</w:t>
      </w:r>
      <w:r w:rsidR="007821F0">
        <w:t>t</w:t>
      </w:r>
      <w:r w:rsidR="00583E8C">
        <w:t>ation. In this scenario</w:t>
      </w:r>
      <w:r w:rsidR="00F06F90">
        <w:t>,</w:t>
      </w:r>
      <w:r w:rsidR="00583E8C">
        <w:t xml:space="preserve"> an I/N of 0 dB</w:t>
      </w:r>
      <w:r w:rsidR="00E728CB">
        <w:t xml:space="preserve"> and an antenna gain of 27</w:t>
      </w:r>
      <w:r w:rsidR="00D76778">
        <w:t>.2</w:t>
      </w:r>
      <w:r w:rsidR="00E728CB">
        <w:t xml:space="preserve"> dBi (29 dBi </w:t>
      </w:r>
      <w:r w:rsidR="00117312">
        <w:t xml:space="preserve">minus </w:t>
      </w:r>
      <w:r w:rsidR="00E728CB">
        <w:t>feeder losses)</w:t>
      </w:r>
      <w:r w:rsidR="00D76778">
        <w:t xml:space="preserve"> was used. It should be noted that both </w:t>
      </w:r>
      <w:r w:rsidR="00213CE3">
        <w:t>scenarios</w:t>
      </w:r>
      <w:r w:rsidR="00D76778">
        <w:t xml:space="preserve"> are actually protected to </w:t>
      </w:r>
      <w:r w:rsidR="00B13DAC">
        <w:t xml:space="preserve">the </w:t>
      </w:r>
      <w:r w:rsidR="00451E3B">
        <w:t xml:space="preserve">same </w:t>
      </w:r>
      <w:r w:rsidR="00D046D1">
        <w:t xml:space="preserve">equivalent </w:t>
      </w:r>
      <w:r w:rsidR="00451E3B">
        <w:t xml:space="preserve">value of </w:t>
      </w:r>
      <w:r w:rsidR="00883438">
        <w:noBreakHyphen/>
        <w:t>85 </w:t>
      </w:r>
      <w:r w:rsidR="0010214A" w:rsidRPr="00D04242">
        <w:t>dBW/m</w:t>
      </w:r>
      <w:r w:rsidR="0010214A" w:rsidRPr="00D04242">
        <w:rPr>
          <w:vertAlign w:val="superscript"/>
        </w:rPr>
        <w:t>2</w:t>
      </w:r>
      <w:r w:rsidR="0010214A" w:rsidRPr="00D04242">
        <w:t>/MHz</w:t>
      </w:r>
      <w:r w:rsidR="0010214A">
        <w:t>.</w:t>
      </w:r>
    </w:p>
    <w:p w14:paraId="248D45FE" w14:textId="4D1E528B" w:rsidR="007821F0" w:rsidRDefault="00F06F90" w:rsidP="00556621">
      <w:pPr>
        <w:pStyle w:val="Paragraph"/>
      </w:pPr>
      <w:r>
        <w:t xml:space="preserve">For these reasons, we </w:t>
      </w:r>
      <w:r w:rsidR="00D8378A">
        <w:t>will</w:t>
      </w:r>
      <w:r w:rsidR="008A219B">
        <w:t xml:space="preserve"> </w:t>
      </w:r>
      <w:r w:rsidR="00C63615">
        <w:t xml:space="preserve">maintain the </w:t>
      </w:r>
      <w:r w:rsidR="009F4F2E">
        <w:t xml:space="preserve">use of an onshore </w:t>
      </w:r>
      <w:r w:rsidR="00114CA8">
        <w:t>PFD</w:t>
      </w:r>
      <w:r w:rsidR="009F4F2E">
        <w:t xml:space="preserve"> limit </w:t>
      </w:r>
      <w:r w:rsidR="009F4F2E" w:rsidRPr="00D04242">
        <w:t xml:space="preserve">of </w:t>
      </w:r>
      <w:r w:rsidR="00883438">
        <w:noBreakHyphen/>
      </w:r>
      <w:r w:rsidR="009F4F2E">
        <w:t>112.</w:t>
      </w:r>
      <w:r w:rsidR="00883438">
        <w:t>2 </w:t>
      </w:r>
      <w:r w:rsidR="009F4F2E" w:rsidRPr="00D04242">
        <w:t>dBW/m</w:t>
      </w:r>
      <w:r w:rsidR="009F4F2E" w:rsidRPr="00D04242">
        <w:rPr>
          <w:vertAlign w:val="superscript"/>
        </w:rPr>
        <w:t>2</w:t>
      </w:r>
      <w:r w:rsidR="009F4F2E" w:rsidRPr="00D04242">
        <w:t>/MHz</w:t>
      </w:r>
      <w:r w:rsidR="009F4F2E">
        <w:t xml:space="preserve"> for maritime ESIM</w:t>
      </w:r>
      <w:r>
        <w:t>,</w:t>
      </w:r>
      <w:r w:rsidR="00A126FC">
        <w:t xml:space="preserve"> as consulted</w:t>
      </w:r>
      <w:r w:rsidR="00CA54A2">
        <w:t xml:space="preserve"> on</w:t>
      </w:r>
      <w:r w:rsidR="009F4F2E">
        <w:t>.</w:t>
      </w:r>
    </w:p>
    <w:p w14:paraId="0CE91D47" w14:textId="30B062B7" w:rsidR="00964221" w:rsidRDefault="00964221" w:rsidP="00964221">
      <w:pPr>
        <w:pStyle w:val="Heading3"/>
      </w:pPr>
      <w:r>
        <w:t>Gate</w:t>
      </w:r>
      <w:r w:rsidR="00F06F90">
        <w:t>-</w:t>
      </w:r>
      <w:r>
        <w:t>to</w:t>
      </w:r>
      <w:r w:rsidR="00F06F90">
        <w:t>-</w:t>
      </w:r>
      <w:r>
        <w:t xml:space="preserve">gate operation for aeronautical and maritime ESIM </w:t>
      </w:r>
    </w:p>
    <w:p w14:paraId="1ADDECA9" w14:textId="1A4AE58E" w:rsidR="004932BB" w:rsidRDefault="004932BB" w:rsidP="004932BB">
      <w:pPr>
        <w:pStyle w:val="Paragraph"/>
      </w:pPr>
      <w:r w:rsidRPr="00964221">
        <w:t xml:space="preserve">Viasat </w:t>
      </w:r>
      <w:r w:rsidR="00F45A05">
        <w:t xml:space="preserve">indicated support </w:t>
      </w:r>
      <w:r w:rsidR="00F45A05" w:rsidRPr="004E09F0">
        <w:t>for</w:t>
      </w:r>
      <w:r w:rsidRPr="004E09F0">
        <w:t xml:space="preserve"> </w:t>
      </w:r>
      <w:r w:rsidR="002E35C6" w:rsidRPr="004E09F0">
        <w:t>u</w:t>
      </w:r>
      <w:r w:rsidR="00541006" w:rsidRPr="004E09F0">
        <w:t>biquitous FSS arrangements to cater</w:t>
      </w:r>
      <w:r w:rsidR="00541006">
        <w:t xml:space="preserve"> for </w:t>
      </w:r>
      <w:r w:rsidRPr="00964221">
        <w:t>gate</w:t>
      </w:r>
      <w:r w:rsidR="003700A9">
        <w:t>-to</w:t>
      </w:r>
      <w:r w:rsidRPr="00964221">
        <w:t>-gate</w:t>
      </w:r>
      <w:r w:rsidR="00460FDD">
        <w:t xml:space="preserve"> and pier</w:t>
      </w:r>
      <w:r w:rsidR="003700A9">
        <w:t>-to-pier</w:t>
      </w:r>
      <w:r w:rsidRPr="00964221">
        <w:t xml:space="preserve"> </w:t>
      </w:r>
      <w:r w:rsidR="00BC1F9B" w:rsidRPr="00964221">
        <w:t xml:space="preserve">operation </w:t>
      </w:r>
      <w:r w:rsidRPr="00964221">
        <w:t xml:space="preserve">for aeronautical and maritime </w:t>
      </w:r>
      <w:r w:rsidR="008C0639">
        <w:t>ESIM</w:t>
      </w:r>
      <w:r w:rsidR="00C16B4D">
        <w:t>,</w:t>
      </w:r>
      <w:r w:rsidR="0058250C">
        <w:t xml:space="preserve"> respectively</w:t>
      </w:r>
      <w:r w:rsidRPr="00964221">
        <w:t>.</w:t>
      </w:r>
      <w:r>
        <w:t xml:space="preserve"> </w:t>
      </w:r>
      <w:r w:rsidR="007853B8">
        <w:t xml:space="preserve">Viasat </w:t>
      </w:r>
      <w:r w:rsidR="00D736A6">
        <w:t>stated</w:t>
      </w:r>
      <w:r w:rsidR="007853B8">
        <w:t xml:space="preserve"> that it would be </w:t>
      </w:r>
      <w:r w:rsidR="00015F3C">
        <w:t xml:space="preserve">desirable for their </w:t>
      </w:r>
      <w:r w:rsidR="001D7CE7">
        <w:t>networks</w:t>
      </w:r>
      <w:r w:rsidR="00015F3C">
        <w:t xml:space="preserve"> to have the ability</w:t>
      </w:r>
      <w:r w:rsidR="001D7CE7">
        <w:t xml:space="preserve"> operate</w:t>
      </w:r>
      <w:r w:rsidR="00162E31">
        <w:t xml:space="preserve"> </w:t>
      </w:r>
      <w:r w:rsidR="00162E31" w:rsidRPr="00964221">
        <w:t>gate-</w:t>
      </w:r>
      <w:r w:rsidR="00162E31">
        <w:t>to</w:t>
      </w:r>
      <w:r w:rsidR="00162E31" w:rsidRPr="00964221">
        <w:t xml:space="preserve">-gate </w:t>
      </w:r>
      <w:r w:rsidR="00162E31">
        <w:t>and pier-to-pier.</w:t>
      </w:r>
    </w:p>
    <w:p w14:paraId="4D6A8084" w14:textId="77777777" w:rsidR="00964221" w:rsidRDefault="00964221" w:rsidP="00964221">
      <w:pPr>
        <w:pStyle w:val="Heading4"/>
      </w:pPr>
      <w:r w:rsidRPr="00586A62">
        <w:t>ACMA response</w:t>
      </w:r>
    </w:p>
    <w:p w14:paraId="18F28B0E" w14:textId="1F517C02" w:rsidR="002732D8" w:rsidRDefault="00964221" w:rsidP="00964221">
      <w:pPr>
        <w:pStyle w:val="Paragraph"/>
      </w:pPr>
      <w:r>
        <w:t xml:space="preserve">The </w:t>
      </w:r>
      <w:r w:rsidR="00066B22">
        <w:t xml:space="preserve">ACMA considered </w:t>
      </w:r>
      <w:r w:rsidR="000B5808" w:rsidRPr="000B5808">
        <w:t xml:space="preserve">the use of ubiquitous FSS use in </w:t>
      </w:r>
      <w:r w:rsidR="000B5808">
        <w:t xml:space="preserve">defined </w:t>
      </w:r>
      <w:r w:rsidR="000B5808" w:rsidRPr="000B5808">
        <w:t>pop</w:t>
      </w:r>
      <w:r w:rsidR="000B5808">
        <w:t>ulation</w:t>
      </w:r>
      <w:r w:rsidR="000B5808" w:rsidRPr="000B5808">
        <w:t xml:space="preserve"> areas</w:t>
      </w:r>
      <w:r w:rsidR="000B5808" w:rsidRPr="000B5808" w:rsidDel="000B5808">
        <w:t xml:space="preserve"> </w:t>
      </w:r>
      <w:r w:rsidR="008F1F05">
        <w:t>in its initial study</w:t>
      </w:r>
      <w:r w:rsidR="00BC0DD6">
        <w:t>,</w:t>
      </w:r>
      <w:r w:rsidR="00BC0DD6" w:rsidRPr="00BC0DD6">
        <w:t xml:space="preserve"> </w:t>
      </w:r>
      <w:hyperlink r:id="rId45" w:history="1">
        <w:r w:rsidR="00BC0DD6" w:rsidRPr="00F359F4">
          <w:rPr>
            <w:rStyle w:val="Hyperlink"/>
            <w:i/>
            <w:iCs/>
            <w:szCs w:val="20"/>
          </w:rPr>
          <w:t>Uncoordinated ubiquitous FSS earth station coexistence with FWA in the 28 GHz band</w:t>
        </w:r>
      </w:hyperlink>
      <w:r w:rsidR="002732D8">
        <w:t xml:space="preserve">. </w:t>
      </w:r>
      <w:r w:rsidR="000B5257">
        <w:t xml:space="preserve">The </w:t>
      </w:r>
      <w:r w:rsidR="00D47492">
        <w:t>issue</w:t>
      </w:r>
      <w:r w:rsidR="008F1F05">
        <w:t xml:space="preserve"> has previously been raised and </w:t>
      </w:r>
      <w:r w:rsidR="00F06F90">
        <w:t xml:space="preserve">we provided </w:t>
      </w:r>
      <w:r w:rsidR="008F1F05">
        <w:t xml:space="preserve">a detailed </w:t>
      </w:r>
      <w:r w:rsidR="00323F5B">
        <w:t>response to the satellite industry</w:t>
      </w:r>
      <w:r w:rsidR="006F4F02">
        <w:t>, see Appendix B</w:t>
      </w:r>
      <w:r w:rsidR="008F1F05">
        <w:t xml:space="preserve">. </w:t>
      </w:r>
      <w:r w:rsidR="00D47492">
        <w:t xml:space="preserve">The </w:t>
      </w:r>
      <w:r w:rsidR="006B4E73">
        <w:t xml:space="preserve">interference concern is the inability for an ESIM to meet </w:t>
      </w:r>
      <w:r w:rsidR="00CC325D">
        <w:t xml:space="preserve">the required </w:t>
      </w:r>
      <w:r w:rsidR="00114CA8">
        <w:t>PFD</w:t>
      </w:r>
      <w:r w:rsidR="00972942">
        <w:t xml:space="preserve"> of </w:t>
      </w:r>
      <w:r w:rsidR="00972942">
        <w:noBreakHyphen/>
      </w:r>
      <w:r w:rsidR="00972942" w:rsidRPr="00D04242">
        <w:t>112.2 dBW/m</w:t>
      </w:r>
      <w:r w:rsidR="00972942" w:rsidRPr="00D04242">
        <w:rPr>
          <w:vertAlign w:val="superscript"/>
        </w:rPr>
        <w:t>2</w:t>
      </w:r>
      <w:r w:rsidR="00972942" w:rsidRPr="00D04242">
        <w:t>/MHz</w:t>
      </w:r>
      <w:r w:rsidR="00972942">
        <w:t xml:space="preserve"> to protect FWA base stations. Due to the </w:t>
      </w:r>
      <w:r w:rsidR="00C740B8">
        <w:t>operational</w:t>
      </w:r>
      <w:r w:rsidR="00836460">
        <w:t xml:space="preserve"> nature of aeronautical ESIM</w:t>
      </w:r>
      <w:r w:rsidR="008B66F4">
        <w:t xml:space="preserve"> (</w:t>
      </w:r>
      <w:r w:rsidR="00F06F90">
        <w:t xml:space="preserve">that is, </w:t>
      </w:r>
      <w:r w:rsidR="007A31A8">
        <w:t>communicating with a satellite)</w:t>
      </w:r>
      <w:r w:rsidR="003061EA">
        <w:t xml:space="preserve">, when </w:t>
      </w:r>
      <w:r w:rsidR="003F37BF">
        <w:t>an aeronautical ESIM is airborne</w:t>
      </w:r>
      <w:r w:rsidR="00F06F90">
        <w:t>,</w:t>
      </w:r>
      <w:r w:rsidR="007A31A8">
        <w:t xml:space="preserve"> </w:t>
      </w:r>
      <w:r w:rsidR="00D23D39">
        <w:t xml:space="preserve">it operates above </w:t>
      </w:r>
      <w:r w:rsidR="00A81D1B">
        <w:t xml:space="preserve">an FWA base station and thus </w:t>
      </w:r>
      <w:r w:rsidR="00241A0B">
        <w:t>benefits</w:t>
      </w:r>
      <w:r w:rsidR="00A81D1B">
        <w:t xml:space="preserve"> from </w:t>
      </w:r>
      <w:r w:rsidR="00F6578E">
        <w:t>the increased attenuation due to antenna discrimination.</w:t>
      </w:r>
      <w:r w:rsidR="003A2D60">
        <w:t xml:space="preserve"> </w:t>
      </w:r>
      <w:r w:rsidR="009A3623">
        <w:t>However, when</w:t>
      </w:r>
      <w:r w:rsidR="003A2D60">
        <w:t xml:space="preserve"> an aeronautical ESIM </w:t>
      </w:r>
      <w:r w:rsidR="000A49DF">
        <w:t>has</w:t>
      </w:r>
      <w:r w:rsidR="003A2D60">
        <w:t xml:space="preserve"> landed</w:t>
      </w:r>
      <w:r w:rsidR="00F06F90">
        <w:t>,</w:t>
      </w:r>
      <w:r w:rsidR="003A2D60">
        <w:t xml:space="preserve"> it does not</w:t>
      </w:r>
      <w:r w:rsidR="00D32C2A">
        <w:t xml:space="preserve"> benefit from any increased attenuation</w:t>
      </w:r>
      <w:r w:rsidR="00005099">
        <w:t>.</w:t>
      </w:r>
      <w:r w:rsidR="00D031CC">
        <w:t xml:space="preserve"> </w:t>
      </w:r>
      <w:r w:rsidR="009A3623">
        <w:t>Therefore,</w:t>
      </w:r>
      <w:r w:rsidR="00836460">
        <w:t xml:space="preserve"> </w:t>
      </w:r>
      <w:r w:rsidR="00F06F90">
        <w:t xml:space="preserve">we </w:t>
      </w:r>
      <w:r w:rsidR="00097818">
        <w:t>proposed licensing arrangements</w:t>
      </w:r>
      <w:r w:rsidR="00A44DC3">
        <w:t xml:space="preserve"> to only allow aeronautical ESIM to opera</w:t>
      </w:r>
      <w:r w:rsidR="000C1201">
        <w:t xml:space="preserve">te while airborne. </w:t>
      </w:r>
      <w:r w:rsidR="00F60A8A">
        <w:t>Similarly for</w:t>
      </w:r>
      <w:r w:rsidR="000C1201">
        <w:t xml:space="preserve"> maritime ESIM</w:t>
      </w:r>
      <w:r w:rsidR="007E3FE7">
        <w:t>,</w:t>
      </w:r>
      <w:r w:rsidR="000C1201">
        <w:t xml:space="preserve"> </w:t>
      </w:r>
      <w:r w:rsidR="00F06F90">
        <w:t xml:space="preserve">we </w:t>
      </w:r>
      <w:r w:rsidR="00097818">
        <w:t xml:space="preserve">proposed licensing arrangements </w:t>
      </w:r>
      <w:r w:rsidR="002A678F">
        <w:t xml:space="preserve">that allow </w:t>
      </w:r>
      <w:r w:rsidR="008251B3">
        <w:t xml:space="preserve">maritime </w:t>
      </w:r>
      <w:r w:rsidR="00B938BA">
        <w:t xml:space="preserve">stations </w:t>
      </w:r>
      <w:r w:rsidR="008251B3">
        <w:t>to operate at any location</w:t>
      </w:r>
      <w:r w:rsidR="00F06F90">
        <w:t>,</w:t>
      </w:r>
      <w:r w:rsidR="008251B3">
        <w:t xml:space="preserve"> </w:t>
      </w:r>
      <w:r w:rsidR="00222BD5">
        <w:t>provided</w:t>
      </w:r>
      <w:r w:rsidR="008251B3">
        <w:t xml:space="preserve"> the</w:t>
      </w:r>
      <w:r w:rsidR="00574111">
        <w:t>y</w:t>
      </w:r>
      <w:r w:rsidR="008251B3">
        <w:t xml:space="preserve"> meet the requirement </w:t>
      </w:r>
      <w:r w:rsidR="003C7B2F">
        <w:t xml:space="preserve">of a </w:t>
      </w:r>
      <w:r w:rsidR="00114CA8">
        <w:t>PFD</w:t>
      </w:r>
      <w:r w:rsidR="003C7B2F">
        <w:t xml:space="preserve"> of </w:t>
      </w:r>
      <w:r w:rsidR="003C7B2F">
        <w:noBreakHyphen/>
      </w:r>
      <w:r w:rsidR="003C7B2F" w:rsidRPr="00D04242">
        <w:t>112.</w:t>
      </w:r>
      <w:r w:rsidR="00883438" w:rsidRPr="00D04242">
        <w:t>2</w:t>
      </w:r>
      <w:r w:rsidR="00883438">
        <w:t> </w:t>
      </w:r>
      <w:r w:rsidR="003C7B2F" w:rsidRPr="00D04242">
        <w:t>dBW/m</w:t>
      </w:r>
      <w:r w:rsidR="003C7B2F" w:rsidRPr="00D04242">
        <w:rPr>
          <w:vertAlign w:val="superscript"/>
        </w:rPr>
        <w:t>2</w:t>
      </w:r>
      <w:r w:rsidR="003C7B2F" w:rsidRPr="00D04242">
        <w:t>/MHz</w:t>
      </w:r>
      <w:r w:rsidR="003C7B2F">
        <w:t xml:space="preserve"> onshore</w:t>
      </w:r>
      <w:r w:rsidR="00005099">
        <w:t xml:space="preserve"> in defined areas between </w:t>
      </w:r>
      <w:r w:rsidR="00CC6AD7">
        <w:t>27.5–28.1 GHz</w:t>
      </w:r>
      <w:r w:rsidR="003C7B2F">
        <w:t>.</w:t>
      </w:r>
    </w:p>
    <w:p w14:paraId="6131C4CE" w14:textId="34BFF91E" w:rsidR="003C7B2F" w:rsidRDefault="00F06F90" w:rsidP="003C7B2F">
      <w:pPr>
        <w:pStyle w:val="Paragraph"/>
      </w:pPr>
      <w:r>
        <w:t xml:space="preserve">For these reasons, we </w:t>
      </w:r>
      <w:r w:rsidR="00D8378A">
        <w:t>will</w:t>
      </w:r>
      <w:r w:rsidR="008A219B">
        <w:t xml:space="preserve"> </w:t>
      </w:r>
      <w:r w:rsidR="001A36BC">
        <w:t xml:space="preserve">maintain </w:t>
      </w:r>
      <w:r w:rsidR="00F201DA">
        <w:t>the implementation of</w:t>
      </w:r>
      <w:r w:rsidR="003C7B2F">
        <w:t xml:space="preserve"> </w:t>
      </w:r>
      <w:r>
        <w:t xml:space="preserve">our </w:t>
      </w:r>
      <w:r w:rsidR="0046478E">
        <w:t>planning decisions</w:t>
      </w:r>
      <w:r w:rsidR="003C7B2F">
        <w:t xml:space="preserve"> on </w:t>
      </w:r>
      <w:r w:rsidR="0046478E">
        <w:t xml:space="preserve">the </w:t>
      </w:r>
      <w:r w:rsidR="003C7B2F">
        <w:t>operation</w:t>
      </w:r>
      <w:r w:rsidR="0046478E">
        <w:t xml:space="preserve"> of </w:t>
      </w:r>
      <w:r w:rsidR="004C41E4">
        <w:t>ubiquitous</w:t>
      </w:r>
      <w:r w:rsidR="0046478E">
        <w:t xml:space="preserve"> FSS in defined population centres</w:t>
      </w:r>
      <w:r w:rsidR="00AD49F2">
        <w:t>,</w:t>
      </w:r>
      <w:r w:rsidR="00AA7D11">
        <w:t xml:space="preserve"> as consulted</w:t>
      </w:r>
      <w:r w:rsidR="00D14A15">
        <w:t xml:space="preserve"> on</w:t>
      </w:r>
      <w:r w:rsidR="003C7B2F">
        <w:t>.</w:t>
      </w:r>
    </w:p>
    <w:p w14:paraId="116791B8" w14:textId="40218F29" w:rsidR="006D2A51" w:rsidRDefault="009A3E14" w:rsidP="006D2A51">
      <w:pPr>
        <w:pStyle w:val="Heading3"/>
      </w:pPr>
      <w:r>
        <w:t xml:space="preserve">Use of </w:t>
      </w:r>
      <w:r w:rsidR="0093063E" w:rsidRPr="00D04242">
        <w:t xml:space="preserve">unwanted emission criteria to manage adjacent band </w:t>
      </w:r>
      <w:r w:rsidR="0093063E">
        <w:t>coexistence</w:t>
      </w:r>
      <w:r w:rsidR="006D2A51">
        <w:t xml:space="preserve"> </w:t>
      </w:r>
    </w:p>
    <w:p w14:paraId="4D4DEBAD" w14:textId="098B9C2B" w:rsidR="006D2A51" w:rsidRDefault="004E7EA9" w:rsidP="006D2A51">
      <w:pPr>
        <w:pStyle w:val="Paragraph"/>
      </w:pPr>
      <w:r w:rsidRPr="004E7EA9">
        <w:t xml:space="preserve">All </w:t>
      </w:r>
      <w:r w:rsidR="00F06F90">
        <w:t>4</w:t>
      </w:r>
      <w:r w:rsidR="00F06F90" w:rsidRPr="004E7EA9">
        <w:t xml:space="preserve"> </w:t>
      </w:r>
      <w:r w:rsidRPr="004E7EA9">
        <w:t xml:space="preserve">submissions </w:t>
      </w:r>
      <w:r w:rsidR="0069350A">
        <w:t xml:space="preserve">indicated their preference to not </w:t>
      </w:r>
      <w:r w:rsidR="005C5C65">
        <w:t>use</w:t>
      </w:r>
      <w:r w:rsidR="0069350A">
        <w:t xml:space="preserve"> </w:t>
      </w:r>
      <w:r w:rsidR="00734E6A">
        <w:t xml:space="preserve">a guard band </w:t>
      </w:r>
      <w:r w:rsidR="00C975D6" w:rsidRPr="004E7EA9">
        <w:t>to manage adjacent band coexistence</w:t>
      </w:r>
      <w:r w:rsidR="00C975D6">
        <w:t xml:space="preserve">. SSWG </w:t>
      </w:r>
      <w:r w:rsidRPr="004E7EA9">
        <w:t>proposed using unwanted emission criteria to manage adjacent band coexistence at 28.1 GHz</w:t>
      </w:r>
      <w:r w:rsidR="0080222E">
        <w:t>,</w:t>
      </w:r>
      <w:r w:rsidRPr="004E7EA9">
        <w:t xml:space="preserve"> instead of the guard bands proposed.</w:t>
      </w:r>
      <w:r w:rsidR="00015364">
        <w:t xml:space="preserve"> Using unwanted emission criteria would be less onerous on </w:t>
      </w:r>
      <w:r w:rsidR="00F70BF7">
        <w:t>licensees and would be potentially more spectrally efficient.</w:t>
      </w:r>
    </w:p>
    <w:p w14:paraId="41572FA7" w14:textId="77777777" w:rsidR="006D2A51" w:rsidRDefault="006D2A51" w:rsidP="006D2A51">
      <w:pPr>
        <w:pStyle w:val="Heading4"/>
      </w:pPr>
      <w:r w:rsidRPr="00586A62">
        <w:lastRenderedPageBreak/>
        <w:t>ACMA response</w:t>
      </w:r>
    </w:p>
    <w:p w14:paraId="4C102CA1" w14:textId="72F15E70" w:rsidR="00513C83" w:rsidRDefault="0080222E" w:rsidP="006D2A51">
      <w:pPr>
        <w:pStyle w:val="Paragraph"/>
      </w:pPr>
      <w:r>
        <w:t>We</w:t>
      </w:r>
      <w:r w:rsidR="006D2A51">
        <w:t xml:space="preserve"> considered </w:t>
      </w:r>
      <w:r w:rsidR="008F411A">
        <w:t>adjacent band coexistence</w:t>
      </w:r>
      <w:r w:rsidR="006D2A51">
        <w:t xml:space="preserve"> in </w:t>
      </w:r>
      <w:r>
        <w:t xml:space="preserve">our </w:t>
      </w:r>
      <w:r w:rsidR="006D2A51">
        <w:t>initial study</w:t>
      </w:r>
      <w:r w:rsidR="00BC0DD6">
        <w:t>,</w:t>
      </w:r>
      <w:r w:rsidR="00BC0DD6" w:rsidRPr="00BC0DD6">
        <w:t xml:space="preserve"> </w:t>
      </w:r>
      <w:hyperlink r:id="rId46" w:history="1">
        <w:r w:rsidR="00BC0DD6" w:rsidRPr="004F0021">
          <w:rPr>
            <w:rStyle w:val="Hyperlink"/>
            <w:i/>
            <w:iCs/>
            <w:szCs w:val="20"/>
          </w:rPr>
          <w:t>Uncoordinated ubiquitous FSS earth station coexistence with FWA in the 28 GHz band</w:t>
        </w:r>
      </w:hyperlink>
      <w:r w:rsidR="006D2A51">
        <w:t xml:space="preserve">. The issue has previously been raised and a detailed </w:t>
      </w:r>
      <w:r w:rsidR="0003051B">
        <w:t xml:space="preserve">response provided </w:t>
      </w:r>
      <w:r>
        <w:t xml:space="preserve">our </w:t>
      </w:r>
      <w:r w:rsidR="0003051B">
        <w:t>consideration of the issue</w:t>
      </w:r>
      <w:r w:rsidR="00BC0DD6">
        <w:t>, see Appendix B</w:t>
      </w:r>
      <w:r w:rsidR="006D2A51">
        <w:t xml:space="preserve">. </w:t>
      </w:r>
    </w:p>
    <w:p w14:paraId="74D243A8" w14:textId="1BAB53D3" w:rsidR="00513C83" w:rsidRDefault="006D2A51" w:rsidP="00F359F4">
      <w:pPr>
        <w:pStyle w:val="Paragraphbeforelist"/>
      </w:pPr>
      <w:r>
        <w:t xml:space="preserve">The </w:t>
      </w:r>
      <w:r w:rsidR="008F411A">
        <w:t xml:space="preserve">use of </w:t>
      </w:r>
      <w:r w:rsidR="00241C39">
        <w:t xml:space="preserve">unwanted </w:t>
      </w:r>
      <w:r w:rsidR="008F411A">
        <w:t xml:space="preserve">emission </w:t>
      </w:r>
      <w:r w:rsidR="00241C39">
        <w:t xml:space="preserve">criteria is a regularly used </w:t>
      </w:r>
      <w:r w:rsidR="00AA04CD">
        <w:t xml:space="preserve">method in </w:t>
      </w:r>
      <w:r w:rsidR="00121AB8">
        <w:t>spectrum manag</w:t>
      </w:r>
      <w:r w:rsidR="000B4BC3">
        <w:t>e</w:t>
      </w:r>
      <w:r w:rsidR="00121AB8">
        <w:t>ment</w:t>
      </w:r>
      <w:r w:rsidR="00E152EC">
        <w:t>;</w:t>
      </w:r>
      <w:r w:rsidR="00AA04CD">
        <w:t xml:space="preserve"> </w:t>
      </w:r>
      <w:r w:rsidR="00E152EC">
        <w:t>however</w:t>
      </w:r>
      <w:r w:rsidR="00CC76B9">
        <w:t>,</w:t>
      </w:r>
      <w:r w:rsidR="00AA04CD">
        <w:t xml:space="preserve"> in this scenario it would not have provided </w:t>
      </w:r>
      <w:r w:rsidR="00E8728D">
        <w:t>an optimal solution. With the adjacent band coexistence between FWA and ubiquitous FSS</w:t>
      </w:r>
      <w:r w:rsidR="0080222E">
        <w:t>,</w:t>
      </w:r>
      <w:r w:rsidR="00E8728D">
        <w:t xml:space="preserve"> </w:t>
      </w:r>
      <w:r w:rsidR="002B3887">
        <w:t xml:space="preserve">there are 2 interference </w:t>
      </w:r>
      <w:r w:rsidR="00103DA3">
        <w:t xml:space="preserve">mechanism that </w:t>
      </w:r>
      <w:r w:rsidR="00B30D13">
        <w:t>were</w:t>
      </w:r>
      <w:r w:rsidR="00103DA3">
        <w:t xml:space="preserve"> considered</w:t>
      </w:r>
      <w:r w:rsidR="00160DD6">
        <w:t>:</w:t>
      </w:r>
    </w:p>
    <w:p w14:paraId="668E0925" w14:textId="22F96206" w:rsidR="00513C83" w:rsidRDefault="00103DA3" w:rsidP="0039285D">
      <w:pPr>
        <w:pStyle w:val="Numberlistlevel1"/>
      </w:pPr>
      <w:r>
        <w:t xml:space="preserve">the unwanted emissions from ubiquitous FSS </w:t>
      </w:r>
      <w:r w:rsidR="004F56BB">
        <w:t>interfering with F</w:t>
      </w:r>
      <w:r w:rsidR="002A4695">
        <w:t xml:space="preserve">WA receivers </w:t>
      </w:r>
    </w:p>
    <w:p w14:paraId="479444C3" w14:textId="43EBE5C6" w:rsidR="00513C83" w:rsidRDefault="002A4695" w:rsidP="00C46DA2">
      <w:pPr>
        <w:pStyle w:val="Numberlistlast"/>
      </w:pPr>
      <w:r>
        <w:t xml:space="preserve">the adjacent </w:t>
      </w:r>
      <w:r w:rsidR="00E14E1B">
        <w:t>c</w:t>
      </w:r>
      <w:r>
        <w:t xml:space="preserve">hannel </w:t>
      </w:r>
      <w:r w:rsidR="00F14E0D">
        <w:t xml:space="preserve">selectivity of the </w:t>
      </w:r>
      <w:r w:rsidR="00C76B42">
        <w:t>FWA receiver.</w:t>
      </w:r>
      <w:r w:rsidR="006906D4">
        <w:t xml:space="preserve"> </w:t>
      </w:r>
    </w:p>
    <w:p w14:paraId="48CBF169" w14:textId="786EED4C" w:rsidR="006D2A51" w:rsidRDefault="006906D4" w:rsidP="00C46DA2">
      <w:pPr>
        <w:pStyle w:val="Paragraph"/>
      </w:pPr>
      <w:r>
        <w:t xml:space="preserve">As the adjacent channel selectivity of the FWA receiver is the dominant </w:t>
      </w:r>
      <w:r w:rsidR="00180380">
        <w:t xml:space="preserve">mechanism, using unwanted </w:t>
      </w:r>
      <w:r w:rsidR="00355011">
        <w:t xml:space="preserve">emission criteria to manage adjacent </w:t>
      </w:r>
      <w:r w:rsidR="000812AB">
        <w:t xml:space="preserve">channels </w:t>
      </w:r>
      <w:r w:rsidR="00355011">
        <w:t xml:space="preserve">would not </w:t>
      </w:r>
      <w:r w:rsidR="00B50DD0">
        <w:t xml:space="preserve">decrease the required guard band of 50 MHz but would </w:t>
      </w:r>
      <w:r w:rsidR="00202E8F">
        <w:t>place the required frequency separation on the FWA</w:t>
      </w:r>
      <w:r w:rsidR="004929FD">
        <w:t xml:space="preserve"> device. That is</w:t>
      </w:r>
      <w:r w:rsidR="00F84232">
        <w:t>,</w:t>
      </w:r>
      <w:r w:rsidR="004929FD">
        <w:t xml:space="preserve"> the guard band would be effectively between 28.05–28.1 GHz. </w:t>
      </w:r>
      <w:r w:rsidR="008E385B">
        <w:t xml:space="preserve">Given the amount of spectrum already provided to </w:t>
      </w:r>
      <w:r w:rsidR="00D31922">
        <w:t>class</w:t>
      </w:r>
      <w:r w:rsidR="00D8378A">
        <w:t>-</w:t>
      </w:r>
      <w:r w:rsidR="00D31922">
        <w:t>licen</w:t>
      </w:r>
      <w:r w:rsidR="001C65DC">
        <w:t>s</w:t>
      </w:r>
      <w:r w:rsidR="00D31922">
        <w:t xml:space="preserve">ed </w:t>
      </w:r>
      <w:r w:rsidR="008E385B">
        <w:t>ubiquitous FSS of 1.</w:t>
      </w:r>
      <w:r w:rsidR="00CD212C">
        <w:t>2</w:t>
      </w:r>
      <w:r w:rsidR="008E385B">
        <w:t xml:space="preserve"> GHz</w:t>
      </w:r>
      <w:r w:rsidR="00D8378A">
        <w:t>,</w:t>
      </w:r>
      <w:r w:rsidR="008E385B">
        <w:t xml:space="preserve"> an</w:t>
      </w:r>
      <w:r w:rsidR="00AA1ED7">
        <w:t xml:space="preserve">d the proposed </w:t>
      </w:r>
      <w:r w:rsidR="00382B14">
        <w:t xml:space="preserve">amount of </w:t>
      </w:r>
      <w:r w:rsidR="00AA1ED7">
        <w:t xml:space="preserve">spectrum </w:t>
      </w:r>
      <w:r w:rsidR="00CD212C">
        <w:t xml:space="preserve">of 600 MHz </w:t>
      </w:r>
      <w:r w:rsidR="0000123B">
        <w:t xml:space="preserve">for </w:t>
      </w:r>
      <w:r w:rsidR="00D31922">
        <w:t>apparatus</w:t>
      </w:r>
      <w:r w:rsidR="00D8378A">
        <w:t>-</w:t>
      </w:r>
      <w:r w:rsidR="00D31922">
        <w:t>licen</w:t>
      </w:r>
      <w:r w:rsidR="0000123B">
        <w:t>s</w:t>
      </w:r>
      <w:r w:rsidR="00D31922">
        <w:t xml:space="preserve">ed </w:t>
      </w:r>
      <w:r w:rsidR="00CD212C">
        <w:t xml:space="preserve">FWA, </w:t>
      </w:r>
      <w:r w:rsidR="00D8378A">
        <w:t xml:space="preserve">we </w:t>
      </w:r>
      <w:r w:rsidR="00CD212C">
        <w:t xml:space="preserve">decided to impose the </w:t>
      </w:r>
      <w:r w:rsidR="00A81FF3">
        <w:t>required guard band above the 28.1 GHz boundary.</w:t>
      </w:r>
    </w:p>
    <w:p w14:paraId="52F91785" w14:textId="39B121E4" w:rsidR="006D2A51" w:rsidRDefault="00D8378A" w:rsidP="006D2A51">
      <w:pPr>
        <w:pStyle w:val="Paragraph"/>
      </w:pPr>
      <w:r>
        <w:t xml:space="preserve">For these reasons, we will </w:t>
      </w:r>
      <w:r w:rsidR="00617E9F">
        <w:t>maintain the use of</w:t>
      </w:r>
      <w:r w:rsidR="007531EC">
        <w:t xml:space="preserve"> a guard band </w:t>
      </w:r>
      <w:r w:rsidR="00106848">
        <w:t>as consulted</w:t>
      </w:r>
      <w:r>
        <w:t xml:space="preserve"> on</w:t>
      </w:r>
      <w:r w:rsidR="00106848">
        <w:t xml:space="preserve">, </w:t>
      </w:r>
      <w:r w:rsidR="007531EC">
        <w:t xml:space="preserve">to ensure </w:t>
      </w:r>
      <w:r w:rsidR="00114DC3">
        <w:t xml:space="preserve">effective </w:t>
      </w:r>
      <w:r w:rsidR="007531EC">
        <w:t xml:space="preserve">adjacent </w:t>
      </w:r>
      <w:r w:rsidR="00114DC3">
        <w:t xml:space="preserve">band </w:t>
      </w:r>
      <w:r w:rsidR="006D2A51">
        <w:t>operation.</w:t>
      </w:r>
    </w:p>
    <w:p w14:paraId="6C466E92" w14:textId="773A9D71" w:rsidR="006C0709" w:rsidRDefault="006C6028" w:rsidP="006C0709">
      <w:pPr>
        <w:pStyle w:val="Heading3"/>
      </w:pPr>
      <w:r>
        <w:t xml:space="preserve">Aeronautical ESIM to adopt ECC criteria instead of </w:t>
      </w:r>
      <w:r w:rsidR="00AD7749" w:rsidRPr="001E66FE">
        <w:t>ITU-R Resolution 169 criteria</w:t>
      </w:r>
    </w:p>
    <w:p w14:paraId="36936B38" w14:textId="12A6A37C" w:rsidR="001E66FE" w:rsidRDefault="00052F92" w:rsidP="006C0709">
      <w:pPr>
        <w:pStyle w:val="Paragraph"/>
      </w:pPr>
      <w:r>
        <w:t xml:space="preserve">In previous submissions to the ACMA, Viasat indicated that ACMA should not use the </w:t>
      </w:r>
      <w:r w:rsidR="009D6382" w:rsidRPr="001E66FE">
        <w:t>ITU-R Resolution 169 criteria</w:t>
      </w:r>
      <w:r w:rsidR="009D6382">
        <w:t xml:space="preserve"> but instead use the </w:t>
      </w:r>
      <w:r w:rsidR="00702ACF">
        <w:t xml:space="preserve">criteria </w:t>
      </w:r>
      <w:r w:rsidR="006B0E29">
        <w:t xml:space="preserve">adopted by Europe. </w:t>
      </w:r>
      <w:r w:rsidR="00DF0D0A">
        <w:t>T</w:t>
      </w:r>
      <w:r w:rsidR="00412E7C">
        <w:t xml:space="preserve">his direction was based on Viasat’s assertion that the </w:t>
      </w:r>
      <w:r w:rsidR="007743C1" w:rsidRPr="001E66FE">
        <w:t>ITU-R Resolution 169 criteria</w:t>
      </w:r>
      <w:r w:rsidR="007743C1">
        <w:t xml:space="preserve"> was arbitrarily constructed to gain agreement at WRC-19</w:t>
      </w:r>
      <w:r w:rsidR="00FE52E9">
        <w:t xml:space="preserve">. In </w:t>
      </w:r>
      <w:r w:rsidR="001E66FE" w:rsidRPr="001E66FE">
        <w:t>Viasat</w:t>
      </w:r>
      <w:r w:rsidR="00FE52E9">
        <w:t xml:space="preserve">’s submission to the consultation, </w:t>
      </w:r>
      <w:r w:rsidR="00394D97">
        <w:t>it</w:t>
      </w:r>
      <w:r w:rsidR="00394D97" w:rsidRPr="001E66FE">
        <w:t xml:space="preserve"> </w:t>
      </w:r>
      <w:r w:rsidR="001E66FE" w:rsidRPr="001E66FE">
        <w:t>proposed that the ACMA adopt Australian</w:t>
      </w:r>
      <w:r w:rsidR="00D8378A">
        <w:t>-</w:t>
      </w:r>
      <w:r w:rsidR="001E66FE" w:rsidRPr="001E66FE">
        <w:t xml:space="preserve">defined </w:t>
      </w:r>
      <w:r w:rsidR="00114CA8">
        <w:t>PFD</w:t>
      </w:r>
      <w:r w:rsidR="001E66FE" w:rsidRPr="001E66FE">
        <w:t xml:space="preserve"> limits for aeronautical </w:t>
      </w:r>
      <w:r w:rsidR="00394D97">
        <w:t>ESIM</w:t>
      </w:r>
      <w:r w:rsidR="001E66FE" w:rsidRPr="001E66FE">
        <w:t xml:space="preserve"> based on ECC criteria and should not adopt ITU-R Resolution 169 criteria.</w:t>
      </w:r>
    </w:p>
    <w:p w14:paraId="39315144" w14:textId="77777777" w:rsidR="006C0709" w:rsidRDefault="006C0709" w:rsidP="006C0709">
      <w:pPr>
        <w:pStyle w:val="Heading4"/>
      </w:pPr>
      <w:r w:rsidRPr="00586A62">
        <w:t>ACMA response</w:t>
      </w:r>
    </w:p>
    <w:p w14:paraId="34078328" w14:textId="3FEF3A82" w:rsidR="006C0709" w:rsidRDefault="00D8378A" w:rsidP="00F359F4">
      <w:pPr>
        <w:pStyle w:val="Paragraphbeforelist"/>
      </w:pPr>
      <w:r>
        <w:t xml:space="preserve">We </w:t>
      </w:r>
      <w:r w:rsidR="006C0709">
        <w:t xml:space="preserve">considered </w:t>
      </w:r>
      <w:r w:rsidR="00277337">
        <w:t xml:space="preserve">Viasat’s </w:t>
      </w:r>
      <w:r w:rsidR="00920E0B">
        <w:t xml:space="preserve">previous </w:t>
      </w:r>
      <w:r w:rsidR="00277337">
        <w:t xml:space="preserve">submission and reviewed the use of </w:t>
      </w:r>
      <w:r w:rsidR="00277337" w:rsidRPr="001E66FE">
        <w:t>ITU-R Resolution 169 criteria</w:t>
      </w:r>
      <w:r w:rsidR="00A4380E">
        <w:t>, see Appendix B</w:t>
      </w:r>
      <w:r w:rsidR="00277337">
        <w:t>.</w:t>
      </w:r>
      <w:r w:rsidR="00875361">
        <w:t xml:space="preserve"> In the review of </w:t>
      </w:r>
      <w:r w:rsidR="00875361" w:rsidRPr="001E66FE">
        <w:t>ITU-R Resolution 169 criteria</w:t>
      </w:r>
      <w:r w:rsidR="00875361">
        <w:t xml:space="preserve"> and ECC criteria</w:t>
      </w:r>
      <w:r w:rsidR="009577E8">
        <w:t xml:space="preserve">, </w:t>
      </w:r>
      <w:r>
        <w:t>we</w:t>
      </w:r>
      <w:r w:rsidR="009577E8">
        <w:t xml:space="preserve"> identified </w:t>
      </w:r>
      <w:r>
        <w:t>that</w:t>
      </w:r>
      <w:r w:rsidR="00B053C0">
        <w:t>:</w:t>
      </w:r>
    </w:p>
    <w:p w14:paraId="550883B2" w14:textId="30EEB572" w:rsidR="00766E87" w:rsidRDefault="00766E87" w:rsidP="00194E1E">
      <w:pPr>
        <w:pStyle w:val="Bulletlevel1"/>
      </w:pPr>
      <w:r w:rsidRPr="001E66FE">
        <w:t>ITU-R Resolution 169 criteria</w:t>
      </w:r>
      <w:r>
        <w:t xml:space="preserve"> below 3 km was not </w:t>
      </w:r>
      <w:r w:rsidR="002C46AC">
        <w:t>used by the ECC</w:t>
      </w:r>
    </w:p>
    <w:p w14:paraId="18919E62" w14:textId="7767C7A1" w:rsidR="002C46AC" w:rsidRDefault="002C46AC" w:rsidP="00194E1E">
      <w:pPr>
        <w:pStyle w:val="Bulletlevel1last"/>
      </w:pPr>
      <w:r w:rsidRPr="001E66FE">
        <w:t>ITU-R Resolution 169 criteria</w:t>
      </w:r>
      <w:r>
        <w:t xml:space="preserve"> above 3 km was the same criteria used by ECC</w:t>
      </w:r>
      <w:r w:rsidR="00D8378A">
        <w:t>.</w:t>
      </w:r>
    </w:p>
    <w:p w14:paraId="0C4C758E" w14:textId="66569A52" w:rsidR="006C0709" w:rsidRDefault="00D8378A" w:rsidP="00964221">
      <w:pPr>
        <w:pStyle w:val="Paragraph"/>
      </w:pPr>
      <w:r>
        <w:t xml:space="preserve">We </w:t>
      </w:r>
      <w:r w:rsidR="00FA3DC8">
        <w:t xml:space="preserve">reviewed </w:t>
      </w:r>
      <w:r>
        <w:t xml:space="preserve">our </w:t>
      </w:r>
      <w:r w:rsidR="007E1C13">
        <w:t xml:space="preserve">initial </w:t>
      </w:r>
      <w:r w:rsidR="00FA3DC8">
        <w:t xml:space="preserve">analysis using </w:t>
      </w:r>
      <w:r w:rsidR="007E1C13">
        <w:t>the ECC criteria (</w:t>
      </w:r>
      <w:r w:rsidR="00044680">
        <w:t>noting this is</w:t>
      </w:r>
      <w:r w:rsidR="007E1C13">
        <w:t xml:space="preserve"> the same criteria as </w:t>
      </w:r>
      <w:r w:rsidR="006D3B46">
        <w:t>spec</w:t>
      </w:r>
      <w:r w:rsidR="00224139">
        <w:t xml:space="preserve">ified in </w:t>
      </w:r>
      <w:r w:rsidR="007E1C13" w:rsidRPr="001E66FE">
        <w:t>ITU-R Resolution 169 criteria</w:t>
      </w:r>
      <w:r w:rsidR="007E1C13">
        <w:t xml:space="preserve"> </w:t>
      </w:r>
      <w:r w:rsidR="00507977">
        <w:t xml:space="preserve">for </w:t>
      </w:r>
      <w:r w:rsidR="007E1C13">
        <w:t>above 3 km)</w:t>
      </w:r>
      <w:r w:rsidR="006C0709">
        <w:t>.</w:t>
      </w:r>
      <w:r w:rsidR="004C4577">
        <w:t xml:space="preserve"> The outcome of this review was the ECC criteria could be supported for airborne </w:t>
      </w:r>
      <w:r w:rsidR="003D6A9F">
        <w:t>aeronautical ESIM operation.</w:t>
      </w:r>
      <w:r w:rsidR="00FA5A08">
        <w:t xml:space="preserve"> </w:t>
      </w:r>
      <w:r>
        <w:t xml:space="preserve">We </w:t>
      </w:r>
      <w:r w:rsidR="007E63B6">
        <w:t xml:space="preserve">chose to reference </w:t>
      </w:r>
      <w:r w:rsidR="007E63B6" w:rsidRPr="001E66FE">
        <w:t>ITU-R Resolution 169 criteria</w:t>
      </w:r>
      <w:r w:rsidR="007E63B6">
        <w:t xml:space="preserve"> as the ITU is the international body</w:t>
      </w:r>
      <w:r w:rsidR="00F12312">
        <w:t xml:space="preserve"> for radiocommunications.</w:t>
      </w:r>
    </w:p>
    <w:p w14:paraId="1CEFA183" w14:textId="209EC6ED" w:rsidR="00CD28D2" w:rsidRDefault="00D8378A" w:rsidP="00CD28D2">
      <w:pPr>
        <w:pStyle w:val="Paragraph"/>
      </w:pPr>
      <w:r>
        <w:t xml:space="preserve">Based on these reasons, we will </w:t>
      </w:r>
      <w:r w:rsidR="00052051">
        <w:t>maintain</w:t>
      </w:r>
      <w:r w:rsidR="00CD28D2">
        <w:t xml:space="preserve"> the </w:t>
      </w:r>
      <w:r w:rsidR="00D77486">
        <w:t xml:space="preserve">criteria for the operation of </w:t>
      </w:r>
      <w:r w:rsidR="00496D22">
        <w:t xml:space="preserve">aeronautical ESIM </w:t>
      </w:r>
      <w:r w:rsidR="00052051">
        <w:t>as consulted</w:t>
      </w:r>
      <w:r>
        <w:t xml:space="preserve"> on</w:t>
      </w:r>
      <w:r w:rsidR="00CD28D2">
        <w:t>.</w:t>
      </w:r>
    </w:p>
    <w:p w14:paraId="30311A24" w14:textId="6158BB9A" w:rsidR="001A45AD" w:rsidRDefault="001A45AD" w:rsidP="001A45AD">
      <w:pPr>
        <w:pStyle w:val="Heading3"/>
      </w:pPr>
      <w:r>
        <w:t xml:space="preserve">Alternative </w:t>
      </w:r>
      <w:r w:rsidR="002D6D7C">
        <w:t>a</w:t>
      </w:r>
      <w:r>
        <w:t xml:space="preserve">eronautical ESIM </w:t>
      </w:r>
      <w:r w:rsidRPr="001E66FE">
        <w:t>criteria</w:t>
      </w:r>
    </w:p>
    <w:p w14:paraId="637ABE16" w14:textId="520CB4A8" w:rsidR="001A45AD" w:rsidRDefault="001A45AD" w:rsidP="00A255C1">
      <w:pPr>
        <w:pStyle w:val="Paragraph"/>
      </w:pPr>
      <w:r w:rsidRPr="003E25C0">
        <w:t xml:space="preserve">The </w:t>
      </w:r>
      <w:r w:rsidRPr="001A45AD">
        <w:t xml:space="preserve">SSWG </w:t>
      </w:r>
      <w:r>
        <w:t xml:space="preserve">submission </w:t>
      </w:r>
      <w:r w:rsidRPr="001A45AD">
        <w:t xml:space="preserve">proposed new </w:t>
      </w:r>
      <w:r w:rsidR="00114CA8">
        <w:t>PFD</w:t>
      </w:r>
      <w:r w:rsidRPr="001A45AD">
        <w:t xml:space="preserve"> limits for aeronautical earth stations in motion. </w:t>
      </w:r>
      <w:r w:rsidR="00691446">
        <w:t xml:space="preserve">These limits are based on </w:t>
      </w:r>
      <w:r w:rsidR="004D5A9F">
        <w:t>adopting the proposed</w:t>
      </w:r>
      <w:r w:rsidR="004272E7">
        <w:t xml:space="preserve"> </w:t>
      </w:r>
      <w:r w:rsidR="00114CA8">
        <w:t>PFD</w:t>
      </w:r>
      <w:r w:rsidR="004272E7">
        <w:t xml:space="preserve"> of </w:t>
      </w:r>
      <w:r w:rsidR="004272E7" w:rsidRPr="004272E7">
        <w:t>-91 dBW/m</w:t>
      </w:r>
      <w:r w:rsidR="004272E7" w:rsidRPr="004272E7">
        <w:rPr>
          <w:vertAlign w:val="superscript"/>
        </w:rPr>
        <w:t>2</w:t>
      </w:r>
      <w:r w:rsidR="004272E7" w:rsidRPr="004272E7">
        <w:t>/MHz</w:t>
      </w:r>
      <w:r w:rsidR="004D5A9F">
        <w:t xml:space="preserve"> </w:t>
      </w:r>
      <w:r w:rsidR="004272E7">
        <w:t xml:space="preserve">(to protect FWA </w:t>
      </w:r>
      <w:r w:rsidR="008C7233">
        <w:t>services</w:t>
      </w:r>
      <w:r w:rsidR="00AD4C3A">
        <w:t xml:space="preserve">) and amending the </w:t>
      </w:r>
      <w:r w:rsidR="00E91502" w:rsidRPr="00E91502">
        <w:t>ITU-R Resolution 169 criteria</w:t>
      </w:r>
      <w:r w:rsidR="00691446">
        <w:t xml:space="preserve"> </w:t>
      </w:r>
      <w:r w:rsidR="00AD4C3A">
        <w:t xml:space="preserve">based on the difference between </w:t>
      </w:r>
      <w:r w:rsidR="00C410B4">
        <w:t xml:space="preserve">the 2 </w:t>
      </w:r>
      <w:r w:rsidR="002771DD">
        <w:t xml:space="preserve">levels. </w:t>
      </w:r>
    </w:p>
    <w:p w14:paraId="1E600B9D" w14:textId="4C4739A1" w:rsidR="001A45AD" w:rsidRDefault="001A45AD" w:rsidP="001A45AD">
      <w:pPr>
        <w:pStyle w:val="Heading4"/>
      </w:pPr>
      <w:r w:rsidRPr="00586A62">
        <w:lastRenderedPageBreak/>
        <w:t>ACMA response</w:t>
      </w:r>
    </w:p>
    <w:p w14:paraId="303A476C" w14:textId="75B03501" w:rsidR="00013AA9" w:rsidRPr="00013AA9" w:rsidRDefault="004F3EB5" w:rsidP="00013AA9">
      <w:r>
        <w:t xml:space="preserve">In previous submissions from the SSWG to the ACMA, </w:t>
      </w:r>
      <w:r w:rsidR="00D50FD2">
        <w:t xml:space="preserve">the </w:t>
      </w:r>
      <w:r w:rsidR="00D50FD2" w:rsidRPr="00760DE1">
        <w:t xml:space="preserve">SSWG </w:t>
      </w:r>
      <w:r w:rsidR="00AE733E">
        <w:t>argued</w:t>
      </w:r>
      <w:r w:rsidR="00D50FD2" w:rsidRPr="00760DE1">
        <w:t xml:space="preserve"> for the adoption of </w:t>
      </w:r>
      <w:r w:rsidR="00CA1677" w:rsidRPr="00760DE1">
        <w:t>ECC criteria (</w:t>
      </w:r>
      <w:r w:rsidR="00D8378A">
        <w:t>that is</w:t>
      </w:r>
      <w:r w:rsidR="00CA1677" w:rsidRPr="00760DE1">
        <w:t xml:space="preserve">, </w:t>
      </w:r>
      <w:r w:rsidR="00D50FD2" w:rsidRPr="00760DE1">
        <w:t>ITU-R Resolution 169 criteria above 3 km</w:t>
      </w:r>
      <w:r w:rsidR="00CA1677" w:rsidRPr="00760DE1">
        <w:t>)</w:t>
      </w:r>
      <w:r w:rsidR="00D50FD2" w:rsidRPr="00760DE1">
        <w:t>.</w:t>
      </w:r>
      <w:r w:rsidR="00CA1677" w:rsidRPr="00760DE1">
        <w:t xml:space="preserve"> </w:t>
      </w:r>
      <w:r w:rsidR="00D8378A">
        <w:t>We</w:t>
      </w:r>
      <w:r w:rsidR="00CA1677" w:rsidRPr="00760DE1">
        <w:t xml:space="preserve"> </w:t>
      </w:r>
      <w:r w:rsidR="00760DE1">
        <w:t xml:space="preserve">investigated and agreed to </w:t>
      </w:r>
      <w:r w:rsidR="00214236">
        <w:t>this proposition</w:t>
      </w:r>
      <w:r w:rsidR="00BC0DD6">
        <w:t>, see Appendix B</w:t>
      </w:r>
      <w:r w:rsidR="00214236">
        <w:t xml:space="preserve">. </w:t>
      </w:r>
      <w:r w:rsidR="00013AA9" w:rsidRPr="00D50FD2">
        <w:t xml:space="preserve">The </w:t>
      </w:r>
      <w:r w:rsidR="00214236">
        <w:t xml:space="preserve">new </w:t>
      </w:r>
      <w:r w:rsidR="00013AA9" w:rsidRPr="00D50FD2">
        <w:t xml:space="preserve">criteria provided by SSWG </w:t>
      </w:r>
      <w:r w:rsidR="007158FF">
        <w:t>in the consultation on the draft variation to the CSO Class Licence</w:t>
      </w:r>
      <w:r w:rsidR="00013AA9" w:rsidRPr="00D50FD2">
        <w:t xml:space="preserve"> had no </w:t>
      </w:r>
      <w:r w:rsidR="008A541B" w:rsidRPr="00D50FD2">
        <w:t>supporting evidence</w:t>
      </w:r>
      <w:r w:rsidR="008A541B">
        <w:t xml:space="preserve"> for the adoption of </w:t>
      </w:r>
      <w:r w:rsidR="00CA331D">
        <w:t xml:space="preserve">these </w:t>
      </w:r>
      <w:r w:rsidR="00A13BA2">
        <w:t xml:space="preserve">new </w:t>
      </w:r>
      <w:r w:rsidR="008A541B">
        <w:t xml:space="preserve">criteria. </w:t>
      </w:r>
      <w:r w:rsidR="00FA1D34">
        <w:t>These criteria</w:t>
      </w:r>
      <w:r w:rsidR="008A541B">
        <w:t xml:space="preserve"> ha</w:t>
      </w:r>
      <w:r w:rsidR="00EF4A4C">
        <w:t>ve</w:t>
      </w:r>
      <w:r w:rsidR="00E56016" w:rsidDel="00377C61">
        <w:t xml:space="preserve"> </w:t>
      </w:r>
      <w:r w:rsidR="00377C61">
        <w:t>not</w:t>
      </w:r>
      <w:r w:rsidR="00E56016">
        <w:t xml:space="preserve"> been </w:t>
      </w:r>
      <w:r w:rsidR="00A0295A">
        <w:t xml:space="preserve">shared </w:t>
      </w:r>
      <w:r w:rsidR="00593234">
        <w:t xml:space="preserve">with industry members nor has any analysis been conducted to </w:t>
      </w:r>
      <w:r w:rsidR="00377C61">
        <w:t>determine it</w:t>
      </w:r>
      <w:r w:rsidR="00FB4A82">
        <w:t>s</w:t>
      </w:r>
      <w:r w:rsidR="00377C61">
        <w:t xml:space="preserve"> viability</w:t>
      </w:r>
      <w:r w:rsidR="00593234">
        <w:t>.</w:t>
      </w:r>
      <w:r w:rsidR="00FA1D34">
        <w:t xml:space="preserve"> </w:t>
      </w:r>
    </w:p>
    <w:p w14:paraId="362CC2CE" w14:textId="6930B837" w:rsidR="001A45AD" w:rsidRDefault="00D8378A" w:rsidP="001A45AD">
      <w:pPr>
        <w:pStyle w:val="Paragraph"/>
      </w:pPr>
      <w:r>
        <w:t xml:space="preserve">For these reasons, we will </w:t>
      </w:r>
      <w:r w:rsidR="00052051">
        <w:t>maintain</w:t>
      </w:r>
      <w:r w:rsidR="00D77486">
        <w:t xml:space="preserve"> the criteria for the operation of aeronautical ESIM</w:t>
      </w:r>
      <w:r w:rsidR="00052051">
        <w:t xml:space="preserve"> as consulted</w:t>
      </w:r>
      <w:r>
        <w:t xml:space="preserve"> on</w:t>
      </w:r>
      <w:r w:rsidR="00D77486">
        <w:t>.</w:t>
      </w:r>
    </w:p>
    <w:p w14:paraId="3051F32B" w14:textId="6DEE039B" w:rsidR="00391073" w:rsidRDefault="00F73F07" w:rsidP="00391073">
      <w:pPr>
        <w:pStyle w:val="Heading3"/>
      </w:pPr>
      <w:r>
        <w:t>NGSO VSAT</w:t>
      </w:r>
      <w:r w:rsidR="00391073">
        <w:t xml:space="preserve"> </w:t>
      </w:r>
      <w:r w:rsidR="00391073" w:rsidRPr="001E66FE">
        <w:t>criteria</w:t>
      </w:r>
    </w:p>
    <w:p w14:paraId="6A95B272" w14:textId="1D5E6D06" w:rsidR="00F73F07" w:rsidRDefault="00D37002" w:rsidP="00F73F07">
      <w:pPr>
        <w:pStyle w:val="Paragraph"/>
      </w:pPr>
      <w:r>
        <w:t xml:space="preserve">The </w:t>
      </w:r>
      <w:r w:rsidR="00F73F07" w:rsidRPr="00391073">
        <w:t xml:space="preserve">SSWG, Telesat and Viasat asked </w:t>
      </w:r>
      <w:r w:rsidR="00C46923">
        <w:t>if</w:t>
      </w:r>
      <w:r w:rsidR="00F73F07" w:rsidRPr="00391073">
        <w:t xml:space="preserve"> </w:t>
      </w:r>
      <w:r w:rsidR="002133C7">
        <w:t xml:space="preserve">the use of </w:t>
      </w:r>
      <w:r w:rsidR="00F73F07" w:rsidRPr="00391073">
        <w:t>NGSO VSAT</w:t>
      </w:r>
      <w:r w:rsidR="00C46923">
        <w:t xml:space="preserve"> could be considered </w:t>
      </w:r>
      <w:r w:rsidR="00F73F07" w:rsidRPr="00391073">
        <w:t>in the 28 GHz band.</w:t>
      </w:r>
      <w:r>
        <w:t xml:space="preserve"> </w:t>
      </w:r>
    </w:p>
    <w:p w14:paraId="0C468770" w14:textId="77777777" w:rsidR="00391073" w:rsidRDefault="00391073" w:rsidP="00391073">
      <w:pPr>
        <w:pStyle w:val="Heading4"/>
      </w:pPr>
      <w:r w:rsidRPr="00586A62">
        <w:t>ACMA response</w:t>
      </w:r>
    </w:p>
    <w:p w14:paraId="08C696E7" w14:textId="3A1F65FD" w:rsidR="00391073" w:rsidRDefault="00D37002" w:rsidP="00391073">
      <w:r>
        <w:t xml:space="preserve">The </w:t>
      </w:r>
      <w:r w:rsidR="00A834B5">
        <w:t xml:space="preserve">operational criteria for ubiquitous FSS in the CSO Class </w:t>
      </w:r>
      <w:r w:rsidR="00F1490D">
        <w:t>Licence</w:t>
      </w:r>
      <w:r w:rsidR="00A834B5">
        <w:t xml:space="preserve"> </w:t>
      </w:r>
      <w:r w:rsidR="00F1490D">
        <w:t xml:space="preserve">do not specify </w:t>
      </w:r>
      <w:r w:rsidR="00B2115B">
        <w:t xml:space="preserve">ubiquitous FSS </w:t>
      </w:r>
      <w:r w:rsidR="00296625">
        <w:t xml:space="preserve">earth station </w:t>
      </w:r>
      <w:r w:rsidR="002E0830">
        <w:t xml:space="preserve">communication with </w:t>
      </w:r>
      <w:r w:rsidR="00F1490D">
        <w:t xml:space="preserve">either </w:t>
      </w:r>
      <w:r w:rsidR="00C31A49">
        <w:t>geostationary (</w:t>
      </w:r>
      <w:r w:rsidR="00F1490D">
        <w:t>GSO</w:t>
      </w:r>
      <w:r w:rsidR="00C31A49">
        <w:t>)</w:t>
      </w:r>
      <w:r w:rsidR="00F1490D">
        <w:t xml:space="preserve"> or NGSO. </w:t>
      </w:r>
      <w:r w:rsidR="00352761">
        <w:t xml:space="preserve">Ubiquitous FSS earth stations can communicate with either GSO or NGSO </w:t>
      </w:r>
      <w:r w:rsidR="004D6019">
        <w:t>provided</w:t>
      </w:r>
      <w:r w:rsidR="00352761">
        <w:t xml:space="preserve"> they meet the </w:t>
      </w:r>
      <w:r w:rsidR="004D6019">
        <w:t>requirements as specified in the CSO Class Licence</w:t>
      </w:r>
      <w:r w:rsidR="00352761">
        <w:t>.</w:t>
      </w:r>
    </w:p>
    <w:p w14:paraId="7414B488" w14:textId="0AE4B0BA" w:rsidR="002962FD" w:rsidRPr="00013AA9" w:rsidRDefault="002962FD" w:rsidP="00391073">
      <w:r w:rsidRPr="008017B5">
        <w:t xml:space="preserve">As a next step, we will update </w:t>
      </w:r>
      <w:r>
        <w:t xml:space="preserve">our licence assessment procedures </w:t>
      </w:r>
      <w:r w:rsidRPr="008017B5">
        <w:t xml:space="preserve">for </w:t>
      </w:r>
      <w:hyperlink r:id="rId47" w:history="1">
        <w:r>
          <w:rPr>
            <w:rStyle w:val="Hyperlink"/>
          </w:rPr>
          <w:t>space and space receive licences</w:t>
        </w:r>
      </w:hyperlink>
      <w:r w:rsidR="00CB7080">
        <w:rPr>
          <w:rStyle w:val="Hyperlink"/>
        </w:rPr>
        <w:t xml:space="preserve"> to </w:t>
      </w:r>
      <w:r w:rsidR="00CB7080">
        <w:t xml:space="preserve">include arrangements </w:t>
      </w:r>
      <w:r w:rsidRPr="008017B5">
        <w:t xml:space="preserve"> for </w:t>
      </w:r>
      <w:r w:rsidR="00B21408">
        <w:t>the</w:t>
      </w:r>
      <w:r>
        <w:t xml:space="preserve"> 28 GHz</w:t>
      </w:r>
      <w:r w:rsidR="00B21408">
        <w:t xml:space="preserve"> band.</w:t>
      </w:r>
    </w:p>
    <w:p w14:paraId="459CED8C" w14:textId="77777777" w:rsidR="00391073" w:rsidRDefault="00391073" w:rsidP="00964221">
      <w:pPr>
        <w:pStyle w:val="Paragraph"/>
      </w:pPr>
    </w:p>
    <w:p w14:paraId="0BC8C6E2" w14:textId="69A9DB59" w:rsidR="00693FB4" w:rsidRDefault="00693FB4" w:rsidP="00551EDB">
      <w:pPr>
        <w:pStyle w:val="Heading1"/>
        <w:numPr>
          <w:ilvl w:val="0"/>
          <w:numId w:val="0"/>
        </w:numPr>
      </w:pPr>
      <w:bookmarkStart w:id="15" w:name="_Toc107506509"/>
      <w:r>
        <w:lastRenderedPageBreak/>
        <w:t>Appendix A</w:t>
      </w:r>
      <w:r w:rsidR="00B76B20">
        <w:t xml:space="preserve">: </w:t>
      </w:r>
      <w:r w:rsidR="003E3F39">
        <w:t>2 GHz technical analysis</w:t>
      </w:r>
      <w:bookmarkEnd w:id="15"/>
    </w:p>
    <w:p w14:paraId="59220C73" w14:textId="0F49E635" w:rsidR="00E95374" w:rsidRDefault="00B215F0" w:rsidP="00E95374">
      <w:r>
        <w:t xml:space="preserve">The </w:t>
      </w:r>
      <w:r w:rsidR="008B04CA">
        <w:t xml:space="preserve">December 2021 </w:t>
      </w:r>
      <w:hyperlink r:id="rId48" w:history="1">
        <w:r w:rsidR="008B04CA" w:rsidRPr="00074CF0">
          <w:rPr>
            <w:rStyle w:val="Hyperlink"/>
          </w:rPr>
          <w:t>consultation</w:t>
        </w:r>
      </w:hyperlink>
      <w:r>
        <w:t xml:space="preserve"> </w:t>
      </w:r>
      <w:r w:rsidR="00363C41">
        <w:t xml:space="preserve">paper </w:t>
      </w:r>
      <w:r>
        <w:t xml:space="preserve">contained </w:t>
      </w:r>
      <w:r w:rsidR="006C7E0B">
        <w:t xml:space="preserve">the results of </w:t>
      </w:r>
      <w:r>
        <w:t xml:space="preserve">a literature </w:t>
      </w:r>
      <w:r w:rsidR="009B3DDA">
        <w:t>review</w:t>
      </w:r>
      <w:r>
        <w:t xml:space="preserve"> of potential MSS characteristics</w:t>
      </w:r>
      <w:r w:rsidR="00DB04A9">
        <w:t xml:space="preserve"> and proposed sharing </w:t>
      </w:r>
      <w:r w:rsidR="00FB5D97">
        <w:t xml:space="preserve">parameters to facilitate sharing with </w:t>
      </w:r>
      <w:r w:rsidR="000B644F">
        <w:t>other services (such as TOB)</w:t>
      </w:r>
      <w:r>
        <w:t xml:space="preserve">. </w:t>
      </w:r>
      <w:r w:rsidR="00021CF5">
        <w:t>In response to comments made during that consultation, t</w:t>
      </w:r>
      <w:r w:rsidR="00E95374">
        <w:t xml:space="preserve">his appendix contains the key findings of an additional study that was performed to assess the potential of narrowband MSS earth stations to interfere with TOB services. </w:t>
      </w:r>
    </w:p>
    <w:p w14:paraId="0A44779D" w14:textId="297F5F1F" w:rsidR="00E95374" w:rsidRDefault="00E95374" w:rsidP="00E95374">
      <w:pPr>
        <w:pStyle w:val="Heading2"/>
      </w:pPr>
      <w:bookmarkStart w:id="16" w:name="_Toc105764399"/>
      <w:bookmarkStart w:id="17" w:name="_Toc107506510"/>
      <w:r>
        <w:t>Narrowband MSS characteristics</w:t>
      </w:r>
      <w:bookmarkEnd w:id="16"/>
      <w:bookmarkEnd w:id="17"/>
    </w:p>
    <w:p w14:paraId="7FAD81B8" w14:textId="77777777" w:rsidR="00E95374" w:rsidRDefault="00E95374" w:rsidP="00E95374">
      <w:pPr>
        <w:pStyle w:val="Heading3"/>
      </w:pPr>
      <w:r>
        <w:t>Power levels in consultation response</w:t>
      </w:r>
    </w:p>
    <w:p w14:paraId="3E567F2F" w14:textId="77777777" w:rsidR="00E95374" w:rsidRDefault="00E95374" w:rsidP="00E95374">
      <w:r>
        <w:t xml:space="preserve">Some responses to the consultation indicated the power level proposed in the Draft Radiocommunications (Communication with Space Object) Class Licence Variation was too low. </w:t>
      </w:r>
    </w:p>
    <w:p w14:paraId="1759F3FC" w14:textId="58DF5A7B" w:rsidR="00E95374" w:rsidRDefault="00E95374" w:rsidP="00E95374">
      <w:r>
        <w:t xml:space="preserve">One submission indicated an EIRP power of up to -10 dBW in 3.75 kHz was required to close a link budget referencing 3GPP TR 36.763. </w:t>
      </w:r>
      <w:r w:rsidR="00B053D7">
        <w:t xml:space="preserve">The power characteristics of </w:t>
      </w:r>
      <w:r>
        <w:t>3GPP TR 36.763 (version V17.0.0 (2021-06)</w:t>
      </w:r>
      <w:r w:rsidR="008073E5">
        <w:t>)</w:t>
      </w:r>
      <w:r w:rsidR="00B053D7">
        <w:t xml:space="preserve"> are shown in Table 2.</w:t>
      </w:r>
    </w:p>
    <w:p w14:paraId="362C6249" w14:textId="3FD9F205" w:rsidR="00CC07E9" w:rsidRDefault="00CC07E9" w:rsidP="008865C1">
      <w:pPr>
        <w:pStyle w:val="Tableheading"/>
      </w:pPr>
      <w:r w:rsidRPr="00E804D3">
        <w:t>3GPP technical details for further analysis</w:t>
      </w:r>
    </w:p>
    <w:tbl>
      <w:tblPr>
        <w:tblStyle w:val="ACMAtablestyle"/>
        <w:tblW w:w="8220" w:type="dxa"/>
        <w:tblLayout w:type="fixed"/>
        <w:tblLook w:val="01E0" w:firstRow="1" w:lastRow="1" w:firstColumn="1" w:lastColumn="1" w:noHBand="0" w:noVBand="0"/>
        <w:tblCaption w:val="Table title to go here"/>
        <w:tblDescription w:val="Table description to go here"/>
      </w:tblPr>
      <w:tblGrid>
        <w:gridCol w:w="1271"/>
        <w:gridCol w:w="1702"/>
        <w:gridCol w:w="5247"/>
      </w:tblGrid>
      <w:tr w:rsidR="00E95374" w14:paraId="1896056B" w14:textId="77777777" w:rsidTr="00CC07E9">
        <w:trPr>
          <w:cnfStyle w:val="100000000000" w:firstRow="1" w:lastRow="0" w:firstColumn="0" w:lastColumn="0" w:oddVBand="0" w:evenVBand="0" w:oddHBand="0" w:evenHBand="0" w:firstRowFirstColumn="0" w:firstRowLastColumn="0" w:lastRowFirstColumn="0" w:lastRowLastColumn="0"/>
        </w:trPr>
        <w:tc>
          <w:tcPr>
            <w:tcW w:w="1271" w:type="dxa"/>
            <w:hideMark/>
          </w:tcPr>
          <w:p w14:paraId="07C87EB0" w14:textId="77777777" w:rsidR="00E95374" w:rsidRDefault="00E95374">
            <w:pPr>
              <w:pStyle w:val="Tableheaderrow"/>
            </w:pPr>
            <w:r>
              <w:t>Parameter</w:t>
            </w:r>
          </w:p>
        </w:tc>
        <w:tc>
          <w:tcPr>
            <w:tcW w:w="1702" w:type="dxa"/>
            <w:hideMark/>
          </w:tcPr>
          <w:p w14:paraId="31B0DD50" w14:textId="77777777" w:rsidR="00E95374" w:rsidRDefault="00E95374">
            <w:pPr>
              <w:pStyle w:val="Tableheaderrow"/>
            </w:pPr>
            <w:r>
              <w:t>Value</w:t>
            </w:r>
          </w:p>
        </w:tc>
        <w:tc>
          <w:tcPr>
            <w:tcW w:w="5247" w:type="dxa"/>
            <w:hideMark/>
          </w:tcPr>
          <w:p w14:paraId="69270274" w14:textId="77777777" w:rsidR="00E95374" w:rsidRDefault="00E95374">
            <w:pPr>
              <w:pStyle w:val="Tableheaderrow"/>
            </w:pPr>
            <w:r>
              <w:t>Notes</w:t>
            </w:r>
          </w:p>
        </w:tc>
      </w:tr>
      <w:tr w:rsidR="00E95374" w14:paraId="3C42F63B" w14:textId="77777777" w:rsidTr="00CC07E9">
        <w:trPr>
          <w:cnfStyle w:val="000000100000" w:firstRow="0" w:lastRow="0" w:firstColumn="0" w:lastColumn="0" w:oddVBand="0" w:evenVBand="0" w:oddHBand="1" w:evenHBand="0" w:firstRowFirstColumn="0" w:firstRowLastColumn="0" w:lastRowFirstColumn="0" w:lastRowLastColumn="0"/>
        </w:trPr>
        <w:tc>
          <w:tcPr>
            <w:tcW w:w="1271" w:type="dxa"/>
            <w:tcBorders>
              <w:top w:val="single" w:sz="4" w:space="0" w:color="auto"/>
              <w:left w:val="single" w:sz="4" w:space="0" w:color="auto"/>
              <w:bottom w:val="single" w:sz="4" w:space="0" w:color="auto"/>
              <w:right w:val="single" w:sz="4" w:space="0" w:color="auto"/>
            </w:tcBorders>
            <w:hideMark/>
          </w:tcPr>
          <w:p w14:paraId="4E5A9537" w14:textId="77777777" w:rsidR="00E95374" w:rsidRDefault="00E95374">
            <w:pPr>
              <w:pStyle w:val="TableBody"/>
            </w:pPr>
            <w:r>
              <w:t>Power</w:t>
            </w:r>
          </w:p>
        </w:tc>
        <w:tc>
          <w:tcPr>
            <w:tcW w:w="1702" w:type="dxa"/>
            <w:tcBorders>
              <w:top w:val="single" w:sz="4" w:space="0" w:color="auto"/>
              <w:left w:val="single" w:sz="4" w:space="0" w:color="auto"/>
              <w:bottom w:val="single" w:sz="4" w:space="0" w:color="auto"/>
              <w:right w:val="single" w:sz="4" w:space="0" w:color="auto"/>
            </w:tcBorders>
            <w:hideMark/>
          </w:tcPr>
          <w:p w14:paraId="041B336E" w14:textId="77777777" w:rsidR="00E95374" w:rsidRDefault="00E95374" w:rsidP="008865C1">
            <w:pPr>
              <w:pStyle w:val="TableBody"/>
              <w:spacing w:after="60"/>
            </w:pPr>
            <w:r>
              <w:t>23 dBm</w:t>
            </w:r>
          </w:p>
          <w:p w14:paraId="2290AB46" w14:textId="77777777" w:rsidR="00E95374" w:rsidRDefault="00E95374">
            <w:pPr>
              <w:pStyle w:val="TableBody"/>
            </w:pPr>
            <w:r>
              <w:t>20 dBm</w:t>
            </w:r>
          </w:p>
        </w:tc>
        <w:tc>
          <w:tcPr>
            <w:tcW w:w="5247" w:type="dxa"/>
            <w:tcBorders>
              <w:top w:val="single" w:sz="4" w:space="0" w:color="auto"/>
              <w:left w:val="single" w:sz="4" w:space="0" w:color="auto"/>
              <w:bottom w:val="single" w:sz="4" w:space="0" w:color="auto"/>
              <w:right w:val="single" w:sz="4" w:space="0" w:color="auto"/>
            </w:tcBorders>
            <w:hideMark/>
          </w:tcPr>
          <w:p w14:paraId="23076BA2" w14:textId="77777777" w:rsidR="00E95374" w:rsidRDefault="00E95374" w:rsidP="008865C1">
            <w:pPr>
              <w:pStyle w:val="TableBody"/>
              <w:spacing w:after="60"/>
            </w:pPr>
            <w:r>
              <w:t>Class 3</w:t>
            </w:r>
          </w:p>
          <w:p w14:paraId="6EB8D91A" w14:textId="77777777" w:rsidR="00E95374" w:rsidRDefault="00E95374" w:rsidP="008865C1">
            <w:pPr>
              <w:pStyle w:val="TableBody"/>
              <w:spacing w:after="60"/>
            </w:pPr>
            <w:r>
              <w:t>Class 5</w:t>
            </w:r>
          </w:p>
          <w:p w14:paraId="446D9D93" w14:textId="77777777" w:rsidR="00E95374" w:rsidRDefault="00E95374">
            <w:pPr>
              <w:pStyle w:val="TableBody"/>
            </w:pPr>
            <w:r>
              <w:t>From Table 6.1-1</w:t>
            </w:r>
          </w:p>
        </w:tc>
      </w:tr>
      <w:tr w:rsidR="00E95374" w14:paraId="6DAB7331" w14:textId="77777777" w:rsidTr="00CC07E9">
        <w:trPr>
          <w:cnfStyle w:val="000000010000" w:firstRow="0" w:lastRow="0" w:firstColumn="0" w:lastColumn="0" w:oddVBand="0" w:evenVBand="0" w:oddHBand="0" w:evenHBand="1" w:firstRowFirstColumn="0" w:firstRowLastColumn="0" w:lastRowFirstColumn="0" w:lastRowLastColumn="0"/>
        </w:trPr>
        <w:tc>
          <w:tcPr>
            <w:tcW w:w="1271" w:type="dxa"/>
            <w:tcBorders>
              <w:top w:val="single" w:sz="4" w:space="0" w:color="auto"/>
              <w:left w:val="single" w:sz="4" w:space="0" w:color="auto"/>
              <w:bottom w:val="single" w:sz="4" w:space="0" w:color="auto"/>
              <w:right w:val="single" w:sz="4" w:space="0" w:color="auto"/>
            </w:tcBorders>
            <w:hideMark/>
          </w:tcPr>
          <w:p w14:paraId="6FED0980" w14:textId="77777777" w:rsidR="00E95374" w:rsidRDefault="00E95374">
            <w:pPr>
              <w:pStyle w:val="TableBody"/>
            </w:pPr>
            <w:r>
              <w:t>Bandwidth</w:t>
            </w:r>
          </w:p>
        </w:tc>
        <w:tc>
          <w:tcPr>
            <w:tcW w:w="1702" w:type="dxa"/>
            <w:tcBorders>
              <w:top w:val="single" w:sz="4" w:space="0" w:color="auto"/>
              <w:left w:val="single" w:sz="4" w:space="0" w:color="auto"/>
              <w:bottom w:val="single" w:sz="4" w:space="0" w:color="auto"/>
              <w:right w:val="single" w:sz="4" w:space="0" w:color="auto"/>
            </w:tcBorders>
            <w:hideMark/>
          </w:tcPr>
          <w:p w14:paraId="73926C0F" w14:textId="77777777" w:rsidR="00E95374" w:rsidRDefault="00E95374">
            <w:pPr>
              <w:pStyle w:val="TableBody"/>
            </w:pPr>
            <w:r>
              <w:t>180/15/3.75 kHz</w:t>
            </w:r>
          </w:p>
        </w:tc>
        <w:tc>
          <w:tcPr>
            <w:tcW w:w="5247" w:type="dxa"/>
            <w:tcBorders>
              <w:top w:val="single" w:sz="4" w:space="0" w:color="auto"/>
              <w:left w:val="single" w:sz="4" w:space="0" w:color="auto"/>
              <w:bottom w:val="single" w:sz="4" w:space="0" w:color="auto"/>
              <w:right w:val="single" w:sz="4" w:space="0" w:color="auto"/>
            </w:tcBorders>
            <w:hideMark/>
          </w:tcPr>
          <w:p w14:paraId="53485F54" w14:textId="77777777" w:rsidR="00E95374" w:rsidRDefault="00E95374" w:rsidP="008865C1">
            <w:pPr>
              <w:pStyle w:val="TableBody"/>
              <w:spacing w:after="60"/>
            </w:pPr>
            <w:r>
              <w:t xml:space="preserve">From Table 6.1-1 and 6.2.1  </w:t>
            </w:r>
          </w:p>
          <w:p w14:paraId="1A7DF84D" w14:textId="77777777" w:rsidR="00E95374" w:rsidRDefault="00E95374">
            <w:pPr>
              <w:pStyle w:val="TableBody"/>
            </w:pPr>
            <w:r>
              <w:t>Up to 180 kHz with all permissible smaller resource allocations 12*15 kHz, 6*15 kHz, 3*15 kHz, 1*15 kHz, 1*3.75 kHz</w:t>
            </w:r>
          </w:p>
        </w:tc>
      </w:tr>
    </w:tbl>
    <w:p w14:paraId="656F1B1B" w14:textId="77777777" w:rsidR="00E95374" w:rsidRDefault="00E95374" w:rsidP="00E95374"/>
    <w:p w14:paraId="726FC1D5" w14:textId="77777777" w:rsidR="00E95374" w:rsidRDefault="00E95374" w:rsidP="00E95374">
      <w:r>
        <w:t>A note on page 22 of 3GPP TR 36.763 details that many contributors used class 5 power for their simulation, though some used class 3. Class 3 powers are used in further studies, as this level is more likely to cause interference (or cause interference with less devices).</w:t>
      </w:r>
    </w:p>
    <w:p w14:paraId="7DB8453D" w14:textId="77777777" w:rsidR="00FE7F5B" w:rsidRDefault="00FE7F5B" w:rsidP="00FE7F5B">
      <w:pPr>
        <w:pStyle w:val="Heading3"/>
      </w:pPr>
      <w:r>
        <w:t>Emission masks</w:t>
      </w:r>
    </w:p>
    <w:p w14:paraId="21452E8C" w14:textId="21112FE2" w:rsidR="00FE7F5B" w:rsidRDefault="00FE7F5B" w:rsidP="00FE7F5B">
      <w:r>
        <w:t xml:space="preserve">ITU-R </w:t>
      </w:r>
      <w:hyperlink r:id="rId49" w:history="1">
        <w:r>
          <w:rPr>
            <w:rStyle w:val="Hyperlink"/>
          </w:rPr>
          <w:t>Recommendation M.1343-1</w:t>
        </w:r>
      </w:hyperlink>
      <w:r>
        <w:t xml:space="preserve"> (06/05) ‘Essential technical requirements of mobile earth stations for global non-geostationary mobile-satellite service systems in the band 1-3 GHz’ has been used to develop an MSS emission mask. </w:t>
      </w:r>
    </w:p>
    <w:p w14:paraId="76176E39" w14:textId="372EC19C" w:rsidR="00FE7F5B" w:rsidRDefault="00FE7F5B" w:rsidP="00FE7F5B">
      <w:r>
        <w:t>The mask generated from this recommendation is used in calculating frequency</w:t>
      </w:r>
      <w:r w:rsidR="00B053D7">
        <w:t>-</w:t>
      </w:r>
      <w:r>
        <w:t>dependant rejection values for assessing sharing compatibility with adjacent TOB services.</w:t>
      </w:r>
    </w:p>
    <w:p w14:paraId="7BEC77D7" w14:textId="77777777" w:rsidR="00FE7F5B" w:rsidRDefault="00FE7F5B" w:rsidP="00FE7F5B">
      <w:pPr>
        <w:pStyle w:val="Heading2"/>
      </w:pPr>
      <w:bookmarkStart w:id="18" w:name="_Toc105764400"/>
      <w:bookmarkStart w:id="19" w:name="_Toc107506511"/>
      <w:r>
        <w:lastRenderedPageBreak/>
        <w:t>Technical parameters to assess protection of TOB in adjacent band</w:t>
      </w:r>
      <w:bookmarkEnd w:id="18"/>
      <w:bookmarkEnd w:id="19"/>
    </w:p>
    <w:p w14:paraId="39BE6C1E" w14:textId="77777777" w:rsidR="00FE7F5B" w:rsidRDefault="00FE7F5B" w:rsidP="00FE7F5B">
      <w:pPr>
        <w:pStyle w:val="Heading3"/>
      </w:pPr>
      <w:r>
        <w:t>Protection ratio considerations</w:t>
      </w:r>
    </w:p>
    <w:p w14:paraId="59467BDC" w14:textId="77777777" w:rsidR="00FE7F5B" w:rsidRDefault="00FE7F5B" w:rsidP="00034FE1">
      <w:pPr>
        <w:pStyle w:val="Paragraphbeforelist"/>
      </w:pPr>
      <w:r>
        <w:t>A literature review did not identify protection requirements for TOB services from narrowband MSS stations in adjacent bands. The following methodologies for assessing the potential impact were identified for further consideration:</w:t>
      </w:r>
    </w:p>
    <w:p w14:paraId="000A9346" w14:textId="17C652A5" w:rsidR="00FE7F5B" w:rsidRDefault="00B053D7" w:rsidP="00FE7F5B">
      <w:pPr>
        <w:pStyle w:val="Bulletlevel1"/>
      </w:pPr>
      <w:r>
        <w:t>p</w:t>
      </w:r>
      <w:r w:rsidR="00FE7F5B">
        <w:t>rotection ratios for TOB into TOB in adjacent bands (RALI FX21)</w:t>
      </w:r>
    </w:p>
    <w:p w14:paraId="30C08A92" w14:textId="2E5D36AB" w:rsidR="00FE7F5B" w:rsidRDefault="00B053D7" w:rsidP="00FE7F5B">
      <w:pPr>
        <w:pStyle w:val="Bulletlevel1"/>
      </w:pPr>
      <w:r>
        <w:t>c</w:t>
      </w:r>
      <w:r w:rsidR="00FE7F5B">
        <w:t>ontinuous-wave (CW) signals into TOB (ITU-R Recommendation BT.1368)</w:t>
      </w:r>
    </w:p>
    <w:p w14:paraId="6590C7F9" w14:textId="490716D6" w:rsidR="00FE7F5B" w:rsidRDefault="00B053D7" w:rsidP="00FE7F5B">
      <w:pPr>
        <w:pStyle w:val="Bulletlevel1last"/>
      </w:pPr>
      <w:r>
        <w:t>f</w:t>
      </w:r>
      <w:r w:rsidR="00FE7F5B">
        <w:t>requency dependant rejection (ITU-R Recommendation SM.337)</w:t>
      </w:r>
      <w:r>
        <w:t>.</w:t>
      </w:r>
    </w:p>
    <w:p w14:paraId="7E548720" w14:textId="77777777" w:rsidR="00FE7F5B" w:rsidRDefault="00FE7F5B" w:rsidP="00FE7F5B">
      <w:pPr>
        <w:pStyle w:val="Heading3"/>
      </w:pPr>
      <w:r>
        <w:t>Consideration of NBMSS as per TOB transmitters</w:t>
      </w:r>
    </w:p>
    <w:p w14:paraId="0BD0D781" w14:textId="77777777" w:rsidR="00FE7F5B" w:rsidRDefault="00FE7F5B" w:rsidP="00FE7F5B">
      <w:r>
        <w:t>One method to consider the interference potential of a number of NBMSS stations is to sum the power of a collection of stations and to consider this similar to how a single TOB transmitter would be considered.</w:t>
      </w:r>
    </w:p>
    <w:p w14:paraId="65E83386" w14:textId="3003EBFB" w:rsidR="00FE7F5B" w:rsidRDefault="00FE7F5B" w:rsidP="00FE7F5B">
      <w:r>
        <w:t>RALI FX 21 contains a minimum wanted signal strength and a protection ratio of -30 dB in the first adjacent channel (2002</w:t>
      </w:r>
      <w:r w:rsidR="00B053D7">
        <w:t>–</w:t>
      </w:r>
      <w:r>
        <w:t>2010 MHz for the lowest TOB channel).</w:t>
      </w:r>
    </w:p>
    <w:p w14:paraId="180D7658" w14:textId="77777777" w:rsidR="00FE7F5B" w:rsidRDefault="00FE7F5B" w:rsidP="00FE7F5B">
      <w:pPr>
        <w:pStyle w:val="Heading3"/>
      </w:pPr>
      <w:r>
        <w:t>Protection of TOB from continuous wave sources</w:t>
      </w:r>
    </w:p>
    <w:p w14:paraId="5781DF91" w14:textId="77777777" w:rsidR="00FE7F5B" w:rsidRDefault="00FE7F5B" w:rsidP="00FE7F5B">
      <w:r>
        <w:t>Protection ratios for various services sharing with television services are provided in Recommendation ITU-R BT.1368-13 (2017). Table 26 of the Recommendation provides protection ratios for continuous wave or FM carrier in VHF/UHF bands. The table is reproduced below for convenience.</w:t>
      </w:r>
    </w:p>
    <w:p w14:paraId="2C6A9019" w14:textId="77777777" w:rsidR="00FE7F5B" w:rsidRDefault="00FE7F5B" w:rsidP="00FE7F5B">
      <w:r>
        <w:t xml:space="preserve">There is a degree of similarity between a 200 </w:t>
      </w:r>
      <w:r>
        <w:rPr>
          <w:vanish/>
        </w:rPr>
        <w:t xml:space="preserve">kHz FM </w:t>
      </w:r>
      <w:r>
        <w:t>interferer to a television signal in UHF bands and a narrowband MSS emission into a TOB signal in S band.</w:t>
      </w:r>
    </w:p>
    <w:p w14:paraId="339FDB08" w14:textId="02FEECBE" w:rsidR="00C50B37" w:rsidRDefault="00C50B37" w:rsidP="00034FE1">
      <w:pPr>
        <w:pStyle w:val="Tableheading"/>
      </w:pPr>
      <w:r w:rsidRPr="00744818">
        <w:t>Protection ratios for televisions signals in the presence of potent</w:t>
      </w:r>
      <w:r>
        <w:t>i</w:t>
      </w:r>
      <w:r w:rsidRPr="00744818">
        <w:t>al interference from CW sources</w:t>
      </w:r>
    </w:p>
    <w:tbl>
      <w:tblPr>
        <w:tblStyle w:val="ACMAtablestyle"/>
        <w:tblW w:w="7665" w:type="dxa"/>
        <w:tblLayout w:type="fixed"/>
        <w:tblLook w:val="01E0" w:firstRow="1" w:lastRow="1" w:firstColumn="1" w:lastColumn="1" w:noHBand="0" w:noVBand="0"/>
        <w:tblCaption w:val="Table title to go here"/>
        <w:tblDescription w:val="Table description to go here"/>
      </w:tblPr>
      <w:tblGrid>
        <w:gridCol w:w="2138"/>
        <w:gridCol w:w="788"/>
        <w:gridCol w:w="789"/>
        <w:gridCol w:w="790"/>
        <w:gridCol w:w="790"/>
        <w:gridCol w:w="790"/>
        <w:gridCol w:w="790"/>
        <w:gridCol w:w="790"/>
      </w:tblGrid>
      <w:tr w:rsidR="00FE7F5B" w14:paraId="489CD3EF" w14:textId="77777777" w:rsidTr="00C50B37">
        <w:trPr>
          <w:cnfStyle w:val="100000000000" w:firstRow="1" w:lastRow="0" w:firstColumn="0" w:lastColumn="0" w:oddVBand="0" w:evenVBand="0" w:oddHBand="0" w:evenHBand="0" w:firstRowFirstColumn="0" w:firstRowLastColumn="0" w:lastRowFirstColumn="0" w:lastRowLastColumn="0"/>
        </w:trPr>
        <w:tc>
          <w:tcPr>
            <w:tcW w:w="2138" w:type="dxa"/>
            <w:hideMark/>
          </w:tcPr>
          <w:p w14:paraId="61A30456" w14:textId="77777777" w:rsidR="00FE7F5B" w:rsidRDefault="00FE7F5B">
            <w:pPr>
              <w:pStyle w:val="Tableheaderrow"/>
            </w:pPr>
            <w:r>
              <w:t>Unwanted signal: CW or FM carrier</w:t>
            </w:r>
          </w:p>
        </w:tc>
        <w:tc>
          <w:tcPr>
            <w:tcW w:w="5527" w:type="dxa"/>
            <w:gridSpan w:val="7"/>
            <w:hideMark/>
          </w:tcPr>
          <w:p w14:paraId="45EA4D1B" w14:textId="70200C2D" w:rsidR="00FE7F5B" w:rsidRDefault="00FE7F5B">
            <w:pPr>
              <w:pStyle w:val="Tableheaderrow"/>
            </w:pPr>
            <w:r>
              <w:t>Wanted signal: DVB-T, 8 MHz, 64-QAM, code rate 2/3</w:t>
            </w:r>
          </w:p>
        </w:tc>
      </w:tr>
      <w:tr w:rsidR="00FE7F5B" w14:paraId="0B2AA6A8" w14:textId="77777777" w:rsidTr="00C50B37">
        <w:trPr>
          <w:cnfStyle w:val="000000100000" w:firstRow="0" w:lastRow="0" w:firstColumn="0" w:lastColumn="0" w:oddVBand="0" w:evenVBand="0" w:oddHBand="1" w:evenHBand="0" w:firstRowFirstColumn="0" w:firstRowLastColumn="0" w:lastRowFirstColumn="0" w:lastRowLastColumn="0"/>
        </w:trPr>
        <w:tc>
          <w:tcPr>
            <w:tcW w:w="2138" w:type="dxa"/>
            <w:tcBorders>
              <w:top w:val="single" w:sz="4" w:space="0" w:color="auto"/>
              <w:left w:val="single" w:sz="4" w:space="0" w:color="auto"/>
              <w:bottom w:val="single" w:sz="4" w:space="0" w:color="auto"/>
              <w:right w:val="single" w:sz="4" w:space="0" w:color="auto"/>
            </w:tcBorders>
            <w:vAlign w:val="center"/>
            <w:hideMark/>
          </w:tcPr>
          <w:p w14:paraId="437B4A78" w14:textId="77777777" w:rsidR="00FE7F5B" w:rsidRDefault="00FE7F5B">
            <w:pPr>
              <w:pStyle w:val="TableBody"/>
            </w:pPr>
            <w:r>
              <w:rPr>
                <w:rFonts w:ascii="Symbol" w:eastAsia="Symbol" w:hAnsi="Symbol" w:cs="Symbol"/>
              </w:rPr>
              <w:t>D</w:t>
            </w:r>
            <w:r>
              <w:rPr>
                <w:rFonts w:ascii="Tms Rmn" w:hAnsi="Tms Rmn"/>
                <w:sz w:val="12"/>
              </w:rPr>
              <w:t> </w:t>
            </w:r>
            <w:r>
              <w:rPr>
                <w:i/>
                <w:iCs/>
              </w:rPr>
              <w:t>f</w:t>
            </w:r>
            <w:r>
              <w:t xml:space="preserve"> (MHz)</w:t>
            </w:r>
          </w:p>
        </w:tc>
        <w:tc>
          <w:tcPr>
            <w:tcW w:w="788" w:type="dxa"/>
            <w:tcBorders>
              <w:top w:val="single" w:sz="4" w:space="0" w:color="auto"/>
              <w:left w:val="single" w:sz="4" w:space="0" w:color="auto"/>
              <w:bottom w:val="single" w:sz="4" w:space="0" w:color="auto"/>
              <w:right w:val="single" w:sz="4" w:space="0" w:color="auto"/>
            </w:tcBorders>
            <w:hideMark/>
          </w:tcPr>
          <w:p w14:paraId="6BE4C4D8" w14:textId="77777777" w:rsidR="00FE7F5B" w:rsidRDefault="00FE7F5B">
            <w:pPr>
              <w:pStyle w:val="TableBody"/>
            </w:pPr>
            <w:r>
              <w:t>−12</w:t>
            </w:r>
          </w:p>
        </w:tc>
        <w:tc>
          <w:tcPr>
            <w:tcW w:w="789" w:type="dxa"/>
            <w:tcBorders>
              <w:top w:val="single" w:sz="4" w:space="0" w:color="auto"/>
              <w:left w:val="single" w:sz="4" w:space="0" w:color="auto"/>
              <w:bottom w:val="single" w:sz="4" w:space="0" w:color="auto"/>
              <w:right w:val="single" w:sz="4" w:space="0" w:color="auto"/>
            </w:tcBorders>
            <w:hideMark/>
          </w:tcPr>
          <w:p w14:paraId="426077D9" w14:textId="77777777" w:rsidR="00FE7F5B" w:rsidRDefault="00FE7F5B">
            <w:pPr>
              <w:pStyle w:val="TableBody"/>
            </w:pPr>
            <w:r>
              <w:t>−4.5</w:t>
            </w:r>
          </w:p>
        </w:tc>
        <w:tc>
          <w:tcPr>
            <w:tcW w:w="790" w:type="dxa"/>
            <w:tcBorders>
              <w:top w:val="single" w:sz="4" w:space="0" w:color="auto"/>
              <w:left w:val="single" w:sz="4" w:space="0" w:color="auto"/>
              <w:bottom w:val="single" w:sz="4" w:space="0" w:color="auto"/>
              <w:right w:val="single" w:sz="4" w:space="0" w:color="auto"/>
            </w:tcBorders>
            <w:hideMark/>
          </w:tcPr>
          <w:p w14:paraId="09E29089" w14:textId="77777777" w:rsidR="00FE7F5B" w:rsidRDefault="00FE7F5B">
            <w:pPr>
              <w:pStyle w:val="TableBody"/>
            </w:pPr>
            <w:r>
              <w:t>−3.9</w:t>
            </w:r>
          </w:p>
        </w:tc>
        <w:tc>
          <w:tcPr>
            <w:tcW w:w="790" w:type="dxa"/>
            <w:tcBorders>
              <w:top w:val="single" w:sz="4" w:space="0" w:color="auto"/>
              <w:left w:val="single" w:sz="4" w:space="0" w:color="auto"/>
              <w:bottom w:val="single" w:sz="4" w:space="0" w:color="auto"/>
              <w:right w:val="single" w:sz="4" w:space="0" w:color="auto"/>
            </w:tcBorders>
            <w:hideMark/>
          </w:tcPr>
          <w:p w14:paraId="53CF7CEF" w14:textId="77777777" w:rsidR="00FE7F5B" w:rsidRDefault="00FE7F5B">
            <w:pPr>
              <w:pStyle w:val="TableBody"/>
            </w:pPr>
            <w:r>
              <w:t>0</w:t>
            </w:r>
          </w:p>
        </w:tc>
        <w:tc>
          <w:tcPr>
            <w:tcW w:w="790" w:type="dxa"/>
            <w:tcBorders>
              <w:top w:val="single" w:sz="4" w:space="0" w:color="auto"/>
              <w:left w:val="single" w:sz="4" w:space="0" w:color="auto"/>
              <w:bottom w:val="single" w:sz="4" w:space="0" w:color="auto"/>
              <w:right w:val="single" w:sz="4" w:space="0" w:color="auto"/>
            </w:tcBorders>
            <w:hideMark/>
          </w:tcPr>
          <w:p w14:paraId="59F8BA42" w14:textId="77777777" w:rsidR="00FE7F5B" w:rsidRDefault="00FE7F5B">
            <w:pPr>
              <w:pStyle w:val="TableBody"/>
            </w:pPr>
            <w:r>
              <w:t>3.9</w:t>
            </w:r>
          </w:p>
        </w:tc>
        <w:tc>
          <w:tcPr>
            <w:tcW w:w="790" w:type="dxa"/>
            <w:tcBorders>
              <w:top w:val="single" w:sz="4" w:space="0" w:color="auto"/>
              <w:left w:val="single" w:sz="4" w:space="0" w:color="auto"/>
              <w:bottom w:val="single" w:sz="4" w:space="0" w:color="auto"/>
              <w:right w:val="single" w:sz="4" w:space="0" w:color="auto"/>
            </w:tcBorders>
            <w:hideMark/>
          </w:tcPr>
          <w:p w14:paraId="360E6339" w14:textId="77777777" w:rsidR="00FE7F5B" w:rsidRDefault="00FE7F5B">
            <w:pPr>
              <w:pStyle w:val="TableBody"/>
            </w:pPr>
            <w:r>
              <w:t>4.5</w:t>
            </w:r>
          </w:p>
        </w:tc>
        <w:tc>
          <w:tcPr>
            <w:tcW w:w="790" w:type="dxa"/>
            <w:tcBorders>
              <w:top w:val="single" w:sz="4" w:space="0" w:color="auto"/>
              <w:left w:val="single" w:sz="4" w:space="0" w:color="auto"/>
              <w:bottom w:val="single" w:sz="4" w:space="0" w:color="auto"/>
              <w:right w:val="single" w:sz="4" w:space="0" w:color="auto"/>
            </w:tcBorders>
            <w:hideMark/>
          </w:tcPr>
          <w:p w14:paraId="6101551A" w14:textId="77777777" w:rsidR="00FE7F5B" w:rsidRDefault="00FE7F5B">
            <w:pPr>
              <w:pStyle w:val="TableBody"/>
            </w:pPr>
            <w:r>
              <w:t>12</w:t>
            </w:r>
          </w:p>
        </w:tc>
      </w:tr>
      <w:tr w:rsidR="00FE7F5B" w14:paraId="376303C7" w14:textId="77777777" w:rsidTr="00C50B37">
        <w:trPr>
          <w:cnfStyle w:val="000000010000" w:firstRow="0" w:lastRow="0" w:firstColumn="0" w:lastColumn="0" w:oddVBand="0" w:evenVBand="0" w:oddHBand="0" w:evenHBand="1" w:firstRowFirstColumn="0" w:firstRowLastColumn="0" w:lastRowFirstColumn="0" w:lastRowLastColumn="0"/>
        </w:trPr>
        <w:tc>
          <w:tcPr>
            <w:tcW w:w="2138" w:type="dxa"/>
            <w:tcBorders>
              <w:top w:val="single" w:sz="4" w:space="0" w:color="auto"/>
              <w:left w:val="single" w:sz="4" w:space="0" w:color="auto"/>
              <w:bottom w:val="single" w:sz="4" w:space="0" w:color="auto"/>
              <w:right w:val="single" w:sz="4" w:space="0" w:color="auto"/>
            </w:tcBorders>
            <w:vAlign w:val="center"/>
            <w:hideMark/>
          </w:tcPr>
          <w:p w14:paraId="7E483732" w14:textId="77777777" w:rsidR="00FE7F5B" w:rsidRDefault="00FE7F5B">
            <w:pPr>
              <w:pStyle w:val="TableBody"/>
            </w:pPr>
            <w:r>
              <w:t>PR</w:t>
            </w:r>
          </w:p>
        </w:tc>
        <w:tc>
          <w:tcPr>
            <w:tcW w:w="788" w:type="dxa"/>
            <w:tcBorders>
              <w:top w:val="single" w:sz="4" w:space="0" w:color="auto"/>
              <w:left w:val="single" w:sz="4" w:space="0" w:color="auto"/>
              <w:bottom w:val="single" w:sz="4" w:space="0" w:color="auto"/>
              <w:right w:val="single" w:sz="4" w:space="0" w:color="auto"/>
            </w:tcBorders>
            <w:hideMark/>
          </w:tcPr>
          <w:p w14:paraId="337A73E6" w14:textId="77777777" w:rsidR="00FE7F5B" w:rsidRDefault="00FE7F5B">
            <w:pPr>
              <w:pStyle w:val="TableBody"/>
            </w:pPr>
            <w:r>
              <w:t>−38</w:t>
            </w:r>
          </w:p>
        </w:tc>
        <w:tc>
          <w:tcPr>
            <w:tcW w:w="789" w:type="dxa"/>
            <w:tcBorders>
              <w:top w:val="single" w:sz="4" w:space="0" w:color="auto"/>
              <w:left w:val="single" w:sz="4" w:space="0" w:color="auto"/>
              <w:bottom w:val="single" w:sz="4" w:space="0" w:color="auto"/>
              <w:right w:val="single" w:sz="4" w:space="0" w:color="auto"/>
            </w:tcBorders>
            <w:hideMark/>
          </w:tcPr>
          <w:p w14:paraId="7BBD0668" w14:textId="77777777" w:rsidR="00FE7F5B" w:rsidRDefault="00FE7F5B">
            <w:pPr>
              <w:pStyle w:val="TableBody"/>
            </w:pPr>
            <w:r>
              <w:t>−33</w:t>
            </w:r>
          </w:p>
        </w:tc>
        <w:tc>
          <w:tcPr>
            <w:tcW w:w="790" w:type="dxa"/>
            <w:tcBorders>
              <w:top w:val="single" w:sz="4" w:space="0" w:color="auto"/>
              <w:left w:val="single" w:sz="4" w:space="0" w:color="auto"/>
              <w:bottom w:val="single" w:sz="4" w:space="0" w:color="auto"/>
              <w:right w:val="single" w:sz="4" w:space="0" w:color="auto"/>
            </w:tcBorders>
            <w:hideMark/>
          </w:tcPr>
          <w:p w14:paraId="1DABCB67" w14:textId="77777777" w:rsidR="00FE7F5B" w:rsidRDefault="00FE7F5B">
            <w:pPr>
              <w:pStyle w:val="TableBody"/>
            </w:pPr>
            <w:r>
              <w:t>−3</w:t>
            </w:r>
          </w:p>
        </w:tc>
        <w:tc>
          <w:tcPr>
            <w:tcW w:w="790" w:type="dxa"/>
            <w:tcBorders>
              <w:top w:val="single" w:sz="4" w:space="0" w:color="auto"/>
              <w:left w:val="single" w:sz="4" w:space="0" w:color="auto"/>
              <w:bottom w:val="single" w:sz="4" w:space="0" w:color="auto"/>
              <w:right w:val="single" w:sz="4" w:space="0" w:color="auto"/>
            </w:tcBorders>
            <w:hideMark/>
          </w:tcPr>
          <w:p w14:paraId="62A6FF90" w14:textId="77777777" w:rsidR="00FE7F5B" w:rsidRDefault="00FE7F5B">
            <w:pPr>
              <w:pStyle w:val="TableBody"/>
            </w:pPr>
            <w:r>
              <w:t>−3</w:t>
            </w:r>
          </w:p>
        </w:tc>
        <w:tc>
          <w:tcPr>
            <w:tcW w:w="790" w:type="dxa"/>
            <w:tcBorders>
              <w:top w:val="single" w:sz="4" w:space="0" w:color="auto"/>
              <w:left w:val="single" w:sz="4" w:space="0" w:color="auto"/>
              <w:bottom w:val="single" w:sz="4" w:space="0" w:color="auto"/>
              <w:right w:val="single" w:sz="4" w:space="0" w:color="auto"/>
            </w:tcBorders>
            <w:hideMark/>
          </w:tcPr>
          <w:p w14:paraId="3BA72CA7" w14:textId="77777777" w:rsidR="00FE7F5B" w:rsidRDefault="00FE7F5B">
            <w:pPr>
              <w:pStyle w:val="TableBody"/>
            </w:pPr>
            <w:r>
              <w:t>−3</w:t>
            </w:r>
          </w:p>
        </w:tc>
        <w:tc>
          <w:tcPr>
            <w:tcW w:w="790" w:type="dxa"/>
            <w:tcBorders>
              <w:top w:val="single" w:sz="4" w:space="0" w:color="auto"/>
              <w:left w:val="single" w:sz="4" w:space="0" w:color="auto"/>
              <w:bottom w:val="single" w:sz="4" w:space="0" w:color="auto"/>
              <w:right w:val="single" w:sz="4" w:space="0" w:color="auto"/>
            </w:tcBorders>
            <w:hideMark/>
          </w:tcPr>
          <w:p w14:paraId="1768C761" w14:textId="77777777" w:rsidR="00FE7F5B" w:rsidRDefault="00FE7F5B">
            <w:pPr>
              <w:pStyle w:val="TableBody"/>
            </w:pPr>
            <w:r>
              <w:t>−33</w:t>
            </w:r>
          </w:p>
        </w:tc>
        <w:tc>
          <w:tcPr>
            <w:tcW w:w="790" w:type="dxa"/>
            <w:tcBorders>
              <w:top w:val="single" w:sz="4" w:space="0" w:color="auto"/>
              <w:left w:val="single" w:sz="4" w:space="0" w:color="auto"/>
              <w:bottom w:val="single" w:sz="4" w:space="0" w:color="auto"/>
              <w:right w:val="single" w:sz="4" w:space="0" w:color="auto"/>
            </w:tcBorders>
            <w:hideMark/>
          </w:tcPr>
          <w:p w14:paraId="29B59D5F" w14:textId="77777777" w:rsidR="00FE7F5B" w:rsidRDefault="00FE7F5B">
            <w:pPr>
              <w:pStyle w:val="TableBody"/>
            </w:pPr>
            <w:r>
              <w:t>−38</w:t>
            </w:r>
          </w:p>
        </w:tc>
      </w:tr>
    </w:tbl>
    <w:p w14:paraId="6C94C0F5" w14:textId="77777777" w:rsidR="00FE7F5B" w:rsidRDefault="00FE7F5B" w:rsidP="00034FE1">
      <w:pPr>
        <w:pStyle w:val="Tableorfigurenote"/>
      </w:pPr>
      <w:bookmarkStart w:id="20" w:name="_Hlk103774641"/>
      <w:r>
        <w:t>Note: 2010 MHz band edge represents a frequency separation (</w:t>
      </w:r>
      <w:r>
        <w:rPr>
          <w:rFonts w:ascii="Symbol" w:eastAsia="Symbol" w:hAnsi="Symbol" w:cs="Symbol"/>
        </w:rPr>
        <w:t>D</w:t>
      </w:r>
      <w:r>
        <w:rPr>
          <w:rFonts w:ascii="Tms Rmn" w:hAnsi="Tms Rmn"/>
          <w:sz w:val="12"/>
        </w:rPr>
        <w:t> </w:t>
      </w:r>
      <w:r>
        <w:rPr>
          <w:iCs/>
        </w:rPr>
        <w:t>f</w:t>
      </w:r>
      <w:r>
        <w:t>) of 4 MHz.</w:t>
      </w:r>
    </w:p>
    <w:bookmarkEnd w:id="20"/>
    <w:p w14:paraId="21BB64C7" w14:textId="1EA5DC92" w:rsidR="00FE7F5B" w:rsidRDefault="00FE7F5B" w:rsidP="00FE7F5B">
      <w:r>
        <w:t xml:space="preserve">Applying these values to an 8 MHz TOB channel with a centre frequency at 2014 MHz provides protection ratios of between -33 to -36 </w:t>
      </w:r>
      <w:r w:rsidR="00DD2AAA">
        <w:t xml:space="preserve">dB </w:t>
      </w:r>
      <w:r>
        <w:t>below 2009.5 MHz</w:t>
      </w:r>
      <w:r w:rsidR="00797F3E">
        <w:t xml:space="preserve"> (</w:t>
      </w:r>
      <w:r w:rsidR="00B053D7">
        <w:t>that is,</w:t>
      </w:r>
      <w:r w:rsidR="00797F3E">
        <w:t xml:space="preserve"> the -4.5 MHz offset</w:t>
      </w:r>
      <w:r w:rsidR="000D3058">
        <w:t xml:space="preserve"> in </w:t>
      </w:r>
      <w:r w:rsidR="001D6016">
        <w:fldChar w:fldCharType="begin"/>
      </w:r>
      <w:r w:rsidR="001D6016">
        <w:instrText xml:space="preserve"> REF _Ref107403367 \h </w:instrText>
      </w:r>
      <w:r w:rsidR="001D6016">
        <w:fldChar w:fldCharType="separate"/>
      </w:r>
      <w:r w:rsidR="00930132">
        <w:t xml:space="preserve">Table </w:t>
      </w:r>
      <w:r w:rsidR="00930132">
        <w:rPr>
          <w:noProof/>
        </w:rPr>
        <w:t>3</w:t>
      </w:r>
      <w:r w:rsidR="001D6016">
        <w:fldChar w:fldCharType="end"/>
      </w:r>
      <w:r w:rsidR="00797F3E">
        <w:t>)</w:t>
      </w:r>
      <w:r w:rsidR="00B51D8C">
        <w:t xml:space="preserve">, </w:t>
      </w:r>
      <w:r>
        <w:t xml:space="preserve">depending on frequency offset. This is similar to the -30 dB adjacent channel protection ratio in RALI FX 21. The protection ratio increases significantly near the 2010 MHz band edge, which suggests a need </w:t>
      </w:r>
      <w:r w:rsidR="00B053D7">
        <w:t xml:space="preserve">for </w:t>
      </w:r>
      <w:r>
        <w:t>consequential limitations on the ability to operate earth stations in the 2009.5</w:t>
      </w:r>
      <w:r w:rsidR="00B053D7">
        <w:t>–</w:t>
      </w:r>
      <w:r>
        <w:t xml:space="preserve">2010 MHz band without impacting TOB. </w:t>
      </w:r>
    </w:p>
    <w:p w14:paraId="2D4FF86C" w14:textId="5C0B9EB6" w:rsidR="00500F50" w:rsidRDefault="00CC3055" w:rsidP="00FE7F5B">
      <w:r>
        <w:t xml:space="preserve">Noting the </w:t>
      </w:r>
      <w:r w:rsidR="00EF6BDF">
        <w:t>protection</w:t>
      </w:r>
      <w:r>
        <w:t xml:space="preserve"> ratio at 2009.5, above, and the </w:t>
      </w:r>
      <w:r w:rsidR="00E22BCA">
        <w:t xml:space="preserve">frequency dependent rejection </w:t>
      </w:r>
      <w:r w:rsidR="00AE1B94">
        <w:t xml:space="preserve">(FDR) </w:t>
      </w:r>
      <w:r w:rsidR="008659B6">
        <w:t>between 2009</w:t>
      </w:r>
      <w:r w:rsidR="00B053D7">
        <w:t>–</w:t>
      </w:r>
      <w:r w:rsidR="008659B6">
        <w:t xml:space="preserve">2010 </w:t>
      </w:r>
      <w:r w:rsidR="00AE1B94">
        <w:t>MH</w:t>
      </w:r>
      <w:r w:rsidR="00804646">
        <w:t>z</w:t>
      </w:r>
      <w:r w:rsidR="00AE1B94">
        <w:t xml:space="preserve"> </w:t>
      </w:r>
      <w:r w:rsidR="008659B6">
        <w:t>(</w:t>
      </w:r>
      <w:r w:rsidR="009C3221">
        <w:t>discussed</w:t>
      </w:r>
      <w:r w:rsidR="008659B6">
        <w:t xml:space="preserve"> below, including Figure 3)</w:t>
      </w:r>
      <w:r w:rsidR="00F43151">
        <w:t>,</w:t>
      </w:r>
      <w:r w:rsidR="005A1826">
        <w:t xml:space="preserve"> </w:t>
      </w:r>
      <w:r w:rsidR="00375502">
        <w:t>uncoordinated stations between 2009 and 2010</w:t>
      </w:r>
      <w:r w:rsidR="00FD3D57">
        <w:t xml:space="preserve"> will not be facilitated</w:t>
      </w:r>
      <w:r w:rsidR="00375502">
        <w:t xml:space="preserve"> at this stage.</w:t>
      </w:r>
    </w:p>
    <w:p w14:paraId="2D15DDD1" w14:textId="77777777" w:rsidR="00FE7F5B" w:rsidRDefault="00FE7F5B" w:rsidP="00FE7F5B">
      <w:pPr>
        <w:pStyle w:val="Heading3"/>
      </w:pPr>
      <w:r>
        <w:t>Developing a frequency dependant rejection value</w:t>
      </w:r>
    </w:p>
    <w:p w14:paraId="3AEB6541" w14:textId="6EB63BA6" w:rsidR="00FE7F5B" w:rsidRDefault="00FE7F5B" w:rsidP="00FE7F5B">
      <w:r>
        <w:t>A method for calculating FDR</w:t>
      </w:r>
      <w:r w:rsidR="00AE1B94">
        <w:t xml:space="preserve"> </w:t>
      </w:r>
      <w:r>
        <w:t xml:space="preserve">is described in ITU-R Recommendation SM.337. FDR is a measure of the interference coupling mechanism between interferer and receiver, which is useful for interference evaluations. </w:t>
      </w:r>
    </w:p>
    <w:p w14:paraId="73984FA5" w14:textId="31F0846B" w:rsidR="00FE7F5B" w:rsidRDefault="00FE7F5B" w:rsidP="00B13A42">
      <w:pPr>
        <w:pStyle w:val="Paragraph"/>
      </w:pPr>
      <w:r>
        <w:lastRenderedPageBreak/>
        <w:t xml:space="preserve">A TOB transmitter mask was modelled based on the power sum of subcarriers, using parameters from standard ETSI EN 300 744 V1.6.2 (2015-10). A TOB receiver mask was estimated based on transmitter mask and the principles of ETSI TR 101 854 V2.1.1 (2019-04). </w:t>
      </w:r>
      <w:r w:rsidR="00286CD2">
        <w:fldChar w:fldCharType="begin"/>
      </w:r>
      <w:r w:rsidR="00286CD2">
        <w:instrText xml:space="preserve"> REF _Ref105772765 \h </w:instrText>
      </w:r>
      <w:r w:rsidR="00286CD2">
        <w:fldChar w:fldCharType="separate"/>
      </w:r>
      <w:r w:rsidR="000D7111">
        <w:t xml:space="preserve">Figure </w:t>
      </w:r>
      <w:r w:rsidR="000D7111">
        <w:rPr>
          <w:noProof/>
        </w:rPr>
        <w:t>1</w:t>
      </w:r>
      <w:r w:rsidR="00286CD2">
        <w:fldChar w:fldCharType="end"/>
      </w:r>
      <w:r w:rsidR="00286CD2">
        <w:t xml:space="preserve"> </w:t>
      </w:r>
      <w:r>
        <w:t xml:space="preserve">shows the TOB transmitter and receiver masks used in the FDR analysis. </w:t>
      </w:r>
    </w:p>
    <w:p w14:paraId="76B721FA" w14:textId="0A58689C" w:rsidR="00B053D7" w:rsidRDefault="00B053D7" w:rsidP="00B13A42">
      <w:pPr>
        <w:pStyle w:val="Figureheading"/>
        <w:rPr>
          <w:noProof/>
        </w:rPr>
      </w:pPr>
      <w:r>
        <w:t>TOB transmit and receive masks</w:t>
      </w:r>
    </w:p>
    <w:p w14:paraId="35344F66" w14:textId="724FB3F1" w:rsidR="00FE7F5B" w:rsidRDefault="00FE7F5B" w:rsidP="00FE7F5B">
      <w:r>
        <w:rPr>
          <w:noProof/>
        </w:rPr>
        <w:drawing>
          <wp:inline distT="0" distB="0" distL="0" distR="0" wp14:anchorId="2D3FA561" wp14:editId="2FF731FE">
            <wp:extent cx="4858385" cy="2608841"/>
            <wp:effectExtent l="0" t="0" r="0" b="1270"/>
            <wp:docPr id="2" name="Picture 2"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f you need help accessing or reading this diagram, please contact the ACMA's Customer Service Centre by phone on 1300 850 115 or by email at info@acma.gov.au"/>
                    <pic:cNvPicPr>
                      <a:picLocks noChangeAspect="1" noChangeArrowheads="1"/>
                    </pic:cNvPicPr>
                  </pic:nvPicPr>
                  <pic:blipFill rotWithShape="1">
                    <a:blip r:embed="rId50">
                      <a:extLst>
                        <a:ext uri="{28A0092B-C50C-407E-A947-70E740481C1C}">
                          <a14:useLocalDpi xmlns:a14="http://schemas.microsoft.com/office/drawing/2010/main" val="0"/>
                        </a:ext>
                      </a:extLst>
                    </a:blip>
                    <a:srcRect/>
                    <a:stretch/>
                  </pic:blipFill>
                  <pic:spPr bwMode="auto">
                    <a:xfrm>
                      <a:off x="0" y="0"/>
                      <a:ext cx="4858385" cy="2608841"/>
                    </a:xfrm>
                    <a:prstGeom prst="rect">
                      <a:avLst/>
                    </a:prstGeom>
                    <a:noFill/>
                    <a:ln>
                      <a:noFill/>
                    </a:ln>
                    <a:extLst>
                      <a:ext uri="{53640926-AAD7-44D8-BBD7-CCE9431645EC}">
                        <a14:shadowObscured xmlns:a14="http://schemas.microsoft.com/office/drawing/2010/main"/>
                      </a:ext>
                    </a:extLst>
                  </pic:spPr>
                </pic:pic>
              </a:graphicData>
            </a:graphic>
          </wp:inline>
        </w:drawing>
      </w:r>
    </w:p>
    <w:p w14:paraId="75011912" w14:textId="6A3C95A1" w:rsidR="00FE7F5B" w:rsidRDefault="00FE7F5B" w:rsidP="00FE7F5B">
      <w:r>
        <w:t>As noted above</w:t>
      </w:r>
      <w:r w:rsidR="00B053D7">
        <w:t>,</w:t>
      </w:r>
      <w:r>
        <w:t xml:space="preserve"> emission masks for narrowband MSS have been derived from ITU-R Recommendation M.1343. These are based on the out</w:t>
      </w:r>
      <w:r w:rsidR="00B053D7">
        <w:t>-</w:t>
      </w:r>
      <w:r>
        <w:t>of</w:t>
      </w:r>
      <w:r w:rsidR="00B053D7">
        <w:t>-</w:t>
      </w:r>
      <w:r>
        <w:t>band limits of Table 5 of the Recommendation</w:t>
      </w:r>
      <w:r w:rsidR="00EC17BA">
        <w:t>,</w:t>
      </w:r>
      <w:r w:rsidR="00B053D7">
        <w:t xml:space="preserve"> as shown in Table 4.</w:t>
      </w:r>
    </w:p>
    <w:p w14:paraId="739DF9E9" w14:textId="4CA07D93" w:rsidR="00C50B37" w:rsidRDefault="00C50B37" w:rsidP="00D50469">
      <w:pPr>
        <w:pStyle w:val="Tableheading"/>
      </w:pPr>
      <w:r w:rsidRPr="00615D74">
        <w:t>ITU-R Rec M.1343 out</w:t>
      </w:r>
      <w:r w:rsidR="00B053D7">
        <w:t>-</w:t>
      </w:r>
      <w:r w:rsidRPr="00615D74">
        <w:t>of</w:t>
      </w:r>
      <w:r w:rsidR="00B053D7">
        <w:t>-</w:t>
      </w:r>
      <w:r w:rsidRPr="00615D74">
        <w:t>band limits</w:t>
      </w:r>
    </w:p>
    <w:tbl>
      <w:tblPr>
        <w:tblStyle w:val="ACMAtablestyle"/>
        <w:tblW w:w="5000" w:type="pct"/>
        <w:tblLayout w:type="fixed"/>
        <w:tblLook w:val="01E0" w:firstRow="1" w:lastRow="1" w:firstColumn="1" w:lastColumn="1" w:noHBand="0" w:noVBand="0"/>
        <w:tblCaption w:val="Table title to go here"/>
        <w:tblDescription w:val="Table description to go here"/>
      </w:tblPr>
      <w:tblGrid>
        <w:gridCol w:w="2553"/>
        <w:gridCol w:w="2554"/>
        <w:gridCol w:w="2554"/>
      </w:tblGrid>
      <w:tr w:rsidR="00FE7F5B" w14:paraId="7692328D" w14:textId="77777777" w:rsidTr="00C50B37">
        <w:trPr>
          <w:cnfStyle w:val="100000000000" w:firstRow="1" w:lastRow="0" w:firstColumn="0" w:lastColumn="0" w:oddVBand="0" w:evenVBand="0" w:oddHBand="0" w:evenHBand="0" w:firstRowFirstColumn="0" w:firstRowLastColumn="0" w:lastRowFirstColumn="0" w:lastRowLastColumn="0"/>
        </w:trPr>
        <w:tc>
          <w:tcPr>
            <w:tcW w:w="2553" w:type="dxa"/>
            <w:hideMark/>
          </w:tcPr>
          <w:p w14:paraId="1655EFE6" w14:textId="77777777" w:rsidR="00FE7F5B" w:rsidRDefault="00FE7F5B">
            <w:pPr>
              <w:pStyle w:val="Tableheaderrow"/>
            </w:pPr>
            <w:r>
              <w:t>Frequency offset (kHz)</w:t>
            </w:r>
          </w:p>
        </w:tc>
        <w:tc>
          <w:tcPr>
            <w:tcW w:w="2554" w:type="dxa"/>
            <w:hideMark/>
          </w:tcPr>
          <w:p w14:paraId="79E0F902" w14:textId="77777777" w:rsidR="00FE7F5B" w:rsidRDefault="00FE7F5B">
            <w:pPr>
              <w:pStyle w:val="Tableheaderrow"/>
            </w:pPr>
            <w:r>
              <w:t>EIRP (dBW)</w:t>
            </w:r>
          </w:p>
        </w:tc>
        <w:tc>
          <w:tcPr>
            <w:tcW w:w="2554" w:type="dxa"/>
            <w:hideMark/>
          </w:tcPr>
          <w:p w14:paraId="46BDB33E" w14:textId="77777777" w:rsidR="00FE7F5B" w:rsidRDefault="00FE7F5B">
            <w:pPr>
              <w:pStyle w:val="Tableheaderrow"/>
            </w:pPr>
            <w:r>
              <w:t>Measurement bandwidth (kHz)</w:t>
            </w:r>
          </w:p>
        </w:tc>
      </w:tr>
      <w:tr w:rsidR="00FE7F5B" w14:paraId="6819B7D4" w14:textId="77777777" w:rsidTr="00C50B37">
        <w:trPr>
          <w:cnfStyle w:val="000000100000" w:firstRow="0" w:lastRow="0" w:firstColumn="0" w:lastColumn="0" w:oddVBand="0" w:evenVBand="0" w:oddHBand="1" w:evenHBand="0" w:firstRowFirstColumn="0" w:firstRowLastColumn="0" w:lastRowFirstColumn="0" w:lastRowLastColumn="0"/>
        </w:trPr>
        <w:tc>
          <w:tcPr>
            <w:tcW w:w="2553" w:type="dxa"/>
            <w:tcBorders>
              <w:top w:val="single" w:sz="4" w:space="0" w:color="auto"/>
              <w:left w:val="single" w:sz="4" w:space="0" w:color="auto"/>
              <w:bottom w:val="single" w:sz="4" w:space="0" w:color="auto"/>
              <w:right w:val="single" w:sz="4" w:space="0" w:color="auto"/>
            </w:tcBorders>
            <w:hideMark/>
          </w:tcPr>
          <w:p w14:paraId="61AA540A" w14:textId="77777777" w:rsidR="00FE7F5B" w:rsidRDefault="00FE7F5B">
            <w:pPr>
              <w:pStyle w:val="TableBody"/>
            </w:pPr>
            <w:r>
              <w:t xml:space="preserve">0 to 166 </w:t>
            </w:r>
          </w:p>
        </w:tc>
        <w:tc>
          <w:tcPr>
            <w:tcW w:w="2554" w:type="dxa"/>
            <w:tcBorders>
              <w:top w:val="single" w:sz="4" w:space="0" w:color="auto"/>
              <w:left w:val="single" w:sz="4" w:space="0" w:color="auto"/>
              <w:bottom w:val="single" w:sz="4" w:space="0" w:color="auto"/>
              <w:right w:val="single" w:sz="4" w:space="0" w:color="auto"/>
            </w:tcBorders>
            <w:hideMark/>
          </w:tcPr>
          <w:p w14:paraId="5E66F78C" w14:textId="77777777" w:rsidR="00FE7F5B" w:rsidRDefault="00FE7F5B">
            <w:pPr>
              <w:pStyle w:val="TableBody"/>
            </w:pPr>
            <w:r>
              <w:t xml:space="preserve"> 0-(offset × 55/166)</w:t>
            </w:r>
          </w:p>
        </w:tc>
        <w:tc>
          <w:tcPr>
            <w:tcW w:w="2554" w:type="dxa"/>
            <w:tcBorders>
              <w:top w:val="single" w:sz="4" w:space="0" w:color="auto"/>
              <w:left w:val="single" w:sz="4" w:space="0" w:color="auto"/>
              <w:bottom w:val="single" w:sz="4" w:space="0" w:color="auto"/>
              <w:right w:val="single" w:sz="4" w:space="0" w:color="auto"/>
            </w:tcBorders>
            <w:hideMark/>
          </w:tcPr>
          <w:p w14:paraId="2F338FA0" w14:textId="77777777" w:rsidR="00FE7F5B" w:rsidRDefault="00FE7F5B">
            <w:pPr>
              <w:pStyle w:val="TableBody"/>
            </w:pPr>
            <w:r>
              <w:t>3 kHz</w:t>
            </w:r>
          </w:p>
        </w:tc>
      </w:tr>
      <w:tr w:rsidR="00FE7F5B" w14:paraId="43E32ED0" w14:textId="77777777" w:rsidTr="00C50B37">
        <w:trPr>
          <w:cnfStyle w:val="000000010000" w:firstRow="0" w:lastRow="0" w:firstColumn="0" w:lastColumn="0" w:oddVBand="0" w:evenVBand="0" w:oddHBand="0" w:evenHBand="1" w:firstRowFirstColumn="0" w:firstRowLastColumn="0" w:lastRowFirstColumn="0" w:lastRowLastColumn="0"/>
        </w:trPr>
        <w:tc>
          <w:tcPr>
            <w:tcW w:w="2553" w:type="dxa"/>
            <w:tcBorders>
              <w:top w:val="single" w:sz="4" w:space="0" w:color="auto"/>
              <w:left w:val="single" w:sz="4" w:space="0" w:color="auto"/>
              <w:bottom w:val="single" w:sz="4" w:space="0" w:color="auto"/>
              <w:right w:val="single" w:sz="4" w:space="0" w:color="auto"/>
            </w:tcBorders>
            <w:hideMark/>
          </w:tcPr>
          <w:p w14:paraId="3DAE1D87" w14:textId="77777777" w:rsidR="00FE7F5B" w:rsidRDefault="00FE7F5B">
            <w:pPr>
              <w:pStyle w:val="TableBody"/>
            </w:pPr>
            <w:r>
              <w:t>166 to 575</w:t>
            </w:r>
          </w:p>
        </w:tc>
        <w:tc>
          <w:tcPr>
            <w:tcW w:w="2554" w:type="dxa"/>
            <w:tcBorders>
              <w:top w:val="single" w:sz="4" w:space="0" w:color="auto"/>
              <w:left w:val="single" w:sz="4" w:space="0" w:color="auto"/>
              <w:bottom w:val="single" w:sz="4" w:space="0" w:color="auto"/>
              <w:right w:val="single" w:sz="4" w:space="0" w:color="auto"/>
            </w:tcBorders>
            <w:hideMark/>
          </w:tcPr>
          <w:p w14:paraId="5BAF91E4" w14:textId="77777777" w:rsidR="00FE7F5B" w:rsidRDefault="00FE7F5B">
            <w:pPr>
              <w:pStyle w:val="TableBody"/>
            </w:pPr>
            <w:r>
              <w:t>-55</w:t>
            </w:r>
          </w:p>
        </w:tc>
        <w:tc>
          <w:tcPr>
            <w:tcW w:w="2554" w:type="dxa"/>
            <w:tcBorders>
              <w:top w:val="single" w:sz="4" w:space="0" w:color="auto"/>
              <w:left w:val="single" w:sz="4" w:space="0" w:color="auto"/>
              <w:bottom w:val="single" w:sz="4" w:space="0" w:color="auto"/>
              <w:right w:val="single" w:sz="4" w:space="0" w:color="auto"/>
            </w:tcBorders>
            <w:hideMark/>
          </w:tcPr>
          <w:p w14:paraId="797CCD76" w14:textId="77777777" w:rsidR="00FE7F5B" w:rsidRDefault="00FE7F5B">
            <w:pPr>
              <w:pStyle w:val="TableBody"/>
            </w:pPr>
            <w:r>
              <w:t>3 kHz</w:t>
            </w:r>
          </w:p>
        </w:tc>
      </w:tr>
      <w:tr w:rsidR="00FE7F5B" w14:paraId="04FF4ACF" w14:textId="77777777" w:rsidTr="00C50B37">
        <w:trPr>
          <w:cnfStyle w:val="000000100000" w:firstRow="0" w:lastRow="0" w:firstColumn="0" w:lastColumn="0" w:oddVBand="0" w:evenVBand="0" w:oddHBand="1" w:evenHBand="0" w:firstRowFirstColumn="0" w:firstRowLastColumn="0" w:lastRowFirstColumn="0" w:lastRowLastColumn="0"/>
        </w:trPr>
        <w:tc>
          <w:tcPr>
            <w:tcW w:w="2553" w:type="dxa"/>
            <w:tcBorders>
              <w:top w:val="single" w:sz="4" w:space="0" w:color="auto"/>
              <w:left w:val="single" w:sz="4" w:space="0" w:color="auto"/>
              <w:bottom w:val="single" w:sz="4" w:space="0" w:color="auto"/>
              <w:right w:val="single" w:sz="4" w:space="0" w:color="auto"/>
            </w:tcBorders>
            <w:hideMark/>
          </w:tcPr>
          <w:p w14:paraId="7D87C0A5" w14:textId="77777777" w:rsidR="00FE7F5B" w:rsidRDefault="00FE7F5B">
            <w:pPr>
              <w:pStyle w:val="TableBody"/>
            </w:pPr>
            <w:r>
              <w:t>575 to 1175</w:t>
            </w:r>
          </w:p>
        </w:tc>
        <w:tc>
          <w:tcPr>
            <w:tcW w:w="2554" w:type="dxa"/>
            <w:tcBorders>
              <w:top w:val="single" w:sz="4" w:space="0" w:color="auto"/>
              <w:left w:val="single" w:sz="4" w:space="0" w:color="auto"/>
              <w:bottom w:val="single" w:sz="4" w:space="0" w:color="auto"/>
              <w:right w:val="single" w:sz="4" w:space="0" w:color="auto"/>
            </w:tcBorders>
            <w:hideMark/>
          </w:tcPr>
          <w:p w14:paraId="5BF66709" w14:textId="77777777" w:rsidR="00FE7F5B" w:rsidRDefault="00FE7F5B">
            <w:pPr>
              <w:pStyle w:val="TableBody"/>
            </w:pPr>
            <w:r>
              <w:t>-60</w:t>
            </w:r>
          </w:p>
        </w:tc>
        <w:tc>
          <w:tcPr>
            <w:tcW w:w="2554" w:type="dxa"/>
            <w:tcBorders>
              <w:top w:val="single" w:sz="4" w:space="0" w:color="auto"/>
              <w:left w:val="single" w:sz="4" w:space="0" w:color="auto"/>
              <w:bottom w:val="single" w:sz="4" w:space="0" w:color="auto"/>
              <w:right w:val="single" w:sz="4" w:space="0" w:color="auto"/>
            </w:tcBorders>
            <w:hideMark/>
          </w:tcPr>
          <w:p w14:paraId="16DBB018" w14:textId="77777777" w:rsidR="00FE7F5B" w:rsidRDefault="00FE7F5B">
            <w:pPr>
              <w:pStyle w:val="TableBody"/>
            </w:pPr>
            <w:r>
              <w:t>3 kHz</w:t>
            </w:r>
          </w:p>
        </w:tc>
      </w:tr>
      <w:tr w:rsidR="00FE7F5B" w14:paraId="41B09E79" w14:textId="77777777" w:rsidTr="00C50B37">
        <w:trPr>
          <w:cnfStyle w:val="000000010000" w:firstRow="0" w:lastRow="0" w:firstColumn="0" w:lastColumn="0" w:oddVBand="0" w:evenVBand="0" w:oddHBand="0" w:evenHBand="1" w:firstRowFirstColumn="0" w:firstRowLastColumn="0" w:lastRowFirstColumn="0" w:lastRowLastColumn="0"/>
        </w:trPr>
        <w:tc>
          <w:tcPr>
            <w:tcW w:w="2553" w:type="dxa"/>
            <w:tcBorders>
              <w:top w:val="single" w:sz="4" w:space="0" w:color="auto"/>
              <w:left w:val="single" w:sz="4" w:space="0" w:color="auto"/>
              <w:bottom w:val="single" w:sz="4" w:space="0" w:color="auto"/>
              <w:right w:val="single" w:sz="4" w:space="0" w:color="auto"/>
            </w:tcBorders>
            <w:hideMark/>
          </w:tcPr>
          <w:p w14:paraId="50E5A29E" w14:textId="77777777" w:rsidR="00FE7F5B" w:rsidRDefault="00FE7F5B">
            <w:pPr>
              <w:pStyle w:val="TableBody"/>
            </w:pPr>
            <w:r>
              <w:t>1175 to 1525</w:t>
            </w:r>
          </w:p>
        </w:tc>
        <w:tc>
          <w:tcPr>
            <w:tcW w:w="2554" w:type="dxa"/>
            <w:tcBorders>
              <w:top w:val="single" w:sz="4" w:space="0" w:color="auto"/>
              <w:left w:val="single" w:sz="4" w:space="0" w:color="auto"/>
              <w:bottom w:val="single" w:sz="4" w:space="0" w:color="auto"/>
              <w:right w:val="single" w:sz="4" w:space="0" w:color="auto"/>
            </w:tcBorders>
            <w:hideMark/>
          </w:tcPr>
          <w:p w14:paraId="149C62D0" w14:textId="77777777" w:rsidR="00FE7F5B" w:rsidRDefault="00FE7F5B">
            <w:pPr>
              <w:pStyle w:val="TableBody"/>
            </w:pPr>
            <w:r>
              <w:t>–50-((offset-1 175) × 5/350)</w:t>
            </w:r>
          </w:p>
        </w:tc>
        <w:tc>
          <w:tcPr>
            <w:tcW w:w="2554" w:type="dxa"/>
            <w:tcBorders>
              <w:top w:val="single" w:sz="4" w:space="0" w:color="auto"/>
              <w:left w:val="single" w:sz="4" w:space="0" w:color="auto"/>
              <w:bottom w:val="single" w:sz="4" w:space="0" w:color="auto"/>
              <w:right w:val="single" w:sz="4" w:space="0" w:color="auto"/>
            </w:tcBorders>
            <w:hideMark/>
          </w:tcPr>
          <w:p w14:paraId="4E87901E" w14:textId="77777777" w:rsidR="00FE7F5B" w:rsidRDefault="00FE7F5B">
            <w:pPr>
              <w:pStyle w:val="TableBody"/>
            </w:pPr>
            <w:r>
              <w:t>30 kHz</w:t>
            </w:r>
          </w:p>
        </w:tc>
      </w:tr>
      <w:tr w:rsidR="00FE7F5B" w14:paraId="777EDA71" w14:textId="77777777" w:rsidTr="00C50B37">
        <w:trPr>
          <w:cnfStyle w:val="000000100000" w:firstRow="0" w:lastRow="0" w:firstColumn="0" w:lastColumn="0" w:oddVBand="0" w:evenVBand="0" w:oddHBand="1" w:evenHBand="0" w:firstRowFirstColumn="0" w:firstRowLastColumn="0" w:lastRowFirstColumn="0" w:lastRowLastColumn="0"/>
        </w:trPr>
        <w:tc>
          <w:tcPr>
            <w:tcW w:w="2553" w:type="dxa"/>
            <w:tcBorders>
              <w:top w:val="single" w:sz="4" w:space="0" w:color="auto"/>
              <w:left w:val="single" w:sz="4" w:space="0" w:color="auto"/>
              <w:bottom w:val="single" w:sz="4" w:space="0" w:color="auto"/>
              <w:right w:val="single" w:sz="4" w:space="0" w:color="auto"/>
            </w:tcBorders>
            <w:hideMark/>
          </w:tcPr>
          <w:p w14:paraId="2FBC5E0D" w14:textId="77777777" w:rsidR="00FE7F5B" w:rsidRDefault="00FE7F5B">
            <w:pPr>
              <w:pStyle w:val="TableBody"/>
            </w:pPr>
            <w:r>
              <w:t>1525 to 45 000</w:t>
            </w:r>
          </w:p>
        </w:tc>
        <w:tc>
          <w:tcPr>
            <w:tcW w:w="2554" w:type="dxa"/>
            <w:tcBorders>
              <w:top w:val="single" w:sz="4" w:space="0" w:color="auto"/>
              <w:left w:val="single" w:sz="4" w:space="0" w:color="auto"/>
              <w:bottom w:val="single" w:sz="4" w:space="0" w:color="auto"/>
              <w:right w:val="single" w:sz="4" w:space="0" w:color="auto"/>
            </w:tcBorders>
            <w:hideMark/>
          </w:tcPr>
          <w:p w14:paraId="6870E73F" w14:textId="77777777" w:rsidR="00FE7F5B" w:rsidRDefault="00FE7F5B">
            <w:pPr>
              <w:pStyle w:val="TableBody"/>
            </w:pPr>
            <w:r>
              <w:t>-55</w:t>
            </w:r>
          </w:p>
        </w:tc>
        <w:tc>
          <w:tcPr>
            <w:tcW w:w="2554" w:type="dxa"/>
            <w:tcBorders>
              <w:top w:val="single" w:sz="4" w:space="0" w:color="auto"/>
              <w:left w:val="single" w:sz="4" w:space="0" w:color="auto"/>
              <w:bottom w:val="single" w:sz="4" w:space="0" w:color="auto"/>
              <w:right w:val="single" w:sz="4" w:space="0" w:color="auto"/>
            </w:tcBorders>
            <w:hideMark/>
          </w:tcPr>
          <w:p w14:paraId="4E644383" w14:textId="77777777" w:rsidR="00FE7F5B" w:rsidRDefault="00FE7F5B">
            <w:pPr>
              <w:pStyle w:val="TableBody"/>
            </w:pPr>
            <w:r>
              <w:t>30 kHz</w:t>
            </w:r>
          </w:p>
        </w:tc>
      </w:tr>
    </w:tbl>
    <w:p w14:paraId="79FAE30E" w14:textId="77777777" w:rsidR="004520B1" w:rsidRDefault="004520B1" w:rsidP="00EC17BA">
      <w:pPr>
        <w:spacing w:after="120"/>
      </w:pPr>
    </w:p>
    <w:p w14:paraId="28E59C21" w14:textId="77777777" w:rsidR="004520B1" w:rsidRDefault="004520B1" w:rsidP="00EC17BA">
      <w:pPr>
        <w:pStyle w:val="Heading4"/>
        <w:spacing w:before="120"/>
      </w:pPr>
      <w:r>
        <w:t>FDR calculations</w:t>
      </w:r>
    </w:p>
    <w:p w14:paraId="0BA36433" w14:textId="11566483" w:rsidR="004520B1" w:rsidRDefault="004520B1" w:rsidP="004520B1">
      <w:r>
        <w:t xml:space="preserve">Masks were generated for the </w:t>
      </w:r>
      <w:r w:rsidR="00B053D7">
        <w:t xml:space="preserve">2 </w:t>
      </w:r>
      <w:r>
        <w:t>3GPP power levels and used for FDR calculations.</w:t>
      </w:r>
      <w:r w:rsidR="00D43BC9">
        <w:t xml:space="preserve"> </w:t>
      </w:r>
      <w:r w:rsidR="003831CB">
        <w:t xml:space="preserve">These masks are shown in </w:t>
      </w:r>
      <w:r w:rsidR="00087A32">
        <w:fldChar w:fldCharType="begin"/>
      </w:r>
      <w:r w:rsidR="00087A32">
        <w:instrText xml:space="preserve"> REF _Ref105772971 \h </w:instrText>
      </w:r>
      <w:r w:rsidR="00087A32">
        <w:fldChar w:fldCharType="separate"/>
      </w:r>
      <w:r w:rsidR="000D7111">
        <w:t xml:space="preserve">Figure </w:t>
      </w:r>
      <w:r w:rsidR="000D7111">
        <w:rPr>
          <w:noProof/>
        </w:rPr>
        <w:t>2</w:t>
      </w:r>
      <w:r w:rsidR="00087A32">
        <w:fldChar w:fldCharType="end"/>
      </w:r>
      <w:r w:rsidR="004D3076">
        <w:t xml:space="preserve">. </w:t>
      </w:r>
    </w:p>
    <w:p w14:paraId="1647B393" w14:textId="20392DDE" w:rsidR="004520B1" w:rsidRDefault="00B053D7" w:rsidP="00D50469">
      <w:pPr>
        <w:pStyle w:val="Figureheading"/>
      </w:pPr>
      <w:r>
        <w:lastRenderedPageBreak/>
        <w:t>Transmitter masks modelled using out of band limits from ITU-R Rec. ITU-R Rec. M.1343</w:t>
      </w:r>
    </w:p>
    <w:p w14:paraId="57C0C6F9" w14:textId="309E899A" w:rsidR="004520B1" w:rsidRDefault="004520B1" w:rsidP="004520B1">
      <w:pPr>
        <w:keepNext/>
      </w:pPr>
      <w:r>
        <w:rPr>
          <w:noProof/>
        </w:rPr>
        <w:drawing>
          <wp:inline distT="0" distB="0" distL="0" distR="0" wp14:anchorId="091005C8" wp14:editId="4540BD07">
            <wp:extent cx="4871085" cy="2967990"/>
            <wp:effectExtent l="0" t="0" r="5715" b="3810"/>
            <wp:docPr id="9" name="Picture 9"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f you need help accessing or reading this diagram, please contact the ACMA's Customer Service Centre by phone on 1300 850 115 or by email at info@acma.gov.au"/>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71085" cy="2967990"/>
                    </a:xfrm>
                    <a:prstGeom prst="rect">
                      <a:avLst/>
                    </a:prstGeom>
                    <a:noFill/>
                    <a:ln>
                      <a:noFill/>
                    </a:ln>
                  </pic:spPr>
                </pic:pic>
              </a:graphicData>
            </a:graphic>
          </wp:inline>
        </w:drawing>
      </w:r>
    </w:p>
    <w:p w14:paraId="646B9F1C" w14:textId="34CFBAE7" w:rsidR="004D3076" w:rsidRDefault="004D3076" w:rsidP="001C0437">
      <w:pPr>
        <w:keepNext/>
      </w:pPr>
      <w:r>
        <w:t xml:space="preserve">The results of the FDR calculations are shown in </w:t>
      </w:r>
      <w:r>
        <w:fldChar w:fldCharType="begin"/>
      </w:r>
      <w:r>
        <w:instrText xml:space="preserve"> REF _Ref105773027 \h </w:instrText>
      </w:r>
      <w:r>
        <w:fldChar w:fldCharType="separate"/>
      </w:r>
      <w:r w:rsidR="000D7111">
        <w:t xml:space="preserve">Figure </w:t>
      </w:r>
      <w:r w:rsidR="000D7111">
        <w:rPr>
          <w:noProof/>
        </w:rPr>
        <w:t>3</w:t>
      </w:r>
      <w:r>
        <w:fldChar w:fldCharType="end"/>
      </w:r>
      <w:r>
        <w:t xml:space="preserve"> and </w:t>
      </w:r>
      <w:r w:rsidR="00062106">
        <w:t xml:space="preserve">summarised in </w:t>
      </w:r>
      <w:r w:rsidR="004473BF">
        <w:fldChar w:fldCharType="begin"/>
      </w:r>
      <w:r w:rsidR="004473BF">
        <w:instrText xml:space="preserve"> REF _Ref107403411 \h </w:instrText>
      </w:r>
      <w:r w:rsidR="004473BF">
        <w:fldChar w:fldCharType="separate"/>
      </w:r>
      <w:r w:rsidR="00930132">
        <w:t xml:space="preserve">Table </w:t>
      </w:r>
      <w:r w:rsidR="00930132">
        <w:rPr>
          <w:noProof/>
        </w:rPr>
        <w:t>5</w:t>
      </w:r>
      <w:r w:rsidR="004473BF">
        <w:fldChar w:fldCharType="end"/>
      </w:r>
      <w:r w:rsidR="00DD3DFF">
        <w:t>,</w:t>
      </w:r>
      <w:r>
        <w:t xml:space="preserve"> </w:t>
      </w:r>
      <w:r w:rsidR="00062106">
        <w:t>b</w:t>
      </w:r>
      <w:r>
        <w:t>elow.</w:t>
      </w:r>
    </w:p>
    <w:p w14:paraId="3BB51361" w14:textId="5DAC212B" w:rsidR="004D3076" w:rsidRDefault="00B053D7" w:rsidP="00D50469">
      <w:pPr>
        <w:pStyle w:val="Figureheading"/>
      </w:pPr>
      <w:r w:rsidRPr="00A22E82">
        <w:t>FDR results using M series mask</w:t>
      </w:r>
    </w:p>
    <w:p w14:paraId="58440EB5" w14:textId="4057E652" w:rsidR="001C0437" w:rsidRDefault="003F3E34" w:rsidP="001C0437">
      <w:pPr>
        <w:keepNext/>
      </w:pPr>
      <w:r w:rsidRPr="003F3E34">
        <w:rPr>
          <w:noProof/>
        </w:rPr>
        <w:drawing>
          <wp:inline distT="0" distB="0" distL="0" distR="0" wp14:anchorId="5EA7244D" wp14:editId="2C78C1FC">
            <wp:extent cx="4871085" cy="2851785"/>
            <wp:effectExtent l="0" t="0" r="5715" b="5715"/>
            <wp:docPr id="7" name="Picture 7"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If you need help accessing or reading this diagram, please contact the ACMA's Customer Service Centre by phone on 1300 850 115 or by email at info@acma.gov.au"/>
                    <pic:cNvPicPr/>
                  </pic:nvPicPr>
                  <pic:blipFill>
                    <a:blip r:embed="rId52"/>
                    <a:stretch>
                      <a:fillRect/>
                    </a:stretch>
                  </pic:blipFill>
                  <pic:spPr>
                    <a:xfrm>
                      <a:off x="0" y="0"/>
                      <a:ext cx="4871085" cy="2851785"/>
                    </a:xfrm>
                    <a:prstGeom prst="rect">
                      <a:avLst/>
                    </a:prstGeom>
                  </pic:spPr>
                </pic:pic>
              </a:graphicData>
            </a:graphic>
          </wp:inline>
        </w:drawing>
      </w:r>
    </w:p>
    <w:p w14:paraId="4C4873F1" w14:textId="0E3E8528" w:rsidR="004520B1" w:rsidRDefault="004520B1" w:rsidP="004520B1">
      <w:r>
        <w:t xml:space="preserve">For the 3GPP parameters listed above, the models provided the results </w:t>
      </w:r>
      <w:r w:rsidR="00364462">
        <w:t xml:space="preserve">in Table 5 </w:t>
      </w:r>
      <w:r>
        <w:t>at the lower end of the band under consideration</w:t>
      </w:r>
      <w:r w:rsidR="00364462">
        <w:t>.</w:t>
      </w:r>
    </w:p>
    <w:p w14:paraId="412CA230" w14:textId="129EAB53" w:rsidR="00D55E37" w:rsidRDefault="00D55E37" w:rsidP="005B44B1">
      <w:pPr>
        <w:pStyle w:val="Tableheading"/>
        <w:keepLines/>
      </w:pPr>
      <w:r w:rsidRPr="00857C74">
        <w:lastRenderedPageBreak/>
        <w:t xml:space="preserve">FDR </w:t>
      </w:r>
      <w:r w:rsidR="00364462">
        <w:t>v</w:t>
      </w:r>
      <w:r w:rsidRPr="00857C74">
        <w:t>alues</w:t>
      </w:r>
    </w:p>
    <w:tbl>
      <w:tblPr>
        <w:tblStyle w:val="ACMAtablestyle"/>
        <w:tblW w:w="5000" w:type="pct"/>
        <w:tblLayout w:type="fixed"/>
        <w:tblLook w:val="01E0" w:firstRow="1" w:lastRow="1" w:firstColumn="1" w:lastColumn="1" w:noHBand="0" w:noVBand="0"/>
        <w:tblCaption w:val="Table title to go here"/>
        <w:tblDescription w:val="Table description to go here"/>
      </w:tblPr>
      <w:tblGrid>
        <w:gridCol w:w="2830"/>
        <w:gridCol w:w="4831"/>
      </w:tblGrid>
      <w:tr w:rsidR="004520B1" w14:paraId="5727E7F1" w14:textId="77777777" w:rsidTr="005B44B1">
        <w:trPr>
          <w:cnfStyle w:val="100000000000" w:firstRow="1" w:lastRow="0" w:firstColumn="0" w:lastColumn="0" w:oddVBand="0" w:evenVBand="0" w:oddHBand="0" w:evenHBand="0" w:firstRowFirstColumn="0" w:firstRowLastColumn="0" w:lastRowFirstColumn="0" w:lastRowLastColumn="0"/>
        </w:trPr>
        <w:tc>
          <w:tcPr>
            <w:tcW w:w="2830" w:type="dxa"/>
            <w:hideMark/>
          </w:tcPr>
          <w:p w14:paraId="723E72A2" w14:textId="77777777" w:rsidR="004520B1" w:rsidRDefault="004520B1" w:rsidP="005B44B1">
            <w:pPr>
              <w:pStyle w:val="Tableheaderrow"/>
              <w:keepNext/>
              <w:keepLines/>
            </w:pPr>
            <w:r>
              <w:t>3GPP power level</w:t>
            </w:r>
          </w:p>
        </w:tc>
        <w:tc>
          <w:tcPr>
            <w:tcW w:w="4831" w:type="dxa"/>
            <w:hideMark/>
          </w:tcPr>
          <w:p w14:paraId="60C0952E" w14:textId="6C1F4972" w:rsidR="004520B1" w:rsidRDefault="004520B1" w:rsidP="005B44B1">
            <w:pPr>
              <w:pStyle w:val="Tableheaderrow"/>
              <w:keepNext/>
              <w:keepLines/>
            </w:pPr>
            <w:r>
              <w:t>Approximate FDR value (2005</w:t>
            </w:r>
            <w:r w:rsidR="00364462">
              <w:t>–</w:t>
            </w:r>
            <w:r w:rsidR="00AB013A">
              <w:t xml:space="preserve">2009 </w:t>
            </w:r>
            <w:r>
              <w:t>MHz)</w:t>
            </w:r>
          </w:p>
        </w:tc>
      </w:tr>
      <w:tr w:rsidR="004520B1" w14:paraId="7F34D80F" w14:textId="77777777" w:rsidTr="005B44B1">
        <w:trPr>
          <w:cnfStyle w:val="000000100000" w:firstRow="0" w:lastRow="0" w:firstColumn="0" w:lastColumn="0" w:oddVBand="0" w:evenVBand="0" w:oddHBand="1" w:evenHBand="0" w:firstRowFirstColumn="0" w:firstRowLastColumn="0" w:lastRowFirstColumn="0" w:lastRowLastColumn="0"/>
        </w:trPr>
        <w:tc>
          <w:tcPr>
            <w:tcW w:w="2830" w:type="dxa"/>
            <w:tcBorders>
              <w:top w:val="single" w:sz="4" w:space="0" w:color="auto"/>
              <w:left w:val="single" w:sz="4" w:space="0" w:color="auto"/>
              <w:bottom w:val="single" w:sz="4" w:space="0" w:color="auto"/>
              <w:right w:val="single" w:sz="4" w:space="0" w:color="auto"/>
            </w:tcBorders>
            <w:hideMark/>
          </w:tcPr>
          <w:p w14:paraId="30F9E769" w14:textId="77777777" w:rsidR="004520B1" w:rsidRDefault="004520B1" w:rsidP="005B44B1">
            <w:pPr>
              <w:pStyle w:val="TableBody"/>
              <w:keepNext/>
              <w:keepLines/>
            </w:pPr>
            <w:r>
              <w:t>23 dBm</w:t>
            </w:r>
          </w:p>
        </w:tc>
        <w:tc>
          <w:tcPr>
            <w:tcW w:w="4831" w:type="dxa"/>
            <w:tcBorders>
              <w:top w:val="single" w:sz="4" w:space="0" w:color="auto"/>
              <w:left w:val="single" w:sz="4" w:space="0" w:color="auto"/>
              <w:bottom w:val="single" w:sz="4" w:space="0" w:color="auto"/>
              <w:right w:val="single" w:sz="4" w:space="0" w:color="auto"/>
            </w:tcBorders>
            <w:hideMark/>
          </w:tcPr>
          <w:p w14:paraId="7E2F7F55" w14:textId="77777777" w:rsidR="004520B1" w:rsidRDefault="004520B1" w:rsidP="005B44B1">
            <w:pPr>
              <w:pStyle w:val="TableBody"/>
              <w:keepNext/>
              <w:keepLines/>
            </w:pPr>
            <w:r>
              <w:t>37</w:t>
            </w:r>
          </w:p>
        </w:tc>
      </w:tr>
      <w:tr w:rsidR="004520B1" w14:paraId="6DB25E2F" w14:textId="77777777" w:rsidTr="005B44B1">
        <w:trPr>
          <w:cnfStyle w:val="000000010000" w:firstRow="0" w:lastRow="0" w:firstColumn="0" w:lastColumn="0" w:oddVBand="0" w:evenVBand="0" w:oddHBand="0" w:evenHBand="1" w:firstRowFirstColumn="0" w:firstRowLastColumn="0" w:lastRowFirstColumn="0" w:lastRowLastColumn="0"/>
        </w:trPr>
        <w:tc>
          <w:tcPr>
            <w:tcW w:w="2830" w:type="dxa"/>
            <w:tcBorders>
              <w:top w:val="single" w:sz="4" w:space="0" w:color="auto"/>
              <w:left w:val="single" w:sz="4" w:space="0" w:color="auto"/>
              <w:bottom w:val="single" w:sz="4" w:space="0" w:color="auto"/>
              <w:right w:val="single" w:sz="4" w:space="0" w:color="auto"/>
            </w:tcBorders>
            <w:hideMark/>
          </w:tcPr>
          <w:p w14:paraId="2951C524" w14:textId="77777777" w:rsidR="004520B1" w:rsidRDefault="004520B1" w:rsidP="005B44B1">
            <w:pPr>
              <w:pStyle w:val="TableBody"/>
              <w:keepNext/>
              <w:keepLines/>
            </w:pPr>
            <w:r>
              <w:t>20 dBm</w:t>
            </w:r>
          </w:p>
        </w:tc>
        <w:tc>
          <w:tcPr>
            <w:tcW w:w="4831" w:type="dxa"/>
            <w:tcBorders>
              <w:top w:val="single" w:sz="4" w:space="0" w:color="auto"/>
              <w:left w:val="single" w:sz="4" w:space="0" w:color="auto"/>
              <w:bottom w:val="single" w:sz="4" w:space="0" w:color="auto"/>
              <w:right w:val="single" w:sz="4" w:space="0" w:color="auto"/>
            </w:tcBorders>
            <w:hideMark/>
          </w:tcPr>
          <w:p w14:paraId="4104BC23" w14:textId="77777777" w:rsidR="004520B1" w:rsidRDefault="004520B1" w:rsidP="005B44B1">
            <w:pPr>
              <w:pStyle w:val="TableBody"/>
              <w:keepNext/>
              <w:keepLines/>
            </w:pPr>
            <w:r>
              <w:t>35</w:t>
            </w:r>
          </w:p>
        </w:tc>
      </w:tr>
    </w:tbl>
    <w:p w14:paraId="24084313" w14:textId="6626C908" w:rsidR="0050061C" w:rsidRDefault="0050061C" w:rsidP="0050061C">
      <w:pPr>
        <w:pStyle w:val="Heading2"/>
      </w:pPr>
      <w:bookmarkStart w:id="21" w:name="_Toc105764401"/>
      <w:bookmarkStart w:id="22" w:name="_Toc107506512"/>
      <w:r>
        <w:t xml:space="preserve">Interference </w:t>
      </w:r>
      <w:bookmarkEnd w:id="21"/>
      <w:r w:rsidR="00C57396">
        <w:t>s</w:t>
      </w:r>
      <w:r>
        <w:t>cenarios</w:t>
      </w:r>
      <w:bookmarkEnd w:id="22"/>
    </w:p>
    <w:p w14:paraId="6C01E373" w14:textId="77777777" w:rsidR="0050061C" w:rsidRDefault="0050061C" w:rsidP="0050061C">
      <w:pPr>
        <w:pStyle w:val="Heading3"/>
      </w:pPr>
      <w:r>
        <w:t>Single entry, mobile receiver case</w:t>
      </w:r>
    </w:p>
    <w:p w14:paraId="1F7FB1C8" w14:textId="6459F5F6" w:rsidR="0050061C" w:rsidRDefault="0050061C" w:rsidP="005B44B1">
      <w:pPr>
        <w:pStyle w:val="Paragraphbeforelist"/>
      </w:pPr>
      <w:r>
        <w:t>Two locations were considered to conduct interference studies to a low TOB receiver (a van). These locations had differing terrain characteristics</w:t>
      </w:r>
      <w:r w:rsidR="00364462">
        <w:t>:</w:t>
      </w:r>
    </w:p>
    <w:p w14:paraId="00D41B01" w14:textId="6A3DC89D" w:rsidR="0050061C" w:rsidRDefault="00364462" w:rsidP="0050061C">
      <w:pPr>
        <w:pStyle w:val="Bulletlevel1"/>
      </w:pPr>
      <w:r>
        <w:t>l</w:t>
      </w:r>
      <w:r w:rsidR="0050061C">
        <w:t>ocation 1: Beaconsfield, Tasmania (undulating terrain)</w:t>
      </w:r>
    </w:p>
    <w:p w14:paraId="641CA491" w14:textId="5F461E9A" w:rsidR="0050061C" w:rsidRDefault="00364462" w:rsidP="0050061C">
      <w:pPr>
        <w:pStyle w:val="Bulletlevel1last"/>
      </w:pPr>
      <w:r>
        <w:t>l</w:t>
      </w:r>
      <w:r w:rsidR="0050061C">
        <w:t>ocation 2: Menindee Lakes, New South Wales (flat terrain)</w:t>
      </w:r>
      <w:r>
        <w:t>.</w:t>
      </w:r>
    </w:p>
    <w:p w14:paraId="39E23927" w14:textId="1C640565" w:rsidR="0050061C" w:rsidRDefault="003F4D52" w:rsidP="0050061C">
      <w:r>
        <w:fldChar w:fldCharType="begin"/>
      </w:r>
      <w:r>
        <w:instrText xml:space="preserve"> REF _Ref105773170 \h </w:instrText>
      </w:r>
      <w:r>
        <w:fldChar w:fldCharType="separate"/>
      </w:r>
      <w:r w:rsidR="000D7111">
        <w:t xml:space="preserve">Figure </w:t>
      </w:r>
      <w:r w:rsidR="000D7111">
        <w:rPr>
          <w:noProof/>
        </w:rPr>
        <w:t>4</w:t>
      </w:r>
      <w:r>
        <w:fldChar w:fldCharType="end"/>
      </w:r>
      <w:r>
        <w:t xml:space="preserve"> </w:t>
      </w:r>
      <w:r w:rsidR="0050061C">
        <w:t>is a schematic representation of the interference scenario, where a wireless camera is transmitting to a TOB vehicle in the vicinity of earth station. The coordinates for the earth station modelled are randomly chosen (within 4 km of the TOB vehicle).</w:t>
      </w:r>
    </w:p>
    <w:p w14:paraId="442FAA3D" w14:textId="769E96D5" w:rsidR="00364462" w:rsidRDefault="00364462" w:rsidP="00E00238">
      <w:pPr>
        <w:pStyle w:val="Figureheading"/>
      </w:pPr>
      <w:r>
        <w:t>Schematic representation of the interference scenario</w:t>
      </w:r>
    </w:p>
    <w:p w14:paraId="36B75061" w14:textId="77777777" w:rsidR="0050061C" w:rsidRDefault="0050061C">
      <w:pPr>
        <w:pStyle w:val="ListBullet"/>
        <w:keepNext/>
        <w:numPr>
          <w:ilvl w:val="0"/>
          <w:numId w:val="0"/>
        </w:numPr>
        <w:tabs>
          <w:tab w:val="left" w:pos="720"/>
        </w:tabs>
      </w:pPr>
      <w:r>
        <w:rPr>
          <w:noProof/>
        </w:rPr>
        <w:drawing>
          <wp:inline distT="0" distB="0" distL="0" distR="0" wp14:anchorId="0863223E" wp14:editId="06EFB4BE">
            <wp:extent cx="4326255" cy="2974975"/>
            <wp:effectExtent l="19050" t="19050" r="17145" b="15875"/>
            <wp:docPr id="16" name="Picture 1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iagram, engineering drawing&#10;&#10;Description automatically generated"/>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26255" cy="2974975"/>
                    </a:xfrm>
                    <a:prstGeom prst="rect">
                      <a:avLst/>
                    </a:prstGeom>
                    <a:noFill/>
                    <a:ln w="9525" cmpd="sng">
                      <a:solidFill>
                        <a:srgbClr val="000000"/>
                      </a:solidFill>
                      <a:miter lim="800000"/>
                      <a:headEnd/>
                      <a:tailEnd/>
                    </a:ln>
                    <a:effectLst/>
                  </pic:spPr>
                </pic:pic>
              </a:graphicData>
            </a:graphic>
          </wp:inline>
        </w:drawing>
      </w:r>
    </w:p>
    <w:p w14:paraId="004DFC78" w14:textId="77777777" w:rsidR="0050061C" w:rsidRDefault="0050061C" w:rsidP="00E00238">
      <w:pPr>
        <w:spacing w:after="120"/>
      </w:pPr>
    </w:p>
    <w:p w14:paraId="269B40D6" w14:textId="13287D31" w:rsidR="00D55E37" w:rsidRDefault="00D55E37" w:rsidP="00E00238">
      <w:pPr>
        <w:pStyle w:val="Tableheading"/>
        <w:keepLines/>
      </w:pPr>
      <w:r w:rsidRPr="00F57BCA">
        <w:lastRenderedPageBreak/>
        <w:t>Parameters used in single entry study</w:t>
      </w:r>
    </w:p>
    <w:tbl>
      <w:tblPr>
        <w:tblStyle w:val="ACMAtablestyle"/>
        <w:tblW w:w="8220" w:type="dxa"/>
        <w:tblLayout w:type="fixed"/>
        <w:tblLook w:val="01E0" w:firstRow="1" w:lastRow="1" w:firstColumn="1" w:lastColumn="1" w:noHBand="0" w:noVBand="0"/>
        <w:tblCaption w:val="Table title to go here"/>
        <w:tblDescription w:val="Table description to go here"/>
      </w:tblPr>
      <w:tblGrid>
        <w:gridCol w:w="2689"/>
        <w:gridCol w:w="2409"/>
        <w:gridCol w:w="3122"/>
      </w:tblGrid>
      <w:tr w:rsidR="0050061C" w14:paraId="6B16AACC" w14:textId="77777777" w:rsidTr="00572064">
        <w:trPr>
          <w:cnfStyle w:val="100000000000" w:firstRow="1" w:lastRow="0" w:firstColumn="0" w:lastColumn="0" w:oddVBand="0" w:evenVBand="0" w:oddHBand="0" w:evenHBand="0" w:firstRowFirstColumn="0" w:firstRowLastColumn="0" w:lastRowFirstColumn="0" w:lastRowLastColumn="0"/>
        </w:trPr>
        <w:tc>
          <w:tcPr>
            <w:tcW w:w="2689" w:type="dxa"/>
            <w:hideMark/>
          </w:tcPr>
          <w:p w14:paraId="560323E5" w14:textId="77777777" w:rsidR="0050061C" w:rsidRDefault="0050061C" w:rsidP="00572064">
            <w:pPr>
              <w:pStyle w:val="Tableheaderrow"/>
              <w:keepNext/>
              <w:keepLines/>
            </w:pPr>
            <w:r>
              <w:t>Parameter</w:t>
            </w:r>
          </w:p>
        </w:tc>
        <w:tc>
          <w:tcPr>
            <w:tcW w:w="2409" w:type="dxa"/>
            <w:hideMark/>
          </w:tcPr>
          <w:p w14:paraId="5184EA7F" w14:textId="77777777" w:rsidR="0050061C" w:rsidRDefault="0050061C" w:rsidP="00572064">
            <w:pPr>
              <w:pStyle w:val="Tableheaderrow"/>
              <w:keepNext/>
              <w:keepLines/>
            </w:pPr>
            <w:r>
              <w:t>Value</w:t>
            </w:r>
          </w:p>
        </w:tc>
        <w:tc>
          <w:tcPr>
            <w:tcW w:w="3122" w:type="dxa"/>
            <w:hideMark/>
          </w:tcPr>
          <w:p w14:paraId="7324EFF6" w14:textId="77777777" w:rsidR="0050061C" w:rsidRDefault="0050061C" w:rsidP="00572064">
            <w:pPr>
              <w:pStyle w:val="Tableheaderrow"/>
              <w:keepNext/>
              <w:keepLines/>
            </w:pPr>
            <w:r>
              <w:t>Notes</w:t>
            </w:r>
          </w:p>
        </w:tc>
      </w:tr>
      <w:tr w:rsidR="0050061C" w14:paraId="30A376C7" w14:textId="77777777" w:rsidTr="00572064">
        <w:trPr>
          <w:cnfStyle w:val="000000100000" w:firstRow="0" w:lastRow="0" w:firstColumn="0" w:lastColumn="0" w:oddVBand="0" w:evenVBand="0" w:oddHBand="1" w:evenHBand="0"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5FA34CD1" w14:textId="77777777" w:rsidR="0050061C" w:rsidRDefault="0050061C" w:rsidP="00572064">
            <w:pPr>
              <w:pStyle w:val="TableBody"/>
              <w:keepNext/>
              <w:keepLines/>
            </w:pPr>
            <w:r>
              <w:t>Earth stations antenna gain</w:t>
            </w:r>
          </w:p>
        </w:tc>
        <w:tc>
          <w:tcPr>
            <w:tcW w:w="2409" w:type="dxa"/>
            <w:tcBorders>
              <w:top w:val="single" w:sz="4" w:space="0" w:color="auto"/>
              <w:left w:val="single" w:sz="4" w:space="0" w:color="auto"/>
              <w:bottom w:val="single" w:sz="4" w:space="0" w:color="auto"/>
              <w:right w:val="single" w:sz="4" w:space="0" w:color="auto"/>
            </w:tcBorders>
            <w:hideMark/>
          </w:tcPr>
          <w:p w14:paraId="16C6DFBF" w14:textId="77777777" w:rsidR="0050061C" w:rsidRDefault="0050061C" w:rsidP="00572064">
            <w:pPr>
              <w:pStyle w:val="TableBody"/>
              <w:keepNext/>
              <w:keepLines/>
            </w:pPr>
            <w:r>
              <w:t>0 dBi</w:t>
            </w:r>
          </w:p>
        </w:tc>
        <w:tc>
          <w:tcPr>
            <w:tcW w:w="3122" w:type="dxa"/>
            <w:vMerge w:val="restart"/>
            <w:tcBorders>
              <w:top w:val="single" w:sz="4" w:space="0" w:color="auto"/>
              <w:left w:val="single" w:sz="4" w:space="0" w:color="auto"/>
              <w:bottom w:val="single" w:sz="4" w:space="0" w:color="auto"/>
              <w:right w:val="single" w:sz="4" w:space="0" w:color="auto"/>
            </w:tcBorders>
            <w:hideMark/>
          </w:tcPr>
          <w:p w14:paraId="6682527D" w14:textId="77777777" w:rsidR="0050061C" w:rsidRDefault="0050061C" w:rsidP="00572064">
            <w:pPr>
              <w:pStyle w:val="TableBody"/>
              <w:keepNext/>
              <w:keepLines/>
            </w:pPr>
            <w:r>
              <w:t xml:space="preserve">Table 6.1-1: IoT NTN reference scenario parameters </w:t>
            </w:r>
          </w:p>
        </w:tc>
      </w:tr>
      <w:tr w:rsidR="0050061C" w14:paraId="3A4FFBD0" w14:textId="77777777" w:rsidTr="00572064">
        <w:trPr>
          <w:cnfStyle w:val="000000010000" w:firstRow="0" w:lastRow="0" w:firstColumn="0" w:lastColumn="0" w:oddVBand="0" w:evenVBand="0" w:oddHBand="0" w:evenHBand="1" w:firstRowFirstColumn="0" w:firstRowLastColumn="0" w:lastRowFirstColumn="0" w:lastRowLastColumn="0"/>
          <w:trHeight w:val="326"/>
        </w:trPr>
        <w:tc>
          <w:tcPr>
            <w:tcW w:w="2689" w:type="dxa"/>
            <w:tcBorders>
              <w:top w:val="single" w:sz="4" w:space="0" w:color="auto"/>
              <w:left w:val="single" w:sz="4" w:space="0" w:color="auto"/>
              <w:bottom w:val="single" w:sz="4" w:space="0" w:color="auto"/>
              <w:right w:val="single" w:sz="4" w:space="0" w:color="auto"/>
            </w:tcBorders>
            <w:hideMark/>
          </w:tcPr>
          <w:p w14:paraId="0A108351" w14:textId="77777777" w:rsidR="0050061C" w:rsidRDefault="0050061C" w:rsidP="00572064">
            <w:pPr>
              <w:pStyle w:val="TableBody"/>
              <w:keepNext/>
              <w:keepLines/>
            </w:pPr>
            <w:r>
              <w:t>Bandwidth</w:t>
            </w:r>
          </w:p>
        </w:tc>
        <w:tc>
          <w:tcPr>
            <w:tcW w:w="2409" w:type="dxa"/>
            <w:tcBorders>
              <w:top w:val="single" w:sz="4" w:space="0" w:color="auto"/>
              <w:left w:val="single" w:sz="4" w:space="0" w:color="auto"/>
              <w:bottom w:val="single" w:sz="4" w:space="0" w:color="auto"/>
              <w:right w:val="single" w:sz="4" w:space="0" w:color="auto"/>
            </w:tcBorders>
            <w:hideMark/>
          </w:tcPr>
          <w:p w14:paraId="368A77CB" w14:textId="77777777" w:rsidR="0050061C" w:rsidRDefault="0050061C" w:rsidP="00572064">
            <w:pPr>
              <w:pStyle w:val="Paragraph"/>
              <w:keepNext/>
              <w:keepLines/>
              <w:spacing w:after="0"/>
            </w:pPr>
            <w:r>
              <w:t>3.75 kHz</w:t>
            </w:r>
          </w:p>
        </w:tc>
        <w:tc>
          <w:tcPr>
            <w:tcW w:w="3122" w:type="dxa"/>
            <w:vMerge/>
            <w:tcBorders>
              <w:top w:val="single" w:sz="4" w:space="0" w:color="auto"/>
              <w:left w:val="single" w:sz="4" w:space="0" w:color="auto"/>
              <w:bottom w:val="single" w:sz="4" w:space="0" w:color="auto"/>
              <w:right w:val="single" w:sz="4" w:space="0" w:color="auto"/>
            </w:tcBorders>
            <w:vAlign w:val="center"/>
            <w:hideMark/>
          </w:tcPr>
          <w:p w14:paraId="79227784" w14:textId="77777777" w:rsidR="0050061C" w:rsidRDefault="0050061C" w:rsidP="00DB2AE6">
            <w:pPr>
              <w:keepNext/>
              <w:keepLines/>
              <w:spacing w:after="0" w:line="240" w:lineRule="auto"/>
            </w:pPr>
          </w:p>
        </w:tc>
      </w:tr>
      <w:tr w:rsidR="0050061C" w14:paraId="1FA5D866" w14:textId="77777777" w:rsidTr="00572064">
        <w:trPr>
          <w:cnfStyle w:val="000000100000" w:firstRow="0" w:lastRow="0" w:firstColumn="0" w:lastColumn="0" w:oddVBand="0" w:evenVBand="0" w:oddHBand="1" w:evenHBand="0"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297C33F4" w14:textId="77777777" w:rsidR="0050061C" w:rsidRDefault="0050061C" w:rsidP="00572064">
            <w:pPr>
              <w:pStyle w:val="TableBody"/>
              <w:keepNext/>
              <w:keepLines/>
            </w:pPr>
            <w:r>
              <w:t>Earth station power</w:t>
            </w:r>
          </w:p>
        </w:tc>
        <w:tc>
          <w:tcPr>
            <w:tcW w:w="2409" w:type="dxa"/>
            <w:tcBorders>
              <w:top w:val="single" w:sz="4" w:space="0" w:color="auto"/>
              <w:left w:val="single" w:sz="4" w:space="0" w:color="auto"/>
              <w:bottom w:val="single" w:sz="4" w:space="0" w:color="auto"/>
              <w:right w:val="single" w:sz="4" w:space="0" w:color="auto"/>
            </w:tcBorders>
            <w:hideMark/>
          </w:tcPr>
          <w:p w14:paraId="1CE1E5DE" w14:textId="77777777" w:rsidR="0050061C" w:rsidRDefault="0050061C" w:rsidP="00572064">
            <w:pPr>
              <w:pStyle w:val="TableBody"/>
              <w:keepNext/>
              <w:keepLines/>
            </w:pPr>
            <w:r>
              <w:t>-7 dBW</w:t>
            </w:r>
          </w:p>
        </w:tc>
        <w:tc>
          <w:tcPr>
            <w:tcW w:w="3122" w:type="dxa"/>
            <w:vMerge/>
            <w:tcBorders>
              <w:top w:val="single" w:sz="4" w:space="0" w:color="auto"/>
              <w:left w:val="single" w:sz="4" w:space="0" w:color="auto"/>
              <w:bottom w:val="single" w:sz="4" w:space="0" w:color="auto"/>
              <w:right w:val="single" w:sz="4" w:space="0" w:color="auto"/>
            </w:tcBorders>
            <w:vAlign w:val="center"/>
            <w:hideMark/>
          </w:tcPr>
          <w:p w14:paraId="213C4167" w14:textId="77777777" w:rsidR="0050061C" w:rsidRDefault="0050061C" w:rsidP="00572064">
            <w:pPr>
              <w:keepNext/>
              <w:keepLines/>
              <w:spacing w:after="0" w:line="240" w:lineRule="auto"/>
            </w:pPr>
          </w:p>
        </w:tc>
      </w:tr>
      <w:tr w:rsidR="0050061C" w14:paraId="056E3552" w14:textId="77777777" w:rsidTr="00572064">
        <w:trPr>
          <w:cnfStyle w:val="000000010000" w:firstRow="0" w:lastRow="0" w:firstColumn="0" w:lastColumn="0" w:oddVBand="0" w:evenVBand="0" w:oddHBand="0" w:evenHBand="1"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386B7B93" w14:textId="77777777" w:rsidR="0050061C" w:rsidRDefault="0050061C" w:rsidP="00572064">
            <w:pPr>
              <w:pStyle w:val="TableBody"/>
              <w:keepNext/>
              <w:keepLines/>
            </w:pPr>
            <w:r>
              <w:t>Earth station height</w:t>
            </w:r>
          </w:p>
        </w:tc>
        <w:tc>
          <w:tcPr>
            <w:tcW w:w="2409" w:type="dxa"/>
            <w:tcBorders>
              <w:top w:val="single" w:sz="4" w:space="0" w:color="auto"/>
              <w:left w:val="single" w:sz="4" w:space="0" w:color="auto"/>
              <w:bottom w:val="single" w:sz="4" w:space="0" w:color="auto"/>
              <w:right w:val="single" w:sz="4" w:space="0" w:color="auto"/>
            </w:tcBorders>
            <w:hideMark/>
          </w:tcPr>
          <w:p w14:paraId="0E708AED" w14:textId="77777777" w:rsidR="0050061C" w:rsidRDefault="0050061C" w:rsidP="00572064">
            <w:pPr>
              <w:pStyle w:val="TableBody"/>
              <w:keepNext/>
              <w:keepLines/>
            </w:pPr>
            <w:r>
              <w:t>2 m</w:t>
            </w:r>
          </w:p>
        </w:tc>
        <w:tc>
          <w:tcPr>
            <w:tcW w:w="3122" w:type="dxa"/>
            <w:tcBorders>
              <w:top w:val="single" w:sz="4" w:space="0" w:color="auto"/>
              <w:left w:val="single" w:sz="4" w:space="0" w:color="auto"/>
              <w:bottom w:val="single" w:sz="4" w:space="0" w:color="auto"/>
              <w:right w:val="single" w:sz="4" w:space="0" w:color="auto"/>
            </w:tcBorders>
          </w:tcPr>
          <w:p w14:paraId="0E8E5561" w14:textId="77777777" w:rsidR="0050061C" w:rsidRDefault="0050061C" w:rsidP="00572064">
            <w:pPr>
              <w:pStyle w:val="TableBody"/>
              <w:keepNext/>
              <w:keepLines/>
            </w:pPr>
          </w:p>
        </w:tc>
      </w:tr>
      <w:tr w:rsidR="0050061C" w14:paraId="3F783356" w14:textId="77777777" w:rsidTr="00572064">
        <w:trPr>
          <w:cnfStyle w:val="000000100000" w:firstRow="0" w:lastRow="0" w:firstColumn="0" w:lastColumn="0" w:oddVBand="0" w:evenVBand="0" w:oddHBand="1" w:evenHBand="0"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70003E69" w14:textId="77777777" w:rsidR="0050061C" w:rsidRDefault="0050061C" w:rsidP="00572064">
            <w:pPr>
              <w:pStyle w:val="TableBody"/>
              <w:keepNext/>
              <w:keepLines/>
            </w:pPr>
            <w:r>
              <w:t xml:space="preserve">TOB receiver gain </w:t>
            </w:r>
          </w:p>
        </w:tc>
        <w:tc>
          <w:tcPr>
            <w:tcW w:w="2409" w:type="dxa"/>
            <w:tcBorders>
              <w:top w:val="single" w:sz="4" w:space="0" w:color="auto"/>
              <w:left w:val="single" w:sz="4" w:space="0" w:color="auto"/>
              <w:bottom w:val="single" w:sz="4" w:space="0" w:color="auto"/>
              <w:right w:val="single" w:sz="4" w:space="0" w:color="auto"/>
            </w:tcBorders>
            <w:hideMark/>
          </w:tcPr>
          <w:p w14:paraId="5467481E" w14:textId="0623FDA8" w:rsidR="0050061C" w:rsidRDefault="002B38AC" w:rsidP="00572064">
            <w:pPr>
              <w:pStyle w:val="TableBody"/>
              <w:keepNext/>
              <w:keepLines/>
            </w:pPr>
            <w:r>
              <w:t xml:space="preserve">19 </w:t>
            </w:r>
            <w:r w:rsidR="0050061C">
              <w:t>dBi</w:t>
            </w:r>
          </w:p>
        </w:tc>
        <w:tc>
          <w:tcPr>
            <w:tcW w:w="3122" w:type="dxa"/>
            <w:tcBorders>
              <w:top w:val="single" w:sz="4" w:space="0" w:color="auto"/>
              <w:left w:val="single" w:sz="4" w:space="0" w:color="auto"/>
              <w:bottom w:val="single" w:sz="4" w:space="0" w:color="auto"/>
              <w:right w:val="single" w:sz="4" w:space="0" w:color="auto"/>
            </w:tcBorders>
            <w:hideMark/>
          </w:tcPr>
          <w:p w14:paraId="1946780C" w14:textId="77777777" w:rsidR="0050061C" w:rsidRDefault="0050061C" w:rsidP="00572064">
            <w:pPr>
              <w:pStyle w:val="TableBody"/>
              <w:keepNext/>
              <w:keepLines/>
            </w:pPr>
            <w:r>
              <w:t>Report BT. 2069 Table 19 (Yagi)</w:t>
            </w:r>
          </w:p>
        </w:tc>
      </w:tr>
      <w:tr w:rsidR="0050061C" w14:paraId="394BAA4C" w14:textId="77777777" w:rsidTr="00572064">
        <w:trPr>
          <w:cnfStyle w:val="000000010000" w:firstRow="0" w:lastRow="0" w:firstColumn="0" w:lastColumn="0" w:oddVBand="0" w:evenVBand="0" w:oddHBand="0" w:evenHBand="1"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01562EF5" w14:textId="77777777" w:rsidR="0050061C" w:rsidRDefault="0050061C" w:rsidP="00572064">
            <w:pPr>
              <w:pStyle w:val="TableBody"/>
              <w:keepNext/>
              <w:keepLines/>
            </w:pPr>
            <w:r>
              <w:t>TOB receiver height</w:t>
            </w:r>
          </w:p>
        </w:tc>
        <w:tc>
          <w:tcPr>
            <w:tcW w:w="2409" w:type="dxa"/>
            <w:tcBorders>
              <w:top w:val="single" w:sz="4" w:space="0" w:color="auto"/>
              <w:left w:val="single" w:sz="4" w:space="0" w:color="auto"/>
              <w:bottom w:val="single" w:sz="4" w:space="0" w:color="auto"/>
              <w:right w:val="single" w:sz="4" w:space="0" w:color="auto"/>
            </w:tcBorders>
            <w:hideMark/>
          </w:tcPr>
          <w:p w14:paraId="62540FC5" w14:textId="77777777" w:rsidR="0050061C" w:rsidRDefault="0050061C" w:rsidP="00572064">
            <w:pPr>
              <w:pStyle w:val="TableBody"/>
              <w:keepNext/>
              <w:keepLines/>
            </w:pPr>
            <w:r>
              <w:t>10 m</w:t>
            </w:r>
          </w:p>
        </w:tc>
        <w:tc>
          <w:tcPr>
            <w:tcW w:w="3122" w:type="dxa"/>
            <w:tcBorders>
              <w:top w:val="single" w:sz="4" w:space="0" w:color="auto"/>
              <w:left w:val="single" w:sz="4" w:space="0" w:color="auto"/>
              <w:bottom w:val="single" w:sz="4" w:space="0" w:color="auto"/>
              <w:right w:val="single" w:sz="4" w:space="0" w:color="auto"/>
            </w:tcBorders>
            <w:hideMark/>
          </w:tcPr>
          <w:p w14:paraId="4DEDDD32" w14:textId="77777777" w:rsidR="0050061C" w:rsidRDefault="0050061C" w:rsidP="00572064">
            <w:pPr>
              <w:pStyle w:val="TableBody"/>
              <w:keepNext/>
              <w:keepLines/>
            </w:pPr>
            <w:r>
              <w:t>RALI FX21</w:t>
            </w:r>
          </w:p>
        </w:tc>
      </w:tr>
      <w:tr w:rsidR="0050061C" w14:paraId="43627945" w14:textId="77777777" w:rsidTr="00572064">
        <w:trPr>
          <w:cnfStyle w:val="000000100000" w:firstRow="0" w:lastRow="0" w:firstColumn="0" w:lastColumn="0" w:oddVBand="0" w:evenVBand="0" w:oddHBand="1" w:evenHBand="0"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26D0E500" w14:textId="77777777" w:rsidR="0050061C" w:rsidRDefault="0050061C" w:rsidP="00572064">
            <w:pPr>
              <w:pStyle w:val="TableBody"/>
              <w:keepNext/>
              <w:keepLines/>
            </w:pPr>
            <w:r>
              <w:t>Interference threshold</w:t>
            </w:r>
          </w:p>
        </w:tc>
        <w:tc>
          <w:tcPr>
            <w:tcW w:w="2409" w:type="dxa"/>
            <w:tcBorders>
              <w:top w:val="single" w:sz="4" w:space="0" w:color="auto"/>
              <w:left w:val="single" w:sz="4" w:space="0" w:color="auto"/>
              <w:bottom w:val="single" w:sz="4" w:space="0" w:color="auto"/>
              <w:right w:val="single" w:sz="4" w:space="0" w:color="auto"/>
            </w:tcBorders>
            <w:hideMark/>
          </w:tcPr>
          <w:p w14:paraId="36EDFE1A" w14:textId="77777777" w:rsidR="0050061C" w:rsidRDefault="0050061C" w:rsidP="00572064">
            <w:pPr>
              <w:pStyle w:val="TableBody"/>
              <w:keepNext/>
              <w:keepLines/>
            </w:pPr>
            <w:r>
              <w:t>-82.3 dBW (in 8 MHz)</w:t>
            </w:r>
          </w:p>
        </w:tc>
        <w:tc>
          <w:tcPr>
            <w:tcW w:w="3122" w:type="dxa"/>
            <w:tcBorders>
              <w:top w:val="single" w:sz="4" w:space="0" w:color="auto"/>
              <w:left w:val="single" w:sz="4" w:space="0" w:color="auto"/>
              <w:bottom w:val="single" w:sz="4" w:space="0" w:color="auto"/>
              <w:right w:val="single" w:sz="4" w:space="0" w:color="auto"/>
            </w:tcBorders>
            <w:hideMark/>
          </w:tcPr>
          <w:p w14:paraId="633A01C3" w14:textId="77777777" w:rsidR="0050061C" w:rsidRDefault="0050061C" w:rsidP="00572064">
            <w:pPr>
              <w:pStyle w:val="TableBody"/>
              <w:keepNext/>
              <w:keepLines/>
            </w:pPr>
            <w:r>
              <w:t>RALI FX 21</w:t>
            </w:r>
          </w:p>
        </w:tc>
      </w:tr>
      <w:tr w:rsidR="0050061C" w14:paraId="2BCC2CFC" w14:textId="77777777" w:rsidTr="00572064">
        <w:trPr>
          <w:cnfStyle w:val="000000010000" w:firstRow="0" w:lastRow="0" w:firstColumn="0" w:lastColumn="0" w:oddVBand="0" w:evenVBand="0" w:oddHBand="0" w:evenHBand="1" w:firstRowFirstColumn="0" w:firstRowLastColumn="0" w:lastRowFirstColumn="0" w:lastRowLastColumn="0"/>
        </w:trPr>
        <w:tc>
          <w:tcPr>
            <w:tcW w:w="2689" w:type="dxa"/>
            <w:tcBorders>
              <w:top w:val="single" w:sz="4" w:space="0" w:color="auto"/>
              <w:left w:val="single" w:sz="4" w:space="0" w:color="auto"/>
              <w:bottom w:val="single" w:sz="4" w:space="0" w:color="auto"/>
              <w:right w:val="single" w:sz="4" w:space="0" w:color="auto"/>
            </w:tcBorders>
            <w:hideMark/>
          </w:tcPr>
          <w:p w14:paraId="33D32755" w14:textId="77777777" w:rsidR="0050061C" w:rsidRDefault="0050061C" w:rsidP="00572064">
            <w:pPr>
              <w:pStyle w:val="TableBody"/>
              <w:keepNext/>
              <w:keepLines/>
            </w:pPr>
            <w:r>
              <w:t>Propagation model</w:t>
            </w:r>
          </w:p>
        </w:tc>
        <w:tc>
          <w:tcPr>
            <w:tcW w:w="2409" w:type="dxa"/>
            <w:tcBorders>
              <w:top w:val="single" w:sz="4" w:space="0" w:color="auto"/>
              <w:left w:val="single" w:sz="4" w:space="0" w:color="auto"/>
              <w:bottom w:val="single" w:sz="4" w:space="0" w:color="auto"/>
              <w:right w:val="single" w:sz="4" w:space="0" w:color="auto"/>
            </w:tcBorders>
            <w:hideMark/>
          </w:tcPr>
          <w:p w14:paraId="4698A47F" w14:textId="77777777" w:rsidR="0050061C" w:rsidRDefault="0050061C" w:rsidP="00572064">
            <w:pPr>
              <w:pStyle w:val="TableBody"/>
              <w:keepNext/>
              <w:keepLines/>
            </w:pPr>
            <w:r>
              <w:t>ITU-R P.526</w:t>
            </w:r>
          </w:p>
        </w:tc>
        <w:tc>
          <w:tcPr>
            <w:tcW w:w="3122" w:type="dxa"/>
            <w:tcBorders>
              <w:top w:val="single" w:sz="4" w:space="0" w:color="auto"/>
              <w:left w:val="single" w:sz="4" w:space="0" w:color="auto"/>
              <w:bottom w:val="single" w:sz="4" w:space="0" w:color="auto"/>
              <w:right w:val="single" w:sz="4" w:space="0" w:color="auto"/>
            </w:tcBorders>
            <w:hideMark/>
          </w:tcPr>
          <w:p w14:paraId="68EB73F3" w14:textId="77777777" w:rsidR="0050061C" w:rsidRDefault="0050061C" w:rsidP="00572064">
            <w:pPr>
              <w:pStyle w:val="TableBody"/>
              <w:keepNext/>
              <w:keepLines/>
            </w:pPr>
            <w:r>
              <w:t xml:space="preserve">Propagation by diffraction </w:t>
            </w:r>
          </w:p>
        </w:tc>
      </w:tr>
    </w:tbl>
    <w:p w14:paraId="73E8BE7F" w14:textId="77777777" w:rsidR="00FC780A" w:rsidRDefault="00FC780A" w:rsidP="00572064">
      <w:pPr>
        <w:spacing w:after="120"/>
      </w:pPr>
    </w:p>
    <w:p w14:paraId="52E6951D" w14:textId="6FC1ABCD" w:rsidR="0050061C" w:rsidRPr="00061FE1" w:rsidRDefault="0050061C" w:rsidP="00572064">
      <w:pPr>
        <w:pStyle w:val="Paragraph"/>
      </w:pPr>
      <w:r w:rsidRPr="00061FE1">
        <w:t xml:space="preserve">The interference threshold is estimated from a minimum wanted signal level from RALI FX 21 of -112.3 dBW (in 8 MHz) and an adjacent channel protection ratio of -30 dB. </w:t>
      </w:r>
      <w:r w:rsidR="007E0575" w:rsidRPr="00061FE1">
        <w:t xml:space="preserve">The -30 dB </w:t>
      </w:r>
      <w:r w:rsidR="000B3B4D" w:rsidRPr="00061FE1">
        <w:t>protection ratio</w:t>
      </w:r>
      <w:r w:rsidR="0071399B" w:rsidRPr="00061FE1">
        <w:t xml:space="preserve"> is </w:t>
      </w:r>
      <w:r w:rsidR="00810402" w:rsidRPr="00061FE1">
        <w:t xml:space="preserve">the most applicable </w:t>
      </w:r>
      <w:r w:rsidR="004A5239" w:rsidRPr="00061FE1">
        <w:t xml:space="preserve">value </w:t>
      </w:r>
      <w:r w:rsidR="008856DF" w:rsidRPr="00061FE1">
        <w:t xml:space="preserve">(of the </w:t>
      </w:r>
      <w:r w:rsidR="00F7723E" w:rsidRPr="00061FE1">
        <w:t>protection ratios</w:t>
      </w:r>
      <w:r w:rsidR="008856DF" w:rsidRPr="00061FE1">
        <w:t xml:space="preserve"> detailed above) </w:t>
      </w:r>
      <w:r w:rsidR="00810402" w:rsidRPr="00061FE1">
        <w:t xml:space="preserve">to this sharing scenario and </w:t>
      </w:r>
      <w:r w:rsidR="007E0575" w:rsidRPr="00061FE1">
        <w:t xml:space="preserve">is </w:t>
      </w:r>
      <w:r w:rsidR="00810402" w:rsidRPr="00061FE1">
        <w:t xml:space="preserve">also </w:t>
      </w:r>
      <w:r w:rsidR="007E0575" w:rsidRPr="00061FE1">
        <w:t>the most conservative</w:t>
      </w:r>
      <w:r w:rsidR="000B5B35" w:rsidRPr="00061FE1">
        <w:t>.</w:t>
      </w:r>
      <w:r w:rsidR="000B3B4D" w:rsidRPr="00061FE1">
        <w:t xml:space="preserve"> </w:t>
      </w:r>
    </w:p>
    <w:p w14:paraId="72F36401" w14:textId="7D20A9ED" w:rsidR="0050061C" w:rsidRDefault="0050061C" w:rsidP="00572064">
      <w:pPr>
        <w:pStyle w:val="Paragraph"/>
      </w:pPr>
      <w:r w:rsidRPr="00061FE1">
        <w:t>This scenario considers a single interfering earth station (with a bandwidth of &lt;200 kHz) contributing all of the interference threshold (that is, this scenario does not consider the effects of multiple interferers</w:t>
      </w:r>
      <w:r w:rsidR="00EE5696" w:rsidRPr="00061FE1">
        <w:t xml:space="preserve"> or duty cycle</w:t>
      </w:r>
      <w:r w:rsidR="00EE5696" w:rsidRPr="00061FE1">
        <w:rPr>
          <w:rStyle w:val="FootnoteReference"/>
        </w:rPr>
        <w:footnoteReference w:id="11"/>
      </w:r>
      <w:r w:rsidRPr="00061FE1">
        <w:t>) to a nearby mobile receiver (van).</w:t>
      </w:r>
      <w:r w:rsidR="00595D72">
        <w:t xml:space="preserve"> </w:t>
      </w:r>
    </w:p>
    <w:p w14:paraId="184FFB14" w14:textId="58E19866" w:rsidR="008B336F" w:rsidRDefault="008B336F" w:rsidP="0050061C">
      <w:r>
        <w:t xml:space="preserve">Simulations were performed in </w:t>
      </w:r>
      <w:hyperlink r:id="rId54" w:history="1">
        <w:r w:rsidRPr="003A637A">
          <w:rPr>
            <w:rStyle w:val="Hyperlink"/>
          </w:rPr>
          <w:t xml:space="preserve">Visualyse </w:t>
        </w:r>
        <w:r w:rsidR="003A637A" w:rsidRPr="003A637A">
          <w:rPr>
            <w:rStyle w:val="Hyperlink"/>
          </w:rPr>
          <w:t>Professional</w:t>
        </w:r>
      </w:hyperlink>
      <w:r w:rsidR="003A637A">
        <w:t xml:space="preserve">, and considered both the interference level received and impacts </w:t>
      </w:r>
      <w:r w:rsidR="00B2044C">
        <w:t xml:space="preserve">on </w:t>
      </w:r>
      <w:r w:rsidR="003A637A">
        <w:t>a wanted link.</w:t>
      </w:r>
    </w:p>
    <w:p w14:paraId="7E507ED5" w14:textId="2DC6BB92" w:rsidR="0050061C" w:rsidRDefault="0050061C" w:rsidP="0050061C">
      <w:r>
        <w:t>Results from the simulations (both locations) show that a single earth station more than 0.</w:t>
      </w:r>
      <w:r w:rsidR="00703291">
        <w:t>7</w:t>
      </w:r>
      <w:r>
        <w:t xml:space="preserve"> km from a TOB van will not cause unacceptable levels of interference for the TOB system.</w:t>
      </w:r>
    </w:p>
    <w:p w14:paraId="711EB6F9" w14:textId="77777777" w:rsidR="0050061C" w:rsidRDefault="0050061C" w:rsidP="0050061C">
      <w:pPr>
        <w:pStyle w:val="Heading3"/>
      </w:pPr>
      <w:r>
        <w:t>Single entry, high gain receiver</w:t>
      </w:r>
    </w:p>
    <w:p w14:paraId="425E6990" w14:textId="63A56606" w:rsidR="0050061C" w:rsidRDefault="0050061C" w:rsidP="0050061C">
      <w:r>
        <w:t>The mobile receiver in the case above can be replaced with a high gain</w:t>
      </w:r>
      <w:r w:rsidR="008A79B9">
        <w:rPr>
          <w:rStyle w:val="FootnoteReference"/>
        </w:rPr>
        <w:footnoteReference w:id="12"/>
      </w:r>
      <w:r>
        <w:t xml:space="preserve"> receiver. In this case</w:t>
      </w:r>
      <w:r w:rsidR="00061FE1">
        <w:t>,</w:t>
      </w:r>
      <w:r>
        <w:t xml:space="preserve"> the TOB receiver gain is 27 dBi (RALI FX21).</w:t>
      </w:r>
    </w:p>
    <w:p w14:paraId="3B04A3F0" w14:textId="629E062E" w:rsidR="0050061C" w:rsidRDefault="0050061C" w:rsidP="0050061C">
      <w:r>
        <w:t>Free space loss calculations give a separation distance of about 1.5 km (free space loss is used as terrain effects would be negligible with a high antenna position).</w:t>
      </w:r>
    </w:p>
    <w:p w14:paraId="3C11F3DF" w14:textId="77777777" w:rsidR="0050061C" w:rsidRDefault="0050061C" w:rsidP="0050061C">
      <w:pPr>
        <w:pStyle w:val="Heading3"/>
      </w:pPr>
      <w:r>
        <w:t xml:space="preserve">Multiple interferer, mobile receiver scenario </w:t>
      </w:r>
    </w:p>
    <w:p w14:paraId="17C58902" w14:textId="3B68AD3F" w:rsidR="0050061C" w:rsidRDefault="0050061C" w:rsidP="0050061C">
      <w:r>
        <w:t>A scenario where multiple earth stations potentially cause interference to a TOB van was considered, using the parameters</w:t>
      </w:r>
      <w:r w:rsidR="00061FE1">
        <w:t xml:space="preserve"> shown in Table 7</w:t>
      </w:r>
      <w:r>
        <w:t xml:space="preserve">.  </w:t>
      </w:r>
    </w:p>
    <w:p w14:paraId="25F1DAAE" w14:textId="623BCD95" w:rsidR="008758C0" w:rsidRDefault="008758C0" w:rsidP="00CA3DA8">
      <w:pPr>
        <w:pStyle w:val="Tableheading"/>
        <w:keepLines/>
      </w:pPr>
      <w:r w:rsidRPr="003F0222">
        <w:lastRenderedPageBreak/>
        <w:t>Technical parameters for multiple interferer, mobile receiver scenario</w:t>
      </w:r>
    </w:p>
    <w:tbl>
      <w:tblPr>
        <w:tblStyle w:val="ACMAtablestyle"/>
        <w:tblW w:w="8220" w:type="dxa"/>
        <w:tblLayout w:type="fixed"/>
        <w:tblLook w:val="01E0" w:firstRow="1" w:lastRow="1" w:firstColumn="1" w:lastColumn="1" w:noHBand="0" w:noVBand="0"/>
        <w:tblCaption w:val="Table title to go here"/>
        <w:tblDescription w:val="Table description to go here"/>
      </w:tblPr>
      <w:tblGrid>
        <w:gridCol w:w="2405"/>
        <w:gridCol w:w="2126"/>
        <w:gridCol w:w="3689"/>
      </w:tblGrid>
      <w:tr w:rsidR="0050061C" w14:paraId="1AF09762" w14:textId="77777777" w:rsidTr="00CA3DA8">
        <w:trPr>
          <w:cnfStyle w:val="100000000000" w:firstRow="1" w:lastRow="0" w:firstColumn="0" w:lastColumn="0" w:oddVBand="0" w:evenVBand="0" w:oddHBand="0" w:evenHBand="0" w:firstRowFirstColumn="0" w:firstRowLastColumn="0" w:lastRowFirstColumn="0" w:lastRowLastColumn="0"/>
        </w:trPr>
        <w:tc>
          <w:tcPr>
            <w:tcW w:w="2405" w:type="dxa"/>
            <w:hideMark/>
          </w:tcPr>
          <w:p w14:paraId="13619532" w14:textId="77777777" w:rsidR="0050061C" w:rsidRDefault="0050061C" w:rsidP="00CA3DA8">
            <w:pPr>
              <w:pStyle w:val="Tableheaderrow"/>
              <w:keepNext/>
              <w:keepLines/>
            </w:pPr>
            <w:r>
              <w:t>Parameter</w:t>
            </w:r>
          </w:p>
        </w:tc>
        <w:tc>
          <w:tcPr>
            <w:tcW w:w="2126" w:type="dxa"/>
            <w:hideMark/>
          </w:tcPr>
          <w:p w14:paraId="21A55F28" w14:textId="77777777" w:rsidR="0050061C" w:rsidRDefault="0050061C" w:rsidP="00CA3DA8">
            <w:pPr>
              <w:pStyle w:val="Tableheaderrow"/>
              <w:keepNext/>
              <w:keepLines/>
            </w:pPr>
            <w:r>
              <w:t>Value</w:t>
            </w:r>
          </w:p>
        </w:tc>
        <w:tc>
          <w:tcPr>
            <w:tcW w:w="3689" w:type="dxa"/>
            <w:hideMark/>
          </w:tcPr>
          <w:p w14:paraId="604039A7" w14:textId="77777777" w:rsidR="0050061C" w:rsidRDefault="0050061C" w:rsidP="00CA3DA8">
            <w:pPr>
              <w:pStyle w:val="Tableheaderrow"/>
              <w:keepNext/>
              <w:keepLines/>
            </w:pPr>
            <w:r>
              <w:t>Notes</w:t>
            </w:r>
          </w:p>
        </w:tc>
      </w:tr>
      <w:tr w:rsidR="0050061C" w14:paraId="31DAB422" w14:textId="77777777" w:rsidTr="00CA3DA8">
        <w:trPr>
          <w:cnfStyle w:val="000000100000" w:firstRow="0" w:lastRow="0" w:firstColumn="0" w:lastColumn="0" w:oddVBand="0" w:evenVBand="0" w:oddHBand="1" w:evenHBand="0"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1AEC4AAB" w14:textId="77777777" w:rsidR="0050061C" w:rsidRDefault="0050061C" w:rsidP="00CA3DA8">
            <w:pPr>
              <w:pStyle w:val="TableBody"/>
              <w:keepNext/>
              <w:keepLines/>
            </w:pPr>
            <w:r>
              <w:t>Earth stations antenna gain</w:t>
            </w:r>
          </w:p>
        </w:tc>
        <w:tc>
          <w:tcPr>
            <w:tcW w:w="2126" w:type="dxa"/>
            <w:tcBorders>
              <w:top w:val="single" w:sz="4" w:space="0" w:color="auto"/>
              <w:left w:val="single" w:sz="4" w:space="0" w:color="auto"/>
              <w:bottom w:val="single" w:sz="4" w:space="0" w:color="auto"/>
              <w:right w:val="single" w:sz="4" w:space="0" w:color="auto"/>
            </w:tcBorders>
            <w:hideMark/>
          </w:tcPr>
          <w:p w14:paraId="75F94135" w14:textId="77777777" w:rsidR="0050061C" w:rsidRDefault="0050061C" w:rsidP="00CA3DA8">
            <w:pPr>
              <w:pStyle w:val="TableBody"/>
              <w:keepNext/>
              <w:keepLines/>
            </w:pPr>
            <w:r>
              <w:t>0 dBi</w:t>
            </w:r>
          </w:p>
        </w:tc>
        <w:tc>
          <w:tcPr>
            <w:tcW w:w="3689" w:type="dxa"/>
            <w:vMerge w:val="restart"/>
            <w:tcBorders>
              <w:top w:val="single" w:sz="4" w:space="0" w:color="auto"/>
              <w:left w:val="single" w:sz="4" w:space="0" w:color="auto"/>
              <w:bottom w:val="single" w:sz="4" w:space="0" w:color="auto"/>
              <w:right w:val="single" w:sz="4" w:space="0" w:color="auto"/>
            </w:tcBorders>
            <w:hideMark/>
          </w:tcPr>
          <w:p w14:paraId="76478C35" w14:textId="77777777" w:rsidR="0050061C" w:rsidRDefault="0050061C" w:rsidP="00CA3DA8">
            <w:pPr>
              <w:pStyle w:val="TableBody"/>
              <w:keepNext/>
              <w:keepLines/>
            </w:pPr>
            <w:r>
              <w:t xml:space="preserve">Table 6.1-1: IoT NTN reference scenario parameters </w:t>
            </w:r>
          </w:p>
        </w:tc>
      </w:tr>
      <w:tr w:rsidR="0050061C" w14:paraId="00B013C7" w14:textId="77777777" w:rsidTr="00CA3DA8">
        <w:trPr>
          <w:cnfStyle w:val="000000010000" w:firstRow="0" w:lastRow="0" w:firstColumn="0" w:lastColumn="0" w:oddVBand="0" w:evenVBand="0" w:oddHBand="0" w:evenHBand="1"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2E3D3EF7" w14:textId="77777777" w:rsidR="0050061C" w:rsidRDefault="0050061C" w:rsidP="00CA3DA8">
            <w:pPr>
              <w:pStyle w:val="TableBody"/>
              <w:keepNext/>
              <w:keepLines/>
            </w:pPr>
            <w:r>
              <w:t>Bandwidth</w:t>
            </w:r>
          </w:p>
        </w:tc>
        <w:tc>
          <w:tcPr>
            <w:tcW w:w="2126" w:type="dxa"/>
            <w:tcBorders>
              <w:top w:val="single" w:sz="4" w:space="0" w:color="auto"/>
              <w:left w:val="single" w:sz="4" w:space="0" w:color="auto"/>
              <w:bottom w:val="single" w:sz="4" w:space="0" w:color="auto"/>
              <w:right w:val="single" w:sz="4" w:space="0" w:color="auto"/>
            </w:tcBorders>
            <w:hideMark/>
          </w:tcPr>
          <w:p w14:paraId="7EA54F8F" w14:textId="77777777" w:rsidR="0050061C" w:rsidRDefault="0050061C" w:rsidP="00CA3DA8">
            <w:pPr>
              <w:pStyle w:val="Paragraph"/>
              <w:keepNext/>
              <w:keepLines/>
            </w:pPr>
            <w:r>
              <w:t>180 kHz</w:t>
            </w:r>
          </w:p>
        </w:tc>
        <w:tc>
          <w:tcPr>
            <w:tcW w:w="3689" w:type="dxa"/>
            <w:vMerge/>
            <w:tcBorders>
              <w:top w:val="single" w:sz="4" w:space="0" w:color="auto"/>
              <w:left w:val="single" w:sz="4" w:space="0" w:color="auto"/>
              <w:bottom w:val="single" w:sz="4" w:space="0" w:color="auto"/>
              <w:right w:val="single" w:sz="4" w:space="0" w:color="auto"/>
            </w:tcBorders>
            <w:vAlign w:val="center"/>
            <w:hideMark/>
          </w:tcPr>
          <w:p w14:paraId="26EA2C3E" w14:textId="77777777" w:rsidR="0050061C" w:rsidRDefault="0050061C" w:rsidP="00CA3DA8">
            <w:pPr>
              <w:keepNext/>
              <w:keepLines/>
              <w:spacing w:after="0" w:line="240" w:lineRule="auto"/>
            </w:pPr>
          </w:p>
        </w:tc>
      </w:tr>
      <w:tr w:rsidR="0050061C" w14:paraId="27745B97" w14:textId="77777777" w:rsidTr="00CA3DA8">
        <w:trPr>
          <w:cnfStyle w:val="000000100000" w:firstRow="0" w:lastRow="0" w:firstColumn="0" w:lastColumn="0" w:oddVBand="0" w:evenVBand="0" w:oddHBand="1" w:evenHBand="0"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7DF3772E" w14:textId="77777777" w:rsidR="0050061C" w:rsidRDefault="0050061C" w:rsidP="00CA3DA8">
            <w:pPr>
              <w:pStyle w:val="TableBody"/>
              <w:keepNext/>
              <w:keepLines/>
            </w:pPr>
            <w:r>
              <w:t>Earth station power</w:t>
            </w:r>
          </w:p>
        </w:tc>
        <w:tc>
          <w:tcPr>
            <w:tcW w:w="2126" w:type="dxa"/>
            <w:tcBorders>
              <w:top w:val="single" w:sz="4" w:space="0" w:color="auto"/>
              <w:left w:val="single" w:sz="4" w:space="0" w:color="auto"/>
              <w:bottom w:val="single" w:sz="4" w:space="0" w:color="auto"/>
              <w:right w:val="single" w:sz="4" w:space="0" w:color="auto"/>
            </w:tcBorders>
            <w:hideMark/>
          </w:tcPr>
          <w:p w14:paraId="00302144" w14:textId="77777777" w:rsidR="0050061C" w:rsidRDefault="0050061C" w:rsidP="00CA3DA8">
            <w:pPr>
              <w:pStyle w:val="TableBody"/>
              <w:keepNext/>
              <w:keepLines/>
            </w:pPr>
            <w:r>
              <w:t>-7 dBW</w:t>
            </w:r>
          </w:p>
        </w:tc>
        <w:tc>
          <w:tcPr>
            <w:tcW w:w="3689" w:type="dxa"/>
            <w:vMerge/>
            <w:tcBorders>
              <w:top w:val="single" w:sz="4" w:space="0" w:color="auto"/>
              <w:left w:val="single" w:sz="4" w:space="0" w:color="auto"/>
              <w:bottom w:val="single" w:sz="4" w:space="0" w:color="auto"/>
              <w:right w:val="single" w:sz="4" w:space="0" w:color="auto"/>
            </w:tcBorders>
            <w:vAlign w:val="center"/>
            <w:hideMark/>
          </w:tcPr>
          <w:p w14:paraId="5178EEF7" w14:textId="77777777" w:rsidR="0050061C" w:rsidRDefault="0050061C" w:rsidP="00CA3DA8">
            <w:pPr>
              <w:keepNext/>
              <w:keepLines/>
              <w:spacing w:after="0" w:line="240" w:lineRule="auto"/>
            </w:pPr>
          </w:p>
        </w:tc>
      </w:tr>
      <w:tr w:rsidR="0050061C" w14:paraId="4DA27262" w14:textId="77777777" w:rsidTr="00CA3DA8">
        <w:trPr>
          <w:cnfStyle w:val="000000010000" w:firstRow="0" w:lastRow="0" w:firstColumn="0" w:lastColumn="0" w:oddVBand="0" w:evenVBand="0" w:oddHBand="0" w:evenHBand="1"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35EA7A43" w14:textId="77777777" w:rsidR="0050061C" w:rsidRDefault="0050061C" w:rsidP="00CA3DA8">
            <w:pPr>
              <w:pStyle w:val="TableBody"/>
              <w:keepNext/>
              <w:keepLines/>
            </w:pPr>
            <w:r>
              <w:t>Earth station height</w:t>
            </w:r>
          </w:p>
        </w:tc>
        <w:tc>
          <w:tcPr>
            <w:tcW w:w="2126" w:type="dxa"/>
            <w:tcBorders>
              <w:top w:val="single" w:sz="4" w:space="0" w:color="auto"/>
              <w:left w:val="single" w:sz="4" w:space="0" w:color="auto"/>
              <w:bottom w:val="single" w:sz="4" w:space="0" w:color="auto"/>
              <w:right w:val="single" w:sz="4" w:space="0" w:color="auto"/>
            </w:tcBorders>
            <w:hideMark/>
          </w:tcPr>
          <w:p w14:paraId="7F611DF9" w14:textId="77777777" w:rsidR="0050061C" w:rsidRDefault="0050061C" w:rsidP="00CA3DA8">
            <w:pPr>
              <w:pStyle w:val="TableBody"/>
              <w:keepNext/>
              <w:keepLines/>
            </w:pPr>
            <w:r>
              <w:t>2 m</w:t>
            </w:r>
          </w:p>
        </w:tc>
        <w:tc>
          <w:tcPr>
            <w:tcW w:w="3689" w:type="dxa"/>
            <w:tcBorders>
              <w:top w:val="single" w:sz="4" w:space="0" w:color="auto"/>
              <w:left w:val="single" w:sz="4" w:space="0" w:color="auto"/>
              <w:bottom w:val="single" w:sz="4" w:space="0" w:color="auto"/>
              <w:right w:val="single" w:sz="4" w:space="0" w:color="auto"/>
            </w:tcBorders>
          </w:tcPr>
          <w:p w14:paraId="4BC7DE28" w14:textId="77777777" w:rsidR="0050061C" w:rsidRDefault="0050061C" w:rsidP="00CA3DA8">
            <w:pPr>
              <w:pStyle w:val="TableBody"/>
              <w:keepNext/>
              <w:keepLines/>
            </w:pPr>
          </w:p>
        </w:tc>
      </w:tr>
      <w:tr w:rsidR="0050061C" w14:paraId="21B1F82A" w14:textId="77777777" w:rsidTr="00CA3DA8">
        <w:trPr>
          <w:cnfStyle w:val="000000100000" w:firstRow="0" w:lastRow="0" w:firstColumn="0" w:lastColumn="0" w:oddVBand="0" w:evenVBand="0" w:oddHBand="1" w:evenHBand="0"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6C0AE8E0" w14:textId="77777777" w:rsidR="0050061C" w:rsidRDefault="0050061C" w:rsidP="00CA3DA8">
            <w:pPr>
              <w:pStyle w:val="TableBody"/>
              <w:keepNext/>
              <w:keepLines/>
            </w:pPr>
            <w:r>
              <w:t>Duty cycle</w:t>
            </w:r>
          </w:p>
        </w:tc>
        <w:tc>
          <w:tcPr>
            <w:tcW w:w="2126" w:type="dxa"/>
            <w:tcBorders>
              <w:top w:val="single" w:sz="4" w:space="0" w:color="auto"/>
              <w:left w:val="single" w:sz="4" w:space="0" w:color="auto"/>
              <w:bottom w:val="single" w:sz="4" w:space="0" w:color="auto"/>
              <w:right w:val="single" w:sz="4" w:space="0" w:color="auto"/>
            </w:tcBorders>
            <w:hideMark/>
          </w:tcPr>
          <w:p w14:paraId="7994B9F4" w14:textId="77777777" w:rsidR="0050061C" w:rsidRDefault="0050061C" w:rsidP="00CA3DA8">
            <w:pPr>
              <w:pStyle w:val="TableBody"/>
              <w:keepNext/>
              <w:keepLines/>
            </w:pPr>
            <w:r>
              <w:t>10 %</w:t>
            </w:r>
          </w:p>
        </w:tc>
        <w:tc>
          <w:tcPr>
            <w:tcW w:w="3689" w:type="dxa"/>
            <w:tcBorders>
              <w:top w:val="single" w:sz="4" w:space="0" w:color="auto"/>
              <w:left w:val="single" w:sz="4" w:space="0" w:color="auto"/>
              <w:bottom w:val="single" w:sz="4" w:space="0" w:color="auto"/>
              <w:right w:val="single" w:sz="4" w:space="0" w:color="auto"/>
            </w:tcBorders>
            <w:hideMark/>
          </w:tcPr>
          <w:p w14:paraId="59AECB16" w14:textId="074A37B2" w:rsidR="0050061C" w:rsidRDefault="0050061C" w:rsidP="00CA3DA8">
            <w:pPr>
              <w:pStyle w:val="TableBody"/>
              <w:keepNext/>
              <w:keepLines/>
            </w:pPr>
            <w:r>
              <w:t xml:space="preserve">Arbitrary figure, logarithmically between 1% (metropolitan limit proposed in </w:t>
            </w:r>
            <w:r w:rsidR="00061FE1">
              <w:t>c</w:t>
            </w:r>
            <w:r>
              <w:t xml:space="preserve">lass </w:t>
            </w:r>
            <w:r w:rsidR="00061FE1">
              <w:t>l</w:t>
            </w:r>
            <w:r>
              <w:t>icence variation) and 100%</w:t>
            </w:r>
          </w:p>
        </w:tc>
      </w:tr>
      <w:tr w:rsidR="0050061C" w14:paraId="60DAE0CB" w14:textId="77777777" w:rsidTr="00CA3DA8">
        <w:trPr>
          <w:cnfStyle w:val="000000010000" w:firstRow="0" w:lastRow="0" w:firstColumn="0" w:lastColumn="0" w:oddVBand="0" w:evenVBand="0" w:oddHBand="0" w:evenHBand="1"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438A2FAF" w14:textId="77777777" w:rsidR="0050061C" w:rsidRDefault="0050061C" w:rsidP="00CA3DA8">
            <w:pPr>
              <w:pStyle w:val="TableBody"/>
              <w:keepNext/>
              <w:keepLines/>
            </w:pPr>
            <w:r>
              <w:t>Earth station deployment density</w:t>
            </w:r>
          </w:p>
        </w:tc>
        <w:tc>
          <w:tcPr>
            <w:tcW w:w="2126" w:type="dxa"/>
            <w:tcBorders>
              <w:top w:val="single" w:sz="4" w:space="0" w:color="auto"/>
              <w:left w:val="single" w:sz="4" w:space="0" w:color="auto"/>
              <w:bottom w:val="single" w:sz="4" w:space="0" w:color="auto"/>
              <w:right w:val="single" w:sz="4" w:space="0" w:color="auto"/>
            </w:tcBorders>
            <w:hideMark/>
          </w:tcPr>
          <w:p w14:paraId="275430E8" w14:textId="77777777" w:rsidR="0050061C" w:rsidRDefault="0050061C" w:rsidP="00CA3DA8">
            <w:pPr>
              <w:pStyle w:val="TableBody"/>
              <w:keepNext/>
              <w:keepLines/>
              <w:rPr>
                <w:vertAlign w:val="superscript"/>
              </w:rPr>
            </w:pPr>
            <w:r>
              <w:t>2.4 / km</w:t>
            </w:r>
            <w:r>
              <w:rPr>
                <w:vertAlign w:val="superscript"/>
              </w:rPr>
              <w:t>2</w:t>
            </w:r>
          </w:p>
        </w:tc>
        <w:tc>
          <w:tcPr>
            <w:tcW w:w="3689" w:type="dxa"/>
            <w:tcBorders>
              <w:top w:val="single" w:sz="4" w:space="0" w:color="auto"/>
              <w:left w:val="single" w:sz="4" w:space="0" w:color="auto"/>
              <w:bottom w:val="single" w:sz="4" w:space="0" w:color="auto"/>
              <w:right w:val="single" w:sz="4" w:space="0" w:color="auto"/>
            </w:tcBorders>
            <w:hideMark/>
          </w:tcPr>
          <w:p w14:paraId="63E4F012" w14:textId="77777777" w:rsidR="0050061C" w:rsidRDefault="0050061C" w:rsidP="00CA3DA8">
            <w:pPr>
              <w:pStyle w:val="TableBody"/>
              <w:keepNext/>
              <w:keepLines/>
            </w:pPr>
            <w:r>
              <w:t>WP4C input 4C/327</w:t>
            </w:r>
          </w:p>
        </w:tc>
      </w:tr>
      <w:tr w:rsidR="0050061C" w14:paraId="1EABFE39" w14:textId="77777777" w:rsidTr="00CA3DA8">
        <w:trPr>
          <w:cnfStyle w:val="000000100000" w:firstRow="0" w:lastRow="0" w:firstColumn="0" w:lastColumn="0" w:oddVBand="0" w:evenVBand="0" w:oddHBand="1" w:evenHBand="0"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47EEA80F" w14:textId="77777777" w:rsidR="0050061C" w:rsidRDefault="0050061C" w:rsidP="00CA3DA8">
            <w:pPr>
              <w:pStyle w:val="TableBody"/>
              <w:keepNext/>
              <w:keepLines/>
            </w:pPr>
            <w:r>
              <w:t xml:space="preserve">TOB receiver gain </w:t>
            </w:r>
          </w:p>
        </w:tc>
        <w:tc>
          <w:tcPr>
            <w:tcW w:w="2126" w:type="dxa"/>
            <w:tcBorders>
              <w:top w:val="single" w:sz="4" w:space="0" w:color="auto"/>
              <w:left w:val="single" w:sz="4" w:space="0" w:color="auto"/>
              <w:bottom w:val="single" w:sz="4" w:space="0" w:color="auto"/>
              <w:right w:val="single" w:sz="4" w:space="0" w:color="auto"/>
            </w:tcBorders>
            <w:hideMark/>
          </w:tcPr>
          <w:p w14:paraId="29B218E6" w14:textId="4BEA7209" w:rsidR="0050061C" w:rsidRDefault="0050061C" w:rsidP="00CA3DA8">
            <w:pPr>
              <w:pStyle w:val="TableBody"/>
              <w:keepNext/>
              <w:keepLines/>
            </w:pPr>
            <w:r>
              <w:t>19 dBi</w:t>
            </w:r>
          </w:p>
        </w:tc>
        <w:tc>
          <w:tcPr>
            <w:tcW w:w="3689" w:type="dxa"/>
            <w:tcBorders>
              <w:top w:val="single" w:sz="4" w:space="0" w:color="auto"/>
              <w:left w:val="single" w:sz="4" w:space="0" w:color="auto"/>
              <w:bottom w:val="single" w:sz="4" w:space="0" w:color="auto"/>
              <w:right w:val="single" w:sz="4" w:space="0" w:color="auto"/>
            </w:tcBorders>
            <w:hideMark/>
          </w:tcPr>
          <w:p w14:paraId="3071F40A" w14:textId="77777777" w:rsidR="0050061C" w:rsidRDefault="0050061C" w:rsidP="00CA3DA8">
            <w:pPr>
              <w:pStyle w:val="TableBody"/>
              <w:keepNext/>
              <w:keepLines/>
            </w:pPr>
            <w:r>
              <w:t>Report BT. 2069 Table 19 (Yagi)</w:t>
            </w:r>
          </w:p>
        </w:tc>
      </w:tr>
      <w:tr w:rsidR="0050061C" w14:paraId="63A2572C" w14:textId="77777777" w:rsidTr="00CA3DA8">
        <w:trPr>
          <w:cnfStyle w:val="000000010000" w:firstRow="0" w:lastRow="0" w:firstColumn="0" w:lastColumn="0" w:oddVBand="0" w:evenVBand="0" w:oddHBand="0" w:evenHBand="1"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47449B56" w14:textId="77777777" w:rsidR="0050061C" w:rsidRDefault="0050061C" w:rsidP="00CA3DA8">
            <w:pPr>
              <w:pStyle w:val="TableBody"/>
              <w:keepNext/>
              <w:keepLines/>
            </w:pPr>
            <w:r>
              <w:t>TOB receiver height</w:t>
            </w:r>
          </w:p>
        </w:tc>
        <w:tc>
          <w:tcPr>
            <w:tcW w:w="2126" w:type="dxa"/>
            <w:tcBorders>
              <w:top w:val="single" w:sz="4" w:space="0" w:color="auto"/>
              <w:left w:val="single" w:sz="4" w:space="0" w:color="auto"/>
              <w:bottom w:val="single" w:sz="4" w:space="0" w:color="auto"/>
              <w:right w:val="single" w:sz="4" w:space="0" w:color="auto"/>
            </w:tcBorders>
            <w:hideMark/>
          </w:tcPr>
          <w:p w14:paraId="2E0808C9" w14:textId="77777777" w:rsidR="0050061C" w:rsidRDefault="0050061C" w:rsidP="00CA3DA8">
            <w:pPr>
              <w:pStyle w:val="TableBody"/>
              <w:keepNext/>
              <w:keepLines/>
            </w:pPr>
            <w:r>
              <w:t>10 m</w:t>
            </w:r>
          </w:p>
        </w:tc>
        <w:tc>
          <w:tcPr>
            <w:tcW w:w="3689" w:type="dxa"/>
            <w:tcBorders>
              <w:top w:val="single" w:sz="4" w:space="0" w:color="auto"/>
              <w:left w:val="single" w:sz="4" w:space="0" w:color="auto"/>
              <w:bottom w:val="single" w:sz="4" w:space="0" w:color="auto"/>
              <w:right w:val="single" w:sz="4" w:space="0" w:color="auto"/>
            </w:tcBorders>
            <w:hideMark/>
          </w:tcPr>
          <w:p w14:paraId="0545D8FF" w14:textId="77777777" w:rsidR="0050061C" w:rsidRDefault="0050061C" w:rsidP="00CA3DA8">
            <w:pPr>
              <w:pStyle w:val="TableBody"/>
              <w:keepNext/>
              <w:keepLines/>
            </w:pPr>
            <w:r>
              <w:t>RALI FX21</w:t>
            </w:r>
          </w:p>
        </w:tc>
      </w:tr>
      <w:tr w:rsidR="0050061C" w14:paraId="0FC53F81" w14:textId="77777777" w:rsidTr="00CA3DA8">
        <w:trPr>
          <w:cnfStyle w:val="000000100000" w:firstRow="0" w:lastRow="0" w:firstColumn="0" w:lastColumn="0" w:oddVBand="0" w:evenVBand="0" w:oddHBand="1" w:evenHBand="0"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65F71716" w14:textId="77777777" w:rsidR="0050061C" w:rsidRDefault="0050061C" w:rsidP="00CA3DA8">
            <w:pPr>
              <w:pStyle w:val="TableBody"/>
              <w:keepNext/>
              <w:keepLines/>
            </w:pPr>
            <w:r>
              <w:t>Interference threshold</w:t>
            </w:r>
          </w:p>
        </w:tc>
        <w:tc>
          <w:tcPr>
            <w:tcW w:w="2126" w:type="dxa"/>
            <w:tcBorders>
              <w:top w:val="single" w:sz="4" w:space="0" w:color="auto"/>
              <w:left w:val="single" w:sz="4" w:space="0" w:color="auto"/>
              <w:bottom w:val="single" w:sz="4" w:space="0" w:color="auto"/>
              <w:right w:val="single" w:sz="4" w:space="0" w:color="auto"/>
            </w:tcBorders>
            <w:hideMark/>
          </w:tcPr>
          <w:p w14:paraId="533D9A9B" w14:textId="77777777" w:rsidR="0050061C" w:rsidRDefault="0050061C" w:rsidP="00CA3DA8">
            <w:pPr>
              <w:pStyle w:val="TableBody"/>
              <w:keepNext/>
              <w:keepLines/>
            </w:pPr>
            <w:r>
              <w:t>-82.3 dBW (in 8 MHz)</w:t>
            </w:r>
          </w:p>
        </w:tc>
        <w:tc>
          <w:tcPr>
            <w:tcW w:w="3689" w:type="dxa"/>
            <w:tcBorders>
              <w:top w:val="single" w:sz="4" w:space="0" w:color="auto"/>
              <w:left w:val="single" w:sz="4" w:space="0" w:color="auto"/>
              <w:bottom w:val="single" w:sz="4" w:space="0" w:color="auto"/>
              <w:right w:val="single" w:sz="4" w:space="0" w:color="auto"/>
            </w:tcBorders>
            <w:hideMark/>
          </w:tcPr>
          <w:p w14:paraId="7D61108F" w14:textId="77777777" w:rsidR="0050061C" w:rsidRDefault="0050061C" w:rsidP="00CA3DA8">
            <w:pPr>
              <w:pStyle w:val="TableBody"/>
              <w:keepNext/>
              <w:keepLines/>
            </w:pPr>
            <w:r>
              <w:t>RALI FX 21</w:t>
            </w:r>
          </w:p>
        </w:tc>
      </w:tr>
      <w:tr w:rsidR="0050061C" w14:paraId="57593262" w14:textId="77777777" w:rsidTr="00CA3DA8">
        <w:trPr>
          <w:cnfStyle w:val="000000010000" w:firstRow="0" w:lastRow="0" w:firstColumn="0" w:lastColumn="0" w:oddVBand="0" w:evenVBand="0" w:oddHBand="0" w:evenHBand="1" w:firstRowFirstColumn="0" w:firstRowLastColumn="0" w:lastRowFirstColumn="0" w:lastRowLastColumn="0"/>
        </w:trPr>
        <w:tc>
          <w:tcPr>
            <w:tcW w:w="2405" w:type="dxa"/>
            <w:tcBorders>
              <w:top w:val="single" w:sz="4" w:space="0" w:color="auto"/>
              <w:left w:val="single" w:sz="4" w:space="0" w:color="auto"/>
              <w:bottom w:val="single" w:sz="4" w:space="0" w:color="auto"/>
              <w:right w:val="single" w:sz="4" w:space="0" w:color="auto"/>
            </w:tcBorders>
            <w:hideMark/>
          </w:tcPr>
          <w:p w14:paraId="1D21ED97" w14:textId="77777777" w:rsidR="0050061C" w:rsidRDefault="0050061C">
            <w:pPr>
              <w:pStyle w:val="TableBody"/>
            </w:pPr>
            <w:r>
              <w:t>Propagation model</w:t>
            </w:r>
          </w:p>
        </w:tc>
        <w:tc>
          <w:tcPr>
            <w:tcW w:w="2126" w:type="dxa"/>
            <w:tcBorders>
              <w:top w:val="single" w:sz="4" w:space="0" w:color="auto"/>
              <w:left w:val="single" w:sz="4" w:space="0" w:color="auto"/>
              <w:bottom w:val="single" w:sz="4" w:space="0" w:color="auto"/>
              <w:right w:val="single" w:sz="4" w:space="0" w:color="auto"/>
            </w:tcBorders>
            <w:hideMark/>
          </w:tcPr>
          <w:p w14:paraId="39A47666" w14:textId="77777777" w:rsidR="0050061C" w:rsidRDefault="0050061C">
            <w:pPr>
              <w:pStyle w:val="TableBody"/>
            </w:pPr>
            <w:r>
              <w:t>ITU-R P.526</w:t>
            </w:r>
          </w:p>
        </w:tc>
        <w:tc>
          <w:tcPr>
            <w:tcW w:w="3689" w:type="dxa"/>
            <w:tcBorders>
              <w:top w:val="single" w:sz="4" w:space="0" w:color="auto"/>
              <w:left w:val="single" w:sz="4" w:space="0" w:color="auto"/>
              <w:bottom w:val="single" w:sz="4" w:space="0" w:color="auto"/>
              <w:right w:val="single" w:sz="4" w:space="0" w:color="auto"/>
            </w:tcBorders>
            <w:hideMark/>
          </w:tcPr>
          <w:p w14:paraId="755EF7E6" w14:textId="77777777" w:rsidR="0050061C" w:rsidRDefault="0050061C">
            <w:pPr>
              <w:pStyle w:val="TableBody"/>
            </w:pPr>
            <w:r>
              <w:t xml:space="preserve">Propagation by diffraction </w:t>
            </w:r>
          </w:p>
        </w:tc>
      </w:tr>
    </w:tbl>
    <w:p w14:paraId="46BA4F7B" w14:textId="77777777" w:rsidR="0050061C" w:rsidRDefault="0050061C" w:rsidP="00BA5401">
      <w:pPr>
        <w:pStyle w:val="Paragraph"/>
        <w:spacing w:before="240"/>
      </w:pPr>
      <w:r>
        <w:t>Without area separation, the results show that coexistence is not possible, particularly for duty cycles higher than 1%.</w:t>
      </w:r>
    </w:p>
    <w:p w14:paraId="6BA853C5" w14:textId="10E98F5D" w:rsidR="008758C0" w:rsidRDefault="008758C0" w:rsidP="00BA5401">
      <w:pPr>
        <w:pStyle w:val="Tableheading"/>
      </w:pPr>
      <w:r w:rsidRPr="003145BD">
        <w:t>Results for multiple interferer, mobile receiver scenario</w:t>
      </w:r>
    </w:p>
    <w:tbl>
      <w:tblPr>
        <w:tblStyle w:val="ACMAtablestyle"/>
        <w:tblW w:w="8220" w:type="dxa"/>
        <w:tblLayout w:type="fixed"/>
        <w:tblLook w:val="01E0" w:firstRow="1" w:lastRow="1" w:firstColumn="1" w:lastColumn="1" w:noHBand="0" w:noVBand="0"/>
        <w:tblCaption w:val="Table title to go here"/>
        <w:tblDescription w:val="Table description to go here"/>
      </w:tblPr>
      <w:tblGrid>
        <w:gridCol w:w="2740"/>
        <w:gridCol w:w="2740"/>
        <w:gridCol w:w="2740"/>
      </w:tblGrid>
      <w:tr w:rsidR="00061FE1" w14:paraId="4CF5623B" w14:textId="77777777" w:rsidTr="00C41C67">
        <w:trPr>
          <w:cnfStyle w:val="100000000000" w:firstRow="1" w:lastRow="0" w:firstColumn="0" w:lastColumn="0" w:oddVBand="0" w:evenVBand="0" w:oddHBand="0" w:evenHBand="0" w:firstRowFirstColumn="0" w:firstRowLastColumn="0" w:lastRowFirstColumn="0" w:lastRowLastColumn="0"/>
        </w:trPr>
        <w:tc>
          <w:tcPr>
            <w:tcW w:w="8220" w:type="dxa"/>
            <w:gridSpan w:val="3"/>
          </w:tcPr>
          <w:p w14:paraId="2154CAD0" w14:textId="77777777" w:rsidR="00061FE1" w:rsidRDefault="00061FE1" w:rsidP="00BA5401">
            <w:pPr>
              <w:pStyle w:val="Tableheaderrow"/>
              <w:jc w:val="center"/>
            </w:pPr>
            <w:r>
              <w:t>Iterations where interference threshold met</w:t>
            </w:r>
          </w:p>
        </w:tc>
      </w:tr>
      <w:tr w:rsidR="0050061C" w14:paraId="304E1E54" w14:textId="77777777" w:rsidTr="008758C0">
        <w:trPr>
          <w:cnfStyle w:val="000000100000" w:firstRow="0" w:lastRow="0" w:firstColumn="0" w:lastColumn="0" w:oddVBand="0" w:evenVBand="0" w:oddHBand="1" w:evenHBand="0" w:firstRowFirstColumn="0" w:firstRowLastColumn="0" w:lastRowFirstColumn="0" w:lastRowLastColumn="0"/>
        </w:trPr>
        <w:tc>
          <w:tcPr>
            <w:tcW w:w="2740" w:type="dxa"/>
            <w:tcBorders>
              <w:top w:val="single" w:sz="4" w:space="0" w:color="auto"/>
              <w:left w:val="single" w:sz="4" w:space="0" w:color="auto"/>
              <w:bottom w:val="single" w:sz="4" w:space="0" w:color="auto"/>
              <w:right w:val="single" w:sz="4" w:space="0" w:color="auto"/>
            </w:tcBorders>
            <w:hideMark/>
          </w:tcPr>
          <w:p w14:paraId="7CC65503" w14:textId="77777777" w:rsidR="0050061C" w:rsidRDefault="0050061C">
            <w:pPr>
              <w:pStyle w:val="Tableheaderrow"/>
            </w:pPr>
            <w:r>
              <w:t>Duty cycle</w:t>
            </w:r>
          </w:p>
        </w:tc>
        <w:tc>
          <w:tcPr>
            <w:tcW w:w="2740" w:type="dxa"/>
            <w:tcBorders>
              <w:top w:val="single" w:sz="4" w:space="0" w:color="auto"/>
              <w:left w:val="single" w:sz="4" w:space="0" w:color="auto"/>
              <w:bottom w:val="single" w:sz="4" w:space="0" w:color="auto"/>
              <w:right w:val="single" w:sz="4" w:space="0" w:color="auto"/>
            </w:tcBorders>
            <w:hideMark/>
          </w:tcPr>
          <w:p w14:paraId="5FB83D4A" w14:textId="77777777" w:rsidR="0050061C" w:rsidRDefault="0050061C">
            <w:pPr>
              <w:pStyle w:val="Tableheaderrow"/>
            </w:pPr>
            <w:r>
              <w:t>Menindee Lakes</w:t>
            </w:r>
          </w:p>
        </w:tc>
        <w:tc>
          <w:tcPr>
            <w:tcW w:w="2740" w:type="dxa"/>
            <w:tcBorders>
              <w:top w:val="single" w:sz="4" w:space="0" w:color="auto"/>
              <w:left w:val="single" w:sz="4" w:space="0" w:color="auto"/>
              <w:bottom w:val="single" w:sz="4" w:space="0" w:color="auto"/>
              <w:right w:val="single" w:sz="4" w:space="0" w:color="auto"/>
            </w:tcBorders>
            <w:hideMark/>
          </w:tcPr>
          <w:p w14:paraId="3A141A9F" w14:textId="77777777" w:rsidR="0050061C" w:rsidRDefault="0050061C">
            <w:pPr>
              <w:pStyle w:val="Tableheaderrow"/>
            </w:pPr>
            <w:r>
              <w:t>Beaconsfield</w:t>
            </w:r>
          </w:p>
        </w:tc>
      </w:tr>
      <w:tr w:rsidR="0050061C" w14:paraId="3E64C427" w14:textId="77777777" w:rsidTr="008758C0">
        <w:trPr>
          <w:cnfStyle w:val="000000010000" w:firstRow="0" w:lastRow="0" w:firstColumn="0" w:lastColumn="0" w:oddVBand="0" w:evenVBand="0" w:oddHBand="0" w:evenHBand="1" w:firstRowFirstColumn="0" w:firstRowLastColumn="0" w:lastRowFirstColumn="0" w:lastRowLastColumn="0"/>
        </w:trPr>
        <w:tc>
          <w:tcPr>
            <w:tcW w:w="2740" w:type="dxa"/>
            <w:tcBorders>
              <w:top w:val="single" w:sz="4" w:space="0" w:color="auto"/>
              <w:left w:val="single" w:sz="4" w:space="0" w:color="auto"/>
              <w:bottom w:val="single" w:sz="4" w:space="0" w:color="auto"/>
              <w:right w:val="single" w:sz="4" w:space="0" w:color="auto"/>
            </w:tcBorders>
            <w:hideMark/>
          </w:tcPr>
          <w:p w14:paraId="3FEE4AD1" w14:textId="77777777" w:rsidR="0050061C" w:rsidRDefault="0050061C">
            <w:pPr>
              <w:pStyle w:val="TableBody"/>
            </w:pPr>
            <w:r>
              <w:t>1%</w:t>
            </w:r>
          </w:p>
        </w:tc>
        <w:tc>
          <w:tcPr>
            <w:tcW w:w="2740" w:type="dxa"/>
            <w:tcBorders>
              <w:top w:val="single" w:sz="4" w:space="0" w:color="auto"/>
              <w:left w:val="single" w:sz="4" w:space="0" w:color="auto"/>
              <w:bottom w:val="single" w:sz="4" w:space="0" w:color="auto"/>
              <w:right w:val="single" w:sz="4" w:space="0" w:color="auto"/>
            </w:tcBorders>
            <w:hideMark/>
          </w:tcPr>
          <w:p w14:paraId="33B906A6" w14:textId="77777777" w:rsidR="0050061C" w:rsidRDefault="0050061C">
            <w:pPr>
              <w:pStyle w:val="TableBody"/>
            </w:pPr>
            <w:r>
              <w:t>95%</w:t>
            </w:r>
          </w:p>
        </w:tc>
        <w:tc>
          <w:tcPr>
            <w:tcW w:w="2740" w:type="dxa"/>
            <w:tcBorders>
              <w:top w:val="single" w:sz="4" w:space="0" w:color="auto"/>
              <w:left w:val="single" w:sz="4" w:space="0" w:color="auto"/>
              <w:bottom w:val="single" w:sz="4" w:space="0" w:color="auto"/>
              <w:right w:val="single" w:sz="4" w:space="0" w:color="auto"/>
            </w:tcBorders>
            <w:hideMark/>
          </w:tcPr>
          <w:p w14:paraId="5C40D629" w14:textId="77777777" w:rsidR="0050061C" w:rsidRDefault="0050061C">
            <w:pPr>
              <w:pStyle w:val="TableBody"/>
            </w:pPr>
            <w:r>
              <w:t>95%</w:t>
            </w:r>
          </w:p>
        </w:tc>
      </w:tr>
      <w:tr w:rsidR="0050061C" w14:paraId="3E3551B7" w14:textId="77777777" w:rsidTr="008758C0">
        <w:trPr>
          <w:cnfStyle w:val="000000100000" w:firstRow="0" w:lastRow="0" w:firstColumn="0" w:lastColumn="0" w:oddVBand="0" w:evenVBand="0" w:oddHBand="1" w:evenHBand="0" w:firstRowFirstColumn="0" w:firstRowLastColumn="0" w:lastRowFirstColumn="0" w:lastRowLastColumn="0"/>
        </w:trPr>
        <w:tc>
          <w:tcPr>
            <w:tcW w:w="2740" w:type="dxa"/>
            <w:tcBorders>
              <w:top w:val="single" w:sz="4" w:space="0" w:color="auto"/>
              <w:left w:val="single" w:sz="4" w:space="0" w:color="auto"/>
              <w:bottom w:val="single" w:sz="4" w:space="0" w:color="auto"/>
              <w:right w:val="single" w:sz="4" w:space="0" w:color="auto"/>
            </w:tcBorders>
            <w:hideMark/>
          </w:tcPr>
          <w:p w14:paraId="3AC5DD2B" w14:textId="77777777" w:rsidR="0050061C" w:rsidRDefault="0050061C">
            <w:pPr>
              <w:pStyle w:val="TableBody"/>
            </w:pPr>
            <w:r>
              <w:t>10%</w:t>
            </w:r>
          </w:p>
        </w:tc>
        <w:tc>
          <w:tcPr>
            <w:tcW w:w="2740" w:type="dxa"/>
            <w:tcBorders>
              <w:top w:val="single" w:sz="4" w:space="0" w:color="auto"/>
              <w:left w:val="single" w:sz="4" w:space="0" w:color="auto"/>
              <w:bottom w:val="single" w:sz="4" w:space="0" w:color="auto"/>
              <w:right w:val="single" w:sz="4" w:space="0" w:color="auto"/>
            </w:tcBorders>
            <w:hideMark/>
          </w:tcPr>
          <w:p w14:paraId="53C27BA8" w14:textId="77777777" w:rsidR="0050061C" w:rsidRDefault="0050061C">
            <w:pPr>
              <w:pStyle w:val="TableBody"/>
            </w:pPr>
            <w:r>
              <w:t>41%</w:t>
            </w:r>
          </w:p>
        </w:tc>
        <w:tc>
          <w:tcPr>
            <w:tcW w:w="2740" w:type="dxa"/>
            <w:tcBorders>
              <w:top w:val="single" w:sz="4" w:space="0" w:color="auto"/>
              <w:left w:val="single" w:sz="4" w:space="0" w:color="auto"/>
              <w:bottom w:val="single" w:sz="4" w:space="0" w:color="auto"/>
              <w:right w:val="single" w:sz="4" w:space="0" w:color="auto"/>
            </w:tcBorders>
            <w:hideMark/>
          </w:tcPr>
          <w:p w14:paraId="670ECF58" w14:textId="77777777" w:rsidR="0050061C" w:rsidRDefault="0050061C">
            <w:pPr>
              <w:pStyle w:val="TableBody"/>
            </w:pPr>
            <w:r>
              <w:t>55%</w:t>
            </w:r>
          </w:p>
        </w:tc>
      </w:tr>
    </w:tbl>
    <w:p w14:paraId="0EC5C8C8" w14:textId="51BAC80D" w:rsidR="0042144F" w:rsidRDefault="0042144F" w:rsidP="00BA5401">
      <w:pPr>
        <w:pStyle w:val="Paragraph"/>
        <w:spacing w:before="240"/>
      </w:pPr>
      <w:r>
        <w:t xml:space="preserve">These results show </w:t>
      </w:r>
      <w:r w:rsidR="00F07269">
        <w:t xml:space="preserve">that some separation is required. </w:t>
      </w:r>
    </w:p>
    <w:p w14:paraId="13B485E6" w14:textId="04DAE030" w:rsidR="0050061C" w:rsidRDefault="005F3365" w:rsidP="00BA5401">
      <w:pPr>
        <w:pStyle w:val="Paragraphbeforelist"/>
      </w:pPr>
      <w:r>
        <w:t xml:space="preserve">Further analysis was conducted with the </w:t>
      </w:r>
      <w:r w:rsidR="001A6CB1">
        <w:t>TOB receiver</w:t>
      </w:r>
      <w:r>
        <w:t xml:space="preserve"> at varying distance</w:t>
      </w:r>
      <w:r w:rsidR="00E2105B">
        <w:t xml:space="preserve">s </w:t>
      </w:r>
      <w:r w:rsidR="005F600C">
        <w:t xml:space="preserve">from an area of dense earth station deployment. </w:t>
      </w:r>
      <w:r w:rsidR="0050061C">
        <w:t>With small separations between the TOB receiver and the area containing the narrowband MSS earth station</w:t>
      </w:r>
      <w:r w:rsidR="00E144B1">
        <w:t>s</w:t>
      </w:r>
      <w:r w:rsidR="0050061C">
        <w:t>, the interference criteria can be met:</w:t>
      </w:r>
    </w:p>
    <w:p w14:paraId="0F818C38" w14:textId="445DAF22" w:rsidR="0050061C" w:rsidRDefault="00061FE1" w:rsidP="0050061C">
      <w:pPr>
        <w:pStyle w:val="Bulletlevel1"/>
      </w:pPr>
      <w:r>
        <w:t>r</w:t>
      </w:r>
      <w:r w:rsidR="0050061C">
        <w:t>esults from the Menindee Lakes simulation indicate at least 2 km is required</w:t>
      </w:r>
    </w:p>
    <w:p w14:paraId="77ECF4A4" w14:textId="59149154" w:rsidR="0050061C" w:rsidRDefault="00061FE1" w:rsidP="0050061C">
      <w:pPr>
        <w:pStyle w:val="Bulletlevel1last"/>
      </w:pPr>
      <w:r>
        <w:t>r</w:t>
      </w:r>
      <w:r w:rsidR="0050061C">
        <w:t>esults from the Beaconsfield simulation indicate 5 km is required.</w:t>
      </w:r>
    </w:p>
    <w:p w14:paraId="58722F8A" w14:textId="77777777" w:rsidR="0050061C" w:rsidRDefault="0050061C" w:rsidP="0050061C">
      <w:pPr>
        <w:pStyle w:val="Heading3"/>
        <w:tabs>
          <w:tab w:val="left" w:pos="6379"/>
        </w:tabs>
      </w:pPr>
      <w:r>
        <w:t xml:space="preserve">High gain receiver, multiple interferer scenario </w:t>
      </w:r>
    </w:p>
    <w:p w14:paraId="2F9693A1" w14:textId="77777777" w:rsidR="0050061C" w:rsidRDefault="0050061C" w:rsidP="0050061C">
      <w:pPr>
        <w:pStyle w:val="Paragraph"/>
      </w:pPr>
      <w:r>
        <w:t>This scenario involved modelling aggregate interference power for a high gain receiver from a collection of earth stations at various distances. A metropolitan area with a high sited receiver was selected for modelling in order to illustrate worst-case separation distances to the receiver.</w:t>
      </w:r>
    </w:p>
    <w:p w14:paraId="0ED1B654" w14:textId="24140C7B" w:rsidR="00D6596A" w:rsidRDefault="00D6596A" w:rsidP="00BA5401">
      <w:pPr>
        <w:pStyle w:val="Tableheading"/>
      </w:pPr>
      <w:r w:rsidRPr="00F269EF">
        <w:lastRenderedPageBreak/>
        <w:t>Technical parameters for multiple interferer, high gain receiver scenario</w:t>
      </w:r>
    </w:p>
    <w:tbl>
      <w:tblPr>
        <w:tblStyle w:val="ACMAtablestyle"/>
        <w:tblW w:w="8220" w:type="dxa"/>
        <w:tblLayout w:type="fixed"/>
        <w:tblLook w:val="01E0" w:firstRow="1" w:lastRow="1" w:firstColumn="1" w:lastColumn="1" w:noHBand="0" w:noVBand="0"/>
        <w:tblCaption w:val="Table title to go here"/>
        <w:tblDescription w:val="Table description to go here"/>
      </w:tblPr>
      <w:tblGrid>
        <w:gridCol w:w="2263"/>
        <w:gridCol w:w="1843"/>
        <w:gridCol w:w="4114"/>
      </w:tblGrid>
      <w:tr w:rsidR="0050061C" w14:paraId="5CB0ACB1" w14:textId="77777777" w:rsidTr="005B5995">
        <w:trPr>
          <w:cnfStyle w:val="100000000000" w:firstRow="1" w:lastRow="0" w:firstColumn="0" w:lastColumn="0" w:oddVBand="0" w:evenVBand="0" w:oddHBand="0" w:evenHBand="0" w:firstRowFirstColumn="0" w:firstRowLastColumn="0" w:lastRowFirstColumn="0" w:lastRowLastColumn="0"/>
        </w:trPr>
        <w:tc>
          <w:tcPr>
            <w:tcW w:w="2263" w:type="dxa"/>
            <w:hideMark/>
          </w:tcPr>
          <w:p w14:paraId="29508618" w14:textId="77777777" w:rsidR="0050061C" w:rsidRDefault="0050061C">
            <w:pPr>
              <w:pStyle w:val="Tableheaderrow"/>
            </w:pPr>
            <w:r>
              <w:t>Parameter</w:t>
            </w:r>
          </w:p>
        </w:tc>
        <w:tc>
          <w:tcPr>
            <w:tcW w:w="1843" w:type="dxa"/>
            <w:hideMark/>
          </w:tcPr>
          <w:p w14:paraId="11351698" w14:textId="77777777" w:rsidR="0050061C" w:rsidRDefault="0050061C">
            <w:pPr>
              <w:pStyle w:val="Tableheaderrow"/>
            </w:pPr>
            <w:r>
              <w:t>Value</w:t>
            </w:r>
          </w:p>
        </w:tc>
        <w:tc>
          <w:tcPr>
            <w:tcW w:w="4114" w:type="dxa"/>
            <w:hideMark/>
          </w:tcPr>
          <w:p w14:paraId="3CB090D2" w14:textId="77777777" w:rsidR="0050061C" w:rsidRDefault="0050061C">
            <w:pPr>
              <w:pStyle w:val="Tableheaderrow"/>
            </w:pPr>
            <w:r>
              <w:t>Notes</w:t>
            </w:r>
          </w:p>
        </w:tc>
      </w:tr>
      <w:tr w:rsidR="0050061C" w14:paraId="70FA9D21" w14:textId="77777777" w:rsidTr="005B5995">
        <w:trPr>
          <w:cnfStyle w:val="000000100000" w:firstRow="0" w:lastRow="0" w:firstColumn="0" w:lastColumn="0" w:oddVBand="0" w:evenVBand="0" w:oddHBand="1" w:evenHBand="0"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00DDEB6E" w14:textId="77777777" w:rsidR="0050061C" w:rsidRDefault="0050061C">
            <w:pPr>
              <w:pStyle w:val="TableBody"/>
            </w:pPr>
            <w:r>
              <w:t>Earth stations antenna gain</w:t>
            </w:r>
          </w:p>
        </w:tc>
        <w:tc>
          <w:tcPr>
            <w:tcW w:w="1843" w:type="dxa"/>
            <w:tcBorders>
              <w:top w:val="single" w:sz="4" w:space="0" w:color="auto"/>
              <w:left w:val="single" w:sz="4" w:space="0" w:color="auto"/>
              <w:bottom w:val="single" w:sz="4" w:space="0" w:color="auto"/>
              <w:right w:val="single" w:sz="4" w:space="0" w:color="auto"/>
            </w:tcBorders>
            <w:hideMark/>
          </w:tcPr>
          <w:p w14:paraId="5C9D885E" w14:textId="77777777" w:rsidR="0050061C" w:rsidRDefault="0050061C">
            <w:pPr>
              <w:pStyle w:val="TableBody"/>
            </w:pPr>
            <w:r>
              <w:t>0 dBi</w:t>
            </w:r>
          </w:p>
        </w:tc>
        <w:tc>
          <w:tcPr>
            <w:tcW w:w="4114" w:type="dxa"/>
            <w:tcBorders>
              <w:top w:val="single" w:sz="4" w:space="0" w:color="auto"/>
              <w:left w:val="single" w:sz="4" w:space="0" w:color="auto"/>
              <w:bottom w:val="single" w:sz="4" w:space="0" w:color="auto"/>
              <w:right w:val="single" w:sz="4" w:space="0" w:color="auto"/>
            </w:tcBorders>
            <w:hideMark/>
          </w:tcPr>
          <w:p w14:paraId="22855AD7" w14:textId="77777777" w:rsidR="0050061C" w:rsidRDefault="0050061C">
            <w:pPr>
              <w:pStyle w:val="TableBody"/>
            </w:pPr>
            <w:r>
              <w:t>3GPP TR 36.763 Table 6.1-1: IoT NTN reference scenario parameters</w:t>
            </w:r>
          </w:p>
        </w:tc>
      </w:tr>
      <w:tr w:rsidR="0050061C" w14:paraId="7FB0DC46" w14:textId="77777777" w:rsidTr="005B5995">
        <w:trPr>
          <w:cnfStyle w:val="000000010000" w:firstRow="0" w:lastRow="0" w:firstColumn="0" w:lastColumn="0" w:oddVBand="0" w:evenVBand="0" w:oddHBand="0" w:evenHBand="1"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596AEF93" w14:textId="77777777" w:rsidR="0050061C" w:rsidRDefault="0050061C">
            <w:pPr>
              <w:pStyle w:val="TableBody"/>
            </w:pPr>
            <w:r>
              <w:t>Earth stations height</w:t>
            </w:r>
          </w:p>
        </w:tc>
        <w:tc>
          <w:tcPr>
            <w:tcW w:w="1843" w:type="dxa"/>
            <w:tcBorders>
              <w:top w:val="single" w:sz="4" w:space="0" w:color="auto"/>
              <w:left w:val="single" w:sz="4" w:space="0" w:color="auto"/>
              <w:bottom w:val="single" w:sz="4" w:space="0" w:color="auto"/>
              <w:right w:val="single" w:sz="4" w:space="0" w:color="auto"/>
            </w:tcBorders>
            <w:hideMark/>
          </w:tcPr>
          <w:p w14:paraId="7675CC84" w14:textId="77777777" w:rsidR="0050061C" w:rsidRDefault="0050061C">
            <w:pPr>
              <w:pStyle w:val="TableBody"/>
            </w:pPr>
            <w:r>
              <w:t xml:space="preserve">2 m </w:t>
            </w:r>
          </w:p>
        </w:tc>
        <w:tc>
          <w:tcPr>
            <w:tcW w:w="4114" w:type="dxa"/>
            <w:tcBorders>
              <w:top w:val="single" w:sz="4" w:space="0" w:color="auto"/>
              <w:left w:val="single" w:sz="4" w:space="0" w:color="auto"/>
              <w:bottom w:val="single" w:sz="4" w:space="0" w:color="auto"/>
              <w:right w:val="single" w:sz="4" w:space="0" w:color="auto"/>
            </w:tcBorders>
            <w:hideMark/>
          </w:tcPr>
          <w:p w14:paraId="2033D64C" w14:textId="77777777" w:rsidR="0050061C" w:rsidRDefault="0050061C">
            <w:pPr>
              <w:pStyle w:val="TableBody"/>
            </w:pPr>
            <w:r>
              <w:t>Estimate, based on market research</w:t>
            </w:r>
          </w:p>
        </w:tc>
      </w:tr>
      <w:tr w:rsidR="0050061C" w14:paraId="1C0BB6DE" w14:textId="77777777" w:rsidTr="005B5995">
        <w:trPr>
          <w:cnfStyle w:val="000000100000" w:firstRow="0" w:lastRow="0" w:firstColumn="0" w:lastColumn="0" w:oddVBand="0" w:evenVBand="0" w:oddHBand="1" w:evenHBand="0"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3EFF7240" w14:textId="77777777" w:rsidR="0050061C" w:rsidRDefault="0050061C">
            <w:pPr>
              <w:pStyle w:val="TableBody"/>
            </w:pPr>
            <w:r>
              <w:t>Earth station power</w:t>
            </w:r>
          </w:p>
        </w:tc>
        <w:tc>
          <w:tcPr>
            <w:tcW w:w="1843" w:type="dxa"/>
            <w:tcBorders>
              <w:top w:val="single" w:sz="4" w:space="0" w:color="auto"/>
              <w:left w:val="single" w:sz="4" w:space="0" w:color="auto"/>
              <w:bottom w:val="single" w:sz="4" w:space="0" w:color="auto"/>
              <w:right w:val="single" w:sz="4" w:space="0" w:color="auto"/>
            </w:tcBorders>
            <w:hideMark/>
          </w:tcPr>
          <w:p w14:paraId="68CECECC" w14:textId="77777777" w:rsidR="0050061C" w:rsidRDefault="0050061C">
            <w:pPr>
              <w:pStyle w:val="TableBody"/>
            </w:pPr>
            <w:r>
              <w:t>-7 dBW</w:t>
            </w:r>
          </w:p>
        </w:tc>
        <w:tc>
          <w:tcPr>
            <w:tcW w:w="4114" w:type="dxa"/>
            <w:tcBorders>
              <w:top w:val="single" w:sz="4" w:space="0" w:color="auto"/>
              <w:left w:val="single" w:sz="4" w:space="0" w:color="auto"/>
              <w:bottom w:val="single" w:sz="4" w:space="0" w:color="auto"/>
              <w:right w:val="single" w:sz="4" w:space="0" w:color="auto"/>
            </w:tcBorders>
            <w:hideMark/>
          </w:tcPr>
          <w:p w14:paraId="60E0683C" w14:textId="77777777" w:rsidR="0050061C" w:rsidRDefault="0050061C">
            <w:pPr>
              <w:pStyle w:val="TableBody"/>
            </w:pPr>
            <w:r>
              <w:t>3GPP TR 36.763 Table 6.1-1: IoT NTN reference scenario parameters</w:t>
            </w:r>
          </w:p>
        </w:tc>
      </w:tr>
      <w:tr w:rsidR="0050061C" w14:paraId="47B10429" w14:textId="77777777" w:rsidTr="005B5995">
        <w:trPr>
          <w:cnfStyle w:val="000000010000" w:firstRow="0" w:lastRow="0" w:firstColumn="0" w:lastColumn="0" w:oddVBand="0" w:evenVBand="0" w:oddHBand="0" w:evenHBand="1"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087319CD" w14:textId="77777777" w:rsidR="0050061C" w:rsidRDefault="0050061C">
            <w:pPr>
              <w:pStyle w:val="TableBody"/>
            </w:pPr>
            <w:r>
              <w:t>Earth station density</w:t>
            </w:r>
          </w:p>
        </w:tc>
        <w:tc>
          <w:tcPr>
            <w:tcW w:w="1843" w:type="dxa"/>
            <w:tcBorders>
              <w:top w:val="single" w:sz="4" w:space="0" w:color="auto"/>
              <w:left w:val="single" w:sz="4" w:space="0" w:color="auto"/>
              <w:bottom w:val="single" w:sz="4" w:space="0" w:color="auto"/>
              <w:right w:val="single" w:sz="4" w:space="0" w:color="auto"/>
            </w:tcBorders>
            <w:hideMark/>
          </w:tcPr>
          <w:p w14:paraId="42B174F6" w14:textId="77777777" w:rsidR="0050061C" w:rsidRDefault="0050061C">
            <w:pPr>
              <w:pStyle w:val="TableBody"/>
            </w:pPr>
            <w:r>
              <w:t>2.4 per km</w:t>
            </w:r>
            <w:r>
              <w:rPr>
                <w:vertAlign w:val="superscript"/>
              </w:rPr>
              <w:t>2</w:t>
            </w:r>
          </w:p>
        </w:tc>
        <w:tc>
          <w:tcPr>
            <w:tcW w:w="4114" w:type="dxa"/>
            <w:tcBorders>
              <w:top w:val="single" w:sz="4" w:space="0" w:color="auto"/>
              <w:left w:val="single" w:sz="4" w:space="0" w:color="auto"/>
              <w:bottom w:val="single" w:sz="4" w:space="0" w:color="auto"/>
              <w:right w:val="single" w:sz="4" w:space="0" w:color="auto"/>
            </w:tcBorders>
            <w:hideMark/>
          </w:tcPr>
          <w:p w14:paraId="2CE0D0A5" w14:textId="77777777" w:rsidR="0050061C" w:rsidRDefault="0050061C">
            <w:pPr>
              <w:pStyle w:val="TableBody"/>
            </w:pPr>
            <w:r>
              <w:t>4C input documents 4C/327</w:t>
            </w:r>
          </w:p>
        </w:tc>
      </w:tr>
      <w:tr w:rsidR="0050061C" w14:paraId="1D37D723" w14:textId="77777777" w:rsidTr="005B5995">
        <w:trPr>
          <w:cnfStyle w:val="000000100000" w:firstRow="0" w:lastRow="0" w:firstColumn="0" w:lastColumn="0" w:oddVBand="0" w:evenVBand="0" w:oddHBand="1" w:evenHBand="0"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6CF977E7" w14:textId="77777777" w:rsidR="0050061C" w:rsidRDefault="0050061C">
            <w:pPr>
              <w:pStyle w:val="TableBody"/>
              <w:rPr>
                <w:rFonts w:cs="Arial"/>
              </w:rPr>
            </w:pPr>
            <w:r>
              <w:t>Minimum separation</w:t>
            </w:r>
          </w:p>
        </w:tc>
        <w:tc>
          <w:tcPr>
            <w:tcW w:w="1843" w:type="dxa"/>
            <w:tcBorders>
              <w:top w:val="single" w:sz="4" w:space="0" w:color="auto"/>
              <w:left w:val="single" w:sz="4" w:space="0" w:color="auto"/>
              <w:bottom w:val="single" w:sz="4" w:space="0" w:color="auto"/>
              <w:right w:val="single" w:sz="4" w:space="0" w:color="auto"/>
            </w:tcBorders>
            <w:hideMark/>
          </w:tcPr>
          <w:p w14:paraId="3979BF0C" w14:textId="77777777" w:rsidR="0050061C" w:rsidRDefault="0050061C">
            <w:pPr>
              <w:pStyle w:val="TableBody"/>
              <w:rPr>
                <w:rFonts w:cs="Arial"/>
              </w:rPr>
            </w:pPr>
            <w:r>
              <w:t>10 km</w:t>
            </w:r>
          </w:p>
        </w:tc>
        <w:tc>
          <w:tcPr>
            <w:tcW w:w="4114" w:type="dxa"/>
            <w:tcBorders>
              <w:top w:val="single" w:sz="4" w:space="0" w:color="auto"/>
              <w:left w:val="single" w:sz="4" w:space="0" w:color="auto"/>
              <w:bottom w:val="single" w:sz="4" w:space="0" w:color="auto"/>
              <w:right w:val="single" w:sz="4" w:space="0" w:color="auto"/>
            </w:tcBorders>
            <w:hideMark/>
          </w:tcPr>
          <w:p w14:paraId="0EA2F904" w14:textId="77777777" w:rsidR="0050061C" w:rsidRDefault="0050061C">
            <w:pPr>
              <w:pStyle w:val="TableBody"/>
              <w:rPr>
                <w:rFonts w:cs="Arial"/>
              </w:rPr>
            </w:pPr>
            <w:r>
              <w:t>Noting single entry values, a minimum earth station to TOB receiver of 10 km used</w:t>
            </w:r>
          </w:p>
        </w:tc>
      </w:tr>
      <w:tr w:rsidR="0050061C" w14:paraId="426E906E" w14:textId="77777777" w:rsidTr="005B5995">
        <w:trPr>
          <w:cnfStyle w:val="000000010000" w:firstRow="0" w:lastRow="0" w:firstColumn="0" w:lastColumn="0" w:oddVBand="0" w:evenVBand="0" w:oddHBand="0" w:evenHBand="1"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0245148A" w14:textId="77777777" w:rsidR="0050061C" w:rsidRDefault="0050061C">
            <w:pPr>
              <w:pStyle w:val="TableBody"/>
              <w:rPr>
                <w:rFonts w:cs="Arial"/>
              </w:rPr>
            </w:pPr>
            <w:r>
              <w:t>Bandwidth</w:t>
            </w:r>
          </w:p>
        </w:tc>
        <w:tc>
          <w:tcPr>
            <w:tcW w:w="1843" w:type="dxa"/>
            <w:tcBorders>
              <w:top w:val="single" w:sz="4" w:space="0" w:color="auto"/>
              <w:left w:val="single" w:sz="4" w:space="0" w:color="auto"/>
              <w:bottom w:val="single" w:sz="4" w:space="0" w:color="auto"/>
              <w:right w:val="single" w:sz="4" w:space="0" w:color="auto"/>
            </w:tcBorders>
            <w:hideMark/>
          </w:tcPr>
          <w:p w14:paraId="2F3195CD" w14:textId="77777777" w:rsidR="0050061C" w:rsidRDefault="0050061C">
            <w:pPr>
              <w:pStyle w:val="TableBody"/>
              <w:rPr>
                <w:rFonts w:cs="Arial"/>
              </w:rPr>
            </w:pPr>
            <w:r>
              <w:t>180 kHz</w:t>
            </w:r>
          </w:p>
        </w:tc>
        <w:tc>
          <w:tcPr>
            <w:tcW w:w="4114" w:type="dxa"/>
            <w:tcBorders>
              <w:top w:val="single" w:sz="4" w:space="0" w:color="auto"/>
              <w:left w:val="single" w:sz="4" w:space="0" w:color="auto"/>
              <w:bottom w:val="single" w:sz="4" w:space="0" w:color="auto"/>
              <w:right w:val="single" w:sz="4" w:space="0" w:color="auto"/>
            </w:tcBorders>
            <w:hideMark/>
          </w:tcPr>
          <w:p w14:paraId="1C4C9EA3" w14:textId="77777777" w:rsidR="0050061C" w:rsidRDefault="0050061C">
            <w:pPr>
              <w:pStyle w:val="TableBody"/>
              <w:rPr>
                <w:rFonts w:cs="Arial"/>
              </w:rPr>
            </w:pPr>
            <w:r>
              <w:t>3GPP TR 36.763 Table 6.1-1: IoT NTN reference scenario parameters</w:t>
            </w:r>
          </w:p>
        </w:tc>
      </w:tr>
      <w:tr w:rsidR="0050061C" w14:paraId="790EDA2B" w14:textId="77777777" w:rsidTr="005B5995">
        <w:trPr>
          <w:cnfStyle w:val="000000100000" w:firstRow="0" w:lastRow="0" w:firstColumn="0" w:lastColumn="0" w:oddVBand="0" w:evenVBand="0" w:oddHBand="1" w:evenHBand="0"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26A7B52A" w14:textId="77777777" w:rsidR="0050061C" w:rsidRDefault="0050061C">
            <w:pPr>
              <w:pStyle w:val="TableBody"/>
              <w:rPr>
                <w:rFonts w:cs="Arial"/>
              </w:rPr>
            </w:pPr>
            <w:r>
              <w:t>Duty cycle</w:t>
            </w:r>
          </w:p>
        </w:tc>
        <w:tc>
          <w:tcPr>
            <w:tcW w:w="1843" w:type="dxa"/>
            <w:tcBorders>
              <w:top w:val="single" w:sz="4" w:space="0" w:color="auto"/>
              <w:left w:val="single" w:sz="4" w:space="0" w:color="auto"/>
              <w:bottom w:val="single" w:sz="4" w:space="0" w:color="auto"/>
              <w:right w:val="single" w:sz="4" w:space="0" w:color="auto"/>
            </w:tcBorders>
            <w:hideMark/>
          </w:tcPr>
          <w:p w14:paraId="0ADDC0A3" w14:textId="77777777" w:rsidR="0050061C" w:rsidRDefault="0050061C">
            <w:pPr>
              <w:pStyle w:val="TableBody"/>
              <w:rPr>
                <w:rFonts w:cs="Arial"/>
              </w:rPr>
            </w:pPr>
            <w:r>
              <w:t>10 %</w:t>
            </w:r>
          </w:p>
        </w:tc>
        <w:tc>
          <w:tcPr>
            <w:tcW w:w="4114" w:type="dxa"/>
            <w:tcBorders>
              <w:top w:val="single" w:sz="4" w:space="0" w:color="auto"/>
              <w:left w:val="single" w:sz="4" w:space="0" w:color="auto"/>
              <w:bottom w:val="single" w:sz="4" w:space="0" w:color="auto"/>
              <w:right w:val="single" w:sz="4" w:space="0" w:color="auto"/>
            </w:tcBorders>
            <w:hideMark/>
          </w:tcPr>
          <w:p w14:paraId="7833DF6A" w14:textId="77777777" w:rsidR="0050061C" w:rsidRDefault="0050061C">
            <w:pPr>
              <w:pStyle w:val="TableBody"/>
              <w:rPr>
                <w:rFonts w:cs="Arial"/>
              </w:rPr>
            </w:pPr>
            <w:r>
              <w:t>Arbitrary figure, logarithmically between 1% (CSO) and 100%</w:t>
            </w:r>
          </w:p>
        </w:tc>
      </w:tr>
      <w:tr w:rsidR="0050061C" w14:paraId="0A7B3D8E" w14:textId="77777777" w:rsidTr="005B5995">
        <w:trPr>
          <w:cnfStyle w:val="000000010000" w:firstRow="0" w:lastRow="0" w:firstColumn="0" w:lastColumn="0" w:oddVBand="0" w:evenVBand="0" w:oddHBand="0" w:evenHBand="1"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49D49CC8" w14:textId="77777777" w:rsidR="0050061C" w:rsidRDefault="0050061C">
            <w:pPr>
              <w:pStyle w:val="TableBody"/>
              <w:rPr>
                <w:rFonts w:cs="Arial"/>
              </w:rPr>
            </w:pPr>
            <w:r>
              <w:t xml:space="preserve">TOB receiver gain </w:t>
            </w:r>
          </w:p>
        </w:tc>
        <w:tc>
          <w:tcPr>
            <w:tcW w:w="1843" w:type="dxa"/>
            <w:tcBorders>
              <w:top w:val="single" w:sz="4" w:space="0" w:color="auto"/>
              <w:left w:val="single" w:sz="4" w:space="0" w:color="auto"/>
              <w:bottom w:val="single" w:sz="4" w:space="0" w:color="auto"/>
              <w:right w:val="single" w:sz="4" w:space="0" w:color="auto"/>
            </w:tcBorders>
            <w:hideMark/>
          </w:tcPr>
          <w:p w14:paraId="7C8F738D" w14:textId="77777777" w:rsidR="0050061C" w:rsidRDefault="0050061C">
            <w:pPr>
              <w:pStyle w:val="TableBody"/>
              <w:rPr>
                <w:rFonts w:cs="Arial"/>
              </w:rPr>
            </w:pPr>
            <w:r>
              <w:t>27 dBi</w:t>
            </w:r>
          </w:p>
        </w:tc>
        <w:tc>
          <w:tcPr>
            <w:tcW w:w="4114" w:type="dxa"/>
            <w:tcBorders>
              <w:top w:val="single" w:sz="4" w:space="0" w:color="auto"/>
              <w:left w:val="single" w:sz="4" w:space="0" w:color="auto"/>
              <w:bottom w:val="single" w:sz="4" w:space="0" w:color="auto"/>
              <w:right w:val="single" w:sz="4" w:space="0" w:color="auto"/>
            </w:tcBorders>
            <w:hideMark/>
          </w:tcPr>
          <w:p w14:paraId="2650F2B1" w14:textId="77777777" w:rsidR="0050061C" w:rsidRDefault="0050061C">
            <w:pPr>
              <w:pStyle w:val="TableBody"/>
              <w:rPr>
                <w:rFonts w:cs="Arial"/>
              </w:rPr>
            </w:pPr>
            <w:r>
              <w:t>RALI FX21, modelled as omni-directional antenna</w:t>
            </w:r>
          </w:p>
        </w:tc>
      </w:tr>
      <w:tr w:rsidR="0050061C" w14:paraId="26C2FC19" w14:textId="77777777" w:rsidTr="005B5995">
        <w:trPr>
          <w:cnfStyle w:val="000000100000" w:firstRow="0" w:lastRow="0" w:firstColumn="0" w:lastColumn="0" w:oddVBand="0" w:evenVBand="0" w:oddHBand="1" w:evenHBand="0"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34F52E7A" w14:textId="77777777" w:rsidR="0050061C" w:rsidRDefault="0050061C">
            <w:pPr>
              <w:pStyle w:val="TableBody"/>
              <w:rPr>
                <w:rFonts w:cs="Arial"/>
              </w:rPr>
            </w:pPr>
            <w:r>
              <w:t>Site</w:t>
            </w:r>
          </w:p>
        </w:tc>
        <w:tc>
          <w:tcPr>
            <w:tcW w:w="1843" w:type="dxa"/>
            <w:tcBorders>
              <w:top w:val="single" w:sz="4" w:space="0" w:color="auto"/>
              <w:left w:val="single" w:sz="4" w:space="0" w:color="auto"/>
              <w:bottom w:val="single" w:sz="4" w:space="0" w:color="auto"/>
              <w:right w:val="single" w:sz="4" w:space="0" w:color="auto"/>
            </w:tcBorders>
            <w:hideMark/>
          </w:tcPr>
          <w:p w14:paraId="3D04D982" w14:textId="77777777" w:rsidR="0050061C" w:rsidRDefault="0050061C">
            <w:pPr>
              <w:pStyle w:val="Paragraph"/>
            </w:pPr>
            <w:r>
              <w:t>-34.978867</w:t>
            </w:r>
            <w:r>
              <w:br/>
              <w:t>138.708543</w:t>
            </w:r>
          </w:p>
        </w:tc>
        <w:tc>
          <w:tcPr>
            <w:tcW w:w="4114" w:type="dxa"/>
            <w:tcBorders>
              <w:top w:val="single" w:sz="4" w:space="0" w:color="auto"/>
              <w:left w:val="single" w:sz="4" w:space="0" w:color="auto"/>
              <w:bottom w:val="single" w:sz="4" w:space="0" w:color="auto"/>
              <w:right w:val="single" w:sz="4" w:space="0" w:color="auto"/>
            </w:tcBorders>
            <w:hideMark/>
          </w:tcPr>
          <w:p w14:paraId="7E192C3C" w14:textId="77777777" w:rsidR="0050061C" w:rsidRDefault="0050061C">
            <w:pPr>
              <w:pStyle w:val="TableBody"/>
              <w:rPr>
                <w:rFonts w:cs="Arial"/>
              </w:rPr>
            </w:pPr>
            <w:r>
              <w:t>Device ID 1667621644: Broadcast Australia Site Summit Road CRAFERS</w:t>
            </w:r>
          </w:p>
        </w:tc>
      </w:tr>
      <w:tr w:rsidR="0050061C" w14:paraId="34FC473C" w14:textId="77777777" w:rsidTr="005B5995">
        <w:trPr>
          <w:cnfStyle w:val="000000010000" w:firstRow="0" w:lastRow="0" w:firstColumn="0" w:lastColumn="0" w:oddVBand="0" w:evenVBand="0" w:oddHBand="0" w:evenHBand="1"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214E2021" w14:textId="77777777" w:rsidR="0050061C" w:rsidRDefault="0050061C">
            <w:pPr>
              <w:pStyle w:val="TableBody"/>
            </w:pPr>
            <w:r>
              <w:t>TOB receiver height</w:t>
            </w:r>
          </w:p>
        </w:tc>
        <w:tc>
          <w:tcPr>
            <w:tcW w:w="1843" w:type="dxa"/>
            <w:tcBorders>
              <w:top w:val="single" w:sz="4" w:space="0" w:color="auto"/>
              <w:left w:val="single" w:sz="4" w:space="0" w:color="auto"/>
              <w:bottom w:val="single" w:sz="4" w:space="0" w:color="auto"/>
              <w:right w:val="single" w:sz="4" w:space="0" w:color="auto"/>
            </w:tcBorders>
            <w:hideMark/>
          </w:tcPr>
          <w:p w14:paraId="4D334BAF" w14:textId="77777777" w:rsidR="0050061C" w:rsidRDefault="0050061C">
            <w:pPr>
              <w:pStyle w:val="TableBody"/>
            </w:pPr>
            <w:r>
              <w:t>125 m</w:t>
            </w:r>
          </w:p>
        </w:tc>
        <w:tc>
          <w:tcPr>
            <w:tcW w:w="4114" w:type="dxa"/>
            <w:tcBorders>
              <w:top w:val="single" w:sz="4" w:space="0" w:color="auto"/>
              <w:left w:val="single" w:sz="4" w:space="0" w:color="auto"/>
              <w:bottom w:val="single" w:sz="4" w:space="0" w:color="auto"/>
              <w:right w:val="single" w:sz="4" w:space="0" w:color="auto"/>
            </w:tcBorders>
            <w:hideMark/>
          </w:tcPr>
          <w:p w14:paraId="43EB4D2B" w14:textId="77777777" w:rsidR="0050061C" w:rsidRDefault="0050061C">
            <w:pPr>
              <w:pStyle w:val="TableBody"/>
              <w:rPr>
                <w:rFonts w:cs="Arial"/>
              </w:rPr>
            </w:pPr>
            <w:r>
              <w:t>Licence information</w:t>
            </w:r>
          </w:p>
        </w:tc>
      </w:tr>
      <w:tr w:rsidR="0050061C" w14:paraId="30D2CDB0" w14:textId="77777777" w:rsidTr="005B5995">
        <w:trPr>
          <w:cnfStyle w:val="000000100000" w:firstRow="0" w:lastRow="0" w:firstColumn="0" w:lastColumn="0" w:oddVBand="0" w:evenVBand="0" w:oddHBand="1" w:evenHBand="0"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4D458FC1" w14:textId="77777777" w:rsidR="0050061C" w:rsidRDefault="0050061C">
            <w:pPr>
              <w:pStyle w:val="TableBody"/>
              <w:rPr>
                <w:rFonts w:cs="Arial"/>
              </w:rPr>
            </w:pPr>
            <w:r>
              <w:t>Interference threshold</w:t>
            </w:r>
          </w:p>
        </w:tc>
        <w:tc>
          <w:tcPr>
            <w:tcW w:w="1843" w:type="dxa"/>
            <w:tcBorders>
              <w:top w:val="single" w:sz="4" w:space="0" w:color="auto"/>
              <w:left w:val="single" w:sz="4" w:space="0" w:color="auto"/>
              <w:bottom w:val="single" w:sz="4" w:space="0" w:color="auto"/>
              <w:right w:val="single" w:sz="4" w:space="0" w:color="auto"/>
            </w:tcBorders>
            <w:hideMark/>
          </w:tcPr>
          <w:p w14:paraId="00A8B97B" w14:textId="77777777" w:rsidR="0050061C" w:rsidRDefault="0050061C">
            <w:pPr>
              <w:pStyle w:val="TableBody"/>
              <w:rPr>
                <w:rFonts w:cs="Arial"/>
              </w:rPr>
            </w:pPr>
            <w:r>
              <w:t>-82.3 dBW (in 8 MHz)</w:t>
            </w:r>
          </w:p>
        </w:tc>
        <w:tc>
          <w:tcPr>
            <w:tcW w:w="4114" w:type="dxa"/>
            <w:tcBorders>
              <w:top w:val="single" w:sz="4" w:space="0" w:color="auto"/>
              <w:left w:val="single" w:sz="4" w:space="0" w:color="auto"/>
              <w:bottom w:val="single" w:sz="4" w:space="0" w:color="auto"/>
              <w:right w:val="single" w:sz="4" w:space="0" w:color="auto"/>
            </w:tcBorders>
            <w:hideMark/>
          </w:tcPr>
          <w:p w14:paraId="63E05968" w14:textId="77777777" w:rsidR="0050061C" w:rsidRDefault="0050061C">
            <w:pPr>
              <w:pStyle w:val="TableBody"/>
              <w:rPr>
                <w:rFonts w:cs="Arial"/>
              </w:rPr>
            </w:pPr>
            <w:r>
              <w:t>RALI FX 21</w:t>
            </w:r>
          </w:p>
        </w:tc>
      </w:tr>
      <w:tr w:rsidR="0050061C" w14:paraId="2F84882E" w14:textId="77777777" w:rsidTr="005B5995">
        <w:trPr>
          <w:cnfStyle w:val="000000010000" w:firstRow="0" w:lastRow="0" w:firstColumn="0" w:lastColumn="0" w:oddVBand="0" w:evenVBand="0" w:oddHBand="0" w:evenHBand="1" w:firstRowFirstColumn="0" w:firstRowLastColumn="0" w:lastRowFirstColumn="0" w:lastRowLastColumn="0"/>
        </w:trPr>
        <w:tc>
          <w:tcPr>
            <w:tcW w:w="2263" w:type="dxa"/>
            <w:tcBorders>
              <w:top w:val="single" w:sz="4" w:space="0" w:color="auto"/>
              <w:left w:val="single" w:sz="4" w:space="0" w:color="auto"/>
              <w:bottom w:val="single" w:sz="4" w:space="0" w:color="auto"/>
              <w:right w:val="single" w:sz="4" w:space="0" w:color="auto"/>
            </w:tcBorders>
            <w:hideMark/>
          </w:tcPr>
          <w:p w14:paraId="2229B540" w14:textId="77777777" w:rsidR="0050061C" w:rsidRDefault="0050061C">
            <w:pPr>
              <w:pStyle w:val="TableBody"/>
            </w:pPr>
            <w:r>
              <w:t>Propagation model</w:t>
            </w:r>
          </w:p>
        </w:tc>
        <w:tc>
          <w:tcPr>
            <w:tcW w:w="1843" w:type="dxa"/>
            <w:tcBorders>
              <w:top w:val="single" w:sz="4" w:space="0" w:color="auto"/>
              <w:left w:val="single" w:sz="4" w:space="0" w:color="auto"/>
              <w:bottom w:val="single" w:sz="4" w:space="0" w:color="auto"/>
              <w:right w:val="single" w:sz="4" w:space="0" w:color="auto"/>
            </w:tcBorders>
            <w:hideMark/>
          </w:tcPr>
          <w:p w14:paraId="351B29B3" w14:textId="77777777" w:rsidR="0050061C" w:rsidRDefault="0050061C">
            <w:pPr>
              <w:pStyle w:val="TableBody"/>
              <w:rPr>
                <w:rFonts w:cs="Arial"/>
              </w:rPr>
            </w:pPr>
            <w:r>
              <w:t>ITU-R P.526</w:t>
            </w:r>
          </w:p>
        </w:tc>
        <w:tc>
          <w:tcPr>
            <w:tcW w:w="4114" w:type="dxa"/>
            <w:tcBorders>
              <w:top w:val="single" w:sz="4" w:space="0" w:color="auto"/>
              <w:left w:val="single" w:sz="4" w:space="0" w:color="auto"/>
              <w:bottom w:val="single" w:sz="4" w:space="0" w:color="auto"/>
              <w:right w:val="single" w:sz="4" w:space="0" w:color="auto"/>
            </w:tcBorders>
            <w:hideMark/>
          </w:tcPr>
          <w:p w14:paraId="6E1B7C82" w14:textId="77777777" w:rsidR="0050061C" w:rsidRDefault="0050061C">
            <w:pPr>
              <w:pStyle w:val="TableBody"/>
              <w:rPr>
                <w:rFonts w:cs="Arial"/>
              </w:rPr>
            </w:pPr>
            <w:r>
              <w:t xml:space="preserve">Propagation by diffraction </w:t>
            </w:r>
          </w:p>
        </w:tc>
      </w:tr>
    </w:tbl>
    <w:p w14:paraId="4EE97C6E" w14:textId="5ECB830D" w:rsidR="00061FE1" w:rsidRDefault="0050061C" w:rsidP="005B5995">
      <w:pPr>
        <w:pStyle w:val="Paragraph"/>
        <w:spacing w:before="240"/>
      </w:pPr>
      <w:r>
        <w:t>This scenario was simulated using a large number of earth stations located near a high gain TOB receiver serving Adelaide. The earth station density would lead to 108,573 stations within 120 km transmitting with a 10% duty cycle, however for this simulation, 10,857 stations were modelled at 100% duty cycle (due to software limitations). For each iteration of the simulation, each earth station was randomly located within 120 km of the high gain receiver. The interference contribution from each earth station was calculated, using the propagation model detailed in ITU-R Recommendation P.526. The interference contributions were summed, and a distribution of calculated interference as function of the number of iterations was produced. One thousand iterations were performed.</w:t>
      </w:r>
    </w:p>
    <w:p w14:paraId="247D5CAB" w14:textId="602C606D" w:rsidR="0050061C" w:rsidRDefault="00061FE1" w:rsidP="005B5995">
      <w:pPr>
        <w:pStyle w:val="Figureheading"/>
        <w:keepLines/>
      </w:pPr>
      <w:r>
        <w:lastRenderedPageBreak/>
        <w:t>Setup of 10 857 stations around TOB receiver near Adelaide</w:t>
      </w:r>
    </w:p>
    <w:p w14:paraId="7858DB78" w14:textId="0F4A2956" w:rsidR="0050061C" w:rsidRDefault="0050061C" w:rsidP="005B5995">
      <w:pPr>
        <w:pStyle w:val="Paragraph"/>
        <w:jc w:val="center"/>
      </w:pPr>
      <w:r>
        <w:rPr>
          <w:noProof/>
        </w:rPr>
        <w:drawing>
          <wp:inline distT="0" distB="0" distL="0" distR="0" wp14:anchorId="5E2569AE" wp14:editId="0C816306">
            <wp:extent cx="4886325" cy="2854491"/>
            <wp:effectExtent l="0" t="0" r="0" b="3175"/>
            <wp:docPr id="12" name="Picture 12"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If you need help accessing or reading this diagram, please contact the ACMA's Customer Service Centre by phone on 1300 850 115 or by email at info@acma.gov.au"/>
                    <pic:cNvPicPr>
                      <a:picLocks noChangeAspect="1" noChangeArrowheads="1"/>
                    </pic:cNvPicPr>
                  </pic:nvPicPr>
                  <pic:blipFill rotWithShape="1">
                    <a:blip r:embed="rId55">
                      <a:extLst>
                        <a:ext uri="{28A0092B-C50C-407E-A947-70E740481C1C}">
                          <a14:useLocalDpi xmlns:a14="http://schemas.microsoft.com/office/drawing/2010/main" val="0"/>
                        </a:ext>
                      </a:extLst>
                    </a:blip>
                    <a:srcRect/>
                    <a:stretch/>
                  </pic:blipFill>
                  <pic:spPr bwMode="auto">
                    <a:xfrm>
                      <a:off x="0" y="0"/>
                      <a:ext cx="4899130" cy="2861971"/>
                    </a:xfrm>
                    <a:prstGeom prst="rect">
                      <a:avLst/>
                    </a:prstGeom>
                    <a:noFill/>
                    <a:ln>
                      <a:noFill/>
                    </a:ln>
                    <a:extLst>
                      <a:ext uri="{53640926-AAD7-44D8-BBD7-CCE9431645EC}">
                        <a14:shadowObscured xmlns:a14="http://schemas.microsoft.com/office/drawing/2010/main"/>
                      </a:ext>
                    </a:extLst>
                  </pic:spPr>
                </pic:pic>
              </a:graphicData>
            </a:graphic>
          </wp:inline>
        </w:drawing>
      </w:r>
    </w:p>
    <w:p w14:paraId="076FD07C" w14:textId="033617DB" w:rsidR="0050061C" w:rsidRDefault="00061FE1" w:rsidP="00C540A6">
      <w:pPr>
        <w:pStyle w:val="Figureheading"/>
        <w:keepLines/>
        <w:rPr>
          <w:noProof/>
        </w:rPr>
      </w:pPr>
      <w:r>
        <w:t>Results of 10 857 station scenario, showing the interference threshold is exceeded (by approximately 6 dB)</w:t>
      </w:r>
    </w:p>
    <w:p w14:paraId="679DCCC2" w14:textId="35295327" w:rsidR="0050061C" w:rsidRDefault="0050061C" w:rsidP="0050061C">
      <w:pPr>
        <w:pStyle w:val="Caption"/>
        <w:numPr>
          <w:ilvl w:val="0"/>
          <w:numId w:val="0"/>
        </w:numPr>
        <w:tabs>
          <w:tab w:val="left" w:pos="720"/>
        </w:tabs>
        <w:jc w:val="center"/>
      </w:pPr>
      <w:r>
        <w:rPr>
          <w:noProof/>
        </w:rPr>
        <w:drawing>
          <wp:inline distT="0" distB="0" distL="0" distR="0" wp14:anchorId="5C542B26" wp14:editId="2A90F6A6">
            <wp:extent cx="4639945" cy="2251710"/>
            <wp:effectExtent l="0" t="0" r="8255" b="0"/>
            <wp:docPr id="11" name="Picture 11"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If you need help accessing or reading this diagram, please contact the ACMA's Customer Service Centre by phone on 1300 850 115 or by email at info@acma.gov.au"/>
                    <pic:cNvPicPr>
                      <a:picLocks noChangeAspect="1" noChangeArrowheads="1"/>
                    </pic:cNvPicPr>
                  </pic:nvPicPr>
                  <pic:blipFill>
                    <a:blip r:embed="rId56">
                      <a:extLst>
                        <a:ext uri="{28A0092B-C50C-407E-A947-70E740481C1C}">
                          <a14:useLocalDpi xmlns:a14="http://schemas.microsoft.com/office/drawing/2010/main" val="0"/>
                        </a:ext>
                      </a:extLst>
                    </a:blip>
                    <a:srcRect r="19792" b="16927"/>
                    <a:stretch>
                      <a:fillRect/>
                    </a:stretch>
                  </pic:blipFill>
                  <pic:spPr bwMode="auto">
                    <a:xfrm>
                      <a:off x="0" y="0"/>
                      <a:ext cx="4639945" cy="2251710"/>
                    </a:xfrm>
                    <a:prstGeom prst="rect">
                      <a:avLst/>
                    </a:prstGeom>
                    <a:noFill/>
                    <a:ln>
                      <a:noFill/>
                    </a:ln>
                  </pic:spPr>
                </pic:pic>
              </a:graphicData>
            </a:graphic>
          </wp:inline>
        </w:drawing>
      </w:r>
    </w:p>
    <w:p w14:paraId="2BC512A8" w14:textId="58E3789C" w:rsidR="0050061C" w:rsidRDefault="0050061C" w:rsidP="00C540A6">
      <w:pPr>
        <w:pStyle w:val="Paragraph"/>
        <w:spacing w:before="240"/>
      </w:pPr>
      <w:r>
        <w:t>The results of this simulation reaffirmed the challenge for prominent sites (</w:t>
      </w:r>
      <w:r w:rsidR="00061FE1">
        <w:t>that is,</w:t>
      </w:r>
      <w:r>
        <w:t xml:space="preserve"> a site placed to have visibility over a large area). For example, the free space loss component of the propagation loss with increased distance is offset by an increase in stations with increased distance (both are a function of distance squared). The dominant distance limiting factor is diffraction loss. </w:t>
      </w:r>
    </w:p>
    <w:p w14:paraId="42698B40" w14:textId="77777777" w:rsidR="0050061C" w:rsidRDefault="0050061C" w:rsidP="0050061C">
      <w:pPr>
        <w:pStyle w:val="Paragraph"/>
      </w:pPr>
      <w:r>
        <w:t xml:space="preserve">For high sited antenna sites, large distances (potentially of up to 120 km) may be required for significant diffraction losses. </w:t>
      </w:r>
    </w:p>
    <w:p w14:paraId="660FF662" w14:textId="2996D8CE" w:rsidR="0050061C" w:rsidRDefault="0050061C" w:rsidP="0050061C">
      <w:pPr>
        <w:pStyle w:val="Paragraph"/>
      </w:pPr>
      <w:r>
        <w:t>Results show that at distances of many tens of kilometres, a deployment model of 2.</w:t>
      </w:r>
      <w:r w:rsidR="00061FE1">
        <w:t>4 </w:t>
      </w:r>
      <w:r>
        <w:t>stations per square kilometre results in a large number of stations and the interference threshold is exceeded.</w:t>
      </w:r>
    </w:p>
    <w:p w14:paraId="0D6BE92B" w14:textId="77777777" w:rsidR="0050061C" w:rsidRDefault="0050061C" w:rsidP="00C540A6">
      <w:pPr>
        <w:pStyle w:val="Heading3"/>
        <w:keepLines/>
      </w:pPr>
      <w:r>
        <w:lastRenderedPageBreak/>
        <w:t>High gain receiver, multiple interferer scenarios (with a limit to concurrently transmitting stations)</w:t>
      </w:r>
    </w:p>
    <w:p w14:paraId="7FDCC8BF" w14:textId="1B083267" w:rsidR="0050061C" w:rsidRDefault="0050061C" w:rsidP="00C540A6">
      <w:pPr>
        <w:pStyle w:val="Paragraph"/>
        <w:keepNext/>
        <w:keepLines/>
      </w:pPr>
      <w:r>
        <w:t xml:space="preserve">The simulation was further refined to model a scenario with a limit of 1,334 concurrently transmitting stations. This number represents the total bandwidth of </w:t>
      </w:r>
      <w:r w:rsidR="00061FE1">
        <w:t>5 </w:t>
      </w:r>
      <w:r>
        <w:t>MHz divided by the minimum 3GPP bandwidth of 3.75 kHz. A maximum distance of 120 km was used and a minimum distance of 10 km from the receive site. While the results of this simulation did not exceed the interference threshold level, when the power was increased by 3 dB (which is one way to simulate 2,668 stations)</w:t>
      </w:r>
      <w:r w:rsidR="00061FE1">
        <w:t>,</w:t>
      </w:r>
      <w:r>
        <w:t xml:space="preserve"> the results did exceed the interference threshold level for significant proportions (approximately 30%) of simulation steps.</w:t>
      </w:r>
    </w:p>
    <w:p w14:paraId="540E3515" w14:textId="77777777" w:rsidR="0050061C" w:rsidRDefault="0050061C" w:rsidP="0050061C">
      <w:pPr>
        <w:pStyle w:val="Paragraph"/>
      </w:pPr>
      <w:r>
        <w:t xml:space="preserve">It is not practicable to craft regulatory arrangements to directly prevent more than 1,334 concurrent transmissions (considering there may be multiple operators and satellite systems). </w:t>
      </w:r>
    </w:p>
    <w:p w14:paraId="40173D79" w14:textId="24824B8C" w:rsidR="0050061C" w:rsidRDefault="0050061C" w:rsidP="0050061C">
      <w:pPr>
        <w:pStyle w:val="Paragraph"/>
      </w:pPr>
      <w:r>
        <w:t>Using a maximum station density of 2.4 stations per km</w:t>
      </w:r>
      <w:r>
        <w:rPr>
          <w:vertAlign w:val="superscript"/>
        </w:rPr>
        <w:t>2</w:t>
      </w:r>
      <w:r>
        <w:t xml:space="preserve">, when coupled with a 1% duty cycle (as is included in the proposed class licence updates in metropolitan areas), results in approximately 1,080 concurrent transmissions within a circle of radius </w:t>
      </w:r>
      <w:r w:rsidR="00061FE1">
        <w:t>120 </w:t>
      </w:r>
      <w:r>
        <w:t xml:space="preserve">km. It is proposed to limit operation to duty cycles of 1% near high gain receivers. Fixed stations may be considered (on a case-by-case basis) within those distances. </w:t>
      </w:r>
    </w:p>
    <w:p w14:paraId="569E1270" w14:textId="77777777" w:rsidR="0050061C" w:rsidRDefault="0050061C" w:rsidP="0050061C">
      <w:pPr>
        <w:pStyle w:val="Heading3"/>
      </w:pPr>
      <w:r>
        <w:t>High gain receiver, multiple interferer scenarios (with an EIRP spectral density limit)</w:t>
      </w:r>
    </w:p>
    <w:p w14:paraId="09363778" w14:textId="77777777" w:rsidR="0050061C" w:rsidRDefault="0050061C" w:rsidP="0050061C">
      <w:pPr>
        <w:pStyle w:val="Paragraph"/>
      </w:pPr>
      <w:r>
        <w:t>A scenario was modelled with devices near a high gain receiver that were limited to 0.5 dBW/MHz (for example -7 dBW in 180 kHz). In this scenario, 28 devices (representing the number of 180 kHz emissions expected within 5 MHz) were randomly placed between 10 and 15 km from the receiver. The results exceeded the interference threshold level.</w:t>
      </w:r>
    </w:p>
    <w:p w14:paraId="7FFAB5D4" w14:textId="35990131" w:rsidR="0050061C" w:rsidRDefault="0050061C" w:rsidP="0050061C">
      <w:pPr>
        <w:pStyle w:val="Paragraph"/>
      </w:pPr>
      <w:r>
        <w:t>When the simulation was changed to place the stations between 10</w:t>
      </w:r>
      <w:r w:rsidR="00061FE1">
        <w:t xml:space="preserve"> to </w:t>
      </w:r>
      <w:r>
        <w:t xml:space="preserve">20 km from the receiver, the interference threshold was satisfied. This shows a sensitivity to the proximity of the receiver that needs to be managed. </w:t>
      </w:r>
    </w:p>
    <w:p w14:paraId="501E91E8" w14:textId="49CF8BA4" w:rsidR="0050061C" w:rsidRDefault="0050061C" w:rsidP="0050061C">
      <w:pPr>
        <w:pStyle w:val="Paragraph"/>
      </w:pPr>
      <w:r>
        <w:t>A uniform deployment density of 2.4 stations per km</w:t>
      </w:r>
      <w:r>
        <w:rPr>
          <w:vertAlign w:val="superscript"/>
        </w:rPr>
        <w:t>2</w:t>
      </w:r>
      <w:r>
        <w:t xml:space="preserve"> provides an estimate of 2,261 stations (between 10 </w:t>
      </w:r>
      <w:r w:rsidR="00061FE1">
        <w:t xml:space="preserve">to </w:t>
      </w:r>
      <w:r>
        <w:t>20 km from the receiver). A 1% duty cycle for metropolitan areas</w:t>
      </w:r>
      <w:r>
        <w:rPr>
          <w:rStyle w:val="FootnoteReference"/>
        </w:rPr>
        <w:footnoteReference w:id="13"/>
      </w:r>
      <w:r>
        <w:t xml:space="preserve"> will manage this sensitivity to proximity. </w:t>
      </w:r>
    </w:p>
    <w:p w14:paraId="3FD04FEB" w14:textId="77777777" w:rsidR="0050061C" w:rsidRDefault="0050061C" w:rsidP="0050061C">
      <w:pPr>
        <w:pStyle w:val="Heading3"/>
      </w:pPr>
      <w:r>
        <w:t>Moderate gain example</w:t>
      </w:r>
    </w:p>
    <w:p w14:paraId="3596ADA8" w14:textId="6B761403" w:rsidR="0050061C" w:rsidRDefault="0050061C" w:rsidP="0050061C">
      <w:pPr>
        <w:pStyle w:val="Paragraph"/>
      </w:pPr>
      <w:r>
        <w:t>The scenario of a moderate gain</w:t>
      </w:r>
      <w:r w:rsidR="00F1572A">
        <w:rPr>
          <w:rStyle w:val="FootnoteReference"/>
        </w:rPr>
        <w:footnoteReference w:id="14"/>
      </w:r>
      <w:r>
        <w:t xml:space="preserve"> </w:t>
      </w:r>
      <w:r w:rsidR="004529F8">
        <w:t xml:space="preserve"> </w:t>
      </w:r>
      <w:r>
        <w:t>TOB receive antenna (17 dBi) was modelled, again with 1,334 stations (representing the higher power spectral density). This also displayed a sensitivity to the number of concurrent transmissions within 20 km that needs to be managed. When this number of devices was located within 10</w:t>
      </w:r>
      <w:r w:rsidR="00061FE1">
        <w:t xml:space="preserve"> to </w:t>
      </w:r>
      <w:r>
        <w:t>15 km, the interference threshold was exceeded; however, if located between 10</w:t>
      </w:r>
      <w:r w:rsidR="00061FE1">
        <w:t xml:space="preserve"> to </w:t>
      </w:r>
      <w:r>
        <w:t xml:space="preserve">20 km then the interference threshold was satisfied. </w:t>
      </w:r>
    </w:p>
    <w:p w14:paraId="2E176834" w14:textId="77777777" w:rsidR="00A955EA" w:rsidRDefault="00A955EA" w:rsidP="00A955EA">
      <w:pPr>
        <w:pStyle w:val="Heading2"/>
      </w:pPr>
      <w:bookmarkStart w:id="23" w:name="_Toc105764402"/>
      <w:bookmarkStart w:id="24" w:name="_Toc107506513"/>
      <w:r>
        <w:t>Summary of results</w:t>
      </w:r>
      <w:bookmarkEnd w:id="23"/>
      <w:bookmarkEnd w:id="24"/>
    </w:p>
    <w:p w14:paraId="53057126" w14:textId="77777777" w:rsidR="00A955EA" w:rsidRDefault="00A955EA" w:rsidP="00C540A6">
      <w:pPr>
        <w:pStyle w:val="Paragraphbeforelist"/>
      </w:pPr>
      <w:r>
        <w:t>The results of the simulations show that:</w:t>
      </w:r>
    </w:p>
    <w:p w14:paraId="12D2ABFA" w14:textId="2BEA9CB2" w:rsidR="00A955EA" w:rsidRDefault="00A955EA" w:rsidP="00A955EA">
      <w:pPr>
        <w:pStyle w:val="Bulletlevel1"/>
      </w:pPr>
      <w:r>
        <w:t>Single-interferer separation distances required are quite small (approximately 0.</w:t>
      </w:r>
      <w:r w:rsidR="00406DCD">
        <w:t>5 </w:t>
      </w:r>
      <w:r>
        <w:t>km for mobile and 1.5 km for high gain receivers).</w:t>
      </w:r>
    </w:p>
    <w:p w14:paraId="371C623F" w14:textId="628A17D4" w:rsidR="00A955EA" w:rsidRDefault="00A955EA" w:rsidP="00A955EA">
      <w:pPr>
        <w:pStyle w:val="Bulletlevel1"/>
      </w:pPr>
      <w:r>
        <w:t>Multiple-interferer results show separation is required for mobile receivers (</w:t>
      </w:r>
      <w:r w:rsidR="00406DCD">
        <w:t xml:space="preserve">for example, </w:t>
      </w:r>
      <w:r>
        <w:t>on a van) of up to 5 km.</w:t>
      </w:r>
    </w:p>
    <w:p w14:paraId="56F1EF37" w14:textId="18D534E1" w:rsidR="00A955EA" w:rsidRDefault="00A955EA" w:rsidP="00A955EA">
      <w:pPr>
        <w:pStyle w:val="Bulletlevel1"/>
      </w:pPr>
      <w:r>
        <w:lastRenderedPageBreak/>
        <w:t>To limit interference to certain fixed TOB receivers, the number of narrowband MSS devices with line-of-sight to the receiver needs to be limited</w:t>
      </w:r>
      <w:r w:rsidR="00526B3D">
        <w:t xml:space="preserve"> (which is proposed to be achieved</w:t>
      </w:r>
      <w:r w:rsidR="0023454A">
        <w:t xml:space="preserve">, in part, </w:t>
      </w:r>
      <w:r w:rsidR="00526B3D">
        <w:t>through duty cycle requirements)</w:t>
      </w:r>
      <w:r>
        <w:t>:</w:t>
      </w:r>
    </w:p>
    <w:p w14:paraId="1A72F324" w14:textId="66C0FE93" w:rsidR="00A955EA" w:rsidRDefault="00406DCD" w:rsidP="00A955EA">
      <w:pPr>
        <w:pStyle w:val="Bulletlevel2"/>
      </w:pPr>
      <w:r>
        <w:t>h</w:t>
      </w:r>
      <w:r w:rsidR="00A955EA">
        <w:t xml:space="preserve">igh gain receivers are susceptible to interference from large numbers of devices at very large distances (approximately 120 km for high gain sites). </w:t>
      </w:r>
    </w:p>
    <w:p w14:paraId="46E65D9B" w14:textId="14F33016" w:rsidR="00A955EA" w:rsidRDefault="00406DCD" w:rsidP="00C540A6">
      <w:pPr>
        <w:pStyle w:val="Bulletlevel2"/>
      </w:pPr>
      <w:r>
        <w:t>m</w:t>
      </w:r>
      <w:r w:rsidR="00A955EA">
        <w:t>oderate gain sites also require limits to concurrent transmissions at distances of up to approximately 20 km.</w:t>
      </w:r>
    </w:p>
    <w:p w14:paraId="0EA1DFA0" w14:textId="1E6DF1A7" w:rsidR="00A955EA" w:rsidRDefault="00A955EA" w:rsidP="00A0144F">
      <w:pPr>
        <w:pStyle w:val="Bulletlevel1last"/>
      </w:pPr>
      <w:r>
        <w:t>Prohibiting operation in 2009</w:t>
      </w:r>
      <w:r w:rsidR="00406DCD">
        <w:t>–</w:t>
      </w:r>
      <w:r>
        <w:t xml:space="preserve">2010 MHz is considered prudent. </w:t>
      </w:r>
      <w:r w:rsidR="00A5779A">
        <w:t xml:space="preserve">The </w:t>
      </w:r>
      <w:r w:rsidR="008C3524">
        <w:t>frequency</w:t>
      </w:r>
      <w:r w:rsidR="00A5779A">
        <w:t xml:space="preserve"> dependent rejection modelling showed </w:t>
      </w:r>
      <w:r w:rsidR="008C3524">
        <w:t>a</w:t>
      </w:r>
      <w:r w:rsidR="004B4D13">
        <w:t xml:space="preserve"> decrease in </w:t>
      </w:r>
      <w:r w:rsidR="00735602">
        <w:t>rejection (</w:t>
      </w:r>
      <w:r w:rsidR="00406DCD">
        <w:t>that is</w:t>
      </w:r>
      <w:r w:rsidR="00252893">
        <w:t>,</w:t>
      </w:r>
      <w:r w:rsidR="00735602">
        <w:t xml:space="preserve"> requiring an increase in </w:t>
      </w:r>
      <w:r w:rsidR="00792016">
        <w:t>protection ratio</w:t>
      </w:r>
      <w:r w:rsidR="00735602">
        <w:t>)</w:t>
      </w:r>
      <w:r w:rsidR="00406DCD">
        <w:t xml:space="preserve"> </w:t>
      </w:r>
      <w:r w:rsidR="00A0144F">
        <w:t>above 2009 MHz</w:t>
      </w:r>
      <w:r w:rsidR="00D06150">
        <w:t xml:space="preserve">. </w:t>
      </w:r>
      <w:r w:rsidR="00A0144F">
        <w:t xml:space="preserve">Recommendation </w:t>
      </w:r>
      <w:r w:rsidR="00A0144F" w:rsidRPr="00A0144F">
        <w:t>ITU-R BT.1368-13</w:t>
      </w:r>
      <w:r w:rsidR="00362978">
        <w:t xml:space="preserve"> showed an increase </w:t>
      </w:r>
      <w:r w:rsidR="00F62DE1">
        <w:t xml:space="preserve">in </w:t>
      </w:r>
      <w:r w:rsidR="001518A4">
        <w:t>protection ratio</w:t>
      </w:r>
      <w:r w:rsidR="00362978">
        <w:t xml:space="preserve"> 2009.5 MHz. </w:t>
      </w:r>
    </w:p>
    <w:p w14:paraId="42C773A7" w14:textId="7DE830EB" w:rsidR="00C819D0" w:rsidRDefault="006105CA" w:rsidP="00C819D0">
      <w:pPr>
        <w:pStyle w:val="Heading2"/>
      </w:pPr>
      <w:bookmarkStart w:id="25" w:name="_Toc105764403"/>
      <w:bookmarkStart w:id="26" w:name="_Toc107506514"/>
      <w:r>
        <w:t xml:space="preserve">Licence assessment </w:t>
      </w:r>
      <w:bookmarkEnd w:id="25"/>
      <w:r w:rsidR="00B21E06">
        <w:t>procedures</w:t>
      </w:r>
      <w:bookmarkEnd w:id="26"/>
    </w:p>
    <w:p w14:paraId="78AC9CCA" w14:textId="4E3DAF79" w:rsidR="00C819D0" w:rsidRDefault="00C819D0" w:rsidP="00C819D0">
      <w:pPr>
        <w:pStyle w:val="Paragraph"/>
      </w:pPr>
      <w:r>
        <w:t xml:space="preserve">Licensing of space/space receive licences (and the CSO </w:t>
      </w:r>
      <w:r w:rsidR="00812388">
        <w:t>C</w:t>
      </w:r>
      <w:r>
        <w:t xml:space="preserve">lass </w:t>
      </w:r>
      <w:r w:rsidR="00812388">
        <w:t>L</w:t>
      </w:r>
      <w:r>
        <w:t xml:space="preserve">icence) may be granted in certain scenarios. Limits are listed in the CSO </w:t>
      </w:r>
      <w:r w:rsidR="00812388">
        <w:t>C</w:t>
      </w:r>
      <w:r>
        <w:t xml:space="preserve">lass </w:t>
      </w:r>
      <w:r w:rsidR="00812388">
        <w:t>L</w:t>
      </w:r>
      <w:r>
        <w:t xml:space="preserve">icence and </w:t>
      </w:r>
      <w:r w:rsidR="00406DCD">
        <w:t xml:space="preserve">complemented </w:t>
      </w:r>
      <w:r>
        <w:t xml:space="preserve">by more detailed requirements in the BOP. </w:t>
      </w:r>
    </w:p>
    <w:p w14:paraId="1107EA65" w14:textId="77777777" w:rsidR="00C819D0" w:rsidRDefault="00C819D0" w:rsidP="006B037D">
      <w:pPr>
        <w:pStyle w:val="Paragraphbeforelist"/>
      </w:pPr>
      <w:r>
        <w:t>The CSO class licence requirements are reproduced</w:t>
      </w:r>
      <w:r>
        <w:rPr>
          <w:rStyle w:val="FootnoteReference"/>
        </w:rPr>
        <w:footnoteReference w:id="15"/>
      </w:r>
      <w:r>
        <w:t xml:space="preserve"> below for convenience:</w:t>
      </w:r>
    </w:p>
    <w:p w14:paraId="77B7E5A7" w14:textId="77777777" w:rsidR="00C819D0" w:rsidRDefault="00C819D0" w:rsidP="00C819D0">
      <w:pPr>
        <w:pStyle w:val="Bulletlevel1"/>
      </w:pPr>
      <w:r>
        <w:t>Stations are not permitted on aircraft.</w:t>
      </w:r>
    </w:p>
    <w:p w14:paraId="64F22403" w14:textId="77777777" w:rsidR="00C819D0" w:rsidRDefault="00C819D0" w:rsidP="00C819D0">
      <w:pPr>
        <w:pStyle w:val="Bulletlevel1"/>
      </w:pPr>
      <w:r>
        <w:t>An EIRP spectral density limit of -66 dBW/MHz applies at the band edge (2010 MHz).</w:t>
      </w:r>
    </w:p>
    <w:p w14:paraId="385C7A1B" w14:textId="77777777" w:rsidR="00C819D0" w:rsidRDefault="00C819D0" w:rsidP="00C819D0">
      <w:pPr>
        <w:pStyle w:val="Bulletlevel1"/>
      </w:pPr>
      <w:r>
        <w:t>In metropolitan areas:</w:t>
      </w:r>
    </w:p>
    <w:p w14:paraId="4EC530AE" w14:textId="012E31EB" w:rsidR="00C819D0" w:rsidRDefault="00406DCD" w:rsidP="00C819D0">
      <w:pPr>
        <w:pStyle w:val="Bulletlevel1"/>
        <w:tabs>
          <w:tab w:val="clear" w:pos="295"/>
          <w:tab w:val="num" w:pos="579"/>
        </w:tabs>
        <w:ind w:left="579"/>
      </w:pPr>
      <w:r>
        <w:t>a</w:t>
      </w:r>
      <w:r w:rsidR="00C819D0">
        <w:t xml:space="preserve"> duty cycle limit of 1% applies</w:t>
      </w:r>
    </w:p>
    <w:p w14:paraId="7DE95900" w14:textId="643DB3B9" w:rsidR="00C819D0" w:rsidRDefault="00406DCD" w:rsidP="00C819D0">
      <w:pPr>
        <w:pStyle w:val="Bulletlevel1"/>
        <w:tabs>
          <w:tab w:val="clear" w:pos="295"/>
          <w:tab w:val="num" w:pos="579"/>
        </w:tabs>
        <w:ind w:left="579"/>
      </w:pPr>
      <w:r>
        <w:t>t</w:t>
      </w:r>
      <w:r w:rsidR="00C819D0">
        <w:t>ransmissions must not exceed 4 seconds</w:t>
      </w:r>
    </w:p>
    <w:p w14:paraId="7C085460" w14:textId="0330EBE7" w:rsidR="00C819D0" w:rsidRDefault="00406DCD" w:rsidP="00C819D0">
      <w:pPr>
        <w:pStyle w:val="Bulletlevel2last"/>
      </w:pPr>
      <w:r>
        <w:t>a</w:t>
      </w:r>
      <w:r w:rsidR="00C819D0">
        <w:t>n EIRP spectral density limit of 0.5 dBW/MHz applies (</w:t>
      </w:r>
      <w:r>
        <w:t>n</w:t>
      </w:r>
      <w:r w:rsidR="00C819D0">
        <w:t>ote: this limits certain 3GPP power/bandwidth combinations).</w:t>
      </w:r>
    </w:p>
    <w:p w14:paraId="171C1523" w14:textId="76A41411" w:rsidR="00C819D0" w:rsidRDefault="00C819D0" w:rsidP="006B037D">
      <w:pPr>
        <w:pStyle w:val="Paragraph"/>
      </w:pPr>
      <w:r>
        <w:t xml:space="preserve">Considering the above analysis, to ensure protection of adjacent band TOB services, the ACMA assessment procedure for issuing space and space receive licences will contain the additional requirements outlined below. All applications will need to provide supporting information demonstrating that they meet these and the requirements of the CSO </w:t>
      </w:r>
      <w:r w:rsidR="00406DCD">
        <w:t>C</w:t>
      </w:r>
      <w:r>
        <w:t xml:space="preserve">lass </w:t>
      </w:r>
      <w:r w:rsidR="00406DCD">
        <w:t>L</w:t>
      </w:r>
      <w:r>
        <w:t>icence, including how the system will ensure unacceptable interference is not caused by large numbers of devices.</w:t>
      </w:r>
    </w:p>
    <w:p w14:paraId="380C49FB" w14:textId="5EEF6D2A" w:rsidR="00C819D0" w:rsidRDefault="002712A3" w:rsidP="006B037D">
      <w:pPr>
        <w:pStyle w:val="Paragraph"/>
      </w:pPr>
      <w:r>
        <w:t>The requirements below are in additional to</w:t>
      </w:r>
      <w:r w:rsidR="00B31F44">
        <w:t xml:space="preserve"> the AC</w:t>
      </w:r>
      <w:r w:rsidR="003E0481">
        <w:t>M</w:t>
      </w:r>
      <w:r w:rsidR="00A77B3B">
        <w:t xml:space="preserve">A </w:t>
      </w:r>
      <w:r w:rsidR="00B31F44">
        <w:t xml:space="preserve">current </w:t>
      </w:r>
      <w:r w:rsidR="00A77B3B">
        <w:t xml:space="preserve">approach </w:t>
      </w:r>
      <w:r w:rsidR="00E23404">
        <w:t xml:space="preserve">(as </w:t>
      </w:r>
      <w:r w:rsidR="00793492">
        <w:t xml:space="preserve">contained </w:t>
      </w:r>
      <w:r w:rsidR="00A77B3B">
        <w:t xml:space="preserve">in </w:t>
      </w:r>
      <w:r w:rsidR="00793492">
        <w:t xml:space="preserve">the relevant </w:t>
      </w:r>
      <w:hyperlink r:id="rId57" w:history="1">
        <w:r w:rsidR="00793492">
          <w:rPr>
            <w:rStyle w:val="Hyperlink"/>
          </w:rPr>
          <w:t>business operating procedure</w:t>
        </w:r>
      </w:hyperlink>
      <w:r w:rsidR="00793492">
        <w:rPr>
          <w:rStyle w:val="Hyperlink"/>
        </w:rPr>
        <w:t>)</w:t>
      </w:r>
      <w:r w:rsidR="00793492">
        <w:t xml:space="preserve"> </w:t>
      </w:r>
      <w:r w:rsidR="00A92DB8">
        <w:t>o</w:t>
      </w:r>
      <w:r w:rsidR="003E0481">
        <w:t>f ensuring that the international processes are being</w:t>
      </w:r>
      <w:r w:rsidR="00C20304">
        <w:t xml:space="preserve"> </w:t>
      </w:r>
      <w:r w:rsidR="000B4737">
        <w:t>undertaken</w:t>
      </w:r>
      <w:r w:rsidR="003E0481">
        <w:t xml:space="preserve"> and </w:t>
      </w:r>
      <w:r w:rsidR="00A77B3B">
        <w:t>e</w:t>
      </w:r>
      <w:r w:rsidR="003E0481">
        <w:t>nsuring consistency with the Australian spectrum management regulatory environment</w:t>
      </w:r>
      <w:r w:rsidR="00543CA3">
        <w:t xml:space="preserve">. </w:t>
      </w:r>
      <w:r w:rsidR="00294785">
        <w:t>The</w:t>
      </w:r>
      <w:r w:rsidR="00AB734A">
        <w:t xml:space="preserve"> requirements</w:t>
      </w:r>
      <w:r w:rsidR="00637E82">
        <w:t xml:space="preserve"> will be include</w:t>
      </w:r>
      <w:r w:rsidR="00C760DC">
        <w:t>d</w:t>
      </w:r>
      <w:r w:rsidR="00637E82">
        <w:t xml:space="preserve"> as an </w:t>
      </w:r>
      <w:r w:rsidR="00406DCD">
        <w:t>a</w:t>
      </w:r>
      <w:r w:rsidR="00637E82">
        <w:t xml:space="preserve">ppendix to the </w:t>
      </w:r>
      <w:r w:rsidR="00C56309">
        <w:t>existing procedures.</w:t>
      </w:r>
      <w:r w:rsidR="00294785">
        <w:t xml:space="preserve"> </w:t>
      </w:r>
    </w:p>
    <w:p w14:paraId="4A7EF341" w14:textId="77777777" w:rsidR="00C819D0" w:rsidRDefault="00C819D0" w:rsidP="00C819D0">
      <w:pPr>
        <w:pStyle w:val="Bulletlevel1"/>
        <w:numPr>
          <w:ilvl w:val="0"/>
          <w:numId w:val="0"/>
        </w:numPr>
        <w:tabs>
          <w:tab w:val="left" w:pos="720"/>
        </w:tabs>
        <w:rPr>
          <w:b/>
        </w:rPr>
      </w:pPr>
      <w:r>
        <w:rPr>
          <w:b/>
          <w:bCs/>
        </w:rPr>
        <w:t xml:space="preserve">General requirement applicable to all applications </w:t>
      </w:r>
    </w:p>
    <w:p w14:paraId="644D8CC4" w14:textId="223BD301" w:rsidR="00154392" w:rsidRDefault="00C819D0" w:rsidP="00C819D0">
      <w:pPr>
        <w:pStyle w:val="Bulletlevel1"/>
      </w:pPr>
      <w:r>
        <w:t>The frequency band 2009</w:t>
      </w:r>
      <w:r w:rsidR="00406DCD">
        <w:t>–</w:t>
      </w:r>
      <w:r>
        <w:t>2010 is not available for space receive licensing</w:t>
      </w:r>
      <w:r w:rsidR="000774B0">
        <w:t xml:space="preserve"> (to be included in </w:t>
      </w:r>
      <w:hyperlink r:id="rId58" w:history="1">
        <w:r w:rsidR="000774B0" w:rsidRPr="003A0832">
          <w:rPr>
            <w:rStyle w:val="Hyperlink"/>
          </w:rPr>
          <w:t>Embargo 23</w:t>
        </w:r>
      </w:hyperlink>
      <w:r w:rsidR="000774B0">
        <w:t>)</w:t>
      </w:r>
      <w:r>
        <w:t xml:space="preserve">. </w:t>
      </w:r>
    </w:p>
    <w:p w14:paraId="0346F2FD" w14:textId="5279AAFF" w:rsidR="00C819D0" w:rsidRDefault="00C819D0" w:rsidP="00C819D0">
      <w:pPr>
        <w:pStyle w:val="Bulletlevel1"/>
      </w:pPr>
      <w:r>
        <w:t>The uplink band is to be populated from the lower frequency limit (</w:t>
      </w:r>
      <w:r w:rsidR="00406DCD">
        <w:t>that is,</w:t>
      </w:r>
      <w:r>
        <w:t xml:space="preserve"> </w:t>
      </w:r>
      <w:r w:rsidR="00406DCD">
        <w:t>2005 </w:t>
      </w:r>
      <w:r>
        <w:t>MHz) first, where practicable.</w:t>
      </w:r>
    </w:p>
    <w:p w14:paraId="53E47660" w14:textId="77777777" w:rsidR="00C819D0" w:rsidRDefault="00C819D0" w:rsidP="00C819D0">
      <w:pPr>
        <w:pStyle w:val="Bulletlevel1"/>
      </w:pPr>
      <w:r>
        <w:t xml:space="preserve">The EIRP of transmitting earth stations must not exceed -7 dBW. </w:t>
      </w:r>
    </w:p>
    <w:p w14:paraId="7E9E2FFE" w14:textId="77777777" w:rsidR="00C819D0" w:rsidRDefault="00C819D0" w:rsidP="00C819D0">
      <w:pPr>
        <w:pStyle w:val="Bulletlevel1"/>
      </w:pPr>
      <w:r>
        <w:t>Transmitting earth stations must employ bandwidths of at least 3.75 kHz.</w:t>
      </w:r>
    </w:p>
    <w:p w14:paraId="15A4226E" w14:textId="5FE8BAC9" w:rsidR="00C819D0" w:rsidRDefault="00C819D0" w:rsidP="00C819D0">
      <w:pPr>
        <w:pStyle w:val="Bulletlevel1"/>
      </w:pPr>
      <w:r>
        <w:lastRenderedPageBreak/>
        <w:t>Earth stations may not transmit within 10 km of listed TOB sites (both high gain and moderate gain sites</w:t>
      </w:r>
      <w:r w:rsidR="00CD451D">
        <w:t>, listed below</w:t>
      </w:r>
      <w:r>
        <w:t>).</w:t>
      </w:r>
    </w:p>
    <w:p w14:paraId="54C992E0" w14:textId="77777777" w:rsidR="00C819D0" w:rsidRDefault="00C819D0" w:rsidP="00C819D0">
      <w:pPr>
        <w:pStyle w:val="Bulletlevel1"/>
      </w:pPr>
      <w:r>
        <w:t xml:space="preserve">Self-coordination is required between MSS operators having or seeking licences in Australia (for example by frequency domain sharing). This is in addition to any requirements resulting from the international satellite coordination processes through the ITU. </w:t>
      </w:r>
    </w:p>
    <w:p w14:paraId="54148F10" w14:textId="20A1E2AA" w:rsidR="00C819D0" w:rsidRDefault="00C819D0" w:rsidP="006B037D">
      <w:pPr>
        <w:pStyle w:val="Bulletlevel1"/>
      </w:pPr>
      <w:r>
        <w:t>To support multiple operators within the band, operators are encouraged to licence only what they need (and no more than 1 MHz per operator). Alternative sharing methods (other than frequency sharing) may be considered.</w:t>
      </w:r>
      <w:r w:rsidR="00936326">
        <w:t xml:space="preserve"> A</w:t>
      </w:r>
      <w:r w:rsidR="00936326" w:rsidRPr="00936326">
        <w:t>pplica</w:t>
      </w:r>
      <w:r w:rsidR="005D783B">
        <w:t xml:space="preserve">tions should </w:t>
      </w:r>
      <w:r w:rsidR="0059551B">
        <w:t>include an explanation of</w:t>
      </w:r>
      <w:r w:rsidR="00936326" w:rsidRPr="00936326">
        <w:t xml:space="preserve"> the sharing methodology and approach</w:t>
      </w:r>
      <w:r w:rsidR="005161D4">
        <w:t xml:space="preserve"> proposed</w:t>
      </w:r>
      <w:r w:rsidR="00F716F9">
        <w:t>.</w:t>
      </w:r>
    </w:p>
    <w:p w14:paraId="548FA3D0" w14:textId="77777777" w:rsidR="00331381" w:rsidRDefault="00591B02" w:rsidP="006B037D">
      <w:pPr>
        <w:pStyle w:val="Bulletlevel1"/>
      </w:pPr>
      <w:r>
        <w:t>Operation of MSS</w:t>
      </w:r>
      <w:r w:rsidR="00FA4F10">
        <w:t xml:space="preserve"> in metropolitan and designated areas</w:t>
      </w:r>
      <w:r>
        <w:t xml:space="preserve"> </w:t>
      </w:r>
      <w:r w:rsidR="00FA4F10">
        <w:t xml:space="preserve">is not to commence </w:t>
      </w:r>
      <w:r w:rsidR="00FA4F10" w:rsidRPr="000C7CF8">
        <w:t>before 1 March 2026</w:t>
      </w:r>
      <w:r w:rsidR="00FA4F10">
        <w:t>.</w:t>
      </w:r>
    </w:p>
    <w:p w14:paraId="127EA5FB" w14:textId="47B9B7A9" w:rsidR="00591B02" w:rsidRDefault="001F7848" w:rsidP="00C819D0">
      <w:pPr>
        <w:pStyle w:val="Bulletlevel1last"/>
      </w:pPr>
      <w:r>
        <w:t xml:space="preserve">Operation of MSS </w:t>
      </w:r>
      <w:r w:rsidR="00591B02">
        <w:t xml:space="preserve">will </w:t>
      </w:r>
      <w:r w:rsidR="00A369F2">
        <w:t>be subject to c</w:t>
      </w:r>
      <w:r w:rsidR="0008154A">
        <w:t>ondition</w:t>
      </w:r>
      <w:r w:rsidR="00A369F2">
        <w:t>s</w:t>
      </w:r>
      <w:r w:rsidR="0008154A">
        <w:t xml:space="preserve"> of </w:t>
      </w:r>
      <w:r w:rsidR="00A369F2">
        <w:t xml:space="preserve">not </w:t>
      </w:r>
      <w:r w:rsidR="008E0945">
        <w:t>causing</w:t>
      </w:r>
      <w:r w:rsidR="00591B02">
        <w:t xml:space="preserve"> </w:t>
      </w:r>
      <w:r w:rsidR="00956FBE">
        <w:t>interference to</w:t>
      </w:r>
      <w:r w:rsidR="003D08AC">
        <w:t>,</w:t>
      </w:r>
      <w:r w:rsidR="00956FBE">
        <w:t xml:space="preserve"> and </w:t>
      </w:r>
      <w:r w:rsidR="00220D1D">
        <w:t xml:space="preserve">not </w:t>
      </w:r>
      <w:r w:rsidR="008E0945">
        <w:t xml:space="preserve">claiming </w:t>
      </w:r>
      <w:r w:rsidR="00956FBE">
        <w:t>protection from</w:t>
      </w:r>
      <w:r w:rsidR="003D08AC">
        <w:t>,</w:t>
      </w:r>
      <w:r w:rsidR="00956FBE">
        <w:t xml:space="preserve"> TOB </w:t>
      </w:r>
      <w:r w:rsidR="00220D1D">
        <w:t xml:space="preserve">stations </w:t>
      </w:r>
      <w:r w:rsidR="00CF6672">
        <w:t xml:space="preserve">licensed </w:t>
      </w:r>
      <w:r w:rsidR="00AC42D8">
        <w:t>i</w:t>
      </w:r>
      <w:r w:rsidR="004B1CAB">
        <w:t xml:space="preserve">n accordance with the </w:t>
      </w:r>
      <w:r w:rsidR="006D25B9" w:rsidRPr="006B037D">
        <w:rPr>
          <w:iCs/>
        </w:rPr>
        <w:t>Radiocommunications (Mobile-Satellite Service) (1980–2010 MHz and 2170–2200 MHz) Frequency Band Plan 2022</w:t>
      </w:r>
      <w:r w:rsidR="006D25B9">
        <w:t>.</w:t>
      </w:r>
    </w:p>
    <w:p w14:paraId="185BE457" w14:textId="77777777" w:rsidR="00C819D0" w:rsidRDefault="00C819D0" w:rsidP="00C819D0">
      <w:pPr>
        <w:pStyle w:val="Bulletlevel1"/>
        <w:numPr>
          <w:ilvl w:val="0"/>
          <w:numId w:val="0"/>
        </w:numPr>
        <w:tabs>
          <w:tab w:val="left" w:pos="720"/>
        </w:tabs>
        <w:ind w:left="295" w:hanging="295"/>
        <w:rPr>
          <w:b/>
          <w:bCs/>
        </w:rPr>
      </w:pPr>
      <w:r>
        <w:rPr>
          <w:b/>
          <w:bCs/>
        </w:rPr>
        <w:t>M</w:t>
      </w:r>
      <w:r>
        <w:rPr>
          <w:b/>
        </w:rPr>
        <w:t>etropolitan areas</w:t>
      </w:r>
    </w:p>
    <w:p w14:paraId="185393A2" w14:textId="63B6390B" w:rsidR="00C819D0" w:rsidRDefault="00C819D0" w:rsidP="006B037D">
      <w:pPr>
        <w:pStyle w:val="Bulletlevel1last"/>
      </w:pPr>
      <w:r>
        <w:t xml:space="preserve">For metropolitan areas, there are no additional requirement beyond the CSO </w:t>
      </w:r>
      <w:r w:rsidR="00406DCD">
        <w:t>C</w:t>
      </w:r>
      <w:r>
        <w:t xml:space="preserve">lass </w:t>
      </w:r>
      <w:r w:rsidR="00406DCD">
        <w:t>L</w:t>
      </w:r>
      <w:r>
        <w:t>icence and general requirements outlined above.</w:t>
      </w:r>
    </w:p>
    <w:p w14:paraId="59535FE7" w14:textId="77777777" w:rsidR="00C819D0" w:rsidRDefault="00C819D0" w:rsidP="00C819D0">
      <w:pPr>
        <w:pStyle w:val="Bulletlevel1"/>
        <w:numPr>
          <w:ilvl w:val="0"/>
          <w:numId w:val="0"/>
        </w:numPr>
        <w:tabs>
          <w:tab w:val="left" w:pos="720"/>
        </w:tabs>
        <w:ind w:left="295" w:hanging="295"/>
        <w:rPr>
          <w:b/>
        </w:rPr>
      </w:pPr>
      <w:r>
        <w:rPr>
          <w:b/>
        </w:rPr>
        <w:t xml:space="preserve">Outside metropolitan areas </w:t>
      </w:r>
    </w:p>
    <w:p w14:paraId="6E9307A4" w14:textId="60B753DB" w:rsidR="00C819D0" w:rsidRDefault="00C819D0" w:rsidP="00C819D0">
      <w:pPr>
        <w:pStyle w:val="Bulletlevel2"/>
        <w:tabs>
          <w:tab w:val="num" w:pos="550"/>
        </w:tabs>
        <w:ind w:left="295"/>
      </w:pPr>
      <w:r>
        <w:t>For EIRP spectral density of 0.5 dBW/MHz (</w:t>
      </w:r>
      <w:r w:rsidR="00406DCD">
        <w:t>that is</w:t>
      </w:r>
      <w:r>
        <w:t>, devices that would meet the metropolitan limit), the duty cycle limit is relaxed to 10%.</w:t>
      </w:r>
    </w:p>
    <w:p w14:paraId="19991FE8" w14:textId="7418D1DF" w:rsidR="00C819D0" w:rsidRDefault="00C819D0" w:rsidP="00C819D0">
      <w:pPr>
        <w:pStyle w:val="Bulletlevel2"/>
        <w:tabs>
          <w:tab w:val="num" w:pos="550"/>
        </w:tabs>
        <w:ind w:left="295"/>
      </w:pPr>
      <w:r>
        <w:t>For EIRP spectral densities greater than 0.5 dBW/MHz (and less than 18.</w:t>
      </w:r>
      <w:r w:rsidR="00406DCD">
        <w:t>3 </w:t>
      </w:r>
      <w:r>
        <w:t xml:space="preserve">dBW/MHz): </w:t>
      </w:r>
    </w:p>
    <w:p w14:paraId="2269CE8A" w14:textId="773845A1" w:rsidR="00C819D0" w:rsidRDefault="00C819D0" w:rsidP="00C819D0">
      <w:pPr>
        <w:pStyle w:val="Bulletlevel2"/>
        <w:ind w:left="863"/>
      </w:pPr>
      <w:r>
        <w:t>for areas within 120 km of a high gain TOB (listed below) or within 20 km of a moderate gain TOB site (listed below), the duty cycle may not exceed 1%</w:t>
      </w:r>
    </w:p>
    <w:p w14:paraId="50255401" w14:textId="77777777" w:rsidR="00C819D0" w:rsidRDefault="00C819D0" w:rsidP="006B037D">
      <w:pPr>
        <w:pStyle w:val="Bulletlevel2last"/>
      </w:pPr>
      <w:r>
        <w:t>for other areas, the duty cycle is limited to 10%.</w:t>
      </w:r>
    </w:p>
    <w:p w14:paraId="43149C54" w14:textId="3274EB45" w:rsidR="00C819D0" w:rsidRDefault="00922529" w:rsidP="007C171F">
      <w:pPr>
        <w:pStyle w:val="Paragraph"/>
      </w:pPr>
      <w:r>
        <w:t xml:space="preserve">For example, </w:t>
      </w:r>
      <w:r w:rsidR="00406DCD">
        <w:t xml:space="preserve">Figure 7 </w:t>
      </w:r>
      <w:r>
        <w:t xml:space="preserve">shows the Adelaide area, depicting the location of the high gain TOB sites, the associated 10 km exclusion zone and the 120 km zone with potentially limited duty cycle. </w:t>
      </w:r>
      <w:r w:rsidR="00406DCD">
        <w:t xml:space="preserve">Figure 8 </w:t>
      </w:r>
      <w:r>
        <w:t>also shows Adelaide, with the moderate gain sites, the associate 10 km exclusion zone and the 20 km zone with potentially limited duty cycle. Metropolitan areas are also shown. The ACMA will make available an Australia-wide .kmz file for informative purposes.</w:t>
      </w:r>
    </w:p>
    <w:p w14:paraId="3D41B475" w14:textId="68A4385B" w:rsidR="00406DCD" w:rsidRPr="003F3DF3" w:rsidRDefault="00406DCD" w:rsidP="007C171F">
      <w:pPr>
        <w:pStyle w:val="Figureheading"/>
        <w:keepLines/>
      </w:pPr>
      <w:r w:rsidRPr="00C1686D">
        <w:lastRenderedPageBreak/>
        <w:t>Example of zones around Adelaide for high gain sites</w:t>
      </w:r>
    </w:p>
    <w:p w14:paraId="05A6FBBB" w14:textId="148D0C89" w:rsidR="00406DCD" w:rsidRPr="00406DCD" w:rsidRDefault="006B5798" w:rsidP="007C171F">
      <w:pPr>
        <w:keepNext/>
        <w:keepLines/>
      </w:pPr>
      <w:r>
        <w:rPr>
          <w:b/>
          <w:bCs/>
          <w:noProof/>
          <w:color w:val="323232"/>
          <w:szCs w:val="20"/>
        </w:rPr>
        <w:drawing>
          <wp:inline distT="0" distB="0" distL="0" distR="0" wp14:anchorId="3894C833" wp14:editId="0CDD9499">
            <wp:extent cx="4071620" cy="3810218"/>
            <wp:effectExtent l="0" t="0" r="5080" b="0"/>
            <wp:docPr id="6" name="Picture 6"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If you need help accessing or reading this diagram, please contact the ACMA's Customer Service Centre by phone on 1300 850 115 or by email at info@acma.gov.au"/>
                    <pic:cNvPicPr>
                      <a:picLocks noChangeAspect="1" noChangeArrowheads="1"/>
                    </pic:cNvPicPr>
                  </pic:nvPicPr>
                  <pic:blipFill rotWithShape="1">
                    <a:blip r:embed="rId59">
                      <a:extLst>
                        <a:ext uri="{28A0092B-C50C-407E-A947-70E740481C1C}">
                          <a14:useLocalDpi xmlns:a14="http://schemas.microsoft.com/office/drawing/2010/main" val="0"/>
                        </a:ext>
                      </a:extLst>
                    </a:blip>
                    <a:srcRect/>
                    <a:stretch/>
                  </pic:blipFill>
                  <pic:spPr bwMode="auto">
                    <a:xfrm>
                      <a:off x="0" y="0"/>
                      <a:ext cx="4095418" cy="3832488"/>
                    </a:xfrm>
                    <a:prstGeom prst="rect">
                      <a:avLst/>
                    </a:prstGeom>
                    <a:noFill/>
                    <a:ln>
                      <a:noFill/>
                    </a:ln>
                    <a:extLst>
                      <a:ext uri="{53640926-AAD7-44D8-BBD7-CCE9431645EC}">
                        <a14:shadowObscured xmlns:a14="http://schemas.microsoft.com/office/drawing/2010/main"/>
                      </a:ext>
                    </a:extLst>
                  </pic:spPr>
                </pic:pic>
              </a:graphicData>
            </a:graphic>
          </wp:inline>
        </w:drawing>
      </w:r>
    </w:p>
    <w:p w14:paraId="0EE4C77B" w14:textId="7F1C6E1D" w:rsidR="00260A08" w:rsidRDefault="00406DCD" w:rsidP="007C171F">
      <w:pPr>
        <w:pStyle w:val="Figureheading"/>
      </w:pPr>
      <w:r>
        <w:t>Example of zones around Adelaide for moderate gain sites</w:t>
      </w:r>
    </w:p>
    <w:p w14:paraId="604102FA" w14:textId="0FA9EDF2" w:rsidR="00C819D0" w:rsidRDefault="001C0B37" w:rsidP="007C171F">
      <w:r>
        <w:rPr>
          <w:noProof/>
        </w:rPr>
        <w:drawing>
          <wp:inline distT="0" distB="0" distL="0" distR="0" wp14:anchorId="6AAEB4F4" wp14:editId="6059DD22">
            <wp:extent cx="4146636" cy="3919426"/>
            <wp:effectExtent l="0" t="0" r="6350" b="5080"/>
            <wp:docPr id="4" name="Picture 4"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f you need help accessing or reading this diagram, please contact the ACMA's Customer Service Centre by phone on 1300 850 115 or by email at info@acma.gov.au"/>
                    <pic:cNvPicPr>
                      <a:picLocks noChangeAspect="1" noChangeArrowheads="1"/>
                    </pic:cNvPicPr>
                  </pic:nvPicPr>
                  <pic:blipFill rotWithShape="1">
                    <a:blip r:embed="rId60">
                      <a:extLst>
                        <a:ext uri="{28A0092B-C50C-407E-A947-70E740481C1C}">
                          <a14:useLocalDpi xmlns:a14="http://schemas.microsoft.com/office/drawing/2010/main" val="0"/>
                        </a:ext>
                      </a:extLst>
                    </a:blip>
                    <a:srcRect/>
                    <a:stretch/>
                  </pic:blipFill>
                  <pic:spPr bwMode="auto">
                    <a:xfrm>
                      <a:off x="0" y="0"/>
                      <a:ext cx="4163255" cy="3935135"/>
                    </a:xfrm>
                    <a:prstGeom prst="rect">
                      <a:avLst/>
                    </a:prstGeom>
                    <a:noFill/>
                    <a:ln>
                      <a:noFill/>
                    </a:ln>
                    <a:extLst>
                      <a:ext uri="{53640926-AAD7-44D8-BBD7-CCE9431645EC}">
                        <a14:shadowObscured xmlns:a14="http://schemas.microsoft.com/office/drawing/2010/main"/>
                      </a:ext>
                    </a:extLst>
                  </pic:spPr>
                </pic:pic>
              </a:graphicData>
            </a:graphic>
          </wp:inline>
        </w:drawing>
      </w:r>
    </w:p>
    <w:p w14:paraId="503CD2D5" w14:textId="60B84B38" w:rsidR="00D50BBA" w:rsidRDefault="00D50BBA" w:rsidP="009F7CC8">
      <w:pPr>
        <w:pStyle w:val="Heading2"/>
        <w:pageBreakBefore/>
        <w:spacing w:after="120"/>
      </w:pPr>
      <w:bookmarkStart w:id="27" w:name="_Toc107506515"/>
      <w:r>
        <w:lastRenderedPageBreak/>
        <w:t>List of high gain</w:t>
      </w:r>
      <w:r w:rsidR="00293716">
        <w:rPr>
          <w:rStyle w:val="FootnoteReference"/>
        </w:rPr>
        <w:footnoteReference w:id="16"/>
      </w:r>
      <w:r>
        <w:t xml:space="preserve"> TOB sites</w:t>
      </w:r>
      <w:bookmarkEnd w:id="27"/>
    </w:p>
    <w:tbl>
      <w:tblPr>
        <w:tblStyle w:val="GridTable4"/>
        <w:tblW w:w="5363" w:type="pct"/>
        <w:tblInd w:w="0" w:type="dxa"/>
        <w:tblCellMar>
          <w:top w:w="28" w:type="dxa"/>
          <w:left w:w="57" w:type="dxa"/>
          <w:bottom w:w="28" w:type="dxa"/>
          <w:right w:w="57" w:type="dxa"/>
        </w:tblCellMar>
        <w:tblLook w:val="04A0" w:firstRow="1" w:lastRow="0" w:firstColumn="1" w:lastColumn="0" w:noHBand="0" w:noVBand="1"/>
      </w:tblPr>
      <w:tblGrid>
        <w:gridCol w:w="738"/>
        <w:gridCol w:w="1384"/>
        <w:gridCol w:w="1417"/>
        <w:gridCol w:w="3544"/>
        <w:gridCol w:w="1134"/>
      </w:tblGrid>
      <w:tr w:rsidR="00D50BBA" w:rsidRPr="00406DCD" w14:paraId="686B2B9D" w14:textId="77777777" w:rsidTr="009F7CC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hideMark/>
          </w:tcPr>
          <w:p w14:paraId="487115D0" w14:textId="77777777" w:rsidR="00D50BBA" w:rsidRPr="00406DCD" w:rsidRDefault="00D50BBA">
            <w:pPr>
              <w:pStyle w:val="Paragraph"/>
              <w:spacing w:after="0"/>
              <w:rPr>
                <w:szCs w:val="20"/>
              </w:rPr>
            </w:pPr>
            <w:r w:rsidRPr="005A4A0D">
              <w:rPr>
                <w:szCs w:val="20"/>
              </w:rPr>
              <w:t>State</w:t>
            </w:r>
          </w:p>
        </w:tc>
        <w:tc>
          <w:tcPr>
            <w:tcW w:w="1384" w:type="dxa"/>
            <w:hideMark/>
          </w:tcPr>
          <w:p w14:paraId="355E9DA3" w14:textId="77777777" w:rsidR="00D50BBA" w:rsidRPr="00406DCD"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5A4A0D">
              <w:rPr>
                <w:szCs w:val="20"/>
              </w:rPr>
              <w:t>Latitude</w:t>
            </w:r>
          </w:p>
        </w:tc>
        <w:tc>
          <w:tcPr>
            <w:tcW w:w="1417" w:type="dxa"/>
            <w:hideMark/>
          </w:tcPr>
          <w:p w14:paraId="09D23E39" w14:textId="77777777" w:rsidR="00D50BBA" w:rsidRPr="00406DCD"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5A4A0D">
              <w:rPr>
                <w:szCs w:val="20"/>
              </w:rPr>
              <w:t>Longitude</w:t>
            </w:r>
          </w:p>
        </w:tc>
        <w:tc>
          <w:tcPr>
            <w:tcW w:w="3544" w:type="dxa"/>
            <w:hideMark/>
          </w:tcPr>
          <w:p w14:paraId="61A9D989" w14:textId="2410A960" w:rsidR="00D50BBA" w:rsidRPr="00406DCD"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5A4A0D">
              <w:rPr>
                <w:szCs w:val="20"/>
              </w:rPr>
              <w:t xml:space="preserve">Site </w:t>
            </w:r>
            <w:r w:rsidR="00406DCD">
              <w:rPr>
                <w:szCs w:val="20"/>
              </w:rPr>
              <w:t>n</w:t>
            </w:r>
            <w:r w:rsidRPr="005A4A0D">
              <w:rPr>
                <w:szCs w:val="20"/>
              </w:rPr>
              <w:t>ame</w:t>
            </w:r>
          </w:p>
        </w:tc>
        <w:tc>
          <w:tcPr>
            <w:tcW w:w="1134" w:type="dxa"/>
            <w:hideMark/>
          </w:tcPr>
          <w:p w14:paraId="4C0B4BE3" w14:textId="77777777" w:rsidR="00D50BBA" w:rsidRPr="00406DCD"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5A4A0D">
              <w:rPr>
                <w:szCs w:val="20"/>
              </w:rPr>
              <w:t>Site ID</w:t>
            </w:r>
          </w:p>
        </w:tc>
      </w:tr>
      <w:tr w:rsidR="00D50BBA" w:rsidRPr="00406DCD" w14:paraId="1C19A25E"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275124E" w14:textId="77777777" w:rsidR="00D50BBA" w:rsidRPr="00406DCD" w:rsidRDefault="00D50BBA">
            <w:pPr>
              <w:pStyle w:val="Paragraph"/>
              <w:spacing w:after="0"/>
              <w:rPr>
                <w:b w:val="0"/>
                <w:bCs w:val="0"/>
                <w:szCs w:val="20"/>
              </w:rPr>
            </w:pPr>
            <w:r w:rsidRPr="00406DCD">
              <w:rPr>
                <w:b w:val="0"/>
                <w:bCs w:val="0"/>
                <w:szCs w:val="20"/>
              </w:rPr>
              <w:t>NSW</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04C263C"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-33.820079</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46394DA"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151.185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B524CDC"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ABC Tower 221 Pacific Highway GORE HILL</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F5B495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48711</w:t>
            </w:r>
          </w:p>
        </w:tc>
      </w:tr>
      <w:tr w:rsidR="00D50BBA" w:rsidRPr="00406DCD" w14:paraId="500D12C6"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E76AB1F" w14:textId="77777777" w:rsidR="00D50BBA" w:rsidRPr="00406DCD" w:rsidRDefault="00D50BBA">
            <w:pPr>
              <w:pStyle w:val="Paragraph"/>
              <w:spacing w:after="0"/>
              <w:rPr>
                <w:b w:val="0"/>
                <w:bCs w:val="0"/>
                <w:szCs w:val="20"/>
              </w:rPr>
            </w:pPr>
            <w:r w:rsidRPr="00406DCD">
              <w:rPr>
                <w:b w:val="0"/>
                <w:bCs w:val="0"/>
                <w:szCs w:val="20"/>
              </w:rPr>
              <w:t>NSW</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98F75DD"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-33.861548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FA98291"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150.854947</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502C200"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Axicom 102.7m Lattice Tower 77-89 Border Rd HORSLEY PARK</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5D9653A"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201854</w:t>
            </w:r>
          </w:p>
        </w:tc>
      </w:tr>
      <w:tr w:rsidR="00D50BBA" w:rsidRPr="00406DCD" w14:paraId="165DDCF2"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0961252" w14:textId="77777777" w:rsidR="00D50BBA" w:rsidRPr="00406DCD" w:rsidRDefault="00D50BBA">
            <w:pPr>
              <w:pStyle w:val="Paragraph"/>
              <w:spacing w:after="0"/>
              <w:rPr>
                <w:b w:val="0"/>
                <w:bCs w:val="0"/>
                <w:szCs w:val="20"/>
              </w:rPr>
            </w:pPr>
            <w:r w:rsidRPr="00406DCD">
              <w:rPr>
                <w:b w:val="0"/>
                <w:bCs w:val="0"/>
                <w:szCs w:val="20"/>
              </w:rPr>
              <w:t>NSW</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84985D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-33.805516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7A06FD4"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151.18076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0EF1957"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TXA Artarmon Site Tower 192-196 Hampden Road ARTARMON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FAC0C3A"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4045</w:t>
            </w:r>
          </w:p>
        </w:tc>
      </w:tr>
      <w:tr w:rsidR="00D50BBA" w:rsidRPr="00406DCD" w14:paraId="57E11075"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9F1FB85" w14:textId="77777777" w:rsidR="00D50BBA" w:rsidRPr="00406DCD" w:rsidRDefault="00D50BBA">
            <w:pPr>
              <w:pStyle w:val="Paragraph"/>
              <w:spacing w:after="0"/>
              <w:rPr>
                <w:b w:val="0"/>
                <w:bCs w:val="0"/>
                <w:szCs w:val="20"/>
              </w:rPr>
            </w:pPr>
            <w:r w:rsidRPr="00406DCD">
              <w:rPr>
                <w:b w:val="0"/>
                <w:bCs w:val="0"/>
                <w:szCs w:val="20"/>
              </w:rPr>
              <w:t>NSW</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34ADB5B"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-33.811691</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9CE1B2F"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151.195969</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2F5ADD8"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TXA Willoughby Site Tower 15 Richmond Avenue WILLOUGHBY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61B1429"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4129</w:t>
            </w:r>
          </w:p>
        </w:tc>
      </w:tr>
      <w:tr w:rsidR="00D50BBA" w:rsidRPr="00406DCD" w14:paraId="2DEC4572"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0412EBE" w14:textId="77777777" w:rsidR="00D50BBA" w:rsidRPr="00406DCD" w:rsidRDefault="00D50BBA">
            <w:pPr>
              <w:pStyle w:val="Paragraph"/>
              <w:spacing w:after="0"/>
              <w:rPr>
                <w:b w:val="0"/>
                <w:bCs w:val="0"/>
                <w:szCs w:val="20"/>
              </w:rPr>
            </w:pPr>
            <w:r w:rsidRPr="00406DCD">
              <w:rPr>
                <w:b w:val="0"/>
                <w:bCs w:val="0"/>
                <w:szCs w:val="20"/>
              </w:rPr>
              <w:t>QLD</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FAB31DA"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-27.466378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5A4315E"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152.943371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706AD53"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TXA B-Site Tower 560 Sir Samuel Griffith Drive MOUNT COOT-THA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634429C"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12757</w:t>
            </w:r>
          </w:p>
        </w:tc>
      </w:tr>
      <w:tr w:rsidR="00D50BBA" w:rsidRPr="00406DCD" w14:paraId="66EF3BF2"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C30FA08" w14:textId="77777777" w:rsidR="00D50BBA" w:rsidRPr="00406DCD" w:rsidRDefault="00D50BBA">
            <w:pPr>
              <w:pStyle w:val="Paragraph"/>
              <w:spacing w:after="0"/>
              <w:rPr>
                <w:b w:val="0"/>
                <w:bCs w:val="0"/>
                <w:szCs w:val="20"/>
              </w:rPr>
            </w:pPr>
            <w:r w:rsidRPr="00406DCD">
              <w:rPr>
                <w:b w:val="0"/>
                <w:bCs w:val="0"/>
                <w:szCs w:val="20"/>
              </w:rPr>
              <w:t xml:space="preserve">SA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DF4FA05"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-34.908683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A2867FD"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138.576069</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B2A040B"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Channel 7 Adelaide 40 Port Road HINDMARSH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5E9D723"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9004134</w:t>
            </w:r>
          </w:p>
        </w:tc>
      </w:tr>
      <w:tr w:rsidR="00D50BBA" w:rsidRPr="00406DCD" w14:paraId="1B5D7ED9"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2DB91C7" w14:textId="77777777" w:rsidR="00D50BBA" w:rsidRPr="00406DCD" w:rsidRDefault="00D50BBA">
            <w:pPr>
              <w:pStyle w:val="Paragraph"/>
              <w:spacing w:after="0"/>
              <w:rPr>
                <w:b w:val="0"/>
                <w:bCs w:val="0"/>
                <w:szCs w:val="20"/>
              </w:rPr>
            </w:pPr>
            <w:r w:rsidRPr="00406DCD">
              <w:rPr>
                <w:b w:val="0"/>
                <w:bCs w:val="0"/>
                <w:szCs w:val="20"/>
              </w:rPr>
              <w:t xml:space="preserve">SA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C74311F"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-34.982397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08D4416"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138.708346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679D7F5"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TXA NWS Site Tower 109 Summit Road CRAFERS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B5EB549"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23132</w:t>
            </w:r>
          </w:p>
        </w:tc>
      </w:tr>
      <w:tr w:rsidR="00D50BBA" w:rsidRPr="00406DCD" w14:paraId="4C116A95"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CD80FB0" w14:textId="77777777" w:rsidR="00D50BBA" w:rsidRPr="00406DCD" w:rsidRDefault="00D50BBA">
            <w:pPr>
              <w:pStyle w:val="Paragraph"/>
              <w:spacing w:after="0"/>
              <w:rPr>
                <w:b w:val="0"/>
                <w:bCs w:val="0"/>
                <w:szCs w:val="20"/>
              </w:rPr>
            </w:pPr>
            <w:r w:rsidRPr="00406DCD">
              <w:rPr>
                <w:b w:val="0"/>
                <w:bCs w:val="0"/>
                <w:szCs w:val="20"/>
              </w:rPr>
              <w:t xml:space="preserve">SA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7DED05E"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-34.98104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9EC82AF"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138.708078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15E59EE"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TXA Crafers Site Tower 115 Mount Lofty Summit Road CRAFERS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BACB7BC"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23181</w:t>
            </w:r>
          </w:p>
        </w:tc>
      </w:tr>
      <w:tr w:rsidR="00D50BBA" w:rsidRPr="00406DCD" w14:paraId="02DFB000"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332BFD0" w14:textId="77777777" w:rsidR="00D50BBA" w:rsidRPr="00406DCD" w:rsidRDefault="00D50BBA">
            <w:pPr>
              <w:pStyle w:val="Paragraph"/>
              <w:spacing w:after="0"/>
              <w:rPr>
                <w:b w:val="0"/>
                <w:bCs w:val="0"/>
                <w:szCs w:val="20"/>
              </w:rPr>
            </w:pPr>
            <w:r w:rsidRPr="00406DCD">
              <w:rPr>
                <w:b w:val="0"/>
                <w:bCs w:val="0"/>
                <w:szCs w:val="20"/>
              </w:rPr>
              <w:t xml:space="preserve">SA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CF58373"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-34.978867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1C0BA67"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138.708543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9BBE346"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Broadcast Australia Site Summit Road CRAFERS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80AD6CF"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23139</w:t>
            </w:r>
          </w:p>
        </w:tc>
      </w:tr>
      <w:tr w:rsidR="00D50BBA" w:rsidRPr="00406DCD" w14:paraId="4979938C"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A6F9995"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663E212"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-37.810323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0E47719"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144.967818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7B9DA84"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150 Lonsdale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000CB06"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38812</w:t>
            </w:r>
          </w:p>
        </w:tc>
      </w:tr>
      <w:tr w:rsidR="00D50BBA" w:rsidRPr="00406DCD" w14:paraId="45B32A0E"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81E510D"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E184ED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-37.835419</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5957642"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145.347735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1E687E2"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TXA Eyre Road Site Tower 8 Eyre Road MT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3F7D500"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12015</w:t>
            </w:r>
          </w:p>
        </w:tc>
      </w:tr>
      <w:tr w:rsidR="00D50BBA" w:rsidRPr="00406DCD" w14:paraId="4DAD54A5"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56138C0"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DCAD32C"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-37.81852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9142C61"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144.957141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5F76692"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Rialto Towers 525 Collins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F26C701"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11599</w:t>
            </w:r>
          </w:p>
        </w:tc>
      </w:tr>
      <w:tr w:rsidR="00D50BBA" w:rsidRPr="00406DCD" w14:paraId="251433CA"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D950B45"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9DE1AED"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-37.813822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8BBCD2A"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144.969482</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7BAA0A4"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120 Collins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DB1B25A"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11596</w:t>
            </w:r>
          </w:p>
        </w:tc>
      </w:tr>
      <w:tr w:rsidR="00D50BBA" w:rsidRPr="00406DCD" w14:paraId="10817C13"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313810F"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E4AEA86"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-37.834892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B13FADC"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145.348713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88B9E37"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BAI Comms Site 116-118 Ridge Rd MOUNT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F418B14"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12014</w:t>
            </w:r>
          </w:p>
        </w:tc>
      </w:tr>
      <w:tr w:rsidR="00D50BBA" w:rsidRPr="00406DCD" w14:paraId="39601FEE"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281977A"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09D1476"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-37.881244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526D759"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144.999296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E203B10"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ABC-TV Studios 8 Gordon Street ELSTERNWICK</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586A477"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34582</w:t>
            </w:r>
          </w:p>
        </w:tc>
      </w:tr>
      <w:tr w:rsidR="00D50BBA" w:rsidRPr="00406DCD" w14:paraId="300E2C90"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7B5B7DE"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15B8149"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-37.837476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E7BABDB"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145.34661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97CBE56"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TXA Ornata Road Site Tower 12 Ornata Road MOUNT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19EB18D"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12013</w:t>
            </w:r>
          </w:p>
        </w:tc>
      </w:tr>
      <w:tr w:rsidR="00D50BBA" w:rsidRPr="00406DCD" w14:paraId="35559920"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AD06EF3"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93D2391"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-37.828469</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98A297F"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145.353401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466D357"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TXA Observatory Road Site Tower 20-24 Observatory Road MT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7C6812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12010</w:t>
            </w:r>
          </w:p>
        </w:tc>
      </w:tr>
      <w:tr w:rsidR="00D50BBA" w:rsidRPr="00406DCD" w14:paraId="3160B409"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FE01FF1" w14:textId="77777777" w:rsidR="00D50BBA" w:rsidRPr="00406DCD" w:rsidRDefault="00D50BBA">
            <w:pPr>
              <w:pStyle w:val="Paragraph"/>
              <w:spacing w:after="0"/>
              <w:rPr>
                <w:b w:val="0"/>
                <w:bCs w:val="0"/>
                <w:szCs w:val="20"/>
              </w:rPr>
            </w:pPr>
            <w:r w:rsidRPr="00406DCD">
              <w:rPr>
                <w:b w:val="0"/>
                <w:bCs w:val="0"/>
                <w:szCs w:val="20"/>
              </w:rPr>
              <w:t>VIC</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43626AF"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-37.886475</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C76E203"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144.269148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7C97026"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Police &amp; Ambulance Site MT ANAKIE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5E01A5F"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11694</w:t>
            </w:r>
          </w:p>
        </w:tc>
      </w:tr>
      <w:tr w:rsidR="00D50BBA" w:rsidRPr="00406DCD" w14:paraId="472002C9"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5E78B1E" w14:textId="77777777" w:rsidR="00D50BBA" w:rsidRPr="00406DCD" w:rsidRDefault="00D50BBA">
            <w:pPr>
              <w:pStyle w:val="Paragraph"/>
              <w:spacing w:after="0"/>
              <w:rPr>
                <w:b w:val="0"/>
                <w:bCs w:val="0"/>
                <w:szCs w:val="20"/>
              </w:rPr>
            </w:pPr>
            <w:r w:rsidRPr="00406DCD">
              <w:rPr>
                <w:b w:val="0"/>
                <w:bCs w:val="0"/>
                <w:szCs w:val="20"/>
              </w:rPr>
              <w:t xml:space="preserve">WA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ED0F38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-31.88197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11BAF5A"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115.857527</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E22EEC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Channel Seven Perth Off Dianella Dr Dianella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D2F3563"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142069</w:t>
            </w:r>
          </w:p>
        </w:tc>
      </w:tr>
      <w:tr w:rsidR="00D50BBA" w:rsidRPr="00406DCD" w14:paraId="00795458"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217C18C" w14:textId="77777777" w:rsidR="00D50BBA" w:rsidRPr="00406DCD" w:rsidRDefault="00D50BBA">
            <w:pPr>
              <w:pStyle w:val="Paragraph"/>
              <w:spacing w:after="0"/>
              <w:rPr>
                <w:b w:val="0"/>
                <w:bCs w:val="0"/>
                <w:szCs w:val="20"/>
              </w:rPr>
            </w:pPr>
            <w:r w:rsidRPr="00406DCD">
              <w:rPr>
                <w:b w:val="0"/>
                <w:bCs w:val="0"/>
                <w:szCs w:val="20"/>
              </w:rPr>
              <w:t xml:space="preserve">WA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468DA3F"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-31.884531</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5897A2D"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115.859305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62101A4"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Channel 9 TV Studios Hayes Avenue DIANELLA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B48BCA2"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26523</w:t>
            </w:r>
          </w:p>
        </w:tc>
      </w:tr>
      <w:tr w:rsidR="00D50BBA" w:rsidRPr="00406DCD" w14:paraId="1B377282"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9A55E01" w14:textId="77777777" w:rsidR="00D50BBA" w:rsidRPr="00406DCD" w:rsidRDefault="00D50BBA">
            <w:pPr>
              <w:pStyle w:val="Paragraph"/>
              <w:spacing w:after="0"/>
              <w:rPr>
                <w:b w:val="0"/>
                <w:bCs w:val="0"/>
                <w:szCs w:val="20"/>
              </w:rPr>
            </w:pPr>
            <w:r w:rsidRPr="00406DCD">
              <w:rPr>
                <w:b w:val="0"/>
                <w:bCs w:val="0"/>
                <w:szCs w:val="20"/>
              </w:rPr>
              <w:t xml:space="preserve">WA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8142261"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-31.954606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777DC9F"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115.857086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C57A37D"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Bank West Tower 108 St Georges Terrace PERTH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927E98C"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25931</w:t>
            </w:r>
          </w:p>
        </w:tc>
      </w:tr>
      <w:tr w:rsidR="00D50BBA" w:rsidRPr="00406DCD" w14:paraId="1D564BE7"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930A61D" w14:textId="77777777" w:rsidR="00D50BBA" w:rsidRPr="00406DCD" w:rsidRDefault="00D50BBA">
            <w:pPr>
              <w:pStyle w:val="Paragraph"/>
              <w:spacing w:after="0"/>
              <w:rPr>
                <w:b w:val="0"/>
                <w:bCs w:val="0"/>
                <w:szCs w:val="20"/>
              </w:rPr>
            </w:pPr>
            <w:r w:rsidRPr="00406DCD">
              <w:rPr>
                <w:b w:val="0"/>
                <w:bCs w:val="0"/>
                <w:szCs w:val="20"/>
              </w:rPr>
              <w:t xml:space="preserve">WA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A618BEA"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-32.012667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B4160A2"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116.061768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624EB6A"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TXA Carmel Site 255 Welshpool Road East CARMEL</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167FCB3"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26624</w:t>
            </w:r>
          </w:p>
        </w:tc>
      </w:tr>
      <w:tr w:rsidR="00D50BBA" w:rsidRPr="00406DCD" w14:paraId="295F9D29"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2AA8D79" w14:textId="77777777" w:rsidR="00D50BBA" w:rsidRPr="00406DCD" w:rsidRDefault="00D50BBA">
            <w:pPr>
              <w:pStyle w:val="Paragraph"/>
              <w:spacing w:after="0"/>
              <w:rPr>
                <w:b w:val="0"/>
                <w:bCs w:val="0"/>
                <w:szCs w:val="20"/>
              </w:rPr>
            </w:pPr>
            <w:r w:rsidRPr="00406DCD">
              <w:rPr>
                <w:b w:val="0"/>
                <w:bCs w:val="0"/>
                <w:szCs w:val="20"/>
              </w:rPr>
              <w:t xml:space="preserve">WA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4022968"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-32.008347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1FB5B70"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116.084151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2EFBDAB"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Tower TXA Bickley Site Television Road BICKLEY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24C04C4" w14:textId="77777777" w:rsidR="00D50BBA" w:rsidRPr="00406DCD"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406DCD">
              <w:rPr>
                <w:szCs w:val="20"/>
              </w:rPr>
              <w:t>26647</w:t>
            </w:r>
          </w:p>
        </w:tc>
      </w:tr>
      <w:tr w:rsidR="00D50BBA" w:rsidRPr="00406DCD" w14:paraId="304BBD93" w14:textId="77777777" w:rsidTr="009F7CC8">
        <w:tc>
          <w:tcPr>
            <w:cnfStyle w:val="001000000000" w:firstRow="0" w:lastRow="0" w:firstColumn="1" w:lastColumn="0" w:oddVBand="0" w:evenVBand="0" w:oddHBand="0" w:evenHBand="0" w:firstRowFirstColumn="0" w:firstRowLastColumn="0" w:lastRowFirstColumn="0" w:lastRowLastColumn="0"/>
            <w:tcW w:w="738"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41CEC16" w14:textId="77777777" w:rsidR="00D50BBA" w:rsidRPr="00406DCD" w:rsidRDefault="00D50BBA">
            <w:pPr>
              <w:pStyle w:val="Paragraph"/>
              <w:spacing w:after="0"/>
              <w:rPr>
                <w:b w:val="0"/>
                <w:bCs w:val="0"/>
                <w:szCs w:val="20"/>
              </w:rPr>
            </w:pPr>
            <w:r w:rsidRPr="00406DCD">
              <w:rPr>
                <w:b w:val="0"/>
                <w:bCs w:val="0"/>
                <w:szCs w:val="20"/>
              </w:rPr>
              <w:t xml:space="preserve">WA </w:t>
            </w:r>
          </w:p>
        </w:tc>
        <w:tc>
          <w:tcPr>
            <w:tcW w:w="138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499D8B0"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-31.878311</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D1AC9D4"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115.859826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7BDA774"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New10 Cottonwood Cres DIANELLA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1CDD405" w14:textId="77777777" w:rsidR="00D50BBA" w:rsidRPr="00406DCD"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406DCD">
              <w:rPr>
                <w:szCs w:val="20"/>
              </w:rPr>
              <w:t>34599</w:t>
            </w:r>
          </w:p>
        </w:tc>
      </w:tr>
    </w:tbl>
    <w:p w14:paraId="7E1C9333" w14:textId="6FD4F6BB" w:rsidR="00D50BBA" w:rsidRDefault="00D50BBA" w:rsidP="009F7CC8">
      <w:pPr>
        <w:pStyle w:val="Heading2"/>
        <w:spacing w:after="120"/>
      </w:pPr>
      <w:bookmarkStart w:id="28" w:name="_Toc107506516"/>
      <w:r>
        <w:lastRenderedPageBreak/>
        <w:t>List of moderate gain</w:t>
      </w:r>
      <w:r w:rsidR="00CC3FDE">
        <w:rPr>
          <w:rStyle w:val="FootnoteReference"/>
        </w:rPr>
        <w:footnoteReference w:id="17"/>
      </w:r>
      <w:r>
        <w:t xml:space="preserve"> TOB sites</w:t>
      </w:r>
      <w:bookmarkEnd w:id="28"/>
    </w:p>
    <w:tbl>
      <w:tblPr>
        <w:tblStyle w:val="GridTable4"/>
        <w:tblW w:w="5363" w:type="pct"/>
        <w:tblInd w:w="0" w:type="dxa"/>
        <w:tblCellMar>
          <w:top w:w="28" w:type="dxa"/>
          <w:left w:w="57" w:type="dxa"/>
          <w:bottom w:w="28" w:type="dxa"/>
          <w:right w:w="57" w:type="dxa"/>
        </w:tblCellMar>
        <w:tblLook w:val="04A0" w:firstRow="1" w:lastRow="0" w:firstColumn="1" w:lastColumn="0" w:noHBand="0" w:noVBand="1"/>
      </w:tblPr>
      <w:tblGrid>
        <w:gridCol w:w="722"/>
        <w:gridCol w:w="1400"/>
        <w:gridCol w:w="1417"/>
        <w:gridCol w:w="3544"/>
        <w:gridCol w:w="1134"/>
      </w:tblGrid>
      <w:tr w:rsidR="00D50BBA" w:rsidRPr="009F7CC8" w14:paraId="59DEBFB1" w14:textId="77777777" w:rsidTr="009F7CC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722" w:type="dxa"/>
            <w:hideMark/>
          </w:tcPr>
          <w:p w14:paraId="29480643" w14:textId="77777777" w:rsidR="00D50BBA" w:rsidRPr="009F7CC8" w:rsidRDefault="00D50BBA">
            <w:pPr>
              <w:pStyle w:val="Paragraph"/>
              <w:spacing w:after="0"/>
              <w:rPr>
                <w:szCs w:val="20"/>
              </w:rPr>
            </w:pPr>
            <w:r w:rsidRPr="009F7CC8">
              <w:rPr>
                <w:szCs w:val="20"/>
              </w:rPr>
              <w:t>State</w:t>
            </w:r>
          </w:p>
        </w:tc>
        <w:tc>
          <w:tcPr>
            <w:tcW w:w="1400" w:type="dxa"/>
            <w:hideMark/>
          </w:tcPr>
          <w:p w14:paraId="4B250032" w14:textId="77777777" w:rsidR="00D50BBA" w:rsidRPr="009F7CC8"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9F7CC8">
              <w:rPr>
                <w:szCs w:val="20"/>
              </w:rPr>
              <w:t>Latitude</w:t>
            </w:r>
          </w:p>
        </w:tc>
        <w:tc>
          <w:tcPr>
            <w:tcW w:w="1417" w:type="dxa"/>
            <w:hideMark/>
          </w:tcPr>
          <w:p w14:paraId="65855F6B" w14:textId="77777777" w:rsidR="00D50BBA" w:rsidRPr="009F7CC8"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9F7CC8">
              <w:rPr>
                <w:szCs w:val="20"/>
              </w:rPr>
              <w:t>Longitude</w:t>
            </w:r>
          </w:p>
        </w:tc>
        <w:tc>
          <w:tcPr>
            <w:tcW w:w="3544" w:type="dxa"/>
            <w:hideMark/>
          </w:tcPr>
          <w:p w14:paraId="48AA833B" w14:textId="2E3E8C36" w:rsidR="00D50BBA" w:rsidRPr="009F7CC8"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9F7CC8">
              <w:rPr>
                <w:szCs w:val="20"/>
              </w:rPr>
              <w:t xml:space="preserve">Site </w:t>
            </w:r>
            <w:r w:rsidR="009F7CC8" w:rsidRPr="009F7CC8">
              <w:rPr>
                <w:szCs w:val="20"/>
              </w:rPr>
              <w:t>n</w:t>
            </w:r>
            <w:r w:rsidRPr="009F7CC8">
              <w:rPr>
                <w:szCs w:val="20"/>
              </w:rPr>
              <w:t>ame</w:t>
            </w:r>
          </w:p>
        </w:tc>
        <w:tc>
          <w:tcPr>
            <w:tcW w:w="1134" w:type="dxa"/>
            <w:hideMark/>
          </w:tcPr>
          <w:p w14:paraId="507955D5" w14:textId="77777777" w:rsidR="00D50BBA" w:rsidRPr="009F7CC8" w:rsidRDefault="00D50BBA">
            <w:pPr>
              <w:pStyle w:val="Paragraph"/>
              <w:spacing w:after="0"/>
              <w:cnfStyle w:val="100000000000" w:firstRow="1" w:lastRow="0" w:firstColumn="0" w:lastColumn="0" w:oddVBand="0" w:evenVBand="0" w:oddHBand="0" w:evenHBand="0" w:firstRowFirstColumn="0" w:firstRowLastColumn="0" w:lastRowFirstColumn="0" w:lastRowLastColumn="0"/>
              <w:rPr>
                <w:szCs w:val="20"/>
              </w:rPr>
            </w:pPr>
            <w:r w:rsidRPr="009F7CC8">
              <w:rPr>
                <w:szCs w:val="20"/>
              </w:rPr>
              <w:t>Site ID</w:t>
            </w:r>
          </w:p>
        </w:tc>
      </w:tr>
      <w:tr w:rsidR="00D50BBA" w:rsidRPr="009F7CC8" w14:paraId="4C45F83B"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16CD80B" w14:textId="77777777" w:rsidR="00D50BBA" w:rsidRPr="009F7CC8" w:rsidRDefault="00D50BBA">
            <w:pPr>
              <w:pStyle w:val="Paragraph"/>
              <w:spacing w:after="0"/>
              <w:rPr>
                <w:b w:val="0"/>
                <w:bCs w:val="0"/>
                <w:szCs w:val="20"/>
              </w:rPr>
            </w:pPr>
            <w:r w:rsidRPr="009F7CC8">
              <w:rPr>
                <w:b w:val="0"/>
                <w:bCs w:val="0"/>
                <w:szCs w:val="20"/>
              </w:rPr>
              <w:t>ACT</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7A909A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-35.270042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AE4BFA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149.158275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49893E1"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Ainslie Lookout MT AINSLIE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C6DD30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9602</w:t>
            </w:r>
          </w:p>
        </w:tc>
      </w:tr>
      <w:tr w:rsidR="00D50BBA" w:rsidRPr="009F7CC8" w14:paraId="0F6415FB"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350C1EE" w14:textId="77777777" w:rsidR="00D50BBA" w:rsidRPr="009F7CC8" w:rsidRDefault="00D50BBA">
            <w:pPr>
              <w:pStyle w:val="Paragraph"/>
              <w:spacing w:after="0"/>
              <w:rPr>
                <w:b w:val="0"/>
                <w:bCs w:val="0"/>
                <w:szCs w:val="20"/>
              </w:rPr>
            </w:pPr>
            <w:r w:rsidRPr="009F7CC8">
              <w:rPr>
                <w:b w:val="0"/>
                <w:bCs w:val="0"/>
                <w:szCs w:val="20"/>
              </w:rPr>
              <w:t>ACT</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C2CA0C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-35.275515</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720B98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149.097771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D7B261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Telecom Tower BLACK MOUNTAIN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87158A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9580</w:t>
            </w:r>
          </w:p>
        </w:tc>
      </w:tr>
      <w:tr w:rsidR="00D50BBA" w:rsidRPr="009F7CC8" w14:paraId="265E1B61"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DAC00F3"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AAD17B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-33.805516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D727142"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151.18076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A6FE54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TXA Artarmon Site Tower 192-196 Hampden Road ARTARMON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1BB37F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4045</w:t>
            </w:r>
          </w:p>
        </w:tc>
      </w:tr>
      <w:tr w:rsidR="00D50BBA" w:rsidRPr="009F7CC8" w14:paraId="19AF64CE"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34D1143"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E9BF39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-33.868697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FDC767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151.209364</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7B9B42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MLC Centre 19-29 Martin Place SYDNEY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A4239C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3351</w:t>
            </w:r>
          </w:p>
        </w:tc>
      </w:tr>
      <w:tr w:rsidR="00D50BBA" w:rsidRPr="009F7CC8" w14:paraId="511A8C8A"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8BB00AF"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9162F36"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-33.870388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31E0B5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151.20912</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2A64247"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Centre Point Tower 112 Market St SYDNEY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F497BA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9002613</w:t>
            </w:r>
          </w:p>
        </w:tc>
      </w:tr>
      <w:tr w:rsidR="00D50BBA" w:rsidRPr="009F7CC8" w14:paraId="5DA17220"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28E6B2B"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CB20CB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-33.811691</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59E95E2"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151.195969</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FE8E1E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TXA Willoughby Site Tower 15 Richmond Avenue WILLOUGHBY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43057B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4129</w:t>
            </w:r>
          </w:p>
        </w:tc>
      </w:tr>
      <w:tr w:rsidR="00D50BBA" w:rsidRPr="009F7CC8" w14:paraId="4304C40A"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5A41862"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3482A8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-33.867456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293C54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151.21085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A04C90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Colonial Centre 52 Martin Place SYDNEY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4A1ECC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3253</w:t>
            </w:r>
          </w:p>
        </w:tc>
      </w:tr>
      <w:tr w:rsidR="00D50BBA" w:rsidRPr="009F7CC8" w14:paraId="3EA8D516"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8E18D40"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FF48D0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-33.896668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3D2B83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151.19389</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5F19682"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Seven Network Studios 8 Central Avenue EVELEIGH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027B71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138664</w:t>
            </w:r>
          </w:p>
        </w:tc>
      </w:tr>
      <w:tr w:rsidR="00D50BBA" w:rsidRPr="009F7CC8" w14:paraId="036BCB22"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E038914"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8AEA72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-33.870174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F5013D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151.190145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E15ABD8"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Building C 19-33 Saunders St PYRMONT</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06E52C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203119</w:t>
            </w:r>
          </w:p>
        </w:tc>
      </w:tr>
      <w:tr w:rsidR="00D50BBA" w:rsidRPr="009F7CC8" w14:paraId="06C23081"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95C9B76"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0C4DBF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-34.147242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B37E50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150.67077</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A5B1EC2"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Wollondilly Council RFS site Lot 3 Mount Hercules Rd RAZORBACK RANGE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4B7B5B2"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34904</w:t>
            </w:r>
          </w:p>
        </w:tc>
      </w:tr>
      <w:tr w:rsidR="00D50BBA" w:rsidRPr="009F7CC8" w14:paraId="0707646E"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2CB793D"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2F6F1B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-33.891238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6A43AD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151.250068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5734FB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Optus site Tower 2 Westfield Plaza 500 Oxford Street BONDI JUNCTION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3C6A727"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34680</w:t>
            </w:r>
          </w:p>
        </w:tc>
      </w:tr>
      <w:tr w:rsidR="00D50BBA" w:rsidRPr="009F7CC8" w14:paraId="5A2D0CBB"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1A47A98"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E00009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-33.934298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124A0B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151.157471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53654D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Airport Hilton Marsh Street ARNCLIFFE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062679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5290</w:t>
            </w:r>
          </w:p>
        </w:tc>
      </w:tr>
      <w:tr w:rsidR="00D50BBA" w:rsidRPr="009F7CC8" w14:paraId="182CADF3"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D4E4BF6"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FC4DF0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-33.931287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EADE8E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151.185445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0CC2D46"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Cnr Oriordan &amp; Robey Sts MASCOT</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3F1A3F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3650</w:t>
            </w:r>
          </w:p>
        </w:tc>
      </w:tr>
      <w:tr w:rsidR="00D50BBA" w:rsidRPr="009F7CC8" w14:paraId="1C6AAC7E"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51A0E22"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39CF36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-33.849872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733D54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151.057816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A8A94A2"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RFS Site 15 Carter St HOMEBUSH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174E46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404460</w:t>
            </w:r>
          </w:p>
        </w:tc>
      </w:tr>
      <w:tr w:rsidR="00D50BBA" w:rsidRPr="009F7CC8" w14:paraId="305ADB4F"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3682149"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CD1BA4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-32.890196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4E2DCB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151.538894</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E3A9D3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NBN TV Site Mt Sugarloaf  3A Mount Sugarloaf Rd WEST WALLSEND</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9AF2CE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5838</w:t>
            </w:r>
          </w:p>
        </w:tc>
      </w:tr>
      <w:tr w:rsidR="00D50BBA" w:rsidRPr="009F7CC8" w14:paraId="10854BA7"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89C386C" w14:textId="77777777" w:rsidR="00D50BBA" w:rsidRPr="009F7CC8" w:rsidRDefault="00D50BBA">
            <w:pPr>
              <w:pStyle w:val="Paragraph"/>
              <w:spacing w:after="0"/>
              <w:rPr>
                <w:b w:val="0"/>
                <w:bCs w:val="0"/>
                <w:szCs w:val="20"/>
              </w:rPr>
            </w:pPr>
            <w:r w:rsidRPr="009F7CC8">
              <w:rPr>
                <w:b w:val="0"/>
                <w:bCs w:val="0"/>
                <w:szCs w:val="20"/>
              </w:rPr>
              <w:t>NSW</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C2D4F1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-33.546826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140069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150.616561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04A860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Miles Comms Site 2 246 Burralow Road KURRAJONG HEIGHTS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604C84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10143</w:t>
            </w:r>
          </w:p>
        </w:tc>
      </w:tr>
      <w:tr w:rsidR="00D50BBA" w:rsidRPr="009F7CC8" w14:paraId="6689B327"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4B40E0C" w14:textId="77777777" w:rsidR="00D50BBA" w:rsidRPr="009F7CC8" w:rsidRDefault="00D50BBA">
            <w:pPr>
              <w:pStyle w:val="Paragraph"/>
              <w:spacing w:after="0"/>
              <w:rPr>
                <w:b w:val="0"/>
                <w:bCs w:val="0"/>
                <w:szCs w:val="20"/>
              </w:rPr>
            </w:pPr>
            <w:r w:rsidRPr="009F7CC8">
              <w:rPr>
                <w:b w:val="0"/>
                <w:bCs w:val="0"/>
                <w:szCs w:val="20"/>
              </w:rPr>
              <w:t xml:space="preserve">NT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A8BCE07"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-12.46358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06BE36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130.840345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60069E6"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Mitchell Centre 55 Mitchell Street DARWIN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8EB50D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480820</w:t>
            </w:r>
          </w:p>
        </w:tc>
      </w:tr>
      <w:tr w:rsidR="00D50BBA" w:rsidRPr="009F7CC8" w14:paraId="35297800"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BAAD7F4" w14:textId="77777777" w:rsidR="00D50BBA" w:rsidRPr="009F7CC8" w:rsidRDefault="00D50BBA">
            <w:pPr>
              <w:pStyle w:val="Paragraph"/>
              <w:spacing w:after="0"/>
              <w:rPr>
                <w:b w:val="0"/>
                <w:bCs w:val="0"/>
                <w:szCs w:val="20"/>
              </w:rPr>
            </w:pPr>
            <w:r w:rsidRPr="009F7CC8">
              <w:rPr>
                <w:b w:val="0"/>
                <w:bCs w:val="0"/>
                <w:szCs w:val="20"/>
              </w:rPr>
              <w:t xml:space="preserve">NT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42B7DF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-12.464178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38D1E4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130.844383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7CFCC8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ABC Studios 16-18 Bennett Street DARWIN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9E65A7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34588</w:t>
            </w:r>
          </w:p>
        </w:tc>
      </w:tr>
      <w:tr w:rsidR="00D50BBA" w:rsidRPr="009F7CC8" w14:paraId="60E6B236"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2ED59A4" w14:textId="77777777" w:rsidR="00D50BBA" w:rsidRPr="009F7CC8" w:rsidRDefault="00D50BBA">
            <w:pPr>
              <w:pStyle w:val="Paragraph"/>
              <w:spacing w:after="0"/>
              <w:rPr>
                <w:b w:val="0"/>
                <w:bCs w:val="0"/>
                <w:szCs w:val="20"/>
              </w:rPr>
            </w:pPr>
            <w:r w:rsidRPr="009F7CC8">
              <w:rPr>
                <w:b w:val="0"/>
                <w:bCs w:val="0"/>
                <w:szCs w:val="20"/>
              </w:rPr>
              <w:t xml:space="preserve">NT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694A08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-12.448771</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EE00EF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130.837229</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4AC3B4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Lot 3119 Blake Street DARWIN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E6C041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1228</w:t>
            </w:r>
          </w:p>
        </w:tc>
      </w:tr>
      <w:tr w:rsidR="00D50BBA" w:rsidRPr="009F7CC8" w14:paraId="7035E006"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D4FAE1E" w14:textId="77777777" w:rsidR="00D50BBA" w:rsidRPr="009F7CC8" w:rsidRDefault="00D50BBA">
            <w:pPr>
              <w:pStyle w:val="Paragraph"/>
              <w:spacing w:after="0"/>
              <w:rPr>
                <w:b w:val="0"/>
                <w:bCs w:val="0"/>
                <w:szCs w:val="20"/>
              </w:rPr>
            </w:pPr>
            <w:r w:rsidRPr="009F7CC8">
              <w:rPr>
                <w:b w:val="0"/>
                <w:bCs w:val="0"/>
                <w:szCs w:val="20"/>
              </w:rPr>
              <w:t xml:space="preserve">NT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4D768F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-12.414473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6E2FB8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130.969253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CD7AF60"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Broadcast Australia Site 100 Deloraine Rd SHOAL BAY</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96FC71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139711</w:t>
            </w:r>
          </w:p>
        </w:tc>
      </w:tr>
      <w:tr w:rsidR="00D50BBA" w:rsidRPr="009F7CC8" w14:paraId="4D7984C8"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DE02D21" w14:textId="77777777" w:rsidR="00D50BBA" w:rsidRPr="009F7CC8" w:rsidRDefault="00D50BBA">
            <w:pPr>
              <w:pStyle w:val="Paragraph"/>
              <w:spacing w:after="0"/>
              <w:rPr>
                <w:b w:val="0"/>
                <w:bCs w:val="0"/>
                <w:szCs w:val="20"/>
              </w:rPr>
            </w:pPr>
            <w:r w:rsidRPr="009F7CC8">
              <w:rPr>
                <w:b w:val="0"/>
                <w:bCs w:val="0"/>
                <w:szCs w:val="20"/>
              </w:rPr>
              <w:t xml:space="preserve">NT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C303B01"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-12.458896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1548468"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130.836978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2686B1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Marrakai Building Lot 5440 (93) Smith Street DARWIN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AE20F7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1055</w:t>
            </w:r>
          </w:p>
        </w:tc>
      </w:tr>
      <w:tr w:rsidR="00D50BBA" w:rsidRPr="009F7CC8" w14:paraId="3FF2937B"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9E7D0FC"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D4935B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-27.464574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C9E124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152.94742</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730307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BAI Comms Site 620 Sir Samuel Griffith Drive MOUNT COOT-THA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EC03D0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12752</w:t>
            </w:r>
          </w:p>
        </w:tc>
      </w:tr>
      <w:tr w:rsidR="00D50BBA" w:rsidRPr="009F7CC8" w14:paraId="4CC77920"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810B045"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347381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-27.46313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E3E6DF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152.94813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C0E7B3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TXA T-Site Tower 445 Sir Samuel Griffith Drive MOUNT COOT-THA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29AEEC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12749</w:t>
            </w:r>
          </w:p>
        </w:tc>
      </w:tr>
      <w:tr w:rsidR="00D50BBA" w:rsidRPr="009F7CC8" w14:paraId="7BC670E4"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B7E8DE1"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115AEA1"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-27.471614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7D931A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152.942255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25395D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TXA Q-Site Tower 632 Sir Samuel Griffith Drive MOUNT COOT-THA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BA8F4D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12761</w:t>
            </w:r>
          </w:p>
        </w:tc>
      </w:tr>
      <w:tr w:rsidR="00D50BBA" w:rsidRPr="009F7CC8" w14:paraId="268F6A87"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6E5CAED"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8A68F62"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-27.472527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8D77FA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153.025353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E49672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111 George St BRISBANE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10777E5"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52966</w:t>
            </w:r>
          </w:p>
        </w:tc>
      </w:tr>
      <w:tr w:rsidR="00D50BBA" w:rsidRPr="009F7CC8" w14:paraId="2DBF884C"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6F68AD1" w14:textId="77777777" w:rsidR="00D50BBA" w:rsidRPr="009F7CC8" w:rsidRDefault="00D50BBA">
            <w:pPr>
              <w:pStyle w:val="Paragraph"/>
              <w:spacing w:after="0"/>
              <w:rPr>
                <w:b w:val="0"/>
                <w:bCs w:val="0"/>
                <w:szCs w:val="20"/>
              </w:rPr>
            </w:pPr>
            <w:r w:rsidRPr="009F7CC8">
              <w:rPr>
                <w:b w:val="0"/>
                <w:bCs w:val="0"/>
                <w:szCs w:val="20"/>
              </w:rPr>
              <w:lastRenderedPageBreak/>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B38629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-27.483962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D2B45E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153.036288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0264D5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Telstra Exchange 820 Main St WOOLLOONGABBA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872F8C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12930</w:t>
            </w:r>
          </w:p>
        </w:tc>
      </w:tr>
      <w:tr w:rsidR="00D50BBA" w:rsidRPr="009F7CC8" w14:paraId="52AEE3EF"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7DC8B73"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2DE8B5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-26.657085</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E93D31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153.091886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816987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140-142 Horton Pde MAROOCHYDORE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5E4B98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16209</w:t>
            </w:r>
          </w:p>
        </w:tc>
      </w:tr>
      <w:tr w:rsidR="00D50BBA" w:rsidRPr="009F7CC8" w14:paraId="53F11CE1"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A6B2AE2"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C58D88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-27.969604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7775DE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153.213366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95A3CD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GCT Mt Tamborine Site 103m Tower Golf Course Road MOUNT TAMBORINE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5DDAAD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403573</w:t>
            </w:r>
          </w:p>
        </w:tc>
      </w:tr>
      <w:tr w:rsidR="00D50BBA" w:rsidRPr="009F7CC8" w14:paraId="1D6AC3EE"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3EDC4EB"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3A85BC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-26.789909</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CD5335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152.918196</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A20435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Regional broadcaster tower Cnr Bald Knob Road and Landsborough-Maleny Road BALD KNOB</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2C512B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15894</w:t>
            </w:r>
          </w:p>
        </w:tc>
      </w:tr>
      <w:tr w:rsidR="00D50BBA" w:rsidRPr="009F7CC8" w14:paraId="0ADE56FE"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3EB3AB5"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23802E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-28.1384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9D426E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153.481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AE4E3E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GCT Currumbin Site Monopole 66 Crest Drive CURRUMBIN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A07DE0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40379</w:t>
            </w:r>
          </w:p>
        </w:tc>
      </w:tr>
      <w:tr w:rsidR="00D50BBA" w:rsidRPr="009F7CC8" w14:paraId="4F9CFF78"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EBBFF94"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D48982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-28.234736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502ADC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153.28894</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2D22E7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40m tower NRN Broadcast Site Bilbrough Lookout SPRINGBROOK</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44D96C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153528</w:t>
            </w:r>
          </w:p>
        </w:tc>
      </w:tr>
      <w:tr w:rsidR="00D50BBA" w:rsidRPr="009F7CC8" w14:paraId="0715BDC6"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5016F84"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31FFB63"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-27.991715</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CFBD60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153.428753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44F05A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Golden Gate Bldg Rooftop 3422 Gold Coast Hwy SURFERS PARADISE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6982D7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13795</w:t>
            </w:r>
          </w:p>
        </w:tc>
      </w:tr>
      <w:tr w:rsidR="00D50BBA" w:rsidRPr="009F7CC8" w14:paraId="6459A88F"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81E1298"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4BC3DD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-26.683062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49E2FA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153.136393</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3974135"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Breakwater Apartment Bldg 8 Pacific Bvd Pt Cartwright BUDDINA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CAD6DC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400580</w:t>
            </w:r>
          </w:p>
        </w:tc>
      </w:tr>
      <w:tr w:rsidR="00D50BBA" w:rsidRPr="009F7CC8" w14:paraId="03F07589"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EA46F68"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552D37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-27.7883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587E25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153.213012</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902D01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Crown Castle Site off Cliff Barons Road DARLINGTON RANGE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BF6BE5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13476</w:t>
            </w:r>
          </w:p>
        </w:tc>
      </w:tr>
      <w:tr w:rsidR="00D50BBA" w:rsidRPr="009F7CC8" w14:paraId="25DB456F"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AD9B427" w14:textId="77777777" w:rsidR="00D50BBA" w:rsidRPr="009F7CC8" w:rsidRDefault="00D50BBA">
            <w:pPr>
              <w:pStyle w:val="Paragraph"/>
              <w:spacing w:after="0"/>
              <w:rPr>
                <w:b w:val="0"/>
                <w:bCs w:val="0"/>
                <w:szCs w:val="20"/>
              </w:rPr>
            </w:pPr>
            <w:r w:rsidRPr="009F7CC8">
              <w:rPr>
                <w:b w:val="0"/>
                <w:bCs w:val="0"/>
                <w:szCs w:val="20"/>
              </w:rPr>
              <w:t>QLD</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CE11C86"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-28.002222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3103125"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153.426385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F3A4AE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QTQ 9 Offices 50 Cavill Avenue SURFERS PARADISE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A597B4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9022281</w:t>
            </w:r>
          </w:p>
        </w:tc>
      </w:tr>
      <w:tr w:rsidR="00D50BBA" w:rsidRPr="009F7CC8" w14:paraId="4CC5C0F4"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80389B7" w14:textId="77777777" w:rsidR="00D50BBA" w:rsidRPr="009F7CC8" w:rsidRDefault="00D50BBA">
            <w:pPr>
              <w:pStyle w:val="Paragraph"/>
              <w:spacing w:after="0"/>
              <w:rPr>
                <w:b w:val="0"/>
                <w:bCs w:val="0"/>
                <w:szCs w:val="20"/>
              </w:rPr>
            </w:pPr>
            <w:r w:rsidRPr="009F7CC8">
              <w:rPr>
                <w:b w:val="0"/>
                <w:bCs w:val="0"/>
                <w:szCs w:val="20"/>
              </w:rPr>
              <w:t xml:space="preserve">SA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AC71BE0"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-34.888076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3855DE1"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138.613894</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E6F642B"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ABC Building 85 North East Road COLLINSWOOD</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262A0F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22777</w:t>
            </w:r>
          </w:p>
        </w:tc>
      </w:tr>
      <w:tr w:rsidR="00D50BBA" w:rsidRPr="009F7CC8" w14:paraId="3A42B45C"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988247C" w14:textId="77777777" w:rsidR="00D50BBA" w:rsidRPr="009F7CC8" w:rsidRDefault="00D50BBA">
            <w:pPr>
              <w:pStyle w:val="Paragraph"/>
              <w:spacing w:after="0"/>
              <w:rPr>
                <w:b w:val="0"/>
                <w:bCs w:val="0"/>
                <w:szCs w:val="20"/>
              </w:rPr>
            </w:pPr>
            <w:r w:rsidRPr="009F7CC8">
              <w:rPr>
                <w:b w:val="0"/>
                <w:bCs w:val="0"/>
                <w:szCs w:val="20"/>
              </w:rPr>
              <w:t xml:space="preserve">SA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6EC8CB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-34.924828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BDE9F32"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138.598754</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68E17C8"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91 King William Street Currie Street Frontage Santos House ADELAIDE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4332C9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22170</w:t>
            </w:r>
          </w:p>
        </w:tc>
      </w:tr>
      <w:tr w:rsidR="00D50BBA" w:rsidRPr="009F7CC8" w14:paraId="0EF0FEC0"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C0E11E7" w14:textId="77777777" w:rsidR="00D50BBA" w:rsidRPr="009F7CC8" w:rsidRDefault="00D50BBA">
            <w:pPr>
              <w:pStyle w:val="Paragraph"/>
              <w:spacing w:after="0"/>
              <w:rPr>
                <w:b w:val="0"/>
                <w:bCs w:val="0"/>
                <w:szCs w:val="20"/>
              </w:rPr>
            </w:pPr>
            <w:r w:rsidRPr="009F7CC8">
              <w:rPr>
                <w:b w:val="0"/>
                <w:bCs w:val="0"/>
                <w:szCs w:val="20"/>
              </w:rPr>
              <w:t xml:space="preserve">SA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2D194A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-34.908683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D4073F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138.576069</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CAD34B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Channel 7 Adelaide 40 Port Road HINDMARSH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BCBA7C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9004134</w:t>
            </w:r>
          </w:p>
        </w:tc>
      </w:tr>
      <w:tr w:rsidR="00D50BBA" w:rsidRPr="009F7CC8" w14:paraId="49144416"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E69C3B9" w14:textId="77777777" w:rsidR="00D50BBA" w:rsidRPr="009F7CC8" w:rsidRDefault="00D50BBA">
            <w:pPr>
              <w:pStyle w:val="Paragraph"/>
              <w:spacing w:after="0"/>
              <w:rPr>
                <w:b w:val="0"/>
                <w:bCs w:val="0"/>
                <w:szCs w:val="20"/>
              </w:rPr>
            </w:pPr>
            <w:r w:rsidRPr="009F7CC8">
              <w:rPr>
                <w:b w:val="0"/>
                <w:bCs w:val="0"/>
                <w:szCs w:val="20"/>
              </w:rPr>
              <w:t xml:space="preserve">SA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A865DF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-34.98104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FD054D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138.708078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65413E7"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TXA Crafers Site Tower 115 Mount Lofty Summit Road CRAFERS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28C3D31"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23181</w:t>
            </w:r>
          </w:p>
        </w:tc>
      </w:tr>
      <w:tr w:rsidR="00D50BBA" w:rsidRPr="009F7CC8" w14:paraId="684333C4"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984DE2E" w14:textId="77777777" w:rsidR="00D50BBA" w:rsidRPr="009F7CC8" w:rsidRDefault="00D50BBA">
            <w:pPr>
              <w:pStyle w:val="Paragraph"/>
              <w:spacing w:after="0"/>
              <w:rPr>
                <w:b w:val="0"/>
                <w:bCs w:val="0"/>
                <w:szCs w:val="20"/>
              </w:rPr>
            </w:pPr>
            <w:r w:rsidRPr="009F7CC8">
              <w:rPr>
                <w:b w:val="0"/>
                <w:bCs w:val="0"/>
                <w:szCs w:val="20"/>
              </w:rPr>
              <w:t>TAS</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94C4A8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-42.878083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ED4D3C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147.332304</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5CD108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ABC Studios Brooker Avenue HOBART</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6FFA3F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32730</w:t>
            </w:r>
          </w:p>
        </w:tc>
      </w:tr>
      <w:tr w:rsidR="00D50BBA" w:rsidRPr="009F7CC8" w14:paraId="73215AF1"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525E700" w14:textId="77777777" w:rsidR="00D50BBA" w:rsidRPr="009F7CC8" w:rsidRDefault="00D50BBA">
            <w:pPr>
              <w:pStyle w:val="Paragraph"/>
              <w:spacing w:after="0"/>
              <w:rPr>
                <w:b w:val="0"/>
                <w:bCs w:val="0"/>
                <w:szCs w:val="20"/>
              </w:rPr>
            </w:pPr>
            <w:r w:rsidRPr="009F7CC8">
              <w:rPr>
                <w:b w:val="0"/>
                <w:bCs w:val="0"/>
                <w:szCs w:val="20"/>
              </w:rPr>
              <w:t>TAS</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A1BF46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-42.897566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D7C8BC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147.236358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E0C3CF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Broadcast Australia Site Pinnacle Rd MT WELLINGTON</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68CD056"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32830</w:t>
            </w:r>
          </w:p>
        </w:tc>
      </w:tr>
      <w:tr w:rsidR="00D50BBA" w:rsidRPr="009F7CC8" w14:paraId="15CA327D"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1AAB860"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D70193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-37.810323</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083FA6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144.967818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229BD2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150 Lonsdale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64A271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38812</w:t>
            </w:r>
          </w:p>
        </w:tc>
      </w:tr>
      <w:tr w:rsidR="00D50BBA" w:rsidRPr="009F7CC8" w14:paraId="41E3844E"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8FFA195"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1E67F22"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-37.815342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2A8296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144.945415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849E78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HSV-7 Bldg Colonial Stadium cnr La Trobe St Extn &amp; Harbour Espl DOCKLANDS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6450BD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102197</w:t>
            </w:r>
          </w:p>
        </w:tc>
      </w:tr>
      <w:tr w:rsidR="00D50BBA" w:rsidRPr="009F7CC8" w14:paraId="1F782DB5"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0577854"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6B0201B"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-37.837476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DCC93BB"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145.34661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C4C6AA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TXA Ornata Road Site Tower 12 Ornata Road MOUNT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AA4CDC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12013</w:t>
            </w:r>
          </w:p>
        </w:tc>
      </w:tr>
      <w:tr w:rsidR="00D50BBA" w:rsidRPr="009F7CC8" w14:paraId="274E2FC5"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07E3286"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4651A3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-37.835419</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5AC950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145.347735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8DD81C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TXA Eyre Road Site Tower 8 Eyre Road MT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4C8D2D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12015</w:t>
            </w:r>
          </w:p>
        </w:tc>
      </w:tr>
      <w:tr w:rsidR="00D50BBA" w:rsidRPr="009F7CC8" w14:paraId="27F59788"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D8B56FA"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594C0C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-37.828469</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6B4C48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145.353401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FE50D6C"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TXA Observatory Road Site Tower 20-24 Observatory Road MT DANDENONG</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140A48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12010</w:t>
            </w:r>
          </w:p>
        </w:tc>
      </w:tr>
      <w:tr w:rsidR="00D50BBA" w:rsidRPr="009F7CC8" w14:paraId="2F182A5A"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3C2FBE0"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A457995"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-37.81852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65629F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144.957141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29519B7"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Rialto Towers 525 Collins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D08364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11599</w:t>
            </w:r>
          </w:p>
        </w:tc>
      </w:tr>
      <w:tr w:rsidR="00D50BBA" w:rsidRPr="009F7CC8" w14:paraId="66EE1159"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4D1D8B46"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174C85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-37.814922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8363EC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144.970588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413CA63"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Broadcast/Comms Tower  Roof 101 Collins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164818DA"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11597</w:t>
            </w:r>
          </w:p>
        </w:tc>
      </w:tr>
      <w:tr w:rsidR="00D50BBA" w:rsidRPr="009F7CC8" w14:paraId="6019B413"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61C7F56" w14:textId="77777777" w:rsidR="00D50BBA" w:rsidRPr="009F7CC8" w:rsidRDefault="00D50BBA">
            <w:pPr>
              <w:pStyle w:val="Paragraph"/>
              <w:spacing w:after="0"/>
              <w:rPr>
                <w:b w:val="0"/>
                <w:bCs w:val="0"/>
                <w:szCs w:val="20"/>
              </w:rPr>
            </w:pPr>
            <w:r w:rsidRPr="009F7CC8">
              <w:rPr>
                <w:b w:val="0"/>
                <w:bCs w:val="0"/>
                <w:szCs w:val="20"/>
              </w:rPr>
              <w:lastRenderedPageBreak/>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E4DF7B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-37.813822</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023CE9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144.969482</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8B849E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120 Collins Street MELBOURNE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0F8B3E3"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11596</w:t>
            </w:r>
          </w:p>
        </w:tc>
      </w:tr>
      <w:tr w:rsidR="00D50BBA" w:rsidRPr="009F7CC8" w14:paraId="79C89AFC"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51E27FA"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0F0766B"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-37.886475</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3FB9D1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144.269148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6C77539"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Police &amp; Ambulance Site MT ANAKIE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CE8CB3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11694</w:t>
            </w:r>
          </w:p>
        </w:tc>
      </w:tr>
      <w:tr w:rsidR="00D50BBA" w:rsidRPr="009F7CC8" w14:paraId="4D2E92F9"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FEEBF3B"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52AF81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-38.173546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C7CC3BA"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144.300291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96D9EF2"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Broadcast Site Brownhill Heights Reserve CERES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D7784C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8000005</w:t>
            </w:r>
          </w:p>
        </w:tc>
      </w:tr>
      <w:tr w:rsidR="00D50BBA" w:rsidRPr="009F7CC8" w14:paraId="4AC20029"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EC946E2"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AB0F935"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-38.354268</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2554D6E"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144.952035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D88535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Air Services Australia Site Steane Ave ARTHURS SEAT</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1F33841"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9000919</w:t>
            </w:r>
          </w:p>
        </w:tc>
      </w:tr>
      <w:tr w:rsidR="00D50BBA" w:rsidRPr="009F7CC8" w14:paraId="19AECCD6"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F8D09FA" w14:textId="77777777" w:rsidR="00D50BBA" w:rsidRPr="009F7CC8" w:rsidRDefault="00D50BBA">
            <w:pPr>
              <w:pStyle w:val="Paragraph"/>
              <w:spacing w:after="0"/>
              <w:rPr>
                <w:b w:val="0"/>
                <w:bCs w:val="0"/>
                <w:szCs w:val="20"/>
              </w:rPr>
            </w:pPr>
            <w:r w:rsidRPr="009F7CC8">
              <w:rPr>
                <w:b w:val="0"/>
                <w:bCs w:val="0"/>
                <w:szCs w:val="20"/>
              </w:rPr>
              <w:t>VIC</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30C47092"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-37.813625</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B1F6614"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144.936307</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7E9C13AF"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476 Docklands Dr DOCKLANDS</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4AC1BAE"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139648</w:t>
            </w:r>
          </w:p>
        </w:tc>
      </w:tr>
      <w:tr w:rsidR="00D50BBA" w:rsidRPr="009F7CC8" w14:paraId="67971843"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1F4F36C" w14:textId="77777777" w:rsidR="00D50BBA" w:rsidRPr="009F7CC8" w:rsidRDefault="00D50BBA">
            <w:pPr>
              <w:pStyle w:val="Paragraph"/>
              <w:spacing w:after="0"/>
              <w:rPr>
                <w:b w:val="0"/>
                <w:bCs w:val="0"/>
                <w:szCs w:val="20"/>
              </w:rPr>
            </w:pPr>
            <w:r w:rsidRPr="009F7CC8">
              <w:rPr>
                <w:b w:val="0"/>
                <w:bCs w:val="0"/>
                <w:szCs w:val="20"/>
              </w:rPr>
              <w:t xml:space="preserve">WA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D2B739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-31.953914</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6FE3D4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115.855585</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28182F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Central Park Tower 170 Georges Terrace Perth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6D8A2414"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142068</w:t>
            </w:r>
          </w:p>
        </w:tc>
      </w:tr>
      <w:tr w:rsidR="00D50BBA" w:rsidRPr="009F7CC8" w14:paraId="5453BBC1"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A8AAC11" w14:textId="77777777" w:rsidR="00D50BBA" w:rsidRPr="009F7CC8" w:rsidRDefault="00D50BBA">
            <w:pPr>
              <w:pStyle w:val="Paragraph"/>
              <w:spacing w:after="0"/>
              <w:rPr>
                <w:b w:val="0"/>
                <w:bCs w:val="0"/>
                <w:szCs w:val="20"/>
              </w:rPr>
            </w:pPr>
            <w:r w:rsidRPr="009F7CC8">
              <w:rPr>
                <w:b w:val="0"/>
                <w:bCs w:val="0"/>
                <w:szCs w:val="20"/>
              </w:rPr>
              <w:t xml:space="preserve">WA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24F7C6F8"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-32.012667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5098D3D0"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116.061768</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1202A37D"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TXA Carmel Site 255 Welshpool Road East CARMEL</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A46AC7C"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26624</w:t>
            </w:r>
          </w:p>
        </w:tc>
      </w:tr>
      <w:tr w:rsidR="00D50BBA" w:rsidRPr="009F7CC8" w14:paraId="18D04743"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B56C97C" w14:textId="77777777" w:rsidR="00D50BBA" w:rsidRPr="009F7CC8" w:rsidRDefault="00D50BBA">
            <w:pPr>
              <w:pStyle w:val="Paragraph"/>
              <w:spacing w:after="0"/>
              <w:rPr>
                <w:b w:val="0"/>
                <w:bCs w:val="0"/>
                <w:szCs w:val="20"/>
              </w:rPr>
            </w:pPr>
            <w:r w:rsidRPr="009F7CC8">
              <w:rPr>
                <w:b w:val="0"/>
                <w:bCs w:val="0"/>
                <w:szCs w:val="20"/>
              </w:rPr>
              <w:t xml:space="preserve">WA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B7C62E1"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-31.88197</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DEA1A7F"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115.857527</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09073BED"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Channel Seven Perth Off Dianella Dr Dianella</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592B901"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142069</w:t>
            </w:r>
          </w:p>
        </w:tc>
      </w:tr>
      <w:tr w:rsidR="00D50BBA" w:rsidRPr="009F7CC8" w14:paraId="35EF5F8C" w14:textId="77777777" w:rsidTr="009F7C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94A9E66" w14:textId="77777777" w:rsidR="00D50BBA" w:rsidRPr="009F7CC8" w:rsidRDefault="00D50BBA">
            <w:pPr>
              <w:pStyle w:val="Paragraph"/>
              <w:spacing w:after="0"/>
              <w:rPr>
                <w:b w:val="0"/>
                <w:bCs w:val="0"/>
                <w:szCs w:val="20"/>
              </w:rPr>
            </w:pPr>
            <w:r w:rsidRPr="009F7CC8">
              <w:rPr>
                <w:b w:val="0"/>
                <w:bCs w:val="0"/>
                <w:szCs w:val="20"/>
              </w:rPr>
              <w:t xml:space="preserve">WA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EAB665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-32.057926</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6082667B"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115.751211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05A26A15"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Fremantle Hospital Lot 1970 Alma Street FREMANTLE</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auto"/>
            <w:hideMark/>
          </w:tcPr>
          <w:p w14:paraId="42CC6299" w14:textId="77777777" w:rsidR="00D50BBA" w:rsidRPr="009F7CC8" w:rsidRDefault="00D50BBA">
            <w:pPr>
              <w:pStyle w:val="Paragraph"/>
              <w:spacing w:after="0"/>
              <w:cnfStyle w:val="000000100000" w:firstRow="0" w:lastRow="0" w:firstColumn="0" w:lastColumn="0" w:oddVBand="0" w:evenVBand="0" w:oddHBand="1" w:evenHBand="0" w:firstRowFirstColumn="0" w:firstRowLastColumn="0" w:lastRowFirstColumn="0" w:lastRowLastColumn="0"/>
              <w:rPr>
                <w:szCs w:val="20"/>
              </w:rPr>
            </w:pPr>
            <w:r w:rsidRPr="009F7CC8">
              <w:rPr>
                <w:szCs w:val="20"/>
              </w:rPr>
              <w:t>27170</w:t>
            </w:r>
          </w:p>
        </w:tc>
      </w:tr>
      <w:tr w:rsidR="00D50BBA" w:rsidRPr="009F7CC8" w14:paraId="05B9D1B2" w14:textId="77777777" w:rsidTr="009F7CC8">
        <w:tc>
          <w:tcPr>
            <w:cnfStyle w:val="001000000000" w:firstRow="0" w:lastRow="0" w:firstColumn="1" w:lastColumn="0" w:oddVBand="0" w:evenVBand="0" w:oddHBand="0" w:evenHBand="0" w:firstRowFirstColumn="0" w:firstRowLastColumn="0" w:lastRowFirstColumn="0" w:lastRowLastColumn="0"/>
            <w:tcW w:w="722"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3B316124" w14:textId="77777777" w:rsidR="00D50BBA" w:rsidRPr="009F7CC8" w:rsidRDefault="00D50BBA">
            <w:pPr>
              <w:pStyle w:val="Paragraph"/>
              <w:spacing w:after="0"/>
              <w:rPr>
                <w:b w:val="0"/>
                <w:bCs w:val="0"/>
                <w:szCs w:val="20"/>
              </w:rPr>
            </w:pPr>
            <w:r w:rsidRPr="009F7CC8">
              <w:rPr>
                <w:b w:val="0"/>
                <w:bCs w:val="0"/>
                <w:szCs w:val="20"/>
              </w:rPr>
              <w:t xml:space="preserve">WA </w:t>
            </w:r>
          </w:p>
        </w:tc>
        <w:tc>
          <w:tcPr>
            <w:tcW w:w="1400"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0686F67"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-31.952081</w:t>
            </w:r>
          </w:p>
        </w:tc>
        <w:tc>
          <w:tcPr>
            <w:tcW w:w="1417"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7186ADA3"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115.846971</w:t>
            </w:r>
          </w:p>
        </w:tc>
        <w:tc>
          <w:tcPr>
            <w:tcW w:w="354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56C043B8"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State Parliament House Harvest Terrace Perth</w:t>
            </w:r>
          </w:p>
        </w:tc>
        <w:tc>
          <w:tcPr>
            <w:tcW w:w="1134" w:type="dxa"/>
            <w:tc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tcBorders>
            <w:shd w:val="clear" w:color="auto" w:fill="F2F2F2" w:themeFill="background1" w:themeFillShade="F2"/>
            <w:hideMark/>
          </w:tcPr>
          <w:p w14:paraId="28F2CD46" w14:textId="77777777" w:rsidR="00D50BBA" w:rsidRPr="009F7CC8" w:rsidRDefault="00D50BBA">
            <w:pPr>
              <w:pStyle w:val="Paragraph"/>
              <w:spacing w:after="0"/>
              <w:cnfStyle w:val="000000000000" w:firstRow="0" w:lastRow="0" w:firstColumn="0" w:lastColumn="0" w:oddVBand="0" w:evenVBand="0" w:oddHBand="0" w:evenHBand="0" w:firstRowFirstColumn="0" w:firstRowLastColumn="0" w:lastRowFirstColumn="0" w:lastRowLastColumn="0"/>
              <w:rPr>
                <w:szCs w:val="20"/>
              </w:rPr>
            </w:pPr>
            <w:r w:rsidRPr="009F7CC8">
              <w:rPr>
                <w:szCs w:val="20"/>
              </w:rPr>
              <w:t>142074</w:t>
            </w:r>
          </w:p>
        </w:tc>
      </w:tr>
    </w:tbl>
    <w:p w14:paraId="44AE5648" w14:textId="77777777" w:rsidR="00D50BBA" w:rsidRDefault="00D50BBA" w:rsidP="00D50BBA">
      <w:pPr>
        <w:pStyle w:val="Paragraph"/>
      </w:pPr>
    </w:p>
    <w:p w14:paraId="4D1B18E0" w14:textId="045D27F0" w:rsidR="000678A4" w:rsidRDefault="000678A4">
      <w:pPr>
        <w:spacing w:after="0" w:line="240" w:lineRule="auto"/>
        <w:rPr>
          <w:rFonts w:cs="Arial"/>
        </w:rPr>
      </w:pPr>
      <w:r>
        <w:br w:type="page"/>
      </w:r>
    </w:p>
    <w:p w14:paraId="0320D3DD" w14:textId="65D7637A" w:rsidR="000678A4" w:rsidRDefault="000678A4" w:rsidP="00ED2B4C">
      <w:pPr>
        <w:pStyle w:val="Heading1"/>
        <w:numPr>
          <w:ilvl w:val="0"/>
          <w:numId w:val="0"/>
        </w:numPr>
      </w:pPr>
      <w:bookmarkStart w:id="29" w:name="_Toc107506517"/>
      <w:r>
        <w:lastRenderedPageBreak/>
        <w:t xml:space="preserve">Appendix B: Response to </w:t>
      </w:r>
      <w:r w:rsidR="00980028">
        <w:t>C</w:t>
      </w:r>
      <w:r w:rsidR="002C4795">
        <w:t xml:space="preserve">ommunications </w:t>
      </w:r>
      <w:r w:rsidR="00980028">
        <w:t>A</w:t>
      </w:r>
      <w:r w:rsidR="002C4795">
        <w:t>lliance</w:t>
      </w:r>
      <w:r w:rsidR="00980028">
        <w:t xml:space="preserve"> </w:t>
      </w:r>
      <w:r>
        <w:t>SSWG</w:t>
      </w:r>
      <w:bookmarkEnd w:id="29"/>
    </w:p>
    <w:p w14:paraId="0F9CB041" w14:textId="3CF900D9" w:rsidR="0042364B" w:rsidRPr="000269F5" w:rsidRDefault="0042364B" w:rsidP="00E11735">
      <w:pPr>
        <w:pStyle w:val="Paragraph"/>
        <w:rPr>
          <w:szCs w:val="20"/>
        </w:rPr>
      </w:pPr>
      <w:r w:rsidRPr="00890D61">
        <w:rPr>
          <w:szCs w:val="20"/>
        </w:rPr>
        <w:t xml:space="preserve">In 2020, </w:t>
      </w:r>
      <w:r w:rsidR="004C07A8" w:rsidRPr="00890D61">
        <w:rPr>
          <w:szCs w:val="20"/>
        </w:rPr>
        <w:t xml:space="preserve">the ACMA </w:t>
      </w:r>
      <w:r w:rsidR="00705A70" w:rsidRPr="00890D61">
        <w:rPr>
          <w:szCs w:val="20"/>
        </w:rPr>
        <w:t xml:space="preserve">conducted </w:t>
      </w:r>
      <w:r w:rsidRPr="00890D61">
        <w:rPr>
          <w:szCs w:val="20"/>
        </w:rPr>
        <w:t xml:space="preserve">a technical study and </w:t>
      </w:r>
      <w:r w:rsidR="00F94EDD" w:rsidRPr="00890D61">
        <w:rPr>
          <w:szCs w:val="20"/>
        </w:rPr>
        <w:t>produce</w:t>
      </w:r>
      <w:r w:rsidR="001C3820" w:rsidRPr="00890D61">
        <w:rPr>
          <w:szCs w:val="20"/>
        </w:rPr>
        <w:t>d</w:t>
      </w:r>
      <w:r w:rsidR="00F94EDD" w:rsidRPr="000269F5">
        <w:rPr>
          <w:szCs w:val="20"/>
        </w:rPr>
        <w:t xml:space="preserve"> </w:t>
      </w:r>
      <w:r w:rsidRPr="000269F5">
        <w:rPr>
          <w:szCs w:val="20"/>
        </w:rPr>
        <w:t xml:space="preserve">a paper </w:t>
      </w:r>
      <w:r w:rsidR="00705A70" w:rsidRPr="000269F5">
        <w:rPr>
          <w:szCs w:val="20"/>
        </w:rPr>
        <w:t>on</w:t>
      </w:r>
      <w:r w:rsidRPr="000269F5">
        <w:rPr>
          <w:szCs w:val="20"/>
        </w:rPr>
        <w:t xml:space="preserve"> the coexistence between ubiquitous FSS and other services in the 28 GHz band, which informed the proposed changes to the CSO Class Licence</w:t>
      </w:r>
    </w:p>
    <w:p w14:paraId="3C2DA9F2" w14:textId="0ACA4144" w:rsidR="00E11735" w:rsidRPr="0008457C" w:rsidRDefault="00E11735" w:rsidP="00E11735">
      <w:pPr>
        <w:pStyle w:val="Paragraph"/>
        <w:rPr>
          <w:szCs w:val="20"/>
        </w:rPr>
      </w:pPr>
      <w:r w:rsidRPr="000269F5">
        <w:rPr>
          <w:szCs w:val="20"/>
        </w:rPr>
        <w:t xml:space="preserve">In December 2020, the draft technical paper </w:t>
      </w:r>
      <w:r w:rsidRPr="0008457C">
        <w:rPr>
          <w:szCs w:val="20"/>
        </w:rPr>
        <w:t xml:space="preserve">was provided to the 26 GHz Technical Liaison Group (TLG) members, satellite industry members and operators of services in the 28 GHz band. Feedback </w:t>
      </w:r>
      <w:r w:rsidR="002A1530" w:rsidRPr="0008457C">
        <w:rPr>
          <w:szCs w:val="20"/>
        </w:rPr>
        <w:t xml:space="preserve">was </w:t>
      </w:r>
      <w:r w:rsidRPr="0008457C">
        <w:rPr>
          <w:szCs w:val="20"/>
        </w:rPr>
        <w:t xml:space="preserve">received </w:t>
      </w:r>
      <w:r w:rsidR="002A1530" w:rsidRPr="0008457C">
        <w:rPr>
          <w:szCs w:val="20"/>
        </w:rPr>
        <w:t>from</w:t>
      </w:r>
      <w:r w:rsidRPr="0008457C">
        <w:rPr>
          <w:szCs w:val="20"/>
        </w:rPr>
        <w:t xml:space="preserve"> industry</w:t>
      </w:r>
      <w:r w:rsidR="00A80FED" w:rsidRPr="0008457C">
        <w:rPr>
          <w:szCs w:val="20"/>
        </w:rPr>
        <w:t xml:space="preserve"> members</w:t>
      </w:r>
      <w:r w:rsidR="002A1530" w:rsidRPr="0008457C">
        <w:rPr>
          <w:szCs w:val="20"/>
        </w:rPr>
        <w:t xml:space="preserve">, including </w:t>
      </w:r>
      <w:r w:rsidR="003F1ABF" w:rsidRPr="0008457C">
        <w:rPr>
          <w:szCs w:val="20"/>
        </w:rPr>
        <w:t>from Communication Alliance’s</w:t>
      </w:r>
      <w:r w:rsidR="00683022" w:rsidRPr="0008457C">
        <w:rPr>
          <w:szCs w:val="20"/>
        </w:rPr>
        <w:t xml:space="preserve"> (CA)</w:t>
      </w:r>
      <w:r w:rsidR="003F1ABF" w:rsidRPr="0008457C">
        <w:rPr>
          <w:szCs w:val="20"/>
        </w:rPr>
        <w:t xml:space="preserve"> Satellite Service Working Group</w:t>
      </w:r>
      <w:r w:rsidR="00683022" w:rsidRPr="0008457C">
        <w:rPr>
          <w:szCs w:val="20"/>
        </w:rPr>
        <w:t xml:space="preserve"> (SSWG)</w:t>
      </w:r>
      <w:r w:rsidR="003F1ABF" w:rsidRPr="0008457C">
        <w:rPr>
          <w:szCs w:val="20"/>
        </w:rPr>
        <w:t>.</w:t>
      </w:r>
    </w:p>
    <w:p w14:paraId="04D1E3E7" w14:textId="0A71627C" w:rsidR="000824F7" w:rsidRPr="0008457C" w:rsidRDefault="003F1ABF" w:rsidP="006F68E2">
      <w:pPr>
        <w:pStyle w:val="Paragraph"/>
        <w:rPr>
          <w:szCs w:val="20"/>
        </w:rPr>
      </w:pPr>
      <w:r w:rsidRPr="0008457C">
        <w:rPr>
          <w:szCs w:val="20"/>
        </w:rPr>
        <w:t xml:space="preserve">Below is the </w:t>
      </w:r>
      <w:r w:rsidR="00395E6C" w:rsidRPr="0008457C">
        <w:rPr>
          <w:szCs w:val="20"/>
        </w:rPr>
        <w:t xml:space="preserve">ACMA </w:t>
      </w:r>
      <w:r w:rsidRPr="0008457C">
        <w:rPr>
          <w:szCs w:val="20"/>
        </w:rPr>
        <w:t xml:space="preserve">response to the </w:t>
      </w:r>
      <w:r w:rsidR="00683022" w:rsidRPr="0008457C">
        <w:rPr>
          <w:szCs w:val="20"/>
        </w:rPr>
        <w:t>CA SSWG</w:t>
      </w:r>
      <w:r w:rsidR="00BF10A5" w:rsidRPr="0008457C">
        <w:rPr>
          <w:szCs w:val="20"/>
        </w:rPr>
        <w:t xml:space="preserve"> submission</w:t>
      </w:r>
      <w:r w:rsidR="006779AD" w:rsidRPr="0008457C">
        <w:rPr>
          <w:szCs w:val="20"/>
        </w:rPr>
        <w:t xml:space="preserve"> that provides further reasoning </w:t>
      </w:r>
      <w:r w:rsidR="00667EE8">
        <w:rPr>
          <w:szCs w:val="20"/>
        </w:rPr>
        <w:t>for</w:t>
      </w:r>
      <w:r w:rsidR="00667EE8" w:rsidRPr="0008457C">
        <w:rPr>
          <w:szCs w:val="20"/>
        </w:rPr>
        <w:t xml:space="preserve"> </w:t>
      </w:r>
      <w:r w:rsidR="006779AD" w:rsidRPr="0008457C">
        <w:rPr>
          <w:szCs w:val="20"/>
        </w:rPr>
        <w:t>the decisions made</w:t>
      </w:r>
      <w:r w:rsidR="00BF10A5" w:rsidRPr="0008457C">
        <w:rPr>
          <w:szCs w:val="20"/>
        </w:rPr>
        <w:t>.</w:t>
      </w:r>
    </w:p>
    <w:p w14:paraId="5952EEE3" w14:textId="77777777" w:rsidR="00CA12AC" w:rsidRPr="008514B5" w:rsidRDefault="00CA12AC" w:rsidP="000B2843">
      <w:pPr>
        <w:pStyle w:val="Heading2"/>
        <w:rPr>
          <w:b w:val="0"/>
          <w:bCs w:val="0"/>
          <w:szCs w:val="20"/>
        </w:rPr>
      </w:pPr>
      <w:bookmarkStart w:id="30" w:name="_Toc107506518"/>
      <w:r w:rsidRPr="008514B5">
        <w:t>Technical paper</w:t>
      </w:r>
      <w:bookmarkEnd w:id="30"/>
    </w:p>
    <w:p w14:paraId="5DA35FFE" w14:textId="77777777" w:rsidR="00CA12AC" w:rsidRPr="00220D1D" w:rsidRDefault="00CA12AC" w:rsidP="00CA12AC">
      <w:pPr>
        <w:rPr>
          <w:rFonts w:cs="Arial"/>
          <w:szCs w:val="20"/>
        </w:rPr>
      </w:pPr>
      <w:r w:rsidRPr="008514B5">
        <w:rPr>
          <w:rFonts w:cs="Arial"/>
          <w:szCs w:val="20"/>
        </w:rPr>
        <w:t xml:space="preserve">The technical paper was developed to provide a basis for ubiquitous FSS arrangements in the </w:t>
      </w:r>
      <w:r w:rsidRPr="00F204B5">
        <w:rPr>
          <w:rFonts w:cs="Arial"/>
          <w:szCs w:val="20"/>
        </w:rPr>
        <w:t>27.5-28.3 GHz band. These arrangements w</w:t>
      </w:r>
      <w:r w:rsidRPr="00691F7D">
        <w:rPr>
          <w:rFonts w:cs="Arial"/>
          <w:szCs w:val="20"/>
        </w:rPr>
        <w:t>ere intended as additional to those already in place to support ubiquitous FSS in the rest of 28.3-30 GHz frequency range</w:t>
      </w:r>
      <w:r w:rsidRPr="00D05672">
        <w:rPr>
          <w:rFonts w:cs="Arial"/>
          <w:szCs w:val="20"/>
        </w:rPr>
        <w:t xml:space="preserve">. </w:t>
      </w:r>
      <w:r w:rsidRPr="00CC1B62">
        <w:rPr>
          <w:rFonts w:cs="Arial"/>
          <w:szCs w:val="20"/>
        </w:rPr>
        <w:t>We shared this paper with members of the 28 GHz Technical Liaison Gro</w:t>
      </w:r>
      <w:r w:rsidRPr="00F63F67">
        <w:rPr>
          <w:rFonts w:cs="Arial"/>
          <w:szCs w:val="20"/>
        </w:rPr>
        <w:t>up (TLG), existing 28 GH</w:t>
      </w:r>
      <w:r w:rsidRPr="00EE2728">
        <w:rPr>
          <w:rFonts w:cs="Arial"/>
          <w:szCs w:val="20"/>
        </w:rPr>
        <w:t>z fixed point to point licensees and prospective AWL licensees to provide feedback.</w:t>
      </w:r>
      <w:r w:rsidRPr="00220D1D">
        <w:rPr>
          <w:rFonts w:cs="Arial"/>
          <w:szCs w:val="20"/>
        </w:rPr>
        <w:t xml:space="preserve"> The intention being that this feedback would be used to assist with refining our studies before any public consultation occurs. </w:t>
      </w:r>
    </w:p>
    <w:p w14:paraId="5FA671D5" w14:textId="77777777" w:rsidR="00CA12AC" w:rsidRPr="00220D1D" w:rsidRDefault="00CA12AC" w:rsidP="00CA12AC">
      <w:pPr>
        <w:rPr>
          <w:rFonts w:cs="Arial"/>
          <w:szCs w:val="20"/>
        </w:rPr>
      </w:pPr>
      <w:r w:rsidRPr="00220D1D">
        <w:rPr>
          <w:rFonts w:cs="Arial"/>
          <w:szCs w:val="20"/>
        </w:rPr>
        <w:t xml:space="preserve">As a result of the informal feedback we have received from CA SSWG members, </w:t>
      </w:r>
      <w:r w:rsidRPr="00220D1D" w:rsidDel="00556C48">
        <w:rPr>
          <w:rFonts w:cs="Arial"/>
          <w:szCs w:val="20"/>
        </w:rPr>
        <w:t xml:space="preserve">we </w:t>
      </w:r>
      <w:r w:rsidRPr="00220D1D">
        <w:rPr>
          <w:rFonts w:cs="Arial"/>
          <w:szCs w:val="20"/>
        </w:rPr>
        <w:t>have revisited the adjacent area/adjacent band arrangements to explore the possibility of reducing the guard area and/or guard band.</w:t>
      </w:r>
    </w:p>
    <w:p w14:paraId="0F69DB10" w14:textId="77777777" w:rsidR="00CA12AC" w:rsidRPr="00220D1D" w:rsidRDefault="00CA12AC" w:rsidP="00CA12AC">
      <w:pPr>
        <w:rPr>
          <w:rFonts w:cs="Arial"/>
          <w:szCs w:val="20"/>
        </w:rPr>
      </w:pPr>
      <w:r w:rsidRPr="00220D1D">
        <w:rPr>
          <w:rFonts w:cs="Arial"/>
          <w:szCs w:val="20"/>
        </w:rPr>
        <w:t xml:space="preserve">However, we remain of the view that coexistence is not possible between ubiquitous, uncoordinated FSS earth stations in the populated areas and primary, protected FWA. Accordingly, we do not intend to further pursue this scenario. </w:t>
      </w:r>
    </w:p>
    <w:p w14:paraId="6B05B0C1" w14:textId="77777777" w:rsidR="00CA12AC" w:rsidRPr="008514B5" w:rsidRDefault="00CA12AC" w:rsidP="00667EE8">
      <w:pPr>
        <w:pStyle w:val="Heading2"/>
      </w:pPr>
      <w:bookmarkStart w:id="31" w:name="_Toc107506519"/>
      <w:r w:rsidRPr="000B2843">
        <w:t>Other issues raised</w:t>
      </w:r>
      <w:r w:rsidRPr="008514B5">
        <w:t xml:space="preserve"> in the CA SSWG response</w:t>
      </w:r>
      <w:bookmarkEnd w:id="31"/>
    </w:p>
    <w:p w14:paraId="545AC1F1" w14:textId="77777777" w:rsidR="00CA12AC" w:rsidRPr="008514B5" w:rsidRDefault="00CA12AC" w:rsidP="00DB1FEC">
      <w:pPr>
        <w:pStyle w:val="Paragraphbeforelist"/>
      </w:pPr>
      <w:r w:rsidRPr="008514B5">
        <w:t>The CA SSWG’s response raised a number of points for our consideration. We have summarised these into four main areas:</w:t>
      </w:r>
    </w:p>
    <w:p w14:paraId="38CF0EB2" w14:textId="77777777" w:rsidR="00CA12AC" w:rsidRPr="009F7CC8" w:rsidRDefault="00CA12AC" w:rsidP="00DB1FEC">
      <w:pPr>
        <w:pStyle w:val="ListNumber"/>
        <w:numPr>
          <w:ilvl w:val="0"/>
          <w:numId w:val="36"/>
        </w:numPr>
        <w:rPr>
          <w:rFonts w:cs="Arial"/>
          <w:szCs w:val="20"/>
        </w:rPr>
      </w:pPr>
      <w:r w:rsidRPr="000B2843">
        <w:t>Burden sharing</w:t>
      </w:r>
      <w:r w:rsidRPr="009F7CC8">
        <w:rPr>
          <w:rFonts w:cs="Arial"/>
          <w:szCs w:val="20"/>
        </w:rPr>
        <w:t>: Fixed Satellite Services (FSS) and Fixed services are co-primary and should share the burden of managing interference</w:t>
      </w:r>
    </w:p>
    <w:p w14:paraId="7A739BD3" w14:textId="77777777" w:rsidR="00CA12AC" w:rsidRPr="008514B5" w:rsidRDefault="00CA12AC" w:rsidP="000B2843">
      <w:pPr>
        <w:pStyle w:val="Numberlistlevel1"/>
        <w:rPr>
          <w:rFonts w:cs="Arial"/>
          <w:szCs w:val="20"/>
        </w:rPr>
      </w:pPr>
      <w:r w:rsidRPr="000B2843">
        <w:t>RALI MS 46</w:t>
      </w:r>
      <w:r w:rsidRPr="008514B5">
        <w:rPr>
          <w:rFonts w:cs="Arial"/>
          <w:szCs w:val="20"/>
        </w:rPr>
        <w:t>: The criteria in RALI MS46 should be used when developing arrangements for ubiquitous FSS</w:t>
      </w:r>
    </w:p>
    <w:p w14:paraId="402DF3B3" w14:textId="77777777" w:rsidR="00CA12AC" w:rsidRPr="008514B5" w:rsidRDefault="00CA12AC" w:rsidP="000B2843">
      <w:pPr>
        <w:pStyle w:val="Numberlistlevel1"/>
        <w:rPr>
          <w:rFonts w:cs="Arial"/>
          <w:szCs w:val="20"/>
        </w:rPr>
      </w:pPr>
      <w:r w:rsidRPr="000B2843">
        <w:t>Study parameters and methodology</w:t>
      </w:r>
      <w:r w:rsidRPr="008514B5">
        <w:rPr>
          <w:rFonts w:cs="Arial"/>
          <w:szCs w:val="20"/>
        </w:rPr>
        <w:t>: Proposals related to performing statistical studies as well as study parameters and assumptions</w:t>
      </w:r>
    </w:p>
    <w:p w14:paraId="3DEAF238" w14:textId="77777777" w:rsidR="00CA12AC" w:rsidRPr="008514B5" w:rsidRDefault="00CA12AC" w:rsidP="000B2843">
      <w:pPr>
        <w:pStyle w:val="Numberlistlevel1"/>
        <w:rPr>
          <w:rFonts w:cs="Arial"/>
          <w:szCs w:val="20"/>
        </w:rPr>
      </w:pPr>
      <w:r w:rsidRPr="000B2843">
        <w:t>Pro</w:t>
      </w:r>
      <w:r w:rsidRPr="008514B5">
        <w:rPr>
          <w:rFonts w:cs="Arial"/>
          <w:szCs w:val="20"/>
          <w:u w:val="single"/>
        </w:rPr>
        <w:t>posed arrangements for ubiquitous FSS</w:t>
      </w:r>
      <w:r w:rsidRPr="008514B5">
        <w:rPr>
          <w:rFonts w:cs="Arial"/>
          <w:szCs w:val="20"/>
        </w:rPr>
        <w:t>: Alternative measures proposed to support the introduction of ubiquitous FSS</w:t>
      </w:r>
    </w:p>
    <w:p w14:paraId="795B202A" w14:textId="77777777" w:rsidR="00CA12AC" w:rsidRPr="000B2843" w:rsidRDefault="00CA12AC" w:rsidP="00B16693">
      <w:pPr>
        <w:pStyle w:val="Heading2"/>
        <w:keepLines/>
      </w:pPr>
      <w:bookmarkStart w:id="32" w:name="_Toc107506520"/>
      <w:r w:rsidRPr="000B2843">
        <w:lastRenderedPageBreak/>
        <w:t>Burden sharing</w:t>
      </w:r>
      <w:bookmarkEnd w:id="32"/>
    </w:p>
    <w:p w14:paraId="37EDD296" w14:textId="77777777" w:rsidR="00CA12AC" w:rsidRPr="008514B5" w:rsidRDefault="00CA12AC" w:rsidP="00B16693">
      <w:pPr>
        <w:keepNext/>
        <w:keepLines/>
        <w:rPr>
          <w:rFonts w:cs="Arial"/>
          <w:szCs w:val="20"/>
        </w:rPr>
      </w:pPr>
      <w:r w:rsidRPr="008514B5">
        <w:rPr>
          <w:rFonts w:cs="Arial"/>
          <w:szCs w:val="20"/>
        </w:rPr>
        <w:t xml:space="preserve">The CA SSWG response highlighted the primary status of both FSS and Fixed Services in the Australian Radiofrequency Spectrum Plan (the Spectrum Plan). Based on this it was proposed that both services should share the burden of interference mitigation. </w:t>
      </w:r>
    </w:p>
    <w:p w14:paraId="39B48A8D" w14:textId="77777777" w:rsidR="00CA12AC" w:rsidRPr="008514B5" w:rsidRDefault="00CA12AC" w:rsidP="00CA12AC">
      <w:pPr>
        <w:rPr>
          <w:rFonts w:cs="Arial"/>
          <w:szCs w:val="20"/>
        </w:rPr>
      </w:pPr>
      <w:r w:rsidRPr="008514B5">
        <w:rPr>
          <w:rFonts w:cs="Arial"/>
          <w:szCs w:val="20"/>
        </w:rPr>
        <w:t xml:space="preserve">The Spectrum Plan is a high-level planning document indicating what services are allocated in the band. A primary allocation in the Spectrum Plan does not mandate that these services be supported through domestic licensing, how these services may be licensed, nor dictate how interference should be managed with other services or applications within Australia. Part 4 of Chapter 1 of the Spectrum Plan outlines other aspects of the spectrum management environment in Australia. </w:t>
      </w:r>
    </w:p>
    <w:p w14:paraId="5E3416B1" w14:textId="77777777" w:rsidR="00CA12AC" w:rsidRPr="008514B5" w:rsidRDefault="00CA12AC" w:rsidP="00B16693">
      <w:pPr>
        <w:pStyle w:val="Paragraphbeforelist"/>
      </w:pPr>
      <w:r w:rsidRPr="008514B5">
        <w:t>The planning arrangements for the 28 GHz band were determined after an extensive public consultation process and have been published in the Outcomes Paper. Key outcomes that are applicable to this discussion are:</w:t>
      </w:r>
    </w:p>
    <w:p w14:paraId="0F576B7B" w14:textId="77777777" w:rsidR="00CA12AC" w:rsidRPr="008514B5" w:rsidRDefault="00CA12AC" w:rsidP="006A0D2A">
      <w:pPr>
        <w:pStyle w:val="Bulletlevel1"/>
      </w:pPr>
      <w:r w:rsidRPr="008514B5">
        <w:t xml:space="preserve">FWA services in the 28 GHz band (which have a primary allocation) are not afforded protection from apparatus or class licensed FSS use Australia-wide, except within the frequency range 27.5–28.1 GHz inside defined populations centres (yellow area in Figure 1).  There is no burden sharing in this case. While affected parties can try negotiating to resolve any interference, if it occurs, FSS operators are under no obligation to modify operation to resolve it. </w:t>
      </w:r>
    </w:p>
    <w:p w14:paraId="27C305BB" w14:textId="77777777" w:rsidR="00CA12AC" w:rsidRPr="008514B5" w:rsidRDefault="00CA12AC" w:rsidP="006A0D2A">
      <w:pPr>
        <w:pStyle w:val="Bulletlevel1"/>
      </w:pPr>
      <w:r w:rsidRPr="008514B5">
        <w:t xml:space="preserve">FWA services within the frequency range 27.5–28.1 GHz inside defined populations centres (yellow area in Figure 1), are coordinated with apparatus licensed FSS use on a first in time basis as detailed in RALI MS46. </w:t>
      </w:r>
    </w:p>
    <w:p w14:paraId="7FBFABAD" w14:textId="77777777" w:rsidR="00CA12AC" w:rsidRPr="008514B5" w:rsidRDefault="00CA12AC" w:rsidP="006A0D2A">
      <w:pPr>
        <w:pStyle w:val="Bulletlevel1last"/>
      </w:pPr>
      <w:r w:rsidRPr="008514B5">
        <w:t xml:space="preserve">Ubiquitous FSS use of the 28 GHz band is on a ‘no interference’ basis to FWA services operating within the frequency range 27.5–28.1 GHz inside defined populations centres (yellow area in Figure 1) subject to further analysis. If allowed there is no burden sharing in this case. While affected parties can try negotiating to resolve interference, if it occurs, it is the responsibility of ubiquitous FSS operators to modify or cease operation to resolve it. </w:t>
      </w:r>
    </w:p>
    <w:p w14:paraId="7729F665" w14:textId="77777777" w:rsidR="00CA12AC" w:rsidRPr="008514B5" w:rsidRDefault="00CA12AC" w:rsidP="00CA12AC">
      <w:pPr>
        <w:pStyle w:val="Figureheading"/>
        <w:keepNext w:val="0"/>
        <w:numPr>
          <w:ilvl w:val="0"/>
          <w:numId w:val="0"/>
        </w:numPr>
        <w:ind w:left="1021" w:hanging="1021"/>
        <w:rPr>
          <w:rFonts w:cs="Arial"/>
        </w:rPr>
      </w:pPr>
      <w:r w:rsidRPr="008514B5">
        <w:rPr>
          <w:rFonts w:cs="Arial"/>
        </w:rPr>
        <w:t>Summary of planning arrangements for FWA and FSS in the 28 GHz band</w:t>
      </w:r>
    </w:p>
    <w:p w14:paraId="1FDE65EC" w14:textId="77777777" w:rsidR="00CA12AC" w:rsidRPr="00CA5564" w:rsidRDefault="00CA12AC" w:rsidP="00CA12AC">
      <w:pPr>
        <w:rPr>
          <w:rFonts w:cs="Arial"/>
          <w:sz w:val="22"/>
          <w:szCs w:val="22"/>
        </w:rPr>
      </w:pPr>
      <w:r w:rsidRPr="00CA5564">
        <w:rPr>
          <w:rFonts w:cs="Arial"/>
          <w:noProof/>
          <w:sz w:val="22"/>
          <w:szCs w:val="22"/>
        </w:rPr>
        <w:drawing>
          <wp:inline distT="0" distB="0" distL="0" distR="0" wp14:anchorId="03F6FE4C" wp14:editId="7DC386E2">
            <wp:extent cx="4908500" cy="1473746"/>
            <wp:effectExtent l="0" t="0" r="6985" b="0"/>
            <wp:docPr id="3" name="Picture 3" descr="If you need help accessing or reading this diagram, please contact the ACMA's Customer Service Centre by phone on 1300 850 115 or by email at info@acma.gov.a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f you need help accessing or reading this diagram, please contact the ACMA's Customer Service Centre by phone on 1300 850 115 or by email at info@acma.gov.au"/>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921391" cy="1477616"/>
                    </a:xfrm>
                    <a:prstGeom prst="rect">
                      <a:avLst/>
                    </a:prstGeom>
                    <a:noFill/>
                    <a:ln>
                      <a:noFill/>
                    </a:ln>
                  </pic:spPr>
                </pic:pic>
              </a:graphicData>
            </a:graphic>
          </wp:inline>
        </w:drawing>
      </w:r>
    </w:p>
    <w:p w14:paraId="31F8D17F" w14:textId="77777777" w:rsidR="00CA12AC" w:rsidRPr="005872A1" w:rsidRDefault="00CA12AC" w:rsidP="00CA12AC">
      <w:pPr>
        <w:rPr>
          <w:rFonts w:cs="Arial"/>
          <w:szCs w:val="20"/>
        </w:rPr>
      </w:pPr>
      <w:r w:rsidRPr="005872A1">
        <w:rPr>
          <w:rFonts w:cs="Arial"/>
          <w:szCs w:val="20"/>
        </w:rPr>
        <w:t>* The possibility of this, including any restrictions on use, will be further investigated</w:t>
      </w:r>
    </w:p>
    <w:p w14:paraId="3189C8E8" w14:textId="77777777" w:rsidR="00CA12AC" w:rsidRPr="008514B5" w:rsidRDefault="00CA12AC" w:rsidP="00CA12AC">
      <w:pPr>
        <w:spacing w:before="240"/>
        <w:rPr>
          <w:rFonts w:cs="Arial"/>
          <w:szCs w:val="20"/>
        </w:rPr>
      </w:pPr>
      <w:r w:rsidRPr="008514B5">
        <w:rPr>
          <w:rFonts w:cs="Arial"/>
          <w:szCs w:val="20"/>
        </w:rPr>
        <w:t xml:space="preserve">The ACMA made planning decisions that make FWA services secondary to FSS in much of the band. In other parts of the band apparatus licensed FSS and FWA effectively operate on a co-primary basis. However, ubiquitous FSS (operating, if allowed, under a class licence) are effectively secondary to FWA services in the frequency range 27.5–28.1 GHz inside defined populations centres. </w:t>
      </w:r>
    </w:p>
    <w:p w14:paraId="0DED48F9" w14:textId="77777777" w:rsidR="00CA12AC" w:rsidRPr="000B2843" w:rsidRDefault="00CA12AC" w:rsidP="000B2843">
      <w:pPr>
        <w:pStyle w:val="Heading2"/>
      </w:pPr>
      <w:bookmarkStart w:id="33" w:name="_Toc107506521"/>
      <w:r w:rsidRPr="000B2843">
        <w:lastRenderedPageBreak/>
        <w:t>RALI MS 46</w:t>
      </w:r>
      <w:bookmarkEnd w:id="33"/>
      <w:r w:rsidRPr="000B2843">
        <w:t xml:space="preserve"> </w:t>
      </w:r>
    </w:p>
    <w:p w14:paraId="63152004" w14:textId="77777777" w:rsidR="00CA12AC" w:rsidRPr="008514B5" w:rsidRDefault="00CA12AC" w:rsidP="00CA12AC">
      <w:pPr>
        <w:rPr>
          <w:rFonts w:cs="Arial"/>
          <w:szCs w:val="20"/>
        </w:rPr>
      </w:pPr>
      <w:r w:rsidRPr="008514B5">
        <w:rPr>
          <w:rFonts w:cs="Arial"/>
          <w:szCs w:val="20"/>
        </w:rPr>
        <w:t>The CA SSWG response suggested that the ACMA coexistence study is inconsistent with RALI MS 46 and should only use the -91.5 dBW/m</w:t>
      </w:r>
      <w:r w:rsidRPr="008514B5">
        <w:rPr>
          <w:rFonts w:cs="Arial"/>
          <w:szCs w:val="20"/>
          <w:vertAlign w:val="superscript"/>
        </w:rPr>
        <w:t>2</w:t>
      </w:r>
      <w:r w:rsidRPr="008514B5">
        <w:rPr>
          <w:rFonts w:cs="Arial"/>
          <w:szCs w:val="20"/>
        </w:rPr>
        <w:t xml:space="preserve">/MHz at a boundary identified in RALI MS 46. </w:t>
      </w:r>
    </w:p>
    <w:p w14:paraId="3C7A360F" w14:textId="456BA793" w:rsidR="00CA12AC" w:rsidRPr="008514B5" w:rsidRDefault="00CA12AC" w:rsidP="00B16693">
      <w:pPr>
        <w:pStyle w:val="Paragraphbeforelist"/>
      </w:pPr>
      <w:r w:rsidRPr="008514B5">
        <w:t>While RALI MS 46 provides guidance on a number of criteria for the licensing of an AWL, it is important to note the coordination requirements for AWLs</w:t>
      </w:r>
      <w:r w:rsidR="00A445B5">
        <w:t>,</w:t>
      </w:r>
      <w:r w:rsidRPr="008514B5">
        <w:t xml:space="preserve"> which require that:</w:t>
      </w:r>
    </w:p>
    <w:p w14:paraId="3778B9E9" w14:textId="77777777" w:rsidR="00CA12AC" w:rsidRPr="008514B5" w:rsidRDefault="00CA12AC" w:rsidP="006A0D2A">
      <w:pPr>
        <w:pStyle w:val="Bulletlevel1"/>
      </w:pPr>
      <w:r w:rsidRPr="008514B5">
        <w:t>All AWLs must meet a PFD limit at the AWL boundary of -91.5 dBm/m</w:t>
      </w:r>
      <w:r w:rsidRPr="008514B5">
        <w:rPr>
          <w:vertAlign w:val="superscript"/>
        </w:rPr>
        <w:t>2</w:t>
      </w:r>
      <w:r w:rsidRPr="008514B5">
        <w:t>/MHz at height of 5m, ie UE coordination</w:t>
      </w:r>
    </w:p>
    <w:p w14:paraId="2D80FF08" w14:textId="77777777" w:rsidR="00CA12AC" w:rsidRPr="008514B5" w:rsidRDefault="00CA12AC" w:rsidP="006A0D2A">
      <w:pPr>
        <w:pStyle w:val="Bulletlevel1last"/>
      </w:pPr>
      <w:r w:rsidRPr="008514B5">
        <w:t>Unsynchronised services must also coordinate with any existing licensed/registered receivers, ie FWA base station coordination, (both co-channel and adjacent channel) on a first-in-time basis</w:t>
      </w:r>
    </w:p>
    <w:p w14:paraId="48C49226" w14:textId="77777777" w:rsidR="00CA12AC" w:rsidRPr="008514B5" w:rsidRDefault="00CA12AC" w:rsidP="00CA12AC">
      <w:pPr>
        <w:rPr>
          <w:rFonts w:cs="Arial"/>
          <w:szCs w:val="20"/>
        </w:rPr>
      </w:pPr>
      <w:r w:rsidRPr="008514B5">
        <w:rPr>
          <w:rFonts w:cs="Arial"/>
          <w:szCs w:val="20"/>
        </w:rPr>
        <w:t>As FSS cannot synchronise with FWA, all FSS must coordinate with any existing licensed/registered receivers. For apparatus licence to apparatus licence coordination this will be undertaken on a first in time basis.</w:t>
      </w:r>
    </w:p>
    <w:p w14:paraId="38279725" w14:textId="7BD56AB5" w:rsidR="00CA12AC" w:rsidRPr="008514B5" w:rsidRDefault="00CA12AC" w:rsidP="00CA12AC">
      <w:pPr>
        <w:rPr>
          <w:rFonts w:cs="Arial"/>
          <w:szCs w:val="20"/>
        </w:rPr>
      </w:pPr>
      <w:r w:rsidRPr="008514B5">
        <w:rPr>
          <w:rFonts w:cs="Arial"/>
          <w:szCs w:val="20"/>
        </w:rPr>
        <w:t>However, for class licence to apparatus licence coordination, given the ubiquitous nature (i</w:t>
      </w:r>
      <w:r w:rsidR="00A445B5">
        <w:rPr>
          <w:rFonts w:cs="Arial"/>
          <w:szCs w:val="20"/>
        </w:rPr>
        <w:t>.</w:t>
      </w:r>
      <w:r w:rsidRPr="008514B5">
        <w:rPr>
          <w:rFonts w:cs="Arial"/>
          <w:szCs w:val="20"/>
        </w:rPr>
        <w:t>e</w:t>
      </w:r>
      <w:r w:rsidR="00A445B5">
        <w:rPr>
          <w:rFonts w:cs="Arial"/>
          <w:szCs w:val="20"/>
        </w:rPr>
        <w:t>.,</w:t>
      </w:r>
      <w:r w:rsidRPr="008514B5">
        <w:rPr>
          <w:rFonts w:cs="Arial"/>
          <w:szCs w:val="20"/>
        </w:rPr>
        <w:t xml:space="preserve"> anywhere at any time) of class licensed devices, for the purposes of planning the ACMA must assume every apparatus licensed service has a registered receiver. Therefore, for the class licence to apparatus licence coordination both the UE and base station scenario were analysed. As demonstrated in the discussion paper, the base station scenario has the higher likelihood of receiving interference, hence it was the criteria used when determining coexistence criteria.</w:t>
      </w:r>
    </w:p>
    <w:p w14:paraId="61DE2A06" w14:textId="72C782AE" w:rsidR="00CA12AC" w:rsidRPr="008514B5" w:rsidRDefault="00CA12AC" w:rsidP="00CA12AC">
      <w:pPr>
        <w:rPr>
          <w:rFonts w:cs="Arial"/>
          <w:szCs w:val="20"/>
        </w:rPr>
      </w:pPr>
      <w:r w:rsidRPr="008514B5">
        <w:rPr>
          <w:rFonts w:cs="Arial"/>
          <w:szCs w:val="20"/>
        </w:rPr>
        <w:t xml:space="preserve">We also note, first-in-time coordination creates some mix of guard bands and/or areas between services. These are individually determined following a </w:t>
      </w:r>
      <w:r w:rsidR="00A445B5" w:rsidRPr="008514B5">
        <w:rPr>
          <w:rFonts w:cs="Arial"/>
          <w:szCs w:val="20"/>
        </w:rPr>
        <w:t>case-by-case</w:t>
      </w:r>
      <w:r w:rsidRPr="008514B5">
        <w:rPr>
          <w:rFonts w:cs="Arial"/>
          <w:szCs w:val="20"/>
        </w:rPr>
        <w:t xml:space="preserve"> analysis. Given the operation under a class licence does not allow for or require a </w:t>
      </w:r>
      <w:r w:rsidR="00A445B5" w:rsidRPr="008514B5">
        <w:rPr>
          <w:rFonts w:cs="Arial"/>
          <w:szCs w:val="20"/>
        </w:rPr>
        <w:t>case-by-case</w:t>
      </w:r>
      <w:r w:rsidRPr="008514B5">
        <w:rPr>
          <w:rFonts w:cs="Arial"/>
          <w:szCs w:val="20"/>
        </w:rPr>
        <w:t xml:space="preserve"> analysis, the ACMA needs to consider what guard bands and/or guard areas are required, based on the above analysis. These are then implemented in the class licence to allow the use of ubiquitous FSS.</w:t>
      </w:r>
    </w:p>
    <w:p w14:paraId="22FF223D" w14:textId="77777777" w:rsidR="00CA12AC" w:rsidRPr="000B2843" w:rsidRDefault="00CA12AC" w:rsidP="000B2843">
      <w:pPr>
        <w:pStyle w:val="Heading2"/>
      </w:pPr>
      <w:bookmarkStart w:id="34" w:name="_Toc107506522"/>
      <w:r w:rsidRPr="000B2843">
        <w:t>Study parameters and methodology</w:t>
      </w:r>
      <w:bookmarkEnd w:id="34"/>
      <w:r w:rsidRPr="000B2843" w:rsidDel="005D3FCD">
        <w:t xml:space="preserve"> </w:t>
      </w:r>
    </w:p>
    <w:p w14:paraId="30D153E1" w14:textId="77777777" w:rsidR="00CA12AC" w:rsidRPr="008514B5" w:rsidRDefault="00CA12AC" w:rsidP="00CA12AC">
      <w:pPr>
        <w:rPr>
          <w:rFonts w:cs="Arial"/>
          <w:szCs w:val="20"/>
        </w:rPr>
      </w:pPr>
      <w:r w:rsidRPr="008514B5">
        <w:rPr>
          <w:rFonts w:cs="Arial"/>
          <w:szCs w:val="20"/>
        </w:rPr>
        <w:t xml:space="preserve">The CA SSWG response has provided the ACMA with some alternate parameters for ubiquitous FSS in the band (ie FSS power, FSS antenna gain), which are useful for a review of our analysis. </w:t>
      </w:r>
    </w:p>
    <w:p w14:paraId="698BB0C8" w14:textId="77777777" w:rsidR="00CA12AC" w:rsidRPr="008514B5" w:rsidRDefault="00CA12AC" w:rsidP="00CA12AC">
      <w:pPr>
        <w:rPr>
          <w:rFonts w:cs="Arial"/>
          <w:szCs w:val="20"/>
        </w:rPr>
      </w:pPr>
      <w:r w:rsidRPr="008514B5">
        <w:rPr>
          <w:rFonts w:cs="Arial"/>
          <w:szCs w:val="20"/>
        </w:rPr>
        <w:t>While the parameters for the FWA services used by the ACMA for the technical study were established and agreed at the 26 GHz TLG, we acknowledge that the 33 dBi antenna gain (derived from a 16 x 16 array antenna) should take into account uncorrelated effects and that 29 dBi can be used in the analysis.</w:t>
      </w:r>
    </w:p>
    <w:p w14:paraId="2F09E4E4" w14:textId="2C71E4C8" w:rsidR="00CA12AC" w:rsidRPr="008514B5" w:rsidRDefault="00CA12AC" w:rsidP="00CA12AC">
      <w:pPr>
        <w:rPr>
          <w:rFonts w:cs="Arial"/>
          <w:szCs w:val="20"/>
        </w:rPr>
      </w:pPr>
      <w:r w:rsidRPr="008514B5">
        <w:rPr>
          <w:rFonts w:cs="Arial"/>
          <w:szCs w:val="20"/>
        </w:rPr>
        <w:t>We note the CA SSWG suggestion that an antenna height of</w:t>
      </w:r>
      <w:r w:rsidR="007F2A36" w:rsidRPr="008514B5">
        <w:rPr>
          <w:rFonts w:cs="Arial"/>
          <w:szCs w:val="20"/>
        </w:rPr>
        <w:t xml:space="preserve"> </w:t>
      </w:r>
      <w:r w:rsidRPr="008514B5">
        <w:rPr>
          <w:rFonts w:cs="Arial"/>
          <w:szCs w:val="20"/>
        </w:rPr>
        <w:t>10 metres be used and that attenuation due to clutter be recognised. In discussion with companies that deploy systems at 28 GHz, the ACMA was advised that antennas for point to multipoint systems were typically placed above the clutter to ensure line of sight with UEs and 30 m was considered a reasonable height. We would also like to note that at the 26 GHz TLG, nbn representatives proposed the group consider 50 m antenna heights for FWA services.</w:t>
      </w:r>
    </w:p>
    <w:p w14:paraId="299EB873" w14:textId="77777777" w:rsidR="00CA12AC" w:rsidRPr="008514B5" w:rsidRDefault="00CA12AC" w:rsidP="00CA12AC">
      <w:pPr>
        <w:rPr>
          <w:rFonts w:cs="Arial"/>
          <w:szCs w:val="20"/>
        </w:rPr>
      </w:pPr>
      <w:r w:rsidRPr="008514B5">
        <w:rPr>
          <w:rFonts w:cs="Arial"/>
          <w:szCs w:val="20"/>
        </w:rPr>
        <w:t>We acknowledge that a deterministic methodology as used can result in conservative conclusions (especially if they are combined with conservative input parameters). However, we remain of the view they can serve a useful initial role in understanding the broad interference environment.</w:t>
      </w:r>
    </w:p>
    <w:p w14:paraId="4916E167" w14:textId="4182802A" w:rsidR="00CA12AC" w:rsidRPr="008514B5" w:rsidRDefault="00CA12AC" w:rsidP="00CA12AC">
      <w:pPr>
        <w:rPr>
          <w:rFonts w:cs="Arial"/>
          <w:szCs w:val="20"/>
          <w:u w:val="single"/>
        </w:rPr>
      </w:pPr>
      <w:r w:rsidRPr="008514B5">
        <w:rPr>
          <w:rFonts w:cs="Arial"/>
          <w:szCs w:val="20"/>
        </w:rPr>
        <w:lastRenderedPageBreak/>
        <w:t>We are open to further studies being undertaken using a statistical methodology (such as a Monte Carlo simulation). Specifically, we recognised that if VSAT input parameters were modified and constrained further (for example, strict EIRP limits within certain elevation angles above the horizon, defining a minimum elevation angle, low duty cycles and/or not exceeding a defined pfd limit within 10 m of the device etc) and using the ACMA defined FWA parameters, then a statistical analysis may be warranted and provide materially different conclusions to the coexistence question. While we welcome operators to undertake an analysis using statistical methods, currently we do not see merit in the ACMA undertaking studies to investigate this issue further.</w:t>
      </w:r>
    </w:p>
    <w:p w14:paraId="0DD20D27" w14:textId="77777777" w:rsidR="00CA12AC" w:rsidRPr="000B2843" w:rsidRDefault="00CA12AC" w:rsidP="000B2843">
      <w:pPr>
        <w:pStyle w:val="Heading2"/>
      </w:pPr>
      <w:bookmarkStart w:id="35" w:name="_Toc107506523"/>
      <w:r w:rsidRPr="000B2843">
        <w:t>Proposed arrangements for ubiquitous FSS</w:t>
      </w:r>
      <w:bookmarkEnd w:id="35"/>
    </w:p>
    <w:p w14:paraId="4E4F57C0" w14:textId="77777777" w:rsidR="00CA12AC" w:rsidRPr="008514B5" w:rsidRDefault="00CA12AC" w:rsidP="00B16693">
      <w:pPr>
        <w:pStyle w:val="Paragraphbeforelist"/>
      </w:pPr>
      <w:r w:rsidRPr="008514B5">
        <w:t>The CA SSWG views on the proposed measures to manage ubiquitous FSS provided in the response to the ACMA can be summarised as follows:</w:t>
      </w:r>
    </w:p>
    <w:p w14:paraId="54E63EA2" w14:textId="77777777" w:rsidR="00CA12AC" w:rsidRPr="008514B5" w:rsidRDefault="00CA12AC" w:rsidP="00E0365E">
      <w:pPr>
        <w:pStyle w:val="Bulletlevel1"/>
      </w:pPr>
      <w:r w:rsidRPr="008514B5">
        <w:t>Guard area – smaller or no guard area is required</w:t>
      </w:r>
    </w:p>
    <w:p w14:paraId="1FFDBD8C" w14:textId="77777777" w:rsidR="00CA12AC" w:rsidRPr="008514B5" w:rsidRDefault="00CA12AC" w:rsidP="00E0365E">
      <w:pPr>
        <w:pStyle w:val="Bulletlevel1"/>
      </w:pPr>
      <w:r w:rsidRPr="008514B5">
        <w:t>Guard band – no guard band is required</w:t>
      </w:r>
    </w:p>
    <w:p w14:paraId="645D5E87" w14:textId="77777777" w:rsidR="00CA12AC" w:rsidRPr="008514B5" w:rsidRDefault="00CA12AC" w:rsidP="00E0365E">
      <w:pPr>
        <w:pStyle w:val="Bulletlevel1"/>
      </w:pPr>
      <w:r w:rsidRPr="008514B5">
        <w:t>Requirements for A-ESIM – the requirements proposed by the European Communications Committee (ECC) (ITU-R Resolution 169 (WRC-19) above 3 km criteria) should be used in Australia instead of all requirements under ITU-R Resolution 169 (WRC-19) (ie including criteria below 3 km) inside defined population centres</w:t>
      </w:r>
    </w:p>
    <w:p w14:paraId="6D00437F" w14:textId="77777777" w:rsidR="00CA12AC" w:rsidRPr="008514B5" w:rsidRDefault="00CA12AC" w:rsidP="00B16693">
      <w:pPr>
        <w:pStyle w:val="Bulletlevel1last"/>
      </w:pPr>
      <w:r w:rsidRPr="008514B5">
        <w:t>statistical methods should be performed as they will demonstrate coexistence of ubiquitous FSS and FWA is possible</w:t>
      </w:r>
    </w:p>
    <w:p w14:paraId="3E2A52E7" w14:textId="77777777" w:rsidR="00CA12AC" w:rsidRPr="008514B5" w:rsidRDefault="00CA12AC" w:rsidP="00CA12AC">
      <w:pPr>
        <w:rPr>
          <w:rFonts w:cs="Arial"/>
          <w:szCs w:val="20"/>
        </w:rPr>
      </w:pPr>
      <w:r w:rsidRPr="008514B5">
        <w:rPr>
          <w:rFonts w:cs="Arial"/>
          <w:szCs w:val="20"/>
        </w:rPr>
        <w:t xml:space="preserve">In light of CA SSWG feedback, the ACMA has revaluated guard bands, guard areas and the requirement for A-ESIM. </w:t>
      </w:r>
    </w:p>
    <w:p w14:paraId="78BB33D1" w14:textId="77777777" w:rsidR="00CA12AC" w:rsidRPr="008514B5" w:rsidRDefault="00CA12AC" w:rsidP="00CA12AC">
      <w:pPr>
        <w:rPr>
          <w:rFonts w:cs="Arial"/>
          <w:szCs w:val="20"/>
        </w:rPr>
      </w:pPr>
      <w:r w:rsidRPr="008514B5">
        <w:rPr>
          <w:rFonts w:cs="Arial"/>
          <w:szCs w:val="20"/>
        </w:rPr>
        <w:t xml:space="preserve">The CA SSWG did not provide the ACMA with any additional information to change the view that coexistence of FWA and land based ubiquitous FSS is not possible. </w:t>
      </w:r>
    </w:p>
    <w:p w14:paraId="40BFD934" w14:textId="77777777" w:rsidR="00CA12AC" w:rsidRPr="000B2843" w:rsidRDefault="00CA12AC" w:rsidP="000B2843">
      <w:pPr>
        <w:pStyle w:val="Heading2"/>
      </w:pPr>
      <w:bookmarkStart w:id="36" w:name="_Toc107506524"/>
      <w:r w:rsidRPr="000B2843">
        <w:t>Next steps</w:t>
      </w:r>
      <w:bookmarkEnd w:id="36"/>
    </w:p>
    <w:p w14:paraId="1AFC7889" w14:textId="77777777" w:rsidR="00CA12AC" w:rsidRPr="008514B5" w:rsidRDefault="00CA12AC" w:rsidP="000B2843">
      <w:pPr>
        <w:pStyle w:val="Paragraphbeforelist"/>
      </w:pPr>
      <w:bookmarkStart w:id="37" w:name="_Hlk79472354"/>
      <w:r w:rsidRPr="008514B5">
        <w:t>After reviewing all responses to the technical paper, the ACMA has reviewed the technical study and proposals. The technical study has reassessed all analyses, including guard areas and guard bands, using the parameters for ubiquitous FSS suggested by CA SSWG. These are:</w:t>
      </w:r>
    </w:p>
    <w:p w14:paraId="62A8CEAC" w14:textId="05128323" w:rsidR="00CA12AC" w:rsidRPr="008514B5" w:rsidRDefault="00CA12AC" w:rsidP="00E0365E">
      <w:pPr>
        <w:pStyle w:val="Bulletlevel1"/>
      </w:pPr>
      <w:r w:rsidRPr="008514B5">
        <w:t>Maximum VSAT power = -5.8 dBW/MHz</w:t>
      </w:r>
    </w:p>
    <w:p w14:paraId="010D9174" w14:textId="323D9029" w:rsidR="00CA12AC" w:rsidRPr="008514B5" w:rsidRDefault="00CA12AC" w:rsidP="00E0365E">
      <w:pPr>
        <w:pStyle w:val="Bulletlevel1"/>
      </w:pPr>
      <w:r w:rsidRPr="008514B5">
        <w:t>Maximum antenna gain at 40 degrees elevation = -12 dBi</w:t>
      </w:r>
    </w:p>
    <w:p w14:paraId="0091B103" w14:textId="7ED04271" w:rsidR="00CA12AC" w:rsidRPr="008514B5" w:rsidRDefault="00CA12AC" w:rsidP="00E0365E">
      <w:pPr>
        <w:pStyle w:val="Bulletlevel1"/>
      </w:pPr>
      <w:r w:rsidRPr="008514B5">
        <w:t>Maximum FWA antenna gain = 29 dBi</w:t>
      </w:r>
    </w:p>
    <w:p w14:paraId="70407776" w14:textId="2E81D75F" w:rsidR="00CA12AC" w:rsidRPr="008514B5" w:rsidRDefault="00CA12AC" w:rsidP="00E0365E">
      <w:pPr>
        <w:pStyle w:val="Bulletlevel1last"/>
      </w:pPr>
      <w:r w:rsidRPr="008514B5">
        <w:t>Consider using the ECC values for A-ESIM (ie ITU-R Res. 169 above 3 km)</w:t>
      </w:r>
    </w:p>
    <w:p w14:paraId="56AC284A" w14:textId="7433D81E" w:rsidR="00693FB4" w:rsidRPr="008514B5" w:rsidRDefault="00CA12AC" w:rsidP="006F68E2">
      <w:pPr>
        <w:pStyle w:val="Paragraph"/>
        <w:rPr>
          <w:szCs w:val="20"/>
        </w:rPr>
      </w:pPr>
      <w:r w:rsidRPr="008514B5">
        <w:rPr>
          <w:szCs w:val="20"/>
        </w:rPr>
        <w:t>The ACMA will undertake the required steps in amending the Communicating with Space Objects (CSO) Class Licence, including any associated legislative and/or planning documents, based on the results of the revised study concerning guard areas and guard bands. This would also include a public consultation on the proposed amendments to the CSO Class Licence.</w:t>
      </w:r>
      <w:bookmarkEnd w:id="8"/>
      <w:bookmarkEnd w:id="37"/>
    </w:p>
    <w:sectPr w:rsidR="00693FB4" w:rsidRPr="008514B5" w:rsidSect="00C77380">
      <w:headerReference w:type="even" r:id="rId62"/>
      <w:headerReference w:type="default" r:id="rId63"/>
      <w:footerReference w:type="even" r:id="rId64"/>
      <w:footerReference w:type="default" r:id="rId65"/>
      <w:pgSz w:w="11906" w:h="16838" w:code="9"/>
      <w:pgMar w:top="1945" w:right="3101" w:bottom="1134" w:left="1134" w:header="709" w:footer="11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CAF5B0" w14:textId="77777777" w:rsidR="0005215A" w:rsidRDefault="0005215A">
      <w:r>
        <w:separator/>
      </w:r>
    </w:p>
  </w:endnote>
  <w:endnote w:type="continuationSeparator" w:id="0">
    <w:p w14:paraId="7F076B5B" w14:textId="77777777" w:rsidR="0005215A" w:rsidRDefault="0005215A">
      <w:r>
        <w:continuationSeparator/>
      </w:r>
    </w:p>
  </w:endnote>
  <w:endnote w:type="continuationNotice" w:id="1">
    <w:p w14:paraId="74D08A30" w14:textId="77777777" w:rsidR="0005215A" w:rsidRDefault="0005215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HelveticaNeueLT Std Lt">
    <w:altName w:val="Arial"/>
    <w:panose1 w:val="020B0403020202020204"/>
    <w:charset w:val="00"/>
    <w:family w:val="swiss"/>
    <w:notTrueType/>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NeueLT Std">
    <w:altName w:val="Arial"/>
    <w:panose1 w:val="020B0604020202020204"/>
    <w:charset w:val="00"/>
    <w:family w:val="swiss"/>
    <w:notTrueType/>
    <w:pitch w:val="variable"/>
    <w:sig w:usb0="800000AF" w:usb1="4000204A" w:usb2="00000000" w:usb3="00000000" w:csb0="0000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ms Rmn">
    <w:altName w:val="Times New Roman"/>
    <w:panose1 w:val="0202060304050502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A7B52" w14:textId="77777777" w:rsidR="005E250B" w:rsidRDefault="005E250B" w:rsidP="005E250B">
    <w:pPr>
      <w:pStyle w:val="Footer"/>
      <w:jc w:val="right"/>
    </w:pPr>
    <w:r w:rsidRPr="005E250B">
      <w:rPr>
        <w:noProof/>
        <w:vertAlign w:val="subscript"/>
      </w:rPr>
      <w:drawing>
        <wp:inline distT="0" distB="0" distL="0" distR="0" wp14:anchorId="5A370D6A" wp14:editId="0D0A79EC">
          <wp:extent cx="1066800" cy="277368"/>
          <wp:effectExtent l="0" t="0" r="0" b="0"/>
          <wp:docPr id="15" name="Picture 15" descr="acma.gov.au">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cma.gov.au">
                    <a:hlinkClick r:id="rId1"/>
                  </pic:cNvPr>
                  <pic:cNvPicPr/>
                </pic:nvPicPr>
                <pic:blipFill>
                  <a:blip r:embed="rId2"/>
                  <a:stretch>
                    <a:fillRect/>
                  </a:stretch>
                </pic:blipFill>
                <pic:spPr>
                  <a:xfrm>
                    <a:off x="0" y="0"/>
                    <a:ext cx="1133985" cy="294836"/>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C41A42" w14:textId="77777777" w:rsidR="00C053A1" w:rsidRDefault="00C053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954956" w14:textId="77777777" w:rsidR="00C053A1" w:rsidRDefault="00C053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14D9A" w14:textId="77777777" w:rsidR="00971914" w:rsidRPr="00622A3B" w:rsidRDefault="00971914" w:rsidP="00971914">
    <w:pPr>
      <w:pStyle w:val="Footer"/>
      <w:framePr w:w="1334" w:h="357" w:hRule="exact" w:vSpace="425" w:wrap="around" w:vAnchor="page" w:hAnchor="page" w:x="1156" w:y="16166"/>
      <w:pBdr>
        <w:top w:val="single" w:sz="4" w:space="1" w:color="auto"/>
      </w:pBdr>
      <w:tabs>
        <w:tab w:val="clear" w:pos="113"/>
        <w:tab w:val="left" w:pos="284"/>
      </w:tabs>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iv</w:t>
    </w:r>
    <w:r w:rsidRPr="002E4DDC">
      <w:rPr>
        <w:color w:val="505050"/>
      </w:rPr>
      <w:fldChar w:fldCharType="end"/>
    </w:r>
  </w:p>
  <w:p w14:paraId="60FAD480" w14:textId="77777777" w:rsidR="00C053A1" w:rsidRPr="00A5474E" w:rsidRDefault="00C053A1" w:rsidP="00A5474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10385F" w14:textId="77777777" w:rsidR="00971914" w:rsidRPr="00622A3B" w:rsidRDefault="00971914" w:rsidP="00971914">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0C6AB4">
      <w:rPr>
        <w:noProof/>
        <w:color w:val="505050"/>
      </w:rPr>
      <w:t>v</w:t>
    </w:r>
    <w:r w:rsidRPr="002E4DDC">
      <w:rPr>
        <w:color w:val="505050"/>
      </w:rPr>
      <w:fldChar w:fldCharType="end"/>
    </w:r>
  </w:p>
  <w:p w14:paraId="3E4F540D" w14:textId="77777777" w:rsidR="00C053A1" w:rsidRPr="00A5474E" w:rsidRDefault="00C053A1" w:rsidP="00A5474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4573EA" w14:textId="77777777" w:rsidR="00C053A1" w:rsidRPr="00622A3B" w:rsidRDefault="00C053A1" w:rsidP="0094078F">
    <w:pPr>
      <w:pStyle w:val="Footer"/>
      <w:framePr w:w="1334" w:h="357" w:hRule="exact" w:vSpace="425" w:wrap="around" w:vAnchor="page" w:hAnchor="page" w:x="7335" w:y="16166"/>
      <w:pBdr>
        <w:top w:val="single" w:sz="4" w:space="1" w:color="auto"/>
      </w:pBdr>
      <w:tabs>
        <w:tab w:val="clear" w:pos="113"/>
        <w:tab w:val="left" w:pos="284"/>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2E4DDC">
      <w:rPr>
        <w:color w:val="505050"/>
      </w:rPr>
      <w:fldChar w:fldCharType="begin"/>
    </w:r>
    <w:r w:rsidRPr="002E4DDC">
      <w:rPr>
        <w:color w:val="505050"/>
      </w:rPr>
      <w:instrText xml:space="preserve"> PAGE  \* roman  \* MERGEFORMAT </w:instrText>
    </w:r>
    <w:r w:rsidRPr="002E4DDC">
      <w:rPr>
        <w:color w:val="505050"/>
      </w:rPr>
      <w:fldChar w:fldCharType="separate"/>
    </w:r>
    <w:r w:rsidR="00DD1A43">
      <w:rPr>
        <w:noProof/>
        <w:color w:val="505050"/>
      </w:rPr>
      <w:t>iii</w:t>
    </w:r>
    <w:r w:rsidRPr="002E4DDC">
      <w:rPr>
        <w:color w:val="505050"/>
      </w:rPr>
      <w:fldChar w:fldCharType="end"/>
    </w:r>
  </w:p>
  <w:p w14:paraId="427CBC30" w14:textId="77777777" w:rsidR="00C053A1" w:rsidRPr="00A5474E" w:rsidRDefault="00C053A1" w:rsidP="00A5474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A1F8A" w14:textId="77777777" w:rsidR="00C053A1" w:rsidRPr="00622A3B" w:rsidRDefault="00C053A1" w:rsidP="00B43262">
    <w:pPr>
      <w:pStyle w:val="FooterLeft"/>
      <w:framePr w:wrap="around" w:x="1141" w:y="16166"/>
      <w:tabs>
        <w:tab w:val="clear" w:pos="113"/>
        <w:tab w:val="right" w:pos="397"/>
      </w:tabs>
    </w:pPr>
    <w:r w:rsidRPr="00575AC5">
      <w:fldChar w:fldCharType="begin"/>
    </w:r>
    <w:r w:rsidRPr="00575AC5">
      <w:instrText xml:space="preserve"> PAGE  \* Arabic  \* MERGEFORMAT </w:instrText>
    </w:r>
    <w:r w:rsidRPr="00575AC5">
      <w:fldChar w:fldCharType="separate"/>
    </w:r>
    <w:r w:rsidR="00DD1A43">
      <w:rPr>
        <w:noProof/>
      </w:rPr>
      <w:t>6</w:t>
    </w:r>
    <w:r w:rsidRPr="00575AC5">
      <w:fldChar w:fldCharType="end"/>
    </w:r>
    <w:r w:rsidRPr="0094078F">
      <w:tab/>
    </w:r>
    <w:r w:rsidRPr="00622A3B">
      <w:t>|</w:t>
    </w:r>
    <w:r>
      <w:tab/>
    </w:r>
    <w:r w:rsidRPr="00622A3B">
      <w:rPr>
        <w:b/>
        <w:noProof/>
        <w:spacing w:val="-16"/>
        <w:sz w:val="20"/>
        <w:szCs w:val="20"/>
      </w:rPr>
      <w:t>a</w:t>
    </w:r>
    <w:r w:rsidRPr="00622A3B">
      <w:rPr>
        <w:b/>
        <w:noProof/>
        <w:spacing w:val="-15"/>
        <w:sz w:val="20"/>
        <w:szCs w:val="20"/>
      </w:rPr>
      <w:t>c</w:t>
    </w:r>
    <w:r w:rsidRPr="00622A3B">
      <w:rPr>
        <w:b/>
        <w:noProof/>
        <w:spacing w:val="-16"/>
        <w:sz w:val="20"/>
        <w:szCs w:val="20"/>
      </w:rPr>
      <w:t>m</w:t>
    </w:r>
    <w:r w:rsidRPr="00622A3B">
      <w:rPr>
        <w:b/>
        <w:noProof/>
        <w:spacing w:val="-14"/>
        <w:sz w:val="20"/>
        <w:szCs w:val="20"/>
      </w:rPr>
      <w:t>a</w:t>
    </w:r>
  </w:p>
  <w:p w14:paraId="73989313" w14:textId="77777777" w:rsidR="00C053A1" w:rsidRPr="00A5474E" w:rsidRDefault="00C053A1" w:rsidP="00A5474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3C4405" w14:textId="77777777" w:rsidR="00C053A1" w:rsidRPr="00622A3B" w:rsidRDefault="00C053A1" w:rsidP="00447037">
    <w:pPr>
      <w:pStyle w:val="Footer"/>
      <w:framePr w:w="1440" w:h="357" w:hRule="exact" w:vSpace="425" w:wrap="around" w:vAnchor="page" w:hAnchor="page" w:x="7335" w:y="16166"/>
      <w:pBdr>
        <w:top w:val="single" w:sz="4" w:space="1" w:color="auto"/>
      </w:pBdr>
      <w:tabs>
        <w:tab w:val="clear" w:pos="113"/>
        <w:tab w:val="left" w:pos="397"/>
      </w:tabs>
      <w:jc w:val="right"/>
      <w:rPr>
        <w:rFonts w:cs="Arial"/>
      </w:rPr>
    </w:pPr>
    <w:r w:rsidRPr="00622A3B">
      <w:rPr>
        <w:rFonts w:cs="Arial"/>
        <w:b/>
        <w:noProof/>
        <w:spacing w:val="-16"/>
        <w:sz w:val="20"/>
        <w:szCs w:val="20"/>
      </w:rPr>
      <w:t>a</w:t>
    </w:r>
    <w:r w:rsidRPr="00622A3B">
      <w:rPr>
        <w:rFonts w:cs="Arial"/>
        <w:b/>
        <w:noProof/>
        <w:spacing w:val="-15"/>
        <w:sz w:val="20"/>
        <w:szCs w:val="20"/>
      </w:rPr>
      <w:t>c</w:t>
    </w:r>
    <w:r w:rsidRPr="00622A3B">
      <w:rPr>
        <w:rFonts w:cs="Arial"/>
        <w:b/>
        <w:noProof/>
        <w:spacing w:val="-16"/>
        <w:sz w:val="20"/>
        <w:szCs w:val="20"/>
      </w:rPr>
      <w:t>m</w:t>
    </w:r>
    <w:r w:rsidRPr="00622A3B">
      <w:rPr>
        <w:rFonts w:cs="Arial"/>
        <w:b/>
        <w:noProof/>
        <w:spacing w:val="-14"/>
        <w:sz w:val="20"/>
        <w:szCs w:val="20"/>
      </w:rPr>
      <w:t>a</w:t>
    </w:r>
    <w:r w:rsidRPr="0094078F">
      <w:rPr>
        <w:rFonts w:cs="Arial"/>
      </w:rPr>
      <w:tab/>
    </w:r>
    <w:r>
      <w:rPr>
        <w:rFonts w:cs="Arial"/>
      </w:rPr>
      <w:t xml:space="preserve"> </w:t>
    </w:r>
    <w:r w:rsidRPr="00622A3B">
      <w:rPr>
        <w:rFonts w:cs="Arial"/>
      </w:rPr>
      <w:t>|</w:t>
    </w:r>
    <w:r>
      <w:tab/>
    </w:r>
    <w:r w:rsidRPr="00575AC5">
      <w:rPr>
        <w:color w:val="505050"/>
      </w:rPr>
      <w:fldChar w:fldCharType="begin"/>
    </w:r>
    <w:r w:rsidRPr="00575AC5">
      <w:rPr>
        <w:color w:val="505050"/>
      </w:rPr>
      <w:instrText xml:space="preserve"> PAGE  \* Arabic  \* MERGEFORMAT </w:instrText>
    </w:r>
    <w:r w:rsidRPr="00575AC5">
      <w:rPr>
        <w:color w:val="505050"/>
      </w:rPr>
      <w:fldChar w:fldCharType="separate"/>
    </w:r>
    <w:r w:rsidR="00DD1A43">
      <w:rPr>
        <w:noProof/>
        <w:color w:val="505050"/>
      </w:rPr>
      <w:t>1</w:t>
    </w:r>
    <w:r w:rsidRPr="00575AC5">
      <w:rPr>
        <w:color w:val="505050"/>
      </w:rPr>
      <w:fldChar w:fldCharType="end"/>
    </w:r>
  </w:p>
  <w:p w14:paraId="550A5B5E" w14:textId="77777777" w:rsidR="00C053A1" w:rsidRPr="00A5474E" w:rsidRDefault="00C053A1" w:rsidP="00A547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90D185" w14:textId="77777777" w:rsidR="0005215A" w:rsidRDefault="0005215A" w:rsidP="00EA0969">
      <w:pPr>
        <w:spacing w:after="0"/>
      </w:pPr>
      <w:r>
        <w:separator/>
      </w:r>
    </w:p>
  </w:footnote>
  <w:footnote w:type="continuationSeparator" w:id="0">
    <w:p w14:paraId="5F8A3E43" w14:textId="77777777" w:rsidR="0005215A" w:rsidRDefault="0005215A">
      <w:r>
        <w:continuationSeparator/>
      </w:r>
    </w:p>
  </w:footnote>
  <w:footnote w:type="continuationNotice" w:id="1">
    <w:p w14:paraId="326140C6" w14:textId="77777777" w:rsidR="0005215A" w:rsidRDefault="0005215A">
      <w:pPr>
        <w:spacing w:after="0" w:line="240" w:lineRule="auto"/>
      </w:pPr>
    </w:p>
  </w:footnote>
  <w:footnote w:id="2">
    <w:p w14:paraId="0B9517A8" w14:textId="0F1B82EC" w:rsidR="006B240B" w:rsidRDefault="006B240B">
      <w:pPr>
        <w:pStyle w:val="FootnoteText"/>
      </w:pPr>
      <w:r>
        <w:rPr>
          <w:rStyle w:val="FootnoteReference"/>
        </w:rPr>
        <w:footnoteRef/>
      </w:r>
      <w:r>
        <w:t xml:space="preserve"> </w:t>
      </w:r>
      <w:r w:rsidRPr="006B240B">
        <w:t>Spectrum embargoes are policy statements by the ACMA outlining the circumstances where it is likely to refuse to issue an apparatus licence in parts of the spectrum.</w:t>
      </w:r>
    </w:p>
  </w:footnote>
  <w:footnote w:id="3">
    <w:p w14:paraId="0C86E8E8" w14:textId="77777777" w:rsidR="00771065" w:rsidRDefault="00771065" w:rsidP="00771065">
      <w:pPr>
        <w:pStyle w:val="FootnoteText"/>
      </w:pPr>
      <w:r>
        <w:rPr>
          <w:rStyle w:val="FootnoteReference"/>
        </w:rPr>
        <w:footnoteRef/>
      </w:r>
      <w:r>
        <w:t xml:space="preserve"> For example, new information on earth station power, bandwidth, deployment densities or emission masks. </w:t>
      </w:r>
    </w:p>
  </w:footnote>
  <w:footnote w:id="4">
    <w:p w14:paraId="4123DD4D" w14:textId="1571FD14" w:rsidR="00262774" w:rsidRPr="006D4F81" w:rsidRDefault="00262774" w:rsidP="00220976">
      <w:pPr>
        <w:pStyle w:val="FootnoteText"/>
        <w:rPr>
          <w:rFonts w:cs="Arial"/>
          <w:lang w:val="en-US"/>
        </w:rPr>
      </w:pPr>
      <w:r w:rsidRPr="00B33F1F">
        <w:rPr>
          <w:rStyle w:val="FootnoteReference"/>
          <w:rFonts w:cs="Arial"/>
        </w:rPr>
        <w:footnoteRef/>
      </w:r>
      <w:r w:rsidRPr="00B33F1F">
        <w:rPr>
          <w:rFonts w:cs="Arial"/>
        </w:rPr>
        <w:t xml:space="preserve"> </w:t>
      </w:r>
      <w:r w:rsidRPr="00AB1586">
        <w:t xml:space="preserve">As stated in </w:t>
      </w:r>
      <w:r>
        <w:t>their</w:t>
      </w:r>
      <w:r w:rsidRPr="00AB1586">
        <w:t xml:space="preserve"> submission</w:t>
      </w:r>
      <w:r>
        <w:t>s</w:t>
      </w:r>
      <w:r w:rsidRPr="00AB1586">
        <w:t xml:space="preserve"> to our 2020 consultation on proposed options for replanning the 2 GHz band.</w:t>
      </w:r>
    </w:p>
  </w:footnote>
  <w:footnote w:id="5">
    <w:p w14:paraId="000B92A0" w14:textId="5BAD292A" w:rsidR="00205F88" w:rsidRDefault="00205F88" w:rsidP="005960F3">
      <w:pPr>
        <w:pStyle w:val="FootnoteText"/>
      </w:pPr>
      <w:r>
        <w:rPr>
          <w:rStyle w:val="FootnoteReference"/>
        </w:rPr>
        <w:footnoteRef/>
      </w:r>
      <w:r>
        <w:t xml:space="preserve"> </w:t>
      </w:r>
      <w:r w:rsidR="00C81EF9">
        <w:t>That is</w:t>
      </w:r>
      <w:r w:rsidR="00475819">
        <w:t>,</w:t>
      </w:r>
      <w:r w:rsidR="00C81EF9">
        <w:t xml:space="preserve"> the</w:t>
      </w:r>
      <w:r w:rsidR="00E940C7">
        <w:t xml:space="preserve"> </w:t>
      </w:r>
      <w:r w:rsidR="007240F4">
        <w:t>receive</w:t>
      </w:r>
      <w:r w:rsidR="00E940C7">
        <w:t xml:space="preserve"> power at the </w:t>
      </w:r>
      <w:r w:rsidR="00AC4154">
        <w:t>satellite m</w:t>
      </w:r>
      <w:r w:rsidR="00E940C7">
        <w:t>ay be too low</w:t>
      </w:r>
      <w:r w:rsidR="00475819">
        <w:t>.</w:t>
      </w:r>
    </w:p>
  </w:footnote>
  <w:footnote w:id="6">
    <w:p w14:paraId="683F1384" w14:textId="5CAA1773" w:rsidR="00516C10" w:rsidRDefault="00516C10">
      <w:pPr>
        <w:pStyle w:val="FootnoteText"/>
      </w:pPr>
      <w:r>
        <w:rPr>
          <w:rStyle w:val="FootnoteReference"/>
        </w:rPr>
        <w:footnoteRef/>
      </w:r>
      <w:r>
        <w:t xml:space="preserve"> </w:t>
      </w:r>
      <w:r w:rsidR="00444E3D" w:rsidRPr="00444E3D">
        <w:t>Submission and processing of applications for space and space receive apparatus licences</w:t>
      </w:r>
      <w:r w:rsidR="00B70CA2">
        <w:t>.</w:t>
      </w:r>
      <w:r w:rsidR="00444E3D">
        <w:t xml:space="preserve"> </w:t>
      </w:r>
    </w:p>
  </w:footnote>
  <w:footnote w:id="7">
    <w:p w14:paraId="7CD6819E" w14:textId="1BADF248" w:rsidR="009374B4" w:rsidRDefault="009374B4">
      <w:pPr>
        <w:pStyle w:val="FootnoteText"/>
      </w:pPr>
      <w:r>
        <w:rPr>
          <w:rStyle w:val="FootnoteReference"/>
        </w:rPr>
        <w:footnoteRef/>
      </w:r>
      <w:r>
        <w:t xml:space="preserve"> </w:t>
      </w:r>
      <w:r w:rsidR="00F264BB">
        <w:t xml:space="preserve">In </w:t>
      </w:r>
      <w:r w:rsidR="00B3377B">
        <w:t xml:space="preserve">the frequency band </w:t>
      </w:r>
      <w:r w:rsidR="00F264BB">
        <w:t>2170</w:t>
      </w:r>
      <w:r w:rsidR="00B3377B">
        <w:t>–</w:t>
      </w:r>
      <w:r w:rsidR="00F264BB">
        <w:t>2200 MHz</w:t>
      </w:r>
      <w:r w:rsidR="00B3377B">
        <w:t>,</w:t>
      </w:r>
      <w:r w:rsidR="00F264BB">
        <w:t xml:space="preserve"> </w:t>
      </w:r>
      <w:r w:rsidR="00F85A93">
        <w:t xml:space="preserve">spectrum arrangements support </w:t>
      </w:r>
      <w:r w:rsidR="00AD4AA0">
        <w:t>m</w:t>
      </w:r>
      <w:r w:rsidR="00F264BB">
        <w:t>obile satellite (space-to-</w:t>
      </w:r>
      <w:r w:rsidR="00AD4AA0">
        <w:t>e</w:t>
      </w:r>
      <w:r w:rsidR="00F264BB">
        <w:t>arth) band</w:t>
      </w:r>
      <w:r w:rsidR="00B3377B">
        <w:t>,</w:t>
      </w:r>
      <w:r w:rsidR="00F71800">
        <w:t xml:space="preserve"> that is</w:t>
      </w:r>
      <w:r w:rsidR="00B3377B">
        <w:t>,</w:t>
      </w:r>
      <w:r w:rsidR="00F71800">
        <w:t xml:space="preserve"> earth station receivers.</w:t>
      </w:r>
    </w:p>
  </w:footnote>
  <w:footnote w:id="8">
    <w:p w14:paraId="17EDAD6A" w14:textId="7FAF9F42" w:rsidR="00262774" w:rsidRPr="00E35D83" w:rsidRDefault="00262774" w:rsidP="00262774">
      <w:pPr>
        <w:pStyle w:val="FootnoteText"/>
        <w:rPr>
          <w:lang w:val="en-US"/>
        </w:rPr>
      </w:pPr>
      <w:r w:rsidRPr="006D4F81">
        <w:rPr>
          <w:rStyle w:val="FootnoteReference"/>
          <w:rFonts w:cs="Arial"/>
        </w:rPr>
        <w:footnoteRef/>
      </w:r>
      <w:r w:rsidRPr="006D4F81">
        <w:rPr>
          <w:rFonts w:cs="Arial"/>
        </w:rPr>
        <w:t xml:space="preserve"> </w:t>
      </w:r>
      <w:r w:rsidRPr="006D4F81">
        <w:t xml:space="preserve">The technical limits proposed in our consultation paper were developed with regard to the 3GPP work on 2 GHz </w:t>
      </w:r>
      <w:r>
        <w:t>n</w:t>
      </w:r>
      <w:r w:rsidRPr="006D4F81">
        <w:t>on-</w:t>
      </w:r>
      <w:r>
        <w:t>t</w:t>
      </w:r>
      <w:r w:rsidRPr="006D4F81">
        <w:t xml:space="preserve">errestrial </w:t>
      </w:r>
      <w:r>
        <w:t>n</w:t>
      </w:r>
      <w:r w:rsidRPr="006D4F81">
        <w:t>etworks (TR 36.763)</w:t>
      </w:r>
      <w:r w:rsidR="00062FD5">
        <w:t>.</w:t>
      </w:r>
    </w:p>
  </w:footnote>
  <w:footnote w:id="9">
    <w:p w14:paraId="10D2DEC3" w14:textId="160E8410" w:rsidR="00862302" w:rsidRDefault="00862302" w:rsidP="00862302">
      <w:pPr>
        <w:pStyle w:val="FootnoteText"/>
      </w:pPr>
      <w:r>
        <w:rPr>
          <w:rStyle w:val="FootnoteReference"/>
          <w:rFonts w:cstheme="minorBidi"/>
        </w:rPr>
        <w:footnoteRef/>
      </w:r>
      <w:r>
        <w:t xml:space="preserve"> </w:t>
      </w:r>
      <w:r w:rsidR="001764AD">
        <w:t>M</w:t>
      </w:r>
      <w:r>
        <w:t xml:space="preserve">etropolitan and designated areas </w:t>
      </w:r>
      <w:r w:rsidR="00A431DE">
        <w:t xml:space="preserve">and TOB transition </w:t>
      </w:r>
      <w:r w:rsidR="001B7805">
        <w:t>timeframes</w:t>
      </w:r>
      <w:r w:rsidR="00523251">
        <w:t xml:space="preserve"> </w:t>
      </w:r>
      <w:r>
        <w:t xml:space="preserve">are </w:t>
      </w:r>
      <w:r w:rsidR="00FA3FC2">
        <w:t>set out</w:t>
      </w:r>
      <w:r w:rsidR="00DC434D">
        <w:t xml:space="preserve"> in </w:t>
      </w:r>
      <w:r w:rsidR="00523251">
        <w:t xml:space="preserve">the </w:t>
      </w:r>
      <w:r w:rsidR="00DC434D" w:rsidRPr="00F52503">
        <w:t>Radiocommunications (Mobile-Satellite Service) (1980–2010 MHz and 2170–2200 MHz) Frequency Band Plan 2022</w:t>
      </w:r>
      <w:r w:rsidR="00062FD5">
        <w:t>.</w:t>
      </w:r>
    </w:p>
  </w:footnote>
  <w:footnote w:id="10">
    <w:p w14:paraId="697CDBBC" w14:textId="58581CC9" w:rsidR="00793E59" w:rsidRDefault="00793E59">
      <w:pPr>
        <w:pStyle w:val="FootnoteText"/>
      </w:pPr>
      <w:r>
        <w:rPr>
          <w:rStyle w:val="FootnoteReference"/>
        </w:rPr>
        <w:footnoteRef/>
      </w:r>
      <w:r>
        <w:t xml:space="preserve"> For example, new information on earth station power, bandwidth, </w:t>
      </w:r>
      <w:r w:rsidR="00182B95">
        <w:t>deployment densities</w:t>
      </w:r>
      <w:r w:rsidR="000542BD">
        <w:t xml:space="preserve"> </w:t>
      </w:r>
      <w:r w:rsidR="00B73A08">
        <w:t>or emission masks</w:t>
      </w:r>
      <w:r w:rsidR="00182B95">
        <w:t xml:space="preserve">. </w:t>
      </w:r>
    </w:p>
  </w:footnote>
  <w:footnote w:id="11">
    <w:p w14:paraId="6923E3FA" w14:textId="304851E5" w:rsidR="00EE5696" w:rsidRDefault="00EE5696">
      <w:pPr>
        <w:pStyle w:val="FootnoteText"/>
      </w:pPr>
      <w:r>
        <w:rPr>
          <w:rStyle w:val="FootnoteReference"/>
        </w:rPr>
        <w:footnoteRef/>
      </w:r>
      <w:r>
        <w:t xml:space="preserve"> Duty cycle was not considered in the single interferer studies, with the focus on worst-case </w:t>
      </w:r>
      <w:r w:rsidR="001A6CB1">
        <w:t xml:space="preserve">interference </w:t>
      </w:r>
      <w:r>
        <w:t>studies.</w:t>
      </w:r>
    </w:p>
  </w:footnote>
  <w:footnote w:id="12">
    <w:p w14:paraId="607AC7E2" w14:textId="4194947C" w:rsidR="008A79B9" w:rsidRDefault="008A79B9">
      <w:pPr>
        <w:pStyle w:val="FootnoteText"/>
      </w:pPr>
      <w:r>
        <w:rPr>
          <w:rStyle w:val="FootnoteReference"/>
        </w:rPr>
        <w:footnoteRef/>
      </w:r>
      <w:r>
        <w:t xml:space="preserve"> </w:t>
      </w:r>
      <w:r w:rsidR="00C22279">
        <w:t xml:space="preserve">TOB </w:t>
      </w:r>
      <w:r>
        <w:t xml:space="preserve">stations </w:t>
      </w:r>
      <w:r w:rsidR="000D5E0D">
        <w:t>with</w:t>
      </w:r>
      <w:r>
        <w:t xml:space="preserve"> gains </w:t>
      </w:r>
      <w:r w:rsidR="000C2F96">
        <w:t xml:space="preserve">above </w:t>
      </w:r>
      <w:r>
        <w:t>24 dBi</w:t>
      </w:r>
      <w:r w:rsidR="000C2F96">
        <w:t xml:space="preserve"> are considered high gain stations</w:t>
      </w:r>
      <w:r>
        <w:t>.</w:t>
      </w:r>
    </w:p>
  </w:footnote>
  <w:footnote w:id="13">
    <w:p w14:paraId="7090E437" w14:textId="0F407AA8" w:rsidR="0050061C" w:rsidRDefault="0050061C" w:rsidP="0050061C">
      <w:pPr>
        <w:pStyle w:val="FootnoteText"/>
      </w:pPr>
      <w:r>
        <w:rPr>
          <w:rStyle w:val="FootnoteReference"/>
        </w:rPr>
        <w:footnoteRef/>
      </w:r>
      <w:r>
        <w:t xml:space="preserve"> High gain sites are in metropolitan areas, with a minimum distance to the edge of a metropolitan area of 13 km (east of Mount Dandenong, Victoria)</w:t>
      </w:r>
      <w:r w:rsidR="00406DCD">
        <w:t>.</w:t>
      </w:r>
    </w:p>
  </w:footnote>
  <w:footnote w:id="14">
    <w:p w14:paraId="660B0CA4" w14:textId="6C229AAF" w:rsidR="00F1572A" w:rsidRDefault="00F1572A">
      <w:pPr>
        <w:pStyle w:val="FootnoteText"/>
      </w:pPr>
      <w:r>
        <w:rPr>
          <w:rStyle w:val="FootnoteReference"/>
        </w:rPr>
        <w:footnoteRef/>
      </w:r>
      <w:r>
        <w:t xml:space="preserve"> </w:t>
      </w:r>
      <w:r w:rsidR="00A72394">
        <w:t xml:space="preserve">TOB </w:t>
      </w:r>
      <w:r w:rsidR="00F627D9">
        <w:t xml:space="preserve">stations </w:t>
      </w:r>
      <w:r w:rsidR="000D5E0D">
        <w:t>with</w:t>
      </w:r>
      <w:r w:rsidR="00F627D9">
        <w:t xml:space="preserve"> gains between 14 and 24 dBi</w:t>
      </w:r>
      <w:r w:rsidR="000D5E0D">
        <w:t xml:space="preserve"> are considered moderate gain stations</w:t>
      </w:r>
      <w:r w:rsidR="008A79B9">
        <w:t>.</w:t>
      </w:r>
    </w:p>
  </w:footnote>
  <w:footnote w:id="15">
    <w:p w14:paraId="2C43E7CA" w14:textId="0390C699" w:rsidR="00C819D0" w:rsidRDefault="00C819D0" w:rsidP="00C819D0">
      <w:pPr>
        <w:pStyle w:val="FootnoteText"/>
      </w:pPr>
      <w:r>
        <w:rPr>
          <w:rStyle w:val="FootnoteReference"/>
        </w:rPr>
        <w:footnoteRef/>
      </w:r>
      <w:r>
        <w:t xml:space="preserve"> Information is reproduced here for information only. Refer to the current version of the class licence to confirm current restrictions.</w:t>
      </w:r>
    </w:p>
  </w:footnote>
  <w:footnote w:id="16">
    <w:p w14:paraId="1BBFA072" w14:textId="555E3148" w:rsidR="00293716" w:rsidRDefault="00293716">
      <w:pPr>
        <w:pStyle w:val="FootnoteText"/>
      </w:pPr>
      <w:r>
        <w:rPr>
          <w:rStyle w:val="FootnoteReference"/>
        </w:rPr>
        <w:footnoteRef/>
      </w:r>
      <w:r>
        <w:t xml:space="preserve"> TOB stations with gains higher than 24 dBi</w:t>
      </w:r>
      <w:r w:rsidR="009F7CC8">
        <w:t>.</w:t>
      </w:r>
    </w:p>
  </w:footnote>
  <w:footnote w:id="17">
    <w:p w14:paraId="580A468A" w14:textId="5C176A0F" w:rsidR="00CC3FDE" w:rsidRDefault="00CC3FDE">
      <w:pPr>
        <w:pStyle w:val="FootnoteText"/>
      </w:pPr>
      <w:r>
        <w:rPr>
          <w:rStyle w:val="FootnoteReference"/>
        </w:rPr>
        <w:footnoteRef/>
      </w:r>
      <w:r>
        <w:t xml:space="preserve"> TOB stations with gains between 14 and 24 dBi</w:t>
      </w:r>
      <w:r w:rsidR="009F7CC8">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368EE" w14:textId="77777777" w:rsidR="00C053A1" w:rsidRPr="00A5474E" w:rsidRDefault="0021426C" w:rsidP="00A5474E">
    <w:pPr>
      <w:pStyle w:val="Header"/>
    </w:pPr>
    <w:r>
      <w:rPr>
        <w:noProof/>
      </w:rPr>
      <w:drawing>
        <wp:inline distT="0" distB="0" distL="0" distR="0" wp14:anchorId="491154FD" wp14:editId="38F64162">
          <wp:extent cx="6210300" cy="571134"/>
          <wp:effectExtent l="0" t="0" r="0" b="0"/>
          <wp:docPr id="14" name="Picture 14" descr="ACM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scussion-paper-header-block.pdf"/>
                  <pic:cNvPicPr/>
                </pic:nvPicPr>
                <pic:blipFill>
                  <a:blip r:embed="rId1"/>
                  <a:stretch>
                    <a:fillRect/>
                  </a:stretch>
                </pic:blipFill>
                <pic:spPr>
                  <a:xfrm>
                    <a:off x="0" y="0"/>
                    <a:ext cx="6210300" cy="57113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B7D82" w14:textId="77777777" w:rsidR="00C053A1" w:rsidRPr="00A5474E" w:rsidRDefault="00C053A1" w:rsidP="00594E9C">
    <w:pPr>
      <w:pStyle w:val="TOCHeading"/>
    </w:pPr>
    <w:r w:rsidRPr="0029593B">
      <w:t>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560CC" w14:textId="77777777" w:rsidR="00C053A1" w:rsidRDefault="00C053A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3C20E3" w14:textId="77777777" w:rsidR="00C053A1" w:rsidRDefault="00C053A1">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526EE279" w14:textId="77777777" w:rsidTr="00C648A9">
      <w:trPr>
        <w:trHeight w:hRule="exact" w:val="988"/>
      </w:trPr>
      <w:tc>
        <w:tcPr>
          <w:tcW w:w="7678" w:type="dxa"/>
          <w:shd w:val="clear" w:color="auto" w:fill="auto"/>
        </w:tcPr>
        <w:p w14:paraId="751219A6" w14:textId="77777777" w:rsidR="00971914" w:rsidRDefault="00971914" w:rsidP="00971914">
          <w:pPr>
            <w:pStyle w:val="Header"/>
          </w:pPr>
        </w:p>
      </w:tc>
    </w:tr>
    <w:tr w:rsidR="00971914" w14:paraId="46581996" w14:textId="77777777" w:rsidTr="00C648A9">
      <w:tc>
        <w:tcPr>
          <w:tcW w:w="7678" w:type="dxa"/>
          <w:shd w:val="clear" w:color="auto" w:fill="auto"/>
        </w:tcPr>
        <w:p w14:paraId="02F32ED3" w14:textId="77777777" w:rsidR="00971914" w:rsidRDefault="00971914" w:rsidP="00971914">
          <w:pPr>
            <w:pStyle w:val="GridTable31"/>
          </w:pPr>
          <w:r>
            <w:t xml:space="preserve">Contents </w:t>
          </w:r>
          <w:r w:rsidRPr="00915B1C">
            <w:rPr>
              <w:b w:val="0"/>
              <w:spacing w:val="0"/>
              <w:sz w:val="28"/>
              <w:szCs w:val="28"/>
            </w:rPr>
            <w:t>(Continued)</w:t>
          </w:r>
        </w:p>
      </w:tc>
    </w:tr>
    <w:tr w:rsidR="00971914" w14:paraId="22A8C350" w14:textId="77777777" w:rsidTr="00C648A9">
      <w:trPr>
        <w:trHeight w:val="1220"/>
      </w:trPr>
      <w:tc>
        <w:tcPr>
          <w:tcW w:w="7678" w:type="dxa"/>
          <w:shd w:val="clear" w:color="auto" w:fill="auto"/>
        </w:tcPr>
        <w:p w14:paraId="3CDA6D88" w14:textId="77777777" w:rsidR="00971914" w:rsidRDefault="00971914" w:rsidP="00971914"/>
      </w:tc>
    </w:tr>
  </w:tbl>
  <w:p w14:paraId="3F59A3C9" w14:textId="77777777" w:rsidR="00971914" w:rsidRDefault="00971914" w:rsidP="0097191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7678" w:type="dxa"/>
      <w:tblLayout w:type="fixed"/>
      <w:tblCellMar>
        <w:left w:w="0" w:type="dxa"/>
        <w:right w:w="0" w:type="dxa"/>
      </w:tblCellMar>
      <w:tblLook w:val="01E0" w:firstRow="1" w:lastRow="1" w:firstColumn="1" w:lastColumn="1" w:noHBand="0" w:noVBand="0"/>
    </w:tblPr>
    <w:tblGrid>
      <w:gridCol w:w="7678"/>
    </w:tblGrid>
    <w:tr w:rsidR="00971914" w14:paraId="0EF0CDE4" w14:textId="77777777" w:rsidTr="00C648A9">
      <w:trPr>
        <w:trHeight w:hRule="exact" w:val="988"/>
      </w:trPr>
      <w:tc>
        <w:tcPr>
          <w:tcW w:w="7678" w:type="dxa"/>
          <w:shd w:val="clear" w:color="auto" w:fill="auto"/>
        </w:tcPr>
        <w:p w14:paraId="63D8CB01" w14:textId="77777777" w:rsidR="00971914" w:rsidRDefault="00971914" w:rsidP="00971914">
          <w:pPr>
            <w:pStyle w:val="Header"/>
          </w:pPr>
        </w:p>
      </w:tc>
    </w:tr>
    <w:tr w:rsidR="00971914" w14:paraId="67B92345" w14:textId="77777777" w:rsidTr="00C648A9">
      <w:tc>
        <w:tcPr>
          <w:tcW w:w="7678" w:type="dxa"/>
          <w:shd w:val="clear" w:color="auto" w:fill="auto"/>
        </w:tcPr>
        <w:p w14:paraId="47176637" w14:textId="77777777" w:rsidR="00971914" w:rsidRDefault="00971914" w:rsidP="00971914">
          <w:pPr>
            <w:pStyle w:val="GridTable31"/>
          </w:pPr>
          <w:r>
            <w:t xml:space="preserve">Contents </w:t>
          </w:r>
          <w:r w:rsidRPr="00915B1C">
            <w:rPr>
              <w:b w:val="0"/>
              <w:spacing w:val="0"/>
              <w:sz w:val="28"/>
              <w:szCs w:val="28"/>
            </w:rPr>
            <w:t>(Continued)</w:t>
          </w:r>
        </w:p>
      </w:tc>
    </w:tr>
    <w:tr w:rsidR="00971914" w14:paraId="2373387A" w14:textId="77777777" w:rsidTr="00C648A9">
      <w:trPr>
        <w:trHeight w:val="1220"/>
      </w:trPr>
      <w:tc>
        <w:tcPr>
          <w:tcW w:w="7678" w:type="dxa"/>
          <w:shd w:val="clear" w:color="auto" w:fill="auto"/>
        </w:tcPr>
        <w:p w14:paraId="448AFF5C" w14:textId="77777777" w:rsidR="00971914" w:rsidRDefault="00971914" w:rsidP="00971914"/>
      </w:tc>
    </w:tr>
  </w:tbl>
  <w:p w14:paraId="164A61CF" w14:textId="77777777" w:rsidR="00C053A1" w:rsidRPr="00A5474E" w:rsidRDefault="00C053A1" w:rsidP="00A547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E57A29" w14:textId="77777777" w:rsidR="00C053A1" w:rsidRDefault="00C053A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03E8EE" w14:textId="77777777" w:rsidR="00C053A1" w:rsidRDefault="00C053A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75F22F60"/>
    <w:lvl w:ilvl="0">
      <w:start w:val="1"/>
      <w:numFmt w:val="lowerRoman"/>
      <w:pStyle w:val="ListNumber2"/>
      <w:lvlText w:val="%1."/>
      <w:lvlJc w:val="right"/>
      <w:pPr>
        <w:ind w:left="717" w:hanging="360"/>
      </w:pPr>
      <w:rPr>
        <w:rFonts w:hint="default"/>
      </w:rPr>
    </w:lvl>
  </w:abstractNum>
  <w:abstractNum w:abstractNumId="1" w15:restartNumberingAfterBreak="0">
    <w:nsid w:val="FFFFFF83"/>
    <w:multiLevelType w:val="singleLevel"/>
    <w:tmpl w:val="909E78BC"/>
    <w:lvl w:ilvl="0">
      <w:start w:val="1"/>
      <w:numFmt w:val="bullet"/>
      <w:pStyle w:val="ListBullet2"/>
      <w:lvlText w:val="&gt;"/>
      <w:lvlJc w:val="left"/>
      <w:pPr>
        <w:tabs>
          <w:tab w:val="num" w:pos="845"/>
        </w:tabs>
        <w:ind w:left="845" w:hanging="544"/>
      </w:pPr>
      <w:rPr>
        <w:rFonts w:ascii="HelveticaNeueLT Std Lt" w:hAnsi="HelveticaNeueLT Std Lt" w:hint="default"/>
        <w:sz w:val="20"/>
      </w:rPr>
    </w:lvl>
  </w:abstractNum>
  <w:abstractNum w:abstractNumId="2" w15:restartNumberingAfterBreak="0">
    <w:nsid w:val="FFFFFF88"/>
    <w:multiLevelType w:val="singleLevel"/>
    <w:tmpl w:val="51B60EB2"/>
    <w:lvl w:ilvl="0">
      <w:start w:val="1"/>
      <w:numFmt w:val="decimal"/>
      <w:pStyle w:val="ListNumber"/>
      <w:lvlText w:val="%1."/>
      <w:lvlJc w:val="left"/>
      <w:pPr>
        <w:ind w:left="360" w:hanging="360"/>
      </w:pPr>
      <w:rPr>
        <w:rFonts w:hint="default"/>
        <w:b w:val="0"/>
        <w:bCs/>
        <w:caps/>
        <w:sz w:val="20"/>
      </w:rPr>
    </w:lvl>
  </w:abstractNum>
  <w:abstractNum w:abstractNumId="3" w15:restartNumberingAfterBreak="0">
    <w:nsid w:val="FFFFFF89"/>
    <w:multiLevelType w:val="singleLevel"/>
    <w:tmpl w:val="E552FEBA"/>
    <w:lvl w:ilvl="0">
      <w:start w:val="1"/>
      <w:numFmt w:val="bullet"/>
      <w:pStyle w:val="ListBullet"/>
      <w:lvlText w:val="&gt;"/>
      <w:lvlJc w:val="left"/>
      <w:pPr>
        <w:tabs>
          <w:tab w:val="num" w:pos="295"/>
        </w:tabs>
        <w:ind w:left="295" w:hanging="295"/>
      </w:pPr>
      <w:rPr>
        <w:rFonts w:ascii="HelveticaNeueLT Std Lt" w:hAnsi="HelveticaNeueLT Std Lt" w:hint="default"/>
        <w:sz w:val="20"/>
      </w:rPr>
    </w:lvl>
  </w:abstractNum>
  <w:abstractNum w:abstractNumId="4" w15:restartNumberingAfterBreak="0">
    <w:nsid w:val="02AF1222"/>
    <w:multiLevelType w:val="hybridMultilevel"/>
    <w:tmpl w:val="BC6E3CCC"/>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87C268C"/>
    <w:multiLevelType w:val="hybridMultilevel"/>
    <w:tmpl w:val="E0A6CA9A"/>
    <w:lvl w:ilvl="0" w:tplc="44EEC084">
      <w:start w:val="1"/>
      <w:numFmt w:val="bullet"/>
      <w:lvlText w:val="&gt;"/>
      <w:lvlJc w:val="left"/>
      <w:pPr>
        <w:ind w:left="720" w:hanging="360"/>
      </w:pPr>
      <w:rPr>
        <w:rFonts w:ascii="HelveticaNeueLT Std" w:hAnsi="HelveticaNeueLT Std"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1C235B8"/>
    <w:multiLevelType w:val="hybridMultilevel"/>
    <w:tmpl w:val="0C26849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D38758F"/>
    <w:multiLevelType w:val="hybridMultilevel"/>
    <w:tmpl w:val="672A33F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2E301DD4"/>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pStyle w:val="Heading5"/>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abstractNum w:abstractNumId="9" w15:restartNumberingAfterBreak="0">
    <w:nsid w:val="2F5A5080"/>
    <w:multiLevelType w:val="hybridMultilevel"/>
    <w:tmpl w:val="BE2AF6CE"/>
    <w:lvl w:ilvl="0" w:tplc="D05E2434">
      <w:start w:val="1"/>
      <w:numFmt w:val="bullet"/>
      <w:lvlText w:val="●"/>
      <w:lvlJc w:val="left"/>
      <w:pPr>
        <w:ind w:left="357" w:hanging="357"/>
      </w:pPr>
      <w:rPr>
        <w:rFonts w:ascii="Arial" w:hAnsi="Arial" w:cs="Arial" w:hint="default"/>
        <w:sz w:val="20"/>
        <w:szCs w:val="20"/>
      </w:rPr>
    </w:lvl>
    <w:lvl w:ilvl="1" w:tplc="04090003">
      <w:start w:val="1"/>
      <w:numFmt w:val="bullet"/>
      <w:lvlText w:val="o"/>
      <w:lvlJc w:val="left"/>
      <w:pPr>
        <w:tabs>
          <w:tab w:val="num" w:pos="1728"/>
        </w:tabs>
        <w:ind w:left="1728" w:hanging="360"/>
      </w:pPr>
      <w:rPr>
        <w:rFonts w:ascii="Courier New" w:hAnsi="Courier New" w:cs="Times New Roman" w:hint="default"/>
      </w:rPr>
    </w:lvl>
    <w:lvl w:ilvl="2" w:tplc="04090005">
      <w:start w:val="1"/>
      <w:numFmt w:val="bullet"/>
      <w:lvlText w:val=""/>
      <w:lvlJc w:val="left"/>
      <w:pPr>
        <w:tabs>
          <w:tab w:val="num" w:pos="2448"/>
        </w:tabs>
        <w:ind w:left="2448" w:hanging="360"/>
      </w:pPr>
      <w:rPr>
        <w:rFonts w:ascii="Wingdings" w:hAnsi="Wingdings" w:hint="default"/>
      </w:rPr>
    </w:lvl>
    <w:lvl w:ilvl="3" w:tplc="04090001">
      <w:start w:val="1"/>
      <w:numFmt w:val="bullet"/>
      <w:lvlText w:val=""/>
      <w:lvlJc w:val="left"/>
      <w:pPr>
        <w:tabs>
          <w:tab w:val="num" w:pos="3168"/>
        </w:tabs>
        <w:ind w:left="3168" w:hanging="360"/>
      </w:pPr>
      <w:rPr>
        <w:rFonts w:ascii="Symbol" w:hAnsi="Symbol" w:hint="default"/>
      </w:rPr>
    </w:lvl>
    <w:lvl w:ilvl="4" w:tplc="04090003">
      <w:start w:val="1"/>
      <w:numFmt w:val="bullet"/>
      <w:lvlText w:val="o"/>
      <w:lvlJc w:val="left"/>
      <w:pPr>
        <w:tabs>
          <w:tab w:val="num" w:pos="3888"/>
        </w:tabs>
        <w:ind w:left="3888" w:hanging="360"/>
      </w:pPr>
      <w:rPr>
        <w:rFonts w:ascii="Courier New" w:hAnsi="Courier New" w:cs="Times New Roman" w:hint="default"/>
      </w:rPr>
    </w:lvl>
    <w:lvl w:ilvl="5" w:tplc="04090005">
      <w:start w:val="1"/>
      <w:numFmt w:val="bullet"/>
      <w:lvlText w:val=""/>
      <w:lvlJc w:val="left"/>
      <w:pPr>
        <w:tabs>
          <w:tab w:val="num" w:pos="4608"/>
        </w:tabs>
        <w:ind w:left="4608" w:hanging="360"/>
      </w:pPr>
      <w:rPr>
        <w:rFonts w:ascii="Wingdings" w:hAnsi="Wingdings" w:hint="default"/>
      </w:rPr>
    </w:lvl>
    <w:lvl w:ilvl="6" w:tplc="04090001">
      <w:start w:val="1"/>
      <w:numFmt w:val="bullet"/>
      <w:lvlText w:val=""/>
      <w:lvlJc w:val="left"/>
      <w:pPr>
        <w:tabs>
          <w:tab w:val="num" w:pos="5328"/>
        </w:tabs>
        <w:ind w:left="5328" w:hanging="360"/>
      </w:pPr>
      <w:rPr>
        <w:rFonts w:ascii="Symbol" w:hAnsi="Symbol" w:hint="default"/>
      </w:rPr>
    </w:lvl>
    <w:lvl w:ilvl="7" w:tplc="04090003">
      <w:start w:val="1"/>
      <w:numFmt w:val="bullet"/>
      <w:lvlText w:val="o"/>
      <w:lvlJc w:val="left"/>
      <w:pPr>
        <w:tabs>
          <w:tab w:val="num" w:pos="6048"/>
        </w:tabs>
        <w:ind w:left="6048" w:hanging="360"/>
      </w:pPr>
      <w:rPr>
        <w:rFonts w:ascii="Courier New" w:hAnsi="Courier New" w:cs="Times New Roman" w:hint="default"/>
      </w:rPr>
    </w:lvl>
    <w:lvl w:ilvl="8" w:tplc="04090005">
      <w:start w:val="1"/>
      <w:numFmt w:val="bullet"/>
      <w:lvlText w:val=""/>
      <w:lvlJc w:val="left"/>
      <w:pPr>
        <w:tabs>
          <w:tab w:val="num" w:pos="6768"/>
        </w:tabs>
        <w:ind w:left="6768" w:hanging="360"/>
      </w:pPr>
      <w:rPr>
        <w:rFonts w:ascii="Wingdings" w:hAnsi="Wingdings" w:hint="default"/>
      </w:rPr>
    </w:lvl>
  </w:abstractNum>
  <w:abstractNum w:abstractNumId="10" w15:restartNumberingAfterBreak="0">
    <w:nsid w:val="37020905"/>
    <w:multiLevelType w:val="hybridMultilevel"/>
    <w:tmpl w:val="54AA93A0"/>
    <w:lvl w:ilvl="0" w:tplc="FA94A91C">
      <w:start w:val="1"/>
      <w:numFmt w:val="decimal"/>
      <w:lvlText w:val="%1."/>
      <w:lvlJc w:val="left"/>
      <w:pPr>
        <w:ind w:left="360" w:hanging="360"/>
      </w:pPr>
      <w:rPr>
        <w:rFonts w:ascii="Arial" w:hAnsi="Arial" w:cs="Arial" w:hint="default"/>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1" w15:restartNumberingAfterBreak="0">
    <w:nsid w:val="3E5C0C93"/>
    <w:multiLevelType w:val="hybridMultilevel"/>
    <w:tmpl w:val="1BD661D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494F2B7C"/>
    <w:multiLevelType w:val="hybridMultilevel"/>
    <w:tmpl w:val="F190EB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5AA21F0"/>
    <w:multiLevelType w:val="hybridMultilevel"/>
    <w:tmpl w:val="9B5CB936"/>
    <w:lvl w:ilvl="0" w:tplc="CCA08FFA">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7F6306B"/>
    <w:multiLevelType w:val="hybridMultilevel"/>
    <w:tmpl w:val="58947BE6"/>
    <w:lvl w:ilvl="0" w:tplc="BD54D3A8">
      <w:start w:val="28"/>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5" w15:restartNumberingAfterBreak="0">
    <w:nsid w:val="5ABE67F7"/>
    <w:multiLevelType w:val="hybridMultilevel"/>
    <w:tmpl w:val="81C03A9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15:restartNumberingAfterBreak="0">
    <w:nsid w:val="61670402"/>
    <w:multiLevelType w:val="hybridMultilevel"/>
    <w:tmpl w:val="FA0053FE"/>
    <w:lvl w:ilvl="0" w:tplc="FFFFFFFF">
      <w:start w:val="1"/>
      <w:numFmt w:val="decimal"/>
      <w:lvlText w:val="%1."/>
      <w:lvlJc w:val="left"/>
      <w:pPr>
        <w:ind w:left="360" w:hanging="360"/>
      </w:pPr>
      <w:rPr>
        <w:b w:val="0"/>
        <w:bCs/>
      </w:rPr>
    </w:lvl>
    <w:lvl w:ilvl="1" w:tplc="0C090019">
      <w:start w:val="1"/>
      <w:numFmt w:val="lowerLetter"/>
      <w:lvlText w:val="%2."/>
      <w:lvlJc w:val="left"/>
      <w:pPr>
        <w:ind w:left="1080" w:hanging="360"/>
      </w:pPr>
    </w:lvl>
    <w:lvl w:ilvl="2" w:tplc="0C09001B">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7" w15:restartNumberingAfterBreak="0">
    <w:nsid w:val="616F1AD3"/>
    <w:multiLevelType w:val="multilevel"/>
    <w:tmpl w:val="FEA0D362"/>
    <w:lvl w:ilvl="0">
      <w:start w:val="1"/>
      <w:numFmt w:val="decimal"/>
      <w:pStyle w:val="Heading1"/>
      <w:lvlText w:val="%1."/>
      <w:lvlJc w:val="left"/>
      <w:pPr>
        <w:ind w:left="0" w:hanging="567"/>
      </w:pPr>
      <w:rPr>
        <w:rFonts w:hint="default"/>
      </w:rPr>
    </w:lvl>
    <w:lvl w:ilvl="1">
      <w:start w:val="1"/>
      <w:numFmt w:val="decimal"/>
      <w:pStyle w:val="Reportdate"/>
      <w:lvlText w:val="%1.%2"/>
      <w:lvlJc w:val="left"/>
      <w:pPr>
        <w:tabs>
          <w:tab w:val="num" w:pos="567"/>
        </w:tabs>
        <w:ind w:left="0" w:hanging="567"/>
      </w:pPr>
      <w:rPr>
        <w:rFonts w:hint="default"/>
        <w:b w:val="0"/>
        <w:bCs/>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63C30333"/>
    <w:multiLevelType w:val="hybridMultilevel"/>
    <w:tmpl w:val="A5FC2D54"/>
    <w:lvl w:ilvl="0" w:tplc="65EA47EC">
      <w:start w:val="1"/>
      <w:numFmt w:val="decimal"/>
      <w:pStyle w:val="Captionfigure"/>
      <w:lvlText w:val="Figure %1:"/>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5071478"/>
    <w:multiLevelType w:val="hybridMultilevel"/>
    <w:tmpl w:val="16D2B96E"/>
    <w:lvl w:ilvl="0" w:tplc="3A9CF91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71E4297"/>
    <w:multiLevelType w:val="hybridMultilevel"/>
    <w:tmpl w:val="B4802A26"/>
    <w:lvl w:ilvl="0" w:tplc="44EEC084">
      <w:start w:val="1"/>
      <w:numFmt w:val="bullet"/>
      <w:lvlText w:val="&gt;"/>
      <w:lvlJc w:val="left"/>
      <w:pPr>
        <w:ind w:left="360" w:hanging="360"/>
      </w:pPr>
      <w:rPr>
        <w:rFonts w:ascii="HelveticaNeueLT Std" w:hAnsi="HelveticaNeueLT Std" w:hint="default"/>
      </w:rPr>
    </w:lvl>
    <w:lvl w:ilvl="1" w:tplc="0C090003">
      <w:start w:val="1"/>
      <w:numFmt w:val="bullet"/>
      <w:lvlText w:val="o"/>
      <w:lvlJc w:val="left"/>
      <w:pPr>
        <w:ind w:left="1080" w:hanging="360"/>
      </w:pPr>
      <w:rPr>
        <w:rFonts w:ascii="Courier New" w:hAnsi="Courier New" w:cs="Courier New" w:hint="default"/>
      </w:rPr>
    </w:lvl>
    <w:lvl w:ilvl="2" w:tplc="0C090005">
      <w:start w:val="1"/>
      <w:numFmt w:val="bullet"/>
      <w:lvlText w:val=""/>
      <w:lvlJc w:val="left"/>
      <w:pPr>
        <w:ind w:left="1800" w:hanging="360"/>
      </w:pPr>
      <w:rPr>
        <w:rFonts w:ascii="Wingdings" w:hAnsi="Wingdings" w:hint="default"/>
      </w:rPr>
    </w:lvl>
    <w:lvl w:ilvl="3" w:tplc="0C090001">
      <w:start w:val="1"/>
      <w:numFmt w:val="bullet"/>
      <w:lvlText w:val=""/>
      <w:lvlJc w:val="left"/>
      <w:pPr>
        <w:ind w:left="2520" w:hanging="360"/>
      </w:pPr>
      <w:rPr>
        <w:rFonts w:ascii="Symbol" w:hAnsi="Symbol" w:hint="default"/>
      </w:rPr>
    </w:lvl>
    <w:lvl w:ilvl="4" w:tplc="0C090003">
      <w:start w:val="1"/>
      <w:numFmt w:val="bullet"/>
      <w:lvlText w:val="o"/>
      <w:lvlJc w:val="left"/>
      <w:pPr>
        <w:ind w:left="3240" w:hanging="360"/>
      </w:pPr>
      <w:rPr>
        <w:rFonts w:ascii="Courier New" w:hAnsi="Courier New" w:cs="Courier New" w:hint="default"/>
      </w:rPr>
    </w:lvl>
    <w:lvl w:ilvl="5" w:tplc="0C090005">
      <w:start w:val="1"/>
      <w:numFmt w:val="bullet"/>
      <w:lvlText w:val=""/>
      <w:lvlJc w:val="left"/>
      <w:pPr>
        <w:ind w:left="3960" w:hanging="360"/>
      </w:pPr>
      <w:rPr>
        <w:rFonts w:ascii="Wingdings" w:hAnsi="Wingdings" w:hint="default"/>
      </w:rPr>
    </w:lvl>
    <w:lvl w:ilvl="6" w:tplc="0C090001">
      <w:start w:val="1"/>
      <w:numFmt w:val="bullet"/>
      <w:lvlText w:val=""/>
      <w:lvlJc w:val="left"/>
      <w:pPr>
        <w:ind w:left="4680" w:hanging="360"/>
      </w:pPr>
      <w:rPr>
        <w:rFonts w:ascii="Symbol" w:hAnsi="Symbol" w:hint="default"/>
      </w:rPr>
    </w:lvl>
    <w:lvl w:ilvl="7" w:tplc="0C090003">
      <w:start w:val="1"/>
      <w:numFmt w:val="bullet"/>
      <w:lvlText w:val="o"/>
      <w:lvlJc w:val="left"/>
      <w:pPr>
        <w:ind w:left="5400" w:hanging="360"/>
      </w:pPr>
      <w:rPr>
        <w:rFonts w:ascii="Courier New" w:hAnsi="Courier New" w:cs="Courier New" w:hint="default"/>
      </w:rPr>
    </w:lvl>
    <w:lvl w:ilvl="8" w:tplc="0C090005">
      <w:start w:val="1"/>
      <w:numFmt w:val="bullet"/>
      <w:lvlText w:val=""/>
      <w:lvlJc w:val="left"/>
      <w:pPr>
        <w:ind w:left="6120" w:hanging="360"/>
      </w:pPr>
      <w:rPr>
        <w:rFonts w:ascii="Wingdings" w:hAnsi="Wingdings" w:hint="default"/>
      </w:rPr>
    </w:lvl>
  </w:abstractNum>
  <w:abstractNum w:abstractNumId="21" w15:restartNumberingAfterBreak="0">
    <w:nsid w:val="6A9D66E4"/>
    <w:multiLevelType w:val="hybridMultilevel"/>
    <w:tmpl w:val="495C9B00"/>
    <w:lvl w:ilvl="0" w:tplc="34088DDA">
      <w:start w:val="28"/>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15:restartNumberingAfterBreak="0">
    <w:nsid w:val="6D757AE6"/>
    <w:multiLevelType w:val="hybridMultilevel"/>
    <w:tmpl w:val="4BAEE1E2"/>
    <w:lvl w:ilvl="0" w:tplc="0DA4929C">
      <w:start w:val="1"/>
      <w:numFmt w:val="decimal"/>
      <w:pStyle w:val="Caption"/>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E3945D3"/>
    <w:multiLevelType w:val="hybridMultilevel"/>
    <w:tmpl w:val="672A33F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6FCC2AF9"/>
    <w:multiLevelType w:val="hybridMultilevel"/>
    <w:tmpl w:val="995855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705B309F"/>
    <w:multiLevelType w:val="hybridMultilevel"/>
    <w:tmpl w:val="35A0AD3A"/>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70E96108"/>
    <w:multiLevelType w:val="hybridMultilevel"/>
    <w:tmpl w:val="62F82558"/>
    <w:lvl w:ilvl="0" w:tplc="3392CF0E">
      <w:start w:val="1"/>
      <w:numFmt w:val="bullet"/>
      <w:lvlText w:val=""/>
      <w:lvlJc w:val="left"/>
      <w:pPr>
        <w:ind w:left="360" w:hanging="360"/>
      </w:pPr>
      <w:rPr>
        <w:rFonts w:ascii="Symbol" w:hAnsi="Symbol"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8"/>
  </w:num>
  <w:num w:numId="6">
    <w:abstractNumId w:val="19"/>
  </w:num>
  <w:num w:numId="7">
    <w:abstractNumId w:val="13"/>
  </w:num>
  <w:num w:numId="8">
    <w:abstractNumId w:val="18"/>
  </w:num>
  <w:num w:numId="9">
    <w:abstractNumId w:val="22"/>
  </w:num>
  <w:num w:numId="10">
    <w:abstractNumId w:val="5"/>
  </w:num>
  <w:num w:numId="11">
    <w:abstractNumId w:val="4"/>
  </w:num>
  <w:num w:numId="12">
    <w:abstractNumId w:val="3"/>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9"/>
  </w:num>
  <w:num w:numId="17">
    <w:abstractNumId w:val="2"/>
    <w:lvlOverride w:ilvl="0">
      <w:startOverride w:val="1"/>
    </w:lvlOverride>
  </w:num>
  <w:num w:numId="18">
    <w:abstractNumId w:val="3"/>
  </w:num>
  <w:num w:numId="19">
    <w:abstractNumId w:val="3"/>
  </w:num>
  <w:num w:numId="20">
    <w:abstractNumId w:val="16"/>
  </w:num>
  <w:num w:numId="21">
    <w:abstractNumId w:val="26"/>
  </w:num>
  <w:num w:numId="22">
    <w:abstractNumId w:val="3"/>
  </w:num>
  <w:num w:numId="23">
    <w:abstractNumId w:val="7"/>
  </w:num>
  <w:num w:numId="24">
    <w:abstractNumId w:val="23"/>
  </w:num>
  <w:num w:numId="2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15"/>
  </w:num>
  <w:num w:numId="28">
    <w:abstractNumId w:val="11"/>
  </w:num>
  <w:num w:numId="29">
    <w:abstractNumId w:val="12"/>
  </w:num>
  <w:num w:numId="30">
    <w:abstractNumId w:val="24"/>
  </w:num>
  <w:num w:numId="31">
    <w:abstractNumId w:val="6"/>
  </w:num>
  <w:num w:numId="32">
    <w:abstractNumId w:val="25"/>
  </w:num>
  <w:num w:numId="33">
    <w:abstractNumId w:val="10"/>
  </w:num>
  <w:num w:numId="34">
    <w:abstractNumId w:val="17"/>
  </w:num>
  <w:num w:numId="35">
    <w:abstractNumId w:val="21"/>
  </w:num>
  <w:num w:numId="36">
    <w:abstractNumId w:val="2"/>
    <w:lvlOverride w:ilvl="0">
      <w:startOverride w:val="1"/>
    </w:lvlOverride>
  </w:num>
  <w:num w:numId="37">
    <w:abstractNumId w:val="1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6"/>
  <w:removePersonalInformation/>
  <w:removeDateAndTime/>
  <w:proofState w:spelling="clean" w:grammar="clean"/>
  <w:stylePaneFormatFilter w:val="D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1"/>
  <w:defaultTabStop w:val="284"/>
  <w:evenAndOddHeaders/>
  <w:drawingGridHorizontalSpacing w:val="100"/>
  <w:displayHorizontalDrawingGridEvery w:val="2"/>
  <w:characterSpacingControl w:val="doNotCompress"/>
  <w:hdrShapeDefaults>
    <o:shapedefaults v:ext="edit" spidmax="6145">
      <o:colormru v:ext="edit" colors="red,#4d4d4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682F"/>
    <w:rsid w:val="0000037B"/>
    <w:rsid w:val="00000AA3"/>
    <w:rsid w:val="0000123B"/>
    <w:rsid w:val="0000197A"/>
    <w:rsid w:val="00001D10"/>
    <w:rsid w:val="0000268F"/>
    <w:rsid w:val="000027BB"/>
    <w:rsid w:val="000027D2"/>
    <w:rsid w:val="00002C7C"/>
    <w:rsid w:val="0000332B"/>
    <w:rsid w:val="00003562"/>
    <w:rsid w:val="000045B7"/>
    <w:rsid w:val="000048FB"/>
    <w:rsid w:val="00004B52"/>
    <w:rsid w:val="00005099"/>
    <w:rsid w:val="000069F3"/>
    <w:rsid w:val="00006FA8"/>
    <w:rsid w:val="00007547"/>
    <w:rsid w:val="0001047E"/>
    <w:rsid w:val="00010667"/>
    <w:rsid w:val="00010E15"/>
    <w:rsid w:val="0001125A"/>
    <w:rsid w:val="000114E5"/>
    <w:rsid w:val="00011695"/>
    <w:rsid w:val="00011E52"/>
    <w:rsid w:val="00012710"/>
    <w:rsid w:val="00012988"/>
    <w:rsid w:val="000129D5"/>
    <w:rsid w:val="000133BF"/>
    <w:rsid w:val="00013571"/>
    <w:rsid w:val="0001389D"/>
    <w:rsid w:val="00013AA9"/>
    <w:rsid w:val="0001530A"/>
    <w:rsid w:val="00015364"/>
    <w:rsid w:val="0001592A"/>
    <w:rsid w:val="00015AE7"/>
    <w:rsid w:val="00015CA7"/>
    <w:rsid w:val="00015F3C"/>
    <w:rsid w:val="000165C1"/>
    <w:rsid w:val="00016E21"/>
    <w:rsid w:val="0001719C"/>
    <w:rsid w:val="00020F45"/>
    <w:rsid w:val="00021866"/>
    <w:rsid w:val="00021CF5"/>
    <w:rsid w:val="00021EE0"/>
    <w:rsid w:val="00021F15"/>
    <w:rsid w:val="00022043"/>
    <w:rsid w:val="0002224E"/>
    <w:rsid w:val="0002274C"/>
    <w:rsid w:val="00022A1E"/>
    <w:rsid w:val="00022C59"/>
    <w:rsid w:val="00023A36"/>
    <w:rsid w:val="000245E5"/>
    <w:rsid w:val="000252E0"/>
    <w:rsid w:val="000269F5"/>
    <w:rsid w:val="00026F91"/>
    <w:rsid w:val="000270CE"/>
    <w:rsid w:val="0003051B"/>
    <w:rsid w:val="0003182E"/>
    <w:rsid w:val="000324F9"/>
    <w:rsid w:val="00032621"/>
    <w:rsid w:val="00032CE1"/>
    <w:rsid w:val="00033996"/>
    <w:rsid w:val="00033CDC"/>
    <w:rsid w:val="00033CE6"/>
    <w:rsid w:val="00034428"/>
    <w:rsid w:val="00034FE1"/>
    <w:rsid w:val="0003558F"/>
    <w:rsid w:val="000355C2"/>
    <w:rsid w:val="00036082"/>
    <w:rsid w:val="000362A7"/>
    <w:rsid w:val="00037A54"/>
    <w:rsid w:val="00040DCA"/>
    <w:rsid w:val="00040E28"/>
    <w:rsid w:val="0004202B"/>
    <w:rsid w:val="000438C4"/>
    <w:rsid w:val="00044680"/>
    <w:rsid w:val="000453E8"/>
    <w:rsid w:val="0004764C"/>
    <w:rsid w:val="00047A76"/>
    <w:rsid w:val="0005011A"/>
    <w:rsid w:val="0005045A"/>
    <w:rsid w:val="00051C1E"/>
    <w:rsid w:val="00051C32"/>
    <w:rsid w:val="00051DA8"/>
    <w:rsid w:val="00052051"/>
    <w:rsid w:val="0005215A"/>
    <w:rsid w:val="0005285C"/>
    <w:rsid w:val="00052F92"/>
    <w:rsid w:val="00053238"/>
    <w:rsid w:val="0005357D"/>
    <w:rsid w:val="000539F9"/>
    <w:rsid w:val="000539FD"/>
    <w:rsid w:val="000542BD"/>
    <w:rsid w:val="00054C27"/>
    <w:rsid w:val="000551BF"/>
    <w:rsid w:val="00055A5B"/>
    <w:rsid w:val="00055EC3"/>
    <w:rsid w:val="000561C5"/>
    <w:rsid w:val="000563CE"/>
    <w:rsid w:val="000572A9"/>
    <w:rsid w:val="000608D0"/>
    <w:rsid w:val="0006096A"/>
    <w:rsid w:val="00061360"/>
    <w:rsid w:val="0006180B"/>
    <w:rsid w:val="00061C70"/>
    <w:rsid w:val="00061F2B"/>
    <w:rsid w:val="00061FE1"/>
    <w:rsid w:val="00062106"/>
    <w:rsid w:val="00062FD5"/>
    <w:rsid w:val="00063A61"/>
    <w:rsid w:val="00063C16"/>
    <w:rsid w:val="00064495"/>
    <w:rsid w:val="0006455D"/>
    <w:rsid w:val="00064C57"/>
    <w:rsid w:val="000650FE"/>
    <w:rsid w:val="000659B6"/>
    <w:rsid w:val="000659C1"/>
    <w:rsid w:val="00065EEE"/>
    <w:rsid w:val="0006686F"/>
    <w:rsid w:val="00066B22"/>
    <w:rsid w:val="00067016"/>
    <w:rsid w:val="0006722A"/>
    <w:rsid w:val="000673DD"/>
    <w:rsid w:val="000678A4"/>
    <w:rsid w:val="000701A2"/>
    <w:rsid w:val="000705FE"/>
    <w:rsid w:val="00070A52"/>
    <w:rsid w:val="00070C11"/>
    <w:rsid w:val="00070EA4"/>
    <w:rsid w:val="00072580"/>
    <w:rsid w:val="00072673"/>
    <w:rsid w:val="00072C46"/>
    <w:rsid w:val="00072FF8"/>
    <w:rsid w:val="000732CF"/>
    <w:rsid w:val="0007332F"/>
    <w:rsid w:val="0007357A"/>
    <w:rsid w:val="00073B64"/>
    <w:rsid w:val="00073FB8"/>
    <w:rsid w:val="00074CF0"/>
    <w:rsid w:val="00074FB3"/>
    <w:rsid w:val="00075B96"/>
    <w:rsid w:val="0007665D"/>
    <w:rsid w:val="00076680"/>
    <w:rsid w:val="00076B95"/>
    <w:rsid w:val="00076BFA"/>
    <w:rsid w:val="00076C9A"/>
    <w:rsid w:val="000774B0"/>
    <w:rsid w:val="00077DC8"/>
    <w:rsid w:val="000801DA"/>
    <w:rsid w:val="000812AB"/>
    <w:rsid w:val="0008154A"/>
    <w:rsid w:val="0008196A"/>
    <w:rsid w:val="000824F7"/>
    <w:rsid w:val="00082AC4"/>
    <w:rsid w:val="00082F35"/>
    <w:rsid w:val="00084547"/>
    <w:rsid w:val="0008457C"/>
    <w:rsid w:val="000845F4"/>
    <w:rsid w:val="000846FE"/>
    <w:rsid w:val="00085640"/>
    <w:rsid w:val="00085715"/>
    <w:rsid w:val="000866DE"/>
    <w:rsid w:val="00086CA4"/>
    <w:rsid w:val="00086DE3"/>
    <w:rsid w:val="00087A32"/>
    <w:rsid w:val="00087C1C"/>
    <w:rsid w:val="0009055E"/>
    <w:rsid w:val="000915ED"/>
    <w:rsid w:val="00092000"/>
    <w:rsid w:val="0009209D"/>
    <w:rsid w:val="00093082"/>
    <w:rsid w:val="000930AF"/>
    <w:rsid w:val="00093295"/>
    <w:rsid w:val="0009363B"/>
    <w:rsid w:val="00093A0C"/>
    <w:rsid w:val="00093D24"/>
    <w:rsid w:val="00094095"/>
    <w:rsid w:val="00094360"/>
    <w:rsid w:val="0009463C"/>
    <w:rsid w:val="0009470C"/>
    <w:rsid w:val="000966FD"/>
    <w:rsid w:val="000969BD"/>
    <w:rsid w:val="000969BF"/>
    <w:rsid w:val="000971A0"/>
    <w:rsid w:val="00097818"/>
    <w:rsid w:val="00097B52"/>
    <w:rsid w:val="00097B68"/>
    <w:rsid w:val="00097DA6"/>
    <w:rsid w:val="000A014A"/>
    <w:rsid w:val="000A0426"/>
    <w:rsid w:val="000A09E0"/>
    <w:rsid w:val="000A0C22"/>
    <w:rsid w:val="000A1255"/>
    <w:rsid w:val="000A1400"/>
    <w:rsid w:val="000A2E21"/>
    <w:rsid w:val="000A3C43"/>
    <w:rsid w:val="000A410A"/>
    <w:rsid w:val="000A49DF"/>
    <w:rsid w:val="000A4A51"/>
    <w:rsid w:val="000A5398"/>
    <w:rsid w:val="000A5CD6"/>
    <w:rsid w:val="000A5D2B"/>
    <w:rsid w:val="000A6370"/>
    <w:rsid w:val="000A63DF"/>
    <w:rsid w:val="000A665A"/>
    <w:rsid w:val="000A6F47"/>
    <w:rsid w:val="000A7F9D"/>
    <w:rsid w:val="000B04B7"/>
    <w:rsid w:val="000B066B"/>
    <w:rsid w:val="000B07E0"/>
    <w:rsid w:val="000B095E"/>
    <w:rsid w:val="000B0F94"/>
    <w:rsid w:val="000B2009"/>
    <w:rsid w:val="000B2030"/>
    <w:rsid w:val="000B22D5"/>
    <w:rsid w:val="000B2843"/>
    <w:rsid w:val="000B3B4D"/>
    <w:rsid w:val="000B4664"/>
    <w:rsid w:val="000B4737"/>
    <w:rsid w:val="000B47F6"/>
    <w:rsid w:val="000B4BC3"/>
    <w:rsid w:val="000B5257"/>
    <w:rsid w:val="000B5808"/>
    <w:rsid w:val="000B5B35"/>
    <w:rsid w:val="000B5BDC"/>
    <w:rsid w:val="000B5DE3"/>
    <w:rsid w:val="000B6223"/>
    <w:rsid w:val="000B644F"/>
    <w:rsid w:val="000C0815"/>
    <w:rsid w:val="000C0A57"/>
    <w:rsid w:val="000C0C01"/>
    <w:rsid w:val="000C1201"/>
    <w:rsid w:val="000C13B9"/>
    <w:rsid w:val="000C1713"/>
    <w:rsid w:val="000C1BBB"/>
    <w:rsid w:val="000C1DA3"/>
    <w:rsid w:val="000C230C"/>
    <w:rsid w:val="000C2F96"/>
    <w:rsid w:val="000C421A"/>
    <w:rsid w:val="000C5F7A"/>
    <w:rsid w:val="000C6253"/>
    <w:rsid w:val="000C6AB4"/>
    <w:rsid w:val="000C6E45"/>
    <w:rsid w:val="000C7663"/>
    <w:rsid w:val="000C794F"/>
    <w:rsid w:val="000C7A4E"/>
    <w:rsid w:val="000C7D56"/>
    <w:rsid w:val="000C7EB5"/>
    <w:rsid w:val="000D221D"/>
    <w:rsid w:val="000D264A"/>
    <w:rsid w:val="000D2FD2"/>
    <w:rsid w:val="000D3058"/>
    <w:rsid w:val="000D368C"/>
    <w:rsid w:val="000D3B8B"/>
    <w:rsid w:val="000D3FE8"/>
    <w:rsid w:val="000D5E0D"/>
    <w:rsid w:val="000D6EED"/>
    <w:rsid w:val="000D7111"/>
    <w:rsid w:val="000D71D9"/>
    <w:rsid w:val="000D76E0"/>
    <w:rsid w:val="000D7D84"/>
    <w:rsid w:val="000D7E8B"/>
    <w:rsid w:val="000E2075"/>
    <w:rsid w:val="000E2AC9"/>
    <w:rsid w:val="000E30EC"/>
    <w:rsid w:val="000E417F"/>
    <w:rsid w:val="000E4449"/>
    <w:rsid w:val="000E4A5C"/>
    <w:rsid w:val="000E5018"/>
    <w:rsid w:val="000E6097"/>
    <w:rsid w:val="000E7B0D"/>
    <w:rsid w:val="000F0BA9"/>
    <w:rsid w:val="000F242E"/>
    <w:rsid w:val="000F2C37"/>
    <w:rsid w:val="000F316A"/>
    <w:rsid w:val="000F3912"/>
    <w:rsid w:val="000F4118"/>
    <w:rsid w:val="000F426E"/>
    <w:rsid w:val="000F4291"/>
    <w:rsid w:val="000F42C6"/>
    <w:rsid w:val="000F508A"/>
    <w:rsid w:val="000F639D"/>
    <w:rsid w:val="000F6B13"/>
    <w:rsid w:val="000F723F"/>
    <w:rsid w:val="00100CAE"/>
    <w:rsid w:val="0010183B"/>
    <w:rsid w:val="0010214A"/>
    <w:rsid w:val="001022B3"/>
    <w:rsid w:val="00102950"/>
    <w:rsid w:val="00102A28"/>
    <w:rsid w:val="00103014"/>
    <w:rsid w:val="0010302F"/>
    <w:rsid w:val="00103592"/>
    <w:rsid w:val="00103829"/>
    <w:rsid w:val="00103D44"/>
    <w:rsid w:val="00103DA3"/>
    <w:rsid w:val="00106114"/>
    <w:rsid w:val="00106213"/>
    <w:rsid w:val="00106426"/>
    <w:rsid w:val="00106848"/>
    <w:rsid w:val="00107360"/>
    <w:rsid w:val="00107544"/>
    <w:rsid w:val="0010772D"/>
    <w:rsid w:val="00110433"/>
    <w:rsid w:val="00110A8B"/>
    <w:rsid w:val="0011149C"/>
    <w:rsid w:val="00111FCE"/>
    <w:rsid w:val="00113A37"/>
    <w:rsid w:val="00113F67"/>
    <w:rsid w:val="00114CA8"/>
    <w:rsid w:val="00114DC3"/>
    <w:rsid w:val="0011687A"/>
    <w:rsid w:val="00116A16"/>
    <w:rsid w:val="00116D0A"/>
    <w:rsid w:val="00117312"/>
    <w:rsid w:val="0011790B"/>
    <w:rsid w:val="00120177"/>
    <w:rsid w:val="001202EF"/>
    <w:rsid w:val="00120663"/>
    <w:rsid w:val="00120F32"/>
    <w:rsid w:val="0012115E"/>
    <w:rsid w:val="00121AB8"/>
    <w:rsid w:val="00122826"/>
    <w:rsid w:val="001229A5"/>
    <w:rsid w:val="00123991"/>
    <w:rsid w:val="001239C1"/>
    <w:rsid w:val="0012489B"/>
    <w:rsid w:val="0012559F"/>
    <w:rsid w:val="001256F8"/>
    <w:rsid w:val="0012587C"/>
    <w:rsid w:val="00125BCF"/>
    <w:rsid w:val="00125C19"/>
    <w:rsid w:val="00126442"/>
    <w:rsid w:val="0012721C"/>
    <w:rsid w:val="00127EAA"/>
    <w:rsid w:val="00130017"/>
    <w:rsid w:val="0013043F"/>
    <w:rsid w:val="00130F91"/>
    <w:rsid w:val="0013160D"/>
    <w:rsid w:val="001329FE"/>
    <w:rsid w:val="001349ED"/>
    <w:rsid w:val="00135495"/>
    <w:rsid w:val="00136C8A"/>
    <w:rsid w:val="00136F8D"/>
    <w:rsid w:val="00137424"/>
    <w:rsid w:val="0013760B"/>
    <w:rsid w:val="001377D5"/>
    <w:rsid w:val="00140318"/>
    <w:rsid w:val="00140D77"/>
    <w:rsid w:val="001412B5"/>
    <w:rsid w:val="00141AD9"/>
    <w:rsid w:val="00142139"/>
    <w:rsid w:val="001434A5"/>
    <w:rsid w:val="00143612"/>
    <w:rsid w:val="0014363C"/>
    <w:rsid w:val="0014371D"/>
    <w:rsid w:val="0014449A"/>
    <w:rsid w:val="0014467B"/>
    <w:rsid w:val="00146425"/>
    <w:rsid w:val="001465E1"/>
    <w:rsid w:val="00146CE6"/>
    <w:rsid w:val="00147CFF"/>
    <w:rsid w:val="0015095D"/>
    <w:rsid w:val="001518A4"/>
    <w:rsid w:val="00151D3D"/>
    <w:rsid w:val="00152903"/>
    <w:rsid w:val="00153149"/>
    <w:rsid w:val="001532D1"/>
    <w:rsid w:val="0015349B"/>
    <w:rsid w:val="00153FD5"/>
    <w:rsid w:val="00154392"/>
    <w:rsid w:val="00154A99"/>
    <w:rsid w:val="00154CCD"/>
    <w:rsid w:val="00154D9A"/>
    <w:rsid w:val="00155068"/>
    <w:rsid w:val="00155F09"/>
    <w:rsid w:val="0015614F"/>
    <w:rsid w:val="001563BB"/>
    <w:rsid w:val="00156563"/>
    <w:rsid w:val="00156F9F"/>
    <w:rsid w:val="001577C2"/>
    <w:rsid w:val="00157A86"/>
    <w:rsid w:val="00157D4A"/>
    <w:rsid w:val="00157F98"/>
    <w:rsid w:val="0016037A"/>
    <w:rsid w:val="00160487"/>
    <w:rsid w:val="00160DD6"/>
    <w:rsid w:val="00161DB0"/>
    <w:rsid w:val="00161FAA"/>
    <w:rsid w:val="0016239E"/>
    <w:rsid w:val="00162AC0"/>
    <w:rsid w:val="00162E31"/>
    <w:rsid w:val="001630A7"/>
    <w:rsid w:val="001633C4"/>
    <w:rsid w:val="0016550A"/>
    <w:rsid w:val="001660F7"/>
    <w:rsid w:val="0016705D"/>
    <w:rsid w:val="00167C03"/>
    <w:rsid w:val="00167F1A"/>
    <w:rsid w:val="0017029D"/>
    <w:rsid w:val="001704D5"/>
    <w:rsid w:val="001707C0"/>
    <w:rsid w:val="001712BD"/>
    <w:rsid w:val="00171591"/>
    <w:rsid w:val="001719D1"/>
    <w:rsid w:val="00171C9E"/>
    <w:rsid w:val="00171F6F"/>
    <w:rsid w:val="00172E29"/>
    <w:rsid w:val="001731AF"/>
    <w:rsid w:val="0017341D"/>
    <w:rsid w:val="00173981"/>
    <w:rsid w:val="00173B32"/>
    <w:rsid w:val="0017400C"/>
    <w:rsid w:val="0017615D"/>
    <w:rsid w:val="001764AD"/>
    <w:rsid w:val="00176D8D"/>
    <w:rsid w:val="0017719D"/>
    <w:rsid w:val="001800B2"/>
    <w:rsid w:val="00180380"/>
    <w:rsid w:val="00180E09"/>
    <w:rsid w:val="00181821"/>
    <w:rsid w:val="00182A66"/>
    <w:rsid w:val="00182B95"/>
    <w:rsid w:val="00183496"/>
    <w:rsid w:val="0018373E"/>
    <w:rsid w:val="00183FD7"/>
    <w:rsid w:val="00184FBC"/>
    <w:rsid w:val="00185528"/>
    <w:rsid w:val="00185AEE"/>
    <w:rsid w:val="00185CAB"/>
    <w:rsid w:val="001861E6"/>
    <w:rsid w:val="00186C28"/>
    <w:rsid w:val="0018728E"/>
    <w:rsid w:val="001875B7"/>
    <w:rsid w:val="00187CB3"/>
    <w:rsid w:val="00187F33"/>
    <w:rsid w:val="00190022"/>
    <w:rsid w:val="0019014D"/>
    <w:rsid w:val="0019040F"/>
    <w:rsid w:val="001904D0"/>
    <w:rsid w:val="0019050A"/>
    <w:rsid w:val="001906B7"/>
    <w:rsid w:val="00190DAC"/>
    <w:rsid w:val="001910D4"/>
    <w:rsid w:val="00191CA9"/>
    <w:rsid w:val="00191F4B"/>
    <w:rsid w:val="001924AA"/>
    <w:rsid w:val="001929A8"/>
    <w:rsid w:val="00192DE2"/>
    <w:rsid w:val="00193C41"/>
    <w:rsid w:val="00193D2A"/>
    <w:rsid w:val="00194E1E"/>
    <w:rsid w:val="00194EE5"/>
    <w:rsid w:val="00194F08"/>
    <w:rsid w:val="0019557F"/>
    <w:rsid w:val="00195D39"/>
    <w:rsid w:val="00196219"/>
    <w:rsid w:val="001969CC"/>
    <w:rsid w:val="001976E3"/>
    <w:rsid w:val="0019780B"/>
    <w:rsid w:val="00197C0D"/>
    <w:rsid w:val="001A0F78"/>
    <w:rsid w:val="001A2313"/>
    <w:rsid w:val="001A3370"/>
    <w:rsid w:val="001A36BC"/>
    <w:rsid w:val="001A36EB"/>
    <w:rsid w:val="001A448A"/>
    <w:rsid w:val="001A44EC"/>
    <w:rsid w:val="001A44FC"/>
    <w:rsid w:val="001A45AD"/>
    <w:rsid w:val="001A477F"/>
    <w:rsid w:val="001A59E7"/>
    <w:rsid w:val="001A5CC1"/>
    <w:rsid w:val="001A6CB1"/>
    <w:rsid w:val="001A73EF"/>
    <w:rsid w:val="001A7FA3"/>
    <w:rsid w:val="001B0576"/>
    <w:rsid w:val="001B0E4E"/>
    <w:rsid w:val="001B13BB"/>
    <w:rsid w:val="001B1B9F"/>
    <w:rsid w:val="001B2CCE"/>
    <w:rsid w:val="001B2EF7"/>
    <w:rsid w:val="001B30D5"/>
    <w:rsid w:val="001B314F"/>
    <w:rsid w:val="001B3F4F"/>
    <w:rsid w:val="001B4896"/>
    <w:rsid w:val="001B518D"/>
    <w:rsid w:val="001B52B0"/>
    <w:rsid w:val="001B5407"/>
    <w:rsid w:val="001B58AA"/>
    <w:rsid w:val="001B5C9D"/>
    <w:rsid w:val="001B697D"/>
    <w:rsid w:val="001B6C1E"/>
    <w:rsid w:val="001B6C22"/>
    <w:rsid w:val="001B7805"/>
    <w:rsid w:val="001B7E48"/>
    <w:rsid w:val="001C0437"/>
    <w:rsid w:val="001C0B37"/>
    <w:rsid w:val="001C0C86"/>
    <w:rsid w:val="001C0E20"/>
    <w:rsid w:val="001C17CE"/>
    <w:rsid w:val="001C1B2E"/>
    <w:rsid w:val="001C264B"/>
    <w:rsid w:val="001C277F"/>
    <w:rsid w:val="001C2C4C"/>
    <w:rsid w:val="001C365F"/>
    <w:rsid w:val="001C36CA"/>
    <w:rsid w:val="001C377F"/>
    <w:rsid w:val="001C3820"/>
    <w:rsid w:val="001C3925"/>
    <w:rsid w:val="001C3D83"/>
    <w:rsid w:val="001C44D1"/>
    <w:rsid w:val="001C4959"/>
    <w:rsid w:val="001C4968"/>
    <w:rsid w:val="001C5217"/>
    <w:rsid w:val="001C575E"/>
    <w:rsid w:val="001C58B6"/>
    <w:rsid w:val="001C65DC"/>
    <w:rsid w:val="001C6976"/>
    <w:rsid w:val="001C6AEE"/>
    <w:rsid w:val="001C7386"/>
    <w:rsid w:val="001C7630"/>
    <w:rsid w:val="001C7A55"/>
    <w:rsid w:val="001C7C80"/>
    <w:rsid w:val="001D0D7E"/>
    <w:rsid w:val="001D3506"/>
    <w:rsid w:val="001D48CA"/>
    <w:rsid w:val="001D4E43"/>
    <w:rsid w:val="001D4FBD"/>
    <w:rsid w:val="001D6016"/>
    <w:rsid w:val="001D6D15"/>
    <w:rsid w:val="001D7497"/>
    <w:rsid w:val="001D759A"/>
    <w:rsid w:val="001D790C"/>
    <w:rsid w:val="001D7CE7"/>
    <w:rsid w:val="001D7E0A"/>
    <w:rsid w:val="001E16EA"/>
    <w:rsid w:val="001E18BC"/>
    <w:rsid w:val="001E2347"/>
    <w:rsid w:val="001E338F"/>
    <w:rsid w:val="001E3B22"/>
    <w:rsid w:val="001E465A"/>
    <w:rsid w:val="001E5538"/>
    <w:rsid w:val="001E637C"/>
    <w:rsid w:val="001E66FE"/>
    <w:rsid w:val="001E6C74"/>
    <w:rsid w:val="001E6D37"/>
    <w:rsid w:val="001E778B"/>
    <w:rsid w:val="001F0538"/>
    <w:rsid w:val="001F0F9C"/>
    <w:rsid w:val="001F260C"/>
    <w:rsid w:val="001F26B6"/>
    <w:rsid w:val="001F2ED5"/>
    <w:rsid w:val="001F311C"/>
    <w:rsid w:val="001F4ADA"/>
    <w:rsid w:val="001F50F7"/>
    <w:rsid w:val="001F5F3D"/>
    <w:rsid w:val="001F6653"/>
    <w:rsid w:val="001F7558"/>
    <w:rsid w:val="001F7848"/>
    <w:rsid w:val="001F7FD5"/>
    <w:rsid w:val="00200553"/>
    <w:rsid w:val="00200E48"/>
    <w:rsid w:val="0020144F"/>
    <w:rsid w:val="00201EE2"/>
    <w:rsid w:val="002022FB"/>
    <w:rsid w:val="00202E27"/>
    <w:rsid w:val="00202E8F"/>
    <w:rsid w:val="00203395"/>
    <w:rsid w:val="002038C7"/>
    <w:rsid w:val="00203E45"/>
    <w:rsid w:val="00204D67"/>
    <w:rsid w:val="002051D2"/>
    <w:rsid w:val="00205206"/>
    <w:rsid w:val="00205B57"/>
    <w:rsid w:val="00205F88"/>
    <w:rsid w:val="00206015"/>
    <w:rsid w:val="00206EDD"/>
    <w:rsid w:val="00210A8E"/>
    <w:rsid w:val="00210BAA"/>
    <w:rsid w:val="00210BAD"/>
    <w:rsid w:val="002115A1"/>
    <w:rsid w:val="00212492"/>
    <w:rsid w:val="002128F4"/>
    <w:rsid w:val="00212C6C"/>
    <w:rsid w:val="002133C7"/>
    <w:rsid w:val="00213839"/>
    <w:rsid w:val="00213CE3"/>
    <w:rsid w:val="00213EFC"/>
    <w:rsid w:val="0021420E"/>
    <w:rsid w:val="00214236"/>
    <w:rsid w:val="0021426C"/>
    <w:rsid w:val="00214DAC"/>
    <w:rsid w:val="002157E0"/>
    <w:rsid w:val="00215EF5"/>
    <w:rsid w:val="00216A52"/>
    <w:rsid w:val="00216A57"/>
    <w:rsid w:val="00216BD2"/>
    <w:rsid w:val="00217448"/>
    <w:rsid w:val="002175F0"/>
    <w:rsid w:val="0022057C"/>
    <w:rsid w:val="00220976"/>
    <w:rsid w:val="00220D1D"/>
    <w:rsid w:val="00220DE2"/>
    <w:rsid w:val="00222BD5"/>
    <w:rsid w:val="0022334F"/>
    <w:rsid w:val="002238CC"/>
    <w:rsid w:val="00224139"/>
    <w:rsid w:val="002241B8"/>
    <w:rsid w:val="00226819"/>
    <w:rsid w:val="00226D89"/>
    <w:rsid w:val="002276F9"/>
    <w:rsid w:val="00227828"/>
    <w:rsid w:val="0023028F"/>
    <w:rsid w:val="00232238"/>
    <w:rsid w:val="00233101"/>
    <w:rsid w:val="0023327E"/>
    <w:rsid w:val="002337DB"/>
    <w:rsid w:val="00233817"/>
    <w:rsid w:val="00234140"/>
    <w:rsid w:val="0023454A"/>
    <w:rsid w:val="0023539A"/>
    <w:rsid w:val="00235DDE"/>
    <w:rsid w:val="002367FF"/>
    <w:rsid w:val="00236AAD"/>
    <w:rsid w:val="00237143"/>
    <w:rsid w:val="0023752D"/>
    <w:rsid w:val="00240CE9"/>
    <w:rsid w:val="002414FE"/>
    <w:rsid w:val="00241A0B"/>
    <w:rsid w:val="00241C39"/>
    <w:rsid w:val="0024285E"/>
    <w:rsid w:val="00243143"/>
    <w:rsid w:val="002434BA"/>
    <w:rsid w:val="00243A35"/>
    <w:rsid w:val="00245107"/>
    <w:rsid w:val="00246089"/>
    <w:rsid w:val="00246093"/>
    <w:rsid w:val="00246702"/>
    <w:rsid w:val="00247A45"/>
    <w:rsid w:val="00247C59"/>
    <w:rsid w:val="00247F2E"/>
    <w:rsid w:val="0025009A"/>
    <w:rsid w:val="00250ADC"/>
    <w:rsid w:val="00250B07"/>
    <w:rsid w:val="00250EE7"/>
    <w:rsid w:val="00250FC4"/>
    <w:rsid w:val="002515B8"/>
    <w:rsid w:val="00251635"/>
    <w:rsid w:val="00252893"/>
    <w:rsid w:val="0025369C"/>
    <w:rsid w:val="0025402C"/>
    <w:rsid w:val="00254836"/>
    <w:rsid w:val="00255829"/>
    <w:rsid w:val="00256F2F"/>
    <w:rsid w:val="00257553"/>
    <w:rsid w:val="00257CF5"/>
    <w:rsid w:val="0026078F"/>
    <w:rsid w:val="00260828"/>
    <w:rsid w:val="002608D9"/>
    <w:rsid w:val="00260A08"/>
    <w:rsid w:val="00260FB2"/>
    <w:rsid w:val="00261859"/>
    <w:rsid w:val="00262128"/>
    <w:rsid w:val="00262774"/>
    <w:rsid w:val="00262C3A"/>
    <w:rsid w:val="002634E2"/>
    <w:rsid w:val="00265CC8"/>
    <w:rsid w:val="002702BD"/>
    <w:rsid w:val="00270668"/>
    <w:rsid w:val="002712A3"/>
    <w:rsid w:val="0027165D"/>
    <w:rsid w:val="002717BE"/>
    <w:rsid w:val="00271EC3"/>
    <w:rsid w:val="002724E7"/>
    <w:rsid w:val="002730B6"/>
    <w:rsid w:val="0027310F"/>
    <w:rsid w:val="002732D8"/>
    <w:rsid w:val="00273934"/>
    <w:rsid w:val="00273CEB"/>
    <w:rsid w:val="0027434A"/>
    <w:rsid w:val="002746C7"/>
    <w:rsid w:val="00275F5C"/>
    <w:rsid w:val="002766B6"/>
    <w:rsid w:val="002771DD"/>
    <w:rsid w:val="00277337"/>
    <w:rsid w:val="00277E40"/>
    <w:rsid w:val="002800AD"/>
    <w:rsid w:val="002806CA"/>
    <w:rsid w:val="00281AD2"/>
    <w:rsid w:val="00281C89"/>
    <w:rsid w:val="00282268"/>
    <w:rsid w:val="002822BC"/>
    <w:rsid w:val="0028282F"/>
    <w:rsid w:val="00282F2D"/>
    <w:rsid w:val="002837BE"/>
    <w:rsid w:val="002861A3"/>
    <w:rsid w:val="00286569"/>
    <w:rsid w:val="00286CD2"/>
    <w:rsid w:val="00287778"/>
    <w:rsid w:val="00290C2F"/>
    <w:rsid w:val="0029124A"/>
    <w:rsid w:val="002919AB"/>
    <w:rsid w:val="00293585"/>
    <w:rsid w:val="00293716"/>
    <w:rsid w:val="00293E03"/>
    <w:rsid w:val="00293E4D"/>
    <w:rsid w:val="00294785"/>
    <w:rsid w:val="00295342"/>
    <w:rsid w:val="002957F2"/>
    <w:rsid w:val="00295901"/>
    <w:rsid w:val="0029593B"/>
    <w:rsid w:val="002959A4"/>
    <w:rsid w:val="002962FD"/>
    <w:rsid w:val="00296625"/>
    <w:rsid w:val="00296919"/>
    <w:rsid w:val="00296E2B"/>
    <w:rsid w:val="0029708B"/>
    <w:rsid w:val="00297FC5"/>
    <w:rsid w:val="002A0417"/>
    <w:rsid w:val="002A052A"/>
    <w:rsid w:val="002A142B"/>
    <w:rsid w:val="002A148C"/>
    <w:rsid w:val="002A1530"/>
    <w:rsid w:val="002A16D8"/>
    <w:rsid w:val="002A17D4"/>
    <w:rsid w:val="002A1BC8"/>
    <w:rsid w:val="002A293F"/>
    <w:rsid w:val="002A313B"/>
    <w:rsid w:val="002A3E92"/>
    <w:rsid w:val="002A3EF2"/>
    <w:rsid w:val="002A4695"/>
    <w:rsid w:val="002A4CC6"/>
    <w:rsid w:val="002A50FF"/>
    <w:rsid w:val="002A62F1"/>
    <w:rsid w:val="002A64E5"/>
    <w:rsid w:val="002A678F"/>
    <w:rsid w:val="002A717F"/>
    <w:rsid w:val="002A719E"/>
    <w:rsid w:val="002B0D89"/>
    <w:rsid w:val="002B0DED"/>
    <w:rsid w:val="002B0E83"/>
    <w:rsid w:val="002B1320"/>
    <w:rsid w:val="002B19A2"/>
    <w:rsid w:val="002B1ED3"/>
    <w:rsid w:val="002B2C1D"/>
    <w:rsid w:val="002B381A"/>
    <w:rsid w:val="002B382F"/>
    <w:rsid w:val="002B3887"/>
    <w:rsid w:val="002B38AC"/>
    <w:rsid w:val="002B3C4F"/>
    <w:rsid w:val="002B3DCC"/>
    <w:rsid w:val="002B3FB2"/>
    <w:rsid w:val="002B44B4"/>
    <w:rsid w:val="002B48A2"/>
    <w:rsid w:val="002B4FCC"/>
    <w:rsid w:val="002B7408"/>
    <w:rsid w:val="002B7CFD"/>
    <w:rsid w:val="002C0530"/>
    <w:rsid w:val="002C0734"/>
    <w:rsid w:val="002C1017"/>
    <w:rsid w:val="002C1D98"/>
    <w:rsid w:val="002C210F"/>
    <w:rsid w:val="002C253D"/>
    <w:rsid w:val="002C37AF"/>
    <w:rsid w:val="002C46AC"/>
    <w:rsid w:val="002C4780"/>
    <w:rsid w:val="002C4795"/>
    <w:rsid w:val="002C4CE2"/>
    <w:rsid w:val="002C582B"/>
    <w:rsid w:val="002C695B"/>
    <w:rsid w:val="002C6D87"/>
    <w:rsid w:val="002C7DE3"/>
    <w:rsid w:val="002D13C4"/>
    <w:rsid w:val="002D1BFD"/>
    <w:rsid w:val="002D25FD"/>
    <w:rsid w:val="002D2D20"/>
    <w:rsid w:val="002D2D21"/>
    <w:rsid w:val="002D2F6D"/>
    <w:rsid w:val="002D3600"/>
    <w:rsid w:val="002D3CA0"/>
    <w:rsid w:val="002D4660"/>
    <w:rsid w:val="002D63B7"/>
    <w:rsid w:val="002D6D7C"/>
    <w:rsid w:val="002D6FEF"/>
    <w:rsid w:val="002D721A"/>
    <w:rsid w:val="002E0830"/>
    <w:rsid w:val="002E096F"/>
    <w:rsid w:val="002E11C7"/>
    <w:rsid w:val="002E31EE"/>
    <w:rsid w:val="002E35C6"/>
    <w:rsid w:val="002E45AA"/>
    <w:rsid w:val="002E4DDC"/>
    <w:rsid w:val="002E5A83"/>
    <w:rsid w:val="002E5EF6"/>
    <w:rsid w:val="002E5F1C"/>
    <w:rsid w:val="002E6CF9"/>
    <w:rsid w:val="002E7078"/>
    <w:rsid w:val="002F086A"/>
    <w:rsid w:val="002F0AB0"/>
    <w:rsid w:val="002F163F"/>
    <w:rsid w:val="003005D0"/>
    <w:rsid w:val="003006AF"/>
    <w:rsid w:val="00300C56"/>
    <w:rsid w:val="00301FD6"/>
    <w:rsid w:val="00302480"/>
    <w:rsid w:val="00302758"/>
    <w:rsid w:val="00302FB4"/>
    <w:rsid w:val="00303578"/>
    <w:rsid w:val="00303926"/>
    <w:rsid w:val="00304331"/>
    <w:rsid w:val="003049AF"/>
    <w:rsid w:val="00304E14"/>
    <w:rsid w:val="003060DB"/>
    <w:rsid w:val="003061C5"/>
    <w:rsid w:val="003061EA"/>
    <w:rsid w:val="00306571"/>
    <w:rsid w:val="003066CC"/>
    <w:rsid w:val="00307C2C"/>
    <w:rsid w:val="003110D1"/>
    <w:rsid w:val="0031158B"/>
    <w:rsid w:val="00311AEB"/>
    <w:rsid w:val="0031272C"/>
    <w:rsid w:val="00312808"/>
    <w:rsid w:val="00313A41"/>
    <w:rsid w:val="0031400E"/>
    <w:rsid w:val="003165E6"/>
    <w:rsid w:val="00316782"/>
    <w:rsid w:val="003170FF"/>
    <w:rsid w:val="00317A3F"/>
    <w:rsid w:val="00317D6C"/>
    <w:rsid w:val="00320446"/>
    <w:rsid w:val="00320660"/>
    <w:rsid w:val="0032097E"/>
    <w:rsid w:val="00321141"/>
    <w:rsid w:val="003215B5"/>
    <w:rsid w:val="003221CF"/>
    <w:rsid w:val="003233ED"/>
    <w:rsid w:val="00323576"/>
    <w:rsid w:val="003237A3"/>
    <w:rsid w:val="00323F5B"/>
    <w:rsid w:val="00324579"/>
    <w:rsid w:val="00324D9F"/>
    <w:rsid w:val="003253EE"/>
    <w:rsid w:val="00326135"/>
    <w:rsid w:val="00326F28"/>
    <w:rsid w:val="003276D8"/>
    <w:rsid w:val="00327948"/>
    <w:rsid w:val="0033000F"/>
    <w:rsid w:val="0033058B"/>
    <w:rsid w:val="003310CB"/>
    <w:rsid w:val="00331381"/>
    <w:rsid w:val="00331B37"/>
    <w:rsid w:val="00332011"/>
    <w:rsid w:val="003320C6"/>
    <w:rsid w:val="00332518"/>
    <w:rsid w:val="003327A7"/>
    <w:rsid w:val="00332925"/>
    <w:rsid w:val="00332AA8"/>
    <w:rsid w:val="00332E3F"/>
    <w:rsid w:val="003332ED"/>
    <w:rsid w:val="00333AAA"/>
    <w:rsid w:val="00333DB9"/>
    <w:rsid w:val="00334F93"/>
    <w:rsid w:val="00335B91"/>
    <w:rsid w:val="00335EA2"/>
    <w:rsid w:val="003368DC"/>
    <w:rsid w:val="00337F5E"/>
    <w:rsid w:val="00340E54"/>
    <w:rsid w:val="00340F0A"/>
    <w:rsid w:val="00342B79"/>
    <w:rsid w:val="00342FDB"/>
    <w:rsid w:val="003438C0"/>
    <w:rsid w:val="00343BED"/>
    <w:rsid w:val="00344012"/>
    <w:rsid w:val="00344430"/>
    <w:rsid w:val="00344816"/>
    <w:rsid w:val="0034490B"/>
    <w:rsid w:val="00344B2C"/>
    <w:rsid w:val="00344C86"/>
    <w:rsid w:val="00344F06"/>
    <w:rsid w:val="003450E8"/>
    <w:rsid w:val="00345706"/>
    <w:rsid w:val="003457FC"/>
    <w:rsid w:val="00345927"/>
    <w:rsid w:val="00345935"/>
    <w:rsid w:val="00345DA6"/>
    <w:rsid w:val="00345E7C"/>
    <w:rsid w:val="00346DFD"/>
    <w:rsid w:val="00347B53"/>
    <w:rsid w:val="00347BB0"/>
    <w:rsid w:val="00350584"/>
    <w:rsid w:val="00350BC0"/>
    <w:rsid w:val="003515DA"/>
    <w:rsid w:val="00351857"/>
    <w:rsid w:val="00352761"/>
    <w:rsid w:val="003529E7"/>
    <w:rsid w:val="00353224"/>
    <w:rsid w:val="003536BC"/>
    <w:rsid w:val="003545E8"/>
    <w:rsid w:val="0035470F"/>
    <w:rsid w:val="00355011"/>
    <w:rsid w:val="00355167"/>
    <w:rsid w:val="00356184"/>
    <w:rsid w:val="00356582"/>
    <w:rsid w:val="00356BD7"/>
    <w:rsid w:val="00357442"/>
    <w:rsid w:val="0035766F"/>
    <w:rsid w:val="003577C1"/>
    <w:rsid w:val="003610E1"/>
    <w:rsid w:val="003621AB"/>
    <w:rsid w:val="00362978"/>
    <w:rsid w:val="00363C41"/>
    <w:rsid w:val="00364462"/>
    <w:rsid w:val="00364800"/>
    <w:rsid w:val="00365002"/>
    <w:rsid w:val="00366C47"/>
    <w:rsid w:val="003671BE"/>
    <w:rsid w:val="00367A77"/>
    <w:rsid w:val="00367C61"/>
    <w:rsid w:val="003700A9"/>
    <w:rsid w:val="00370D99"/>
    <w:rsid w:val="003722DD"/>
    <w:rsid w:val="00372485"/>
    <w:rsid w:val="00372FCC"/>
    <w:rsid w:val="00373200"/>
    <w:rsid w:val="00374055"/>
    <w:rsid w:val="00374413"/>
    <w:rsid w:val="00374BD5"/>
    <w:rsid w:val="00374BD8"/>
    <w:rsid w:val="00375502"/>
    <w:rsid w:val="00375EF5"/>
    <w:rsid w:val="003767A5"/>
    <w:rsid w:val="00377316"/>
    <w:rsid w:val="003777BC"/>
    <w:rsid w:val="00377C61"/>
    <w:rsid w:val="003803BD"/>
    <w:rsid w:val="003806B8"/>
    <w:rsid w:val="00381404"/>
    <w:rsid w:val="00381D15"/>
    <w:rsid w:val="00381F1C"/>
    <w:rsid w:val="00382B14"/>
    <w:rsid w:val="003831CB"/>
    <w:rsid w:val="003839FF"/>
    <w:rsid w:val="00385254"/>
    <w:rsid w:val="003876BB"/>
    <w:rsid w:val="003903EF"/>
    <w:rsid w:val="00390B60"/>
    <w:rsid w:val="00390D91"/>
    <w:rsid w:val="00390F15"/>
    <w:rsid w:val="00391073"/>
    <w:rsid w:val="0039285D"/>
    <w:rsid w:val="00392E08"/>
    <w:rsid w:val="003933BB"/>
    <w:rsid w:val="003933E8"/>
    <w:rsid w:val="00393B57"/>
    <w:rsid w:val="00394031"/>
    <w:rsid w:val="0039430D"/>
    <w:rsid w:val="00394433"/>
    <w:rsid w:val="00394D97"/>
    <w:rsid w:val="00395E6C"/>
    <w:rsid w:val="003960CD"/>
    <w:rsid w:val="00396478"/>
    <w:rsid w:val="003965AF"/>
    <w:rsid w:val="0039699A"/>
    <w:rsid w:val="00396DC2"/>
    <w:rsid w:val="00397C41"/>
    <w:rsid w:val="00397C65"/>
    <w:rsid w:val="003A04DB"/>
    <w:rsid w:val="003A0832"/>
    <w:rsid w:val="003A0BF5"/>
    <w:rsid w:val="003A1560"/>
    <w:rsid w:val="003A1B11"/>
    <w:rsid w:val="003A2D60"/>
    <w:rsid w:val="003A2E35"/>
    <w:rsid w:val="003A2F92"/>
    <w:rsid w:val="003A4171"/>
    <w:rsid w:val="003A50E4"/>
    <w:rsid w:val="003A5E06"/>
    <w:rsid w:val="003A5F5B"/>
    <w:rsid w:val="003A637A"/>
    <w:rsid w:val="003A6ADA"/>
    <w:rsid w:val="003A6F5B"/>
    <w:rsid w:val="003A789A"/>
    <w:rsid w:val="003A7E8E"/>
    <w:rsid w:val="003B06A0"/>
    <w:rsid w:val="003B08CC"/>
    <w:rsid w:val="003B12EC"/>
    <w:rsid w:val="003B1EBA"/>
    <w:rsid w:val="003B20E7"/>
    <w:rsid w:val="003B27E3"/>
    <w:rsid w:val="003B2854"/>
    <w:rsid w:val="003B32E4"/>
    <w:rsid w:val="003B34F0"/>
    <w:rsid w:val="003B3EBD"/>
    <w:rsid w:val="003B42D5"/>
    <w:rsid w:val="003B4825"/>
    <w:rsid w:val="003B4ADA"/>
    <w:rsid w:val="003B4D99"/>
    <w:rsid w:val="003B4FB1"/>
    <w:rsid w:val="003B5B2A"/>
    <w:rsid w:val="003B6043"/>
    <w:rsid w:val="003B62A2"/>
    <w:rsid w:val="003B62D1"/>
    <w:rsid w:val="003B63BF"/>
    <w:rsid w:val="003B63FC"/>
    <w:rsid w:val="003B798F"/>
    <w:rsid w:val="003C03B8"/>
    <w:rsid w:val="003C09A1"/>
    <w:rsid w:val="003C0A1D"/>
    <w:rsid w:val="003C1907"/>
    <w:rsid w:val="003C1AE5"/>
    <w:rsid w:val="003C1E3E"/>
    <w:rsid w:val="003C2565"/>
    <w:rsid w:val="003C256C"/>
    <w:rsid w:val="003C28A5"/>
    <w:rsid w:val="003C29B7"/>
    <w:rsid w:val="003C3288"/>
    <w:rsid w:val="003C4191"/>
    <w:rsid w:val="003C5D0E"/>
    <w:rsid w:val="003C6D82"/>
    <w:rsid w:val="003C6E1A"/>
    <w:rsid w:val="003C710D"/>
    <w:rsid w:val="003C7470"/>
    <w:rsid w:val="003C77E0"/>
    <w:rsid w:val="003C7B2F"/>
    <w:rsid w:val="003D08AC"/>
    <w:rsid w:val="003D09AE"/>
    <w:rsid w:val="003D0B23"/>
    <w:rsid w:val="003D0E18"/>
    <w:rsid w:val="003D0F16"/>
    <w:rsid w:val="003D1535"/>
    <w:rsid w:val="003D17D7"/>
    <w:rsid w:val="003D2678"/>
    <w:rsid w:val="003D31B2"/>
    <w:rsid w:val="003D34A0"/>
    <w:rsid w:val="003D3A3C"/>
    <w:rsid w:val="003D443A"/>
    <w:rsid w:val="003D4E43"/>
    <w:rsid w:val="003D51D1"/>
    <w:rsid w:val="003D570B"/>
    <w:rsid w:val="003D5A66"/>
    <w:rsid w:val="003D6298"/>
    <w:rsid w:val="003D6A9F"/>
    <w:rsid w:val="003D71A3"/>
    <w:rsid w:val="003D7414"/>
    <w:rsid w:val="003D749F"/>
    <w:rsid w:val="003E0248"/>
    <w:rsid w:val="003E0481"/>
    <w:rsid w:val="003E0C52"/>
    <w:rsid w:val="003E15DE"/>
    <w:rsid w:val="003E1EA8"/>
    <w:rsid w:val="003E25C0"/>
    <w:rsid w:val="003E296E"/>
    <w:rsid w:val="003E2B8A"/>
    <w:rsid w:val="003E3665"/>
    <w:rsid w:val="003E3F39"/>
    <w:rsid w:val="003E480F"/>
    <w:rsid w:val="003E4F3E"/>
    <w:rsid w:val="003E51A5"/>
    <w:rsid w:val="003E65E3"/>
    <w:rsid w:val="003E69C3"/>
    <w:rsid w:val="003F052E"/>
    <w:rsid w:val="003F0BD3"/>
    <w:rsid w:val="003F0C9C"/>
    <w:rsid w:val="003F10EE"/>
    <w:rsid w:val="003F16F6"/>
    <w:rsid w:val="003F1ABF"/>
    <w:rsid w:val="003F28CF"/>
    <w:rsid w:val="003F2A9F"/>
    <w:rsid w:val="003F3563"/>
    <w:rsid w:val="003F37BF"/>
    <w:rsid w:val="003F3DF3"/>
    <w:rsid w:val="003F3E34"/>
    <w:rsid w:val="003F3ED7"/>
    <w:rsid w:val="003F42EB"/>
    <w:rsid w:val="003F43C2"/>
    <w:rsid w:val="003F4D52"/>
    <w:rsid w:val="003F4DC7"/>
    <w:rsid w:val="003F5235"/>
    <w:rsid w:val="003F6705"/>
    <w:rsid w:val="003F746C"/>
    <w:rsid w:val="003F7696"/>
    <w:rsid w:val="003F7B32"/>
    <w:rsid w:val="0040050C"/>
    <w:rsid w:val="00400727"/>
    <w:rsid w:val="00400EB6"/>
    <w:rsid w:val="00401FE7"/>
    <w:rsid w:val="004023B1"/>
    <w:rsid w:val="004027E4"/>
    <w:rsid w:val="00402FA8"/>
    <w:rsid w:val="00403026"/>
    <w:rsid w:val="0040457C"/>
    <w:rsid w:val="00405116"/>
    <w:rsid w:val="0040591A"/>
    <w:rsid w:val="00405A9C"/>
    <w:rsid w:val="00405C28"/>
    <w:rsid w:val="00406515"/>
    <w:rsid w:val="00406B6C"/>
    <w:rsid w:val="00406DCD"/>
    <w:rsid w:val="004106C8"/>
    <w:rsid w:val="0041071D"/>
    <w:rsid w:val="00410A0F"/>
    <w:rsid w:val="00410BEA"/>
    <w:rsid w:val="00412DFB"/>
    <w:rsid w:val="00412E7C"/>
    <w:rsid w:val="00413153"/>
    <w:rsid w:val="00413A3A"/>
    <w:rsid w:val="0041448E"/>
    <w:rsid w:val="00414AFC"/>
    <w:rsid w:val="004151A7"/>
    <w:rsid w:val="00415310"/>
    <w:rsid w:val="0041552A"/>
    <w:rsid w:val="00415646"/>
    <w:rsid w:val="00416262"/>
    <w:rsid w:val="0041784F"/>
    <w:rsid w:val="00417C3B"/>
    <w:rsid w:val="00420265"/>
    <w:rsid w:val="0042050F"/>
    <w:rsid w:val="00421144"/>
    <w:rsid w:val="0042144F"/>
    <w:rsid w:val="004214CF"/>
    <w:rsid w:val="00421709"/>
    <w:rsid w:val="00421F66"/>
    <w:rsid w:val="00422099"/>
    <w:rsid w:val="0042364B"/>
    <w:rsid w:val="0042366E"/>
    <w:rsid w:val="00423763"/>
    <w:rsid w:val="00424652"/>
    <w:rsid w:val="0042468A"/>
    <w:rsid w:val="00424FC6"/>
    <w:rsid w:val="0042509D"/>
    <w:rsid w:val="0042642E"/>
    <w:rsid w:val="004272E7"/>
    <w:rsid w:val="0042762F"/>
    <w:rsid w:val="00427A20"/>
    <w:rsid w:val="00427DC7"/>
    <w:rsid w:val="004301D6"/>
    <w:rsid w:val="00430326"/>
    <w:rsid w:val="00431613"/>
    <w:rsid w:val="00431792"/>
    <w:rsid w:val="00431C96"/>
    <w:rsid w:val="00431F48"/>
    <w:rsid w:val="0043297A"/>
    <w:rsid w:val="00432ACD"/>
    <w:rsid w:val="00432EB2"/>
    <w:rsid w:val="00433001"/>
    <w:rsid w:val="004335A6"/>
    <w:rsid w:val="00433B1F"/>
    <w:rsid w:val="00433F4C"/>
    <w:rsid w:val="00434B86"/>
    <w:rsid w:val="00435140"/>
    <w:rsid w:val="00435671"/>
    <w:rsid w:val="00435836"/>
    <w:rsid w:val="00435D2B"/>
    <w:rsid w:val="00436159"/>
    <w:rsid w:val="00436617"/>
    <w:rsid w:val="0043714F"/>
    <w:rsid w:val="00437BE6"/>
    <w:rsid w:val="00437F8B"/>
    <w:rsid w:val="004413E7"/>
    <w:rsid w:val="0044217A"/>
    <w:rsid w:val="0044335B"/>
    <w:rsid w:val="004438B5"/>
    <w:rsid w:val="0044461F"/>
    <w:rsid w:val="00444E3D"/>
    <w:rsid w:val="00445B58"/>
    <w:rsid w:val="004460B8"/>
    <w:rsid w:val="004460E3"/>
    <w:rsid w:val="004462EF"/>
    <w:rsid w:val="004466C0"/>
    <w:rsid w:val="0044682B"/>
    <w:rsid w:val="00447037"/>
    <w:rsid w:val="004473BF"/>
    <w:rsid w:val="00450CA8"/>
    <w:rsid w:val="0045124D"/>
    <w:rsid w:val="00451840"/>
    <w:rsid w:val="00451B5C"/>
    <w:rsid w:val="00451E3B"/>
    <w:rsid w:val="004520B1"/>
    <w:rsid w:val="00452571"/>
    <w:rsid w:val="004529A4"/>
    <w:rsid w:val="004529F8"/>
    <w:rsid w:val="00452E39"/>
    <w:rsid w:val="00452F60"/>
    <w:rsid w:val="00453601"/>
    <w:rsid w:val="00453B49"/>
    <w:rsid w:val="00454596"/>
    <w:rsid w:val="00454B30"/>
    <w:rsid w:val="00455016"/>
    <w:rsid w:val="00455CBB"/>
    <w:rsid w:val="0045605D"/>
    <w:rsid w:val="00456332"/>
    <w:rsid w:val="00457D1E"/>
    <w:rsid w:val="00460198"/>
    <w:rsid w:val="004604EB"/>
    <w:rsid w:val="00460EF1"/>
    <w:rsid w:val="00460FDD"/>
    <w:rsid w:val="0046135B"/>
    <w:rsid w:val="0046193D"/>
    <w:rsid w:val="00461B9C"/>
    <w:rsid w:val="00461D47"/>
    <w:rsid w:val="004628B9"/>
    <w:rsid w:val="00462A80"/>
    <w:rsid w:val="00462E32"/>
    <w:rsid w:val="004642CF"/>
    <w:rsid w:val="0046478E"/>
    <w:rsid w:val="00465A96"/>
    <w:rsid w:val="00466D82"/>
    <w:rsid w:val="004701FA"/>
    <w:rsid w:val="00470A87"/>
    <w:rsid w:val="00470A94"/>
    <w:rsid w:val="0047118C"/>
    <w:rsid w:val="0047185E"/>
    <w:rsid w:val="004718CC"/>
    <w:rsid w:val="00474DBA"/>
    <w:rsid w:val="00475819"/>
    <w:rsid w:val="00475D5F"/>
    <w:rsid w:val="0047623E"/>
    <w:rsid w:val="0047630B"/>
    <w:rsid w:val="00476636"/>
    <w:rsid w:val="00476DF1"/>
    <w:rsid w:val="0048048E"/>
    <w:rsid w:val="00480905"/>
    <w:rsid w:val="00481525"/>
    <w:rsid w:val="00481695"/>
    <w:rsid w:val="00481D07"/>
    <w:rsid w:val="004821CB"/>
    <w:rsid w:val="004829C9"/>
    <w:rsid w:val="00482B6C"/>
    <w:rsid w:val="00483991"/>
    <w:rsid w:val="00484C61"/>
    <w:rsid w:val="004851CD"/>
    <w:rsid w:val="00485356"/>
    <w:rsid w:val="00485837"/>
    <w:rsid w:val="00485F2D"/>
    <w:rsid w:val="00486FF6"/>
    <w:rsid w:val="00490D81"/>
    <w:rsid w:val="00490DBF"/>
    <w:rsid w:val="0049113C"/>
    <w:rsid w:val="0049123A"/>
    <w:rsid w:val="004924BC"/>
    <w:rsid w:val="004929FD"/>
    <w:rsid w:val="00492E0D"/>
    <w:rsid w:val="004932BB"/>
    <w:rsid w:val="00493686"/>
    <w:rsid w:val="00494882"/>
    <w:rsid w:val="00494D4A"/>
    <w:rsid w:val="00494EC2"/>
    <w:rsid w:val="00495A96"/>
    <w:rsid w:val="00495BB3"/>
    <w:rsid w:val="00496044"/>
    <w:rsid w:val="0049623A"/>
    <w:rsid w:val="004968A6"/>
    <w:rsid w:val="00496D22"/>
    <w:rsid w:val="004A0E2B"/>
    <w:rsid w:val="004A0E4C"/>
    <w:rsid w:val="004A2B8F"/>
    <w:rsid w:val="004A2D72"/>
    <w:rsid w:val="004A3957"/>
    <w:rsid w:val="004A3B4A"/>
    <w:rsid w:val="004A3BA4"/>
    <w:rsid w:val="004A446E"/>
    <w:rsid w:val="004A44D5"/>
    <w:rsid w:val="004A4AB9"/>
    <w:rsid w:val="004A4E0C"/>
    <w:rsid w:val="004A4EFC"/>
    <w:rsid w:val="004A5239"/>
    <w:rsid w:val="004A56BB"/>
    <w:rsid w:val="004A5955"/>
    <w:rsid w:val="004A599B"/>
    <w:rsid w:val="004A64D2"/>
    <w:rsid w:val="004A70D6"/>
    <w:rsid w:val="004A714D"/>
    <w:rsid w:val="004A7DFF"/>
    <w:rsid w:val="004B0FBD"/>
    <w:rsid w:val="004B1290"/>
    <w:rsid w:val="004B1751"/>
    <w:rsid w:val="004B1CAB"/>
    <w:rsid w:val="004B2A75"/>
    <w:rsid w:val="004B2DA1"/>
    <w:rsid w:val="004B3409"/>
    <w:rsid w:val="004B42F1"/>
    <w:rsid w:val="004B4D13"/>
    <w:rsid w:val="004B5794"/>
    <w:rsid w:val="004B61A8"/>
    <w:rsid w:val="004B7F61"/>
    <w:rsid w:val="004C0253"/>
    <w:rsid w:val="004C0588"/>
    <w:rsid w:val="004C07A8"/>
    <w:rsid w:val="004C1109"/>
    <w:rsid w:val="004C1ADB"/>
    <w:rsid w:val="004C1AEC"/>
    <w:rsid w:val="004C1DB0"/>
    <w:rsid w:val="004C22F7"/>
    <w:rsid w:val="004C2A47"/>
    <w:rsid w:val="004C2AA4"/>
    <w:rsid w:val="004C3629"/>
    <w:rsid w:val="004C3ACC"/>
    <w:rsid w:val="004C3D90"/>
    <w:rsid w:val="004C4180"/>
    <w:rsid w:val="004C41E4"/>
    <w:rsid w:val="004C4317"/>
    <w:rsid w:val="004C4577"/>
    <w:rsid w:val="004C4FA2"/>
    <w:rsid w:val="004C537B"/>
    <w:rsid w:val="004C56CB"/>
    <w:rsid w:val="004C5DD0"/>
    <w:rsid w:val="004C6540"/>
    <w:rsid w:val="004C6664"/>
    <w:rsid w:val="004D0464"/>
    <w:rsid w:val="004D1552"/>
    <w:rsid w:val="004D276E"/>
    <w:rsid w:val="004D2C81"/>
    <w:rsid w:val="004D3076"/>
    <w:rsid w:val="004D3483"/>
    <w:rsid w:val="004D3502"/>
    <w:rsid w:val="004D43AD"/>
    <w:rsid w:val="004D477A"/>
    <w:rsid w:val="004D4DC7"/>
    <w:rsid w:val="004D4E86"/>
    <w:rsid w:val="004D4F8A"/>
    <w:rsid w:val="004D56FF"/>
    <w:rsid w:val="004D5A9F"/>
    <w:rsid w:val="004D6019"/>
    <w:rsid w:val="004D614D"/>
    <w:rsid w:val="004D618B"/>
    <w:rsid w:val="004D6495"/>
    <w:rsid w:val="004D68E2"/>
    <w:rsid w:val="004D6977"/>
    <w:rsid w:val="004D6D7F"/>
    <w:rsid w:val="004D764C"/>
    <w:rsid w:val="004D79C2"/>
    <w:rsid w:val="004D7D43"/>
    <w:rsid w:val="004E09F0"/>
    <w:rsid w:val="004E0C6D"/>
    <w:rsid w:val="004E1510"/>
    <w:rsid w:val="004E23E6"/>
    <w:rsid w:val="004E23FF"/>
    <w:rsid w:val="004E27FE"/>
    <w:rsid w:val="004E39D3"/>
    <w:rsid w:val="004E508A"/>
    <w:rsid w:val="004E5ACC"/>
    <w:rsid w:val="004E616D"/>
    <w:rsid w:val="004E6AE1"/>
    <w:rsid w:val="004E759C"/>
    <w:rsid w:val="004E7EA9"/>
    <w:rsid w:val="004F0021"/>
    <w:rsid w:val="004F03F3"/>
    <w:rsid w:val="004F1BDE"/>
    <w:rsid w:val="004F1F82"/>
    <w:rsid w:val="004F24BB"/>
    <w:rsid w:val="004F252F"/>
    <w:rsid w:val="004F2674"/>
    <w:rsid w:val="004F2CEE"/>
    <w:rsid w:val="004F3405"/>
    <w:rsid w:val="004F39A2"/>
    <w:rsid w:val="004F3CEC"/>
    <w:rsid w:val="004F3EB5"/>
    <w:rsid w:val="004F4FBE"/>
    <w:rsid w:val="004F5130"/>
    <w:rsid w:val="004F556E"/>
    <w:rsid w:val="004F56BB"/>
    <w:rsid w:val="004F591C"/>
    <w:rsid w:val="004F7F44"/>
    <w:rsid w:val="004F7F62"/>
    <w:rsid w:val="0050035F"/>
    <w:rsid w:val="0050061C"/>
    <w:rsid w:val="00500C1B"/>
    <w:rsid w:val="00500DE1"/>
    <w:rsid w:val="00500F50"/>
    <w:rsid w:val="0050108D"/>
    <w:rsid w:val="005012B6"/>
    <w:rsid w:val="00502C5D"/>
    <w:rsid w:val="005037B4"/>
    <w:rsid w:val="00504115"/>
    <w:rsid w:val="005053CF"/>
    <w:rsid w:val="0050742A"/>
    <w:rsid w:val="0050758C"/>
    <w:rsid w:val="00507977"/>
    <w:rsid w:val="005079BF"/>
    <w:rsid w:val="00507AB3"/>
    <w:rsid w:val="00507BEF"/>
    <w:rsid w:val="00510401"/>
    <w:rsid w:val="00510FEE"/>
    <w:rsid w:val="0051269A"/>
    <w:rsid w:val="00513A14"/>
    <w:rsid w:val="00513BB3"/>
    <w:rsid w:val="00513C83"/>
    <w:rsid w:val="00514269"/>
    <w:rsid w:val="00515016"/>
    <w:rsid w:val="005161D4"/>
    <w:rsid w:val="005166F4"/>
    <w:rsid w:val="00516C10"/>
    <w:rsid w:val="005178A8"/>
    <w:rsid w:val="00520A5D"/>
    <w:rsid w:val="00521291"/>
    <w:rsid w:val="005219E7"/>
    <w:rsid w:val="00521A00"/>
    <w:rsid w:val="00522AD1"/>
    <w:rsid w:val="00522D12"/>
    <w:rsid w:val="00523251"/>
    <w:rsid w:val="00523B35"/>
    <w:rsid w:val="00525135"/>
    <w:rsid w:val="00525CAA"/>
    <w:rsid w:val="0052609B"/>
    <w:rsid w:val="00526B3D"/>
    <w:rsid w:val="0052776C"/>
    <w:rsid w:val="00530D17"/>
    <w:rsid w:val="00531204"/>
    <w:rsid w:val="0053123F"/>
    <w:rsid w:val="00531AF5"/>
    <w:rsid w:val="00531B9A"/>
    <w:rsid w:val="00531D15"/>
    <w:rsid w:val="0053219C"/>
    <w:rsid w:val="00532412"/>
    <w:rsid w:val="005328C2"/>
    <w:rsid w:val="00533298"/>
    <w:rsid w:val="005344AE"/>
    <w:rsid w:val="0053591A"/>
    <w:rsid w:val="0053650B"/>
    <w:rsid w:val="00536892"/>
    <w:rsid w:val="005368C3"/>
    <w:rsid w:val="005369D8"/>
    <w:rsid w:val="0053744D"/>
    <w:rsid w:val="005374CC"/>
    <w:rsid w:val="00537604"/>
    <w:rsid w:val="00540D91"/>
    <w:rsid w:val="00541006"/>
    <w:rsid w:val="00542377"/>
    <w:rsid w:val="0054259D"/>
    <w:rsid w:val="00543CA3"/>
    <w:rsid w:val="0054437B"/>
    <w:rsid w:val="005449CA"/>
    <w:rsid w:val="00544AB4"/>
    <w:rsid w:val="0054582D"/>
    <w:rsid w:val="005462E4"/>
    <w:rsid w:val="00546DDA"/>
    <w:rsid w:val="00547620"/>
    <w:rsid w:val="005476EB"/>
    <w:rsid w:val="00547ADB"/>
    <w:rsid w:val="00547B82"/>
    <w:rsid w:val="00547F9B"/>
    <w:rsid w:val="00547FA9"/>
    <w:rsid w:val="005505CF"/>
    <w:rsid w:val="00550D6F"/>
    <w:rsid w:val="00550E6B"/>
    <w:rsid w:val="00551782"/>
    <w:rsid w:val="00551D39"/>
    <w:rsid w:val="00551EDB"/>
    <w:rsid w:val="00552397"/>
    <w:rsid w:val="00552435"/>
    <w:rsid w:val="00552C6B"/>
    <w:rsid w:val="0055405B"/>
    <w:rsid w:val="0055465C"/>
    <w:rsid w:val="00554FB2"/>
    <w:rsid w:val="00555C0B"/>
    <w:rsid w:val="00556621"/>
    <w:rsid w:val="00556A10"/>
    <w:rsid w:val="00561056"/>
    <w:rsid w:val="0056115D"/>
    <w:rsid w:val="005625A8"/>
    <w:rsid w:val="00562832"/>
    <w:rsid w:val="00563C3B"/>
    <w:rsid w:val="00563EF1"/>
    <w:rsid w:val="00564965"/>
    <w:rsid w:val="005651F3"/>
    <w:rsid w:val="005667DC"/>
    <w:rsid w:val="00566977"/>
    <w:rsid w:val="00566AB4"/>
    <w:rsid w:val="00567EB6"/>
    <w:rsid w:val="00570650"/>
    <w:rsid w:val="00572064"/>
    <w:rsid w:val="00573812"/>
    <w:rsid w:val="00574111"/>
    <w:rsid w:val="0057458A"/>
    <w:rsid w:val="00575976"/>
    <w:rsid w:val="00575A2E"/>
    <w:rsid w:val="00575AC5"/>
    <w:rsid w:val="00575FEC"/>
    <w:rsid w:val="0057605D"/>
    <w:rsid w:val="00576174"/>
    <w:rsid w:val="005762FD"/>
    <w:rsid w:val="0058058A"/>
    <w:rsid w:val="005810AD"/>
    <w:rsid w:val="00581347"/>
    <w:rsid w:val="00581AC9"/>
    <w:rsid w:val="00581E82"/>
    <w:rsid w:val="005824C3"/>
    <w:rsid w:val="0058250C"/>
    <w:rsid w:val="0058282A"/>
    <w:rsid w:val="00583103"/>
    <w:rsid w:val="0058379D"/>
    <w:rsid w:val="00583E8C"/>
    <w:rsid w:val="00583EBD"/>
    <w:rsid w:val="00584594"/>
    <w:rsid w:val="005849F8"/>
    <w:rsid w:val="00584B51"/>
    <w:rsid w:val="00584B81"/>
    <w:rsid w:val="00584FD3"/>
    <w:rsid w:val="005857A7"/>
    <w:rsid w:val="00585839"/>
    <w:rsid w:val="00585DDC"/>
    <w:rsid w:val="005864DB"/>
    <w:rsid w:val="005867F0"/>
    <w:rsid w:val="00586A62"/>
    <w:rsid w:val="00586E50"/>
    <w:rsid w:val="005875B5"/>
    <w:rsid w:val="00587C20"/>
    <w:rsid w:val="00587C7D"/>
    <w:rsid w:val="00587DEA"/>
    <w:rsid w:val="00590EF5"/>
    <w:rsid w:val="00591B02"/>
    <w:rsid w:val="00592C63"/>
    <w:rsid w:val="00592D50"/>
    <w:rsid w:val="00593234"/>
    <w:rsid w:val="005938DF"/>
    <w:rsid w:val="00594E9C"/>
    <w:rsid w:val="005952A7"/>
    <w:rsid w:val="0059551B"/>
    <w:rsid w:val="00595D72"/>
    <w:rsid w:val="005960F3"/>
    <w:rsid w:val="00596B6E"/>
    <w:rsid w:val="00596C5C"/>
    <w:rsid w:val="005972AB"/>
    <w:rsid w:val="00597425"/>
    <w:rsid w:val="00597427"/>
    <w:rsid w:val="00597747"/>
    <w:rsid w:val="005A099B"/>
    <w:rsid w:val="005A1826"/>
    <w:rsid w:val="005A1D26"/>
    <w:rsid w:val="005A28B1"/>
    <w:rsid w:val="005A2BDA"/>
    <w:rsid w:val="005A2D9C"/>
    <w:rsid w:val="005A398D"/>
    <w:rsid w:val="005A4370"/>
    <w:rsid w:val="005A4A0D"/>
    <w:rsid w:val="005A4BDF"/>
    <w:rsid w:val="005A50AB"/>
    <w:rsid w:val="005A55FE"/>
    <w:rsid w:val="005A5F2A"/>
    <w:rsid w:val="005A6A11"/>
    <w:rsid w:val="005A71AF"/>
    <w:rsid w:val="005A74C1"/>
    <w:rsid w:val="005A7637"/>
    <w:rsid w:val="005A76A3"/>
    <w:rsid w:val="005B0248"/>
    <w:rsid w:val="005B1B43"/>
    <w:rsid w:val="005B2F0D"/>
    <w:rsid w:val="005B33F3"/>
    <w:rsid w:val="005B36BC"/>
    <w:rsid w:val="005B3975"/>
    <w:rsid w:val="005B397E"/>
    <w:rsid w:val="005B44B1"/>
    <w:rsid w:val="005B4AED"/>
    <w:rsid w:val="005B4D96"/>
    <w:rsid w:val="005B535E"/>
    <w:rsid w:val="005B5995"/>
    <w:rsid w:val="005B6C5D"/>
    <w:rsid w:val="005B75FF"/>
    <w:rsid w:val="005B7711"/>
    <w:rsid w:val="005B7E45"/>
    <w:rsid w:val="005C06DB"/>
    <w:rsid w:val="005C15D3"/>
    <w:rsid w:val="005C1992"/>
    <w:rsid w:val="005C34EF"/>
    <w:rsid w:val="005C3ACF"/>
    <w:rsid w:val="005C4A73"/>
    <w:rsid w:val="005C4CFE"/>
    <w:rsid w:val="005C4DAE"/>
    <w:rsid w:val="005C5026"/>
    <w:rsid w:val="005C5C65"/>
    <w:rsid w:val="005C681C"/>
    <w:rsid w:val="005C77FE"/>
    <w:rsid w:val="005D0198"/>
    <w:rsid w:val="005D0368"/>
    <w:rsid w:val="005D0B91"/>
    <w:rsid w:val="005D16FC"/>
    <w:rsid w:val="005D2502"/>
    <w:rsid w:val="005D25AC"/>
    <w:rsid w:val="005D3E1B"/>
    <w:rsid w:val="005D407F"/>
    <w:rsid w:val="005D40BB"/>
    <w:rsid w:val="005D47F3"/>
    <w:rsid w:val="005D49BF"/>
    <w:rsid w:val="005D4AA5"/>
    <w:rsid w:val="005D4DC6"/>
    <w:rsid w:val="005D5A8F"/>
    <w:rsid w:val="005D6F4E"/>
    <w:rsid w:val="005D783B"/>
    <w:rsid w:val="005D7C73"/>
    <w:rsid w:val="005E0BD9"/>
    <w:rsid w:val="005E0E70"/>
    <w:rsid w:val="005E20A3"/>
    <w:rsid w:val="005E250B"/>
    <w:rsid w:val="005E298E"/>
    <w:rsid w:val="005E2B45"/>
    <w:rsid w:val="005E3095"/>
    <w:rsid w:val="005E3ACD"/>
    <w:rsid w:val="005E491B"/>
    <w:rsid w:val="005E545F"/>
    <w:rsid w:val="005E618C"/>
    <w:rsid w:val="005E6960"/>
    <w:rsid w:val="005E7226"/>
    <w:rsid w:val="005E7A57"/>
    <w:rsid w:val="005F0229"/>
    <w:rsid w:val="005F24B0"/>
    <w:rsid w:val="005F24ED"/>
    <w:rsid w:val="005F3365"/>
    <w:rsid w:val="005F40DB"/>
    <w:rsid w:val="005F42EA"/>
    <w:rsid w:val="005F4D41"/>
    <w:rsid w:val="005F5245"/>
    <w:rsid w:val="005F548F"/>
    <w:rsid w:val="005F600C"/>
    <w:rsid w:val="005F6BBB"/>
    <w:rsid w:val="0060046B"/>
    <w:rsid w:val="00601833"/>
    <w:rsid w:val="00601F22"/>
    <w:rsid w:val="00602797"/>
    <w:rsid w:val="00602AD8"/>
    <w:rsid w:val="00602B74"/>
    <w:rsid w:val="00602BA3"/>
    <w:rsid w:val="006039A6"/>
    <w:rsid w:val="00603AFF"/>
    <w:rsid w:val="00603EF7"/>
    <w:rsid w:val="00604315"/>
    <w:rsid w:val="00604C6E"/>
    <w:rsid w:val="00604CFD"/>
    <w:rsid w:val="00604E26"/>
    <w:rsid w:val="0060501E"/>
    <w:rsid w:val="0060523F"/>
    <w:rsid w:val="006052CF"/>
    <w:rsid w:val="00605E6D"/>
    <w:rsid w:val="00606EE9"/>
    <w:rsid w:val="006073A4"/>
    <w:rsid w:val="006078EF"/>
    <w:rsid w:val="00607966"/>
    <w:rsid w:val="00607B8D"/>
    <w:rsid w:val="006105CA"/>
    <w:rsid w:val="00610FF2"/>
    <w:rsid w:val="00611E1D"/>
    <w:rsid w:val="00611F5C"/>
    <w:rsid w:val="006125A8"/>
    <w:rsid w:val="00612D22"/>
    <w:rsid w:val="00612FF8"/>
    <w:rsid w:val="00614402"/>
    <w:rsid w:val="00614E76"/>
    <w:rsid w:val="00615A39"/>
    <w:rsid w:val="00615F4F"/>
    <w:rsid w:val="006164DF"/>
    <w:rsid w:val="00616C54"/>
    <w:rsid w:val="00616E09"/>
    <w:rsid w:val="00617E9F"/>
    <w:rsid w:val="006205CC"/>
    <w:rsid w:val="00620614"/>
    <w:rsid w:val="00620929"/>
    <w:rsid w:val="00621554"/>
    <w:rsid w:val="00621E30"/>
    <w:rsid w:val="00622690"/>
    <w:rsid w:val="006229F2"/>
    <w:rsid w:val="00622A3B"/>
    <w:rsid w:val="00622EEA"/>
    <w:rsid w:val="00622F57"/>
    <w:rsid w:val="0062396C"/>
    <w:rsid w:val="00623F2C"/>
    <w:rsid w:val="00623FF9"/>
    <w:rsid w:val="0062437D"/>
    <w:rsid w:val="00624F46"/>
    <w:rsid w:val="00625398"/>
    <w:rsid w:val="00626738"/>
    <w:rsid w:val="00626FA8"/>
    <w:rsid w:val="00627124"/>
    <w:rsid w:val="006274E3"/>
    <w:rsid w:val="00627D4E"/>
    <w:rsid w:val="00630949"/>
    <w:rsid w:val="00630C56"/>
    <w:rsid w:val="00630D28"/>
    <w:rsid w:val="00631229"/>
    <w:rsid w:val="00631811"/>
    <w:rsid w:val="006320BB"/>
    <w:rsid w:val="00632B89"/>
    <w:rsid w:val="0063346D"/>
    <w:rsid w:val="00633A85"/>
    <w:rsid w:val="00634287"/>
    <w:rsid w:val="006343D4"/>
    <w:rsid w:val="00634478"/>
    <w:rsid w:val="00634B2F"/>
    <w:rsid w:val="00634C48"/>
    <w:rsid w:val="00635138"/>
    <w:rsid w:val="00635625"/>
    <w:rsid w:val="0063639B"/>
    <w:rsid w:val="006367EA"/>
    <w:rsid w:val="00636DFA"/>
    <w:rsid w:val="006377D1"/>
    <w:rsid w:val="00637E82"/>
    <w:rsid w:val="0064073F"/>
    <w:rsid w:val="00640E0C"/>
    <w:rsid w:val="0064116A"/>
    <w:rsid w:val="0064217F"/>
    <w:rsid w:val="00642A8A"/>
    <w:rsid w:val="0064395F"/>
    <w:rsid w:val="00644373"/>
    <w:rsid w:val="00645613"/>
    <w:rsid w:val="00645615"/>
    <w:rsid w:val="00645915"/>
    <w:rsid w:val="00645931"/>
    <w:rsid w:val="006467BA"/>
    <w:rsid w:val="00646CC4"/>
    <w:rsid w:val="00647488"/>
    <w:rsid w:val="006519C3"/>
    <w:rsid w:val="00651BCA"/>
    <w:rsid w:val="00651E47"/>
    <w:rsid w:val="00652166"/>
    <w:rsid w:val="00652B30"/>
    <w:rsid w:val="00654861"/>
    <w:rsid w:val="0065528A"/>
    <w:rsid w:val="00656345"/>
    <w:rsid w:val="00656DC6"/>
    <w:rsid w:val="00660EC6"/>
    <w:rsid w:val="00661BEF"/>
    <w:rsid w:val="0066202D"/>
    <w:rsid w:val="006624BA"/>
    <w:rsid w:val="00662708"/>
    <w:rsid w:val="006627FC"/>
    <w:rsid w:val="00662E36"/>
    <w:rsid w:val="00663018"/>
    <w:rsid w:val="00664110"/>
    <w:rsid w:val="006642E6"/>
    <w:rsid w:val="00664D17"/>
    <w:rsid w:val="00666319"/>
    <w:rsid w:val="00666520"/>
    <w:rsid w:val="00666BF8"/>
    <w:rsid w:val="00666E59"/>
    <w:rsid w:val="00667C5B"/>
    <w:rsid w:val="00667C8C"/>
    <w:rsid w:val="00667EE8"/>
    <w:rsid w:val="006713FC"/>
    <w:rsid w:val="00672481"/>
    <w:rsid w:val="006727CE"/>
    <w:rsid w:val="00673DC6"/>
    <w:rsid w:val="00674DC6"/>
    <w:rsid w:val="00674E22"/>
    <w:rsid w:val="00675029"/>
    <w:rsid w:val="006751F6"/>
    <w:rsid w:val="00676BB1"/>
    <w:rsid w:val="006779AD"/>
    <w:rsid w:val="00680AAC"/>
    <w:rsid w:val="00681DCE"/>
    <w:rsid w:val="00681DE2"/>
    <w:rsid w:val="00681EB3"/>
    <w:rsid w:val="00682606"/>
    <w:rsid w:val="00683022"/>
    <w:rsid w:val="006836AE"/>
    <w:rsid w:val="00683930"/>
    <w:rsid w:val="00684C98"/>
    <w:rsid w:val="006863D8"/>
    <w:rsid w:val="00686436"/>
    <w:rsid w:val="006866E2"/>
    <w:rsid w:val="006906D4"/>
    <w:rsid w:val="0069080B"/>
    <w:rsid w:val="00691446"/>
    <w:rsid w:val="00691EB8"/>
    <w:rsid w:val="00691F7D"/>
    <w:rsid w:val="006920F7"/>
    <w:rsid w:val="0069261F"/>
    <w:rsid w:val="00692AC4"/>
    <w:rsid w:val="00692CDE"/>
    <w:rsid w:val="00693073"/>
    <w:rsid w:val="0069350A"/>
    <w:rsid w:val="00693FB4"/>
    <w:rsid w:val="0069427A"/>
    <w:rsid w:val="00694849"/>
    <w:rsid w:val="00694B60"/>
    <w:rsid w:val="006951CA"/>
    <w:rsid w:val="00695B19"/>
    <w:rsid w:val="00696C87"/>
    <w:rsid w:val="0069704E"/>
    <w:rsid w:val="0069731C"/>
    <w:rsid w:val="00697486"/>
    <w:rsid w:val="006975B8"/>
    <w:rsid w:val="006977FF"/>
    <w:rsid w:val="00697B75"/>
    <w:rsid w:val="006A01FA"/>
    <w:rsid w:val="006A0205"/>
    <w:rsid w:val="006A0884"/>
    <w:rsid w:val="006A0C74"/>
    <w:rsid w:val="006A0D2A"/>
    <w:rsid w:val="006A0E9E"/>
    <w:rsid w:val="006A15A4"/>
    <w:rsid w:val="006A25C7"/>
    <w:rsid w:val="006A2E34"/>
    <w:rsid w:val="006A3642"/>
    <w:rsid w:val="006A3B57"/>
    <w:rsid w:val="006A3ECF"/>
    <w:rsid w:val="006A4169"/>
    <w:rsid w:val="006A47E3"/>
    <w:rsid w:val="006A4AAD"/>
    <w:rsid w:val="006A4CCA"/>
    <w:rsid w:val="006A5414"/>
    <w:rsid w:val="006A6623"/>
    <w:rsid w:val="006A6DA2"/>
    <w:rsid w:val="006A72CF"/>
    <w:rsid w:val="006A74FC"/>
    <w:rsid w:val="006A7935"/>
    <w:rsid w:val="006A7AA4"/>
    <w:rsid w:val="006A7AB2"/>
    <w:rsid w:val="006B00AB"/>
    <w:rsid w:val="006B037D"/>
    <w:rsid w:val="006B0765"/>
    <w:rsid w:val="006B0912"/>
    <w:rsid w:val="006B0D6A"/>
    <w:rsid w:val="006B0E29"/>
    <w:rsid w:val="006B1B71"/>
    <w:rsid w:val="006B1CD2"/>
    <w:rsid w:val="006B240B"/>
    <w:rsid w:val="006B2783"/>
    <w:rsid w:val="006B28C1"/>
    <w:rsid w:val="006B30E7"/>
    <w:rsid w:val="006B3992"/>
    <w:rsid w:val="006B42BA"/>
    <w:rsid w:val="006B4367"/>
    <w:rsid w:val="006B4AAE"/>
    <w:rsid w:val="006B4E73"/>
    <w:rsid w:val="006B52DE"/>
    <w:rsid w:val="006B53E8"/>
    <w:rsid w:val="006B5717"/>
    <w:rsid w:val="006B5798"/>
    <w:rsid w:val="006B582F"/>
    <w:rsid w:val="006B5AE3"/>
    <w:rsid w:val="006B5EB2"/>
    <w:rsid w:val="006B61A5"/>
    <w:rsid w:val="006B6F6D"/>
    <w:rsid w:val="006B7DD7"/>
    <w:rsid w:val="006B7E02"/>
    <w:rsid w:val="006C0709"/>
    <w:rsid w:val="006C0C7F"/>
    <w:rsid w:val="006C0CEB"/>
    <w:rsid w:val="006C10FE"/>
    <w:rsid w:val="006C1631"/>
    <w:rsid w:val="006C190A"/>
    <w:rsid w:val="006C2122"/>
    <w:rsid w:val="006C2552"/>
    <w:rsid w:val="006C2A8D"/>
    <w:rsid w:val="006C2B0D"/>
    <w:rsid w:val="006C2DFD"/>
    <w:rsid w:val="006C3B1E"/>
    <w:rsid w:val="006C3F0B"/>
    <w:rsid w:val="006C4596"/>
    <w:rsid w:val="006C47FD"/>
    <w:rsid w:val="006C4D3B"/>
    <w:rsid w:val="006C4E97"/>
    <w:rsid w:val="006C5201"/>
    <w:rsid w:val="006C5672"/>
    <w:rsid w:val="006C5C19"/>
    <w:rsid w:val="006C5FD4"/>
    <w:rsid w:val="006C6028"/>
    <w:rsid w:val="006C69F3"/>
    <w:rsid w:val="006C6D9E"/>
    <w:rsid w:val="006C70A0"/>
    <w:rsid w:val="006C7E0B"/>
    <w:rsid w:val="006D0EBF"/>
    <w:rsid w:val="006D0FC6"/>
    <w:rsid w:val="006D1859"/>
    <w:rsid w:val="006D1F6C"/>
    <w:rsid w:val="006D25B9"/>
    <w:rsid w:val="006D27CB"/>
    <w:rsid w:val="006D2A51"/>
    <w:rsid w:val="006D2B8B"/>
    <w:rsid w:val="006D2F08"/>
    <w:rsid w:val="006D33E0"/>
    <w:rsid w:val="006D3971"/>
    <w:rsid w:val="006D398A"/>
    <w:rsid w:val="006D3B46"/>
    <w:rsid w:val="006D3F8E"/>
    <w:rsid w:val="006D407D"/>
    <w:rsid w:val="006D52E5"/>
    <w:rsid w:val="006D55EB"/>
    <w:rsid w:val="006D576C"/>
    <w:rsid w:val="006D5865"/>
    <w:rsid w:val="006D628E"/>
    <w:rsid w:val="006D6CBF"/>
    <w:rsid w:val="006E3007"/>
    <w:rsid w:val="006E3859"/>
    <w:rsid w:val="006E3886"/>
    <w:rsid w:val="006E3F3A"/>
    <w:rsid w:val="006E3FD6"/>
    <w:rsid w:val="006E4AD3"/>
    <w:rsid w:val="006E4B1B"/>
    <w:rsid w:val="006E5445"/>
    <w:rsid w:val="006E5470"/>
    <w:rsid w:val="006E5A06"/>
    <w:rsid w:val="006E617D"/>
    <w:rsid w:val="006E6845"/>
    <w:rsid w:val="006E7CD3"/>
    <w:rsid w:val="006E7D93"/>
    <w:rsid w:val="006F1D7C"/>
    <w:rsid w:val="006F28C7"/>
    <w:rsid w:val="006F29DE"/>
    <w:rsid w:val="006F3682"/>
    <w:rsid w:val="006F3E43"/>
    <w:rsid w:val="006F4A9F"/>
    <w:rsid w:val="006F4F02"/>
    <w:rsid w:val="006F4FC7"/>
    <w:rsid w:val="006F6018"/>
    <w:rsid w:val="006F68E2"/>
    <w:rsid w:val="006F748D"/>
    <w:rsid w:val="006F7BB0"/>
    <w:rsid w:val="00700C5E"/>
    <w:rsid w:val="0070133D"/>
    <w:rsid w:val="007029A3"/>
    <w:rsid w:val="00702A27"/>
    <w:rsid w:val="00702ACF"/>
    <w:rsid w:val="00702E66"/>
    <w:rsid w:val="00703291"/>
    <w:rsid w:val="00703E57"/>
    <w:rsid w:val="0070443E"/>
    <w:rsid w:val="00704D4C"/>
    <w:rsid w:val="00704FD5"/>
    <w:rsid w:val="007050B0"/>
    <w:rsid w:val="007053A2"/>
    <w:rsid w:val="00705A70"/>
    <w:rsid w:val="007069C2"/>
    <w:rsid w:val="00706E4E"/>
    <w:rsid w:val="00707752"/>
    <w:rsid w:val="0070791C"/>
    <w:rsid w:val="007100B4"/>
    <w:rsid w:val="00710239"/>
    <w:rsid w:val="0071043A"/>
    <w:rsid w:val="00710839"/>
    <w:rsid w:val="00711AE8"/>
    <w:rsid w:val="00711FB2"/>
    <w:rsid w:val="00712569"/>
    <w:rsid w:val="00712AE5"/>
    <w:rsid w:val="0071383C"/>
    <w:rsid w:val="0071399B"/>
    <w:rsid w:val="007141A7"/>
    <w:rsid w:val="007155FD"/>
    <w:rsid w:val="00715722"/>
    <w:rsid w:val="00715836"/>
    <w:rsid w:val="007158FF"/>
    <w:rsid w:val="00715BAF"/>
    <w:rsid w:val="007170C7"/>
    <w:rsid w:val="007173B2"/>
    <w:rsid w:val="0071763F"/>
    <w:rsid w:val="00717F51"/>
    <w:rsid w:val="007205B1"/>
    <w:rsid w:val="007209AD"/>
    <w:rsid w:val="00720E3F"/>
    <w:rsid w:val="00721032"/>
    <w:rsid w:val="00721B55"/>
    <w:rsid w:val="00721EF6"/>
    <w:rsid w:val="00723A2B"/>
    <w:rsid w:val="007240F4"/>
    <w:rsid w:val="00724830"/>
    <w:rsid w:val="00724D8A"/>
    <w:rsid w:val="00725B1B"/>
    <w:rsid w:val="00726936"/>
    <w:rsid w:val="00726CE4"/>
    <w:rsid w:val="00726E2E"/>
    <w:rsid w:val="00726F4C"/>
    <w:rsid w:val="00727A07"/>
    <w:rsid w:val="00730604"/>
    <w:rsid w:val="00730FB4"/>
    <w:rsid w:val="00731319"/>
    <w:rsid w:val="00731326"/>
    <w:rsid w:val="00731482"/>
    <w:rsid w:val="00731C58"/>
    <w:rsid w:val="00732E29"/>
    <w:rsid w:val="007333F3"/>
    <w:rsid w:val="007336A7"/>
    <w:rsid w:val="00734143"/>
    <w:rsid w:val="00734E6A"/>
    <w:rsid w:val="00735602"/>
    <w:rsid w:val="00735F13"/>
    <w:rsid w:val="00737E47"/>
    <w:rsid w:val="007401AE"/>
    <w:rsid w:val="00740CF8"/>
    <w:rsid w:val="00740DE0"/>
    <w:rsid w:val="00740EAC"/>
    <w:rsid w:val="00741298"/>
    <w:rsid w:val="00742387"/>
    <w:rsid w:val="007439F9"/>
    <w:rsid w:val="00743DCD"/>
    <w:rsid w:val="00743E03"/>
    <w:rsid w:val="00743E25"/>
    <w:rsid w:val="00744956"/>
    <w:rsid w:val="007452F5"/>
    <w:rsid w:val="00745A5C"/>
    <w:rsid w:val="00745C17"/>
    <w:rsid w:val="0074605F"/>
    <w:rsid w:val="007466A9"/>
    <w:rsid w:val="0074681B"/>
    <w:rsid w:val="00747135"/>
    <w:rsid w:val="00747E94"/>
    <w:rsid w:val="00747FA0"/>
    <w:rsid w:val="007504D3"/>
    <w:rsid w:val="00752FB2"/>
    <w:rsid w:val="007531EC"/>
    <w:rsid w:val="007544CA"/>
    <w:rsid w:val="00754B9C"/>
    <w:rsid w:val="00754C83"/>
    <w:rsid w:val="00755031"/>
    <w:rsid w:val="00756241"/>
    <w:rsid w:val="00756696"/>
    <w:rsid w:val="00756838"/>
    <w:rsid w:val="007568CE"/>
    <w:rsid w:val="0075710A"/>
    <w:rsid w:val="007572D4"/>
    <w:rsid w:val="0075772C"/>
    <w:rsid w:val="00760D92"/>
    <w:rsid w:val="00760DE1"/>
    <w:rsid w:val="0076125E"/>
    <w:rsid w:val="007613DB"/>
    <w:rsid w:val="00761D44"/>
    <w:rsid w:val="00761E5C"/>
    <w:rsid w:val="00762374"/>
    <w:rsid w:val="007623DB"/>
    <w:rsid w:val="0076296B"/>
    <w:rsid w:val="00765987"/>
    <w:rsid w:val="00765DF8"/>
    <w:rsid w:val="00766749"/>
    <w:rsid w:val="00766E87"/>
    <w:rsid w:val="00767C1B"/>
    <w:rsid w:val="0077097D"/>
    <w:rsid w:val="00770B3F"/>
    <w:rsid w:val="00771065"/>
    <w:rsid w:val="007714A9"/>
    <w:rsid w:val="00771D5B"/>
    <w:rsid w:val="00771FDC"/>
    <w:rsid w:val="007729A9"/>
    <w:rsid w:val="00772AEB"/>
    <w:rsid w:val="00772CBB"/>
    <w:rsid w:val="00772FC5"/>
    <w:rsid w:val="00773756"/>
    <w:rsid w:val="007737F8"/>
    <w:rsid w:val="007743C1"/>
    <w:rsid w:val="00774922"/>
    <w:rsid w:val="00774D5B"/>
    <w:rsid w:val="00774F88"/>
    <w:rsid w:val="00774FDB"/>
    <w:rsid w:val="0077792B"/>
    <w:rsid w:val="00777BA2"/>
    <w:rsid w:val="00780797"/>
    <w:rsid w:val="00780F47"/>
    <w:rsid w:val="00781408"/>
    <w:rsid w:val="007821F0"/>
    <w:rsid w:val="00783EA5"/>
    <w:rsid w:val="007847A6"/>
    <w:rsid w:val="00784F7F"/>
    <w:rsid w:val="007853B8"/>
    <w:rsid w:val="00785D3A"/>
    <w:rsid w:val="0078655A"/>
    <w:rsid w:val="00786EF4"/>
    <w:rsid w:val="0078714B"/>
    <w:rsid w:val="00787592"/>
    <w:rsid w:val="007878BD"/>
    <w:rsid w:val="0079136A"/>
    <w:rsid w:val="00791785"/>
    <w:rsid w:val="00791822"/>
    <w:rsid w:val="00791C0F"/>
    <w:rsid w:val="00791F22"/>
    <w:rsid w:val="00792016"/>
    <w:rsid w:val="0079255D"/>
    <w:rsid w:val="00792630"/>
    <w:rsid w:val="00793492"/>
    <w:rsid w:val="00793B84"/>
    <w:rsid w:val="00793E59"/>
    <w:rsid w:val="007941EF"/>
    <w:rsid w:val="007944B3"/>
    <w:rsid w:val="007948B8"/>
    <w:rsid w:val="0079532A"/>
    <w:rsid w:val="00795A86"/>
    <w:rsid w:val="00796180"/>
    <w:rsid w:val="007966A2"/>
    <w:rsid w:val="00796F25"/>
    <w:rsid w:val="00797F3E"/>
    <w:rsid w:val="007A17AF"/>
    <w:rsid w:val="007A2E98"/>
    <w:rsid w:val="007A31A8"/>
    <w:rsid w:val="007A38C8"/>
    <w:rsid w:val="007A3BA3"/>
    <w:rsid w:val="007A3EA5"/>
    <w:rsid w:val="007A544B"/>
    <w:rsid w:val="007A5522"/>
    <w:rsid w:val="007A59BF"/>
    <w:rsid w:val="007A5F2C"/>
    <w:rsid w:val="007A6CC0"/>
    <w:rsid w:val="007A76E1"/>
    <w:rsid w:val="007A7FEC"/>
    <w:rsid w:val="007B1047"/>
    <w:rsid w:val="007B1499"/>
    <w:rsid w:val="007B1BBF"/>
    <w:rsid w:val="007B2960"/>
    <w:rsid w:val="007B29EE"/>
    <w:rsid w:val="007B2F61"/>
    <w:rsid w:val="007B314B"/>
    <w:rsid w:val="007B3163"/>
    <w:rsid w:val="007B355D"/>
    <w:rsid w:val="007B35AD"/>
    <w:rsid w:val="007B3845"/>
    <w:rsid w:val="007B3DEE"/>
    <w:rsid w:val="007B3DF6"/>
    <w:rsid w:val="007B4264"/>
    <w:rsid w:val="007B46B9"/>
    <w:rsid w:val="007B483B"/>
    <w:rsid w:val="007B4870"/>
    <w:rsid w:val="007B48A2"/>
    <w:rsid w:val="007B58E8"/>
    <w:rsid w:val="007B5E15"/>
    <w:rsid w:val="007B67C3"/>
    <w:rsid w:val="007B6DB1"/>
    <w:rsid w:val="007B7325"/>
    <w:rsid w:val="007B7980"/>
    <w:rsid w:val="007C06EB"/>
    <w:rsid w:val="007C0DEF"/>
    <w:rsid w:val="007C171F"/>
    <w:rsid w:val="007C1BB2"/>
    <w:rsid w:val="007C3065"/>
    <w:rsid w:val="007C340F"/>
    <w:rsid w:val="007C352A"/>
    <w:rsid w:val="007C39A6"/>
    <w:rsid w:val="007C3E88"/>
    <w:rsid w:val="007C4CD7"/>
    <w:rsid w:val="007C5378"/>
    <w:rsid w:val="007C598A"/>
    <w:rsid w:val="007C5D5A"/>
    <w:rsid w:val="007C5F77"/>
    <w:rsid w:val="007C607F"/>
    <w:rsid w:val="007C6684"/>
    <w:rsid w:val="007C6BD0"/>
    <w:rsid w:val="007C6D5D"/>
    <w:rsid w:val="007C79DD"/>
    <w:rsid w:val="007C7EC2"/>
    <w:rsid w:val="007D0713"/>
    <w:rsid w:val="007D1A97"/>
    <w:rsid w:val="007D2879"/>
    <w:rsid w:val="007D2CD6"/>
    <w:rsid w:val="007D3063"/>
    <w:rsid w:val="007D3CEB"/>
    <w:rsid w:val="007D3FBC"/>
    <w:rsid w:val="007D48F6"/>
    <w:rsid w:val="007D4C7F"/>
    <w:rsid w:val="007D7D7F"/>
    <w:rsid w:val="007E0575"/>
    <w:rsid w:val="007E1485"/>
    <w:rsid w:val="007E183A"/>
    <w:rsid w:val="007E1A54"/>
    <w:rsid w:val="007E1C13"/>
    <w:rsid w:val="007E2214"/>
    <w:rsid w:val="007E2B11"/>
    <w:rsid w:val="007E3A57"/>
    <w:rsid w:val="007E3FE7"/>
    <w:rsid w:val="007E4067"/>
    <w:rsid w:val="007E599D"/>
    <w:rsid w:val="007E63B6"/>
    <w:rsid w:val="007E6848"/>
    <w:rsid w:val="007E6D0B"/>
    <w:rsid w:val="007E7659"/>
    <w:rsid w:val="007E7683"/>
    <w:rsid w:val="007E7BFD"/>
    <w:rsid w:val="007F1069"/>
    <w:rsid w:val="007F169B"/>
    <w:rsid w:val="007F1903"/>
    <w:rsid w:val="007F2728"/>
    <w:rsid w:val="007F2A36"/>
    <w:rsid w:val="007F39DD"/>
    <w:rsid w:val="007F43FF"/>
    <w:rsid w:val="007F4922"/>
    <w:rsid w:val="007F49FA"/>
    <w:rsid w:val="007F50CB"/>
    <w:rsid w:val="007F54C4"/>
    <w:rsid w:val="007F5B9F"/>
    <w:rsid w:val="007F60F6"/>
    <w:rsid w:val="007F6230"/>
    <w:rsid w:val="007F6389"/>
    <w:rsid w:val="007F645C"/>
    <w:rsid w:val="007F66BA"/>
    <w:rsid w:val="007F6920"/>
    <w:rsid w:val="007F6E9A"/>
    <w:rsid w:val="007F737B"/>
    <w:rsid w:val="007F7913"/>
    <w:rsid w:val="007F7A39"/>
    <w:rsid w:val="0080052B"/>
    <w:rsid w:val="00800A43"/>
    <w:rsid w:val="00800CCD"/>
    <w:rsid w:val="008011F8"/>
    <w:rsid w:val="00801575"/>
    <w:rsid w:val="008016F4"/>
    <w:rsid w:val="0080178C"/>
    <w:rsid w:val="008017B5"/>
    <w:rsid w:val="00801A9F"/>
    <w:rsid w:val="00801FEB"/>
    <w:rsid w:val="0080222E"/>
    <w:rsid w:val="0080326B"/>
    <w:rsid w:val="008033FB"/>
    <w:rsid w:val="00803896"/>
    <w:rsid w:val="008038F9"/>
    <w:rsid w:val="008040D8"/>
    <w:rsid w:val="008044D4"/>
    <w:rsid w:val="008045E6"/>
    <w:rsid w:val="00804646"/>
    <w:rsid w:val="008056DA"/>
    <w:rsid w:val="008056F8"/>
    <w:rsid w:val="008062C0"/>
    <w:rsid w:val="008067A3"/>
    <w:rsid w:val="00806C3F"/>
    <w:rsid w:val="008071BA"/>
    <w:rsid w:val="008073E5"/>
    <w:rsid w:val="00807F87"/>
    <w:rsid w:val="008103DE"/>
    <w:rsid w:val="00810402"/>
    <w:rsid w:val="00810AB4"/>
    <w:rsid w:val="0081130C"/>
    <w:rsid w:val="00811A83"/>
    <w:rsid w:val="00811E0E"/>
    <w:rsid w:val="00812388"/>
    <w:rsid w:val="008138AC"/>
    <w:rsid w:val="00815577"/>
    <w:rsid w:val="008156D7"/>
    <w:rsid w:val="00815DB6"/>
    <w:rsid w:val="00815FB9"/>
    <w:rsid w:val="00817B56"/>
    <w:rsid w:val="00820BDF"/>
    <w:rsid w:val="00820C1C"/>
    <w:rsid w:val="00821024"/>
    <w:rsid w:val="0082157E"/>
    <w:rsid w:val="00821A88"/>
    <w:rsid w:val="00821C6E"/>
    <w:rsid w:val="00822983"/>
    <w:rsid w:val="008229EA"/>
    <w:rsid w:val="0082322E"/>
    <w:rsid w:val="008239C9"/>
    <w:rsid w:val="00823D7A"/>
    <w:rsid w:val="00823E1F"/>
    <w:rsid w:val="0082495D"/>
    <w:rsid w:val="00824A24"/>
    <w:rsid w:val="00824DA9"/>
    <w:rsid w:val="00825118"/>
    <w:rsid w:val="008251B3"/>
    <w:rsid w:val="008260EC"/>
    <w:rsid w:val="00826262"/>
    <w:rsid w:val="008269D4"/>
    <w:rsid w:val="008278AF"/>
    <w:rsid w:val="00827F20"/>
    <w:rsid w:val="00831AC3"/>
    <w:rsid w:val="00832594"/>
    <w:rsid w:val="00832C0B"/>
    <w:rsid w:val="0083370D"/>
    <w:rsid w:val="00834F6B"/>
    <w:rsid w:val="00835428"/>
    <w:rsid w:val="008357E1"/>
    <w:rsid w:val="00835BD5"/>
    <w:rsid w:val="00836460"/>
    <w:rsid w:val="00836FCE"/>
    <w:rsid w:val="00837651"/>
    <w:rsid w:val="00840153"/>
    <w:rsid w:val="008408FF"/>
    <w:rsid w:val="00840D09"/>
    <w:rsid w:val="0084209E"/>
    <w:rsid w:val="0084340B"/>
    <w:rsid w:val="00843483"/>
    <w:rsid w:val="00843956"/>
    <w:rsid w:val="00843A8A"/>
    <w:rsid w:val="008462C3"/>
    <w:rsid w:val="00847976"/>
    <w:rsid w:val="00847E4C"/>
    <w:rsid w:val="008502D8"/>
    <w:rsid w:val="00850987"/>
    <w:rsid w:val="00850EE3"/>
    <w:rsid w:val="0085117C"/>
    <w:rsid w:val="008514B5"/>
    <w:rsid w:val="00851985"/>
    <w:rsid w:val="00851F3F"/>
    <w:rsid w:val="00851F98"/>
    <w:rsid w:val="008521B1"/>
    <w:rsid w:val="008525EA"/>
    <w:rsid w:val="0085493A"/>
    <w:rsid w:val="00854F10"/>
    <w:rsid w:val="008552B5"/>
    <w:rsid w:val="0085562D"/>
    <w:rsid w:val="008556BF"/>
    <w:rsid w:val="00856EDC"/>
    <w:rsid w:val="00857E73"/>
    <w:rsid w:val="00860953"/>
    <w:rsid w:val="0086163A"/>
    <w:rsid w:val="0086178E"/>
    <w:rsid w:val="00861C78"/>
    <w:rsid w:val="00861EA7"/>
    <w:rsid w:val="00862302"/>
    <w:rsid w:val="008623B5"/>
    <w:rsid w:val="00864E63"/>
    <w:rsid w:val="00864F52"/>
    <w:rsid w:val="008659B6"/>
    <w:rsid w:val="008669A3"/>
    <w:rsid w:val="00866C7E"/>
    <w:rsid w:val="00867A86"/>
    <w:rsid w:val="00867D45"/>
    <w:rsid w:val="008708A9"/>
    <w:rsid w:val="00870ABA"/>
    <w:rsid w:val="008710E1"/>
    <w:rsid w:val="008716E5"/>
    <w:rsid w:val="00871C95"/>
    <w:rsid w:val="008725B0"/>
    <w:rsid w:val="008726F2"/>
    <w:rsid w:val="0087297D"/>
    <w:rsid w:val="008737D7"/>
    <w:rsid w:val="008738FE"/>
    <w:rsid w:val="00873AB9"/>
    <w:rsid w:val="00873C4B"/>
    <w:rsid w:val="00873F99"/>
    <w:rsid w:val="00875361"/>
    <w:rsid w:val="008758C0"/>
    <w:rsid w:val="00876023"/>
    <w:rsid w:val="00876146"/>
    <w:rsid w:val="0087645E"/>
    <w:rsid w:val="008766C7"/>
    <w:rsid w:val="008779AA"/>
    <w:rsid w:val="00877C6B"/>
    <w:rsid w:val="00877D36"/>
    <w:rsid w:val="00880316"/>
    <w:rsid w:val="00881CA9"/>
    <w:rsid w:val="00882272"/>
    <w:rsid w:val="00882ADA"/>
    <w:rsid w:val="00882C39"/>
    <w:rsid w:val="00883438"/>
    <w:rsid w:val="00883628"/>
    <w:rsid w:val="00883D50"/>
    <w:rsid w:val="008846AB"/>
    <w:rsid w:val="00884E7C"/>
    <w:rsid w:val="00885365"/>
    <w:rsid w:val="00885544"/>
    <w:rsid w:val="008856DF"/>
    <w:rsid w:val="008861F4"/>
    <w:rsid w:val="0088634E"/>
    <w:rsid w:val="0088645A"/>
    <w:rsid w:val="008865C1"/>
    <w:rsid w:val="00886EEC"/>
    <w:rsid w:val="008870BE"/>
    <w:rsid w:val="00887A02"/>
    <w:rsid w:val="00890BE8"/>
    <w:rsid w:val="00890D61"/>
    <w:rsid w:val="00890D73"/>
    <w:rsid w:val="00890F63"/>
    <w:rsid w:val="00890FE5"/>
    <w:rsid w:val="00891304"/>
    <w:rsid w:val="00891623"/>
    <w:rsid w:val="00891928"/>
    <w:rsid w:val="00892B8D"/>
    <w:rsid w:val="00892C54"/>
    <w:rsid w:val="008934EF"/>
    <w:rsid w:val="00893AB8"/>
    <w:rsid w:val="00893B90"/>
    <w:rsid w:val="008958B5"/>
    <w:rsid w:val="00895B0B"/>
    <w:rsid w:val="00896B16"/>
    <w:rsid w:val="008972E3"/>
    <w:rsid w:val="0089775D"/>
    <w:rsid w:val="00897E21"/>
    <w:rsid w:val="00897F69"/>
    <w:rsid w:val="008A04C8"/>
    <w:rsid w:val="008A1913"/>
    <w:rsid w:val="008A1FDA"/>
    <w:rsid w:val="008A219B"/>
    <w:rsid w:val="008A2A16"/>
    <w:rsid w:val="008A3D58"/>
    <w:rsid w:val="008A4066"/>
    <w:rsid w:val="008A541B"/>
    <w:rsid w:val="008A6913"/>
    <w:rsid w:val="008A6FC1"/>
    <w:rsid w:val="008A79B9"/>
    <w:rsid w:val="008A7DFF"/>
    <w:rsid w:val="008B04CA"/>
    <w:rsid w:val="008B1372"/>
    <w:rsid w:val="008B1CF9"/>
    <w:rsid w:val="008B24CB"/>
    <w:rsid w:val="008B2D91"/>
    <w:rsid w:val="008B2FE8"/>
    <w:rsid w:val="008B336F"/>
    <w:rsid w:val="008B41B0"/>
    <w:rsid w:val="008B52AB"/>
    <w:rsid w:val="008B56E0"/>
    <w:rsid w:val="008B5F80"/>
    <w:rsid w:val="008B62D5"/>
    <w:rsid w:val="008B66F4"/>
    <w:rsid w:val="008B680E"/>
    <w:rsid w:val="008B70F3"/>
    <w:rsid w:val="008B7169"/>
    <w:rsid w:val="008B71C4"/>
    <w:rsid w:val="008B76DF"/>
    <w:rsid w:val="008C033E"/>
    <w:rsid w:val="008C04A9"/>
    <w:rsid w:val="008C0639"/>
    <w:rsid w:val="008C0779"/>
    <w:rsid w:val="008C10F4"/>
    <w:rsid w:val="008C1320"/>
    <w:rsid w:val="008C18A4"/>
    <w:rsid w:val="008C1C16"/>
    <w:rsid w:val="008C3524"/>
    <w:rsid w:val="008C3C4A"/>
    <w:rsid w:val="008C6132"/>
    <w:rsid w:val="008C65F7"/>
    <w:rsid w:val="008C6D8F"/>
    <w:rsid w:val="008C7233"/>
    <w:rsid w:val="008C76A5"/>
    <w:rsid w:val="008C7946"/>
    <w:rsid w:val="008D0C9B"/>
    <w:rsid w:val="008D18E6"/>
    <w:rsid w:val="008D2496"/>
    <w:rsid w:val="008D2D87"/>
    <w:rsid w:val="008D3617"/>
    <w:rsid w:val="008D38FB"/>
    <w:rsid w:val="008D399E"/>
    <w:rsid w:val="008D411F"/>
    <w:rsid w:val="008D458D"/>
    <w:rsid w:val="008D46CB"/>
    <w:rsid w:val="008D4764"/>
    <w:rsid w:val="008D4787"/>
    <w:rsid w:val="008D480F"/>
    <w:rsid w:val="008D49FD"/>
    <w:rsid w:val="008D6407"/>
    <w:rsid w:val="008D6E17"/>
    <w:rsid w:val="008D7C06"/>
    <w:rsid w:val="008E01A3"/>
    <w:rsid w:val="008E0428"/>
    <w:rsid w:val="008E0945"/>
    <w:rsid w:val="008E0DDE"/>
    <w:rsid w:val="008E1CD7"/>
    <w:rsid w:val="008E2CD5"/>
    <w:rsid w:val="008E353D"/>
    <w:rsid w:val="008E3598"/>
    <w:rsid w:val="008E35F2"/>
    <w:rsid w:val="008E385B"/>
    <w:rsid w:val="008E423E"/>
    <w:rsid w:val="008E4767"/>
    <w:rsid w:val="008E4A69"/>
    <w:rsid w:val="008E51BB"/>
    <w:rsid w:val="008E629E"/>
    <w:rsid w:val="008E639B"/>
    <w:rsid w:val="008E7513"/>
    <w:rsid w:val="008E7A8C"/>
    <w:rsid w:val="008E7D0D"/>
    <w:rsid w:val="008F0893"/>
    <w:rsid w:val="008F0FCC"/>
    <w:rsid w:val="008F162B"/>
    <w:rsid w:val="008F1954"/>
    <w:rsid w:val="008F1B27"/>
    <w:rsid w:val="008F1F05"/>
    <w:rsid w:val="008F24F3"/>
    <w:rsid w:val="008F38A4"/>
    <w:rsid w:val="008F411A"/>
    <w:rsid w:val="008F42D1"/>
    <w:rsid w:val="008F44F0"/>
    <w:rsid w:val="008F480E"/>
    <w:rsid w:val="008F4B37"/>
    <w:rsid w:val="008F571D"/>
    <w:rsid w:val="008F5B16"/>
    <w:rsid w:val="008F5E78"/>
    <w:rsid w:val="008F6DB4"/>
    <w:rsid w:val="008F6F08"/>
    <w:rsid w:val="008F6FE3"/>
    <w:rsid w:val="008F7801"/>
    <w:rsid w:val="008F7F74"/>
    <w:rsid w:val="00900A82"/>
    <w:rsid w:val="0090146D"/>
    <w:rsid w:val="0090203B"/>
    <w:rsid w:val="0090301C"/>
    <w:rsid w:val="00903285"/>
    <w:rsid w:val="0090359E"/>
    <w:rsid w:val="00903A46"/>
    <w:rsid w:val="00903F0F"/>
    <w:rsid w:val="009041B8"/>
    <w:rsid w:val="0090562A"/>
    <w:rsid w:val="0090576D"/>
    <w:rsid w:val="00906F40"/>
    <w:rsid w:val="0090731E"/>
    <w:rsid w:val="00907A9D"/>
    <w:rsid w:val="00907F28"/>
    <w:rsid w:val="00910C91"/>
    <w:rsid w:val="00910EBF"/>
    <w:rsid w:val="00911A0B"/>
    <w:rsid w:val="009146CF"/>
    <w:rsid w:val="00915A6F"/>
    <w:rsid w:val="00915B1C"/>
    <w:rsid w:val="0091626C"/>
    <w:rsid w:val="00916494"/>
    <w:rsid w:val="009171CA"/>
    <w:rsid w:val="009174F3"/>
    <w:rsid w:val="0091797D"/>
    <w:rsid w:val="00917AE3"/>
    <w:rsid w:val="00920C43"/>
    <w:rsid w:val="00920E0B"/>
    <w:rsid w:val="00921047"/>
    <w:rsid w:val="009218AA"/>
    <w:rsid w:val="00922529"/>
    <w:rsid w:val="00923091"/>
    <w:rsid w:val="00923CBA"/>
    <w:rsid w:val="00924AC2"/>
    <w:rsid w:val="00925BE8"/>
    <w:rsid w:val="009260B0"/>
    <w:rsid w:val="00926703"/>
    <w:rsid w:val="00926FD1"/>
    <w:rsid w:val="00927691"/>
    <w:rsid w:val="00927A5F"/>
    <w:rsid w:val="00930132"/>
    <w:rsid w:val="00930510"/>
    <w:rsid w:val="0093063E"/>
    <w:rsid w:val="00930916"/>
    <w:rsid w:val="00930BA3"/>
    <w:rsid w:val="00930EA3"/>
    <w:rsid w:val="00931663"/>
    <w:rsid w:val="00932B46"/>
    <w:rsid w:val="009336A9"/>
    <w:rsid w:val="00933981"/>
    <w:rsid w:val="00935B63"/>
    <w:rsid w:val="00936326"/>
    <w:rsid w:val="00936E95"/>
    <w:rsid w:val="009374B4"/>
    <w:rsid w:val="009375BD"/>
    <w:rsid w:val="009379DD"/>
    <w:rsid w:val="00937E70"/>
    <w:rsid w:val="0094078F"/>
    <w:rsid w:val="00940F7A"/>
    <w:rsid w:val="00940FA3"/>
    <w:rsid w:val="00941240"/>
    <w:rsid w:val="00941A74"/>
    <w:rsid w:val="00941FB0"/>
    <w:rsid w:val="00942506"/>
    <w:rsid w:val="009426D4"/>
    <w:rsid w:val="00942E29"/>
    <w:rsid w:val="0094345C"/>
    <w:rsid w:val="00943813"/>
    <w:rsid w:val="00943E25"/>
    <w:rsid w:val="00944048"/>
    <w:rsid w:val="00945779"/>
    <w:rsid w:val="00946166"/>
    <w:rsid w:val="009464D3"/>
    <w:rsid w:val="00947B93"/>
    <w:rsid w:val="00947F25"/>
    <w:rsid w:val="00950159"/>
    <w:rsid w:val="00950BBF"/>
    <w:rsid w:val="00950C5D"/>
    <w:rsid w:val="00952217"/>
    <w:rsid w:val="00953304"/>
    <w:rsid w:val="009537FD"/>
    <w:rsid w:val="0095490B"/>
    <w:rsid w:val="00956BB8"/>
    <w:rsid w:val="00956FBE"/>
    <w:rsid w:val="009577E8"/>
    <w:rsid w:val="00957EBE"/>
    <w:rsid w:val="00960A33"/>
    <w:rsid w:val="00960D61"/>
    <w:rsid w:val="00961377"/>
    <w:rsid w:val="00961499"/>
    <w:rsid w:val="00962297"/>
    <w:rsid w:val="00962AE4"/>
    <w:rsid w:val="00964221"/>
    <w:rsid w:val="0096442F"/>
    <w:rsid w:val="0096566D"/>
    <w:rsid w:val="0096586E"/>
    <w:rsid w:val="009660C6"/>
    <w:rsid w:val="00966BCA"/>
    <w:rsid w:val="00966DCE"/>
    <w:rsid w:val="0096709A"/>
    <w:rsid w:val="00967C62"/>
    <w:rsid w:val="009708FF"/>
    <w:rsid w:val="00971034"/>
    <w:rsid w:val="0097185E"/>
    <w:rsid w:val="00971914"/>
    <w:rsid w:val="00972942"/>
    <w:rsid w:val="00973F23"/>
    <w:rsid w:val="00973FB1"/>
    <w:rsid w:val="00974331"/>
    <w:rsid w:val="00974363"/>
    <w:rsid w:val="009753A8"/>
    <w:rsid w:val="00975DEA"/>
    <w:rsid w:val="00975ECF"/>
    <w:rsid w:val="009766C0"/>
    <w:rsid w:val="00976857"/>
    <w:rsid w:val="0097743F"/>
    <w:rsid w:val="00977777"/>
    <w:rsid w:val="00977A62"/>
    <w:rsid w:val="00980028"/>
    <w:rsid w:val="00980E33"/>
    <w:rsid w:val="0098101D"/>
    <w:rsid w:val="00981898"/>
    <w:rsid w:val="00983662"/>
    <w:rsid w:val="00983995"/>
    <w:rsid w:val="00986CA0"/>
    <w:rsid w:val="00990271"/>
    <w:rsid w:val="0099091E"/>
    <w:rsid w:val="00990B8B"/>
    <w:rsid w:val="00990C31"/>
    <w:rsid w:val="00990DEF"/>
    <w:rsid w:val="00991AF5"/>
    <w:rsid w:val="009920A8"/>
    <w:rsid w:val="0099346F"/>
    <w:rsid w:val="0099499D"/>
    <w:rsid w:val="00995682"/>
    <w:rsid w:val="0099577C"/>
    <w:rsid w:val="009958E4"/>
    <w:rsid w:val="00995CD0"/>
    <w:rsid w:val="009A021C"/>
    <w:rsid w:val="009A08BB"/>
    <w:rsid w:val="009A17DE"/>
    <w:rsid w:val="009A2548"/>
    <w:rsid w:val="009A25CC"/>
    <w:rsid w:val="009A2981"/>
    <w:rsid w:val="009A2D45"/>
    <w:rsid w:val="009A3623"/>
    <w:rsid w:val="009A371C"/>
    <w:rsid w:val="009A39FB"/>
    <w:rsid w:val="009A3E14"/>
    <w:rsid w:val="009A4567"/>
    <w:rsid w:val="009A49C5"/>
    <w:rsid w:val="009A4C35"/>
    <w:rsid w:val="009A6F59"/>
    <w:rsid w:val="009A70C4"/>
    <w:rsid w:val="009A7464"/>
    <w:rsid w:val="009A7783"/>
    <w:rsid w:val="009A7994"/>
    <w:rsid w:val="009B0A30"/>
    <w:rsid w:val="009B1141"/>
    <w:rsid w:val="009B1AE6"/>
    <w:rsid w:val="009B24A5"/>
    <w:rsid w:val="009B2601"/>
    <w:rsid w:val="009B2615"/>
    <w:rsid w:val="009B27D7"/>
    <w:rsid w:val="009B29CF"/>
    <w:rsid w:val="009B306B"/>
    <w:rsid w:val="009B38CA"/>
    <w:rsid w:val="009B3DDA"/>
    <w:rsid w:val="009B454B"/>
    <w:rsid w:val="009B4AE5"/>
    <w:rsid w:val="009B4E9E"/>
    <w:rsid w:val="009B5B20"/>
    <w:rsid w:val="009B5C29"/>
    <w:rsid w:val="009B616D"/>
    <w:rsid w:val="009B65D4"/>
    <w:rsid w:val="009B6BCB"/>
    <w:rsid w:val="009C0B35"/>
    <w:rsid w:val="009C0EA2"/>
    <w:rsid w:val="009C1527"/>
    <w:rsid w:val="009C1690"/>
    <w:rsid w:val="009C21A8"/>
    <w:rsid w:val="009C241A"/>
    <w:rsid w:val="009C2AB8"/>
    <w:rsid w:val="009C3146"/>
    <w:rsid w:val="009C321D"/>
    <w:rsid w:val="009C3221"/>
    <w:rsid w:val="009C3393"/>
    <w:rsid w:val="009C345B"/>
    <w:rsid w:val="009C3B0E"/>
    <w:rsid w:val="009C3B7F"/>
    <w:rsid w:val="009C417A"/>
    <w:rsid w:val="009C41ED"/>
    <w:rsid w:val="009C4B0F"/>
    <w:rsid w:val="009C50FC"/>
    <w:rsid w:val="009C5BF3"/>
    <w:rsid w:val="009C682F"/>
    <w:rsid w:val="009C6881"/>
    <w:rsid w:val="009C7759"/>
    <w:rsid w:val="009D043D"/>
    <w:rsid w:val="009D07C8"/>
    <w:rsid w:val="009D0D62"/>
    <w:rsid w:val="009D0F64"/>
    <w:rsid w:val="009D12EF"/>
    <w:rsid w:val="009D13CF"/>
    <w:rsid w:val="009D15B1"/>
    <w:rsid w:val="009D2D00"/>
    <w:rsid w:val="009D4A0D"/>
    <w:rsid w:val="009D4C85"/>
    <w:rsid w:val="009D4E23"/>
    <w:rsid w:val="009D551C"/>
    <w:rsid w:val="009D6382"/>
    <w:rsid w:val="009D63B8"/>
    <w:rsid w:val="009D698B"/>
    <w:rsid w:val="009D6C71"/>
    <w:rsid w:val="009D6D55"/>
    <w:rsid w:val="009D6F18"/>
    <w:rsid w:val="009E0631"/>
    <w:rsid w:val="009E16D0"/>
    <w:rsid w:val="009E2051"/>
    <w:rsid w:val="009E2F86"/>
    <w:rsid w:val="009E38FD"/>
    <w:rsid w:val="009E5070"/>
    <w:rsid w:val="009E5517"/>
    <w:rsid w:val="009E5B18"/>
    <w:rsid w:val="009E5B59"/>
    <w:rsid w:val="009E6346"/>
    <w:rsid w:val="009E6557"/>
    <w:rsid w:val="009E6AFA"/>
    <w:rsid w:val="009E7169"/>
    <w:rsid w:val="009F0612"/>
    <w:rsid w:val="009F06A8"/>
    <w:rsid w:val="009F0FE8"/>
    <w:rsid w:val="009F13D6"/>
    <w:rsid w:val="009F2AA5"/>
    <w:rsid w:val="009F2CA6"/>
    <w:rsid w:val="009F320C"/>
    <w:rsid w:val="009F392B"/>
    <w:rsid w:val="009F3C36"/>
    <w:rsid w:val="009F459F"/>
    <w:rsid w:val="009F4C6B"/>
    <w:rsid w:val="009F4F2E"/>
    <w:rsid w:val="009F56AC"/>
    <w:rsid w:val="009F6260"/>
    <w:rsid w:val="009F75ED"/>
    <w:rsid w:val="009F78A8"/>
    <w:rsid w:val="009F7CC8"/>
    <w:rsid w:val="00A0004E"/>
    <w:rsid w:val="00A00425"/>
    <w:rsid w:val="00A0144F"/>
    <w:rsid w:val="00A017E0"/>
    <w:rsid w:val="00A01B6D"/>
    <w:rsid w:val="00A02817"/>
    <w:rsid w:val="00A0295A"/>
    <w:rsid w:val="00A02AD6"/>
    <w:rsid w:val="00A04012"/>
    <w:rsid w:val="00A04140"/>
    <w:rsid w:val="00A047D5"/>
    <w:rsid w:val="00A054DB"/>
    <w:rsid w:val="00A05C25"/>
    <w:rsid w:val="00A05E7F"/>
    <w:rsid w:val="00A07096"/>
    <w:rsid w:val="00A07318"/>
    <w:rsid w:val="00A07523"/>
    <w:rsid w:val="00A07539"/>
    <w:rsid w:val="00A075B4"/>
    <w:rsid w:val="00A07EA1"/>
    <w:rsid w:val="00A10C87"/>
    <w:rsid w:val="00A11370"/>
    <w:rsid w:val="00A11832"/>
    <w:rsid w:val="00A11BC7"/>
    <w:rsid w:val="00A1207F"/>
    <w:rsid w:val="00A126FC"/>
    <w:rsid w:val="00A13BA2"/>
    <w:rsid w:val="00A1465B"/>
    <w:rsid w:val="00A148D2"/>
    <w:rsid w:val="00A15764"/>
    <w:rsid w:val="00A15EDD"/>
    <w:rsid w:val="00A16104"/>
    <w:rsid w:val="00A16E42"/>
    <w:rsid w:val="00A216EF"/>
    <w:rsid w:val="00A222B1"/>
    <w:rsid w:val="00A224CE"/>
    <w:rsid w:val="00A22522"/>
    <w:rsid w:val="00A22557"/>
    <w:rsid w:val="00A240B8"/>
    <w:rsid w:val="00A24AFD"/>
    <w:rsid w:val="00A24F5C"/>
    <w:rsid w:val="00A255C1"/>
    <w:rsid w:val="00A25957"/>
    <w:rsid w:val="00A26509"/>
    <w:rsid w:val="00A2676D"/>
    <w:rsid w:val="00A306C8"/>
    <w:rsid w:val="00A30CB5"/>
    <w:rsid w:val="00A319E5"/>
    <w:rsid w:val="00A320E5"/>
    <w:rsid w:val="00A3296F"/>
    <w:rsid w:val="00A32F96"/>
    <w:rsid w:val="00A3308A"/>
    <w:rsid w:val="00A3464B"/>
    <w:rsid w:val="00A3488C"/>
    <w:rsid w:val="00A369F2"/>
    <w:rsid w:val="00A40871"/>
    <w:rsid w:val="00A40F39"/>
    <w:rsid w:val="00A412AB"/>
    <w:rsid w:val="00A4157C"/>
    <w:rsid w:val="00A417CC"/>
    <w:rsid w:val="00A4193E"/>
    <w:rsid w:val="00A41E51"/>
    <w:rsid w:val="00A42234"/>
    <w:rsid w:val="00A42340"/>
    <w:rsid w:val="00A431DE"/>
    <w:rsid w:val="00A432E6"/>
    <w:rsid w:val="00A43764"/>
    <w:rsid w:val="00A4380E"/>
    <w:rsid w:val="00A4401D"/>
    <w:rsid w:val="00A440E0"/>
    <w:rsid w:val="00A442EF"/>
    <w:rsid w:val="00A445B4"/>
    <w:rsid w:val="00A445B5"/>
    <w:rsid w:val="00A44834"/>
    <w:rsid w:val="00A44DC3"/>
    <w:rsid w:val="00A44E5E"/>
    <w:rsid w:val="00A45B75"/>
    <w:rsid w:val="00A460DB"/>
    <w:rsid w:val="00A463A7"/>
    <w:rsid w:val="00A4704C"/>
    <w:rsid w:val="00A472EF"/>
    <w:rsid w:val="00A473C6"/>
    <w:rsid w:val="00A47AB2"/>
    <w:rsid w:val="00A500C4"/>
    <w:rsid w:val="00A50439"/>
    <w:rsid w:val="00A50541"/>
    <w:rsid w:val="00A50B1B"/>
    <w:rsid w:val="00A51D1A"/>
    <w:rsid w:val="00A523AA"/>
    <w:rsid w:val="00A52BBB"/>
    <w:rsid w:val="00A52EFD"/>
    <w:rsid w:val="00A5418D"/>
    <w:rsid w:val="00A54254"/>
    <w:rsid w:val="00A54335"/>
    <w:rsid w:val="00A54434"/>
    <w:rsid w:val="00A5474E"/>
    <w:rsid w:val="00A5482D"/>
    <w:rsid w:val="00A557DD"/>
    <w:rsid w:val="00A567B3"/>
    <w:rsid w:val="00A56A14"/>
    <w:rsid w:val="00A56EF6"/>
    <w:rsid w:val="00A5779A"/>
    <w:rsid w:val="00A577A5"/>
    <w:rsid w:val="00A57C46"/>
    <w:rsid w:val="00A60360"/>
    <w:rsid w:val="00A604DF"/>
    <w:rsid w:val="00A60C3B"/>
    <w:rsid w:val="00A616B8"/>
    <w:rsid w:val="00A6226A"/>
    <w:rsid w:val="00A63603"/>
    <w:rsid w:val="00A63E49"/>
    <w:rsid w:val="00A64234"/>
    <w:rsid w:val="00A64676"/>
    <w:rsid w:val="00A6478D"/>
    <w:rsid w:val="00A64B4A"/>
    <w:rsid w:val="00A65214"/>
    <w:rsid w:val="00A65A81"/>
    <w:rsid w:val="00A66E2A"/>
    <w:rsid w:val="00A675D9"/>
    <w:rsid w:val="00A678DE"/>
    <w:rsid w:val="00A679C1"/>
    <w:rsid w:val="00A700A1"/>
    <w:rsid w:val="00A708B1"/>
    <w:rsid w:val="00A70ADF"/>
    <w:rsid w:val="00A71466"/>
    <w:rsid w:val="00A71E86"/>
    <w:rsid w:val="00A721B4"/>
    <w:rsid w:val="00A722ED"/>
    <w:rsid w:val="00A72394"/>
    <w:rsid w:val="00A747C2"/>
    <w:rsid w:val="00A74B5E"/>
    <w:rsid w:val="00A75FEC"/>
    <w:rsid w:val="00A77018"/>
    <w:rsid w:val="00A77AF6"/>
    <w:rsid w:val="00A77B3B"/>
    <w:rsid w:val="00A8044F"/>
    <w:rsid w:val="00A80FED"/>
    <w:rsid w:val="00A8106B"/>
    <w:rsid w:val="00A81B38"/>
    <w:rsid w:val="00A81BED"/>
    <w:rsid w:val="00A81D1B"/>
    <w:rsid w:val="00A81E84"/>
    <w:rsid w:val="00A81EC4"/>
    <w:rsid w:val="00A81FF3"/>
    <w:rsid w:val="00A820DA"/>
    <w:rsid w:val="00A824E8"/>
    <w:rsid w:val="00A82661"/>
    <w:rsid w:val="00A82A5A"/>
    <w:rsid w:val="00A82C66"/>
    <w:rsid w:val="00A82E9A"/>
    <w:rsid w:val="00A834B5"/>
    <w:rsid w:val="00A83883"/>
    <w:rsid w:val="00A84F36"/>
    <w:rsid w:val="00A85C35"/>
    <w:rsid w:val="00A8618B"/>
    <w:rsid w:val="00A86B47"/>
    <w:rsid w:val="00A86E41"/>
    <w:rsid w:val="00A87BAE"/>
    <w:rsid w:val="00A87E21"/>
    <w:rsid w:val="00A90709"/>
    <w:rsid w:val="00A91B90"/>
    <w:rsid w:val="00A92C3E"/>
    <w:rsid w:val="00A92DB8"/>
    <w:rsid w:val="00A93511"/>
    <w:rsid w:val="00A938D6"/>
    <w:rsid w:val="00A9417F"/>
    <w:rsid w:val="00A94A04"/>
    <w:rsid w:val="00A955EA"/>
    <w:rsid w:val="00A95A94"/>
    <w:rsid w:val="00A95F10"/>
    <w:rsid w:val="00A962CD"/>
    <w:rsid w:val="00A96411"/>
    <w:rsid w:val="00A967FD"/>
    <w:rsid w:val="00A97052"/>
    <w:rsid w:val="00A971B4"/>
    <w:rsid w:val="00A975FC"/>
    <w:rsid w:val="00AA04CD"/>
    <w:rsid w:val="00AA07DE"/>
    <w:rsid w:val="00AA1702"/>
    <w:rsid w:val="00AA19B5"/>
    <w:rsid w:val="00AA1ED7"/>
    <w:rsid w:val="00AA2092"/>
    <w:rsid w:val="00AA20CD"/>
    <w:rsid w:val="00AA2C48"/>
    <w:rsid w:val="00AA2DE5"/>
    <w:rsid w:val="00AA3194"/>
    <w:rsid w:val="00AA454F"/>
    <w:rsid w:val="00AA46A0"/>
    <w:rsid w:val="00AA472E"/>
    <w:rsid w:val="00AA4BC1"/>
    <w:rsid w:val="00AA4DA0"/>
    <w:rsid w:val="00AA69D4"/>
    <w:rsid w:val="00AA709A"/>
    <w:rsid w:val="00AA7B3C"/>
    <w:rsid w:val="00AA7D11"/>
    <w:rsid w:val="00AB013A"/>
    <w:rsid w:val="00AB0AFB"/>
    <w:rsid w:val="00AB1154"/>
    <w:rsid w:val="00AB116B"/>
    <w:rsid w:val="00AB11B0"/>
    <w:rsid w:val="00AB12DA"/>
    <w:rsid w:val="00AB1421"/>
    <w:rsid w:val="00AB156C"/>
    <w:rsid w:val="00AB216A"/>
    <w:rsid w:val="00AB245F"/>
    <w:rsid w:val="00AB2BB8"/>
    <w:rsid w:val="00AB340C"/>
    <w:rsid w:val="00AB4A75"/>
    <w:rsid w:val="00AB4EF8"/>
    <w:rsid w:val="00AB5B2B"/>
    <w:rsid w:val="00AB6814"/>
    <w:rsid w:val="00AB6C64"/>
    <w:rsid w:val="00AB734A"/>
    <w:rsid w:val="00AC0441"/>
    <w:rsid w:val="00AC04BA"/>
    <w:rsid w:val="00AC0E39"/>
    <w:rsid w:val="00AC0E5B"/>
    <w:rsid w:val="00AC1AB1"/>
    <w:rsid w:val="00AC2675"/>
    <w:rsid w:val="00AC39CB"/>
    <w:rsid w:val="00AC4154"/>
    <w:rsid w:val="00AC42D8"/>
    <w:rsid w:val="00AC509A"/>
    <w:rsid w:val="00AC50AA"/>
    <w:rsid w:val="00AC51C3"/>
    <w:rsid w:val="00AC5A6F"/>
    <w:rsid w:val="00AC7BB8"/>
    <w:rsid w:val="00AC7E9B"/>
    <w:rsid w:val="00AD0181"/>
    <w:rsid w:val="00AD1347"/>
    <w:rsid w:val="00AD1B29"/>
    <w:rsid w:val="00AD205A"/>
    <w:rsid w:val="00AD2FE9"/>
    <w:rsid w:val="00AD3082"/>
    <w:rsid w:val="00AD32B4"/>
    <w:rsid w:val="00AD404B"/>
    <w:rsid w:val="00AD49F2"/>
    <w:rsid w:val="00AD4AA0"/>
    <w:rsid w:val="00AD4AD0"/>
    <w:rsid w:val="00AD4C3A"/>
    <w:rsid w:val="00AD4E8F"/>
    <w:rsid w:val="00AD5436"/>
    <w:rsid w:val="00AD54B6"/>
    <w:rsid w:val="00AD5CDC"/>
    <w:rsid w:val="00AD60CD"/>
    <w:rsid w:val="00AD65D1"/>
    <w:rsid w:val="00AD6B2E"/>
    <w:rsid w:val="00AD6C8C"/>
    <w:rsid w:val="00AD75D7"/>
    <w:rsid w:val="00AD7749"/>
    <w:rsid w:val="00AD7C68"/>
    <w:rsid w:val="00AE091D"/>
    <w:rsid w:val="00AE1465"/>
    <w:rsid w:val="00AE15F8"/>
    <w:rsid w:val="00AE1696"/>
    <w:rsid w:val="00AE1A48"/>
    <w:rsid w:val="00AE1B94"/>
    <w:rsid w:val="00AE21FC"/>
    <w:rsid w:val="00AE324E"/>
    <w:rsid w:val="00AE3B60"/>
    <w:rsid w:val="00AE4207"/>
    <w:rsid w:val="00AE462E"/>
    <w:rsid w:val="00AE4710"/>
    <w:rsid w:val="00AE53A1"/>
    <w:rsid w:val="00AE606B"/>
    <w:rsid w:val="00AE6146"/>
    <w:rsid w:val="00AE733E"/>
    <w:rsid w:val="00AE7F27"/>
    <w:rsid w:val="00AF007E"/>
    <w:rsid w:val="00AF06A6"/>
    <w:rsid w:val="00AF0790"/>
    <w:rsid w:val="00AF18DD"/>
    <w:rsid w:val="00AF2484"/>
    <w:rsid w:val="00AF25EA"/>
    <w:rsid w:val="00AF3422"/>
    <w:rsid w:val="00AF4345"/>
    <w:rsid w:val="00AF4400"/>
    <w:rsid w:val="00AF4CD7"/>
    <w:rsid w:val="00AF4D2F"/>
    <w:rsid w:val="00AF5F2B"/>
    <w:rsid w:val="00AF63E7"/>
    <w:rsid w:val="00AF6E17"/>
    <w:rsid w:val="00AF7049"/>
    <w:rsid w:val="00AF755A"/>
    <w:rsid w:val="00AF7A5B"/>
    <w:rsid w:val="00AF7DEA"/>
    <w:rsid w:val="00B0165D"/>
    <w:rsid w:val="00B01B60"/>
    <w:rsid w:val="00B028D8"/>
    <w:rsid w:val="00B031F3"/>
    <w:rsid w:val="00B050DA"/>
    <w:rsid w:val="00B052A4"/>
    <w:rsid w:val="00B053C0"/>
    <w:rsid w:val="00B053D7"/>
    <w:rsid w:val="00B05D9B"/>
    <w:rsid w:val="00B06E7F"/>
    <w:rsid w:val="00B0789E"/>
    <w:rsid w:val="00B100A6"/>
    <w:rsid w:val="00B110E4"/>
    <w:rsid w:val="00B125DE"/>
    <w:rsid w:val="00B12B90"/>
    <w:rsid w:val="00B135BB"/>
    <w:rsid w:val="00B13A42"/>
    <w:rsid w:val="00B13DAC"/>
    <w:rsid w:val="00B13FDD"/>
    <w:rsid w:val="00B14184"/>
    <w:rsid w:val="00B14718"/>
    <w:rsid w:val="00B14BA5"/>
    <w:rsid w:val="00B155FF"/>
    <w:rsid w:val="00B16693"/>
    <w:rsid w:val="00B167E3"/>
    <w:rsid w:val="00B170DC"/>
    <w:rsid w:val="00B17482"/>
    <w:rsid w:val="00B17B6B"/>
    <w:rsid w:val="00B2044C"/>
    <w:rsid w:val="00B20CE8"/>
    <w:rsid w:val="00B2115B"/>
    <w:rsid w:val="00B21408"/>
    <w:rsid w:val="00B215F0"/>
    <w:rsid w:val="00B21E06"/>
    <w:rsid w:val="00B22178"/>
    <w:rsid w:val="00B222AA"/>
    <w:rsid w:val="00B22E23"/>
    <w:rsid w:val="00B22EB2"/>
    <w:rsid w:val="00B23172"/>
    <w:rsid w:val="00B23D72"/>
    <w:rsid w:val="00B24DA4"/>
    <w:rsid w:val="00B25617"/>
    <w:rsid w:val="00B25F9A"/>
    <w:rsid w:val="00B267D7"/>
    <w:rsid w:val="00B268CB"/>
    <w:rsid w:val="00B27442"/>
    <w:rsid w:val="00B27921"/>
    <w:rsid w:val="00B3065C"/>
    <w:rsid w:val="00B30A21"/>
    <w:rsid w:val="00B30D13"/>
    <w:rsid w:val="00B31167"/>
    <w:rsid w:val="00B31D15"/>
    <w:rsid w:val="00B31F0C"/>
    <w:rsid w:val="00B31F44"/>
    <w:rsid w:val="00B326BC"/>
    <w:rsid w:val="00B326E9"/>
    <w:rsid w:val="00B329D8"/>
    <w:rsid w:val="00B32A6B"/>
    <w:rsid w:val="00B32BB9"/>
    <w:rsid w:val="00B33668"/>
    <w:rsid w:val="00B3377B"/>
    <w:rsid w:val="00B33AE1"/>
    <w:rsid w:val="00B33DBA"/>
    <w:rsid w:val="00B343D8"/>
    <w:rsid w:val="00B35C0A"/>
    <w:rsid w:val="00B35F95"/>
    <w:rsid w:val="00B37C38"/>
    <w:rsid w:val="00B37D13"/>
    <w:rsid w:val="00B37E30"/>
    <w:rsid w:val="00B400F6"/>
    <w:rsid w:val="00B401BE"/>
    <w:rsid w:val="00B40208"/>
    <w:rsid w:val="00B402F8"/>
    <w:rsid w:val="00B40418"/>
    <w:rsid w:val="00B4093D"/>
    <w:rsid w:val="00B40E0F"/>
    <w:rsid w:val="00B4169C"/>
    <w:rsid w:val="00B42154"/>
    <w:rsid w:val="00B42606"/>
    <w:rsid w:val="00B4288C"/>
    <w:rsid w:val="00B4318E"/>
    <w:rsid w:val="00B43262"/>
    <w:rsid w:val="00B43908"/>
    <w:rsid w:val="00B44100"/>
    <w:rsid w:val="00B445A5"/>
    <w:rsid w:val="00B44A74"/>
    <w:rsid w:val="00B4526F"/>
    <w:rsid w:val="00B455CD"/>
    <w:rsid w:val="00B45619"/>
    <w:rsid w:val="00B45B89"/>
    <w:rsid w:val="00B4669E"/>
    <w:rsid w:val="00B46CBA"/>
    <w:rsid w:val="00B46EEA"/>
    <w:rsid w:val="00B46F94"/>
    <w:rsid w:val="00B475A8"/>
    <w:rsid w:val="00B5004B"/>
    <w:rsid w:val="00B50DD0"/>
    <w:rsid w:val="00B51204"/>
    <w:rsid w:val="00B51D8C"/>
    <w:rsid w:val="00B534ED"/>
    <w:rsid w:val="00B555D3"/>
    <w:rsid w:val="00B55944"/>
    <w:rsid w:val="00B5672A"/>
    <w:rsid w:val="00B56F5A"/>
    <w:rsid w:val="00B57332"/>
    <w:rsid w:val="00B57EF6"/>
    <w:rsid w:val="00B6003C"/>
    <w:rsid w:val="00B60798"/>
    <w:rsid w:val="00B613F6"/>
    <w:rsid w:val="00B61559"/>
    <w:rsid w:val="00B61885"/>
    <w:rsid w:val="00B61F03"/>
    <w:rsid w:val="00B6208E"/>
    <w:rsid w:val="00B6264F"/>
    <w:rsid w:val="00B626E4"/>
    <w:rsid w:val="00B65C1C"/>
    <w:rsid w:val="00B66A90"/>
    <w:rsid w:val="00B66B08"/>
    <w:rsid w:val="00B672C5"/>
    <w:rsid w:val="00B67CEC"/>
    <w:rsid w:val="00B70107"/>
    <w:rsid w:val="00B7035E"/>
    <w:rsid w:val="00B70A06"/>
    <w:rsid w:val="00B70CA2"/>
    <w:rsid w:val="00B712D3"/>
    <w:rsid w:val="00B72456"/>
    <w:rsid w:val="00B72EA7"/>
    <w:rsid w:val="00B72F4A"/>
    <w:rsid w:val="00B73A08"/>
    <w:rsid w:val="00B73F04"/>
    <w:rsid w:val="00B7451A"/>
    <w:rsid w:val="00B74C48"/>
    <w:rsid w:val="00B7527D"/>
    <w:rsid w:val="00B75579"/>
    <w:rsid w:val="00B75E84"/>
    <w:rsid w:val="00B76338"/>
    <w:rsid w:val="00B76B20"/>
    <w:rsid w:val="00B77C6F"/>
    <w:rsid w:val="00B809D2"/>
    <w:rsid w:val="00B80EAF"/>
    <w:rsid w:val="00B80EB8"/>
    <w:rsid w:val="00B80F66"/>
    <w:rsid w:val="00B80FCE"/>
    <w:rsid w:val="00B80FFD"/>
    <w:rsid w:val="00B810B8"/>
    <w:rsid w:val="00B81FC6"/>
    <w:rsid w:val="00B83C27"/>
    <w:rsid w:val="00B83DEA"/>
    <w:rsid w:val="00B8447C"/>
    <w:rsid w:val="00B84BC3"/>
    <w:rsid w:val="00B84BDD"/>
    <w:rsid w:val="00B86969"/>
    <w:rsid w:val="00B86EB0"/>
    <w:rsid w:val="00B904CE"/>
    <w:rsid w:val="00B91419"/>
    <w:rsid w:val="00B9170E"/>
    <w:rsid w:val="00B917CA"/>
    <w:rsid w:val="00B9240A"/>
    <w:rsid w:val="00B92812"/>
    <w:rsid w:val="00B92F58"/>
    <w:rsid w:val="00B9357B"/>
    <w:rsid w:val="00B938BA"/>
    <w:rsid w:val="00B9409C"/>
    <w:rsid w:val="00B953E3"/>
    <w:rsid w:val="00B95F27"/>
    <w:rsid w:val="00B96002"/>
    <w:rsid w:val="00B960DF"/>
    <w:rsid w:val="00B97084"/>
    <w:rsid w:val="00BA1FDB"/>
    <w:rsid w:val="00BA32FF"/>
    <w:rsid w:val="00BA3E64"/>
    <w:rsid w:val="00BA408C"/>
    <w:rsid w:val="00BA4353"/>
    <w:rsid w:val="00BA4541"/>
    <w:rsid w:val="00BA5401"/>
    <w:rsid w:val="00BA62FD"/>
    <w:rsid w:val="00BA66BC"/>
    <w:rsid w:val="00BA6CBB"/>
    <w:rsid w:val="00BA721E"/>
    <w:rsid w:val="00BA7510"/>
    <w:rsid w:val="00BA7532"/>
    <w:rsid w:val="00BB35BC"/>
    <w:rsid w:val="00BB3824"/>
    <w:rsid w:val="00BB45A1"/>
    <w:rsid w:val="00BB5BA1"/>
    <w:rsid w:val="00BB5DEA"/>
    <w:rsid w:val="00BB60CD"/>
    <w:rsid w:val="00BB6335"/>
    <w:rsid w:val="00BB7686"/>
    <w:rsid w:val="00BB7802"/>
    <w:rsid w:val="00BC0DD6"/>
    <w:rsid w:val="00BC1F9B"/>
    <w:rsid w:val="00BC23F9"/>
    <w:rsid w:val="00BC3421"/>
    <w:rsid w:val="00BC380D"/>
    <w:rsid w:val="00BC3BC4"/>
    <w:rsid w:val="00BC3E48"/>
    <w:rsid w:val="00BC42B2"/>
    <w:rsid w:val="00BC4F05"/>
    <w:rsid w:val="00BC503D"/>
    <w:rsid w:val="00BC58E3"/>
    <w:rsid w:val="00BC6082"/>
    <w:rsid w:val="00BC732C"/>
    <w:rsid w:val="00BC73FB"/>
    <w:rsid w:val="00BD05A5"/>
    <w:rsid w:val="00BD071F"/>
    <w:rsid w:val="00BD0FE1"/>
    <w:rsid w:val="00BD26DD"/>
    <w:rsid w:val="00BD3851"/>
    <w:rsid w:val="00BD4267"/>
    <w:rsid w:val="00BD4421"/>
    <w:rsid w:val="00BD4A19"/>
    <w:rsid w:val="00BD71A3"/>
    <w:rsid w:val="00BD759A"/>
    <w:rsid w:val="00BE2580"/>
    <w:rsid w:val="00BE266D"/>
    <w:rsid w:val="00BE270D"/>
    <w:rsid w:val="00BE2D5D"/>
    <w:rsid w:val="00BE2DD8"/>
    <w:rsid w:val="00BE37A6"/>
    <w:rsid w:val="00BE37CD"/>
    <w:rsid w:val="00BE3938"/>
    <w:rsid w:val="00BE4817"/>
    <w:rsid w:val="00BE4C11"/>
    <w:rsid w:val="00BE4C32"/>
    <w:rsid w:val="00BE5BBE"/>
    <w:rsid w:val="00BE7120"/>
    <w:rsid w:val="00BE71C0"/>
    <w:rsid w:val="00BE72DA"/>
    <w:rsid w:val="00BF10A5"/>
    <w:rsid w:val="00BF13E5"/>
    <w:rsid w:val="00BF14AB"/>
    <w:rsid w:val="00BF1BD1"/>
    <w:rsid w:val="00BF2C64"/>
    <w:rsid w:val="00BF326C"/>
    <w:rsid w:val="00BF3330"/>
    <w:rsid w:val="00BF3420"/>
    <w:rsid w:val="00BF4A5F"/>
    <w:rsid w:val="00BF4A73"/>
    <w:rsid w:val="00BF610C"/>
    <w:rsid w:val="00BF616B"/>
    <w:rsid w:val="00BF6582"/>
    <w:rsid w:val="00BF66C5"/>
    <w:rsid w:val="00BF6F4E"/>
    <w:rsid w:val="00BF731A"/>
    <w:rsid w:val="00BF7462"/>
    <w:rsid w:val="00C0060B"/>
    <w:rsid w:val="00C00EA2"/>
    <w:rsid w:val="00C0173A"/>
    <w:rsid w:val="00C01A6C"/>
    <w:rsid w:val="00C0277D"/>
    <w:rsid w:val="00C02F26"/>
    <w:rsid w:val="00C02FF9"/>
    <w:rsid w:val="00C03FCF"/>
    <w:rsid w:val="00C0457D"/>
    <w:rsid w:val="00C04BBA"/>
    <w:rsid w:val="00C0529C"/>
    <w:rsid w:val="00C053A1"/>
    <w:rsid w:val="00C05E9B"/>
    <w:rsid w:val="00C05F8A"/>
    <w:rsid w:val="00C061A4"/>
    <w:rsid w:val="00C07827"/>
    <w:rsid w:val="00C079ED"/>
    <w:rsid w:val="00C1156E"/>
    <w:rsid w:val="00C1166C"/>
    <w:rsid w:val="00C11B89"/>
    <w:rsid w:val="00C12273"/>
    <w:rsid w:val="00C12390"/>
    <w:rsid w:val="00C12677"/>
    <w:rsid w:val="00C130B9"/>
    <w:rsid w:val="00C15D7A"/>
    <w:rsid w:val="00C16198"/>
    <w:rsid w:val="00C16939"/>
    <w:rsid w:val="00C16B4D"/>
    <w:rsid w:val="00C16E6D"/>
    <w:rsid w:val="00C17E1E"/>
    <w:rsid w:val="00C202A0"/>
    <w:rsid w:val="00C20304"/>
    <w:rsid w:val="00C2052E"/>
    <w:rsid w:val="00C205AA"/>
    <w:rsid w:val="00C2083D"/>
    <w:rsid w:val="00C20AA1"/>
    <w:rsid w:val="00C211B2"/>
    <w:rsid w:val="00C21899"/>
    <w:rsid w:val="00C22279"/>
    <w:rsid w:val="00C22417"/>
    <w:rsid w:val="00C22442"/>
    <w:rsid w:val="00C22D39"/>
    <w:rsid w:val="00C23335"/>
    <w:rsid w:val="00C23B45"/>
    <w:rsid w:val="00C23E87"/>
    <w:rsid w:val="00C240CB"/>
    <w:rsid w:val="00C243CA"/>
    <w:rsid w:val="00C24466"/>
    <w:rsid w:val="00C244EB"/>
    <w:rsid w:val="00C24A53"/>
    <w:rsid w:val="00C2563C"/>
    <w:rsid w:val="00C2574D"/>
    <w:rsid w:val="00C2643C"/>
    <w:rsid w:val="00C2739F"/>
    <w:rsid w:val="00C31A49"/>
    <w:rsid w:val="00C32FBC"/>
    <w:rsid w:val="00C33C66"/>
    <w:rsid w:val="00C34724"/>
    <w:rsid w:val="00C34A05"/>
    <w:rsid w:val="00C34ECF"/>
    <w:rsid w:val="00C35228"/>
    <w:rsid w:val="00C35489"/>
    <w:rsid w:val="00C35CCE"/>
    <w:rsid w:val="00C36EDD"/>
    <w:rsid w:val="00C4032F"/>
    <w:rsid w:val="00C405DF"/>
    <w:rsid w:val="00C410B4"/>
    <w:rsid w:val="00C41C67"/>
    <w:rsid w:val="00C41F21"/>
    <w:rsid w:val="00C42996"/>
    <w:rsid w:val="00C43F64"/>
    <w:rsid w:val="00C44047"/>
    <w:rsid w:val="00C442E9"/>
    <w:rsid w:val="00C4448A"/>
    <w:rsid w:val="00C44C66"/>
    <w:rsid w:val="00C44DE0"/>
    <w:rsid w:val="00C45155"/>
    <w:rsid w:val="00C45531"/>
    <w:rsid w:val="00C456A6"/>
    <w:rsid w:val="00C46923"/>
    <w:rsid w:val="00C46D81"/>
    <w:rsid w:val="00C46DA2"/>
    <w:rsid w:val="00C502AC"/>
    <w:rsid w:val="00C506A4"/>
    <w:rsid w:val="00C5094F"/>
    <w:rsid w:val="00C50B37"/>
    <w:rsid w:val="00C50C76"/>
    <w:rsid w:val="00C529D7"/>
    <w:rsid w:val="00C5336F"/>
    <w:rsid w:val="00C5348C"/>
    <w:rsid w:val="00C539B5"/>
    <w:rsid w:val="00C540A6"/>
    <w:rsid w:val="00C5498F"/>
    <w:rsid w:val="00C54CBC"/>
    <w:rsid w:val="00C54CF1"/>
    <w:rsid w:val="00C55235"/>
    <w:rsid w:val="00C55246"/>
    <w:rsid w:val="00C56309"/>
    <w:rsid w:val="00C56645"/>
    <w:rsid w:val="00C56F2C"/>
    <w:rsid w:val="00C56FCF"/>
    <w:rsid w:val="00C57343"/>
    <w:rsid w:val="00C57396"/>
    <w:rsid w:val="00C57569"/>
    <w:rsid w:val="00C600A8"/>
    <w:rsid w:val="00C60538"/>
    <w:rsid w:val="00C60D83"/>
    <w:rsid w:val="00C60FED"/>
    <w:rsid w:val="00C63615"/>
    <w:rsid w:val="00C63DB8"/>
    <w:rsid w:val="00C64773"/>
    <w:rsid w:val="00C648A9"/>
    <w:rsid w:val="00C64CD0"/>
    <w:rsid w:val="00C64D62"/>
    <w:rsid w:val="00C64EF6"/>
    <w:rsid w:val="00C65F61"/>
    <w:rsid w:val="00C6610A"/>
    <w:rsid w:val="00C66204"/>
    <w:rsid w:val="00C6684F"/>
    <w:rsid w:val="00C66A9B"/>
    <w:rsid w:val="00C66B92"/>
    <w:rsid w:val="00C66BE0"/>
    <w:rsid w:val="00C67128"/>
    <w:rsid w:val="00C67E55"/>
    <w:rsid w:val="00C70E70"/>
    <w:rsid w:val="00C710D4"/>
    <w:rsid w:val="00C71525"/>
    <w:rsid w:val="00C72E8B"/>
    <w:rsid w:val="00C73787"/>
    <w:rsid w:val="00C740B8"/>
    <w:rsid w:val="00C75F8D"/>
    <w:rsid w:val="00C760DC"/>
    <w:rsid w:val="00C7616A"/>
    <w:rsid w:val="00C76B42"/>
    <w:rsid w:val="00C77380"/>
    <w:rsid w:val="00C8033A"/>
    <w:rsid w:val="00C8071D"/>
    <w:rsid w:val="00C819D0"/>
    <w:rsid w:val="00C81CF1"/>
    <w:rsid w:val="00C81EF9"/>
    <w:rsid w:val="00C8284D"/>
    <w:rsid w:val="00C83A0F"/>
    <w:rsid w:val="00C83CA4"/>
    <w:rsid w:val="00C840A8"/>
    <w:rsid w:val="00C846A1"/>
    <w:rsid w:val="00C84BA6"/>
    <w:rsid w:val="00C8615D"/>
    <w:rsid w:val="00C871A0"/>
    <w:rsid w:val="00C87E8A"/>
    <w:rsid w:val="00C90A3A"/>
    <w:rsid w:val="00C910D6"/>
    <w:rsid w:val="00C913D6"/>
    <w:rsid w:val="00C91677"/>
    <w:rsid w:val="00C91887"/>
    <w:rsid w:val="00C91D02"/>
    <w:rsid w:val="00C92FAE"/>
    <w:rsid w:val="00C94277"/>
    <w:rsid w:val="00C964C1"/>
    <w:rsid w:val="00C968CF"/>
    <w:rsid w:val="00C975D6"/>
    <w:rsid w:val="00C97736"/>
    <w:rsid w:val="00C979A2"/>
    <w:rsid w:val="00CA0157"/>
    <w:rsid w:val="00CA0212"/>
    <w:rsid w:val="00CA081D"/>
    <w:rsid w:val="00CA0F96"/>
    <w:rsid w:val="00CA12AC"/>
    <w:rsid w:val="00CA1385"/>
    <w:rsid w:val="00CA1677"/>
    <w:rsid w:val="00CA1A16"/>
    <w:rsid w:val="00CA1AB2"/>
    <w:rsid w:val="00CA1FA9"/>
    <w:rsid w:val="00CA28C0"/>
    <w:rsid w:val="00CA331D"/>
    <w:rsid w:val="00CA345A"/>
    <w:rsid w:val="00CA3DA8"/>
    <w:rsid w:val="00CA3EDE"/>
    <w:rsid w:val="00CA49C8"/>
    <w:rsid w:val="00CA4E59"/>
    <w:rsid w:val="00CA54A2"/>
    <w:rsid w:val="00CA59B0"/>
    <w:rsid w:val="00CA67EE"/>
    <w:rsid w:val="00CA77AB"/>
    <w:rsid w:val="00CA7AA7"/>
    <w:rsid w:val="00CB02F6"/>
    <w:rsid w:val="00CB1467"/>
    <w:rsid w:val="00CB14EF"/>
    <w:rsid w:val="00CB1E82"/>
    <w:rsid w:val="00CB1FE7"/>
    <w:rsid w:val="00CB2A6F"/>
    <w:rsid w:val="00CB3A41"/>
    <w:rsid w:val="00CB3FC3"/>
    <w:rsid w:val="00CB3FDD"/>
    <w:rsid w:val="00CB4684"/>
    <w:rsid w:val="00CB4879"/>
    <w:rsid w:val="00CB4BA8"/>
    <w:rsid w:val="00CB4FD3"/>
    <w:rsid w:val="00CB52D7"/>
    <w:rsid w:val="00CB5525"/>
    <w:rsid w:val="00CB6E7D"/>
    <w:rsid w:val="00CB7080"/>
    <w:rsid w:val="00CB768C"/>
    <w:rsid w:val="00CB7729"/>
    <w:rsid w:val="00CB7FE4"/>
    <w:rsid w:val="00CC07E9"/>
    <w:rsid w:val="00CC12A6"/>
    <w:rsid w:val="00CC1B62"/>
    <w:rsid w:val="00CC3055"/>
    <w:rsid w:val="00CC325D"/>
    <w:rsid w:val="00CC3309"/>
    <w:rsid w:val="00CC3C1A"/>
    <w:rsid w:val="00CC3FDE"/>
    <w:rsid w:val="00CC4FE5"/>
    <w:rsid w:val="00CC63A8"/>
    <w:rsid w:val="00CC6732"/>
    <w:rsid w:val="00CC6AD7"/>
    <w:rsid w:val="00CC76B9"/>
    <w:rsid w:val="00CC7778"/>
    <w:rsid w:val="00CC77FA"/>
    <w:rsid w:val="00CD1EA3"/>
    <w:rsid w:val="00CD212C"/>
    <w:rsid w:val="00CD26E5"/>
    <w:rsid w:val="00CD28D2"/>
    <w:rsid w:val="00CD2B0D"/>
    <w:rsid w:val="00CD321A"/>
    <w:rsid w:val="00CD33D4"/>
    <w:rsid w:val="00CD3495"/>
    <w:rsid w:val="00CD376A"/>
    <w:rsid w:val="00CD3785"/>
    <w:rsid w:val="00CD3A30"/>
    <w:rsid w:val="00CD4021"/>
    <w:rsid w:val="00CD451D"/>
    <w:rsid w:val="00CD528D"/>
    <w:rsid w:val="00CD5845"/>
    <w:rsid w:val="00CD5C9C"/>
    <w:rsid w:val="00CD6810"/>
    <w:rsid w:val="00CD6ACF"/>
    <w:rsid w:val="00CD7555"/>
    <w:rsid w:val="00CD7902"/>
    <w:rsid w:val="00CE1153"/>
    <w:rsid w:val="00CE12A2"/>
    <w:rsid w:val="00CE22B6"/>
    <w:rsid w:val="00CE300A"/>
    <w:rsid w:val="00CE3202"/>
    <w:rsid w:val="00CE3556"/>
    <w:rsid w:val="00CE3C96"/>
    <w:rsid w:val="00CE51A8"/>
    <w:rsid w:val="00CE54A1"/>
    <w:rsid w:val="00CE6955"/>
    <w:rsid w:val="00CE7428"/>
    <w:rsid w:val="00CE74D5"/>
    <w:rsid w:val="00CE756D"/>
    <w:rsid w:val="00CE79F5"/>
    <w:rsid w:val="00CF036F"/>
    <w:rsid w:val="00CF0474"/>
    <w:rsid w:val="00CF0BFE"/>
    <w:rsid w:val="00CF1B20"/>
    <w:rsid w:val="00CF1B4C"/>
    <w:rsid w:val="00CF26CA"/>
    <w:rsid w:val="00CF2BB5"/>
    <w:rsid w:val="00CF369B"/>
    <w:rsid w:val="00CF5648"/>
    <w:rsid w:val="00CF62E8"/>
    <w:rsid w:val="00CF653A"/>
    <w:rsid w:val="00CF6672"/>
    <w:rsid w:val="00CF67D7"/>
    <w:rsid w:val="00CF6E3D"/>
    <w:rsid w:val="00CF7B9E"/>
    <w:rsid w:val="00D00D22"/>
    <w:rsid w:val="00D00E28"/>
    <w:rsid w:val="00D02362"/>
    <w:rsid w:val="00D0269E"/>
    <w:rsid w:val="00D02A6B"/>
    <w:rsid w:val="00D031CC"/>
    <w:rsid w:val="00D03276"/>
    <w:rsid w:val="00D045C7"/>
    <w:rsid w:val="00D046D1"/>
    <w:rsid w:val="00D04AC4"/>
    <w:rsid w:val="00D05672"/>
    <w:rsid w:val="00D05D26"/>
    <w:rsid w:val="00D05D6C"/>
    <w:rsid w:val="00D06150"/>
    <w:rsid w:val="00D070A4"/>
    <w:rsid w:val="00D070B9"/>
    <w:rsid w:val="00D072F4"/>
    <w:rsid w:val="00D07A70"/>
    <w:rsid w:val="00D07CCD"/>
    <w:rsid w:val="00D11261"/>
    <w:rsid w:val="00D11605"/>
    <w:rsid w:val="00D13246"/>
    <w:rsid w:val="00D1345F"/>
    <w:rsid w:val="00D13BE8"/>
    <w:rsid w:val="00D14A15"/>
    <w:rsid w:val="00D15810"/>
    <w:rsid w:val="00D15A27"/>
    <w:rsid w:val="00D15E68"/>
    <w:rsid w:val="00D1640A"/>
    <w:rsid w:val="00D16C01"/>
    <w:rsid w:val="00D16D4E"/>
    <w:rsid w:val="00D16E6A"/>
    <w:rsid w:val="00D16FE3"/>
    <w:rsid w:val="00D17C71"/>
    <w:rsid w:val="00D2062B"/>
    <w:rsid w:val="00D2103B"/>
    <w:rsid w:val="00D21AA3"/>
    <w:rsid w:val="00D21FCB"/>
    <w:rsid w:val="00D22AE6"/>
    <w:rsid w:val="00D23D39"/>
    <w:rsid w:val="00D240AF"/>
    <w:rsid w:val="00D2473D"/>
    <w:rsid w:val="00D248FF"/>
    <w:rsid w:val="00D25B92"/>
    <w:rsid w:val="00D25DF5"/>
    <w:rsid w:val="00D2646F"/>
    <w:rsid w:val="00D267B6"/>
    <w:rsid w:val="00D26C46"/>
    <w:rsid w:val="00D26DB6"/>
    <w:rsid w:val="00D2796D"/>
    <w:rsid w:val="00D27988"/>
    <w:rsid w:val="00D27F41"/>
    <w:rsid w:val="00D30D68"/>
    <w:rsid w:val="00D3147D"/>
    <w:rsid w:val="00D31922"/>
    <w:rsid w:val="00D31D96"/>
    <w:rsid w:val="00D32C17"/>
    <w:rsid w:val="00D32C2A"/>
    <w:rsid w:val="00D33327"/>
    <w:rsid w:val="00D33530"/>
    <w:rsid w:val="00D3577D"/>
    <w:rsid w:val="00D357F4"/>
    <w:rsid w:val="00D35AEB"/>
    <w:rsid w:val="00D35D78"/>
    <w:rsid w:val="00D36440"/>
    <w:rsid w:val="00D36441"/>
    <w:rsid w:val="00D37002"/>
    <w:rsid w:val="00D37A02"/>
    <w:rsid w:val="00D4064E"/>
    <w:rsid w:val="00D40866"/>
    <w:rsid w:val="00D41013"/>
    <w:rsid w:val="00D41DC5"/>
    <w:rsid w:val="00D4285B"/>
    <w:rsid w:val="00D42BC0"/>
    <w:rsid w:val="00D43B47"/>
    <w:rsid w:val="00D43BC9"/>
    <w:rsid w:val="00D43C1B"/>
    <w:rsid w:val="00D44AB2"/>
    <w:rsid w:val="00D44B8A"/>
    <w:rsid w:val="00D44E9B"/>
    <w:rsid w:val="00D46AE9"/>
    <w:rsid w:val="00D47492"/>
    <w:rsid w:val="00D475A1"/>
    <w:rsid w:val="00D4792C"/>
    <w:rsid w:val="00D47AEB"/>
    <w:rsid w:val="00D47B3C"/>
    <w:rsid w:val="00D50469"/>
    <w:rsid w:val="00D50BBA"/>
    <w:rsid w:val="00D50DB9"/>
    <w:rsid w:val="00D50FD2"/>
    <w:rsid w:val="00D51302"/>
    <w:rsid w:val="00D5150A"/>
    <w:rsid w:val="00D528F4"/>
    <w:rsid w:val="00D52C43"/>
    <w:rsid w:val="00D5317A"/>
    <w:rsid w:val="00D53665"/>
    <w:rsid w:val="00D53B03"/>
    <w:rsid w:val="00D53DAA"/>
    <w:rsid w:val="00D54224"/>
    <w:rsid w:val="00D549CC"/>
    <w:rsid w:val="00D54D9A"/>
    <w:rsid w:val="00D55117"/>
    <w:rsid w:val="00D55E37"/>
    <w:rsid w:val="00D56164"/>
    <w:rsid w:val="00D563C4"/>
    <w:rsid w:val="00D56873"/>
    <w:rsid w:val="00D57362"/>
    <w:rsid w:val="00D574F5"/>
    <w:rsid w:val="00D57B95"/>
    <w:rsid w:val="00D61243"/>
    <w:rsid w:val="00D612B4"/>
    <w:rsid w:val="00D61403"/>
    <w:rsid w:val="00D62531"/>
    <w:rsid w:val="00D628A3"/>
    <w:rsid w:val="00D62B41"/>
    <w:rsid w:val="00D638BD"/>
    <w:rsid w:val="00D63FD7"/>
    <w:rsid w:val="00D641FB"/>
    <w:rsid w:val="00D65038"/>
    <w:rsid w:val="00D6507F"/>
    <w:rsid w:val="00D65147"/>
    <w:rsid w:val="00D65478"/>
    <w:rsid w:val="00D654A8"/>
    <w:rsid w:val="00D65870"/>
    <w:rsid w:val="00D6596A"/>
    <w:rsid w:val="00D66C63"/>
    <w:rsid w:val="00D671EB"/>
    <w:rsid w:val="00D67807"/>
    <w:rsid w:val="00D71BCE"/>
    <w:rsid w:val="00D730BC"/>
    <w:rsid w:val="00D734D0"/>
    <w:rsid w:val="00D736A6"/>
    <w:rsid w:val="00D73912"/>
    <w:rsid w:val="00D740CF"/>
    <w:rsid w:val="00D747FC"/>
    <w:rsid w:val="00D74806"/>
    <w:rsid w:val="00D755C6"/>
    <w:rsid w:val="00D75B6E"/>
    <w:rsid w:val="00D76778"/>
    <w:rsid w:val="00D77486"/>
    <w:rsid w:val="00D77A28"/>
    <w:rsid w:val="00D77E33"/>
    <w:rsid w:val="00D8067D"/>
    <w:rsid w:val="00D80F31"/>
    <w:rsid w:val="00D82951"/>
    <w:rsid w:val="00D8378A"/>
    <w:rsid w:val="00D83C79"/>
    <w:rsid w:val="00D843E9"/>
    <w:rsid w:val="00D844F8"/>
    <w:rsid w:val="00D84C56"/>
    <w:rsid w:val="00D85226"/>
    <w:rsid w:val="00D8770B"/>
    <w:rsid w:val="00D87B94"/>
    <w:rsid w:val="00D87C61"/>
    <w:rsid w:val="00D91F0D"/>
    <w:rsid w:val="00D921DD"/>
    <w:rsid w:val="00D92D49"/>
    <w:rsid w:val="00D92EC1"/>
    <w:rsid w:val="00D9325A"/>
    <w:rsid w:val="00D932EA"/>
    <w:rsid w:val="00D935C2"/>
    <w:rsid w:val="00D93A15"/>
    <w:rsid w:val="00D93A73"/>
    <w:rsid w:val="00D93C50"/>
    <w:rsid w:val="00D94053"/>
    <w:rsid w:val="00D948C9"/>
    <w:rsid w:val="00D95C49"/>
    <w:rsid w:val="00D95D6A"/>
    <w:rsid w:val="00D962FC"/>
    <w:rsid w:val="00D96DEA"/>
    <w:rsid w:val="00D97179"/>
    <w:rsid w:val="00D9770A"/>
    <w:rsid w:val="00D97CFD"/>
    <w:rsid w:val="00DA0D06"/>
    <w:rsid w:val="00DA1373"/>
    <w:rsid w:val="00DA18FE"/>
    <w:rsid w:val="00DA1D42"/>
    <w:rsid w:val="00DA2E3F"/>
    <w:rsid w:val="00DA3FC7"/>
    <w:rsid w:val="00DA4DA7"/>
    <w:rsid w:val="00DA4E41"/>
    <w:rsid w:val="00DA6C04"/>
    <w:rsid w:val="00DA6C60"/>
    <w:rsid w:val="00DA7A66"/>
    <w:rsid w:val="00DB0114"/>
    <w:rsid w:val="00DB04A9"/>
    <w:rsid w:val="00DB0C76"/>
    <w:rsid w:val="00DB117A"/>
    <w:rsid w:val="00DB1C98"/>
    <w:rsid w:val="00DB1FEC"/>
    <w:rsid w:val="00DB2360"/>
    <w:rsid w:val="00DB2AE6"/>
    <w:rsid w:val="00DB4162"/>
    <w:rsid w:val="00DB43DE"/>
    <w:rsid w:val="00DB5173"/>
    <w:rsid w:val="00DB546C"/>
    <w:rsid w:val="00DB5C7B"/>
    <w:rsid w:val="00DB5D9F"/>
    <w:rsid w:val="00DB6BEA"/>
    <w:rsid w:val="00DB7873"/>
    <w:rsid w:val="00DC0AB3"/>
    <w:rsid w:val="00DC0ED0"/>
    <w:rsid w:val="00DC16D9"/>
    <w:rsid w:val="00DC187B"/>
    <w:rsid w:val="00DC1991"/>
    <w:rsid w:val="00DC2869"/>
    <w:rsid w:val="00DC434D"/>
    <w:rsid w:val="00DC4D35"/>
    <w:rsid w:val="00DC569C"/>
    <w:rsid w:val="00DC57E1"/>
    <w:rsid w:val="00DC5AEE"/>
    <w:rsid w:val="00DC7FE7"/>
    <w:rsid w:val="00DD09BF"/>
    <w:rsid w:val="00DD15A0"/>
    <w:rsid w:val="00DD1A43"/>
    <w:rsid w:val="00DD279B"/>
    <w:rsid w:val="00DD286B"/>
    <w:rsid w:val="00DD2AAA"/>
    <w:rsid w:val="00DD38EA"/>
    <w:rsid w:val="00DD3D1E"/>
    <w:rsid w:val="00DD3DFF"/>
    <w:rsid w:val="00DD4EE8"/>
    <w:rsid w:val="00DD5CCD"/>
    <w:rsid w:val="00DD66FB"/>
    <w:rsid w:val="00DD731C"/>
    <w:rsid w:val="00DD73C2"/>
    <w:rsid w:val="00DD757C"/>
    <w:rsid w:val="00DD7C2D"/>
    <w:rsid w:val="00DE152E"/>
    <w:rsid w:val="00DE23F0"/>
    <w:rsid w:val="00DE24ED"/>
    <w:rsid w:val="00DE319B"/>
    <w:rsid w:val="00DE432E"/>
    <w:rsid w:val="00DE43B3"/>
    <w:rsid w:val="00DE4D01"/>
    <w:rsid w:val="00DE4D51"/>
    <w:rsid w:val="00DE52D6"/>
    <w:rsid w:val="00DE6170"/>
    <w:rsid w:val="00DE63A9"/>
    <w:rsid w:val="00DE63E0"/>
    <w:rsid w:val="00DE69D9"/>
    <w:rsid w:val="00DE6EDB"/>
    <w:rsid w:val="00DE7475"/>
    <w:rsid w:val="00DE7716"/>
    <w:rsid w:val="00DF00EB"/>
    <w:rsid w:val="00DF0D0A"/>
    <w:rsid w:val="00DF12A6"/>
    <w:rsid w:val="00DF16CC"/>
    <w:rsid w:val="00DF34FE"/>
    <w:rsid w:val="00DF4B32"/>
    <w:rsid w:val="00DF4EE9"/>
    <w:rsid w:val="00DF56AA"/>
    <w:rsid w:val="00DF56AF"/>
    <w:rsid w:val="00DF66D3"/>
    <w:rsid w:val="00DF66D9"/>
    <w:rsid w:val="00DF78E7"/>
    <w:rsid w:val="00E00238"/>
    <w:rsid w:val="00E0076A"/>
    <w:rsid w:val="00E011AA"/>
    <w:rsid w:val="00E01A80"/>
    <w:rsid w:val="00E03125"/>
    <w:rsid w:val="00E03607"/>
    <w:rsid w:val="00E0365E"/>
    <w:rsid w:val="00E036FE"/>
    <w:rsid w:val="00E0563C"/>
    <w:rsid w:val="00E0596A"/>
    <w:rsid w:val="00E05B75"/>
    <w:rsid w:val="00E05B98"/>
    <w:rsid w:val="00E072A2"/>
    <w:rsid w:val="00E0742C"/>
    <w:rsid w:val="00E074F3"/>
    <w:rsid w:val="00E07D59"/>
    <w:rsid w:val="00E07F0B"/>
    <w:rsid w:val="00E10D39"/>
    <w:rsid w:val="00E110E0"/>
    <w:rsid w:val="00E11735"/>
    <w:rsid w:val="00E11DE1"/>
    <w:rsid w:val="00E128A0"/>
    <w:rsid w:val="00E1297B"/>
    <w:rsid w:val="00E13824"/>
    <w:rsid w:val="00E13D3A"/>
    <w:rsid w:val="00E144B1"/>
    <w:rsid w:val="00E14E1B"/>
    <w:rsid w:val="00E152EC"/>
    <w:rsid w:val="00E15371"/>
    <w:rsid w:val="00E1609F"/>
    <w:rsid w:val="00E162C4"/>
    <w:rsid w:val="00E16569"/>
    <w:rsid w:val="00E17622"/>
    <w:rsid w:val="00E20E41"/>
    <w:rsid w:val="00E21056"/>
    <w:rsid w:val="00E21059"/>
    <w:rsid w:val="00E2105B"/>
    <w:rsid w:val="00E2167F"/>
    <w:rsid w:val="00E21FB0"/>
    <w:rsid w:val="00E2206F"/>
    <w:rsid w:val="00E2289E"/>
    <w:rsid w:val="00E22AB0"/>
    <w:rsid w:val="00E22BCA"/>
    <w:rsid w:val="00E23404"/>
    <w:rsid w:val="00E23567"/>
    <w:rsid w:val="00E23690"/>
    <w:rsid w:val="00E23962"/>
    <w:rsid w:val="00E23DA1"/>
    <w:rsid w:val="00E23EB0"/>
    <w:rsid w:val="00E24104"/>
    <w:rsid w:val="00E24817"/>
    <w:rsid w:val="00E250EC"/>
    <w:rsid w:val="00E26266"/>
    <w:rsid w:val="00E26509"/>
    <w:rsid w:val="00E2677E"/>
    <w:rsid w:val="00E26ED2"/>
    <w:rsid w:val="00E2742B"/>
    <w:rsid w:val="00E27534"/>
    <w:rsid w:val="00E302D0"/>
    <w:rsid w:val="00E32363"/>
    <w:rsid w:val="00E3239A"/>
    <w:rsid w:val="00E329F1"/>
    <w:rsid w:val="00E333BC"/>
    <w:rsid w:val="00E34A56"/>
    <w:rsid w:val="00E35707"/>
    <w:rsid w:val="00E35A01"/>
    <w:rsid w:val="00E36AA1"/>
    <w:rsid w:val="00E40B7A"/>
    <w:rsid w:val="00E4183B"/>
    <w:rsid w:val="00E41ECB"/>
    <w:rsid w:val="00E42676"/>
    <w:rsid w:val="00E43282"/>
    <w:rsid w:val="00E4332E"/>
    <w:rsid w:val="00E43E57"/>
    <w:rsid w:val="00E43EB8"/>
    <w:rsid w:val="00E4444F"/>
    <w:rsid w:val="00E44519"/>
    <w:rsid w:val="00E4462F"/>
    <w:rsid w:val="00E45FF5"/>
    <w:rsid w:val="00E47086"/>
    <w:rsid w:val="00E47175"/>
    <w:rsid w:val="00E50EC6"/>
    <w:rsid w:val="00E50F64"/>
    <w:rsid w:val="00E516F1"/>
    <w:rsid w:val="00E51F3E"/>
    <w:rsid w:val="00E5240B"/>
    <w:rsid w:val="00E52456"/>
    <w:rsid w:val="00E53BB9"/>
    <w:rsid w:val="00E5426D"/>
    <w:rsid w:val="00E542C1"/>
    <w:rsid w:val="00E54A7F"/>
    <w:rsid w:val="00E54C78"/>
    <w:rsid w:val="00E54FDB"/>
    <w:rsid w:val="00E55547"/>
    <w:rsid w:val="00E555B6"/>
    <w:rsid w:val="00E56016"/>
    <w:rsid w:val="00E5617D"/>
    <w:rsid w:val="00E563D7"/>
    <w:rsid w:val="00E56BBA"/>
    <w:rsid w:val="00E56FF3"/>
    <w:rsid w:val="00E5716A"/>
    <w:rsid w:val="00E57504"/>
    <w:rsid w:val="00E610AA"/>
    <w:rsid w:val="00E6230C"/>
    <w:rsid w:val="00E62C05"/>
    <w:rsid w:val="00E62CC3"/>
    <w:rsid w:val="00E63973"/>
    <w:rsid w:val="00E63E54"/>
    <w:rsid w:val="00E64A0A"/>
    <w:rsid w:val="00E6527C"/>
    <w:rsid w:val="00E65F05"/>
    <w:rsid w:val="00E660F1"/>
    <w:rsid w:val="00E663F4"/>
    <w:rsid w:val="00E666F2"/>
    <w:rsid w:val="00E66DD4"/>
    <w:rsid w:val="00E706DF"/>
    <w:rsid w:val="00E70848"/>
    <w:rsid w:val="00E71872"/>
    <w:rsid w:val="00E7218F"/>
    <w:rsid w:val="00E728CB"/>
    <w:rsid w:val="00E74590"/>
    <w:rsid w:val="00E748CC"/>
    <w:rsid w:val="00E74F15"/>
    <w:rsid w:val="00E75415"/>
    <w:rsid w:val="00E75AF5"/>
    <w:rsid w:val="00E762CB"/>
    <w:rsid w:val="00E77395"/>
    <w:rsid w:val="00E775B1"/>
    <w:rsid w:val="00E77682"/>
    <w:rsid w:val="00E810A7"/>
    <w:rsid w:val="00E8152A"/>
    <w:rsid w:val="00E8198B"/>
    <w:rsid w:val="00E8220A"/>
    <w:rsid w:val="00E8225D"/>
    <w:rsid w:val="00E85475"/>
    <w:rsid w:val="00E85C27"/>
    <w:rsid w:val="00E8728D"/>
    <w:rsid w:val="00E87DFC"/>
    <w:rsid w:val="00E90105"/>
    <w:rsid w:val="00E904FE"/>
    <w:rsid w:val="00E911B7"/>
    <w:rsid w:val="00E91502"/>
    <w:rsid w:val="00E91EFA"/>
    <w:rsid w:val="00E9296D"/>
    <w:rsid w:val="00E9353F"/>
    <w:rsid w:val="00E93629"/>
    <w:rsid w:val="00E93B5C"/>
    <w:rsid w:val="00E93C17"/>
    <w:rsid w:val="00E93E02"/>
    <w:rsid w:val="00E940C7"/>
    <w:rsid w:val="00E94856"/>
    <w:rsid w:val="00E94CEC"/>
    <w:rsid w:val="00E94DF6"/>
    <w:rsid w:val="00E94F2E"/>
    <w:rsid w:val="00E950A3"/>
    <w:rsid w:val="00E95374"/>
    <w:rsid w:val="00E9550B"/>
    <w:rsid w:val="00E95C83"/>
    <w:rsid w:val="00E95FB2"/>
    <w:rsid w:val="00E96B53"/>
    <w:rsid w:val="00E97268"/>
    <w:rsid w:val="00E97D1E"/>
    <w:rsid w:val="00EA04EF"/>
    <w:rsid w:val="00EA0627"/>
    <w:rsid w:val="00EA094F"/>
    <w:rsid w:val="00EA0969"/>
    <w:rsid w:val="00EA0C37"/>
    <w:rsid w:val="00EA18B2"/>
    <w:rsid w:val="00EA1CA9"/>
    <w:rsid w:val="00EA2509"/>
    <w:rsid w:val="00EA2652"/>
    <w:rsid w:val="00EA2EAC"/>
    <w:rsid w:val="00EA3BA5"/>
    <w:rsid w:val="00EA4664"/>
    <w:rsid w:val="00EA5255"/>
    <w:rsid w:val="00EA53C3"/>
    <w:rsid w:val="00EA54BA"/>
    <w:rsid w:val="00EA55D9"/>
    <w:rsid w:val="00EA592F"/>
    <w:rsid w:val="00EA60D8"/>
    <w:rsid w:val="00EA6C79"/>
    <w:rsid w:val="00EA6F19"/>
    <w:rsid w:val="00EA7394"/>
    <w:rsid w:val="00EA7AB4"/>
    <w:rsid w:val="00EB0478"/>
    <w:rsid w:val="00EB0A14"/>
    <w:rsid w:val="00EB0B75"/>
    <w:rsid w:val="00EB19B4"/>
    <w:rsid w:val="00EB1DDE"/>
    <w:rsid w:val="00EB4602"/>
    <w:rsid w:val="00EB5AD2"/>
    <w:rsid w:val="00EB5FB9"/>
    <w:rsid w:val="00EB7090"/>
    <w:rsid w:val="00EB7549"/>
    <w:rsid w:val="00EC08C3"/>
    <w:rsid w:val="00EC0B2B"/>
    <w:rsid w:val="00EC0D8A"/>
    <w:rsid w:val="00EC17BA"/>
    <w:rsid w:val="00EC1BBE"/>
    <w:rsid w:val="00EC1E74"/>
    <w:rsid w:val="00EC2B68"/>
    <w:rsid w:val="00EC2BAD"/>
    <w:rsid w:val="00EC2BF4"/>
    <w:rsid w:val="00EC2EFA"/>
    <w:rsid w:val="00EC304A"/>
    <w:rsid w:val="00EC3AEF"/>
    <w:rsid w:val="00EC3C4F"/>
    <w:rsid w:val="00EC510A"/>
    <w:rsid w:val="00EC5B36"/>
    <w:rsid w:val="00EC5CD7"/>
    <w:rsid w:val="00EC6067"/>
    <w:rsid w:val="00EC6175"/>
    <w:rsid w:val="00EC624D"/>
    <w:rsid w:val="00EC6BB7"/>
    <w:rsid w:val="00EC6F67"/>
    <w:rsid w:val="00EC7080"/>
    <w:rsid w:val="00EC733A"/>
    <w:rsid w:val="00EC7D09"/>
    <w:rsid w:val="00ED18B0"/>
    <w:rsid w:val="00ED2B4C"/>
    <w:rsid w:val="00ED3C1F"/>
    <w:rsid w:val="00ED3F94"/>
    <w:rsid w:val="00ED4771"/>
    <w:rsid w:val="00ED5379"/>
    <w:rsid w:val="00ED591F"/>
    <w:rsid w:val="00ED5ECD"/>
    <w:rsid w:val="00ED64F4"/>
    <w:rsid w:val="00ED70A6"/>
    <w:rsid w:val="00ED7297"/>
    <w:rsid w:val="00ED7BCF"/>
    <w:rsid w:val="00EE0F3E"/>
    <w:rsid w:val="00EE1724"/>
    <w:rsid w:val="00EE1A18"/>
    <w:rsid w:val="00EE1AA9"/>
    <w:rsid w:val="00EE1F50"/>
    <w:rsid w:val="00EE20FA"/>
    <w:rsid w:val="00EE2728"/>
    <w:rsid w:val="00EE3F37"/>
    <w:rsid w:val="00EE41C5"/>
    <w:rsid w:val="00EE4350"/>
    <w:rsid w:val="00EE4797"/>
    <w:rsid w:val="00EE4D08"/>
    <w:rsid w:val="00EE5696"/>
    <w:rsid w:val="00EE5851"/>
    <w:rsid w:val="00EE5FB3"/>
    <w:rsid w:val="00EE61A4"/>
    <w:rsid w:val="00EE7177"/>
    <w:rsid w:val="00EE76AB"/>
    <w:rsid w:val="00EE7F79"/>
    <w:rsid w:val="00EF0EE7"/>
    <w:rsid w:val="00EF1780"/>
    <w:rsid w:val="00EF17B3"/>
    <w:rsid w:val="00EF31E9"/>
    <w:rsid w:val="00EF35E1"/>
    <w:rsid w:val="00EF37CB"/>
    <w:rsid w:val="00EF4A4C"/>
    <w:rsid w:val="00EF4DE5"/>
    <w:rsid w:val="00EF5621"/>
    <w:rsid w:val="00EF56A1"/>
    <w:rsid w:val="00EF5922"/>
    <w:rsid w:val="00EF60F6"/>
    <w:rsid w:val="00EF6BDF"/>
    <w:rsid w:val="00EF715A"/>
    <w:rsid w:val="00EF7562"/>
    <w:rsid w:val="00F001A2"/>
    <w:rsid w:val="00F008EC"/>
    <w:rsid w:val="00F035E8"/>
    <w:rsid w:val="00F056FC"/>
    <w:rsid w:val="00F06B27"/>
    <w:rsid w:val="00F06E14"/>
    <w:rsid w:val="00F06F90"/>
    <w:rsid w:val="00F07269"/>
    <w:rsid w:val="00F0742A"/>
    <w:rsid w:val="00F07AF2"/>
    <w:rsid w:val="00F107F6"/>
    <w:rsid w:val="00F10D0A"/>
    <w:rsid w:val="00F11DEA"/>
    <w:rsid w:val="00F12312"/>
    <w:rsid w:val="00F12355"/>
    <w:rsid w:val="00F131FE"/>
    <w:rsid w:val="00F14152"/>
    <w:rsid w:val="00F1490D"/>
    <w:rsid w:val="00F14E0D"/>
    <w:rsid w:val="00F14FC7"/>
    <w:rsid w:val="00F1572A"/>
    <w:rsid w:val="00F1583D"/>
    <w:rsid w:val="00F179D4"/>
    <w:rsid w:val="00F17BCE"/>
    <w:rsid w:val="00F201DA"/>
    <w:rsid w:val="00F204B5"/>
    <w:rsid w:val="00F20973"/>
    <w:rsid w:val="00F20B53"/>
    <w:rsid w:val="00F20C0A"/>
    <w:rsid w:val="00F22A23"/>
    <w:rsid w:val="00F237A6"/>
    <w:rsid w:val="00F23CED"/>
    <w:rsid w:val="00F23D69"/>
    <w:rsid w:val="00F23E87"/>
    <w:rsid w:val="00F24FA4"/>
    <w:rsid w:val="00F25020"/>
    <w:rsid w:val="00F252BE"/>
    <w:rsid w:val="00F256F6"/>
    <w:rsid w:val="00F25919"/>
    <w:rsid w:val="00F25A3D"/>
    <w:rsid w:val="00F264BB"/>
    <w:rsid w:val="00F26E59"/>
    <w:rsid w:val="00F31CE2"/>
    <w:rsid w:val="00F32D8C"/>
    <w:rsid w:val="00F33C56"/>
    <w:rsid w:val="00F33FA0"/>
    <w:rsid w:val="00F34747"/>
    <w:rsid w:val="00F347C7"/>
    <w:rsid w:val="00F34848"/>
    <w:rsid w:val="00F34E99"/>
    <w:rsid w:val="00F359F4"/>
    <w:rsid w:val="00F361D7"/>
    <w:rsid w:val="00F36647"/>
    <w:rsid w:val="00F367EA"/>
    <w:rsid w:val="00F36D64"/>
    <w:rsid w:val="00F37554"/>
    <w:rsid w:val="00F37902"/>
    <w:rsid w:val="00F41507"/>
    <w:rsid w:val="00F42D46"/>
    <w:rsid w:val="00F43151"/>
    <w:rsid w:val="00F441BA"/>
    <w:rsid w:val="00F441C7"/>
    <w:rsid w:val="00F4496C"/>
    <w:rsid w:val="00F44C60"/>
    <w:rsid w:val="00F44EC6"/>
    <w:rsid w:val="00F44F3A"/>
    <w:rsid w:val="00F45926"/>
    <w:rsid w:val="00F45A05"/>
    <w:rsid w:val="00F47404"/>
    <w:rsid w:val="00F479F2"/>
    <w:rsid w:val="00F51F10"/>
    <w:rsid w:val="00F52503"/>
    <w:rsid w:val="00F529A5"/>
    <w:rsid w:val="00F5310D"/>
    <w:rsid w:val="00F5323E"/>
    <w:rsid w:val="00F539CE"/>
    <w:rsid w:val="00F54C0D"/>
    <w:rsid w:val="00F54D12"/>
    <w:rsid w:val="00F55207"/>
    <w:rsid w:val="00F556A9"/>
    <w:rsid w:val="00F55B63"/>
    <w:rsid w:val="00F5619E"/>
    <w:rsid w:val="00F56B2F"/>
    <w:rsid w:val="00F60A8A"/>
    <w:rsid w:val="00F60F00"/>
    <w:rsid w:val="00F614C0"/>
    <w:rsid w:val="00F6261E"/>
    <w:rsid w:val="00F627D9"/>
    <w:rsid w:val="00F6289A"/>
    <w:rsid w:val="00F62DE1"/>
    <w:rsid w:val="00F63169"/>
    <w:rsid w:val="00F63305"/>
    <w:rsid w:val="00F63BDE"/>
    <w:rsid w:val="00F63F67"/>
    <w:rsid w:val="00F64586"/>
    <w:rsid w:val="00F64AF0"/>
    <w:rsid w:val="00F64C2C"/>
    <w:rsid w:val="00F6527F"/>
    <w:rsid w:val="00F6572E"/>
    <w:rsid w:val="00F6578E"/>
    <w:rsid w:val="00F65D07"/>
    <w:rsid w:val="00F65DCE"/>
    <w:rsid w:val="00F65FE0"/>
    <w:rsid w:val="00F66347"/>
    <w:rsid w:val="00F66F00"/>
    <w:rsid w:val="00F675E2"/>
    <w:rsid w:val="00F70201"/>
    <w:rsid w:val="00F70282"/>
    <w:rsid w:val="00F70BF7"/>
    <w:rsid w:val="00F70D0B"/>
    <w:rsid w:val="00F710E5"/>
    <w:rsid w:val="00F716F9"/>
    <w:rsid w:val="00F71800"/>
    <w:rsid w:val="00F722DF"/>
    <w:rsid w:val="00F72540"/>
    <w:rsid w:val="00F72F52"/>
    <w:rsid w:val="00F7376F"/>
    <w:rsid w:val="00F73F07"/>
    <w:rsid w:val="00F74AB9"/>
    <w:rsid w:val="00F750BC"/>
    <w:rsid w:val="00F76F6C"/>
    <w:rsid w:val="00F77142"/>
    <w:rsid w:val="00F7723E"/>
    <w:rsid w:val="00F77F33"/>
    <w:rsid w:val="00F8087C"/>
    <w:rsid w:val="00F80B73"/>
    <w:rsid w:val="00F8115F"/>
    <w:rsid w:val="00F8318D"/>
    <w:rsid w:val="00F83848"/>
    <w:rsid w:val="00F8385C"/>
    <w:rsid w:val="00F83FD7"/>
    <w:rsid w:val="00F84232"/>
    <w:rsid w:val="00F842DD"/>
    <w:rsid w:val="00F847BD"/>
    <w:rsid w:val="00F84B96"/>
    <w:rsid w:val="00F84F19"/>
    <w:rsid w:val="00F85678"/>
    <w:rsid w:val="00F85733"/>
    <w:rsid w:val="00F85A93"/>
    <w:rsid w:val="00F86B0C"/>
    <w:rsid w:val="00F86C1E"/>
    <w:rsid w:val="00F87218"/>
    <w:rsid w:val="00F8723E"/>
    <w:rsid w:val="00F8791E"/>
    <w:rsid w:val="00F87989"/>
    <w:rsid w:val="00F90FB5"/>
    <w:rsid w:val="00F920E0"/>
    <w:rsid w:val="00F921A5"/>
    <w:rsid w:val="00F923D2"/>
    <w:rsid w:val="00F93694"/>
    <w:rsid w:val="00F94E20"/>
    <w:rsid w:val="00F94EDD"/>
    <w:rsid w:val="00F95300"/>
    <w:rsid w:val="00F95925"/>
    <w:rsid w:val="00F9637E"/>
    <w:rsid w:val="00F96BF7"/>
    <w:rsid w:val="00F96D4A"/>
    <w:rsid w:val="00F97113"/>
    <w:rsid w:val="00F975E9"/>
    <w:rsid w:val="00F9784E"/>
    <w:rsid w:val="00F97F62"/>
    <w:rsid w:val="00FA1B7D"/>
    <w:rsid w:val="00FA1D34"/>
    <w:rsid w:val="00FA2897"/>
    <w:rsid w:val="00FA3732"/>
    <w:rsid w:val="00FA3808"/>
    <w:rsid w:val="00FA3DC8"/>
    <w:rsid w:val="00FA3FC2"/>
    <w:rsid w:val="00FA4433"/>
    <w:rsid w:val="00FA4F10"/>
    <w:rsid w:val="00FA5A08"/>
    <w:rsid w:val="00FA60B3"/>
    <w:rsid w:val="00FA63C0"/>
    <w:rsid w:val="00FA7062"/>
    <w:rsid w:val="00FA7B77"/>
    <w:rsid w:val="00FA7CFB"/>
    <w:rsid w:val="00FB00C1"/>
    <w:rsid w:val="00FB0904"/>
    <w:rsid w:val="00FB0D9A"/>
    <w:rsid w:val="00FB1173"/>
    <w:rsid w:val="00FB14DF"/>
    <w:rsid w:val="00FB203C"/>
    <w:rsid w:val="00FB274F"/>
    <w:rsid w:val="00FB3990"/>
    <w:rsid w:val="00FB3F81"/>
    <w:rsid w:val="00FB3F89"/>
    <w:rsid w:val="00FB4A82"/>
    <w:rsid w:val="00FB4AAA"/>
    <w:rsid w:val="00FB4FAB"/>
    <w:rsid w:val="00FB563A"/>
    <w:rsid w:val="00FB5D97"/>
    <w:rsid w:val="00FB6839"/>
    <w:rsid w:val="00FB6D17"/>
    <w:rsid w:val="00FC07B9"/>
    <w:rsid w:val="00FC0A5A"/>
    <w:rsid w:val="00FC192B"/>
    <w:rsid w:val="00FC31C7"/>
    <w:rsid w:val="00FC3A38"/>
    <w:rsid w:val="00FC4B88"/>
    <w:rsid w:val="00FC4E21"/>
    <w:rsid w:val="00FC52A3"/>
    <w:rsid w:val="00FC5315"/>
    <w:rsid w:val="00FC5688"/>
    <w:rsid w:val="00FC5F6D"/>
    <w:rsid w:val="00FC6A41"/>
    <w:rsid w:val="00FC6CD2"/>
    <w:rsid w:val="00FC780A"/>
    <w:rsid w:val="00FC78DE"/>
    <w:rsid w:val="00FD0107"/>
    <w:rsid w:val="00FD0971"/>
    <w:rsid w:val="00FD0ECF"/>
    <w:rsid w:val="00FD27FF"/>
    <w:rsid w:val="00FD2C2F"/>
    <w:rsid w:val="00FD3554"/>
    <w:rsid w:val="00FD35B8"/>
    <w:rsid w:val="00FD3B31"/>
    <w:rsid w:val="00FD3D57"/>
    <w:rsid w:val="00FD7240"/>
    <w:rsid w:val="00FE0203"/>
    <w:rsid w:val="00FE037F"/>
    <w:rsid w:val="00FE0A08"/>
    <w:rsid w:val="00FE1823"/>
    <w:rsid w:val="00FE19A4"/>
    <w:rsid w:val="00FE19CD"/>
    <w:rsid w:val="00FE1AA3"/>
    <w:rsid w:val="00FE1B0C"/>
    <w:rsid w:val="00FE2567"/>
    <w:rsid w:val="00FE3343"/>
    <w:rsid w:val="00FE3AAC"/>
    <w:rsid w:val="00FE4186"/>
    <w:rsid w:val="00FE487A"/>
    <w:rsid w:val="00FE50B9"/>
    <w:rsid w:val="00FE50C2"/>
    <w:rsid w:val="00FE5214"/>
    <w:rsid w:val="00FE52E9"/>
    <w:rsid w:val="00FE534D"/>
    <w:rsid w:val="00FE70DA"/>
    <w:rsid w:val="00FE7F5B"/>
    <w:rsid w:val="00FF0569"/>
    <w:rsid w:val="00FF0700"/>
    <w:rsid w:val="00FF0738"/>
    <w:rsid w:val="00FF206E"/>
    <w:rsid w:val="00FF2752"/>
    <w:rsid w:val="00FF28D8"/>
    <w:rsid w:val="00FF39A8"/>
    <w:rsid w:val="00FF3C33"/>
    <w:rsid w:val="00FF3C69"/>
    <w:rsid w:val="00FF3DC0"/>
    <w:rsid w:val="00FF3E29"/>
    <w:rsid w:val="00FF4206"/>
    <w:rsid w:val="00FF441A"/>
    <w:rsid w:val="00FF559F"/>
    <w:rsid w:val="00FF6528"/>
    <w:rsid w:val="00FF6E0A"/>
    <w:rsid w:val="00FF6F77"/>
    <w:rsid w:val="00FF7A3C"/>
    <w:rsid w:val="00FF7D35"/>
  </w:rsids>
  <m:mathPr>
    <m:mathFont m:val="Cambria Math"/>
    <m:brkBin m:val="before"/>
    <m:brkBinSub m:val="--"/>
    <m:smallFrac/>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colormru v:ext="edit" colors="red,#4d4d4f"/>
    </o:shapedefaults>
    <o:shapelayout v:ext="edit">
      <o:idmap v:ext="edit" data="1"/>
    </o:shapelayout>
  </w:shapeDefaults>
  <w:decimalSymbol w:val="."/>
  <w:listSeparator w:val=","/>
  <w14:docId w14:val="3F083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AU" w:eastAsia="en-AU"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index 1" w:semiHidden="1" w:unhideWhenUsed="1"/>
    <w:lsdException w:name="index 2" w:semiHidden="1"/>
    <w:lsdException w:name="index 3" w:semiHidden="1"/>
    <w:lsdException w:name="index 4" w:semiHidden="1"/>
    <w:lsdException w:name="index 5" w:semiHidden="1"/>
    <w:lsdException w:name="index 6" w:semiHidden="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23" w:unhideWhenUsed="1"/>
    <w:lsdException w:name="annotation text" w:semiHidden="1" w:uiPriority="99" w:unhideWhenUsed="1" w:qFormat="1"/>
    <w:lsdException w:name="header" w:semiHidden="1" w:unhideWhenUsed="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qFormat="1"/>
    <w:lsdException w:name="List Number 3" w:semiHidden="1" w:unhideWhenUsed="1"/>
    <w:lsdException w:name="List Number 4" w:semiHidden="1" w:unhideWhenUsed="1"/>
    <w:lsdException w:name="List Number 5" w:semiHidden="1"/>
    <w:lsdException w:name="Title" w:semiHidden="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lsdException w:name="Block Text" w:semiHidden="1"/>
    <w:lsdException w:name="Hyperlink" w:uiPriority="99" w:qFormat="1"/>
    <w:lsdException w:name="Strong" w:semiHidden="1"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qFormat="1"/>
    <w:lsdException w:name="Quote" w:semiHidden="1"/>
    <w:lsdException w:name="Intense Quote"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semiHidden/>
    <w:qFormat/>
    <w:rsid w:val="00390D91"/>
    <w:pPr>
      <w:spacing w:after="240" w:line="240" w:lineRule="atLeast"/>
    </w:pPr>
    <w:rPr>
      <w:rFonts w:ascii="Arial" w:hAnsi="Arial"/>
      <w:sz w:val="20"/>
    </w:rPr>
  </w:style>
  <w:style w:type="paragraph" w:styleId="Heading1">
    <w:name w:val="heading 1"/>
    <w:basedOn w:val="Normal"/>
    <w:next w:val="Normal"/>
    <w:link w:val="Heading1Char"/>
    <w:uiPriority w:val="1"/>
    <w:qFormat/>
    <w:rsid w:val="00C55235"/>
    <w:pPr>
      <w:keepNext/>
      <w:pageBreakBefore/>
      <w:widowControl w:val="0"/>
      <w:numPr>
        <w:numId w:val="34"/>
      </w:numPr>
      <w:spacing w:after="360" w:line="550" w:lineRule="exact"/>
      <w:outlineLvl w:val="0"/>
    </w:pPr>
    <w:rPr>
      <w:rFonts w:cs="Arial"/>
      <w:bCs/>
      <w:color w:val="323232"/>
      <w:kern w:val="32"/>
      <w:sz w:val="53"/>
      <w:szCs w:val="32"/>
    </w:rPr>
  </w:style>
  <w:style w:type="paragraph" w:styleId="Heading2">
    <w:name w:val="heading 2"/>
    <w:basedOn w:val="Normal"/>
    <w:next w:val="Paragraph"/>
    <w:link w:val="Heading2Char"/>
    <w:uiPriority w:val="1"/>
    <w:qFormat/>
    <w:rsid w:val="00C55235"/>
    <w:pPr>
      <w:keepNext/>
      <w:spacing w:before="320" w:after="60"/>
      <w:outlineLvl w:val="1"/>
    </w:pPr>
    <w:rPr>
      <w:rFonts w:cs="Arial"/>
      <w:b/>
      <w:bCs/>
      <w:iCs/>
      <w:sz w:val="28"/>
      <w:szCs w:val="28"/>
    </w:rPr>
  </w:style>
  <w:style w:type="paragraph" w:styleId="Heading3">
    <w:name w:val="heading 3"/>
    <w:basedOn w:val="Normal"/>
    <w:next w:val="Normal"/>
    <w:link w:val="Heading3Char"/>
    <w:uiPriority w:val="2"/>
    <w:qFormat/>
    <w:rsid w:val="00C55235"/>
    <w:pPr>
      <w:keepNext/>
      <w:spacing w:before="60" w:after="60"/>
      <w:outlineLvl w:val="2"/>
    </w:pPr>
    <w:rPr>
      <w:rFonts w:cs="Arial"/>
      <w:b/>
      <w:bCs/>
      <w:szCs w:val="26"/>
    </w:rPr>
  </w:style>
  <w:style w:type="paragraph" w:styleId="Heading4">
    <w:name w:val="heading 4"/>
    <w:basedOn w:val="BodySubHeader"/>
    <w:next w:val="Normal"/>
    <w:link w:val="Heading4Char"/>
    <w:uiPriority w:val="3"/>
    <w:qFormat/>
    <w:rsid w:val="005B2F0D"/>
    <w:pPr>
      <w:outlineLvl w:val="3"/>
    </w:pPr>
    <w:rPr>
      <w:rFonts w:cs="Arial"/>
    </w:rPr>
  </w:style>
  <w:style w:type="paragraph" w:styleId="Heading5">
    <w:name w:val="heading 5"/>
    <w:basedOn w:val="Normal"/>
    <w:next w:val="Normal"/>
    <w:semiHidden/>
    <w:qFormat/>
    <w:rsid w:val="00AD5436"/>
    <w:pPr>
      <w:numPr>
        <w:ilvl w:val="4"/>
        <w:numId w:val="5"/>
      </w:numPr>
      <w:spacing w:before="240" w:after="60"/>
      <w:outlineLvl w:val="4"/>
    </w:pPr>
    <w:rPr>
      <w:b/>
      <w:bCs/>
      <w:i/>
      <w:iCs/>
      <w:sz w:val="26"/>
      <w:szCs w:val="26"/>
    </w:rPr>
  </w:style>
  <w:style w:type="paragraph" w:styleId="Heading6">
    <w:name w:val="heading 6"/>
    <w:basedOn w:val="Normal"/>
    <w:next w:val="Normal"/>
    <w:semiHidden/>
    <w:qFormat/>
    <w:rsid w:val="00AD5436"/>
    <w:pPr>
      <w:numPr>
        <w:ilvl w:val="5"/>
        <w:numId w:val="5"/>
      </w:numPr>
      <w:spacing w:before="240" w:after="60"/>
      <w:outlineLvl w:val="5"/>
    </w:pPr>
    <w:rPr>
      <w:rFonts w:ascii="Times New Roman" w:hAnsi="Times New Roman"/>
      <w:b/>
      <w:bCs/>
      <w:sz w:val="22"/>
      <w:szCs w:val="22"/>
    </w:rPr>
  </w:style>
  <w:style w:type="paragraph" w:styleId="Heading7">
    <w:name w:val="heading 7"/>
    <w:basedOn w:val="Normal"/>
    <w:next w:val="Normal"/>
    <w:semiHidden/>
    <w:qFormat/>
    <w:rsid w:val="00AD5436"/>
    <w:pPr>
      <w:numPr>
        <w:ilvl w:val="6"/>
        <w:numId w:val="5"/>
      </w:numPr>
      <w:spacing w:before="240" w:after="60"/>
      <w:outlineLvl w:val="6"/>
    </w:pPr>
    <w:rPr>
      <w:rFonts w:ascii="Times New Roman" w:hAnsi="Times New Roman"/>
      <w:sz w:val="24"/>
    </w:rPr>
  </w:style>
  <w:style w:type="paragraph" w:styleId="Heading8">
    <w:name w:val="heading 8"/>
    <w:basedOn w:val="Normal"/>
    <w:next w:val="Normal"/>
    <w:semiHidden/>
    <w:qFormat/>
    <w:rsid w:val="00AD5436"/>
    <w:pPr>
      <w:numPr>
        <w:ilvl w:val="7"/>
        <w:numId w:val="5"/>
      </w:numPr>
      <w:spacing w:before="240" w:after="60"/>
      <w:outlineLvl w:val="7"/>
    </w:pPr>
    <w:rPr>
      <w:rFonts w:ascii="Times New Roman" w:hAnsi="Times New Roman"/>
      <w:i/>
      <w:iCs/>
      <w:sz w:val="24"/>
    </w:rPr>
  </w:style>
  <w:style w:type="paragraph" w:styleId="Heading9">
    <w:name w:val="heading 9"/>
    <w:basedOn w:val="Normal"/>
    <w:next w:val="Normal"/>
    <w:semiHidden/>
    <w:qFormat/>
    <w:rsid w:val="00AD5436"/>
    <w:pPr>
      <w:numPr>
        <w:ilvl w:val="8"/>
        <w:numId w:val="5"/>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semiHidden/>
    <w:rsid w:val="0070791C"/>
    <w:pPr>
      <w:tabs>
        <w:tab w:val="center" w:pos="4153"/>
        <w:tab w:val="right" w:pos="8306"/>
      </w:tabs>
      <w:spacing w:line="240" w:lineRule="auto"/>
    </w:pPr>
    <w:rPr>
      <w:sz w:val="16"/>
    </w:rPr>
  </w:style>
  <w:style w:type="paragraph" w:styleId="Footer">
    <w:name w:val="footer"/>
    <w:basedOn w:val="Normal"/>
    <w:link w:val="FooterChar"/>
    <w:semiHidden/>
    <w:qFormat/>
    <w:rsid w:val="0094078F"/>
    <w:pPr>
      <w:tabs>
        <w:tab w:val="right" w:pos="113"/>
      </w:tabs>
      <w:spacing w:line="240" w:lineRule="auto"/>
    </w:pPr>
    <w:rPr>
      <w:color w:val="323232"/>
      <w:sz w:val="16"/>
    </w:rPr>
  </w:style>
  <w:style w:type="character" w:customStyle="1" w:styleId="FooterChar">
    <w:name w:val="Footer Char"/>
    <w:basedOn w:val="DefaultParagraphFont"/>
    <w:link w:val="Footer"/>
    <w:semiHidden/>
    <w:rsid w:val="00EC2B68"/>
    <w:rPr>
      <w:rFonts w:ascii="Arial" w:hAnsi="Arial"/>
      <w:color w:val="323232"/>
      <w:sz w:val="16"/>
    </w:rPr>
  </w:style>
  <w:style w:type="paragraph" w:customStyle="1" w:styleId="Reporttitle">
    <w:name w:val="Report title"/>
    <w:basedOn w:val="Normal"/>
    <w:uiPriority w:val="19"/>
    <w:qFormat/>
    <w:rsid w:val="00A51D1A"/>
    <w:pPr>
      <w:spacing w:after="0" w:line="560" w:lineRule="exact"/>
    </w:pPr>
    <w:rPr>
      <w:b/>
      <w:spacing w:val="-28"/>
      <w:sz w:val="53"/>
    </w:rPr>
  </w:style>
  <w:style w:type="paragraph" w:customStyle="1" w:styleId="Reportsubtitle">
    <w:name w:val="Report subtitle"/>
    <w:basedOn w:val="Normal"/>
    <w:uiPriority w:val="20"/>
    <w:qFormat/>
    <w:rsid w:val="00950159"/>
    <w:pPr>
      <w:spacing w:after="200" w:line="560" w:lineRule="exact"/>
    </w:pPr>
    <w:rPr>
      <w:color w:val="323232"/>
      <w:spacing w:val="-28"/>
      <w:sz w:val="53"/>
    </w:rPr>
  </w:style>
  <w:style w:type="table" w:styleId="TableGrid">
    <w:name w:val="Table Grid"/>
    <w:basedOn w:val="TableNormal"/>
    <w:uiPriority w:val="59"/>
    <w:rsid w:val="00226819"/>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portdate">
    <w:name w:val="Report date"/>
    <w:basedOn w:val="Reportsubtitle"/>
    <w:uiPriority w:val="21"/>
    <w:qFormat/>
    <w:rsid w:val="00950159"/>
    <w:pPr>
      <w:numPr>
        <w:ilvl w:val="1"/>
        <w:numId w:val="34"/>
      </w:numPr>
      <w:spacing w:after="1200" w:line="240" w:lineRule="auto"/>
    </w:pPr>
    <w:rPr>
      <w:caps/>
      <w:spacing w:val="-10"/>
      <w:sz w:val="20"/>
    </w:rPr>
  </w:style>
  <w:style w:type="paragraph" w:customStyle="1" w:styleId="Tableheaderrow">
    <w:name w:val="Table header row"/>
    <w:basedOn w:val="Normal"/>
    <w:uiPriority w:val="14"/>
    <w:qFormat/>
    <w:rsid w:val="00774FDB"/>
    <w:pPr>
      <w:spacing w:after="0"/>
    </w:pPr>
    <w:rPr>
      <w:b/>
    </w:rPr>
  </w:style>
  <w:style w:type="paragraph" w:customStyle="1" w:styleId="PageNumber">
    <w:name w:val="PageNumber"/>
    <w:basedOn w:val="Normal"/>
    <w:semiHidden/>
    <w:rsid w:val="0070791C"/>
    <w:pPr>
      <w:spacing w:line="240" w:lineRule="auto"/>
    </w:pPr>
    <w:rPr>
      <w:sz w:val="16"/>
    </w:rPr>
  </w:style>
  <w:style w:type="paragraph" w:customStyle="1" w:styleId="Copyright">
    <w:name w:val="Copyright"/>
    <w:basedOn w:val="Normal"/>
    <w:semiHidden/>
    <w:rsid w:val="00454596"/>
    <w:pPr>
      <w:spacing w:line="160" w:lineRule="exact"/>
    </w:pPr>
    <w:rPr>
      <w:color w:val="4D4D4F"/>
      <w:sz w:val="13"/>
    </w:rPr>
  </w:style>
  <w:style w:type="paragraph" w:styleId="TOCHeading">
    <w:name w:val="TOC Heading"/>
    <w:basedOn w:val="Normal"/>
    <w:semiHidden/>
    <w:qFormat/>
    <w:rsid w:val="00950159"/>
    <w:pPr>
      <w:spacing w:before="1200" w:line="240" w:lineRule="auto"/>
    </w:pPr>
    <w:rPr>
      <w:b/>
      <w:color w:val="323232"/>
      <w:spacing w:val="-28"/>
      <w:sz w:val="53"/>
    </w:rPr>
  </w:style>
  <w:style w:type="paragraph" w:styleId="Caption">
    <w:name w:val="caption"/>
    <w:aliases w:val="Caption table"/>
    <w:basedOn w:val="Normal"/>
    <w:next w:val="Normal"/>
    <w:semiHidden/>
    <w:qFormat/>
    <w:rsid w:val="00E8152A"/>
    <w:pPr>
      <w:numPr>
        <w:numId w:val="9"/>
      </w:numPr>
      <w:spacing w:after="0"/>
    </w:pPr>
    <w:rPr>
      <w:b/>
      <w:bCs/>
      <w:color w:val="323232"/>
      <w:szCs w:val="20"/>
    </w:rPr>
  </w:style>
  <w:style w:type="paragraph" w:customStyle="1" w:styleId="BodySubHeader">
    <w:name w:val="BodySubHeader"/>
    <w:basedOn w:val="Normal"/>
    <w:next w:val="Normal"/>
    <w:semiHidden/>
    <w:rsid w:val="00146CE6"/>
    <w:pPr>
      <w:spacing w:before="240" w:after="0"/>
    </w:pPr>
    <w:rPr>
      <w:b/>
      <w:i/>
    </w:rPr>
  </w:style>
  <w:style w:type="paragraph" w:styleId="ListBullet">
    <w:name w:val="List Bullet"/>
    <w:aliases w:val="List Bullet 1"/>
    <w:basedOn w:val="Normal"/>
    <w:link w:val="ListBulletChar"/>
    <w:qFormat/>
    <w:rsid w:val="001C6AEE"/>
    <w:pPr>
      <w:numPr>
        <w:numId w:val="1"/>
      </w:numPr>
      <w:spacing w:after="80"/>
    </w:pPr>
  </w:style>
  <w:style w:type="paragraph" w:styleId="ListBullet2">
    <w:name w:val="List Bullet 2"/>
    <w:basedOn w:val="Normal"/>
    <w:semiHidden/>
    <w:qFormat/>
    <w:rsid w:val="001C6AEE"/>
    <w:pPr>
      <w:numPr>
        <w:numId w:val="2"/>
      </w:numPr>
      <w:spacing w:after="80"/>
    </w:pPr>
  </w:style>
  <w:style w:type="paragraph" w:styleId="ListNumber">
    <w:name w:val="List Number"/>
    <w:basedOn w:val="Normal"/>
    <w:semiHidden/>
    <w:qFormat/>
    <w:rsid w:val="00C24A53"/>
    <w:pPr>
      <w:numPr>
        <w:numId w:val="3"/>
      </w:numPr>
      <w:spacing w:after="80"/>
    </w:pPr>
  </w:style>
  <w:style w:type="paragraph" w:styleId="ListNumber2">
    <w:name w:val="List Number 2"/>
    <w:basedOn w:val="Normal"/>
    <w:semiHidden/>
    <w:qFormat/>
    <w:rsid w:val="004A70D6"/>
    <w:pPr>
      <w:numPr>
        <w:numId w:val="4"/>
      </w:numPr>
      <w:spacing w:after="80"/>
      <w:ind w:left="828" w:hanging="357"/>
    </w:pPr>
  </w:style>
  <w:style w:type="paragraph" w:customStyle="1" w:styleId="URLEmail">
    <w:name w:val="URL/Email"/>
    <w:basedOn w:val="Normal"/>
    <w:semiHidden/>
    <w:rsid w:val="00302480"/>
    <w:rPr>
      <w:color w:val="4D4D4F"/>
      <w:spacing w:val="4"/>
    </w:rPr>
  </w:style>
  <w:style w:type="paragraph" w:customStyle="1" w:styleId="Execsummaryheading">
    <w:name w:val="Exec summary heading"/>
    <w:basedOn w:val="Normal"/>
    <w:uiPriority w:val="22"/>
    <w:qFormat/>
    <w:rsid w:val="006B52DE"/>
    <w:pPr>
      <w:pageBreakBefore/>
      <w:spacing w:after="1440" w:line="550" w:lineRule="exact"/>
    </w:pPr>
    <w:rPr>
      <w:b/>
      <w:color w:val="323232"/>
      <w:spacing w:val="-18"/>
      <w:sz w:val="53"/>
    </w:rPr>
  </w:style>
  <w:style w:type="character" w:styleId="PageNumber0">
    <w:name w:val="page number"/>
    <w:basedOn w:val="DefaultParagraphFont"/>
    <w:semiHidden/>
    <w:rsid w:val="00542377"/>
  </w:style>
  <w:style w:type="paragraph" w:styleId="ListContinue5">
    <w:name w:val="List Continue 5"/>
    <w:basedOn w:val="Normal"/>
    <w:semiHidden/>
    <w:rsid w:val="00EC2B68"/>
    <w:pPr>
      <w:spacing w:after="120"/>
      <w:ind w:left="1415"/>
      <w:contextualSpacing/>
    </w:pPr>
  </w:style>
  <w:style w:type="paragraph" w:customStyle="1" w:styleId="Paragraphbeforelist">
    <w:name w:val="Paragraph before list"/>
    <w:basedOn w:val="Paragraph"/>
    <w:uiPriority w:val="4"/>
    <w:qFormat/>
    <w:rsid w:val="00AD4AA0"/>
    <w:pPr>
      <w:keepNext/>
      <w:spacing w:after="80"/>
    </w:pPr>
  </w:style>
  <w:style w:type="paragraph" w:styleId="TOC1">
    <w:name w:val="toc 1"/>
    <w:basedOn w:val="Normal"/>
    <w:next w:val="Normal"/>
    <w:uiPriority w:val="39"/>
    <w:qFormat/>
    <w:rsid w:val="007A6CC0"/>
    <w:pPr>
      <w:tabs>
        <w:tab w:val="right" w:pos="7660"/>
      </w:tabs>
      <w:spacing w:before="280" w:after="80" w:line="320" w:lineRule="exact"/>
      <w:ind w:right="851"/>
    </w:pPr>
    <w:rPr>
      <w:b/>
      <w:noProof/>
      <w:spacing w:val="-14"/>
      <w:sz w:val="28"/>
    </w:rPr>
  </w:style>
  <w:style w:type="paragraph" w:styleId="TOC2">
    <w:name w:val="toc 2"/>
    <w:basedOn w:val="Normal"/>
    <w:next w:val="Normal"/>
    <w:uiPriority w:val="39"/>
    <w:qFormat/>
    <w:rsid w:val="007A6CC0"/>
    <w:pPr>
      <w:tabs>
        <w:tab w:val="right" w:pos="7660"/>
      </w:tabs>
      <w:spacing w:after="80" w:line="300" w:lineRule="exact"/>
      <w:ind w:left="885" w:hanging="885"/>
    </w:pPr>
    <w:rPr>
      <w:noProof/>
      <w:spacing w:val="-14"/>
      <w:sz w:val="26"/>
      <w:szCs w:val="26"/>
    </w:rPr>
  </w:style>
  <w:style w:type="paragraph" w:styleId="TableofFigures">
    <w:name w:val="table of figures"/>
    <w:basedOn w:val="Normal"/>
    <w:next w:val="Normal"/>
    <w:semiHidden/>
    <w:rsid w:val="00AD3082"/>
    <w:pPr>
      <w:tabs>
        <w:tab w:val="right" w:pos="7615"/>
      </w:tabs>
      <w:spacing w:line="320" w:lineRule="exact"/>
    </w:pPr>
    <w:rPr>
      <w:noProof/>
      <w:color w:val="808285"/>
      <w:sz w:val="28"/>
    </w:rPr>
  </w:style>
  <w:style w:type="paragraph" w:styleId="TOC3">
    <w:name w:val="toc 3"/>
    <w:basedOn w:val="Normal"/>
    <w:next w:val="Normal"/>
    <w:uiPriority w:val="39"/>
    <w:qFormat/>
    <w:rsid w:val="007A6CC0"/>
    <w:pPr>
      <w:tabs>
        <w:tab w:val="right" w:pos="7661"/>
      </w:tabs>
      <w:spacing w:after="80" w:line="240" w:lineRule="auto"/>
    </w:pPr>
    <w:rPr>
      <w:noProof/>
      <w:sz w:val="22"/>
      <w:szCs w:val="22"/>
    </w:rPr>
  </w:style>
  <w:style w:type="character" w:styleId="Hyperlink">
    <w:name w:val="Hyperlink"/>
    <w:aliases w:val="CEO_Hyperlink"/>
    <w:basedOn w:val="DefaultParagraphFont"/>
    <w:uiPriority w:val="99"/>
    <w:qFormat/>
    <w:rsid w:val="00C35CCE"/>
    <w:rPr>
      <w:color w:val="0000FF"/>
      <w:u w:val="single" w:color="0000FF"/>
    </w:rPr>
  </w:style>
  <w:style w:type="character" w:styleId="FootnoteReference">
    <w:name w:val="footnote reference"/>
    <w:basedOn w:val="DefaultParagraphFont"/>
    <w:semiHidden/>
    <w:rsid w:val="00566AB4"/>
    <w:rPr>
      <w:rFonts w:ascii="Arial" w:hAnsi="Arial"/>
      <w:vertAlign w:val="superscript"/>
    </w:rPr>
  </w:style>
  <w:style w:type="paragraph" w:styleId="FootnoteText">
    <w:name w:val="footnote text"/>
    <w:aliases w:val="Footnote text,ACMA Footnote Text"/>
    <w:basedOn w:val="Normal"/>
    <w:link w:val="FootnoteTextChar"/>
    <w:uiPriority w:val="23"/>
    <w:rsid w:val="00C24466"/>
    <w:pPr>
      <w:spacing w:after="0" w:line="200" w:lineRule="atLeast"/>
    </w:pPr>
    <w:rPr>
      <w:sz w:val="16"/>
      <w:szCs w:val="16"/>
    </w:rPr>
  </w:style>
  <w:style w:type="paragraph" w:customStyle="1" w:styleId="TableBody">
    <w:name w:val="Table Body"/>
    <w:basedOn w:val="Normal"/>
    <w:uiPriority w:val="15"/>
    <w:qFormat/>
    <w:rsid w:val="00774FDB"/>
    <w:pPr>
      <w:spacing w:after="0" w:line="240" w:lineRule="auto"/>
    </w:pPr>
  </w:style>
  <w:style w:type="character" w:styleId="CommentReference">
    <w:name w:val="annotation reference"/>
    <w:basedOn w:val="DefaultParagraphFont"/>
    <w:uiPriority w:val="99"/>
    <w:semiHidden/>
    <w:rsid w:val="00EE7F79"/>
    <w:rPr>
      <w:sz w:val="16"/>
      <w:szCs w:val="16"/>
    </w:rPr>
  </w:style>
  <w:style w:type="paragraph" w:styleId="CommentText">
    <w:name w:val="annotation text"/>
    <w:basedOn w:val="Normal"/>
    <w:link w:val="CommentTextChar"/>
    <w:uiPriority w:val="99"/>
    <w:qFormat/>
    <w:rsid w:val="00EE7F79"/>
    <w:pPr>
      <w:spacing w:line="240" w:lineRule="auto"/>
    </w:pPr>
    <w:rPr>
      <w:szCs w:val="20"/>
    </w:rPr>
  </w:style>
  <w:style w:type="character" w:customStyle="1" w:styleId="CommentTextChar">
    <w:name w:val="Comment Text Char"/>
    <w:basedOn w:val="DefaultParagraphFont"/>
    <w:link w:val="CommentText"/>
    <w:uiPriority w:val="99"/>
    <w:rsid w:val="00EE7F79"/>
    <w:rPr>
      <w:rFonts w:ascii="Arial" w:hAnsi="Arial"/>
    </w:rPr>
  </w:style>
  <w:style w:type="paragraph" w:styleId="CommentSubject">
    <w:name w:val="annotation subject"/>
    <w:basedOn w:val="CommentText"/>
    <w:next w:val="CommentText"/>
    <w:link w:val="CommentSubjectChar"/>
    <w:semiHidden/>
    <w:rsid w:val="00EE7F79"/>
    <w:rPr>
      <w:b/>
      <w:bCs/>
    </w:rPr>
  </w:style>
  <w:style w:type="character" w:customStyle="1" w:styleId="CommentSubjectChar">
    <w:name w:val="Comment Subject Char"/>
    <w:basedOn w:val="CommentTextChar"/>
    <w:link w:val="CommentSubject"/>
    <w:semiHidden/>
    <w:rsid w:val="00EE7F79"/>
    <w:rPr>
      <w:rFonts w:ascii="Arial" w:hAnsi="Arial"/>
      <w:b/>
      <w:bCs/>
    </w:rPr>
  </w:style>
  <w:style w:type="character" w:styleId="FollowedHyperlink">
    <w:name w:val="FollowedHyperlink"/>
    <w:basedOn w:val="DefaultParagraphFont"/>
    <w:semiHidden/>
    <w:rsid w:val="00F60F00"/>
    <w:rPr>
      <w:color w:val="800080" w:themeColor="followedHyperlink"/>
      <w:u w:val="single"/>
    </w:rPr>
  </w:style>
  <w:style w:type="character" w:styleId="PlaceholderText">
    <w:name w:val="Placeholder Text"/>
    <w:basedOn w:val="DefaultParagraphFont"/>
    <w:uiPriority w:val="99"/>
    <w:semiHidden/>
    <w:rsid w:val="00C97736"/>
    <w:rPr>
      <w:color w:val="808080"/>
    </w:rPr>
  </w:style>
  <w:style w:type="paragraph" w:customStyle="1" w:styleId="ACMAInstructions">
    <w:name w:val="ACMA_Instructions"/>
    <w:basedOn w:val="Normal"/>
    <w:semiHidden/>
    <w:unhideWhenUsed/>
    <w:qFormat/>
    <w:rsid w:val="00BF610C"/>
    <w:pPr>
      <w:spacing w:after="200"/>
    </w:pPr>
    <w:rPr>
      <w:rFonts w:cs="Arial"/>
      <w:b/>
      <w:vanish/>
      <w:sz w:val="24"/>
    </w:rPr>
  </w:style>
  <w:style w:type="paragraph" w:customStyle="1" w:styleId="CorporateAddresses">
    <w:name w:val="Corporate Addresses"/>
    <w:basedOn w:val="Normal"/>
    <w:semiHidden/>
    <w:rsid w:val="0005011A"/>
    <w:pPr>
      <w:spacing w:line="140" w:lineRule="exact"/>
    </w:pPr>
    <w:rPr>
      <w:color w:val="4D4D4F"/>
      <w:sz w:val="13"/>
    </w:rPr>
  </w:style>
  <w:style w:type="paragraph" w:customStyle="1" w:styleId="Bulletlevel1">
    <w:name w:val="Bullet level 1"/>
    <w:basedOn w:val="ListBullet"/>
    <w:uiPriority w:val="5"/>
    <w:qFormat/>
    <w:rsid w:val="00A824E8"/>
    <w:rPr>
      <w:rFonts w:cs="Arial"/>
    </w:rPr>
  </w:style>
  <w:style w:type="paragraph" w:customStyle="1" w:styleId="ACMACorporateAddressHeader">
    <w:name w:val="ACMA_CorporateAddressHeader"/>
    <w:basedOn w:val="Normal"/>
    <w:next w:val="ACMACorporateAddresses"/>
    <w:semiHidden/>
    <w:unhideWhenUsed/>
    <w:qFormat/>
    <w:rsid w:val="00FC07B9"/>
    <w:pPr>
      <w:tabs>
        <w:tab w:val="left" w:pos="142"/>
      </w:tabs>
      <w:spacing w:before="240" w:after="0" w:line="140" w:lineRule="exact"/>
    </w:pPr>
    <w:rPr>
      <w:b/>
      <w:sz w:val="13"/>
    </w:rPr>
  </w:style>
  <w:style w:type="paragraph" w:customStyle="1" w:styleId="ACMACorporateAddresses">
    <w:name w:val="ACMA_CorporateAddresses"/>
    <w:basedOn w:val="ACMACorporateAddressHeader"/>
    <w:semiHidden/>
    <w:unhideWhenUsed/>
    <w:qFormat/>
    <w:rsid w:val="00FC07B9"/>
    <w:pPr>
      <w:spacing w:before="0" w:after="120"/>
    </w:pPr>
    <w:rPr>
      <w:b w:val="0"/>
    </w:rPr>
  </w:style>
  <w:style w:type="paragraph" w:customStyle="1" w:styleId="ACMACopyrightHeader">
    <w:name w:val="ACMA_CopyrightHeader"/>
    <w:basedOn w:val="ACMACorporateAddressHeader"/>
    <w:semiHidden/>
    <w:unhideWhenUsed/>
    <w:qFormat/>
    <w:rsid w:val="00950159"/>
    <w:pPr>
      <w:spacing w:before="3000"/>
    </w:pPr>
  </w:style>
  <w:style w:type="paragraph" w:customStyle="1" w:styleId="ACMACClogo">
    <w:name w:val="ACMA_CClogo"/>
    <w:semiHidden/>
    <w:unhideWhenUsed/>
    <w:qFormat/>
    <w:rsid w:val="00623FF9"/>
    <w:pPr>
      <w:spacing w:before="160" w:after="120"/>
    </w:pPr>
    <w:rPr>
      <w:rFonts w:ascii="Arial" w:hAnsi="Arial"/>
      <w:b/>
      <w:sz w:val="13"/>
    </w:rPr>
  </w:style>
  <w:style w:type="paragraph" w:customStyle="1" w:styleId="ListBulletLast">
    <w:name w:val="List Bullet Last"/>
    <w:basedOn w:val="ListBullet"/>
    <w:semiHidden/>
    <w:qFormat/>
    <w:rsid w:val="00146CE6"/>
    <w:pPr>
      <w:spacing w:after="240"/>
    </w:pPr>
    <w:rPr>
      <w:rFonts w:cs="Arial"/>
    </w:rPr>
  </w:style>
  <w:style w:type="paragraph" w:customStyle="1" w:styleId="ListNumberLast">
    <w:name w:val="List Number Last"/>
    <w:basedOn w:val="ListNumber"/>
    <w:semiHidden/>
    <w:qFormat/>
    <w:rsid w:val="00C16198"/>
    <w:pPr>
      <w:spacing w:after="240"/>
      <w:ind w:left="357" w:hanging="357"/>
    </w:pPr>
    <w:rPr>
      <w:rFonts w:cs="Arial"/>
    </w:rPr>
  </w:style>
  <w:style w:type="paragraph" w:customStyle="1" w:styleId="ACMATableHeader">
    <w:name w:val="ACMA_TableHeader"/>
    <w:semiHidden/>
    <w:qFormat/>
    <w:rsid w:val="003F10EE"/>
    <w:pPr>
      <w:numPr>
        <w:numId w:val="7"/>
      </w:numPr>
      <w:spacing w:after="160"/>
    </w:pPr>
    <w:rPr>
      <w:rFonts w:ascii="Arial" w:hAnsi="Arial"/>
      <w:b/>
      <w:bCs/>
      <w:color w:val="323232"/>
      <w:sz w:val="20"/>
      <w:szCs w:val="20"/>
    </w:rPr>
  </w:style>
  <w:style w:type="paragraph" w:customStyle="1" w:styleId="ACMANotes">
    <w:name w:val="ACMA_Notes"/>
    <w:semiHidden/>
    <w:rsid w:val="00FF206E"/>
    <w:pPr>
      <w:spacing w:before="80"/>
    </w:pPr>
    <w:rPr>
      <w:rFonts w:ascii="Arial" w:hAnsi="Arial" w:cs="Arial"/>
      <w:i/>
      <w:sz w:val="16"/>
    </w:rPr>
  </w:style>
  <w:style w:type="paragraph" w:customStyle="1" w:styleId="Numberlistlevel1">
    <w:name w:val="Number list level 1"/>
    <w:basedOn w:val="ListNumber"/>
    <w:uiPriority w:val="9"/>
    <w:qFormat/>
    <w:rsid w:val="004A70D6"/>
  </w:style>
  <w:style w:type="character" w:styleId="Emphasis">
    <w:name w:val="Emphasis"/>
    <w:basedOn w:val="DefaultParagraphFont"/>
    <w:semiHidden/>
    <w:qFormat/>
    <w:rsid w:val="006D576C"/>
    <w:rPr>
      <w:i/>
      <w:iCs/>
    </w:rPr>
  </w:style>
  <w:style w:type="paragraph" w:customStyle="1" w:styleId="ListNumber2Last">
    <w:name w:val="List Number 2 Last"/>
    <w:basedOn w:val="ListNumber2"/>
    <w:semiHidden/>
    <w:qFormat/>
    <w:rsid w:val="00E35707"/>
    <w:pPr>
      <w:spacing w:after="240"/>
      <w:ind w:left="907"/>
    </w:pPr>
    <w:rPr>
      <w:rFonts w:cs="Arial"/>
    </w:rPr>
  </w:style>
  <w:style w:type="paragraph" w:customStyle="1" w:styleId="Spaceaftertable">
    <w:name w:val="Space after table"/>
    <w:basedOn w:val="Normal"/>
    <w:uiPriority w:val="99"/>
    <w:qFormat/>
    <w:rsid w:val="00C2083D"/>
    <w:rPr>
      <w:rFonts w:cs="Arial"/>
    </w:rPr>
  </w:style>
  <w:style w:type="paragraph" w:customStyle="1" w:styleId="FooterLeft">
    <w:name w:val="Footer Left"/>
    <w:basedOn w:val="Footer"/>
    <w:semiHidden/>
    <w:qFormat/>
    <w:rsid w:val="00950159"/>
    <w:pPr>
      <w:framePr w:w="1440" w:h="357" w:hRule="exact" w:vSpace="425" w:wrap="around" w:vAnchor="page" w:hAnchor="page" w:x="935" w:y="15871"/>
      <w:pBdr>
        <w:top w:val="single" w:sz="4" w:space="1" w:color="auto"/>
      </w:pBdr>
    </w:pPr>
    <w:rPr>
      <w:rFonts w:cs="Arial"/>
    </w:rPr>
  </w:style>
  <w:style w:type="paragraph" w:customStyle="1" w:styleId="ACMAFigureHeader">
    <w:name w:val="ACMA_FigureHeader"/>
    <w:semiHidden/>
    <w:qFormat/>
    <w:rsid w:val="003F10EE"/>
    <w:pPr>
      <w:numPr>
        <w:numId w:val="6"/>
      </w:numPr>
      <w:spacing w:after="160"/>
    </w:pPr>
    <w:rPr>
      <w:rFonts w:ascii="Arial" w:hAnsi="Arial"/>
      <w:b/>
      <w:bCs/>
      <w:color w:val="323232"/>
      <w:sz w:val="20"/>
      <w:szCs w:val="20"/>
    </w:rPr>
  </w:style>
  <w:style w:type="paragraph" w:customStyle="1" w:styleId="Captionfigure">
    <w:name w:val="Caption figure"/>
    <w:basedOn w:val="Caption"/>
    <w:semiHidden/>
    <w:qFormat/>
    <w:rsid w:val="00E8152A"/>
    <w:pPr>
      <w:keepNext/>
      <w:numPr>
        <w:numId w:val="8"/>
      </w:numPr>
    </w:pPr>
    <w:rPr>
      <w:rFonts w:cs="Arial"/>
    </w:rPr>
  </w:style>
  <w:style w:type="paragraph" w:customStyle="1" w:styleId="GridTable31">
    <w:name w:val="Grid Table 31"/>
    <w:basedOn w:val="Normal"/>
    <w:semiHidden/>
    <w:qFormat/>
    <w:rsid w:val="00971914"/>
    <w:pPr>
      <w:spacing w:after="0" w:line="240" w:lineRule="auto"/>
    </w:pPr>
    <w:rPr>
      <w:b/>
      <w:color w:val="4D4D4F"/>
      <w:spacing w:val="-28"/>
      <w:sz w:val="53"/>
    </w:rPr>
  </w:style>
  <w:style w:type="character" w:customStyle="1" w:styleId="HeaderChar">
    <w:name w:val="Header Char"/>
    <w:link w:val="Header"/>
    <w:semiHidden/>
    <w:rsid w:val="00971914"/>
    <w:rPr>
      <w:rFonts w:ascii="Arial" w:hAnsi="Arial"/>
      <w:sz w:val="16"/>
    </w:rPr>
  </w:style>
  <w:style w:type="character" w:customStyle="1" w:styleId="Heading1Char">
    <w:name w:val="Heading 1 Char"/>
    <w:basedOn w:val="DefaultParagraphFont"/>
    <w:link w:val="Heading1"/>
    <w:uiPriority w:val="1"/>
    <w:rsid w:val="00F5310D"/>
    <w:rPr>
      <w:rFonts w:ascii="Arial" w:hAnsi="Arial" w:cs="Arial"/>
      <w:bCs/>
      <w:color w:val="323232"/>
      <w:kern w:val="32"/>
      <w:sz w:val="53"/>
      <w:szCs w:val="32"/>
    </w:rPr>
  </w:style>
  <w:style w:type="character" w:customStyle="1" w:styleId="Heading2Char">
    <w:name w:val="Heading 2 Char"/>
    <w:basedOn w:val="DefaultParagraphFont"/>
    <w:link w:val="Heading2"/>
    <w:uiPriority w:val="1"/>
    <w:rsid w:val="00800CCD"/>
    <w:rPr>
      <w:rFonts w:ascii="Arial" w:hAnsi="Arial" w:cs="Arial"/>
      <w:b/>
      <w:bCs/>
      <w:iCs/>
      <w:sz w:val="28"/>
      <w:szCs w:val="28"/>
    </w:rPr>
  </w:style>
  <w:style w:type="character" w:styleId="UnresolvedMention">
    <w:name w:val="Unresolved Mention"/>
    <w:basedOn w:val="DefaultParagraphFont"/>
    <w:uiPriority w:val="99"/>
    <w:unhideWhenUsed/>
    <w:rsid w:val="006B52DE"/>
    <w:rPr>
      <w:color w:val="605E5C"/>
      <w:shd w:val="clear" w:color="auto" w:fill="E1DFDD"/>
    </w:rPr>
  </w:style>
  <w:style w:type="character" w:customStyle="1" w:styleId="Heading3Char">
    <w:name w:val="Heading 3 Char"/>
    <w:basedOn w:val="DefaultParagraphFont"/>
    <w:link w:val="Heading3"/>
    <w:uiPriority w:val="2"/>
    <w:rsid w:val="00390D91"/>
    <w:rPr>
      <w:rFonts w:ascii="Arial" w:hAnsi="Arial" w:cs="Arial"/>
      <w:b/>
      <w:bCs/>
      <w:sz w:val="20"/>
      <w:szCs w:val="26"/>
    </w:rPr>
  </w:style>
  <w:style w:type="paragraph" w:customStyle="1" w:styleId="Paragraph">
    <w:name w:val="Paragraph"/>
    <w:basedOn w:val="Normal"/>
    <w:qFormat/>
    <w:rsid w:val="00A824E8"/>
    <w:rPr>
      <w:rFonts w:cs="Arial"/>
    </w:rPr>
  </w:style>
  <w:style w:type="paragraph" w:customStyle="1" w:styleId="Bulletlevel2">
    <w:name w:val="Bullet level 2"/>
    <w:basedOn w:val="ListBullet2"/>
    <w:uiPriority w:val="7"/>
    <w:qFormat/>
    <w:rsid w:val="00D43B47"/>
    <w:pPr>
      <w:ind w:left="590" w:hanging="295"/>
    </w:pPr>
    <w:rPr>
      <w:rFonts w:cs="Arial"/>
    </w:rPr>
  </w:style>
  <w:style w:type="paragraph" w:customStyle="1" w:styleId="Bulletlevel1last">
    <w:name w:val="Bullet level 1 last"/>
    <w:basedOn w:val="ListBulletLast"/>
    <w:uiPriority w:val="6"/>
    <w:qFormat/>
    <w:rsid w:val="00A824E8"/>
  </w:style>
  <w:style w:type="paragraph" w:customStyle="1" w:styleId="Numberlistlevel2">
    <w:name w:val="Number list level 2"/>
    <w:basedOn w:val="ListNumber2"/>
    <w:uiPriority w:val="11"/>
    <w:qFormat/>
    <w:rsid w:val="00801FEB"/>
    <w:pPr>
      <w:ind w:left="766" w:hanging="295"/>
    </w:pPr>
  </w:style>
  <w:style w:type="paragraph" w:customStyle="1" w:styleId="Numberlistlast">
    <w:name w:val="Number list last"/>
    <w:basedOn w:val="ListNumberLast"/>
    <w:uiPriority w:val="10"/>
    <w:qFormat/>
    <w:rsid w:val="004A70D6"/>
  </w:style>
  <w:style w:type="paragraph" w:customStyle="1" w:styleId="Numberlistlevel2last">
    <w:name w:val="Number list level 2 last"/>
    <w:basedOn w:val="Numberlistlevel2"/>
    <w:uiPriority w:val="12"/>
    <w:qFormat/>
    <w:rsid w:val="004A70D6"/>
    <w:pPr>
      <w:spacing w:after="240"/>
    </w:pPr>
  </w:style>
  <w:style w:type="paragraph" w:customStyle="1" w:styleId="Bulletlevel2last">
    <w:name w:val="Bullet level 2 last"/>
    <w:basedOn w:val="Bulletlevel2"/>
    <w:uiPriority w:val="8"/>
    <w:qFormat/>
    <w:rsid w:val="004A70D6"/>
    <w:pPr>
      <w:spacing w:after="240"/>
    </w:pPr>
  </w:style>
  <w:style w:type="table" w:customStyle="1" w:styleId="ACMAtablestyle">
    <w:name w:val="ACMA table style"/>
    <w:basedOn w:val="TableNormal"/>
    <w:uiPriority w:val="99"/>
    <w:rsid w:val="003803BD"/>
    <w:rPr>
      <w:rFonts w:ascii="Arial" w:hAnsi="Arial"/>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left w:w="57" w:type="dxa"/>
        <w:bottom w:w="85" w:type="dxa"/>
        <w:right w:w="57" w:type="dxa"/>
      </w:tblCellMar>
    </w:tblPr>
    <w:tblStylePr w:type="firstRow">
      <w:rPr>
        <w:rFonts w:ascii="Arial" w:hAnsi="Arial"/>
        <w:b w:val="0"/>
        <w:color w:val="FFFFFF" w:themeColor="background1"/>
        <w:sz w:val="20"/>
      </w:rPr>
      <w:tblPr/>
      <w:trPr>
        <w:tblHeader/>
      </w:trPr>
      <w:tcPr>
        <w:tcBorders>
          <w:top w:val="single" w:sz="4" w:space="0" w:color="auto"/>
          <w:left w:val="single" w:sz="4" w:space="0" w:color="auto"/>
          <w:bottom w:val="single" w:sz="4" w:space="0" w:color="auto"/>
          <w:right w:val="single" w:sz="4" w:space="0" w:color="auto"/>
          <w:insideH w:val="nil"/>
          <w:insideV w:val="nil"/>
        </w:tcBorders>
        <w:shd w:val="clear" w:color="auto" w:fill="404040" w:themeFill="text1" w:themeFillTint="BF"/>
      </w:tcPr>
    </w:tblStylePr>
    <w:tblStylePr w:type="band1Horz">
      <w:rPr>
        <w:rFonts w:ascii="Arial" w:hAnsi="Arial"/>
        <w:sz w:val="20"/>
      </w:rPr>
    </w:tblStylePr>
    <w:tblStylePr w:type="band2Horz">
      <w:rPr>
        <w:rFonts w:ascii="Arial" w:hAnsi="Arial"/>
        <w:sz w:val="20"/>
      </w:rPr>
      <w:tblPr/>
      <w:tcPr>
        <w:shd w:val="clear" w:color="auto" w:fill="F2F2F2" w:themeFill="background1" w:themeFillShade="F2"/>
      </w:tcPr>
    </w:tblStylePr>
  </w:style>
  <w:style w:type="paragraph" w:customStyle="1" w:styleId="Tableheading">
    <w:name w:val="Table heading"/>
    <w:basedOn w:val="ACMATableHeader"/>
    <w:next w:val="Paragraph"/>
    <w:uiPriority w:val="13"/>
    <w:qFormat/>
    <w:rsid w:val="0063346D"/>
    <w:pPr>
      <w:keepNext/>
      <w:spacing w:line="240" w:lineRule="atLeast"/>
    </w:pPr>
  </w:style>
  <w:style w:type="paragraph" w:customStyle="1" w:styleId="Tableorfigurenote">
    <w:name w:val="Table or figure note"/>
    <w:basedOn w:val="ACMANotes"/>
    <w:uiPriority w:val="17"/>
    <w:qFormat/>
    <w:rsid w:val="00930510"/>
    <w:pPr>
      <w:spacing w:after="240"/>
    </w:pPr>
  </w:style>
  <w:style w:type="paragraph" w:customStyle="1" w:styleId="Figureheading">
    <w:name w:val="Figure heading"/>
    <w:basedOn w:val="ACMAFigureHeader"/>
    <w:next w:val="Paragraph"/>
    <w:uiPriority w:val="16"/>
    <w:qFormat/>
    <w:rsid w:val="0063346D"/>
    <w:pPr>
      <w:keepNext/>
      <w:spacing w:line="240" w:lineRule="atLeast"/>
    </w:pPr>
  </w:style>
  <w:style w:type="paragraph" w:customStyle="1" w:styleId="Tableorfigurenotemultiple">
    <w:name w:val="Table or figure note multiple"/>
    <w:basedOn w:val="Tableorfigurenote"/>
    <w:uiPriority w:val="18"/>
    <w:qFormat/>
    <w:rsid w:val="00930510"/>
    <w:pPr>
      <w:spacing w:after="80"/>
    </w:pPr>
  </w:style>
  <w:style w:type="paragraph" w:styleId="BalloonText">
    <w:name w:val="Balloon Text"/>
    <w:basedOn w:val="Normal"/>
    <w:link w:val="BalloonTextChar"/>
    <w:semiHidden/>
    <w:unhideWhenUsed/>
    <w:rsid w:val="003933E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3933E8"/>
    <w:rPr>
      <w:rFonts w:ascii="Segoe UI" w:hAnsi="Segoe UI" w:cs="Segoe UI"/>
      <w:sz w:val="18"/>
      <w:szCs w:val="18"/>
    </w:rPr>
  </w:style>
  <w:style w:type="paragraph" w:customStyle="1" w:styleId="Note">
    <w:name w:val="Note"/>
    <w:basedOn w:val="ACMANotes"/>
    <w:uiPriority w:val="23"/>
    <w:semiHidden/>
    <w:qFormat/>
    <w:rsid w:val="00D61243"/>
  </w:style>
  <w:style w:type="paragraph" w:customStyle="1" w:styleId="Protectivemarking">
    <w:name w:val="Protective marking"/>
    <w:basedOn w:val="Normal"/>
    <w:uiPriority w:val="99"/>
    <w:qFormat/>
    <w:rsid w:val="00390D91"/>
    <w:pPr>
      <w:tabs>
        <w:tab w:val="left" w:pos="720"/>
      </w:tabs>
      <w:spacing w:after="0" w:line="240" w:lineRule="auto"/>
      <w:jc w:val="center"/>
    </w:pPr>
    <w:rPr>
      <w:rFonts w:cs="Arial"/>
      <w:b/>
      <w:bCs/>
      <w:color w:val="FF0000"/>
      <w:sz w:val="32"/>
      <w:lang w:eastAsia="en-US"/>
    </w:rPr>
  </w:style>
  <w:style w:type="paragraph" w:styleId="Revision">
    <w:name w:val="Revision"/>
    <w:hidden/>
    <w:semiHidden/>
    <w:rsid w:val="00023A36"/>
    <w:rPr>
      <w:rFonts w:ascii="Arial" w:hAnsi="Arial"/>
      <w:sz w:val="20"/>
    </w:rPr>
  </w:style>
  <w:style w:type="character" w:customStyle="1" w:styleId="ListBulletChar">
    <w:name w:val="List Bullet Char"/>
    <w:aliases w:val="List Bullet 1 Char"/>
    <w:basedOn w:val="DefaultParagraphFont"/>
    <w:link w:val="ListBullet"/>
    <w:semiHidden/>
    <w:locked/>
    <w:rsid w:val="00EE61A4"/>
    <w:rPr>
      <w:rFonts w:ascii="Arial" w:hAnsi="Arial"/>
      <w:sz w:val="20"/>
    </w:rPr>
  </w:style>
  <w:style w:type="character" w:customStyle="1" w:styleId="FootnoteTextChar">
    <w:name w:val="Footnote Text Char"/>
    <w:aliases w:val="Footnote text Char,ACMA Footnote Text Char"/>
    <w:basedOn w:val="DefaultParagraphFont"/>
    <w:link w:val="FootnoteText"/>
    <w:uiPriority w:val="23"/>
    <w:qFormat/>
    <w:rsid w:val="00262774"/>
    <w:rPr>
      <w:rFonts w:ascii="Arial" w:hAnsi="Arial"/>
      <w:sz w:val="16"/>
      <w:szCs w:val="16"/>
    </w:rPr>
  </w:style>
  <w:style w:type="character" w:styleId="Mention">
    <w:name w:val="Mention"/>
    <w:basedOn w:val="DefaultParagraphFont"/>
    <w:uiPriority w:val="99"/>
    <w:unhideWhenUsed/>
    <w:rsid w:val="00076C9A"/>
    <w:rPr>
      <w:color w:val="2B579A"/>
      <w:shd w:val="clear" w:color="auto" w:fill="E1DFDD"/>
    </w:rPr>
  </w:style>
  <w:style w:type="character" w:customStyle="1" w:styleId="Heading4Char">
    <w:name w:val="Heading 4 Char"/>
    <w:basedOn w:val="DefaultParagraphFont"/>
    <w:link w:val="Heading4"/>
    <w:uiPriority w:val="3"/>
    <w:rsid w:val="00011695"/>
    <w:rPr>
      <w:rFonts w:ascii="Arial" w:hAnsi="Arial" w:cs="Arial"/>
      <w:b/>
      <w:i/>
      <w:sz w:val="20"/>
    </w:rPr>
  </w:style>
  <w:style w:type="table" w:styleId="GridTable4">
    <w:name w:val="Grid Table 4"/>
    <w:basedOn w:val="TableNormal"/>
    <w:uiPriority w:val="49"/>
    <w:rsid w:val="00011695"/>
    <w:tblPr>
      <w:tblStyleRowBandSize w:val="1"/>
      <w:tblStyleColBandSize w:val="1"/>
      <w:tblInd w:w="0" w:type="nil"/>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ListParagraph">
    <w:name w:val="List Paragraph"/>
    <w:basedOn w:val="Normal"/>
    <w:uiPriority w:val="34"/>
    <w:qFormat/>
    <w:rsid w:val="00011695"/>
    <w:pPr>
      <w:spacing w:after="160" w:line="259" w:lineRule="auto"/>
      <w:ind w:left="720"/>
      <w:contextualSpacing/>
    </w:pPr>
    <w:rPr>
      <w:rFonts w:asciiTheme="minorHAnsi" w:eastAsiaTheme="minorHAnsi" w:hAnsiTheme="minorHAnsi" w:cstheme="minorBidi"/>
      <w:sz w:val="22"/>
      <w:szCs w:val="22"/>
      <w:lang w:eastAsia="en-US"/>
    </w:rPr>
  </w:style>
  <w:style w:type="paragraph" w:customStyle="1" w:styleId="Numberedparagraph">
    <w:name w:val="Numbered paragraph"/>
    <w:basedOn w:val="Normal"/>
    <w:qFormat/>
    <w:rsid w:val="005C15D3"/>
    <w:pPr>
      <w:tabs>
        <w:tab w:val="num" w:pos="567"/>
      </w:tabs>
      <w:ind w:hanging="567"/>
    </w:pPr>
    <w:rPr>
      <w:rFonts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933059">
      <w:bodyDiv w:val="1"/>
      <w:marLeft w:val="0"/>
      <w:marRight w:val="0"/>
      <w:marTop w:val="0"/>
      <w:marBottom w:val="0"/>
      <w:divBdr>
        <w:top w:val="none" w:sz="0" w:space="0" w:color="auto"/>
        <w:left w:val="none" w:sz="0" w:space="0" w:color="auto"/>
        <w:bottom w:val="none" w:sz="0" w:space="0" w:color="auto"/>
        <w:right w:val="none" w:sz="0" w:space="0" w:color="auto"/>
      </w:divBdr>
    </w:div>
    <w:div w:id="282813674">
      <w:bodyDiv w:val="1"/>
      <w:marLeft w:val="0"/>
      <w:marRight w:val="0"/>
      <w:marTop w:val="0"/>
      <w:marBottom w:val="0"/>
      <w:divBdr>
        <w:top w:val="none" w:sz="0" w:space="0" w:color="auto"/>
        <w:left w:val="none" w:sz="0" w:space="0" w:color="auto"/>
        <w:bottom w:val="none" w:sz="0" w:space="0" w:color="auto"/>
        <w:right w:val="none" w:sz="0" w:space="0" w:color="auto"/>
      </w:divBdr>
    </w:div>
    <w:div w:id="533612777">
      <w:bodyDiv w:val="1"/>
      <w:marLeft w:val="0"/>
      <w:marRight w:val="0"/>
      <w:marTop w:val="0"/>
      <w:marBottom w:val="0"/>
      <w:divBdr>
        <w:top w:val="none" w:sz="0" w:space="0" w:color="auto"/>
        <w:left w:val="none" w:sz="0" w:space="0" w:color="auto"/>
        <w:bottom w:val="none" w:sz="0" w:space="0" w:color="auto"/>
        <w:right w:val="none" w:sz="0" w:space="0" w:color="auto"/>
      </w:divBdr>
    </w:div>
    <w:div w:id="576784553">
      <w:bodyDiv w:val="1"/>
      <w:marLeft w:val="0"/>
      <w:marRight w:val="0"/>
      <w:marTop w:val="0"/>
      <w:marBottom w:val="0"/>
      <w:divBdr>
        <w:top w:val="none" w:sz="0" w:space="0" w:color="auto"/>
        <w:left w:val="none" w:sz="0" w:space="0" w:color="auto"/>
        <w:bottom w:val="none" w:sz="0" w:space="0" w:color="auto"/>
        <w:right w:val="none" w:sz="0" w:space="0" w:color="auto"/>
      </w:divBdr>
    </w:div>
    <w:div w:id="835153096">
      <w:bodyDiv w:val="1"/>
      <w:marLeft w:val="0"/>
      <w:marRight w:val="0"/>
      <w:marTop w:val="0"/>
      <w:marBottom w:val="0"/>
      <w:divBdr>
        <w:top w:val="none" w:sz="0" w:space="0" w:color="auto"/>
        <w:left w:val="none" w:sz="0" w:space="0" w:color="auto"/>
        <w:bottom w:val="none" w:sz="0" w:space="0" w:color="auto"/>
        <w:right w:val="none" w:sz="0" w:space="0" w:color="auto"/>
      </w:divBdr>
    </w:div>
    <w:div w:id="867597865">
      <w:bodyDiv w:val="1"/>
      <w:marLeft w:val="0"/>
      <w:marRight w:val="0"/>
      <w:marTop w:val="0"/>
      <w:marBottom w:val="0"/>
      <w:divBdr>
        <w:top w:val="none" w:sz="0" w:space="0" w:color="auto"/>
        <w:left w:val="none" w:sz="0" w:space="0" w:color="auto"/>
        <w:bottom w:val="none" w:sz="0" w:space="0" w:color="auto"/>
        <w:right w:val="none" w:sz="0" w:space="0" w:color="auto"/>
      </w:divBdr>
    </w:div>
    <w:div w:id="885945856">
      <w:bodyDiv w:val="1"/>
      <w:marLeft w:val="0"/>
      <w:marRight w:val="0"/>
      <w:marTop w:val="0"/>
      <w:marBottom w:val="0"/>
      <w:divBdr>
        <w:top w:val="none" w:sz="0" w:space="0" w:color="auto"/>
        <w:left w:val="none" w:sz="0" w:space="0" w:color="auto"/>
        <w:bottom w:val="none" w:sz="0" w:space="0" w:color="auto"/>
        <w:right w:val="none" w:sz="0" w:space="0" w:color="auto"/>
      </w:divBdr>
    </w:div>
    <w:div w:id="1088234366">
      <w:bodyDiv w:val="1"/>
      <w:marLeft w:val="0"/>
      <w:marRight w:val="0"/>
      <w:marTop w:val="0"/>
      <w:marBottom w:val="0"/>
      <w:divBdr>
        <w:top w:val="none" w:sz="0" w:space="0" w:color="auto"/>
        <w:left w:val="none" w:sz="0" w:space="0" w:color="auto"/>
        <w:bottom w:val="none" w:sz="0" w:space="0" w:color="auto"/>
        <w:right w:val="none" w:sz="0" w:space="0" w:color="auto"/>
      </w:divBdr>
    </w:div>
    <w:div w:id="1277177887">
      <w:bodyDiv w:val="1"/>
      <w:marLeft w:val="0"/>
      <w:marRight w:val="0"/>
      <w:marTop w:val="0"/>
      <w:marBottom w:val="0"/>
      <w:divBdr>
        <w:top w:val="none" w:sz="0" w:space="0" w:color="auto"/>
        <w:left w:val="none" w:sz="0" w:space="0" w:color="auto"/>
        <w:bottom w:val="none" w:sz="0" w:space="0" w:color="auto"/>
        <w:right w:val="none" w:sz="0" w:space="0" w:color="auto"/>
      </w:divBdr>
    </w:div>
    <w:div w:id="1409771268">
      <w:bodyDiv w:val="1"/>
      <w:marLeft w:val="0"/>
      <w:marRight w:val="0"/>
      <w:marTop w:val="0"/>
      <w:marBottom w:val="0"/>
      <w:divBdr>
        <w:top w:val="none" w:sz="0" w:space="0" w:color="auto"/>
        <w:left w:val="none" w:sz="0" w:space="0" w:color="auto"/>
        <w:bottom w:val="none" w:sz="0" w:space="0" w:color="auto"/>
        <w:right w:val="none" w:sz="0" w:space="0" w:color="auto"/>
      </w:divBdr>
    </w:div>
    <w:div w:id="1566910818">
      <w:bodyDiv w:val="1"/>
      <w:marLeft w:val="0"/>
      <w:marRight w:val="0"/>
      <w:marTop w:val="0"/>
      <w:marBottom w:val="0"/>
      <w:divBdr>
        <w:top w:val="none" w:sz="0" w:space="0" w:color="auto"/>
        <w:left w:val="none" w:sz="0" w:space="0" w:color="auto"/>
        <w:bottom w:val="none" w:sz="0" w:space="0" w:color="auto"/>
        <w:right w:val="none" w:sz="0" w:space="0" w:color="auto"/>
      </w:divBdr>
    </w:div>
    <w:div w:id="1895969941">
      <w:bodyDiv w:val="1"/>
      <w:marLeft w:val="0"/>
      <w:marRight w:val="0"/>
      <w:marTop w:val="0"/>
      <w:marBottom w:val="0"/>
      <w:divBdr>
        <w:top w:val="none" w:sz="0" w:space="0" w:color="auto"/>
        <w:left w:val="none" w:sz="0" w:space="0" w:color="auto"/>
        <w:bottom w:val="none" w:sz="0" w:space="0" w:color="auto"/>
        <w:right w:val="none" w:sz="0" w:space="0" w:color="auto"/>
      </w:divBdr>
    </w:div>
    <w:div w:id="1925912315">
      <w:bodyDiv w:val="1"/>
      <w:marLeft w:val="0"/>
      <w:marRight w:val="0"/>
      <w:marTop w:val="0"/>
      <w:marBottom w:val="0"/>
      <w:divBdr>
        <w:top w:val="none" w:sz="0" w:space="0" w:color="auto"/>
        <w:left w:val="none" w:sz="0" w:space="0" w:color="auto"/>
        <w:bottom w:val="none" w:sz="0" w:space="0" w:color="auto"/>
        <w:right w:val="none" w:sz="0" w:space="0" w:color="auto"/>
      </w:divBdr>
    </w:div>
    <w:div w:id="1993362380">
      <w:bodyDiv w:val="1"/>
      <w:marLeft w:val="0"/>
      <w:marRight w:val="0"/>
      <w:marTop w:val="0"/>
      <w:marBottom w:val="0"/>
      <w:divBdr>
        <w:top w:val="none" w:sz="0" w:space="0" w:color="auto"/>
        <w:left w:val="none" w:sz="0" w:space="0" w:color="auto"/>
        <w:bottom w:val="none" w:sz="0" w:space="0" w:color="auto"/>
        <w:right w:val="none" w:sz="0" w:space="0" w:color="auto"/>
      </w:divBdr>
    </w:div>
    <w:div w:id="2112317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acma.gov.au/publications/2019-10/rules/embargo-23" TargetMode="External"/><Relationship Id="rId21" Type="http://schemas.openxmlformats.org/officeDocument/2006/relationships/footer" Target="footer4.xml"/><Relationship Id="rId34" Type="http://schemas.openxmlformats.org/officeDocument/2006/relationships/hyperlink" Target="https://www.acma.gov.au/consultations/2021-12/proposed-licensing-arrangements-2-ghz-narrowband-mobile-satellite-services-and-28-ghz-fixed-satellite-services-consultation-462021" TargetMode="External"/><Relationship Id="rId42" Type="http://schemas.openxmlformats.org/officeDocument/2006/relationships/hyperlink" Target="https://www.acma.gov.au/publications/2019-10/rules/embargo-23" TargetMode="External"/><Relationship Id="rId47" Type="http://schemas.openxmlformats.org/officeDocument/2006/relationships/hyperlink" Target="https://www.acma.gov.au/publications/2020-08/guide/submission-and-processing-applications-space-and-space-receive-apparatus-licences" TargetMode="External"/><Relationship Id="rId50" Type="http://schemas.openxmlformats.org/officeDocument/2006/relationships/image" Target="media/image4.png"/><Relationship Id="rId55" Type="http://schemas.openxmlformats.org/officeDocument/2006/relationships/image" Target="media/image8.jpeg"/><Relationship Id="rId63" Type="http://schemas.openxmlformats.org/officeDocument/2006/relationships/header" Target="head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yperlink" Target="https://www.acma.gov.au/publications/2019-10/rules/embargo-23" TargetMode="External"/><Relationship Id="rId11" Type="http://schemas.openxmlformats.org/officeDocument/2006/relationships/hyperlink" Target="http://i.creativecommons.org/l/by/3.0/88x31.png" TargetMode="External"/><Relationship Id="rId24" Type="http://schemas.openxmlformats.org/officeDocument/2006/relationships/hyperlink" Target="https://www.acma.gov.au/consultations/2021-12/proposed-licensing-arrangements-2-ghz-narrowband-mobile-satellite-services-and-28-ghz-fixed-satellite-services-consultation-462021" TargetMode="External"/><Relationship Id="rId32" Type="http://schemas.openxmlformats.org/officeDocument/2006/relationships/hyperlink" Target="https://www.acma.gov.au/consultations/2021-12/proposed-licensing-arrangements-2-ghz-narrowband-mobile-satellite-services-and-28-ghz-fixed-satellite-services-consultation-462021" TargetMode="External"/><Relationship Id="rId37" Type="http://schemas.openxmlformats.org/officeDocument/2006/relationships/hyperlink" Target="https://www.acma.gov.au/publications/2019-09/instruction/rali-fx21-television-outside-broadcasting-services" TargetMode="External"/><Relationship Id="rId40" Type="http://schemas.openxmlformats.org/officeDocument/2006/relationships/hyperlink" Target="https://www.acma.gov.au/publications/2020-08/guide/submission-and-processing-applications-space-and-space-receive-apparatus-licences" TargetMode="External"/><Relationship Id="rId45" Type="http://schemas.openxmlformats.org/officeDocument/2006/relationships/hyperlink" Target="https://www.acma.gov.au/consultations/2021-12/proposed-licensing-arrangements-2-ghz-narrowband-mobile-satellite-services-and-28-ghz-fixed-satellite-services-consultation-462021" TargetMode="External"/><Relationship Id="rId53" Type="http://schemas.openxmlformats.org/officeDocument/2006/relationships/image" Target="media/image7.jpeg"/><Relationship Id="rId58" Type="http://schemas.openxmlformats.org/officeDocument/2006/relationships/hyperlink" Target="https://www.acma.gov.au/publications/2019-10/rules/embargo-23"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12.emf"/><Relationship Id="rId19" Type="http://schemas.openxmlformats.org/officeDocument/2006/relationships/header" Target="header5.xml"/><Relationship Id="rId14" Type="http://schemas.openxmlformats.org/officeDocument/2006/relationships/hyperlink" Target="mailto:info@acma.gov.au" TargetMode="External"/><Relationship Id="rId22" Type="http://schemas.openxmlformats.org/officeDocument/2006/relationships/footer" Target="footer5.xml"/><Relationship Id="rId27" Type="http://schemas.openxmlformats.org/officeDocument/2006/relationships/hyperlink" Target="https://www.acma.gov.au/publications/2020-08/guide/submission-and-processing-applications-space-and-space-receive-apparatus-licences" TargetMode="External"/><Relationship Id="rId30" Type="http://schemas.openxmlformats.org/officeDocument/2006/relationships/hyperlink" Target="https://www.acma.gov.au/publications/2019-09/instruction/rali-fx21-television-outside-broadcasting-services" TargetMode="External"/><Relationship Id="rId35" Type="http://schemas.openxmlformats.org/officeDocument/2006/relationships/hyperlink" Target="https://www.acma.gov.au/consultations/2020-07/replanning-options-2-ghz-band-consultation-232020" TargetMode="External"/><Relationship Id="rId43" Type="http://schemas.openxmlformats.org/officeDocument/2006/relationships/hyperlink" Target="https://www.acma.gov.au/publications/2019-09/instruction/rali-fx21-television-outside-broadcasting-services" TargetMode="External"/><Relationship Id="rId48" Type="http://schemas.openxmlformats.org/officeDocument/2006/relationships/hyperlink" Target="https://www.acma.gov.au/consultations/2021-12/proposed-licensing-arrangements-2-ghz-narrowband-mobile-satellite-services-and-28-ghz-fixed-satellite-services-consultation-462021" TargetMode="External"/><Relationship Id="rId56" Type="http://schemas.openxmlformats.org/officeDocument/2006/relationships/image" Target="media/image9.emf"/><Relationship Id="rId64" Type="http://schemas.openxmlformats.org/officeDocument/2006/relationships/footer" Target="footer7.xml"/><Relationship Id="rId8" Type="http://schemas.openxmlformats.org/officeDocument/2006/relationships/header" Target="header1.xml"/><Relationship Id="rId51" Type="http://schemas.openxmlformats.org/officeDocument/2006/relationships/image" Target="media/image5.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footer" Target="footer2.xml"/><Relationship Id="rId25" Type="http://schemas.openxmlformats.org/officeDocument/2006/relationships/hyperlink" Target="https://www.legislation.gov.au/Details/F2021C00630" TargetMode="External"/><Relationship Id="rId33" Type="http://schemas.openxmlformats.org/officeDocument/2006/relationships/hyperlink" Target="https://www.legislation.gov.au/Details/F2021C00630" TargetMode="External"/><Relationship Id="rId38" Type="http://schemas.openxmlformats.org/officeDocument/2006/relationships/hyperlink" Target="https://web.acma.gov.au/rrl/spectrum_search.show_table?pSV_ID=85&amp;pSS_ID=872" TargetMode="External"/><Relationship Id="rId46" Type="http://schemas.openxmlformats.org/officeDocument/2006/relationships/hyperlink" Target="https://www.acma.gov.au/consultations/2021-12/proposed-licensing-arrangements-2-ghz-narrowband-mobile-satellite-services-and-28-ghz-fixed-satellite-services-consultation-462021" TargetMode="External"/><Relationship Id="rId59" Type="http://schemas.openxmlformats.org/officeDocument/2006/relationships/image" Target="media/image10.png"/><Relationship Id="rId67"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hyperlink" Target="https://www.acma.gov.au/publications/2019-10/rules/embargo-23" TargetMode="External"/><Relationship Id="rId54" Type="http://schemas.openxmlformats.org/officeDocument/2006/relationships/hyperlink" Target="https://www.transfinite.com/content/professional" TargetMode="External"/><Relationship Id="rId62"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hyperlink" Target="https://www.acma.gov.au/publications/2020-08/guide/submission-and-processing-applications-space-and-space-receive-apparatus-licences" TargetMode="External"/><Relationship Id="rId36" Type="http://schemas.openxmlformats.org/officeDocument/2006/relationships/hyperlink" Target="https://www.acma.gov.au/sites/default/files/2021-04/BOP%20space%20and%20space%20receive_0.pdf" TargetMode="External"/><Relationship Id="rId49" Type="http://schemas.openxmlformats.org/officeDocument/2006/relationships/hyperlink" Target="https://www.itu.int/rec/R-REC-M.1343/en" TargetMode="External"/><Relationship Id="rId57" Type="http://schemas.openxmlformats.org/officeDocument/2006/relationships/hyperlink" Target="https://www.acma.gov.au/sites/default/files/2021-04/BOP%20space%20and%20space%20receive_0.pdf" TargetMode="External"/><Relationship Id="rId10" Type="http://schemas.openxmlformats.org/officeDocument/2006/relationships/header" Target="header2.xml"/><Relationship Id="rId31" Type="http://schemas.openxmlformats.org/officeDocument/2006/relationships/hyperlink" Target="https://www.acma.gov.au/publications/2020-08/guide/submission-and-processing-applications-space-and-space-receive-apparatus-licences" TargetMode="External"/><Relationship Id="rId44" Type="http://schemas.openxmlformats.org/officeDocument/2006/relationships/hyperlink" Target="https://www.acma.gov.au/consultations/2021-12/proposed-licensing-arrangements-2-ghz-narrowband-mobile-satellite-services-and-28-ghz-fixed-satellite-services-consultation-462021" TargetMode="External"/><Relationship Id="rId52" Type="http://schemas.openxmlformats.org/officeDocument/2006/relationships/image" Target="media/image6.png"/><Relationship Id="rId60" Type="http://schemas.openxmlformats.org/officeDocument/2006/relationships/image" Target="media/image11.png"/><Relationship Id="rId65" Type="http://schemas.openxmlformats.org/officeDocument/2006/relationships/footer" Target="footer8.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hyperlink" Target="https://creativecommons.org/licenses/by/4.0/" TargetMode="External"/><Relationship Id="rId18" Type="http://schemas.openxmlformats.org/officeDocument/2006/relationships/footer" Target="footer3.xml"/><Relationship Id="rId39" Type="http://schemas.openxmlformats.org/officeDocument/2006/relationships/hyperlink" Target="https://www.legislation.gov.au/Details/F2022L00937"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hyperlink" Target="https://acma.gov.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F8262-1C21-46BC-9DE5-9254E2ABE8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39</Pages>
  <Words>11950</Words>
  <Characters>68121</Characters>
  <Application>Microsoft Office Word</Application>
  <DocSecurity>0</DocSecurity>
  <Lines>567</Lines>
  <Paragraphs>159</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79912</CharactersWithSpaces>
  <SharedDoc>false</SharedDoc>
  <HyperlinkBase/>
  <HLinks>
    <vt:vector size="342" baseType="variant">
      <vt:variant>
        <vt:i4>6029322</vt:i4>
      </vt:variant>
      <vt:variant>
        <vt:i4>270</vt:i4>
      </vt:variant>
      <vt:variant>
        <vt:i4>0</vt:i4>
      </vt:variant>
      <vt:variant>
        <vt:i4>5</vt:i4>
      </vt:variant>
      <vt:variant>
        <vt:lpwstr>https://www.acma.gov.au/publications/2019-10/rules/embargo-23</vt:lpwstr>
      </vt:variant>
      <vt:variant>
        <vt:lpwstr/>
      </vt:variant>
      <vt:variant>
        <vt:i4>3014667</vt:i4>
      </vt:variant>
      <vt:variant>
        <vt:i4>267</vt:i4>
      </vt:variant>
      <vt:variant>
        <vt:i4>0</vt:i4>
      </vt:variant>
      <vt:variant>
        <vt:i4>5</vt:i4>
      </vt:variant>
      <vt:variant>
        <vt:lpwstr>https://www.acma.gov.au/sites/default/files/2021-04/BOP space and space receive_0.pdf</vt:lpwstr>
      </vt:variant>
      <vt:variant>
        <vt:lpwstr/>
      </vt:variant>
      <vt:variant>
        <vt:i4>1048662</vt:i4>
      </vt:variant>
      <vt:variant>
        <vt:i4>264</vt:i4>
      </vt:variant>
      <vt:variant>
        <vt:i4>0</vt:i4>
      </vt:variant>
      <vt:variant>
        <vt:i4>5</vt:i4>
      </vt:variant>
      <vt:variant>
        <vt:lpwstr>https://www.transfinite.com/content/professional</vt:lpwstr>
      </vt:variant>
      <vt:variant>
        <vt:lpwstr/>
      </vt:variant>
      <vt:variant>
        <vt:i4>3604596</vt:i4>
      </vt:variant>
      <vt:variant>
        <vt:i4>243</vt:i4>
      </vt:variant>
      <vt:variant>
        <vt:i4>0</vt:i4>
      </vt:variant>
      <vt:variant>
        <vt:i4>5</vt:i4>
      </vt:variant>
      <vt:variant>
        <vt:lpwstr>https://www.itu.int/rec/R-REC-M.1343/en</vt:lpwstr>
      </vt:variant>
      <vt:variant>
        <vt:lpwstr/>
      </vt:variant>
      <vt:variant>
        <vt:i4>5832717</vt:i4>
      </vt:variant>
      <vt:variant>
        <vt:i4>240</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9</vt:i4>
      </vt:variant>
      <vt:variant>
        <vt:i4>237</vt:i4>
      </vt:variant>
      <vt:variant>
        <vt:i4>0</vt:i4>
      </vt:variant>
      <vt:variant>
        <vt:i4>5</vt:i4>
      </vt:variant>
      <vt:variant>
        <vt:lpwstr>https://www.acma.gov.au/publications/2020-08/guide/submission-and-processing-applications-space-and-space-receive-apparatus-licences</vt:lpwstr>
      </vt:variant>
      <vt:variant>
        <vt:lpwstr/>
      </vt:variant>
      <vt:variant>
        <vt:i4>5832717</vt:i4>
      </vt:variant>
      <vt:variant>
        <vt:i4>234</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5832717</vt:i4>
      </vt:variant>
      <vt:variant>
        <vt:i4>231</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5832717</vt:i4>
      </vt:variant>
      <vt:variant>
        <vt:i4>228</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7733358</vt:i4>
      </vt:variant>
      <vt:variant>
        <vt:i4>225</vt:i4>
      </vt:variant>
      <vt:variant>
        <vt:i4>0</vt:i4>
      </vt:variant>
      <vt:variant>
        <vt:i4>5</vt:i4>
      </vt:variant>
      <vt:variant>
        <vt:lpwstr>https://www.acma.gov.au/publications/2019-09/instruction/rali-fx21-television-outside-broadcasting-services</vt:lpwstr>
      </vt:variant>
      <vt:variant>
        <vt:lpwstr/>
      </vt:variant>
      <vt:variant>
        <vt:i4>6029322</vt:i4>
      </vt:variant>
      <vt:variant>
        <vt:i4>222</vt:i4>
      </vt:variant>
      <vt:variant>
        <vt:i4>0</vt:i4>
      </vt:variant>
      <vt:variant>
        <vt:i4>5</vt:i4>
      </vt:variant>
      <vt:variant>
        <vt:lpwstr>https://www.acma.gov.au/publications/2019-10/rules/embargo-23</vt:lpwstr>
      </vt:variant>
      <vt:variant>
        <vt:lpwstr/>
      </vt:variant>
      <vt:variant>
        <vt:i4>6029322</vt:i4>
      </vt:variant>
      <vt:variant>
        <vt:i4>219</vt:i4>
      </vt:variant>
      <vt:variant>
        <vt:i4>0</vt:i4>
      </vt:variant>
      <vt:variant>
        <vt:i4>5</vt:i4>
      </vt:variant>
      <vt:variant>
        <vt:lpwstr>https://www.acma.gov.au/publications/2019-10/rules/embargo-23</vt:lpwstr>
      </vt:variant>
      <vt:variant>
        <vt:lpwstr/>
      </vt:variant>
      <vt:variant>
        <vt:i4>9</vt:i4>
      </vt:variant>
      <vt:variant>
        <vt:i4>216</vt:i4>
      </vt:variant>
      <vt:variant>
        <vt:i4>0</vt:i4>
      </vt:variant>
      <vt:variant>
        <vt:i4>5</vt:i4>
      </vt:variant>
      <vt:variant>
        <vt:lpwstr>https://www.acma.gov.au/publications/2020-08/guide/submission-and-processing-applications-space-and-space-receive-apparatus-licences</vt:lpwstr>
      </vt:variant>
      <vt:variant>
        <vt:lpwstr/>
      </vt:variant>
      <vt:variant>
        <vt:i4>6422589</vt:i4>
      </vt:variant>
      <vt:variant>
        <vt:i4>213</vt:i4>
      </vt:variant>
      <vt:variant>
        <vt:i4>0</vt:i4>
      </vt:variant>
      <vt:variant>
        <vt:i4>5</vt:i4>
      </vt:variant>
      <vt:variant>
        <vt:lpwstr>https://web.acma.gov.au/rrl/spectrum_search.show_table?pSV_ID=85&amp;pSS_ID=872</vt:lpwstr>
      </vt:variant>
      <vt:variant>
        <vt:lpwstr/>
      </vt:variant>
      <vt:variant>
        <vt:i4>7733358</vt:i4>
      </vt:variant>
      <vt:variant>
        <vt:i4>210</vt:i4>
      </vt:variant>
      <vt:variant>
        <vt:i4>0</vt:i4>
      </vt:variant>
      <vt:variant>
        <vt:i4>5</vt:i4>
      </vt:variant>
      <vt:variant>
        <vt:lpwstr>https://www.acma.gov.au/publications/2019-09/instruction/rali-fx21-television-outside-broadcasting-services</vt:lpwstr>
      </vt:variant>
      <vt:variant>
        <vt:lpwstr/>
      </vt:variant>
      <vt:variant>
        <vt:i4>3014667</vt:i4>
      </vt:variant>
      <vt:variant>
        <vt:i4>207</vt:i4>
      </vt:variant>
      <vt:variant>
        <vt:i4>0</vt:i4>
      </vt:variant>
      <vt:variant>
        <vt:i4>5</vt:i4>
      </vt:variant>
      <vt:variant>
        <vt:lpwstr>https://www.acma.gov.au/sites/default/files/2021-04/BOP space and space receive_0.pdf</vt:lpwstr>
      </vt:variant>
      <vt:variant>
        <vt:lpwstr/>
      </vt:variant>
      <vt:variant>
        <vt:i4>7798888</vt:i4>
      </vt:variant>
      <vt:variant>
        <vt:i4>204</vt:i4>
      </vt:variant>
      <vt:variant>
        <vt:i4>0</vt:i4>
      </vt:variant>
      <vt:variant>
        <vt:i4>5</vt:i4>
      </vt:variant>
      <vt:variant>
        <vt:lpwstr>https://www.acma.gov.au/consultations/2020-07/replanning-options-2-ghz-band-consultation-232020</vt:lpwstr>
      </vt:variant>
      <vt:variant>
        <vt:lpwstr/>
      </vt:variant>
      <vt:variant>
        <vt:i4>5832717</vt:i4>
      </vt:variant>
      <vt:variant>
        <vt:i4>201</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7471142</vt:i4>
      </vt:variant>
      <vt:variant>
        <vt:i4>198</vt:i4>
      </vt:variant>
      <vt:variant>
        <vt:i4>0</vt:i4>
      </vt:variant>
      <vt:variant>
        <vt:i4>5</vt:i4>
      </vt:variant>
      <vt:variant>
        <vt:lpwstr>https://www.legislation.gov.au/Details/F2021C00630</vt:lpwstr>
      </vt:variant>
      <vt:variant>
        <vt:lpwstr/>
      </vt:variant>
      <vt:variant>
        <vt:i4>5832717</vt:i4>
      </vt:variant>
      <vt:variant>
        <vt:i4>195</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9</vt:i4>
      </vt:variant>
      <vt:variant>
        <vt:i4>192</vt:i4>
      </vt:variant>
      <vt:variant>
        <vt:i4>0</vt:i4>
      </vt:variant>
      <vt:variant>
        <vt:i4>5</vt:i4>
      </vt:variant>
      <vt:variant>
        <vt:lpwstr>https://www.acma.gov.au/publications/2020-08/guide/submission-and-processing-applications-space-and-space-receive-apparatus-licences</vt:lpwstr>
      </vt:variant>
      <vt:variant>
        <vt:lpwstr/>
      </vt:variant>
      <vt:variant>
        <vt:i4>7733358</vt:i4>
      </vt:variant>
      <vt:variant>
        <vt:i4>189</vt:i4>
      </vt:variant>
      <vt:variant>
        <vt:i4>0</vt:i4>
      </vt:variant>
      <vt:variant>
        <vt:i4>5</vt:i4>
      </vt:variant>
      <vt:variant>
        <vt:lpwstr>https://www.acma.gov.au/publications/2019-09/instruction/rali-fx21-television-outside-broadcasting-services</vt:lpwstr>
      </vt:variant>
      <vt:variant>
        <vt:lpwstr/>
      </vt:variant>
      <vt:variant>
        <vt:i4>6029322</vt:i4>
      </vt:variant>
      <vt:variant>
        <vt:i4>186</vt:i4>
      </vt:variant>
      <vt:variant>
        <vt:i4>0</vt:i4>
      </vt:variant>
      <vt:variant>
        <vt:i4>5</vt:i4>
      </vt:variant>
      <vt:variant>
        <vt:lpwstr>https://www.acma.gov.au/publications/2019-10/rules/embargo-23</vt:lpwstr>
      </vt:variant>
      <vt:variant>
        <vt:lpwstr/>
      </vt:variant>
      <vt:variant>
        <vt:i4>9</vt:i4>
      </vt:variant>
      <vt:variant>
        <vt:i4>183</vt:i4>
      </vt:variant>
      <vt:variant>
        <vt:i4>0</vt:i4>
      </vt:variant>
      <vt:variant>
        <vt:i4>5</vt:i4>
      </vt:variant>
      <vt:variant>
        <vt:lpwstr>https://www.acma.gov.au/publications/2020-08/guide/submission-and-processing-applications-space-and-space-receive-apparatus-licences</vt:lpwstr>
      </vt:variant>
      <vt:variant>
        <vt:lpwstr/>
      </vt:variant>
      <vt:variant>
        <vt:i4>9</vt:i4>
      </vt:variant>
      <vt:variant>
        <vt:i4>180</vt:i4>
      </vt:variant>
      <vt:variant>
        <vt:i4>0</vt:i4>
      </vt:variant>
      <vt:variant>
        <vt:i4>5</vt:i4>
      </vt:variant>
      <vt:variant>
        <vt:lpwstr>https://www.acma.gov.au/publications/2020-08/guide/submission-and-processing-applications-space-and-space-receive-apparatus-licences</vt:lpwstr>
      </vt:variant>
      <vt:variant>
        <vt:lpwstr/>
      </vt:variant>
      <vt:variant>
        <vt:i4>6029322</vt:i4>
      </vt:variant>
      <vt:variant>
        <vt:i4>177</vt:i4>
      </vt:variant>
      <vt:variant>
        <vt:i4>0</vt:i4>
      </vt:variant>
      <vt:variant>
        <vt:i4>5</vt:i4>
      </vt:variant>
      <vt:variant>
        <vt:lpwstr>https://www.acma.gov.au/publications/2019-10/rules/embargo-23</vt:lpwstr>
      </vt:variant>
      <vt:variant>
        <vt:lpwstr/>
      </vt:variant>
      <vt:variant>
        <vt:i4>7471142</vt:i4>
      </vt:variant>
      <vt:variant>
        <vt:i4>174</vt:i4>
      </vt:variant>
      <vt:variant>
        <vt:i4>0</vt:i4>
      </vt:variant>
      <vt:variant>
        <vt:i4>5</vt:i4>
      </vt:variant>
      <vt:variant>
        <vt:lpwstr>https://www.legislation.gov.au/Details/F2021C00630</vt:lpwstr>
      </vt:variant>
      <vt:variant>
        <vt:lpwstr/>
      </vt:variant>
      <vt:variant>
        <vt:i4>5832717</vt:i4>
      </vt:variant>
      <vt:variant>
        <vt:i4>171</vt:i4>
      </vt:variant>
      <vt:variant>
        <vt:i4>0</vt:i4>
      </vt:variant>
      <vt:variant>
        <vt:i4>5</vt:i4>
      </vt:variant>
      <vt:variant>
        <vt:lpwstr>https://www.acma.gov.au/consultations/2021-12/proposed-licensing-arrangements-2-ghz-narrowband-mobile-satellite-services-and-28-ghz-fixed-satellite-services-consultation-462021</vt:lpwstr>
      </vt:variant>
      <vt:variant>
        <vt:lpwstr/>
      </vt:variant>
      <vt:variant>
        <vt:i4>1441843</vt:i4>
      </vt:variant>
      <vt:variant>
        <vt:i4>164</vt:i4>
      </vt:variant>
      <vt:variant>
        <vt:i4>0</vt:i4>
      </vt:variant>
      <vt:variant>
        <vt:i4>5</vt:i4>
      </vt:variant>
      <vt:variant>
        <vt:lpwstr/>
      </vt:variant>
      <vt:variant>
        <vt:lpwstr>_Toc107506524</vt:lpwstr>
      </vt:variant>
      <vt:variant>
        <vt:i4>1441843</vt:i4>
      </vt:variant>
      <vt:variant>
        <vt:i4>158</vt:i4>
      </vt:variant>
      <vt:variant>
        <vt:i4>0</vt:i4>
      </vt:variant>
      <vt:variant>
        <vt:i4>5</vt:i4>
      </vt:variant>
      <vt:variant>
        <vt:lpwstr/>
      </vt:variant>
      <vt:variant>
        <vt:lpwstr>_Toc107506523</vt:lpwstr>
      </vt:variant>
      <vt:variant>
        <vt:i4>1441843</vt:i4>
      </vt:variant>
      <vt:variant>
        <vt:i4>152</vt:i4>
      </vt:variant>
      <vt:variant>
        <vt:i4>0</vt:i4>
      </vt:variant>
      <vt:variant>
        <vt:i4>5</vt:i4>
      </vt:variant>
      <vt:variant>
        <vt:lpwstr/>
      </vt:variant>
      <vt:variant>
        <vt:lpwstr>_Toc107506522</vt:lpwstr>
      </vt:variant>
      <vt:variant>
        <vt:i4>1441843</vt:i4>
      </vt:variant>
      <vt:variant>
        <vt:i4>146</vt:i4>
      </vt:variant>
      <vt:variant>
        <vt:i4>0</vt:i4>
      </vt:variant>
      <vt:variant>
        <vt:i4>5</vt:i4>
      </vt:variant>
      <vt:variant>
        <vt:lpwstr/>
      </vt:variant>
      <vt:variant>
        <vt:lpwstr>_Toc107506521</vt:lpwstr>
      </vt:variant>
      <vt:variant>
        <vt:i4>1441843</vt:i4>
      </vt:variant>
      <vt:variant>
        <vt:i4>140</vt:i4>
      </vt:variant>
      <vt:variant>
        <vt:i4>0</vt:i4>
      </vt:variant>
      <vt:variant>
        <vt:i4>5</vt:i4>
      </vt:variant>
      <vt:variant>
        <vt:lpwstr/>
      </vt:variant>
      <vt:variant>
        <vt:lpwstr>_Toc107506520</vt:lpwstr>
      </vt:variant>
      <vt:variant>
        <vt:i4>1376307</vt:i4>
      </vt:variant>
      <vt:variant>
        <vt:i4>134</vt:i4>
      </vt:variant>
      <vt:variant>
        <vt:i4>0</vt:i4>
      </vt:variant>
      <vt:variant>
        <vt:i4>5</vt:i4>
      </vt:variant>
      <vt:variant>
        <vt:lpwstr/>
      </vt:variant>
      <vt:variant>
        <vt:lpwstr>_Toc107506519</vt:lpwstr>
      </vt:variant>
      <vt:variant>
        <vt:i4>1376307</vt:i4>
      </vt:variant>
      <vt:variant>
        <vt:i4>128</vt:i4>
      </vt:variant>
      <vt:variant>
        <vt:i4>0</vt:i4>
      </vt:variant>
      <vt:variant>
        <vt:i4>5</vt:i4>
      </vt:variant>
      <vt:variant>
        <vt:lpwstr/>
      </vt:variant>
      <vt:variant>
        <vt:lpwstr>_Toc107506518</vt:lpwstr>
      </vt:variant>
      <vt:variant>
        <vt:i4>1376307</vt:i4>
      </vt:variant>
      <vt:variant>
        <vt:i4>122</vt:i4>
      </vt:variant>
      <vt:variant>
        <vt:i4>0</vt:i4>
      </vt:variant>
      <vt:variant>
        <vt:i4>5</vt:i4>
      </vt:variant>
      <vt:variant>
        <vt:lpwstr/>
      </vt:variant>
      <vt:variant>
        <vt:lpwstr>_Toc107506517</vt:lpwstr>
      </vt:variant>
      <vt:variant>
        <vt:i4>1376307</vt:i4>
      </vt:variant>
      <vt:variant>
        <vt:i4>116</vt:i4>
      </vt:variant>
      <vt:variant>
        <vt:i4>0</vt:i4>
      </vt:variant>
      <vt:variant>
        <vt:i4>5</vt:i4>
      </vt:variant>
      <vt:variant>
        <vt:lpwstr/>
      </vt:variant>
      <vt:variant>
        <vt:lpwstr>_Toc107506516</vt:lpwstr>
      </vt:variant>
      <vt:variant>
        <vt:i4>1376307</vt:i4>
      </vt:variant>
      <vt:variant>
        <vt:i4>110</vt:i4>
      </vt:variant>
      <vt:variant>
        <vt:i4>0</vt:i4>
      </vt:variant>
      <vt:variant>
        <vt:i4>5</vt:i4>
      </vt:variant>
      <vt:variant>
        <vt:lpwstr/>
      </vt:variant>
      <vt:variant>
        <vt:lpwstr>_Toc107506515</vt:lpwstr>
      </vt:variant>
      <vt:variant>
        <vt:i4>1376307</vt:i4>
      </vt:variant>
      <vt:variant>
        <vt:i4>104</vt:i4>
      </vt:variant>
      <vt:variant>
        <vt:i4>0</vt:i4>
      </vt:variant>
      <vt:variant>
        <vt:i4>5</vt:i4>
      </vt:variant>
      <vt:variant>
        <vt:lpwstr/>
      </vt:variant>
      <vt:variant>
        <vt:lpwstr>_Toc107506514</vt:lpwstr>
      </vt:variant>
      <vt:variant>
        <vt:i4>1376307</vt:i4>
      </vt:variant>
      <vt:variant>
        <vt:i4>98</vt:i4>
      </vt:variant>
      <vt:variant>
        <vt:i4>0</vt:i4>
      </vt:variant>
      <vt:variant>
        <vt:i4>5</vt:i4>
      </vt:variant>
      <vt:variant>
        <vt:lpwstr/>
      </vt:variant>
      <vt:variant>
        <vt:lpwstr>_Toc107506513</vt:lpwstr>
      </vt:variant>
      <vt:variant>
        <vt:i4>1376307</vt:i4>
      </vt:variant>
      <vt:variant>
        <vt:i4>92</vt:i4>
      </vt:variant>
      <vt:variant>
        <vt:i4>0</vt:i4>
      </vt:variant>
      <vt:variant>
        <vt:i4>5</vt:i4>
      </vt:variant>
      <vt:variant>
        <vt:lpwstr/>
      </vt:variant>
      <vt:variant>
        <vt:lpwstr>_Toc107506512</vt:lpwstr>
      </vt:variant>
      <vt:variant>
        <vt:i4>1376307</vt:i4>
      </vt:variant>
      <vt:variant>
        <vt:i4>86</vt:i4>
      </vt:variant>
      <vt:variant>
        <vt:i4>0</vt:i4>
      </vt:variant>
      <vt:variant>
        <vt:i4>5</vt:i4>
      </vt:variant>
      <vt:variant>
        <vt:lpwstr/>
      </vt:variant>
      <vt:variant>
        <vt:lpwstr>_Toc107506511</vt:lpwstr>
      </vt:variant>
      <vt:variant>
        <vt:i4>1376307</vt:i4>
      </vt:variant>
      <vt:variant>
        <vt:i4>80</vt:i4>
      </vt:variant>
      <vt:variant>
        <vt:i4>0</vt:i4>
      </vt:variant>
      <vt:variant>
        <vt:i4>5</vt:i4>
      </vt:variant>
      <vt:variant>
        <vt:lpwstr/>
      </vt:variant>
      <vt:variant>
        <vt:lpwstr>_Toc107506510</vt:lpwstr>
      </vt:variant>
      <vt:variant>
        <vt:i4>1310771</vt:i4>
      </vt:variant>
      <vt:variant>
        <vt:i4>74</vt:i4>
      </vt:variant>
      <vt:variant>
        <vt:i4>0</vt:i4>
      </vt:variant>
      <vt:variant>
        <vt:i4>5</vt:i4>
      </vt:variant>
      <vt:variant>
        <vt:lpwstr/>
      </vt:variant>
      <vt:variant>
        <vt:lpwstr>_Toc107506509</vt:lpwstr>
      </vt:variant>
      <vt:variant>
        <vt:i4>1310771</vt:i4>
      </vt:variant>
      <vt:variant>
        <vt:i4>68</vt:i4>
      </vt:variant>
      <vt:variant>
        <vt:i4>0</vt:i4>
      </vt:variant>
      <vt:variant>
        <vt:i4>5</vt:i4>
      </vt:variant>
      <vt:variant>
        <vt:lpwstr/>
      </vt:variant>
      <vt:variant>
        <vt:lpwstr>_Toc107506508</vt:lpwstr>
      </vt:variant>
      <vt:variant>
        <vt:i4>1310771</vt:i4>
      </vt:variant>
      <vt:variant>
        <vt:i4>62</vt:i4>
      </vt:variant>
      <vt:variant>
        <vt:i4>0</vt:i4>
      </vt:variant>
      <vt:variant>
        <vt:i4>5</vt:i4>
      </vt:variant>
      <vt:variant>
        <vt:lpwstr/>
      </vt:variant>
      <vt:variant>
        <vt:lpwstr>_Toc107506507</vt:lpwstr>
      </vt:variant>
      <vt:variant>
        <vt:i4>1310771</vt:i4>
      </vt:variant>
      <vt:variant>
        <vt:i4>56</vt:i4>
      </vt:variant>
      <vt:variant>
        <vt:i4>0</vt:i4>
      </vt:variant>
      <vt:variant>
        <vt:i4>5</vt:i4>
      </vt:variant>
      <vt:variant>
        <vt:lpwstr/>
      </vt:variant>
      <vt:variant>
        <vt:lpwstr>_Toc107506506</vt:lpwstr>
      </vt:variant>
      <vt:variant>
        <vt:i4>1310771</vt:i4>
      </vt:variant>
      <vt:variant>
        <vt:i4>50</vt:i4>
      </vt:variant>
      <vt:variant>
        <vt:i4>0</vt:i4>
      </vt:variant>
      <vt:variant>
        <vt:i4>5</vt:i4>
      </vt:variant>
      <vt:variant>
        <vt:lpwstr/>
      </vt:variant>
      <vt:variant>
        <vt:lpwstr>_Toc107506505</vt:lpwstr>
      </vt:variant>
      <vt:variant>
        <vt:i4>1310771</vt:i4>
      </vt:variant>
      <vt:variant>
        <vt:i4>44</vt:i4>
      </vt:variant>
      <vt:variant>
        <vt:i4>0</vt:i4>
      </vt:variant>
      <vt:variant>
        <vt:i4>5</vt:i4>
      </vt:variant>
      <vt:variant>
        <vt:lpwstr/>
      </vt:variant>
      <vt:variant>
        <vt:lpwstr>_Toc107506504</vt:lpwstr>
      </vt:variant>
      <vt:variant>
        <vt:i4>1310771</vt:i4>
      </vt:variant>
      <vt:variant>
        <vt:i4>38</vt:i4>
      </vt:variant>
      <vt:variant>
        <vt:i4>0</vt:i4>
      </vt:variant>
      <vt:variant>
        <vt:i4>5</vt:i4>
      </vt:variant>
      <vt:variant>
        <vt:lpwstr/>
      </vt:variant>
      <vt:variant>
        <vt:lpwstr>_Toc107506503</vt:lpwstr>
      </vt:variant>
      <vt:variant>
        <vt:i4>1310771</vt:i4>
      </vt:variant>
      <vt:variant>
        <vt:i4>32</vt:i4>
      </vt:variant>
      <vt:variant>
        <vt:i4>0</vt:i4>
      </vt:variant>
      <vt:variant>
        <vt:i4>5</vt:i4>
      </vt:variant>
      <vt:variant>
        <vt:lpwstr/>
      </vt:variant>
      <vt:variant>
        <vt:lpwstr>_Toc107506502</vt:lpwstr>
      </vt:variant>
      <vt:variant>
        <vt:i4>1310771</vt:i4>
      </vt:variant>
      <vt:variant>
        <vt:i4>26</vt:i4>
      </vt:variant>
      <vt:variant>
        <vt:i4>0</vt:i4>
      </vt:variant>
      <vt:variant>
        <vt:i4>5</vt:i4>
      </vt:variant>
      <vt:variant>
        <vt:lpwstr/>
      </vt:variant>
      <vt:variant>
        <vt:lpwstr>_Toc107506501</vt:lpwstr>
      </vt:variant>
      <vt:variant>
        <vt:i4>1310771</vt:i4>
      </vt:variant>
      <vt:variant>
        <vt:i4>20</vt:i4>
      </vt:variant>
      <vt:variant>
        <vt:i4>0</vt:i4>
      </vt:variant>
      <vt:variant>
        <vt:i4>5</vt:i4>
      </vt:variant>
      <vt:variant>
        <vt:lpwstr/>
      </vt:variant>
      <vt:variant>
        <vt:lpwstr>_Toc107506500</vt:lpwstr>
      </vt:variant>
      <vt:variant>
        <vt:i4>1900594</vt:i4>
      </vt:variant>
      <vt:variant>
        <vt:i4>14</vt:i4>
      </vt:variant>
      <vt:variant>
        <vt:i4>0</vt:i4>
      </vt:variant>
      <vt:variant>
        <vt:i4>5</vt:i4>
      </vt:variant>
      <vt:variant>
        <vt:lpwstr/>
      </vt:variant>
      <vt:variant>
        <vt:lpwstr>_Toc107506499</vt:lpwstr>
      </vt:variant>
      <vt:variant>
        <vt:i4>1900594</vt:i4>
      </vt:variant>
      <vt:variant>
        <vt:i4>8</vt:i4>
      </vt:variant>
      <vt:variant>
        <vt:i4>0</vt:i4>
      </vt:variant>
      <vt:variant>
        <vt:i4>5</vt:i4>
      </vt:variant>
      <vt:variant>
        <vt:lpwstr/>
      </vt:variant>
      <vt:variant>
        <vt:lpwstr>_Toc107506498</vt:lpwstr>
      </vt:variant>
      <vt:variant>
        <vt:i4>6225960</vt:i4>
      </vt:variant>
      <vt:variant>
        <vt:i4>3</vt:i4>
      </vt:variant>
      <vt:variant>
        <vt:i4>0</vt:i4>
      </vt:variant>
      <vt:variant>
        <vt:i4>5</vt:i4>
      </vt:variant>
      <vt:variant>
        <vt:lpwstr>mailto:info@acma.gov.au</vt:lpwstr>
      </vt:variant>
      <vt:variant>
        <vt:lpwstr/>
      </vt:variant>
      <vt:variant>
        <vt:i4>5308424</vt:i4>
      </vt:variant>
      <vt:variant>
        <vt:i4>0</vt:i4>
      </vt:variant>
      <vt:variant>
        <vt:i4>0</vt:i4>
      </vt:variant>
      <vt:variant>
        <vt:i4>5</vt:i4>
      </vt:variant>
      <vt:variant>
        <vt:lpwstr>https://creativecommons.org/licenses/by/4.0/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2022-07-04T03:55:00Z</dcterms:created>
  <dcterms:modified xsi:type="dcterms:W3CDTF">2022-07-04T03:57:00Z</dcterms:modified>
  <cp:category/>
</cp:coreProperties>
</file>