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6AEAC9" w14:textId="7F5E6224" w:rsidR="00F06E14" w:rsidRPr="00A51D1A" w:rsidRDefault="00FB2B6E" w:rsidP="00A51D1A">
      <w:pPr>
        <w:pStyle w:val="Reporttitle"/>
      </w:pPr>
      <w:r>
        <w:t>Planning for wireless broadband u</w:t>
      </w:r>
      <w:r w:rsidR="00871249">
        <w:t xml:space="preserve">se </w:t>
      </w:r>
      <w:r w:rsidR="002E5D92">
        <w:t>in</w:t>
      </w:r>
      <w:r w:rsidR="003F4158">
        <w:t xml:space="preserve"> </w:t>
      </w:r>
      <w:r w:rsidR="00871249">
        <w:t>urban areas in the 3400</w:t>
      </w:r>
      <w:r w:rsidR="00BD432B">
        <w:t>–</w:t>
      </w:r>
      <w:r w:rsidR="00871249">
        <w:t>3475 MHz band</w:t>
      </w:r>
      <w:r w:rsidR="00F065F2">
        <w:t xml:space="preserve"> </w:t>
      </w:r>
    </w:p>
    <w:p w14:paraId="30BE04AD" w14:textId="6854E4D3" w:rsidR="00F06E14" w:rsidRDefault="00F065F2" w:rsidP="00F06E14">
      <w:pPr>
        <w:pStyle w:val="Reportsubtitle"/>
      </w:pPr>
      <w:r>
        <w:t xml:space="preserve">Options </w:t>
      </w:r>
      <w:r w:rsidR="00871249">
        <w:t>paper</w:t>
      </w:r>
      <w:r>
        <w:t xml:space="preserve"> </w:t>
      </w:r>
    </w:p>
    <w:p w14:paraId="04C62AA8" w14:textId="7B3BC7D3" w:rsidR="00C97736" w:rsidRPr="000D76E0" w:rsidRDefault="00BD432B" w:rsidP="00EC2B68">
      <w:pPr>
        <w:pStyle w:val="Reportdate"/>
        <w:spacing w:after="720"/>
        <w:rPr>
          <w:rFonts w:cs="Arial"/>
        </w:rPr>
        <w:sectPr w:rsidR="00C97736" w:rsidRPr="000D76E0" w:rsidSect="0021426C">
          <w:headerReference w:type="default" r:id="rId8"/>
          <w:footerReference w:type="default" r:id="rId9"/>
          <w:headerReference w:type="first" r:id="rId10"/>
          <w:pgSz w:w="11906" w:h="16838" w:code="9"/>
          <w:pgMar w:top="3924" w:right="992" w:bottom="1440" w:left="1134" w:header="709" w:footer="454" w:gutter="0"/>
          <w:cols w:space="708"/>
          <w:docGrid w:linePitch="360"/>
        </w:sectPr>
      </w:pPr>
      <w:r>
        <w:t xml:space="preserve">september </w:t>
      </w:r>
      <w:r w:rsidR="00BD4421">
        <w:t>20</w:t>
      </w:r>
      <w:r w:rsidR="008E0428">
        <w:t>2</w:t>
      </w:r>
      <w:r w:rsidR="003253EE">
        <w:t>1</w:t>
      </w:r>
    </w:p>
    <w:p w14:paraId="415F1F49" w14:textId="77777777" w:rsidR="0005011A" w:rsidRPr="00F44F3A" w:rsidRDefault="0005011A" w:rsidP="00FC07B9">
      <w:pPr>
        <w:pStyle w:val="ACMACorporateAddressHeader"/>
      </w:pPr>
      <w:r w:rsidRPr="00F44F3A">
        <w:lastRenderedPageBreak/>
        <w:t>Canberra</w:t>
      </w:r>
    </w:p>
    <w:p w14:paraId="79400C75" w14:textId="77777777" w:rsidR="0005011A" w:rsidRPr="00FC07B9" w:rsidRDefault="0005011A" w:rsidP="00FC07B9">
      <w:pPr>
        <w:pStyle w:val="ACMACorporateAddresses"/>
      </w:pPr>
      <w:r w:rsidRPr="00FC07B9">
        <w:t xml:space="preserve">Red Building </w:t>
      </w:r>
      <w:r w:rsidRPr="00FC07B9">
        <w:br/>
        <w:t>Benjamin Offices</w:t>
      </w:r>
      <w:r w:rsidRPr="00FC07B9">
        <w:br/>
        <w:t xml:space="preserve">Chan Street </w:t>
      </w:r>
      <w:r w:rsidRPr="00FC07B9">
        <w:br/>
        <w:t>Belconnen ACT</w:t>
      </w:r>
    </w:p>
    <w:p w14:paraId="292AD5A6" w14:textId="77777777" w:rsidR="0005011A" w:rsidRPr="00FC07B9" w:rsidRDefault="0005011A" w:rsidP="00FC07B9">
      <w:pPr>
        <w:pStyle w:val="ACMACorporateAddresses"/>
      </w:pPr>
      <w:r w:rsidRPr="00FC07B9">
        <w:t>PO Box 78</w:t>
      </w:r>
      <w:r w:rsidRPr="00FC07B9">
        <w:br/>
        <w:t>Belconnen ACT 2616</w:t>
      </w:r>
    </w:p>
    <w:p w14:paraId="6B52FF91" w14:textId="77777777" w:rsidR="00FE1823" w:rsidRPr="00FC07B9" w:rsidRDefault="0005011A" w:rsidP="00FC07B9">
      <w:pPr>
        <w:pStyle w:val="ACMACorporateAddresses"/>
      </w:pPr>
      <w:r w:rsidRPr="00FC07B9">
        <w:t>T</w:t>
      </w:r>
      <w:r w:rsidR="00537604" w:rsidRPr="00FC07B9">
        <w:tab/>
      </w:r>
      <w:r w:rsidRPr="00FC07B9">
        <w:t>+61 2 6219 5555</w:t>
      </w:r>
      <w:r w:rsidRPr="00FC07B9">
        <w:br/>
        <w:t>F</w:t>
      </w:r>
      <w:r w:rsidR="00537604" w:rsidRPr="00FC07B9">
        <w:tab/>
      </w:r>
      <w:r w:rsidRPr="00FC07B9">
        <w:t>+61 2 6219 5353</w:t>
      </w:r>
    </w:p>
    <w:p w14:paraId="6A235BB4" w14:textId="77777777" w:rsidR="0005011A" w:rsidRPr="00F44F3A" w:rsidRDefault="0005011A" w:rsidP="00FC07B9">
      <w:pPr>
        <w:pStyle w:val="ACMACorporateAddressHeader"/>
      </w:pPr>
      <w:r w:rsidRPr="00F44F3A">
        <w:t>Melbourne</w:t>
      </w:r>
    </w:p>
    <w:p w14:paraId="6981F64F" w14:textId="77777777" w:rsidR="0005011A" w:rsidRPr="00F44F3A" w:rsidRDefault="0005011A" w:rsidP="00FC07B9">
      <w:pPr>
        <w:pStyle w:val="ACMACorporateAddresses"/>
      </w:pPr>
      <w:r w:rsidRPr="00F44F3A">
        <w:t xml:space="preserve">Level 32 </w:t>
      </w:r>
      <w:r w:rsidRPr="00F44F3A">
        <w:br/>
        <w:t>Melbourne Central Tower</w:t>
      </w:r>
      <w:r w:rsidRPr="00F44F3A">
        <w:br/>
        <w:t xml:space="preserve">360 Elizabeth Street </w:t>
      </w:r>
      <w:r w:rsidR="008C10F4" w:rsidRPr="00F44F3A">
        <w:br/>
      </w:r>
      <w:r w:rsidRPr="00F44F3A">
        <w:t>Melbourne VIC</w:t>
      </w:r>
    </w:p>
    <w:p w14:paraId="39D32072" w14:textId="77777777" w:rsidR="0005011A" w:rsidRPr="00F44F3A" w:rsidRDefault="0005011A" w:rsidP="00FC07B9">
      <w:pPr>
        <w:pStyle w:val="ACMACorporateAddresses"/>
      </w:pPr>
      <w:r w:rsidRPr="00F44F3A">
        <w:t>PO Box 13112</w:t>
      </w:r>
      <w:r w:rsidRPr="00F44F3A">
        <w:br/>
        <w:t xml:space="preserve">Law Courts </w:t>
      </w:r>
      <w:r w:rsidRPr="00F44F3A">
        <w:br/>
        <w:t>Melbourne VIC 8010</w:t>
      </w:r>
    </w:p>
    <w:p w14:paraId="739096E5" w14:textId="77777777" w:rsidR="0005011A" w:rsidRPr="00F44F3A" w:rsidRDefault="0005011A" w:rsidP="00FC07B9">
      <w:pPr>
        <w:pStyle w:val="ACMACorporateAddresses"/>
      </w:pPr>
      <w:r w:rsidRPr="00F44F3A">
        <w:t>T</w:t>
      </w:r>
      <w:r w:rsidR="00140318" w:rsidRPr="00F44F3A">
        <w:tab/>
      </w:r>
      <w:r w:rsidRPr="00F44F3A">
        <w:t>+61 3 9963 6800</w:t>
      </w:r>
      <w:r w:rsidRPr="00F44F3A">
        <w:br/>
        <w:t>F</w:t>
      </w:r>
      <w:r w:rsidR="00140318" w:rsidRPr="00F44F3A">
        <w:tab/>
      </w:r>
      <w:r w:rsidRPr="00F44F3A">
        <w:t>+61 3 9963 6899</w:t>
      </w:r>
    </w:p>
    <w:p w14:paraId="0CF9B519" w14:textId="77777777" w:rsidR="0005011A" w:rsidRPr="00F44F3A" w:rsidRDefault="0005011A" w:rsidP="00FC07B9">
      <w:pPr>
        <w:pStyle w:val="ACMACorporateAddressHeader"/>
      </w:pPr>
      <w:r w:rsidRPr="00F44F3A">
        <w:t>Sydney</w:t>
      </w:r>
    </w:p>
    <w:p w14:paraId="62A534C1" w14:textId="77777777" w:rsidR="0005011A" w:rsidRPr="00F44F3A" w:rsidRDefault="0005011A" w:rsidP="00FC07B9">
      <w:pPr>
        <w:pStyle w:val="ACMACorporateAddresses"/>
      </w:pPr>
      <w:r w:rsidRPr="00F44F3A">
        <w:t xml:space="preserve">Level 5 </w:t>
      </w:r>
      <w:r w:rsidRPr="00F44F3A">
        <w:br/>
        <w:t>The Bay Centre</w:t>
      </w:r>
      <w:r w:rsidRPr="00F44F3A">
        <w:br/>
        <w:t xml:space="preserve">65 Pirrama Road </w:t>
      </w:r>
      <w:r w:rsidRPr="00F44F3A">
        <w:br/>
        <w:t>Pyrmont NSW</w:t>
      </w:r>
    </w:p>
    <w:p w14:paraId="76E5C48C" w14:textId="77777777" w:rsidR="0005011A" w:rsidRPr="00F44F3A" w:rsidRDefault="0005011A" w:rsidP="00FC07B9">
      <w:pPr>
        <w:pStyle w:val="ACMACorporateAddresses"/>
      </w:pPr>
      <w:r w:rsidRPr="00F44F3A">
        <w:t>PO Box Q500</w:t>
      </w:r>
      <w:r w:rsidRPr="00F44F3A">
        <w:br/>
        <w:t xml:space="preserve">Queen Victoria Building </w:t>
      </w:r>
      <w:r w:rsidRPr="00F44F3A">
        <w:br/>
        <w:t>NSW 1230</w:t>
      </w:r>
    </w:p>
    <w:p w14:paraId="67B23966" w14:textId="77777777" w:rsidR="0005011A" w:rsidRPr="00F44F3A" w:rsidRDefault="0005011A" w:rsidP="00FC07B9">
      <w:pPr>
        <w:pStyle w:val="ACMACorporateAddresses"/>
      </w:pPr>
      <w:r w:rsidRPr="00F44F3A">
        <w:t>T</w:t>
      </w:r>
      <w:r w:rsidR="00140318" w:rsidRPr="00F44F3A">
        <w:tab/>
      </w:r>
      <w:r w:rsidRPr="00F44F3A">
        <w:t>+61 2 9334 7700</w:t>
      </w:r>
      <w:r w:rsidR="00140318" w:rsidRPr="00F44F3A">
        <w:t xml:space="preserve"> or</w:t>
      </w:r>
      <w:r w:rsidRPr="00F44F3A">
        <w:t xml:space="preserve"> 1800 226 667</w:t>
      </w:r>
      <w:r w:rsidRPr="00F44F3A">
        <w:br/>
        <w:t>F</w:t>
      </w:r>
      <w:r w:rsidR="00140318" w:rsidRPr="00F44F3A">
        <w:tab/>
      </w:r>
      <w:r w:rsidRPr="00F44F3A">
        <w:t>+61 2 9334 7799</w:t>
      </w:r>
    </w:p>
    <w:p w14:paraId="3B50F8B7" w14:textId="77777777" w:rsidR="00140318" w:rsidRPr="006D46E5" w:rsidRDefault="00140318" w:rsidP="00FC07B9">
      <w:pPr>
        <w:pStyle w:val="ACMACopyrightHeader"/>
      </w:pPr>
      <w:r w:rsidRPr="00140318">
        <w:t>Copyright notice</w:t>
      </w:r>
    </w:p>
    <w:p w14:paraId="2C624538" w14:textId="77777777" w:rsidR="00140318" w:rsidRPr="006D46E5" w:rsidRDefault="00623FF9" w:rsidP="00623FF9">
      <w:pPr>
        <w:pStyle w:val="ACMACClogo"/>
      </w:pPr>
      <w:r w:rsidRPr="00623FF9">
        <w:rPr>
          <w:noProof/>
        </w:rPr>
        <w:drawing>
          <wp:inline distT="0" distB="0" distL="0" distR="0" wp14:anchorId="14FBCD48" wp14:editId="1AFEF8CF">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51064CC9" w14:textId="77777777" w:rsidR="00AA2DE5" w:rsidRDefault="00E97D51" w:rsidP="00AA2DE5">
      <w:pPr>
        <w:pStyle w:val="ACMACorporateAddresses"/>
        <w:rPr>
          <w:rStyle w:val="Hyperlink"/>
        </w:rPr>
      </w:pPr>
      <w:hyperlink r:id="rId13" w:history="1">
        <w:r w:rsidR="00AA2DE5">
          <w:rPr>
            <w:rStyle w:val="Hyperlink"/>
          </w:rPr>
          <w:t>https://creativecommons.org/licenses/by/4.0/</w:t>
        </w:r>
      </w:hyperlink>
    </w:p>
    <w:p w14:paraId="79BC93E2" w14:textId="77777777" w:rsidR="00AA2DE5" w:rsidRDefault="00AA2DE5" w:rsidP="00AA2DE5">
      <w:pPr>
        <w:pStyle w:val="ACMACorporateAddresses"/>
      </w:pPr>
      <w:r>
        <w:t xml:space="preserve">With the exception of coats of arms, logos, emblems, images, other third-party material or devices protected by a trademark, this content is made available under the terms of the Creative Commons Attribution 4.0 International (CC BY 4.0) licence. </w:t>
      </w:r>
    </w:p>
    <w:p w14:paraId="52822F46" w14:textId="77777777" w:rsidR="00AA2DE5" w:rsidRDefault="00AA2DE5" w:rsidP="00AA2DE5">
      <w:pPr>
        <w:pStyle w:val="ACMACorporateAddresses"/>
      </w:pPr>
      <w:r>
        <w:t>We request attribution as © Commonwealth of Australia (Australian Communications and Media Authority) 20</w:t>
      </w:r>
      <w:r w:rsidR="00C41F21">
        <w:t>2</w:t>
      </w:r>
      <w:r w:rsidR="00023A36">
        <w:t>1</w:t>
      </w:r>
      <w:r>
        <w:t>.</w:t>
      </w:r>
    </w:p>
    <w:p w14:paraId="675C791A" w14:textId="77777777" w:rsidR="00AA2DE5" w:rsidRDefault="00AA2DE5" w:rsidP="00AA2DE5">
      <w:pPr>
        <w:pStyle w:val="ACMACorporateAddresses"/>
      </w:pPr>
      <w:r>
        <w:t>All other rights are reserved.</w:t>
      </w:r>
    </w:p>
    <w:p w14:paraId="619ED121" w14:textId="77777777" w:rsidR="00AA2DE5" w:rsidRDefault="00AA2DE5" w:rsidP="00AA2DE5">
      <w:pPr>
        <w:pStyle w:val="ACMACorporateAddresses"/>
      </w:pPr>
      <w:r>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4C9D467" w14:textId="77777777" w:rsidR="00AA2DE5" w:rsidRDefault="00AA2DE5" w:rsidP="00AA2DE5">
      <w:pPr>
        <w:pStyle w:val="ACMACorporateAddresses"/>
      </w:pPr>
      <w:r>
        <w:t>Written enquiries may be sent to:</w:t>
      </w:r>
    </w:p>
    <w:p w14:paraId="6DE63F18" w14:textId="77777777" w:rsidR="00AA2DE5" w:rsidRDefault="00AA2DE5" w:rsidP="00AA2DE5">
      <w:pPr>
        <w:pStyle w:val="ACMACorporateAddresses"/>
        <w:rPr>
          <w:rStyle w:val="Hyperlink"/>
        </w:rPr>
      </w:pPr>
      <w:r>
        <w:t xml:space="preserve">Manager, Editorial </w:t>
      </w:r>
      <w:r w:rsidR="000245E5">
        <w:t>Services</w:t>
      </w:r>
      <w:r>
        <w:br/>
        <w:t>PO Box 13112</w:t>
      </w:r>
      <w:r>
        <w:br/>
        <w:t>Law Courts</w:t>
      </w:r>
      <w:r>
        <w:br/>
        <w:t>Melbourne VIC 8010</w:t>
      </w:r>
      <w:r>
        <w:br/>
        <w:t xml:space="preserve">Email: </w:t>
      </w:r>
      <w:hyperlink r:id="rId14" w:history="1">
        <w:r>
          <w:rPr>
            <w:rStyle w:val="Hyperlink"/>
          </w:rPr>
          <w:t>info@acma.gov.au</w:t>
        </w:r>
      </w:hyperlink>
    </w:p>
    <w:p w14:paraId="350F6718" w14:textId="77777777" w:rsidR="00D16FE3" w:rsidRDefault="00D16FE3" w:rsidP="00D16FE3">
      <w:pPr>
        <w:pStyle w:val="ACMACorporateAddresses"/>
        <w:rPr>
          <w:rStyle w:val="Hyperlink"/>
        </w:rPr>
      </w:pPr>
    </w:p>
    <w:p w14:paraId="2AF2C26F" w14:textId="77777777" w:rsidR="00D16FE3" w:rsidRPr="00D16FE3" w:rsidRDefault="00D16FE3" w:rsidP="00D16FE3">
      <w:pPr>
        <w:pStyle w:val="ACMACorporateAddresses"/>
        <w:sectPr w:rsidR="00D16FE3" w:rsidRPr="00D16FE3">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4D7446B0" w14:textId="2BA81318" w:rsidR="00925D1B" w:rsidRDefault="006A3ECF">
      <w:pPr>
        <w:pStyle w:val="TOC1"/>
        <w:rPr>
          <w:rFonts w:asciiTheme="minorHAnsi" w:eastAsiaTheme="minorEastAsia" w:hAnsiTheme="minorHAnsi" w:cstheme="minorBidi"/>
          <w:b w:val="0"/>
          <w:spacing w:val="0"/>
          <w:sz w:val="22"/>
          <w:szCs w:val="22"/>
        </w:rPr>
      </w:pPr>
      <w:r>
        <w:rPr>
          <w:rFonts w:cs="Arial"/>
        </w:rPr>
        <w:fldChar w:fldCharType="begin"/>
      </w:r>
      <w:r>
        <w:rPr>
          <w:rFonts w:cs="Arial"/>
        </w:rPr>
        <w:instrText xml:space="preserve"> TOC \o "1-2" \h \z \t "Exec summary heading,1" </w:instrText>
      </w:r>
      <w:r>
        <w:rPr>
          <w:rFonts w:cs="Arial"/>
        </w:rPr>
        <w:fldChar w:fldCharType="separate"/>
      </w:r>
      <w:hyperlink w:anchor="_Toc80795860" w:history="1">
        <w:r w:rsidR="00925D1B" w:rsidRPr="003A75B6">
          <w:rPr>
            <w:rStyle w:val="Hyperlink"/>
          </w:rPr>
          <w:t>Executive summary</w:t>
        </w:r>
        <w:r w:rsidR="00925D1B">
          <w:rPr>
            <w:webHidden/>
          </w:rPr>
          <w:tab/>
        </w:r>
        <w:r w:rsidR="00925D1B">
          <w:rPr>
            <w:webHidden/>
          </w:rPr>
          <w:fldChar w:fldCharType="begin"/>
        </w:r>
        <w:r w:rsidR="00925D1B">
          <w:rPr>
            <w:webHidden/>
          </w:rPr>
          <w:instrText xml:space="preserve"> PAGEREF _Toc80795860 \h </w:instrText>
        </w:r>
        <w:r w:rsidR="00925D1B">
          <w:rPr>
            <w:webHidden/>
          </w:rPr>
        </w:r>
        <w:r w:rsidR="00925D1B">
          <w:rPr>
            <w:webHidden/>
          </w:rPr>
          <w:fldChar w:fldCharType="separate"/>
        </w:r>
        <w:r w:rsidR="00D96042">
          <w:rPr>
            <w:webHidden/>
          </w:rPr>
          <w:t>1</w:t>
        </w:r>
        <w:r w:rsidR="00925D1B">
          <w:rPr>
            <w:webHidden/>
          </w:rPr>
          <w:fldChar w:fldCharType="end"/>
        </w:r>
      </w:hyperlink>
    </w:p>
    <w:p w14:paraId="00C8A7B5" w14:textId="6297B5E6" w:rsidR="00925D1B" w:rsidRDefault="00E97D51">
      <w:pPr>
        <w:pStyle w:val="TOC2"/>
        <w:rPr>
          <w:rFonts w:asciiTheme="minorHAnsi" w:eastAsiaTheme="minorEastAsia" w:hAnsiTheme="minorHAnsi" w:cstheme="minorBidi"/>
          <w:spacing w:val="0"/>
          <w:sz w:val="22"/>
          <w:szCs w:val="22"/>
        </w:rPr>
      </w:pPr>
      <w:hyperlink w:anchor="_Toc80795861" w:history="1">
        <w:r w:rsidR="00925D1B" w:rsidRPr="003A75B6">
          <w:rPr>
            <w:rStyle w:val="Hyperlink"/>
          </w:rPr>
          <w:t>Proposed amendments to the 3.4 GHz  technical framework</w:t>
        </w:r>
        <w:r w:rsidR="00925D1B">
          <w:rPr>
            <w:webHidden/>
          </w:rPr>
          <w:tab/>
        </w:r>
        <w:r w:rsidR="00925D1B">
          <w:rPr>
            <w:webHidden/>
          </w:rPr>
          <w:fldChar w:fldCharType="begin"/>
        </w:r>
        <w:r w:rsidR="00925D1B">
          <w:rPr>
            <w:webHidden/>
          </w:rPr>
          <w:instrText xml:space="preserve"> PAGEREF _Toc80795861 \h </w:instrText>
        </w:r>
        <w:r w:rsidR="00925D1B">
          <w:rPr>
            <w:webHidden/>
          </w:rPr>
        </w:r>
        <w:r w:rsidR="00925D1B">
          <w:rPr>
            <w:webHidden/>
          </w:rPr>
          <w:fldChar w:fldCharType="separate"/>
        </w:r>
        <w:r w:rsidR="00D96042">
          <w:rPr>
            <w:webHidden/>
          </w:rPr>
          <w:t>1</w:t>
        </w:r>
        <w:r w:rsidR="00925D1B">
          <w:rPr>
            <w:webHidden/>
          </w:rPr>
          <w:fldChar w:fldCharType="end"/>
        </w:r>
      </w:hyperlink>
    </w:p>
    <w:p w14:paraId="2CD66F18" w14:textId="4992B1F9" w:rsidR="00925D1B" w:rsidRDefault="00E97D51">
      <w:pPr>
        <w:pStyle w:val="TOC2"/>
        <w:rPr>
          <w:rFonts w:asciiTheme="minorHAnsi" w:eastAsiaTheme="minorEastAsia" w:hAnsiTheme="minorHAnsi" w:cstheme="minorBidi"/>
          <w:spacing w:val="0"/>
          <w:sz w:val="22"/>
          <w:szCs w:val="22"/>
        </w:rPr>
      </w:pPr>
      <w:hyperlink w:anchor="_Toc80795862" w:history="1">
        <w:r w:rsidR="00925D1B" w:rsidRPr="003A75B6">
          <w:rPr>
            <w:rStyle w:val="Hyperlink"/>
          </w:rPr>
          <w:t>Options for use of spectrum in urban excise areas</w:t>
        </w:r>
        <w:r w:rsidR="00925D1B">
          <w:rPr>
            <w:webHidden/>
          </w:rPr>
          <w:tab/>
        </w:r>
        <w:r w:rsidR="00925D1B">
          <w:rPr>
            <w:webHidden/>
          </w:rPr>
          <w:fldChar w:fldCharType="begin"/>
        </w:r>
        <w:r w:rsidR="00925D1B">
          <w:rPr>
            <w:webHidden/>
          </w:rPr>
          <w:instrText xml:space="preserve"> PAGEREF _Toc80795862 \h </w:instrText>
        </w:r>
        <w:r w:rsidR="00925D1B">
          <w:rPr>
            <w:webHidden/>
          </w:rPr>
        </w:r>
        <w:r w:rsidR="00925D1B">
          <w:rPr>
            <w:webHidden/>
          </w:rPr>
          <w:fldChar w:fldCharType="separate"/>
        </w:r>
        <w:r w:rsidR="00D96042">
          <w:rPr>
            <w:webHidden/>
          </w:rPr>
          <w:t>2</w:t>
        </w:r>
        <w:r w:rsidR="00925D1B">
          <w:rPr>
            <w:webHidden/>
          </w:rPr>
          <w:fldChar w:fldCharType="end"/>
        </w:r>
      </w:hyperlink>
    </w:p>
    <w:p w14:paraId="3970C93B" w14:textId="5E7F2E4C" w:rsidR="00925D1B" w:rsidRDefault="00E97D51">
      <w:pPr>
        <w:pStyle w:val="TOC1"/>
        <w:rPr>
          <w:rFonts w:asciiTheme="minorHAnsi" w:eastAsiaTheme="minorEastAsia" w:hAnsiTheme="minorHAnsi" w:cstheme="minorBidi"/>
          <w:b w:val="0"/>
          <w:spacing w:val="0"/>
          <w:sz w:val="22"/>
          <w:szCs w:val="22"/>
        </w:rPr>
      </w:pPr>
      <w:hyperlink w:anchor="_Toc80795863" w:history="1">
        <w:r w:rsidR="00925D1B" w:rsidRPr="003A75B6">
          <w:rPr>
            <w:rStyle w:val="Hyperlink"/>
          </w:rPr>
          <w:t>Issues for comment</w:t>
        </w:r>
        <w:r w:rsidR="00925D1B">
          <w:rPr>
            <w:webHidden/>
          </w:rPr>
          <w:tab/>
        </w:r>
        <w:r w:rsidR="00925D1B">
          <w:rPr>
            <w:webHidden/>
          </w:rPr>
          <w:fldChar w:fldCharType="begin"/>
        </w:r>
        <w:r w:rsidR="00925D1B">
          <w:rPr>
            <w:webHidden/>
          </w:rPr>
          <w:instrText xml:space="preserve"> PAGEREF _Toc80795863 \h </w:instrText>
        </w:r>
        <w:r w:rsidR="00925D1B">
          <w:rPr>
            <w:webHidden/>
          </w:rPr>
        </w:r>
        <w:r w:rsidR="00925D1B">
          <w:rPr>
            <w:webHidden/>
          </w:rPr>
          <w:fldChar w:fldCharType="separate"/>
        </w:r>
        <w:r w:rsidR="00D96042">
          <w:rPr>
            <w:webHidden/>
          </w:rPr>
          <w:t>4</w:t>
        </w:r>
        <w:r w:rsidR="00925D1B">
          <w:rPr>
            <w:webHidden/>
          </w:rPr>
          <w:fldChar w:fldCharType="end"/>
        </w:r>
      </w:hyperlink>
    </w:p>
    <w:p w14:paraId="36E4B5C9" w14:textId="54D4C1DF" w:rsidR="00925D1B" w:rsidRDefault="00E97D51">
      <w:pPr>
        <w:pStyle w:val="TOC1"/>
        <w:rPr>
          <w:rFonts w:asciiTheme="minorHAnsi" w:eastAsiaTheme="minorEastAsia" w:hAnsiTheme="minorHAnsi" w:cstheme="minorBidi"/>
          <w:b w:val="0"/>
          <w:spacing w:val="0"/>
          <w:sz w:val="22"/>
          <w:szCs w:val="22"/>
        </w:rPr>
      </w:pPr>
      <w:hyperlink w:anchor="_Toc80795864" w:history="1">
        <w:r w:rsidR="00925D1B" w:rsidRPr="003A75B6">
          <w:rPr>
            <w:rStyle w:val="Hyperlink"/>
          </w:rPr>
          <w:t>Introduction</w:t>
        </w:r>
        <w:r w:rsidR="00925D1B">
          <w:rPr>
            <w:webHidden/>
          </w:rPr>
          <w:tab/>
        </w:r>
        <w:r w:rsidR="00925D1B">
          <w:rPr>
            <w:webHidden/>
          </w:rPr>
          <w:fldChar w:fldCharType="begin"/>
        </w:r>
        <w:r w:rsidR="00925D1B">
          <w:rPr>
            <w:webHidden/>
          </w:rPr>
          <w:instrText xml:space="preserve"> PAGEREF _Toc80795864 \h </w:instrText>
        </w:r>
        <w:r w:rsidR="00925D1B">
          <w:rPr>
            <w:webHidden/>
          </w:rPr>
        </w:r>
        <w:r w:rsidR="00925D1B">
          <w:rPr>
            <w:webHidden/>
          </w:rPr>
          <w:fldChar w:fldCharType="separate"/>
        </w:r>
        <w:r w:rsidR="00D96042">
          <w:rPr>
            <w:webHidden/>
          </w:rPr>
          <w:t>5</w:t>
        </w:r>
        <w:r w:rsidR="00925D1B">
          <w:rPr>
            <w:webHidden/>
          </w:rPr>
          <w:fldChar w:fldCharType="end"/>
        </w:r>
      </w:hyperlink>
    </w:p>
    <w:p w14:paraId="7F1EBDFA" w14:textId="1363D54D" w:rsidR="00925D1B" w:rsidRDefault="00E97D51">
      <w:pPr>
        <w:pStyle w:val="TOC2"/>
        <w:rPr>
          <w:rFonts w:asciiTheme="minorHAnsi" w:eastAsiaTheme="minorEastAsia" w:hAnsiTheme="minorHAnsi" w:cstheme="minorBidi"/>
          <w:spacing w:val="0"/>
          <w:sz w:val="22"/>
          <w:szCs w:val="22"/>
        </w:rPr>
      </w:pPr>
      <w:hyperlink w:anchor="_Toc80795865" w:history="1">
        <w:r w:rsidR="00925D1B" w:rsidRPr="003A75B6">
          <w:rPr>
            <w:rStyle w:val="Hyperlink"/>
          </w:rPr>
          <w:t>Purpose of this paper</w:t>
        </w:r>
        <w:r w:rsidR="00925D1B">
          <w:rPr>
            <w:webHidden/>
          </w:rPr>
          <w:tab/>
        </w:r>
        <w:r w:rsidR="00925D1B">
          <w:rPr>
            <w:webHidden/>
          </w:rPr>
          <w:fldChar w:fldCharType="begin"/>
        </w:r>
        <w:r w:rsidR="00925D1B">
          <w:rPr>
            <w:webHidden/>
          </w:rPr>
          <w:instrText xml:space="preserve"> PAGEREF _Toc80795865 \h </w:instrText>
        </w:r>
        <w:r w:rsidR="00925D1B">
          <w:rPr>
            <w:webHidden/>
          </w:rPr>
        </w:r>
        <w:r w:rsidR="00925D1B">
          <w:rPr>
            <w:webHidden/>
          </w:rPr>
          <w:fldChar w:fldCharType="separate"/>
        </w:r>
        <w:r w:rsidR="00D96042">
          <w:rPr>
            <w:webHidden/>
          </w:rPr>
          <w:t>5</w:t>
        </w:r>
        <w:r w:rsidR="00925D1B">
          <w:rPr>
            <w:webHidden/>
          </w:rPr>
          <w:fldChar w:fldCharType="end"/>
        </w:r>
      </w:hyperlink>
    </w:p>
    <w:p w14:paraId="596B177B" w14:textId="1E6438B5" w:rsidR="00925D1B" w:rsidRDefault="00E97D51">
      <w:pPr>
        <w:pStyle w:val="TOC2"/>
        <w:rPr>
          <w:rFonts w:asciiTheme="minorHAnsi" w:eastAsiaTheme="minorEastAsia" w:hAnsiTheme="minorHAnsi" w:cstheme="minorBidi"/>
          <w:spacing w:val="0"/>
          <w:sz w:val="22"/>
          <w:szCs w:val="22"/>
        </w:rPr>
      </w:pPr>
      <w:hyperlink w:anchor="_Toc80795866" w:history="1">
        <w:r w:rsidR="00925D1B" w:rsidRPr="003A75B6">
          <w:rPr>
            <w:rStyle w:val="Hyperlink"/>
          </w:rPr>
          <w:t>Legislative and policy environment</w:t>
        </w:r>
        <w:r w:rsidR="00925D1B">
          <w:rPr>
            <w:webHidden/>
          </w:rPr>
          <w:tab/>
        </w:r>
        <w:r w:rsidR="00925D1B">
          <w:rPr>
            <w:webHidden/>
          </w:rPr>
          <w:fldChar w:fldCharType="begin"/>
        </w:r>
        <w:r w:rsidR="00925D1B">
          <w:rPr>
            <w:webHidden/>
          </w:rPr>
          <w:instrText xml:space="preserve"> PAGEREF _Toc80795866 \h </w:instrText>
        </w:r>
        <w:r w:rsidR="00925D1B">
          <w:rPr>
            <w:webHidden/>
          </w:rPr>
        </w:r>
        <w:r w:rsidR="00925D1B">
          <w:rPr>
            <w:webHidden/>
          </w:rPr>
          <w:fldChar w:fldCharType="separate"/>
        </w:r>
        <w:r w:rsidR="00D96042">
          <w:rPr>
            <w:webHidden/>
          </w:rPr>
          <w:t>5</w:t>
        </w:r>
        <w:r w:rsidR="00925D1B">
          <w:rPr>
            <w:webHidden/>
          </w:rPr>
          <w:fldChar w:fldCharType="end"/>
        </w:r>
      </w:hyperlink>
    </w:p>
    <w:p w14:paraId="7C70A6AB" w14:textId="4077FDFA" w:rsidR="00925D1B" w:rsidRDefault="00E97D51">
      <w:pPr>
        <w:pStyle w:val="TOC2"/>
        <w:rPr>
          <w:rFonts w:asciiTheme="minorHAnsi" w:eastAsiaTheme="minorEastAsia" w:hAnsiTheme="minorHAnsi" w:cstheme="minorBidi"/>
          <w:spacing w:val="0"/>
          <w:sz w:val="22"/>
          <w:szCs w:val="22"/>
        </w:rPr>
      </w:pPr>
      <w:hyperlink w:anchor="_Toc80795867" w:history="1">
        <w:r w:rsidR="00925D1B" w:rsidRPr="003A75B6">
          <w:rPr>
            <w:rStyle w:val="Hyperlink"/>
            <w:rFonts w:cs="Calibri"/>
          </w:rPr>
          <w:t xml:space="preserve">3.4 GHz </w:t>
        </w:r>
        <w:r w:rsidR="00925D1B">
          <w:rPr>
            <w:rStyle w:val="Hyperlink"/>
            <w:rFonts w:cs="Calibri"/>
          </w:rPr>
          <w:t>t</w:t>
        </w:r>
        <w:r w:rsidR="00925D1B" w:rsidRPr="003A75B6">
          <w:rPr>
            <w:rStyle w:val="Hyperlink"/>
            <w:rFonts w:cs="Calibri"/>
          </w:rPr>
          <w:t xml:space="preserve">echnical </w:t>
        </w:r>
        <w:r w:rsidR="00925D1B">
          <w:rPr>
            <w:rStyle w:val="Hyperlink"/>
            <w:rFonts w:cs="Calibri"/>
          </w:rPr>
          <w:t>l</w:t>
        </w:r>
        <w:r w:rsidR="00925D1B" w:rsidRPr="003A75B6">
          <w:rPr>
            <w:rStyle w:val="Hyperlink"/>
            <w:rFonts w:cs="Calibri"/>
          </w:rPr>
          <w:t xml:space="preserve">iaison </w:t>
        </w:r>
        <w:r w:rsidR="00925D1B">
          <w:rPr>
            <w:rStyle w:val="Hyperlink"/>
            <w:rFonts w:cs="Calibri"/>
          </w:rPr>
          <w:t>g</w:t>
        </w:r>
        <w:r w:rsidR="00925D1B" w:rsidRPr="003A75B6">
          <w:rPr>
            <w:rStyle w:val="Hyperlink"/>
            <w:rFonts w:cs="Calibri"/>
          </w:rPr>
          <w:t>roup</w:t>
        </w:r>
        <w:r w:rsidR="00925D1B">
          <w:rPr>
            <w:webHidden/>
          </w:rPr>
          <w:tab/>
        </w:r>
        <w:r w:rsidR="00925D1B">
          <w:rPr>
            <w:webHidden/>
          </w:rPr>
          <w:fldChar w:fldCharType="begin"/>
        </w:r>
        <w:r w:rsidR="00925D1B">
          <w:rPr>
            <w:webHidden/>
          </w:rPr>
          <w:instrText xml:space="preserve"> PAGEREF _Toc80795867 \h </w:instrText>
        </w:r>
        <w:r w:rsidR="00925D1B">
          <w:rPr>
            <w:webHidden/>
          </w:rPr>
        </w:r>
        <w:r w:rsidR="00925D1B">
          <w:rPr>
            <w:webHidden/>
          </w:rPr>
          <w:fldChar w:fldCharType="separate"/>
        </w:r>
        <w:r w:rsidR="00D96042">
          <w:rPr>
            <w:webHidden/>
          </w:rPr>
          <w:t>8</w:t>
        </w:r>
        <w:r w:rsidR="00925D1B">
          <w:rPr>
            <w:webHidden/>
          </w:rPr>
          <w:fldChar w:fldCharType="end"/>
        </w:r>
      </w:hyperlink>
    </w:p>
    <w:p w14:paraId="08B6D7EC" w14:textId="6955D65A" w:rsidR="00925D1B" w:rsidRDefault="00E97D51">
      <w:pPr>
        <w:pStyle w:val="TOC2"/>
        <w:rPr>
          <w:rFonts w:asciiTheme="minorHAnsi" w:eastAsiaTheme="minorEastAsia" w:hAnsiTheme="minorHAnsi" w:cstheme="minorBidi"/>
          <w:spacing w:val="0"/>
          <w:sz w:val="22"/>
          <w:szCs w:val="22"/>
        </w:rPr>
      </w:pPr>
      <w:hyperlink w:anchor="_Toc80795868" w:history="1">
        <w:r w:rsidR="00925D1B" w:rsidRPr="003A75B6">
          <w:rPr>
            <w:rStyle w:val="Hyperlink"/>
            <w:rFonts w:cs="Calibri"/>
          </w:rPr>
          <w:t>Scope of this paper</w:t>
        </w:r>
        <w:r w:rsidR="00925D1B">
          <w:rPr>
            <w:webHidden/>
          </w:rPr>
          <w:tab/>
        </w:r>
        <w:r w:rsidR="00925D1B">
          <w:rPr>
            <w:webHidden/>
          </w:rPr>
          <w:fldChar w:fldCharType="begin"/>
        </w:r>
        <w:r w:rsidR="00925D1B">
          <w:rPr>
            <w:webHidden/>
          </w:rPr>
          <w:instrText xml:space="preserve"> PAGEREF _Toc80795868 \h </w:instrText>
        </w:r>
        <w:r w:rsidR="00925D1B">
          <w:rPr>
            <w:webHidden/>
          </w:rPr>
        </w:r>
        <w:r w:rsidR="00925D1B">
          <w:rPr>
            <w:webHidden/>
          </w:rPr>
          <w:fldChar w:fldCharType="separate"/>
        </w:r>
        <w:r w:rsidR="00D96042">
          <w:rPr>
            <w:webHidden/>
          </w:rPr>
          <w:t>9</w:t>
        </w:r>
        <w:r w:rsidR="00925D1B">
          <w:rPr>
            <w:webHidden/>
          </w:rPr>
          <w:fldChar w:fldCharType="end"/>
        </w:r>
      </w:hyperlink>
    </w:p>
    <w:p w14:paraId="69863E7E" w14:textId="40179034" w:rsidR="00925D1B" w:rsidRDefault="00E97D51">
      <w:pPr>
        <w:pStyle w:val="TOC2"/>
        <w:rPr>
          <w:rFonts w:asciiTheme="minorHAnsi" w:eastAsiaTheme="minorEastAsia" w:hAnsiTheme="minorHAnsi" w:cstheme="minorBidi"/>
          <w:spacing w:val="0"/>
          <w:sz w:val="22"/>
          <w:szCs w:val="22"/>
        </w:rPr>
      </w:pPr>
      <w:hyperlink w:anchor="_Toc80795869" w:history="1">
        <w:r w:rsidR="00925D1B" w:rsidRPr="003A75B6">
          <w:rPr>
            <w:rStyle w:val="Hyperlink"/>
            <w:rFonts w:cs="Calibri"/>
          </w:rPr>
          <w:t>Next steps</w:t>
        </w:r>
        <w:r w:rsidR="00925D1B">
          <w:rPr>
            <w:webHidden/>
          </w:rPr>
          <w:tab/>
        </w:r>
        <w:r w:rsidR="00925D1B">
          <w:rPr>
            <w:webHidden/>
          </w:rPr>
          <w:fldChar w:fldCharType="begin"/>
        </w:r>
        <w:r w:rsidR="00925D1B">
          <w:rPr>
            <w:webHidden/>
          </w:rPr>
          <w:instrText xml:space="preserve"> PAGEREF _Toc80795869 \h </w:instrText>
        </w:r>
        <w:r w:rsidR="00925D1B">
          <w:rPr>
            <w:webHidden/>
          </w:rPr>
        </w:r>
        <w:r w:rsidR="00925D1B">
          <w:rPr>
            <w:webHidden/>
          </w:rPr>
          <w:fldChar w:fldCharType="separate"/>
        </w:r>
        <w:r w:rsidR="00D96042">
          <w:rPr>
            <w:webHidden/>
          </w:rPr>
          <w:t>10</w:t>
        </w:r>
        <w:r w:rsidR="00925D1B">
          <w:rPr>
            <w:webHidden/>
          </w:rPr>
          <w:fldChar w:fldCharType="end"/>
        </w:r>
      </w:hyperlink>
    </w:p>
    <w:p w14:paraId="5E1845BB" w14:textId="151A0766" w:rsidR="00925D1B" w:rsidRDefault="00E97D51">
      <w:pPr>
        <w:pStyle w:val="TOC1"/>
        <w:rPr>
          <w:rFonts w:asciiTheme="minorHAnsi" w:eastAsiaTheme="minorEastAsia" w:hAnsiTheme="minorHAnsi" w:cstheme="minorBidi"/>
          <w:b w:val="0"/>
          <w:spacing w:val="0"/>
          <w:sz w:val="22"/>
          <w:szCs w:val="22"/>
        </w:rPr>
      </w:pPr>
      <w:hyperlink w:anchor="_Toc80795870" w:history="1">
        <w:r w:rsidR="00925D1B" w:rsidRPr="003A75B6">
          <w:rPr>
            <w:rStyle w:val="Hyperlink"/>
          </w:rPr>
          <w:t>Case for action</w:t>
        </w:r>
        <w:r w:rsidR="00925D1B">
          <w:rPr>
            <w:webHidden/>
          </w:rPr>
          <w:tab/>
        </w:r>
        <w:r w:rsidR="00925D1B">
          <w:rPr>
            <w:webHidden/>
          </w:rPr>
          <w:fldChar w:fldCharType="begin"/>
        </w:r>
        <w:r w:rsidR="00925D1B">
          <w:rPr>
            <w:webHidden/>
          </w:rPr>
          <w:instrText xml:space="preserve"> PAGEREF _Toc80795870 \h </w:instrText>
        </w:r>
        <w:r w:rsidR="00925D1B">
          <w:rPr>
            <w:webHidden/>
          </w:rPr>
        </w:r>
        <w:r w:rsidR="00925D1B">
          <w:rPr>
            <w:webHidden/>
          </w:rPr>
          <w:fldChar w:fldCharType="separate"/>
        </w:r>
        <w:r w:rsidR="00D96042">
          <w:rPr>
            <w:webHidden/>
          </w:rPr>
          <w:t>11</w:t>
        </w:r>
        <w:r w:rsidR="00925D1B">
          <w:rPr>
            <w:webHidden/>
          </w:rPr>
          <w:fldChar w:fldCharType="end"/>
        </w:r>
      </w:hyperlink>
    </w:p>
    <w:p w14:paraId="64380E98" w14:textId="658A291F" w:rsidR="00925D1B" w:rsidRDefault="00E97D51">
      <w:pPr>
        <w:pStyle w:val="TOC1"/>
        <w:rPr>
          <w:rFonts w:asciiTheme="minorHAnsi" w:eastAsiaTheme="minorEastAsia" w:hAnsiTheme="minorHAnsi" w:cstheme="minorBidi"/>
          <w:b w:val="0"/>
          <w:spacing w:val="0"/>
          <w:sz w:val="22"/>
          <w:szCs w:val="22"/>
        </w:rPr>
      </w:pPr>
      <w:hyperlink w:anchor="_Toc80795871" w:history="1">
        <w:r w:rsidR="00925D1B" w:rsidRPr="003A75B6">
          <w:rPr>
            <w:rStyle w:val="Hyperlink"/>
          </w:rPr>
          <w:t>Proposed amendments to the 3.4 GHz technical framework</w:t>
        </w:r>
        <w:r w:rsidR="00925D1B">
          <w:rPr>
            <w:webHidden/>
          </w:rPr>
          <w:tab/>
        </w:r>
        <w:r w:rsidR="00925D1B">
          <w:rPr>
            <w:webHidden/>
          </w:rPr>
          <w:fldChar w:fldCharType="begin"/>
        </w:r>
        <w:r w:rsidR="00925D1B">
          <w:rPr>
            <w:webHidden/>
          </w:rPr>
          <w:instrText xml:space="preserve"> PAGEREF _Toc80795871 \h </w:instrText>
        </w:r>
        <w:r w:rsidR="00925D1B">
          <w:rPr>
            <w:webHidden/>
          </w:rPr>
        </w:r>
        <w:r w:rsidR="00925D1B">
          <w:rPr>
            <w:webHidden/>
          </w:rPr>
          <w:fldChar w:fldCharType="separate"/>
        </w:r>
        <w:r w:rsidR="00D96042">
          <w:rPr>
            <w:webHidden/>
          </w:rPr>
          <w:t>12</w:t>
        </w:r>
        <w:r w:rsidR="00925D1B">
          <w:rPr>
            <w:webHidden/>
          </w:rPr>
          <w:fldChar w:fldCharType="end"/>
        </w:r>
      </w:hyperlink>
    </w:p>
    <w:p w14:paraId="5594BA21" w14:textId="7DFAF699" w:rsidR="00925D1B" w:rsidRDefault="00E97D51">
      <w:pPr>
        <w:pStyle w:val="TOC2"/>
        <w:rPr>
          <w:rFonts w:asciiTheme="minorHAnsi" w:eastAsiaTheme="minorEastAsia" w:hAnsiTheme="minorHAnsi" w:cstheme="minorBidi"/>
          <w:spacing w:val="0"/>
          <w:sz w:val="22"/>
          <w:szCs w:val="22"/>
        </w:rPr>
      </w:pPr>
      <w:hyperlink w:anchor="_Toc80795872" w:history="1">
        <w:r w:rsidR="00925D1B" w:rsidRPr="003A75B6">
          <w:rPr>
            <w:rStyle w:val="Hyperlink"/>
          </w:rPr>
          <w:t>Overview of the 3.4 GHz spectrum licence technical framework</w:t>
        </w:r>
        <w:r w:rsidR="00925D1B">
          <w:rPr>
            <w:webHidden/>
          </w:rPr>
          <w:tab/>
        </w:r>
        <w:r w:rsidR="00925D1B">
          <w:rPr>
            <w:webHidden/>
          </w:rPr>
          <w:fldChar w:fldCharType="begin"/>
        </w:r>
        <w:r w:rsidR="00925D1B">
          <w:rPr>
            <w:webHidden/>
          </w:rPr>
          <w:instrText xml:space="preserve"> PAGEREF _Toc80795872 \h </w:instrText>
        </w:r>
        <w:r w:rsidR="00925D1B">
          <w:rPr>
            <w:webHidden/>
          </w:rPr>
        </w:r>
        <w:r w:rsidR="00925D1B">
          <w:rPr>
            <w:webHidden/>
          </w:rPr>
          <w:fldChar w:fldCharType="separate"/>
        </w:r>
        <w:r w:rsidR="00D96042">
          <w:rPr>
            <w:webHidden/>
          </w:rPr>
          <w:t>12</w:t>
        </w:r>
        <w:r w:rsidR="00925D1B">
          <w:rPr>
            <w:webHidden/>
          </w:rPr>
          <w:fldChar w:fldCharType="end"/>
        </w:r>
      </w:hyperlink>
    </w:p>
    <w:p w14:paraId="45B566D2" w14:textId="33C39D01" w:rsidR="00925D1B" w:rsidRDefault="00E97D51">
      <w:pPr>
        <w:pStyle w:val="TOC2"/>
        <w:rPr>
          <w:rFonts w:asciiTheme="minorHAnsi" w:eastAsiaTheme="minorEastAsia" w:hAnsiTheme="minorHAnsi" w:cstheme="minorBidi"/>
          <w:spacing w:val="0"/>
          <w:sz w:val="22"/>
          <w:szCs w:val="22"/>
        </w:rPr>
      </w:pPr>
      <w:hyperlink w:anchor="_Toc80795873" w:history="1">
        <w:r w:rsidR="00925D1B" w:rsidRPr="003A75B6">
          <w:rPr>
            <w:rStyle w:val="Hyperlink"/>
          </w:rPr>
          <w:t>s.145(4) Determination</w:t>
        </w:r>
        <w:r w:rsidR="00925D1B">
          <w:rPr>
            <w:webHidden/>
          </w:rPr>
          <w:tab/>
        </w:r>
        <w:r w:rsidR="00925D1B">
          <w:rPr>
            <w:webHidden/>
          </w:rPr>
          <w:fldChar w:fldCharType="begin"/>
        </w:r>
        <w:r w:rsidR="00925D1B">
          <w:rPr>
            <w:webHidden/>
          </w:rPr>
          <w:instrText xml:space="preserve"> PAGEREF _Toc80795873 \h </w:instrText>
        </w:r>
        <w:r w:rsidR="00925D1B">
          <w:rPr>
            <w:webHidden/>
          </w:rPr>
        </w:r>
        <w:r w:rsidR="00925D1B">
          <w:rPr>
            <w:webHidden/>
          </w:rPr>
          <w:fldChar w:fldCharType="separate"/>
        </w:r>
        <w:r w:rsidR="00D96042">
          <w:rPr>
            <w:webHidden/>
          </w:rPr>
          <w:t>13</w:t>
        </w:r>
        <w:r w:rsidR="00925D1B">
          <w:rPr>
            <w:webHidden/>
          </w:rPr>
          <w:fldChar w:fldCharType="end"/>
        </w:r>
      </w:hyperlink>
    </w:p>
    <w:p w14:paraId="5B36502B" w14:textId="2367F9DB" w:rsidR="00925D1B" w:rsidRDefault="00E97D51">
      <w:pPr>
        <w:pStyle w:val="TOC2"/>
        <w:rPr>
          <w:rFonts w:asciiTheme="minorHAnsi" w:eastAsiaTheme="minorEastAsia" w:hAnsiTheme="minorHAnsi" w:cstheme="minorBidi"/>
          <w:spacing w:val="0"/>
          <w:sz w:val="22"/>
          <w:szCs w:val="22"/>
        </w:rPr>
      </w:pPr>
      <w:hyperlink w:anchor="_Toc80795874" w:history="1">
        <w:r w:rsidR="00925D1B" w:rsidRPr="003A75B6">
          <w:rPr>
            <w:rStyle w:val="Hyperlink"/>
          </w:rPr>
          <w:t>Receiver spurious emission limits</w:t>
        </w:r>
        <w:r w:rsidR="00925D1B">
          <w:rPr>
            <w:webHidden/>
          </w:rPr>
          <w:tab/>
        </w:r>
        <w:r w:rsidR="00925D1B">
          <w:rPr>
            <w:webHidden/>
          </w:rPr>
          <w:fldChar w:fldCharType="begin"/>
        </w:r>
        <w:r w:rsidR="00925D1B">
          <w:rPr>
            <w:webHidden/>
          </w:rPr>
          <w:instrText xml:space="preserve"> PAGEREF _Toc80795874 \h </w:instrText>
        </w:r>
        <w:r w:rsidR="00925D1B">
          <w:rPr>
            <w:webHidden/>
          </w:rPr>
        </w:r>
        <w:r w:rsidR="00925D1B">
          <w:rPr>
            <w:webHidden/>
          </w:rPr>
          <w:fldChar w:fldCharType="separate"/>
        </w:r>
        <w:r w:rsidR="00D96042">
          <w:rPr>
            <w:webHidden/>
          </w:rPr>
          <w:t>15</w:t>
        </w:r>
        <w:r w:rsidR="00925D1B">
          <w:rPr>
            <w:webHidden/>
          </w:rPr>
          <w:fldChar w:fldCharType="end"/>
        </w:r>
      </w:hyperlink>
    </w:p>
    <w:p w14:paraId="4DAE5F35" w14:textId="01CF01B1" w:rsidR="00925D1B" w:rsidRDefault="00E97D51">
      <w:pPr>
        <w:pStyle w:val="TOC2"/>
        <w:rPr>
          <w:rFonts w:asciiTheme="minorHAnsi" w:eastAsiaTheme="minorEastAsia" w:hAnsiTheme="minorHAnsi" w:cstheme="minorBidi"/>
          <w:spacing w:val="0"/>
          <w:sz w:val="22"/>
          <w:szCs w:val="22"/>
        </w:rPr>
      </w:pPr>
      <w:hyperlink w:anchor="_Toc80795875" w:history="1">
        <w:r w:rsidR="00925D1B" w:rsidRPr="003A75B6">
          <w:rPr>
            <w:rStyle w:val="Hyperlink"/>
          </w:rPr>
          <w:t>RALI MS44</w:t>
        </w:r>
        <w:r w:rsidR="00925D1B">
          <w:rPr>
            <w:webHidden/>
          </w:rPr>
          <w:tab/>
        </w:r>
        <w:r w:rsidR="00925D1B">
          <w:rPr>
            <w:webHidden/>
          </w:rPr>
          <w:fldChar w:fldCharType="begin"/>
        </w:r>
        <w:r w:rsidR="00925D1B">
          <w:rPr>
            <w:webHidden/>
          </w:rPr>
          <w:instrText xml:space="preserve"> PAGEREF _Toc80795875 \h </w:instrText>
        </w:r>
        <w:r w:rsidR="00925D1B">
          <w:rPr>
            <w:webHidden/>
          </w:rPr>
        </w:r>
        <w:r w:rsidR="00925D1B">
          <w:rPr>
            <w:webHidden/>
          </w:rPr>
          <w:fldChar w:fldCharType="separate"/>
        </w:r>
        <w:r w:rsidR="00D96042">
          <w:rPr>
            <w:webHidden/>
          </w:rPr>
          <w:t>17</w:t>
        </w:r>
        <w:r w:rsidR="00925D1B">
          <w:rPr>
            <w:webHidden/>
          </w:rPr>
          <w:fldChar w:fldCharType="end"/>
        </w:r>
      </w:hyperlink>
    </w:p>
    <w:p w14:paraId="35874913" w14:textId="7D2FF5D3" w:rsidR="00925D1B" w:rsidRDefault="00E97D51">
      <w:pPr>
        <w:pStyle w:val="TOC1"/>
        <w:rPr>
          <w:rFonts w:asciiTheme="minorHAnsi" w:eastAsiaTheme="minorEastAsia" w:hAnsiTheme="minorHAnsi" w:cstheme="minorBidi"/>
          <w:b w:val="0"/>
          <w:spacing w:val="0"/>
          <w:sz w:val="22"/>
          <w:szCs w:val="22"/>
        </w:rPr>
      </w:pPr>
      <w:hyperlink w:anchor="_Toc80795876" w:history="1">
        <w:r w:rsidR="00925D1B" w:rsidRPr="003A75B6">
          <w:rPr>
            <w:rStyle w:val="Hyperlink"/>
          </w:rPr>
          <w:t>Options for use of spectrum in urban excise areas</w:t>
        </w:r>
        <w:r w:rsidR="00925D1B">
          <w:rPr>
            <w:webHidden/>
          </w:rPr>
          <w:tab/>
        </w:r>
        <w:r w:rsidR="00925D1B">
          <w:rPr>
            <w:webHidden/>
          </w:rPr>
          <w:fldChar w:fldCharType="begin"/>
        </w:r>
        <w:r w:rsidR="00925D1B">
          <w:rPr>
            <w:webHidden/>
          </w:rPr>
          <w:instrText xml:space="preserve"> PAGEREF _Toc80795876 \h </w:instrText>
        </w:r>
        <w:r w:rsidR="00925D1B">
          <w:rPr>
            <w:webHidden/>
          </w:rPr>
        </w:r>
        <w:r w:rsidR="00925D1B">
          <w:rPr>
            <w:webHidden/>
          </w:rPr>
          <w:fldChar w:fldCharType="separate"/>
        </w:r>
        <w:r w:rsidR="00D96042">
          <w:rPr>
            <w:webHidden/>
          </w:rPr>
          <w:t>19</w:t>
        </w:r>
        <w:r w:rsidR="00925D1B">
          <w:rPr>
            <w:webHidden/>
          </w:rPr>
          <w:fldChar w:fldCharType="end"/>
        </w:r>
      </w:hyperlink>
    </w:p>
    <w:p w14:paraId="220B290F" w14:textId="5FBF5BF5" w:rsidR="00925D1B" w:rsidRDefault="00E97D51">
      <w:pPr>
        <w:pStyle w:val="TOC2"/>
        <w:rPr>
          <w:rFonts w:asciiTheme="minorHAnsi" w:eastAsiaTheme="minorEastAsia" w:hAnsiTheme="minorHAnsi" w:cstheme="minorBidi"/>
          <w:spacing w:val="0"/>
          <w:sz w:val="22"/>
          <w:szCs w:val="22"/>
        </w:rPr>
      </w:pPr>
      <w:hyperlink w:anchor="_Toc80795877" w:history="1">
        <w:r w:rsidR="00925D1B" w:rsidRPr="003A75B6">
          <w:rPr>
            <w:rStyle w:val="Hyperlink"/>
          </w:rPr>
          <w:t>Identification of options</w:t>
        </w:r>
        <w:r w:rsidR="00925D1B">
          <w:rPr>
            <w:webHidden/>
          </w:rPr>
          <w:tab/>
        </w:r>
        <w:r w:rsidR="00925D1B">
          <w:rPr>
            <w:webHidden/>
          </w:rPr>
          <w:fldChar w:fldCharType="begin"/>
        </w:r>
        <w:r w:rsidR="00925D1B">
          <w:rPr>
            <w:webHidden/>
          </w:rPr>
          <w:instrText xml:space="preserve"> PAGEREF _Toc80795877 \h </w:instrText>
        </w:r>
        <w:r w:rsidR="00925D1B">
          <w:rPr>
            <w:webHidden/>
          </w:rPr>
        </w:r>
        <w:r w:rsidR="00925D1B">
          <w:rPr>
            <w:webHidden/>
          </w:rPr>
          <w:fldChar w:fldCharType="separate"/>
        </w:r>
        <w:r w:rsidR="00D96042">
          <w:rPr>
            <w:webHidden/>
          </w:rPr>
          <w:t>20</w:t>
        </w:r>
        <w:r w:rsidR="00925D1B">
          <w:rPr>
            <w:webHidden/>
          </w:rPr>
          <w:fldChar w:fldCharType="end"/>
        </w:r>
      </w:hyperlink>
    </w:p>
    <w:p w14:paraId="2132DF0C" w14:textId="5A050A1F" w:rsidR="00925D1B" w:rsidRDefault="00E97D51">
      <w:pPr>
        <w:pStyle w:val="TOC2"/>
        <w:rPr>
          <w:rFonts w:asciiTheme="minorHAnsi" w:eastAsiaTheme="minorEastAsia" w:hAnsiTheme="minorHAnsi" w:cstheme="minorBidi"/>
          <w:spacing w:val="0"/>
          <w:sz w:val="22"/>
          <w:szCs w:val="22"/>
        </w:rPr>
      </w:pPr>
      <w:hyperlink w:anchor="_Toc80795878" w:history="1">
        <w:r w:rsidR="00925D1B" w:rsidRPr="003A75B6">
          <w:rPr>
            <w:rStyle w:val="Hyperlink"/>
          </w:rPr>
          <w:t>Possible interference management criteria</w:t>
        </w:r>
        <w:r w:rsidR="00925D1B">
          <w:rPr>
            <w:webHidden/>
          </w:rPr>
          <w:tab/>
        </w:r>
        <w:r w:rsidR="00925D1B">
          <w:rPr>
            <w:webHidden/>
          </w:rPr>
          <w:fldChar w:fldCharType="begin"/>
        </w:r>
        <w:r w:rsidR="00925D1B">
          <w:rPr>
            <w:webHidden/>
          </w:rPr>
          <w:instrText xml:space="preserve"> PAGEREF _Toc80795878 \h </w:instrText>
        </w:r>
        <w:r w:rsidR="00925D1B">
          <w:rPr>
            <w:webHidden/>
          </w:rPr>
        </w:r>
        <w:r w:rsidR="00925D1B">
          <w:rPr>
            <w:webHidden/>
          </w:rPr>
          <w:fldChar w:fldCharType="separate"/>
        </w:r>
        <w:r w:rsidR="00D96042">
          <w:rPr>
            <w:webHidden/>
          </w:rPr>
          <w:t>22</w:t>
        </w:r>
        <w:r w:rsidR="00925D1B">
          <w:rPr>
            <w:webHidden/>
          </w:rPr>
          <w:fldChar w:fldCharType="end"/>
        </w:r>
      </w:hyperlink>
    </w:p>
    <w:p w14:paraId="37A3847C" w14:textId="23A7FE89" w:rsidR="00925D1B" w:rsidRDefault="00E97D51">
      <w:pPr>
        <w:pStyle w:val="TOC2"/>
        <w:rPr>
          <w:rFonts w:asciiTheme="minorHAnsi" w:eastAsiaTheme="minorEastAsia" w:hAnsiTheme="minorHAnsi" w:cstheme="minorBidi"/>
          <w:spacing w:val="0"/>
          <w:sz w:val="22"/>
          <w:szCs w:val="22"/>
        </w:rPr>
      </w:pPr>
      <w:hyperlink w:anchor="_Toc80795879" w:history="1">
        <w:r w:rsidR="00925D1B" w:rsidRPr="003A75B6">
          <w:rPr>
            <w:rStyle w:val="Hyperlink"/>
          </w:rPr>
          <w:t>Assessment of options</w:t>
        </w:r>
        <w:r w:rsidR="00925D1B">
          <w:rPr>
            <w:webHidden/>
          </w:rPr>
          <w:tab/>
        </w:r>
        <w:r w:rsidR="00925D1B">
          <w:rPr>
            <w:webHidden/>
          </w:rPr>
          <w:fldChar w:fldCharType="begin"/>
        </w:r>
        <w:r w:rsidR="00925D1B">
          <w:rPr>
            <w:webHidden/>
          </w:rPr>
          <w:instrText xml:space="preserve"> PAGEREF _Toc80795879 \h </w:instrText>
        </w:r>
        <w:r w:rsidR="00925D1B">
          <w:rPr>
            <w:webHidden/>
          </w:rPr>
        </w:r>
        <w:r w:rsidR="00925D1B">
          <w:rPr>
            <w:webHidden/>
          </w:rPr>
          <w:fldChar w:fldCharType="separate"/>
        </w:r>
        <w:r w:rsidR="00D96042">
          <w:rPr>
            <w:webHidden/>
          </w:rPr>
          <w:t>22</w:t>
        </w:r>
        <w:r w:rsidR="00925D1B">
          <w:rPr>
            <w:webHidden/>
          </w:rPr>
          <w:fldChar w:fldCharType="end"/>
        </w:r>
      </w:hyperlink>
    </w:p>
    <w:p w14:paraId="171E5A92" w14:textId="52CF28A1" w:rsidR="00925D1B" w:rsidRDefault="00E97D51">
      <w:pPr>
        <w:pStyle w:val="TOC2"/>
        <w:rPr>
          <w:rFonts w:asciiTheme="minorHAnsi" w:eastAsiaTheme="minorEastAsia" w:hAnsiTheme="minorHAnsi" w:cstheme="minorBidi"/>
          <w:spacing w:val="0"/>
          <w:sz w:val="22"/>
          <w:szCs w:val="22"/>
        </w:rPr>
      </w:pPr>
      <w:hyperlink w:anchor="_Toc80795880" w:history="1">
        <w:r w:rsidR="00925D1B" w:rsidRPr="003A75B6">
          <w:rPr>
            <w:rStyle w:val="Hyperlink"/>
          </w:rPr>
          <w:t>Summary of assessment</w:t>
        </w:r>
        <w:r w:rsidR="00925D1B">
          <w:rPr>
            <w:webHidden/>
          </w:rPr>
          <w:tab/>
        </w:r>
        <w:r w:rsidR="00925D1B">
          <w:rPr>
            <w:webHidden/>
          </w:rPr>
          <w:fldChar w:fldCharType="begin"/>
        </w:r>
        <w:r w:rsidR="00925D1B">
          <w:rPr>
            <w:webHidden/>
          </w:rPr>
          <w:instrText xml:space="preserve"> PAGEREF _Toc80795880 \h </w:instrText>
        </w:r>
        <w:r w:rsidR="00925D1B">
          <w:rPr>
            <w:webHidden/>
          </w:rPr>
        </w:r>
        <w:r w:rsidR="00925D1B">
          <w:rPr>
            <w:webHidden/>
          </w:rPr>
          <w:fldChar w:fldCharType="separate"/>
        </w:r>
        <w:r w:rsidR="00D96042">
          <w:rPr>
            <w:webHidden/>
          </w:rPr>
          <w:t>30</w:t>
        </w:r>
        <w:r w:rsidR="00925D1B">
          <w:rPr>
            <w:webHidden/>
          </w:rPr>
          <w:fldChar w:fldCharType="end"/>
        </w:r>
      </w:hyperlink>
    </w:p>
    <w:p w14:paraId="02855E7F" w14:textId="0142181E" w:rsidR="00925D1B" w:rsidRDefault="00E97D51">
      <w:pPr>
        <w:pStyle w:val="TOC2"/>
        <w:rPr>
          <w:rFonts w:asciiTheme="minorHAnsi" w:eastAsiaTheme="minorEastAsia" w:hAnsiTheme="minorHAnsi" w:cstheme="minorBidi"/>
          <w:spacing w:val="0"/>
          <w:sz w:val="22"/>
          <w:szCs w:val="22"/>
        </w:rPr>
      </w:pPr>
      <w:hyperlink w:anchor="_Toc80795881" w:history="1">
        <w:r w:rsidR="00925D1B" w:rsidRPr="003A75B6">
          <w:rPr>
            <w:rStyle w:val="Hyperlink"/>
          </w:rPr>
          <w:t>ACMA preliminary preferred option</w:t>
        </w:r>
        <w:r w:rsidR="00925D1B">
          <w:rPr>
            <w:webHidden/>
          </w:rPr>
          <w:tab/>
        </w:r>
        <w:r w:rsidR="00925D1B">
          <w:rPr>
            <w:webHidden/>
          </w:rPr>
          <w:fldChar w:fldCharType="begin"/>
        </w:r>
        <w:r w:rsidR="00925D1B">
          <w:rPr>
            <w:webHidden/>
          </w:rPr>
          <w:instrText xml:space="preserve"> PAGEREF _Toc80795881 \h </w:instrText>
        </w:r>
        <w:r w:rsidR="00925D1B">
          <w:rPr>
            <w:webHidden/>
          </w:rPr>
        </w:r>
        <w:r w:rsidR="00925D1B">
          <w:rPr>
            <w:webHidden/>
          </w:rPr>
          <w:fldChar w:fldCharType="separate"/>
        </w:r>
        <w:r w:rsidR="00D96042">
          <w:rPr>
            <w:webHidden/>
          </w:rPr>
          <w:t>32</w:t>
        </w:r>
        <w:r w:rsidR="00925D1B">
          <w:rPr>
            <w:webHidden/>
          </w:rPr>
          <w:fldChar w:fldCharType="end"/>
        </w:r>
      </w:hyperlink>
    </w:p>
    <w:p w14:paraId="5186DE3D" w14:textId="7E4DF7F0" w:rsidR="00925D1B" w:rsidRDefault="00E97D51">
      <w:pPr>
        <w:pStyle w:val="TOC1"/>
        <w:rPr>
          <w:rFonts w:asciiTheme="minorHAnsi" w:eastAsiaTheme="minorEastAsia" w:hAnsiTheme="minorHAnsi" w:cstheme="minorBidi"/>
          <w:b w:val="0"/>
          <w:spacing w:val="0"/>
          <w:sz w:val="22"/>
          <w:szCs w:val="22"/>
        </w:rPr>
      </w:pPr>
      <w:hyperlink w:anchor="_Toc80795882" w:history="1">
        <w:r w:rsidR="00925D1B" w:rsidRPr="003A75B6">
          <w:rPr>
            <w:rStyle w:val="Hyperlink"/>
          </w:rPr>
          <w:t>Invitation to comment</w:t>
        </w:r>
        <w:r w:rsidR="00925D1B">
          <w:rPr>
            <w:webHidden/>
          </w:rPr>
          <w:tab/>
        </w:r>
        <w:r w:rsidR="00925D1B">
          <w:rPr>
            <w:webHidden/>
          </w:rPr>
          <w:fldChar w:fldCharType="begin"/>
        </w:r>
        <w:r w:rsidR="00925D1B">
          <w:rPr>
            <w:webHidden/>
          </w:rPr>
          <w:instrText xml:space="preserve"> PAGEREF _Toc80795882 \h </w:instrText>
        </w:r>
        <w:r w:rsidR="00925D1B">
          <w:rPr>
            <w:webHidden/>
          </w:rPr>
        </w:r>
        <w:r w:rsidR="00925D1B">
          <w:rPr>
            <w:webHidden/>
          </w:rPr>
          <w:fldChar w:fldCharType="separate"/>
        </w:r>
        <w:r w:rsidR="00D96042">
          <w:rPr>
            <w:webHidden/>
          </w:rPr>
          <w:t>34</w:t>
        </w:r>
        <w:r w:rsidR="00925D1B">
          <w:rPr>
            <w:webHidden/>
          </w:rPr>
          <w:fldChar w:fldCharType="end"/>
        </w:r>
      </w:hyperlink>
    </w:p>
    <w:p w14:paraId="3E08BB88" w14:textId="1C300537" w:rsidR="00925D1B" w:rsidRDefault="00E97D51">
      <w:pPr>
        <w:pStyle w:val="TOC2"/>
        <w:rPr>
          <w:rFonts w:asciiTheme="minorHAnsi" w:eastAsiaTheme="minorEastAsia" w:hAnsiTheme="minorHAnsi" w:cstheme="minorBidi"/>
          <w:spacing w:val="0"/>
          <w:sz w:val="22"/>
          <w:szCs w:val="22"/>
        </w:rPr>
      </w:pPr>
      <w:hyperlink w:anchor="_Toc80795883" w:history="1">
        <w:r w:rsidR="00925D1B" w:rsidRPr="003A75B6">
          <w:rPr>
            <w:rStyle w:val="Hyperlink"/>
          </w:rPr>
          <w:t>Making a submission</w:t>
        </w:r>
        <w:r w:rsidR="00925D1B">
          <w:rPr>
            <w:webHidden/>
          </w:rPr>
          <w:tab/>
        </w:r>
        <w:r w:rsidR="00925D1B">
          <w:rPr>
            <w:webHidden/>
          </w:rPr>
          <w:fldChar w:fldCharType="begin"/>
        </w:r>
        <w:r w:rsidR="00925D1B">
          <w:rPr>
            <w:webHidden/>
          </w:rPr>
          <w:instrText xml:space="preserve"> PAGEREF _Toc80795883 \h </w:instrText>
        </w:r>
        <w:r w:rsidR="00925D1B">
          <w:rPr>
            <w:webHidden/>
          </w:rPr>
        </w:r>
        <w:r w:rsidR="00925D1B">
          <w:rPr>
            <w:webHidden/>
          </w:rPr>
          <w:fldChar w:fldCharType="separate"/>
        </w:r>
        <w:r w:rsidR="00D96042">
          <w:rPr>
            <w:webHidden/>
          </w:rPr>
          <w:t>34</w:t>
        </w:r>
        <w:r w:rsidR="00925D1B">
          <w:rPr>
            <w:webHidden/>
          </w:rPr>
          <w:fldChar w:fldCharType="end"/>
        </w:r>
      </w:hyperlink>
    </w:p>
    <w:p w14:paraId="700F1410" w14:textId="7186F1D5" w:rsidR="00925D1B" w:rsidRDefault="00E97D51">
      <w:pPr>
        <w:pStyle w:val="TOC1"/>
        <w:rPr>
          <w:rFonts w:asciiTheme="minorHAnsi" w:eastAsiaTheme="minorEastAsia" w:hAnsiTheme="minorHAnsi" w:cstheme="minorBidi"/>
          <w:b w:val="0"/>
          <w:spacing w:val="0"/>
          <w:sz w:val="22"/>
          <w:szCs w:val="22"/>
        </w:rPr>
      </w:pPr>
      <w:hyperlink w:anchor="_Toc80795884" w:history="1">
        <w:r w:rsidR="00925D1B" w:rsidRPr="003A75B6">
          <w:rPr>
            <w:rStyle w:val="Hyperlink"/>
          </w:rPr>
          <w:t>Appendix A: Urban excise areas</w:t>
        </w:r>
        <w:r w:rsidR="00925D1B">
          <w:rPr>
            <w:webHidden/>
          </w:rPr>
          <w:tab/>
        </w:r>
        <w:r w:rsidR="00925D1B">
          <w:rPr>
            <w:webHidden/>
          </w:rPr>
          <w:fldChar w:fldCharType="begin"/>
        </w:r>
        <w:r w:rsidR="00925D1B">
          <w:rPr>
            <w:webHidden/>
          </w:rPr>
          <w:instrText xml:space="preserve"> PAGEREF _Toc80795884 \h </w:instrText>
        </w:r>
        <w:r w:rsidR="00925D1B">
          <w:rPr>
            <w:webHidden/>
          </w:rPr>
        </w:r>
        <w:r w:rsidR="00925D1B">
          <w:rPr>
            <w:webHidden/>
          </w:rPr>
          <w:fldChar w:fldCharType="separate"/>
        </w:r>
        <w:r w:rsidR="00D96042">
          <w:rPr>
            <w:webHidden/>
          </w:rPr>
          <w:t>35</w:t>
        </w:r>
        <w:r w:rsidR="00925D1B">
          <w:rPr>
            <w:webHidden/>
          </w:rPr>
          <w:fldChar w:fldCharType="end"/>
        </w:r>
      </w:hyperlink>
    </w:p>
    <w:p w14:paraId="0D81AAD8" w14:textId="46EFC403" w:rsidR="00925D1B" w:rsidRDefault="00E97D51">
      <w:pPr>
        <w:pStyle w:val="TOC1"/>
        <w:rPr>
          <w:rFonts w:asciiTheme="minorHAnsi" w:eastAsiaTheme="minorEastAsia" w:hAnsiTheme="minorHAnsi" w:cstheme="minorBidi"/>
          <w:b w:val="0"/>
          <w:spacing w:val="0"/>
          <w:sz w:val="22"/>
          <w:szCs w:val="22"/>
        </w:rPr>
      </w:pPr>
      <w:hyperlink w:anchor="_Toc80795885" w:history="1">
        <w:r w:rsidR="00925D1B" w:rsidRPr="003A75B6">
          <w:rPr>
            <w:rStyle w:val="Hyperlink"/>
          </w:rPr>
          <w:t>Appendix E: Possible interference management criteria for urban excise areas</w:t>
        </w:r>
        <w:r w:rsidR="00925D1B">
          <w:rPr>
            <w:webHidden/>
          </w:rPr>
          <w:tab/>
        </w:r>
        <w:r w:rsidR="00925D1B">
          <w:rPr>
            <w:webHidden/>
          </w:rPr>
          <w:fldChar w:fldCharType="begin"/>
        </w:r>
        <w:r w:rsidR="00925D1B">
          <w:rPr>
            <w:webHidden/>
          </w:rPr>
          <w:instrText xml:space="preserve"> PAGEREF _Toc80795885 \h </w:instrText>
        </w:r>
        <w:r w:rsidR="00925D1B">
          <w:rPr>
            <w:webHidden/>
          </w:rPr>
        </w:r>
        <w:r w:rsidR="00925D1B">
          <w:rPr>
            <w:webHidden/>
          </w:rPr>
          <w:fldChar w:fldCharType="separate"/>
        </w:r>
        <w:r w:rsidR="00D96042">
          <w:rPr>
            <w:webHidden/>
          </w:rPr>
          <w:t>37</w:t>
        </w:r>
        <w:r w:rsidR="00925D1B">
          <w:rPr>
            <w:webHidden/>
          </w:rPr>
          <w:fldChar w:fldCharType="end"/>
        </w:r>
      </w:hyperlink>
    </w:p>
    <w:p w14:paraId="4283CBDA" w14:textId="2CE2EFD4" w:rsidR="00925D1B" w:rsidRDefault="00E97D51">
      <w:pPr>
        <w:pStyle w:val="TOC2"/>
        <w:rPr>
          <w:rFonts w:asciiTheme="minorHAnsi" w:eastAsiaTheme="minorEastAsia" w:hAnsiTheme="minorHAnsi" w:cstheme="minorBidi"/>
          <w:spacing w:val="0"/>
          <w:sz w:val="22"/>
          <w:szCs w:val="22"/>
        </w:rPr>
      </w:pPr>
      <w:hyperlink w:anchor="_Toc80795886" w:history="1">
        <w:r w:rsidR="00925D1B" w:rsidRPr="003A75B6">
          <w:rPr>
            <w:rStyle w:val="Hyperlink"/>
          </w:rPr>
          <w:t>Interference mechanisms</w:t>
        </w:r>
        <w:r w:rsidR="00925D1B">
          <w:rPr>
            <w:webHidden/>
          </w:rPr>
          <w:tab/>
        </w:r>
        <w:r w:rsidR="00925D1B">
          <w:rPr>
            <w:webHidden/>
          </w:rPr>
          <w:fldChar w:fldCharType="begin"/>
        </w:r>
        <w:r w:rsidR="00925D1B">
          <w:rPr>
            <w:webHidden/>
          </w:rPr>
          <w:instrText xml:space="preserve"> PAGEREF _Toc80795886 \h </w:instrText>
        </w:r>
        <w:r w:rsidR="00925D1B">
          <w:rPr>
            <w:webHidden/>
          </w:rPr>
        </w:r>
        <w:r w:rsidR="00925D1B">
          <w:rPr>
            <w:webHidden/>
          </w:rPr>
          <w:fldChar w:fldCharType="separate"/>
        </w:r>
        <w:r w:rsidR="00D96042">
          <w:rPr>
            <w:webHidden/>
          </w:rPr>
          <w:t>37</w:t>
        </w:r>
        <w:r w:rsidR="00925D1B">
          <w:rPr>
            <w:webHidden/>
          </w:rPr>
          <w:fldChar w:fldCharType="end"/>
        </w:r>
      </w:hyperlink>
    </w:p>
    <w:p w14:paraId="55304A8D" w14:textId="54E84E3D" w:rsidR="00925D1B" w:rsidRDefault="00E97D51">
      <w:pPr>
        <w:pStyle w:val="TOC2"/>
        <w:rPr>
          <w:rFonts w:asciiTheme="minorHAnsi" w:eastAsiaTheme="minorEastAsia" w:hAnsiTheme="minorHAnsi" w:cstheme="minorBidi"/>
          <w:spacing w:val="0"/>
          <w:sz w:val="22"/>
          <w:szCs w:val="22"/>
        </w:rPr>
      </w:pPr>
      <w:hyperlink w:anchor="_Toc80795887" w:history="1">
        <w:r w:rsidR="00925D1B" w:rsidRPr="003A75B6">
          <w:rPr>
            <w:rStyle w:val="Hyperlink"/>
          </w:rPr>
          <w:t>Option 1 interference management criteria</w:t>
        </w:r>
        <w:r w:rsidR="00925D1B">
          <w:rPr>
            <w:webHidden/>
          </w:rPr>
          <w:tab/>
        </w:r>
        <w:r w:rsidR="00925D1B">
          <w:rPr>
            <w:webHidden/>
          </w:rPr>
          <w:fldChar w:fldCharType="begin"/>
        </w:r>
        <w:r w:rsidR="00925D1B">
          <w:rPr>
            <w:webHidden/>
          </w:rPr>
          <w:instrText xml:space="preserve"> PAGEREF _Toc80795887 \h </w:instrText>
        </w:r>
        <w:r w:rsidR="00925D1B">
          <w:rPr>
            <w:webHidden/>
          </w:rPr>
        </w:r>
        <w:r w:rsidR="00925D1B">
          <w:rPr>
            <w:webHidden/>
          </w:rPr>
          <w:fldChar w:fldCharType="separate"/>
        </w:r>
        <w:r w:rsidR="00D96042">
          <w:rPr>
            <w:webHidden/>
          </w:rPr>
          <w:t>38</w:t>
        </w:r>
        <w:r w:rsidR="00925D1B">
          <w:rPr>
            <w:webHidden/>
          </w:rPr>
          <w:fldChar w:fldCharType="end"/>
        </w:r>
      </w:hyperlink>
    </w:p>
    <w:p w14:paraId="38A8F3B1" w14:textId="6D345717" w:rsidR="00925D1B" w:rsidRDefault="00E97D51">
      <w:pPr>
        <w:pStyle w:val="TOC2"/>
        <w:rPr>
          <w:rFonts w:asciiTheme="minorHAnsi" w:eastAsiaTheme="minorEastAsia" w:hAnsiTheme="minorHAnsi" w:cstheme="minorBidi"/>
          <w:spacing w:val="0"/>
          <w:sz w:val="22"/>
          <w:szCs w:val="22"/>
        </w:rPr>
      </w:pPr>
      <w:hyperlink w:anchor="_Toc80795888" w:history="1">
        <w:r w:rsidR="00925D1B" w:rsidRPr="003A75B6">
          <w:rPr>
            <w:rStyle w:val="Hyperlink"/>
          </w:rPr>
          <w:t>Option 2 interference management criteria</w:t>
        </w:r>
        <w:r w:rsidR="00925D1B">
          <w:rPr>
            <w:webHidden/>
          </w:rPr>
          <w:tab/>
        </w:r>
        <w:r w:rsidR="00925D1B">
          <w:rPr>
            <w:webHidden/>
          </w:rPr>
          <w:fldChar w:fldCharType="begin"/>
        </w:r>
        <w:r w:rsidR="00925D1B">
          <w:rPr>
            <w:webHidden/>
          </w:rPr>
          <w:instrText xml:space="preserve"> PAGEREF _Toc80795888 \h </w:instrText>
        </w:r>
        <w:r w:rsidR="00925D1B">
          <w:rPr>
            <w:webHidden/>
          </w:rPr>
        </w:r>
        <w:r w:rsidR="00925D1B">
          <w:rPr>
            <w:webHidden/>
          </w:rPr>
          <w:fldChar w:fldCharType="separate"/>
        </w:r>
        <w:r w:rsidR="00D96042">
          <w:rPr>
            <w:webHidden/>
          </w:rPr>
          <w:t>42</w:t>
        </w:r>
        <w:r w:rsidR="00925D1B">
          <w:rPr>
            <w:webHidden/>
          </w:rPr>
          <w:fldChar w:fldCharType="end"/>
        </w:r>
      </w:hyperlink>
    </w:p>
    <w:p w14:paraId="44CEFD10" w14:textId="3370F5CF" w:rsidR="00925D1B" w:rsidRDefault="00E97D51">
      <w:pPr>
        <w:pStyle w:val="TOC2"/>
        <w:rPr>
          <w:rFonts w:asciiTheme="minorHAnsi" w:eastAsiaTheme="minorEastAsia" w:hAnsiTheme="minorHAnsi" w:cstheme="minorBidi"/>
          <w:spacing w:val="0"/>
          <w:sz w:val="22"/>
          <w:szCs w:val="22"/>
        </w:rPr>
      </w:pPr>
      <w:hyperlink w:anchor="_Toc80795897" w:history="1">
        <w:r w:rsidR="00925D1B" w:rsidRPr="003A75B6">
          <w:rPr>
            <w:rStyle w:val="Hyperlink"/>
          </w:rPr>
          <w:t>Option 3 interference management criteria</w:t>
        </w:r>
        <w:r w:rsidR="00925D1B">
          <w:rPr>
            <w:webHidden/>
          </w:rPr>
          <w:tab/>
        </w:r>
        <w:r w:rsidR="00925D1B">
          <w:rPr>
            <w:webHidden/>
          </w:rPr>
          <w:fldChar w:fldCharType="begin"/>
        </w:r>
        <w:r w:rsidR="00925D1B">
          <w:rPr>
            <w:webHidden/>
          </w:rPr>
          <w:instrText xml:space="preserve"> PAGEREF _Toc80795897 \h </w:instrText>
        </w:r>
        <w:r w:rsidR="00925D1B">
          <w:rPr>
            <w:webHidden/>
          </w:rPr>
        </w:r>
        <w:r w:rsidR="00925D1B">
          <w:rPr>
            <w:webHidden/>
          </w:rPr>
          <w:fldChar w:fldCharType="separate"/>
        </w:r>
        <w:r w:rsidR="00D96042">
          <w:rPr>
            <w:webHidden/>
          </w:rPr>
          <w:t>42</w:t>
        </w:r>
        <w:r w:rsidR="00925D1B">
          <w:rPr>
            <w:webHidden/>
          </w:rPr>
          <w:fldChar w:fldCharType="end"/>
        </w:r>
      </w:hyperlink>
    </w:p>
    <w:p w14:paraId="0A5BC702" w14:textId="2FDBFE51" w:rsidR="00925D1B" w:rsidRDefault="00E97D51">
      <w:pPr>
        <w:pStyle w:val="TOC2"/>
        <w:rPr>
          <w:rFonts w:asciiTheme="minorHAnsi" w:eastAsiaTheme="minorEastAsia" w:hAnsiTheme="minorHAnsi" w:cstheme="minorBidi"/>
          <w:spacing w:val="0"/>
          <w:sz w:val="22"/>
          <w:szCs w:val="22"/>
        </w:rPr>
      </w:pPr>
      <w:hyperlink w:anchor="_Toc80795907" w:history="1">
        <w:r w:rsidR="00925D1B" w:rsidRPr="003A75B6">
          <w:rPr>
            <w:rStyle w:val="Hyperlink"/>
          </w:rPr>
          <w:t>Option 4 interference management criteria</w:t>
        </w:r>
        <w:r w:rsidR="00925D1B">
          <w:rPr>
            <w:webHidden/>
          </w:rPr>
          <w:tab/>
        </w:r>
        <w:r w:rsidR="00925D1B">
          <w:rPr>
            <w:webHidden/>
          </w:rPr>
          <w:fldChar w:fldCharType="begin"/>
        </w:r>
        <w:r w:rsidR="00925D1B">
          <w:rPr>
            <w:webHidden/>
          </w:rPr>
          <w:instrText xml:space="preserve"> PAGEREF _Toc80795907 \h </w:instrText>
        </w:r>
        <w:r w:rsidR="00925D1B">
          <w:rPr>
            <w:webHidden/>
          </w:rPr>
        </w:r>
        <w:r w:rsidR="00925D1B">
          <w:rPr>
            <w:webHidden/>
          </w:rPr>
          <w:fldChar w:fldCharType="separate"/>
        </w:r>
        <w:r w:rsidR="00D96042">
          <w:rPr>
            <w:webHidden/>
          </w:rPr>
          <w:t>43</w:t>
        </w:r>
        <w:r w:rsidR="00925D1B">
          <w:rPr>
            <w:webHidden/>
          </w:rPr>
          <w:fldChar w:fldCharType="end"/>
        </w:r>
      </w:hyperlink>
    </w:p>
    <w:p w14:paraId="52E9A076" w14:textId="7DEE5C22" w:rsidR="004D56FF" w:rsidRPr="000D76E0" w:rsidRDefault="006A3ECF">
      <w:pPr>
        <w:rPr>
          <w:rFonts w:cs="Arial"/>
        </w:rPr>
        <w:sectPr w:rsidR="004D56FF" w:rsidRPr="000D76E0" w:rsidSect="00C77380">
          <w:headerReference w:type="even" r:id="rId19"/>
          <w:headerReference w:type="default" r:id="rId20"/>
          <w:footerReference w:type="even" r:id="rId21"/>
          <w:footerReference w:type="default" r:id="rId22"/>
          <w:footerReference w:type="first" r:id="rId23"/>
          <w:pgSz w:w="11906" w:h="16838" w:code="9"/>
          <w:pgMar w:top="3646" w:right="3101" w:bottom="1134" w:left="1134" w:header="709" w:footer="119" w:gutter="0"/>
          <w:cols w:space="708"/>
          <w:titlePg/>
          <w:docGrid w:linePitch="360"/>
        </w:sectPr>
      </w:pPr>
      <w:r>
        <w:rPr>
          <w:rFonts w:cs="Arial"/>
          <w:noProof/>
          <w:spacing w:val="-14"/>
          <w:sz w:val="28"/>
        </w:rPr>
        <w:fldChar w:fldCharType="end"/>
      </w:r>
    </w:p>
    <w:p w14:paraId="67BDB777" w14:textId="77777777" w:rsidR="009D6C71" w:rsidRPr="009174F3" w:rsidRDefault="009D6C71" w:rsidP="009174F3">
      <w:pPr>
        <w:pStyle w:val="Execsummaryheading"/>
      </w:pPr>
      <w:bookmarkStart w:id="0" w:name="_Toc80795860"/>
      <w:r w:rsidRPr="009174F3">
        <w:t>Executive summary</w:t>
      </w:r>
      <w:bookmarkEnd w:id="0"/>
    </w:p>
    <w:p w14:paraId="4E991F72" w14:textId="226B1253" w:rsidR="00D22045" w:rsidRPr="00D22045" w:rsidRDefault="00D22045" w:rsidP="00D22045">
      <w:pPr>
        <w:spacing w:before="240"/>
        <w:rPr>
          <w:rFonts w:cs="Arial"/>
        </w:rPr>
      </w:pPr>
      <w:bookmarkStart w:id="1" w:name="_Toc433122125"/>
      <w:r w:rsidRPr="00D22045">
        <w:rPr>
          <w:rFonts w:cs="Arial"/>
          <w:bCs/>
          <w:color w:val="000000" w:themeColor="text1"/>
          <w:szCs w:val="20"/>
        </w:rPr>
        <w:t>In November 2019</w:t>
      </w:r>
      <w:r w:rsidR="00BD432B">
        <w:rPr>
          <w:rFonts w:cs="Arial"/>
          <w:bCs/>
          <w:color w:val="000000" w:themeColor="text1"/>
          <w:szCs w:val="20"/>
        </w:rPr>
        <w:t>,</w:t>
      </w:r>
      <w:r w:rsidRPr="00D22045">
        <w:rPr>
          <w:rFonts w:cs="Arial"/>
          <w:bCs/>
          <w:color w:val="000000" w:themeColor="text1"/>
          <w:szCs w:val="20"/>
        </w:rPr>
        <w:t xml:space="preserve"> the </w:t>
      </w:r>
      <w:r w:rsidRPr="00D22045">
        <w:rPr>
          <w:rFonts w:cs="Arial"/>
        </w:rPr>
        <w:t xml:space="preserve">Australian Communications and Media Authority (ACMA) </w:t>
      </w:r>
      <w:r w:rsidRPr="00D22045">
        <w:rPr>
          <w:rFonts w:cs="Arial"/>
          <w:bCs/>
          <w:color w:val="000000" w:themeColor="text1"/>
          <w:szCs w:val="20"/>
        </w:rPr>
        <w:t xml:space="preserve"> released the </w:t>
      </w:r>
      <w:hyperlink r:id="rId24" w:history="1">
        <w:r w:rsidRPr="00D22045">
          <w:rPr>
            <w:rFonts w:cs="Arial"/>
            <w:i/>
            <w:iCs/>
            <w:color w:val="0000FF"/>
            <w:szCs w:val="20"/>
            <w:u w:val="single" w:color="0000FF"/>
          </w:rPr>
          <w:t>Optimising arrangements for the 3400</w:t>
        </w:r>
        <w:r w:rsidR="00C80BFD">
          <w:rPr>
            <w:rFonts w:cs="Arial"/>
            <w:i/>
            <w:iCs/>
            <w:color w:val="0000FF"/>
            <w:szCs w:val="20"/>
            <w:u w:val="single" w:color="0000FF"/>
          </w:rPr>
          <w:t>–</w:t>
        </w:r>
        <w:r w:rsidRPr="00D22045">
          <w:rPr>
            <w:rFonts w:cs="Arial"/>
            <w:i/>
            <w:iCs/>
            <w:color w:val="0000FF"/>
            <w:szCs w:val="20"/>
            <w:u w:val="single" w:color="0000FF"/>
          </w:rPr>
          <w:t>3575 MHz band – Planning decisions and preliminary views</w:t>
        </w:r>
      </w:hyperlink>
      <w:r w:rsidRPr="00D22045">
        <w:rPr>
          <w:rFonts w:cs="Arial"/>
          <w:bCs/>
          <w:color w:val="000000" w:themeColor="text1"/>
          <w:szCs w:val="20"/>
        </w:rPr>
        <w:t xml:space="preserve"> </w:t>
      </w:r>
      <w:bookmarkStart w:id="2" w:name="_Hlk78976249"/>
      <w:r w:rsidR="00C80BFD">
        <w:rPr>
          <w:rFonts w:cs="Arial"/>
          <w:bCs/>
          <w:color w:val="000000" w:themeColor="text1"/>
          <w:szCs w:val="20"/>
        </w:rPr>
        <w:t>o</w:t>
      </w:r>
      <w:r w:rsidRPr="00D22045">
        <w:rPr>
          <w:rFonts w:cs="Arial"/>
          <w:bCs/>
          <w:color w:val="000000" w:themeColor="text1"/>
          <w:szCs w:val="20"/>
        </w:rPr>
        <w:t>utcomes paper</w:t>
      </w:r>
      <w:bookmarkEnd w:id="2"/>
      <w:r w:rsidRPr="00D22045">
        <w:rPr>
          <w:rFonts w:cs="Arial"/>
          <w:bCs/>
          <w:color w:val="000000" w:themeColor="text1"/>
          <w:szCs w:val="20"/>
        </w:rPr>
        <w:t>.</w:t>
      </w:r>
      <w:r w:rsidRPr="00D22045">
        <w:rPr>
          <w:rFonts w:cs="Arial"/>
          <w:b/>
          <w:color w:val="000000" w:themeColor="text1"/>
          <w:szCs w:val="20"/>
        </w:rPr>
        <w:t xml:space="preserve"> </w:t>
      </w:r>
      <w:r w:rsidR="00C80BFD">
        <w:rPr>
          <w:rFonts w:cs="Arial"/>
          <w:bCs/>
          <w:color w:val="000000" w:themeColor="text1"/>
          <w:szCs w:val="20"/>
        </w:rPr>
        <w:t xml:space="preserve">It </w:t>
      </w:r>
      <w:r w:rsidRPr="00D22045">
        <w:rPr>
          <w:rFonts w:cs="Arial"/>
        </w:rPr>
        <w:t xml:space="preserve">outlined </w:t>
      </w:r>
      <w:r w:rsidR="00C80BFD">
        <w:rPr>
          <w:rFonts w:cs="Arial"/>
        </w:rPr>
        <w:t>our</w:t>
      </w:r>
      <w:r w:rsidRPr="00D22045">
        <w:rPr>
          <w:rFonts w:cs="Arial"/>
        </w:rPr>
        <w:t xml:space="preserve"> plans to defragment</w:t>
      </w:r>
      <w:r w:rsidR="00C80BFD">
        <w:rPr>
          <w:rFonts w:cs="Arial"/>
        </w:rPr>
        <w:t> </w:t>
      </w:r>
      <w:r w:rsidRPr="00D22045">
        <w:rPr>
          <w:rFonts w:cs="Arial"/>
        </w:rPr>
        <w:t>apparatus licence arrangements and spectrum licence holdings in the 3400</w:t>
      </w:r>
      <w:r w:rsidR="00C80BFD">
        <w:rPr>
          <w:rFonts w:cs="Arial"/>
        </w:rPr>
        <w:t>–</w:t>
      </w:r>
      <w:r w:rsidRPr="00D22045">
        <w:rPr>
          <w:rFonts w:cs="Arial"/>
        </w:rPr>
        <w:t xml:space="preserve">3575 MHz band. Since releasing the paper, </w:t>
      </w:r>
      <w:r w:rsidR="00C80BFD">
        <w:rPr>
          <w:rFonts w:cs="Arial"/>
        </w:rPr>
        <w:t xml:space="preserve">we have </w:t>
      </w:r>
      <w:r w:rsidRPr="00D22045">
        <w:rPr>
          <w:rFonts w:cs="Arial"/>
        </w:rPr>
        <w:t xml:space="preserve">been working to implement the planning outcomes.  </w:t>
      </w:r>
    </w:p>
    <w:p w14:paraId="019D086E" w14:textId="3EDCF03C" w:rsidR="00FC7CF6" w:rsidRDefault="00FC7CF6" w:rsidP="00696EB4">
      <w:pPr>
        <w:pStyle w:val="Paragraphbeforelist"/>
      </w:pPr>
      <w:r>
        <w:t xml:space="preserve">Key announcements in the </w:t>
      </w:r>
      <w:r w:rsidR="00CA5E12">
        <w:t>o</w:t>
      </w:r>
      <w:r>
        <w:t xml:space="preserve">utcomes paper relevant to this </w:t>
      </w:r>
      <w:r w:rsidR="00F13690">
        <w:t>options</w:t>
      </w:r>
      <w:r>
        <w:t xml:space="preserve"> paper</w:t>
      </w:r>
      <w:r w:rsidR="00192001">
        <w:t xml:space="preserve"> </w:t>
      </w:r>
      <w:r w:rsidR="00F13690">
        <w:t>include</w:t>
      </w:r>
      <w:r>
        <w:t xml:space="preserve">: </w:t>
      </w:r>
    </w:p>
    <w:p w14:paraId="005915DE" w14:textId="5D3957C1" w:rsidR="00FC7CF6" w:rsidRDefault="00F44BE3" w:rsidP="00696EB4">
      <w:pPr>
        <w:pStyle w:val="Bulletlevel1"/>
        <w:rPr>
          <w:color w:val="000000" w:themeColor="text1"/>
          <w:szCs w:val="20"/>
        </w:rPr>
      </w:pPr>
      <w:r>
        <w:t>A</w:t>
      </w:r>
      <w:r w:rsidR="00FC7CF6">
        <w:t>n intention to v</w:t>
      </w:r>
      <w:r w:rsidR="00FC7CF6" w:rsidRPr="003F54C3">
        <w:t xml:space="preserve">ary </w:t>
      </w:r>
      <w:hyperlink r:id="rId25" w:history="1">
        <w:r w:rsidR="00FC7CF6" w:rsidRPr="0059373C">
          <w:rPr>
            <w:rStyle w:val="Hyperlink"/>
            <w:i/>
            <w:iCs/>
          </w:rPr>
          <w:t xml:space="preserve">Radiocommunications assignment and licensing instruction MS44 – </w:t>
        </w:r>
        <w:r w:rsidR="00FC7CF6" w:rsidRPr="002554A9">
          <w:rPr>
            <w:rStyle w:val="Hyperlink"/>
            <w:i/>
            <w:iCs/>
          </w:rPr>
          <w:t>Frequency coordination procedures for the earth station protection zones</w:t>
        </w:r>
      </w:hyperlink>
      <w:r w:rsidR="00FC7CF6">
        <w:rPr>
          <w:i/>
          <w:iCs/>
        </w:rPr>
        <w:t xml:space="preserve"> </w:t>
      </w:r>
      <w:r w:rsidR="00FC7CF6" w:rsidRPr="002554A9">
        <w:t>(</w:t>
      </w:r>
      <w:r w:rsidR="00FC7CF6">
        <w:t>RALI MS44</w:t>
      </w:r>
      <w:r w:rsidR="00FC7CF6" w:rsidRPr="002554A9">
        <w:t>)</w:t>
      </w:r>
      <w:r w:rsidR="00FC7CF6">
        <w:t xml:space="preserve"> </w:t>
      </w:r>
      <w:r w:rsidR="00FC7CF6" w:rsidRPr="003F54C3">
        <w:t xml:space="preserve">so that </w:t>
      </w:r>
      <w:r w:rsidR="00FC7CF6">
        <w:t>earth station protection zones (</w:t>
      </w:r>
      <w:r w:rsidR="00FC7CF6" w:rsidRPr="003F54C3">
        <w:t>ESPZs</w:t>
      </w:r>
      <w:r w:rsidR="00FC7CF6">
        <w:t>)</w:t>
      </w:r>
      <w:r w:rsidR="00FC7CF6" w:rsidRPr="003F54C3">
        <w:t xml:space="preserve"> in eastern Australia cover those parts of the band not subject to spectrum licensing. </w:t>
      </w:r>
    </w:p>
    <w:p w14:paraId="74A89813" w14:textId="042464CA" w:rsidR="00FC7CF6" w:rsidRPr="0059373C" w:rsidRDefault="00CA5E12" w:rsidP="00696EB4">
      <w:pPr>
        <w:pStyle w:val="Bulletlevel1"/>
      </w:pPr>
      <w:r>
        <w:t>P</w:t>
      </w:r>
      <w:r w:rsidR="00FC7CF6">
        <w:t>lans to convert NBN Co’s apparatus</w:t>
      </w:r>
      <w:r w:rsidR="00FC7CF6" w:rsidRPr="00786BCE">
        <w:t xml:space="preserve"> licences in the 3400</w:t>
      </w:r>
      <w:r>
        <w:t>–</w:t>
      </w:r>
      <w:r w:rsidR="00FC7CF6" w:rsidRPr="00786BCE">
        <w:t>3575 MHz band to spectrum lice</w:t>
      </w:r>
      <w:r w:rsidR="00FC7CF6" w:rsidRPr="00041F9C">
        <w:t>nces</w:t>
      </w:r>
      <w:r w:rsidR="00FC7CF6">
        <w:t xml:space="preserve">. </w:t>
      </w:r>
      <w:r w:rsidR="00FC7CF6" w:rsidRPr="0059373C">
        <w:t>This will facilitate spectrum licensees in the 3400</w:t>
      </w:r>
      <w:r>
        <w:t>–</w:t>
      </w:r>
      <w:r w:rsidR="00FC7CF6" w:rsidRPr="0059373C">
        <w:t>3575 MHz band to defragment their spectrum holdings in most areas (</w:t>
      </w:r>
      <w:r>
        <w:t>‘</w:t>
      </w:r>
      <w:r w:rsidR="00FC7CF6" w:rsidRPr="0059373C">
        <w:t>defrag</w:t>
      </w:r>
      <w:r>
        <w:t>’</w:t>
      </w:r>
      <w:r w:rsidR="00FC7CF6" w:rsidRPr="0059373C">
        <w:t xml:space="preserve">). </w:t>
      </w:r>
    </w:p>
    <w:p w14:paraId="02DEFF9C" w14:textId="5903F011" w:rsidR="00FC7CF6" w:rsidRDefault="00CA5E12" w:rsidP="00696EB4">
      <w:pPr>
        <w:pStyle w:val="Bulletlevel1last"/>
      </w:pPr>
      <w:r>
        <w:t>We</w:t>
      </w:r>
      <w:r w:rsidR="00FC7CF6">
        <w:t xml:space="preserve"> would work with NBN Co to surrender any licences it holds in urban areas </w:t>
      </w:r>
      <w:r>
        <w:t>that </w:t>
      </w:r>
      <w:r w:rsidR="00FC7CF6">
        <w:t xml:space="preserve">it does not plan to provide </w:t>
      </w:r>
      <w:r w:rsidR="00FC7CF6" w:rsidRPr="00056A04">
        <w:t>terrestrial</w:t>
      </w:r>
      <w:r w:rsidR="00FC7CF6">
        <w:t xml:space="preserve"> wireless broadband services. </w:t>
      </w:r>
      <w:r w:rsidR="00FC7CF6" w:rsidRPr="00F67B7A">
        <w:t xml:space="preserve">This is referred to as </w:t>
      </w:r>
      <w:r>
        <w:t>‘</w:t>
      </w:r>
      <w:r w:rsidR="00FC7CF6" w:rsidRPr="00F67B7A">
        <w:t>urban excise</w:t>
      </w:r>
      <w:r>
        <w:t>’</w:t>
      </w:r>
      <w:r w:rsidR="00FC7CF6">
        <w:t>. T</w:t>
      </w:r>
      <w:r w:rsidR="00FC7CF6" w:rsidRPr="00F67B7A">
        <w:t xml:space="preserve">he associated urban excise areas are defined in </w:t>
      </w:r>
      <w:hyperlink w:anchor="_Appendix_A:_Urban" w:history="1">
        <w:r w:rsidR="00FC7CF6" w:rsidRPr="00696EB4">
          <w:rPr>
            <w:rStyle w:val="Hyperlink"/>
          </w:rPr>
          <w:t>Appendix A</w:t>
        </w:r>
      </w:hyperlink>
      <w:r w:rsidR="00FC7CF6" w:rsidRPr="00F67B7A">
        <w:t xml:space="preserve">. </w:t>
      </w:r>
      <w:r w:rsidR="00FC7CF6">
        <w:t xml:space="preserve">The ACMA also committed to working with industry to </w:t>
      </w:r>
      <w:r w:rsidR="00FC7CF6" w:rsidRPr="00F67B7A">
        <w:t>investigate ways to make this spectrum available for use by other wireless broadband operators.</w:t>
      </w:r>
    </w:p>
    <w:p w14:paraId="19011A43" w14:textId="38FCD1DA" w:rsidR="0048001E" w:rsidRDefault="00CA5E12" w:rsidP="00D22045">
      <w:pPr>
        <w:spacing w:before="240"/>
      </w:pPr>
      <w:r>
        <w:t>We</w:t>
      </w:r>
      <w:r w:rsidR="0048001E">
        <w:t xml:space="preserve"> </w:t>
      </w:r>
      <w:r w:rsidR="00F13690">
        <w:t xml:space="preserve">consider </w:t>
      </w:r>
      <w:r w:rsidR="0048001E">
        <w:t xml:space="preserve">there is a clear case for action to implement consequential changes to the 3.4 GHz spectrum licence technical framework to support the NBN </w:t>
      </w:r>
      <w:r w:rsidR="00F13690">
        <w:t xml:space="preserve">licence </w:t>
      </w:r>
      <w:r w:rsidR="0048001E">
        <w:t>conversion process</w:t>
      </w:r>
      <w:r w:rsidR="005E3476">
        <w:t xml:space="preserve"> and </w:t>
      </w:r>
      <w:r w:rsidR="0048001E">
        <w:t>band defragmentation</w:t>
      </w:r>
      <w:r>
        <w:t xml:space="preserve">. </w:t>
      </w:r>
      <w:r w:rsidR="00495E5F">
        <w:t>We also consider there is still a case</w:t>
      </w:r>
      <w:r w:rsidR="00696EB4">
        <w:t xml:space="preserve"> </w:t>
      </w:r>
      <w:r w:rsidR="00495E5F">
        <w:t xml:space="preserve">to </w:t>
      </w:r>
      <w:r w:rsidR="0048001E">
        <w:t>investigat</w:t>
      </w:r>
      <w:r w:rsidR="00F13690">
        <w:t>e</w:t>
      </w:r>
      <w:r w:rsidR="0048001E">
        <w:t xml:space="preserve"> </w:t>
      </w:r>
      <w:r w:rsidR="0048001E">
        <w:rPr>
          <w:color w:val="000000" w:themeColor="text1"/>
          <w:szCs w:val="20"/>
        </w:rPr>
        <w:t xml:space="preserve">ways to make urban excise areas available for use by wireless broadband operators other than NBN Co. </w:t>
      </w:r>
      <w:r w:rsidR="00282EEE">
        <w:rPr>
          <w:color w:val="000000" w:themeColor="text1"/>
          <w:szCs w:val="20"/>
        </w:rPr>
        <w:t xml:space="preserve">In combination with the work to implement these outcomes, the ACMA has taken the opportunity </w:t>
      </w:r>
      <w:r w:rsidR="00282EEE">
        <w:t xml:space="preserve">to consider general updates to the </w:t>
      </w:r>
      <w:hyperlink r:id="rId26" w:tgtFrame="_self" w:history="1">
        <w:r w:rsidR="00282EEE" w:rsidRPr="00696EB4">
          <w:rPr>
            <w:bCs/>
            <w:color w:val="0000FF"/>
            <w:u w:val="single" w:color="0000FF"/>
          </w:rPr>
          <w:t>Radiocommunications (Unacceptable Levels of Interference – 3.4 GHz Band) Determination 2015</w:t>
        </w:r>
      </w:hyperlink>
      <w:r w:rsidR="00282EEE" w:rsidRPr="00D22045">
        <w:rPr>
          <w:i/>
          <w:iCs/>
        </w:rPr>
        <w:t xml:space="preserve"> </w:t>
      </w:r>
      <w:r w:rsidR="00282EEE" w:rsidRPr="00D22045">
        <w:t xml:space="preserve">(the s.145(4) </w:t>
      </w:r>
      <w:r>
        <w:t>D</w:t>
      </w:r>
      <w:r w:rsidR="00282EEE" w:rsidRPr="00D22045">
        <w:t>etermination)</w:t>
      </w:r>
      <w:r w:rsidR="00282EEE">
        <w:t xml:space="preserve"> that are progressively being made to similar instrument</w:t>
      </w:r>
      <w:r w:rsidR="000342C6">
        <w:t>s</w:t>
      </w:r>
      <w:r w:rsidR="00282EEE">
        <w:t xml:space="preserve"> in other spectrum licence bands</w:t>
      </w:r>
      <w:r>
        <w:t xml:space="preserve">. We will also </w:t>
      </w:r>
      <w:r w:rsidR="00282EEE">
        <w:t xml:space="preserve">consider aligning </w:t>
      </w:r>
      <w:r w:rsidR="005E3476">
        <w:t>receiver</w:t>
      </w:r>
      <w:r w:rsidR="00282EEE">
        <w:t xml:space="preserve"> spurious emission limits with international standards.</w:t>
      </w:r>
    </w:p>
    <w:p w14:paraId="7133EE71" w14:textId="37F71895" w:rsidR="00D60852" w:rsidRPr="006B6A28" w:rsidRDefault="00A2361B" w:rsidP="006B6A28">
      <w:pPr>
        <w:spacing w:before="240"/>
      </w:pPr>
      <w:r>
        <w:rPr>
          <w:rFonts w:cs="Arial"/>
        </w:rPr>
        <w:t xml:space="preserve">The ACMA has developed proposed amendments to the 3.4 GHz spectrum licence technical framework and options for use of urban excise areas. </w:t>
      </w:r>
      <w:r w:rsidR="005E3476">
        <w:rPr>
          <w:rFonts w:cs="Arial"/>
        </w:rPr>
        <w:t xml:space="preserve">This </w:t>
      </w:r>
      <w:r>
        <w:rPr>
          <w:rFonts w:cs="Arial"/>
        </w:rPr>
        <w:t>paper seek</w:t>
      </w:r>
      <w:r w:rsidR="005E3476">
        <w:rPr>
          <w:rFonts w:cs="Arial"/>
        </w:rPr>
        <w:t>s</w:t>
      </w:r>
      <w:r>
        <w:rPr>
          <w:rFonts w:cs="Arial"/>
        </w:rPr>
        <w:t xml:space="preserve"> comment on those proposed amendments and options. </w:t>
      </w:r>
      <w:r w:rsidRPr="00B308C1">
        <w:rPr>
          <w:rFonts w:cs="Arial"/>
        </w:rPr>
        <w:t xml:space="preserve">Feedback received will help inform </w:t>
      </w:r>
      <w:r w:rsidR="00F34760">
        <w:rPr>
          <w:rFonts w:cs="Arial"/>
        </w:rPr>
        <w:t>our</w:t>
      </w:r>
      <w:r w:rsidRPr="00B308C1">
        <w:rPr>
          <w:rFonts w:cs="Arial"/>
        </w:rPr>
        <w:t xml:space="preserve"> decision making.</w:t>
      </w:r>
    </w:p>
    <w:p w14:paraId="556048BA" w14:textId="0D13B414" w:rsidR="00155646" w:rsidRPr="00A05EC9" w:rsidRDefault="00155646" w:rsidP="00696EB4">
      <w:pPr>
        <w:pStyle w:val="Heading2"/>
        <w:ind w:right="16"/>
      </w:pPr>
      <w:bookmarkStart w:id="3" w:name="_Toc80795861"/>
      <w:r>
        <w:t>Proposed amendments to the 3.4 GHz</w:t>
      </w:r>
      <w:r w:rsidR="00F34760">
        <w:t xml:space="preserve"> </w:t>
      </w:r>
      <w:r w:rsidR="00F34760">
        <w:br/>
      </w:r>
      <w:r>
        <w:t>technical framework</w:t>
      </w:r>
      <w:bookmarkEnd w:id="3"/>
    </w:p>
    <w:p w14:paraId="69D2E707" w14:textId="3C049C5B" w:rsidR="00155646" w:rsidRDefault="00155646" w:rsidP="00696EB4">
      <w:pPr>
        <w:pStyle w:val="Paragraphbeforelist"/>
      </w:pPr>
      <w:r>
        <w:t>This paper proposes changes to the follow</w:t>
      </w:r>
      <w:r w:rsidR="000342C6">
        <w:t>ing</w:t>
      </w:r>
      <w:r>
        <w:t xml:space="preserve"> aspects of the 3.4 GHz spectrum licence technical framework:</w:t>
      </w:r>
    </w:p>
    <w:p w14:paraId="6BC1D747" w14:textId="5E8ADD52" w:rsidR="00155646" w:rsidRPr="006B6A28" w:rsidRDefault="008C6AED" w:rsidP="00696EB4">
      <w:pPr>
        <w:pStyle w:val="Bulletlevel1"/>
      </w:pPr>
      <w:r w:rsidRPr="00696EB4">
        <w:rPr>
          <w:b/>
          <w:bCs/>
        </w:rPr>
        <w:t>T</w:t>
      </w:r>
      <w:r w:rsidR="00155646" w:rsidRPr="00696EB4">
        <w:rPr>
          <w:b/>
          <w:bCs/>
        </w:rPr>
        <w:t xml:space="preserve">he s.145(4) </w:t>
      </w:r>
      <w:r w:rsidR="00F34760">
        <w:rPr>
          <w:b/>
          <w:bCs/>
        </w:rPr>
        <w:t>D</w:t>
      </w:r>
      <w:r w:rsidR="00155646" w:rsidRPr="00696EB4">
        <w:rPr>
          <w:b/>
          <w:bCs/>
        </w:rPr>
        <w:t>etermination</w:t>
      </w:r>
      <w:r w:rsidRPr="00696EB4">
        <w:rPr>
          <w:b/>
          <w:bCs/>
        </w:rPr>
        <w:t>:</w:t>
      </w:r>
      <w:r>
        <w:t xml:space="preserve"> This includes general </w:t>
      </w:r>
      <w:r w:rsidRPr="006B6A28">
        <w:t xml:space="preserve">changes </w:t>
      </w:r>
      <w:r>
        <w:t xml:space="preserve">to </w:t>
      </w:r>
      <w:r w:rsidRPr="006B6A28">
        <w:t xml:space="preserve">align with those identified and implemented in the review of the </w:t>
      </w:r>
      <w:hyperlink r:id="rId27" w:history="1">
        <w:r w:rsidRPr="006B6A28">
          <w:rPr>
            <w:rStyle w:val="Hyperlink"/>
          </w:rPr>
          <w:t>2.3 GHz technical framework</w:t>
        </w:r>
      </w:hyperlink>
      <w:r>
        <w:t xml:space="preserve">. </w:t>
      </w:r>
      <w:r w:rsidRPr="008C6AED">
        <w:t>The</w:t>
      </w:r>
      <w:r>
        <w:t>se</w:t>
      </w:r>
      <w:r w:rsidRPr="008C6AED">
        <w:t xml:space="preserve"> will enable spectrum licensees to deploy services closer to the geographical boundaries of their licence, subsequently increasing </w:t>
      </w:r>
      <w:r w:rsidR="00F13690">
        <w:t>the</w:t>
      </w:r>
      <w:r w:rsidR="00DC1F7C">
        <w:t xml:space="preserve"> </w:t>
      </w:r>
      <w:r w:rsidRPr="008C6AED">
        <w:t>utility of the spectrum.</w:t>
      </w:r>
      <w:r>
        <w:t xml:space="preserve"> An additional change is also proposed to ensure NBN Co can re-register devices that were retuned as part of the defrag process. </w:t>
      </w:r>
      <w:r w:rsidRPr="008C6AED">
        <w:t>It is intended that this</w:t>
      </w:r>
      <w:r>
        <w:t xml:space="preserve"> additional</w:t>
      </w:r>
      <w:r w:rsidRPr="008C6AED">
        <w:t xml:space="preserve"> change be a temporary measure until formal arrangements for urban excise areas are finalised and implemented.</w:t>
      </w:r>
    </w:p>
    <w:p w14:paraId="066CA885" w14:textId="551F5FB5" w:rsidR="00155646" w:rsidRPr="006B6A28" w:rsidRDefault="008C6AED" w:rsidP="00696EB4">
      <w:pPr>
        <w:pStyle w:val="Bulletlevel1"/>
      </w:pPr>
      <w:r w:rsidRPr="00696EB4">
        <w:rPr>
          <w:b/>
          <w:bCs/>
        </w:rPr>
        <w:t>T</w:t>
      </w:r>
      <w:r w:rsidR="00155646" w:rsidRPr="00696EB4">
        <w:rPr>
          <w:b/>
          <w:bCs/>
        </w:rPr>
        <w:t>he core condition related to receiver spurious emission limits</w:t>
      </w:r>
      <w:r w:rsidRPr="00696EB4">
        <w:rPr>
          <w:b/>
          <w:bCs/>
        </w:rPr>
        <w:t>:</w:t>
      </w:r>
      <w:r w:rsidRPr="008C6AED">
        <w:t xml:space="preserve"> It is proposed to modify the limits to align with </w:t>
      </w:r>
      <w:r w:rsidR="00033D3B">
        <w:t>3</w:t>
      </w:r>
      <w:r w:rsidR="00033D3B" w:rsidRPr="00A11362">
        <w:rPr>
          <w:vertAlign w:val="superscript"/>
        </w:rPr>
        <w:t>rd</w:t>
      </w:r>
      <w:r w:rsidR="00033D3B">
        <w:t xml:space="preserve"> Generation Partnership Project (</w:t>
      </w:r>
      <w:r w:rsidRPr="008C6AED">
        <w:t>3GPP</w:t>
      </w:r>
      <w:r w:rsidR="00033D3B">
        <w:t>)</w:t>
      </w:r>
      <w:r w:rsidRPr="008C6AED">
        <w:t xml:space="preserve"> technical specifications. This would allow licensees to tap into global economies of scale for equipment</w:t>
      </w:r>
      <w:r w:rsidR="00F34760">
        <w:t>.</w:t>
      </w:r>
    </w:p>
    <w:p w14:paraId="1189B52F" w14:textId="2FD2BE0B" w:rsidR="00155646" w:rsidRPr="006B6A28" w:rsidRDefault="00155646" w:rsidP="00696EB4">
      <w:pPr>
        <w:pStyle w:val="Bulletlevel1last"/>
      </w:pPr>
      <w:r w:rsidRPr="00696EB4">
        <w:rPr>
          <w:b/>
          <w:bCs/>
        </w:rPr>
        <w:t>RALI MS44</w:t>
      </w:r>
      <w:r w:rsidR="008C6AED" w:rsidRPr="00696EB4">
        <w:rPr>
          <w:b/>
          <w:bCs/>
        </w:rPr>
        <w:t>:</w:t>
      </w:r>
      <w:r w:rsidR="008C6AED">
        <w:t xml:space="preserve"> </w:t>
      </w:r>
      <w:r w:rsidR="000169AD">
        <w:t>It is proposed</w:t>
      </w:r>
      <w:r w:rsidR="008C6AED">
        <w:t xml:space="preserve"> </w:t>
      </w:r>
      <w:r w:rsidR="008C6AED" w:rsidRPr="008C6AED">
        <w:t>to include parts of the 3400</w:t>
      </w:r>
      <w:r w:rsidR="00F34760">
        <w:t>–</w:t>
      </w:r>
      <w:r w:rsidR="008C6AED" w:rsidRPr="008C6AED">
        <w:t>3575 MHz band</w:t>
      </w:r>
      <w:r w:rsidR="00EB39D5">
        <w:t xml:space="preserve"> not subject to spectrum licensing,</w:t>
      </w:r>
      <w:r w:rsidR="008C6AED" w:rsidRPr="008C6AED">
        <w:t xml:space="preserve"> to the list of frequencies offered protection at existing </w:t>
      </w:r>
      <w:r w:rsidR="008C6AED">
        <w:t>ESPZs</w:t>
      </w:r>
      <w:r w:rsidR="008C6AED" w:rsidRPr="008C6AED">
        <w:t xml:space="preserve"> in eastern Australia as well as the Uralla earth station facility. </w:t>
      </w:r>
    </w:p>
    <w:p w14:paraId="572FFFD3" w14:textId="34D96A9C" w:rsidR="00155646" w:rsidRDefault="00155646" w:rsidP="006B6A28">
      <w:pPr>
        <w:spacing w:before="240"/>
        <w:rPr>
          <w:rFonts w:cs="Arial"/>
        </w:rPr>
      </w:pPr>
      <w:r>
        <w:t>The changes proposed to the 3.4 GHz spectrum licence technical framework can be implemented independent</w:t>
      </w:r>
      <w:r w:rsidR="00F13690">
        <w:t>ly</w:t>
      </w:r>
      <w:r>
        <w:t xml:space="preserve"> of arrangements for use of </w:t>
      </w:r>
      <w:r w:rsidR="00F13690">
        <w:t xml:space="preserve">spectrum in the </w:t>
      </w:r>
      <w:r>
        <w:t xml:space="preserve">urban excise areas. </w:t>
      </w:r>
      <w:r w:rsidR="00F13690">
        <w:t xml:space="preserve">Informed by </w:t>
      </w:r>
      <w:r>
        <w:t xml:space="preserve">feedback received on these issues, the ACMA aims to implement </w:t>
      </w:r>
      <w:r w:rsidR="00EB39D5">
        <w:t>any</w:t>
      </w:r>
      <w:r>
        <w:t xml:space="preserve"> changes </w:t>
      </w:r>
      <w:r w:rsidR="008C6AED">
        <w:t xml:space="preserve">in </w:t>
      </w:r>
      <w:r w:rsidR="00DE44FA">
        <w:t xml:space="preserve">the fourth quarter of </w:t>
      </w:r>
      <w:r w:rsidR="008C6AED">
        <w:t>2021</w:t>
      </w:r>
      <w:r>
        <w:rPr>
          <w:rFonts w:cs="Arial"/>
        </w:rPr>
        <w:t xml:space="preserve">. </w:t>
      </w:r>
    </w:p>
    <w:p w14:paraId="5F2E0EBE" w14:textId="7531A8A0" w:rsidR="00155646" w:rsidRPr="00A05EC9" w:rsidRDefault="00155646" w:rsidP="00696EB4">
      <w:pPr>
        <w:pStyle w:val="Heading2"/>
        <w:ind w:right="16"/>
      </w:pPr>
      <w:bookmarkStart w:id="4" w:name="_Toc80795862"/>
      <w:r>
        <w:t xml:space="preserve">Options for use of </w:t>
      </w:r>
      <w:r w:rsidR="002E5D92">
        <w:t xml:space="preserve">spectrum in </w:t>
      </w:r>
      <w:r>
        <w:t>urban excise areas</w:t>
      </w:r>
      <w:bookmarkEnd w:id="4"/>
    </w:p>
    <w:p w14:paraId="6431EB0A" w14:textId="558AA1AF" w:rsidR="005E3476" w:rsidRDefault="005E3476" w:rsidP="00696EB4">
      <w:pPr>
        <w:pStyle w:val="Paragraphbeforelist"/>
      </w:pPr>
      <w:r>
        <w:t xml:space="preserve">Four options have been identified for use </w:t>
      </w:r>
      <w:r w:rsidRPr="009317CD">
        <w:t xml:space="preserve">of </w:t>
      </w:r>
      <w:r w:rsidR="002E5D92">
        <w:t xml:space="preserve">spectrum in </w:t>
      </w:r>
      <w:r w:rsidRPr="009317CD">
        <w:t>urban excise areas</w:t>
      </w:r>
      <w:r w:rsidR="00EB39D5" w:rsidRPr="009317CD">
        <w:t xml:space="preserve">. </w:t>
      </w:r>
      <w:r w:rsidR="00DE44FA">
        <w:t>T</w:t>
      </w:r>
      <w:r w:rsidR="00EB39D5" w:rsidRPr="009317CD">
        <w:t xml:space="preserve">hese are </w:t>
      </w:r>
      <w:r w:rsidRPr="009317CD">
        <w:t>shown in Figure 1</w:t>
      </w:r>
      <w:r w:rsidR="00EB39D5" w:rsidRPr="009317CD">
        <w:t xml:space="preserve">, </w:t>
      </w:r>
      <w:r w:rsidR="00DE44FA">
        <w:t xml:space="preserve">with </w:t>
      </w:r>
      <w:r w:rsidR="00EB39D5" w:rsidRPr="009317CD">
        <w:t>more detail provided in Table 7 of</w:t>
      </w:r>
      <w:r w:rsidR="00EB39D5">
        <w:t xml:space="preserve"> this paper</w:t>
      </w:r>
      <w:r>
        <w:t>. Each option</w:t>
      </w:r>
      <w:r w:rsidR="00EB39D5">
        <w:t xml:space="preserve"> involves</w:t>
      </w:r>
      <w:r>
        <w:t xml:space="preserve"> a different combination of:</w:t>
      </w:r>
    </w:p>
    <w:p w14:paraId="6A12BCD1" w14:textId="2AEA5244" w:rsidR="005E3476" w:rsidRDefault="005E3476" w:rsidP="00696EB4">
      <w:pPr>
        <w:pStyle w:val="Bulletlevel1"/>
      </w:pPr>
      <w:r>
        <w:t>macro-cell</w:t>
      </w:r>
      <w:r w:rsidR="000169AD">
        <w:rPr>
          <w:rStyle w:val="FootnoteReference"/>
          <w:sz w:val="22"/>
          <w:szCs w:val="22"/>
        </w:rPr>
        <w:footnoteReference w:id="2"/>
      </w:r>
      <w:r>
        <w:t xml:space="preserve"> or restricted cell</w:t>
      </w:r>
      <w:r w:rsidR="000169AD">
        <w:rPr>
          <w:rStyle w:val="FootnoteReference"/>
          <w:sz w:val="22"/>
          <w:szCs w:val="22"/>
        </w:rPr>
        <w:footnoteReference w:id="3"/>
      </w:r>
      <w:r>
        <w:t xml:space="preserve"> deployment models</w:t>
      </w:r>
    </w:p>
    <w:p w14:paraId="6BE28420" w14:textId="1BB2FB6C" w:rsidR="005E3476" w:rsidRDefault="005E3476" w:rsidP="00696EB4">
      <w:pPr>
        <w:pStyle w:val="Bulletlevel1last"/>
      </w:pPr>
      <w:r>
        <w:t>support for single or multiple operators per channel in an urban excise area</w:t>
      </w:r>
      <w:r w:rsidR="00DE44FA">
        <w:t>.</w:t>
      </w:r>
      <w:r>
        <w:t xml:space="preserve"> </w:t>
      </w:r>
    </w:p>
    <w:p w14:paraId="5CAC26A1" w14:textId="39390D68" w:rsidR="00155646" w:rsidRDefault="00DE44FA" w:rsidP="00155646">
      <w:pPr>
        <w:pStyle w:val="ACMAFigureHeader"/>
        <w:spacing w:before="360" w:after="0"/>
      </w:pPr>
      <w:r>
        <w:t>P</w:t>
      </w:r>
      <w:r w:rsidR="00155646">
        <w:t>ictorial description of options for urban excise use</w:t>
      </w:r>
      <w:r w:rsidR="00155646">
        <w:rPr>
          <w:rStyle w:val="FootnoteReference"/>
        </w:rPr>
        <w:footnoteReference w:id="4"/>
      </w:r>
    </w:p>
    <w:p w14:paraId="5352CE52" w14:textId="0AE282EE" w:rsidR="00155646" w:rsidRDefault="00155646" w:rsidP="00155646">
      <w:pPr>
        <w:pStyle w:val="ACMAFigureHeader"/>
        <w:numPr>
          <w:ilvl w:val="0"/>
          <w:numId w:val="0"/>
        </w:numPr>
      </w:pPr>
      <w:r w:rsidRPr="00144201">
        <w:rPr>
          <w:noProof/>
        </w:rPr>
        <w:t xml:space="preserve"> </w:t>
      </w:r>
      <w:r w:rsidRPr="00E01008">
        <w:rPr>
          <w:noProof/>
        </w:rPr>
        <w:t xml:space="preserve"> </w:t>
      </w:r>
      <w:r w:rsidR="00133FB4">
        <w:rPr>
          <w:noProof/>
        </w:rPr>
        <w:drawing>
          <wp:inline distT="0" distB="0" distL="0" distR="0" wp14:anchorId="2EC5AB45" wp14:editId="1B058547">
            <wp:extent cx="4871085" cy="2117991"/>
            <wp:effectExtent l="0" t="0" r="5715" b="0"/>
            <wp:docPr id="12" name="Picture 12"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 email&#10;&#10;Description automatically generated"/>
                    <pic:cNvPicPr/>
                  </pic:nvPicPr>
                  <pic:blipFill>
                    <a:blip r:embed="rId28"/>
                    <a:stretch>
                      <a:fillRect/>
                    </a:stretch>
                  </pic:blipFill>
                  <pic:spPr>
                    <a:xfrm>
                      <a:off x="0" y="0"/>
                      <a:ext cx="4871085" cy="2117991"/>
                    </a:xfrm>
                    <a:prstGeom prst="rect">
                      <a:avLst/>
                    </a:prstGeom>
                  </pic:spPr>
                </pic:pic>
              </a:graphicData>
            </a:graphic>
          </wp:inline>
        </w:drawing>
      </w:r>
    </w:p>
    <w:p w14:paraId="34128B24" w14:textId="7B6E1D6D" w:rsidR="001C5903" w:rsidRDefault="008B7A6B" w:rsidP="00696EB4">
      <w:pPr>
        <w:pStyle w:val="Paragraphbeforelist"/>
        <w:rPr>
          <w:lang w:val="en"/>
        </w:rPr>
      </w:pPr>
      <w:r>
        <w:t>To assist with assessing each option</w:t>
      </w:r>
      <w:r w:rsidR="00DE44FA">
        <w:t>,</w:t>
      </w:r>
      <w:r>
        <w:t xml:space="preserve"> </w:t>
      </w:r>
      <w:r w:rsidR="00DE44FA">
        <w:t>we</w:t>
      </w:r>
      <w:r w:rsidR="005E3476">
        <w:t xml:space="preserve"> identified </w:t>
      </w:r>
      <w:r w:rsidR="00134165">
        <w:t xml:space="preserve">4 </w:t>
      </w:r>
      <w:r w:rsidR="001C5903">
        <w:t>desirable planning outcomes</w:t>
      </w:r>
      <w:r w:rsidR="00DE44FA">
        <w:t> </w:t>
      </w:r>
      <w:r w:rsidR="001C5903">
        <w:t xml:space="preserve">for making </w:t>
      </w:r>
      <w:r w:rsidR="002E5D92">
        <w:t xml:space="preserve">spectrum in </w:t>
      </w:r>
      <w:r w:rsidR="001C5903">
        <w:t>urban excise areas available for wireless broadband</w:t>
      </w:r>
      <w:r w:rsidR="00DE44FA">
        <w:t xml:space="preserve">. These </w:t>
      </w:r>
      <w:r w:rsidR="005E3476">
        <w:t>are</w:t>
      </w:r>
      <w:r w:rsidR="001C5903">
        <w:t xml:space="preserve">: </w:t>
      </w:r>
    </w:p>
    <w:p w14:paraId="6CE79F58" w14:textId="6C6F124A" w:rsidR="00AC56A0" w:rsidRDefault="00DE44FA" w:rsidP="00AC56A0">
      <w:pPr>
        <w:pStyle w:val="CommentText"/>
        <w:numPr>
          <w:ilvl w:val="0"/>
          <w:numId w:val="36"/>
        </w:numPr>
        <w:tabs>
          <w:tab w:val="left" w:pos="426"/>
        </w:tabs>
        <w:spacing w:after="80"/>
        <w:rPr>
          <w:rFonts w:cs="Arial"/>
          <w:color w:val="000000" w:themeColor="text1"/>
        </w:rPr>
      </w:pPr>
      <w:r>
        <w:rPr>
          <w:rFonts w:cs="Arial"/>
          <w:color w:val="000000" w:themeColor="text1"/>
        </w:rPr>
        <w:t>P</w:t>
      </w:r>
      <w:r w:rsidR="00AC56A0" w:rsidRPr="002462DF">
        <w:rPr>
          <w:rFonts w:cs="Arial"/>
          <w:color w:val="000000" w:themeColor="text1"/>
        </w:rPr>
        <w:t xml:space="preserve">rovide </w:t>
      </w:r>
      <w:r w:rsidR="00AC56A0">
        <w:rPr>
          <w:rFonts w:cs="Arial"/>
          <w:color w:val="000000" w:themeColor="text1"/>
        </w:rPr>
        <w:t>adequate</w:t>
      </w:r>
      <w:r w:rsidR="00AC56A0" w:rsidRPr="002462DF">
        <w:rPr>
          <w:rFonts w:cs="Arial"/>
          <w:color w:val="000000" w:themeColor="text1"/>
        </w:rPr>
        <w:t xml:space="preserve"> protection to </w:t>
      </w:r>
      <w:r w:rsidR="00AC56A0">
        <w:rPr>
          <w:rFonts w:cs="Arial"/>
          <w:color w:val="000000" w:themeColor="text1"/>
        </w:rPr>
        <w:t xml:space="preserve">incumbent NBN Co </w:t>
      </w:r>
      <w:r w:rsidR="00AC56A0" w:rsidRPr="002462DF">
        <w:rPr>
          <w:rFonts w:cs="Arial"/>
          <w:color w:val="000000" w:themeColor="text1"/>
        </w:rPr>
        <w:t xml:space="preserve">services </w:t>
      </w:r>
      <w:r w:rsidR="00AC56A0">
        <w:rPr>
          <w:rFonts w:cs="Arial"/>
          <w:color w:val="000000" w:themeColor="text1"/>
        </w:rPr>
        <w:t>in adjacent areas</w:t>
      </w:r>
      <w:r>
        <w:rPr>
          <w:rFonts w:cs="Arial"/>
          <w:color w:val="000000" w:themeColor="text1"/>
        </w:rPr>
        <w:t>.</w:t>
      </w:r>
      <w:r w:rsidR="00AC56A0">
        <w:rPr>
          <w:rFonts w:cs="Arial"/>
          <w:color w:val="000000" w:themeColor="text1"/>
        </w:rPr>
        <w:t xml:space="preserve"> </w:t>
      </w:r>
    </w:p>
    <w:p w14:paraId="0CD8D7D3" w14:textId="1087B0B9" w:rsidR="00AC56A0" w:rsidRPr="002462DF" w:rsidRDefault="00DE44FA" w:rsidP="00AC56A0">
      <w:pPr>
        <w:pStyle w:val="CommentText"/>
        <w:numPr>
          <w:ilvl w:val="0"/>
          <w:numId w:val="36"/>
        </w:numPr>
        <w:tabs>
          <w:tab w:val="left" w:pos="426"/>
        </w:tabs>
        <w:spacing w:after="80"/>
        <w:rPr>
          <w:rFonts w:cs="Arial"/>
          <w:color w:val="000000" w:themeColor="text1"/>
        </w:rPr>
      </w:pPr>
      <w:r>
        <w:rPr>
          <w:rFonts w:cs="Arial"/>
          <w:color w:val="000000" w:themeColor="text1"/>
        </w:rPr>
        <w:t>E</w:t>
      </w:r>
      <w:r w:rsidR="00AC56A0" w:rsidRPr="002462DF">
        <w:rPr>
          <w:rFonts w:cs="Arial"/>
          <w:color w:val="000000" w:themeColor="text1"/>
        </w:rPr>
        <w:t xml:space="preserve">nsure </w:t>
      </w:r>
      <w:r w:rsidR="00AC56A0">
        <w:rPr>
          <w:rFonts w:cs="Arial"/>
          <w:color w:val="000000" w:themeColor="text1"/>
        </w:rPr>
        <w:t>NBN Co is</w:t>
      </w:r>
      <w:r w:rsidR="00AC56A0" w:rsidRPr="002462DF">
        <w:rPr>
          <w:rFonts w:cs="Arial"/>
          <w:color w:val="000000" w:themeColor="text1"/>
        </w:rPr>
        <w:t xml:space="preserve"> not unreasonably constrained in </w:t>
      </w:r>
      <w:r>
        <w:rPr>
          <w:rFonts w:cs="Arial"/>
          <w:color w:val="000000" w:themeColor="text1"/>
        </w:rPr>
        <w:t>its</w:t>
      </w:r>
      <w:r w:rsidRPr="002462DF">
        <w:rPr>
          <w:rFonts w:cs="Arial"/>
          <w:color w:val="000000" w:themeColor="text1"/>
        </w:rPr>
        <w:t xml:space="preserve"> </w:t>
      </w:r>
      <w:r w:rsidR="00AC56A0" w:rsidRPr="002462DF">
        <w:rPr>
          <w:rFonts w:cs="Arial"/>
          <w:color w:val="000000" w:themeColor="text1"/>
        </w:rPr>
        <w:t>ability to deploy new and more spectrally efficient technologies in the future</w:t>
      </w:r>
      <w:r w:rsidR="00AC56A0">
        <w:rPr>
          <w:rFonts w:cs="Arial"/>
          <w:color w:val="000000" w:themeColor="text1"/>
        </w:rPr>
        <w:t xml:space="preserve"> (e.g.</w:t>
      </w:r>
      <w:r>
        <w:rPr>
          <w:rFonts w:cs="Arial"/>
          <w:color w:val="000000" w:themeColor="text1"/>
        </w:rPr>
        <w:t>,</w:t>
      </w:r>
      <w:r w:rsidR="00AC56A0">
        <w:rPr>
          <w:rFonts w:cs="Arial"/>
          <w:color w:val="000000" w:themeColor="text1"/>
        </w:rPr>
        <w:t xml:space="preserve"> moving from 4G to 5G technologies)</w:t>
      </w:r>
      <w:r>
        <w:rPr>
          <w:rFonts w:cs="Arial"/>
          <w:color w:val="000000" w:themeColor="text1"/>
        </w:rPr>
        <w:t>.</w:t>
      </w:r>
    </w:p>
    <w:p w14:paraId="75DC8002" w14:textId="228F55A0" w:rsidR="00AC56A0" w:rsidRDefault="00DE44FA" w:rsidP="00AC56A0">
      <w:pPr>
        <w:pStyle w:val="CommentText"/>
        <w:numPr>
          <w:ilvl w:val="0"/>
          <w:numId w:val="36"/>
        </w:numPr>
        <w:tabs>
          <w:tab w:val="left" w:pos="426"/>
        </w:tabs>
        <w:spacing w:after="80"/>
        <w:rPr>
          <w:rFonts w:cs="Arial"/>
          <w:color w:val="000000" w:themeColor="text1"/>
        </w:rPr>
      </w:pPr>
      <w:r>
        <w:t>M</w:t>
      </w:r>
      <w:r w:rsidR="00AC56A0" w:rsidRPr="00551E75">
        <w:t xml:space="preserve">inimise the impact any new arrangements may have on existing 3.4 GHz spectrum licences above 3475 </w:t>
      </w:r>
      <w:proofErr w:type="spellStart"/>
      <w:r w:rsidR="00AC56A0" w:rsidRPr="00551E75">
        <w:t>MHz</w:t>
      </w:r>
      <w:r>
        <w:rPr>
          <w:rFonts w:cs="Arial"/>
          <w:color w:val="000000" w:themeColor="text1"/>
        </w:rPr>
        <w:t>.</w:t>
      </w:r>
      <w:proofErr w:type="spellEnd"/>
    </w:p>
    <w:p w14:paraId="2727BC12" w14:textId="6D9E976C" w:rsidR="00AC56A0" w:rsidRPr="00C61A02" w:rsidRDefault="00DE44FA" w:rsidP="00AC56A0">
      <w:pPr>
        <w:pStyle w:val="CommentText"/>
        <w:numPr>
          <w:ilvl w:val="0"/>
          <w:numId w:val="36"/>
        </w:numPr>
        <w:tabs>
          <w:tab w:val="left" w:pos="426"/>
        </w:tabs>
        <w:rPr>
          <w:rFonts w:cs="Arial"/>
          <w:color w:val="000000" w:themeColor="text1"/>
        </w:rPr>
      </w:pPr>
      <w:r>
        <w:rPr>
          <w:rFonts w:cs="Arial"/>
          <w:color w:val="000000" w:themeColor="text1"/>
        </w:rPr>
        <w:t>M</w:t>
      </w:r>
      <w:r w:rsidR="00AC56A0" w:rsidRPr="00C61A02">
        <w:rPr>
          <w:rFonts w:cs="Arial"/>
          <w:color w:val="000000" w:themeColor="text1"/>
        </w:rPr>
        <w:t xml:space="preserve">aximise the utility of </w:t>
      </w:r>
      <w:r w:rsidR="00D770D8">
        <w:rPr>
          <w:rFonts w:cs="Arial"/>
          <w:color w:val="000000" w:themeColor="text1"/>
        </w:rPr>
        <w:t xml:space="preserve">spectrum in </w:t>
      </w:r>
      <w:r w:rsidR="00AC56A0" w:rsidRPr="00C61A02">
        <w:rPr>
          <w:rFonts w:cs="Arial"/>
          <w:color w:val="000000" w:themeColor="text1"/>
        </w:rPr>
        <w:t>urban excise areas for new wireless broadband services</w:t>
      </w:r>
      <w:r>
        <w:rPr>
          <w:rFonts w:cs="Arial"/>
          <w:color w:val="000000" w:themeColor="text1"/>
        </w:rPr>
        <w:t>.</w:t>
      </w:r>
    </w:p>
    <w:p w14:paraId="65A6395F" w14:textId="64579045" w:rsidR="008B7A6B" w:rsidRPr="006B6A28" w:rsidRDefault="008B7A6B" w:rsidP="00696EB4">
      <w:pPr>
        <w:pStyle w:val="Paragraphbeforelist"/>
      </w:pPr>
      <w:r>
        <w:t>After considering the</w:t>
      </w:r>
      <w:r w:rsidRPr="00577686">
        <w:t xml:space="preserve"> assessment of each option against its </w:t>
      </w:r>
      <w:r>
        <w:t xml:space="preserve">desirable </w:t>
      </w:r>
      <w:r w:rsidRPr="00577686">
        <w:t>planning</w:t>
      </w:r>
      <w:r>
        <w:t xml:space="preserve"> outcomes, the ACMA has identified Option 4 as its preliminary preferred </w:t>
      </w:r>
      <w:r w:rsidR="000B74BF" w:rsidRPr="00A60914">
        <w:t>option for</w:t>
      </w:r>
      <w:r w:rsidR="000B74BF">
        <w:t xml:space="preserve"> use of</w:t>
      </w:r>
      <w:r w:rsidR="00F13690">
        <w:t xml:space="preserve"> spectrum in </w:t>
      </w:r>
      <w:r w:rsidR="000B74BF">
        <w:t>the urban excise areas.</w:t>
      </w:r>
      <w:r w:rsidR="008F4784">
        <w:t xml:space="preserve"> </w:t>
      </w:r>
      <w:r>
        <w:t xml:space="preserve">We consider </w:t>
      </w:r>
      <w:r w:rsidR="00F13690">
        <w:t xml:space="preserve">Option 4 </w:t>
      </w:r>
      <w:r>
        <w:t>best promote</w:t>
      </w:r>
      <w:r w:rsidR="00F13690">
        <w:t>s</w:t>
      </w:r>
      <w:r>
        <w:t xml:space="preserve"> the long</w:t>
      </w:r>
      <w:r>
        <w:rPr>
          <w:rFonts w:ascii="Cambria Math" w:hAnsi="Cambria Math" w:cs="Cambria Math"/>
        </w:rPr>
        <w:t>‑</w:t>
      </w:r>
      <w:r>
        <w:t>term public interest derived from use of the 3400</w:t>
      </w:r>
      <w:r w:rsidR="00991B8B">
        <w:t>–</w:t>
      </w:r>
      <w:r>
        <w:t>3475 MHz band. Key points that support this conclusion are:</w:t>
      </w:r>
    </w:p>
    <w:p w14:paraId="08992430" w14:textId="7917B396" w:rsidR="008B7A6B" w:rsidRPr="006B6A28" w:rsidRDefault="008B7A6B" w:rsidP="00696EB4">
      <w:pPr>
        <w:pStyle w:val="Bulletlevel1"/>
      </w:pPr>
      <w:r>
        <w:t xml:space="preserve">It </w:t>
      </w:r>
      <w:r w:rsidRPr="008F4784">
        <w:t xml:space="preserve">provides the greatest </w:t>
      </w:r>
      <w:r w:rsidR="005F4DB6">
        <w:t xml:space="preserve">technical </w:t>
      </w:r>
      <w:r w:rsidRPr="008F4784">
        <w:t>flexibility for how operators can use urban excise areas. This includes support for both macro and restricted cell deployments.</w:t>
      </w:r>
    </w:p>
    <w:p w14:paraId="7471EE74" w14:textId="62DA3B97" w:rsidR="008B7A6B" w:rsidRPr="006B6A28" w:rsidRDefault="008B7A6B" w:rsidP="00696EB4">
      <w:pPr>
        <w:pStyle w:val="Bulletlevel1"/>
      </w:pPr>
      <w:r w:rsidRPr="008F4784">
        <w:t>It minimises spectrum incorporated into restricted use bands</w:t>
      </w:r>
      <w:r w:rsidR="00991B8B">
        <w:t>.</w:t>
      </w:r>
    </w:p>
    <w:p w14:paraId="0DE36D6C" w14:textId="563FFA0E" w:rsidR="008B7A6B" w:rsidRPr="006B6A28" w:rsidRDefault="008B7A6B" w:rsidP="00696EB4">
      <w:pPr>
        <w:pStyle w:val="Bulletlevel1"/>
      </w:pPr>
      <w:r>
        <w:t>It is expected to result in greater spectrum utility in the 3460</w:t>
      </w:r>
      <w:r w:rsidR="00991B8B">
        <w:t>–</w:t>
      </w:r>
      <w:r>
        <w:t>3475 MHz frequency</w:t>
      </w:r>
      <w:r w:rsidR="00991B8B">
        <w:t> </w:t>
      </w:r>
      <w:r>
        <w:t>range</w:t>
      </w:r>
      <w:r w:rsidR="00991B8B">
        <w:t>.</w:t>
      </w:r>
      <w:r>
        <w:t xml:space="preserve"> </w:t>
      </w:r>
    </w:p>
    <w:p w14:paraId="7B4FB773" w14:textId="3E9A8502" w:rsidR="008B7A6B" w:rsidRDefault="008B7A6B" w:rsidP="00696EB4">
      <w:pPr>
        <w:pStyle w:val="Bulletlevel1last"/>
      </w:pPr>
      <w:r w:rsidRPr="008B7A6B">
        <w:t>In a given area, multiple operators could be supported by licensing them in different segments of the 3400</w:t>
      </w:r>
      <w:r w:rsidR="00991B8B">
        <w:t>–</w:t>
      </w:r>
      <w:r w:rsidRPr="008B7A6B">
        <w:t>3475 MHz frequency range</w:t>
      </w:r>
    </w:p>
    <w:p w14:paraId="76350A89" w14:textId="2FEEB34F" w:rsidR="001C5903" w:rsidRDefault="001C5903" w:rsidP="00D22045">
      <w:pPr>
        <w:spacing w:before="240"/>
        <w:rPr>
          <w:rFonts w:cs="Arial"/>
        </w:rPr>
      </w:pPr>
      <w:r w:rsidRPr="004B54A9">
        <w:t xml:space="preserve">Once a decision has been made on </w:t>
      </w:r>
      <w:r w:rsidR="00C27004">
        <w:t>adoption of an option</w:t>
      </w:r>
      <w:r w:rsidRPr="004B54A9">
        <w:t xml:space="preserve">, </w:t>
      </w:r>
      <w:r w:rsidR="00991B8B">
        <w:t xml:space="preserve">we </w:t>
      </w:r>
      <w:r w:rsidRPr="004B54A9">
        <w:t>will implement that outcome. This includes finalising interference management criteria, developing RALIs and making/updating relevant legislative instruments. Where it makes sense to do so, it is proposed</w:t>
      </w:r>
      <w:r>
        <w:t xml:space="preserve"> any </w:t>
      </w:r>
      <w:r w:rsidRPr="004B54A9">
        <w:t xml:space="preserve">work will be combined with similar work being conducted to implement the </w:t>
      </w:r>
      <w:hyperlink r:id="rId29" w:history="1">
        <w:r w:rsidRPr="004B54A9">
          <w:rPr>
            <w:rStyle w:val="Hyperlink"/>
            <w:i/>
            <w:iCs/>
            <w:szCs w:val="20"/>
          </w:rPr>
          <w:t>Replanning the 3700–4200 MHz band</w:t>
        </w:r>
        <w:r w:rsidR="00991B8B">
          <w:rPr>
            <w:rStyle w:val="Hyperlink"/>
            <w:i/>
            <w:iCs/>
            <w:szCs w:val="20"/>
          </w:rPr>
          <w:t xml:space="preserve"> –</w:t>
        </w:r>
        <w:r w:rsidRPr="004B54A9">
          <w:rPr>
            <w:rStyle w:val="Hyperlink"/>
            <w:i/>
            <w:iCs/>
            <w:szCs w:val="20"/>
          </w:rPr>
          <w:t xml:space="preserve"> Outcomes paper</w:t>
        </w:r>
      </w:hyperlink>
      <w:r w:rsidRPr="004B54A9">
        <w:t>.</w:t>
      </w:r>
    </w:p>
    <w:p w14:paraId="227F2B8F" w14:textId="1CA539A6" w:rsidR="00D22045" w:rsidRPr="00D22045" w:rsidRDefault="00D22045" w:rsidP="00D22045">
      <w:pPr>
        <w:spacing w:before="240"/>
        <w:rPr>
          <w:rFonts w:cs="Arial"/>
        </w:rPr>
      </w:pPr>
    </w:p>
    <w:p w14:paraId="14E0F23F" w14:textId="56025224" w:rsidR="00715722" w:rsidRPr="00023A36" w:rsidRDefault="00715722" w:rsidP="00715722">
      <w:pPr>
        <w:pStyle w:val="Heading1"/>
      </w:pPr>
      <w:bookmarkStart w:id="5" w:name="_Toc80795863"/>
      <w:r>
        <w:t>Issue</w:t>
      </w:r>
      <w:r w:rsidRPr="003253EE">
        <w:t>s</w:t>
      </w:r>
      <w:r w:rsidRPr="00023A36">
        <w:t xml:space="preserve"> for comment</w:t>
      </w:r>
      <w:bookmarkEnd w:id="1"/>
      <w:bookmarkEnd w:id="5"/>
    </w:p>
    <w:p w14:paraId="3FAC2422" w14:textId="77777777" w:rsidR="00715722" w:rsidRPr="00346287" w:rsidRDefault="00715722" w:rsidP="009A021C">
      <w:pPr>
        <w:pStyle w:val="Paragraphbeforelist"/>
      </w:pPr>
      <w:r w:rsidRPr="00346287">
        <w:t>The ACMA invites comments on the issues set out in this paper:</w:t>
      </w:r>
    </w:p>
    <w:p w14:paraId="5EBD37E5" w14:textId="223FBE87" w:rsidR="00C71E4C" w:rsidRDefault="00346287" w:rsidP="00346287">
      <w:pPr>
        <w:pStyle w:val="Numberlistlevel1"/>
      </w:pPr>
      <w:r w:rsidRPr="00346287">
        <w:t xml:space="preserve">Comment is sought on the draft amendments to the s.145(4) </w:t>
      </w:r>
      <w:r w:rsidR="000B60CE">
        <w:t>D</w:t>
      </w:r>
      <w:r w:rsidRPr="00346287">
        <w:t xml:space="preserve">etermination contained at </w:t>
      </w:r>
      <w:r w:rsidRPr="00696EB4">
        <w:t>Appendix B</w:t>
      </w:r>
      <w:r w:rsidR="000B60CE">
        <w:t xml:space="preserve">, found </w:t>
      </w:r>
      <w:r w:rsidR="00560C5D">
        <w:t xml:space="preserve">as a separate attachment </w:t>
      </w:r>
      <w:r w:rsidR="000B60CE">
        <w:t>in the key documents section of this consultation</w:t>
      </w:r>
      <w:r w:rsidRPr="00346287">
        <w:t>.</w:t>
      </w:r>
      <w:r w:rsidR="003145E8">
        <w:t xml:space="preserve"> </w:t>
      </w:r>
    </w:p>
    <w:p w14:paraId="060507DB" w14:textId="77777777" w:rsidR="000B60CE" w:rsidRDefault="00FD53B9" w:rsidP="000B60CE">
      <w:pPr>
        <w:pStyle w:val="Bulletlevel2"/>
      </w:pPr>
      <w:r>
        <w:t xml:space="preserve">Should additional measures be included to grandfather device registrations when minor modifications are made? </w:t>
      </w:r>
    </w:p>
    <w:p w14:paraId="0878778D" w14:textId="63D3CA4D" w:rsidR="00715722" w:rsidRPr="00346287" w:rsidRDefault="00FD53B9" w:rsidP="00696EB4">
      <w:pPr>
        <w:pStyle w:val="Bulletlevel2"/>
      </w:pPr>
      <w:r>
        <w:t>If so</w:t>
      </w:r>
      <w:r w:rsidR="00C27004">
        <w:t>,</w:t>
      </w:r>
      <w:r>
        <w:t xml:space="preserve"> what minor modifications should be permitted? For example, changes that results in the same or lower horizontal radiated power for the purposes of device boundary calculations</w:t>
      </w:r>
      <w:r w:rsidR="000B60CE">
        <w:t>.</w:t>
      </w:r>
      <w:r>
        <w:t xml:space="preserve"> Alternatively, changes that result in the same or smaller device boundary as originally calculated when registering a device</w:t>
      </w:r>
      <w:r w:rsidR="000B60CE">
        <w:t>.</w:t>
      </w:r>
    </w:p>
    <w:p w14:paraId="76A147FE" w14:textId="7F10C315" w:rsidR="00346287" w:rsidRPr="00346287" w:rsidRDefault="00346287" w:rsidP="00346287">
      <w:pPr>
        <w:pStyle w:val="ListNumber"/>
      </w:pPr>
      <w:r w:rsidRPr="00346287">
        <w:t xml:space="preserve">Comment is sought on the proposed changes to </w:t>
      </w:r>
      <w:r w:rsidR="00033D3B">
        <w:t>receiver</w:t>
      </w:r>
      <w:r w:rsidRPr="00346287">
        <w:t xml:space="preserve"> spurious emission limits on 3.4 GHz spectrum licences</w:t>
      </w:r>
      <w:r>
        <w:t>.</w:t>
      </w:r>
      <w:r w:rsidRPr="00346287">
        <w:t xml:space="preserve"> </w:t>
      </w:r>
    </w:p>
    <w:p w14:paraId="108F0177" w14:textId="49F5D6EB" w:rsidR="00715722" w:rsidRPr="00346287" w:rsidRDefault="00C364D4" w:rsidP="009A021C">
      <w:pPr>
        <w:pStyle w:val="Numberlistlevel1"/>
      </w:pPr>
      <w:r>
        <w:t xml:space="preserve">Comment is sought on the draft amendments to RALI MS44 contained in </w:t>
      </w:r>
      <w:r w:rsidRPr="00696EB4">
        <w:t>Appendix C</w:t>
      </w:r>
      <w:r w:rsidR="00560C5D">
        <w:t>, found as a separate attachment in the key documents section of this consultation</w:t>
      </w:r>
      <w:r w:rsidR="00346287">
        <w:t>.</w:t>
      </w:r>
    </w:p>
    <w:p w14:paraId="5937F045" w14:textId="7D173583" w:rsidR="00715722" w:rsidRPr="00E25F4E" w:rsidRDefault="00346287" w:rsidP="00F67B7A">
      <w:pPr>
        <w:pStyle w:val="Numberlistlast"/>
        <w:spacing w:after="120"/>
        <w:rPr>
          <w:color w:val="000000"/>
        </w:rPr>
      </w:pPr>
      <w:r w:rsidRPr="00346287">
        <w:t>Comment is sought on the options</w:t>
      </w:r>
      <w:r w:rsidR="00C96BB4">
        <w:t xml:space="preserve"> developed for use of </w:t>
      </w:r>
      <w:r w:rsidR="009452B5">
        <w:t xml:space="preserve">spectrum in </w:t>
      </w:r>
      <w:r w:rsidR="00C96BB4">
        <w:t>urban excise</w:t>
      </w:r>
      <w:r w:rsidR="00560C5D">
        <w:t> </w:t>
      </w:r>
      <w:r w:rsidR="00C96BB4">
        <w:t>areas</w:t>
      </w:r>
      <w:r w:rsidRPr="00346287">
        <w:t>.</w:t>
      </w:r>
      <w:r w:rsidRPr="00346287" w:rsidDel="00346287">
        <w:t xml:space="preserve"> </w:t>
      </w:r>
    </w:p>
    <w:p w14:paraId="1572E939" w14:textId="39F8085C" w:rsidR="00FF221C" w:rsidRPr="00074FEB" w:rsidRDefault="00FF221C" w:rsidP="00F67B7A">
      <w:pPr>
        <w:pStyle w:val="Numberlistlast"/>
        <w:spacing w:after="120"/>
        <w:rPr>
          <w:color w:val="000000"/>
        </w:rPr>
      </w:pPr>
      <w:r w:rsidRPr="00346287">
        <w:t xml:space="preserve">Comment is sought on the </w:t>
      </w:r>
      <w:r>
        <w:t xml:space="preserve">desirable planning outcomes for use of </w:t>
      </w:r>
      <w:r w:rsidR="00D770D8">
        <w:t xml:space="preserve">spectrum in </w:t>
      </w:r>
      <w:r>
        <w:t>urban excise area</w:t>
      </w:r>
      <w:r w:rsidR="00AF18A6">
        <w:t>s</w:t>
      </w:r>
    </w:p>
    <w:p w14:paraId="510892AA" w14:textId="550B90FE" w:rsidR="00C50064" w:rsidRPr="00F67B7A" w:rsidRDefault="002E5D92" w:rsidP="00F67B7A">
      <w:pPr>
        <w:pStyle w:val="Numberlistlast"/>
        <w:spacing w:after="120"/>
        <w:rPr>
          <w:color w:val="000000"/>
        </w:rPr>
      </w:pPr>
      <w:r>
        <w:t>V</w:t>
      </w:r>
      <w:r w:rsidR="001E6E3E">
        <w:t xml:space="preserve">iews are sought on the possible interference management approaches for both co-channel mechanisms (including ducting) and adjacent channel mechanisms (including adjacent band coexistence) contained at </w:t>
      </w:r>
      <w:hyperlink w:anchor="_Appendix_E:_Possible" w:history="1">
        <w:r w:rsidR="001E6E3E" w:rsidRPr="00696EB4">
          <w:rPr>
            <w:rStyle w:val="Hyperlink"/>
          </w:rPr>
          <w:t>Appendix E</w:t>
        </w:r>
      </w:hyperlink>
      <w:r w:rsidR="001E6E3E">
        <w:t>.</w:t>
      </w:r>
    </w:p>
    <w:p w14:paraId="6D152C00" w14:textId="77777777" w:rsidR="00A7183C" w:rsidRPr="004511C5" w:rsidRDefault="00A7183C" w:rsidP="00A7183C">
      <w:pPr>
        <w:pStyle w:val="ListNumber"/>
      </w:pPr>
      <w:r w:rsidRPr="00346287">
        <w:t xml:space="preserve">Comment is sought on the </w:t>
      </w:r>
      <w:r>
        <w:t xml:space="preserve">ACMA’s preliminary preferred option. Are other options proposed, and if so, why? </w:t>
      </w:r>
      <w:r w:rsidRPr="004B54A9" w:rsidDel="00C96BB4">
        <w:t xml:space="preserve"> </w:t>
      </w:r>
      <w:r>
        <w:t xml:space="preserve"> </w:t>
      </w:r>
      <w:r w:rsidRPr="004B54A9">
        <w:t xml:space="preserve"> </w:t>
      </w:r>
    </w:p>
    <w:p w14:paraId="60003617" w14:textId="77777777" w:rsidR="00A7183C" w:rsidRPr="00346287" w:rsidRDefault="00A7183C" w:rsidP="00F67B7A">
      <w:pPr>
        <w:pStyle w:val="Numberlistlast"/>
        <w:numPr>
          <w:ilvl w:val="0"/>
          <w:numId w:val="0"/>
        </w:numPr>
        <w:ind w:left="357"/>
        <w:rPr>
          <w:color w:val="000000"/>
        </w:rPr>
      </w:pPr>
    </w:p>
    <w:p w14:paraId="1E9DDEC9" w14:textId="77777777" w:rsidR="00F065F2" w:rsidRDefault="00F065F2">
      <w:pPr>
        <w:spacing w:after="0" w:line="240" w:lineRule="auto"/>
        <w:rPr>
          <w:rFonts w:cs="Arial"/>
          <w:bCs/>
          <w:color w:val="323232"/>
          <w:kern w:val="32"/>
          <w:sz w:val="53"/>
          <w:szCs w:val="32"/>
        </w:rPr>
      </w:pPr>
      <w:r>
        <w:br w:type="page"/>
      </w:r>
    </w:p>
    <w:p w14:paraId="3D74744A" w14:textId="1E0CABF0" w:rsidR="00F065F2" w:rsidRPr="00C35CCE" w:rsidRDefault="00F065F2" w:rsidP="00F065F2">
      <w:pPr>
        <w:pStyle w:val="Heading1"/>
      </w:pPr>
      <w:bookmarkStart w:id="6" w:name="_Toc80795864"/>
      <w:r>
        <w:t>Introduction</w:t>
      </w:r>
      <w:bookmarkEnd w:id="6"/>
      <w:r w:rsidRPr="00C35CCE">
        <w:t xml:space="preserve"> </w:t>
      </w:r>
    </w:p>
    <w:p w14:paraId="1AFDC61D" w14:textId="77777777" w:rsidR="00DA45AD" w:rsidRPr="00A05EC9" w:rsidRDefault="00DA45AD" w:rsidP="00DA45AD">
      <w:pPr>
        <w:pStyle w:val="Heading2"/>
        <w:ind w:right="1557"/>
      </w:pPr>
      <w:bookmarkStart w:id="7" w:name="_Toc5000061"/>
      <w:bookmarkStart w:id="8" w:name="_Toc45789439"/>
      <w:bookmarkStart w:id="9" w:name="_Toc80795865"/>
      <w:r w:rsidRPr="00A05EC9">
        <w:t>Purpose of this paper</w:t>
      </w:r>
      <w:bookmarkEnd w:id="7"/>
      <w:bookmarkEnd w:id="8"/>
      <w:bookmarkEnd w:id="9"/>
    </w:p>
    <w:p w14:paraId="5BB477B9" w14:textId="0729FD1A" w:rsidR="00DA45AD" w:rsidRPr="00F67B7A" w:rsidRDefault="00B308C1" w:rsidP="000A052B">
      <w:pPr>
        <w:spacing w:before="240"/>
        <w:rPr>
          <w:rFonts w:cs="Arial"/>
        </w:rPr>
      </w:pPr>
      <w:r w:rsidRPr="00885439">
        <w:rPr>
          <w:rFonts w:cs="Arial"/>
          <w:bCs/>
          <w:color w:val="000000" w:themeColor="text1"/>
          <w:szCs w:val="20"/>
        </w:rPr>
        <w:t>In November 2019</w:t>
      </w:r>
      <w:r w:rsidR="00560C5D">
        <w:rPr>
          <w:rFonts w:cs="Arial"/>
          <w:bCs/>
          <w:color w:val="000000" w:themeColor="text1"/>
          <w:szCs w:val="20"/>
        </w:rPr>
        <w:t>,</w:t>
      </w:r>
      <w:r w:rsidRPr="00885439">
        <w:rPr>
          <w:rFonts w:cs="Arial"/>
          <w:bCs/>
          <w:color w:val="000000" w:themeColor="text1"/>
          <w:szCs w:val="20"/>
        </w:rPr>
        <w:t xml:space="preserve"> the </w:t>
      </w:r>
      <w:r w:rsidRPr="007D04B2">
        <w:rPr>
          <w:rFonts w:cs="Arial"/>
        </w:rPr>
        <w:t xml:space="preserve">Australian Communications and Media Authority (ACMA) </w:t>
      </w:r>
      <w:r w:rsidRPr="00885439">
        <w:rPr>
          <w:rFonts w:cs="Arial"/>
          <w:bCs/>
          <w:color w:val="000000" w:themeColor="text1"/>
          <w:szCs w:val="20"/>
        </w:rPr>
        <w:t xml:space="preserve"> released the </w:t>
      </w:r>
      <w:hyperlink r:id="rId30" w:history="1">
        <w:r w:rsidRPr="00885439">
          <w:rPr>
            <w:rStyle w:val="Hyperlink"/>
            <w:rFonts w:cs="Arial"/>
            <w:i/>
            <w:iCs/>
            <w:szCs w:val="20"/>
          </w:rPr>
          <w:t>Optimising arrangements for the 3400</w:t>
        </w:r>
        <w:r w:rsidR="00447034">
          <w:rPr>
            <w:rStyle w:val="Hyperlink"/>
            <w:rFonts w:cs="Arial"/>
            <w:i/>
            <w:iCs/>
            <w:szCs w:val="20"/>
          </w:rPr>
          <w:t>–</w:t>
        </w:r>
        <w:r w:rsidRPr="00885439">
          <w:rPr>
            <w:rStyle w:val="Hyperlink"/>
            <w:rFonts w:cs="Arial"/>
            <w:i/>
            <w:iCs/>
            <w:szCs w:val="20"/>
          </w:rPr>
          <w:t>3575 MHz band – Planning decisions and preliminary views</w:t>
        </w:r>
      </w:hyperlink>
      <w:r w:rsidRPr="00885439">
        <w:rPr>
          <w:rFonts w:cs="Arial"/>
          <w:bCs/>
          <w:color w:val="000000" w:themeColor="text1"/>
          <w:szCs w:val="20"/>
        </w:rPr>
        <w:t xml:space="preserve"> </w:t>
      </w:r>
      <w:r w:rsidR="00560C5D">
        <w:rPr>
          <w:rFonts w:cs="Arial"/>
          <w:bCs/>
          <w:color w:val="000000" w:themeColor="text1"/>
          <w:szCs w:val="20"/>
        </w:rPr>
        <w:t>o</w:t>
      </w:r>
      <w:r w:rsidRPr="00885439">
        <w:rPr>
          <w:rFonts w:cs="Arial"/>
          <w:bCs/>
          <w:color w:val="000000" w:themeColor="text1"/>
          <w:szCs w:val="20"/>
        </w:rPr>
        <w:t>utcomes paper.</w:t>
      </w:r>
      <w:r w:rsidRPr="00885439">
        <w:rPr>
          <w:rFonts w:cs="Arial"/>
          <w:b/>
          <w:color w:val="000000" w:themeColor="text1"/>
          <w:szCs w:val="20"/>
        </w:rPr>
        <w:t xml:space="preserve"> </w:t>
      </w:r>
      <w:r w:rsidR="00560C5D" w:rsidRPr="00925D1B">
        <w:rPr>
          <w:rFonts w:cs="Arial"/>
          <w:bCs/>
          <w:color w:val="000000" w:themeColor="text1"/>
          <w:szCs w:val="20"/>
        </w:rPr>
        <w:t>It</w:t>
      </w:r>
      <w:r>
        <w:rPr>
          <w:rFonts w:cs="Arial"/>
        </w:rPr>
        <w:t xml:space="preserve"> outlined</w:t>
      </w:r>
      <w:r w:rsidR="00560C5D">
        <w:rPr>
          <w:rFonts w:cs="Arial"/>
        </w:rPr>
        <w:t xml:space="preserve"> our</w:t>
      </w:r>
      <w:r>
        <w:rPr>
          <w:rFonts w:cs="Arial"/>
        </w:rPr>
        <w:t xml:space="preserve"> plans to defragment</w:t>
      </w:r>
      <w:r w:rsidR="00560C5D">
        <w:rPr>
          <w:rFonts w:cs="Arial"/>
        </w:rPr>
        <w:t> </w:t>
      </w:r>
      <w:r>
        <w:rPr>
          <w:rFonts w:cs="Arial"/>
        </w:rPr>
        <w:t>apparatus licence arrangements and spectrum licence holdings in the 3400</w:t>
      </w:r>
      <w:r w:rsidR="00560C5D">
        <w:rPr>
          <w:rFonts w:cs="Arial"/>
        </w:rPr>
        <w:t>–</w:t>
      </w:r>
      <w:r>
        <w:rPr>
          <w:rFonts w:cs="Arial"/>
        </w:rPr>
        <w:t>3575 MHz band.</w:t>
      </w:r>
      <w:r w:rsidRPr="00F67B7A">
        <w:rPr>
          <w:rFonts w:cs="Arial"/>
        </w:rPr>
        <w:t xml:space="preserve"> </w:t>
      </w:r>
      <w:r>
        <w:rPr>
          <w:rFonts w:cs="Arial"/>
        </w:rPr>
        <w:t xml:space="preserve">Since releasing the paper, </w:t>
      </w:r>
      <w:r w:rsidR="00560C5D">
        <w:rPr>
          <w:rFonts w:cs="Arial"/>
        </w:rPr>
        <w:t xml:space="preserve">we have </w:t>
      </w:r>
      <w:r>
        <w:rPr>
          <w:rFonts w:cs="Arial"/>
        </w:rPr>
        <w:t xml:space="preserve">been working to implement the planning outcomes. </w:t>
      </w:r>
      <w:r w:rsidR="00DA45AD" w:rsidRPr="00F67B7A">
        <w:rPr>
          <w:rFonts w:cs="Arial"/>
        </w:rPr>
        <w:t xml:space="preserve"> </w:t>
      </w:r>
    </w:p>
    <w:p w14:paraId="6D960379" w14:textId="2FA6C2BF" w:rsidR="00ED1076" w:rsidRDefault="00ED1076" w:rsidP="00F67B7A">
      <w:pPr>
        <w:spacing w:before="240" w:after="80"/>
        <w:rPr>
          <w:rFonts w:cs="Arial"/>
        </w:rPr>
      </w:pPr>
      <w:bookmarkStart w:id="10" w:name="_Hlk78379020"/>
      <w:bookmarkStart w:id="11" w:name="_Hlk78887343"/>
      <w:r>
        <w:rPr>
          <w:rFonts w:cs="Arial"/>
        </w:rPr>
        <w:t xml:space="preserve">Key announcements in the </w:t>
      </w:r>
      <w:r w:rsidR="00560C5D">
        <w:rPr>
          <w:rFonts w:cs="Arial"/>
        </w:rPr>
        <w:t>o</w:t>
      </w:r>
      <w:r>
        <w:rPr>
          <w:rFonts w:cs="Arial"/>
        </w:rPr>
        <w:t>utcomes paper</w:t>
      </w:r>
      <w:r w:rsidR="005116BD">
        <w:rPr>
          <w:rFonts w:cs="Arial"/>
        </w:rPr>
        <w:t xml:space="preserve"> relevant to this </w:t>
      </w:r>
      <w:r w:rsidR="00C27004">
        <w:rPr>
          <w:rFonts w:cs="Arial"/>
        </w:rPr>
        <w:t>options</w:t>
      </w:r>
      <w:r w:rsidR="005116BD">
        <w:rPr>
          <w:rFonts w:cs="Arial"/>
        </w:rPr>
        <w:t xml:space="preserve"> paper</w:t>
      </w:r>
      <w:r>
        <w:rPr>
          <w:rFonts w:cs="Arial"/>
        </w:rPr>
        <w:t xml:space="preserve"> </w:t>
      </w:r>
      <w:r w:rsidR="00C27004">
        <w:rPr>
          <w:rFonts w:cs="Arial"/>
        </w:rPr>
        <w:t>include</w:t>
      </w:r>
      <w:r>
        <w:rPr>
          <w:rFonts w:cs="Arial"/>
        </w:rPr>
        <w:t xml:space="preserve">: </w:t>
      </w:r>
      <w:bookmarkEnd w:id="10"/>
    </w:p>
    <w:p w14:paraId="3C49C2FB" w14:textId="24A528F7" w:rsidR="00724940" w:rsidRDefault="00560C5D" w:rsidP="00696EB4">
      <w:pPr>
        <w:pStyle w:val="Bulletlevel1"/>
        <w:rPr>
          <w:color w:val="000000" w:themeColor="text1"/>
          <w:szCs w:val="20"/>
        </w:rPr>
      </w:pPr>
      <w:bookmarkStart w:id="12" w:name="_Hlk78378982"/>
      <w:r>
        <w:t>A</w:t>
      </w:r>
      <w:r w:rsidR="00724940">
        <w:t>n intention to v</w:t>
      </w:r>
      <w:r w:rsidR="00724940" w:rsidRPr="003F54C3">
        <w:t xml:space="preserve">ary </w:t>
      </w:r>
      <w:hyperlink r:id="rId31" w:history="1">
        <w:r w:rsidR="00CE2560" w:rsidRPr="006B6A28">
          <w:rPr>
            <w:rStyle w:val="Hyperlink"/>
            <w:i/>
            <w:iCs/>
          </w:rPr>
          <w:t xml:space="preserve">Radiocommunications assignment and licensing instruction MS44 – </w:t>
        </w:r>
        <w:r w:rsidR="00724940" w:rsidRPr="002554A9">
          <w:rPr>
            <w:rStyle w:val="Hyperlink"/>
            <w:i/>
            <w:iCs/>
          </w:rPr>
          <w:t>Frequency coordination procedures for the earth station protection zones</w:t>
        </w:r>
      </w:hyperlink>
      <w:r w:rsidR="00724940">
        <w:rPr>
          <w:i/>
          <w:iCs/>
        </w:rPr>
        <w:t xml:space="preserve"> </w:t>
      </w:r>
      <w:r w:rsidR="00724940" w:rsidRPr="002554A9">
        <w:t>(</w:t>
      </w:r>
      <w:r w:rsidR="00CE2560">
        <w:t>RALI MS44</w:t>
      </w:r>
      <w:r w:rsidR="00724940" w:rsidRPr="002554A9">
        <w:t>)</w:t>
      </w:r>
      <w:r w:rsidR="00724940">
        <w:t xml:space="preserve"> </w:t>
      </w:r>
      <w:r w:rsidR="00724940" w:rsidRPr="003F54C3">
        <w:t xml:space="preserve">so that </w:t>
      </w:r>
      <w:r w:rsidR="00CE2560">
        <w:t>earth station protection zones (</w:t>
      </w:r>
      <w:r w:rsidR="00724940" w:rsidRPr="003F54C3">
        <w:t>ESPZs</w:t>
      </w:r>
      <w:r w:rsidR="00CE2560">
        <w:t>)</w:t>
      </w:r>
      <w:r w:rsidR="00724940" w:rsidRPr="003F54C3">
        <w:t xml:space="preserve"> in eastern Australia cover those parts of the band not subject to spectrum licensing. </w:t>
      </w:r>
    </w:p>
    <w:p w14:paraId="6EC04A77" w14:textId="0F7A960E" w:rsidR="006B0704" w:rsidRPr="006B6A28" w:rsidRDefault="00560C5D" w:rsidP="00696EB4">
      <w:pPr>
        <w:pStyle w:val="Bulletlevel1"/>
      </w:pPr>
      <w:r>
        <w:t>P</w:t>
      </w:r>
      <w:r w:rsidR="00ED1076" w:rsidRPr="00FF0F98">
        <w:t xml:space="preserve">lans to convert NBN Co’s </w:t>
      </w:r>
      <w:r w:rsidR="00ED1076" w:rsidRPr="00844FE7">
        <w:t>apparatus</w:t>
      </w:r>
      <w:r w:rsidR="00ED1076" w:rsidRPr="00786BCE">
        <w:t xml:space="preserve"> licences in the 3400</w:t>
      </w:r>
      <w:r>
        <w:t>–</w:t>
      </w:r>
      <w:r w:rsidR="00ED1076" w:rsidRPr="00786BCE">
        <w:t>3575 MHz band to spectrum lice</w:t>
      </w:r>
      <w:r w:rsidR="00ED1076" w:rsidRPr="00041F9C">
        <w:t>nces</w:t>
      </w:r>
      <w:r w:rsidR="006B0704">
        <w:t xml:space="preserve">. </w:t>
      </w:r>
      <w:r w:rsidR="006B0704" w:rsidRPr="006B6A28">
        <w:t>This will facilitate spectrum licensees in the 3400</w:t>
      </w:r>
      <w:r>
        <w:t>–</w:t>
      </w:r>
      <w:r w:rsidR="006B0704" w:rsidRPr="006B6A28">
        <w:t>3575 MHz band to defragment their spectrum holdings in most areas (</w:t>
      </w:r>
      <w:r>
        <w:t>‘</w:t>
      </w:r>
      <w:r w:rsidR="006B0704" w:rsidRPr="006B6A28">
        <w:t>defrag</w:t>
      </w:r>
      <w:r>
        <w:t>’</w:t>
      </w:r>
      <w:r w:rsidR="006B0704" w:rsidRPr="006B6A28">
        <w:t xml:space="preserve">). </w:t>
      </w:r>
    </w:p>
    <w:p w14:paraId="5C6A4A2C" w14:textId="278AD893" w:rsidR="00211C6F" w:rsidRDefault="00560C5D" w:rsidP="00696EB4">
      <w:pPr>
        <w:pStyle w:val="Bulletlevel1last"/>
      </w:pPr>
      <w:r>
        <w:t>T</w:t>
      </w:r>
      <w:r w:rsidR="00ED1076">
        <w:t>he ACMA work</w:t>
      </w:r>
      <w:r>
        <w:t>ing</w:t>
      </w:r>
      <w:r w:rsidR="00ED1076">
        <w:t xml:space="preserve"> with NBN Co to surrender </w:t>
      </w:r>
      <w:r w:rsidR="00211C6F">
        <w:t xml:space="preserve">any </w:t>
      </w:r>
      <w:r w:rsidR="00ED1076">
        <w:t xml:space="preserve">licences it holds in urban areas </w:t>
      </w:r>
      <w:r>
        <w:t xml:space="preserve">that </w:t>
      </w:r>
      <w:r w:rsidR="00ED1076">
        <w:t xml:space="preserve">it does not plan to provide terrestrial wireless broadband services. </w:t>
      </w:r>
      <w:r w:rsidR="00ED1076" w:rsidRPr="00F67B7A">
        <w:t xml:space="preserve">This is referred to as </w:t>
      </w:r>
      <w:r>
        <w:t>‘</w:t>
      </w:r>
      <w:r w:rsidR="00ED1076" w:rsidRPr="00F67B7A">
        <w:t>urban excise</w:t>
      </w:r>
      <w:r>
        <w:t>’</w:t>
      </w:r>
      <w:r w:rsidR="00FB2B6E">
        <w:t>. T</w:t>
      </w:r>
      <w:r w:rsidR="00ED1076" w:rsidRPr="00F67B7A">
        <w:t xml:space="preserve">he associated urban excise areas are defined in </w:t>
      </w:r>
      <w:hyperlink w:anchor="_Appendix_A:_Urban" w:history="1">
        <w:r w:rsidR="00ED1076" w:rsidRPr="00696EB4">
          <w:rPr>
            <w:rStyle w:val="Hyperlink"/>
          </w:rPr>
          <w:t>Appendix A</w:t>
        </w:r>
      </w:hyperlink>
      <w:r w:rsidR="00ED1076" w:rsidRPr="00F67B7A">
        <w:t xml:space="preserve">. </w:t>
      </w:r>
      <w:r>
        <w:t>We are</w:t>
      </w:r>
      <w:r w:rsidR="00211C6F">
        <w:t xml:space="preserve"> </w:t>
      </w:r>
      <w:r w:rsidR="00ED1076">
        <w:t xml:space="preserve">committed to working with industry to </w:t>
      </w:r>
      <w:r w:rsidR="00ED1076" w:rsidRPr="00F67B7A">
        <w:t>investigate ways to make this spectrum available for use by other wireless broadband operators.</w:t>
      </w:r>
    </w:p>
    <w:p w14:paraId="260C770B" w14:textId="029E3398" w:rsidR="00ED1076" w:rsidRDefault="00C27004" w:rsidP="000A052B">
      <w:pPr>
        <w:spacing w:before="240"/>
      </w:pPr>
      <w:bookmarkStart w:id="13" w:name="_Hlk78379162"/>
      <w:bookmarkEnd w:id="11"/>
      <w:bookmarkEnd w:id="12"/>
      <w:r>
        <w:rPr>
          <w:rFonts w:cs="Arial"/>
        </w:rPr>
        <w:t>T</w:t>
      </w:r>
      <w:r w:rsidR="00211C6F">
        <w:rPr>
          <w:rFonts w:cs="Arial"/>
          <w:bCs/>
          <w:color w:val="000000" w:themeColor="text1"/>
          <w:szCs w:val="20"/>
        </w:rPr>
        <w:t>he ACMA convened the 3.4</w:t>
      </w:r>
      <w:r w:rsidR="0019155F">
        <w:rPr>
          <w:rFonts w:cs="Arial"/>
          <w:bCs/>
          <w:color w:val="000000" w:themeColor="text1"/>
          <w:szCs w:val="20"/>
        </w:rPr>
        <w:t> </w:t>
      </w:r>
      <w:r w:rsidR="00211C6F">
        <w:rPr>
          <w:rFonts w:cs="Arial"/>
          <w:bCs/>
          <w:color w:val="000000" w:themeColor="text1"/>
          <w:szCs w:val="20"/>
        </w:rPr>
        <w:t>GHz technical liaison group</w:t>
      </w:r>
      <w:r w:rsidR="00D9649C">
        <w:rPr>
          <w:rFonts w:cs="Arial"/>
          <w:bCs/>
          <w:color w:val="000000" w:themeColor="text1"/>
          <w:szCs w:val="20"/>
        </w:rPr>
        <w:t xml:space="preserve"> (TLG</w:t>
      </w:r>
      <w:r w:rsidR="00560C5D">
        <w:rPr>
          <w:rFonts w:cs="Arial"/>
          <w:bCs/>
          <w:color w:val="000000" w:themeColor="text1"/>
          <w:szCs w:val="20"/>
        </w:rPr>
        <w:t>)</w:t>
      </w:r>
      <w:r w:rsidR="005A3A3A">
        <w:rPr>
          <w:rStyle w:val="FootnoteReference"/>
          <w:rFonts w:cs="Arial"/>
          <w:bCs/>
          <w:color w:val="000000" w:themeColor="text1"/>
          <w:szCs w:val="20"/>
        </w:rPr>
        <w:footnoteReference w:id="5"/>
      </w:r>
      <w:r w:rsidR="00D9649C">
        <w:rPr>
          <w:rFonts w:cs="Arial"/>
          <w:bCs/>
          <w:color w:val="000000" w:themeColor="text1"/>
          <w:szCs w:val="20"/>
        </w:rPr>
        <w:t xml:space="preserve"> </w:t>
      </w:r>
      <w:bookmarkStart w:id="14" w:name="_Hlk78379206"/>
      <w:bookmarkEnd w:id="13"/>
      <w:r w:rsidR="00D9649C">
        <w:rPr>
          <w:rFonts w:cs="Arial"/>
          <w:bCs/>
          <w:color w:val="000000" w:themeColor="text1"/>
          <w:szCs w:val="20"/>
        </w:rPr>
        <w:t>to</w:t>
      </w:r>
      <w:r w:rsidR="00211C6F">
        <w:rPr>
          <w:rFonts w:cs="Arial"/>
          <w:bCs/>
          <w:color w:val="000000" w:themeColor="text1"/>
          <w:szCs w:val="20"/>
        </w:rPr>
        <w:t xml:space="preserve"> review the </w:t>
      </w:r>
      <w:hyperlink r:id="rId32" w:history="1">
        <w:r w:rsidR="00211C6F" w:rsidRPr="008F5AC0">
          <w:rPr>
            <w:rStyle w:val="Hyperlink"/>
            <w:rFonts w:cs="Arial"/>
            <w:bCs/>
            <w:szCs w:val="20"/>
          </w:rPr>
          <w:t>3.4</w:t>
        </w:r>
        <w:r w:rsidR="00DC1F7C">
          <w:rPr>
            <w:rStyle w:val="Hyperlink"/>
            <w:rFonts w:cs="Arial"/>
            <w:bCs/>
            <w:szCs w:val="20"/>
          </w:rPr>
          <w:t> </w:t>
        </w:r>
        <w:r w:rsidR="00211C6F" w:rsidRPr="008F5AC0">
          <w:rPr>
            <w:rStyle w:val="Hyperlink"/>
            <w:rFonts w:cs="Arial"/>
            <w:bCs/>
            <w:szCs w:val="20"/>
          </w:rPr>
          <w:t>GHz spectrum licence technical framework</w:t>
        </w:r>
      </w:hyperlink>
      <w:r w:rsidR="005116BD">
        <w:rPr>
          <w:rFonts w:cs="Arial"/>
          <w:bCs/>
          <w:color w:val="000000" w:themeColor="text1"/>
          <w:szCs w:val="20"/>
        </w:rPr>
        <w:t xml:space="preserve"> and provide advice on options for </w:t>
      </w:r>
      <w:r>
        <w:rPr>
          <w:rFonts w:cs="Arial"/>
          <w:bCs/>
          <w:color w:val="000000" w:themeColor="text1"/>
          <w:szCs w:val="20"/>
        </w:rPr>
        <w:t xml:space="preserve">spectrum </w:t>
      </w:r>
      <w:r w:rsidR="005116BD">
        <w:rPr>
          <w:rFonts w:cs="Arial"/>
          <w:bCs/>
          <w:color w:val="000000" w:themeColor="text1"/>
          <w:szCs w:val="20"/>
        </w:rPr>
        <w:t xml:space="preserve">use </w:t>
      </w:r>
      <w:r>
        <w:rPr>
          <w:rFonts w:cs="Arial"/>
          <w:bCs/>
          <w:color w:val="000000" w:themeColor="text1"/>
          <w:szCs w:val="20"/>
        </w:rPr>
        <w:t>in</w:t>
      </w:r>
      <w:r w:rsidR="005116BD">
        <w:rPr>
          <w:rFonts w:cs="Arial"/>
          <w:bCs/>
          <w:color w:val="000000" w:themeColor="text1"/>
          <w:szCs w:val="20"/>
        </w:rPr>
        <w:t>f urban excise areas</w:t>
      </w:r>
      <w:bookmarkEnd w:id="14"/>
      <w:r w:rsidR="005116BD">
        <w:rPr>
          <w:rFonts w:cs="Arial"/>
          <w:bCs/>
          <w:color w:val="000000" w:themeColor="text1"/>
          <w:szCs w:val="20"/>
        </w:rPr>
        <w:t>.</w:t>
      </w:r>
      <w:r w:rsidR="00211C6F">
        <w:rPr>
          <w:rFonts w:cs="Arial"/>
        </w:rPr>
        <w:t xml:space="preserve"> </w:t>
      </w:r>
      <w:r w:rsidR="00560C5D">
        <w:rPr>
          <w:rFonts w:cs="Arial"/>
        </w:rPr>
        <w:t>We</w:t>
      </w:r>
      <w:r w:rsidR="00D9649C">
        <w:rPr>
          <w:rFonts w:cs="Arial"/>
        </w:rPr>
        <w:t xml:space="preserve"> </w:t>
      </w:r>
      <w:r w:rsidR="00FB2B6E">
        <w:rPr>
          <w:rFonts w:cs="Arial"/>
        </w:rPr>
        <w:t>used this</w:t>
      </w:r>
      <w:r w:rsidR="00D9649C">
        <w:rPr>
          <w:rFonts w:cs="Arial"/>
        </w:rPr>
        <w:t xml:space="preserve"> TLG to review </w:t>
      </w:r>
      <w:r w:rsidR="00211C6F">
        <w:rPr>
          <w:rFonts w:cs="Arial"/>
        </w:rPr>
        <w:t xml:space="preserve">several </w:t>
      </w:r>
      <w:r w:rsidR="00D9649C">
        <w:rPr>
          <w:rFonts w:cs="Arial"/>
        </w:rPr>
        <w:t xml:space="preserve">other </w:t>
      </w:r>
      <w:r w:rsidR="00211C6F">
        <w:rPr>
          <w:rFonts w:cs="Arial"/>
        </w:rPr>
        <w:t>aspects of the 3.4 GHz spectrum licence technical framework</w:t>
      </w:r>
      <w:r w:rsidR="00FB2B6E">
        <w:rPr>
          <w:rFonts w:cs="Arial"/>
        </w:rPr>
        <w:t xml:space="preserve"> necessary to support </w:t>
      </w:r>
      <w:r w:rsidR="005A3A3A">
        <w:rPr>
          <w:rFonts w:cs="Arial"/>
        </w:rPr>
        <w:t>the expansion of spectrum licence arrangements</w:t>
      </w:r>
      <w:r w:rsidR="00FB2B6E">
        <w:rPr>
          <w:rFonts w:cs="Arial"/>
        </w:rPr>
        <w:t xml:space="preserve"> in the band</w:t>
      </w:r>
      <w:r w:rsidR="00211C6F">
        <w:rPr>
          <w:rFonts w:cs="Arial"/>
        </w:rPr>
        <w:t>. This included a</w:t>
      </w:r>
      <w:r w:rsidR="00ED1076">
        <w:rPr>
          <w:rFonts w:cs="Arial"/>
        </w:rPr>
        <w:t xml:space="preserve"> review </w:t>
      </w:r>
      <w:r w:rsidR="00211C6F">
        <w:rPr>
          <w:rFonts w:cs="Arial"/>
        </w:rPr>
        <w:t xml:space="preserve">of </w:t>
      </w:r>
      <w:r w:rsidR="00ED1076">
        <w:rPr>
          <w:rFonts w:cs="Arial"/>
        </w:rPr>
        <w:t xml:space="preserve">the </w:t>
      </w:r>
      <w:bookmarkStart w:id="15" w:name="_Hlk78379594"/>
      <w:r w:rsidR="00ED1076" w:rsidRPr="00696EB4">
        <w:fldChar w:fldCharType="begin"/>
      </w:r>
      <w:r w:rsidR="00ED1076" w:rsidRPr="00696EB4">
        <w:instrText xml:space="preserve"> HYPERLINK "https://www.legislation.gov.au/Series/F2015L00727" \t "_self" </w:instrText>
      </w:r>
      <w:r w:rsidR="00ED1076" w:rsidRPr="00696EB4">
        <w:fldChar w:fldCharType="separate"/>
      </w:r>
      <w:r w:rsidR="00ED1076" w:rsidRPr="00696EB4">
        <w:rPr>
          <w:rStyle w:val="Hyperlink"/>
          <w:bCs/>
        </w:rPr>
        <w:t>Radiocommunications (Unacceptable Levels of Interference – 3.4 GHz Band) Determination 2015</w:t>
      </w:r>
      <w:r w:rsidR="00ED1076" w:rsidRPr="00696EB4">
        <w:rPr>
          <w:rStyle w:val="Hyperlink"/>
          <w:bCs/>
        </w:rPr>
        <w:fldChar w:fldCharType="end"/>
      </w:r>
      <w:r w:rsidR="00ED1076" w:rsidRPr="006B6A28">
        <w:rPr>
          <w:i/>
          <w:iCs/>
        </w:rPr>
        <w:t xml:space="preserve"> </w:t>
      </w:r>
      <w:r w:rsidR="00ED1076">
        <w:t xml:space="preserve">(the s.145(4) </w:t>
      </w:r>
      <w:r w:rsidR="00560C5D">
        <w:t>D</w:t>
      </w:r>
      <w:r w:rsidR="00ED1076">
        <w:t>etermination)</w:t>
      </w:r>
      <w:r w:rsidR="00211C6F">
        <w:t xml:space="preserve"> </w:t>
      </w:r>
      <w:bookmarkEnd w:id="15"/>
      <w:r w:rsidR="00211C6F">
        <w:t xml:space="preserve">and the </w:t>
      </w:r>
      <w:r w:rsidR="00FB2B6E">
        <w:t xml:space="preserve">spectrum licence </w:t>
      </w:r>
      <w:r w:rsidR="00211C6F">
        <w:t>core condition relating to receiver spurious emission limits</w:t>
      </w:r>
      <w:r w:rsidR="00ED1076">
        <w:t xml:space="preserve">. The intention was to </w:t>
      </w:r>
      <w:r w:rsidR="00211C6F">
        <w:t xml:space="preserve">consider </w:t>
      </w:r>
      <w:r w:rsidR="00ED1076">
        <w:t xml:space="preserve">general updates </w:t>
      </w:r>
      <w:r w:rsidR="00211C6F">
        <w:t xml:space="preserve">to the s.145(4) </w:t>
      </w:r>
      <w:r w:rsidR="00560C5D">
        <w:t>D</w:t>
      </w:r>
      <w:r w:rsidR="00211C6F">
        <w:t xml:space="preserve">etermination </w:t>
      </w:r>
      <w:r w:rsidR="00ED1076">
        <w:t xml:space="preserve">that are progressively being made to </w:t>
      </w:r>
      <w:r w:rsidR="00211C6F">
        <w:t>similar instrument in other spectrum licence bands</w:t>
      </w:r>
      <w:r w:rsidR="00560C5D">
        <w:t>,</w:t>
      </w:r>
      <w:r w:rsidR="00211C6F">
        <w:t xml:space="preserve"> as well as to consider aligning </w:t>
      </w:r>
      <w:r w:rsidR="00033D3B">
        <w:t>receiver</w:t>
      </w:r>
      <w:r w:rsidR="00211C6F">
        <w:t xml:space="preserve"> spurious emission limits with international standards.</w:t>
      </w:r>
    </w:p>
    <w:p w14:paraId="56356977" w14:textId="03FCD294" w:rsidR="00C96BB4" w:rsidRPr="00F67B7A" w:rsidRDefault="004C5C36" w:rsidP="000A052B">
      <w:pPr>
        <w:spacing w:before="240"/>
        <w:rPr>
          <w:rFonts w:cs="Arial"/>
        </w:rPr>
      </w:pPr>
      <w:r>
        <w:rPr>
          <w:rFonts w:cs="Arial"/>
        </w:rPr>
        <w:t xml:space="preserve">We have </w:t>
      </w:r>
      <w:r w:rsidR="00D9649C">
        <w:rPr>
          <w:rFonts w:cs="Arial"/>
        </w:rPr>
        <w:t xml:space="preserve">developed proposed amendments to the 3.4 GHz spectrum licence technical framework and options for use of urban excise areas. </w:t>
      </w:r>
      <w:r w:rsidR="00211C6F">
        <w:rPr>
          <w:rFonts w:cs="Arial"/>
        </w:rPr>
        <w:t xml:space="preserve">The purpose of this paper </w:t>
      </w:r>
      <w:r w:rsidR="00D9649C">
        <w:rPr>
          <w:rFonts w:cs="Arial"/>
        </w:rPr>
        <w:t>is to seek comment on th</w:t>
      </w:r>
      <w:r w:rsidR="005116BD">
        <w:rPr>
          <w:rFonts w:cs="Arial"/>
        </w:rPr>
        <w:t>ose</w:t>
      </w:r>
      <w:r w:rsidR="00D9649C">
        <w:rPr>
          <w:rFonts w:cs="Arial"/>
        </w:rPr>
        <w:t xml:space="preserve"> proposed amendments and options. </w:t>
      </w:r>
    </w:p>
    <w:p w14:paraId="59B899EC" w14:textId="77777777" w:rsidR="00DA45AD" w:rsidRPr="00F1614D" w:rsidRDefault="00DA45AD" w:rsidP="00DA45AD">
      <w:pPr>
        <w:pStyle w:val="Heading2"/>
        <w:ind w:right="1557"/>
      </w:pPr>
      <w:bookmarkStart w:id="16" w:name="_Toc45789440"/>
      <w:bookmarkStart w:id="17" w:name="_Toc80795866"/>
      <w:bookmarkStart w:id="18" w:name="_Ref517343910"/>
      <w:bookmarkStart w:id="19" w:name="_Toc519765104"/>
      <w:bookmarkStart w:id="20" w:name="_Toc521585770"/>
      <w:bookmarkStart w:id="21" w:name="_Toc482886573"/>
      <w:bookmarkStart w:id="22" w:name="_Toc482886614"/>
      <w:bookmarkStart w:id="23" w:name="_Toc482888955"/>
      <w:bookmarkStart w:id="24" w:name="_Toc482891226"/>
      <w:bookmarkStart w:id="25" w:name="_Toc482891293"/>
      <w:bookmarkStart w:id="26" w:name="_Toc482956502"/>
      <w:bookmarkStart w:id="27" w:name="_Toc484011474"/>
      <w:bookmarkStart w:id="28" w:name="_Toc484511690"/>
      <w:bookmarkStart w:id="29" w:name="_Toc459906709"/>
      <w:bookmarkStart w:id="30" w:name="_Toc464480503"/>
      <w:r>
        <w:t>Legislative and policy environment</w:t>
      </w:r>
      <w:bookmarkEnd w:id="16"/>
      <w:bookmarkEnd w:id="17"/>
    </w:p>
    <w:p w14:paraId="19F5E6A7" w14:textId="77777777" w:rsidR="00DA45AD" w:rsidRDefault="00DA45AD" w:rsidP="00DA45AD">
      <w:pPr>
        <w:ind w:right="16"/>
      </w:pPr>
      <w:r>
        <w:t>Managing spectrum efficiently and effectively for the benefit of all Australians is a key priority for the ACMA.</w:t>
      </w:r>
      <w:r w:rsidRPr="004F5C32">
        <w:rPr>
          <w:vertAlign w:val="superscript"/>
        </w:rPr>
        <w:footnoteReference w:id="6"/>
      </w:r>
      <w:r>
        <w:t xml:space="preserve"> </w:t>
      </w:r>
    </w:p>
    <w:p w14:paraId="099E4813" w14:textId="77777777" w:rsidR="00DA45AD" w:rsidRPr="0026075D" w:rsidRDefault="00DA45AD" w:rsidP="00DA45AD">
      <w:pPr>
        <w:pStyle w:val="Heading3"/>
        <w:ind w:right="16"/>
      </w:pPr>
      <w:bookmarkStart w:id="31" w:name="_Guiding_legislation_and"/>
      <w:bookmarkStart w:id="32" w:name="_Ref78198576"/>
      <w:bookmarkEnd w:id="31"/>
      <w:r w:rsidRPr="0026075D">
        <w:t>Guiding legislation and policy</w:t>
      </w:r>
      <w:bookmarkEnd w:id="32"/>
      <w:r w:rsidRPr="0026075D">
        <w:tab/>
      </w:r>
    </w:p>
    <w:p w14:paraId="0F4BFC09" w14:textId="660F0191" w:rsidR="00A4137F" w:rsidRDefault="00DA45AD" w:rsidP="00A4137F">
      <w:pPr>
        <w:spacing w:after="120"/>
        <w:ind w:right="16"/>
      </w:pPr>
      <w:r>
        <w:t xml:space="preserve">The ACMA’s decisions are guided by the object of the </w:t>
      </w:r>
      <w:hyperlink r:id="rId33" w:history="1">
        <w:r w:rsidRPr="00196418">
          <w:rPr>
            <w:rStyle w:val="Hyperlink"/>
            <w:i/>
          </w:rPr>
          <w:t>Radiocommunications Act 1992</w:t>
        </w:r>
      </w:hyperlink>
      <w:r>
        <w:t xml:space="preserve"> (the </w:t>
      </w:r>
      <w:r w:rsidRPr="00A05EC9">
        <w:t>Act</w:t>
      </w:r>
      <w:r>
        <w:t xml:space="preserve">) </w:t>
      </w:r>
      <w:r w:rsidRPr="00A05EC9">
        <w:t xml:space="preserve">to </w:t>
      </w:r>
      <w:r w:rsidR="00A4137F">
        <w:t>promote the long</w:t>
      </w:r>
      <w:r w:rsidR="00A4137F">
        <w:rPr>
          <w:rFonts w:ascii="Cambria Math" w:hAnsi="Cambria Math" w:cs="Cambria Math"/>
        </w:rPr>
        <w:t>‑</w:t>
      </w:r>
      <w:r w:rsidR="00A4137F">
        <w:t>term public interest derived from the use of the spectrum by providing for the management of the spectrum in a manner that:</w:t>
      </w:r>
    </w:p>
    <w:p w14:paraId="2866DF08" w14:textId="582B192B" w:rsidR="00A4137F" w:rsidRPr="00A4137F" w:rsidRDefault="00A4137F" w:rsidP="00A4137F">
      <w:pPr>
        <w:pStyle w:val="ListParagraph"/>
        <w:numPr>
          <w:ilvl w:val="0"/>
          <w:numId w:val="38"/>
        </w:numPr>
        <w:spacing w:after="80"/>
        <w:ind w:right="16"/>
        <w:rPr>
          <w:rFonts w:ascii="Arial" w:hAnsi="Arial" w:cs="Arial"/>
          <w:sz w:val="20"/>
          <w:szCs w:val="20"/>
        </w:rPr>
      </w:pPr>
      <w:r w:rsidRPr="00A4137F">
        <w:rPr>
          <w:rFonts w:ascii="Arial" w:hAnsi="Arial" w:cs="Arial"/>
          <w:sz w:val="20"/>
          <w:szCs w:val="20"/>
        </w:rPr>
        <w:t>facilitates the efficient planning, allocation and use of the spectrum</w:t>
      </w:r>
    </w:p>
    <w:p w14:paraId="0C27211B" w14:textId="494598F0" w:rsidR="00A4137F" w:rsidRPr="00A4137F" w:rsidRDefault="00A4137F" w:rsidP="00A4137F">
      <w:pPr>
        <w:pStyle w:val="ListParagraph"/>
        <w:numPr>
          <w:ilvl w:val="0"/>
          <w:numId w:val="38"/>
        </w:numPr>
        <w:spacing w:after="80"/>
        <w:ind w:right="16"/>
        <w:rPr>
          <w:rFonts w:ascii="Arial" w:hAnsi="Arial" w:cs="Arial"/>
          <w:sz w:val="20"/>
          <w:szCs w:val="20"/>
        </w:rPr>
      </w:pPr>
      <w:r w:rsidRPr="00A4137F">
        <w:rPr>
          <w:rFonts w:ascii="Arial" w:hAnsi="Arial" w:cs="Arial"/>
          <w:sz w:val="20"/>
          <w:szCs w:val="20"/>
        </w:rPr>
        <w:t>facilitates the use of the spectrum for:</w:t>
      </w:r>
    </w:p>
    <w:p w14:paraId="77D6E29F" w14:textId="252054B2" w:rsidR="00A4137F" w:rsidRPr="00A4137F" w:rsidRDefault="00A4137F" w:rsidP="00A4137F">
      <w:pPr>
        <w:pStyle w:val="ListParagraph"/>
        <w:numPr>
          <w:ilvl w:val="1"/>
          <w:numId w:val="41"/>
        </w:numPr>
        <w:spacing w:after="80"/>
        <w:ind w:left="709" w:right="16"/>
        <w:rPr>
          <w:rFonts w:ascii="Arial" w:hAnsi="Arial" w:cs="Arial"/>
          <w:sz w:val="20"/>
          <w:szCs w:val="20"/>
        </w:rPr>
      </w:pPr>
      <w:r w:rsidRPr="00A4137F">
        <w:rPr>
          <w:rFonts w:ascii="Arial" w:hAnsi="Arial" w:cs="Arial"/>
          <w:sz w:val="20"/>
          <w:szCs w:val="20"/>
        </w:rPr>
        <w:t>commercial purposes</w:t>
      </w:r>
    </w:p>
    <w:p w14:paraId="493C7110" w14:textId="35E7991A" w:rsidR="00A4137F" w:rsidRPr="00A4137F" w:rsidRDefault="00A4137F" w:rsidP="00A4137F">
      <w:pPr>
        <w:pStyle w:val="ListParagraph"/>
        <w:numPr>
          <w:ilvl w:val="1"/>
          <w:numId w:val="41"/>
        </w:numPr>
        <w:spacing w:after="80"/>
        <w:ind w:left="709" w:right="16"/>
        <w:rPr>
          <w:rFonts w:ascii="Arial" w:hAnsi="Arial" w:cs="Arial"/>
          <w:sz w:val="20"/>
          <w:szCs w:val="20"/>
        </w:rPr>
      </w:pPr>
      <w:r w:rsidRPr="00A4137F">
        <w:rPr>
          <w:rFonts w:ascii="Arial" w:hAnsi="Arial" w:cs="Arial"/>
          <w:sz w:val="20"/>
          <w:szCs w:val="20"/>
        </w:rPr>
        <w:t>defence purposes, national security purposes and other non</w:t>
      </w:r>
      <w:r w:rsidRPr="00A4137F">
        <w:rPr>
          <w:rFonts w:ascii="Cambria Math" w:hAnsi="Cambria Math" w:cs="Cambria Math"/>
          <w:sz w:val="20"/>
          <w:szCs w:val="20"/>
        </w:rPr>
        <w:t>‑</w:t>
      </w:r>
      <w:r w:rsidRPr="00A4137F">
        <w:rPr>
          <w:rFonts w:ascii="Arial" w:hAnsi="Arial" w:cs="Arial"/>
          <w:sz w:val="20"/>
          <w:szCs w:val="20"/>
        </w:rPr>
        <w:t>commercial purposes (including public safety and community purposes)</w:t>
      </w:r>
    </w:p>
    <w:p w14:paraId="745706CF" w14:textId="0D414793" w:rsidR="00A4137F" w:rsidRPr="00A4137F" w:rsidRDefault="00A4137F" w:rsidP="00696EB4">
      <w:pPr>
        <w:pStyle w:val="ListParagraph"/>
        <w:numPr>
          <w:ilvl w:val="0"/>
          <w:numId w:val="38"/>
        </w:numPr>
        <w:spacing w:after="240"/>
        <w:ind w:left="357" w:right="17" w:hanging="357"/>
        <w:rPr>
          <w:rFonts w:ascii="Arial" w:hAnsi="Arial" w:cs="Arial"/>
          <w:sz w:val="20"/>
          <w:szCs w:val="20"/>
        </w:rPr>
      </w:pPr>
      <w:r w:rsidRPr="00A4137F">
        <w:rPr>
          <w:rFonts w:ascii="Arial" w:hAnsi="Arial" w:cs="Arial"/>
          <w:sz w:val="20"/>
          <w:szCs w:val="20"/>
        </w:rPr>
        <w:t>supports the communications policy objectives of the Commonwealth Government.</w:t>
      </w:r>
    </w:p>
    <w:p w14:paraId="514FD877" w14:textId="4CBBFF78" w:rsidR="00417724" w:rsidRDefault="00417724" w:rsidP="00696EB4">
      <w:r w:rsidRPr="003C584C">
        <w:rPr>
          <w:rFonts w:cs="Arial"/>
        </w:rPr>
        <w:t>On 10 December</w:t>
      </w:r>
      <w:r>
        <w:rPr>
          <w:rFonts w:cs="Arial"/>
        </w:rPr>
        <w:t xml:space="preserve"> 2020</w:t>
      </w:r>
      <w:r w:rsidRPr="003C584C">
        <w:rPr>
          <w:rFonts w:cs="Arial"/>
        </w:rPr>
        <w:t>, the Minister for Communications, Cyber Safety and the Arts, the Hon Paul Fletcher MP</w:t>
      </w:r>
      <w:r w:rsidR="004C5C36">
        <w:rPr>
          <w:rFonts w:cs="Arial"/>
        </w:rPr>
        <w:t>,</w:t>
      </w:r>
      <w:r w:rsidRPr="003C584C">
        <w:rPr>
          <w:rFonts w:cs="Arial"/>
        </w:rPr>
        <w:t xml:space="preserve"> made a notice designating parts of the 3.4 GHz band for spectrum licensing.</w:t>
      </w:r>
      <w:r>
        <w:rPr>
          <w:rStyle w:val="FootnoteReference"/>
          <w:rFonts w:cs="Arial"/>
        </w:rPr>
        <w:footnoteReference w:id="7"/>
      </w:r>
      <w:r w:rsidRPr="003C584C">
        <w:rPr>
          <w:rFonts w:cs="Arial"/>
        </w:rPr>
        <w:t xml:space="preserve"> The areas and frequencies covered by the notice encompass apparatus licences held by NBN Co. The notice </w:t>
      </w:r>
      <w:r>
        <w:rPr>
          <w:rFonts w:cs="Arial"/>
        </w:rPr>
        <w:t>has allowed</w:t>
      </w:r>
      <w:r w:rsidRPr="003C584C">
        <w:rPr>
          <w:rFonts w:cs="Arial"/>
        </w:rPr>
        <w:t xml:space="preserve"> the ACMA to convert NBN Co</w:t>
      </w:r>
      <w:r w:rsidRPr="003C584C">
        <w:rPr>
          <w:rFonts w:cs="Arial" w:hint="eastAsia"/>
        </w:rPr>
        <w:t>’</w:t>
      </w:r>
      <w:r w:rsidRPr="003C584C">
        <w:rPr>
          <w:rFonts w:cs="Arial"/>
        </w:rPr>
        <w:t>s apparatus licences to spectrum licences</w:t>
      </w:r>
      <w:r>
        <w:rPr>
          <w:rFonts w:cs="Arial"/>
        </w:rPr>
        <w:t>,</w:t>
      </w:r>
      <w:r w:rsidRPr="003C584C">
        <w:rPr>
          <w:rFonts w:cs="Arial"/>
        </w:rPr>
        <w:t xml:space="preserve"> facilita</w:t>
      </w:r>
      <w:r>
        <w:rPr>
          <w:rFonts w:cs="Arial"/>
        </w:rPr>
        <w:t>ting defragmentation of the 3.4 </w:t>
      </w:r>
      <w:r w:rsidRPr="003C584C">
        <w:rPr>
          <w:rFonts w:cs="Arial"/>
        </w:rPr>
        <w:t xml:space="preserve">GHz band. NBN Co uses this spectrum to provide fixed-wireless services in regional and outer-metropolitan </w:t>
      </w:r>
      <w:r w:rsidRPr="003C584C">
        <w:t>areas.</w:t>
      </w:r>
      <w:r>
        <w:t xml:space="preserve"> The Explanatory Statement to the Minister’s designation notice noted the </w:t>
      </w:r>
      <w:r w:rsidR="004C5C36">
        <w:t>g</w:t>
      </w:r>
      <w:r>
        <w:t xml:space="preserve">overnment’s expectation that </w:t>
      </w:r>
      <w:r w:rsidR="004C5C36">
        <w:t>‘</w:t>
      </w:r>
      <w:r>
        <w:t>ACMA will work with NBN Co to make underutilised spectrum in inner-metropolitan areas of NBN Co’s spectrum licences available for licensing by other operators, subject to the development of appropriate interference management criteria and assessment of the utility of the spectrum</w:t>
      </w:r>
      <w:r w:rsidR="004C5C36">
        <w:t>’</w:t>
      </w:r>
      <w:r>
        <w:t>.</w:t>
      </w:r>
    </w:p>
    <w:p w14:paraId="7F302C9C" w14:textId="29611DED" w:rsidR="00417724" w:rsidRDefault="00417724" w:rsidP="00696EB4">
      <w:pPr>
        <w:pStyle w:val="Paragraph"/>
      </w:pPr>
      <w:r>
        <w:t>Several communications policy objectives relevant to the replanning considerations in this band have been identified.</w:t>
      </w:r>
    </w:p>
    <w:p w14:paraId="118909F6" w14:textId="7A3CBD32" w:rsidR="00417724" w:rsidRDefault="00417724" w:rsidP="003F4158">
      <w:pPr>
        <w:pStyle w:val="Paragraph"/>
      </w:pPr>
      <w:r w:rsidRPr="003C584C">
        <w:t xml:space="preserve">The </w:t>
      </w:r>
      <w:r w:rsidR="004C5C36">
        <w:t>g</w:t>
      </w:r>
      <w:r w:rsidRPr="003C584C">
        <w:t>overnment’s</w:t>
      </w:r>
      <w:r>
        <w:rPr>
          <w:color w:val="1F497D"/>
        </w:rPr>
        <w:t xml:space="preserve"> </w:t>
      </w:r>
      <w:hyperlink r:id="rId34" w:history="1">
        <w:r w:rsidRPr="00696EB4">
          <w:rPr>
            <w:rStyle w:val="Hyperlink"/>
            <w:i/>
            <w:iCs/>
          </w:rPr>
          <w:t>Digital Economy Strategy</w:t>
        </w:r>
      </w:hyperlink>
      <w:r w:rsidR="004C5C36" w:rsidRPr="00696EB4">
        <w:rPr>
          <w:rStyle w:val="Hyperlink"/>
          <w:i/>
          <w:iCs/>
        </w:rPr>
        <w:t xml:space="preserve"> 2030</w:t>
      </w:r>
      <w:r w:rsidRPr="003C584C">
        <w:t>, released in 2021,</w:t>
      </w:r>
      <w:r>
        <w:t xml:space="preserve"> </w:t>
      </w:r>
      <w:r w:rsidRPr="003C584C">
        <w:t xml:space="preserve">sets out how Australia will secure its future as a modern and leading digital economy and society by 2030. The </w:t>
      </w:r>
      <w:r w:rsidR="00447034">
        <w:t>s</w:t>
      </w:r>
      <w:r w:rsidRPr="003C584C">
        <w:t xml:space="preserve">trategy identified that digital infrastructure was a key enabler making it possible to access the digital world. The </w:t>
      </w:r>
      <w:r w:rsidR="00447034">
        <w:t>s</w:t>
      </w:r>
      <w:r w:rsidRPr="003C584C">
        <w:t xml:space="preserve">trategy noted that the </w:t>
      </w:r>
      <w:r w:rsidR="00447034">
        <w:t>g</w:t>
      </w:r>
      <w:r w:rsidRPr="003C584C">
        <w:t>overnment is supporting the roll out of 5G services through the timely availability of spectrum, streamlining deployment arrangements and showcasing trials of 5G use cases to promote business uptake</w:t>
      </w:r>
      <w:r>
        <w:t>.</w:t>
      </w:r>
    </w:p>
    <w:p w14:paraId="2267F75E" w14:textId="36C6ECB9" w:rsidR="0090608E" w:rsidRDefault="0090608E" w:rsidP="0090608E">
      <w:pPr>
        <w:pStyle w:val="Paragraph"/>
      </w:pPr>
      <w:r w:rsidRPr="00682BDB">
        <w:t xml:space="preserve">The </w:t>
      </w:r>
      <w:hyperlink r:id="rId35" w:tgtFrame="_blank" w:history="1">
        <w:r w:rsidRPr="00682BDB">
          <w:rPr>
            <w:color w:val="0000FF"/>
            <w:u w:val="single"/>
          </w:rPr>
          <w:t>5G</w:t>
        </w:r>
        <w:r w:rsidR="00447034" w:rsidRPr="00447034">
          <w:rPr>
            <w:color w:val="0000FF"/>
            <w:u w:val="single"/>
          </w:rPr>
          <w:t>—</w:t>
        </w:r>
        <w:r w:rsidRPr="00682BDB">
          <w:rPr>
            <w:color w:val="0000FF"/>
            <w:u w:val="single"/>
          </w:rPr>
          <w:t>Enabling the future economy</w:t>
        </w:r>
      </w:hyperlink>
      <w:r w:rsidRPr="00682BDB">
        <w:t xml:space="preserve"> strategy, released in 2017, committed to government action to support the timely rollout of 5G in Australia, including making spectrum available in a timely manner.</w:t>
      </w:r>
      <w:r w:rsidRPr="00682BDB">
        <w:rPr>
          <w:rFonts w:ascii="Times New Roman" w:hAnsi="Times New Roman"/>
          <w:lang w:val="en-US"/>
        </w:rPr>
        <w:t> </w:t>
      </w:r>
    </w:p>
    <w:p w14:paraId="09898DEB" w14:textId="65D7DADD" w:rsidR="0090608E" w:rsidRPr="00682BDB" w:rsidRDefault="00E97D51" w:rsidP="0090608E">
      <w:pPr>
        <w:pStyle w:val="Paragraphbeforelist"/>
        <w:rPr>
          <w:rFonts w:ascii="Times New Roman" w:hAnsi="Times New Roman"/>
          <w:sz w:val="24"/>
          <w:lang w:val="en-US"/>
        </w:rPr>
      </w:pPr>
      <w:hyperlink r:id="rId36" w:tgtFrame="_blank" w:history="1">
        <w:r w:rsidR="0090608E" w:rsidRPr="00682BDB">
          <w:rPr>
            <w:color w:val="0000FF"/>
            <w:u w:val="single"/>
          </w:rPr>
          <w:t>Australia’s Tech Future</w:t>
        </w:r>
      </w:hyperlink>
      <w:r w:rsidR="0090608E" w:rsidRPr="00682BDB">
        <w:t>, released in December 2018, sets out the Australian Government</w:t>
      </w:r>
      <w:r w:rsidR="0090608E">
        <w:t>’s</w:t>
      </w:r>
      <w:r w:rsidR="0090608E" w:rsidRPr="00682BDB">
        <w:t xml:space="preserve"> strategy for</w:t>
      </w:r>
      <w:r w:rsidR="00447034">
        <w:t xml:space="preserve"> the nation’s </w:t>
      </w:r>
      <w:r w:rsidR="0090608E" w:rsidRPr="00682BDB">
        <w:t>tech</w:t>
      </w:r>
      <w:r w:rsidR="00447034">
        <w:t>nological</w:t>
      </w:r>
      <w:r w:rsidR="0090608E" w:rsidRPr="00682BDB">
        <w:t xml:space="preserve"> future. The strategy presents a vision that Australians have access to world-class digital infrastructure in their personal and working lives with the following outcomes:</w:t>
      </w:r>
      <w:r w:rsidR="0090608E" w:rsidRPr="00682BDB">
        <w:rPr>
          <w:rFonts w:ascii="Times New Roman" w:hAnsi="Times New Roman"/>
          <w:lang w:val="en-US"/>
        </w:rPr>
        <w:t> </w:t>
      </w:r>
    </w:p>
    <w:p w14:paraId="7D162FC2" w14:textId="77777777" w:rsidR="0090608E" w:rsidRPr="00682BDB" w:rsidRDefault="0090608E" w:rsidP="0090608E">
      <w:pPr>
        <w:pStyle w:val="Bulletlevel1"/>
        <w:tabs>
          <w:tab w:val="clear" w:pos="295"/>
          <w:tab w:val="num" w:pos="579"/>
        </w:tabs>
        <w:rPr>
          <w:lang w:val="en-US"/>
        </w:rPr>
      </w:pPr>
      <w:r w:rsidRPr="00682BDB">
        <w:t>Australians have reliable, secure and affordable access to high-speed broadband and mobile communications.</w:t>
      </w:r>
      <w:r w:rsidRPr="00682BDB">
        <w:rPr>
          <w:lang w:val="en-US"/>
        </w:rPr>
        <w:t> </w:t>
      </w:r>
    </w:p>
    <w:p w14:paraId="573318F1" w14:textId="77777777" w:rsidR="0090608E" w:rsidRPr="00682BDB" w:rsidRDefault="0090608E" w:rsidP="0090608E">
      <w:pPr>
        <w:pStyle w:val="Bulletlevel1"/>
        <w:tabs>
          <w:tab w:val="clear" w:pos="295"/>
          <w:tab w:val="num" w:pos="579"/>
        </w:tabs>
        <w:rPr>
          <w:lang w:val="en-US"/>
        </w:rPr>
      </w:pPr>
      <w:r w:rsidRPr="00682BDB">
        <w:t>Australia’s communications sector is sustainable and competitive.</w:t>
      </w:r>
      <w:r w:rsidRPr="00682BDB">
        <w:rPr>
          <w:lang w:val="en-US"/>
        </w:rPr>
        <w:t> </w:t>
      </w:r>
    </w:p>
    <w:p w14:paraId="5E50ABF1" w14:textId="77777777" w:rsidR="0090608E" w:rsidRPr="00682BDB" w:rsidRDefault="0090608E" w:rsidP="0090608E">
      <w:pPr>
        <w:pStyle w:val="Bulletlevel1"/>
        <w:tabs>
          <w:tab w:val="clear" w:pos="295"/>
          <w:tab w:val="num" w:pos="579"/>
        </w:tabs>
        <w:rPr>
          <w:lang w:val="en-US"/>
        </w:rPr>
      </w:pPr>
      <w:r w:rsidRPr="00682BDB">
        <w:t>Australia’s world-leading navigation and positioning infrastructure supports emerging technologies.</w:t>
      </w:r>
    </w:p>
    <w:p w14:paraId="57E126F3" w14:textId="77777777" w:rsidR="0090608E" w:rsidRPr="00682BDB" w:rsidRDefault="0090608E" w:rsidP="0090608E">
      <w:pPr>
        <w:pStyle w:val="Bulletlevel1last"/>
        <w:tabs>
          <w:tab w:val="clear" w:pos="295"/>
          <w:tab w:val="num" w:pos="579"/>
        </w:tabs>
        <w:rPr>
          <w:lang w:val="en-US"/>
        </w:rPr>
      </w:pPr>
      <w:r w:rsidRPr="00682BDB">
        <w:t>Australia’s researchers have the specialised high-performing computing and data infrastructure needed to stay ahead in everything from health to agriculture.</w:t>
      </w:r>
      <w:r w:rsidRPr="00682BDB">
        <w:rPr>
          <w:lang w:val="en-US"/>
        </w:rPr>
        <w:t> </w:t>
      </w:r>
    </w:p>
    <w:p w14:paraId="24C6F51B" w14:textId="77777777" w:rsidR="0090608E" w:rsidRPr="00682BDB" w:rsidRDefault="0090608E" w:rsidP="0090608E">
      <w:pPr>
        <w:pStyle w:val="Heading3"/>
        <w:rPr>
          <w:rFonts w:ascii="Times New Roman" w:hAnsi="Times New Roman"/>
          <w:sz w:val="24"/>
          <w:lang w:val="en-US"/>
        </w:rPr>
      </w:pPr>
      <w:bookmarkStart w:id="33" w:name="_Toc61435411"/>
      <w:r w:rsidRPr="00682BDB">
        <w:t>Other relevant advice</w:t>
      </w:r>
      <w:bookmarkEnd w:id="33"/>
      <w:r w:rsidRPr="00682BDB">
        <w:rPr>
          <w:rFonts w:ascii="Times New Roman" w:hAnsi="Times New Roman"/>
          <w:lang w:val="en-US"/>
        </w:rPr>
        <w:t> </w:t>
      </w:r>
    </w:p>
    <w:p w14:paraId="539F9827" w14:textId="48A30206" w:rsidR="00DA45AD" w:rsidRPr="0090608E" w:rsidRDefault="00BA4E19" w:rsidP="0090608E">
      <w:pPr>
        <w:pStyle w:val="Paragraph"/>
        <w:rPr>
          <w:rFonts w:ascii="Times New Roman" w:hAnsi="Times New Roman"/>
          <w:sz w:val="24"/>
          <w:lang w:val="en-US"/>
        </w:rPr>
      </w:pPr>
      <w:r>
        <w:rPr>
          <w:szCs w:val="20"/>
        </w:rPr>
        <w:t>We</w:t>
      </w:r>
      <w:r w:rsidR="0090608E" w:rsidRPr="00682BDB">
        <w:rPr>
          <w:szCs w:val="20"/>
        </w:rPr>
        <w:t xml:space="preserve"> note the </w:t>
      </w:r>
      <w:hyperlink r:id="rId37" w:tgtFrame="_blank" w:history="1">
        <w:r w:rsidR="0090608E" w:rsidRPr="00682BDB">
          <w:rPr>
            <w:color w:val="0000FF"/>
            <w:szCs w:val="20"/>
            <w:u w:val="single"/>
          </w:rPr>
          <w:t>Australian Government</w:t>
        </w:r>
        <w:r w:rsidR="0090608E">
          <w:rPr>
            <w:color w:val="0000FF"/>
            <w:szCs w:val="20"/>
            <w:u w:val="single"/>
          </w:rPr>
          <w:t>’s</w:t>
        </w:r>
        <w:r w:rsidR="0090608E" w:rsidRPr="00682BDB">
          <w:rPr>
            <w:color w:val="0000FF"/>
            <w:szCs w:val="20"/>
            <w:u w:val="single"/>
          </w:rPr>
          <w:t xml:space="preserve"> response</w:t>
        </w:r>
      </w:hyperlink>
      <w:r w:rsidR="0090608E" w:rsidRPr="00682BDB">
        <w:rPr>
          <w:szCs w:val="20"/>
        </w:rPr>
        <w:t xml:space="preserve"> of November 2020 to the parliamentary report </w:t>
      </w:r>
      <w:hyperlink r:id="rId38" w:tgtFrame="_blank" w:history="1">
        <w:r w:rsidR="0090608E" w:rsidRPr="00696EB4">
          <w:rPr>
            <w:i/>
            <w:iCs/>
            <w:color w:val="0000FF"/>
            <w:szCs w:val="20"/>
            <w:u w:val="single"/>
          </w:rPr>
          <w:t>Next Gen Future: Inquiry into the deployment, adoption and application of 5G in Australia</w:t>
        </w:r>
      </w:hyperlink>
      <w:r w:rsidR="0090608E" w:rsidRPr="00682BDB">
        <w:rPr>
          <w:szCs w:val="20"/>
        </w:rPr>
        <w:t xml:space="preserve">. In particular, </w:t>
      </w:r>
      <w:r w:rsidR="00447034">
        <w:rPr>
          <w:szCs w:val="20"/>
        </w:rPr>
        <w:t>we</w:t>
      </w:r>
      <w:r w:rsidR="0090608E" w:rsidRPr="00682BDB">
        <w:rPr>
          <w:szCs w:val="20"/>
        </w:rPr>
        <w:t xml:space="preserve"> acknowledge the government’s support for </w:t>
      </w:r>
      <w:r w:rsidR="00447034">
        <w:rPr>
          <w:szCs w:val="20"/>
        </w:rPr>
        <w:t>R</w:t>
      </w:r>
      <w:r w:rsidR="0090608E" w:rsidRPr="00682BDB">
        <w:rPr>
          <w:szCs w:val="20"/>
        </w:rPr>
        <w:t xml:space="preserve">ecommendation 1 of the </w:t>
      </w:r>
      <w:r w:rsidR="0090608E">
        <w:t>report</w:t>
      </w:r>
      <w:r w:rsidR="0090608E" w:rsidRPr="00682BDB">
        <w:rPr>
          <w:szCs w:val="20"/>
        </w:rPr>
        <w:t>, which</w:t>
      </w:r>
      <w:r w:rsidR="0090608E">
        <w:t xml:space="preserve"> recommended the ACMA finalise spectrum allocations expeditiously and </w:t>
      </w:r>
      <w:r w:rsidR="0090608E" w:rsidRPr="00D0492F">
        <w:t>investigate how future spectrum auctions can promote improved market competition for the benefit of consumers</w:t>
      </w:r>
      <w:r w:rsidR="0090608E">
        <w:t>.</w:t>
      </w:r>
    </w:p>
    <w:p w14:paraId="2C9CF506" w14:textId="77777777" w:rsidR="00DA45AD" w:rsidRPr="0026075D" w:rsidRDefault="00DA45AD" w:rsidP="00DA45AD">
      <w:pPr>
        <w:pStyle w:val="Heading3"/>
        <w:ind w:right="16"/>
      </w:pPr>
      <w:r w:rsidRPr="0026075D">
        <w:t xml:space="preserve">Licensing </w:t>
      </w:r>
      <w:r>
        <w:t>arrangements</w:t>
      </w:r>
    </w:p>
    <w:p w14:paraId="62FB2896" w14:textId="1C8487AC" w:rsidR="0046136F" w:rsidRPr="0046136F" w:rsidRDefault="00DA45AD" w:rsidP="0046136F">
      <w:pPr>
        <w:rPr>
          <w:rFonts w:cs="Arial"/>
        </w:rPr>
      </w:pPr>
      <w:r w:rsidRPr="0046136F">
        <w:rPr>
          <w:rFonts w:cs="Arial"/>
        </w:rPr>
        <w:t xml:space="preserve">There are </w:t>
      </w:r>
      <w:r w:rsidR="0046136F" w:rsidRPr="0046136F">
        <w:rPr>
          <w:rFonts w:cs="Arial"/>
        </w:rPr>
        <w:t xml:space="preserve">currently </w:t>
      </w:r>
      <w:r w:rsidR="00BA4E19">
        <w:rPr>
          <w:rFonts w:cs="Arial"/>
        </w:rPr>
        <w:t>3</w:t>
      </w:r>
      <w:r w:rsidR="00BA4E19" w:rsidRPr="0046136F">
        <w:rPr>
          <w:rFonts w:cs="Arial"/>
        </w:rPr>
        <w:t xml:space="preserve"> </w:t>
      </w:r>
      <w:r w:rsidR="0046136F" w:rsidRPr="0046136F">
        <w:rPr>
          <w:rFonts w:cs="Arial"/>
        </w:rPr>
        <w:t>licence types</w:t>
      </w:r>
      <w:r w:rsidRPr="0046136F">
        <w:rPr>
          <w:rFonts w:cs="Arial"/>
        </w:rPr>
        <w:t xml:space="preserve"> available to authorise access to spectrum</w:t>
      </w:r>
      <w:r w:rsidR="00BA4E19">
        <w:rPr>
          <w:rFonts w:cs="Arial"/>
        </w:rPr>
        <w:t xml:space="preserve"> –</w:t>
      </w:r>
      <w:r w:rsidRPr="0046136F">
        <w:rPr>
          <w:rFonts w:cs="Arial"/>
        </w:rPr>
        <w:t xml:space="preserve">spectrum, apparatus and class licences. </w:t>
      </w:r>
      <w:r w:rsidR="0046136F" w:rsidRPr="0046136F">
        <w:rPr>
          <w:rFonts w:cs="Arial"/>
        </w:rPr>
        <w:t xml:space="preserve">Each of these have differing characteristics with respect to the allocation method commonly used, approach to pricing, associated level of exclusivity and interference environment. </w:t>
      </w:r>
      <w:bookmarkStart w:id="34" w:name="_Hlk75769434"/>
      <w:r w:rsidR="0046136F">
        <w:t>These approaches influence how options can be developed and implemented</w:t>
      </w:r>
      <w:r w:rsidR="0046136F" w:rsidRPr="00A05EC9">
        <w:t>.</w:t>
      </w:r>
    </w:p>
    <w:p w14:paraId="3C8B1BF7" w14:textId="4FDA9DC8" w:rsidR="0046136F" w:rsidRPr="005A3A3A" w:rsidRDefault="0046136F" w:rsidP="006B6A28">
      <w:pPr>
        <w:rPr>
          <w:rFonts w:cs="Arial"/>
        </w:rPr>
      </w:pPr>
      <w:r w:rsidRPr="0046136F">
        <w:rPr>
          <w:rFonts w:cs="Arial"/>
        </w:rPr>
        <w:t xml:space="preserve">On 17 June 2021, amendments to the </w:t>
      </w:r>
      <w:r w:rsidR="00033D3B" w:rsidRPr="00A11362">
        <w:rPr>
          <w:rFonts w:cs="Arial"/>
        </w:rPr>
        <w:t>Act</w:t>
      </w:r>
      <w:r w:rsidRPr="0046136F">
        <w:rPr>
          <w:rFonts w:cs="Arial"/>
          <w:i/>
          <w:iCs/>
        </w:rPr>
        <w:t xml:space="preserve"> </w:t>
      </w:r>
      <w:r w:rsidRPr="0046136F">
        <w:rPr>
          <w:rFonts w:cs="Arial"/>
        </w:rPr>
        <w:t xml:space="preserve">from the </w:t>
      </w:r>
      <w:r w:rsidRPr="0046136F">
        <w:rPr>
          <w:rFonts w:cs="Arial"/>
          <w:i/>
          <w:iCs/>
        </w:rPr>
        <w:t xml:space="preserve">Radiocommunications Legislation Amendment (Reform and Modernisation) Act 2020 </w:t>
      </w:r>
      <w:r w:rsidRPr="0046136F">
        <w:rPr>
          <w:rFonts w:cs="Arial"/>
        </w:rPr>
        <w:t>(the Modernisation Act) came into force. The amendments allow for greater flexibility for the ACMA to manage spectrum and greater clarity to licensees</w:t>
      </w:r>
      <w:bookmarkStart w:id="35" w:name="_Hlk75769689"/>
      <w:r w:rsidRPr="0046136F">
        <w:rPr>
          <w:rFonts w:cs="Arial"/>
        </w:rPr>
        <w:t xml:space="preserve">. More information on the amendments can be found on the </w:t>
      </w:r>
      <w:hyperlink r:id="rId39" w:history="1">
        <w:r w:rsidRPr="0046136F">
          <w:rPr>
            <w:rFonts w:cs="Arial"/>
            <w:color w:val="0000FF"/>
            <w:u w:val="single" w:color="0000FF"/>
          </w:rPr>
          <w:t>ACMA website</w:t>
        </w:r>
      </w:hyperlink>
      <w:r w:rsidRPr="0046136F">
        <w:rPr>
          <w:rFonts w:cs="Arial"/>
        </w:rPr>
        <w:t xml:space="preserve">. The ACMA </w:t>
      </w:r>
      <w:r w:rsidR="00F70708">
        <w:rPr>
          <w:rFonts w:cs="Arial"/>
        </w:rPr>
        <w:t xml:space="preserve">has developed an </w:t>
      </w:r>
      <w:hyperlink r:id="rId40" w:history="1">
        <w:r w:rsidR="00F70708" w:rsidRPr="00F70708">
          <w:rPr>
            <w:rStyle w:val="Hyperlink"/>
            <w:rFonts w:cs="Arial"/>
          </w:rPr>
          <w:t>overvie</w:t>
        </w:r>
        <w:r w:rsidR="002D0273">
          <w:rPr>
            <w:rStyle w:val="Hyperlink"/>
            <w:rFonts w:cs="Arial"/>
          </w:rPr>
          <w:t>w of its approach</w:t>
        </w:r>
      </w:hyperlink>
      <w:r w:rsidR="00F70708">
        <w:rPr>
          <w:rFonts w:cs="Arial"/>
        </w:rPr>
        <w:t xml:space="preserve"> </w:t>
      </w:r>
      <w:r w:rsidRPr="0046136F">
        <w:rPr>
          <w:rFonts w:cs="Arial"/>
        </w:rPr>
        <w:t>to implementing the changes to licensing and allocation.</w:t>
      </w:r>
      <w:bookmarkEnd w:id="34"/>
      <w:bookmarkEnd w:id="35"/>
    </w:p>
    <w:p w14:paraId="29B89060" w14:textId="53D16698" w:rsidR="00DA45AD" w:rsidRPr="00A05EC9" w:rsidRDefault="00DA45AD" w:rsidP="00DA45AD">
      <w:pPr>
        <w:ind w:right="16"/>
      </w:pPr>
      <w:r w:rsidRPr="00A05EC9">
        <w:t xml:space="preserve">A spectrum licence authorises </w:t>
      </w:r>
      <w:r>
        <w:t xml:space="preserve">the operation of devices within </w:t>
      </w:r>
      <w:r w:rsidRPr="00A05EC9">
        <w:t xml:space="preserve">a </w:t>
      </w:r>
      <w:r>
        <w:t xml:space="preserve">defined </w:t>
      </w:r>
      <w:r w:rsidRPr="00A05EC9">
        <w:t xml:space="preserve">frequency </w:t>
      </w:r>
      <w:r>
        <w:t>range</w:t>
      </w:r>
      <w:r w:rsidRPr="00A05EC9">
        <w:t xml:space="preserve"> </w:t>
      </w:r>
      <w:r>
        <w:t xml:space="preserve">and </w:t>
      </w:r>
      <w:r w:rsidRPr="00A05EC9">
        <w:t>geographic area</w:t>
      </w:r>
      <w:r>
        <w:t>, with a high degree of exclusivity</w:t>
      </w:r>
      <w:r w:rsidRPr="00F26E80">
        <w:t>. The geographic area can vary in size and can comprise the</w:t>
      </w:r>
      <w:r w:rsidRPr="00A05EC9">
        <w:t xml:space="preserve"> entire country. Spectrum licences</w:t>
      </w:r>
      <w:r>
        <w:t xml:space="preserve"> are usually allocated by an auction and</w:t>
      </w:r>
      <w:r w:rsidRPr="00A05EC9">
        <w:t xml:space="preserve"> have historically been utilised for most bands used to deploy commercial mobile </w:t>
      </w:r>
      <w:r>
        <w:t xml:space="preserve">broadband </w:t>
      </w:r>
      <w:r w:rsidRPr="00A05EC9">
        <w:t xml:space="preserve">networks. </w:t>
      </w:r>
      <w:r>
        <w:t xml:space="preserve">Spectrum licences may be allocated for up to </w:t>
      </w:r>
      <w:r w:rsidR="004A1B7A">
        <w:t>20</w:t>
      </w:r>
      <w:r>
        <w:t xml:space="preserve"> years.</w:t>
      </w:r>
    </w:p>
    <w:p w14:paraId="28876B73" w14:textId="4E8F9E7D" w:rsidR="00DA45AD" w:rsidRPr="005E6D37" w:rsidRDefault="00DA45AD" w:rsidP="00DA45AD">
      <w:pPr>
        <w:ind w:right="16"/>
      </w:pPr>
      <w:r w:rsidRPr="00A05EC9">
        <w:t>An inherent feature of spectrum licensing is technological flexibility</w:t>
      </w:r>
      <w:r w:rsidR="006A5703">
        <w:t xml:space="preserve"> – </w:t>
      </w:r>
      <w:r w:rsidRPr="00A05EC9">
        <w:t xml:space="preserve">that is, the </w:t>
      </w:r>
      <w:r>
        <w:t>licence conditions and associated technical framework</w:t>
      </w:r>
      <w:r w:rsidRPr="00A05EC9">
        <w:t xml:space="preserve">, while usually optimised for an expected technology, specify generic technical </w:t>
      </w:r>
      <w:r>
        <w:t>conditions</w:t>
      </w:r>
      <w:r w:rsidRPr="001E5818">
        <w:rPr>
          <w:vertAlign w:val="superscript"/>
        </w:rPr>
        <w:footnoteReference w:id="8"/>
      </w:r>
      <w:r>
        <w:t xml:space="preserve"> and do </w:t>
      </w:r>
      <w:r w:rsidRPr="001E5818">
        <w:t xml:space="preserve">not </w:t>
      </w:r>
      <w:r>
        <w:t xml:space="preserve">usually </w:t>
      </w:r>
      <w:r w:rsidRPr="001E5818">
        <w:t>expressly mandat</w:t>
      </w:r>
      <w:r>
        <w:t xml:space="preserve">e or limit specific </w:t>
      </w:r>
      <w:r w:rsidRPr="001E5818">
        <w:t>technolog</w:t>
      </w:r>
      <w:r>
        <w:t>ies</w:t>
      </w:r>
      <w:r w:rsidRPr="001E5818">
        <w:t xml:space="preserve"> or service</w:t>
      </w:r>
      <w:r>
        <w:t>s</w:t>
      </w:r>
      <w:r w:rsidRPr="001E5818">
        <w:t xml:space="preserve">. This allows a licensee to deploy any technology </w:t>
      </w:r>
      <w:r>
        <w:t xml:space="preserve">that </w:t>
      </w:r>
      <w:r w:rsidRPr="001E5818">
        <w:t xml:space="preserve">complies with the conditions of the licence. It is up to the licensee to manage interference between </w:t>
      </w:r>
      <w:r>
        <w:t xml:space="preserve">their </w:t>
      </w:r>
      <w:r w:rsidRPr="001E5818">
        <w:t>d</w:t>
      </w:r>
      <w:r w:rsidRPr="00A05EC9">
        <w:t>evices</w:t>
      </w:r>
      <w:r>
        <w:t xml:space="preserve"> (note that </w:t>
      </w:r>
      <w:r w:rsidRPr="00A05EC9">
        <w:t xml:space="preserve">the adoption of international standards </w:t>
      </w:r>
      <w:r>
        <w:t xml:space="preserve">within the technical framework </w:t>
      </w:r>
      <w:r w:rsidRPr="00A05EC9">
        <w:t>mitigates the potential for interference between devices</w:t>
      </w:r>
      <w:r>
        <w:t>)</w:t>
      </w:r>
      <w:r w:rsidRPr="00A05EC9">
        <w:t>. S</w:t>
      </w:r>
      <w:r w:rsidRPr="005E6D37">
        <w:t xml:space="preserve">pectrum licences are more conducive to </w:t>
      </w:r>
      <w:r>
        <w:t xml:space="preserve">secondary </w:t>
      </w:r>
      <w:r w:rsidRPr="005E6D37">
        <w:t>trading than apparatus licences, due to design features such as their longer tenure and their ability to be sub-divided.</w:t>
      </w:r>
    </w:p>
    <w:p w14:paraId="35DDE12A" w14:textId="2254F6A3" w:rsidR="0090608E" w:rsidRDefault="0090608E" w:rsidP="0090608E">
      <w:pPr>
        <w:pStyle w:val="Paragraph"/>
        <w:rPr>
          <w:rFonts w:ascii="Times New Roman" w:hAnsi="Times New Roman"/>
          <w:szCs w:val="20"/>
          <w:lang w:val="en-US"/>
        </w:rPr>
      </w:pPr>
      <w:r w:rsidRPr="00682BDB">
        <w:rPr>
          <w:szCs w:val="20"/>
        </w:rPr>
        <w:t xml:space="preserve">An apparatus licence authorises the use of a radiocommunications device (or group of devices) operating under a specific radiocommunications service type, in a specific frequency range, and traditionally at one or more specific geographic locations for a period of up to </w:t>
      </w:r>
      <w:r>
        <w:rPr>
          <w:szCs w:val="20"/>
        </w:rPr>
        <w:t>20</w:t>
      </w:r>
      <w:r w:rsidRPr="00682BDB">
        <w:rPr>
          <w:szCs w:val="20"/>
        </w:rPr>
        <w:t xml:space="preserve"> years. They are typically issued ‘over-the-counter’ in accordance with coordination </w:t>
      </w:r>
      <w:r>
        <w:rPr>
          <w:szCs w:val="20"/>
        </w:rPr>
        <w:t>policies</w:t>
      </w:r>
      <w:r w:rsidRPr="00682BDB">
        <w:rPr>
          <w:szCs w:val="20"/>
        </w:rPr>
        <w:t xml:space="preserve"> developed by the ACMA. </w:t>
      </w:r>
      <w:r w:rsidR="006A5703">
        <w:rPr>
          <w:szCs w:val="20"/>
        </w:rPr>
        <w:t>We</w:t>
      </w:r>
      <w:r w:rsidRPr="00682BDB">
        <w:rPr>
          <w:szCs w:val="20"/>
        </w:rPr>
        <w:t xml:space="preserve"> </w:t>
      </w:r>
      <w:hyperlink r:id="rId41" w:tgtFrame="_blank" w:history="1">
        <w:r>
          <w:rPr>
            <w:color w:val="0000FF"/>
            <w:szCs w:val="20"/>
            <w:u w:val="single"/>
          </w:rPr>
          <w:t>impose</w:t>
        </w:r>
        <w:r w:rsidRPr="00682BDB">
          <w:rPr>
            <w:color w:val="0000FF"/>
            <w:szCs w:val="20"/>
            <w:u w:val="single"/>
          </w:rPr>
          <w:t xml:space="preserve"> </w:t>
        </w:r>
        <w:r>
          <w:rPr>
            <w:color w:val="0000FF"/>
            <w:szCs w:val="20"/>
            <w:u w:val="single"/>
          </w:rPr>
          <w:t xml:space="preserve">cost recovery </w:t>
        </w:r>
      </w:hyperlink>
      <w:r>
        <w:rPr>
          <w:color w:val="0000FF"/>
          <w:szCs w:val="20"/>
          <w:u w:val="single"/>
        </w:rPr>
        <w:t>charges, and separate legislation imposes taxes</w:t>
      </w:r>
      <w:r w:rsidRPr="00682BDB">
        <w:rPr>
          <w:szCs w:val="20"/>
        </w:rPr>
        <w:t xml:space="preserve"> </w:t>
      </w:r>
      <w:r>
        <w:rPr>
          <w:szCs w:val="20"/>
        </w:rPr>
        <w:t>in relation to</w:t>
      </w:r>
      <w:r w:rsidRPr="00682BDB">
        <w:rPr>
          <w:szCs w:val="20"/>
        </w:rPr>
        <w:t xml:space="preserve"> apparatus licences</w:t>
      </w:r>
      <w:r>
        <w:rPr>
          <w:szCs w:val="20"/>
        </w:rPr>
        <w:t>. These amounts</w:t>
      </w:r>
      <w:r w:rsidRPr="00682BDB">
        <w:rPr>
          <w:szCs w:val="20"/>
        </w:rPr>
        <w:t xml:space="preserve"> cover our costs and give people incentive to use spectrum efficiently.</w:t>
      </w:r>
      <w:r w:rsidRPr="00682BDB">
        <w:rPr>
          <w:rFonts w:ascii="Times New Roman" w:hAnsi="Times New Roman"/>
          <w:szCs w:val="20"/>
          <w:lang w:val="en-US"/>
        </w:rPr>
        <w:t> </w:t>
      </w:r>
    </w:p>
    <w:p w14:paraId="1C13EA44" w14:textId="1814D757" w:rsidR="0090608E" w:rsidRPr="00682BDB" w:rsidRDefault="0090608E" w:rsidP="0090608E">
      <w:pPr>
        <w:pStyle w:val="Paragraph"/>
        <w:rPr>
          <w:lang w:val="en-US"/>
        </w:rPr>
      </w:pPr>
      <w:r w:rsidRPr="00682BDB">
        <w:t xml:space="preserve">The ACMA </w:t>
      </w:r>
      <w:r w:rsidR="00D66D20">
        <w:t>has also</w:t>
      </w:r>
      <w:r w:rsidRPr="00682BDB">
        <w:t xml:space="preserve"> created a new apparatus licence type</w:t>
      </w:r>
      <w:r w:rsidR="006A5703">
        <w:t xml:space="preserve"> – </w:t>
      </w:r>
      <w:r w:rsidRPr="00682BDB">
        <w:t xml:space="preserve">the </w:t>
      </w:r>
      <w:hyperlink r:id="rId42" w:tgtFrame="_blank" w:history="1">
        <w:r w:rsidRPr="00682BDB">
          <w:rPr>
            <w:color w:val="0000FF"/>
            <w:u w:val="single"/>
          </w:rPr>
          <w:t>area-wide apparatus licence</w:t>
        </w:r>
      </w:hyperlink>
      <w:r w:rsidRPr="00682BDB">
        <w:t>. This authorises the operation of one or more radiocommunications devices within a defined geographic area within frequencies specified in the licence, subject to the conditions included on the issued licence. The licence type is proposed to be scalable, enabling its use for authorising different-sized geographic areas and bandwidths. Unlike existing apparatus licence types</w:t>
      </w:r>
      <w:r w:rsidR="006A5703">
        <w:t xml:space="preserve"> – </w:t>
      </w:r>
      <w:r w:rsidRPr="00682BDB">
        <w:t>which typically align with specific uses and purposes</w:t>
      </w:r>
      <w:r w:rsidR="006A5703">
        <w:t xml:space="preserve"> – </w:t>
      </w:r>
      <w:r w:rsidRPr="00682BDB">
        <w:t xml:space="preserve">the area-wide apparatus licence </w:t>
      </w:r>
      <w:r w:rsidR="00D66D20">
        <w:t>is</w:t>
      </w:r>
      <w:r w:rsidRPr="00682BDB">
        <w:t xml:space="preserve"> capable of authorising a variety of services, uses, applications and technologies.</w:t>
      </w:r>
    </w:p>
    <w:p w14:paraId="5D3BD938" w14:textId="517BA2B4" w:rsidR="00DA45AD" w:rsidRPr="0090608E" w:rsidRDefault="0090608E" w:rsidP="0090608E">
      <w:pPr>
        <w:pStyle w:val="Paragraph"/>
        <w:rPr>
          <w:lang w:val="en-US"/>
        </w:rPr>
      </w:pPr>
      <w:r w:rsidRPr="00682BDB">
        <w:t xml:space="preserve">Class licences are a standing authorisation to access spectrum without the need to apply to the ACMA for an individual licence (hence </w:t>
      </w:r>
      <w:r>
        <w:t>taxes or charges are</w:t>
      </w:r>
      <w:r w:rsidRPr="00682BDB">
        <w:t xml:space="preserve"> paid), subject to the conditions of the relevant class licence. These conditions include technical and geo</w:t>
      </w:r>
      <w:r>
        <w:t>g</w:t>
      </w:r>
      <w:r w:rsidRPr="00682BDB">
        <w:t>raphic matters and/or pertain to the type of use or class of user.</w:t>
      </w:r>
    </w:p>
    <w:p w14:paraId="5C092923" w14:textId="77777777" w:rsidR="00DA45AD" w:rsidRPr="0026075D" w:rsidRDefault="00DA45AD" w:rsidP="00DA45AD">
      <w:pPr>
        <w:pStyle w:val="Heading3"/>
        <w:spacing w:after="240"/>
        <w:ind w:right="16"/>
      </w:pPr>
      <w:r>
        <w:t>Spectrum planning options development</w:t>
      </w:r>
    </w:p>
    <w:p w14:paraId="667BFDDA" w14:textId="37FE24F2" w:rsidR="00DA45AD" w:rsidRDefault="005A3A3A" w:rsidP="00DA45AD">
      <w:pPr>
        <w:ind w:right="16"/>
      </w:pPr>
      <w:r w:rsidRPr="005A3A3A">
        <w:t xml:space="preserve">We are guided in our spectrum management functions by the object of the Act, set out in </w:t>
      </w:r>
      <w:hyperlink w:anchor="_Guiding_legislation_and" w:history="1">
        <w:r w:rsidR="007F3BE0" w:rsidRPr="007F3BE0">
          <w:rPr>
            <w:rStyle w:val="Hyperlink"/>
          </w:rPr>
          <w:t xml:space="preserve">Guiding legislation </w:t>
        </w:r>
        <w:r w:rsidR="007F3BE0">
          <w:rPr>
            <w:rStyle w:val="Hyperlink"/>
          </w:rPr>
          <w:t xml:space="preserve">and </w:t>
        </w:r>
        <w:r w:rsidR="007F3BE0" w:rsidRPr="007F3BE0">
          <w:rPr>
            <w:rStyle w:val="Hyperlink"/>
          </w:rPr>
          <w:t>policy</w:t>
        </w:r>
      </w:hyperlink>
      <w:r w:rsidRPr="005A3A3A">
        <w:t>. A balanced application of regulatory and market mechanisms is often necessary in order to achieve key elements of the object of the Act, in particular maximising the overall public benefit from the efficient allocation and use of the radiofrequency spectrum and meeting the government’s policy objectives.</w:t>
      </w:r>
      <w:r>
        <w:t xml:space="preserve"> </w:t>
      </w:r>
    </w:p>
    <w:p w14:paraId="0B618288" w14:textId="46BD9ED7" w:rsidR="005116BD" w:rsidRDefault="00DA45AD" w:rsidP="006B6A28">
      <w:pPr>
        <w:ind w:right="16"/>
      </w:pPr>
      <w:r w:rsidRPr="009317CD">
        <w:t xml:space="preserve">Figure </w:t>
      </w:r>
      <w:r w:rsidR="000169AD" w:rsidRPr="009317CD">
        <w:t>2</w:t>
      </w:r>
      <w:r w:rsidRPr="009317CD">
        <w:t xml:space="preserve"> describes the approach the ACMA has used in </w:t>
      </w:r>
      <w:r w:rsidR="00DC1F7C" w:rsidRPr="009317CD">
        <w:t>acquiring</w:t>
      </w:r>
      <w:r w:rsidRPr="009317CD">
        <w:t xml:space="preserve"> and assessing</w:t>
      </w:r>
      <w:r w:rsidR="007F3BE0">
        <w:t> </w:t>
      </w:r>
      <w:r w:rsidRPr="009317CD">
        <w:t>preliminary replanning</w:t>
      </w:r>
      <w:r>
        <w:t xml:space="preserve"> options for the </w:t>
      </w:r>
      <w:r w:rsidR="004A1B7A">
        <w:t>use of urban excise areas in the 3400</w:t>
      </w:r>
      <w:r w:rsidR="007F3BE0">
        <w:t>–</w:t>
      </w:r>
      <w:r w:rsidR="004A1B7A">
        <w:t>3475 MHz</w:t>
      </w:r>
      <w:r>
        <w:t xml:space="preserve"> band. </w:t>
      </w:r>
      <w:r w:rsidRPr="001E5818">
        <w:t xml:space="preserve">The ACMA will continue to apply </w:t>
      </w:r>
      <w:r>
        <w:t>this general approach</w:t>
      </w:r>
      <w:r w:rsidRPr="00A05EC9">
        <w:t xml:space="preserve"> as it considers the responses to t</w:t>
      </w:r>
      <w:r w:rsidRPr="005E6D37">
        <w:t>his paper</w:t>
      </w:r>
      <w:r>
        <w:t xml:space="preserve"> and decides on the outcomes</w:t>
      </w:r>
      <w:r w:rsidRPr="005E6D37">
        <w:t>.</w:t>
      </w:r>
    </w:p>
    <w:p w14:paraId="036C1EEF" w14:textId="77777777" w:rsidR="00DA45AD" w:rsidRPr="005E6D37" w:rsidRDefault="00DA45AD" w:rsidP="00DA45AD">
      <w:pPr>
        <w:pStyle w:val="ACMAFigureHeader"/>
        <w:spacing w:before="240"/>
      </w:pPr>
      <w:r w:rsidRPr="005E6D37">
        <w:t xml:space="preserve">Spectrum </w:t>
      </w:r>
      <w:r>
        <w:t>planning</w:t>
      </w:r>
      <w:r w:rsidRPr="005E6D37">
        <w:t xml:space="preserve"> </w:t>
      </w:r>
      <w:r>
        <w:t>options</w:t>
      </w:r>
      <w:r w:rsidRPr="005E6D37">
        <w:t xml:space="preserve"> framework</w:t>
      </w:r>
    </w:p>
    <w:p w14:paraId="65EB602F" w14:textId="77777777" w:rsidR="00DA45AD" w:rsidRDefault="00DA45AD" w:rsidP="00DA45AD">
      <w:pPr>
        <w:pStyle w:val="ACMASpaceaftertable"/>
        <w:rPr>
          <w:szCs w:val="26"/>
        </w:rPr>
      </w:pPr>
      <w:bookmarkStart w:id="36" w:name="_Toc466017062"/>
      <w:bookmarkStart w:id="37" w:name="_Toc468438957"/>
      <w:bookmarkStart w:id="38" w:name="_Toc468705312"/>
      <w:bookmarkStart w:id="39" w:name="_Ref517340300"/>
      <w:r>
        <w:rPr>
          <w:noProof/>
        </w:rPr>
        <w:drawing>
          <wp:inline distT="0" distB="0" distL="0" distR="0" wp14:anchorId="11D5CF1B" wp14:editId="52770517">
            <wp:extent cx="6480000" cy="3567600"/>
            <wp:effectExtent l="0" t="0" r="0" b="0"/>
            <wp:docPr id="9" name="Picture 9" descr="Figure 1: Spectrum planning options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480000" cy="3567600"/>
                    </a:xfrm>
                    <a:prstGeom prst="rect">
                      <a:avLst/>
                    </a:prstGeom>
                  </pic:spPr>
                </pic:pic>
              </a:graphicData>
            </a:graphic>
          </wp:inline>
        </w:drawing>
      </w:r>
    </w:p>
    <w:p w14:paraId="1BF020BE" w14:textId="13B4D0BC" w:rsidR="00291CFB" w:rsidRPr="007D04B2" w:rsidRDefault="00430A4C" w:rsidP="00291CFB">
      <w:pPr>
        <w:pStyle w:val="Heading2"/>
      </w:pPr>
      <w:bookmarkStart w:id="40" w:name="_Toc80795867"/>
      <w:bookmarkEnd w:id="18"/>
      <w:bookmarkEnd w:id="19"/>
      <w:bookmarkEnd w:id="20"/>
      <w:bookmarkEnd w:id="21"/>
      <w:bookmarkEnd w:id="22"/>
      <w:bookmarkEnd w:id="23"/>
      <w:bookmarkEnd w:id="24"/>
      <w:bookmarkEnd w:id="25"/>
      <w:bookmarkEnd w:id="26"/>
      <w:bookmarkEnd w:id="27"/>
      <w:bookmarkEnd w:id="28"/>
      <w:bookmarkEnd w:id="29"/>
      <w:bookmarkEnd w:id="30"/>
      <w:bookmarkEnd w:id="36"/>
      <w:bookmarkEnd w:id="37"/>
      <w:bookmarkEnd w:id="38"/>
      <w:bookmarkEnd w:id="39"/>
      <w:r>
        <w:rPr>
          <w:rFonts w:cs="Calibri"/>
        </w:rPr>
        <w:t xml:space="preserve">3.4 GHz </w:t>
      </w:r>
      <w:r w:rsidR="00925D1B">
        <w:rPr>
          <w:rFonts w:cs="Calibri"/>
        </w:rPr>
        <w:t>t</w:t>
      </w:r>
      <w:r>
        <w:rPr>
          <w:rFonts w:cs="Calibri"/>
        </w:rPr>
        <w:t xml:space="preserve">echnical </w:t>
      </w:r>
      <w:r w:rsidR="00925D1B">
        <w:rPr>
          <w:rFonts w:cs="Calibri"/>
        </w:rPr>
        <w:t>l</w:t>
      </w:r>
      <w:r>
        <w:rPr>
          <w:rFonts w:cs="Calibri"/>
        </w:rPr>
        <w:t xml:space="preserve">iaison </w:t>
      </w:r>
      <w:r w:rsidR="00925D1B">
        <w:rPr>
          <w:rFonts w:cs="Calibri"/>
        </w:rPr>
        <w:t>g</w:t>
      </w:r>
      <w:r>
        <w:rPr>
          <w:rFonts w:cs="Calibri"/>
        </w:rPr>
        <w:t>roup</w:t>
      </w:r>
      <w:bookmarkEnd w:id="40"/>
    </w:p>
    <w:p w14:paraId="6C2F86D0" w14:textId="26BA81F3" w:rsidR="00430A4C" w:rsidRDefault="00B308C1" w:rsidP="00430A4C">
      <w:pPr>
        <w:spacing w:before="240"/>
        <w:rPr>
          <w:rFonts w:cs="Arial"/>
        </w:rPr>
      </w:pPr>
      <w:r>
        <w:rPr>
          <w:rFonts w:cs="Arial"/>
          <w:bCs/>
          <w:color w:val="000000" w:themeColor="text1"/>
          <w:szCs w:val="20"/>
        </w:rPr>
        <w:t>From October 2020 to July 2021, t</w:t>
      </w:r>
      <w:r w:rsidR="00430A4C">
        <w:rPr>
          <w:rFonts w:cs="Arial"/>
          <w:bCs/>
          <w:color w:val="000000" w:themeColor="text1"/>
          <w:szCs w:val="20"/>
        </w:rPr>
        <w:t xml:space="preserve">he ACMA </w:t>
      </w:r>
      <w:hyperlink r:id="rId44" w:history="1">
        <w:r w:rsidR="007F3BE0">
          <w:rPr>
            <w:rStyle w:val="Hyperlink"/>
            <w:rFonts w:cs="Arial"/>
            <w:bCs/>
            <w:szCs w:val="20"/>
          </w:rPr>
          <w:t>convened a T</w:t>
        </w:r>
        <w:r w:rsidR="00807890" w:rsidRPr="00807890">
          <w:rPr>
            <w:rStyle w:val="Hyperlink"/>
            <w:rFonts w:cs="Arial"/>
            <w:bCs/>
            <w:szCs w:val="20"/>
          </w:rPr>
          <w:t>LG</w:t>
        </w:r>
      </w:hyperlink>
      <w:r w:rsidR="00942A6E">
        <w:rPr>
          <w:rFonts w:cs="Arial"/>
          <w:bCs/>
          <w:color w:val="000000" w:themeColor="text1"/>
          <w:szCs w:val="20"/>
        </w:rPr>
        <w:t xml:space="preserve"> </w:t>
      </w:r>
      <w:r w:rsidR="00294657">
        <w:rPr>
          <w:rFonts w:cs="Arial"/>
          <w:bCs/>
          <w:color w:val="000000" w:themeColor="text1"/>
          <w:szCs w:val="20"/>
        </w:rPr>
        <w:t>(</w:t>
      </w:r>
      <w:r w:rsidR="00495E5F">
        <w:rPr>
          <w:rFonts w:cs="Arial"/>
          <w:bCs/>
          <w:color w:val="000000" w:themeColor="text1"/>
          <w:szCs w:val="20"/>
        </w:rPr>
        <w:t xml:space="preserve">a </w:t>
      </w:r>
      <w:r w:rsidR="00294657">
        <w:rPr>
          <w:rFonts w:cs="Arial"/>
          <w:bCs/>
          <w:color w:val="000000" w:themeColor="text1"/>
          <w:szCs w:val="20"/>
        </w:rPr>
        <w:t xml:space="preserve">short-term advisory body) </w:t>
      </w:r>
      <w:r w:rsidR="00430A4C">
        <w:rPr>
          <w:rFonts w:cs="Arial"/>
          <w:bCs/>
          <w:color w:val="000000" w:themeColor="text1"/>
          <w:szCs w:val="20"/>
        </w:rPr>
        <w:t>to review the 3.4 GHz spectrum licence technical framework</w:t>
      </w:r>
      <w:r w:rsidR="00AD0AF4">
        <w:rPr>
          <w:rFonts w:cs="Arial"/>
          <w:bCs/>
          <w:color w:val="000000" w:themeColor="text1"/>
          <w:szCs w:val="20"/>
        </w:rPr>
        <w:t xml:space="preserve"> and develop options for use of </w:t>
      </w:r>
      <w:r w:rsidR="0073387E">
        <w:rPr>
          <w:rFonts w:cs="Arial"/>
          <w:bCs/>
          <w:color w:val="000000" w:themeColor="text1"/>
          <w:szCs w:val="20"/>
        </w:rPr>
        <w:t xml:space="preserve">spectrum in </w:t>
      </w:r>
      <w:r w:rsidR="00AD0AF4">
        <w:rPr>
          <w:rFonts w:cs="Arial"/>
          <w:bCs/>
          <w:color w:val="000000" w:themeColor="text1"/>
          <w:szCs w:val="20"/>
        </w:rPr>
        <w:t>urban excise areas</w:t>
      </w:r>
      <w:r w:rsidR="00430A4C">
        <w:rPr>
          <w:rFonts w:cs="Arial"/>
          <w:bCs/>
          <w:color w:val="000000" w:themeColor="text1"/>
          <w:szCs w:val="20"/>
        </w:rPr>
        <w:t xml:space="preserve">. </w:t>
      </w:r>
      <w:bookmarkStart w:id="41" w:name="_Hlk78379285"/>
      <w:r w:rsidR="0003562E">
        <w:t xml:space="preserve">While not having any </w:t>
      </w:r>
      <w:r w:rsidR="005A3A3A">
        <w:t>decision-making</w:t>
      </w:r>
      <w:r w:rsidR="0003562E">
        <w:t xml:space="preserve"> powers, it provid</w:t>
      </w:r>
      <w:r w:rsidR="0073387E">
        <w:t>es</w:t>
      </w:r>
      <w:r w:rsidR="00430A4C" w:rsidRPr="00736BE8">
        <w:t xml:space="preserve"> advice on the development of, or possible changes to, a spectrum or apparatus licence technical framework. </w:t>
      </w:r>
      <w:r w:rsidR="00430A4C" w:rsidRPr="00F256E0">
        <w:rPr>
          <w:rFonts w:cs="Arial"/>
        </w:rPr>
        <w:t>Membership include</w:t>
      </w:r>
      <w:r w:rsidR="00430A4C">
        <w:rPr>
          <w:rFonts w:cs="Arial"/>
        </w:rPr>
        <w:t>d</w:t>
      </w:r>
      <w:r w:rsidR="00430A4C" w:rsidRPr="00F256E0">
        <w:rPr>
          <w:rFonts w:cs="Arial"/>
        </w:rPr>
        <w:t xml:space="preserve"> 3.4 GHz spectrum licensees, </w:t>
      </w:r>
      <w:r w:rsidR="00430A4C">
        <w:rPr>
          <w:rFonts w:cs="Arial"/>
        </w:rPr>
        <w:t xml:space="preserve">the </w:t>
      </w:r>
      <w:r w:rsidR="00430A4C" w:rsidRPr="00F256E0">
        <w:rPr>
          <w:rFonts w:cs="Arial"/>
        </w:rPr>
        <w:t xml:space="preserve">Department of Defence, equipment manufacturers, </w:t>
      </w:r>
      <w:r w:rsidR="005A3A3A">
        <w:rPr>
          <w:rFonts w:cs="Arial"/>
        </w:rPr>
        <w:t>the Australian Mobile Telecommunications Association (</w:t>
      </w:r>
      <w:r w:rsidR="00430A4C" w:rsidRPr="00F256E0">
        <w:rPr>
          <w:rFonts w:cs="Arial"/>
        </w:rPr>
        <w:t>AMTA</w:t>
      </w:r>
      <w:r w:rsidR="005A3A3A">
        <w:rPr>
          <w:rFonts w:cs="Arial"/>
        </w:rPr>
        <w:t>)</w:t>
      </w:r>
      <w:r w:rsidR="00430A4C" w:rsidRPr="00F256E0">
        <w:rPr>
          <w:rFonts w:cs="Arial"/>
        </w:rPr>
        <w:t>,</w:t>
      </w:r>
      <w:r w:rsidR="005A3A3A">
        <w:rPr>
          <w:rFonts w:cs="Arial"/>
        </w:rPr>
        <w:t xml:space="preserve"> the Global Systems for Mobile Communications Association</w:t>
      </w:r>
      <w:r w:rsidR="00430A4C" w:rsidRPr="00F256E0">
        <w:rPr>
          <w:rFonts w:cs="Arial"/>
        </w:rPr>
        <w:t xml:space="preserve"> </w:t>
      </w:r>
      <w:r w:rsidR="005A3A3A">
        <w:rPr>
          <w:rFonts w:cs="Arial"/>
        </w:rPr>
        <w:t>(</w:t>
      </w:r>
      <w:r w:rsidR="00430A4C" w:rsidRPr="00F256E0">
        <w:rPr>
          <w:rFonts w:cs="Arial"/>
        </w:rPr>
        <w:t>GSMA</w:t>
      </w:r>
      <w:r w:rsidR="005A3A3A">
        <w:rPr>
          <w:rFonts w:cs="Arial"/>
        </w:rPr>
        <w:t>)</w:t>
      </w:r>
      <w:r w:rsidR="00430A4C" w:rsidRPr="00F256E0">
        <w:rPr>
          <w:rFonts w:cs="Arial"/>
        </w:rPr>
        <w:t xml:space="preserve">, amateurs, Boeing, </w:t>
      </w:r>
      <w:r w:rsidR="005A3A3A" w:rsidRPr="005A3A3A">
        <w:rPr>
          <w:rFonts w:cs="Arial"/>
        </w:rPr>
        <w:t>Department of Infrastructure, Transport, Regional Development and Communications</w:t>
      </w:r>
      <w:r w:rsidR="005A3A3A">
        <w:rPr>
          <w:rFonts w:cs="Arial"/>
        </w:rPr>
        <w:t xml:space="preserve"> (</w:t>
      </w:r>
      <w:r w:rsidR="00430A4C" w:rsidRPr="00F256E0">
        <w:rPr>
          <w:rFonts w:cs="Arial"/>
        </w:rPr>
        <w:t>DITRDC</w:t>
      </w:r>
      <w:r w:rsidR="005A3A3A">
        <w:rPr>
          <w:rFonts w:cs="Arial"/>
        </w:rPr>
        <w:t>)</w:t>
      </w:r>
      <w:r w:rsidR="00430A4C" w:rsidRPr="00F256E0">
        <w:rPr>
          <w:rFonts w:cs="Arial"/>
        </w:rPr>
        <w:t xml:space="preserve"> and Inmarsat.</w:t>
      </w:r>
      <w:r w:rsidR="00430A4C">
        <w:rPr>
          <w:rFonts w:cs="Arial"/>
        </w:rPr>
        <w:t xml:space="preserve"> </w:t>
      </w:r>
      <w:bookmarkEnd w:id="41"/>
    </w:p>
    <w:p w14:paraId="6624E2FA" w14:textId="07B8E866" w:rsidR="00291CFB" w:rsidRPr="007D04B2" w:rsidRDefault="00430A4C" w:rsidP="00696EB4">
      <w:pPr>
        <w:pStyle w:val="Paragraphbeforelist"/>
      </w:pPr>
      <w:r>
        <w:t>T</w:t>
      </w:r>
      <w:r w:rsidR="00291CFB" w:rsidRPr="00F256E0">
        <w:t xml:space="preserve">he scope of the TLG </w:t>
      </w:r>
      <w:r w:rsidR="00291CFB">
        <w:t>wa</w:t>
      </w:r>
      <w:r w:rsidR="00291CFB" w:rsidRPr="00F256E0">
        <w:t xml:space="preserve">s to </w:t>
      </w:r>
      <w:r w:rsidR="0090696E">
        <w:t>consider</w:t>
      </w:r>
      <w:r w:rsidR="00291CFB" w:rsidRPr="00F256E0">
        <w:t xml:space="preserve"> the following issues</w:t>
      </w:r>
      <w:r w:rsidR="00291CFB">
        <w:t>:</w:t>
      </w:r>
      <w:r w:rsidR="00291CFB" w:rsidRPr="007D04B2">
        <w:t xml:space="preserve"> </w:t>
      </w:r>
    </w:p>
    <w:p w14:paraId="30247560" w14:textId="66CB4432" w:rsidR="00291CFB" w:rsidRPr="00F256E0" w:rsidRDefault="00D54A08" w:rsidP="00696EB4">
      <w:pPr>
        <w:pStyle w:val="Bulletlevel1"/>
      </w:pPr>
      <w:bookmarkStart w:id="42" w:name="_Hlk54356750"/>
      <w:r>
        <w:t>C</w:t>
      </w:r>
      <w:r w:rsidR="00291CFB" w:rsidRPr="00F256E0">
        <w:t xml:space="preserve">onsequential changes to the </w:t>
      </w:r>
      <w:hyperlink r:id="rId45" w:history="1">
        <w:r w:rsidR="00291CFB" w:rsidRPr="00F256E0">
          <w:rPr>
            <w:rStyle w:val="Hyperlink"/>
            <w:szCs w:val="20"/>
          </w:rPr>
          <w:t>3.4 GHz band technical framework</w:t>
        </w:r>
      </w:hyperlink>
      <w:r w:rsidR="00291CFB" w:rsidRPr="00F256E0">
        <w:t xml:space="preserve"> required to support the conversion of </w:t>
      </w:r>
      <w:r w:rsidR="00291CFB">
        <w:t>NBN Co’s</w:t>
      </w:r>
      <w:r w:rsidR="00291CFB" w:rsidRPr="00F256E0">
        <w:t xml:space="preserve"> existing apparatus licences to spectrum licences</w:t>
      </w:r>
      <w:r w:rsidR="00291CFB">
        <w:t xml:space="preserve"> (referred to as consequential changes)</w:t>
      </w:r>
      <w:r>
        <w:t>.</w:t>
      </w:r>
    </w:p>
    <w:bookmarkEnd w:id="42"/>
    <w:p w14:paraId="6ED80D79" w14:textId="71D4887E" w:rsidR="002B3B69" w:rsidRPr="00F256E0" w:rsidRDefault="00D54A08" w:rsidP="00696EB4">
      <w:pPr>
        <w:pStyle w:val="Bulletlevel1"/>
        <w:rPr>
          <w:rFonts w:ascii="Calibri" w:hAnsi="Calibri"/>
        </w:rPr>
      </w:pPr>
      <w:r>
        <w:t>D</w:t>
      </w:r>
      <w:r w:rsidR="002B3B69" w:rsidRPr="00F256E0">
        <w:t xml:space="preserve">evelopment of </w:t>
      </w:r>
      <w:r w:rsidR="002B3B69">
        <w:t xml:space="preserve">options for use of </w:t>
      </w:r>
      <w:r w:rsidR="0073387E">
        <w:t xml:space="preserve">spectrum in </w:t>
      </w:r>
      <w:r w:rsidR="002B3B69" w:rsidRPr="00F256E0">
        <w:t>urban excise areas</w:t>
      </w:r>
      <w:r w:rsidR="002B3B69">
        <w:t xml:space="preserve"> by wireless broadband services. This included development of suitable interference management criteria. </w:t>
      </w:r>
    </w:p>
    <w:p w14:paraId="7F9736ED" w14:textId="5CD5B83E" w:rsidR="00291CFB" w:rsidRPr="00F256E0" w:rsidRDefault="00D54A08" w:rsidP="00696EB4">
      <w:pPr>
        <w:pStyle w:val="Bulletlevel1"/>
      </w:pPr>
      <w:r>
        <w:t>R</w:t>
      </w:r>
      <w:r w:rsidR="00291CFB" w:rsidRPr="00F256E0">
        <w:t xml:space="preserve">eview of </w:t>
      </w:r>
      <w:r w:rsidR="00291CFB">
        <w:t xml:space="preserve">the </w:t>
      </w:r>
      <w:r w:rsidR="00291CFB" w:rsidRPr="00F256E0">
        <w:t xml:space="preserve">s.145(4) </w:t>
      </w:r>
      <w:r>
        <w:t>D</w:t>
      </w:r>
      <w:r w:rsidR="00291CFB" w:rsidRPr="00F256E0">
        <w:t>etermination</w:t>
      </w:r>
      <w:r>
        <w:t>.</w:t>
      </w:r>
    </w:p>
    <w:p w14:paraId="672325E6" w14:textId="3D534028" w:rsidR="00291CFB" w:rsidRDefault="00DF2ECA" w:rsidP="00696EB4">
      <w:pPr>
        <w:pStyle w:val="Bulletlevel1"/>
      </w:pPr>
      <w:r>
        <w:t>R</w:t>
      </w:r>
      <w:r w:rsidR="00291CFB">
        <w:t xml:space="preserve">eview the </w:t>
      </w:r>
      <w:r w:rsidR="00033D3B">
        <w:t xml:space="preserve">receiver </w:t>
      </w:r>
      <w:r w:rsidR="00291CFB">
        <w:t>spurious emission limits</w:t>
      </w:r>
      <w:r w:rsidR="0090696E">
        <w:t xml:space="preserve"> contained as a core condition in 3.4</w:t>
      </w:r>
      <w:r w:rsidR="00D54A08">
        <w:t> </w:t>
      </w:r>
      <w:r w:rsidR="0090696E">
        <w:t>GHz spectrum licences</w:t>
      </w:r>
      <w:r w:rsidR="00D54A08">
        <w:t>.</w:t>
      </w:r>
    </w:p>
    <w:p w14:paraId="4A71C671" w14:textId="5FBDAE5D" w:rsidR="00291CFB" w:rsidRDefault="00DF2ECA" w:rsidP="00696EB4">
      <w:pPr>
        <w:pStyle w:val="Bulletlevel1last"/>
      </w:pPr>
      <w:r>
        <w:t>R</w:t>
      </w:r>
      <w:r w:rsidR="00291CFB">
        <w:t xml:space="preserve">eview text in the </w:t>
      </w:r>
      <w:hyperlink r:id="rId46" w:history="1">
        <w:r w:rsidR="00291CFB" w:rsidRPr="00291CFB">
          <w:rPr>
            <w:rStyle w:val="Hyperlink"/>
            <w:szCs w:val="20"/>
          </w:rPr>
          <w:t>Radiocommunications Advisory Guidelines (Managing Interference to Spectrum Licensed Receivers — 3.4 GHz Band) 2015</w:t>
        </w:r>
      </w:hyperlink>
      <w:r w:rsidR="00291CFB" w:rsidRPr="00291CFB">
        <w:t xml:space="preserve"> </w:t>
      </w:r>
      <w:r w:rsidR="00D54A08">
        <w:br/>
      </w:r>
      <w:r w:rsidR="00291CFB" w:rsidRPr="00291CFB">
        <w:t>(the RAG Rx)</w:t>
      </w:r>
      <w:r w:rsidR="00291CFB">
        <w:t xml:space="preserve"> relating to interference management with </w:t>
      </w:r>
      <w:r w:rsidR="0090696E">
        <w:t xml:space="preserve">Department of Defence </w:t>
      </w:r>
      <w:r w:rsidR="00291CFB">
        <w:t xml:space="preserve">radar systems. The aim </w:t>
      </w:r>
      <w:r>
        <w:t xml:space="preserve">of this </w:t>
      </w:r>
      <w:r w:rsidR="00495E5F">
        <w:t>was</w:t>
      </w:r>
      <w:r>
        <w:t xml:space="preserve"> </w:t>
      </w:r>
      <w:r w:rsidR="00291CFB">
        <w:t>to provide greater guidance on the issue.</w:t>
      </w:r>
    </w:p>
    <w:p w14:paraId="09D6A762" w14:textId="393A5641" w:rsidR="00291CFB" w:rsidRPr="007F5124" w:rsidRDefault="00291CFB" w:rsidP="00291CFB">
      <w:pPr>
        <w:pStyle w:val="ListBullet"/>
        <w:numPr>
          <w:ilvl w:val="0"/>
          <w:numId w:val="0"/>
        </w:numPr>
        <w:spacing w:before="240" w:after="240"/>
        <w:rPr>
          <w:szCs w:val="20"/>
        </w:rPr>
      </w:pPr>
      <w:r>
        <w:rPr>
          <w:szCs w:val="20"/>
        </w:rPr>
        <w:t xml:space="preserve">The </w:t>
      </w:r>
      <w:r>
        <w:t xml:space="preserve">outcomes of the TLG are </w:t>
      </w:r>
      <w:r w:rsidR="00E65605">
        <w:t xml:space="preserve">contained </w:t>
      </w:r>
      <w:r>
        <w:t xml:space="preserve">in the </w:t>
      </w:r>
      <w:hyperlink r:id="rId47" w:history="1">
        <w:r w:rsidRPr="0038741C">
          <w:rPr>
            <w:rStyle w:val="Hyperlink"/>
            <w:rFonts w:cs="Arial"/>
            <w:i/>
            <w:iCs/>
          </w:rPr>
          <w:t xml:space="preserve">Review </w:t>
        </w:r>
        <w:r w:rsidRPr="00DB5756">
          <w:rPr>
            <w:rStyle w:val="Hyperlink"/>
            <w:rFonts w:cs="Arial"/>
            <w:i/>
            <w:iCs/>
          </w:rPr>
          <w:t xml:space="preserve">of the </w:t>
        </w:r>
        <w:r>
          <w:rPr>
            <w:rStyle w:val="Hyperlink"/>
            <w:rFonts w:cs="Arial"/>
            <w:i/>
            <w:iCs/>
          </w:rPr>
          <w:t>3.4</w:t>
        </w:r>
        <w:r w:rsidRPr="00DB5756">
          <w:rPr>
            <w:rStyle w:val="Hyperlink"/>
            <w:rFonts w:cs="Arial"/>
            <w:i/>
            <w:iCs/>
          </w:rPr>
          <w:t xml:space="preserve"> GHz spectrum licence technical framework Technical Liaison </w:t>
        </w:r>
        <w:r>
          <w:rPr>
            <w:rStyle w:val="Hyperlink"/>
            <w:rFonts w:cs="Arial"/>
            <w:i/>
            <w:iCs/>
          </w:rPr>
          <w:t>Group paper</w:t>
        </w:r>
      </w:hyperlink>
      <w:r w:rsidRPr="0038741C">
        <w:rPr>
          <w:rFonts w:cs="Arial"/>
        </w:rPr>
        <w:t xml:space="preserve"> (</w:t>
      </w:r>
      <w:r>
        <w:rPr>
          <w:rFonts w:cs="Arial"/>
        </w:rPr>
        <w:t>3.4</w:t>
      </w:r>
      <w:r w:rsidRPr="0038741C">
        <w:rPr>
          <w:rFonts w:cs="Arial"/>
        </w:rPr>
        <w:t xml:space="preserve"> GHz TLG paper).</w:t>
      </w:r>
      <w:r>
        <w:rPr>
          <w:rFonts w:cs="Arial"/>
        </w:rPr>
        <w:t xml:space="preserve"> </w:t>
      </w:r>
    </w:p>
    <w:p w14:paraId="0AE01546" w14:textId="77777777" w:rsidR="00291CFB" w:rsidRDefault="00291CFB" w:rsidP="00696EB4">
      <w:pPr>
        <w:pStyle w:val="Paragraphbeforelist"/>
      </w:pPr>
      <w:r w:rsidRPr="007D04B2">
        <w:t>It is noted that</w:t>
      </w:r>
      <w:r>
        <w:t>:</w:t>
      </w:r>
      <w:r w:rsidRPr="007D04B2">
        <w:t xml:space="preserve"> </w:t>
      </w:r>
    </w:p>
    <w:p w14:paraId="519CDA85" w14:textId="3F017DD8" w:rsidR="00291CFB" w:rsidRDefault="0073387E" w:rsidP="00696EB4">
      <w:pPr>
        <w:pStyle w:val="Bulletlevel1"/>
      </w:pPr>
      <w:r>
        <w:t>N</w:t>
      </w:r>
      <w:r w:rsidR="00291CFB">
        <w:t xml:space="preserve">ot all issues considered by the TLG are within the scope of this </w:t>
      </w:r>
      <w:r w:rsidR="00C67E6A">
        <w:t xml:space="preserve">options </w:t>
      </w:r>
      <w:r w:rsidR="00291CFB">
        <w:t>paper.</w:t>
      </w:r>
    </w:p>
    <w:p w14:paraId="09781416" w14:textId="79848FBA" w:rsidR="00291CFB" w:rsidRDefault="00291CFB" w:rsidP="00696EB4">
      <w:pPr>
        <w:pStyle w:val="Bulletlevel1"/>
      </w:pPr>
      <w:r>
        <w:t>A</w:t>
      </w:r>
      <w:r w:rsidRPr="00473557">
        <w:t xml:space="preserve"> TLG is the first step in the process of </w:t>
      </w:r>
      <w:r>
        <w:t>reviewing</w:t>
      </w:r>
      <w:r w:rsidRPr="00473557">
        <w:t xml:space="preserve"> a technical framework. The ACMA will </w:t>
      </w:r>
      <w:r>
        <w:t xml:space="preserve">consider </w:t>
      </w:r>
      <w:r w:rsidRPr="00473557">
        <w:t xml:space="preserve">the outcomes of </w:t>
      </w:r>
      <w:r w:rsidR="00E65605">
        <w:t>a</w:t>
      </w:r>
      <w:r w:rsidRPr="00473557">
        <w:t xml:space="preserve"> TLG </w:t>
      </w:r>
      <w:r w:rsidR="00E65605">
        <w:t xml:space="preserve">before </w:t>
      </w:r>
      <w:r w:rsidRPr="00473557">
        <w:t>consult</w:t>
      </w:r>
      <w:r w:rsidR="00E65605">
        <w:t>ing</w:t>
      </w:r>
      <w:r w:rsidRPr="00473557">
        <w:t xml:space="preserve"> on </w:t>
      </w:r>
      <w:r>
        <w:t xml:space="preserve">changes to </w:t>
      </w:r>
      <w:r w:rsidRPr="00473557">
        <w:t>the relevant instruments that form the</w:t>
      </w:r>
      <w:r>
        <w:t xml:space="preserve"> 3.4</w:t>
      </w:r>
      <w:r w:rsidRPr="00473557">
        <w:t xml:space="preserve"> GHz band technical framework. This means TLG members </w:t>
      </w:r>
      <w:r>
        <w:t>are</w:t>
      </w:r>
      <w:r w:rsidRPr="00473557">
        <w:t xml:space="preserve"> able to provide comment</w:t>
      </w:r>
      <w:r w:rsidRPr="005438AE">
        <w:t>s on the technical framework both as part of the informal TLG and subsequent formal public consultation processes</w:t>
      </w:r>
      <w:r>
        <w:t>.</w:t>
      </w:r>
    </w:p>
    <w:p w14:paraId="5EA73574" w14:textId="5AD3F94F" w:rsidR="00291CFB" w:rsidRDefault="00291CFB" w:rsidP="00696EB4">
      <w:pPr>
        <w:pStyle w:val="Bulletlevel1last"/>
      </w:pPr>
      <w:r>
        <w:t>W</w:t>
      </w:r>
      <w:r w:rsidRPr="00736BE8">
        <w:t xml:space="preserve">hile </w:t>
      </w:r>
      <w:r w:rsidR="00DF2ECA">
        <w:t>we</w:t>
      </w:r>
      <w:r w:rsidRPr="00736BE8">
        <w:t xml:space="preserve"> strive to achieve consensus with </w:t>
      </w:r>
      <w:r>
        <w:t xml:space="preserve">TLG </w:t>
      </w:r>
      <w:r w:rsidRPr="00736BE8">
        <w:t>members, the final decision on the content of, or changes to, a spectrum or apparatus licen</w:t>
      </w:r>
      <w:r>
        <w:t>sing</w:t>
      </w:r>
      <w:r w:rsidRPr="00736BE8">
        <w:t xml:space="preserve"> technical framework rests with the ACMA. This is particularly relevant in cases where consensus cannot be achieved on an issue or advice from the TLG is not provided</w:t>
      </w:r>
      <w:r>
        <w:t>.</w:t>
      </w:r>
    </w:p>
    <w:p w14:paraId="62CCEEAA" w14:textId="392375FF" w:rsidR="002A25B3" w:rsidRPr="007D04B2" w:rsidRDefault="002A25B3" w:rsidP="002A25B3">
      <w:pPr>
        <w:pStyle w:val="Heading2"/>
      </w:pPr>
      <w:bookmarkStart w:id="43" w:name="_Toc80795868"/>
      <w:r w:rsidRPr="007D04B2">
        <w:rPr>
          <w:rFonts w:cs="Calibri"/>
        </w:rPr>
        <w:t>Scope</w:t>
      </w:r>
      <w:r w:rsidR="00430A4C">
        <w:rPr>
          <w:rFonts w:cs="Calibri"/>
        </w:rPr>
        <w:t xml:space="preserve"> of this paper</w:t>
      </w:r>
      <w:bookmarkEnd w:id="43"/>
    </w:p>
    <w:p w14:paraId="21D59529" w14:textId="63259ABA" w:rsidR="002A25B3" w:rsidRDefault="002E5D92" w:rsidP="003F16BB">
      <w:pPr>
        <w:pStyle w:val="Paragraph"/>
        <w:spacing w:after="120"/>
      </w:pPr>
      <w:bookmarkStart w:id="44" w:name="_Hlk78379465"/>
      <w:r>
        <w:t xml:space="preserve">This </w:t>
      </w:r>
      <w:r w:rsidR="00F96EF0">
        <w:t>consultation</w:t>
      </w:r>
      <w:r w:rsidR="002A25B3" w:rsidRPr="00F256E0">
        <w:t xml:space="preserve"> </w:t>
      </w:r>
      <w:r w:rsidR="00870861">
        <w:t>paper</w:t>
      </w:r>
      <w:r w:rsidR="00F96EF0">
        <w:t xml:space="preserve"> </w:t>
      </w:r>
      <w:r w:rsidR="00D13E37">
        <w:t>focus</w:t>
      </w:r>
      <w:r>
        <w:t>es</w:t>
      </w:r>
      <w:r w:rsidR="00D13E37">
        <w:t xml:space="preserve"> </w:t>
      </w:r>
      <w:r w:rsidR="00DA0F7F">
        <w:t>on:</w:t>
      </w:r>
    </w:p>
    <w:p w14:paraId="2E6EC9AD" w14:textId="2012526F" w:rsidR="002554A9" w:rsidRDefault="002554A9" w:rsidP="00696EB4">
      <w:pPr>
        <w:pStyle w:val="Bulletlevel1"/>
      </w:pPr>
      <w:r>
        <w:t xml:space="preserve">Amendments to </w:t>
      </w:r>
      <w:r w:rsidR="00724940">
        <w:t>RALI MS44</w:t>
      </w:r>
      <w:r w:rsidR="00DF2ECA">
        <w:t>.</w:t>
      </w:r>
    </w:p>
    <w:p w14:paraId="70CC6D09" w14:textId="78C523FA" w:rsidR="00870861" w:rsidRDefault="00870861" w:rsidP="00696EB4">
      <w:pPr>
        <w:pStyle w:val="Bulletlevel1"/>
      </w:pPr>
      <w:r>
        <w:t xml:space="preserve">Amendments </w:t>
      </w:r>
      <w:r w:rsidR="003F16BB">
        <w:t xml:space="preserve">to </w:t>
      </w:r>
      <w:r w:rsidR="00F96EF0">
        <w:t>the</w:t>
      </w:r>
      <w:r w:rsidR="007F5124">
        <w:t xml:space="preserve"> </w:t>
      </w:r>
      <w:r w:rsidR="00F96EF0">
        <w:t xml:space="preserve">s.145(4) </w:t>
      </w:r>
      <w:r w:rsidR="00DF2ECA">
        <w:t>D</w:t>
      </w:r>
      <w:r w:rsidR="003F16BB">
        <w:t>etermination</w:t>
      </w:r>
      <w:r w:rsidR="00DA0F7F">
        <w:t>.</w:t>
      </w:r>
      <w:r w:rsidR="003F16BB">
        <w:t xml:space="preserve"> </w:t>
      </w:r>
    </w:p>
    <w:p w14:paraId="62091596" w14:textId="119AF07A" w:rsidR="003F16BB" w:rsidRDefault="003F16BB" w:rsidP="00696EB4">
      <w:pPr>
        <w:pStyle w:val="Bulletlevel1"/>
      </w:pPr>
      <w:r>
        <w:t xml:space="preserve">Updates to the </w:t>
      </w:r>
      <w:r w:rsidR="007F5124">
        <w:t xml:space="preserve">3.4 GHz spectrum licence core condition related to </w:t>
      </w:r>
      <w:r>
        <w:rPr>
          <w:szCs w:val="20"/>
        </w:rPr>
        <w:t>spurious emission limits</w:t>
      </w:r>
      <w:r w:rsidR="00DF2ECA">
        <w:rPr>
          <w:szCs w:val="20"/>
        </w:rPr>
        <w:t>.</w:t>
      </w:r>
    </w:p>
    <w:p w14:paraId="7562A822" w14:textId="0E41A05D" w:rsidR="00F96EF0" w:rsidRDefault="00F96EF0" w:rsidP="00696EB4">
      <w:pPr>
        <w:pStyle w:val="Bulletlevel1last"/>
      </w:pPr>
      <w:r>
        <w:t>Considering options for use of urban excise areas for the delivery of wireless broadband services.</w:t>
      </w:r>
      <w:bookmarkEnd w:id="44"/>
    </w:p>
    <w:p w14:paraId="07B7E172" w14:textId="77777777" w:rsidR="006348E2" w:rsidRDefault="006348E2" w:rsidP="00696EB4">
      <w:pPr>
        <w:pStyle w:val="Paragraphbeforelist"/>
      </w:pPr>
      <w:r>
        <w:t>The following issues are outside the scope of this paper:</w:t>
      </w:r>
    </w:p>
    <w:p w14:paraId="2E5521B9" w14:textId="5A51D139" w:rsidR="00F77BD0" w:rsidRDefault="00F77BD0" w:rsidP="00696EB4">
      <w:pPr>
        <w:pStyle w:val="Bulletlevel1"/>
      </w:pPr>
      <w:r>
        <w:t>Issues being considered by the 3400</w:t>
      </w:r>
      <w:r w:rsidR="00DF2ECA">
        <w:t>–</w:t>
      </w:r>
      <w:r>
        <w:t xml:space="preserve">4000 MHz TLG. </w:t>
      </w:r>
      <w:r w:rsidRPr="006348E2">
        <w:t>Th</w:t>
      </w:r>
      <w:r>
        <w:t xml:space="preserve">is includes implementation </w:t>
      </w:r>
      <w:r w:rsidR="00DF2ECA">
        <w:t xml:space="preserve">of </w:t>
      </w:r>
      <w:r>
        <w:t xml:space="preserve">the </w:t>
      </w:r>
      <w:hyperlink r:id="rId48" w:history="1">
        <w:r w:rsidRPr="00F77BD0">
          <w:rPr>
            <w:rStyle w:val="Hyperlink"/>
            <w:i/>
            <w:iCs/>
            <w:szCs w:val="20"/>
          </w:rPr>
          <w:t>Replanning the 3700–4200 MHz band: Outcomes paper</w:t>
        </w:r>
      </w:hyperlink>
      <w:r w:rsidR="00DF2ECA">
        <w:t xml:space="preserve">, </w:t>
      </w:r>
      <w:r>
        <w:t xml:space="preserve">as well as the development of </w:t>
      </w:r>
      <w:r w:rsidRPr="006348E2">
        <w:t xml:space="preserve">arrangements </w:t>
      </w:r>
      <w:r w:rsidR="0041587B">
        <w:t>for</w:t>
      </w:r>
      <w:r w:rsidRPr="006348E2">
        <w:t xml:space="preserve"> wireless broadband systems</w:t>
      </w:r>
      <w:r>
        <w:t xml:space="preserve"> in regional and remote areas of the 3400</w:t>
      </w:r>
      <w:r w:rsidR="005E2923">
        <w:t>–</w:t>
      </w:r>
      <w:r>
        <w:t xml:space="preserve">3575 MHz band. </w:t>
      </w:r>
    </w:p>
    <w:p w14:paraId="592F06F6" w14:textId="7995B037" w:rsidR="006348E2" w:rsidRDefault="006348E2" w:rsidP="00696EB4">
      <w:pPr>
        <w:pStyle w:val="Bulletlevel1"/>
      </w:pPr>
      <w:r>
        <w:t xml:space="preserve">The following issues considered by the </w:t>
      </w:r>
      <w:r w:rsidR="007F5124">
        <w:t xml:space="preserve">3.4 GHz band </w:t>
      </w:r>
      <w:r>
        <w:t>TLG:</w:t>
      </w:r>
    </w:p>
    <w:p w14:paraId="15E225EC" w14:textId="0F2224A7" w:rsidR="003F16BB" w:rsidRDefault="003F16BB" w:rsidP="00696EB4">
      <w:pPr>
        <w:pStyle w:val="Bulletlevel2"/>
      </w:pPr>
      <w:r w:rsidRPr="003F16BB">
        <w:t xml:space="preserve">The consequential changes identified </w:t>
      </w:r>
      <w:r>
        <w:t>for</w:t>
      </w:r>
      <w:r w:rsidRPr="003F16BB">
        <w:t xml:space="preserve"> </w:t>
      </w:r>
      <w:r>
        <w:t xml:space="preserve">3.4 GHz </w:t>
      </w:r>
      <w:r w:rsidRPr="003F16BB">
        <w:t>spectrum licences</w:t>
      </w:r>
      <w:r w:rsidR="007E6722">
        <w:t>.</w:t>
      </w:r>
      <w:r>
        <w:t xml:space="preserve"> These</w:t>
      </w:r>
      <w:r w:rsidRPr="003F16BB">
        <w:t xml:space="preserve"> are only critical for licences that will operate in spectrum included in the </w:t>
      </w:r>
      <w:hyperlink r:id="rId49" w:history="1">
        <w:r w:rsidRPr="003F16BB">
          <w:rPr>
            <w:rStyle w:val="Hyperlink"/>
            <w:i/>
            <w:iCs/>
            <w:szCs w:val="20"/>
          </w:rPr>
          <w:t>Radiocommunications (Spectrum Designation—3.4 GHz Band) Notice 2020</w:t>
        </w:r>
      </w:hyperlink>
      <w:r w:rsidRPr="003F16BB">
        <w:t>. These</w:t>
      </w:r>
      <w:r>
        <w:t xml:space="preserve"> changes</w:t>
      </w:r>
      <w:r w:rsidRPr="003F16BB">
        <w:t xml:space="preserve"> are being made to relevant licences as part of the defrag process. The relevant conditions on other licences will be incorporated the next time </w:t>
      </w:r>
      <w:r w:rsidR="005116BD">
        <w:t>3.4 GHz spectrum licences</w:t>
      </w:r>
      <w:r w:rsidRPr="003F16BB">
        <w:t xml:space="preserve"> are varied.</w:t>
      </w:r>
    </w:p>
    <w:p w14:paraId="09356678" w14:textId="34E371AA" w:rsidR="006348E2" w:rsidRDefault="003F16BB" w:rsidP="00696EB4">
      <w:pPr>
        <w:pStyle w:val="Bulletlevel2"/>
      </w:pPr>
      <w:r w:rsidRPr="003F16BB">
        <w:t xml:space="preserve">The consequential changes </w:t>
      </w:r>
      <w:r w:rsidRPr="00B91BC9">
        <w:t xml:space="preserve">identified for the </w:t>
      </w:r>
      <w:hyperlink r:id="rId50" w:history="1">
        <w:r w:rsidR="00B91BC9" w:rsidRPr="00B91BC9">
          <w:rPr>
            <w:rStyle w:val="Hyperlink"/>
            <w:szCs w:val="20"/>
          </w:rPr>
          <w:t>Radiocommunications Advisory Guidelines (Managing Interference from Spectrum Licensed Transmitters — 3.4 GHz Band) 2015</w:t>
        </w:r>
      </w:hyperlink>
      <w:r w:rsidR="00B91BC9" w:rsidRPr="00B91BC9">
        <w:t xml:space="preserve"> (the RAG Tx) </w:t>
      </w:r>
      <w:r w:rsidRPr="00B91BC9">
        <w:t>and</w:t>
      </w:r>
      <w:r>
        <w:t xml:space="preserve"> </w:t>
      </w:r>
      <w:r w:rsidR="00291CFB">
        <w:t xml:space="preserve">the </w:t>
      </w:r>
      <w:r w:rsidR="00291CFB" w:rsidRPr="00291CFB">
        <w:t>RAG Rx</w:t>
      </w:r>
      <w:r w:rsidR="007E6722">
        <w:t>.</w:t>
      </w:r>
      <w:r>
        <w:t xml:space="preserve"> These are not critical to make now. To avoid multiple consultations </w:t>
      </w:r>
      <w:r w:rsidR="00832A61">
        <w:t>reviewing</w:t>
      </w:r>
      <w:r>
        <w:t xml:space="preserve"> the</w:t>
      </w:r>
      <w:r w:rsidR="00F95913">
        <w:t>se</w:t>
      </w:r>
      <w:r>
        <w:t xml:space="preserve"> guidelines, </w:t>
      </w:r>
      <w:r w:rsidR="006348E2">
        <w:t xml:space="preserve">the changes will be consulted on at the same time as </w:t>
      </w:r>
      <w:r w:rsidR="006348E2" w:rsidRPr="006348E2">
        <w:t xml:space="preserve">amendments </w:t>
      </w:r>
      <w:r w:rsidR="00E65605">
        <w:t>to support the broader 3400</w:t>
      </w:r>
      <w:r w:rsidR="007E6722">
        <w:t>–</w:t>
      </w:r>
      <w:r w:rsidR="00E65605">
        <w:t>4000 MHz frequency range</w:t>
      </w:r>
      <w:r w:rsidR="006348E2">
        <w:t xml:space="preserve">. </w:t>
      </w:r>
    </w:p>
    <w:p w14:paraId="74F3DE99" w14:textId="7FFD3329" w:rsidR="006348E2" w:rsidRDefault="006348E2" w:rsidP="00696EB4">
      <w:pPr>
        <w:pStyle w:val="Bulletlevel2last"/>
      </w:pPr>
      <w:r>
        <w:t>Review of text in the RAG Rx relating to interference management with defence radar systems</w:t>
      </w:r>
      <w:r w:rsidR="007E6722">
        <w:t>.</w:t>
      </w:r>
      <w:r>
        <w:t xml:space="preserve"> </w:t>
      </w:r>
      <w:r w:rsidR="00E65605">
        <w:t xml:space="preserve">The ACMA does not consider any changes to the RAG Rx are </w:t>
      </w:r>
      <w:r>
        <w:t xml:space="preserve">required at this time. </w:t>
      </w:r>
    </w:p>
    <w:p w14:paraId="319878DB" w14:textId="6A595A08" w:rsidR="00F96EF0" w:rsidRPr="007D04B2" w:rsidRDefault="009A6A8C" w:rsidP="00F96EF0">
      <w:pPr>
        <w:pStyle w:val="Heading2"/>
      </w:pPr>
      <w:bookmarkStart w:id="45" w:name="_Toc80795869"/>
      <w:r>
        <w:rPr>
          <w:rFonts w:cs="Calibri"/>
        </w:rPr>
        <w:t>Next steps</w:t>
      </w:r>
      <w:bookmarkEnd w:id="45"/>
    </w:p>
    <w:p w14:paraId="27BAE747" w14:textId="7E9619CC" w:rsidR="00F77BD0" w:rsidRPr="00A23F47" w:rsidRDefault="00F77BD0" w:rsidP="00F96EF0">
      <w:r w:rsidRPr="00A23F47">
        <w:t xml:space="preserve">An indicative timeline for the </w:t>
      </w:r>
      <w:r w:rsidR="00A23F47" w:rsidRPr="00A23F47">
        <w:t xml:space="preserve">completion of work identified in this paper is </w:t>
      </w:r>
      <w:r w:rsidR="00F96EF0" w:rsidRPr="00A23F47">
        <w:t>shown in Table 1</w:t>
      </w:r>
      <w:r w:rsidR="00A23F47" w:rsidRPr="00A23F47">
        <w:t xml:space="preserve">. </w:t>
      </w:r>
    </w:p>
    <w:p w14:paraId="0CCD6516" w14:textId="204ECE5B" w:rsidR="00F96EF0" w:rsidRPr="00A23F47" w:rsidRDefault="00667BAE" w:rsidP="00696EB4">
      <w:r>
        <w:t>T</w:t>
      </w:r>
      <w:r w:rsidR="00F96EF0" w:rsidRPr="00A23F47">
        <w:t xml:space="preserve">he dates in this timeline may change </w:t>
      </w:r>
      <w:r w:rsidR="002E5D92">
        <w:t>considering th</w:t>
      </w:r>
      <w:r w:rsidR="007E6722">
        <w:t xml:space="preserve">e </w:t>
      </w:r>
      <w:r w:rsidR="00F77BD0" w:rsidRPr="00A23F47">
        <w:t xml:space="preserve">feedback </w:t>
      </w:r>
      <w:r w:rsidR="00F96EF0" w:rsidRPr="00A23F47">
        <w:t xml:space="preserve">provided </w:t>
      </w:r>
      <w:r w:rsidR="00F77BD0" w:rsidRPr="00A23F47">
        <w:t xml:space="preserve">by </w:t>
      </w:r>
      <w:r w:rsidR="00F96EF0" w:rsidRPr="00A23F47">
        <w:t xml:space="preserve">stakeholders </w:t>
      </w:r>
      <w:r w:rsidR="00F77BD0" w:rsidRPr="00A23F47">
        <w:t>to this paper</w:t>
      </w:r>
      <w:r w:rsidR="007549F5">
        <w:t xml:space="preserve"> and other ACMA priorities</w:t>
      </w:r>
      <w:r w:rsidR="00F96EF0" w:rsidRPr="00A23F47">
        <w:t>.</w:t>
      </w:r>
      <w:r w:rsidR="00F77BD0" w:rsidRPr="00A23F47">
        <w:t xml:space="preserve"> Pending final decisions</w:t>
      </w:r>
      <w:r w:rsidR="007549F5">
        <w:t xml:space="preserve"> on planning outcomes</w:t>
      </w:r>
      <w:r w:rsidR="00F77BD0" w:rsidRPr="00A23F47">
        <w:t xml:space="preserve">, the allocation of spectrum in urban excise areas may also be linked with the allocation of </w:t>
      </w:r>
      <w:r w:rsidR="00A23F47" w:rsidRPr="00A23F47">
        <w:t>apparatus</w:t>
      </w:r>
      <w:r w:rsidR="00F77BD0" w:rsidRPr="00A23F47">
        <w:t xml:space="preserve"> or spectrum licences </w:t>
      </w:r>
      <w:r w:rsidR="00A23F47" w:rsidRPr="00A23F47">
        <w:t>in the 3400</w:t>
      </w:r>
      <w:r w:rsidR="007E6722">
        <w:t>–</w:t>
      </w:r>
      <w:r w:rsidR="00A23F47" w:rsidRPr="00A23F47">
        <w:t xml:space="preserve">4000 MHz band. </w:t>
      </w:r>
      <w:r w:rsidR="007E6722">
        <w:t>Our</w:t>
      </w:r>
      <w:r w:rsidR="00A23F47" w:rsidRPr="00A23F47">
        <w:t xml:space="preserve"> </w:t>
      </w:r>
      <w:hyperlink r:id="rId51" w:history="1">
        <w:r w:rsidR="00A23F47" w:rsidRPr="00A23F47">
          <w:rPr>
            <w:rStyle w:val="Hyperlink"/>
          </w:rPr>
          <w:t xml:space="preserve">Five-year spectrum </w:t>
        </w:r>
        <w:r w:rsidR="007E6722">
          <w:rPr>
            <w:rStyle w:val="Hyperlink"/>
          </w:rPr>
          <w:t>o</w:t>
        </w:r>
        <w:r w:rsidR="00A23F47" w:rsidRPr="00A23F47">
          <w:rPr>
            <w:rStyle w:val="Hyperlink"/>
          </w:rPr>
          <w:t>utlook</w:t>
        </w:r>
      </w:hyperlink>
      <w:r w:rsidR="00A23F47" w:rsidRPr="00A23F47">
        <w:t xml:space="preserve"> provides an estimate for the allocation of this spectrum based on current priorities.  </w:t>
      </w:r>
    </w:p>
    <w:p w14:paraId="5394510F" w14:textId="1104439A" w:rsidR="00A23F47" w:rsidRDefault="00A23F47" w:rsidP="00A23F47">
      <w:pPr>
        <w:pStyle w:val="Tableheading"/>
      </w:pPr>
      <w:r>
        <w:t>Indicative timetable for finalising work</w:t>
      </w:r>
    </w:p>
    <w:tbl>
      <w:tblPr>
        <w:tblStyle w:val="ACMAtablestyle"/>
        <w:tblW w:w="9504" w:type="dxa"/>
        <w:tblLayout w:type="fixed"/>
        <w:tblLook w:val="01E0" w:firstRow="1" w:lastRow="1" w:firstColumn="1" w:lastColumn="1" w:noHBand="0" w:noVBand="0"/>
        <w:tblCaption w:val="Table title to go here"/>
        <w:tblDescription w:val="Table description to go here"/>
      </w:tblPr>
      <w:tblGrid>
        <w:gridCol w:w="2263"/>
        <w:gridCol w:w="5245"/>
        <w:gridCol w:w="1996"/>
      </w:tblGrid>
      <w:tr w:rsidR="00065908" w:rsidRPr="006D46E5" w14:paraId="446917BD" w14:textId="77777777" w:rsidTr="00E23813">
        <w:trPr>
          <w:cnfStyle w:val="100000000000" w:firstRow="1" w:lastRow="0" w:firstColumn="0" w:lastColumn="0" w:oddVBand="0" w:evenVBand="0" w:oddHBand="0" w:evenHBand="0" w:firstRowFirstColumn="0" w:firstRowLastColumn="0" w:lastRowFirstColumn="0" w:lastRowLastColumn="0"/>
        </w:trPr>
        <w:tc>
          <w:tcPr>
            <w:tcW w:w="2263" w:type="dxa"/>
          </w:tcPr>
          <w:p w14:paraId="14C6E0CF" w14:textId="77777777" w:rsidR="00065908" w:rsidRPr="00930510" w:rsidRDefault="00065908" w:rsidP="00E23813">
            <w:pPr>
              <w:pStyle w:val="Tableheaderrow"/>
            </w:pPr>
            <w:r>
              <w:t>Step</w:t>
            </w:r>
          </w:p>
        </w:tc>
        <w:tc>
          <w:tcPr>
            <w:tcW w:w="5245" w:type="dxa"/>
          </w:tcPr>
          <w:p w14:paraId="2CAB1A06" w14:textId="77777777" w:rsidR="00065908" w:rsidRPr="00930510" w:rsidRDefault="00065908" w:rsidP="00E23813">
            <w:pPr>
              <w:pStyle w:val="Tableheaderrow"/>
            </w:pPr>
            <w:r>
              <w:t>Step detail</w:t>
            </w:r>
          </w:p>
        </w:tc>
        <w:tc>
          <w:tcPr>
            <w:tcW w:w="1996" w:type="dxa"/>
          </w:tcPr>
          <w:p w14:paraId="3B123431" w14:textId="77777777" w:rsidR="00065908" w:rsidRPr="00930510" w:rsidRDefault="00065908" w:rsidP="00E23813">
            <w:pPr>
              <w:pStyle w:val="Tableheaderrow"/>
            </w:pPr>
            <w:r>
              <w:t>Completion date</w:t>
            </w:r>
          </w:p>
        </w:tc>
      </w:tr>
      <w:tr w:rsidR="00065908" w:rsidRPr="006D46E5" w14:paraId="61EB83EB" w14:textId="77777777" w:rsidTr="00E23813">
        <w:trPr>
          <w:cnfStyle w:val="000000100000" w:firstRow="0" w:lastRow="0" w:firstColumn="0" w:lastColumn="0" w:oddVBand="0" w:evenVBand="0" w:oddHBand="1" w:evenHBand="0" w:firstRowFirstColumn="0" w:firstRowLastColumn="0" w:lastRowFirstColumn="0" w:lastRowLastColumn="0"/>
        </w:trPr>
        <w:tc>
          <w:tcPr>
            <w:tcW w:w="2263" w:type="dxa"/>
            <w:tcMar>
              <w:left w:w="28" w:type="dxa"/>
              <w:right w:w="28" w:type="dxa"/>
            </w:tcMar>
          </w:tcPr>
          <w:p w14:paraId="0EC082A2" w14:textId="77777777" w:rsidR="00065908" w:rsidRPr="00930510" w:rsidRDefault="00065908" w:rsidP="00E23813">
            <w:pPr>
              <w:pStyle w:val="TableBody"/>
            </w:pPr>
            <w:r>
              <w:t>Public consultation</w:t>
            </w:r>
          </w:p>
        </w:tc>
        <w:tc>
          <w:tcPr>
            <w:tcW w:w="5245" w:type="dxa"/>
            <w:tcMar>
              <w:left w:w="28" w:type="dxa"/>
              <w:right w:w="28" w:type="dxa"/>
            </w:tcMar>
          </w:tcPr>
          <w:p w14:paraId="0A603395" w14:textId="77777777" w:rsidR="00065908" w:rsidRPr="00930510" w:rsidRDefault="00065908" w:rsidP="00E23813">
            <w:pPr>
              <w:pStyle w:val="TableBody"/>
            </w:pPr>
            <w:r>
              <w:t xml:space="preserve">Consult on options for use of spectrum in urban excise areas and updates to </w:t>
            </w:r>
            <w:r w:rsidRPr="00A23F47">
              <w:rPr>
                <w:rFonts w:cs="Arial"/>
                <w:szCs w:val="20"/>
              </w:rPr>
              <w:t xml:space="preserve">the </w:t>
            </w:r>
            <w:r>
              <w:rPr>
                <w:rFonts w:cs="Arial"/>
                <w:szCs w:val="20"/>
              </w:rPr>
              <w:t xml:space="preserve">s.145(4) Determination, receiver spurious emission limits and RALI MS44. </w:t>
            </w:r>
          </w:p>
        </w:tc>
        <w:tc>
          <w:tcPr>
            <w:tcW w:w="1996" w:type="dxa"/>
            <w:tcMar>
              <w:left w:w="28" w:type="dxa"/>
              <w:right w:w="28" w:type="dxa"/>
            </w:tcMar>
          </w:tcPr>
          <w:p w14:paraId="27A78D7C" w14:textId="77777777" w:rsidR="00065908" w:rsidRPr="00930510" w:rsidRDefault="00065908" w:rsidP="00E23813">
            <w:pPr>
              <w:pStyle w:val="TableBody"/>
            </w:pPr>
            <w:r>
              <w:t>August 2021</w:t>
            </w:r>
          </w:p>
        </w:tc>
      </w:tr>
      <w:tr w:rsidR="00065908" w:rsidRPr="006D46E5" w14:paraId="2A90E2E8" w14:textId="77777777" w:rsidTr="00E23813">
        <w:trPr>
          <w:cnfStyle w:val="000000010000" w:firstRow="0" w:lastRow="0" w:firstColumn="0" w:lastColumn="0" w:oddVBand="0" w:evenVBand="0" w:oddHBand="0" w:evenHBand="1" w:firstRowFirstColumn="0" w:firstRowLastColumn="0" w:lastRowFirstColumn="0" w:lastRowLastColumn="0"/>
        </w:trPr>
        <w:tc>
          <w:tcPr>
            <w:tcW w:w="2263" w:type="dxa"/>
            <w:tcMar>
              <w:left w:w="28" w:type="dxa"/>
              <w:right w:w="28" w:type="dxa"/>
            </w:tcMar>
          </w:tcPr>
          <w:p w14:paraId="2330BF37" w14:textId="77777777" w:rsidR="00065908" w:rsidRDefault="00065908" w:rsidP="00E23813">
            <w:pPr>
              <w:pStyle w:val="TableBody"/>
            </w:pPr>
            <w:r>
              <w:t>Finalise technical framework changes</w:t>
            </w:r>
          </w:p>
        </w:tc>
        <w:tc>
          <w:tcPr>
            <w:tcW w:w="5245" w:type="dxa"/>
            <w:tcMar>
              <w:left w:w="28" w:type="dxa"/>
              <w:right w:w="28" w:type="dxa"/>
            </w:tcMar>
          </w:tcPr>
          <w:p w14:paraId="20246997" w14:textId="77777777" w:rsidR="00065908" w:rsidRDefault="00065908" w:rsidP="00E23813">
            <w:pPr>
              <w:pStyle w:val="TableBody"/>
            </w:pPr>
            <w:r>
              <w:t xml:space="preserve">Pending a review of feedback to the consultation paper, implement changes to the s.145(4) Determination, receiver spurious emission limits and RALI MS44. </w:t>
            </w:r>
          </w:p>
        </w:tc>
        <w:tc>
          <w:tcPr>
            <w:tcW w:w="1996" w:type="dxa"/>
            <w:tcMar>
              <w:left w:w="28" w:type="dxa"/>
              <w:right w:w="28" w:type="dxa"/>
            </w:tcMar>
          </w:tcPr>
          <w:p w14:paraId="2FF379B5" w14:textId="77777777" w:rsidR="00065908" w:rsidRDefault="00065908" w:rsidP="00E23813">
            <w:pPr>
              <w:pStyle w:val="TableBody"/>
            </w:pPr>
            <w:r>
              <w:t>October/November 2021</w:t>
            </w:r>
          </w:p>
        </w:tc>
      </w:tr>
      <w:tr w:rsidR="00065908" w:rsidRPr="006D46E5" w14:paraId="05A3033B" w14:textId="77777777" w:rsidTr="00E23813">
        <w:trPr>
          <w:cnfStyle w:val="000000100000" w:firstRow="0" w:lastRow="0" w:firstColumn="0" w:lastColumn="0" w:oddVBand="0" w:evenVBand="0" w:oddHBand="1" w:evenHBand="0" w:firstRowFirstColumn="0" w:firstRowLastColumn="0" w:lastRowFirstColumn="0" w:lastRowLastColumn="0"/>
        </w:trPr>
        <w:tc>
          <w:tcPr>
            <w:tcW w:w="2263" w:type="dxa"/>
            <w:tcMar>
              <w:left w:w="28" w:type="dxa"/>
              <w:right w:w="28" w:type="dxa"/>
            </w:tcMar>
          </w:tcPr>
          <w:p w14:paraId="135DA312" w14:textId="77777777" w:rsidR="00065908" w:rsidRDefault="00065908" w:rsidP="00E23813">
            <w:pPr>
              <w:pStyle w:val="TableBody"/>
            </w:pPr>
            <w:r>
              <w:t>Consult on final regulatory arrangements for spectrum use in urban excise areas</w:t>
            </w:r>
          </w:p>
        </w:tc>
        <w:tc>
          <w:tcPr>
            <w:tcW w:w="5245" w:type="dxa"/>
            <w:tcMar>
              <w:left w:w="28" w:type="dxa"/>
              <w:right w:w="28" w:type="dxa"/>
            </w:tcMar>
          </w:tcPr>
          <w:p w14:paraId="0A459347" w14:textId="77777777" w:rsidR="00065908" w:rsidRPr="00930510" w:rsidRDefault="00065908" w:rsidP="00E23813">
            <w:pPr>
              <w:pStyle w:val="TableBody"/>
            </w:pPr>
            <w:r>
              <w:t>Following the ACMA decision on what option to implement, we will formally consult on regulatory arrangements necessary to enable access to spectrum in urban excise areas. Where it makes sense to do so, we will combine any such consultation with that necessary for implementing arrangements in the 3400–4000 MHz band.</w:t>
            </w:r>
          </w:p>
        </w:tc>
        <w:tc>
          <w:tcPr>
            <w:tcW w:w="1996" w:type="dxa"/>
            <w:tcMar>
              <w:left w:w="28" w:type="dxa"/>
              <w:right w:w="28" w:type="dxa"/>
            </w:tcMar>
          </w:tcPr>
          <w:p w14:paraId="2A2FC4F0" w14:textId="77777777" w:rsidR="00065908" w:rsidRDefault="00065908" w:rsidP="00E23813">
            <w:pPr>
              <w:pStyle w:val="TableBody"/>
            </w:pPr>
            <w:r>
              <w:t>Earliest: Q4 2021</w:t>
            </w:r>
          </w:p>
        </w:tc>
      </w:tr>
      <w:tr w:rsidR="00065908" w:rsidRPr="006D46E5" w14:paraId="7EBD098E" w14:textId="77777777" w:rsidTr="00E23813">
        <w:trPr>
          <w:cnfStyle w:val="000000010000" w:firstRow="0" w:lastRow="0" w:firstColumn="0" w:lastColumn="0" w:oddVBand="0" w:evenVBand="0" w:oddHBand="0" w:evenHBand="1" w:firstRowFirstColumn="0" w:firstRowLastColumn="0" w:lastRowFirstColumn="0" w:lastRowLastColumn="0"/>
        </w:trPr>
        <w:tc>
          <w:tcPr>
            <w:tcW w:w="2263" w:type="dxa"/>
            <w:tcMar>
              <w:left w:w="28" w:type="dxa"/>
              <w:right w:w="28" w:type="dxa"/>
            </w:tcMar>
          </w:tcPr>
          <w:p w14:paraId="59BFB251" w14:textId="77777777" w:rsidR="00065908" w:rsidRDefault="00065908" w:rsidP="00E23813">
            <w:pPr>
              <w:pStyle w:val="TableBody"/>
            </w:pPr>
            <w:r>
              <w:t>Release of spectrum</w:t>
            </w:r>
          </w:p>
        </w:tc>
        <w:tc>
          <w:tcPr>
            <w:tcW w:w="5245" w:type="dxa"/>
            <w:tcMar>
              <w:left w:w="28" w:type="dxa"/>
              <w:right w:w="28" w:type="dxa"/>
            </w:tcMar>
          </w:tcPr>
          <w:p w14:paraId="2A28BCFF" w14:textId="77777777" w:rsidR="00065908" w:rsidRPr="00930510" w:rsidRDefault="00065908" w:rsidP="00E23813">
            <w:pPr>
              <w:pStyle w:val="TableBody"/>
            </w:pPr>
            <w:r>
              <w:t xml:space="preserve">Timeframes depend on the option implemented, licence type used, and allocation method adopted. Any outcome that uses AWLs or spectrum licences is proposed to be combined with allocation processes for spectrum in the 3700–4000 MHz band. </w:t>
            </w:r>
          </w:p>
        </w:tc>
        <w:tc>
          <w:tcPr>
            <w:tcW w:w="1996" w:type="dxa"/>
            <w:tcMar>
              <w:left w:w="28" w:type="dxa"/>
              <w:right w:w="28" w:type="dxa"/>
            </w:tcMar>
          </w:tcPr>
          <w:p w14:paraId="77E747DE" w14:textId="77777777" w:rsidR="00065908" w:rsidRDefault="00065908" w:rsidP="00E23813">
            <w:pPr>
              <w:pStyle w:val="TableBody"/>
            </w:pPr>
            <w:r>
              <w:t>Q2 2022 to Q2 2023</w:t>
            </w:r>
          </w:p>
        </w:tc>
      </w:tr>
    </w:tbl>
    <w:p w14:paraId="6CF2283A" w14:textId="77777777" w:rsidR="00065908" w:rsidRPr="004511C5" w:rsidRDefault="00065908" w:rsidP="002A25B3">
      <w:pPr>
        <w:pStyle w:val="Paragraph"/>
      </w:pPr>
    </w:p>
    <w:p w14:paraId="75552637" w14:textId="783ABB56" w:rsidR="00DA45AD" w:rsidRPr="00C35CCE" w:rsidRDefault="00DA45AD" w:rsidP="00DA45AD">
      <w:pPr>
        <w:pStyle w:val="Heading1"/>
      </w:pPr>
      <w:bookmarkStart w:id="46" w:name="_Toc80795870"/>
      <w:bookmarkStart w:id="47" w:name="_Toc58241131"/>
      <w:r>
        <w:t>Case for action</w:t>
      </w:r>
      <w:bookmarkEnd w:id="46"/>
    </w:p>
    <w:p w14:paraId="389BB5FD" w14:textId="2D73A9E1" w:rsidR="00397E52" w:rsidRDefault="003B6FB2" w:rsidP="00397E52">
      <w:bookmarkStart w:id="48" w:name="_Hlk62111795"/>
      <w:r>
        <w:t xml:space="preserve">The ACMA </w:t>
      </w:r>
      <w:r w:rsidR="0027019F">
        <w:t>considers</w:t>
      </w:r>
      <w:r w:rsidR="00397E52">
        <w:t xml:space="preserve"> giving effect to defragmentation of the band and investigating options for use of </w:t>
      </w:r>
      <w:r w:rsidR="0027019F">
        <w:t xml:space="preserve">spectrum in </w:t>
      </w:r>
      <w:r w:rsidR="00397E52">
        <w:t xml:space="preserve">urban excise </w:t>
      </w:r>
      <w:r w:rsidR="0027019F">
        <w:t>is</w:t>
      </w:r>
      <w:r w:rsidR="00397E52">
        <w:t xml:space="preserve"> consistent with spectrum management outcomes that will contribute to the </w:t>
      </w:r>
      <w:r w:rsidR="00DC1F7C">
        <w:t>long-term</w:t>
      </w:r>
      <w:r w:rsidR="00397E52">
        <w:t xml:space="preserve"> public benefit.</w:t>
      </w:r>
      <w:r w:rsidR="00FA68B9">
        <w:t xml:space="preserve"> This is in large part due to the continued benefits derive</w:t>
      </w:r>
      <w:r w:rsidR="007700AF">
        <w:t>d</w:t>
      </w:r>
      <w:r w:rsidR="00FA68B9">
        <w:t xml:space="preserve"> from both using existing licensed spectrum more efficiently (through technical framework changes) and exploring options for </w:t>
      </w:r>
      <w:r w:rsidR="002E5D92">
        <w:t xml:space="preserve">use of </w:t>
      </w:r>
      <w:r w:rsidR="00FA68B9">
        <w:t xml:space="preserve">currently unused </w:t>
      </w:r>
      <w:r w:rsidR="0027019F">
        <w:t xml:space="preserve">spectrum in </w:t>
      </w:r>
      <w:r w:rsidR="00FA68B9">
        <w:t xml:space="preserve">urban excise areas are both consistent with the continuing demand for spectrum supporting wireless broadband, specifically 5G, opportunities. </w:t>
      </w:r>
    </w:p>
    <w:p w14:paraId="5F1606DC" w14:textId="30CB3444" w:rsidR="00397E52" w:rsidRDefault="00397E52" w:rsidP="00397E52">
      <w:r>
        <w:rPr>
          <w:rFonts w:cs="Arial"/>
          <w:bCs/>
          <w:color w:val="000000" w:themeColor="text1"/>
          <w:szCs w:val="20"/>
        </w:rPr>
        <w:t xml:space="preserve">The 3.4 GHz band continues to form a part of key 5G profile bands defined by </w:t>
      </w:r>
      <w:r w:rsidR="007E6722">
        <w:rPr>
          <w:rFonts w:cs="Arial"/>
          <w:bCs/>
          <w:color w:val="000000" w:themeColor="text1"/>
          <w:szCs w:val="20"/>
        </w:rPr>
        <w:br/>
      </w:r>
      <w:r w:rsidR="007700AF">
        <w:rPr>
          <w:rFonts w:cs="Arial"/>
          <w:bCs/>
          <w:color w:val="000000" w:themeColor="text1"/>
          <w:szCs w:val="20"/>
        </w:rPr>
        <w:t>3</w:t>
      </w:r>
      <w:r w:rsidR="007700AF" w:rsidRPr="006B6A28">
        <w:rPr>
          <w:rFonts w:cs="Arial"/>
          <w:bCs/>
          <w:color w:val="000000" w:themeColor="text1"/>
          <w:szCs w:val="20"/>
          <w:vertAlign w:val="superscript"/>
        </w:rPr>
        <w:t>rd</w:t>
      </w:r>
      <w:r w:rsidR="007700AF">
        <w:rPr>
          <w:rFonts w:cs="Arial"/>
          <w:bCs/>
          <w:color w:val="000000" w:themeColor="text1"/>
          <w:szCs w:val="20"/>
        </w:rPr>
        <w:t xml:space="preserve"> Generation Partnership Project (</w:t>
      </w:r>
      <w:r>
        <w:rPr>
          <w:rFonts w:cs="Arial"/>
          <w:bCs/>
          <w:color w:val="000000" w:themeColor="text1"/>
          <w:szCs w:val="20"/>
        </w:rPr>
        <w:t>3GPP</w:t>
      </w:r>
      <w:r w:rsidR="007700AF">
        <w:rPr>
          <w:rFonts w:cs="Arial"/>
          <w:bCs/>
          <w:color w:val="000000" w:themeColor="text1"/>
          <w:szCs w:val="20"/>
        </w:rPr>
        <w:t>)</w:t>
      </w:r>
      <w:r>
        <w:rPr>
          <w:rFonts w:cs="Arial"/>
          <w:bCs/>
          <w:color w:val="000000" w:themeColor="text1"/>
          <w:szCs w:val="20"/>
        </w:rPr>
        <w:t xml:space="preserve"> technical specifications for wireless broadband uses. This includes the </w:t>
      </w:r>
      <w:r>
        <w:t>n77 (3300–4200 MHz) and n78 (3300–3800 MHz) bands, which have the</w:t>
      </w:r>
      <w:r w:rsidR="007E6722">
        <w:t xml:space="preserve"> fourth </w:t>
      </w:r>
      <w:r>
        <w:t xml:space="preserve">and </w:t>
      </w:r>
      <w:proofErr w:type="gramStart"/>
      <w:r w:rsidR="007E6722">
        <w:t>first-</w:t>
      </w:r>
      <w:r>
        <w:t>largest</w:t>
      </w:r>
      <w:proofErr w:type="gramEnd"/>
      <w:r>
        <w:t xml:space="preserve"> 5G equipment ecosystems available globally for operators</w:t>
      </w:r>
      <w:r w:rsidR="007E6722">
        <w:t>.</w:t>
      </w:r>
      <w:r>
        <w:rPr>
          <w:rStyle w:val="FootnoteReference"/>
        </w:rPr>
        <w:footnoteReference w:id="9"/>
      </w:r>
      <w:r>
        <w:t xml:space="preserve"> Access to spectrum in these bands to deliver wireless broadband services is sought domestically, particularly in urban and suburban environments of capital cities.</w:t>
      </w:r>
      <w:r w:rsidR="007700AF">
        <w:rPr>
          <w:rStyle w:val="FootnoteReference"/>
        </w:rPr>
        <w:footnoteReference w:id="10"/>
      </w:r>
    </w:p>
    <w:p w14:paraId="137EDF15" w14:textId="4100A788" w:rsidR="00397E52" w:rsidRPr="006B6A28" w:rsidRDefault="00397E52" w:rsidP="006B6A28">
      <w:pPr>
        <w:rPr>
          <w:rFonts w:cs="Arial"/>
          <w:bCs/>
          <w:color w:val="000000" w:themeColor="text1"/>
          <w:szCs w:val="20"/>
        </w:rPr>
      </w:pPr>
      <w:r w:rsidRPr="00DA551E">
        <w:rPr>
          <w:rFonts w:cs="Arial"/>
        </w:rPr>
        <w:t xml:space="preserve">NBN Co </w:t>
      </w:r>
      <w:r>
        <w:rPr>
          <w:rFonts w:cs="Arial"/>
        </w:rPr>
        <w:t xml:space="preserve">has indicated it does not intend to deploy services under its current licences in the 3.4 GHz band within </w:t>
      </w:r>
      <w:r w:rsidRPr="00DA551E">
        <w:rPr>
          <w:rFonts w:cs="Arial"/>
        </w:rPr>
        <w:t xml:space="preserve">urban </w:t>
      </w:r>
      <w:r>
        <w:rPr>
          <w:rFonts w:cs="Arial"/>
        </w:rPr>
        <w:t xml:space="preserve">and surrounding suburban </w:t>
      </w:r>
      <w:r w:rsidRPr="00DA551E">
        <w:rPr>
          <w:rFonts w:cs="Arial"/>
        </w:rPr>
        <w:t>areas</w:t>
      </w:r>
      <w:r>
        <w:rPr>
          <w:rFonts w:cs="Arial"/>
        </w:rPr>
        <w:t xml:space="preserve"> of </w:t>
      </w:r>
      <w:r w:rsidRPr="00AA1589">
        <w:rPr>
          <w:rFonts w:cs="Arial"/>
        </w:rPr>
        <w:t>Adelaide, Brisbane, Canberra, Melbourne, Perth and Sydney</w:t>
      </w:r>
      <w:r w:rsidRPr="00DA551E">
        <w:rPr>
          <w:rFonts w:cs="Arial"/>
        </w:rPr>
        <w:t>.</w:t>
      </w:r>
      <w:r>
        <w:rPr>
          <w:rFonts w:cs="Arial"/>
        </w:rPr>
        <w:t xml:space="preserve"> Consequently, there has been interest from other wireless broadband operators in accessing these areas to deploy services.</w:t>
      </w:r>
      <w:r w:rsidR="00E70A52">
        <w:rPr>
          <w:rStyle w:val="FootnoteReference"/>
          <w:rFonts w:cs="Arial"/>
        </w:rPr>
        <w:footnoteReference w:id="11"/>
      </w:r>
      <w:r>
        <w:rPr>
          <w:rFonts w:cs="Arial"/>
        </w:rPr>
        <w:t xml:space="preserve"> </w:t>
      </w:r>
    </w:p>
    <w:p w14:paraId="03DEF69F" w14:textId="4722D1A0" w:rsidR="00CB481C" w:rsidRDefault="00FA68B9" w:rsidP="006B6A28">
      <w:pPr>
        <w:spacing w:before="240" w:after="360"/>
        <w:rPr>
          <w:color w:val="000000" w:themeColor="text1"/>
          <w:szCs w:val="20"/>
        </w:rPr>
      </w:pPr>
      <w:r>
        <w:t>Accordingly, the ACMA</w:t>
      </w:r>
      <w:r w:rsidR="0027019F">
        <w:t xml:space="preserve"> considers </w:t>
      </w:r>
      <w:r>
        <w:t xml:space="preserve">there is a clear case for action </w:t>
      </w:r>
      <w:r w:rsidR="00397E52">
        <w:t>to implement</w:t>
      </w:r>
      <w:r w:rsidR="003B6FB2">
        <w:t xml:space="preserve"> consequential changes to the 3.4 GHz spectrum licence technical framework to support the </w:t>
      </w:r>
      <w:r w:rsidR="00397E52">
        <w:t xml:space="preserve">NBN </w:t>
      </w:r>
      <w:r w:rsidR="003B6FB2">
        <w:t>conversion process</w:t>
      </w:r>
      <w:r>
        <w:t>/band defragmentation</w:t>
      </w:r>
      <w:r w:rsidR="003B6FB2">
        <w:t xml:space="preserve"> a</w:t>
      </w:r>
      <w:r w:rsidR="0027019F">
        <w:t>nd to investigate</w:t>
      </w:r>
      <w:r w:rsidR="003B6FB2">
        <w:t xml:space="preserve"> </w:t>
      </w:r>
      <w:r w:rsidR="003B6FB2">
        <w:rPr>
          <w:color w:val="000000" w:themeColor="text1"/>
          <w:szCs w:val="20"/>
        </w:rPr>
        <w:t xml:space="preserve">ways </w:t>
      </w:r>
      <w:r w:rsidR="0027019F">
        <w:rPr>
          <w:color w:val="000000" w:themeColor="text1"/>
          <w:szCs w:val="20"/>
        </w:rPr>
        <w:t>of</w:t>
      </w:r>
      <w:r w:rsidR="003B6FB2">
        <w:rPr>
          <w:color w:val="000000" w:themeColor="text1"/>
          <w:szCs w:val="20"/>
        </w:rPr>
        <w:t xml:space="preserve"> mak</w:t>
      </w:r>
      <w:r w:rsidR="0027019F">
        <w:rPr>
          <w:color w:val="000000" w:themeColor="text1"/>
          <w:szCs w:val="20"/>
        </w:rPr>
        <w:t xml:space="preserve">ing spectrum in </w:t>
      </w:r>
      <w:r w:rsidR="003B6FB2">
        <w:rPr>
          <w:color w:val="000000" w:themeColor="text1"/>
          <w:szCs w:val="20"/>
        </w:rPr>
        <w:t xml:space="preserve">urban excise areas available for use by wireless broadband operators other than NBN Co. </w:t>
      </w:r>
    </w:p>
    <w:p w14:paraId="68754C70" w14:textId="77777777" w:rsidR="003B6FB2" w:rsidRPr="00291CFB" w:rsidRDefault="003B6FB2" w:rsidP="00CB481C">
      <w:pPr>
        <w:spacing w:before="240"/>
        <w:rPr>
          <w:szCs w:val="20"/>
        </w:rPr>
      </w:pPr>
    </w:p>
    <w:p w14:paraId="0A629506" w14:textId="0C4E42B2" w:rsidR="00F065F2" w:rsidRPr="00C35CCE" w:rsidRDefault="00F065F2" w:rsidP="00F065F2">
      <w:pPr>
        <w:pStyle w:val="Heading1"/>
      </w:pPr>
      <w:bookmarkStart w:id="49" w:name="_Toc80795871"/>
      <w:bookmarkEnd w:id="48"/>
      <w:r w:rsidRPr="00DB5756">
        <w:t xml:space="preserve">Proposed amendments to </w:t>
      </w:r>
      <w:r>
        <w:t xml:space="preserve">the 3.4 GHz </w:t>
      </w:r>
      <w:r w:rsidRPr="00DB5756">
        <w:t>technical framework</w:t>
      </w:r>
      <w:bookmarkEnd w:id="47"/>
      <w:bookmarkEnd w:id="49"/>
      <w:r w:rsidRPr="00C35CCE">
        <w:t xml:space="preserve"> </w:t>
      </w:r>
    </w:p>
    <w:p w14:paraId="38F86B9A" w14:textId="010A07D4" w:rsidR="00B20419" w:rsidRDefault="000E42DD" w:rsidP="000E42DD">
      <w:pPr>
        <w:rPr>
          <w:rFonts w:cs="Arial"/>
        </w:rPr>
      </w:pPr>
      <w:r w:rsidRPr="00DB5756">
        <w:rPr>
          <w:rFonts w:cs="Arial"/>
        </w:rPr>
        <w:t xml:space="preserve">This section of the paper </w:t>
      </w:r>
      <w:r w:rsidR="00B45BF2">
        <w:rPr>
          <w:rFonts w:cs="Arial"/>
        </w:rPr>
        <w:t>proposes</w:t>
      </w:r>
      <w:r w:rsidR="009610D0">
        <w:rPr>
          <w:rFonts w:cs="Arial"/>
        </w:rPr>
        <w:t xml:space="preserve"> changes to </w:t>
      </w:r>
      <w:r w:rsidDel="009610D0">
        <w:rPr>
          <w:rFonts w:cs="Arial"/>
        </w:rPr>
        <w:t xml:space="preserve">the </w:t>
      </w:r>
      <w:r>
        <w:rPr>
          <w:rFonts w:cs="Arial"/>
        </w:rPr>
        <w:t>3.4 GHz band spectrum licence technical framework</w:t>
      </w:r>
      <w:r w:rsidRPr="00602151">
        <w:rPr>
          <w:rFonts w:cs="Arial"/>
        </w:rPr>
        <w:t xml:space="preserve">. An assessment is also provided on the effect the proposed changes </w:t>
      </w:r>
      <w:r w:rsidR="003546DD">
        <w:rPr>
          <w:rFonts w:cs="Arial"/>
        </w:rPr>
        <w:t>may</w:t>
      </w:r>
      <w:r w:rsidR="003546DD" w:rsidRPr="00602151">
        <w:rPr>
          <w:rFonts w:cs="Arial"/>
        </w:rPr>
        <w:t xml:space="preserve"> </w:t>
      </w:r>
      <w:r w:rsidRPr="00602151">
        <w:rPr>
          <w:rFonts w:cs="Arial"/>
        </w:rPr>
        <w:t>have on services within</w:t>
      </w:r>
      <w:r w:rsidR="003546DD">
        <w:rPr>
          <w:rFonts w:cs="Arial"/>
        </w:rPr>
        <w:t>,</w:t>
      </w:r>
      <w:r w:rsidRPr="00602151">
        <w:rPr>
          <w:rFonts w:cs="Arial"/>
        </w:rPr>
        <w:t xml:space="preserve"> and adjacent to</w:t>
      </w:r>
      <w:r w:rsidR="003546DD">
        <w:rPr>
          <w:rFonts w:cs="Arial"/>
        </w:rPr>
        <w:t>,</w:t>
      </w:r>
      <w:r w:rsidRPr="00602151">
        <w:rPr>
          <w:rFonts w:cs="Arial"/>
        </w:rPr>
        <w:t xml:space="preserve"> the </w:t>
      </w:r>
      <w:r w:rsidR="00B20419">
        <w:rPr>
          <w:rFonts w:cs="Arial"/>
        </w:rPr>
        <w:t>3.4</w:t>
      </w:r>
      <w:r w:rsidRPr="00602151">
        <w:rPr>
          <w:rFonts w:cs="Arial"/>
        </w:rPr>
        <w:t xml:space="preserve"> GHz band. </w:t>
      </w:r>
    </w:p>
    <w:p w14:paraId="7C1130F7" w14:textId="7B909A6D" w:rsidR="002A25B3" w:rsidRDefault="002A25B3" w:rsidP="000E42DD">
      <w:pPr>
        <w:rPr>
          <w:rFonts w:cs="Arial"/>
        </w:rPr>
      </w:pPr>
      <w:r>
        <w:rPr>
          <w:rFonts w:cs="Arial"/>
        </w:rPr>
        <w:t>As detailed in the scope of this paper, only changes to</w:t>
      </w:r>
      <w:r w:rsidR="002554A9">
        <w:rPr>
          <w:rFonts w:cs="Arial"/>
        </w:rPr>
        <w:t xml:space="preserve"> RALI MS44,</w:t>
      </w:r>
      <w:r>
        <w:rPr>
          <w:rFonts w:cs="Arial"/>
        </w:rPr>
        <w:t xml:space="preserve"> the s.145(4)</w:t>
      </w:r>
      <w:r w:rsidR="007E6722">
        <w:rPr>
          <w:rFonts w:cs="Arial"/>
        </w:rPr>
        <w:t> D</w:t>
      </w:r>
      <w:r>
        <w:rPr>
          <w:rFonts w:cs="Arial"/>
        </w:rPr>
        <w:t xml:space="preserve">etermination and the core condition relating to </w:t>
      </w:r>
      <w:r w:rsidR="000952A0">
        <w:rPr>
          <w:rFonts w:cs="Arial"/>
        </w:rPr>
        <w:t xml:space="preserve">receiver </w:t>
      </w:r>
      <w:r>
        <w:rPr>
          <w:rFonts w:cs="Arial"/>
        </w:rPr>
        <w:t>spurious emission limits are considered</w:t>
      </w:r>
      <w:r w:rsidR="000A4E41">
        <w:rPr>
          <w:rFonts w:cs="Arial"/>
        </w:rPr>
        <w:t xml:space="preserve"> in this paper</w:t>
      </w:r>
      <w:r>
        <w:rPr>
          <w:rFonts w:cs="Arial"/>
        </w:rPr>
        <w:t xml:space="preserve">. </w:t>
      </w:r>
    </w:p>
    <w:p w14:paraId="7A1AEC97" w14:textId="0753F0B4" w:rsidR="000E42DD" w:rsidRPr="00602151" w:rsidRDefault="000E42DD" w:rsidP="000E42DD">
      <w:pPr>
        <w:pStyle w:val="Heading2"/>
      </w:pPr>
      <w:bookmarkStart w:id="50" w:name="_Toc80795872"/>
      <w:r>
        <w:t xml:space="preserve">Overview of </w:t>
      </w:r>
      <w:r w:rsidR="00537721">
        <w:t xml:space="preserve">the 3.4 GHz </w:t>
      </w:r>
      <w:r>
        <w:t>spectrum licence technical framework</w:t>
      </w:r>
      <w:bookmarkEnd w:id="50"/>
      <w:r w:rsidRPr="00602151">
        <w:t xml:space="preserve"> </w:t>
      </w:r>
    </w:p>
    <w:p w14:paraId="6F8FDFE9" w14:textId="15D7A947" w:rsidR="000E42DD" w:rsidRPr="00602151" w:rsidRDefault="000E42DD" w:rsidP="000E42DD">
      <w:pPr>
        <w:pStyle w:val="Paragraphbeforelist"/>
      </w:pPr>
      <w:r w:rsidRPr="00602151">
        <w:t xml:space="preserve">A spectrum licence technical framework consists of </w:t>
      </w:r>
      <w:r>
        <w:t>3</w:t>
      </w:r>
      <w:r w:rsidRPr="00602151">
        <w:t xml:space="preserve"> interlocking regulatory elements provided for under the Act:</w:t>
      </w:r>
    </w:p>
    <w:p w14:paraId="7D8DF26A" w14:textId="77777777" w:rsidR="000E42DD" w:rsidRPr="00602151" w:rsidRDefault="000E42DD" w:rsidP="00696EB4">
      <w:pPr>
        <w:pStyle w:val="Bulletlevel1"/>
      </w:pPr>
      <w:r w:rsidRPr="00602151">
        <w:t xml:space="preserve">The conditions specified </w:t>
      </w:r>
      <w:r>
        <w:t>i</w:t>
      </w:r>
      <w:r w:rsidRPr="00602151">
        <w:t>n the spectrum licence</w:t>
      </w:r>
      <w:r>
        <w:t xml:space="preserve"> – </w:t>
      </w:r>
      <w:r w:rsidRPr="00602151">
        <w:t xml:space="preserve">in particular, the core conditions that define the spectrum space (both frequency and geographical area) and the level of emissions permitted inside and across the frequency boundaries of the licence (section 66 of the Act). Section 71 also provides for the ACMA to include other conditions in a spectrum licence. </w:t>
      </w:r>
    </w:p>
    <w:p w14:paraId="4999C79D" w14:textId="1A6895D7" w:rsidR="000E42DD" w:rsidRPr="00602151" w:rsidRDefault="000E42DD" w:rsidP="00696EB4">
      <w:pPr>
        <w:pStyle w:val="Bulletlevel1"/>
      </w:pPr>
      <w:r w:rsidRPr="00602151">
        <w:t xml:space="preserve">A determination of unacceptable interference for the purpose of device registration in each band (section 145 </w:t>
      </w:r>
      <w:r>
        <w:t xml:space="preserve">of </w:t>
      </w:r>
      <w:r w:rsidRPr="00CB7345">
        <w:t xml:space="preserve">the </w:t>
      </w:r>
      <w:r w:rsidRPr="0017386E">
        <w:t>Act</w:t>
      </w:r>
      <w:r>
        <w:t>)</w:t>
      </w:r>
      <w:r w:rsidR="00B20419">
        <w:t xml:space="preserve">, referred to as a s.145(4) </w:t>
      </w:r>
      <w:r w:rsidR="007E6722">
        <w:t>D</w:t>
      </w:r>
      <w:r w:rsidR="00B20419">
        <w:t>etermination</w:t>
      </w:r>
      <w:r w:rsidRPr="00CB7345">
        <w:t xml:space="preserve">. </w:t>
      </w:r>
      <w:r>
        <w:t>Under a spectrum licence, a radiocommunications device must not be used unless it is registered on the Register of Radiocommunications Licences (</w:t>
      </w:r>
      <w:r w:rsidR="002B2307">
        <w:t>the RRL</w:t>
      </w:r>
      <w:r>
        <w:t>) or exempt from registration. The ACMA may refuse to register a device if it is satisfied it would cause an unacceptable level of interference. A determination under section 145</w:t>
      </w:r>
      <w:r w:rsidRPr="00CB7345">
        <w:t xml:space="preserve"> defines </w:t>
      </w:r>
      <w:r>
        <w:t xml:space="preserve">what is an unacceptable level of interference by reference to </w:t>
      </w:r>
      <w:r w:rsidRPr="00CB7345">
        <w:t>levels of emissions across geographical licence boundaries</w:t>
      </w:r>
      <w:r>
        <w:t>,</w:t>
      </w:r>
      <w:r w:rsidRPr="00CB7345">
        <w:t xml:space="preserve"> and also </w:t>
      </w:r>
      <w:r>
        <w:t>by reference to</w:t>
      </w:r>
      <w:r w:rsidRPr="00CB7345">
        <w:t xml:space="preserve"> various deployment constraints</w:t>
      </w:r>
      <w:r w:rsidRPr="00602151">
        <w:t>.</w:t>
      </w:r>
    </w:p>
    <w:p w14:paraId="2B8BBCA9" w14:textId="77777777" w:rsidR="000E42DD" w:rsidRPr="00602151" w:rsidRDefault="000E42DD" w:rsidP="00696EB4">
      <w:pPr>
        <w:pStyle w:val="Bulletlevel1last"/>
      </w:pPr>
      <w:r w:rsidRPr="00602151">
        <w:t xml:space="preserve">Radiocommunications advisory guidelines (RAG) provide assistance and advice for coordination with stations </w:t>
      </w:r>
      <w:r>
        <w:t>providing</w:t>
      </w:r>
      <w:r w:rsidRPr="00602151">
        <w:t xml:space="preserve"> other services when and where required (section 262 of the Act). This includes detailing interference management criteria with incumbent apparatus </w:t>
      </w:r>
      <w:r>
        <w:t xml:space="preserve">licences </w:t>
      </w:r>
      <w:r w:rsidRPr="00602151">
        <w:t xml:space="preserve">and other spectrum licences. </w:t>
      </w:r>
    </w:p>
    <w:p w14:paraId="2AD16514" w14:textId="5583FAEF" w:rsidR="000E42DD" w:rsidRPr="0038741C" w:rsidRDefault="000E42DD" w:rsidP="000E42DD">
      <w:pPr>
        <w:rPr>
          <w:rFonts w:cs="Arial"/>
          <w:bCs/>
          <w:iCs/>
        </w:rPr>
      </w:pPr>
      <w:r w:rsidRPr="00602151">
        <w:rPr>
          <w:rFonts w:cs="Arial"/>
          <w:bCs/>
          <w:iCs/>
        </w:rPr>
        <w:t xml:space="preserve">A more comprehensive explanation of spectrum licence technical frameworks is provided in the document </w:t>
      </w:r>
      <w:hyperlink r:id="rId52" w:history="1">
        <w:r w:rsidRPr="0038741C">
          <w:rPr>
            <w:rStyle w:val="Hyperlink"/>
            <w:rFonts w:cs="Arial"/>
            <w:bCs/>
            <w:i/>
            <w:iCs/>
          </w:rPr>
          <w:t>Spectrum licensee</w:t>
        </w:r>
        <w:r w:rsidR="000B38A7">
          <w:rPr>
            <w:rStyle w:val="Hyperlink"/>
            <w:rFonts w:cs="Arial"/>
            <w:bCs/>
            <w:i/>
            <w:iCs/>
          </w:rPr>
          <w:t>s – know your obligation</w:t>
        </w:r>
        <w:r w:rsidRPr="0038741C">
          <w:rPr>
            <w:rStyle w:val="Hyperlink"/>
            <w:rFonts w:cs="Arial"/>
            <w:bCs/>
            <w:i/>
            <w:iCs/>
          </w:rPr>
          <w:t>s</w:t>
        </w:r>
      </w:hyperlink>
      <w:r w:rsidRPr="0038741C">
        <w:rPr>
          <w:rFonts w:cs="Arial"/>
          <w:bCs/>
          <w:iCs/>
        </w:rPr>
        <w:t>.</w:t>
      </w:r>
    </w:p>
    <w:p w14:paraId="359ED919" w14:textId="77777777" w:rsidR="00537721" w:rsidRDefault="000E42DD" w:rsidP="00696EB4">
      <w:pPr>
        <w:pStyle w:val="Paragraphbeforelist"/>
      </w:pPr>
      <w:r w:rsidRPr="00DB5756">
        <w:t xml:space="preserve">The elements that comprise the current </w:t>
      </w:r>
      <w:r>
        <w:t>3.4</w:t>
      </w:r>
      <w:r w:rsidRPr="00D148F2">
        <w:t xml:space="preserve"> GHz technical framework are</w:t>
      </w:r>
      <w:r w:rsidR="00537721">
        <w:t>:</w:t>
      </w:r>
    </w:p>
    <w:p w14:paraId="29FB70D8" w14:textId="175F4916" w:rsidR="00537721" w:rsidRPr="006B4EC1" w:rsidRDefault="00537721" w:rsidP="00537721">
      <w:pPr>
        <w:pStyle w:val="ListBullet"/>
        <w:rPr>
          <w:rStyle w:val="Hyperlink"/>
          <w:rFonts w:cs="Arial"/>
          <w:color w:val="auto"/>
          <w:u w:val="none"/>
        </w:rPr>
      </w:pPr>
      <w:r w:rsidRPr="007D04B2">
        <w:t xml:space="preserve">Spectrum </w:t>
      </w:r>
      <w:r w:rsidR="000B38A7">
        <w:t>l</w:t>
      </w:r>
      <w:r w:rsidRPr="007D04B2">
        <w:t>icence (</w:t>
      </w:r>
      <w:hyperlink r:id="rId53" w:history="1">
        <w:r>
          <w:rPr>
            <w:rStyle w:val="Hyperlink"/>
            <w:rFonts w:cs="Arial"/>
          </w:rPr>
          <w:t>c</w:t>
        </w:r>
        <w:r w:rsidRPr="007D04B2">
          <w:rPr>
            <w:rStyle w:val="Hyperlink"/>
            <w:rFonts w:cs="Arial"/>
          </w:rPr>
          <w:t>urrent licence holders and copies of licences</w:t>
        </w:r>
      </w:hyperlink>
      <w:r w:rsidRPr="00696EB4">
        <w:rPr>
          <w:rStyle w:val="Hyperlink"/>
          <w:rFonts w:cs="Arial"/>
          <w:color w:val="auto"/>
          <w:u w:val="none"/>
        </w:rPr>
        <w:t>)</w:t>
      </w:r>
      <w:r w:rsidR="000B38A7">
        <w:rPr>
          <w:rStyle w:val="Hyperlink"/>
          <w:rFonts w:cs="Arial"/>
          <w:color w:val="auto"/>
          <w:u w:val="none"/>
        </w:rPr>
        <w:t>.</w:t>
      </w:r>
    </w:p>
    <w:p w14:paraId="2E24E35D" w14:textId="48D4C35A" w:rsidR="00537721" w:rsidRPr="006B4EC1" w:rsidRDefault="00E97D51" w:rsidP="00537721">
      <w:pPr>
        <w:pStyle w:val="ListBullet"/>
        <w:rPr>
          <w:rFonts w:cs="Arial"/>
        </w:rPr>
      </w:pPr>
      <w:hyperlink r:id="rId54" w:tgtFrame="_self" w:history="1">
        <w:r w:rsidR="00537721" w:rsidRPr="005438AE">
          <w:rPr>
            <w:rStyle w:val="Hyperlink"/>
            <w:bCs/>
          </w:rPr>
          <w:t xml:space="preserve">Radiocommunications (Unacceptable Levels of Interference – </w:t>
        </w:r>
        <w:r w:rsidR="00537721">
          <w:rPr>
            <w:rStyle w:val="Hyperlink"/>
            <w:bCs/>
          </w:rPr>
          <w:t>3.4</w:t>
        </w:r>
        <w:r w:rsidR="00537721" w:rsidRPr="005438AE">
          <w:rPr>
            <w:rStyle w:val="Hyperlink"/>
            <w:bCs/>
          </w:rPr>
          <w:t xml:space="preserve"> GHz Band) Determination 201</w:t>
        </w:r>
        <w:r w:rsidR="00537721">
          <w:rPr>
            <w:rStyle w:val="Hyperlink"/>
            <w:bCs/>
          </w:rPr>
          <w:t>5</w:t>
        </w:r>
      </w:hyperlink>
      <w:r w:rsidR="00537721" w:rsidRPr="00A9457C">
        <w:t xml:space="preserve"> </w:t>
      </w:r>
      <w:r w:rsidR="00537721">
        <w:t xml:space="preserve">(the s.145(4) </w:t>
      </w:r>
      <w:r w:rsidR="000B38A7">
        <w:t>D</w:t>
      </w:r>
      <w:r w:rsidR="00537721">
        <w:t>etermination)</w:t>
      </w:r>
      <w:r w:rsidR="000B38A7">
        <w:t>.</w:t>
      </w:r>
    </w:p>
    <w:p w14:paraId="583338E8" w14:textId="3F83FA4E" w:rsidR="00537721" w:rsidRDefault="00E97D51" w:rsidP="00537721">
      <w:pPr>
        <w:pStyle w:val="ListBullet"/>
        <w:rPr>
          <w:rFonts w:cs="Arial"/>
        </w:rPr>
      </w:pPr>
      <w:hyperlink r:id="rId55" w:history="1">
        <w:r w:rsidR="00537721" w:rsidRPr="006B4EC1">
          <w:rPr>
            <w:rStyle w:val="Hyperlink"/>
            <w:rFonts w:cs="Arial"/>
          </w:rPr>
          <w:t>Radiocommunications Advisory Guidelines (Managing Interference from Spectrum Licensed Transmitters — 3.4 GHz Band) 2015</w:t>
        </w:r>
      </w:hyperlink>
      <w:r w:rsidR="00537721" w:rsidRPr="006B4EC1">
        <w:rPr>
          <w:rFonts w:cs="Arial"/>
        </w:rPr>
        <w:t xml:space="preserve"> (the RAG Tx)</w:t>
      </w:r>
      <w:r w:rsidR="000B38A7">
        <w:rPr>
          <w:rFonts w:cs="Arial"/>
        </w:rPr>
        <w:t>.</w:t>
      </w:r>
    </w:p>
    <w:p w14:paraId="401AF91E" w14:textId="4526604C" w:rsidR="00537721" w:rsidRPr="006B4EC1" w:rsidRDefault="00E97D51" w:rsidP="00537721">
      <w:pPr>
        <w:pStyle w:val="ListBullet"/>
        <w:spacing w:after="240"/>
        <w:rPr>
          <w:rFonts w:cs="Arial"/>
        </w:rPr>
      </w:pPr>
      <w:hyperlink r:id="rId56" w:tgtFrame="_self" w:history="1">
        <w:r w:rsidR="00537721" w:rsidRPr="005438AE">
          <w:rPr>
            <w:rStyle w:val="Hyperlink"/>
            <w:bCs/>
          </w:rPr>
          <w:t xml:space="preserve">Radiocommunications Advisory Guidelines (Managing Interference to Spectrum Licensed Receivers – </w:t>
        </w:r>
        <w:r w:rsidR="00537721">
          <w:rPr>
            <w:rStyle w:val="Hyperlink"/>
            <w:bCs/>
          </w:rPr>
          <w:t>3.4</w:t>
        </w:r>
        <w:r w:rsidR="00537721" w:rsidRPr="005438AE">
          <w:rPr>
            <w:rStyle w:val="Hyperlink"/>
            <w:bCs/>
          </w:rPr>
          <w:t xml:space="preserve"> GHz Band) 201</w:t>
        </w:r>
        <w:r w:rsidR="00537721">
          <w:rPr>
            <w:rStyle w:val="Hyperlink"/>
            <w:bCs/>
          </w:rPr>
          <w:t>5</w:t>
        </w:r>
      </w:hyperlink>
      <w:r w:rsidR="00537721">
        <w:rPr>
          <w:rFonts w:cs="Arial"/>
        </w:rPr>
        <w:t xml:space="preserve"> (</w:t>
      </w:r>
      <w:r w:rsidR="00537721" w:rsidRPr="00A9457C">
        <w:rPr>
          <w:rFonts w:cs="Arial"/>
        </w:rPr>
        <w:t xml:space="preserve">the RAG </w:t>
      </w:r>
      <w:r w:rsidR="00537721">
        <w:rPr>
          <w:rFonts w:cs="Arial"/>
        </w:rPr>
        <w:t>R</w:t>
      </w:r>
      <w:r w:rsidR="00537721" w:rsidRPr="00A9457C">
        <w:rPr>
          <w:rFonts w:cs="Arial"/>
        </w:rPr>
        <w:t>x)</w:t>
      </w:r>
      <w:r w:rsidR="000B38A7">
        <w:rPr>
          <w:rFonts w:cs="Arial"/>
        </w:rPr>
        <w:t>.</w:t>
      </w:r>
    </w:p>
    <w:p w14:paraId="006E04C5" w14:textId="2CACC8DD" w:rsidR="00B20419" w:rsidRPr="00602151" w:rsidRDefault="00B20419" w:rsidP="00B20419">
      <w:pPr>
        <w:pStyle w:val="Heading2"/>
      </w:pPr>
      <w:bookmarkStart w:id="51" w:name="_Toc80795873"/>
      <w:r>
        <w:t xml:space="preserve">s.145(4) </w:t>
      </w:r>
      <w:r w:rsidR="000B38A7">
        <w:t>D</w:t>
      </w:r>
      <w:r>
        <w:t>etermination</w:t>
      </w:r>
      <w:bookmarkEnd w:id="51"/>
    </w:p>
    <w:p w14:paraId="4ABC21E3" w14:textId="406132ED" w:rsidR="002B5623" w:rsidRPr="00602151" w:rsidRDefault="002B5623" w:rsidP="00696EB4">
      <w:pPr>
        <w:pStyle w:val="Paragraphbeforelist"/>
      </w:pPr>
      <w:bookmarkStart w:id="52" w:name="_Hlk78970855"/>
      <w:r w:rsidRPr="00602151">
        <w:t>A</w:t>
      </w:r>
      <w:r>
        <w:t xml:space="preserve"> s.145(4) </w:t>
      </w:r>
      <w:r w:rsidR="00F82ACE">
        <w:t>D</w:t>
      </w:r>
      <w:r>
        <w:t>etermination</w:t>
      </w:r>
      <w:r w:rsidRPr="00CB7345">
        <w:t xml:space="preserve"> </w:t>
      </w:r>
      <w:r w:rsidRPr="00602151">
        <w:t xml:space="preserve">sets out the circumstances in which devices are </w:t>
      </w:r>
      <w:r>
        <w:t>taken</w:t>
      </w:r>
      <w:r w:rsidRPr="00602151">
        <w:t xml:space="preserve"> to cause unacceptable levels of interference</w:t>
      </w:r>
      <w:r>
        <w:t>, for the purposes of section 145 of the Act</w:t>
      </w:r>
      <w:r w:rsidRPr="00602151">
        <w:t>. These circumstances typically include</w:t>
      </w:r>
      <w:r w:rsidR="00C926FD">
        <w:t xml:space="preserve"> if the</w:t>
      </w:r>
      <w:r w:rsidRPr="00602151">
        <w:t>:</w:t>
      </w:r>
    </w:p>
    <w:p w14:paraId="2E6CD23D" w14:textId="158C95B4" w:rsidR="002B5623" w:rsidRPr="00602151" w:rsidRDefault="000B38A7" w:rsidP="00696EB4">
      <w:pPr>
        <w:pStyle w:val="Bulletlevel1"/>
      </w:pPr>
      <w:r>
        <w:t>L</w:t>
      </w:r>
      <w:r w:rsidR="002B5623" w:rsidRPr="00602151">
        <w:t xml:space="preserve">evels of emissions from a device at the geographical boundary of a licence exceed a defined level as determined by the </w:t>
      </w:r>
      <w:r w:rsidR="004E2697">
        <w:t>device boundary criteria (</w:t>
      </w:r>
      <w:r w:rsidR="002B5623" w:rsidRPr="00602151">
        <w:t>DBC</w:t>
      </w:r>
      <w:r w:rsidR="004E2697">
        <w:t>)</w:t>
      </w:r>
      <w:r>
        <w:t>.</w:t>
      </w:r>
    </w:p>
    <w:p w14:paraId="1FCA40A9" w14:textId="70CA7D2E" w:rsidR="002B5623" w:rsidRPr="00602151" w:rsidRDefault="000B38A7" w:rsidP="00696EB4">
      <w:pPr>
        <w:pStyle w:val="Bulletlevel1"/>
      </w:pPr>
      <w:r>
        <w:t>O</w:t>
      </w:r>
      <w:r w:rsidR="002B5623" w:rsidRPr="00602151">
        <w:t>peration of the transmitter will cause a breach of a core condition of the licence</w:t>
      </w:r>
      <w:r>
        <w:t>.</w:t>
      </w:r>
    </w:p>
    <w:p w14:paraId="2D1F4659" w14:textId="1CE94774" w:rsidR="002B5623" w:rsidRPr="00602151" w:rsidRDefault="000B38A7" w:rsidP="00696EB4">
      <w:pPr>
        <w:pStyle w:val="Bulletlevel1last"/>
      </w:pPr>
      <w:r>
        <w:t>D</w:t>
      </w:r>
      <w:r w:rsidR="002B5623" w:rsidRPr="00602151">
        <w:t xml:space="preserve">eployment of the device is outside any deployment constraints defined for the </w:t>
      </w:r>
      <w:r w:rsidR="002B5623">
        <w:t xml:space="preserve">relevant </w:t>
      </w:r>
      <w:r w:rsidR="002B5623" w:rsidRPr="00602151">
        <w:t>band.</w:t>
      </w:r>
    </w:p>
    <w:p w14:paraId="4675F90D" w14:textId="72E65D4A" w:rsidR="004E2697" w:rsidRDefault="004E2697" w:rsidP="002B5623">
      <w:pPr>
        <w:pStyle w:val="ListBullet"/>
        <w:numPr>
          <w:ilvl w:val="0"/>
          <w:numId w:val="0"/>
        </w:numPr>
        <w:spacing w:before="240" w:after="240"/>
      </w:pPr>
      <w:r>
        <w:t xml:space="preserve">If a device meets these requirements, it can be registered on the </w:t>
      </w:r>
      <w:r w:rsidR="002B2307">
        <w:t>RRL</w:t>
      </w:r>
      <w:r>
        <w:t xml:space="preserve">. This is the general method used to register devices. However, there are circumstances when a spectrum licensees can register a device that does not meet the requirements of the s.145(4) </w:t>
      </w:r>
      <w:r w:rsidR="000B38A7">
        <w:t>D</w:t>
      </w:r>
      <w:r>
        <w:t>etermination. For example, area-a</w:t>
      </w:r>
      <w:r w:rsidRPr="00CB7345">
        <w:t>djacent</w:t>
      </w:r>
      <w:r>
        <w:t xml:space="preserve"> </w:t>
      </w:r>
      <w:r w:rsidRPr="00CB7345">
        <w:t>spectrum licensee</w:t>
      </w:r>
      <w:r w:rsidR="00817F7B">
        <w:t>s</w:t>
      </w:r>
      <w:r>
        <w:t xml:space="preserve"> can </w:t>
      </w:r>
      <w:r w:rsidR="002B5623">
        <w:t xml:space="preserve">reach an agreement with </w:t>
      </w:r>
      <w:r>
        <w:t xml:space="preserve">each other to </w:t>
      </w:r>
      <w:r w:rsidR="002B5623" w:rsidRPr="00CB7345">
        <w:t xml:space="preserve">allow the registration of </w:t>
      </w:r>
      <w:r>
        <w:t xml:space="preserve">a </w:t>
      </w:r>
      <w:r w:rsidR="002B5623" w:rsidRPr="00CB7345">
        <w:t>device that exceed the DBC</w:t>
      </w:r>
      <w:r w:rsidR="002B5623">
        <w:t>.</w:t>
      </w:r>
      <w:r>
        <w:t xml:space="preserve"> </w:t>
      </w:r>
      <w:r w:rsidR="00C6623C">
        <w:t xml:space="preserve">Such agreements are typically done on a case-by-case basis. </w:t>
      </w:r>
    </w:p>
    <w:bookmarkEnd w:id="52"/>
    <w:p w14:paraId="27B5891E" w14:textId="7AC3A262" w:rsidR="007E2E17" w:rsidRDefault="00B45BF2" w:rsidP="00F67B7A">
      <w:r>
        <w:t xml:space="preserve">A </w:t>
      </w:r>
      <w:r w:rsidRPr="009317CD">
        <w:t xml:space="preserve">summary of the </w:t>
      </w:r>
      <w:r w:rsidR="009A7C9A" w:rsidRPr="009317CD">
        <w:t xml:space="preserve">proposed </w:t>
      </w:r>
      <w:r w:rsidRPr="009317CD">
        <w:t xml:space="preserve">changes to the s.145(4) </w:t>
      </w:r>
      <w:r w:rsidR="000B38A7">
        <w:t>D</w:t>
      </w:r>
      <w:r w:rsidRPr="009317CD">
        <w:t>etermination is provided in Table</w:t>
      </w:r>
      <w:r w:rsidR="009317CD" w:rsidRPr="009317CD">
        <w:t> </w:t>
      </w:r>
      <w:r w:rsidRPr="009317CD">
        <w:t>2. The</w:t>
      </w:r>
      <w:r>
        <w:t xml:space="preserve"> draft variation instrument for the s.145(4) </w:t>
      </w:r>
      <w:r w:rsidR="000B38A7">
        <w:t>D</w:t>
      </w:r>
      <w:r>
        <w:t xml:space="preserve">etermination is provided at </w:t>
      </w:r>
      <w:r w:rsidRPr="00696EB4">
        <w:t>Appendix B</w:t>
      </w:r>
      <w:r w:rsidR="000B38A7">
        <w:t xml:space="preserve">, which is attached separately in the key documents section of this consultation. </w:t>
      </w:r>
      <w:r w:rsidR="00C273AF">
        <w:t xml:space="preserve"> </w:t>
      </w:r>
    </w:p>
    <w:p w14:paraId="24E21584" w14:textId="5676DD8F" w:rsidR="006B0704" w:rsidRDefault="006B0704" w:rsidP="00696EB4">
      <w:pPr>
        <w:pStyle w:val="Heading3"/>
        <w:spacing w:after="0"/>
      </w:pPr>
      <w:r>
        <w:t>General changes</w:t>
      </w:r>
    </w:p>
    <w:p w14:paraId="2FBBF151" w14:textId="6A9E3C5F" w:rsidR="005810A1" w:rsidRDefault="00C273AF" w:rsidP="00696EB4">
      <w:pPr>
        <w:spacing w:line="240" w:lineRule="auto"/>
        <w:rPr>
          <w:rFonts w:cs="Arial"/>
          <w:szCs w:val="20"/>
        </w:rPr>
      </w:pPr>
      <w:r>
        <w:t xml:space="preserve">Most of </w:t>
      </w:r>
      <w:r>
        <w:rPr>
          <w:rFonts w:cs="Arial"/>
          <w:szCs w:val="20"/>
        </w:rPr>
        <w:t xml:space="preserve">the </w:t>
      </w:r>
      <w:bookmarkStart w:id="53" w:name="_Hlk78901404"/>
      <w:r>
        <w:rPr>
          <w:rFonts w:cs="Arial"/>
          <w:szCs w:val="20"/>
        </w:rPr>
        <w:t>proposed c</w:t>
      </w:r>
      <w:r w:rsidR="005810A1">
        <w:rPr>
          <w:rFonts w:cs="Arial"/>
          <w:szCs w:val="20"/>
        </w:rPr>
        <w:t xml:space="preserve">hanges </w:t>
      </w:r>
      <w:r w:rsidR="00C8617C">
        <w:rPr>
          <w:rFonts w:cs="Arial"/>
          <w:szCs w:val="20"/>
        </w:rPr>
        <w:t xml:space="preserve">are </w:t>
      </w:r>
      <w:r w:rsidR="005810A1">
        <w:rPr>
          <w:rFonts w:cs="Arial"/>
          <w:szCs w:val="20"/>
        </w:rPr>
        <w:t>align</w:t>
      </w:r>
      <w:r w:rsidR="00371DB9">
        <w:rPr>
          <w:rFonts w:cs="Arial"/>
          <w:szCs w:val="20"/>
        </w:rPr>
        <w:t>ed</w:t>
      </w:r>
      <w:r w:rsidR="005810A1">
        <w:rPr>
          <w:rFonts w:cs="Arial"/>
          <w:szCs w:val="20"/>
        </w:rPr>
        <w:t xml:space="preserve"> with those identified </w:t>
      </w:r>
      <w:r>
        <w:rPr>
          <w:rFonts w:cs="Arial"/>
          <w:szCs w:val="20"/>
        </w:rPr>
        <w:t xml:space="preserve">and implemented </w:t>
      </w:r>
      <w:r w:rsidR="005810A1">
        <w:rPr>
          <w:rFonts w:cs="Arial"/>
          <w:szCs w:val="20"/>
        </w:rPr>
        <w:t xml:space="preserve">in the review of the </w:t>
      </w:r>
      <w:hyperlink r:id="rId57" w:history="1">
        <w:r w:rsidR="005810A1" w:rsidRPr="00631B7F">
          <w:rPr>
            <w:rStyle w:val="Hyperlink"/>
            <w:rFonts w:cs="Arial"/>
            <w:szCs w:val="20"/>
          </w:rPr>
          <w:t>2.3 GHz technical framework</w:t>
        </w:r>
      </w:hyperlink>
      <w:r w:rsidR="00C64AD7">
        <w:rPr>
          <w:rFonts w:cs="Arial"/>
          <w:szCs w:val="20"/>
        </w:rPr>
        <w:t xml:space="preserve"> </w:t>
      </w:r>
      <w:bookmarkEnd w:id="53"/>
      <w:r w:rsidR="00C64AD7">
        <w:rPr>
          <w:rFonts w:cs="Arial"/>
          <w:szCs w:val="20"/>
        </w:rPr>
        <w:t>(referred to as general changes).</w:t>
      </w:r>
      <w:r w:rsidR="007D1D6A">
        <w:rPr>
          <w:rFonts w:cs="Arial"/>
          <w:szCs w:val="20"/>
        </w:rPr>
        <w:t xml:space="preserve"> The ACMA is progressively </w:t>
      </w:r>
      <w:r w:rsidR="00C926FD">
        <w:rPr>
          <w:rFonts w:cs="Arial"/>
          <w:szCs w:val="20"/>
        </w:rPr>
        <w:t>considering</w:t>
      </w:r>
      <w:r w:rsidR="007D1D6A">
        <w:rPr>
          <w:rFonts w:cs="Arial"/>
          <w:szCs w:val="20"/>
        </w:rPr>
        <w:t xml:space="preserve"> implementing these</w:t>
      </w:r>
      <w:r w:rsidR="00C64AD7">
        <w:rPr>
          <w:rFonts w:cs="Arial"/>
          <w:szCs w:val="20"/>
        </w:rPr>
        <w:t xml:space="preserve"> general</w:t>
      </w:r>
      <w:r w:rsidR="007D1D6A">
        <w:rPr>
          <w:rFonts w:cs="Arial"/>
          <w:szCs w:val="20"/>
        </w:rPr>
        <w:t xml:space="preserve"> changes to s.145(4) determinations in all spectrum licence bands as they come up for review. The only difference in the case of the 3.4 GHz band w</w:t>
      </w:r>
      <w:r w:rsidR="002B2307">
        <w:rPr>
          <w:rFonts w:cs="Arial"/>
          <w:szCs w:val="20"/>
        </w:rPr>
        <w:t>ere</w:t>
      </w:r>
      <w:r w:rsidR="007D1D6A">
        <w:rPr>
          <w:rFonts w:cs="Arial"/>
          <w:szCs w:val="20"/>
        </w:rPr>
        <w:t xml:space="preserve"> the</w:t>
      </w:r>
      <w:r w:rsidR="005810A1">
        <w:rPr>
          <w:rFonts w:cs="Arial"/>
          <w:szCs w:val="20"/>
        </w:rPr>
        <w:t xml:space="preserve"> </w:t>
      </w:r>
      <w:r w:rsidR="002B2307">
        <w:rPr>
          <w:rFonts w:cs="Arial"/>
          <w:szCs w:val="20"/>
        </w:rPr>
        <w:t xml:space="preserve">actual values used for the </w:t>
      </w:r>
      <w:r w:rsidR="005810A1">
        <w:rPr>
          <w:rFonts w:cs="Arial"/>
          <w:szCs w:val="20"/>
        </w:rPr>
        <w:t xml:space="preserve">level of protection (LOP). In this case the current LOP </w:t>
      </w:r>
      <w:r w:rsidR="002B2307">
        <w:rPr>
          <w:rFonts w:cs="Arial"/>
          <w:szCs w:val="20"/>
        </w:rPr>
        <w:t>of -98 dBm/MHz is proposed to be</w:t>
      </w:r>
      <w:r w:rsidR="005810A1">
        <w:rPr>
          <w:rFonts w:cs="Arial"/>
          <w:szCs w:val="20"/>
        </w:rPr>
        <w:t xml:space="preserve"> maintained for </w:t>
      </w:r>
      <w:r w:rsidR="009202C7">
        <w:rPr>
          <w:rFonts w:cs="Arial"/>
          <w:szCs w:val="20"/>
        </w:rPr>
        <w:t>devices using</w:t>
      </w:r>
      <w:r w:rsidR="005810A1">
        <w:rPr>
          <w:rFonts w:cs="Arial"/>
          <w:szCs w:val="20"/>
        </w:rPr>
        <w:t xml:space="preserve"> non-AAS. </w:t>
      </w:r>
      <w:r w:rsidR="009202C7">
        <w:rPr>
          <w:rFonts w:cs="Arial"/>
          <w:szCs w:val="20"/>
        </w:rPr>
        <w:t>While a</w:t>
      </w:r>
      <w:r w:rsidR="005810A1">
        <w:rPr>
          <w:rFonts w:cs="Arial"/>
          <w:szCs w:val="20"/>
        </w:rPr>
        <w:t xml:space="preserve">n 8 dB factor (to account for the dynamic </w:t>
      </w:r>
      <w:r w:rsidR="005810A1">
        <w:t>interference environment associated with AAS)</w:t>
      </w:r>
      <w:r w:rsidR="005810A1">
        <w:rPr>
          <w:rFonts w:cs="Arial"/>
          <w:szCs w:val="20"/>
        </w:rPr>
        <w:t xml:space="preserve"> </w:t>
      </w:r>
      <w:r w:rsidR="002B2307">
        <w:rPr>
          <w:rFonts w:cs="Arial"/>
          <w:szCs w:val="20"/>
        </w:rPr>
        <w:t xml:space="preserve">is </w:t>
      </w:r>
      <w:r w:rsidR="005810A1">
        <w:rPr>
          <w:rFonts w:cs="Arial"/>
          <w:szCs w:val="20"/>
        </w:rPr>
        <w:t xml:space="preserve">applied to this LOP for </w:t>
      </w:r>
      <w:r w:rsidR="009202C7">
        <w:rPr>
          <w:rFonts w:cs="Arial"/>
          <w:szCs w:val="20"/>
        </w:rPr>
        <w:t xml:space="preserve">devices using </w:t>
      </w:r>
      <w:r w:rsidR="005810A1">
        <w:rPr>
          <w:rFonts w:cs="Arial"/>
          <w:szCs w:val="20"/>
        </w:rPr>
        <w:t>AAS</w:t>
      </w:r>
      <w:r w:rsidR="007D1D6A">
        <w:rPr>
          <w:rFonts w:cs="Arial"/>
          <w:szCs w:val="20"/>
        </w:rPr>
        <w:t xml:space="preserve">. </w:t>
      </w:r>
    </w:p>
    <w:p w14:paraId="38C010B7" w14:textId="2C29181F" w:rsidR="00527FC0" w:rsidRDefault="002465B3" w:rsidP="00696EB4">
      <w:pPr>
        <w:pStyle w:val="Paragraphbeforelist"/>
      </w:pPr>
      <w:bookmarkStart w:id="54" w:name="_Hlk78901415"/>
      <w:r>
        <w:t>The</w:t>
      </w:r>
      <w:r w:rsidR="00C64AD7">
        <w:t xml:space="preserve"> general</w:t>
      </w:r>
      <w:r>
        <w:t xml:space="preserve"> changes will enable spectrum licensees to deploy services closer to the geographical bound</w:t>
      </w:r>
      <w:r w:rsidR="006F39E6">
        <w:t>arie</w:t>
      </w:r>
      <w:r>
        <w:t>s of their licence, subsequently increasing utility of the spectrum.</w:t>
      </w:r>
      <w:r w:rsidR="00527FC0">
        <w:t xml:space="preserve"> </w:t>
      </w:r>
      <w:bookmarkStart w:id="55" w:name="_Hlk76114939"/>
      <w:bookmarkEnd w:id="54"/>
      <w:r w:rsidR="00A6661A">
        <w:t>While notionally increasing the interference environment to licensees,</w:t>
      </w:r>
      <w:r w:rsidR="00C273AF">
        <w:t xml:space="preserve"> the impact is considered to be </w:t>
      </w:r>
      <w:r w:rsidR="002B2307">
        <w:t>acceptably</w:t>
      </w:r>
      <w:r w:rsidR="00A6661A">
        <w:t xml:space="preserve"> </w:t>
      </w:r>
      <w:r w:rsidR="00C64AD7">
        <w:t>low</w:t>
      </w:r>
      <w:r w:rsidR="00527FC0">
        <w:t xml:space="preserve"> for the following reasons</w:t>
      </w:r>
      <w:r w:rsidR="00FF0F98">
        <w:t>:</w:t>
      </w:r>
      <w:r w:rsidR="00C273AF">
        <w:t xml:space="preserve"> </w:t>
      </w:r>
    </w:p>
    <w:p w14:paraId="6D8EFFC9" w14:textId="2F23C739" w:rsidR="00527FC0" w:rsidRDefault="000B38A7" w:rsidP="00527FC0">
      <w:pPr>
        <w:pStyle w:val="ListBullet"/>
      </w:pPr>
      <w:r>
        <w:t>T</w:t>
      </w:r>
      <w:r w:rsidR="00527FC0">
        <w:t>he</w:t>
      </w:r>
      <w:r w:rsidR="00C64AD7">
        <w:t xml:space="preserve"> general</w:t>
      </w:r>
      <w:r w:rsidR="00527FC0">
        <w:t xml:space="preserve"> changes were supported by all 3.4 GHz spectrum licensees in </w:t>
      </w:r>
      <w:r>
        <w:br/>
      </w:r>
      <w:r w:rsidR="00527FC0">
        <w:t xml:space="preserve">the TLG. </w:t>
      </w:r>
    </w:p>
    <w:p w14:paraId="5E8CE2E2" w14:textId="195A4866" w:rsidR="00C273AF" w:rsidRDefault="000B38A7" w:rsidP="00F67B7A">
      <w:pPr>
        <w:pStyle w:val="ListBullet"/>
      </w:pPr>
      <w:r>
        <w:t>T</w:t>
      </w:r>
      <w:r w:rsidR="00C273AF">
        <w:t xml:space="preserve">he geographical </w:t>
      </w:r>
      <w:r w:rsidR="0019155F">
        <w:t xml:space="preserve">boundaries </w:t>
      </w:r>
      <w:r w:rsidR="00FB0DB9">
        <w:t xml:space="preserve">of </w:t>
      </w:r>
      <w:r w:rsidR="00844FE7">
        <w:t xml:space="preserve">the </w:t>
      </w:r>
      <w:r w:rsidR="00FB0DB9">
        <w:t>3.4 GHz spectrum licence space</w:t>
      </w:r>
      <w:r w:rsidR="00C273AF">
        <w:t xml:space="preserve"> are </w:t>
      </w:r>
      <w:r w:rsidR="00FB0DB9">
        <w:t xml:space="preserve">generally located </w:t>
      </w:r>
      <w:r w:rsidR="00C273AF">
        <w:t>in regional and remote areas</w:t>
      </w:r>
      <w:r w:rsidR="00FB0DB9">
        <w:t xml:space="preserve">. Demand </w:t>
      </w:r>
      <w:r w:rsidR="00C273AF">
        <w:t xml:space="preserve">for </w:t>
      </w:r>
      <w:r w:rsidR="00FB0DB9">
        <w:t xml:space="preserve">access to </w:t>
      </w:r>
      <w:r w:rsidR="00C273AF">
        <w:t xml:space="preserve">spectrum </w:t>
      </w:r>
      <w:r w:rsidR="00FB0DB9">
        <w:t xml:space="preserve">in these areas is </w:t>
      </w:r>
      <w:r w:rsidR="00C273AF">
        <w:t xml:space="preserve">typically </w:t>
      </w:r>
      <w:r w:rsidR="00C273AF" w:rsidRPr="00727D3C">
        <w:t>lower</w:t>
      </w:r>
      <w:r w:rsidR="00FB0DB9">
        <w:t>, consequently the effect of a higher level of emissions leaving the spectrum licence space is also</w:t>
      </w:r>
      <w:r w:rsidR="00351108">
        <w:t xml:space="preserve"> expected to be</w:t>
      </w:r>
      <w:r w:rsidR="00FB0DB9">
        <w:t xml:space="preserve"> low. </w:t>
      </w:r>
      <w:r w:rsidR="00C273AF" w:rsidRPr="00727D3C">
        <w:t>In addition, transmitters associate</w:t>
      </w:r>
      <w:r w:rsidR="00C273AF">
        <w:t>d</w:t>
      </w:r>
      <w:r w:rsidR="00C273AF" w:rsidRPr="00727D3C">
        <w:t xml:space="preserve"> with apparatus licences </w:t>
      </w:r>
      <w:r w:rsidR="00FB0DB9">
        <w:t>issued outside the 3.4 GHz spectrum licence space</w:t>
      </w:r>
      <w:r w:rsidR="00C273AF" w:rsidRPr="00727D3C">
        <w:t xml:space="preserve"> are subject to a DBC that assumes unsynchronised use. This naturally </w:t>
      </w:r>
      <w:r w:rsidR="00C273AF">
        <w:t xml:space="preserve">increases </w:t>
      </w:r>
      <w:r w:rsidR="006F39E6">
        <w:t xml:space="preserve">their </w:t>
      </w:r>
      <w:r w:rsidR="00C273AF">
        <w:t xml:space="preserve">separation </w:t>
      </w:r>
      <w:r w:rsidR="00C273AF" w:rsidRPr="00727D3C">
        <w:t>from spectrum licence area boundaries</w:t>
      </w:r>
      <w:r w:rsidR="00C273AF">
        <w:t xml:space="preserve">, </w:t>
      </w:r>
      <w:r w:rsidR="006F39E6">
        <w:t>resulting in</w:t>
      </w:r>
      <w:r w:rsidR="00C273AF">
        <w:t xml:space="preserve"> greater protection </w:t>
      </w:r>
      <w:r w:rsidR="006F39E6">
        <w:t>for any associated apparatus licence receivers</w:t>
      </w:r>
      <w:r w:rsidR="00C273AF">
        <w:t>.</w:t>
      </w:r>
    </w:p>
    <w:p w14:paraId="206DA392" w14:textId="06C92F07" w:rsidR="001630E4" w:rsidRDefault="00FD53B9" w:rsidP="006B6A28">
      <w:pPr>
        <w:spacing w:before="240" w:line="240" w:lineRule="auto"/>
      </w:pPr>
      <w:r w:rsidRPr="00FD53B9">
        <w:t>One aspect of the ge</w:t>
      </w:r>
      <w:r w:rsidRPr="00ED58CB">
        <w:t>neral</w:t>
      </w:r>
      <w:r w:rsidRPr="007936AF">
        <w:t xml:space="preserve"> changes is to include a grandfathering clause for existing devic</w:t>
      </w:r>
      <w:r w:rsidRPr="00ED3225">
        <w:t xml:space="preserve">e registrations. </w:t>
      </w:r>
      <w:r w:rsidRPr="00C420A3">
        <w:t xml:space="preserve">This makes it </w:t>
      </w:r>
      <w:r w:rsidRPr="00A529EB">
        <w:t xml:space="preserve">clear that a device is only </w:t>
      </w:r>
      <w:r w:rsidRPr="005C2C02">
        <w:t xml:space="preserve">required </w:t>
      </w:r>
      <w:r w:rsidRPr="00C824D7">
        <w:t xml:space="preserve">to adhere to the s.145(4) </w:t>
      </w:r>
      <w:r w:rsidR="000B38A7">
        <w:t>D</w:t>
      </w:r>
      <w:r w:rsidRPr="00C6638E">
        <w:t xml:space="preserve">etermination that is in force at the time a device is registered. This avoids any uncertainty over the impact the proposed changes may have on existing device registrations. However, the grandfathering clause, as currently proposed, does not cover minor </w:t>
      </w:r>
      <w:r w:rsidRPr="00FF0F98">
        <w:t>modifications to an existing registration. For example</w:t>
      </w:r>
      <w:r w:rsidRPr="00844FE7">
        <w:t>, changes that</w:t>
      </w:r>
      <w:r w:rsidRPr="00836762">
        <w:t xml:space="preserve"> results in the same </w:t>
      </w:r>
      <w:r w:rsidRPr="004C684D">
        <w:t>or lower horizontal radiated power</w:t>
      </w:r>
      <w:r w:rsidRPr="00E06018">
        <w:t xml:space="preserve"> for the purposes of device boundary calculations</w:t>
      </w:r>
      <w:r w:rsidRPr="005D75D3">
        <w:t xml:space="preserve">. Alternatively, changes that result in the same or smaller device boundary as </w:t>
      </w:r>
      <w:r w:rsidRPr="00E01008">
        <w:t>originally calculated when regist</w:t>
      </w:r>
      <w:r w:rsidRPr="006B6A28">
        <w:t xml:space="preserve">ering a device. </w:t>
      </w:r>
      <w:r w:rsidR="001630E4">
        <w:t>A summary of the changes proposed is outlined in Table 2.</w:t>
      </w:r>
    </w:p>
    <w:p w14:paraId="7E01A63F" w14:textId="0901AD9A" w:rsidR="00FD53B9" w:rsidRPr="006B6A28" w:rsidRDefault="00FD53B9" w:rsidP="006B6A28">
      <w:pPr>
        <w:spacing w:before="240" w:line="240" w:lineRule="auto"/>
      </w:pPr>
      <w:r w:rsidRPr="006B6A28">
        <w:t>The ACMA is interested in feedback as to whether such minor changes should be included in the grandfathering clause, and if so, what minor changes should be permitted?</w:t>
      </w:r>
    </w:p>
    <w:bookmarkEnd w:id="55"/>
    <w:p w14:paraId="2AD3600E" w14:textId="45E1D2D3" w:rsidR="005810A1" w:rsidRPr="00A9457C" w:rsidRDefault="00371DB9" w:rsidP="005810A1">
      <w:pPr>
        <w:pStyle w:val="Tableheading"/>
        <w:keepLines/>
      </w:pPr>
      <w:r>
        <w:t>Proposed a</w:t>
      </w:r>
      <w:r w:rsidR="005810A1">
        <w:t xml:space="preserve">mendments to </w:t>
      </w:r>
      <w:r w:rsidR="005810A1">
        <w:rPr>
          <w:rFonts w:cs="Arial"/>
        </w:rPr>
        <w:t xml:space="preserve">the s.145(4) </w:t>
      </w:r>
      <w:r w:rsidR="00F82ACE">
        <w:rPr>
          <w:rFonts w:cs="Arial"/>
        </w:rPr>
        <w:t>D</w:t>
      </w:r>
      <w:r w:rsidR="005810A1">
        <w:rPr>
          <w:rFonts w:cs="Arial"/>
        </w:rPr>
        <w:t>etermination</w:t>
      </w:r>
    </w:p>
    <w:tbl>
      <w:tblPr>
        <w:tblStyle w:val="ACMAtablestyle"/>
        <w:tblW w:w="9640" w:type="dxa"/>
        <w:tblInd w:w="-5" w:type="dxa"/>
        <w:tblLayout w:type="fixed"/>
        <w:tblLook w:val="01E0" w:firstRow="1" w:lastRow="1" w:firstColumn="1" w:lastColumn="1" w:noHBand="0" w:noVBand="0"/>
        <w:tblCaption w:val="Table title to go here"/>
        <w:tblDescription w:val="Table description to go here"/>
      </w:tblPr>
      <w:tblGrid>
        <w:gridCol w:w="4820"/>
        <w:gridCol w:w="4820"/>
      </w:tblGrid>
      <w:tr w:rsidR="005810A1" w:rsidRPr="006D46E5" w14:paraId="5E7F2908" w14:textId="77777777" w:rsidTr="00696EB4">
        <w:trPr>
          <w:cnfStyle w:val="100000000000" w:firstRow="1" w:lastRow="0" w:firstColumn="0" w:lastColumn="0" w:oddVBand="0" w:evenVBand="0" w:oddHBand="0" w:evenHBand="0" w:firstRowFirstColumn="0" w:firstRowLastColumn="0" w:lastRowFirstColumn="0" w:lastRowLastColumn="0"/>
        </w:trPr>
        <w:tc>
          <w:tcPr>
            <w:tcW w:w="0" w:type="dxa"/>
          </w:tcPr>
          <w:p w14:paraId="0A18B568" w14:textId="77777777" w:rsidR="005810A1" w:rsidRPr="00930510" w:rsidRDefault="005810A1" w:rsidP="00AC67DA">
            <w:pPr>
              <w:pStyle w:val="Tableheaderrow"/>
            </w:pPr>
            <w:r>
              <w:t>Item</w:t>
            </w:r>
          </w:p>
        </w:tc>
        <w:tc>
          <w:tcPr>
            <w:tcW w:w="0" w:type="dxa"/>
          </w:tcPr>
          <w:p w14:paraId="70F412B9" w14:textId="77777777" w:rsidR="005810A1" w:rsidRPr="00930510" w:rsidRDefault="005810A1" w:rsidP="00AC67DA">
            <w:pPr>
              <w:pStyle w:val="Tableheaderrow"/>
            </w:pPr>
            <w:r>
              <w:t>Detail of amendment</w:t>
            </w:r>
          </w:p>
        </w:tc>
      </w:tr>
      <w:tr w:rsidR="005810A1" w:rsidRPr="006D46E5" w14:paraId="7C36B72A" w14:textId="77777777" w:rsidTr="00696EB4">
        <w:trPr>
          <w:cnfStyle w:val="000000100000" w:firstRow="0" w:lastRow="0" w:firstColumn="0" w:lastColumn="0" w:oddVBand="0" w:evenVBand="0" w:oddHBand="1" w:evenHBand="0" w:firstRowFirstColumn="0" w:firstRowLastColumn="0" w:lastRowFirstColumn="0" w:lastRowLastColumn="0"/>
        </w:trPr>
        <w:tc>
          <w:tcPr>
            <w:tcW w:w="0" w:type="dxa"/>
          </w:tcPr>
          <w:p w14:paraId="4F56126A" w14:textId="77777777" w:rsidR="005810A1" w:rsidRPr="00FD53B9" w:rsidRDefault="005810A1" w:rsidP="00AC67DA">
            <w:pPr>
              <w:pStyle w:val="TableBody"/>
              <w:rPr>
                <w:szCs w:val="20"/>
              </w:rPr>
            </w:pPr>
            <w:r w:rsidRPr="00FD53B9">
              <w:rPr>
                <w:szCs w:val="20"/>
              </w:rPr>
              <w:t>3.4 GHz definition</w:t>
            </w:r>
          </w:p>
        </w:tc>
        <w:tc>
          <w:tcPr>
            <w:tcW w:w="0" w:type="dxa"/>
          </w:tcPr>
          <w:p w14:paraId="340D45AC" w14:textId="43D20EE7" w:rsidR="005810A1" w:rsidRPr="007936AF" w:rsidRDefault="005810A1" w:rsidP="00AC67DA">
            <w:pPr>
              <w:pStyle w:val="TableBody"/>
              <w:rPr>
                <w:szCs w:val="20"/>
              </w:rPr>
            </w:pPr>
            <w:r w:rsidRPr="007936AF">
              <w:rPr>
                <w:szCs w:val="20"/>
              </w:rPr>
              <w:t>Change to 3400</w:t>
            </w:r>
            <w:r w:rsidR="000B38A7">
              <w:rPr>
                <w:szCs w:val="20"/>
              </w:rPr>
              <w:t>–</w:t>
            </w:r>
            <w:r w:rsidRPr="007936AF">
              <w:rPr>
                <w:szCs w:val="20"/>
              </w:rPr>
              <w:t xml:space="preserve">3700 MHz </w:t>
            </w:r>
          </w:p>
        </w:tc>
      </w:tr>
      <w:tr w:rsidR="005810A1" w:rsidRPr="006D46E5" w14:paraId="2B35173E" w14:textId="77777777" w:rsidTr="00696EB4">
        <w:trPr>
          <w:cnfStyle w:val="000000010000" w:firstRow="0" w:lastRow="0" w:firstColumn="0" w:lastColumn="0" w:oddVBand="0" w:evenVBand="0" w:oddHBand="0" w:evenHBand="1" w:firstRowFirstColumn="0" w:firstRowLastColumn="0" w:lastRowFirstColumn="0" w:lastRowLastColumn="0"/>
        </w:trPr>
        <w:tc>
          <w:tcPr>
            <w:tcW w:w="0" w:type="dxa"/>
          </w:tcPr>
          <w:p w14:paraId="5A1DC4BC" w14:textId="77777777" w:rsidR="005810A1" w:rsidRPr="00ED58CB" w:rsidRDefault="005810A1" w:rsidP="00AC67DA">
            <w:pPr>
              <w:pStyle w:val="TableBody"/>
              <w:rPr>
                <w:szCs w:val="20"/>
              </w:rPr>
            </w:pPr>
            <w:r w:rsidRPr="00FD53B9">
              <w:rPr>
                <w:szCs w:val="20"/>
              </w:rPr>
              <w:t>Level of protection (LOP)</w:t>
            </w:r>
          </w:p>
        </w:tc>
        <w:tc>
          <w:tcPr>
            <w:tcW w:w="0" w:type="dxa"/>
          </w:tcPr>
          <w:p w14:paraId="43115183" w14:textId="77777777" w:rsidR="005810A1" w:rsidRPr="007936AF" w:rsidRDefault="005810A1" w:rsidP="00AC67DA">
            <w:pPr>
              <w:pStyle w:val="TableBody"/>
              <w:rPr>
                <w:szCs w:val="20"/>
              </w:rPr>
            </w:pPr>
            <w:r w:rsidRPr="007936AF">
              <w:rPr>
                <w:szCs w:val="20"/>
              </w:rPr>
              <w:t xml:space="preserve">Non-AAS: -98 dBm/MHz (this is the current LOP) </w:t>
            </w:r>
          </w:p>
          <w:p w14:paraId="0A70FA0A" w14:textId="77777777" w:rsidR="005810A1" w:rsidRPr="00C420A3" w:rsidRDefault="005810A1" w:rsidP="00AC67DA">
            <w:pPr>
              <w:pStyle w:val="TableBody"/>
              <w:rPr>
                <w:szCs w:val="20"/>
              </w:rPr>
            </w:pPr>
            <w:r w:rsidRPr="00ED3225">
              <w:rPr>
                <w:szCs w:val="20"/>
              </w:rPr>
              <w:t xml:space="preserve">AAS: -90 dBm/MHz </w:t>
            </w:r>
          </w:p>
        </w:tc>
      </w:tr>
      <w:tr w:rsidR="005810A1" w:rsidRPr="006D46E5" w14:paraId="3E6C0638" w14:textId="77777777" w:rsidTr="00696EB4">
        <w:trPr>
          <w:cnfStyle w:val="000000100000" w:firstRow="0" w:lastRow="0" w:firstColumn="0" w:lastColumn="0" w:oddVBand="0" w:evenVBand="0" w:oddHBand="1" w:evenHBand="0" w:firstRowFirstColumn="0" w:firstRowLastColumn="0" w:lastRowFirstColumn="0" w:lastRowLastColumn="0"/>
        </w:trPr>
        <w:tc>
          <w:tcPr>
            <w:tcW w:w="0" w:type="dxa"/>
          </w:tcPr>
          <w:p w14:paraId="2EC9758C" w14:textId="18BA53BB" w:rsidR="005810A1" w:rsidRPr="00ED58CB" w:rsidRDefault="005810A1" w:rsidP="00AC67DA">
            <w:pPr>
              <w:pStyle w:val="TableBody"/>
              <w:rPr>
                <w:szCs w:val="20"/>
              </w:rPr>
            </w:pPr>
            <w:r w:rsidRPr="00FD53B9">
              <w:rPr>
                <w:szCs w:val="20"/>
              </w:rPr>
              <w:t xml:space="preserve">Digital </w:t>
            </w:r>
            <w:r w:rsidR="000B38A7">
              <w:rPr>
                <w:szCs w:val="20"/>
              </w:rPr>
              <w:t>e</w:t>
            </w:r>
            <w:r w:rsidRPr="00FD53B9">
              <w:rPr>
                <w:szCs w:val="20"/>
              </w:rPr>
              <w:t xml:space="preserve">levation </w:t>
            </w:r>
            <w:r w:rsidR="000B38A7">
              <w:rPr>
                <w:szCs w:val="20"/>
              </w:rPr>
              <w:t>m</w:t>
            </w:r>
            <w:r w:rsidRPr="00FD53B9">
              <w:rPr>
                <w:szCs w:val="20"/>
              </w:rPr>
              <w:t>odel (DEM)</w:t>
            </w:r>
          </w:p>
        </w:tc>
        <w:tc>
          <w:tcPr>
            <w:tcW w:w="0" w:type="dxa"/>
          </w:tcPr>
          <w:p w14:paraId="01AF5567" w14:textId="77777777" w:rsidR="005810A1" w:rsidRPr="007936AF" w:rsidRDefault="005810A1" w:rsidP="00AC67DA">
            <w:pPr>
              <w:pStyle w:val="TableBody"/>
              <w:rPr>
                <w:szCs w:val="20"/>
              </w:rPr>
            </w:pPr>
            <w:r w:rsidRPr="007936AF">
              <w:rPr>
                <w:szCs w:val="20"/>
              </w:rPr>
              <w:t>Adopt 3-sec DEM</w:t>
            </w:r>
          </w:p>
        </w:tc>
      </w:tr>
      <w:tr w:rsidR="005810A1" w:rsidRPr="006D46E5" w14:paraId="4CC365A8" w14:textId="77777777" w:rsidTr="00696EB4">
        <w:trPr>
          <w:cnfStyle w:val="000000010000" w:firstRow="0" w:lastRow="0" w:firstColumn="0" w:lastColumn="0" w:oddVBand="0" w:evenVBand="0" w:oddHBand="0" w:evenHBand="1" w:firstRowFirstColumn="0" w:firstRowLastColumn="0" w:lastRowFirstColumn="0" w:lastRowLastColumn="0"/>
        </w:trPr>
        <w:tc>
          <w:tcPr>
            <w:tcW w:w="0" w:type="dxa"/>
          </w:tcPr>
          <w:p w14:paraId="513755DB" w14:textId="35CB5AF5" w:rsidR="005810A1" w:rsidRPr="006B6A28" w:rsidRDefault="0067011C" w:rsidP="00AC67DA">
            <w:pPr>
              <w:pStyle w:val="TableBody"/>
              <w:rPr>
                <w:szCs w:val="20"/>
              </w:rPr>
            </w:pPr>
            <w:r w:rsidRPr="00FD53B9">
              <w:rPr>
                <w:szCs w:val="20"/>
              </w:rPr>
              <w:t>Size of the i</w:t>
            </w:r>
            <w:r w:rsidR="000B4446" w:rsidRPr="00FD53B9">
              <w:rPr>
                <w:szCs w:val="20"/>
              </w:rPr>
              <w:t>ncrement</w:t>
            </w:r>
            <w:r w:rsidR="000B4446" w:rsidRPr="00ED58CB">
              <w:rPr>
                <w:szCs w:val="20"/>
              </w:rPr>
              <w:t xml:space="preserve"> along ea</w:t>
            </w:r>
            <w:r w:rsidR="000B4446" w:rsidRPr="007936AF">
              <w:rPr>
                <w:szCs w:val="20"/>
              </w:rPr>
              <w:t xml:space="preserve">ch radial </w:t>
            </w:r>
            <w:r w:rsidRPr="007936AF">
              <w:rPr>
                <w:szCs w:val="20"/>
              </w:rPr>
              <w:t xml:space="preserve">that </w:t>
            </w:r>
            <w:r w:rsidR="000B4446" w:rsidRPr="007936AF">
              <w:rPr>
                <w:szCs w:val="20"/>
              </w:rPr>
              <w:t>the DBC is calculated</w:t>
            </w:r>
          </w:p>
        </w:tc>
        <w:tc>
          <w:tcPr>
            <w:tcW w:w="0" w:type="dxa"/>
          </w:tcPr>
          <w:p w14:paraId="52E5964A" w14:textId="55BF51CA" w:rsidR="005810A1" w:rsidRPr="006B6A28" w:rsidRDefault="002D2660" w:rsidP="00AC67DA">
            <w:pPr>
              <w:pStyle w:val="TableBody"/>
              <w:rPr>
                <w:szCs w:val="20"/>
              </w:rPr>
            </w:pPr>
            <w:r w:rsidRPr="006B6A28">
              <w:rPr>
                <w:szCs w:val="20"/>
              </w:rPr>
              <w:t xml:space="preserve">Change to </w:t>
            </w:r>
            <w:r w:rsidR="005810A1" w:rsidRPr="006B6A28">
              <w:rPr>
                <w:szCs w:val="20"/>
              </w:rPr>
              <w:t>100</w:t>
            </w:r>
            <w:r w:rsidR="00A6661A" w:rsidRPr="006B6A28">
              <w:rPr>
                <w:szCs w:val="20"/>
              </w:rPr>
              <w:t xml:space="preserve"> </w:t>
            </w:r>
            <w:r w:rsidR="005810A1" w:rsidRPr="006B6A28">
              <w:rPr>
                <w:szCs w:val="20"/>
              </w:rPr>
              <w:t>m (current</w:t>
            </w:r>
            <w:r w:rsidR="0067011C" w:rsidRPr="006B6A28">
              <w:rPr>
                <w:szCs w:val="20"/>
              </w:rPr>
              <w:t>ly</w:t>
            </w:r>
            <w:r w:rsidR="005810A1" w:rsidRPr="006B6A28">
              <w:rPr>
                <w:szCs w:val="20"/>
              </w:rPr>
              <w:t xml:space="preserve"> 250</w:t>
            </w:r>
            <w:r w:rsidR="00A6661A" w:rsidRPr="006B6A28">
              <w:rPr>
                <w:szCs w:val="20"/>
              </w:rPr>
              <w:t xml:space="preserve"> </w:t>
            </w:r>
            <w:r w:rsidR="005810A1" w:rsidRPr="006B6A28">
              <w:rPr>
                <w:szCs w:val="20"/>
              </w:rPr>
              <w:t>m)</w:t>
            </w:r>
          </w:p>
        </w:tc>
      </w:tr>
      <w:tr w:rsidR="005810A1" w:rsidRPr="006D46E5" w14:paraId="57085729" w14:textId="77777777" w:rsidTr="00696EB4">
        <w:trPr>
          <w:cnfStyle w:val="000000100000" w:firstRow="0" w:lastRow="0" w:firstColumn="0" w:lastColumn="0" w:oddVBand="0" w:evenVBand="0" w:oddHBand="1" w:evenHBand="0" w:firstRowFirstColumn="0" w:firstRowLastColumn="0" w:lastRowFirstColumn="0" w:lastRowLastColumn="0"/>
        </w:trPr>
        <w:tc>
          <w:tcPr>
            <w:tcW w:w="0" w:type="dxa"/>
          </w:tcPr>
          <w:p w14:paraId="7F1FB086" w14:textId="3372E4A0" w:rsidR="005810A1" w:rsidRPr="007936AF" w:rsidRDefault="002D2660" w:rsidP="00AC67DA">
            <w:pPr>
              <w:pStyle w:val="TableBody"/>
              <w:rPr>
                <w:szCs w:val="20"/>
              </w:rPr>
            </w:pPr>
            <w:r w:rsidRPr="00FD53B9">
              <w:rPr>
                <w:szCs w:val="20"/>
              </w:rPr>
              <w:t xml:space="preserve">Maximum </w:t>
            </w:r>
            <w:r w:rsidR="000B4446" w:rsidRPr="00FD53B9">
              <w:rPr>
                <w:szCs w:val="20"/>
              </w:rPr>
              <w:t>number of increments</w:t>
            </w:r>
            <w:r w:rsidR="000B4446" w:rsidRPr="00ED58CB">
              <w:rPr>
                <w:szCs w:val="20"/>
              </w:rPr>
              <w:t xml:space="preserve"> along each radial</w:t>
            </w:r>
            <w:r w:rsidR="000B4446" w:rsidRPr="007936AF">
              <w:rPr>
                <w:szCs w:val="20"/>
              </w:rPr>
              <w:t xml:space="preserve"> (denoted by ‘m’</w:t>
            </w:r>
            <w:r w:rsidR="0067011C" w:rsidRPr="007936AF">
              <w:rPr>
                <w:szCs w:val="20"/>
              </w:rPr>
              <w:t xml:space="preserve"> in the s.145(4) </w:t>
            </w:r>
            <w:r w:rsidR="000B38A7">
              <w:rPr>
                <w:szCs w:val="20"/>
              </w:rPr>
              <w:t>D</w:t>
            </w:r>
            <w:r w:rsidR="0067011C" w:rsidRPr="00ED3225">
              <w:rPr>
                <w:szCs w:val="20"/>
              </w:rPr>
              <w:t>etermination</w:t>
            </w:r>
            <w:r w:rsidR="000B4446" w:rsidRPr="00C420A3">
              <w:rPr>
                <w:szCs w:val="20"/>
              </w:rPr>
              <w:t>)</w:t>
            </w:r>
            <w:r w:rsidR="0067011C" w:rsidRPr="00C420A3">
              <w:rPr>
                <w:szCs w:val="20"/>
              </w:rPr>
              <w:t xml:space="preserve"> that</w:t>
            </w:r>
            <w:r w:rsidRPr="00FD53B9">
              <w:rPr>
                <w:szCs w:val="20"/>
              </w:rPr>
              <w:t xml:space="preserve"> </w:t>
            </w:r>
            <w:r w:rsidR="000B4446" w:rsidRPr="00FD53B9">
              <w:rPr>
                <w:szCs w:val="20"/>
              </w:rPr>
              <w:t xml:space="preserve">the </w:t>
            </w:r>
            <w:r w:rsidRPr="00ED58CB">
              <w:rPr>
                <w:szCs w:val="20"/>
              </w:rPr>
              <w:t xml:space="preserve">DBC </w:t>
            </w:r>
            <w:r w:rsidR="000B4446" w:rsidRPr="007936AF">
              <w:rPr>
                <w:szCs w:val="20"/>
              </w:rPr>
              <w:t xml:space="preserve">is </w:t>
            </w:r>
            <w:r w:rsidRPr="007936AF">
              <w:rPr>
                <w:szCs w:val="20"/>
              </w:rPr>
              <w:t>calculat</w:t>
            </w:r>
            <w:r w:rsidR="000B4446" w:rsidRPr="007936AF">
              <w:rPr>
                <w:szCs w:val="20"/>
              </w:rPr>
              <w:t>ed</w:t>
            </w:r>
          </w:p>
        </w:tc>
        <w:tc>
          <w:tcPr>
            <w:tcW w:w="0" w:type="dxa"/>
          </w:tcPr>
          <w:p w14:paraId="63E804AD" w14:textId="0B6B6355" w:rsidR="005810A1" w:rsidRPr="006B6A28" w:rsidRDefault="002D2660" w:rsidP="00AC67DA">
            <w:pPr>
              <w:pStyle w:val="TableBody"/>
              <w:rPr>
                <w:szCs w:val="20"/>
              </w:rPr>
            </w:pPr>
            <w:r w:rsidRPr="00ED3225">
              <w:rPr>
                <w:szCs w:val="20"/>
              </w:rPr>
              <w:t xml:space="preserve">Change to </w:t>
            </w:r>
            <w:r w:rsidR="005810A1" w:rsidRPr="00C420A3">
              <w:rPr>
                <w:szCs w:val="20"/>
              </w:rPr>
              <w:t>1080</w:t>
            </w:r>
            <w:r w:rsidRPr="00C420A3">
              <w:rPr>
                <w:szCs w:val="20"/>
              </w:rPr>
              <w:t>.</w:t>
            </w:r>
            <w:r w:rsidR="000B4446" w:rsidRPr="00C420A3">
              <w:rPr>
                <w:szCs w:val="20"/>
              </w:rPr>
              <w:t xml:space="preserve"> </w:t>
            </w:r>
            <w:r w:rsidRPr="006B6A28">
              <w:rPr>
                <w:szCs w:val="20"/>
              </w:rPr>
              <w:t>F</w:t>
            </w:r>
            <w:r w:rsidR="00AD6D8D" w:rsidRPr="006B6A28">
              <w:rPr>
                <w:szCs w:val="20"/>
              </w:rPr>
              <w:t>or a</w:t>
            </w:r>
            <w:r w:rsidR="000B4446" w:rsidRPr="006B6A28">
              <w:rPr>
                <w:szCs w:val="20"/>
              </w:rPr>
              <w:t>n increment</w:t>
            </w:r>
            <w:r w:rsidR="00AD6D8D" w:rsidRPr="006B6A28">
              <w:rPr>
                <w:szCs w:val="20"/>
              </w:rPr>
              <w:t xml:space="preserve"> of 100 m </w:t>
            </w:r>
            <w:r w:rsidR="005810A1" w:rsidRPr="006B6A28">
              <w:rPr>
                <w:szCs w:val="20"/>
              </w:rPr>
              <w:t>this equates to</w:t>
            </w:r>
            <w:r w:rsidRPr="006B6A28">
              <w:rPr>
                <w:szCs w:val="20"/>
              </w:rPr>
              <w:t xml:space="preserve"> a maximum DBC radial length of</w:t>
            </w:r>
            <w:r w:rsidR="005810A1" w:rsidRPr="006B6A28">
              <w:rPr>
                <w:szCs w:val="20"/>
              </w:rPr>
              <w:t xml:space="preserve"> 108 km</w:t>
            </w:r>
            <w:r w:rsidRPr="006B6A28">
              <w:rPr>
                <w:szCs w:val="20"/>
              </w:rPr>
              <w:t xml:space="preserve"> </w:t>
            </w:r>
            <w:r w:rsidR="005810A1" w:rsidRPr="006B6A28">
              <w:rPr>
                <w:szCs w:val="20"/>
              </w:rPr>
              <w:t xml:space="preserve">(currently </w:t>
            </w:r>
            <w:r w:rsidR="0067011C" w:rsidRPr="006B6A28">
              <w:rPr>
                <w:szCs w:val="20"/>
              </w:rPr>
              <w:t>‘</w:t>
            </w:r>
            <w:r w:rsidR="00AD6D8D" w:rsidRPr="006B6A28">
              <w:rPr>
                <w:szCs w:val="20"/>
              </w:rPr>
              <w:t>m</w:t>
            </w:r>
            <w:r w:rsidR="0067011C" w:rsidRPr="006B6A28">
              <w:rPr>
                <w:szCs w:val="20"/>
              </w:rPr>
              <w:t>’</w:t>
            </w:r>
            <w:r w:rsidR="00AD6D8D" w:rsidRPr="006B6A28">
              <w:rPr>
                <w:szCs w:val="20"/>
              </w:rPr>
              <w:t xml:space="preserve"> is </w:t>
            </w:r>
            <w:r w:rsidR="005810A1" w:rsidRPr="006B6A28">
              <w:rPr>
                <w:szCs w:val="20"/>
              </w:rPr>
              <w:t>432 for 250</w:t>
            </w:r>
            <w:r w:rsidR="00A6661A" w:rsidRPr="006B6A28">
              <w:rPr>
                <w:szCs w:val="20"/>
              </w:rPr>
              <w:t xml:space="preserve"> </w:t>
            </w:r>
            <w:r w:rsidR="005810A1" w:rsidRPr="006B6A28">
              <w:rPr>
                <w:szCs w:val="20"/>
              </w:rPr>
              <w:t xml:space="preserve">m </w:t>
            </w:r>
            <w:r w:rsidR="000B4446" w:rsidRPr="006B6A28">
              <w:rPr>
                <w:szCs w:val="20"/>
              </w:rPr>
              <w:t xml:space="preserve">increment </w:t>
            </w:r>
            <w:r w:rsidR="005810A1" w:rsidRPr="006B6A28">
              <w:rPr>
                <w:szCs w:val="20"/>
              </w:rPr>
              <w:t xml:space="preserve">which </w:t>
            </w:r>
            <w:r w:rsidR="000B4446" w:rsidRPr="006B6A28">
              <w:rPr>
                <w:szCs w:val="20"/>
              </w:rPr>
              <w:t xml:space="preserve">also </w:t>
            </w:r>
            <w:r w:rsidR="005810A1" w:rsidRPr="006B6A28">
              <w:rPr>
                <w:szCs w:val="20"/>
              </w:rPr>
              <w:t>equates to 108 km)</w:t>
            </w:r>
            <w:r w:rsidRPr="006B6A28">
              <w:rPr>
                <w:szCs w:val="20"/>
              </w:rPr>
              <w:t xml:space="preserve">. </w:t>
            </w:r>
          </w:p>
        </w:tc>
      </w:tr>
      <w:tr w:rsidR="005810A1" w:rsidRPr="006D46E5" w14:paraId="026B987A" w14:textId="77777777" w:rsidTr="00696EB4">
        <w:trPr>
          <w:cnfStyle w:val="000000010000" w:firstRow="0" w:lastRow="0" w:firstColumn="0" w:lastColumn="0" w:oddVBand="0" w:evenVBand="0" w:oddHBand="0" w:evenHBand="1" w:firstRowFirstColumn="0" w:firstRowLastColumn="0" w:lastRowFirstColumn="0" w:lastRowLastColumn="0"/>
        </w:trPr>
        <w:tc>
          <w:tcPr>
            <w:tcW w:w="0" w:type="dxa"/>
          </w:tcPr>
          <w:p w14:paraId="76049276" w14:textId="77777777" w:rsidR="005810A1" w:rsidRPr="00FD53B9" w:rsidRDefault="005810A1" w:rsidP="00AC67DA">
            <w:pPr>
              <w:pStyle w:val="TableBody"/>
              <w:rPr>
                <w:szCs w:val="20"/>
              </w:rPr>
            </w:pPr>
            <w:r w:rsidRPr="00FD53B9">
              <w:rPr>
                <w:szCs w:val="20"/>
              </w:rPr>
              <w:t>Propagation modelling</w:t>
            </w:r>
          </w:p>
        </w:tc>
        <w:tc>
          <w:tcPr>
            <w:tcW w:w="0" w:type="dxa"/>
          </w:tcPr>
          <w:p w14:paraId="2873BF84" w14:textId="3B061AC4" w:rsidR="005810A1" w:rsidRPr="00C420A3" w:rsidRDefault="005810A1" w:rsidP="00696EB4">
            <w:pPr>
              <w:pStyle w:val="Bulletlevel1"/>
            </w:pPr>
            <w:r w:rsidRPr="007936AF">
              <w:t>Specify that ITU-R P.525 (free-space path loss) is to be used in calculations along with ITU-R P.52</w:t>
            </w:r>
            <w:r w:rsidRPr="00ED3225">
              <w:t>6 (diffraction)</w:t>
            </w:r>
            <w:r w:rsidR="000B38A7">
              <w:t>.</w:t>
            </w:r>
          </w:p>
          <w:p w14:paraId="7B86EE29" w14:textId="77F23F81" w:rsidR="005810A1" w:rsidRPr="00FF0F98" w:rsidRDefault="005810A1" w:rsidP="00696EB4">
            <w:pPr>
              <w:pStyle w:val="Bulletlevel1"/>
            </w:pPr>
            <w:r w:rsidRPr="005C2C02">
              <w:t>Inclusion of clutter loss for stations that are at height 6</w:t>
            </w:r>
            <w:r w:rsidR="00A6661A" w:rsidRPr="009134F1">
              <w:t xml:space="preserve"> </w:t>
            </w:r>
            <w:r w:rsidRPr="005711A5">
              <w:t>m</w:t>
            </w:r>
            <w:r w:rsidRPr="00C824D7">
              <w:t xml:space="preserve"> or lower based on Recommendation ITU-R P.2108-0. If the loss calculated is less than 0 dB, the calculated loss value is replaced with 0 dB. If the loss calculated is greater than </w:t>
            </w:r>
            <w:r w:rsidRPr="00C6638E">
              <w:t>8 dB, the calculated loss value is replaced with 8 dB.</w:t>
            </w:r>
          </w:p>
        </w:tc>
      </w:tr>
      <w:tr w:rsidR="005810A1" w:rsidRPr="006D46E5" w14:paraId="019EEB13" w14:textId="77777777" w:rsidTr="00696EB4">
        <w:trPr>
          <w:cnfStyle w:val="000000100000" w:firstRow="0" w:lastRow="0" w:firstColumn="0" w:lastColumn="0" w:oddVBand="0" w:evenVBand="0" w:oddHBand="1" w:evenHBand="0" w:firstRowFirstColumn="0" w:firstRowLastColumn="0" w:lastRowFirstColumn="0" w:lastRowLastColumn="0"/>
        </w:trPr>
        <w:tc>
          <w:tcPr>
            <w:tcW w:w="0" w:type="dxa"/>
          </w:tcPr>
          <w:p w14:paraId="74C54447" w14:textId="77777777" w:rsidR="005810A1" w:rsidRPr="007936AF" w:rsidRDefault="005810A1" w:rsidP="00AC67DA">
            <w:pPr>
              <w:pStyle w:val="TableBody"/>
              <w:rPr>
                <w:szCs w:val="20"/>
              </w:rPr>
            </w:pPr>
            <w:r w:rsidRPr="00FD53B9">
              <w:rPr>
                <w:szCs w:val="20"/>
              </w:rPr>
              <w:t>Grandfathering clause for existing device registrations</w:t>
            </w:r>
          </w:p>
        </w:tc>
        <w:tc>
          <w:tcPr>
            <w:tcW w:w="0" w:type="dxa"/>
          </w:tcPr>
          <w:p w14:paraId="4ED94E55" w14:textId="06F33AB0" w:rsidR="005810A1" w:rsidRPr="00C6638E" w:rsidRDefault="005810A1" w:rsidP="00AC67DA">
            <w:pPr>
              <w:pStyle w:val="TableBody"/>
              <w:rPr>
                <w:szCs w:val="20"/>
              </w:rPr>
            </w:pPr>
            <w:r w:rsidRPr="00ED3225">
              <w:rPr>
                <w:szCs w:val="20"/>
              </w:rPr>
              <w:t xml:space="preserve">While changes </w:t>
            </w:r>
            <w:r w:rsidRPr="00C420A3">
              <w:rPr>
                <w:szCs w:val="20"/>
              </w:rPr>
              <w:t>identified are unlikely to affect existing registration</w:t>
            </w:r>
            <w:r w:rsidR="005F5D54" w:rsidRPr="00C420A3">
              <w:rPr>
                <w:szCs w:val="20"/>
              </w:rPr>
              <w:t>s</w:t>
            </w:r>
            <w:r w:rsidRPr="00A529EB">
              <w:rPr>
                <w:szCs w:val="20"/>
              </w:rPr>
              <w:t>, to</w:t>
            </w:r>
            <w:r w:rsidR="000B38A7">
              <w:rPr>
                <w:szCs w:val="20"/>
              </w:rPr>
              <w:t> </w:t>
            </w:r>
            <w:r w:rsidRPr="00A529EB">
              <w:rPr>
                <w:szCs w:val="20"/>
              </w:rPr>
              <w:t>ensure this an addition</w:t>
            </w:r>
            <w:r w:rsidR="005F5D54" w:rsidRPr="005C2C02">
              <w:rPr>
                <w:szCs w:val="20"/>
              </w:rPr>
              <w:t>al</w:t>
            </w:r>
            <w:r w:rsidRPr="005C2C02">
              <w:rPr>
                <w:szCs w:val="20"/>
              </w:rPr>
              <w:t xml:space="preserve"> clause </w:t>
            </w:r>
            <w:r w:rsidR="005F5D54" w:rsidRPr="009134F1">
              <w:rPr>
                <w:szCs w:val="20"/>
              </w:rPr>
              <w:t xml:space="preserve">will </w:t>
            </w:r>
            <w:r w:rsidRPr="005711A5">
              <w:rPr>
                <w:szCs w:val="20"/>
              </w:rPr>
              <w:t>be added</w:t>
            </w:r>
            <w:r w:rsidRPr="00C824D7">
              <w:rPr>
                <w:szCs w:val="20"/>
              </w:rPr>
              <w:t>. This will state that</w:t>
            </w:r>
            <w:r w:rsidR="000B38A7">
              <w:rPr>
                <w:szCs w:val="20"/>
              </w:rPr>
              <w:t> </w:t>
            </w:r>
            <w:r w:rsidRPr="00C824D7">
              <w:rPr>
                <w:szCs w:val="20"/>
              </w:rPr>
              <w:t xml:space="preserve">devices are required to meet the requirements of the </w:t>
            </w:r>
            <w:r w:rsidR="000B38A7">
              <w:rPr>
                <w:szCs w:val="20"/>
              </w:rPr>
              <w:br/>
            </w:r>
            <w:r w:rsidRPr="00C824D7">
              <w:rPr>
                <w:szCs w:val="20"/>
              </w:rPr>
              <w:t xml:space="preserve">s.145(4) </w:t>
            </w:r>
            <w:r w:rsidR="00F82ACE">
              <w:rPr>
                <w:szCs w:val="20"/>
              </w:rPr>
              <w:t>D</w:t>
            </w:r>
            <w:r w:rsidRPr="00C824D7">
              <w:rPr>
                <w:szCs w:val="20"/>
              </w:rPr>
              <w:t xml:space="preserve">etermination </w:t>
            </w:r>
            <w:r w:rsidR="00AC6F48" w:rsidRPr="00C6638E">
              <w:rPr>
                <w:szCs w:val="20"/>
              </w:rPr>
              <w:t>in force</w:t>
            </w:r>
            <w:r w:rsidRPr="00C6638E">
              <w:rPr>
                <w:szCs w:val="20"/>
              </w:rPr>
              <w:t xml:space="preserve"> at the time of registration.  </w:t>
            </w:r>
          </w:p>
        </w:tc>
      </w:tr>
      <w:tr w:rsidR="005810A1" w:rsidRPr="006D46E5" w14:paraId="7A50C232" w14:textId="77777777" w:rsidTr="00696EB4">
        <w:trPr>
          <w:cnfStyle w:val="000000010000" w:firstRow="0" w:lastRow="0" w:firstColumn="0" w:lastColumn="0" w:oddVBand="0" w:evenVBand="0" w:oddHBand="0" w:evenHBand="1" w:firstRowFirstColumn="0" w:firstRowLastColumn="0" w:lastRowFirstColumn="0" w:lastRowLastColumn="0"/>
        </w:trPr>
        <w:tc>
          <w:tcPr>
            <w:tcW w:w="0" w:type="dxa"/>
          </w:tcPr>
          <w:p w14:paraId="48ACE35C" w14:textId="49722BFF" w:rsidR="005810A1" w:rsidRPr="00ED3225" w:rsidRDefault="005810A1" w:rsidP="00AC67DA">
            <w:pPr>
              <w:pStyle w:val="TableBody"/>
              <w:rPr>
                <w:szCs w:val="20"/>
              </w:rPr>
            </w:pPr>
            <w:r w:rsidRPr="00FD53B9">
              <w:rPr>
                <w:szCs w:val="20"/>
              </w:rPr>
              <w:t xml:space="preserve">Exemption for </w:t>
            </w:r>
            <w:r w:rsidR="00097F3B" w:rsidRPr="00FD53B9">
              <w:rPr>
                <w:szCs w:val="20"/>
              </w:rPr>
              <w:t>NBN Co</w:t>
            </w:r>
            <w:r w:rsidRPr="00ED58CB">
              <w:rPr>
                <w:szCs w:val="20"/>
              </w:rPr>
              <w:t xml:space="preserve"> </w:t>
            </w:r>
            <w:r w:rsidR="00097F3B" w:rsidRPr="007936AF">
              <w:rPr>
                <w:szCs w:val="20"/>
              </w:rPr>
              <w:t xml:space="preserve">devices from </w:t>
            </w:r>
            <w:r w:rsidRPr="007936AF">
              <w:rPr>
                <w:szCs w:val="20"/>
              </w:rPr>
              <w:t xml:space="preserve">meeting </w:t>
            </w:r>
            <w:r w:rsidR="00097F3B" w:rsidRPr="007936AF">
              <w:rPr>
                <w:szCs w:val="20"/>
              </w:rPr>
              <w:t xml:space="preserve">the </w:t>
            </w:r>
            <w:r w:rsidRPr="007936AF">
              <w:rPr>
                <w:szCs w:val="20"/>
              </w:rPr>
              <w:t>DBC at urban excise boundary</w:t>
            </w:r>
          </w:p>
        </w:tc>
        <w:tc>
          <w:tcPr>
            <w:tcW w:w="0" w:type="dxa"/>
          </w:tcPr>
          <w:p w14:paraId="2B9B27C0" w14:textId="60E359E7" w:rsidR="005810A1" w:rsidRPr="005C2C02" w:rsidRDefault="005810A1" w:rsidP="006B6A28">
            <w:pPr>
              <w:spacing w:after="0"/>
              <w:rPr>
                <w:szCs w:val="20"/>
              </w:rPr>
            </w:pPr>
            <w:r w:rsidRPr="00C420A3">
              <w:rPr>
                <w:szCs w:val="20"/>
              </w:rPr>
              <w:t xml:space="preserve">Transmitters operating under </w:t>
            </w:r>
            <w:r w:rsidR="00097F3B" w:rsidRPr="00C420A3">
              <w:rPr>
                <w:szCs w:val="20"/>
              </w:rPr>
              <w:t>a</w:t>
            </w:r>
            <w:r w:rsidR="00813005" w:rsidRPr="00C420A3">
              <w:rPr>
                <w:szCs w:val="20"/>
              </w:rPr>
              <w:t>n NBN Co</w:t>
            </w:r>
            <w:r w:rsidR="00097F3B" w:rsidRPr="00A529EB">
              <w:rPr>
                <w:szCs w:val="20"/>
              </w:rPr>
              <w:t xml:space="preserve"> </w:t>
            </w:r>
            <w:r w:rsidRPr="005C2C02">
              <w:rPr>
                <w:szCs w:val="20"/>
              </w:rPr>
              <w:t>3.4 GHz spectrum licence, with an occupied bandwidth wholly within the 3400</w:t>
            </w:r>
            <w:r w:rsidR="000B38A7">
              <w:rPr>
                <w:szCs w:val="20"/>
              </w:rPr>
              <w:t>–</w:t>
            </w:r>
            <w:r w:rsidRPr="005C2C02">
              <w:rPr>
                <w:szCs w:val="20"/>
              </w:rPr>
              <w:t>3475 MHz band, will not be required to meet the DBC into urban excise areas</w:t>
            </w:r>
            <w:r w:rsidRPr="00FD53B9">
              <w:rPr>
                <w:szCs w:val="20"/>
              </w:rPr>
              <w:t xml:space="preserve">. </w:t>
            </w:r>
            <w:r w:rsidR="0067011C" w:rsidRPr="00FD53B9">
              <w:rPr>
                <w:szCs w:val="20"/>
              </w:rPr>
              <w:t>Th</w:t>
            </w:r>
            <w:r w:rsidR="005D75D3">
              <w:rPr>
                <w:szCs w:val="20"/>
              </w:rPr>
              <w:t>is is</w:t>
            </w:r>
            <w:r w:rsidR="0067011C" w:rsidRPr="007936AF">
              <w:rPr>
                <w:szCs w:val="20"/>
              </w:rPr>
              <w:t xml:space="preserve"> intended as </w:t>
            </w:r>
            <w:r w:rsidR="0067011C" w:rsidRPr="00ED3225">
              <w:rPr>
                <w:szCs w:val="20"/>
              </w:rPr>
              <w:t xml:space="preserve">a temporary measure before </w:t>
            </w:r>
            <w:r w:rsidR="0067011C" w:rsidRPr="00C420A3">
              <w:rPr>
                <w:szCs w:val="20"/>
              </w:rPr>
              <w:t xml:space="preserve">arrangements for use of urban excise areas </w:t>
            </w:r>
            <w:r w:rsidR="0067011C" w:rsidRPr="005C2C02">
              <w:rPr>
                <w:szCs w:val="20"/>
              </w:rPr>
              <w:t>are finalised and implemented.</w:t>
            </w:r>
          </w:p>
        </w:tc>
      </w:tr>
    </w:tbl>
    <w:p w14:paraId="0736E304" w14:textId="676466E1" w:rsidR="005810A1" w:rsidRDefault="005810A1" w:rsidP="005810A1"/>
    <w:p w14:paraId="1ABDD5F4" w14:textId="77777777" w:rsidR="00FD53B9" w:rsidRDefault="00FD53B9" w:rsidP="00696EB4">
      <w:pPr>
        <w:pStyle w:val="Heading3"/>
        <w:spacing w:before="240" w:after="0"/>
      </w:pPr>
      <w:r>
        <w:t>Additional changes</w:t>
      </w:r>
    </w:p>
    <w:p w14:paraId="7FC5C2C9" w14:textId="56CF438B" w:rsidR="00FD53B9" w:rsidRDefault="00FD53B9" w:rsidP="00696EB4">
      <w:pPr>
        <w:rPr>
          <w:rFonts w:cs="Arial"/>
          <w:bCs/>
          <w:color w:val="000000" w:themeColor="text1"/>
          <w:szCs w:val="20"/>
        </w:rPr>
      </w:pPr>
      <w:r>
        <w:rPr>
          <w:rFonts w:cs="Arial"/>
          <w:bCs/>
          <w:color w:val="000000" w:themeColor="text1"/>
          <w:szCs w:val="20"/>
        </w:rPr>
        <w:t xml:space="preserve">As part of the process to implement the arrangements detailed in the </w:t>
      </w:r>
      <w:r w:rsidR="00826E71">
        <w:rPr>
          <w:rFonts w:cs="Arial"/>
          <w:bCs/>
          <w:color w:val="000000" w:themeColor="text1"/>
          <w:szCs w:val="20"/>
        </w:rPr>
        <w:t>o</w:t>
      </w:r>
      <w:r>
        <w:rPr>
          <w:rFonts w:cs="Arial"/>
          <w:bCs/>
          <w:color w:val="000000" w:themeColor="text1"/>
          <w:szCs w:val="20"/>
        </w:rPr>
        <w:t>utcomes paper, NBN Co’s apparatus licences in the 3400</w:t>
      </w:r>
      <w:r w:rsidR="00826E71">
        <w:rPr>
          <w:rFonts w:cs="Arial"/>
          <w:bCs/>
          <w:color w:val="000000" w:themeColor="text1"/>
          <w:szCs w:val="20"/>
        </w:rPr>
        <w:t>–</w:t>
      </w:r>
      <w:r>
        <w:rPr>
          <w:rFonts w:cs="Arial"/>
          <w:bCs/>
          <w:color w:val="000000" w:themeColor="text1"/>
          <w:szCs w:val="20"/>
        </w:rPr>
        <w:t>3575 MHz band were converted to spectrum licences. Following this</w:t>
      </w:r>
      <w:r w:rsidR="001630E4">
        <w:rPr>
          <w:rFonts w:cs="Arial"/>
          <w:bCs/>
          <w:color w:val="000000" w:themeColor="text1"/>
          <w:szCs w:val="20"/>
        </w:rPr>
        <w:t>,</w:t>
      </w:r>
      <w:r>
        <w:rPr>
          <w:rFonts w:cs="Arial"/>
          <w:bCs/>
          <w:color w:val="000000" w:themeColor="text1"/>
          <w:szCs w:val="20"/>
        </w:rPr>
        <w:t xml:space="preserve"> NBN Co and Optus subsequently agreed to defrag</w:t>
      </w:r>
      <w:r w:rsidR="00192001">
        <w:rPr>
          <w:rFonts w:cs="Arial"/>
          <w:bCs/>
          <w:color w:val="000000" w:themeColor="text1"/>
          <w:szCs w:val="20"/>
        </w:rPr>
        <w:t>ment</w:t>
      </w:r>
      <w:r>
        <w:rPr>
          <w:rFonts w:cs="Arial"/>
          <w:bCs/>
          <w:color w:val="000000" w:themeColor="text1"/>
          <w:szCs w:val="20"/>
        </w:rPr>
        <w:t xml:space="preserve"> their spectrum holdings. This work was finalised on 13 July 2021. It is expected that NBN Co will seek to surrender their spectrum licence covering urban excise areas later this year. </w:t>
      </w:r>
    </w:p>
    <w:p w14:paraId="60CE8E5B" w14:textId="77777777" w:rsidR="00FD53B9" w:rsidRDefault="00FD53B9" w:rsidP="00FD53B9">
      <w:pPr>
        <w:spacing w:before="120"/>
      </w:pPr>
      <w:r>
        <w:rPr>
          <w:rFonts w:cs="Arial"/>
          <w:bCs/>
          <w:color w:val="000000" w:themeColor="text1"/>
          <w:szCs w:val="20"/>
        </w:rPr>
        <w:t xml:space="preserve">To facilitate retuning of devices during the defrag process, a condition was attached to NBN Co licences exempting them from registering devices operating under their licences until February 2022. Now that the defrag process is completed, NBN Co are in the process of re-registering their retuned devices. Many of these devices are near urban excise area boundaries. They would not meet the existing DBC requirements once NBN Co surrender their urban excise area spectrum licence.   </w:t>
      </w:r>
    </w:p>
    <w:p w14:paraId="11CBC1BF" w14:textId="357F7CD5" w:rsidR="00FD53B9" w:rsidRDefault="00FD53B9" w:rsidP="006B6A28">
      <w:pPr>
        <w:spacing w:before="120"/>
      </w:pPr>
      <w:bookmarkStart w:id="56" w:name="_Hlk78448954"/>
      <w:r>
        <w:t xml:space="preserve">To ensure NBN Co are not prevented from re-registering existing services, </w:t>
      </w:r>
      <w:bookmarkStart w:id="57" w:name="_Hlk78448719"/>
      <w:bookmarkEnd w:id="56"/>
      <w:r>
        <w:t>it is proposed to exempt their devices operating in the 3400</w:t>
      </w:r>
      <w:r w:rsidR="00826E71">
        <w:t>–</w:t>
      </w:r>
      <w:r>
        <w:t xml:space="preserve">3475 MHz band from having to meet the DBC at urban excise area boundaries. </w:t>
      </w:r>
      <w:bookmarkEnd w:id="57"/>
      <w:r w:rsidR="005D75D3">
        <w:t>In the l</w:t>
      </w:r>
      <w:r>
        <w:t>ong term</w:t>
      </w:r>
      <w:r w:rsidR="005D75D3">
        <w:t>,</w:t>
      </w:r>
      <w:r>
        <w:t xml:space="preserve"> t</w:t>
      </w:r>
      <w:r w:rsidRPr="00C82418">
        <w:t xml:space="preserve">he intention is that </w:t>
      </w:r>
      <w:r>
        <w:t>such</w:t>
      </w:r>
      <w:r w:rsidRPr="00C82418">
        <w:t xml:space="preserve"> interference will be managed by</w:t>
      </w:r>
      <w:r>
        <w:t xml:space="preserve"> the</w:t>
      </w:r>
      <w:r w:rsidRPr="00C82418">
        <w:t xml:space="preserve"> measures developed</w:t>
      </w:r>
      <w:r>
        <w:t xml:space="preserve"> for use of urban excise areas. </w:t>
      </w:r>
      <w:bookmarkStart w:id="58" w:name="_Hlk78449033"/>
      <w:r>
        <w:t xml:space="preserve">The proposed changes to the s.145(4) </w:t>
      </w:r>
      <w:r w:rsidR="00826E71">
        <w:t>D</w:t>
      </w:r>
      <w:r>
        <w:t>etermination are intended as a temporary measure before th</w:t>
      </w:r>
      <w:r w:rsidR="00B73139">
        <w:t>e</w:t>
      </w:r>
      <w:r>
        <w:t xml:space="preserve"> </w:t>
      </w:r>
      <w:r w:rsidR="00B73139">
        <w:t>long</w:t>
      </w:r>
      <w:r w:rsidR="00826E71">
        <w:t>-</w:t>
      </w:r>
      <w:r w:rsidR="00B73139">
        <w:t xml:space="preserve">term </w:t>
      </w:r>
      <w:r>
        <w:t>arrangements are finalised and implemented. It is noted that, during this interim period, the proposed changes will also enable NBN</w:t>
      </w:r>
      <w:r w:rsidR="00826E71">
        <w:t> </w:t>
      </w:r>
      <w:r>
        <w:t>Co to modify their network to react to any changes in demand. This includes increasing sectorisation at an existing site, deploying new sites or migrating from 4G to 5G services.</w:t>
      </w:r>
      <w:bookmarkEnd w:id="58"/>
      <w:r>
        <w:t xml:space="preserve"> </w:t>
      </w:r>
      <w:r w:rsidRPr="00C82418">
        <w:t xml:space="preserve"> </w:t>
      </w:r>
    </w:p>
    <w:p w14:paraId="0CAC83E5" w14:textId="5A8D9027" w:rsidR="00371DB9" w:rsidRDefault="00371DB9" w:rsidP="00371DB9">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pPr>
      <w:r>
        <w:t xml:space="preserve">Question </w:t>
      </w:r>
      <w:r w:rsidR="0025727E">
        <w:t>1</w:t>
      </w:r>
    </w:p>
    <w:p w14:paraId="303EA20F" w14:textId="222222A6" w:rsidR="00A6661A" w:rsidRDefault="00346287" w:rsidP="00371DB9">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pPr>
      <w:bookmarkStart w:id="59" w:name="_Hlk77249338"/>
      <w:r>
        <w:t>Comment</w:t>
      </w:r>
      <w:r w:rsidR="00371DB9">
        <w:t xml:space="preserve"> is sought on the draft amendments to the s.145(4) </w:t>
      </w:r>
      <w:r w:rsidR="00826E71">
        <w:t>D</w:t>
      </w:r>
      <w:r w:rsidR="00371DB9">
        <w:t xml:space="preserve">etermination contained at </w:t>
      </w:r>
      <w:r w:rsidR="00371DB9" w:rsidRPr="00696EB4">
        <w:t>Appendix B</w:t>
      </w:r>
      <w:r w:rsidR="00826E71">
        <w:t xml:space="preserve"> (separate attachment in key documents section of this consultation)</w:t>
      </w:r>
      <w:r w:rsidR="00371DB9">
        <w:t>.</w:t>
      </w:r>
      <w:bookmarkEnd w:id="59"/>
      <w:r w:rsidR="00371DB9">
        <w:t xml:space="preserve"> </w:t>
      </w:r>
    </w:p>
    <w:p w14:paraId="514CADA6" w14:textId="1EA495AC" w:rsidR="00371DB9" w:rsidRPr="00C02F26" w:rsidRDefault="003145E8" w:rsidP="00371DB9">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pPr>
      <w:r>
        <w:t>Should additional measures be included to also grandfather device registrations when minor modifications are made</w:t>
      </w:r>
      <w:r w:rsidR="00560826">
        <w:t>?</w:t>
      </w:r>
      <w:r w:rsidR="00FD53B9">
        <w:t xml:space="preserve"> If </w:t>
      </w:r>
      <w:r w:rsidR="00DA0F7F">
        <w:t>so,</w:t>
      </w:r>
      <w:r w:rsidR="00FD53B9">
        <w:t xml:space="preserve"> what minor modifications should be permitted?</w:t>
      </w:r>
      <w:r w:rsidR="00560826">
        <w:t xml:space="preserve"> F</w:t>
      </w:r>
      <w:r>
        <w:t>or example</w:t>
      </w:r>
      <w:r w:rsidR="00560826">
        <w:t>,</w:t>
      </w:r>
      <w:r>
        <w:t xml:space="preserve"> changes that results in the same or lower horizontal radiated power for the purposes of device boundary calculations</w:t>
      </w:r>
      <w:r w:rsidR="00FD53B9">
        <w:t>?</w:t>
      </w:r>
      <w:r w:rsidR="00560826">
        <w:t xml:space="preserve"> Alternatively, changes that result in the same or smaller device boundary as originally calculated when registering a device</w:t>
      </w:r>
      <w:r w:rsidR="00FD53B9">
        <w:t>?</w:t>
      </w:r>
      <w:r w:rsidR="00826E71">
        <w:br/>
      </w:r>
      <w:r w:rsidR="00D94CB9">
        <w:t xml:space="preserve"> </w:t>
      </w:r>
      <w:r w:rsidR="00371DB9">
        <w:t xml:space="preserve"> </w:t>
      </w:r>
    </w:p>
    <w:p w14:paraId="3BD6252B" w14:textId="701D6E77" w:rsidR="000A4E41" w:rsidRPr="00602151" w:rsidRDefault="00813005" w:rsidP="000A4E41">
      <w:pPr>
        <w:pStyle w:val="Heading2"/>
      </w:pPr>
      <w:bookmarkStart w:id="60" w:name="_Toc80795874"/>
      <w:r>
        <w:t>Receiver</w:t>
      </w:r>
      <w:r w:rsidR="000A4E41">
        <w:t xml:space="preserve"> spurious emission limits</w:t>
      </w:r>
      <w:bookmarkEnd w:id="60"/>
    </w:p>
    <w:p w14:paraId="2D43EC28" w14:textId="5B9D100A" w:rsidR="005810A1" w:rsidRDefault="005810A1" w:rsidP="007120D0">
      <w:pPr>
        <w:pStyle w:val="ACMATableHeader"/>
        <w:numPr>
          <w:ilvl w:val="0"/>
          <w:numId w:val="0"/>
        </w:numPr>
        <w:spacing w:after="240" w:line="240" w:lineRule="atLeast"/>
        <w:rPr>
          <w:b w:val="0"/>
          <w:bCs w:val="0"/>
          <w:color w:val="auto"/>
          <w:szCs w:val="24"/>
        </w:rPr>
      </w:pPr>
      <w:r w:rsidRPr="00AD54B1">
        <w:rPr>
          <w:b w:val="0"/>
          <w:bCs w:val="0"/>
          <w:color w:val="auto"/>
          <w:szCs w:val="24"/>
        </w:rPr>
        <w:t xml:space="preserve">The </w:t>
      </w:r>
      <w:r w:rsidRPr="002F1AAD">
        <w:rPr>
          <w:b w:val="0"/>
          <w:bCs w:val="0"/>
          <w:color w:val="auto"/>
          <w:szCs w:val="24"/>
        </w:rPr>
        <w:t xml:space="preserve">current </w:t>
      </w:r>
      <w:r w:rsidR="00A6661A">
        <w:rPr>
          <w:b w:val="0"/>
          <w:bCs w:val="0"/>
          <w:color w:val="auto"/>
          <w:szCs w:val="24"/>
        </w:rPr>
        <w:t>receiver</w:t>
      </w:r>
      <w:r w:rsidR="00C84F5E">
        <w:rPr>
          <w:b w:val="0"/>
          <w:bCs w:val="0"/>
          <w:color w:val="auto"/>
          <w:szCs w:val="24"/>
        </w:rPr>
        <w:t xml:space="preserve"> spurious emission </w:t>
      </w:r>
      <w:r w:rsidRPr="002F1AAD">
        <w:rPr>
          <w:b w:val="0"/>
          <w:bCs w:val="0"/>
          <w:color w:val="auto"/>
          <w:szCs w:val="24"/>
        </w:rPr>
        <w:t xml:space="preserve">limits for </w:t>
      </w:r>
      <w:r>
        <w:rPr>
          <w:b w:val="0"/>
          <w:bCs w:val="0"/>
          <w:color w:val="auto"/>
          <w:szCs w:val="24"/>
        </w:rPr>
        <w:t xml:space="preserve">registered </w:t>
      </w:r>
      <w:r w:rsidRPr="002F1AAD">
        <w:rPr>
          <w:b w:val="0"/>
          <w:bCs w:val="0"/>
          <w:color w:val="auto"/>
          <w:szCs w:val="24"/>
        </w:rPr>
        <w:t>receivers (i.e.</w:t>
      </w:r>
      <w:r w:rsidR="00826E71">
        <w:rPr>
          <w:b w:val="0"/>
          <w:bCs w:val="0"/>
          <w:color w:val="auto"/>
          <w:szCs w:val="24"/>
        </w:rPr>
        <w:t>,</w:t>
      </w:r>
      <w:r w:rsidRPr="002F1AAD">
        <w:rPr>
          <w:b w:val="0"/>
          <w:bCs w:val="0"/>
          <w:color w:val="auto"/>
          <w:szCs w:val="24"/>
        </w:rPr>
        <w:t xml:space="preserve"> base stations) </w:t>
      </w:r>
      <w:r>
        <w:rPr>
          <w:b w:val="0"/>
          <w:bCs w:val="0"/>
          <w:color w:val="auto"/>
          <w:szCs w:val="24"/>
        </w:rPr>
        <w:t xml:space="preserve">operating under 3.4 GHz spectrum licences </w:t>
      </w:r>
      <w:r w:rsidRPr="002F1AAD">
        <w:rPr>
          <w:b w:val="0"/>
          <w:bCs w:val="0"/>
          <w:color w:val="auto"/>
          <w:szCs w:val="24"/>
        </w:rPr>
        <w:t xml:space="preserve">are reproduced </w:t>
      </w:r>
      <w:r w:rsidRPr="009317CD">
        <w:rPr>
          <w:b w:val="0"/>
          <w:bCs w:val="0"/>
          <w:color w:val="auto"/>
          <w:szCs w:val="24"/>
        </w:rPr>
        <w:t xml:space="preserve">in Table </w:t>
      </w:r>
      <w:r w:rsidR="008451F7" w:rsidRPr="009317CD">
        <w:rPr>
          <w:b w:val="0"/>
          <w:bCs w:val="0"/>
          <w:color w:val="auto"/>
          <w:szCs w:val="24"/>
        </w:rPr>
        <w:t>3</w:t>
      </w:r>
      <w:r w:rsidRPr="009317CD">
        <w:rPr>
          <w:b w:val="0"/>
          <w:bCs w:val="0"/>
          <w:color w:val="auto"/>
          <w:szCs w:val="24"/>
        </w:rPr>
        <w:t xml:space="preserve">. </w:t>
      </w:r>
      <w:r w:rsidR="001630E4">
        <w:rPr>
          <w:b w:val="0"/>
          <w:bCs w:val="0"/>
          <w:color w:val="auto"/>
          <w:szCs w:val="24"/>
        </w:rPr>
        <w:t xml:space="preserve">The </w:t>
      </w:r>
      <w:r w:rsidR="00C84F5E" w:rsidRPr="009317CD">
        <w:rPr>
          <w:b w:val="0"/>
          <w:bCs w:val="0"/>
          <w:color w:val="auto"/>
          <w:szCs w:val="24"/>
        </w:rPr>
        <w:t>TLG</w:t>
      </w:r>
      <w:r w:rsidRPr="009317CD">
        <w:rPr>
          <w:b w:val="0"/>
          <w:bCs w:val="0"/>
          <w:color w:val="auto"/>
          <w:szCs w:val="24"/>
        </w:rPr>
        <w:t xml:space="preserve"> identified that these </w:t>
      </w:r>
      <w:r w:rsidR="001630E4">
        <w:rPr>
          <w:b w:val="0"/>
          <w:bCs w:val="0"/>
          <w:color w:val="auto"/>
          <w:szCs w:val="24"/>
        </w:rPr>
        <w:t>emission lim</w:t>
      </w:r>
      <w:r w:rsidR="00B73139">
        <w:rPr>
          <w:b w:val="0"/>
          <w:bCs w:val="0"/>
          <w:color w:val="auto"/>
          <w:szCs w:val="24"/>
        </w:rPr>
        <w:t>i</w:t>
      </w:r>
      <w:r w:rsidR="001630E4">
        <w:rPr>
          <w:b w:val="0"/>
          <w:bCs w:val="0"/>
          <w:color w:val="auto"/>
          <w:szCs w:val="24"/>
        </w:rPr>
        <w:t xml:space="preserve">ts </w:t>
      </w:r>
      <w:r w:rsidRPr="009317CD">
        <w:rPr>
          <w:b w:val="0"/>
          <w:bCs w:val="0"/>
          <w:color w:val="auto"/>
          <w:szCs w:val="24"/>
        </w:rPr>
        <w:t xml:space="preserve">are </w:t>
      </w:r>
      <w:r w:rsidR="00C84F5E" w:rsidRPr="009317CD">
        <w:rPr>
          <w:b w:val="0"/>
          <w:bCs w:val="0"/>
          <w:color w:val="auto"/>
          <w:szCs w:val="24"/>
        </w:rPr>
        <w:t xml:space="preserve">equivalent to </w:t>
      </w:r>
      <w:r w:rsidRPr="009317CD">
        <w:rPr>
          <w:b w:val="0"/>
          <w:bCs w:val="0"/>
          <w:color w:val="auto"/>
          <w:szCs w:val="24"/>
        </w:rPr>
        <w:t>the limits defined in 3GPP technical</w:t>
      </w:r>
      <w:r>
        <w:rPr>
          <w:b w:val="0"/>
          <w:bCs w:val="0"/>
          <w:color w:val="auto"/>
          <w:szCs w:val="24"/>
        </w:rPr>
        <w:t xml:space="preserve"> specification 38.104 (</w:t>
      </w:r>
      <w:hyperlink r:id="rId58" w:history="1">
        <w:r w:rsidRPr="005810A1">
          <w:rPr>
            <w:rStyle w:val="Hyperlink"/>
            <w:b w:val="0"/>
            <w:bCs w:val="0"/>
            <w:szCs w:val="24"/>
          </w:rPr>
          <w:t>3GPP TS 38.104</w:t>
        </w:r>
      </w:hyperlink>
      <w:r>
        <w:rPr>
          <w:b w:val="0"/>
          <w:bCs w:val="0"/>
          <w:color w:val="auto"/>
          <w:szCs w:val="24"/>
        </w:rPr>
        <w:t xml:space="preserve">) for non-AAS </w:t>
      </w:r>
      <w:r w:rsidR="00C84F5E">
        <w:rPr>
          <w:b w:val="0"/>
          <w:bCs w:val="0"/>
          <w:color w:val="auto"/>
          <w:szCs w:val="24"/>
        </w:rPr>
        <w:t>device</w:t>
      </w:r>
      <w:r w:rsidR="00A9240B">
        <w:rPr>
          <w:b w:val="0"/>
          <w:bCs w:val="0"/>
          <w:color w:val="auto"/>
          <w:szCs w:val="24"/>
        </w:rPr>
        <w:t>s</w:t>
      </w:r>
      <w:r w:rsidR="00C84F5E">
        <w:rPr>
          <w:b w:val="0"/>
          <w:bCs w:val="0"/>
          <w:color w:val="auto"/>
          <w:szCs w:val="24"/>
        </w:rPr>
        <w:t xml:space="preserve"> with a single receiver.</w:t>
      </w:r>
      <w:r>
        <w:rPr>
          <w:b w:val="0"/>
          <w:bCs w:val="0"/>
          <w:color w:val="auto"/>
          <w:szCs w:val="24"/>
        </w:rPr>
        <w:t xml:space="preserve"> Different limits </w:t>
      </w:r>
      <w:r w:rsidR="00A9240B">
        <w:rPr>
          <w:b w:val="0"/>
          <w:bCs w:val="0"/>
          <w:color w:val="auto"/>
          <w:szCs w:val="24"/>
        </w:rPr>
        <w:t xml:space="preserve">under the technical specification </w:t>
      </w:r>
      <w:r w:rsidR="00C84F5E">
        <w:rPr>
          <w:b w:val="0"/>
          <w:bCs w:val="0"/>
          <w:color w:val="auto"/>
          <w:szCs w:val="24"/>
        </w:rPr>
        <w:t>apply for non-AAS with multiple receivers. Different limits also apply for</w:t>
      </w:r>
      <w:r>
        <w:rPr>
          <w:b w:val="0"/>
          <w:bCs w:val="0"/>
          <w:color w:val="auto"/>
          <w:szCs w:val="24"/>
        </w:rPr>
        <w:t xml:space="preserve"> </w:t>
      </w:r>
      <w:r w:rsidRPr="00AD54B1">
        <w:rPr>
          <w:b w:val="0"/>
          <w:bCs w:val="0"/>
          <w:color w:val="auto"/>
          <w:szCs w:val="24"/>
        </w:rPr>
        <w:t>AAS</w:t>
      </w:r>
      <w:r>
        <w:rPr>
          <w:b w:val="0"/>
          <w:bCs w:val="0"/>
          <w:color w:val="auto"/>
          <w:szCs w:val="24"/>
        </w:rPr>
        <w:t xml:space="preserve"> </w:t>
      </w:r>
      <w:r w:rsidR="00A6661A">
        <w:rPr>
          <w:b w:val="0"/>
          <w:bCs w:val="0"/>
          <w:color w:val="auto"/>
          <w:szCs w:val="24"/>
        </w:rPr>
        <w:t>receivers</w:t>
      </w:r>
      <w:r w:rsidRPr="00AD54B1">
        <w:rPr>
          <w:b w:val="0"/>
          <w:bCs w:val="0"/>
          <w:color w:val="auto"/>
          <w:szCs w:val="24"/>
        </w:rPr>
        <w:t>.</w:t>
      </w:r>
      <w:r w:rsidR="00447883">
        <w:rPr>
          <w:b w:val="0"/>
          <w:bCs w:val="0"/>
          <w:color w:val="auto"/>
          <w:szCs w:val="24"/>
        </w:rPr>
        <w:t xml:space="preserve"> </w:t>
      </w:r>
    </w:p>
    <w:p w14:paraId="4C12ED5D" w14:textId="0ECEA075" w:rsidR="007936AF" w:rsidRDefault="007936AF" w:rsidP="006B6A28">
      <w:pPr>
        <w:spacing w:before="240"/>
        <w:rPr>
          <w:b/>
          <w:bCs/>
        </w:rPr>
      </w:pPr>
      <w:bookmarkStart w:id="61" w:name="_Hlk78449752"/>
      <w:r>
        <w:rPr>
          <w:rFonts w:cs="Arial"/>
          <w:szCs w:val="20"/>
        </w:rPr>
        <w:t xml:space="preserve">There is </w:t>
      </w:r>
      <w:r w:rsidR="001630E4">
        <w:rPr>
          <w:rFonts w:cs="Arial"/>
          <w:szCs w:val="20"/>
        </w:rPr>
        <w:t>interest</w:t>
      </w:r>
      <w:r>
        <w:rPr>
          <w:rFonts w:cs="Arial"/>
          <w:szCs w:val="20"/>
        </w:rPr>
        <w:t xml:space="preserve"> from equipment manufacturers and 3.4 GHz spectrum licensees to modify the limits to align with 3GPP </w:t>
      </w:r>
      <w:r w:rsidR="00C420A3">
        <w:rPr>
          <w:rFonts w:cs="Arial"/>
          <w:szCs w:val="20"/>
        </w:rPr>
        <w:t xml:space="preserve">technical </w:t>
      </w:r>
      <w:r>
        <w:rPr>
          <w:rFonts w:cs="Arial"/>
          <w:szCs w:val="20"/>
        </w:rPr>
        <w:t xml:space="preserve">specifications. </w:t>
      </w:r>
      <w:r w:rsidRPr="007936AF">
        <w:t xml:space="preserve">Aligning technical criteria with 3GPP technical specifications allows licensees to tap into global economies of scale for equipment. </w:t>
      </w:r>
      <w:r w:rsidR="001630E4">
        <w:t xml:space="preserve"> T</w:t>
      </w:r>
      <w:r w:rsidR="00417724">
        <w:t>h</w:t>
      </w:r>
      <w:r w:rsidRPr="007936AF">
        <w:t xml:space="preserve">is needs to be balanced </w:t>
      </w:r>
      <w:r w:rsidR="001630E4">
        <w:t>though with considerations given to</w:t>
      </w:r>
      <w:r w:rsidRPr="007936AF">
        <w:t xml:space="preserve"> managing interference with services operating outside of the 3.4 GHz spectrum licence band.</w:t>
      </w:r>
      <w:bookmarkEnd w:id="61"/>
    </w:p>
    <w:p w14:paraId="21C77E7E" w14:textId="2F8BB35F" w:rsidR="005810A1" w:rsidRPr="00602151" w:rsidRDefault="00CE415D" w:rsidP="005810A1">
      <w:pPr>
        <w:pStyle w:val="Tableheading"/>
        <w:keepLines/>
      </w:pPr>
      <w:bookmarkStart w:id="62" w:name="_Hlk62112531"/>
      <w:r>
        <w:t xml:space="preserve">Current limits for </w:t>
      </w:r>
      <w:r w:rsidR="00DF21A6">
        <w:t xml:space="preserve">Registered devices </w:t>
      </w:r>
      <w:r w:rsidR="00A72EBC">
        <w:t>–</w:t>
      </w:r>
      <w:r w:rsidR="00DF21A6">
        <w:t xml:space="preserve"> n</w:t>
      </w:r>
      <w:r w:rsidR="00447883">
        <w:t>on-AAS and AAS r</w:t>
      </w:r>
      <w:r w:rsidR="005810A1" w:rsidRPr="00602151">
        <w:t xml:space="preserve">eceiver unwanted emission limits outside the </w:t>
      </w:r>
      <w:r w:rsidR="005810A1">
        <w:t>3360</w:t>
      </w:r>
      <w:r w:rsidR="00A72EBC">
        <w:t>–</w:t>
      </w:r>
      <w:r w:rsidR="005810A1">
        <w:t>3840</w:t>
      </w:r>
      <w:r w:rsidR="005810A1" w:rsidRPr="00602151">
        <w:t xml:space="preserve"> MHz frequency band </w:t>
      </w:r>
    </w:p>
    <w:tbl>
      <w:tblPr>
        <w:tblW w:w="7305" w:type="dxa"/>
        <w:tblInd w:w="-1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85" w:type="dxa"/>
          <w:left w:w="85" w:type="dxa"/>
          <w:bottom w:w="85" w:type="dxa"/>
          <w:right w:w="85" w:type="dxa"/>
        </w:tblCellMar>
        <w:tblLook w:val="04A0" w:firstRow="1" w:lastRow="0" w:firstColumn="1" w:lastColumn="0" w:noHBand="0" w:noVBand="1"/>
      </w:tblPr>
      <w:tblGrid>
        <w:gridCol w:w="2694"/>
        <w:gridCol w:w="2976"/>
        <w:gridCol w:w="1635"/>
      </w:tblGrid>
      <w:tr w:rsidR="00A72EBC" w:rsidRPr="00A72EBC" w14:paraId="78204283" w14:textId="77777777" w:rsidTr="00696EB4">
        <w:tc>
          <w:tcPr>
            <w:tcW w:w="2694" w:type="dxa"/>
            <w:shd w:val="clear" w:color="auto" w:fill="404040" w:themeFill="text1" w:themeFillTint="BF"/>
            <w:tcMar>
              <w:top w:w="0" w:type="dxa"/>
              <w:left w:w="108" w:type="dxa"/>
              <w:bottom w:w="0" w:type="dxa"/>
              <w:right w:w="108" w:type="dxa"/>
            </w:tcMar>
            <w:hideMark/>
          </w:tcPr>
          <w:p w14:paraId="79A26663" w14:textId="7F1FE501" w:rsidR="005810A1" w:rsidRPr="00696EB4" w:rsidRDefault="005810A1" w:rsidP="00056A04">
            <w:pPr>
              <w:pStyle w:val="ListParagraph"/>
              <w:spacing w:after="0"/>
              <w:ind w:left="0"/>
              <w:jc w:val="center"/>
              <w:rPr>
                <w:rFonts w:ascii="Arial" w:hAnsi="Arial" w:cs="Arial"/>
                <w:b/>
                <w:bCs/>
                <w:color w:val="FFFFFF" w:themeColor="background1"/>
                <w:sz w:val="20"/>
                <w:szCs w:val="20"/>
              </w:rPr>
            </w:pPr>
            <w:r w:rsidRPr="00696EB4">
              <w:rPr>
                <w:rFonts w:cs="Arial"/>
                <w:b/>
                <w:bCs/>
                <w:color w:val="FFFFFF" w:themeColor="background1"/>
                <w:szCs w:val="20"/>
              </w:rPr>
              <w:t xml:space="preserve">Frequency </w:t>
            </w:r>
            <w:r w:rsidR="00A72EBC">
              <w:rPr>
                <w:rFonts w:ascii="Arial" w:hAnsi="Arial" w:cs="Arial"/>
                <w:b/>
                <w:bCs/>
                <w:color w:val="FFFFFF" w:themeColor="background1"/>
                <w:sz w:val="20"/>
                <w:szCs w:val="20"/>
              </w:rPr>
              <w:br/>
              <w:t>r</w:t>
            </w:r>
            <w:r w:rsidRPr="00696EB4">
              <w:rPr>
                <w:rFonts w:cs="Arial"/>
                <w:b/>
                <w:bCs/>
                <w:color w:val="FFFFFF" w:themeColor="background1"/>
                <w:szCs w:val="20"/>
              </w:rPr>
              <w:t>ange</w:t>
            </w:r>
            <w:r w:rsidR="00A72EBC">
              <w:rPr>
                <w:rFonts w:ascii="Arial" w:hAnsi="Arial" w:cs="Arial"/>
                <w:b/>
                <w:bCs/>
                <w:color w:val="FFFFFF" w:themeColor="background1"/>
                <w:sz w:val="20"/>
                <w:szCs w:val="20"/>
              </w:rPr>
              <w:t xml:space="preserve"> </w:t>
            </w:r>
            <w:r w:rsidRPr="00696EB4">
              <w:rPr>
                <w:rFonts w:ascii="Arial" w:hAnsi="Arial" w:cs="Arial"/>
                <w:b/>
                <w:bCs/>
                <w:color w:val="FFFFFF" w:themeColor="background1"/>
                <w:sz w:val="20"/>
                <w:szCs w:val="20"/>
              </w:rPr>
              <w:t>(f)</w:t>
            </w:r>
          </w:p>
        </w:tc>
        <w:tc>
          <w:tcPr>
            <w:tcW w:w="2976" w:type="dxa"/>
            <w:shd w:val="clear" w:color="auto" w:fill="404040" w:themeFill="text1" w:themeFillTint="BF"/>
            <w:tcMar>
              <w:top w:w="0" w:type="dxa"/>
              <w:left w:w="108" w:type="dxa"/>
              <w:bottom w:w="0" w:type="dxa"/>
              <w:right w:w="108" w:type="dxa"/>
            </w:tcMar>
            <w:hideMark/>
          </w:tcPr>
          <w:p w14:paraId="663EDE52" w14:textId="77777777" w:rsidR="005810A1" w:rsidRPr="00696EB4" w:rsidRDefault="005810A1" w:rsidP="00AC67DA">
            <w:pPr>
              <w:pStyle w:val="ListParagraph"/>
              <w:spacing w:after="0"/>
              <w:ind w:left="0"/>
              <w:jc w:val="center"/>
              <w:rPr>
                <w:rFonts w:ascii="Arial" w:hAnsi="Arial" w:cs="Arial"/>
                <w:b/>
                <w:bCs/>
                <w:color w:val="FFFFFF" w:themeColor="background1"/>
                <w:sz w:val="20"/>
                <w:szCs w:val="20"/>
              </w:rPr>
            </w:pPr>
            <w:r w:rsidRPr="00696EB4">
              <w:rPr>
                <w:rFonts w:ascii="Arial" w:hAnsi="Arial" w:cs="Arial"/>
                <w:b/>
                <w:bCs/>
                <w:color w:val="FFFFFF" w:themeColor="background1"/>
                <w:sz w:val="20"/>
                <w:szCs w:val="20"/>
              </w:rPr>
              <w:t xml:space="preserve">Total radiated power </w:t>
            </w:r>
          </w:p>
          <w:p w14:paraId="14E3E175" w14:textId="77777777" w:rsidR="005810A1" w:rsidRPr="00696EB4" w:rsidRDefault="005810A1" w:rsidP="00AC67DA">
            <w:pPr>
              <w:pStyle w:val="ListParagraph"/>
              <w:spacing w:after="0"/>
              <w:ind w:left="0"/>
              <w:jc w:val="center"/>
              <w:rPr>
                <w:rFonts w:ascii="Arial" w:hAnsi="Arial" w:cs="Arial"/>
                <w:b/>
                <w:bCs/>
                <w:color w:val="FFFFFF" w:themeColor="background1"/>
                <w:sz w:val="20"/>
                <w:szCs w:val="20"/>
              </w:rPr>
            </w:pPr>
            <w:r w:rsidRPr="00696EB4">
              <w:rPr>
                <w:rFonts w:ascii="Arial" w:hAnsi="Arial" w:cs="Arial"/>
                <w:b/>
                <w:bCs/>
                <w:color w:val="FFFFFF" w:themeColor="background1"/>
                <w:sz w:val="20"/>
                <w:szCs w:val="20"/>
              </w:rPr>
              <w:t xml:space="preserve">(dBm) </w:t>
            </w:r>
          </w:p>
        </w:tc>
        <w:tc>
          <w:tcPr>
            <w:tcW w:w="1635" w:type="dxa"/>
            <w:shd w:val="clear" w:color="auto" w:fill="404040" w:themeFill="text1" w:themeFillTint="BF"/>
            <w:tcMar>
              <w:top w:w="0" w:type="dxa"/>
              <w:left w:w="108" w:type="dxa"/>
              <w:bottom w:w="0" w:type="dxa"/>
              <w:right w:w="108" w:type="dxa"/>
            </w:tcMar>
            <w:hideMark/>
          </w:tcPr>
          <w:p w14:paraId="054D0E0A" w14:textId="65D4B131" w:rsidR="005810A1" w:rsidRPr="00696EB4" w:rsidRDefault="005810A1" w:rsidP="00AC67DA">
            <w:pPr>
              <w:pStyle w:val="ListParagraph"/>
              <w:spacing w:after="0"/>
              <w:ind w:left="0"/>
              <w:jc w:val="center"/>
              <w:rPr>
                <w:rFonts w:ascii="Arial" w:hAnsi="Arial" w:cs="Arial"/>
                <w:b/>
                <w:bCs/>
                <w:color w:val="FFFFFF" w:themeColor="background1"/>
                <w:sz w:val="20"/>
                <w:szCs w:val="20"/>
              </w:rPr>
            </w:pPr>
            <w:r w:rsidRPr="00696EB4">
              <w:rPr>
                <w:rFonts w:ascii="Arial" w:hAnsi="Arial" w:cs="Arial"/>
                <w:b/>
                <w:bCs/>
                <w:color w:val="FFFFFF" w:themeColor="background1"/>
                <w:sz w:val="20"/>
                <w:szCs w:val="20"/>
              </w:rPr>
              <w:t xml:space="preserve">Measurement </w:t>
            </w:r>
            <w:r w:rsidR="00A72EBC">
              <w:rPr>
                <w:rFonts w:ascii="Arial" w:hAnsi="Arial" w:cs="Arial"/>
                <w:b/>
                <w:bCs/>
                <w:color w:val="FFFFFF" w:themeColor="background1"/>
                <w:sz w:val="20"/>
                <w:szCs w:val="20"/>
              </w:rPr>
              <w:t>b</w:t>
            </w:r>
            <w:r w:rsidRPr="00696EB4">
              <w:rPr>
                <w:rFonts w:ascii="Arial" w:hAnsi="Arial" w:cs="Arial"/>
                <w:b/>
                <w:bCs/>
                <w:color w:val="FFFFFF" w:themeColor="background1"/>
                <w:sz w:val="20"/>
                <w:szCs w:val="20"/>
              </w:rPr>
              <w:t>andwidth</w:t>
            </w:r>
          </w:p>
        </w:tc>
      </w:tr>
      <w:tr w:rsidR="005810A1" w:rsidRPr="00602151" w14:paraId="16DD0DDF" w14:textId="77777777" w:rsidTr="00696EB4">
        <w:tc>
          <w:tcPr>
            <w:tcW w:w="2694" w:type="dxa"/>
            <w:tcMar>
              <w:top w:w="0" w:type="dxa"/>
              <w:left w:w="108" w:type="dxa"/>
              <w:bottom w:w="0" w:type="dxa"/>
              <w:right w:w="108" w:type="dxa"/>
            </w:tcMar>
            <w:hideMark/>
          </w:tcPr>
          <w:p w14:paraId="08A4943A" w14:textId="77777777"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30 MHz ≤ f ≤ 1 GHz</w:t>
            </w:r>
          </w:p>
        </w:tc>
        <w:tc>
          <w:tcPr>
            <w:tcW w:w="2976" w:type="dxa"/>
            <w:tcMar>
              <w:top w:w="0" w:type="dxa"/>
              <w:left w:w="108" w:type="dxa"/>
              <w:bottom w:w="0" w:type="dxa"/>
              <w:right w:w="108" w:type="dxa"/>
            </w:tcMar>
            <w:hideMark/>
          </w:tcPr>
          <w:p w14:paraId="2CD739A2" w14:textId="77777777"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-57</w:t>
            </w:r>
          </w:p>
        </w:tc>
        <w:tc>
          <w:tcPr>
            <w:tcW w:w="1635" w:type="dxa"/>
            <w:tcMar>
              <w:top w:w="0" w:type="dxa"/>
              <w:left w:w="108" w:type="dxa"/>
              <w:bottom w:w="0" w:type="dxa"/>
              <w:right w:w="108" w:type="dxa"/>
            </w:tcMar>
            <w:hideMark/>
          </w:tcPr>
          <w:p w14:paraId="57CAB70B" w14:textId="77777777"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100 kHz</w:t>
            </w:r>
          </w:p>
        </w:tc>
      </w:tr>
      <w:tr w:rsidR="005810A1" w:rsidRPr="00602151" w14:paraId="1CFEE123" w14:textId="77777777" w:rsidTr="00696EB4">
        <w:tc>
          <w:tcPr>
            <w:tcW w:w="2694" w:type="dxa"/>
            <w:shd w:val="clear" w:color="auto" w:fill="F2F2F2" w:themeFill="background1" w:themeFillShade="F2"/>
            <w:tcMar>
              <w:top w:w="0" w:type="dxa"/>
              <w:left w:w="108" w:type="dxa"/>
              <w:bottom w:w="0" w:type="dxa"/>
              <w:right w:w="108" w:type="dxa"/>
            </w:tcMar>
            <w:hideMark/>
          </w:tcPr>
          <w:p w14:paraId="3969D491" w14:textId="15B9737E"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 xml:space="preserve">1 GHz ≤ f ≤ </w:t>
            </w:r>
            <w:r w:rsidR="00BF3081">
              <w:rPr>
                <w:rFonts w:ascii="Arial" w:hAnsi="Arial" w:cs="Arial"/>
                <w:sz w:val="20"/>
                <w:szCs w:val="20"/>
              </w:rPr>
              <w:t>19</w:t>
            </w:r>
            <w:r w:rsidRPr="00847191">
              <w:rPr>
                <w:rFonts w:ascii="Arial" w:hAnsi="Arial" w:cs="Arial"/>
                <w:sz w:val="20"/>
                <w:szCs w:val="20"/>
              </w:rPr>
              <w:t xml:space="preserve"> GHz</w:t>
            </w:r>
          </w:p>
        </w:tc>
        <w:tc>
          <w:tcPr>
            <w:tcW w:w="2976" w:type="dxa"/>
            <w:shd w:val="clear" w:color="auto" w:fill="F2F2F2" w:themeFill="background1" w:themeFillShade="F2"/>
            <w:tcMar>
              <w:top w:w="0" w:type="dxa"/>
              <w:left w:w="108" w:type="dxa"/>
              <w:bottom w:w="0" w:type="dxa"/>
              <w:right w:w="108" w:type="dxa"/>
            </w:tcMar>
            <w:hideMark/>
          </w:tcPr>
          <w:p w14:paraId="2C0C8D21" w14:textId="77777777"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-47</w:t>
            </w:r>
          </w:p>
        </w:tc>
        <w:tc>
          <w:tcPr>
            <w:tcW w:w="1635" w:type="dxa"/>
            <w:shd w:val="clear" w:color="auto" w:fill="F2F2F2" w:themeFill="background1" w:themeFillShade="F2"/>
            <w:tcMar>
              <w:top w:w="0" w:type="dxa"/>
              <w:left w:w="108" w:type="dxa"/>
              <w:bottom w:w="0" w:type="dxa"/>
              <w:right w:w="108" w:type="dxa"/>
            </w:tcMar>
            <w:hideMark/>
          </w:tcPr>
          <w:p w14:paraId="788EE548" w14:textId="77777777"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1 MHz</w:t>
            </w:r>
          </w:p>
        </w:tc>
      </w:tr>
    </w:tbl>
    <w:p w14:paraId="2C429FFA" w14:textId="6FF95166" w:rsidR="00DF21A6" w:rsidRDefault="00C84F5E" w:rsidP="005810A1">
      <w:pPr>
        <w:spacing w:before="360" w:after="360"/>
      </w:pPr>
      <w:r>
        <w:t xml:space="preserve">3GPP TS 38.104 defines non-AAS </w:t>
      </w:r>
      <w:bookmarkStart w:id="63" w:name="_Hlk78450337"/>
      <w:r w:rsidR="00A6661A">
        <w:t xml:space="preserve">receiver </w:t>
      </w:r>
      <w:r>
        <w:t xml:space="preserve">spurious emission limits in terms of conducted power </w:t>
      </w:r>
      <w:r w:rsidR="00447883">
        <w:t xml:space="preserve">for each individual receiver. </w:t>
      </w:r>
      <w:bookmarkEnd w:id="63"/>
      <w:r w:rsidR="00447883">
        <w:t xml:space="preserve">Having the limits defined as a </w:t>
      </w:r>
      <w:r w:rsidR="000952A0">
        <w:t>total radiated power (</w:t>
      </w:r>
      <w:r w:rsidR="00447883">
        <w:t>TRP</w:t>
      </w:r>
      <w:r w:rsidR="000952A0">
        <w:t>)</w:t>
      </w:r>
      <w:r w:rsidR="00447883">
        <w:t xml:space="preserve"> mean they apply to all receivers associated with a device (or equivalently operating within an individual cell/sector) rather than individual receivers. </w:t>
      </w:r>
    </w:p>
    <w:p w14:paraId="5000B228" w14:textId="06D850E7" w:rsidR="00DF21A6" w:rsidRPr="009317CD" w:rsidRDefault="00DF21A6" w:rsidP="00DF21A6">
      <w:pPr>
        <w:spacing w:before="360" w:after="360"/>
      </w:pPr>
      <w:r>
        <w:t>To align with 3GPP TS 38.104</w:t>
      </w:r>
      <w:r w:rsidR="00447883">
        <w:t>, non-A</w:t>
      </w:r>
      <w:r w:rsidR="00A9240B">
        <w:t>A</w:t>
      </w:r>
      <w:r w:rsidR="00447883">
        <w:t xml:space="preserve">S </w:t>
      </w:r>
      <w:r w:rsidR="00A6661A">
        <w:t xml:space="preserve">receiver </w:t>
      </w:r>
      <w:r w:rsidR="00447883">
        <w:t xml:space="preserve">spurious emission limits </w:t>
      </w:r>
      <w:r>
        <w:t xml:space="preserve">should be defined </w:t>
      </w:r>
      <w:r w:rsidR="00447883">
        <w:t xml:space="preserve">in </w:t>
      </w:r>
      <w:r w:rsidR="00447883" w:rsidRPr="009317CD">
        <w:t>terms of mean power (equivalent to conducted power) per receiver</w:t>
      </w:r>
      <w:r w:rsidR="00FD53B9" w:rsidRPr="009317CD">
        <w:t xml:space="preserve"> port</w:t>
      </w:r>
      <w:r w:rsidR="00447883" w:rsidRPr="009317CD">
        <w:t xml:space="preserve"> as </w:t>
      </w:r>
      <w:r w:rsidRPr="009317CD">
        <w:t>shown</w:t>
      </w:r>
      <w:r w:rsidR="00447883" w:rsidRPr="009317CD">
        <w:t xml:space="preserve"> in Table </w:t>
      </w:r>
      <w:r w:rsidR="008451F7" w:rsidRPr="009317CD">
        <w:t>4</w:t>
      </w:r>
      <w:r w:rsidR="00447883" w:rsidRPr="009317CD">
        <w:t xml:space="preserve">. </w:t>
      </w:r>
      <w:r w:rsidRPr="009317CD">
        <w:t>While th</w:t>
      </w:r>
      <w:r w:rsidR="00813005" w:rsidRPr="009317CD">
        <w:t>ese</w:t>
      </w:r>
      <w:r w:rsidRPr="009317CD">
        <w:t xml:space="preserve"> </w:t>
      </w:r>
      <w:r w:rsidR="00813005" w:rsidRPr="009317CD">
        <w:t xml:space="preserve">levels are higher than the existing </w:t>
      </w:r>
      <w:r w:rsidR="00A6661A" w:rsidRPr="009317CD">
        <w:t xml:space="preserve">receiver </w:t>
      </w:r>
      <w:r w:rsidR="00813005" w:rsidRPr="009317CD">
        <w:t>spurious emission limits</w:t>
      </w:r>
      <w:r w:rsidRPr="009317CD">
        <w:t>, the</w:t>
      </w:r>
      <w:r w:rsidR="00813005" w:rsidRPr="009317CD">
        <w:t>y are</w:t>
      </w:r>
      <w:r w:rsidRPr="009317CD" w:rsidDel="00813005">
        <w:t xml:space="preserve"> </w:t>
      </w:r>
      <w:r w:rsidRPr="009317CD">
        <w:t xml:space="preserve">still lower than those defined for non-AAS transmitters. Consequently, adopting these limits is expected to have a negligible </w:t>
      </w:r>
      <w:r w:rsidR="009C79DC" w:rsidRPr="009317CD">
        <w:t>effect o</w:t>
      </w:r>
      <w:r w:rsidRPr="009317CD">
        <w:t xml:space="preserve">n </w:t>
      </w:r>
      <w:r w:rsidR="009C79DC" w:rsidRPr="009317CD">
        <w:t>the</w:t>
      </w:r>
      <w:r w:rsidRPr="009317CD">
        <w:t xml:space="preserve"> interference environment </w:t>
      </w:r>
      <w:r w:rsidR="009C79DC" w:rsidRPr="009317CD">
        <w:t>for</w:t>
      </w:r>
      <w:r w:rsidRPr="009317CD">
        <w:t xml:space="preserve"> adjacent band services. </w:t>
      </w:r>
    </w:p>
    <w:p w14:paraId="16D0579A" w14:textId="6421B215" w:rsidR="00447883" w:rsidRPr="009317CD" w:rsidRDefault="00447883" w:rsidP="00447883">
      <w:pPr>
        <w:pStyle w:val="Tableheading"/>
        <w:keepLines/>
      </w:pPr>
      <w:r w:rsidRPr="009317CD">
        <w:t xml:space="preserve">3GPP non-AAS receiver unwanted emission limits outside the </w:t>
      </w:r>
      <w:r w:rsidR="00A72EBC">
        <w:br/>
      </w:r>
      <w:r w:rsidRPr="009317CD">
        <w:t>3360</w:t>
      </w:r>
      <w:r w:rsidR="00A72EBC">
        <w:t>–</w:t>
      </w:r>
      <w:r w:rsidRPr="009317CD">
        <w:t xml:space="preserve">3840 MHz frequency band </w:t>
      </w:r>
      <w:r w:rsidR="00DF21A6" w:rsidRPr="009317CD">
        <w:t>for base stations</w:t>
      </w:r>
    </w:p>
    <w:tbl>
      <w:tblPr>
        <w:tblW w:w="7305" w:type="dxa"/>
        <w:tblInd w:w="-1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4A0" w:firstRow="1" w:lastRow="0" w:firstColumn="1" w:lastColumn="0" w:noHBand="0" w:noVBand="1"/>
      </w:tblPr>
      <w:tblGrid>
        <w:gridCol w:w="2694"/>
        <w:gridCol w:w="2976"/>
        <w:gridCol w:w="1635"/>
      </w:tblGrid>
      <w:tr w:rsidR="00A72EBC" w:rsidRPr="00A72EBC" w14:paraId="372057EC" w14:textId="77777777" w:rsidTr="00696EB4">
        <w:tc>
          <w:tcPr>
            <w:tcW w:w="2694" w:type="dxa"/>
            <w:shd w:val="clear" w:color="auto" w:fill="404040" w:themeFill="text1" w:themeFillTint="BF"/>
            <w:tcMar>
              <w:top w:w="0" w:type="dxa"/>
              <w:left w:w="108" w:type="dxa"/>
              <w:bottom w:w="0" w:type="dxa"/>
              <w:right w:w="108" w:type="dxa"/>
            </w:tcMar>
            <w:hideMark/>
          </w:tcPr>
          <w:p w14:paraId="6BF97DEF" w14:textId="7FA14256" w:rsidR="00447883" w:rsidRPr="00696EB4" w:rsidRDefault="00447883" w:rsidP="00056A04">
            <w:pPr>
              <w:pStyle w:val="ListParagraph"/>
              <w:spacing w:after="0"/>
              <w:ind w:left="0"/>
              <w:jc w:val="center"/>
              <w:rPr>
                <w:rFonts w:ascii="Arial" w:hAnsi="Arial" w:cs="Arial"/>
                <w:b/>
                <w:bCs/>
                <w:color w:val="FFFFFF" w:themeColor="background1"/>
                <w:sz w:val="20"/>
                <w:szCs w:val="20"/>
              </w:rPr>
            </w:pPr>
            <w:r w:rsidRPr="00696EB4">
              <w:rPr>
                <w:rFonts w:cs="Arial"/>
                <w:b/>
                <w:bCs/>
                <w:color w:val="FFFFFF" w:themeColor="background1"/>
                <w:szCs w:val="20"/>
              </w:rPr>
              <w:t xml:space="preserve">Frequency </w:t>
            </w:r>
            <w:r w:rsidR="00A72EBC">
              <w:rPr>
                <w:rFonts w:ascii="Arial" w:hAnsi="Arial" w:cs="Arial"/>
                <w:b/>
                <w:bCs/>
                <w:color w:val="FFFFFF" w:themeColor="background1"/>
                <w:sz w:val="20"/>
                <w:szCs w:val="20"/>
              </w:rPr>
              <w:br/>
              <w:t>r</w:t>
            </w:r>
            <w:r w:rsidRPr="00696EB4">
              <w:rPr>
                <w:rFonts w:cs="Arial"/>
                <w:b/>
                <w:bCs/>
                <w:color w:val="FFFFFF" w:themeColor="background1"/>
                <w:szCs w:val="20"/>
              </w:rPr>
              <w:t>ange</w:t>
            </w:r>
            <w:r w:rsidR="00A72EBC">
              <w:rPr>
                <w:rFonts w:ascii="Arial" w:hAnsi="Arial" w:cs="Arial"/>
                <w:b/>
                <w:bCs/>
                <w:color w:val="FFFFFF" w:themeColor="background1"/>
                <w:sz w:val="20"/>
                <w:szCs w:val="20"/>
              </w:rPr>
              <w:t xml:space="preserve"> </w:t>
            </w:r>
            <w:r w:rsidRPr="00696EB4">
              <w:rPr>
                <w:rFonts w:ascii="Arial" w:hAnsi="Arial" w:cs="Arial"/>
                <w:b/>
                <w:bCs/>
                <w:color w:val="FFFFFF" w:themeColor="background1"/>
                <w:sz w:val="20"/>
                <w:szCs w:val="20"/>
              </w:rPr>
              <w:t>(f)</w:t>
            </w:r>
          </w:p>
        </w:tc>
        <w:tc>
          <w:tcPr>
            <w:tcW w:w="2976" w:type="dxa"/>
            <w:shd w:val="clear" w:color="auto" w:fill="404040" w:themeFill="text1" w:themeFillTint="BF"/>
            <w:tcMar>
              <w:top w:w="0" w:type="dxa"/>
              <w:left w:w="108" w:type="dxa"/>
              <w:bottom w:w="0" w:type="dxa"/>
              <w:right w:w="108" w:type="dxa"/>
            </w:tcMar>
            <w:hideMark/>
          </w:tcPr>
          <w:p w14:paraId="5936CB77" w14:textId="77777777" w:rsidR="00DF21A6" w:rsidRPr="00696EB4" w:rsidRDefault="00DF21A6" w:rsidP="00DF21A6">
            <w:pPr>
              <w:pStyle w:val="ListParagraph"/>
              <w:spacing w:after="0"/>
              <w:ind w:left="0"/>
              <w:jc w:val="center"/>
              <w:rPr>
                <w:rFonts w:ascii="Arial" w:hAnsi="Arial" w:cs="Arial"/>
                <w:b/>
                <w:bCs/>
                <w:color w:val="FFFFFF" w:themeColor="background1"/>
                <w:sz w:val="20"/>
                <w:szCs w:val="20"/>
              </w:rPr>
            </w:pPr>
            <w:r w:rsidRPr="00696EB4">
              <w:rPr>
                <w:rFonts w:ascii="Arial" w:hAnsi="Arial" w:cs="Arial"/>
                <w:b/>
                <w:bCs/>
                <w:color w:val="FFFFFF" w:themeColor="background1"/>
                <w:sz w:val="20"/>
                <w:szCs w:val="20"/>
              </w:rPr>
              <w:t xml:space="preserve">Mean power </w:t>
            </w:r>
            <w:r w:rsidR="00447883" w:rsidRPr="00696EB4">
              <w:rPr>
                <w:rFonts w:ascii="Arial" w:hAnsi="Arial" w:cs="Arial"/>
                <w:b/>
                <w:bCs/>
                <w:color w:val="FFFFFF" w:themeColor="background1"/>
                <w:sz w:val="20"/>
                <w:szCs w:val="20"/>
              </w:rPr>
              <w:t xml:space="preserve">(dBm) </w:t>
            </w:r>
          </w:p>
          <w:p w14:paraId="758EB534" w14:textId="6A41D368" w:rsidR="00447883" w:rsidRPr="00696EB4" w:rsidRDefault="00DF21A6" w:rsidP="00DF21A6">
            <w:pPr>
              <w:pStyle w:val="ListParagraph"/>
              <w:spacing w:after="0"/>
              <w:ind w:left="0"/>
              <w:jc w:val="center"/>
              <w:rPr>
                <w:rFonts w:ascii="Arial" w:hAnsi="Arial" w:cs="Arial"/>
                <w:b/>
                <w:bCs/>
                <w:color w:val="FFFFFF" w:themeColor="background1"/>
                <w:sz w:val="20"/>
                <w:szCs w:val="20"/>
              </w:rPr>
            </w:pPr>
            <w:r w:rsidRPr="00696EB4">
              <w:rPr>
                <w:rFonts w:ascii="Arial" w:hAnsi="Arial" w:cs="Arial"/>
                <w:b/>
                <w:bCs/>
                <w:color w:val="FFFFFF" w:themeColor="background1"/>
                <w:sz w:val="20"/>
                <w:szCs w:val="20"/>
              </w:rPr>
              <w:t>per receiver</w:t>
            </w:r>
            <w:r w:rsidR="00FD53B9" w:rsidRPr="00696EB4">
              <w:rPr>
                <w:rFonts w:ascii="Arial" w:hAnsi="Arial" w:cs="Arial"/>
                <w:b/>
                <w:bCs/>
                <w:color w:val="FFFFFF" w:themeColor="background1"/>
                <w:sz w:val="20"/>
                <w:szCs w:val="20"/>
              </w:rPr>
              <w:t xml:space="preserve"> </w:t>
            </w:r>
            <w:r w:rsidR="000952A0" w:rsidRPr="00696EB4">
              <w:rPr>
                <w:rFonts w:ascii="Arial" w:hAnsi="Arial" w:cs="Arial"/>
                <w:b/>
                <w:bCs/>
                <w:color w:val="FFFFFF" w:themeColor="background1"/>
                <w:sz w:val="20"/>
                <w:szCs w:val="20"/>
              </w:rPr>
              <w:t xml:space="preserve">antenna </w:t>
            </w:r>
            <w:r w:rsidR="00FD53B9" w:rsidRPr="00696EB4">
              <w:rPr>
                <w:rFonts w:ascii="Arial" w:hAnsi="Arial" w:cs="Arial"/>
                <w:b/>
                <w:bCs/>
                <w:color w:val="FFFFFF" w:themeColor="background1"/>
                <w:sz w:val="20"/>
                <w:szCs w:val="20"/>
              </w:rPr>
              <w:t>port</w:t>
            </w:r>
          </w:p>
        </w:tc>
        <w:tc>
          <w:tcPr>
            <w:tcW w:w="1635" w:type="dxa"/>
            <w:shd w:val="clear" w:color="auto" w:fill="404040" w:themeFill="text1" w:themeFillTint="BF"/>
            <w:tcMar>
              <w:top w:w="0" w:type="dxa"/>
              <w:left w:w="108" w:type="dxa"/>
              <w:bottom w:w="0" w:type="dxa"/>
              <w:right w:w="108" w:type="dxa"/>
            </w:tcMar>
            <w:hideMark/>
          </w:tcPr>
          <w:p w14:paraId="7ECA6F64" w14:textId="3C82943A" w:rsidR="00447883" w:rsidRPr="00696EB4" w:rsidRDefault="00447883" w:rsidP="00AC67DA">
            <w:pPr>
              <w:pStyle w:val="ListParagraph"/>
              <w:spacing w:after="0"/>
              <w:ind w:left="0"/>
              <w:jc w:val="center"/>
              <w:rPr>
                <w:rFonts w:ascii="Arial" w:hAnsi="Arial" w:cs="Arial"/>
                <w:b/>
                <w:bCs/>
                <w:color w:val="FFFFFF" w:themeColor="background1"/>
                <w:sz w:val="20"/>
                <w:szCs w:val="20"/>
              </w:rPr>
            </w:pPr>
            <w:r w:rsidRPr="00696EB4">
              <w:rPr>
                <w:rFonts w:ascii="Arial" w:hAnsi="Arial" w:cs="Arial"/>
                <w:b/>
                <w:bCs/>
                <w:color w:val="FFFFFF" w:themeColor="background1"/>
                <w:sz w:val="20"/>
                <w:szCs w:val="20"/>
              </w:rPr>
              <w:t xml:space="preserve">Measurement </w:t>
            </w:r>
            <w:r w:rsidR="00A72EBC">
              <w:rPr>
                <w:rFonts w:ascii="Arial" w:hAnsi="Arial" w:cs="Arial"/>
                <w:b/>
                <w:bCs/>
                <w:color w:val="FFFFFF" w:themeColor="background1"/>
                <w:sz w:val="20"/>
                <w:szCs w:val="20"/>
              </w:rPr>
              <w:t>b</w:t>
            </w:r>
            <w:r w:rsidRPr="00696EB4">
              <w:rPr>
                <w:rFonts w:ascii="Arial" w:hAnsi="Arial" w:cs="Arial"/>
                <w:b/>
                <w:bCs/>
                <w:color w:val="FFFFFF" w:themeColor="background1"/>
                <w:sz w:val="20"/>
                <w:szCs w:val="20"/>
              </w:rPr>
              <w:t>andwidth</w:t>
            </w:r>
          </w:p>
        </w:tc>
      </w:tr>
      <w:tr w:rsidR="00447883" w:rsidRPr="009317CD" w14:paraId="00653E01" w14:textId="77777777" w:rsidTr="00696EB4">
        <w:tc>
          <w:tcPr>
            <w:tcW w:w="2694" w:type="dxa"/>
            <w:tcMar>
              <w:top w:w="0" w:type="dxa"/>
              <w:left w:w="108" w:type="dxa"/>
              <w:bottom w:w="0" w:type="dxa"/>
              <w:right w:w="108" w:type="dxa"/>
            </w:tcMar>
            <w:hideMark/>
          </w:tcPr>
          <w:p w14:paraId="6ED9D7AA" w14:textId="77777777" w:rsidR="00447883" w:rsidRPr="009317CD" w:rsidRDefault="00447883" w:rsidP="00AC67DA">
            <w:pPr>
              <w:pStyle w:val="ListParagraph"/>
              <w:spacing w:after="0"/>
              <w:ind w:left="0"/>
              <w:jc w:val="center"/>
              <w:rPr>
                <w:rFonts w:ascii="Arial" w:hAnsi="Arial" w:cs="Arial"/>
                <w:sz w:val="20"/>
                <w:szCs w:val="20"/>
              </w:rPr>
            </w:pPr>
            <w:r w:rsidRPr="009317CD">
              <w:rPr>
                <w:rFonts w:ascii="Arial" w:hAnsi="Arial" w:cs="Arial"/>
                <w:sz w:val="20"/>
                <w:szCs w:val="20"/>
              </w:rPr>
              <w:t>30 MHz ≤ f ≤ 1 GHz</w:t>
            </w:r>
          </w:p>
        </w:tc>
        <w:tc>
          <w:tcPr>
            <w:tcW w:w="2976" w:type="dxa"/>
            <w:tcMar>
              <w:top w:w="0" w:type="dxa"/>
              <w:left w:w="108" w:type="dxa"/>
              <w:bottom w:w="0" w:type="dxa"/>
              <w:right w:w="108" w:type="dxa"/>
            </w:tcMar>
            <w:hideMark/>
          </w:tcPr>
          <w:p w14:paraId="36339A48" w14:textId="77777777" w:rsidR="00447883" w:rsidRPr="009317CD" w:rsidRDefault="00447883" w:rsidP="00AC67DA">
            <w:pPr>
              <w:pStyle w:val="ListParagraph"/>
              <w:spacing w:after="0"/>
              <w:ind w:left="0"/>
              <w:jc w:val="center"/>
              <w:rPr>
                <w:rFonts w:ascii="Arial" w:hAnsi="Arial" w:cs="Arial"/>
                <w:sz w:val="20"/>
                <w:szCs w:val="20"/>
              </w:rPr>
            </w:pPr>
            <w:r w:rsidRPr="009317CD">
              <w:rPr>
                <w:rFonts w:ascii="Arial" w:hAnsi="Arial" w:cs="Arial"/>
                <w:sz w:val="20"/>
                <w:szCs w:val="20"/>
              </w:rPr>
              <w:t>-57</w:t>
            </w:r>
          </w:p>
        </w:tc>
        <w:tc>
          <w:tcPr>
            <w:tcW w:w="1635" w:type="dxa"/>
            <w:tcMar>
              <w:top w:w="0" w:type="dxa"/>
              <w:left w:w="108" w:type="dxa"/>
              <w:bottom w:w="0" w:type="dxa"/>
              <w:right w:w="108" w:type="dxa"/>
            </w:tcMar>
            <w:hideMark/>
          </w:tcPr>
          <w:p w14:paraId="74B28A01" w14:textId="77777777" w:rsidR="00447883" w:rsidRPr="009317CD" w:rsidRDefault="00447883" w:rsidP="00AC67DA">
            <w:pPr>
              <w:pStyle w:val="ListParagraph"/>
              <w:spacing w:after="0"/>
              <w:ind w:left="0"/>
              <w:jc w:val="center"/>
              <w:rPr>
                <w:rFonts w:ascii="Arial" w:hAnsi="Arial" w:cs="Arial"/>
                <w:sz w:val="20"/>
                <w:szCs w:val="20"/>
              </w:rPr>
            </w:pPr>
            <w:r w:rsidRPr="009317CD">
              <w:rPr>
                <w:rFonts w:ascii="Arial" w:hAnsi="Arial" w:cs="Arial"/>
                <w:sz w:val="20"/>
                <w:szCs w:val="20"/>
              </w:rPr>
              <w:t>100 kHz</w:t>
            </w:r>
          </w:p>
        </w:tc>
      </w:tr>
      <w:tr w:rsidR="00447883" w:rsidRPr="009317CD" w14:paraId="0800CCA1" w14:textId="77777777" w:rsidTr="00696EB4">
        <w:tc>
          <w:tcPr>
            <w:tcW w:w="2694" w:type="dxa"/>
            <w:shd w:val="clear" w:color="auto" w:fill="F2F2F2" w:themeFill="background1" w:themeFillShade="F2"/>
            <w:tcMar>
              <w:top w:w="0" w:type="dxa"/>
              <w:left w:w="108" w:type="dxa"/>
              <w:bottom w:w="0" w:type="dxa"/>
              <w:right w:w="108" w:type="dxa"/>
            </w:tcMar>
            <w:hideMark/>
          </w:tcPr>
          <w:p w14:paraId="470866BB" w14:textId="0690616C" w:rsidR="00447883" w:rsidRPr="009317CD" w:rsidRDefault="00447883" w:rsidP="00AC67DA">
            <w:pPr>
              <w:pStyle w:val="ListParagraph"/>
              <w:spacing w:after="0"/>
              <w:ind w:left="0"/>
              <w:jc w:val="center"/>
              <w:rPr>
                <w:rFonts w:ascii="Arial" w:hAnsi="Arial" w:cs="Arial"/>
                <w:sz w:val="20"/>
                <w:szCs w:val="20"/>
              </w:rPr>
            </w:pPr>
            <w:r w:rsidRPr="009317CD">
              <w:rPr>
                <w:rFonts w:ascii="Arial" w:hAnsi="Arial" w:cs="Arial"/>
                <w:sz w:val="20"/>
                <w:szCs w:val="20"/>
              </w:rPr>
              <w:t xml:space="preserve">1 GHz ≤ f ≤ </w:t>
            </w:r>
            <w:r w:rsidR="00BF3081" w:rsidRPr="009317CD">
              <w:rPr>
                <w:rFonts w:ascii="Arial" w:hAnsi="Arial" w:cs="Arial"/>
                <w:sz w:val="20"/>
                <w:szCs w:val="20"/>
              </w:rPr>
              <w:t>19</w:t>
            </w:r>
            <w:r w:rsidRPr="009317CD">
              <w:rPr>
                <w:rFonts w:ascii="Arial" w:hAnsi="Arial" w:cs="Arial"/>
                <w:sz w:val="20"/>
                <w:szCs w:val="20"/>
              </w:rPr>
              <w:t xml:space="preserve"> GHz</w:t>
            </w:r>
          </w:p>
        </w:tc>
        <w:tc>
          <w:tcPr>
            <w:tcW w:w="2976" w:type="dxa"/>
            <w:shd w:val="clear" w:color="auto" w:fill="F2F2F2" w:themeFill="background1" w:themeFillShade="F2"/>
            <w:tcMar>
              <w:top w:w="0" w:type="dxa"/>
              <w:left w:w="108" w:type="dxa"/>
              <w:bottom w:w="0" w:type="dxa"/>
              <w:right w:w="108" w:type="dxa"/>
            </w:tcMar>
            <w:hideMark/>
          </w:tcPr>
          <w:p w14:paraId="285A00E2" w14:textId="77777777" w:rsidR="00447883" w:rsidRPr="009317CD" w:rsidRDefault="00447883" w:rsidP="00AC67DA">
            <w:pPr>
              <w:pStyle w:val="ListParagraph"/>
              <w:spacing w:after="0"/>
              <w:ind w:left="0"/>
              <w:jc w:val="center"/>
              <w:rPr>
                <w:rFonts w:ascii="Arial" w:hAnsi="Arial" w:cs="Arial"/>
                <w:sz w:val="20"/>
                <w:szCs w:val="20"/>
              </w:rPr>
            </w:pPr>
            <w:r w:rsidRPr="009317CD">
              <w:rPr>
                <w:rFonts w:ascii="Arial" w:hAnsi="Arial" w:cs="Arial"/>
                <w:sz w:val="20"/>
                <w:szCs w:val="20"/>
              </w:rPr>
              <w:t>-47</w:t>
            </w:r>
          </w:p>
        </w:tc>
        <w:tc>
          <w:tcPr>
            <w:tcW w:w="1635" w:type="dxa"/>
            <w:shd w:val="clear" w:color="auto" w:fill="F2F2F2" w:themeFill="background1" w:themeFillShade="F2"/>
            <w:tcMar>
              <w:top w:w="0" w:type="dxa"/>
              <w:left w:w="108" w:type="dxa"/>
              <w:bottom w:w="0" w:type="dxa"/>
              <w:right w:w="108" w:type="dxa"/>
            </w:tcMar>
            <w:hideMark/>
          </w:tcPr>
          <w:p w14:paraId="1FE0A403" w14:textId="77777777" w:rsidR="00447883" w:rsidRPr="009317CD" w:rsidRDefault="00447883" w:rsidP="00AC67DA">
            <w:pPr>
              <w:pStyle w:val="ListParagraph"/>
              <w:spacing w:after="0"/>
              <w:ind w:left="0"/>
              <w:jc w:val="center"/>
              <w:rPr>
                <w:rFonts w:ascii="Arial" w:hAnsi="Arial" w:cs="Arial"/>
                <w:sz w:val="20"/>
                <w:szCs w:val="20"/>
              </w:rPr>
            </w:pPr>
            <w:r w:rsidRPr="009317CD">
              <w:rPr>
                <w:rFonts w:ascii="Arial" w:hAnsi="Arial" w:cs="Arial"/>
                <w:sz w:val="20"/>
                <w:szCs w:val="20"/>
              </w:rPr>
              <w:t>1 MHz</w:t>
            </w:r>
          </w:p>
        </w:tc>
      </w:tr>
    </w:tbl>
    <w:p w14:paraId="2DC720DC" w14:textId="727A5530" w:rsidR="00C36393" w:rsidRPr="009317CD" w:rsidRDefault="00C36393" w:rsidP="006B6A28">
      <w:pPr>
        <w:spacing w:before="360"/>
      </w:pPr>
      <w:r w:rsidRPr="009317CD">
        <w:t>3GPP TS 38.104 V1</w:t>
      </w:r>
      <w:r w:rsidR="00BF06E1" w:rsidRPr="009317CD">
        <w:t>5</w:t>
      </w:r>
      <w:r w:rsidRPr="009317CD">
        <w:t>.1.0</w:t>
      </w:r>
      <w:r w:rsidR="00BF06E1" w:rsidRPr="009317CD">
        <w:t>,</w:t>
      </w:r>
      <w:r w:rsidRPr="009317CD">
        <w:t xml:space="preserve"> which was released in </w:t>
      </w:r>
      <w:r w:rsidR="00BF06E1" w:rsidRPr="009317CD">
        <w:t xml:space="preserve">April </w:t>
      </w:r>
      <w:r w:rsidRPr="009317CD">
        <w:t>201</w:t>
      </w:r>
      <w:r w:rsidR="00BF06E1" w:rsidRPr="009317CD">
        <w:t>8</w:t>
      </w:r>
      <w:r w:rsidRPr="009317CD">
        <w:t>, defined the limits in Table</w:t>
      </w:r>
      <w:r w:rsidR="009317CD" w:rsidRPr="009317CD">
        <w:t> </w:t>
      </w:r>
      <w:r w:rsidRPr="009317CD">
        <w:t xml:space="preserve">4 plus 9 dB </w:t>
      </w:r>
      <w:r w:rsidR="00BF06E1" w:rsidRPr="009317CD">
        <w:t xml:space="preserve">(using TRP instead of mean power per receiver port) </w:t>
      </w:r>
      <w:r w:rsidRPr="009317CD">
        <w:t>for AAS receiver spurious emission</w:t>
      </w:r>
      <w:r w:rsidR="00BF06E1" w:rsidRPr="009317CD">
        <w:t>s.</w:t>
      </w:r>
      <w:r w:rsidRPr="009317CD">
        <w:t xml:space="preserve"> These </w:t>
      </w:r>
      <w:r w:rsidR="002B6E20" w:rsidRPr="009317CD">
        <w:t>were</w:t>
      </w:r>
      <w:r w:rsidRPr="009317CD">
        <w:t xml:space="preserve"> the limits </w:t>
      </w:r>
      <w:r w:rsidR="00BF06E1" w:rsidRPr="009317CD">
        <w:t xml:space="preserve">defined by 3GPP </w:t>
      </w:r>
      <w:r w:rsidRPr="009317CD">
        <w:t>during the last major review of the 3.4 GHz spectrum licence technical framework in 2018.</w:t>
      </w:r>
      <w:r w:rsidR="007120D0" w:rsidRPr="009317CD">
        <w:t xml:space="preserve"> Ultimately, the limits in Table 3 were adopted for 3.4 GHz spectrum licences. </w:t>
      </w:r>
      <w:r w:rsidR="00BF06E1" w:rsidRPr="009317CD">
        <w:t xml:space="preserve">  </w:t>
      </w:r>
      <w:r w:rsidRPr="009317CD">
        <w:t xml:space="preserve"> </w:t>
      </w:r>
    </w:p>
    <w:p w14:paraId="6640E807" w14:textId="4850D7B4" w:rsidR="00447883" w:rsidRDefault="007120D0" w:rsidP="006B6A28">
      <w:pPr>
        <w:spacing w:before="240" w:after="360"/>
      </w:pPr>
      <w:r w:rsidRPr="009317CD">
        <w:t>Since th</w:t>
      </w:r>
      <w:r w:rsidR="007936AF" w:rsidRPr="009317CD">
        <w:t>at</w:t>
      </w:r>
      <w:r w:rsidRPr="009317CD">
        <w:t xml:space="preserve"> time</w:t>
      </w:r>
      <w:r w:rsidR="002B6E20" w:rsidRPr="009317CD">
        <w:t>, version</w:t>
      </w:r>
      <w:r w:rsidRPr="009317CD">
        <w:t>s 16 and 17</w:t>
      </w:r>
      <w:r w:rsidR="002B6E20" w:rsidRPr="009317CD">
        <w:t xml:space="preserve"> of </w:t>
      </w:r>
      <w:r w:rsidR="00C36393" w:rsidRPr="009317CD">
        <w:t>3GPP TS 38.104</w:t>
      </w:r>
      <w:r w:rsidRPr="009317CD">
        <w:t>,</w:t>
      </w:r>
      <w:r w:rsidR="00BF06E1" w:rsidRPr="009317CD">
        <w:t xml:space="preserve"> released </w:t>
      </w:r>
      <w:r w:rsidR="007936AF" w:rsidRPr="009317CD">
        <w:t>from</w:t>
      </w:r>
      <w:r w:rsidR="002B6E20" w:rsidRPr="009317CD">
        <w:t xml:space="preserve"> July 2019</w:t>
      </w:r>
      <w:r w:rsidRPr="009317CD">
        <w:t>,</w:t>
      </w:r>
      <w:r w:rsidR="002B6E20" w:rsidRPr="009317CD">
        <w:t xml:space="preserve"> specif</w:t>
      </w:r>
      <w:r w:rsidRPr="009317CD">
        <w:t>y</w:t>
      </w:r>
      <w:r w:rsidR="002B6E20" w:rsidRPr="009317CD">
        <w:t xml:space="preserve"> the</w:t>
      </w:r>
      <w:r w:rsidR="00BF06E1" w:rsidRPr="009317CD">
        <w:t xml:space="preserve"> </w:t>
      </w:r>
      <w:r w:rsidR="00C36393" w:rsidRPr="009317CD">
        <w:t xml:space="preserve">modified AAS </w:t>
      </w:r>
      <w:bookmarkStart w:id="64" w:name="_Hlk78449435"/>
      <w:r w:rsidR="00C36393" w:rsidRPr="009317CD">
        <w:t xml:space="preserve">receiver spurious emission limits </w:t>
      </w:r>
      <w:bookmarkEnd w:id="64"/>
      <w:r w:rsidR="00C36393" w:rsidRPr="009317CD">
        <w:t xml:space="preserve">shown in Table 5. </w:t>
      </w:r>
      <w:r w:rsidR="005810A1" w:rsidRPr="009317CD">
        <w:t>As the</w:t>
      </w:r>
      <w:r w:rsidR="007936AF" w:rsidRPr="009317CD">
        <w:t>se</w:t>
      </w:r>
      <w:r w:rsidR="005810A1" w:rsidRPr="009317CD">
        <w:t xml:space="preserve"> limit</w:t>
      </w:r>
      <w:r w:rsidR="00ED584B" w:rsidRPr="009317CD">
        <w:t>s</w:t>
      </w:r>
      <w:r w:rsidR="005810A1" w:rsidRPr="009317CD">
        <w:t xml:space="preserve"> </w:t>
      </w:r>
      <w:r w:rsidR="00ED584B" w:rsidRPr="009317CD">
        <w:t>are</w:t>
      </w:r>
      <w:r w:rsidR="005810A1" w:rsidRPr="009317CD">
        <w:t xml:space="preserve"> defined </w:t>
      </w:r>
      <w:r w:rsidR="00ED584B" w:rsidRPr="009317CD">
        <w:t xml:space="preserve">in terms of </w:t>
      </w:r>
      <w:r w:rsidR="005810A1" w:rsidRPr="009317CD">
        <w:t xml:space="preserve">TRP, </w:t>
      </w:r>
      <w:r w:rsidR="00ED584B" w:rsidRPr="009317CD">
        <w:t>they</w:t>
      </w:r>
      <w:r w:rsidR="005810A1" w:rsidRPr="009317CD">
        <w:t xml:space="preserve"> place a cap on emissions from all </w:t>
      </w:r>
      <w:r w:rsidR="00FD53B9" w:rsidRPr="009317CD">
        <w:t>receivers</w:t>
      </w:r>
      <w:r w:rsidR="005810A1">
        <w:t xml:space="preserve"> associated </w:t>
      </w:r>
      <w:r w:rsidR="00447883">
        <w:t xml:space="preserve">with a </w:t>
      </w:r>
      <w:r w:rsidR="005810A1">
        <w:t>device</w:t>
      </w:r>
      <w:r w:rsidR="00C84F5E">
        <w:t xml:space="preserve"> (or equivalently operating within an individual cell/sector)</w:t>
      </w:r>
      <w:r w:rsidR="005810A1">
        <w:t>.</w:t>
      </w:r>
      <w:r w:rsidR="00447883">
        <w:t xml:space="preserve"> </w:t>
      </w:r>
      <w:r w:rsidR="00813005">
        <w:t>The</w:t>
      </w:r>
      <w:r w:rsidR="00447883">
        <w:t xml:space="preserve"> </w:t>
      </w:r>
      <w:r w:rsidR="00C36393">
        <w:t xml:space="preserve">modified </w:t>
      </w:r>
      <w:r w:rsidR="00703353">
        <w:t xml:space="preserve">3GPP TS 38.104 </w:t>
      </w:r>
      <w:r w:rsidR="00ED584B">
        <w:t>limits are higher tha</w:t>
      </w:r>
      <w:r w:rsidR="00A632EC">
        <w:t>n</w:t>
      </w:r>
      <w:r w:rsidR="00C36393">
        <w:t xml:space="preserve"> the </w:t>
      </w:r>
      <w:r w:rsidR="00447883">
        <w:t>current limit</w:t>
      </w:r>
      <w:r w:rsidR="009C79DC">
        <w:t>s</w:t>
      </w:r>
      <w:r w:rsidR="002B6E20">
        <w:t xml:space="preserve"> </w:t>
      </w:r>
      <w:r w:rsidR="00ED584B">
        <w:t>and</w:t>
      </w:r>
      <w:bookmarkStart w:id="65" w:name="_Hlk62112192"/>
      <w:r w:rsidR="00ED584B">
        <w:t xml:space="preserve"> </w:t>
      </w:r>
      <w:r w:rsidR="00447883">
        <w:t>mirror</w:t>
      </w:r>
      <w:r w:rsidR="00447883" w:rsidRPr="00F51796">
        <w:t xml:space="preserve"> the spurious emission limits currently in place for </w:t>
      </w:r>
      <w:r w:rsidR="00447883">
        <w:t xml:space="preserve">AAS </w:t>
      </w:r>
      <w:r w:rsidR="00447883" w:rsidRPr="00F51796">
        <w:t xml:space="preserve">transmitters in the 3.4 GHz band. </w:t>
      </w:r>
      <w:r w:rsidR="00447883">
        <w:t xml:space="preserve">Consequently, adopting these limits is expected to have a negligible </w:t>
      </w:r>
      <w:r w:rsidR="009C79DC">
        <w:t>effect o</w:t>
      </w:r>
      <w:r w:rsidR="00447883">
        <w:t xml:space="preserve">n </w:t>
      </w:r>
      <w:r w:rsidR="00A9240B">
        <w:t xml:space="preserve">the </w:t>
      </w:r>
      <w:r w:rsidR="00447883">
        <w:t xml:space="preserve">interference environment </w:t>
      </w:r>
      <w:r w:rsidR="00A9240B">
        <w:t xml:space="preserve">for </w:t>
      </w:r>
      <w:r w:rsidR="00447883">
        <w:t xml:space="preserve">adjacent band services. </w:t>
      </w:r>
      <w:bookmarkEnd w:id="65"/>
    </w:p>
    <w:p w14:paraId="6AFCEE3F" w14:textId="2B04DF58" w:rsidR="005810A1" w:rsidRPr="0038741C" w:rsidRDefault="005810A1" w:rsidP="005810A1">
      <w:pPr>
        <w:pStyle w:val="Tableheading"/>
        <w:keepLines/>
      </w:pPr>
      <w:r w:rsidRPr="00602151">
        <w:t xml:space="preserve">3GPP AAS </w:t>
      </w:r>
      <w:r w:rsidR="00DF21A6">
        <w:t>r</w:t>
      </w:r>
      <w:r w:rsidRPr="00602151">
        <w:t xml:space="preserve">eceiver spurious emission limits outside the </w:t>
      </w:r>
      <w:r w:rsidR="00F43776">
        <w:br/>
      </w:r>
      <w:r>
        <w:t>3360</w:t>
      </w:r>
      <w:r w:rsidR="00F43776">
        <w:t>–</w:t>
      </w:r>
      <w:r>
        <w:t>3840</w:t>
      </w:r>
      <w:r w:rsidRPr="00602151">
        <w:t xml:space="preserve"> MHz frequency band</w:t>
      </w:r>
      <w:r w:rsidR="00DF21A6">
        <w:t xml:space="preserve"> for base stations</w:t>
      </w:r>
    </w:p>
    <w:tbl>
      <w:tblPr>
        <w:tblW w:w="7305" w:type="dxa"/>
        <w:tblInd w:w="-1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4A0" w:firstRow="1" w:lastRow="0" w:firstColumn="1" w:lastColumn="0" w:noHBand="0" w:noVBand="1"/>
      </w:tblPr>
      <w:tblGrid>
        <w:gridCol w:w="2694"/>
        <w:gridCol w:w="2976"/>
        <w:gridCol w:w="1635"/>
      </w:tblGrid>
      <w:tr w:rsidR="00F43776" w:rsidRPr="00F43776" w14:paraId="335ED53A" w14:textId="77777777" w:rsidTr="00696EB4">
        <w:tc>
          <w:tcPr>
            <w:tcW w:w="2694" w:type="dxa"/>
            <w:shd w:val="clear" w:color="auto" w:fill="404040" w:themeFill="text1" w:themeFillTint="BF"/>
            <w:tcMar>
              <w:top w:w="0" w:type="dxa"/>
              <w:left w:w="108" w:type="dxa"/>
              <w:bottom w:w="0" w:type="dxa"/>
              <w:right w:w="108" w:type="dxa"/>
            </w:tcMar>
            <w:hideMark/>
          </w:tcPr>
          <w:p w14:paraId="108765F1" w14:textId="4F9D2369" w:rsidR="005810A1" w:rsidRPr="00696EB4" w:rsidRDefault="005810A1" w:rsidP="00056A04">
            <w:pPr>
              <w:pStyle w:val="ListParagraph"/>
              <w:spacing w:after="0"/>
              <w:ind w:left="0"/>
              <w:jc w:val="center"/>
              <w:rPr>
                <w:rFonts w:ascii="Arial" w:hAnsi="Arial" w:cs="Arial"/>
                <w:b/>
                <w:bCs/>
                <w:color w:val="F2F2F2" w:themeColor="background1" w:themeShade="F2"/>
                <w:sz w:val="20"/>
                <w:szCs w:val="20"/>
              </w:rPr>
            </w:pPr>
            <w:r w:rsidRPr="00696EB4">
              <w:rPr>
                <w:rFonts w:cs="Arial"/>
                <w:b/>
                <w:bCs/>
                <w:color w:val="F2F2F2" w:themeColor="background1" w:themeShade="F2"/>
                <w:szCs w:val="20"/>
              </w:rPr>
              <w:t xml:space="preserve">Frequency </w:t>
            </w:r>
            <w:r w:rsidR="00F43776">
              <w:rPr>
                <w:rFonts w:ascii="Arial" w:hAnsi="Arial" w:cs="Arial"/>
                <w:b/>
                <w:bCs/>
                <w:color w:val="F2F2F2" w:themeColor="background1" w:themeShade="F2"/>
                <w:sz w:val="20"/>
                <w:szCs w:val="20"/>
              </w:rPr>
              <w:br/>
              <w:t>r</w:t>
            </w:r>
            <w:r w:rsidRPr="00696EB4">
              <w:rPr>
                <w:rFonts w:cs="Arial"/>
                <w:b/>
                <w:bCs/>
                <w:color w:val="F2F2F2" w:themeColor="background1" w:themeShade="F2"/>
                <w:szCs w:val="20"/>
              </w:rPr>
              <w:t>ange</w:t>
            </w:r>
            <w:r w:rsidR="00F43776">
              <w:rPr>
                <w:rFonts w:ascii="Arial" w:hAnsi="Arial" w:cs="Arial"/>
                <w:b/>
                <w:bCs/>
                <w:color w:val="F2F2F2" w:themeColor="background1" w:themeShade="F2"/>
                <w:sz w:val="20"/>
                <w:szCs w:val="20"/>
              </w:rPr>
              <w:t xml:space="preserve"> </w:t>
            </w:r>
            <w:r w:rsidRPr="00696EB4">
              <w:rPr>
                <w:rFonts w:ascii="Arial" w:hAnsi="Arial" w:cs="Arial"/>
                <w:b/>
                <w:bCs/>
                <w:color w:val="F2F2F2" w:themeColor="background1" w:themeShade="F2"/>
                <w:sz w:val="20"/>
                <w:szCs w:val="20"/>
              </w:rPr>
              <w:t>(f)</w:t>
            </w:r>
          </w:p>
        </w:tc>
        <w:tc>
          <w:tcPr>
            <w:tcW w:w="2976" w:type="dxa"/>
            <w:shd w:val="clear" w:color="auto" w:fill="404040" w:themeFill="text1" w:themeFillTint="BF"/>
            <w:tcMar>
              <w:top w:w="0" w:type="dxa"/>
              <w:left w:w="108" w:type="dxa"/>
              <w:bottom w:w="0" w:type="dxa"/>
              <w:right w:w="108" w:type="dxa"/>
            </w:tcMar>
            <w:hideMark/>
          </w:tcPr>
          <w:p w14:paraId="355E772A" w14:textId="3F65F892" w:rsidR="005810A1" w:rsidRPr="00696EB4" w:rsidRDefault="005810A1" w:rsidP="00AC67DA">
            <w:pPr>
              <w:pStyle w:val="ListParagraph"/>
              <w:spacing w:after="0"/>
              <w:ind w:left="0"/>
              <w:jc w:val="center"/>
              <w:rPr>
                <w:rFonts w:ascii="Arial" w:hAnsi="Arial" w:cs="Arial"/>
                <w:b/>
                <w:bCs/>
                <w:color w:val="F2F2F2" w:themeColor="background1" w:themeShade="F2"/>
                <w:sz w:val="20"/>
                <w:szCs w:val="20"/>
              </w:rPr>
            </w:pPr>
            <w:r w:rsidRPr="00696EB4">
              <w:rPr>
                <w:rFonts w:ascii="Arial" w:hAnsi="Arial" w:cs="Arial"/>
                <w:b/>
                <w:bCs/>
                <w:color w:val="F2F2F2" w:themeColor="background1" w:themeShade="F2"/>
                <w:sz w:val="20"/>
                <w:szCs w:val="20"/>
              </w:rPr>
              <w:t xml:space="preserve">Total </w:t>
            </w:r>
            <w:r w:rsidR="00F43776">
              <w:rPr>
                <w:rFonts w:ascii="Arial" w:hAnsi="Arial" w:cs="Arial"/>
                <w:b/>
                <w:bCs/>
                <w:color w:val="F2F2F2" w:themeColor="background1" w:themeShade="F2"/>
                <w:sz w:val="20"/>
                <w:szCs w:val="20"/>
              </w:rPr>
              <w:t>r</w:t>
            </w:r>
            <w:r w:rsidRPr="00696EB4">
              <w:rPr>
                <w:rFonts w:ascii="Arial" w:hAnsi="Arial" w:cs="Arial"/>
                <w:b/>
                <w:bCs/>
                <w:color w:val="F2F2F2" w:themeColor="background1" w:themeShade="F2"/>
                <w:sz w:val="20"/>
                <w:szCs w:val="20"/>
              </w:rPr>
              <w:t xml:space="preserve">adiated </w:t>
            </w:r>
            <w:r w:rsidR="00F43776">
              <w:rPr>
                <w:rFonts w:ascii="Arial" w:hAnsi="Arial" w:cs="Arial"/>
                <w:b/>
                <w:bCs/>
                <w:color w:val="F2F2F2" w:themeColor="background1" w:themeShade="F2"/>
                <w:sz w:val="20"/>
                <w:szCs w:val="20"/>
              </w:rPr>
              <w:t>p</w:t>
            </w:r>
            <w:r w:rsidRPr="00696EB4">
              <w:rPr>
                <w:rFonts w:ascii="Arial" w:hAnsi="Arial" w:cs="Arial"/>
                <w:b/>
                <w:bCs/>
                <w:color w:val="F2F2F2" w:themeColor="background1" w:themeShade="F2"/>
                <w:sz w:val="20"/>
                <w:szCs w:val="20"/>
              </w:rPr>
              <w:t>ower (dBm) per cell/sector</w:t>
            </w:r>
          </w:p>
        </w:tc>
        <w:tc>
          <w:tcPr>
            <w:tcW w:w="1635" w:type="dxa"/>
            <w:shd w:val="clear" w:color="auto" w:fill="404040" w:themeFill="text1" w:themeFillTint="BF"/>
            <w:tcMar>
              <w:top w:w="0" w:type="dxa"/>
              <w:left w:w="108" w:type="dxa"/>
              <w:bottom w:w="0" w:type="dxa"/>
              <w:right w:w="108" w:type="dxa"/>
            </w:tcMar>
            <w:hideMark/>
          </w:tcPr>
          <w:p w14:paraId="040E4AF9" w14:textId="523121BA" w:rsidR="005810A1" w:rsidRPr="00696EB4" w:rsidRDefault="005810A1" w:rsidP="00AC67DA">
            <w:pPr>
              <w:pStyle w:val="ListParagraph"/>
              <w:spacing w:after="0"/>
              <w:ind w:left="0"/>
              <w:jc w:val="center"/>
              <w:rPr>
                <w:rFonts w:ascii="Arial" w:hAnsi="Arial" w:cs="Arial"/>
                <w:b/>
                <w:bCs/>
                <w:color w:val="F2F2F2" w:themeColor="background1" w:themeShade="F2"/>
                <w:sz w:val="20"/>
                <w:szCs w:val="20"/>
              </w:rPr>
            </w:pPr>
            <w:r w:rsidRPr="00696EB4">
              <w:rPr>
                <w:rFonts w:ascii="Arial" w:hAnsi="Arial" w:cs="Arial"/>
                <w:b/>
                <w:bCs/>
                <w:color w:val="F2F2F2" w:themeColor="background1" w:themeShade="F2"/>
                <w:sz w:val="20"/>
                <w:szCs w:val="20"/>
              </w:rPr>
              <w:t xml:space="preserve">Measurement </w:t>
            </w:r>
            <w:r w:rsidR="00F43776">
              <w:rPr>
                <w:rFonts w:ascii="Arial" w:hAnsi="Arial" w:cs="Arial"/>
                <w:b/>
                <w:bCs/>
                <w:color w:val="F2F2F2" w:themeColor="background1" w:themeShade="F2"/>
                <w:sz w:val="20"/>
                <w:szCs w:val="20"/>
              </w:rPr>
              <w:t>b</w:t>
            </w:r>
            <w:r w:rsidRPr="00696EB4">
              <w:rPr>
                <w:rFonts w:ascii="Arial" w:hAnsi="Arial" w:cs="Arial"/>
                <w:b/>
                <w:bCs/>
                <w:color w:val="F2F2F2" w:themeColor="background1" w:themeShade="F2"/>
                <w:sz w:val="20"/>
                <w:szCs w:val="20"/>
              </w:rPr>
              <w:t>andwidth</w:t>
            </w:r>
          </w:p>
        </w:tc>
      </w:tr>
      <w:tr w:rsidR="005810A1" w:rsidRPr="00602151" w14:paraId="16959489" w14:textId="77777777" w:rsidTr="00696EB4">
        <w:tc>
          <w:tcPr>
            <w:tcW w:w="2694" w:type="dxa"/>
            <w:tcMar>
              <w:top w:w="0" w:type="dxa"/>
              <w:left w:w="108" w:type="dxa"/>
              <w:bottom w:w="0" w:type="dxa"/>
              <w:right w:w="108" w:type="dxa"/>
            </w:tcMar>
            <w:hideMark/>
          </w:tcPr>
          <w:p w14:paraId="5826D056" w14:textId="77777777"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30 MHz ≤ f ≤ 1 GHz</w:t>
            </w:r>
          </w:p>
        </w:tc>
        <w:tc>
          <w:tcPr>
            <w:tcW w:w="2976" w:type="dxa"/>
            <w:tcMar>
              <w:top w:w="0" w:type="dxa"/>
              <w:left w:w="108" w:type="dxa"/>
              <w:bottom w:w="0" w:type="dxa"/>
              <w:right w:w="108" w:type="dxa"/>
            </w:tcMar>
            <w:hideMark/>
          </w:tcPr>
          <w:p w14:paraId="64134AE8" w14:textId="4FECFFCA"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w:t>
            </w:r>
            <w:r>
              <w:rPr>
                <w:rFonts w:ascii="Arial" w:hAnsi="Arial" w:cs="Arial"/>
                <w:sz w:val="20"/>
                <w:szCs w:val="20"/>
              </w:rPr>
              <w:t>27</w:t>
            </w:r>
          </w:p>
        </w:tc>
        <w:tc>
          <w:tcPr>
            <w:tcW w:w="1635" w:type="dxa"/>
            <w:tcMar>
              <w:top w:w="0" w:type="dxa"/>
              <w:left w:w="108" w:type="dxa"/>
              <w:bottom w:w="0" w:type="dxa"/>
              <w:right w:w="108" w:type="dxa"/>
            </w:tcMar>
            <w:hideMark/>
          </w:tcPr>
          <w:p w14:paraId="532D940D" w14:textId="77777777"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100 kHz</w:t>
            </w:r>
          </w:p>
        </w:tc>
      </w:tr>
      <w:tr w:rsidR="005810A1" w:rsidRPr="00602151" w14:paraId="76E5DAE4" w14:textId="77777777" w:rsidTr="00696EB4">
        <w:tc>
          <w:tcPr>
            <w:tcW w:w="2694" w:type="dxa"/>
            <w:shd w:val="clear" w:color="auto" w:fill="F2F2F2" w:themeFill="background1" w:themeFillShade="F2"/>
            <w:tcMar>
              <w:top w:w="0" w:type="dxa"/>
              <w:left w:w="108" w:type="dxa"/>
              <w:bottom w:w="0" w:type="dxa"/>
              <w:right w:w="108" w:type="dxa"/>
            </w:tcMar>
            <w:hideMark/>
          </w:tcPr>
          <w:p w14:paraId="03700F22" w14:textId="6BF62BFF"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 xml:space="preserve">1 GHz ≤ f ≤ </w:t>
            </w:r>
            <w:r w:rsidR="00BF3081">
              <w:rPr>
                <w:rFonts w:ascii="Arial" w:hAnsi="Arial" w:cs="Arial"/>
                <w:sz w:val="20"/>
                <w:szCs w:val="20"/>
              </w:rPr>
              <w:t>19</w:t>
            </w:r>
            <w:r w:rsidRPr="00847191">
              <w:rPr>
                <w:rFonts w:ascii="Arial" w:hAnsi="Arial" w:cs="Arial"/>
                <w:sz w:val="20"/>
                <w:szCs w:val="20"/>
              </w:rPr>
              <w:t xml:space="preserve"> GHz</w:t>
            </w:r>
          </w:p>
        </w:tc>
        <w:tc>
          <w:tcPr>
            <w:tcW w:w="2976" w:type="dxa"/>
            <w:shd w:val="clear" w:color="auto" w:fill="F2F2F2" w:themeFill="background1" w:themeFillShade="F2"/>
            <w:tcMar>
              <w:top w:w="0" w:type="dxa"/>
              <w:left w:w="108" w:type="dxa"/>
              <w:bottom w:w="0" w:type="dxa"/>
              <w:right w:w="108" w:type="dxa"/>
            </w:tcMar>
            <w:hideMark/>
          </w:tcPr>
          <w:p w14:paraId="7D014A23" w14:textId="77777777"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w:t>
            </w:r>
            <w:r>
              <w:rPr>
                <w:rFonts w:ascii="Arial" w:hAnsi="Arial" w:cs="Arial"/>
                <w:sz w:val="20"/>
                <w:szCs w:val="20"/>
              </w:rPr>
              <w:t>21</w:t>
            </w:r>
          </w:p>
        </w:tc>
        <w:tc>
          <w:tcPr>
            <w:tcW w:w="1635" w:type="dxa"/>
            <w:shd w:val="clear" w:color="auto" w:fill="F2F2F2" w:themeFill="background1" w:themeFillShade="F2"/>
            <w:tcMar>
              <w:top w:w="0" w:type="dxa"/>
              <w:left w:w="108" w:type="dxa"/>
              <w:bottom w:w="0" w:type="dxa"/>
              <w:right w:w="108" w:type="dxa"/>
            </w:tcMar>
            <w:hideMark/>
          </w:tcPr>
          <w:p w14:paraId="35862929" w14:textId="77777777" w:rsidR="005810A1" w:rsidRPr="00847191" w:rsidRDefault="005810A1" w:rsidP="00AC67DA">
            <w:pPr>
              <w:pStyle w:val="ListParagraph"/>
              <w:spacing w:after="0"/>
              <w:ind w:left="0"/>
              <w:jc w:val="center"/>
              <w:rPr>
                <w:rFonts w:ascii="Arial" w:hAnsi="Arial" w:cs="Arial"/>
                <w:sz w:val="20"/>
                <w:szCs w:val="20"/>
              </w:rPr>
            </w:pPr>
            <w:r w:rsidRPr="00847191">
              <w:rPr>
                <w:rFonts w:ascii="Arial" w:hAnsi="Arial" w:cs="Arial"/>
                <w:sz w:val="20"/>
                <w:szCs w:val="20"/>
              </w:rPr>
              <w:t>1 MHz</w:t>
            </w:r>
          </w:p>
        </w:tc>
      </w:tr>
    </w:tbl>
    <w:bookmarkEnd w:id="62"/>
    <w:p w14:paraId="2A455863" w14:textId="7102A8BD" w:rsidR="005810A1" w:rsidRPr="002E771A" w:rsidRDefault="00A9240B" w:rsidP="00696EB4">
      <w:pPr>
        <w:spacing w:before="240" w:after="60"/>
      </w:pPr>
      <w:r>
        <w:t>Considering these issues</w:t>
      </w:r>
      <w:r w:rsidR="00C84F5E">
        <w:t>, it is proposed to</w:t>
      </w:r>
      <w:r w:rsidR="004D3854">
        <w:t xml:space="preserve"> make the following changes to align with </w:t>
      </w:r>
      <w:r w:rsidR="002B6E20">
        <w:t xml:space="preserve">the latest versions of </w:t>
      </w:r>
      <w:r w:rsidR="004D3854">
        <w:t>3GPP 38.104</w:t>
      </w:r>
      <w:r w:rsidR="005810A1" w:rsidRPr="002E771A">
        <w:t>:</w:t>
      </w:r>
    </w:p>
    <w:p w14:paraId="415C966C" w14:textId="6C5C9AE9" w:rsidR="005810A1" w:rsidRPr="009317CD" w:rsidRDefault="00F43776" w:rsidP="005810A1">
      <w:pPr>
        <w:pStyle w:val="ListBullet"/>
      </w:pPr>
      <w:bookmarkStart w:id="66" w:name="_Hlk62112655"/>
      <w:r>
        <w:t>R</w:t>
      </w:r>
      <w:r w:rsidR="00C84F5E">
        <w:t>edefine the receiver</w:t>
      </w:r>
      <w:r w:rsidR="005810A1" w:rsidRPr="00847191">
        <w:t xml:space="preserve"> spurious emission </w:t>
      </w:r>
      <w:r w:rsidR="005810A1" w:rsidRPr="002F1AAD">
        <w:t xml:space="preserve">limits </w:t>
      </w:r>
      <w:r w:rsidR="00C84F5E">
        <w:t xml:space="preserve">for non-AAS </w:t>
      </w:r>
      <w:r w:rsidR="00C60C8B" w:rsidRPr="009317CD">
        <w:t>receiver</w:t>
      </w:r>
      <w:r w:rsidR="00A6661A" w:rsidRPr="009317CD">
        <w:t xml:space="preserve"> </w:t>
      </w:r>
      <w:r w:rsidR="005810A1" w:rsidRPr="009317CD">
        <w:t xml:space="preserve">in Table </w:t>
      </w:r>
      <w:r w:rsidR="008451F7" w:rsidRPr="009317CD">
        <w:t>4</w:t>
      </w:r>
      <w:r w:rsidR="005810A1" w:rsidRPr="009317CD">
        <w:t xml:space="preserve"> </w:t>
      </w:r>
      <w:r w:rsidR="00C84F5E" w:rsidRPr="009317CD">
        <w:t>in terms of mean power (rather than total radiated power)</w:t>
      </w:r>
      <w:r w:rsidR="005810A1" w:rsidRPr="009317CD">
        <w:t xml:space="preserve"> and clarify that the</w:t>
      </w:r>
      <w:r w:rsidR="00C84F5E" w:rsidRPr="009317CD">
        <w:t xml:space="preserve"> limits</w:t>
      </w:r>
      <w:r w:rsidR="005810A1" w:rsidRPr="009317CD">
        <w:t xml:space="preserve"> apply to individual receivers</w:t>
      </w:r>
      <w:r>
        <w:t>.</w:t>
      </w:r>
    </w:p>
    <w:p w14:paraId="18037984" w14:textId="6C6F0FE0" w:rsidR="005810A1" w:rsidRPr="009317CD" w:rsidRDefault="00F43776" w:rsidP="00696EB4">
      <w:pPr>
        <w:pStyle w:val="Bulletlevel1"/>
      </w:pPr>
      <w:r>
        <w:t>A</w:t>
      </w:r>
      <w:r w:rsidR="005810A1" w:rsidRPr="009317CD">
        <w:t xml:space="preserve">dopt the receiver spurious emission limits for AAS set out in Table </w:t>
      </w:r>
      <w:r w:rsidR="008451F7" w:rsidRPr="009317CD">
        <w:t>5</w:t>
      </w:r>
      <w:r>
        <w:t>.</w:t>
      </w:r>
    </w:p>
    <w:p w14:paraId="58596CFB" w14:textId="148734BA" w:rsidR="005810A1" w:rsidRDefault="00F43776" w:rsidP="00696EB4">
      <w:pPr>
        <w:pStyle w:val="Bulletlevel1last"/>
      </w:pPr>
      <w:r>
        <w:t>I</w:t>
      </w:r>
      <w:r w:rsidR="005810A1" w:rsidRPr="009317CD">
        <w:t xml:space="preserve">nclude a </w:t>
      </w:r>
      <w:r w:rsidR="00703353" w:rsidRPr="009317CD">
        <w:t>note</w:t>
      </w:r>
      <w:r w:rsidR="005810A1" w:rsidRPr="009317CD">
        <w:t xml:space="preserve"> to clarify that, for </w:t>
      </w:r>
      <w:r w:rsidR="000952A0" w:rsidRPr="009317CD">
        <w:t xml:space="preserve">time division duplex (TDD) </w:t>
      </w:r>
      <w:r w:rsidR="005810A1" w:rsidRPr="009317CD">
        <w:t>devices, the</w:t>
      </w:r>
      <w:r w:rsidR="005810A1" w:rsidRPr="00847191">
        <w:t xml:space="preserve"> receiver spurious emission limits only apply during periods the associated transmitter is not operating. </w:t>
      </w:r>
      <w:bookmarkEnd w:id="66"/>
      <w:r w:rsidR="00447883">
        <w:t xml:space="preserve">This is not clear on </w:t>
      </w:r>
      <w:r w:rsidR="00A9240B">
        <w:t xml:space="preserve">existing </w:t>
      </w:r>
      <w:r w:rsidR="00447883">
        <w:t xml:space="preserve">3.4 GHz spectrum licences. </w:t>
      </w:r>
    </w:p>
    <w:p w14:paraId="0E90A821" w14:textId="287432D0" w:rsidR="0025727E" w:rsidRDefault="0025727E" w:rsidP="0025727E">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pPr>
      <w:r>
        <w:t>Question 2</w:t>
      </w:r>
    </w:p>
    <w:p w14:paraId="5E8EA179" w14:textId="4F644737" w:rsidR="0025727E" w:rsidRDefault="00346287" w:rsidP="0025727E">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pPr>
      <w:bookmarkStart w:id="67" w:name="_Hlk77249383"/>
      <w:r>
        <w:t>Comment</w:t>
      </w:r>
      <w:r w:rsidR="0025727E">
        <w:t xml:space="preserve"> is sought on the </w:t>
      </w:r>
      <w:r w:rsidR="009C79DC">
        <w:t xml:space="preserve">proposed </w:t>
      </w:r>
      <w:r w:rsidR="0025727E">
        <w:t>change</w:t>
      </w:r>
      <w:r>
        <w:t>s</w:t>
      </w:r>
      <w:r w:rsidR="0025727E">
        <w:t xml:space="preserve"> to </w:t>
      </w:r>
      <w:r w:rsidR="00A6661A">
        <w:t xml:space="preserve">receiver </w:t>
      </w:r>
      <w:r w:rsidR="0025727E">
        <w:t xml:space="preserve">spurious emission limits on 3.4 GHz spectrum licences detailed in </w:t>
      </w:r>
      <w:r w:rsidR="00C60C8B">
        <w:t xml:space="preserve">Tables 4 and 5 for non-AAS and AAS receivers </w:t>
      </w:r>
      <w:r w:rsidR="00475DF0">
        <w:t>respectively</w:t>
      </w:r>
      <w:r w:rsidR="0025727E">
        <w:t>.</w:t>
      </w:r>
      <w:r w:rsidR="00F43776">
        <w:br/>
      </w:r>
    </w:p>
    <w:p w14:paraId="4F339593" w14:textId="77777777" w:rsidR="0025727E" w:rsidRPr="00602151" w:rsidRDefault="0025727E" w:rsidP="0025727E">
      <w:pPr>
        <w:pStyle w:val="Heading2"/>
      </w:pPr>
      <w:bookmarkStart w:id="68" w:name="_Toc80795875"/>
      <w:bookmarkEnd w:id="67"/>
      <w:r>
        <w:t>RALI MS44</w:t>
      </w:r>
      <w:bookmarkEnd w:id="68"/>
    </w:p>
    <w:p w14:paraId="7788B992" w14:textId="4B368296" w:rsidR="008919E5" w:rsidRDefault="008919E5" w:rsidP="008919E5">
      <w:pPr>
        <w:rPr>
          <w:rFonts w:cs="Arial"/>
        </w:rPr>
      </w:pPr>
      <w:r>
        <w:rPr>
          <w:rFonts w:cs="Arial"/>
        </w:rPr>
        <w:t xml:space="preserve">One of the </w:t>
      </w:r>
      <w:r w:rsidR="00DE033C">
        <w:rPr>
          <w:rFonts w:cs="Arial"/>
        </w:rPr>
        <w:t>conclusions from</w:t>
      </w:r>
      <w:r w:rsidR="00CC079B">
        <w:rPr>
          <w:rFonts w:cs="Arial"/>
        </w:rPr>
        <w:t xml:space="preserve"> </w:t>
      </w:r>
      <w:r>
        <w:rPr>
          <w:rFonts w:cs="Arial"/>
        </w:rPr>
        <w:t xml:space="preserve">the </w:t>
      </w:r>
      <w:r w:rsidR="00F43776">
        <w:rPr>
          <w:rFonts w:cs="Arial"/>
        </w:rPr>
        <w:t>o</w:t>
      </w:r>
      <w:r>
        <w:rPr>
          <w:rFonts w:cs="Arial"/>
        </w:rPr>
        <w:t xml:space="preserve">utcomes paper was that RALI MS44 would be amended to </w:t>
      </w:r>
      <w:bookmarkStart w:id="69" w:name="_Hlk78451971"/>
      <w:r>
        <w:rPr>
          <w:rFonts w:cs="Arial"/>
        </w:rPr>
        <w:t>include relevant parts of the 3400</w:t>
      </w:r>
      <w:r w:rsidR="00F43776">
        <w:rPr>
          <w:rFonts w:cs="Arial"/>
        </w:rPr>
        <w:t>–</w:t>
      </w:r>
      <w:r>
        <w:rPr>
          <w:rFonts w:cs="Arial"/>
        </w:rPr>
        <w:t xml:space="preserve">3575 MHz band </w:t>
      </w:r>
      <w:r>
        <w:rPr>
          <w:szCs w:val="20"/>
        </w:rPr>
        <w:t xml:space="preserve">to the list of frequencies offered protection at existing </w:t>
      </w:r>
      <w:bookmarkEnd w:id="69"/>
      <w:r w:rsidR="00006285">
        <w:rPr>
          <w:rFonts w:cs="Arial"/>
        </w:rPr>
        <w:t xml:space="preserve">east </w:t>
      </w:r>
      <w:r w:rsidR="00006285">
        <w:rPr>
          <w:szCs w:val="20"/>
        </w:rPr>
        <w:t xml:space="preserve">Australian </w:t>
      </w:r>
      <w:r>
        <w:rPr>
          <w:rFonts w:cs="Arial"/>
        </w:rPr>
        <w:t xml:space="preserve">ESPZs </w:t>
      </w:r>
      <w:r>
        <w:rPr>
          <w:szCs w:val="20"/>
        </w:rPr>
        <w:t xml:space="preserve">as well as the Uralla earth station facility. </w:t>
      </w:r>
      <w:bookmarkStart w:id="70" w:name="_Hlk78452025"/>
      <w:r>
        <w:rPr>
          <w:szCs w:val="20"/>
        </w:rPr>
        <w:t>Importantly, those parts of the 3400</w:t>
      </w:r>
      <w:r w:rsidR="00F43776">
        <w:rPr>
          <w:szCs w:val="20"/>
        </w:rPr>
        <w:t>–</w:t>
      </w:r>
      <w:r>
        <w:rPr>
          <w:szCs w:val="20"/>
        </w:rPr>
        <w:t>3575 MHz band currently subject to spectrum licensing</w:t>
      </w:r>
      <w:r w:rsidR="004C3822">
        <w:rPr>
          <w:szCs w:val="20"/>
        </w:rPr>
        <w:t>,</w:t>
      </w:r>
      <w:r>
        <w:rPr>
          <w:szCs w:val="20"/>
        </w:rPr>
        <w:t xml:space="preserve"> or proposed for conversion to spectrum licensing</w:t>
      </w:r>
      <w:r w:rsidR="004C3822">
        <w:rPr>
          <w:szCs w:val="20"/>
        </w:rPr>
        <w:t>,</w:t>
      </w:r>
      <w:r>
        <w:rPr>
          <w:szCs w:val="20"/>
        </w:rPr>
        <w:t xml:space="preserve"> would not be included.</w:t>
      </w:r>
      <w:r w:rsidRPr="008919E5">
        <w:rPr>
          <w:szCs w:val="20"/>
        </w:rPr>
        <w:t xml:space="preserve"> </w:t>
      </w:r>
      <w:bookmarkEnd w:id="70"/>
      <w:r>
        <w:rPr>
          <w:szCs w:val="20"/>
        </w:rPr>
        <w:t>It is noted that the entire 3400</w:t>
      </w:r>
      <w:r w:rsidR="00F43776">
        <w:rPr>
          <w:szCs w:val="20"/>
        </w:rPr>
        <w:t>–</w:t>
      </w:r>
      <w:r>
        <w:rPr>
          <w:szCs w:val="20"/>
        </w:rPr>
        <w:t xml:space="preserve">4200 MHz band is currently offered protection at the Mingenew ESPZ in Western Australia. Consequently, </w:t>
      </w:r>
      <w:r w:rsidR="00CC079B">
        <w:rPr>
          <w:szCs w:val="20"/>
        </w:rPr>
        <w:t xml:space="preserve">this ESPZ </w:t>
      </w:r>
      <w:r>
        <w:rPr>
          <w:szCs w:val="20"/>
        </w:rPr>
        <w:t>did not need to be considered in the review of RALI MS44.</w:t>
      </w:r>
    </w:p>
    <w:p w14:paraId="50592298" w14:textId="2DEB70A5" w:rsidR="00A47FA9" w:rsidRDefault="00A47FA9" w:rsidP="00696EB4">
      <w:pPr>
        <w:pStyle w:val="Paragraphbeforelist"/>
      </w:pPr>
      <w:r>
        <w:t>The following frequency ranges within the 3400</w:t>
      </w:r>
      <w:r w:rsidR="00F43776">
        <w:t>–</w:t>
      </w:r>
      <w:r>
        <w:t xml:space="preserve">3575 MHz band cannot be included into RALI MS44 </w:t>
      </w:r>
      <w:r w:rsidR="004D3854">
        <w:t>as pre</w:t>
      </w:r>
      <w:r w:rsidR="005B755F">
        <w:t>vious</w:t>
      </w:r>
      <w:r w:rsidR="004D3854">
        <w:t xml:space="preserve"> ACMA </w:t>
      </w:r>
      <w:r w:rsidR="005B755F">
        <w:t xml:space="preserve">and Ministerial </w:t>
      </w:r>
      <w:r w:rsidR="004D3854">
        <w:t>decisions have made them available for spectrum licensing</w:t>
      </w:r>
      <w:r>
        <w:t>:</w:t>
      </w:r>
    </w:p>
    <w:p w14:paraId="13D3F442" w14:textId="3AA82EEE" w:rsidR="0025727E" w:rsidRPr="00A47FA9" w:rsidRDefault="00A47FA9" w:rsidP="00696EB4">
      <w:pPr>
        <w:pStyle w:val="Bulletlevel1"/>
      </w:pPr>
      <w:r>
        <w:rPr>
          <w:szCs w:val="20"/>
        </w:rPr>
        <w:t xml:space="preserve">The </w:t>
      </w:r>
      <w:r w:rsidR="0025727E" w:rsidRPr="00A47FA9">
        <w:t>3442.5</w:t>
      </w:r>
      <w:r w:rsidR="00F43776">
        <w:t>–</w:t>
      </w:r>
      <w:r w:rsidR="0025727E" w:rsidRPr="00A47FA9">
        <w:t>3475 MHz and 3542.5</w:t>
      </w:r>
      <w:r w:rsidR="00F43776">
        <w:t>–</w:t>
      </w:r>
      <w:r w:rsidR="0025727E" w:rsidRPr="00A47FA9">
        <w:t>3575 MHz</w:t>
      </w:r>
      <w:r w:rsidRPr="00A47FA9">
        <w:t xml:space="preserve"> frequency ranges</w:t>
      </w:r>
      <w:r w:rsidR="00F43776">
        <w:t>.</w:t>
      </w:r>
      <w:r w:rsidRPr="00A47FA9">
        <w:t xml:space="preserve"> These </w:t>
      </w:r>
      <w:r w:rsidR="0025727E" w:rsidRPr="00A47FA9">
        <w:t xml:space="preserve">are </w:t>
      </w:r>
      <w:r w:rsidR="004C3822">
        <w:t xml:space="preserve">currently </w:t>
      </w:r>
      <w:r w:rsidR="0025727E" w:rsidRPr="00A47FA9">
        <w:t xml:space="preserve">subject to spectrum licensing in metropolitan and regional areas. </w:t>
      </w:r>
      <w:r w:rsidRPr="00A47FA9">
        <w:t>They</w:t>
      </w:r>
      <w:r w:rsidR="0025727E" w:rsidRPr="00A47FA9">
        <w:t xml:space="preserve"> were re-allocated for the issue of spectrum licences in the year 2000. The area covered by existing licences encompasses all </w:t>
      </w:r>
      <w:r w:rsidRPr="00A47FA9">
        <w:t>e</w:t>
      </w:r>
      <w:r w:rsidR="0025727E" w:rsidRPr="00A47FA9">
        <w:t>ast</w:t>
      </w:r>
      <w:r w:rsidRPr="00A47FA9">
        <w:t xml:space="preserve"> </w:t>
      </w:r>
      <w:r w:rsidR="0025727E" w:rsidRPr="00A47FA9">
        <w:t>coast ESPZs</w:t>
      </w:r>
      <w:r>
        <w:t xml:space="preserve"> as well as the Uralla earth station facility</w:t>
      </w:r>
      <w:r w:rsidR="0025727E" w:rsidRPr="00A47FA9">
        <w:t xml:space="preserve">. </w:t>
      </w:r>
    </w:p>
    <w:p w14:paraId="454E49EA" w14:textId="48DD53F2" w:rsidR="0025727E" w:rsidRPr="009317CD" w:rsidRDefault="00A47FA9" w:rsidP="00696EB4">
      <w:pPr>
        <w:pStyle w:val="Bulletlevel1last"/>
      </w:pPr>
      <w:r>
        <w:t xml:space="preserve">The </w:t>
      </w:r>
      <w:r w:rsidRPr="00A47FA9">
        <w:t>3400</w:t>
      </w:r>
      <w:r w:rsidR="00F43776">
        <w:t>–</w:t>
      </w:r>
      <w:r w:rsidRPr="00A47FA9">
        <w:t>3442.5 MHz and 3510</w:t>
      </w:r>
      <w:r w:rsidR="00F43776">
        <w:t>–</w:t>
      </w:r>
      <w:r w:rsidRPr="00A47FA9">
        <w:t xml:space="preserve">3542.5 MHz </w:t>
      </w:r>
      <w:r>
        <w:t>frequency ranges</w:t>
      </w:r>
      <w:r w:rsidR="00F43776">
        <w:t>.</w:t>
      </w:r>
      <w:r>
        <w:t xml:space="preserve"> </w:t>
      </w:r>
      <w:r w:rsidR="0025727E" w:rsidRPr="00A47FA9">
        <w:t xml:space="preserve">In December 2020, the Minister for Communications, Urban Infrastructure, Cities and the Arts made the </w:t>
      </w:r>
      <w:bookmarkStart w:id="71" w:name="_Hlk78452071"/>
      <w:r w:rsidR="002C5D44" w:rsidRPr="00495E5F">
        <w:rPr>
          <w:rFonts w:cs="Times New Roman"/>
        </w:rPr>
        <w:fldChar w:fldCharType="begin"/>
      </w:r>
      <w:r w:rsidR="002C5D44">
        <w:instrText xml:space="preserve"> HYPERLINK "https://www.legislation.gov.au/Details/F2020L01661" </w:instrText>
      </w:r>
      <w:r w:rsidR="002C5D44" w:rsidRPr="00495E5F">
        <w:fldChar w:fldCharType="separate"/>
      </w:r>
      <w:r w:rsidR="0025727E" w:rsidRPr="00F43776">
        <w:rPr>
          <w:rStyle w:val="Hyperlink"/>
          <w:i/>
          <w:iCs/>
          <w:szCs w:val="20"/>
        </w:rPr>
        <w:t xml:space="preserve">Radiocommunications (Spectrum Designation—3.4 GHz Band) </w:t>
      </w:r>
      <w:r w:rsidR="00F43776">
        <w:rPr>
          <w:rStyle w:val="Hyperlink"/>
          <w:i/>
          <w:iCs/>
          <w:szCs w:val="20"/>
        </w:rPr>
        <w:br/>
      </w:r>
      <w:r w:rsidR="0025727E" w:rsidRPr="00F43776">
        <w:rPr>
          <w:rStyle w:val="Hyperlink"/>
          <w:i/>
          <w:iCs/>
          <w:szCs w:val="20"/>
        </w:rPr>
        <w:t>Notice 2020</w:t>
      </w:r>
      <w:r w:rsidR="002C5D44" w:rsidRPr="00495E5F">
        <w:rPr>
          <w:rStyle w:val="Hyperlink"/>
          <w:i/>
          <w:iCs/>
          <w:szCs w:val="20"/>
        </w:rPr>
        <w:fldChar w:fldCharType="end"/>
      </w:r>
      <w:bookmarkEnd w:id="71"/>
      <w:r w:rsidR="0025727E" w:rsidRPr="00A47FA9">
        <w:t xml:space="preserve"> (3.4 GHz designation notice). The intention of this designation notice was to enable the conversion of NBN Co’s 3.5 GHz Public Telecommunications Service (PTS) apparatus licences to spectrum licences. The associated conversion process was completed on 7 July 2021. The </w:t>
      </w:r>
      <w:r>
        <w:t xml:space="preserve">resulting </w:t>
      </w:r>
      <w:r w:rsidR="0025727E" w:rsidRPr="00A47FA9">
        <w:t>licences issued to NBN Co encompass significant portions of the Quirindi ESPZ in the 3400</w:t>
      </w:r>
      <w:r w:rsidR="00F43776">
        <w:t>–</w:t>
      </w:r>
      <w:r w:rsidR="0025727E" w:rsidRPr="00A47FA9">
        <w:t>3442.5 MHz and 3510</w:t>
      </w:r>
      <w:r w:rsidR="00F43776">
        <w:t>–</w:t>
      </w:r>
      <w:r w:rsidR="0025727E" w:rsidRPr="009317CD">
        <w:t>3542.5 MHz bands.</w:t>
      </w:r>
      <w:r w:rsidRPr="009317CD">
        <w:t xml:space="preserve"> Other ESPZs and the Uralla earth station facility are not contained within spectrum licences issued.</w:t>
      </w:r>
      <w:r w:rsidR="0025727E" w:rsidRPr="009317CD">
        <w:t xml:space="preserve"> </w:t>
      </w:r>
    </w:p>
    <w:p w14:paraId="7AD6D849" w14:textId="27AF3E27" w:rsidR="0025727E" w:rsidRPr="007936AF" w:rsidRDefault="0025727E" w:rsidP="0025727E">
      <w:r w:rsidRPr="009317CD">
        <w:t>Table 6 summarises the segments of the 3400</w:t>
      </w:r>
      <w:r w:rsidR="00610CDE">
        <w:t>–</w:t>
      </w:r>
      <w:r w:rsidRPr="009317CD">
        <w:t>3575 MHz</w:t>
      </w:r>
      <w:r w:rsidR="007936AF" w:rsidRPr="009317CD">
        <w:t xml:space="preserve"> frequency range</w:t>
      </w:r>
      <w:r w:rsidRPr="009317CD">
        <w:t xml:space="preserve"> that are proposed for inclusion</w:t>
      </w:r>
      <w:r>
        <w:t xml:space="preserve"> into RALI MS44 for each ESPZ </w:t>
      </w:r>
      <w:r>
        <w:rPr>
          <w:szCs w:val="20"/>
        </w:rPr>
        <w:t xml:space="preserve">as well as the Uralla earth </w:t>
      </w:r>
      <w:r w:rsidRPr="0025727E">
        <w:rPr>
          <w:szCs w:val="20"/>
        </w:rPr>
        <w:t>station facility.</w:t>
      </w:r>
      <w:r w:rsidR="00A47FA9">
        <w:rPr>
          <w:szCs w:val="20"/>
        </w:rPr>
        <w:t xml:space="preserve"> </w:t>
      </w:r>
      <w:r w:rsidR="007936AF">
        <w:t xml:space="preserve">These are included in a draft update to RALI MS44 provided at </w:t>
      </w:r>
      <w:r w:rsidR="007936AF" w:rsidRPr="00696EB4">
        <w:t>Appendix C</w:t>
      </w:r>
      <w:r w:rsidR="00610CDE">
        <w:t xml:space="preserve"> (found separately in key documents section of this consultation)</w:t>
      </w:r>
      <w:r w:rsidR="007936AF">
        <w:t xml:space="preserve">. </w:t>
      </w:r>
    </w:p>
    <w:p w14:paraId="038E7675" w14:textId="7C4F17D9" w:rsidR="0025727E" w:rsidRPr="0025727E" w:rsidRDefault="0025727E" w:rsidP="0025727E">
      <w:pPr>
        <w:pStyle w:val="Tableheading"/>
      </w:pPr>
      <w:r w:rsidRPr="0025727E">
        <w:t xml:space="preserve">  </w:t>
      </w:r>
      <w:r>
        <w:t xml:space="preserve">Frequency ranges proposed for inclusion into RALI MS44 </w:t>
      </w:r>
      <w:r w:rsidR="00610CDE">
        <w:t>(</w:t>
      </w:r>
      <w:r>
        <w:t>Note 1</w:t>
      </w:r>
      <w:r w:rsidR="00610CDE">
        <w:t>)</w:t>
      </w:r>
    </w:p>
    <w:tbl>
      <w:tblPr>
        <w:tblStyle w:val="ACMAtablestyle"/>
        <w:tblW w:w="6658" w:type="dxa"/>
        <w:tblLayout w:type="fixed"/>
        <w:tblLook w:val="01E0" w:firstRow="1" w:lastRow="1" w:firstColumn="1" w:lastColumn="1" w:noHBand="0" w:noVBand="0"/>
        <w:tblCaption w:val="Table title to go here"/>
        <w:tblDescription w:val="Table description to go here"/>
      </w:tblPr>
      <w:tblGrid>
        <w:gridCol w:w="2122"/>
        <w:gridCol w:w="4536"/>
      </w:tblGrid>
      <w:tr w:rsidR="0025727E" w:rsidRPr="0025727E" w14:paraId="0E7254A4" w14:textId="77777777" w:rsidTr="0025727E">
        <w:trPr>
          <w:cnfStyle w:val="100000000000" w:firstRow="1" w:lastRow="0" w:firstColumn="0" w:lastColumn="0" w:oddVBand="0" w:evenVBand="0" w:oddHBand="0" w:evenHBand="0" w:firstRowFirstColumn="0" w:firstRowLastColumn="0" w:lastRowFirstColumn="0" w:lastRowLastColumn="0"/>
        </w:trPr>
        <w:tc>
          <w:tcPr>
            <w:tcW w:w="2122" w:type="dxa"/>
          </w:tcPr>
          <w:p w14:paraId="0B6307ED" w14:textId="09BF0329" w:rsidR="0025727E" w:rsidRPr="0025727E" w:rsidRDefault="0025727E" w:rsidP="006D02C9">
            <w:pPr>
              <w:pStyle w:val="Tableheaderrow"/>
            </w:pPr>
            <w:r>
              <w:t>ESPZ</w:t>
            </w:r>
          </w:p>
        </w:tc>
        <w:tc>
          <w:tcPr>
            <w:tcW w:w="4536" w:type="dxa"/>
          </w:tcPr>
          <w:p w14:paraId="7133C305" w14:textId="368354EB" w:rsidR="0025727E" w:rsidRPr="0025727E" w:rsidRDefault="0025727E" w:rsidP="006D02C9">
            <w:pPr>
              <w:pStyle w:val="Tableheaderrow"/>
            </w:pPr>
            <w:r>
              <w:t>Frequency ranges</w:t>
            </w:r>
          </w:p>
        </w:tc>
      </w:tr>
      <w:tr w:rsidR="0025727E" w:rsidRPr="0025727E" w14:paraId="64D3F987" w14:textId="77777777" w:rsidTr="0025727E">
        <w:trPr>
          <w:cnfStyle w:val="000000100000" w:firstRow="0" w:lastRow="0" w:firstColumn="0" w:lastColumn="0" w:oddVBand="0" w:evenVBand="0" w:oddHBand="1" w:evenHBand="0" w:firstRowFirstColumn="0" w:firstRowLastColumn="0" w:lastRowFirstColumn="0" w:lastRowLastColumn="0"/>
        </w:trPr>
        <w:tc>
          <w:tcPr>
            <w:tcW w:w="2122" w:type="dxa"/>
          </w:tcPr>
          <w:p w14:paraId="5325C1B0" w14:textId="3CF950D5" w:rsidR="0025727E" w:rsidRPr="0025727E" w:rsidRDefault="0025727E" w:rsidP="006D02C9">
            <w:pPr>
              <w:pStyle w:val="TableBody"/>
            </w:pPr>
            <w:r>
              <w:t>Moree</w:t>
            </w:r>
          </w:p>
        </w:tc>
        <w:tc>
          <w:tcPr>
            <w:tcW w:w="4536" w:type="dxa"/>
          </w:tcPr>
          <w:p w14:paraId="6A8459EC" w14:textId="29927D9C" w:rsidR="0025727E" w:rsidRPr="0025727E" w:rsidRDefault="00A47FA9" w:rsidP="006D02C9">
            <w:pPr>
              <w:pStyle w:val="TableBody"/>
            </w:pPr>
            <w:r>
              <w:t>3400</w:t>
            </w:r>
            <w:r w:rsidR="00610CDE">
              <w:t>–</w:t>
            </w:r>
            <w:r>
              <w:t>3442.5 MHz, 3475</w:t>
            </w:r>
            <w:r w:rsidR="00610CDE">
              <w:t>–</w:t>
            </w:r>
            <w:r>
              <w:t>3542.5 MHz</w:t>
            </w:r>
          </w:p>
        </w:tc>
      </w:tr>
      <w:tr w:rsidR="0025727E" w:rsidRPr="0025727E" w14:paraId="7758085E" w14:textId="77777777" w:rsidTr="0025727E">
        <w:trPr>
          <w:cnfStyle w:val="000000010000" w:firstRow="0" w:lastRow="0" w:firstColumn="0" w:lastColumn="0" w:oddVBand="0" w:evenVBand="0" w:oddHBand="0" w:evenHBand="1" w:firstRowFirstColumn="0" w:firstRowLastColumn="0" w:lastRowFirstColumn="0" w:lastRowLastColumn="0"/>
        </w:trPr>
        <w:tc>
          <w:tcPr>
            <w:tcW w:w="2122" w:type="dxa"/>
          </w:tcPr>
          <w:p w14:paraId="33188E14" w14:textId="523C6320" w:rsidR="0025727E" w:rsidRPr="0025727E" w:rsidRDefault="0025727E" w:rsidP="006D02C9">
            <w:pPr>
              <w:pStyle w:val="TableBody"/>
            </w:pPr>
            <w:r>
              <w:t>Roma</w:t>
            </w:r>
          </w:p>
        </w:tc>
        <w:tc>
          <w:tcPr>
            <w:tcW w:w="4536" w:type="dxa"/>
          </w:tcPr>
          <w:p w14:paraId="500F6D88" w14:textId="119E4B13" w:rsidR="0025727E" w:rsidRPr="0025727E" w:rsidRDefault="00A47FA9" w:rsidP="006D02C9">
            <w:pPr>
              <w:pStyle w:val="TableBody"/>
            </w:pPr>
            <w:r>
              <w:t>3400</w:t>
            </w:r>
            <w:r w:rsidR="00610CDE">
              <w:t>–</w:t>
            </w:r>
            <w:r>
              <w:t>3442.5 MHz, 3475</w:t>
            </w:r>
            <w:r w:rsidR="00610CDE">
              <w:t>–</w:t>
            </w:r>
            <w:r>
              <w:t>3542.5 MHz</w:t>
            </w:r>
          </w:p>
        </w:tc>
      </w:tr>
      <w:tr w:rsidR="0025727E" w:rsidRPr="0025727E" w14:paraId="1A347888" w14:textId="77777777" w:rsidTr="0025727E">
        <w:trPr>
          <w:cnfStyle w:val="000000100000" w:firstRow="0" w:lastRow="0" w:firstColumn="0" w:lastColumn="0" w:oddVBand="0" w:evenVBand="0" w:oddHBand="1" w:evenHBand="0" w:firstRowFirstColumn="0" w:firstRowLastColumn="0" w:lastRowFirstColumn="0" w:lastRowLastColumn="0"/>
        </w:trPr>
        <w:tc>
          <w:tcPr>
            <w:tcW w:w="2122" w:type="dxa"/>
          </w:tcPr>
          <w:p w14:paraId="0745EAE0" w14:textId="2A566BE8" w:rsidR="0025727E" w:rsidRPr="0025727E" w:rsidRDefault="0025727E" w:rsidP="006D02C9">
            <w:pPr>
              <w:pStyle w:val="TableBody"/>
            </w:pPr>
            <w:r>
              <w:t>Quirindi</w:t>
            </w:r>
          </w:p>
        </w:tc>
        <w:tc>
          <w:tcPr>
            <w:tcW w:w="4536" w:type="dxa"/>
          </w:tcPr>
          <w:p w14:paraId="20503612" w14:textId="5D73C88D" w:rsidR="0025727E" w:rsidRPr="0025727E" w:rsidRDefault="00A47FA9" w:rsidP="006D02C9">
            <w:pPr>
              <w:pStyle w:val="TableBody"/>
            </w:pPr>
            <w:r>
              <w:t>N/A</w:t>
            </w:r>
          </w:p>
        </w:tc>
      </w:tr>
      <w:tr w:rsidR="0025727E" w:rsidRPr="0025727E" w14:paraId="266035EB" w14:textId="77777777" w:rsidTr="0025727E">
        <w:trPr>
          <w:cnfStyle w:val="000000010000" w:firstRow="0" w:lastRow="0" w:firstColumn="0" w:lastColumn="0" w:oddVBand="0" w:evenVBand="0" w:oddHBand="0" w:evenHBand="1" w:firstRowFirstColumn="0" w:firstRowLastColumn="0" w:lastRowFirstColumn="0" w:lastRowLastColumn="0"/>
        </w:trPr>
        <w:tc>
          <w:tcPr>
            <w:tcW w:w="2122" w:type="dxa"/>
          </w:tcPr>
          <w:p w14:paraId="1BCC8AE0" w14:textId="1F196F4B" w:rsidR="0025727E" w:rsidRPr="0025727E" w:rsidRDefault="0025727E" w:rsidP="006D02C9">
            <w:pPr>
              <w:pStyle w:val="TableBody"/>
            </w:pPr>
            <w:r>
              <w:t>Uralla</w:t>
            </w:r>
          </w:p>
        </w:tc>
        <w:tc>
          <w:tcPr>
            <w:tcW w:w="4536" w:type="dxa"/>
          </w:tcPr>
          <w:p w14:paraId="10F872FE" w14:textId="7C81E37A" w:rsidR="0025727E" w:rsidRPr="0025727E" w:rsidRDefault="00A47FA9" w:rsidP="006D02C9">
            <w:pPr>
              <w:pStyle w:val="TableBody"/>
            </w:pPr>
            <w:r>
              <w:t>3400</w:t>
            </w:r>
            <w:r w:rsidR="00610CDE">
              <w:t>–</w:t>
            </w:r>
            <w:r>
              <w:t>3442.5 MHz, 3475</w:t>
            </w:r>
            <w:r w:rsidR="00610CDE">
              <w:t>–</w:t>
            </w:r>
            <w:r>
              <w:t>3542.5 MHz</w:t>
            </w:r>
          </w:p>
        </w:tc>
      </w:tr>
    </w:tbl>
    <w:p w14:paraId="6A00C070" w14:textId="3A447BD7" w:rsidR="0025727E" w:rsidRPr="0025727E" w:rsidRDefault="0025727E" w:rsidP="00A47FA9">
      <w:pPr>
        <w:pStyle w:val="Tableorfigurenote"/>
        <w:spacing w:after="360"/>
        <w:ind w:right="1575"/>
      </w:pPr>
      <w:r>
        <w:t xml:space="preserve">Note 1: The </w:t>
      </w:r>
      <w:r>
        <w:rPr>
          <w:szCs w:val="20"/>
        </w:rPr>
        <w:t>entire 3400</w:t>
      </w:r>
      <w:r w:rsidR="00610CDE">
        <w:rPr>
          <w:szCs w:val="20"/>
        </w:rPr>
        <w:t>–</w:t>
      </w:r>
      <w:r>
        <w:rPr>
          <w:szCs w:val="20"/>
        </w:rPr>
        <w:t>4200 MHz band is currently offered protection at the Mingenew ESPZ in Western Australia</w:t>
      </w:r>
      <w:r w:rsidRPr="0025727E">
        <w:t>.</w:t>
      </w:r>
    </w:p>
    <w:p w14:paraId="44C7B3DA" w14:textId="19B1458B" w:rsidR="0025727E" w:rsidRDefault="0025727E" w:rsidP="0025727E">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pPr>
      <w:r>
        <w:t>Question 3</w:t>
      </w:r>
    </w:p>
    <w:p w14:paraId="3C4B7C00" w14:textId="11C8B3A3" w:rsidR="0025727E" w:rsidRPr="00602151" w:rsidRDefault="00346287" w:rsidP="00F67B7A">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tabs>
          <w:tab w:val="left" w:pos="4536"/>
        </w:tabs>
      </w:pPr>
      <w:bookmarkStart w:id="72" w:name="_Hlk77249431"/>
      <w:r>
        <w:t>Comment</w:t>
      </w:r>
      <w:r w:rsidR="0025727E">
        <w:t xml:space="preserve"> is sought on the draft amendments to RALI MS44</w:t>
      </w:r>
      <w:r w:rsidR="007936AF">
        <w:t xml:space="preserve"> contained in </w:t>
      </w:r>
      <w:r w:rsidR="007936AF" w:rsidRPr="00696EB4">
        <w:t>Appendix C</w:t>
      </w:r>
      <w:r w:rsidR="00610CDE">
        <w:t xml:space="preserve"> (found separately in key documents section of this consultation)</w:t>
      </w:r>
      <w:r w:rsidR="0025727E">
        <w:t>.</w:t>
      </w:r>
      <w:r w:rsidR="00610CDE">
        <w:br/>
      </w:r>
      <w:r w:rsidR="0025727E">
        <w:t xml:space="preserve">  </w:t>
      </w:r>
    </w:p>
    <w:bookmarkEnd w:id="72"/>
    <w:p w14:paraId="55AFAAAD" w14:textId="77777777" w:rsidR="0025727E" w:rsidRDefault="0025727E" w:rsidP="005810A1">
      <w:pPr>
        <w:pStyle w:val="Paragraph"/>
      </w:pPr>
    </w:p>
    <w:p w14:paraId="66D385A7" w14:textId="1042B0A8" w:rsidR="00F065F2" w:rsidRPr="00C35CCE" w:rsidRDefault="00F065F2" w:rsidP="00F065F2">
      <w:pPr>
        <w:pStyle w:val="Heading1"/>
      </w:pPr>
      <w:bookmarkStart w:id="73" w:name="_Toc80795876"/>
      <w:r>
        <w:t xml:space="preserve">Options for use of </w:t>
      </w:r>
      <w:r w:rsidR="00A72E4C">
        <w:t xml:space="preserve">spectrum in </w:t>
      </w:r>
      <w:r>
        <w:t>urban excise areas</w:t>
      </w:r>
      <w:bookmarkEnd w:id="73"/>
      <w:r w:rsidRPr="00C35CCE">
        <w:t xml:space="preserve"> </w:t>
      </w:r>
    </w:p>
    <w:p w14:paraId="23F1D05E" w14:textId="109EF4E7" w:rsidR="001C4E67" w:rsidRDefault="00533D97" w:rsidP="00696EB4">
      <w:pPr>
        <w:pStyle w:val="Paragraphbeforelist"/>
      </w:pPr>
      <w:r>
        <w:t xml:space="preserve">This section </w:t>
      </w:r>
      <w:r w:rsidR="00877386">
        <w:t xml:space="preserve">identifies and </w:t>
      </w:r>
      <w:r>
        <w:t xml:space="preserve">assesses </w:t>
      </w:r>
      <w:r w:rsidR="00877386">
        <w:t>planning and licensing</w:t>
      </w:r>
      <w:r>
        <w:t xml:space="preserve"> options for </w:t>
      </w:r>
      <w:r w:rsidR="00DA45AD">
        <w:t xml:space="preserve">making </w:t>
      </w:r>
      <w:r w:rsidR="008C1C76">
        <w:t xml:space="preserve">spectrum in </w:t>
      </w:r>
      <w:r>
        <w:t>urban excise areas</w:t>
      </w:r>
      <w:r w:rsidR="00DA45AD">
        <w:t xml:space="preserve"> available for </w:t>
      </w:r>
      <w:r w:rsidR="00877386">
        <w:t>wireless broadband use</w:t>
      </w:r>
      <w:r>
        <w:t xml:space="preserve">. </w:t>
      </w:r>
      <w:r w:rsidR="001C4E67">
        <w:t xml:space="preserve">Two </w:t>
      </w:r>
      <w:r w:rsidR="00AC3962">
        <w:t>technical</w:t>
      </w:r>
      <w:bookmarkStart w:id="74" w:name="_Hlk76114286"/>
      <w:r w:rsidR="001C4E67">
        <w:t xml:space="preserve"> deployment scenarios</w:t>
      </w:r>
      <w:r>
        <w:t xml:space="preserve"> inside urban excise areas</w:t>
      </w:r>
      <w:r w:rsidR="001C4E67">
        <w:t xml:space="preserve"> </w:t>
      </w:r>
      <w:r w:rsidR="009641A9">
        <w:t>were</w:t>
      </w:r>
      <w:r w:rsidR="001C4E67">
        <w:t xml:space="preserve"> considered</w:t>
      </w:r>
      <w:r>
        <w:t xml:space="preserve"> when developing </w:t>
      </w:r>
      <w:r w:rsidR="009641A9">
        <w:t>these options</w:t>
      </w:r>
      <w:r w:rsidR="001C4E67">
        <w:t>:</w:t>
      </w:r>
    </w:p>
    <w:p w14:paraId="0ED37414" w14:textId="77777777" w:rsidR="001C4E67" w:rsidRPr="001C4E67" w:rsidRDefault="001C4E67" w:rsidP="00696EB4">
      <w:pPr>
        <w:pStyle w:val="Bulletlevel1"/>
      </w:pPr>
      <w:r w:rsidRPr="001C4E67">
        <w:t>a macro-cell</w:t>
      </w:r>
      <w:r w:rsidRPr="001C4E67">
        <w:rPr>
          <w:vertAlign w:val="superscript"/>
        </w:rPr>
        <w:footnoteReference w:id="12"/>
      </w:r>
      <w:r w:rsidRPr="001C4E67">
        <w:t xml:space="preserve"> scenario </w:t>
      </w:r>
    </w:p>
    <w:p w14:paraId="6118D325" w14:textId="3F8F7B45" w:rsidR="001C4E67" w:rsidRPr="001C4E67" w:rsidRDefault="001C4E67" w:rsidP="00696EB4">
      <w:pPr>
        <w:pStyle w:val="Bulletlevel1last"/>
      </w:pPr>
      <w:r w:rsidRPr="001C4E67">
        <w:t>a restricted cell</w:t>
      </w:r>
      <w:r w:rsidRPr="001C4E67">
        <w:rPr>
          <w:vertAlign w:val="superscript"/>
        </w:rPr>
        <w:footnoteReference w:id="13"/>
      </w:r>
      <w:r w:rsidRPr="001C4E67">
        <w:t xml:space="preserve"> scenario. </w:t>
      </w:r>
      <w:bookmarkEnd w:id="74"/>
    </w:p>
    <w:p w14:paraId="209D9E4D" w14:textId="015CB4FA" w:rsidR="00AC3962" w:rsidRDefault="00AC3962" w:rsidP="00696EB4">
      <w:pPr>
        <w:pStyle w:val="Paragraphbeforelist"/>
      </w:pPr>
      <w:r>
        <w:t>Furthermore</w:t>
      </w:r>
      <w:r w:rsidR="00576A6A">
        <w:t>, multiple licensing access approaches were also identified</w:t>
      </w:r>
      <w:r w:rsidR="00EB39D5">
        <w:t xml:space="preserve">, </w:t>
      </w:r>
      <w:r w:rsidR="00576A6A">
        <w:t>each of which could be compatible with the technical deployment scenarios outlined above:</w:t>
      </w:r>
    </w:p>
    <w:p w14:paraId="421F041E" w14:textId="7DE648EC" w:rsidR="00576A6A" w:rsidRDefault="00576A6A" w:rsidP="00696EB4">
      <w:pPr>
        <w:pStyle w:val="Bulletlevel1"/>
      </w:pPr>
      <w:r>
        <w:t>single user (operator) in each frequency segment licensed over the entirety of each urban exercise area</w:t>
      </w:r>
    </w:p>
    <w:p w14:paraId="37B0A76E" w14:textId="7AA93EAD" w:rsidR="00576A6A" w:rsidRPr="005A3A3A" w:rsidRDefault="00576A6A" w:rsidP="00696EB4">
      <w:pPr>
        <w:pStyle w:val="Bulletlevel1last"/>
      </w:pPr>
      <w:r>
        <w:t>multiple user (operator) in each frequency segment licensed over parts of each urban exercise area.</w:t>
      </w:r>
    </w:p>
    <w:p w14:paraId="0F5AB9FA" w14:textId="2BD9B48C" w:rsidR="00576A6A" w:rsidRDefault="00FC633C" w:rsidP="001C4E67">
      <w:pPr>
        <w:pStyle w:val="Paragraph"/>
        <w:spacing w:before="240"/>
        <w:rPr>
          <w:color w:val="000000" w:themeColor="text1"/>
        </w:rPr>
      </w:pPr>
      <w:bookmarkStart w:id="77" w:name="_Hlk78899173"/>
      <w:r>
        <w:rPr>
          <w:color w:val="000000" w:themeColor="text1"/>
        </w:rPr>
        <w:t xml:space="preserve">The ACMA performed studies to assess the viability of the </w:t>
      </w:r>
      <w:r w:rsidR="00610CDE">
        <w:rPr>
          <w:color w:val="000000" w:themeColor="text1"/>
        </w:rPr>
        <w:t xml:space="preserve">2 </w:t>
      </w:r>
      <w:r w:rsidR="00AC3962">
        <w:rPr>
          <w:color w:val="000000" w:themeColor="text1"/>
        </w:rPr>
        <w:t xml:space="preserve">technical </w:t>
      </w:r>
      <w:r>
        <w:rPr>
          <w:color w:val="000000" w:themeColor="text1"/>
        </w:rPr>
        <w:t xml:space="preserve">deployment scenarios using an aggregate C/(N+I) criteria for the protection of </w:t>
      </w:r>
      <w:r w:rsidR="006A7150">
        <w:rPr>
          <w:color w:val="000000" w:themeColor="text1"/>
        </w:rPr>
        <w:t>NBN Co</w:t>
      </w:r>
      <w:r w:rsidR="00DA45AD">
        <w:rPr>
          <w:color w:val="000000" w:themeColor="text1"/>
        </w:rPr>
        <w:t xml:space="preserve"> services</w:t>
      </w:r>
      <w:r>
        <w:rPr>
          <w:color w:val="000000" w:themeColor="text1"/>
        </w:rPr>
        <w:t>. Th</w:t>
      </w:r>
      <w:r w:rsidR="009641A9">
        <w:rPr>
          <w:color w:val="000000" w:themeColor="text1"/>
        </w:rPr>
        <w:t>ese</w:t>
      </w:r>
      <w:r>
        <w:rPr>
          <w:color w:val="000000" w:themeColor="text1"/>
        </w:rPr>
        <w:t xml:space="preserve"> stud</w:t>
      </w:r>
      <w:r w:rsidR="009641A9">
        <w:rPr>
          <w:color w:val="000000" w:themeColor="text1"/>
        </w:rPr>
        <w:t>ies</w:t>
      </w:r>
      <w:r>
        <w:rPr>
          <w:color w:val="000000" w:themeColor="text1"/>
        </w:rPr>
        <w:t xml:space="preserve"> are provided </w:t>
      </w:r>
      <w:r w:rsidR="009641A9">
        <w:rPr>
          <w:color w:val="000000" w:themeColor="text1"/>
        </w:rPr>
        <w:t>at</w:t>
      </w:r>
      <w:r>
        <w:rPr>
          <w:color w:val="000000" w:themeColor="text1"/>
        </w:rPr>
        <w:t xml:space="preserve"> </w:t>
      </w:r>
      <w:r w:rsidRPr="00696EB4">
        <w:rPr>
          <w:color w:val="000000" w:themeColor="text1"/>
        </w:rPr>
        <w:t>Appendix D</w:t>
      </w:r>
      <w:r w:rsidR="006A7150">
        <w:rPr>
          <w:b/>
          <w:bCs/>
          <w:color w:val="000000" w:themeColor="text1"/>
        </w:rPr>
        <w:t xml:space="preserve"> </w:t>
      </w:r>
      <w:r w:rsidR="00C10A8B" w:rsidRPr="006B6A28">
        <w:rPr>
          <w:i/>
          <w:iCs/>
        </w:rPr>
        <w:t>Assessment of utility of 3.4 GHz urban excise areas</w:t>
      </w:r>
      <w:r w:rsidR="00C10A8B">
        <w:rPr>
          <w:color w:val="000000" w:themeColor="text1"/>
        </w:rPr>
        <w:t xml:space="preserve"> </w:t>
      </w:r>
      <w:r w:rsidR="00610CDE">
        <w:rPr>
          <w:color w:val="000000" w:themeColor="text1"/>
        </w:rPr>
        <w:t xml:space="preserve">in the key documents section of this consultation </w:t>
      </w:r>
      <w:r w:rsidR="006A7150">
        <w:rPr>
          <w:color w:val="000000" w:themeColor="text1"/>
        </w:rPr>
        <w:t>(</w:t>
      </w:r>
      <w:r w:rsidR="00DA45AD">
        <w:rPr>
          <w:color w:val="000000" w:themeColor="text1"/>
        </w:rPr>
        <w:t>they</w:t>
      </w:r>
      <w:r w:rsidR="006A7150">
        <w:rPr>
          <w:color w:val="000000" w:themeColor="text1"/>
        </w:rPr>
        <w:t xml:space="preserve"> also form part of the </w:t>
      </w:r>
      <w:hyperlink r:id="rId59" w:history="1">
        <w:r w:rsidR="006A7150" w:rsidRPr="006A7150">
          <w:rPr>
            <w:rStyle w:val="Hyperlink"/>
          </w:rPr>
          <w:t>3.4 GHz TLG paper</w:t>
        </w:r>
      </w:hyperlink>
      <w:r w:rsidR="006A7150">
        <w:rPr>
          <w:color w:val="000000" w:themeColor="text1"/>
        </w:rPr>
        <w:t>)</w:t>
      </w:r>
      <w:r>
        <w:rPr>
          <w:color w:val="000000" w:themeColor="text1"/>
        </w:rPr>
        <w:t xml:space="preserve">. </w:t>
      </w:r>
    </w:p>
    <w:p w14:paraId="1C2C8775" w14:textId="373C26AC" w:rsidR="009641A9" w:rsidRDefault="00FC633C" w:rsidP="001C4E67">
      <w:pPr>
        <w:pStyle w:val="Paragraph"/>
        <w:spacing w:before="240"/>
        <w:rPr>
          <w:color w:val="000000" w:themeColor="text1"/>
        </w:rPr>
      </w:pPr>
      <w:r>
        <w:rPr>
          <w:color w:val="000000" w:themeColor="text1"/>
        </w:rPr>
        <w:t xml:space="preserve">After reviewing the studies, the </w:t>
      </w:r>
      <w:r w:rsidR="00AC3962">
        <w:rPr>
          <w:color w:val="000000" w:themeColor="text1"/>
        </w:rPr>
        <w:t xml:space="preserve">ACMA has </w:t>
      </w:r>
      <w:bookmarkStart w:id="78" w:name="_Hlk78457348"/>
      <w:r>
        <w:rPr>
          <w:color w:val="000000" w:themeColor="text1"/>
        </w:rPr>
        <w:t xml:space="preserve">concluded that a restricted cell scenario </w:t>
      </w:r>
      <w:r w:rsidR="008C1C76">
        <w:rPr>
          <w:color w:val="000000" w:themeColor="text1"/>
        </w:rPr>
        <w:t>is</w:t>
      </w:r>
      <w:r>
        <w:rPr>
          <w:color w:val="000000" w:themeColor="text1"/>
        </w:rPr>
        <w:t xml:space="preserve"> feasible</w:t>
      </w:r>
      <w:r w:rsidR="00576A6A">
        <w:rPr>
          <w:color w:val="000000" w:themeColor="text1"/>
        </w:rPr>
        <w:t xml:space="preserve"> </w:t>
      </w:r>
      <w:bookmarkEnd w:id="78"/>
      <w:r w:rsidR="00786BCE">
        <w:rPr>
          <w:color w:val="000000" w:themeColor="text1"/>
        </w:rPr>
        <w:t>while providing sufficient protection to NBN Co services.</w:t>
      </w:r>
      <w:r w:rsidR="006A7150">
        <w:rPr>
          <w:color w:val="000000" w:themeColor="text1"/>
        </w:rPr>
        <w:t xml:space="preserve"> </w:t>
      </w:r>
      <w:bookmarkStart w:id="79" w:name="_Hlk78457421"/>
      <w:r w:rsidR="006A7150">
        <w:rPr>
          <w:color w:val="000000" w:themeColor="text1"/>
        </w:rPr>
        <w:t>However,</w:t>
      </w:r>
      <w:r>
        <w:rPr>
          <w:color w:val="000000" w:themeColor="text1"/>
        </w:rPr>
        <w:t xml:space="preserve"> a macro-cell scenario, with a reasonable sized network deployed, was not feasible</w:t>
      </w:r>
      <w:r w:rsidR="00C67B28">
        <w:rPr>
          <w:color w:val="000000" w:themeColor="text1"/>
        </w:rPr>
        <w:t xml:space="preserve"> in most areas</w:t>
      </w:r>
      <w:r>
        <w:rPr>
          <w:color w:val="000000" w:themeColor="text1"/>
        </w:rPr>
        <w:t xml:space="preserve"> </w:t>
      </w:r>
      <w:r w:rsidR="00E71897">
        <w:rPr>
          <w:color w:val="000000" w:themeColor="text1"/>
        </w:rPr>
        <w:t xml:space="preserve">with </w:t>
      </w:r>
      <w:r>
        <w:rPr>
          <w:color w:val="000000" w:themeColor="text1"/>
        </w:rPr>
        <w:t>current equipment capabilities.</w:t>
      </w:r>
      <w:r w:rsidR="00C67B28">
        <w:rPr>
          <w:rStyle w:val="FootnoteReference"/>
          <w:color w:val="000000" w:themeColor="text1"/>
        </w:rPr>
        <w:footnoteReference w:id="14"/>
      </w:r>
      <w:r>
        <w:rPr>
          <w:color w:val="000000" w:themeColor="text1"/>
        </w:rPr>
        <w:t xml:space="preserve"> Some TLG members believed this may change in the next few years (for example</w:t>
      </w:r>
      <w:r w:rsidR="00610CDE">
        <w:rPr>
          <w:color w:val="000000" w:themeColor="text1"/>
        </w:rPr>
        <w:t>,</w:t>
      </w:r>
      <w:r>
        <w:rPr>
          <w:color w:val="000000" w:themeColor="text1"/>
        </w:rPr>
        <w:t xml:space="preserve"> if/when greater control in the elevation plane for AAS beam steering becomes available). </w:t>
      </w:r>
      <w:bookmarkEnd w:id="79"/>
    </w:p>
    <w:p w14:paraId="5DFBF2D5" w14:textId="0B4A23C9" w:rsidR="00576A6A" w:rsidRDefault="00576A6A" w:rsidP="001C4E67">
      <w:pPr>
        <w:pStyle w:val="Paragraph"/>
        <w:spacing w:before="240"/>
        <w:rPr>
          <w:color w:val="000000" w:themeColor="text1"/>
        </w:rPr>
      </w:pPr>
      <w:bookmarkStart w:id="81" w:name="_Hlk78899151"/>
      <w:bookmarkEnd w:id="77"/>
      <w:r>
        <w:rPr>
          <w:color w:val="000000" w:themeColor="text1"/>
        </w:rPr>
        <w:t xml:space="preserve">In identifying options, the ACMA has also </w:t>
      </w:r>
      <w:r w:rsidR="008C1C76">
        <w:rPr>
          <w:color w:val="000000" w:themeColor="text1"/>
        </w:rPr>
        <w:t xml:space="preserve">considered </w:t>
      </w:r>
      <w:r>
        <w:rPr>
          <w:color w:val="000000" w:themeColor="text1"/>
        </w:rPr>
        <w:t xml:space="preserve">the different wireless broadband use cases that may be supported in urban excise areas. Specifically use cases that are focussed on wide area </w:t>
      </w:r>
      <w:r w:rsidR="002B058D">
        <w:rPr>
          <w:color w:val="000000" w:themeColor="text1"/>
        </w:rPr>
        <w:t>public networks</w:t>
      </w:r>
      <w:r>
        <w:rPr>
          <w:color w:val="000000" w:themeColor="text1"/>
        </w:rPr>
        <w:t xml:space="preserve"> over large </w:t>
      </w:r>
      <w:r w:rsidR="00C6638E">
        <w:rPr>
          <w:color w:val="000000" w:themeColor="text1"/>
        </w:rPr>
        <w:t>portions</w:t>
      </w:r>
      <w:r>
        <w:rPr>
          <w:color w:val="000000" w:themeColor="text1"/>
        </w:rPr>
        <w:t xml:space="preserve"> of the urban exercise areas (for example</w:t>
      </w:r>
      <w:r w:rsidR="00610CDE">
        <w:rPr>
          <w:color w:val="000000" w:themeColor="text1"/>
        </w:rPr>
        <w:t>,</w:t>
      </w:r>
      <w:r>
        <w:rPr>
          <w:color w:val="000000" w:themeColor="text1"/>
        </w:rPr>
        <w:t xml:space="preserve"> characterise</w:t>
      </w:r>
      <w:r w:rsidR="00C6638E">
        <w:rPr>
          <w:color w:val="000000" w:themeColor="text1"/>
        </w:rPr>
        <w:t>d</w:t>
      </w:r>
      <w:r>
        <w:rPr>
          <w:color w:val="000000" w:themeColor="text1"/>
        </w:rPr>
        <w:t xml:space="preserve"> by the mobile network operator model) and either enterprise or </w:t>
      </w:r>
      <w:r w:rsidR="00C6638E">
        <w:rPr>
          <w:color w:val="000000" w:themeColor="text1"/>
        </w:rPr>
        <w:t>private</w:t>
      </w:r>
      <w:r>
        <w:rPr>
          <w:color w:val="000000" w:themeColor="text1"/>
        </w:rPr>
        <w:t xml:space="preserve"> network uses cases covering local areas of the urban excise</w:t>
      </w:r>
      <w:r w:rsidR="00610CDE">
        <w:rPr>
          <w:color w:val="000000" w:themeColor="text1"/>
        </w:rPr>
        <w:t> </w:t>
      </w:r>
      <w:r>
        <w:rPr>
          <w:color w:val="000000" w:themeColor="text1"/>
        </w:rPr>
        <w:t>area.</w:t>
      </w:r>
    </w:p>
    <w:bookmarkEnd w:id="81"/>
    <w:p w14:paraId="3911F712" w14:textId="51D09018" w:rsidR="0070420F" w:rsidRDefault="0070420F" w:rsidP="006B6A28">
      <w:pPr>
        <w:pStyle w:val="Paragraph"/>
        <w:spacing w:before="240"/>
      </w:pPr>
      <w:r w:rsidRPr="004B54A9">
        <w:t xml:space="preserve">Once a decision has been made on which option </w:t>
      </w:r>
      <w:r>
        <w:t xml:space="preserve">to </w:t>
      </w:r>
      <w:r w:rsidRPr="004B54A9">
        <w:t xml:space="preserve">adopt, the ACMA will move to implement that outcome. </w:t>
      </w:r>
      <w:bookmarkStart w:id="82" w:name="_Hlk78465262"/>
      <w:r w:rsidRPr="004B54A9">
        <w:t>This includes finalising interference management criteria, developing RALIs and making/updating relevant legislative instruments. Where it makes sense to do so, it is proposed</w:t>
      </w:r>
      <w:r>
        <w:t xml:space="preserve"> any </w:t>
      </w:r>
      <w:r w:rsidRPr="004B54A9">
        <w:t xml:space="preserve">work will be combined with similar work being conducted to implement the </w:t>
      </w:r>
      <w:hyperlink r:id="rId60" w:history="1">
        <w:r w:rsidRPr="004B54A9">
          <w:rPr>
            <w:rStyle w:val="Hyperlink"/>
            <w:i/>
            <w:iCs/>
            <w:szCs w:val="20"/>
          </w:rPr>
          <w:t>Replanning the 3700–4200 MHz band: Outcomes paper</w:t>
        </w:r>
      </w:hyperlink>
      <w:r w:rsidRPr="004B54A9">
        <w:t xml:space="preserve">. For example, this </w:t>
      </w:r>
      <w:r>
        <w:t>w</w:t>
      </w:r>
      <w:r w:rsidRPr="004B54A9">
        <w:t>ould include combining public consultation on changes to legislative instrument</w:t>
      </w:r>
      <w:r w:rsidR="00C6638E">
        <w:t>s</w:t>
      </w:r>
      <w:r>
        <w:t>, consultation on RALIs and/</w:t>
      </w:r>
      <w:r w:rsidRPr="004B54A9">
        <w:t xml:space="preserve">or combining processes to allocate </w:t>
      </w:r>
      <w:r>
        <w:t>A</w:t>
      </w:r>
      <w:r w:rsidRPr="004B54A9">
        <w:t xml:space="preserve">WL or spectrum licences. </w:t>
      </w:r>
      <w:bookmarkEnd w:id="82"/>
      <w:r w:rsidRPr="004B54A9">
        <w:t xml:space="preserve"> </w:t>
      </w:r>
    </w:p>
    <w:p w14:paraId="014040F0" w14:textId="34D1466A" w:rsidR="0070420F" w:rsidRPr="00F2242C" w:rsidRDefault="0070420F" w:rsidP="00056A04">
      <w:pPr>
        <w:pStyle w:val="Paragraphbeforelist"/>
      </w:pPr>
      <w:r w:rsidRPr="00F2242C">
        <w:t xml:space="preserve">When reading this section, </w:t>
      </w:r>
      <w:r w:rsidR="00056A04">
        <w:t xml:space="preserve">please </w:t>
      </w:r>
      <w:r>
        <w:t>note</w:t>
      </w:r>
      <w:r w:rsidRPr="00F2242C">
        <w:t xml:space="preserve"> that: </w:t>
      </w:r>
    </w:p>
    <w:p w14:paraId="1907F109" w14:textId="3E569AB2" w:rsidR="0070420F" w:rsidRDefault="00056A04" w:rsidP="0070420F">
      <w:pPr>
        <w:pStyle w:val="Paragraph"/>
        <w:numPr>
          <w:ilvl w:val="0"/>
          <w:numId w:val="35"/>
        </w:numPr>
        <w:spacing w:before="80" w:after="80"/>
      </w:pPr>
      <w:r>
        <w:t>U</w:t>
      </w:r>
      <w:r w:rsidR="0070420F">
        <w:t xml:space="preserve">rban excise areas are defined at </w:t>
      </w:r>
      <w:hyperlink w:anchor="_Appendix_A:_Urban" w:history="1">
        <w:r w:rsidR="0070420F" w:rsidRPr="00696EB4">
          <w:rPr>
            <w:rStyle w:val="Hyperlink"/>
          </w:rPr>
          <w:t>Appendix A</w:t>
        </w:r>
      </w:hyperlink>
      <w:r w:rsidR="0070420F">
        <w:t xml:space="preserve"> and occupy the 3400</w:t>
      </w:r>
      <w:r>
        <w:t>–</w:t>
      </w:r>
      <w:r w:rsidR="0070420F">
        <w:t>3475 MHz frequency range.</w:t>
      </w:r>
    </w:p>
    <w:p w14:paraId="1FC08DF0" w14:textId="0405D365" w:rsidR="0070420F" w:rsidRPr="0070420F" w:rsidRDefault="00056A04" w:rsidP="006B6A28">
      <w:pPr>
        <w:pStyle w:val="Paragraph"/>
        <w:numPr>
          <w:ilvl w:val="0"/>
          <w:numId w:val="35"/>
        </w:numPr>
        <w:spacing w:before="80" w:after="80"/>
        <w:rPr>
          <w:color w:val="000000" w:themeColor="text1"/>
        </w:rPr>
      </w:pPr>
      <w:r>
        <w:t>N</w:t>
      </w:r>
      <w:r w:rsidR="0070420F">
        <w:t xml:space="preserve">o changes are proposed to existing arrangements for ultra-wide band services detailed in the </w:t>
      </w:r>
      <w:hyperlink r:id="rId61" w:history="1">
        <w:r w:rsidR="0070420F" w:rsidRPr="00F456D7">
          <w:rPr>
            <w:rStyle w:val="Hyperlink"/>
            <w:rFonts w:ascii="Helvetica Neue" w:hAnsi="Helvetica Neue"/>
            <w:i/>
            <w:iCs/>
          </w:rPr>
          <w:t>Radiocommunications (Low Interference Potential Devices) Class Licence 2015</w:t>
        </w:r>
      </w:hyperlink>
      <w:r w:rsidR="0070420F">
        <w:rPr>
          <w:rFonts w:ascii="Helvetica Neue" w:hAnsi="Helvetica Neue"/>
        </w:rPr>
        <w:t>.</w:t>
      </w:r>
    </w:p>
    <w:p w14:paraId="059BD3F9" w14:textId="73949624" w:rsidR="00DC7C5C" w:rsidRPr="006B6A28" w:rsidRDefault="0070420F" w:rsidP="006B6A28">
      <w:pPr>
        <w:pStyle w:val="Heading2"/>
        <w:spacing w:before="480"/>
      </w:pPr>
      <w:bookmarkStart w:id="83" w:name="_Toc80795877"/>
      <w:r>
        <w:t>Identification of o</w:t>
      </w:r>
      <w:r w:rsidR="00DC7C5C" w:rsidRPr="006B6A28">
        <w:t>ptions</w:t>
      </w:r>
      <w:bookmarkEnd w:id="83"/>
    </w:p>
    <w:p w14:paraId="07DB6D72" w14:textId="58AD5B1D" w:rsidR="00FF221C" w:rsidRDefault="00F86E28" w:rsidP="006B6A28">
      <w:pPr>
        <w:rPr>
          <w:color w:val="000000" w:themeColor="text1"/>
        </w:rPr>
      </w:pPr>
      <w:r>
        <w:rPr>
          <w:color w:val="000000" w:themeColor="text1"/>
        </w:rPr>
        <w:t>T</w:t>
      </w:r>
      <w:r w:rsidR="00FC633C">
        <w:rPr>
          <w:color w:val="000000" w:themeColor="text1"/>
        </w:rPr>
        <w:t xml:space="preserve">he </w:t>
      </w:r>
      <w:r w:rsidR="00576A6A">
        <w:rPr>
          <w:color w:val="000000" w:themeColor="text1"/>
        </w:rPr>
        <w:t>ACMA has</w:t>
      </w:r>
      <w:r w:rsidR="00FC633C">
        <w:rPr>
          <w:color w:val="000000" w:themeColor="text1"/>
        </w:rPr>
        <w:t xml:space="preserve"> identified </w:t>
      </w:r>
      <w:r w:rsidR="00134165">
        <w:rPr>
          <w:color w:val="000000" w:themeColor="text1"/>
        </w:rPr>
        <w:t xml:space="preserve">4 </w:t>
      </w:r>
      <w:r w:rsidR="00FC633C" w:rsidRPr="009317CD">
        <w:rPr>
          <w:color w:val="000000" w:themeColor="text1"/>
        </w:rPr>
        <w:t>options for making urban excise areas available</w:t>
      </w:r>
      <w:r w:rsidR="009641A9" w:rsidRPr="009317CD">
        <w:rPr>
          <w:color w:val="000000" w:themeColor="text1"/>
        </w:rPr>
        <w:t xml:space="preserve"> for wireless broadband </w:t>
      </w:r>
      <w:r w:rsidR="00193C7B" w:rsidRPr="009317CD">
        <w:rPr>
          <w:color w:val="000000" w:themeColor="text1"/>
        </w:rPr>
        <w:t>uses</w:t>
      </w:r>
      <w:r w:rsidR="00FC633C" w:rsidRPr="009317CD">
        <w:rPr>
          <w:color w:val="000000" w:themeColor="text1"/>
        </w:rPr>
        <w:t>.</w:t>
      </w:r>
      <w:r w:rsidR="009641A9" w:rsidRPr="009317CD">
        <w:rPr>
          <w:color w:val="000000" w:themeColor="text1"/>
        </w:rPr>
        <w:t xml:space="preserve"> </w:t>
      </w:r>
      <w:r w:rsidR="00FF221C" w:rsidRPr="009317CD">
        <w:rPr>
          <w:color w:val="000000" w:themeColor="text1"/>
        </w:rPr>
        <w:t xml:space="preserve">These are detailed in Table 7. </w:t>
      </w:r>
      <w:r w:rsidR="00F81144" w:rsidRPr="009317CD">
        <w:rPr>
          <w:color w:val="000000" w:themeColor="text1"/>
        </w:rPr>
        <w:t xml:space="preserve">A pictorial description of each option is provided in Figure </w:t>
      </w:r>
      <w:r w:rsidR="000169AD" w:rsidRPr="009317CD">
        <w:rPr>
          <w:color w:val="000000" w:themeColor="text1"/>
        </w:rPr>
        <w:t>3</w:t>
      </w:r>
      <w:r w:rsidR="00297D99" w:rsidRPr="009317CD">
        <w:rPr>
          <w:color w:val="000000" w:themeColor="text1"/>
        </w:rPr>
        <w:t xml:space="preserve">. </w:t>
      </w:r>
    </w:p>
    <w:p w14:paraId="59DC9ED0" w14:textId="0106702E" w:rsidR="00716AE0" w:rsidRDefault="00FF221C" w:rsidP="009641A9">
      <w:pPr>
        <w:pStyle w:val="Paragraph"/>
        <w:spacing w:before="240"/>
        <w:rPr>
          <w:color w:val="000000" w:themeColor="text1"/>
        </w:rPr>
      </w:pPr>
      <w:r>
        <w:rPr>
          <w:color w:val="000000" w:themeColor="text1"/>
        </w:rPr>
        <w:t xml:space="preserve">We also acknowledge that there is an option for ‘no change’. </w:t>
      </w:r>
      <w:r>
        <w:t xml:space="preserve">Under this option, use of </w:t>
      </w:r>
      <w:r w:rsidR="00F2032A">
        <w:t xml:space="preserve">spectrum in </w:t>
      </w:r>
      <w:r>
        <w:t>urban excise areas could be re-assessed as equipment capabilities evolve</w:t>
      </w:r>
      <w:r w:rsidR="00F2032A">
        <w:t>,</w:t>
      </w:r>
      <w:r>
        <w:t xml:space="preserve"> which may change the technical coexistence considerations. While this could enable macro cell deployments, we </w:t>
      </w:r>
      <w:r w:rsidR="00F2032A">
        <w:t>consider</w:t>
      </w:r>
      <w:r>
        <w:t xml:space="preserve"> this outcome is adequately covered by Options 1 and 4. </w:t>
      </w:r>
    </w:p>
    <w:p w14:paraId="28941877" w14:textId="208CD33B" w:rsidR="004A02D7" w:rsidRDefault="004A02D7" w:rsidP="004A02D7">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pPr>
      <w:r>
        <w:t>Question 4</w:t>
      </w:r>
    </w:p>
    <w:p w14:paraId="1BA788CD" w14:textId="409F4264" w:rsidR="004A02D7" w:rsidRDefault="00C96BB4" w:rsidP="00C364D4">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rPr>
          <w:rFonts w:ascii="Helvetica Neue" w:hAnsi="Helvetica Neue"/>
        </w:rPr>
      </w:pPr>
      <w:bookmarkStart w:id="84" w:name="_Hlk77249460"/>
      <w:r w:rsidRPr="00346287">
        <w:t>Comment is sought on the options</w:t>
      </w:r>
      <w:r>
        <w:t xml:space="preserve"> developed for use of </w:t>
      </w:r>
      <w:r w:rsidR="009452B5">
        <w:t xml:space="preserve">spectrum in </w:t>
      </w:r>
      <w:r>
        <w:t xml:space="preserve">urban </w:t>
      </w:r>
      <w:r w:rsidR="00056A04">
        <w:br/>
      </w:r>
      <w:r>
        <w:t>excise areas</w:t>
      </w:r>
      <w:r w:rsidR="00475DF0">
        <w:t>.</w:t>
      </w:r>
      <w:r w:rsidR="00056A04">
        <w:br/>
      </w:r>
      <w:r w:rsidRPr="004B54A9" w:rsidDel="00C96BB4">
        <w:t xml:space="preserve"> </w:t>
      </w:r>
      <w:bookmarkEnd w:id="84"/>
      <w:r w:rsidR="004A02D7">
        <w:t xml:space="preserve"> </w:t>
      </w:r>
      <w:r w:rsidR="004B54A9" w:rsidRPr="004B54A9">
        <w:t xml:space="preserve"> </w:t>
      </w:r>
    </w:p>
    <w:p w14:paraId="15F1F68A" w14:textId="7703E3DF" w:rsidR="004A02D7" w:rsidRDefault="00CB2D7D" w:rsidP="00696EB4">
      <w:pPr>
        <w:pStyle w:val="ACMAFigureHeader"/>
        <w:numPr>
          <w:ilvl w:val="0"/>
          <w:numId w:val="0"/>
        </w:numPr>
        <w:spacing w:before="360" w:after="120"/>
      </w:pPr>
      <w:bookmarkStart w:id="85" w:name="_Hlk78463185"/>
      <w:r>
        <w:t xml:space="preserve">Figure 3: </w:t>
      </w:r>
      <w:r>
        <w:tab/>
      </w:r>
      <w:r w:rsidR="00056A04">
        <w:t>P</w:t>
      </w:r>
      <w:r w:rsidR="004A02D7">
        <w:t>ictorial description of options for urban excise use</w:t>
      </w:r>
      <w:r w:rsidR="00056A04">
        <w:t>.</w:t>
      </w:r>
      <w:r w:rsidR="00E01008">
        <w:rPr>
          <w:rStyle w:val="FootnoteReference"/>
        </w:rPr>
        <w:footnoteReference w:id="15"/>
      </w:r>
      <w:r w:rsidR="000F17AC">
        <w:rPr>
          <w:noProof/>
        </w:rPr>
        <w:drawing>
          <wp:inline distT="0" distB="0" distL="0" distR="0" wp14:anchorId="7A200056" wp14:editId="3A807009">
            <wp:extent cx="5235715" cy="2276475"/>
            <wp:effectExtent l="0" t="0" r="3175" b="0"/>
            <wp:docPr id="10" name="Picture 1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 email&#10;&#10;Description automatically generated"/>
                    <pic:cNvPicPr/>
                  </pic:nvPicPr>
                  <pic:blipFill>
                    <a:blip r:embed="rId28"/>
                    <a:stretch>
                      <a:fillRect/>
                    </a:stretch>
                  </pic:blipFill>
                  <pic:spPr>
                    <a:xfrm>
                      <a:off x="0" y="0"/>
                      <a:ext cx="5239746" cy="2278228"/>
                    </a:xfrm>
                    <a:prstGeom prst="rect">
                      <a:avLst/>
                    </a:prstGeom>
                  </pic:spPr>
                </pic:pic>
              </a:graphicData>
            </a:graphic>
          </wp:inline>
        </w:drawing>
      </w:r>
    </w:p>
    <w:bookmarkEnd w:id="85"/>
    <w:p w14:paraId="0318053F" w14:textId="57D27E31" w:rsidR="00056A04" w:rsidRDefault="00056A04" w:rsidP="00925D1B">
      <w:pPr>
        <w:pStyle w:val="Tableorfigurenote"/>
      </w:pPr>
      <w:r>
        <w:t xml:space="preserve">Note: This is illustrative only; the number of operators and licensed bandwidths for each will </w:t>
      </w:r>
      <w:r w:rsidRPr="00095122">
        <w:t>ultimately be</w:t>
      </w:r>
      <w:r>
        <w:t xml:space="preserve"> determined</w:t>
      </w:r>
      <w:r w:rsidRPr="00095122">
        <w:t xml:space="preserve"> as part of any allocation process</w:t>
      </w:r>
      <w:r>
        <w:t xml:space="preserve">. </w:t>
      </w:r>
    </w:p>
    <w:p w14:paraId="49BF6377" w14:textId="048201C5" w:rsidR="004A02D7" w:rsidRDefault="004A02D7">
      <w:pPr>
        <w:spacing w:after="0" w:line="240" w:lineRule="auto"/>
      </w:pPr>
      <w:r>
        <w:br w:type="page"/>
      </w:r>
    </w:p>
    <w:p w14:paraId="0A8A9F90" w14:textId="77777777" w:rsidR="00056A04" w:rsidRDefault="00056A04">
      <w:pPr>
        <w:spacing w:after="0" w:line="240" w:lineRule="auto"/>
        <w:rPr>
          <w:rFonts w:cs="Arial"/>
        </w:rPr>
      </w:pPr>
    </w:p>
    <w:p w14:paraId="60204679" w14:textId="2D057682" w:rsidR="001C4E67" w:rsidRDefault="001C4E67" w:rsidP="00F456D7">
      <w:pPr>
        <w:pStyle w:val="Tableheading"/>
        <w:keepLines/>
        <w:spacing w:before="360"/>
      </w:pPr>
      <w:bookmarkStart w:id="86" w:name="_Hlk78463387"/>
      <w:r>
        <w:t xml:space="preserve">Options for use of </w:t>
      </w:r>
      <w:r w:rsidR="00356EF5">
        <w:t xml:space="preserve">spectrum in </w:t>
      </w:r>
      <w:r>
        <w:t>urban excise areas</w:t>
      </w:r>
    </w:p>
    <w:tbl>
      <w:tblPr>
        <w:tblStyle w:val="ACMAtablestyle"/>
        <w:tblW w:w="10479" w:type="dxa"/>
        <w:tblInd w:w="-572" w:type="dxa"/>
        <w:tblLayout w:type="fixed"/>
        <w:tblCellMar>
          <w:left w:w="85" w:type="dxa"/>
          <w:right w:w="85" w:type="dxa"/>
        </w:tblCellMar>
        <w:tblLook w:val="01E0" w:firstRow="1" w:lastRow="1" w:firstColumn="1" w:lastColumn="1" w:noHBand="0" w:noVBand="0"/>
        <w:tblCaption w:val="Table title to go here"/>
        <w:tblDescription w:val="Table description to go here"/>
      </w:tblPr>
      <w:tblGrid>
        <w:gridCol w:w="993"/>
        <w:gridCol w:w="1701"/>
        <w:gridCol w:w="1677"/>
        <w:gridCol w:w="1725"/>
        <w:gridCol w:w="4383"/>
      </w:tblGrid>
      <w:tr w:rsidR="00065908" w14:paraId="2606B0AC" w14:textId="77777777" w:rsidTr="00696EB4">
        <w:trPr>
          <w:cnfStyle w:val="100000000000" w:firstRow="1" w:lastRow="0" w:firstColumn="0" w:lastColumn="0" w:oddVBand="0" w:evenVBand="0" w:oddHBand="0" w:evenHBand="0" w:firstRowFirstColumn="0" w:firstRowLastColumn="0" w:lastRowFirstColumn="0" w:lastRowLastColumn="0"/>
        </w:trPr>
        <w:tc>
          <w:tcPr>
            <w:tcW w:w="0" w:type="dxa"/>
            <w:shd w:val="clear" w:color="auto" w:fill="262626" w:themeFill="text1" w:themeFillTint="D9"/>
          </w:tcPr>
          <w:p w14:paraId="1BD57148" w14:textId="77777777" w:rsidR="00065908" w:rsidRDefault="00065908" w:rsidP="00E23813">
            <w:pPr>
              <w:pStyle w:val="Tableheaderrow"/>
            </w:pPr>
            <w:bookmarkStart w:id="87" w:name="_Ref76728067"/>
            <w:bookmarkStart w:id="88" w:name="_Ref77075160"/>
            <w:r>
              <w:t>Option</w:t>
            </w:r>
          </w:p>
        </w:tc>
        <w:tc>
          <w:tcPr>
            <w:tcW w:w="0" w:type="dxa"/>
            <w:shd w:val="clear" w:color="auto" w:fill="262626" w:themeFill="text1" w:themeFillTint="D9"/>
          </w:tcPr>
          <w:p w14:paraId="6667AA40" w14:textId="77777777" w:rsidR="00065908" w:rsidRDefault="00065908" w:rsidP="00E23813">
            <w:pPr>
              <w:pStyle w:val="Tableheaderrow"/>
              <w:jc w:val="center"/>
            </w:pPr>
            <w:r>
              <w:t>Technical model</w:t>
            </w:r>
          </w:p>
        </w:tc>
        <w:tc>
          <w:tcPr>
            <w:tcW w:w="0" w:type="dxa"/>
            <w:shd w:val="clear" w:color="auto" w:fill="262626" w:themeFill="text1" w:themeFillTint="D9"/>
          </w:tcPr>
          <w:p w14:paraId="31FB43F3" w14:textId="77777777" w:rsidR="00065908" w:rsidRDefault="00065908" w:rsidP="00E23813">
            <w:pPr>
              <w:pStyle w:val="Tableheaderrow"/>
              <w:jc w:val="center"/>
            </w:pPr>
            <w:r>
              <w:t>Access model</w:t>
            </w:r>
          </w:p>
        </w:tc>
        <w:tc>
          <w:tcPr>
            <w:tcW w:w="0" w:type="dxa"/>
            <w:shd w:val="clear" w:color="auto" w:fill="262626" w:themeFill="text1" w:themeFillTint="D9"/>
          </w:tcPr>
          <w:p w14:paraId="0F6A8DEF" w14:textId="77777777" w:rsidR="00065908" w:rsidRDefault="00065908" w:rsidP="00E23813">
            <w:pPr>
              <w:pStyle w:val="Tableheaderrow"/>
              <w:jc w:val="center"/>
            </w:pPr>
            <w:r>
              <w:t>Licence model</w:t>
            </w:r>
          </w:p>
        </w:tc>
        <w:tc>
          <w:tcPr>
            <w:tcW w:w="0" w:type="dxa"/>
            <w:shd w:val="clear" w:color="auto" w:fill="262626" w:themeFill="text1" w:themeFillTint="D9"/>
          </w:tcPr>
          <w:p w14:paraId="05D3B656" w14:textId="77777777" w:rsidR="00065908" w:rsidRDefault="00065908" w:rsidP="00E23813">
            <w:pPr>
              <w:pStyle w:val="Tableheaderrow"/>
            </w:pPr>
            <w:r>
              <w:t>Description</w:t>
            </w:r>
          </w:p>
        </w:tc>
      </w:tr>
      <w:tr w:rsidR="00065908" w14:paraId="703CB0D8" w14:textId="77777777" w:rsidTr="00065908">
        <w:tblPrEx>
          <w:tblCellMar>
            <w:left w:w="57" w:type="dxa"/>
            <w:right w:w="57" w:type="dxa"/>
          </w:tblCellMar>
        </w:tblPrEx>
        <w:trPr>
          <w:cnfStyle w:val="000000100000" w:firstRow="0" w:lastRow="0" w:firstColumn="0" w:lastColumn="0" w:oddVBand="0" w:evenVBand="0" w:oddHBand="1" w:evenHBand="0" w:firstRowFirstColumn="0" w:firstRowLastColumn="0" w:lastRowFirstColumn="0" w:lastRowLastColumn="0"/>
        </w:trPr>
        <w:tc>
          <w:tcPr>
            <w:tcW w:w="9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69B48F7F" w14:textId="77777777" w:rsidR="00065908" w:rsidRPr="00C138B5" w:rsidRDefault="00065908" w:rsidP="00E23813">
            <w:pPr>
              <w:pStyle w:val="TableBody"/>
              <w:spacing w:before="60" w:after="60"/>
            </w:pPr>
            <w:r w:rsidRPr="00C138B5">
              <w:t>Option 1</w:t>
            </w:r>
          </w:p>
          <w:p w14:paraId="4EF1F33F" w14:textId="77777777" w:rsidR="00065908" w:rsidRPr="00C138B5" w:rsidRDefault="00065908" w:rsidP="00E23813">
            <w:pPr>
              <w:pStyle w:val="TableBody"/>
              <w:spacing w:before="60" w:after="60"/>
            </w:pPr>
          </w:p>
        </w:tc>
        <w:tc>
          <w:tcPr>
            <w:tcW w:w="1701" w:type="dxa"/>
            <w:tcBorders>
              <w:top w:val="single" w:sz="4" w:space="0" w:color="auto"/>
              <w:left w:val="single" w:sz="4" w:space="0" w:color="auto"/>
              <w:bottom w:val="single" w:sz="4" w:space="0" w:color="auto"/>
              <w:right w:val="single" w:sz="4" w:space="0" w:color="auto"/>
            </w:tcBorders>
          </w:tcPr>
          <w:p w14:paraId="330D983F" w14:textId="77777777" w:rsidR="00065908" w:rsidRDefault="00065908" w:rsidP="00E23813">
            <w:pPr>
              <w:pStyle w:val="TableBody"/>
              <w:spacing w:before="60" w:after="60"/>
              <w:jc w:val="center"/>
            </w:pPr>
            <w:r>
              <w:t>Macro cell</w:t>
            </w:r>
          </w:p>
        </w:tc>
        <w:tc>
          <w:tcPr>
            <w:tcW w:w="1677" w:type="dxa"/>
            <w:tcBorders>
              <w:top w:val="single" w:sz="4" w:space="0" w:color="auto"/>
              <w:left w:val="single" w:sz="4" w:space="0" w:color="auto"/>
              <w:bottom w:val="single" w:sz="4" w:space="0" w:color="auto"/>
              <w:right w:val="single" w:sz="4" w:space="0" w:color="auto"/>
            </w:tcBorders>
          </w:tcPr>
          <w:p w14:paraId="2B9672FE" w14:textId="77777777" w:rsidR="00065908" w:rsidRDefault="00065908" w:rsidP="00E23813">
            <w:pPr>
              <w:pStyle w:val="TableBody"/>
              <w:spacing w:before="60" w:after="60"/>
              <w:jc w:val="center"/>
            </w:pPr>
            <w:r>
              <w:t>Single operator per frequency segment across entire urban excise area</w:t>
            </w:r>
          </w:p>
        </w:tc>
        <w:tc>
          <w:tcPr>
            <w:tcW w:w="172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08F34EA8" w14:textId="64B216E0" w:rsidR="00065908" w:rsidRDefault="00065908" w:rsidP="001D0A63">
            <w:pPr>
              <w:pStyle w:val="TableBody"/>
              <w:spacing w:before="60" w:after="60"/>
              <w:jc w:val="center"/>
            </w:pPr>
            <w:r>
              <w:t>Spectrum licence</w:t>
            </w:r>
            <w:r w:rsidR="001D0A63">
              <w:t xml:space="preserve"> </w:t>
            </w:r>
            <w:r>
              <w:t>or</w:t>
            </w:r>
            <w:r w:rsidR="001D0A63">
              <w:t xml:space="preserve"> </w:t>
            </w:r>
            <w:r>
              <w:t>area wide licence (AWL)</w:t>
            </w:r>
          </w:p>
        </w:tc>
        <w:tc>
          <w:tcPr>
            <w:tcW w:w="438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791D330F" w14:textId="6CA38B5B" w:rsidR="00065908" w:rsidRDefault="00065908" w:rsidP="00E23813">
            <w:pPr>
              <w:pStyle w:val="TableBody"/>
              <w:spacing w:before="60" w:after="60"/>
            </w:pPr>
            <w:r>
              <w:t>Under this option</w:t>
            </w:r>
            <w:r w:rsidR="001D0A63">
              <w:t>,</w:t>
            </w:r>
            <w:r>
              <w:t xml:space="preserve"> a single operator would take out a licence in each urban excise area for a given frequency range. Multiple operators could be supported in different segments of the </w:t>
            </w:r>
            <w:r w:rsidR="001D0A63">
              <w:br/>
            </w:r>
            <w:r>
              <w:t xml:space="preserve">3400–3475 MHz frequency range. To manage interference between different licensees, relevant co-channel and adjacent channel boundary conditions would be implemented. This may limit service deployments to small cells initially. Macro-cell deployments may be possible in the future as equipment capabilities evolve. </w:t>
            </w:r>
          </w:p>
        </w:tc>
      </w:tr>
      <w:tr w:rsidR="00065908" w14:paraId="66C6E104" w14:textId="77777777" w:rsidTr="00065908">
        <w:tblPrEx>
          <w:tblCellMar>
            <w:left w:w="57" w:type="dxa"/>
            <w:right w:w="57" w:type="dxa"/>
          </w:tblCellMar>
        </w:tblPrEx>
        <w:trPr>
          <w:cnfStyle w:val="000000010000" w:firstRow="0" w:lastRow="0" w:firstColumn="0" w:lastColumn="0" w:oddVBand="0" w:evenVBand="0" w:oddHBand="0" w:evenHBand="1" w:firstRowFirstColumn="0" w:firstRowLastColumn="0" w:lastRowFirstColumn="0" w:lastRowLastColumn="0"/>
        </w:trPr>
        <w:tc>
          <w:tcPr>
            <w:tcW w:w="9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63594BF9" w14:textId="77777777" w:rsidR="00065908" w:rsidRPr="00C138B5" w:rsidRDefault="00065908" w:rsidP="00E23813">
            <w:pPr>
              <w:pStyle w:val="TableBody"/>
              <w:spacing w:before="60" w:after="60"/>
            </w:pPr>
            <w:r w:rsidRPr="00C138B5">
              <w:t>Option 2</w:t>
            </w:r>
          </w:p>
          <w:p w14:paraId="73C472E2" w14:textId="77777777" w:rsidR="00065908" w:rsidRPr="00C138B5" w:rsidRDefault="00065908" w:rsidP="00E23813">
            <w:pPr>
              <w:pStyle w:val="TableBody"/>
              <w:spacing w:before="60" w:after="60"/>
            </w:pPr>
          </w:p>
        </w:tc>
        <w:tc>
          <w:tcPr>
            <w:tcW w:w="1701" w:type="dxa"/>
            <w:tcBorders>
              <w:top w:val="single" w:sz="4" w:space="0" w:color="auto"/>
              <w:left w:val="single" w:sz="4" w:space="0" w:color="auto"/>
              <w:bottom w:val="single" w:sz="4" w:space="0" w:color="auto"/>
              <w:right w:val="single" w:sz="4" w:space="0" w:color="auto"/>
            </w:tcBorders>
          </w:tcPr>
          <w:p w14:paraId="527849BA" w14:textId="77777777" w:rsidR="00065908" w:rsidRDefault="00065908" w:rsidP="00E23813">
            <w:pPr>
              <w:pStyle w:val="TableBody"/>
              <w:spacing w:before="60" w:after="60"/>
              <w:jc w:val="center"/>
            </w:pPr>
            <w:r>
              <w:t>Restricted cell</w:t>
            </w:r>
          </w:p>
        </w:tc>
        <w:tc>
          <w:tcPr>
            <w:tcW w:w="1677" w:type="dxa"/>
            <w:tcBorders>
              <w:top w:val="single" w:sz="4" w:space="0" w:color="auto"/>
              <w:left w:val="single" w:sz="4" w:space="0" w:color="auto"/>
              <w:bottom w:val="single" w:sz="4" w:space="0" w:color="auto"/>
              <w:right w:val="single" w:sz="4" w:space="0" w:color="auto"/>
            </w:tcBorders>
          </w:tcPr>
          <w:p w14:paraId="6BB147B3" w14:textId="77777777" w:rsidR="00065908" w:rsidRDefault="00065908" w:rsidP="00E23813">
            <w:pPr>
              <w:pStyle w:val="TableBody"/>
              <w:spacing w:before="60" w:after="60"/>
              <w:jc w:val="center"/>
            </w:pPr>
            <w:r>
              <w:t>Single operator per frequency segment across entire urban excise area</w:t>
            </w:r>
          </w:p>
        </w:tc>
        <w:tc>
          <w:tcPr>
            <w:tcW w:w="172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5EED1489" w14:textId="4FCF828F" w:rsidR="00065908" w:rsidRDefault="00065908" w:rsidP="001D0A63">
            <w:pPr>
              <w:pStyle w:val="TableBody"/>
              <w:spacing w:before="60" w:after="60"/>
              <w:jc w:val="center"/>
            </w:pPr>
            <w:r>
              <w:t>Spectrum licence</w:t>
            </w:r>
            <w:r w:rsidR="001D0A63">
              <w:t xml:space="preserve"> </w:t>
            </w:r>
            <w:r>
              <w:t>or</w:t>
            </w:r>
            <w:r w:rsidR="001D0A63">
              <w:t xml:space="preserve"> </w:t>
            </w:r>
            <w:r>
              <w:t>AWL</w:t>
            </w:r>
          </w:p>
        </w:tc>
        <w:tc>
          <w:tcPr>
            <w:tcW w:w="438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4839A6F5" w14:textId="21A25BAC" w:rsidR="00065908" w:rsidRDefault="00065908" w:rsidP="00E23813">
            <w:pPr>
              <w:pStyle w:val="TableBody"/>
              <w:spacing w:before="60" w:after="60"/>
            </w:pPr>
            <w:r>
              <w:t>Under this option</w:t>
            </w:r>
            <w:r w:rsidR="001D0A63">
              <w:t>,</w:t>
            </w:r>
            <w:r>
              <w:t xml:space="preserve"> a single operator would take out a licence in each urban excise area for a given frequency range. Multiple operators could be supported in different segments of the </w:t>
            </w:r>
            <w:r w:rsidR="001D0A63">
              <w:br/>
            </w:r>
            <w:r>
              <w:t>3400–3475 MHz frequency range. To manage interference between different licensees, relevant co-channel and adjacent channel boundary conditions would be implemented. This includes deployment restrictions such as a low EIRP limit and low outdoor antenna heights (</w:t>
            </w:r>
            <w:proofErr w:type="gramStart"/>
            <w:r>
              <w:t>i.e.</w:t>
            </w:r>
            <w:proofErr w:type="gramEnd"/>
            <w:r>
              <w:t xml:space="preserve"> effectively small cell operation) and other possible restrictions.</w:t>
            </w:r>
          </w:p>
        </w:tc>
      </w:tr>
      <w:tr w:rsidR="00065908" w14:paraId="44E10E3E" w14:textId="77777777" w:rsidTr="00065908">
        <w:tblPrEx>
          <w:tblCellMar>
            <w:left w:w="57" w:type="dxa"/>
            <w:right w:w="57" w:type="dxa"/>
          </w:tblCellMar>
        </w:tblPrEx>
        <w:trPr>
          <w:cnfStyle w:val="000000100000" w:firstRow="0" w:lastRow="0" w:firstColumn="0" w:lastColumn="0" w:oddVBand="0" w:evenVBand="0" w:oddHBand="1" w:evenHBand="0" w:firstRowFirstColumn="0" w:firstRowLastColumn="0" w:lastRowFirstColumn="0" w:lastRowLastColumn="0"/>
        </w:trPr>
        <w:tc>
          <w:tcPr>
            <w:tcW w:w="9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76B33263" w14:textId="77777777" w:rsidR="00065908" w:rsidRPr="00C138B5" w:rsidRDefault="00065908" w:rsidP="00E23813">
            <w:pPr>
              <w:pStyle w:val="TableBody"/>
              <w:spacing w:before="60" w:after="60"/>
            </w:pPr>
            <w:r w:rsidRPr="00C138B5">
              <w:t>Option 3</w:t>
            </w:r>
          </w:p>
          <w:p w14:paraId="53A0FB4C" w14:textId="77777777" w:rsidR="00065908" w:rsidRPr="00C138B5" w:rsidRDefault="00065908" w:rsidP="00E23813">
            <w:pPr>
              <w:pStyle w:val="TableBody"/>
              <w:spacing w:before="60" w:after="60"/>
            </w:pPr>
          </w:p>
        </w:tc>
        <w:tc>
          <w:tcPr>
            <w:tcW w:w="1701" w:type="dxa"/>
            <w:tcBorders>
              <w:top w:val="single" w:sz="4" w:space="0" w:color="auto"/>
              <w:left w:val="single" w:sz="4" w:space="0" w:color="auto"/>
              <w:bottom w:val="single" w:sz="4" w:space="0" w:color="auto"/>
              <w:right w:val="single" w:sz="4" w:space="0" w:color="auto"/>
            </w:tcBorders>
          </w:tcPr>
          <w:p w14:paraId="61D56BD9" w14:textId="77777777" w:rsidR="00065908" w:rsidRDefault="00065908" w:rsidP="00E23813">
            <w:pPr>
              <w:pStyle w:val="TableBody"/>
              <w:spacing w:before="60" w:after="60"/>
              <w:jc w:val="center"/>
            </w:pPr>
            <w:r>
              <w:t>Restricted cell</w:t>
            </w:r>
          </w:p>
        </w:tc>
        <w:tc>
          <w:tcPr>
            <w:tcW w:w="1677" w:type="dxa"/>
            <w:tcBorders>
              <w:top w:val="single" w:sz="4" w:space="0" w:color="auto"/>
              <w:left w:val="single" w:sz="4" w:space="0" w:color="auto"/>
              <w:bottom w:val="single" w:sz="4" w:space="0" w:color="auto"/>
              <w:right w:val="single" w:sz="4" w:space="0" w:color="auto"/>
            </w:tcBorders>
          </w:tcPr>
          <w:p w14:paraId="53974A7C" w14:textId="77777777" w:rsidR="00065908" w:rsidRDefault="00065908" w:rsidP="00E23813">
            <w:pPr>
              <w:pStyle w:val="TableBody"/>
              <w:spacing w:before="60" w:after="60"/>
              <w:jc w:val="center"/>
            </w:pPr>
            <w:r>
              <w:t>Multiple operators across entire urban excise area – either within excusive frequency segment or shared</w:t>
            </w:r>
          </w:p>
        </w:tc>
        <w:tc>
          <w:tcPr>
            <w:tcW w:w="172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390D62A2" w14:textId="627CEF4F" w:rsidR="00065908" w:rsidRDefault="00065908" w:rsidP="001D0A63">
            <w:pPr>
              <w:pStyle w:val="TableBody"/>
              <w:spacing w:before="60" w:after="60"/>
              <w:jc w:val="center"/>
            </w:pPr>
            <w:r>
              <w:t>Apparatus licence (possibly AWL)</w:t>
            </w:r>
            <w:r w:rsidR="001D0A63">
              <w:t xml:space="preserve"> </w:t>
            </w:r>
            <w:r>
              <w:t>or</w:t>
            </w:r>
            <w:r w:rsidR="001D0A63">
              <w:t xml:space="preserve"> </w:t>
            </w:r>
            <w:r>
              <w:t>class licence</w:t>
            </w:r>
          </w:p>
        </w:tc>
        <w:tc>
          <w:tcPr>
            <w:tcW w:w="438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518DB838" w14:textId="706D0694" w:rsidR="00065908" w:rsidRDefault="00065908" w:rsidP="00E23813">
            <w:pPr>
              <w:pStyle w:val="TableBody"/>
              <w:spacing w:before="60" w:after="60"/>
            </w:pPr>
            <w:r>
              <w:t>Under this option</w:t>
            </w:r>
            <w:r w:rsidR="001D0A63">
              <w:t>,</w:t>
            </w:r>
            <w:r>
              <w:t xml:space="preserve"> multiple operators could share access to the same frequency in an urban excise area and/or by operating in different segments of the 3400</w:t>
            </w:r>
            <w:r w:rsidRPr="00E23813">
              <w:t>–</w:t>
            </w:r>
            <w:r>
              <w:t>3475 MHz frequency range. To manage interference between different licensees, relevant co-channel and adjacent channel boundary conditions would be implemented. This includes deployment restrictions such as a low radiated power limit and low outdoor antenna heights (</w:t>
            </w:r>
            <w:proofErr w:type="gramStart"/>
            <w:r>
              <w:t>i.e.</w:t>
            </w:r>
            <w:proofErr w:type="gramEnd"/>
            <w:r>
              <w:t xml:space="preserve"> effectively small cell operation) and other possible restrictions. </w:t>
            </w:r>
          </w:p>
        </w:tc>
      </w:tr>
      <w:tr w:rsidR="00065908" w14:paraId="3EAC695F" w14:textId="77777777" w:rsidTr="00065908">
        <w:tblPrEx>
          <w:tblCellMar>
            <w:left w:w="57" w:type="dxa"/>
            <w:right w:w="57" w:type="dxa"/>
          </w:tblCellMar>
        </w:tblPrEx>
        <w:trPr>
          <w:cnfStyle w:val="000000010000" w:firstRow="0" w:lastRow="0" w:firstColumn="0" w:lastColumn="0" w:oddVBand="0" w:evenVBand="0" w:oddHBand="0" w:evenHBand="1" w:firstRowFirstColumn="0" w:firstRowLastColumn="0" w:lastRowFirstColumn="0" w:lastRowLastColumn="0"/>
        </w:trPr>
        <w:tc>
          <w:tcPr>
            <w:tcW w:w="9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08EC2875" w14:textId="77777777" w:rsidR="00065908" w:rsidRPr="00C138B5" w:rsidRDefault="00065908" w:rsidP="00E23813">
            <w:pPr>
              <w:pStyle w:val="TableBody"/>
              <w:spacing w:before="60" w:after="60"/>
            </w:pPr>
            <w:r w:rsidRPr="00C138B5">
              <w:t>Option 4</w:t>
            </w:r>
          </w:p>
          <w:p w14:paraId="66D8D25D" w14:textId="77777777" w:rsidR="00065908" w:rsidRPr="00C138B5" w:rsidRDefault="00065908" w:rsidP="00E23813">
            <w:pPr>
              <w:pStyle w:val="TableBody"/>
              <w:spacing w:before="60" w:after="60"/>
            </w:pPr>
          </w:p>
        </w:tc>
        <w:tc>
          <w:tcPr>
            <w:tcW w:w="1701" w:type="dxa"/>
            <w:tcBorders>
              <w:top w:val="single" w:sz="4" w:space="0" w:color="auto"/>
              <w:left w:val="single" w:sz="4" w:space="0" w:color="auto"/>
              <w:bottom w:val="single" w:sz="4" w:space="0" w:color="auto"/>
              <w:right w:val="single" w:sz="4" w:space="0" w:color="auto"/>
            </w:tcBorders>
          </w:tcPr>
          <w:p w14:paraId="270B2D07" w14:textId="77777777" w:rsidR="00065908" w:rsidRDefault="00065908" w:rsidP="00E23813">
            <w:pPr>
              <w:pStyle w:val="TableBody"/>
              <w:spacing w:before="60" w:after="60"/>
              <w:jc w:val="center"/>
            </w:pPr>
            <w:r w:rsidRPr="00C138B5">
              <w:rPr>
                <w:u w:val="single"/>
              </w:rPr>
              <w:t>3400–3460</w:t>
            </w:r>
            <w:r w:rsidRPr="00193349">
              <w:rPr>
                <w:u w:val="single"/>
              </w:rPr>
              <w:t xml:space="preserve"> MHz</w:t>
            </w:r>
          </w:p>
          <w:p w14:paraId="72CB26F4" w14:textId="77777777" w:rsidR="00065908" w:rsidRDefault="00065908" w:rsidP="00E23813">
            <w:pPr>
              <w:pStyle w:val="TableBody"/>
              <w:spacing w:before="60" w:after="60"/>
              <w:jc w:val="center"/>
            </w:pPr>
            <w:r>
              <w:t>macro cell</w:t>
            </w:r>
          </w:p>
          <w:p w14:paraId="76A24E6E" w14:textId="77777777" w:rsidR="00065908" w:rsidRDefault="00065908" w:rsidP="00E23813">
            <w:pPr>
              <w:pStyle w:val="TableBody"/>
              <w:spacing w:before="60" w:after="60"/>
              <w:jc w:val="center"/>
            </w:pPr>
          </w:p>
          <w:p w14:paraId="4BA7D276" w14:textId="77777777" w:rsidR="00065908" w:rsidRDefault="00065908" w:rsidP="00E23813">
            <w:pPr>
              <w:pStyle w:val="TableBody"/>
              <w:spacing w:before="120"/>
              <w:jc w:val="center"/>
            </w:pPr>
            <w:r w:rsidRPr="00193349">
              <w:rPr>
                <w:u w:val="single"/>
              </w:rPr>
              <w:t>3460</w:t>
            </w:r>
            <w:r w:rsidRPr="00E23813">
              <w:rPr>
                <w:u w:val="single"/>
              </w:rPr>
              <w:t>–</w:t>
            </w:r>
            <w:r w:rsidRPr="00193349">
              <w:rPr>
                <w:u w:val="single"/>
              </w:rPr>
              <w:t>3475 MH</w:t>
            </w:r>
            <w:r>
              <w:rPr>
                <w:u w:val="single"/>
              </w:rPr>
              <w:t>z</w:t>
            </w:r>
          </w:p>
          <w:p w14:paraId="0041E67E" w14:textId="77777777" w:rsidR="00065908" w:rsidRDefault="00065908" w:rsidP="00E23813">
            <w:pPr>
              <w:pStyle w:val="TableBody"/>
              <w:spacing w:before="60" w:after="60"/>
              <w:jc w:val="center"/>
            </w:pPr>
            <w:r>
              <w:t>restricted cell</w:t>
            </w:r>
          </w:p>
        </w:tc>
        <w:tc>
          <w:tcPr>
            <w:tcW w:w="1677" w:type="dxa"/>
            <w:tcBorders>
              <w:top w:val="single" w:sz="4" w:space="0" w:color="auto"/>
              <w:left w:val="single" w:sz="4" w:space="0" w:color="auto"/>
              <w:bottom w:val="single" w:sz="4" w:space="0" w:color="auto"/>
              <w:right w:val="single" w:sz="4" w:space="0" w:color="auto"/>
            </w:tcBorders>
          </w:tcPr>
          <w:p w14:paraId="7B341948" w14:textId="77777777" w:rsidR="00065908" w:rsidRDefault="00065908" w:rsidP="00E23813">
            <w:pPr>
              <w:pStyle w:val="TableBody"/>
              <w:spacing w:before="60" w:after="60"/>
              <w:jc w:val="center"/>
            </w:pPr>
            <w:r w:rsidRPr="006B6A28">
              <w:rPr>
                <w:u w:val="single"/>
              </w:rPr>
              <w:t>3400</w:t>
            </w:r>
            <w:r w:rsidRPr="00E23813">
              <w:rPr>
                <w:u w:val="single"/>
              </w:rPr>
              <w:t>–</w:t>
            </w:r>
            <w:r w:rsidRPr="006B6A28">
              <w:rPr>
                <w:u w:val="single"/>
              </w:rPr>
              <w:t>3460 MHz:</w:t>
            </w:r>
            <w:r>
              <w:t xml:space="preserve"> Single operator per frequency segment across entire urban excise area</w:t>
            </w:r>
          </w:p>
          <w:p w14:paraId="18BAD120" w14:textId="77777777" w:rsidR="00065908" w:rsidRDefault="00065908" w:rsidP="00E23813">
            <w:pPr>
              <w:pStyle w:val="TableBody"/>
              <w:spacing w:before="120"/>
              <w:jc w:val="center"/>
            </w:pPr>
            <w:r w:rsidRPr="006B6A28">
              <w:rPr>
                <w:u w:val="single"/>
              </w:rPr>
              <w:t>3460</w:t>
            </w:r>
            <w:r w:rsidRPr="00E23813">
              <w:rPr>
                <w:u w:val="single"/>
              </w:rPr>
              <w:t>–</w:t>
            </w:r>
            <w:r w:rsidRPr="006B6A28">
              <w:rPr>
                <w:u w:val="single"/>
              </w:rPr>
              <w:t>3475 MH</w:t>
            </w:r>
            <w:r>
              <w:rPr>
                <w:u w:val="single"/>
              </w:rPr>
              <w:t>z:</w:t>
            </w:r>
          </w:p>
          <w:p w14:paraId="51F58520" w14:textId="14DCA9DC" w:rsidR="00065908" w:rsidRDefault="00065908" w:rsidP="00E23813">
            <w:pPr>
              <w:pStyle w:val="TableBody"/>
              <w:spacing w:after="60"/>
              <w:jc w:val="center"/>
            </w:pPr>
            <w:r>
              <w:t>Depends on which of Option 2/3 is adopted</w:t>
            </w:r>
          </w:p>
        </w:tc>
        <w:tc>
          <w:tcPr>
            <w:tcW w:w="172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530107EC" w14:textId="77777777" w:rsidR="00065908" w:rsidRDefault="00065908" w:rsidP="00E23813">
            <w:pPr>
              <w:pStyle w:val="TableBody"/>
              <w:spacing w:before="60" w:after="60"/>
              <w:jc w:val="center"/>
            </w:pPr>
            <w:r w:rsidRPr="00193349">
              <w:rPr>
                <w:u w:val="single"/>
              </w:rPr>
              <w:t>3400</w:t>
            </w:r>
            <w:r w:rsidRPr="00E23813">
              <w:rPr>
                <w:u w:val="single"/>
              </w:rPr>
              <w:t>–</w:t>
            </w:r>
            <w:r w:rsidRPr="00193349">
              <w:rPr>
                <w:u w:val="single"/>
              </w:rPr>
              <w:t>3460 MHz</w:t>
            </w:r>
          </w:p>
          <w:p w14:paraId="6E49032B" w14:textId="04CA8073" w:rsidR="00065908" w:rsidRDefault="00065908" w:rsidP="00E23813">
            <w:pPr>
              <w:pStyle w:val="TableBody"/>
              <w:spacing w:before="60" w:after="60"/>
              <w:jc w:val="center"/>
            </w:pPr>
            <w:r>
              <w:t>spectrum licence</w:t>
            </w:r>
            <w:r w:rsidR="001D0A63">
              <w:t xml:space="preserve"> </w:t>
            </w:r>
            <w:r>
              <w:t>or</w:t>
            </w:r>
            <w:r w:rsidR="001D0A63">
              <w:t xml:space="preserve"> </w:t>
            </w:r>
            <w:r>
              <w:t>AWL</w:t>
            </w:r>
          </w:p>
          <w:p w14:paraId="020B6BD5" w14:textId="77777777" w:rsidR="00065908" w:rsidRDefault="00065908" w:rsidP="00E23813">
            <w:pPr>
              <w:pStyle w:val="TableBody"/>
              <w:spacing w:before="120"/>
              <w:jc w:val="center"/>
            </w:pPr>
            <w:r w:rsidRPr="00193349">
              <w:rPr>
                <w:u w:val="single"/>
              </w:rPr>
              <w:t>3460</w:t>
            </w:r>
            <w:r w:rsidRPr="00E23813">
              <w:rPr>
                <w:u w:val="single"/>
              </w:rPr>
              <w:t>–</w:t>
            </w:r>
            <w:r w:rsidRPr="00193349">
              <w:rPr>
                <w:u w:val="single"/>
              </w:rPr>
              <w:t>3475 MH</w:t>
            </w:r>
            <w:r>
              <w:rPr>
                <w:u w:val="single"/>
              </w:rPr>
              <w:t>z</w:t>
            </w:r>
          </w:p>
          <w:p w14:paraId="39F87098" w14:textId="145ED34B" w:rsidR="00065908" w:rsidRDefault="00065908" w:rsidP="001D0A63">
            <w:pPr>
              <w:pStyle w:val="TableBody"/>
              <w:spacing w:before="60" w:after="60"/>
              <w:jc w:val="center"/>
            </w:pPr>
            <w:r>
              <w:t>spectrum licence,</w:t>
            </w:r>
            <w:r w:rsidR="001D0A63">
              <w:t xml:space="preserve"> </w:t>
            </w:r>
            <w:r>
              <w:t>AWL</w:t>
            </w:r>
            <w:r w:rsidR="001D0A63">
              <w:t xml:space="preserve"> </w:t>
            </w:r>
            <w:r>
              <w:t>or</w:t>
            </w:r>
            <w:r w:rsidR="001D0A63">
              <w:t xml:space="preserve"> </w:t>
            </w:r>
            <w:r>
              <w:t>class licence</w:t>
            </w:r>
          </w:p>
        </w:tc>
        <w:tc>
          <w:tcPr>
            <w:tcW w:w="438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0B044A8B" w14:textId="7859D91F" w:rsidR="00065908" w:rsidRDefault="00065908" w:rsidP="00E23813">
            <w:pPr>
              <w:pStyle w:val="TableBody"/>
              <w:spacing w:before="60" w:after="60"/>
            </w:pPr>
            <w:r>
              <w:t>Under this option</w:t>
            </w:r>
            <w:r w:rsidR="001D0A63">
              <w:t>,</w:t>
            </w:r>
            <w:r>
              <w:t xml:space="preserve"> any combination of the Options 1-3 could be implemented in different segments of the 3400</w:t>
            </w:r>
            <w:r w:rsidR="001D0A63">
              <w:t>–</w:t>
            </w:r>
            <w:r>
              <w:t>3475 MHz frequency range. The ACMA propose the best combination would be Option 1 and Option 2 or 3 being implemented in the 3400</w:t>
            </w:r>
            <w:r w:rsidRPr="00C138B5">
              <w:t>–</w:t>
            </w:r>
            <w:r>
              <w:t xml:space="preserve">3460 MHz and </w:t>
            </w:r>
            <w:r w:rsidR="001D0A63">
              <w:br/>
            </w:r>
            <w:r>
              <w:t>3460</w:t>
            </w:r>
            <w:r w:rsidRPr="00E23813">
              <w:t>–</w:t>
            </w:r>
            <w:r>
              <w:t xml:space="preserve">3475 MHz segments respectively. </w:t>
            </w:r>
          </w:p>
        </w:tc>
      </w:tr>
    </w:tbl>
    <w:p w14:paraId="39A042EB" w14:textId="19529A2F" w:rsidR="004977F9" w:rsidRPr="00602151" w:rsidRDefault="009846D4" w:rsidP="00C05398">
      <w:pPr>
        <w:pStyle w:val="Heading2"/>
        <w:spacing w:before="480"/>
      </w:pPr>
      <w:bookmarkStart w:id="89" w:name="_Toc80795878"/>
      <w:bookmarkEnd w:id="86"/>
      <w:r>
        <w:t>P</w:t>
      </w:r>
      <w:r w:rsidR="00C02084">
        <w:t xml:space="preserve">ossible </w:t>
      </w:r>
      <w:r w:rsidR="004977F9">
        <w:t>interference management criteria</w:t>
      </w:r>
      <w:bookmarkEnd w:id="87"/>
      <w:bookmarkEnd w:id="88"/>
      <w:bookmarkEnd w:id="89"/>
    </w:p>
    <w:p w14:paraId="4231D321" w14:textId="34B18220" w:rsidR="00CC15C5" w:rsidRDefault="004A02D7" w:rsidP="004977F9">
      <w:pPr>
        <w:pStyle w:val="Paragraph"/>
        <w:spacing w:before="240"/>
      </w:pPr>
      <w:bookmarkStart w:id="90" w:name="_Hlk78899741"/>
      <w:r w:rsidRPr="004A02D7">
        <w:t>When</w:t>
      </w:r>
      <w:r>
        <w:t xml:space="preserve"> developing</w:t>
      </w:r>
      <w:r w:rsidRPr="004A02D7">
        <w:t xml:space="preserve"> options for use of </w:t>
      </w:r>
      <w:r w:rsidR="00592676">
        <w:t xml:space="preserve">spectrum in </w:t>
      </w:r>
      <w:r w:rsidRPr="004A02D7">
        <w:t>urban excise areas</w:t>
      </w:r>
      <w:r w:rsidR="00CC15C5" w:rsidRPr="00CC15C5">
        <w:t>,</w:t>
      </w:r>
      <w:r w:rsidR="00592676">
        <w:t xml:space="preserve"> we</w:t>
      </w:r>
      <w:r w:rsidR="00B73139">
        <w:t xml:space="preserve"> </w:t>
      </w:r>
      <w:r w:rsidR="00CC15C5" w:rsidRPr="00CC15C5">
        <w:t>identified that the current measures used to manage interference in the 3.4 GHz spectrum licence technical framework will not be appropriate in all cases. Consequently,</w:t>
      </w:r>
      <w:r w:rsidR="00CC15C5">
        <w:t xml:space="preserve"> alternate </w:t>
      </w:r>
      <w:r w:rsidR="00CC15C5" w:rsidRPr="00CC15C5">
        <w:t xml:space="preserve">measures </w:t>
      </w:r>
      <w:r w:rsidR="00CC15C5">
        <w:t xml:space="preserve">have been developed </w:t>
      </w:r>
      <w:r w:rsidR="00592676">
        <w:t>for consideration</w:t>
      </w:r>
      <w:r w:rsidR="00CC15C5" w:rsidRPr="00CC15C5">
        <w:t xml:space="preserve">. </w:t>
      </w:r>
    </w:p>
    <w:p w14:paraId="30B3EE54" w14:textId="79FFA2A8" w:rsidR="004977F9" w:rsidRDefault="004977F9" w:rsidP="004977F9">
      <w:pPr>
        <w:pStyle w:val="Paragraph"/>
        <w:spacing w:before="240"/>
      </w:pPr>
      <w:r>
        <w:t xml:space="preserve">Possible </w:t>
      </w:r>
      <w:bookmarkStart w:id="91" w:name="_Hlk78463709"/>
      <w:r>
        <w:t xml:space="preserve">criteria to manage interference to and from services operating in urban excise </w:t>
      </w:r>
      <w:r w:rsidR="00A41A16">
        <w:t xml:space="preserve">areas </w:t>
      </w:r>
      <w:r>
        <w:t xml:space="preserve">have been </w:t>
      </w:r>
      <w:r w:rsidR="00E95DD8">
        <w:t>identified</w:t>
      </w:r>
      <w:r>
        <w:t xml:space="preserve"> for each option. </w:t>
      </w:r>
      <w:bookmarkStart w:id="92" w:name="_Hlk78463723"/>
      <w:bookmarkEnd w:id="91"/>
      <w:r>
        <w:t xml:space="preserve">These criteria are </w:t>
      </w:r>
      <w:r w:rsidR="004A02D7">
        <w:t>informed by</w:t>
      </w:r>
      <w:r>
        <w:t xml:space="preserve"> discussion</w:t>
      </w:r>
      <w:r w:rsidR="00592676">
        <w:t>s</w:t>
      </w:r>
      <w:r>
        <w:t xml:space="preserve"> in the TLG process. </w:t>
      </w:r>
      <w:bookmarkStart w:id="93" w:name="_Hlk78463751"/>
      <w:bookmarkEnd w:id="92"/>
      <w:r>
        <w:t xml:space="preserve">Pending a decision on </w:t>
      </w:r>
      <w:r w:rsidR="00592676">
        <w:t>an implementation o</w:t>
      </w:r>
      <w:r>
        <w:t>ption</w:t>
      </w:r>
      <w:r w:rsidR="00592676">
        <w:t>,</w:t>
      </w:r>
      <w:r>
        <w:t xml:space="preserve"> the ACMA w</w:t>
      </w:r>
      <w:r w:rsidR="00592676">
        <w:t xml:space="preserve">ill </w:t>
      </w:r>
      <w:r w:rsidR="0099129F">
        <w:t xml:space="preserve">consult </w:t>
      </w:r>
      <w:r>
        <w:t xml:space="preserve">further </w:t>
      </w:r>
      <w:r w:rsidR="004A02D7">
        <w:t xml:space="preserve">on the interference management criteria </w:t>
      </w:r>
      <w:r>
        <w:t xml:space="preserve">before </w:t>
      </w:r>
      <w:r w:rsidR="00592676">
        <w:t>finalising and implementing the option</w:t>
      </w:r>
      <w:r>
        <w:t>.</w:t>
      </w:r>
      <w:r w:rsidR="00625503">
        <w:t xml:space="preserve"> </w:t>
      </w:r>
      <w:r w:rsidR="00592676">
        <w:t xml:space="preserve">Criteria </w:t>
      </w:r>
      <w:r w:rsidR="00625503">
        <w:t xml:space="preserve">are presented in this paper for information </w:t>
      </w:r>
      <w:r w:rsidR="00FA2F10">
        <w:t>as they may assist stakeholders in developing views on a preferred option. S</w:t>
      </w:r>
      <w:r w:rsidR="00625503">
        <w:t>takeholder</w:t>
      </w:r>
      <w:r w:rsidR="00144201">
        <w:t>s</w:t>
      </w:r>
      <w:r w:rsidR="00625503">
        <w:t xml:space="preserve"> </w:t>
      </w:r>
      <w:r w:rsidR="001E1E20">
        <w:t xml:space="preserve">are </w:t>
      </w:r>
      <w:r w:rsidR="00FA2F10">
        <w:t xml:space="preserve">also </w:t>
      </w:r>
      <w:r w:rsidR="001E1E20">
        <w:t xml:space="preserve">free to provide their </w:t>
      </w:r>
      <w:r w:rsidR="00625503">
        <w:t xml:space="preserve">views </w:t>
      </w:r>
      <w:r w:rsidR="001E1E20">
        <w:t xml:space="preserve">on the possible criteria as part of a response to this paper. </w:t>
      </w:r>
      <w:bookmarkEnd w:id="93"/>
    </w:p>
    <w:p w14:paraId="04AAB37D" w14:textId="7E112196" w:rsidR="00526688" w:rsidRDefault="00943B04" w:rsidP="00C50064">
      <w:pPr>
        <w:pStyle w:val="Paragraph"/>
        <w:spacing w:before="240"/>
      </w:pPr>
      <w:r>
        <w:t>The criteria aim</w:t>
      </w:r>
      <w:r w:rsidR="002E5D92">
        <w:t xml:space="preserve"> to manage</w:t>
      </w:r>
      <w:r>
        <w:t xml:space="preserve"> co-channel and adjacent channel</w:t>
      </w:r>
      <w:r w:rsidR="00EE1031">
        <w:t>/adjacent band</w:t>
      </w:r>
      <w:r>
        <w:t xml:space="preserve"> interference between licensees. </w:t>
      </w:r>
      <w:r w:rsidR="00460B69">
        <w:t xml:space="preserve">In some instances, </w:t>
      </w:r>
      <w:r w:rsidR="00134165">
        <w:t xml:space="preserve">2 </w:t>
      </w:r>
      <w:r w:rsidR="00460B69">
        <w:t>possible approaches have been identified to manage a specific interference scenario. For example, adjacent channel</w:t>
      </w:r>
      <w:r w:rsidR="00EE1031">
        <w:t>/band</w:t>
      </w:r>
      <w:r w:rsidR="00460B69">
        <w:t xml:space="preserve"> interference could be managed via use of a synchronisation requirement or </w:t>
      </w:r>
      <w:r w:rsidR="003E6BB6">
        <w:t>a</w:t>
      </w:r>
      <w:r w:rsidR="00460B69">
        <w:t xml:space="preserve"> restricted use band.</w:t>
      </w:r>
      <w:r w:rsidR="00C50064">
        <w:t xml:space="preserve"> In the case of co-channel interference, different measures to manage the level of emissions into an adjacent area licence are identified. This includes a possible synchronisation requirement that assists in the management of interference caused by ducting. </w:t>
      </w:r>
      <w:r w:rsidR="00526688">
        <w:t xml:space="preserve"> </w:t>
      </w:r>
    </w:p>
    <w:p w14:paraId="153DDE59" w14:textId="20C4DB50" w:rsidR="00CF0A45" w:rsidRPr="00CF0A45" w:rsidRDefault="009846D4" w:rsidP="00CF0A45">
      <w:pPr>
        <w:pStyle w:val="Paragraph"/>
        <w:spacing w:before="240"/>
      </w:pPr>
      <w:r>
        <w:rPr>
          <w:color w:val="000000" w:themeColor="text1"/>
        </w:rPr>
        <w:t xml:space="preserve">A summary of the possible </w:t>
      </w:r>
      <w:r w:rsidR="00892EA0">
        <w:rPr>
          <w:color w:val="000000" w:themeColor="text1"/>
        </w:rPr>
        <w:t xml:space="preserve">approaches to manage </w:t>
      </w:r>
      <w:r>
        <w:rPr>
          <w:color w:val="000000" w:themeColor="text1"/>
        </w:rPr>
        <w:t xml:space="preserve">interference for each option provided at </w:t>
      </w:r>
      <w:hyperlink w:anchor="_Appendix_E:_Possible" w:history="1">
        <w:r w:rsidRPr="00696EB4">
          <w:rPr>
            <w:rStyle w:val="Hyperlink"/>
          </w:rPr>
          <w:t>Appendix E</w:t>
        </w:r>
      </w:hyperlink>
      <w:r>
        <w:rPr>
          <w:color w:val="000000" w:themeColor="text1"/>
        </w:rPr>
        <w:t xml:space="preserve">. Refer to the 3.4 GHz TLG paper for further details on how these were developed. </w:t>
      </w:r>
      <w:r w:rsidR="00144201">
        <w:t xml:space="preserve"> </w:t>
      </w:r>
    </w:p>
    <w:p w14:paraId="47E9BE89" w14:textId="77777777" w:rsidR="00CF0A45" w:rsidRDefault="00CF0A45" w:rsidP="00CF0A45">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pPr>
      <w:r>
        <w:t>Question 5</w:t>
      </w:r>
    </w:p>
    <w:p w14:paraId="7E724958" w14:textId="143F1907" w:rsidR="00CF0A45" w:rsidRPr="00696EB4" w:rsidRDefault="002E5D92" w:rsidP="00CF0A45">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pPr>
      <w:r>
        <w:t>V</w:t>
      </w:r>
      <w:r w:rsidR="001E6E3E">
        <w:t xml:space="preserve">iews are sought on the possible interference management approaches for both co-channel mechanisms (including ducting) and adjacent channel mechanisms (including adjacent band coexistence) contained at </w:t>
      </w:r>
      <w:hyperlink w:anchor="_Appendix_E:_Possible" w:history="1">
        <w:r w:rsidR="001E6E3E" w:rsidRPr="00696EB4">
          <w:rPr>
            <w:rStyle w:val="Hyperlink"/>
          </w:rPr>
          <w:t>Appendix E</w:t>
        </w:r>
      </w:hyperlink>
      <w:r w:rsidR="001E6E3E">
        <w:t>.</w:t>
      </w:r>
      <w:r w:rsidR="00C627BB">
        <w:br/>
      </w:r>
      <w:r w:rsidR="001E6E3E" w:rsidRPr="004B54A9" w:rsidDel="00C96BB4">
        <w:t xml:space="preserve"> </w:t>
      </w:r>
      <w:r w:rsidR="00CF0A45" w:rsidRPr="004B54A9" w:rsidDel="00C96BB4">
        <w:t xml:space="preserve"> </w:t>
      </w:r>
      <w:r w:rsidR="00CF0A45">
        <w:t xml:space="preserve"> </w:t>
      </w:r>
      <w:r w:rsidR="00CF0A45" w:rsidRPr="004B54A9">
        <w:t xml:space="preserve"> </w:t>
      </w:r>
    </w:p>
    <w:p w14:paraId="36905056" w14:textId="472C974E" w:rsidR="004977F9" w:rsidRPr="00602151" w:rsidRDefault="004977F9" w:rsidP="004977F9">
      <w:pPr>
        <w:pStyle w:val="Heading2"/>
      </w:pPr>
      <w:bookmarkStart w:id="94" w:name="_Toc80795879"/>
      <w:bookmarkEnd w:id="90"/>
      <w:r>
        <w:t>Assessment of options</w:t>
      </w:r>
      <w:bookmarkEnd w:id="94"/>
    </w:p>
    <w:p w14:paraId="176E1901" w14:textId="10AC513F" w:rsidR="00AA022F" w:rsidRPr="002462DF" w:rsidRDefault="004C684D" w:rsidP="00696EB4">
      <w:pPr>
        <w:pStyle w:val="Paragraphbeforelist"/>
      </w:pPr>
      <w:bookmarkStart w:id="95" w:name="_Hlk78899064"/>
      <w:bookmarkStart w:id="96" w:name="_Hlk78462517"/>
      <w:r>
        <w:t xml:space="preserve">A key decision in the 2019 </w:t>
      </w:r>
      <w:r w:rsidR="00C627BB">
        <w:t>o</w:t>
      </w:r>
      <w:r>
        <w:t>utcomes paper was to make</w:t>
      </w:r>
      <w:r w:rsidR="00592676">
        <w:t xml:space="preserve"> spectrum in</w:t>
      </w:r>
      <w:r>
        <w:t xml:space="preserve"> urban excise areas available for wireless broadband uses. </w:t>
      </w:r>
      <w:r w:rsidR="00592676">
        <w:t>T</w:t>
      </w:r>
      <w:r w:rsidR="002B058D">
        <w:t xml:space="preserve">he ACMA </w:t>
      </w:r>
      <w:r w:rsidR="00744E0C">
        <w:t xml:space="preserve">has identified </w:t>
      </w:r>
      <w:r w:rsidR="00AA022F">
        <w:t xml:space="preserve">the </w:t>
      </w:r>
      <w:r w:rsidR="00744E0C">
        <w:t xml:space="preserve">following </w:t>
      </w:r>
      <w:r w:rsidR="00AA022F">
        <w:t xml:space="preserve">desirable planning outcomes </w:t>
      </w:r>
      <w:r w:rsidR="00744E0C">
        <w:t xml:space="preserve">to </w:t>
      </w:r>
      <w:r>
        <w:t>u</w:t>
      </w:r>
      <w:r w:rsidR="00744E0C">
        <w:t>se when assessing the options identified</w:t>
      </w:r>
      <w:r>
        <w:t xml:space="preserve"> for</w:t>
      </w:r>
      <w:r w:rsidR="00744E0C">
        <w:t xml:space="preserve"> </w:t>
      </w:r>
      <w:r>
        <w:t>use of urban excise areas</w:t>
      </w:r>
      <w:bookmarkEnd w:id="95"/>
      <w:r w:rsidR="00AA022F" w:rsidRPr="002462DF">
        <w:t xml:space="preserve">: </w:t>
      </w:r>
    </w:p>
    <w:p w14:paraId="75C1FE6C" w14:textId="558F21D1" w:rsidR="00AA022F" w:rsidRDefault="00C627BB" w:rsidP="006B6A28">
      <w:pPr>
        <w:pStyle w:val="CommentText"/>
        <w:numPr>
          <w:ilvl w:val="0"/>
          <w:numId w:val="75"/>
        </w:numPr>
        <w:tabs>
          <w:tab w:val="left" w:pos="426"/>
        </w:tabs>
        <w:spacing w:after="80"/>
        <w:rPr>
          <w:rFonts w:cs="Arial"/>
          <w:color w:val="000000" w:themeColor="text1"/>
        </w:rPr>
      </w:pPr>
      <w:r>
        <w:rPr>
          <w:rFonts w:cs="Arial"/>
          <w:color w:val="000000" w:themeColor="text1"/>
        </w:rPr>
        <w:t>P</w:t>
      </w:r>
      <w:r w:rsidR="00AA022F" w:rsidRPr="002462DF">
        <w:rPr>
          <w:rFonts w:cs="Arial"/>
          <w:color w:val="000000" w:themeColor="text1"/>
        </w:rPr>
        <w:t xml:space="preserve">rovide </w:t>
      </w:r>
      <w:r w:rsidR="00AA022F">
        <w:rPr>
          <w:rFonts w:cs="Arial"/>
          <w:color w:val="000000" w:themeColor="text1"/>
        </w:rPr>
        <w:t>adequate</w:t>
      </w:r>
      <w:r w:rsidR="00AA022F" w:rsidRPr="002462DF">
        <w:rPr>
          <w:rFonts w:cs="Arial"/>
          <w:color w:val="000000" w:themeColor="text1"/>
        </w:rPr>
        <w:t xml:space="preserve"> protection to </w:t>
      </w:r>
      <w:r w:rsidR="00AA022F">
        <w:rPr>
          <w:rFonts w:cs="Arial"/>
          <w:color w:val="000000" w:themeColor="text1"/>
        </w:rPr>
        <w:t xml:space="preserve">incumbent NBN Co </w:t>
      </w:r>
      <w:r w:rsidR="00AA022F" w:rsidRPr="002462DF">
        <w:rPr>
          <w:rFonts w:cs="Arial"/>
          <w:color w:val="000000" w:themeColor="text1"/>
        </w:rPr>
        <w:t xml:space="preserve">services </w:t>
      </w:r>
      <w:r w:rsidR="00AA022F">
        <w:rPr>
          <w:rFonts w:cs="Arial"/>
          <w:color w:val="000000" w:themeColor="text1"/>
        </w:rPr>
        <w:t>in adjacent areas</w:t>
      </w:r>
      <w:r>
        <w:rPr>
          <w:rFonts w:cs="Arial"/>
          <w:color w:val="000000" w:themeColor="text1"/>
        </w:rPr>
        <w:t>.</w:t>
      </w:r>
      <w:r w:rsidR="00AA022F">
        <w:rPr>
          <w:rFonts w:cs="Arial"/>
          <w:color w:val="000000" w:themeColor="text1"/>
        </w:rPr>
        <w:t xml:space="preserve"> </w:t>
      </w:r>
    </w:p>
    <w:p w14:paraId="2E4A64E1" w14:textId="2A41050D" w:rsidR="00AA022F" w:rsidRPr="002462DF" w:rsidRDefault="00C627BB" w:rsidP="006B6A28">
      <w:pPr>
        <w:pStyle w:val="CommentText"/>
        <w:numPr>
          <w:ilvl w:val="0"/>
          <w:numId w:val="75"/>
        </w:numPr>
        <w:tabs>
          <w:tab w:val="left" w:pos="426"/>
        </w:tabs>
        <w:spacing w:after="80"/>
        <w:rPr>
          <w:rFonts w:cs="Arial"/>
          <w:color w:val="000000" w:themeColor="text1"/>
        </w:rPr>
      </w:pPr>
      <w:r>
        <w:rPr>
          <w:rFonts w:cs="Arial"/>
          <w:color w:val="000000" w:themeColor="text1"/>
        </w:rPr>
        <w:t>E</w:t>
      </w:r>
      <w:r w:rsidR="00AA022F" w:rsidRPr="002462DF">
        <w:rPr>
          <w:rFonts w:cs="Arial"/>
          <w:color w:val="000000" w:themeColor="text1"/>
        </w:rPr>
        <w:t xml:space="preserve">nsure </w:t>
      </w:r>
      <w:r w:rsidR="00AA022F">
        <w:rPr>
          <w:rFonts w:cs="Arial"/>
          <w:color w:val="000000" w:themeColor="text1"/>
        </w:rPr>
        <w:t xml:space="preserve">NBN Co </w:t>
      </w:r>
      <w:r w:rsidR="004C684D">
        <w:rPr>
          <w:rFonts w:cs="Arial"/>
          <w:color w:val="000000" w:themeColor="text1"/>
        </w:rPr>
        <w:t>is</w:t>
      </w:r>
      <w:r w:rsidR="00AA022F" w:rsidRPr="002462DF">
        <w:rPr>
          <w:rFonts w:cs="Arial"/>
          <w:color w:val="000000" w:themeColor="text1"/>
        </w:rPr>
        <w:t xml:space="preserve"> not unreasonably constrained in their ability to deploy new and more spectrally efficient technologies in the future</w:t>
      </w:r>
      <w:r w:rsidR="00AA022F">
        <w:rPr>
          <w:rFonts w:cs="Arial"/>
          <w:color w:val="000000" w:themeColor="text1"/>
        </w:rPr>
        <w:t xml:space="preserve"> (e.g.</w:t>
      </w:r>
      <w:r>
        <w:rPr>
          <w:rFonts w:cs="Arial"/>
          <w:color w:val="000000" w:themeColor="text1"/>
        </w:rPr>
        <w:t>,</w:t>
      </w:r>
      <w:r w:rsidR="00AA022F">
        <w:rPr>
          <w:rFonts w:cs="Arial"/>
          <w:color w:val="000000" w:themeColor="text1"/>
        </w:rPr>
        <w:t xml:space="preserve"> moving from 4G to 5G technologies)</w:t>
      </w:r>
      <w:r>
        <w:rPr>
          <w:rFonts w:cs="Arial"/>
          <w:color w:val="000000" w:themeColor="text1"/>
        </w:rPr>
        <w:t>.</w:t>
      </w:r>
    </w:p>
    <w:p w14:paraId="770CD816" w14:textId="5901918F" w:rsidR="00AA022F" w:rsidRDefault="00C627BB" w:rsidP="006B6A28">
      <w:pPr>
        <w:pStyle w:val="CommentText"/>
        <w:numPr>
          <w:ilvl w:val="0"/>
          <w:numId w:val="75"/>
        </w:numPr>
        <w:tabs>
          <w:tab w:val="left" w:pos="426"/>
        </w:tabs>
        <w:spacing w:after="80"/>
        <w:rPr>
          <w:rFonts w:cs="Arial"/>
          <w:color w:val="000000" w:themeColor="text1"/>
        </w:rPr>
      </w:pPr>
      <w:r>
        <w:t>M</w:t>
      </w:r>
      <w:r w:rsidR="00551E75" w:rsidRPr="00551E75">
        <w:t xml:space="preserve">inimise the impact any new arrangements may have on existing 3.4 GHz spectrum licences above 3475 </w:t>
      </w:r>
      <w:proofErr w:type="spellStart"/>
      <w:r w:rsidR="00551E75" w:rsidRPr="00551E75">
        <w:t>MHz</w:t>
      </w:r>
      <w:r>
        <w:rPr>
          <w:rFonts w:cs="Arial"/>
          <w:color w:val="000000" w:themeColor="text1"/>
        </w:rPr>
        <w:t>.</w:t>
      </w:r>
      <w:proofErr w:type="spellEnd"/>
    </w:p>
    <w:p w14:paraId="42CAC7B7" w14:textId="3AA9E573" w:rsidR="00AA022F" w:rsidRPr="00C61A02" w:rsidRDefault="00C627BB" w:rsidP="006B6A28">
      <w:pPr>
        <w:pStyle w:val="CommentText"/>
        <w:numPr>
          <w:ilvl w:val="0"/>
          <w:numId w:val="75"/>
        </w:numPr>
        <w:tabs>
          <w:tab w:val="left" w:pos="426"/>
        </w:tabs>
        <w:rPr>
          <w:rFonts w:cs="Arial"/>
          <w:color w:val="000000" w:themeColor="text1"/>
        </w:rPr>
      </w:pPr>
      <w:r>
        <w:rPr>
          <w:rFonts w:cs="Arial"/>
          <w:color w:val="000000" w:themeColor="text1"/>
        </w:rPr>
        <w:t>M</w:t>
      </w:r>
      <w:r w:rsidR="00AA022F" w:rsidRPr="00C61A02">
        <w:rPr>
          <w:rFonts w:cs="Arial"/>
          <w:color w:val="000000" w:themeColor="text1"/>
        </w:rPr>
        <w:t xml:space="preserve">aximise the utility of </w:t>
      </w:r>
      <w:r w:rsidR="00D770D8">
        <w:rPr>
          <w:rFonts w:cs="Arial"/>
          <w:color w:val="000000" w:themeColor="text1"/>
        </w:rPr>
        <w:t xml:space="preserve">spectrum in </w:t>
      </w:r>
      <w:r w:rsidR="00AA022F" w:rsidRPr="00C61A02">
        <w:rPr>
          <w:rFonts w:cs="Arial"/>
          <w:color w:val="000000" w:themeColor="text1"/>
        </w:rPr>
        <w:t>urban excise areas for new wireless broadband services</w:t>
      </w:r>
      <w:bookmarkEnd w:id="96"/>
      <w:r>
        <w:rPr>
          <w:rFonts w:cs="Arial"/>
          <w:color w:val="000000" w:themeColor="text1"/>
        </w:rPr>
        <w:t>.</w:t>
      </w:r>
    </w:p>
    <w:p w14:paraId="3D317E75" w14:textId="79432AEA" w:rsidR="00096C45" w:rsidRDefault="00096C45" w:rsidP="00096C45">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pPr>
      <w:r>
        <w:t xml:space="preserve">Question </w:t>
      </w:r>
      <w:r w:rsidR="00C50064">
        <w:t>6</w:t>
      </w:r>
    </w:p>
    <w:p w14:paraId="2ECD29D8" w14:textId="51F01442" w:rsidR="00096C45" w:rsidRDefault="00096C45" w:rsidP="00096C45">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rPr>
          <w:rFonts w:ascii="Helvetica Neue" w:hAnsi="Helvetica Neue"/>
        </w:rPr>
      </w:pPr>
      <w:r w:rsidRPr="00346287">
        <w:t xml:space="preserve">Comment is sought on the </w:t>
      </w:r>
      <w:r>
        <w:t xml:space="preserve">desirable planning outcomes for use of </w:t>
      </w:r>
      <w:r w:rsidR="00D770D8">
        <w:t xml:space="preserve">spectrum in </w:t>
      </w:r>
      <w:r>
        <w:t>urban excise areas</w:t>
      </w:r>
      <w:r w:rsidR="00475DF0">
        <w:t>.</w:t>
      </w:r>
      <w:r w:rsidR="00C627BB">
        <w:br/>
      </w:r>
      <w:r w:rsidRPr="004B54A9" w:rsidDel="00C96BB4">
        <w:t xml:space="preserve"> </w:t>
      </w:r>
      <w:r>
        <w:t xml:space="preserve"> </w:t>
      </w:r>
      <w:r w:rsidRPr="004B54A9">
        <w:t xml:space="preserve"> </w:t>
      </w:r>
    </w:p>
    <w:p w14:paraId="0C05F762" w14:textId="7C4D791F" w:rsidR="00FF221C" w:rsidRPr="00D710F7" w:rsidRDefault="00AA022F" w:rsidP="00FF221C">
      <w:pPr>
        <w:pStyle w:val="Paragraph"/>
        <w:spacing w:before="240"/>
      </w:pPr>
      <w:bookmarkStart w:id="97" w:name="_Hlk78899078"/>
      <w:r w:rsidRPr="004B54A9">
        <w:t>The following sections contain the ACMA</w:t>
      </w:r>
      <w:r>
        <w:t>’s</w:t>
      </w:r>
      <w:r w:rsidRPr="004B54A9">
        <w:t xml:space="preserve"> preliminary assessment of each of the options against the desirable planning outcomes</w:t>
      </w:r>
      <w:r>
        <w:t>. The assessment also considers</w:t>
      </w:r>
      <w:r w:rsidRPr="004B54A9">
        <w:t xml:space="preserve"> other relevant issues</w:t>
      </w:r>
      <w:r>
        <w:t>, including the benefits of single versus multi-operator options</w:t>
      </w:r>
      <w:r w:rsidR="00600B86">
        <w:t>, macro-cell versus restricted cell models</w:t>
      </w:r>
      <w:r>
        <w:t xml:space="preserve"> and the timeframes spectrum could be made available under each option</w:t>
      </w:r>
      <w:r w:rsidRPr="004B54A9">
        <w:t xml:space="preserve">. </w:t>
      </w:r>
    </w:p>
    <w:bookmarkEnd w:id="97"/>
    <w:p w14:paraId="772A7E33" w14:textId="1864143E" w:rsidR="004977F9" w:rsidRPr="00696EB4" w:rsidRDefault="004977F9" w:rsidP="004977F9">
      <w:pPr>
        <w:pStyle w:val="Paragraph"/>
        <w:rPr>
          <w:b/>
          <w:bCs/>
        </w:rPr>
      </w:pPr>
      <w:r w:rsidRPr="00696EB4">
        <w:rPr>
          <w:b/>
          <w:bCs/>
        </w:rPr>
        <w:t xml:space="preserve">Desirable planning </w:t>
      </w:r>
      <w:r w:rsidR="009134F1" w:rsidRPr="00696EB4">
        <w:rPr>
          <w:b/>
          <w:bCs/>
        </w:rPr>
        <w:t>o</w:t>
      </w:r>
      <w:r w:rsidRPr="00696EB4">
        <w:rPr>
          <w:b/>
          <w:bCs/>
        </w:rPr>
        <w:t>utcome 1</w:t>
      </w:r>
      <w:r w:rsidR="00C627BB" w:rsidRPr="00696EB4">
        <w:rPr>
          <w:b/>
          <w:bCs/>
        </w:rPr>
        <w:t xml:space="preserve">: </w:t>
      </w:r>
      <w:r w:rsidR="00297AD8" w:rsidRPr="00696EB4">
        <w:t xml:space="preserve">Provide </w:t>
      </w:r>
      <w:r w:rsidR="00F37FB5" w:rsidRPr="00696EB4">
        <w:t xml:space="preserve">adequate </w:t>
      </w:r>
      <w:r w:rsidR="00297AD8" w:rsidRPr="00696EB4">
        <w:t>protection to incumbent NBN Co services in adjacent areas</w:t>
      </w:r>
      <w:r w:rsidRPr="00696EB4">
        <w:t>.</w:t>
      </w:r>
      <w:r w:rsidRPr="00696EB4">
        <w:rPr>
          <w:b/>
          <w:bCs/>
        </w:rPr>
        <w:t xml:space="preserve"> </w:t>
      </w:r>
    </w:p>
    <w:p w14:paraId="66AF734D" w14:textId="5325D24D" w:rsidR="00C420A3" w:rsidRDefault="00C420A3" w:rsidP="004977F9">
      <w:pPr>
        <w:pStyle w:val="Paragraph"/>
      </w:pPr>
      <w:r>
        <w:t xml:space="preserve">In 2015, as a result of the </w:t>
      </w:r>
      <w:hyperlink r:id="rId62" w:history="1">
        <w:r w:rsidRPr="00696EB4">
          <w:rPr>
            <w:rStyle w:val="Hyperlink"/>
          </w:rPr>
          <w:t>Australian Communications and Media Authority (3.5 GHz frequency band) Direction 2014</w:t>
        </w:r>
      </w:hyperlink>
      <w:r>
        <w:t xml:space="preserve">, </w:t>
      </w:r>
      <w:r w:rsidR="00E95DD8" w:rsidRPr="006825DD">
        <w:t xml:space="preserve">NBN Co were issued </w:t>
      </w:r>
      <w:r>
        <w:t xml:space="preserve">apparatus </w:t>
      </w:r>
      <w:r w:rsidR="00E95DD8" w:rsidRPr="006825DD">
        <w:t>licences that covered urban excise and surrounding areas. Since that time</w:t>
      </w:r>
      <w:r w:rsidR="00D5700E">
        <w:t>,</w:t>
      </w:r>
      <w:r w:rsidR="00E95DD8" w:rsidRPr="006825DD">
        <w:t xml:space="preserve"> they have deployed </w:t>
      </w:r>
      <w:r>
        <w:t xml:space="preserve">terrestrial wireless broadband </w:t>
      </w:r>
      <w:r w:rsidR="00E95DD8" w:rsidRPr="006825DD">
        <w:t xml:space="preserve">services at </w:t>
      </w:r>
      <w:r w:rsidR="0019155F">
        <w:t xml:space="preserve">about </w:t>
      </w:r>
      <w:r w:rsidR="00C61A02">
        <w:t>1000</w:t>
      </w:r>
      <w:r w:rsidR="00B52FC7">
        <w:t xml:space="preserve"> locations</w:t>
      </w:r>
      <w:r w:rsidR="006825DD" w:rsidRPr="006825DD">
        <w:t xml:space="preserve"> </w:t>
      </w:r>
      <w:r w:rsidR="00C61A02">
        <w:t>(based on RRL</w:t>
      </w:r>
      <w:r w:rsidR="0019155F">
        <w:t xml:space="preserve"> data</w:t>
      </w:r>
      <w:r w:rsidR="00C61A02">
        <w:t xml:space="preserve">) </w:t>
      </w:r>
      <w:r>
        <w:t>under the licences issued. I</w:t>
      </w:r>
      <w:r w:rsidR="00C94B50">
        <w:t xml:space="preserve">t is understood that </w:t>
      </w:r>
      <w:r w:rsidR="006825DD" w:rsidRPr="006825DD">
        <w:t>the roll out of the</w:t>
      </w:r>
      <w:r w:rsidR="00C61A02">
        <w:t>ir</w:t>
      </w:r>
      <w:r w:rsidR="006825DD" w:rsidRPr="006825DD">
        <w:t xml:space="preserve"> </w:t>
      </w:r>
      <w:r w:rsidR="006825DD">
        <w:t xml:space="preserve">terrestrial wireless broadband </w:t>
      </w:r>
      <w:r w:rsidR="006825DD" w:rsidRPr="006825DD">
        <w:t xml:space="preserve">network </w:t>
      </w:r>
      <w:r w:rsidR="006825DD">
        <w:t>is now</w:t>
      </w:r>
      <w:r w:rsidR="006825DD" w:rsidRPr="006825DD">
        <w:t xml:space="preserve"> </w:t>
      </w:r>
      <w:r w:rsidR="006825DD">
        <w:t xml:space="preserve">largely </w:t>
      </w:r>
      <w:r w:rsidR="006825DD" w:rsidRPr="006825DD">
        <w:t>complete</w:t>
      </w:r>
      <w:r w:rsidR="00E95DD8" w:rsidRPr="006825DD">
        <w:t xml:space="preserve">. </w:t>
      </w:r>
    </w:p>
    <w:p w14:paraId="1E50B20C" w14:textId="6D01B59A" w:rsidR="00D770D8" w:rsidRDefault="006825DD" w:rsidP="004977F9">
      <w:pPr>
        <w:pStyle w:val="Paragraph"/>
        <w:rPr>
          <w:color w:val="000000" w:themeColor="text1"/>
        </w:rPr>
      </w:pPr>
      <w:r w:rsidRPr="006825DD">
        <w:t>Importantly th</w:t>
      </w:r>
      <w:r w:rsidR="00E95DD8" w:rsidRPr="006825DD">
        <w:t>e design of th</w:t>
      </w:r>
      <w:r>
        <w:t>is</w:t>
      </w:r>
      <w:r w:rsidR="00E95DD8" w:rsidRPr="006825DD">
        <w:t xml:space="preserve"> network did not take into account potential use and interference from </w:t>
      </w:r>
      <w:r w:rsidR="00744E0C">
        <w:t xml:space="preserve">co-frequency deployments </w:t>
      </w:r>
      <w:r w:rsidRPr="006825DD">
        <w:t xml:space="preserve">in </w:t>
      </w:r>
      <w:r w:rsidR="00E95DD8" w:rsidRPr="006825DD">
        <w:t>urban excise areas</w:t>
      </w:r>
      <w:r w:rsidR="00744E0C">
        <w:t xml:space="preserve"> operated by other users</w:t>
      </w:r>
      <w:r w:rsidR="00E95DD8" w:rsidRPr="006825DD">
        <w:t>.</w:t>
      </w:r>
      <w:r w:rsidRPr="006825DD">
        <w:t xml:space="preserve"> Such use represents a </w:t>
      </w:r>
      <w:r w:rsidRPr="006825DD">
        <w:rPr>
          <w:color w:val="000000" w:themeColor="text1"/>
        </w:rPr>
        <w:t>shift f</w:t>
      </w:r>
      <w:r w:rsidR="00D770D8">
        <w:rPr>
          <w:color w:val="000000" w:themeColor="text1"/>
        </w:rPr>
        <w:t>rom</w:t>
      </w:r>
      <w:r w:rsidRPr="006825DD">
        <w:rPr>
          <w:color w:val="000000" w:themeColor="text1"/>
        </w:rPr>
        <w:t xml:space="preserve"> the </w:t>
      </w:r>
      <w:r w:rsidR="00C420A3">
        <w:rPr>
          <w:color w:val="000000" w:themeColor="text1"/>
        </w:rPr>
        <w:t>existing environment</w:t>
      </w:r>
      <w:r w:rsidRPr="006825DD">
        <w:rPr>
          <w:color w:val="000000" w:themeColor="text1"/>
        </w:rPr>
        <w:t xml:space="preserve"> and </w:t>
      </w:r>
      <w:r w:rsidR="00744E0C">
        <w:rPr>
          <w:color w:val="000000" w:themeColor="text1"/>
        </w:rPr>
        <w:t>creates a new coexistence environment to consider</w:t>
      </w:r>
      <w:r w:rsidRPr="006825DD">
        <w:rPr>
          <w:color w:val="000000" w:themeColor="text1"/>
        </w:rPr>
        <w:t>.</w:t>
      </w:r>
      <w:r>
        <w:rPr>
          <w:color w:val="000000" w:themeColor="text1"/>
        </w:rPr>
        <w:t xml:space="preserve"> </w:t>
      </w:r>
    </w:p>
    <w:p w14:paraId="7121AADE" w14:textId="742DDBA8" w:rsidR="006825DD" w:rsidRDefault="00744E0C" w:rsidP="004977F9">
      <w:pPr>
        <w:pStyle w:val="Paragraph"/>
        <w:rPr>
          <w:color w:val="000000" w:themeColor="text1"/>
        </w:rPr>
      </w:pPr>
      <w:r>
        <w:rPr>
          <w:color w:val="000000" w:themeColor="text1"/>
        </w:rPr>
        <w:t>To</w:t>
      </w:r>
      <w:r w:rsidR="00B234CB">
        <w:rPr>
          <w:color w:val="000000" w:themeColor="text1"/>
        </w:rPr>
        <w:t xml:space="preserve"> maximise their size, </w:t>
      </w:r>
      <w:r w:rsidR="00BB0497">
        <w:rPr>
          <w:color w:val="000000" w:themeColor="text1"/>
        </w:rPr>
        <w:t xml:space="preserve">urban excise areas were defined to include those areas </w:t>
      </w:r>
      <w:r w:rsidR="00B234CB">
        <w:rPr>
          <w:color w:val="000000" w:themeColor="text1"/>
        </w:rPr>
        <w:t xml:space="preserve">of capital </w:t>
      </w:r>
      <w:r w:rsidR="00BB0497">
        <w:rPr>
          <w:color w:val="000000" w:themeColor="text1"/>
        </w:rPr>
        <w:t xml:space="preserve">cities that </w:t>
      </w:r>
      <w:r w:rsidR="00B234CB" w:rsidRPr="000B56EB">
        <w:t>were not part of</w:t>
      </w:r>
      <w:r w:rsidR="00B234CB">
        <w:t xml:space="preserve"> NBN Co’s</w:t>
      </w:r>
      <w:r w:rsidR="00B234CB" w:rsidRPr="000B56EB">
        <w:t xml:space="preserve"> terrestrial </w:t>
      </w:r>
      <w:r>
        <w:t xml:space="preserve">fixed </w:t>
      </w:r>
      <w:r w:rsidR="00B234CB" w:rsidRPr="000B56EB">
        <w:t xml:space="preserve">wireless service area. </w:t>
      </w:r>
      <w:r w:rsidR="00BB0497">
        <w:rPr>
          <w:color w:val="000000" w:themeColor="text1"/>
        </w:rPr>
        <w:t xml:space="preserve">This means a large number of NBN Co’s services are located near the urban excise boundary with little or no geographical separation </w:t>
      </w:r>
      <w:r w:rsidR="00C420A3">
        <w:rPr>
          <w:color w:val="000000" w:themeColor="text1"/>
        </w:rPr>
        <w:t>between them</w:t>
      </w:r>
      <w:r w:rsidR="00BB0497">
        <w:rPr>
          <w:color w:val="000000" w:themeColor="text1"/>
        </w:rPr>
        <w:t>. This</w:t>
      </w:r>
      <w:r w:rsidR="006825DD">
        <w:rPr>
          <w:color w:val="000000" w:themeColor="text1"/>
        </w:rPr>
        <w:t xml:space="preserve"> </w:t>
      </w:r>
      <w:r>
        <w:rPr>
          <w:color w:val="000000" w:themeColor="text1"/>
        </w:rPr>
        <w:t>creates a challenging coexistence environment</w:t>
      </w:r>
      <w:r w:rsidR="006825DD">
        <w:rPr>
          <w:color w:val="000000" w:themeColor="text1"/>
        </w:rPr>
        <w:t xml:space="preserve">. </w:t>
      </w:r>
    </w:p>
    <w:p w14:paraId="25D6301A" w14:textId="77777777" w:rsidR="00744E0C" w:rsidRDefault="006825DD" w:rsidP="004977F9">
      <w:pPr>
        <w:pStyle w:val="Paragraph"/>
      </w:pPr>
      <w:r>
        <w:rPr>
          <w:color w:val="000000" w:themeColor="text1"/>
        </w:rPr>
        <w:t xml:space="preserve">This situation is different to </w:t>
      </w:r>
      <w:r w:rsidR="00B234CB">
        <w:rPr>
          <w:color w:val="000000" w:themeColor="text1"/>
        </w:rPr>
        <w:t xml:space="preserve">a </w:t>
      </w:r>
      <w:r>
        <w:rPr>
          <w:color w:val="000000" w:themeColor="text1"/>
        </w:rPr>
        <w:t xml:space="preserve">scenario where an </w:t>
      </w:r>
      <w:r w:rsidR="00BB0497">
        <w:rPr>
          <w:color w:val="000000" w:themeColor="text1"/>
        </w:rPr>
        <w:t>operator</w:t>
      </w:r>
      <w:r>
        <w:rPr>
          <w:color w:val="000000" w:themeColor="text1"/>
        </w:rPr>
        <w:t xml:space="preserve"> is issued a licence</w:t>
      </w:r>
      <w:r w:rsidR="00BB0497">
        <w:rPr>
          <w:color w:val="000000" w:themeColor="text1"/>
        </w:rPr>
        <w:t xml:space="preserve"> where </w:t>
      </w:r>
      <w:r w:rsidR="0019155F">
        <w:rPr>
          <w:color w:val="000000" w:themeColor="text1"/>
        </w:rPr>
        <w:t xml:space="preserve">the </w:t>
      </w:r>
      <w:r w:rsidR="00BB0497">
        <w:rPr>
          <w:color w:val="000000" w:themeColor="text1"/>
        </w:rPr>
        <w:t xml:space="preserve">boundaries are pre-defined, and they are aware of possible future </w:t>
      </w:r>
      <w:r w:rsidR="00744E0C">
        <w:rPr>
          <w:color w:val="000000" w:themeColor="text1"/>
        </w:rPr>
        <w:t xml:space="preserve">co-frequency </w:t>
      </w:r>
      <w:r w:rsidR="00BB0497">
        <w:rPr>
          <w:color w:val="000000" w:themeColor="text1"/>
        </w:rPr>
        <w:t>use in adjacent areas</w:t>
      </w:r>
      <w:r>
        <w:rPr>
          <w:color w:val="000000" w:themeColor="text1"/>
        </w:rPr>
        <w:t xml:space="preserve">. </w:t>
      </w:r>
      <w:r w:rsidR="00BB0497">
        <w:rPr>
          <w:color w:val="000000" w:themeColor="text1"/>
        </w:rPr>
        <w:t xml:space="preserve">In such cases, </w:t>
      </w:r>
      <w:r w:rsidR="00B234CB">
        <w:rPr>
          <w:color w:val="000000" w:themeColor="text1"/>
        </w:rPr>
        <w:t xml:space="preserve">an </w:t>
      </w:r>
      <w:r w:rsidR="00BB0497">
        <w:rPr>
          <w:color w:val="000000" w:themeColor="text1"/>
        </w:rPr>
        <w:t xml:space="preserve">operator can </w:t>
      </w:r>
      <w:r w:rsidR="00BB0497">
        <w:t xml:space="preserve">design their network and deploy services that take this into account. Often this involves some form of geographical separation between services </w:t>
      </w:r>
      <w:r w:rsidR="00B234CB">
        <w:t>and</w:t>
      </w:r>
      <w:r w:rsidR="00BB0497">
        <w:t xml:space="preserve"> shared </w:t>
      </w:r>
      <w:r w:rsidR="00B234CB">
        <w:t xml:space="preserve">area </w:t>
      </w:r>
      <w:r w:rsidR="00BB0497">
        <w:t xml:space="preserve">boundaries – something that many </w:t>
      </w:r>
      <w:r w:rsidR="00C420A3">
        <w:t xml:space="preserve">existing </w:t>
      </w:r>
      <w:r w:rsidR="00BB0497">
        <w:t xml:space="preserve">NBN Co services </w:t>
      </w:r>
      <w:r w:rsidR="00C420A3">
        <w:t>gain limited benefit from with</w:t>
      </w:r>
      <w:r w:rsidR="00BB0497">
        <w:t xml:space="preserve"> urban excise areas.  </w:t>
      </w:r>
    </w:p>
    <w:p w14:paraId="02C4A365" w14:textId="5485BFF4" w:rsidR="00744E0C" w:rsidRDefault="00B234CB" w:rsidP="004977F9">
      <w:pPr>
        <w:pStyle w:val="Paragraph"/>
      </w:pPr>
      <w:r>
        <w:t xml:space="preserve">To account for this while recognising the </w:t>
      </w:r>
      <w:r w:rsidR="00C420A3">
        <w:t xml:space="preserve">benefits </w:t>
      </w:r>
      <w:r>
        <w:t>of the service</w:t>
      </w:r>
      <w:r w:rsidR="00744E0C">
        <w:t>s</w:t>
      </w:r>
      <w:r>
        <w:t xml:space="preserve"> provided by NBN Co, measures need to be put in place to </w:t>
      </w:r>
      <w:r w:rsidR="00744E0C">
        <w:t>achieve coexistence through managing interference between NBN Co services and future uses/users of urban excise areas.</w:t>
      </w:r>
      <w:r>
        <w:t xml:space="preserve"> </w:t>
      </w:r>
    </w:p>
    <w:p w14:paraId="16D1C661" w14:textId="1F0B0FE7" w:rsidR="001172DE" w:rsidRDefault="00B234CB" w:rsidP="004977F9">
      <w:pPr>
        <w:pStyle w:val="Paragraph"/>
      </w:pPr>
      <w:r>
        <w:t xml:space="preserve">It is </w:t>
      </w:r>
      <w:r w:rsidR="00744E0C">
        <w:t>important to</w:t>
      </w:r>
      <w:r>
        <w:t xml:space="preserve"> note that there will naturally be a trade-off between the level of protection provided to NBN Co services and </w:t>
      </w:r>
      <w:r w:rsidR="00D770D8">
        <w:t xml:space="preserve">the </w:t>
      </w:r>
      <w:r w:rsidRPr="003D67A8">
        <w:t xml:space="preserve">utility </w:t>
      </w:r>
      <w:r w:rsidR="00744E0C">
        <w:t xml:space="preserve">that can be derives from use </w:t>
      </w:r>
      <w:r w:rsidRPr="003D67A8">
        <w:t xml:space="preserve">of </w:t>
      </w:r>
      <w:r w:rsidR="00D770D8">
        <w:t xml:space="preserve">spectrum in the </w:t>
      </w:r>
      <w:r w:rsidRPr="003D67A8">
        <w:t xml:space="preserve">urban excise areas </w:t>
      </w:r>
      <w:r w:rsidR="00744E0C">
        <w:t>by</w:t>
      </w:r>
      <w:r w:rsidR="00744E0C" w:rsidRPr="003D67A8">
        <w:t xml:space="preserve"> </w:t>
      </w:r>
      <w:r w:rsidRPr="003D67A8">
        <w:t>new wireless broadband services</w:t>
      </w:r>
      <w:r w:rsidR="00D770D8">
        <w:t>.</w:t>
      </w:r>
      <w:r>
        <w:t xml:space="preserve"> For example, a more conservative protection criteria for NBN Co services correspond</w:t>
      </w:r>
      <w:r w:rsidR="00C420A3">
        <w:t>s</w:t>
      </w:r>
      <w:r>
        <w:t xml:space="preserve"> to a reduction in utility of </w:t>
      </w:r>
      <w:r w:rsidR="00D770D8">
        <w:t xml:space="preserve">spectrum available in </w:t>
      </w:r>
      <w:r>
        <w:t xml:space="preserve">urban excise areas. Consequently, a suitable balance needs to be identified. </w:t>
      </w:r>
      <w:r w:rsidR="00A529EB">
        <w:t xml:space="preserve">It is expected that these would be based on the criteria detailed in </w:t>
      </w:r>
      <w:hyperlink w:anchor="_Appendix_E:_Possible" w:history="1">
        <w:r w:rsidR="00A529EB" w:rsidRPr="00696EB4">
          <w:rPr>
            <w:rStyle w:val="Hyperlink"/>
          </w:rPr>
          <w:t>Appendix E</w:t>
        </w:r>
      </w:hyperlink>
      <w:r w:rsidR="00A529EB">
        <w:t xml:space="preserve">. </w:t>
      </w:r>
      <w:r>
        <w:t>The final detail of what these measures will look like will be addressed in future consultation process</w:t>
      </w:r>
      <w:r w:rsidR="00B52FC7">
        <w:t>es</w:t>
      </w:r>
      <w:r>
        <w:t xml:space="preserve">.  </w:t>
      </w:r>
    </w:p>
    <w:p w14:paraId="0BE8F871" w14:textId="77777777" w:rsidR="00744E0C" w:rsidRDefault="001172DE" w:rsidP="004977F9">
      <w:pPr>
        <w:pStyle w:val="Paragraph"/>
        <w:rPr>
          <w:color w:val="000000" w:themeColor="text1"/>
        </w:rPr>
      </w:pPr>
      <w:r>
        <w:rPr>
          <w:color w:val="000000" w:themeColor="text1"/>
        </w:rPr>
        <w:t xml:space="preserve">One of the key issues identified in the TLG, was whether to include measures to protect NBN Co services from </w:t>
      </w:r>
      <w:r w:rsidR="00744E0C">
        <w:rPr>
          <w:color w:val="000000" w:themeColor="text1"/>
        </w:rPr>
        <w:t xml:space="preserve">potential </w:t>
      </w:r>
      <w:r>
        <w:rPr>
          <w:color w:val="000000" w:themeColor="text1"/>
        </w:rPr>
        <w:t xml:space="preserve">interference caused by ducting. Ducting is a form of anomalous propagation that can occur </w:t>
      </w:r>
      <w:r w:rsidR="00C443E2">
        <w:rPr>
          <w:color w:val="000000" w:themeColor="text1"/>
        </w:rPr>
        <w:t>under</w:t>
      </w:r>
      <w:r>
        <w:rPr>
          <w:color w:val="000000" w:themeColor="text1"/>
        </w:rPr>
        <w:t xml:space="preserve"> certain conditions. When an atmospheric duct forms, radio waves that travel along it experience less attenuation. </w:t>
      </w:r>
    </w:p>
    <w:p w14:paraId="779DFD82" w14:textId="4A6B61D2" w:rsidR="00E95DD8" w:rsidRDefault="00D770D8" w:rsidP="004977F9">
      <w:pPr>
        <w:pStyle w:val="Paragraph"/>
      </w:pPr>
      <w:r>
        <w:rPr>
          <w:color w:val="000000" w:themeColor="text1"/>
        </w:rPr>
        <w:t>A d</w:t>
      </w:r>
      <w:r w:rsidR="00744E0C">
        <w:rPr>
          <w:color w:val="000000" w:themeColor="text1"/>
        </w:rPr>
        <w:t xml:space="preserve">etailed </w:t>
      </w:r>
      <w:r>
        <w:rPr>
          <w:color w:val="000000" w:themeColor="text1"/>
        </w:rPr>
        <w:t xml:space="preserve">assessment </w:t>
      </w:r>
      <w:r w:rsidR="00744E0C">
        <w:rPr>
          <w:color w:val="000000" w:themeColor="text1"/>
        </w:rPr>
        <w:t>of the</w:t>
      </w:r>
      <w:r w:rsidR="00C2617B">
        <w:rPr>
          <w:color w:val="000000" w:themeColor="text1"/>
        </w:rPr>
        <w:t xml:space="preserve"> interference</w:t>
      </w:r>
      <w:r w:rsidR="00744E0C">
        <w:rPr>
          <w:color w:val="000000" w:themeColor="text1"/>
        </w:rPr>
        <w:t xml:space="preserve"> effects of ducting is difficult to quantify</w:t>
      </w:r>
      <w:r w:rsidR="00C2617B">
        <w:rPr>
          <w:color w:val="000000" w:themeColor="text1"/>
        </w:rPr>
        <w:t xml:space="preserve"> and depends on both the nature of the ducts and of the systems susceptible to interference. In the case of the 3.4 GHz band, the ACMA is aware of the possibility of ducting related interference </w:t>
      </w:r>
      <w:r w:rsidR="00744E0C">
        <w:rPr>
          <w:color w:val="000000" w:themeColor="text1"/>
        </w:rPr>
        <w:t xml:space="preserve">potentially </w:t>
      </w:r>
      <w:r w:rsidR="00C2617B">
        <w:rPr>
          <w:color w:val="000000" w:themeColor="text1"/>
        </w:rPr>
        <w:t xml:space="preserve">occurring up to </w:t>
      </w:r>
      <w:r w:rsidR="00E06018">
        <w:rPr>
          <w:color w:val="000000" w:themeColor="text1"/>
        </w:rPr>
        <w:t xml:space="preserve">a few </w:t>
      </w:r>
      <w:r w:rsidR="001172DE">
        <w:rPr>
          <w:color w:val="000000" w:themeColor="text1"/>
        </w:rPr>
        <w:t>hundreds of kilometres away from a transmitter</w:t>
      </w:r>
      <w:r w:rsidR="00C2617B">
        <w:rPr>
          <w:color w:val="000000" w:themeColor="text1"/>
        </w:rPr>
        <w:t xml:space="preserve"> for </w:t>
      </w:r>
      <w:r w:rsidR="001172DE" w:rsidRPr="00DB09DB">
        <w:rPr>
          <w:color w:val="000000" w:themeColor="text1"/>
        </w:rPr>
        <w:t xml:space="preserve">periods of minutes/hours </w:t>
      </w:r>
      <w:r w:rsidR="001172DE">
        <w:rPr>
          <w:color w:val="000000" w:themeColor="text1"/>
        </w:rPr>
        <w:t>or</w:t>
      </w:r>
      <w:r w:rsidR="001172DE" w:rsidRPr="00DB09DB">
        <w:rPr>
          <w:color w:val="000000" w:themeColor="text1"/>
        </w:rPr>
        <w:t xml:space="preserve"> even days</w:t>
      </w:r>
      <w:r w:rsidR="001172DE">
        <w:rPr>
          <w:color w:val="000000" w:themeColor="text1"/>
        </w:rPr>
        <w:t xml:space="preserve"> at a time,</w:t>
      </w:r>
      <w:r>
        <w:rPr>
          <w:color w:val="000000" w:themeColor="text1"/>
        </w:rPr>
        <w:t xml:space="preserve"> with</w:t>
      </w:r>
      <w:r w:rsidR="001172DE">
        <w:rPr>
          <w:color w:val="000000" w:themeColor="text1"/>
        </w:rPr>
        <w:t xml:space="preserve"> events usually occur</w:t>
      </w:r>
      <w:r>
        <w:rPr>
          <w:color w:val="000000" w:themeColor="text1"/>
        </w:rPr>
        <w:t>ring</w:t>
      </w:r>
      <w:r w:rsidR="001172DE">
        <w:rPr>
          <w:color w:val="000000" w:themeColor="text1"/>
        </w:rPr>
        <w:t xml:space="preserve"> during specific times of the year. </w:t>
      </w:r>
      <w:r w:rsidR="001172DE">
        <w:t xml:space="preserve">Interference due to ducting </w:t>
      </w:r>
      <w:r w:rsidR="00C443E2">
        <w:t>is generally</w:t>
      </w:r>
      <w:r w:rsidR="001172DE">
        <w:t xml:space="preserve"> only </w:t>
      </w:r>
      <w:r w:rsidR="00C443E2">
        <w:t xml:space="preserve">seen </w:t>
      </w:r>
      <w:r w:rsidR="001172DE">
        <w:t>between devices that are located above the local clutter (i.e.</w:t>
      </w:r>
      <w:r w:rsidR="00C627BB">
        <w:t>,</w:t>
      </w:r>
      <w:r w:rsidR="001172DE">
        <w:t xml:space="preserve"> above rooftops and treetops), such as macro cell base stations.</w:t>
      </w:r>
      <w:r w:rsidR="00B234CB">
        <w:t xml:space="preserve"> </w:t>
      </w:r>
      <w:r w:rsidR="00C2617B">
        <w:t xml:space="preserve">Additionally, the impact of the interference is also variable and may at times result in a reduction in throughput as opposed to completed failure of the service. </w:t>
      </w:r>
      <w:r w:rsidR="00B234CB">
        <w:t xml:space="preserve"> </w:t>
      </w:r>
      <w:r w:rsidR="00BB0497">
        <w:t xml:space="preserve"> </w:t>
      </w:r>
      <w:r w:rsidR="00BB0497">
        <w:rPr>
          <w:color w:val="000000" w:themeColor="text1"/>
        </w:rPr>
        <w:t xml:space="preserve"> </w:t>
      </w:r>
      <w:r w:rsidR="006825DD">
        <w:rPr>
          <w:color w:val="000000" w:themeColor="text1"/>
        </w:rPr>
        <w:t xml:space="preserve"> </w:t>
      </w:r>
      <w:r w:rsidR="006825DD" w:rsidRPr="00DB09DB">
        <w:rPr>
          <w:color w:val="000000" w:themeColor="text1"/>
        </w:rPr>
        <w:t xml:space="preserve"> </w:t>
      </w:r>
      <w:r w:rsidR="006825DD" w:rsidRPr="006825DD">
        <w:rPr>
          <w:color w:val="000000" w:themeColor="text1"/>
        </w:rPr>
        <w:t xml:space="preserve"> </w:t>
      </w:r>
      <w:r w:rsidR="00E95DD8" w:rsidRPr="006825DD">
        <w:t xml:space="preserve"> </w:t>
      </w:r>
    </w:p>
    <w:p w14:paraId="265A5C22" w14:textId="2AF1A541" w:rsidR="001172DE" w:rsidRPr="006825DD" w:rsidRDefault="001172DE">
      <w:r>
        <w:t xml:space="preserve">This </w:t>
      </w:r>
      <w:r w:rsidR="00C2617B">
        <w:t xml:space="preserve">issue </w:t>
      </w:r>
      <w:r>
        <w:t>was identified as a major sensitivity in the TLG</w:t>
      </w:r>
      <w:r w:rsidR="00C2617B">
        <w:t xml:space="preserve">. </w:t>
      </w:r>
      <w:r>
        <w:t xml:space="preserve">NBN Co supported implementation of </w:t>
      </w:r>
      <w:r w:rsidR="00C2617B">
        <w:t xml:space="preserve">additional specific </w:t>
      </w:r>
      <w:r>
        <w:t>measures</w:t>
      </w:r>
      <w:r w:rsidR="00C2617B">
        <w:t xml:space="preserve"> to further mitigate the risk of ducting interference while</w:t>
      </w:r>
      <w:r w:rsidR="00A034E3">
        <w:t xml:space="preserve"> other 3.4 GHz spectrum licensees </w:t>
      </w:r>
      <w:r>
        <w:t xml:space="preserve">did not. Further discussion on this issue is provided at </w:t>
      </w:r>
      <w:hyperlink w:anchor="_Appendix_E:_Possible" w:history="1">
        <w:r w:rsidRPr="00696EB4">
          <w:rPr>
            <w:rStyle w:val="Hyperlink"/>
          </w:rPr>
          <w:t>Appendix E</w:t>
        </w:r>
      </w:hyperlink>
      <w:r>
        <w:t>.</w:t>
      </w:r>
    </w:p>
    <w:p w14:paraId="27EA9295" w14:textId="6ED2B425" w:rsidR="003D67A8" w:rsidRDefault="00FC5FEC" w:rsidP="00696EB4">
      <w:pPr>
        <w:pStyle w:val="Bulletlevel1"/>
      </w:pPr>
      <w:r>
        <w:rPr>
          <w:b/>
          <w:bCs/>
        </w:rPr>
        <w:t>All Options</w:t>
      </w:r>
      <w:r w:rsidR="00C627BB">
        <w:rPr>
          <w:b/>
          <w:bCs/>
        </w:rPr>
        <w:t>:</w:t>
      </w:r>
      <w:r w:rsidR="00297AD8">
        <w:rPr>
          <w:b/>
          <w:bCs/>
        </w:rPr>
        <w:t xml:space="preserve"> </w:t>
      </w:r>
      <w:r>
        <w:t>T</w:t>
      </w:r>
      <w:r w:rsidR="00297AD8">
        <w:t xml:space="preserve">he </w:t>
      </w:r>
      <w:r>
        <w:t>ACMA considers that suitable</w:t>
      </w:r>
      <w:r w:rsidR="00297AD8">
        <w:t xml:space="preserve"> interference management criteria </w:t>
      </w:r>
      <w:r>
        <w:t xml:space="preserve">can be developed for </w:t>
      </w:r>
      <w:r w:rsidR="003D67A8">
        <w:t xml:space="preserve">all </w:t>
      </w:r>
      <w:r>
        <w:t>option</w:t>
      </w:r>
      <w:r w:rsidR="003D67A8">
        <w:t>s</w:t>
      </w:r>
      <w:r>
        <w:t xml:space="preserve"> </w:t>
      </w:r>
      <w:r w:rsidR="00297AD8">
        <w:t xml:space="preserve">to provide NBN Co services with sufficient protection. </w:t>
      </w:r>
      <w:r>
        <w:t xml:space="preserve"> </w:t>
      </w:r>
    </w:p>
    <w:p w14:paraId="5E54AE59" w14:textId="767A1A1F" w:rsidR="00FC5FEC" w:rsidRPr="00FC5FEC" w:rsidRDefault="00B234CB" w:rsidP="00696EB4">
      <w:pPr>
        <w:pStyle w:val="Paragraph"/>
        <w:spacing w:before="240"/>
      </w:pPr>
      <w:r>
        <w:t>F</w:t>
      </w:r>
      <w:r w:rsidR="003D67A8">
        <w:t xml:space="preserve">or </w:t>
      </w:r>
      <w:r w:rsidR="003D67A8" w:rsidRPr="00FC5FEC">
        <w:t xml:space="preserve">Options 1 and </w:t>
      </w:r>
      <w:r w:rsidR="00A529EB">
        <w:t>4</w:t>
      </w:r>
      <w:r w:rsidR="003D67A8" w:rsidRPr="00FC5FEC">
        <w:t xml:space="preserve"> (the options that support macro cell </w:t>
      </w:r>
      <w:r w:rsidR="003D67A8">
        <w:t>deployments</w:t>
      </w:r>
      <w:r w:rsidR="003D67A8" w:rsidRPr="00FC5FEC">
        <w:t>)</w:t>
      </w:r>
      <w:r w:rsidR="00C627BB">
        <w:t>,</w:t>
      </w:r>
      <w:r w:rsidR="003D67A8">
        <w:t xml:space="preserve"> t</w:t>
      </w:r>
      <w:r w:rsidR="00FC5FEC" w:rsidRPr="00FC5FEC">
        <w:t>he issue of whether to include measure</w:t>
      </w:r>
      <w:r w:rsidR="00B52FC7">
        <w:t>s</w:t>
      </w:r>
      <w:r w:rsidR="00FC5FEC" w:rsidRPr="00FC5FEC">
        <w:t xml:space="preserve"> to manage interference </w:t>
      </w:r>
      <w:r w:rsidR="003D67A8">
        <w:t>caused by</w:t>
      </w:r>
      <w:r w:rsidR="00FC5FEC" w:rsidRPr="00FC5FEC">
        <w:t xml:space="preserve"> ducting will need to be</w:t>
      </w:r>
      <w:r w:rsidR="003D67A8">
        <w:t xml:space="preserve"> </w:t>
      </w:r>
      <w:r w:rsidR="00744E0C">
        <w:t>considered</w:t>
      </w:r>
      <w:r w:rsidR="00FC5FEC" w:rsidRPr="00FC5FEC">
        <w:t xml:space="preserve">. The ACMA </w:t>
      </w:r>
      <w:r w:rsidR="00D770D8">
        <w:t>considers</w:t>
      </w:r>
      <w:r w:rsidR="00FC5FEC" w:rsidRPr="00FC5FEC">
        <w:t xml:space="preserve"> this would not</w:t>
      </w:r>
      <w:r w:rsidR="00B73139">
        <w:t xml:space="preserve"> be</w:t>
      </w:r>
      <w:r w:rsidR="00FC5FEC" w:rsidRPr="00FC5FEC">
        <w:t xml:space="preserve"> </w:t>
      </w:r>
      <w:r w:rsidR="00B73139">
        <w:t>needed</w:t>
      </w:r>
      <w:r w:rsidR="00B73139" w:rsidRPr="00FC5FEC">
        <w:t xml:space="preserve"> </w:t>
      </w:r>
      <w:r w:rsidR="00FC5FEC" w:rsidRPr="00FC5FEC">
        <w:t xml:space="preserve">for Options </w:t>
      </w:r>
      <w:r w:rsidR="00A529EB">
        <w:t>2</w:t>
      </w:r>
      <w:r w:rsidR="00FC5FEC" w:rsidRPr="00FC5FEC">
        <w:t xml:space="preserve"> and </w:t>
      </w:r>
      <w:r w:rsidR="00A529EB">
        <w:t>3</w:t>
      </w:r>
      <w:r w:rsidR="00FC5FEC" w:rsidRPr="00FC5FEC">
        <w:t xml:space="preserve"> (restricted cell options)</w:t>
      </w:r>
      <w:r w:rsidR="001172DE">
        <w:t>. Such interference</w:t>
      </w:r>
      <w:r w:rsidR="00FC5FEC" w:rsidRPr="00FC5FEC">
        <w:t xml:space="preserve"> </w:t>
      </w:r>
      <w:r w:rsidR="001172DE">
        <w:t>sh</w:t>
      </w:r>
      <w:r w:rsidR="00FC5FEC" w:rsidRPr="00FC5FEC">
        <w:t>ould be adequately addressed by restrictions on service deployments</w:t>
      </w:r>
      <w:r w:rsidR="001172DE">
        <w:t xml:space="preserve"> such as</w:t>
      </w:r>
      <w:r w:rsidR="00A034E3">
        <w:t xml:space="preserve"> limits</w:t>
      </w:r>
      <w:r w:rsidR="001172DE">
        <w:t xml:space="preserve"> on radiated power and antenna heights</w:t>
      </w:r>
      <w:r w:rsidR="00FC5FEC" w:rsidRPr="00FC5FEC">
        <w:t xml:space="preserve">. </w:t>
      </w:r>
    </w:p>
    <w:p w14:paraId="724A274A" w14:textId="4D9907E5" w:rsidR="006925CB" w:rsidRPr="00696EB4" w:rsidRDefault="00297AD8" w:rsidP="00297AD8">
      <w:pPr>
        <w:pStyle w:val="Paragraph"/>
        <w:rPr>
          <w:b/>
          <w:bCs/>
        </w:rPr>
      </w:pPr>
      <w:r w:rsidRPr="00696EB4">
        <w:rPr>
          <w:b/>
          <w:bCs/>
        </w:rPr>
        <w:t xml:space="preserve">Desirable planning </w:t>
      </w:r>
      <w:r w:rsidR="009134F1" w:rsidRPr="00696EB4">
        <w:rPr>
          <w:b/>
          <w:bCs/>
        </w:rPr>
        <w:t>o</w:t>
      </w:r>
      <w:r w:rsidRPr="00696EB4">
        <w:rPr>
          <w:b/>
          <w:bCs/>
        </w:rPr>
        <w:t>utcome 2</w:t>
      </w:r>
      <w:r w:rsidR="00C627BB" w:rsidRPr="00696EB4">
        <w:rPr>
          <w:b/>
          <w:bCs/>
        </w:rPr>
        <w:t xml:space="preserve">: </w:t>
      </w:r>
      <w:r w:rsidR="006925CB" w:rsidRPr="00696EB4">
        <w:t xml:space="preserve">Ensure NBN Co </w:t>
      </w:r>
      <w:r w:rsidR="004C684D" w:rsidRPr="00696EB4">
        <w:t>is</w:t>
      </w:r>
      <w:r w:rsidR="006925CB" w:rsidRPr="00696EB4">
        <w:t xml:space="preserve"> not unreasonably constrained in their ability to deploy new and more spectrally efficient technologies in the future</w:t>
      </w:r>
      <w:r w:rsidRPr="00696EB4">
        <w:t>.</w:t>
      </w:r>
    </w:p>
    <w:p w14:paraId="3D2CFD0C" w14:textId="2112BB60" w:rsidR="004D7CAD" w:rsidRDefault="00340FD2" w:rsidP="00297AD8">
      <w:pPr>
        <w:pStyle w:val="Paragraph"/>
      </w:pPr>
      <w:r w:rsidRPr="00340FD2">
        <w:t xml:space="preserve">It is understood that NBN Co have largely completed the rollout of their terrestrial </w:t>
      </w:r>
      <w:r w:rsidR="00C2617B">
        <w:t xml:space="preserve">fixed </w:t>
      </w:r>
      <w:r w:rsidRPr="00340FD2">
        <w:t xml:space="preserve">wireless network </w:t>
      </w:r>
      <w:r w:rsidRPr="004B7FCA">
        <w:t xml:space="preserve">and the areas they are required to provide </w:t>
      </w:r>
      <w:r w:rsidR="00452FF6">
        <w:t xml:space="preserve">associated </w:t>
      </w:r>
      <w:r w:rsidRPr="004B7FCA">
        <w:t>service</w:t>
      </w:r>
      <w:r w:rsidR="00452FF6">
        <w:t>s</w:t>
      </w:r>
      <w:r w:rsidRPr="004B7FCA">
        <w:t xml:space="preserve"> are well defined</w:t>
      </w:r>
      <w:r>
        <w:t xml:space="preserve">. However, </w:t>
      </w:r>
      <w:r w:rsidR="00452FF6">
        <w:t xml:space="preserve">the ACMA is aware that </w:t>
      </w:r>
      <w:r>
        <w:t xml:space="preserve">NBN Co have </w:t>
      </w:r>
      <w:r w:rsidR="00452FF6">
        <w:t xml:space="preserve">plans to migrate </w:t>
      </w:r>
      <w:r w:rsidR="00C2617B">
        <w:t xml:space="preserve">their network from 4G to </w:t>
      </w:r>
      <w:r w:rsidR="00452FF6">
        <w:t xml:space="preserve">5G (and likely other next generation technologies) in the future. This includes deploying AAS at existing base station sites which are capable of operating with higher antenna gains </w:t>
      </w:r>
      <w:r w:rsidR="00C2617B">
        <w:t xml:space="preserve">utilising </w:t>
      </w:r>
      <w:r w:rsidR="00452FF6">
        <w:t xml:space="preserve">steerable beams. NBN Co may also need to address changes in demand by increasing sectorisation at existing base station sites, this also typically involves deploying more directional-higher gain antennas. Implementing these measures </w:t>
      </w:r>
      <w:r w:rsidR="00A529EB">
        <w:t>has the potential to</w:t>
      </w:r>
      <w:r w:rsidR="00452FF6">
        <w:t xml:space="preserve"> </w:t>
      </w:r>
      <w:r w:rsidR="008B09B8">
        <w:t xml:space="preserve">change the coexistence environment with uses of the urban excise areas through </w:t>
      </w:r>
      <w:r w:rsidR="00452FF6">
        <w:t>increas</w:t>
      </w:r>
      <w:r w:rsidR="008B09B8">
        <w:t>ing</w:t>
      </w:r>
      <w:r w:rsidR="00452FF6">
        <w:t xml:space="preserve"> the level of interference into urban excise areas. </w:t>
      </w:r>
    </w:p>
    <w:p w14:paraId="39445C9C" w14:textId="4D70F986" w:rsidR="00501D34" w:rsidRDefault="008B09B8" w:rsidP="00D710F7">
      <w:pPr>
        <w:pStyle w:val="ListBullet"/>
        <w:numPr>
          <w:ilvl w:val="0"/>
          <w:numId w:val="0"/>
        </w:numPr>
        <w:spacing w:after="240"/>
      </w:pPr>
      <w:r>
        <w:t xml:space="preserve">The ACMA </w:t>
      </w:r>
      <w:r w:rsidR="00D770D8">
        <w:t>considers</w:t>
      </w:r>
      <w:r>
        <w:t xml:space="preserve"> that </w:t>
      </w:r>
      <w:r w:rsidR="006E6CE8">
        <w:t>a</w:t>
      </w:r>
      <w:r w:rsidR="00452FF6">
        <w:t xml:space="preserve">ny option implemented </w:t>
      </w:r>
      <w:r w:rsidR="00A529EB">
        <w:t>for use of</w:t>
      </w:r>
      <w:r w:rsidR="00452FF6">
        <w:t xml:space="preserve"> urban excise areas should provide reasonable flexibility to enable NBN Co to implement these measures. </w:t>
      </w:r>
      <w:r w:rsidR="004D7CAD">
        <w:t xml:space="preserve">It is </w:t>
      </w:r>
      <w:r w:rsidR="008468DC">
        <w:t xml:space="preserve">recognised </w:t>
      </w:r>
      <w:r w:rsidR="004D7CAD">
        <w:t>that there will be a trade-off between the degree of flexibility provided to NBN Co and providing certainty to urban excise licensees on future changes to the interference environment they operate in. For example</w:t>
      </w:r>
      <w:r w:rsidR="00C94B50">
        <w:t>,</w:t>
      </w:r>
      <w:r w:rsidR="004D7CAD">
        <w:t xml:space="preserve"> a measure that place</w:t>
      </w:r>
      <w:r w:rsidR="00C94B50">
        <w:t>s</w:t>
      </w:r>
      <w:r w:rsidR="004D7CAD">
        <w:t xml:space="preserve"> some constraints on NBN Co’s ability to modify existing base station</w:t>
      </w:r>
      <w:r w:rsidR="00D11CB8">
        <w:t>s</w:t>
      </w:r>
      <w:r w:rsidR="004D7CAD">
        <w:t xml:space="preserve">, could enable urban excise operators to design and deploy services that take this into account. </w:t>
      </w:r>
    </w:p>
    <w:p w14:paraId="1C7A68B3" w14:textId="54AB9E78" w:rsidR="00501D34" w:rsidRPr="008B56E5" w:rsidRDefault="00452FF6" w:rsidP="00696EB4">
      <w:pPr>
        <w:pStyle w:val="Bulletlevel1last"/>
        <w:rPr>
          <w:b/>
          <w:bCs/>
        </w:rPr>
      </w:pPr>
      <w:r>
        <w:rPr>
          <w:b/>
          <w:bCs/>
        </w:rPr>
        <w:t xml:space="preserve">Options 1 and </w:t>
      </w:r>
      <w:r w:rsidR="00501D34">
        <w:rPr>
          <w:b/>
          <w:bCs/>
        </w:rPr>
        <w:t>4</w:t>
      </w:r>
      <w:r w:rsidR="00C627BB">
        <w:rPr>
          <w:b/>
          <w:bCs/>
        </w:rPr>
        <w:t>:</w:t>
      </w:r>
      <w:r w:rsidRPr="008B56E5">
        <w:t xml:space="preserve"> The ACMA considers that suitable measures can be put in place that provide reasonable flexibility for NBN Co to adopt new and more spectrally efficient technologies</w:t>
      </w:r>
      <w:r w:rsidR="0030063D" w:rsidRPr="008B56E5">
        <w:t xml:space="preserve"> at existing base station site</w:t>
      </w:r>
      <w:r w:rsidR="000C3A0B" w:rsidRPr="008B56E5">
        <w:t>s</w:t>
      </w:r>
      <w:r w:rsidRPr="008B56E5">
        <w:t xml:space="preserve"> in the future.</w:t>
      </w:r>
      <w:r w:rsidR="000C3A0B" w:rsidRPr="008B56E5">
        <w:t xml:space="preserve"> As Options 1 and </w:t>
      </w:r>
      <w:r w:rsidR="008468DC" w:rsidRPr="008B56E5">
        <w:t>4</w:t>
      </w:r>
      <w:r w:rsidR="000C3A0B" w:rsidRPr="008B56E5">
        <w:t xml:space="preserve"> support macro cell deployments, which are often located above rooftops and the tree</w:t>
      </w:r>
      <w:r w:rsidR="00D710F7" w:rsidRPr="008B56E5">
        <w:t>tops</w:t>
      </w:r>
      <w:r w:rsidR="000C3A0B" w:rsidRPr="008B56E5">
        <w:t>, services in urban excise areas may be more susceptible to a change in interference environment. For these options is it likely any measures implemented will need to place some reasonable constraints on NBN Co’s ability to adopt new technologies</w:t>
      </w:r>
      <w:r w:rsidR="00D710F7" w:rsidRPr="008B56E5">
        <w:t>.</w:t>
      </w:r>
      <w:r w:rsidRPr="008B56E5">
        <w:t xml:space="preserve"> </w:t>
      </w:r>
      <w:r w:rsidR="000C3A0B" w:rsidRPr="008B56E5">
        <w:t>P</w:t>
      </w:r>
      <w:r w:rsidR="00D34258" w:rsidRPr="008B56E5">
        <w:t xml:space="preserve">ossible measures are detailed in </w:t>
      </w:r>
      <w:r w:rsidR="00501D34" w:rsidRPr="008B56E5">
        <w:t xml:space="preserve">Table 10 of </w:t>
      </w:r>
      <w:hyperlink w:anchor="_Appendix_E:_Possible" w:history="1">
        <w:r w:rsidR="00501D34" w:rsidRPr="00696EB4">
          <w:rPr>
            <w:rStyle w:val="Hyperlink"/>
          </w:rPr>
          <w:t>Appendix</w:t>
        </w:r>
        <w:r w:rsidR="00D710F7" w:rsidRPr="00696EB4">
          <w:rPr>
            <w:rStyle w:val="Hyperlink"/>
          </w:rPr>
          <w:t> </w:t>
        </w:r>
        <w:r w:rsidR="00501D34" w:rsidRPr="00696EB4">
          <w:rPr>
            <w:rStyle w:val="Hyperlink"/>
          </w:rPr>
          <w:t>E</w:t>
        </w:r>
      </w:hyperlink>
      <w:r w:rsidR="00D34258" w:rsidRPr="008B56E5">
        <w:t>.</w:t>
      </w:r>
      <w:r w:rsidR="00D34258" w:rsidRPr="008B56E5">
        <w:rPr>
          <w:b/>
          <w:bCs/>
        </w:rPr>
        <w:t xml:space="preserve"> </w:t>
      </w:r>
    </w:p>
    <w:p w14:paraId="223BCEC6" w14:textId="126CA582" w:rsidR="00452FF6" w:rsidRPr="009317CD" w:rsidRDefault="00D34258" w:rsidP="00696EB4">
      <w:pPr>
        <w:pStyle w:val="Bulletlevel1last"/>
      </w:pPr>
      <w:r>
        <w:rPr>
          <w:b/>
          <w:bCs/>
        </w:rPr>
        <w:t xml:space="preserve">Options </w:t>
      </w:r>
      <w:r w:rsidR="00501D34">
        <w:rPr>
          <w:b/>
          <w:bCs/>
        </w:rPr>
        <w:t>2</w:t>
      </w:r>
      <w:r>
        <w:rPr>
          <w:b/>
          <w:bCs/>
        </w:rPr>
        <w:t xml:space="preserve"> and </w:t>
      </w:r>
      <w:r w:rsidR="00501D34">
        <w:rPr>
          <w:b/>
          <w:bCs/>
        </w:rPr>
        <w:t>3</w:t>
      </w:r>
      <w:r w:rsidR="00C627BB">
        <w:rPr>
          <w:b/>
          <w:bCs/>
        </w:rPr>
        <w:t>:</w:t>
      </w:r>
      <w:r>
        <w:t xml:space="preserve"> The ACMA considers that suitable measures can be put in place that provide reasonable flexibility for NBN Co to adopt new and more spectrally efficient technologies </w:t>
      </w:r>
      <w:r w:rsidR="0030063D">
        <w:t xml:space="preserve">at existing base station sites </w:t>
      </w:r>
      <w:r>
        <w:t xml:space="preserve">in the future. </w:t>
      </w:r>
      <w:r w:rsidR="008468DC">
        <w:t xml:space="preserve">Options 2 and 3 support a restricted cell scenario. This means base stations </w:t>
      </w:r>
      <w:r w:rsidR="00D710F7">
        <w:t xml:space="preserve">(as with user terminals) </w:t>
      </w:r>
      <w:r w:rsidR="008468DC">
        <w:t>will typically be located either indoors or below the clutter (i.e.</w:t>
      </w:r>
      <w:r w:rsidR="00C627BB">
        <w:t>,</w:t>
      </w:r>
      <w:r w:rsidR="008468DC">
        <w:t xml:space="preserve"> below building and tree</w:t>
      </w:r>
      <w:r w:rsidR="00D710F7">
        <w:t>tops</w:t>
      </w:r>
      <w:r w:rsidR="008468DC">
        <w:t xml:space="preserve">), which would provide them additional </w:t>
      </w:r>
      <w:r w:rsidR="00D710F7">
        <w:t xml:space="preserve">protection </w:t>
      </w:r>
      <w:r w:rsidR="008468DC">
        <w:t>from NBN</w:t>
      </w:r>
      <w:r w:rsidR="00C627BB">
        <w:t> </w:t>
      </w:r>
      <w:r w:rsidR="008468DC">
        <w:t>Co service emissions.</w:t>
      </w:r>
      <w:r w:rsidR="00D710F7">
        <w:t xml:space="preserve"> Consequently, it may be possible to implement measures that place few or no </w:t>
      </w:r>
      <w:r w:rsidR="00D710F7" w:rsidRPr="009317CD">
        <w:t xml:space="preserve">restrictions on NBN Co to adopt new technologies. Possible measures are detailed in Table 10 of </w:t>
      </w:r>
      <w:hyperlink w:anchor="_Appendix_E:_Possible" w:history="1">
        <w:r w:rsidR="00D710F7" w:rsidRPr="00696EB4">
          <w:rPr>
            <w:rStyle w:val="Hyperlink"/>
          </w:rPr>
          <w:t>Appendix E</w:t>
        </w:r>
      </w:hyperlink>
      <w:r w:rsidR="00D710F7" w:rsidRPr="009317CD">
        <w:t>.</w:t>
      </w:r>
      <w:r w:rsidRPr="009317CD">
        <w:t xml:space="preserve"> </w:t>
      </w:r>
    </w:p>
    <w:p w14:paraId="180123F3" w14:textId="1CB39ABD" w:rsidR="00C61A02" w:rsidRPr="00696EB4" w:rsidRDefault="00C61A02" w:rsidP="00C61A02">
      <w:pPr>
        <w:pStyle w:val="Paragraph"/>
        <w:rPr>
          <w:b/>
          <w:bCs/>
        </w:rPr>
      </w:pPr>
      <w:bookmarkStart w:id="98" w:name="_Ref76995497"/>
      <w:r w:rsidRPr="00696EB4">
        <w:rPr>
          <w:b/>
          <w:bCs/>
        </w:rPr>
        <w:t xml:space="preserve">Desirable planning </w:t>
      </w:r>
      <w:r w:rsidR="009134F1" w:rsidRPr="00696EB4">
        <w:rPr>
          <w:b/>
          <w:bCs/>
        </w:rPr>
        <w:t>o</w:t>
      </w:r>
      <w:r w:rsidRPr="00696EB4">
        <w:rPr>
          <w:b/>
          <w:bCs/>
        </w:rPr>
        <w:t>utcome 3</w:t>
      </w:r>
      <w:bookmarkEnd w:id="98"/>
      <w:r w:rsidR="00C627BB" w:rsidRPr="00696EB4">
        <w:rPr>
          <w:b/>
          <w:bCs/>
        </w:rPr>
        <w:t xml:space="preserve">: </w:t>
      </w:r>
      <w:r w:rsidRPr="00696EB4">
        <w:t xml:space="preserve">Minimise the impact any new arrangements </w:t>
      </w:r>
      <w:r w:rsidR="00E17A34" w:rsidRPr="00696EB4">
        <w:t xml:space="preserve">may </w:t>
      </w:r>
      <w:r w:rsidRPr="00696EB4">
        <w:t>have on existing 3.4 GHz spectrum licen</w:t>
      </w:r>
      <w:r w:rsidR="00551E75" w:rsidRPr="00696EB4">
        <w:t>c</w:t>
      </w:r>
      <w:r w:rsidRPr="00696EB4">
        <w:t>es above 3475 MHz.</w:t>
      </w:r>
      <w:r w:rsidRPr="00696EB4">
        <w:rPr>
          <w:b/>
          <w:bCs/>
        </w:rPr>
        <w:t xml:space="preserve"> </w:t>
      </w:r>
    </w:p>
    <w:p w14:paraId="0406AF97" w14:textId="1CB482E2" w:rsidR="006B3210" w:rsidRPr="0022701C" w:rsidRDefault="005935B3" w:rsidP="00C61A02">
      <w:pPr>
        <w:pStyle w:val="Paragraph"/>
      </w:pPr>
      <w:r w:rsidRPr="009317CD">
        <w:t xml:space="preserve">To minimise the impact on adjacent </w:t>
      </w:r>
      <w:r w:rsidR="00551E75" w:rsidRPr="009317CD">
        <w:t xml:space="preserve">band </w:t>
      </w:r>
      <w:r w:rsidRPr="009317CD">
        <w:t>3.4 GHz</w:t>
      </w:r>
      <w:r w:rsidR="000B694F" w:rsidRPr="009317CD">
        <w:t xml:space="preserve"> spectrum</w:t>
      </w:r>
      <w:r w:rsidRPr="009317CD">
        <w:t xml:space="preserve"> licen</w:t>
      </w:r>
      <w:r w:rsidR="00551E75" w:rsidRPr="009317CD">
        <w:t>c</w:t>
      </w:r>
      <w:r w:rsidRPr="009317CD">
        <w:t>es,</w:t>
      </w:r>
      <w:r w:rsidR="006B3210" w:rsidRPr="009317CD">
        <w:t xml:space="preserve"> it is proposed that</w:t>
      </w:r>
      <w:r w:rsidRPr="009317CD">
        <w:t xml:space="preserve"> any arrangements developed will be limited</w:t>
      </w:r>
      <w:r w:rsidRPr="0022701C">
        <w:t xml:space="preserve"> to 3400</w:t>
      </w:r>
      <w:r w:rsidR="00C627BB">
        <w:t>–</w:t>
      </w:r>
      <w:r w:rsidRPr="0022701C">
        <w:t xml:space="preserve">3475 MHz range </w:t>
      </w:r>
      <w:r w:rsidR="006B3210" w:rsidRPr="0022701C">
        <w:t xml:space="preserve">and will only apply in the </w:t>
      </w:r>
      <w:r w:rsidRPr="0022701C">
        <w:t>manage</w:t>
      </w:r>
      <w:r w:rsidR="006B3210" w:rsidRPr="0022701C">
        <w:t>ment of</w:t>
      </w:r>
      <w:r w:rsidRPr="0022701C">
        <w:t xml:space="preserve"> interference to and from </w:t>
      </w:r>
      <w:r w:rsidR="00D770D8">
        <w:t xml:space="preserve">an </w:t>
      </w:r>
      <w:r w:rsidRPr="0022701C">
        <w:t>urban excise area.</w:t>
      </w:r>
      <w:r w:rsidR="006B3210" w:rsidRPr="0022701C">
        <w:t xml:space="preserve"> In all other cases, the </w:t>
      </w:r>
      <w:r w:rsidR="008B56E5">
        <w:t>existing</w:t>
      </w:r>
      <w:r w:rsidR="008B56E5" w:rsidRPr="0022701C">
        <w:t xml:space="preserve"> </w:t>
      </w:r>
      <w:r w:rsidR="006B3210" w:rsidRPr="0022701C">
        <w:t>arrangements in the 3.4 GHz technical framework will apply.</w:t>
      </w:r>
      <w:r w:rsidRPr="0022701C">
        <w:t xml:space="preserve"> </w:t>
      </w:r>
    </w:p>
    <w:p w14:paraId="0F1B6902" w14:textId="35AAE856" w:rsidR="00C61A02" w:rsidRDefault="00C61A02" w:rsidP="00696EB4">
      <w:pPr>
        <w:pStyle w:val="Paragraphbeforelist"/>
      </w:pPr>
      <w:r>
        <w:t xml:space="preserve">The 3.4 GHz technical framework </w:t>
      </w:r>
      <w:r w:rsidR="00C9452C">
        <w:t xml:space="preserve">manages </w:t>
      </w:r>
      <w:r>
        <w:t xml:space="preserve">adjacent </w:t>
      </w:r>
      <w:r w:rsidR="00C9452C">
        <w:t>channel interference via a combination of the following mechanisms:</w:t>
      </w:r>
    </w:p>
    <w:p w14:paraId="003E20C0" w14:textId="1DE4375D" w:rsidR="00C9452C" w:rsidRPr="00C9452C" w:rsidRDefault="00C627BB" w:rsidP="00696EB4">
      <w:pPr>
        <w:pStyle w:val="Bulletlevel1"/>
      </w:pPr>
      <w:r>
        <w:rPr>
          <w:szCs w:val="20"/>
        </w:rPr>
        <w:t>U</w:t>
      </w:r>
      <w:r w:rsidR="00C9452C" w:rsidRPr="00896CED">
        <w:rPr>
          <w:szCs w:val="20"/>
        </w:rPr>
        <w:t xml:space="preserve">nwanted emission limits defined in </w:t>
      </w:r>
      <w:hyperlink r:id="rId63" w:history="1">
        <w:r w:rsidR="00C9452C" w:rsidRPr="00896CED">
          <w:rPr>
            <w:rStyle w:val="Hyperlink"/>
            <w:szCs w:val="20"/>
          </w:rPr>
          <w:t>licence schedule 2 o</w:t>
        </w:r>
        <w:r w:rsidR="008B56E5">
          <w:rPr>
            <w:rStyle w:val="Hyperlink"/>
            <w:szCs w:val="20"/>
          </w:rPr>
          <w:t>f</w:t>
        </w:r>
        <w:r w:rsidR="00C9452C" w:rsidRPr="00896CED">
          <w:rPr>
            <w:rStyle w:val="Hyperlink"/>
            <w:szCs w:val="20"/>
          </w:rPr>
          <w:t xml:space="preserve"> all 3.4 GHz spectrum licences</w:t>
        </w:r>
      </w:hyperlink>
      <w:r>
        <w:rPr>
          <w:szCs w:val="20"/>
        </w:rPr>
        <w:t>.</w:t>
      </w:r>
    </w:p>
    <w:p w14:paraId="209B0F3C" w14:textId="65D0917A" w:rsidR="00C9452C" w:rsidRPr="00B8248B" w:rsidRDefault="00C627BB" w:rsidP="00696EB4">
      <w:pPr>
        <w:pStyle w:val="Bulletlevel1"/>
        <w:rPr>
          <w:szCs w:val="20"/>
        </w:rPr>
      </w:pPr>
      <w:r>
        <w:rPr>
          <w:szCs w:val="20"/>
        </w:rPr>
        <w:t>T</w:t>
      </w:r>
      <w:r w:rsidR="00C9452C" w:rsidRPr="00B8248B">
        <w:rPr>
          <w:szCs w:val="20"/>
        </w:rPr>
        <w:t xml:space="preserve">he co-sited devices requirement detailed in </w:t>
      </w:r>
      <w:hyperlink r:id="rId64" w:history="1">
        <w:r w:rsidR="00C9452C" w:rsidRPr="00B8248B">
          <w:rPr>
            <w:rStyle w:val="Hyperlink"/>
            <w:szCs w:val="20"/>
          </w:rPr>
          <w:t>clause 3 of Licence Schedule 4 on all 3.4 GHz spectrum licences</w:t>
        </w:r>
      </w:hyperlink>
      <w:r>
        <w:rPr>
          <w:szCs w:val="20"/>
        </w:rPr>
        <w:t>.</w:t>
      </w:r>
    </w:p>
    <w:p w14:paraId="2F4CDC0B" w14:textId="32DCFF3C" w:rsidR="00C9452C" w:rsidRDefault="00C627BB" w:rsidP="00696EB4">
      <w:pPr>
        <w:pStyle w:val="Bulletlevel1last"/>
      </w:pPr>
      <w:r>
        <w:t>T</w:t>
      </w:r>
      <w:r w:rsidR="00C9452C" w:rsidRPr="00B8248B">
        <w:t xml:space="preserve">he synchronisation requirement as detailed in </w:t>
      </w:r>
      <w:hyperlink r:id="rId65" w:history="1">
        <w:r w:rsidR="00C9452C" w:rsidRPr="00B8248B">
          <w:rPr>
            <w:rStyle w:val="Hyperlink"/>
            <w:szCs w:val="20"/>
          </w:rPr>
          <w:t>clause 11 of Licence Schedule 4 on all 3.4 GHz spectrum licences</w:t>
        </w:r>
      </w:hyperlink>
      <w:r w:rsidR="008B56E5">
        <w:t xml:space="preserve"> </w:t>
      </w:r>
      <w:r w:rsidR="00C9452C">
        <w:t>(this requirement also assists in managing co-channel interference).</w:t>
      </w:r>
    </w:p>
    <w:p w14:paraId="5C8FAE2F" w14:textId="1A459B05" w:rsidR="00C9452C" w:rsidRDefault="008B56E5" w:rsidP="00C61A02">
      <w:pPr>
        <w:pStyle w:val="Paragraph"/>
      </w:pPr>
      <w:r>
        <w:t>As indicated in</w:t>
      </w:r>
      <w:r w:rsidR="000B694F">
        <w:t xml:space="preserve"> </w:t>
      </w:r>
      <w:hyperlink w:anchor="_Appendix_E:_Possible" w:history="1">
        <w:r w:rsidR="000B694F" w:rsidRPr="00696EB4">
          <w:rPr>
            <w:rStyle w:val="Hyperlink"/>
          </w:rPr>
          <w:t>Appendix E</w:t>
        </w:r>
      </w:hyperlink>
      <w:r w:rsidR="000B694F">
        <w:t>,</w:t>
      </w:r>
      <w:r>
        <w:t xml:space="preserve"> </w:t>
      </w:r>
      <w:r w:rsidR="000B694F">
        <w:t>i</w:t>
      </w:r>
      <w:r w:rsidR="00C9452C">
        <w:t xml:space="preserve">t is proposed </w:t>
      </w:r>
      <w:r w:rsidR="000B694F">
        <w:t xml:space="preserve">that </w:t>
      </w:r>
      <w:r w:rsidR="00C9452C">
        <w:t xml:space="preserve">similar mechanisms </w:t>
      </w:r>
      <w:r w:rsidR="000B694F">
        <w:t xml:space="preserve">be adopted </w:t>
      </w:r>
      <w:r>
        <w:t xml:space="preserve">to manage </w:t>
      </w:r>
      <w:r w:rsidR="000B694F">
        <w:t>interference to and from</w:t>
      </w:r>
      <w:r w:rsidR="00C9452C">
        <w:t xml:space="preserve"> urban excise areas. However, while </w:t>
      </w:r>
      <w:r w:rsidR="00D770D8">
        <w:t xml:space="preserve">the </w:t>
      </w:r>
      <w:r w:rsidR="00117016">
        <w:t>adoption of the</w:t>
      </w:r>
      <w:r w:rsidR="00C9452C">
        <w:t xml:space="preserve"> </w:t>
      </w:r>
      <w:r w:rsidR="0098774C">
        <w:t>s</w:t>
      </w:r>
      <w:r w:rsidR="00530F8F">
        <w:t>ynchronisation requirement</w:t>
      </w:r>
      <w:r w:rsidR="00117016">
        <w:t xml:space="preserve"> is proposed</w:t>
      </w:r>
      <w:r w:rsidR="00C9452C">
        <w:t xml:space="preserve">, </w:t>
      </w:r>
      <w:r w:rsidR="00117016">
        <w:t>this</w:t>
      </w:r>
      <w:r w:rsidR="00C9452C">
        <w:t xml:space="preserve"> is primarily being </w:t>
      </w:r>
      <w:r w:rsidR="00ED0C8E">
        <w:t xml:space="preserve">used </w:t>
      </w:r>
      <w:r w:rsidR="00C9452C">
        <w:t>to manage co</w:t>
      </w:r>
      <w:r w:rsidR="0019155F">
        <w:noBreakHyphen/>
      </w:r>
      <w:r w:rsidR="00C9452C">
        <w:t xml:space="preserve">channel interference with NBN Co services. </w:t>
      </w:r>
      <w:r w:rsidR="00C9452C" w:rsidRPr="003778B0">
        <w:rPr>
          <w:color w:val="000000" w:themeColor="text1"/>
        </w:rPr>
        <w:t>As</w:t>
      </w:r>
      <w:r w:rsidR="00117016">
        <w:rPr>
          <w:color w:val="000000" w:themeColor="text1"/>
        </w:rPr>
        <w:t xml:space="preserve"> NBN Co</w:t>
      </w:r>
      <w:r w:rsidR="00C9452C" w:rsidRPr="003778B0">
        <w:rPr>
          <w:color w:val="000000" w:themeColor="text1"/>
        </w:rPr>
        <w:t xml:space="preserve"> currently </w:t>
      </w:r>
      <w:r w:rsidR="0022701C">
        <w:rPr>
          <w:color w:val="000000" w:themeColor="text1"/>
        </w:rPr>
        <w:t>employs</w:t>
      </w:r>
      <w:r w:rsidR="00C9452C" w:rsidRPr="003778B0">
        <w:rPr>
          <w:color w:val="000000" w:themeColor="text1"/>
        </w:rPr>
        <w:t xml:space="preserve"> 4G technology, th</w:t>
      </w:r>
      <w:r w:rsidR="0022701C">
        <w:rPr>
          <w:color w:val="000000" w:themeColor="text1"/>
        </w:rPr>
        <w:t xml:space="preserve">e </w:t>
      </w:r>
      <w:r w:rsidR="0098774C">
        <w:rPr>
          <w:color w:val="000000" w:themeColor="text1"/>
        </w:rPr>
        <w:t>s</w:t>
      </w:r>
      <w:r w:rsidR="00530F8F">
        <w:rPr>
          <w:color w:val="000000" w:themeColor="text1"/>
        </w:rPr>
        <w:t>ynchronisation requirement</w:t>
      </w:r>
      <w:r w:rsidR="0022701C">
        <w:rPr>
          <w:color w:val="000000" w:themeColor="text1"/>
        </w:rPr>
        <w:t xml:space="preserve"> </w:t>
      </w:r>
      <w:r w:rsidR="00C9452C" w:rsidRPr="003778B0">
        <w:rPr>
          <w:color w:val="000000" w:themeColor="text1"/>
        </w:rPr>
        <w:t>condition mandates use of a 4G frame structure.</w:t>
      </w:r>
    </w:p>
    <w:p w14:paraId="2D653E17" w14:textId="7C2BA19F" w:rsidR="00C9452C" w:rsidRDefault="005C2C02" w:rsidP="00C9452C">
      <w:pPr>
        <w:pStyle w:val="CommentText"/>
        <w:tabs>
          <w:tab w:val="left" w:pos="426"/>
        </w:tabs>
        <w:spacing w:before="120"/>
        <w:rPr>
          <w:rFonts w:cs="Arial"/>
          <w:color w:val="000000" w:themeColor="text1"/>
        </w:rPr>
      </w:pPr>
      <w:r>
        <w:t xml:space="preserve">It is noted </w:t>
      </w:r>
      <w:r w:rsidR="00C9452C">
        <w:t xml:space="preserve">that the </w:t>
      </w:r>
      <w:r w:rsidR="0098774C">
        <w:rPr>
          <w:rFonts w:cs="Arial"/>
          <w:color w:val="000000" w:themeColor="text1"/>
        </w:rPr>
        <w:t>s</w:t>
      </w:r>
      <w:r w:rsidR="00530F8F">
        <w:rPr>
          <w:rFonts w:cs="Arial"/>
          <w:color w:val="000000" w:themeColor="text1"/>
        </w:rPr>
        <w:t>ynchronisation requirement</w:t>
      </w:r>
      <w:r w:rsidR="00C9452C" w:rsidRPr="003778B0">
        <w:rPr>
          <w:rFonts w:cs="Arial"/>
          <w:color w:val="000000" w:themeColor="text1"/>
        </w:rPr>
        <w:t xml:space="preserve"> only applies if there is interference and there is no agreement on how to manage it. This </w:t>
      </w:r>
      <w:r w:rsidR="0019155F">
        <w:rPr>
          <w:rFonts w:cs="Arial"/>
          <w:color w:val="000000" w:themeColor="text1"/>
        </w:rPr>
        <w:t>allows</w:t>
      </w:r>
      <w:r w:rsidR="00C9452C">
        <w:rPr>
          <w:rFonts w:cs="Arial"/>
          <w:color w:val="000000" w:themeColor="text1"/>
        </w:rPr>
        <w:t xml:space="preserve"> mobile network operators (</w:t>
      </w:r>
      <w:r w:rsidR="00C9452C" w:rsidRPr="003778B0">
        <w:rPr>
          <w:rFonts w:cs="Arial"/>
          <w:color w:val="000000" w:themeColor="text1"/>
        </w:rPr>
        <w:t>MNOs</w:t>
      </w:r>
      <w:r w:rsidR="00C9452C">
        <w:rPr>
          <w:rFonts w:cs="Arial"/>
          <w:color w:val="000000" w:themeColor="text1"/>
        </w:rPr>
        <w:t>)</w:t>
      </w:r>
      <w:r w:rsidR="0019155F">
        <w:rPr>
          <w:rFonts w:cs="Arial"/>
          <w:color w:val="000000" w:themeColor="text1"/>
        </w:rPr>
        <w:t xml:space="preserve"> </w:t>
      </w:r>
      <w:r w:rsidR="0022701C">
        <w:rPr>
          <w:rFonts w:cs="Arial"/>
          <w:color w:val="000000" w:themeColor="text1"/>
        </w:rPr>
        <w:t>to adopt</w:t>
      </w:r>
      <w:r w:rsidR="00C9452C" w:rsidRPr="003778B0">
        <w:rPr>
          <w:rFonts w:cs="Arial"/>
          <w:color w:val="000000" w:themeColor="text1"/>
        </w:rPr>
        <w:t xml:space="preserve"> a 5G optimised frame structure in metropolitan areas as </w:t>
      </w:r>
      <w:r w:rsidR="005935B3">
        <w:rPr>
          <w:rFonts w:cs="Arial"/>
          <w:color w:val="000000" w:themeColor="text1"/>
        </w:rPr>
        <w:t>NBN Co</w:t>
      </w:r>
      <w:r w:rsidR="00C9452C" w:rsidRPr="003778B0">
        <w:rPr>
          <w:rFonts w:cs="Arial"/>
          <w:color w:val="000000" w:themeColor="text1"/>
        </w:rPr>
        <w:t xml:space="preserve"> has no services deployed there. </w:t>
      </w:r>
      <w:r w:rsidR="005935B3">
        <w:rPr>
          <w:rFonts w:cs="Arial"/>
          <w:color w:val="000000" w:themeColor="text1"/>
        </w:rPr>
        <w:t>I</w:t>
      </w:r>
      <w:r w:rsidR="00C9452C" w:rsidRPr="003778B0">
        <w:rPr>
          <w:rFonts w:cs="Arial"/>
          <w:color w:val="000000" w:themeColor="text1"/>
        </w:rPr>
        <w:t>f new services are deployed within urban excise</w:t>
      </w:r>
      <w:r w:rsidR="00C9452C">
        <w:rPr>
          <w:rFonts w:cs="Arial"/>
          <w:color w:val="000000" w:themeColor="text1"/>
        </w:rPr>
        <w:t xml:space="preserve"> areas</w:t>
      </w:r>
      <w:r w:rsidR="00C9452C" w:rsidRPr="003778B0">
        <w:rPr>
          <w:rFonts w:cs="Arial"/>
          <w:color w:val="000000" w:themeColor="text1"/>
        </w:rPr>
        <w:t xml:space="preserve">, </w:t>
      </w:r>
      <w:r w:rsidR="008B3A90">
        <w:rPr>
          <w:rFonts w:cs="Arial"/>
          <w:color w:val="000000" w:themeColor="text1"/>
        </w:rPr>
        <w:t>they</w:t>
      </w:r>
      <w:r w:rsidR="00C9452C" w:rsidRPr="003778B0">
        <w:rPr>
          <w:rFonts w:cs="Arial"/>
          <w:color w:val="000000" w:themeColor="text1"/>
        </w:rPr>
        <w:t xml:space="preserve"> would </w:t>
      </w:r>
      <w:r w:rsidR="005935B3">
        <w:rPr>
          <w:rFonts w:cs="Arial"/>
          <w:color w:val="000000" w:themeColor="text1"/>
        </w:rPr>
        <w:t xml:space="preserve">likely </w:t>
      </w:r>
      <w:r w:rsidR="008B3A90">
        <w:rPr>
          <w:rFonts w:cs="Arial"/>
          <w:color w:val="000000" w:themeColor="text1"/>
        </w:rPr>
        <w:t xml:space="preserve">need </w:t>
      </w:r>
      <w:r w:rsidR="00C9452C" w:rsidRPr="003778B0">
        <w:rPr>
          <w:rFonts w:cs="Arial"/>
          <w:color w:val="000000" w:themeColor="text1"/>
        </w:rPr>
        <w:t>to synchronise with</w:t>
      </w:r>
      <w:r w:rsidR="005935B3">
        <w:rPr>
          <w:rFonts w:cs="Arial"/>
          <w:color w:val="000000" w:themeColor="text1"/>
        </w:rPr>
        <w:t xml:space="preserve"> NBN Co</w:t>
      </w:r>
      <w:r w:rsidR="00C9452C" w:rsidRPr="003778B0">
        <w:rPr>
          <w:rFonts w:cs="Arial"/>
          <w:color w:val="000000" w:themeColor="text1"/>
        </w:rPr>
        <w:t xml:space="preserve"> </w:t>
      </w:r>
      <w:r w:rsidR="008B3A90">
        <w:rPr>
          <w:rFonts w:cs="Arial"/>
          <w:color w:val="000000" w:themeColor="text1"/>
        </w:rPr>
        <w:t xml:space="preserve">services </w:t>
      </w:r>
      <w:r w:rsidR="00C9452C" w:rsidRPr="003778B0">
        <w:rPr>
          <w:rFonts w:cs="Arial"/>
          <w:color w:val="000000" w:themeColor="text1"/>
        </w:rPr>
        <w:t xml:space="preserve">to manage co-channel interference. Unless a suitable </w:t>
      </w:r>
      <w:r w:rsidR="0082251A">
        <w:rPr>
          <w:rFonts w:cs="Arial"/>
          <w:color w:val="000000" w:themeColor="text1"/>
        </w:rPr>
        <w:t xml:space="preserve">restricted use </w:t>
      </w:r>
      <w:r w:rsidR="00C9452C" w:rsidRPr="003778B0">
        <w:rPr>
          <w:rFonts w:cs="Arial"/>
          <w:color w:val="000000" w:themeColor="text1"/>
        </w:rPr>
        <w:t>band is implemented, this would have a flow on effect of requiring</w:t>
      </w:r>
      <w:r w:rsidR="008B3A90">
        <w:rPr>
          <w:rFonts w:cs="Arial"/>
          <w:color w:val="000000" w:themeColor="text1"/>
        </w:rPr>
        <w:t xml:space="preserve"> all</w:t>
      </w:r>
      <w:r w:rsidR="00C9452C" w:rsidRPr="003778B0">
        <w:rPr>
          <w:rFonts w:cs="Arial"/>
          <w:color w:val="000000" w:themeColor="text1"/>
        </w:rPr>
        <w:t xml:space="preserve"> adjacent </w:t>
      </w:r>
      <w:r w:rsidR="00551E75">
        <w:rPr>
          <w:rFonts w:cs="Arial"/>
          <w:color w:val="000000" w:themeColor="text1"/>
        </w:rPr>
        <w:t xml:space="preserve">band </w:t>
      </w:r>
      <w:r w:rsidR="000B694F">
        <w:rPr>
          <w:rFonts w:cs="Arial"/>
          <w:color w:val="000000" w:themeColor="text1"/>
        </w:rPr>
        <w:t xml:space="preserve">3.4 GHz </w:t>
      </w:r>
      <w:r w:rsidR="00C9452C">
        <w:rPr>
          <w:rFonts w:cs="Arial"/>
          <w:color w:val="000000" w:themeColor="text1"/>
        </w:rPr>
        <w:t>spectrum licensees</w:t>
      </w:r>
      <w:r w:rsidR="00C9452C" w:rsidRPr="003778B0">
        <w:rPr>
          <w:rFonts w:cs="Arial"/>
          <w:color w:val="000000" w:themeColor="text1"/>
        </w:rPr>
        <w:t xml:space="preserve"> to fallback to a less efficient 4G frame structure.</w:t>
      </w:r>
      <w:r w:rsidR="00C9452C">
        <w:rPr>
          <w:rFonts w:cs="Arial"/>
          <w:color w:val="000000" w:themeColor="text1"/>
        </w:rPr>
        <w:t xml:space="preserve"> </w:t>
      </w:r>
    </w:p>
    <w:p w14:paraId="5184B4D2" w14:textId="2510E39A" w:rsidR="005C2C02" w:rsidRDefault="0022701C" w:rsidP="00E17A34">
      <w:pPr>
        <w:pStyle w:val="CommentText"/>
        <w:tabs>
          <w:tab w:val="left" w:pos="426"/>
        </w:tabs>
        <w:spacing w:before="120"/>
      </w:pPr>
      <w:r>
        <w:rPr>
          <w:rFonts w:cs="Arial"/>
          <w:color w:val="000000" w:themeColor="text1"/>
        </w:rPr>
        <w:t xml:space="preserve">To minimise the potential impact on adjacent </w:t>
      </w:r>
      <w:r w:rsidR="00551E75">
        <w:rPr>
          <w:rFonts w:cs="Arial"/>
          <w:color w:val="000000" w:themeColor="text1"/>
        </w:rPr>
        <w:t xml:space="preserve">band </w:t>
      </w:r>
      <w:r w:rsidR="000B694F">
        <w:rPr>
          <w:rFonts w:cs="Arial"/>
          <w:color w:val="000000" w:themeColor="text1"/>
        </w:rPr>
        <w:t>3.4 GHz</w:t>
      </w:r>
      <w:r>
        <w:rPr>
          <w:rFonts w:cs="Arial"/>
          <w:color w:val="000000" w:themeColor="text1"/>
        </w:rPr>
        <w:t xml:space="preserve"> spectrum licences</w:t>
      </w:r>
      <w:r w:rsidR="00D770D8">
        <w:rPr>
          <w:rFonts w:cs="Arial"/>
          <w:color w:val="000000" w:themeColor="text1"/>
        </w:rPr>
        <w:t>,</w:t>
      </w:r>
      <w:r>
        <w:rPr>
          <w:rFonts w:cs="Arial"/>
          <w:color w:val="000000" w:themeColor="text1"/>
        </w:rPr>
        <w:t xml:space="preserve"> a </w:t>
      </w:r>
      <w:r w:rsidR="0082251A">
        <w:rPr>
          <w:rFonts w:cs="Arial"/>
          <w:color w:val="000000" w:themeColor="text1"/>
        </w:rPr>
        <w:t xml:space="preserve">restricted use </w:t>
      </w:r>
      <w:r>
        <w:rPr>
          <w:rFonts w:cs="Arial"/>
          <w:color w:val="000000" w:themeColor="text1"/>
        </w:rPr>
        <w:t xml:space="preserve">band </w:t>
      </w:r>
      <w:r w:rsidR="008B3A90">
        <w:rPr>
          <w:rFonts w:cs="Arial"/>
          <w:color w:val="000000" w:themeColor="text1"/>
        </w:rPr>
        <w:t>is</w:t>
      </w:r>
      <w:r>
        <w:rPr>
          <w:rFonts w:cs="Arial"/>
          <w:color w:val="000000" w:themeColor="text1"/>
        </w:rPr>
        <w:t xml:space="preserve"> required. </w:t>
      </w:r>
      <w:bookmarkStart w:id="99" w:name="_Hlk78889799"/>
      <w:r w:rsidR="0082251A">
        <w:rPr>
          <w:rFonts w:cs="Arial"/>
          <w:color w:val="000000" w:themeColor="text1"/>
        </w:rPr>
        <w:t>In this context</w:t>
      </w:r>
      <w:r w:rsidR="00D770D8">
        <w:rPr>
          <w:rFonts w:cs="Arial"/>
          <w:color w:val="000000" w:themeColor="text1"/>
        </w:rPr>
        <w:t>,</w:t>
      </w:r>
      <w:r w:rsidR="0082251A">
        <w:rPr>
          <w:rFonts w:cs="Arial"/>
          <w:color w:val="000000" w:themeColor="text1"/>
        </w:rPr>
        <w:t xml:space="preserve"> a restricted use band refers to a defined frequency range were either no operation is permitted or where operation is only permitted under certain conditions</w:t>
      </w:r>
      <w:r w:rsidR="00E83405">
        <w:rPr>
          <w:rFonts w:cs="Arial"/>
          <w:color w:val="000000" w:themeColor="text1"/>
        </w:rPr>
        <w:t xml:space="preserve"> (e.g.</w:t>
      </w:r>
      <w:r w:rsidR="00C627BB">
        <w:rPr>
          <w:rFonts w:cs="Arial"/>
          <w:color w:val="000000" w:themeColor="text1"/>
        </w:rPr>
        <w:t>,</w:t>
      </w:r>
      <w:r w:rsidR="00E83405">
        <w:rPr>
          <w:rFonts w:cs="Arial"/>
          <w:color w:val="000000" w:themeColor="text1"/>
        </w:rPr>
        <w:t xml:space="preserve"> agreement between operators)</w:t>
      </w:r>
      <w:bookmarkEnd w:id="99"/>
      <w:r w:rsidR="0082251A">
        <w:rPr>
          <w:rFonts w:cs="Arial"/>
          <w:color w:val="000000" w:themeColor="text1"/>
        </w:rPr>
        <w:t xml:space="preserve">. </w:t>
      </w:r>
      <w:r>
        <w:rPr>
          <w:rFonts w:cs="Arial"/>
          <w:color w:val="000000" w:themeColor="text1"/>
        </w:rPr>
        <w:t xml:space="preserve">The size of </w:t>
      </w:r>
      <w:r w:rsidR="006E6CE8">
        <w:rPr>
          <w:rFonts w:cs="Arial"/>
          <w:color w:val="000000" w:themeColor="text1"/>
        </w:rPr>
        <w:t>such a</w:t>
      </w:r>
      <w:r>
        <w:rPr>
          <w:rFonts w:cs="Arial"/>
          <w:color w:val="000000" w:themeColor="text1"/>
        </w:rPr>
        <w:t xml:space="preserve"> band depends on whether a macro cell or restricted cell model is adopted. 3.4 GHz spectrum licensees identified </w:t>
      </w:r>
      <w:r w:rsidR="000B694F">
        <w:rPr>
          <w:rFonts w:cs="Arial"/>
          <w:color w:val="000000" w:themeColor="text1"/>
        </w:rPr>
        <w:t xml:space="preserve">that </w:t>
      </w:r>
      <w:r>
        <w:rPr>
          <w:rFonts w:cs="Arial"/>
          <w:color w:val="000000" w:themeColor="text1"/>
        </w:rPr>
        <w:t xml:space="preserve">a minimum 15 MHz </w:t>
      </w:r>
      <w:r w:rsidR="0082251A">
        <w:rPr>
          <w:rFonts w:cs="Arial"/>
          <w:color w:val="000000" w:themeColor="text1"/>
        </w:rPr>
        <w:t xml:space="preserve">restricted use </w:t>
      </w:r>
      <w:r>
        <w:rPr>
          <w:rFonts w:cs="Arial"/>
          <w:color w:val="000000" w:themeColor="text1"/>
        </w:rPr>
        <w:t xml:space="preserve">band would be required between unsynchronised macro cell deployments. The ACMA </w:t>
      </w:r>
      <w:r w:rsidR="00D770D8">
        <w:rPr>
          <w:rFonts w:cs="Arial"/>
          <w:color w:val="000000" w:themeColor="text1"/>
        </w:rPr>
        <w:t xml:space="preserve">considers that </w:t>
      </w:r>
      <w:r>
        <w:rPr>
          <w:rFonts w:cs="Arial"/>
          <w:color w:val="000000" w:themeColor="text1"/>
        </w:rPr>
        <w:t xml:space="preserve">a smaller 5 MHz </w:t>
      </w:r>
      <w:r w:rsidR="0082251A">
        <w:rPr>
          <w:rFonts w:cs="Arial"/>
          <w:color w:val="000000" w:themeColor="text1"/>
        </w:rPr>
        <w:t xml:space="preserve">restricted use </w:t>
      </w:r>
      <w:r>
        <w:rPr>
          <w:rFonts w:cs="Arial"/>
          <w:color w:val="000000" w:themeColor="text1"/>
        </w:rPr>
        <w:t xml:space="preserve">band </w:t>
      </w:r>
      <w:r w:rsidR="008B3A90">
        <w:rPr>
          <w:rFonts w:cs="Arial"/>
          <w:color w:val="000000" w:themeColor="text1"/>
        </w:rPr>
        <w:t>c</w:t>
      </w:r>
      <w:r>
        <w:rPr>
          <w:rFonts w:cs="Arial"/>
          <w:color w:val="000000" w:themeColor="text1"/>
        </w:rPr>
        <w:t xml:space="preserve">ould apply for the restricted cell model. </w:t>
      </w:r>
      <w:r w:rsidR="00E17A34">
        <w:t xml:space="preserve">If suitable </w:t>
      </w:r>
      <w:r w:rsidR="0082251A">
        <w:t xml:space="preserve">restricted use </w:t>
      </w:r>
      <w:r w:rsidR="00E17A34">
        <w:t>bands are not put in place, then adjacent band 3.4</w:t>
      </w:r>
      <w:r w:rsidR="00C627BB">
        <w:t> </w:t>
      </w:r>
      <w:r w:rsidR="00E17A34">
        <w:t xml:space="preserve">GHz spectrum licensees may be required to modify the operation of their services to manage interference. </w:t>
      </w:r>
    </w:p>
    <w:p w14:paraId="0D5BB094" w14:textId="5812FE8B" w:rsidR="00C9452C" w:rsidRDefault="005C2C02" w:rsidP="00E17A34">
      <w:pPr>
        <w:pStyle w:val="CommentText"/>
        <w:tabs>
          <w:tab w:val="left" w:pos="426"/>
        </w:tabs>
        <w:spacing w:before="120"/>
        <w:rPr>
          <w:rFonts w:cs="Arial"/>
          <w:color w:val="000000" w:themeColor="text1"/>
        </w:rPr>
      </w:pPr>
      <w:r w:rsidRPr="00C90564">
        <w:rPr>
          <w:color w:val="000000" w:themeColor="text1"/>
        </w:rPr>
        <w:t xml:space="preserve">In this case, the ACMA considers </w:t>
      </w:r>
      <w:r>
        <w:rPr>
          <w:color w:val="000000" w:themeColor="text1"/>
        </w:rPr>
        <w:t xml:space="preserve">the use of </w:t>
      </w:r>
      <w:r w:rsidR="0082251A">
        <w:rPr>
          <w:color w:val="000000" w:themeColor="text1"/>
        </w:rPr>
        <w:t xml:space="preserve">restricted use </w:t>
      </w:r>
      <w:r w:rsidRPr="00C90564">
        <w:rPr>
          <w:color w:val="000000" w:themeColor="text1"/>
        </w:rPr>
        <w:t>band</w:t>
      </w:r>
      <w:r>
        <w:rPr>
          <w:color w:val="000000" w:themeColor="text1"/>
        </w:rPr>
        <w:t xml:space="preserve">s </w:t>
      </w:r>
      <w:r w:rsidR="0082251A">
        <w:rPr>
          <w:color w:val="000000" w:themeColor="text1"/>
        </w:rPr>
        <w:t>are</w:t>
      </w:r>
      <w:r>
        <w:rPr>
          <w:color w:val="000000" w:themeColor="text1"/>
        </w:rPr>
        <w:t xml:space="preserve"> appropriate</w:t>
      </w:r>
      <w:r w:rsidR="0082251A">
        <w:rPr>
          <w:color w:val="000000" w:themeColor="text1"/>
        </w:rPr>
        <w:t>.</w:t>
      </w:r>
      <w:r w:rsidRPr="00C90564">
        <w:rPr>
          <w:color w:val="000000" w:themeColor="text1"/>
        </w:rPr>
        <w:t xml:space="preserve"> </w:t>
      </w:r>
      <w:r w:rsidR="008B3A90">
        <w:rPr>
          <w:rFonts w:cs="Arial"/>
          <w:color w:val="000000" w:themeColor="text1"/>
        </w:rPr>
        <w:t xml:space="preserve">Operation within these </w:t>
      </w:r>
      <w:r w:rsidR="0082251A">
        <w:rPr>
          <w:rFonts w:cs="Arial"/>
          <w:color w:val="000000" w:themeColor="text1"/>
        </w:rPr>
        <w:t xml:space="preserve">restricted use </w:t>
      </w:r>
      <w:r w:rsidR="008B3A90">
        <w:rPr>
          <w:rFonts w:cs="Arial"/>
          <w:color w:val="000000" w:themeColor="text1"/>
        </w:rPr>
        <w:t>bands could be permitted via negotiation with the adjacent band spectrum</w:t>
      </w:r>
      <w:r w:rsidR="0022701C">
        <w:rPr>
          <w:rFonts w:cs="Arial"/>
          <w:color w:val="000000" w:themeColor="text1"/>
        </w:rPr>
        <w:t xml:space="preserve"> </w:t>
      </w:r>
      <w:r w:rsidR="008B3A90">
        <w:rPr>
          <w:rFonts w:cs="Arial"/>
          <w:color w:val="000000" w:themeColor="text1"/>
        </w:rPr>
        <w:t>licensee</w:t>
      </w:r>
      <w:r w:rsidR="0082251A">
        <w:rPr>
          <w:rFonts w:cs="Arial"/>
          <w:color w:val="000000" w:themeColor="text1"/>
        </w:rPr>
        <w:t xml:space="preserve"> or if operation can be synchronised with the adjacent band licensee</w:t>
      </w:r>
      <w:r w:rsidR="008B3A90">
        <w:rPr>
          <w:rFonts w:cs="Arial"/>
          <w:color w:val="000000" w:themeColor="text1"/>
        </w:rPr>
        <w:t>.</w:t>
      </w:r>
    </w:p>
    <w:p w14:paraId="7ECCEBC1" w14:textId="311A666D" w:rsidR="00C61A02" w:rsidRDefault="00C61A02" w:rsidP="00696EB4">
      <w:pPr>
        <w:pStyle w:val="Bulletlevel1"/>
      </w:pPr>
      <w:r w:rsidRPr="00196BA7">
        <w:rPr>
          <w:b/>
          <w:bCs/>
        </w:rPr>
        <w:t>Option 1</w:t>
      </w:r>
      <w:r w:rsidR="00186612">
        <w:rPr>
          <w:b/>
          <w:bCs/>
        </w:rPr>
        <w:t>:</w:t>
      </w:r>
      <w:r w:rsidR="00186612">
        <w:t xml:space="preserve"> </w:t>
      </w:r>
      <w:r w:rsidR="005C2C02">
        <w:t>T</w:t>
      </w:r>
      <w:r w:rsidR="00E17A34">
        <w:t xml:space="preserve">he ACMA considers that suitable measures can be put in place </w:t>
      </w:r>
      <w:r w:rsidR="00EA1A99">
        <w:t xml:space="preserve">to </w:t>
      </w:r>
      <w:r w:rsidR="00E17A34">
        <w:t>m</w:t>
      </w:r>
      <w:r w:rsidR="00E17A34" w:rsidRPr="00E17A34">
        <w:t xml:space="preserve">inimise the impact </w:t>
      </w:r>
      <w:r w:rsidR="00551E75">
        <w:t>on adjacent band</w:t>
      </w:r>
      <w:r w:rsidR="00551E75" w:rsidRPr="00E17A34">
        <w:t xml:space="preserve"> 3.4 GHz spectrum licen</w:t>
      </w:r>
      <w:r w:rsidR="00551E75">
        <w:t>c</w:t>
      </w:r>
      <w:r w:rsidR="00551E75" w:rsidRPr="00E17A34">
        <w:t>es</w:t>
      </w:r>
      <w:r w:rsidR="00E17A34">
        <w:t xml:space="preserve">. Based on advice from 3.4 GHz spectrum licensees a 15 MHz </w:t>
      </w:r>
      <w:r w:rsidR="0082251A">
        <w:t xml:space="preserve">restricted use </w:t>
      </w:r>
      <w:r w:rsidR="00E17A34">
        <w:t>band would be sufficient</w:t>
      </w:r>
      <w:r w:rsidR="00EA1A99">
        <w:t xml:space="preserve"> to manage interference</w:t>
      </w:r>
      <w:r w:rsidR="000B694F">
        <w:t xml:space="preserve"> between unsynchronised macro-cell deployments</w:t>
      </w:r>
      <w:r w:rsidR="00E17A34">
        <w:t xml:space="preserve">. </w:t>
      </w:r>
    </w:p>
    <w:p w14:paraId="287036A3" w14:textId="4802043A" w:rsidR="00E17A34" w:rsidRDefault="00E17A34" w:rsidP="00696EB4">
      <w:pPr>
        <w:pStyle w:val="Bulletlevel1"/>
      </w:pPr>
      <w:r w:rsidRPr="00196BA7">
        <w:rPr>
          <w:b/>
          <w:bCs/>
        </w:rPr>
        <w:t xml:space="preserve">Option </w:t>
      </w:r>
      <w:r w:rsidR="00551E75">
        <w:rPr>
          <w:b/>
          <w:bCs/>
        </w:rPr>
        <w:t>2</w:t>
      </w:r>
      <w:r>
        <w:rPr>
          <w:b/>
          <w:bCs/>
        </w:rPr>
        <w:t xml:space="preserve"> and </w:t>
      </w:r>
      <w:r w:rsidR="00551E75">
        <w:rPr>
          <w:b/>
          <w:bCs/>
        </w:rPr>
        <w:t>3</w:t>
      </w:r>
      <w:r w:rsidR="00186612">
        <w:rPr>
          <w:b/>
          <w:bCs/>
        </w:rPr>
        <w:t>:</w:t>
      </w:r>
      <w:r>
        <w:t xml:space="preserve"> </w:t>
      </w:r>
      <w:r w:rsidR="005C2C02">
        <w:t>T</w:t>
      </w:r>
      <w:r w:rsidR="00EA1A99">
        <w:t xml:space="preserve">he ACMA </w:t>
      </w:r>
      <w:r>
        <w:t xml:space="preserve">considers that suitable measures can be put in place </w:t>
      </w:r>
      <w:r w:rsidR="00EA1A99">
        <w:t xml:space="preserve">to </w:t>
      </w:r>
      <w:r>
        <w:t>m</w:t>
      </w:r>
      <w:r w:rsidRPr="00E17A34">
        <w:t xml:space="preserve">inimise the impact on </w:t>
      </w:r>
      <w:r w:rsidR="00551E75">
        <w:t>adjacent band</w:t>
      </w:r>
      <w:r w:rsidR="00551E75" w:rsidRPr="00E17A34">
        <w:t xml:space="preserve"> </w:t>
      </w:r>
      <w:r w:rsidRPr="00E17A34">
        <w:t>3.4 GHz spectrum licen</w:t>
      </w:r>
      <w:r w:rsidR="00551E75">
        <w:t>c</w:t>
      </w:r>
      <w:r w:rsidRPr="00E17A34">
        <w:t>es</w:t>
      </w:r>
      <w:r>
        <w:t>. If services in urban excise areas are limited to a</w:t>
      </w:r>
      <w:r w:rsidR="00EA1A99">
        <w:t xml:space="preserve"> </w:t>
      </w:r>
      <w:r w:rsidR="0082251A">
        <w:t xml:space="preserve">low enough </w:t>
      </w:r>
      <w:r w:rsidR="000952A0">
        <w:t xml:space="preserve">radiated power limit </w:t>
      </w:r>
      <w:r w:rsidR="0082251A">
        <w:t>(e.g.</w:t>
      </w:r>
      <w:r w:rsidR="00186612">
        <w:t>,</w:t>
      </w:r>
      <w:r w:rsidR="0082251A">
        <w:t xml:space="preserve"> </w:t>
      </w:r>
      <w:r w:rsidR="00EA1A99">
        <w:t>30 dBm</w:t>
      </w:r>
      <w:r w:rsidR="00CC5CE9">
        <w:t>)</w:t>
      </w:r>
      <w:r>
        <w:t xml:space="preserve">, the ACMA considers that a 5 MHz </w:t>
      </w:r>
      <w:r w:rsidR="0082251A">
        <w:t xml:space="preserve">restricted use </w:t>
      </w:r>
      <w:r>
        <w:t xml:space="preserve">band </w:t>
      </w:r>
      <w:r w:rsidR="00CC5CE9">
        <w:t>c</w:t>
      </w:r>
      <w:r>
        <w:t xml:space="preserve">ould be sufficient to manage interference. </w:t>
      </w:r>
      <w:r w:rsidR="00530F8F">
        <w:t xml:space="preserve">Any additional constraints, such as limits on antenna heights </w:t>
      </w:r>
      <w:r w:rsidR="00CC5CE9">
        <w:t xml:space="preserve">and power spectral density limits </w:t>
      </w:r>
      <w:r w:rsidR="00530F8F">
        <w:t xml:space="preserve">etc, may also help to improve coexistence. </w:t>
      </w:r>
    </w:p>
    <w:p w14:paraId="74B6EB5D" w14:textId="02D96122" w:rsidR="00E17A34" w:rsidRDefault="00E17A34" w:rsidP="00696EB4">
      <w:pPr>
        <w:pStyle w:val="Bulletlevel1last"/>
      </w:pPr>
      <w:r w:rsidRPr="00196BA7">
        <w:rPr>
          <w:b/>
          <w:bCs/>
        </w:rPr>
        <w:t xml:space="preserve">Option </w:t>
      </w:r>
      <w:r w:rsidR="00551E75">
        <w:rPr>
          <w:b/>
          <w:bCs/>
        </w:rPr>
        <w:t>4</w:t>
      </w:r>
      <w:r w:rsidR="00186612">
        <w:rPr>
          <w:b/>
          <w:bCs/>
        </w:rPr>
        <w:t>:</w:t>
      </w:r>
      <w:r w:rsidR="00186612">
        <w:t xml:space="preserve"> </w:t>
      </w:r>
      <w:r w:rsidR="005C2C02">
        <w:t>T</w:t>
      </w:r>
      <w:r w:rsidR="00EA1A99">
        <w:t>he</w:t>
      </w:r>
      <w:r>
        <w:t xml:space="preserve"> </w:t>
      </w:r>
      <w:r w:rsidR="00EA1A99">
        <w:t>ACMA considers that suitable measures can be put in place to m</w:t>
      </w:r>
      <w:r w:rsidR="00EA1A99" w:rsidRPr="00E17A34">
        <w:t xml:space="preserve">inimise the impact on </w:t>
      </w:r>
      <w:r w:rsidR="00551E75">
        <w:t>adjacent band</w:t>
      </w:r>
      <w:r w:rsidR="00551E75" w:rsidRPr="00E17A34">
        <w:t xml:space="preserve"> 3.4 GHz spectrum licen</w:t>
      </w:r>
      <w:r w:rsidR="00551E75">
        <w:t>c</w:t>
      </w:r>
      <w:r w:rsidR="00551E75" w:rsidRPr="00E17A34">
        <w:t>es</w:t>
      </w:r>
      <w:r w:rsidR="00EA1A99">
        <w:t xml:space="preserve">. </w:t>
      </w:r>
      <w:r w:rsidR="005F6FDE">
        <w:t xml:space="preserve">In this case the size of the </w:t>
      </w:r>
      <w:r w:rsidR="0082251A">
        <w:t xml:space="preserve">restricted use </w:t>
      </w:r>
      <w:r w:rsidR="005F6FDE">
        <w:t>band can be minimised while maximising deployment flexibility. Specifically</w:t>
      </w:r>
      <w:r w:rsidR="005C2C02">
        <w:t>,</w:t>
      </w:r>
      <w:r w:rsidR="005F6FDE">
        <w:t xml:space="preserve"> implementing Option 1 in the 3400</w:t>
      </w:r>
      <w:r w:rsidR="00186612">
        <w:t>–</w:t>
      </w:r>
      <w:r w:rsidR="005F6FDE">
        <w:t xml:space="preserve">3460 MHz frequency range would require a 15 MHz </w:t>
      </w:r>
      <w:r w:rsidR="0082251A">
        <w:t xml:space="preserve">restricted use </w:t>
      </w:r>
      <w:r w:rsidR="005F6FDE">
        <w:t xml:space="preserve">band. However, if a restricted cell approach, similar to either Option 2 or 3, was then implemented in the </w:t>
      </w:r>
      <w:r w:rsidR="00186612">
        <w:br/>
      </w:r>
      <w:r w:rsidR="005F6FDE">
        <w:t>3460</w:t>
      </w:r>
      <w:r w:rsidR="00186612">
        <w:t>–</w:t>
      </w:r>
      <w:r w:rsidR="005F6FDE">
        <w:t xml:space="preserve">3475 MHz frequency range, the size of the </w:t>
      </w:r>
      <w:r w:rsidR="0082251A">
        <w:t xml:space="preserve">restricted use </w:t>
      </w:r>
      <w:r w:rsidR="005F6FDE">
        <w:t>band required</w:t>
      </w:r>
      <w:r w:rsidR="00186612">
        <w:t> </w:t>
      </w:r>
      <w:r w:rsidR="005F6FDE">
        <w:t xml:space="preserve">would only be 5 MHz.   </w:t>
      </w:r>
      <w:r w:rsidR="00EA1A99">
        <w:t xml:space="preserve"> </w:t>
      </w:r>
    </w:p>
    <w:p w14:paraId="64F22172" w14:textId="111A94B1" w:rsidR="00C61A02" w:rsidRPr="00696EB4" w:rsidRDefault="00297AD8">
      <w:pPr>
        <w:pStyle w:val="Paragraph"/>
        <w:rPr>
          <w:b/>
          <w:bCs/>
        </w:rPr>
      </w:pPr>
      <w:r w:rsidRPr="00696EB4">
        <w:rPr>
          <w:b/>
          <w:bCs/>
        </w:rPr>
        <w:t xml:space="preserve">Desirable planning </w:t>
      </w:r>
      <w:r w:rsidR="00C443E2" w:rsidRPr="00696EB4">
        <w:rPr>
          <w:b/>
          <w:bCs/>
        </w:rPr>
        <w:t>o</w:t>
      </w:r>
      <w:r w:rsidRPr="00696EB4">
        <w:rPr>
          <w:b/>
          <w:bCs/>
        </w:rPr>
        <w:t xml:space="preserve">utcome </w:t>
      </w:r>
      <w:r w:rsidR="00C61A02" w:rsidRPr="00696EB4">
        <w:rPr>
          <w:b/>
          <w:bCs/>
        </w:rPr>
        <w:t>4</w:t>
      </w:r>
      <w:r w:rsidR="00134165" w:rsidRPr="00696EB4">
        <w:rPr>
          <w:b/>
          <w:bCs/>
        </w:rPr>
        <w:t xml:space="preserve">: </w:t>
      </w:r>
      <w:r w:rsidRPr="00134165">
        <w:t xml:space="preserve">Maximise the utility of </w:t>
      </w:r>
      <w:r w:rsidR="00D770D8" w:rsidRPr="00134165">
        <w:t xml:space="preserve">spectrum in </w:t>
      </w:r>
      <w:r w:rsidRPr="00134165">
        <w:t>urban excise areas for new wireless broadband services.</w:t>
      </w:r>
      <w:r w:rsidRPr="00696EB4">
        <w:rPr>
          <w:b/>
          <w:bCs/>
        </w:rPr>
        <w:t xml:space="preserve"> </w:t>
      </w:r>
    </w:p>
    <w:p w14:paraId="454962B3" w14:textId="5A5424F9" w:rsidR="00CC15C5" w:rsidRDefault="00CC15C5" w:rsidP="00C61A02">
      <w:pPr>
        <w:pStyle w:val="Paragraph"/>
      </w:pPr>
      <w:r w:rsidRPr="00C90564">
        <w:t xml:space="preserve">There is </w:t>
      </w:r>
      <w:r>
        <w:t xml:space="preserve">a tension between achieving this desirable </w:t>
      </w:r>
      <w:r w:rsidR="005C2C02">
        <w:t xml:space="preserve">planning </w:t>
      </w:r>
      <w:r>
        <w:t xml:space="preserve">outcome and </w:t>
      </w:r>
      <w:r w:rsidR="00B62CF2">
        <w:t xml:space="preserve">other </w:t>
      </w:r>
      <w:r>
        <w:t xml:space="preserve">desirable </w:t>
      </w:r>
      <w:r w:rsidR="00B62CF2">
        <w:t xml:space="preserve">planning outcomes. </w:t>
      </w:r>
      <w:r w:rsidR="009452B5">
        <w:t>I</w:t>
      </w:r>
      <w:r w:rsidRPr="00CC15C5">
        <w:t xml:space="preserve">ncreasing </w:t>
      </w:r>
      <w:r w:rsidR="009452B5">
        <w:t xml:space="preserve">the </w:t>
      </w:r>
      <w:r w:rsidRPr="00CC15C5">
        <w:t xml:space="preserve">utility of </w:t>
      </w:r>
      <w:r w:rsidR="009452B5">
        <w:t xml:space="preserve">spectrum available in </w:t>
      </w:r>
      <w:r w:rsidRPr="00CC15C5">
        <w:t>urban excise areas increases the risk of interference to</w:t>
      </w:r>
      <w:r>
        <w:t xml:space="preserve"> NBN Co</w:t>
      </w:r>
      <w:r w:rsidRPr="00CC15C5">
        <w:t xml:space="preserve"> </w:t>
      </w:r>
      <w:r w:rsidR="005C3896">
        <w:t xml:space="preserve">services </w:t>
      </w:r>
      <w:r>
        <w:t>and adjacent band</w:t>
      </w:r>
      <w:r w:rsidR="005C3896">
        <w:t xml:space="preserve"> 3.4 GHz spectrum licences</w:t>
      </w:r>
      <w:r w:rsidRPr="00CC15C5">
        <w:t>.</w:t>
      </w:r>
      <w:r>
        <w:t xml:space="preserve"> Conversely, the more conservative the protection criteria for NBN Co and adjacent band services, the lower the utility of urban excise areas. </w:t>
      </w:r>
      <w:r w:rsidR="005C2C02">
        <w:t>An</w:t>
      </w:r>
      <w:r>
        <w:t xml:space="preserve"> appropriate balance needs to be found between these competing objectives. </w:t>
      </w:r>
    </w:p>
    <w:p w14:paraId="7F3BE23D" w14:textId="261B4E8C" w:rsidR="005B3F1F" w:rsidRDefault="005B3F1F" w:rsidP="005B3F1F">
      <w:pPr>
        <w:pStyle w:val="Paragraph"/>
      </w:pPr>
      <w:r>
        <w:t xml:space="preserve">There are various measures that could be implemented to manage co-channel interference to and from urban excise areas. Possible measures for each option are detailed in </w:t>
      </w:r>
      <w:hyperlink w:anchor="_Appendix_E:_Possible" w:history="1">
        <w:r w:rsidR="005C2C02" w:rsidRPr="00696EB4">
          <w:rPr>
            <w:rStyle w:val="Hyperlink"/>
          </w:rPr>
          <w:t>Appendix E</w:t>
        </w:r>
      </w:hyperlink>
      <w:r>
        <w:t xml:space="preserve">. </w:t>
      </w:r>
      <w:r w:rsidR="00004D62">
        <w:t>The final detail of what these measures will look like will be addressed in future consultation process</w:t>
      </w:r>
      <w:r w:rsidR="00936038">
        <w:t>es</w:t>
      </w:r>
      <w:r w:rsidR="00004D62">
        <w:t xml:space="preserve"> once a decision has been made on which option to adopt.  </w:t>
      </w:r>
    </w:p>
    <w:p w14:paraId="052C2344" w14:textId="78A37EEF" w:rsidR="004D7ADF" w:rsidRDefault="004D7ADF" w:rsidP="004D7ADF">
      <w:pPr>
        <w:pStyle w:val="Heading4"/>
      </w:pPr>
      <w:r>
        <w:t>Managing adjacent channel interference</w:t>
      </w:r>
    </w:p>
    <w:p w14:paraId="47F746E1" w14:textId="676ACB53" w:rsidR="00D31014" w:rsidRPr="00C90564" w:rsidRDefault="0080586E" w:rsidP="00C90564">
      <w:pPr>
        <w:pStyle w:val="Paragraph"/>
      </w:pPr>
      <w:r>
        <w:t xml:space="preserve">There are </w:t>
      </w:r>
      <w:r w:rsidR="00134165">
        <w:t xml:space="preserve">2 </w:t>
      </w:r>
      <w:r>
        <w:t>options to manage interference with adjacent band 3.4 GHz spectrum licences</w:t>
      </w:r>
      <w:r w:rsidR="00A37324">
        <w:t>, these are</w:t>
      </w:r>
      <w:r w:rsidR="005B3F1F">
        <w:t xml:space="preserve"> to </w:t>
      </w:r>
      <w:r w:rsidR="00D31014">
        <w:t>i</w:t>
      </w:r>
      <w:r w:rsidRPr="00C90564">
        <w:t xml:space="preserve">mplement a </w:t>
      </w:r>
      <w:r w:rsidR="0082251A">
        <w:t xml:space="preserve">restricted use </w:t>
      </w:r>
      <w:r w:rsidRPr="00C90564">
        <w:t>band</w:t>
      </w:r>
      <w:r w:rsidR="005B3F1F">
        <w:t xml:space="preserve"> or </w:t>
      </w:r>
      <w:r w:rsidR="00D31014">
        <w:t xml:space="preserve">adopt the </w:t>
      </w:r>
      <w:r w:rsidR="00530F8F">
        <w:t>synchronisation requirement</w:t>
      </w:r>
      <w:r w:rsidR="006E6CE8">
        <w:t>.</w:t>
      </w:r>
    </w:p>
    <w:p w14:paraId="7B066692" w14:textId="3D848981" w:rsidR="009452B5" w:rsidRDefault="00722FAE" w:rsidP="00C61A02">
      <w:pPr>
        <w:pStyle w:val="Paragraph"/>
        <w:rPr>
          <w:color w:val="000000" w:themeColor="text1"/>
        </w:rPr>
      </w:pPr>
      <w:r w:rsidRPr="00C90564">
        <w:t xml:space="preserve">If a </w:t>
      </w:r>
      <w:r w:rsidR="0082251A">
        <w:t xml:space="preserve">restricted use </w:t>
      </w:r>
      <w:r w:rsidRPr="00C90564">
        <w:t xml:space="preserve">band is implemented, </w:t>
      </w:r>
      <w:r w:rsidR="00D31014" w:rsidRPr="00C90564">
        <w:t xml:space="preserve">less </w:t>
      </w:r>
      <w:r w:rsidR="009452B5">
        <w:t>spectrum in</w:t>
      </w:r>
      <w:r w:rsidR="00D31014" w:rsidRPr="00C90564">
        <w:t xml:space="preserve"> the</w:t>
      </w:r>
      <w:r w:rsidRPr="00C90564">
        <w:t xml:space="preserve"> 3400</w:t>
      </w:r>
      <w:r w:rsidR="00082DD9">
        <w:t>–</w:t>
      </w:r>
      <w:r w:rsidRPr="00C90564">
        <w:t xml:space="preserve">3475 MHz frequency range </w:t>
      </w:r>
      <w:r w:rsidR="009452B5">
        <w:t>is</w:t>
      </w:r>
      <w:r w:rsidRPr="00C90564">
        <w:t xml:space="preserve"> available for use. If </w:t>
      </w:r>
      <w:r w:rsidR="00D31014" w:rsidRPr="00C90564">
        <w:t xml:space="preserve">the </w:t>
      </w:r>
      <w:r w:rsidR="00530F8F">
        <w:t>synchronisation requirement</w:t>
      </w:r>
      <w:r w:rsidR="00D31014" w:rsidRPr="00C90564">
        <w:t xml:space="preserve"> is adopted</w:t>
      </w:r>
      <w:r w:rsidRPr="00C90564">
        <w:t>, the</w:t>
      </w:r>
      <w:r w:rsidR="00082DD9">
        <w:t> </w:t>
      </w:r>
      <w:r w:rsidR="00D31014" w:rsidRPr="00C90564">
        <w:t xml:space="preserve">entire </w:t>
      </w:r>
      <w:r w:rsidRPr="00C90564">
        <w:t>3400</w:t>
      </w:r>
      <w:r w:rsidR="00082DD9">
        <w:t>–</w:t>
      </w:r>
      <w:r w:rsidRPr="00C90564">
        <w:t>3475 MHz</w:t>
      </w:r>
      <w:r w:rsidR="00D31014" w:rsidRPr="00C90564">
        <w:t xml:space="preserve"> frequency range</w:t>
      </w:r>
      <w:r w:rsidRPr="00C90564">
        <w:t xml:space="preserve"> </w:t>
      </w:r>
      <w:r w:rsidR="009452B5">
        <w:t>is</w:t>
      </w:r>
      <w:r w:rsidR="00D31014" w:rsidRPr="00C90564">
        <w:t xml:space="preserve"> available for use</w:t>
      </w:r>
      <w:r w:rsidRPr="00C90564">
        <w:t xml:space="preserve">. </w:t>
      </w:r>
      <w:r w:rsidR="00D31014" w:rsidRPr="00C90564">
        <w:t xml:space="preserve">However, as a </w:t>
      </w:r>
      <w:r w:rsidR="005C3896" w:rsidRPr="00C90564">
        <w:t>consequence</w:t>
      </w:r>
      <w:r w:rsidR="0067073A">
        <w:t>,</w:t>
      </w:r>
      <w:r w:rsidR="00D31014" w:rsidRPr="00C90564">
        <w:t xml:space="preserve"> </w:t>
      </w:r>
      <w:r w:rsidRPr="00C90564">
        <w:rPr>
          <w:color w:val="000000" w:themeColor="text1"/>
        </w:rPr>
        <w:t xml:space="preserve">adjacent frequency spectrum licensees </w:t>
      </w:r>
      <w:r w:rsidR="009452B5">
        <w:rPr>
          <w:color w:val="000000" w:themeColor="text1"/>
        </w:rPr>
        <w:t>are</w:t>
      </w:r>
      <w:r w:rsidRPr="00C90564">
        <w:rPr>
          <w:color w:val="000000" w:themeColor="text1"/>
        </w:rPr>
        <w:t xml:space="preserve"> </w:t>
      </w:r>
      <w:r w:rsidR="00D31014" w:rsidRPr="00C90564">
        <w:rPr>
          <w:color w:val="000000" w:themeColor="text1"/>
        </w:rPr>
        <w:t xml:space="preserve">likely </w:t>
      </w:r>
      <w:r w:rsidRPr="00C90564">
        <w:rPr>
          <w:color w:val="000000" w:themeColor="text1"/>
        </w:rPr>
        <w:t xml:space="preserve">to </w:t>
      </w:r>
      <w:r w:rsidR="009452B5">
        <w:rPr>
          <w:color w:val="000000" w:themeColor="text1"/>
        </w:rPr>
        <w:t xml:space="preserve">require a </w:t>
      </w:r>
      <w:r w:rsidRPr="00C90564">
        <w:rPr>
          <w:color w:val="000000" w:themeColor="text1"/>
        </w:rPr>
        <w:t xml:space="preserve">move from a 5G optimised frame structure to a less efficient 4G frame structure. </w:t>
      </w:r>
      <w:r w:rsidR="0067073A">
        <w:rPr>
          <w:color w:val="000000" w:themeColor="text1"/>
        </w:rPr>
        <w:t xml:space="preserve">This would be the case until all affected licensees were ready to move to a 5G optimised frame structure. </w:t>
      </w:r>
    </w:p>
    <w:p w14:paraId="3A52F955" w14:textId="54C49C86" w:rsidR="00722FAE" w:rsidRPr="009134F1" w:rsidRDefault="00722FAE" w:rsidP="00C61A02">
      <w:pPr>
        <w:pStyle w:val="Paragraph"/>
        <w:rPr>
          <w:color w:val="000000" w:themeColor="text1"/>
        </w:rPr>
      </w:pPr>
      <w:r w:rsidRPr="00C90564">
        <w:rPr>
          <w:color w:val="000000" w:themeColor="text1"/>
        </w:rPr>
        <w:t xml:space="preserve">In this case, the ACMA considers the best balance between the planning outcomes </w:t>
      </w:r>
      <w:r w:rsidR="009452B5">
        <w:rPr>
          <w:color w:val="000000" w:themeColor="text1"/>
        </w:rPr>
        <w:t>is</w:t>
      </w:r>
      <w:r w:rsidRPr="00C90564">
        <w:rPr>
          <w:color w:val="000000" w:themeColor="text1"/>
        </w:rPr>
        <w:t xml:space="preserve"> to implement </w:t>
      </w:r>
      <w:r w:rsidR="005C3896" w:rsidRPr="00C90564">
        <w:rPr>
          <w:color w:val="000000" w:themeColor="text1"/>
        </w:rPr>
        <w:t xml:space="preserve">a </w:t>
      </w:r>
      <w:r w:rsidR="0082251A">
        <w:rPr>
          <w:color w:val="000000" w:themeColor="text1"/>
        </w:rPr>
        <w:t xml:space="preserve">restricted use </w:t>
      </w:r>
      <w:r w:rsidRPr="00C90564">
        <w:rPr>
          <w:color w:val="000000" w:themeColor="text1"/>
        </w:rPr>
        <w:t xml:space="preserve">band. </w:t>
      </w:r>
      <w:r w:rsidR="005C3896" w:rsidRPr="00C90564">
        <w:rPr>
          <w:color w:val="000000" w:themeColor="text1"/>
        </w:rPr>
        <w:t xml:space="preserve">Arrangements put in place </w:t>
      </w:r>
      <w:r w:rsidR="0050632F">
        <w:rPr>
          <w:color w:val="000000" w:themeColor="text1"/>
        </w:rPr>
        <w:t xml:space="preserve">would </w:t>
      </w:r>
      <w:r w:rsidR="00E83405">
        <w:rPr>
          <w:color w:val="000000" w:themeColor="text1"/>
        </w:rPr>
        <w:t xml:space="preserve">enable </w:t>
      </w:r>
      <w:r w:rsidR="00CC5CE9">
        <w:rPr>
          <w:color w:val="000000" w:themeColor="text1"/>
        </w:rPr>
        <w:t>deployments in</w:t>
      </w:r>
      <w:r w:rsidR="005C3896" w:rsidRPr="00C90564">
        <w:rPr>
          <w:color w:val="000000" w:themeColor="text1"/>
        </w:rPr>
        <w:t xml:space="preserve"> </w:t>
      </w:r>
      <w:r w:rsidR="0082251A">
        <w:rPr>
          <w:color w:val="000000" w:themeColor="text1"/>
        </w:rPr>
        <w:t xml:space="preserve">restricted use </w:t>
      </w:r>
      <w:r w:rsidR="005C3896" w:rsidRPr="00C90564">
        <w:rPr>
          <w:color w:val="000000" w:themeColor="text1"/>
        </w:rPr>
        <w:t xml:space="preserve">bands </w:t>
      </w:r>
      <w:r w:rsidR="0099669E">
        <w:rPr>
          <w:color w:val="000000" w:themeColor="text1"/>
        </w:rPr>
        <w:t>via agreement with the adjacent band spectrum licensee or if operation can be synchronised with the adjacent band licensee</w:t>
      </w:r>
      <w:r w:rsidR="005C3896" w:rsidRPr="00C90564">
        <w:rPr>
          <w:color w:val="000000" w:themeColor="text1"/>
        </w:rPr>
        <w:t xml:space="preserve">. </w:t>
      </w:r>
      <w:r w:rsidR="009452B5">
        <w:rPr>
          <w:color w:val="000000" w:themeColor="text1"/>
        </w:rPr>
        <w:t xml:space="preserve">However, </w:t>
      </w:r>
      <w:r w:rsidR="009134F1">
        <w:rPr>
          <w:color w:val="000000" w:themeColor="text1"/>
        </w:rPr>
        <w:t xml:space="preserve">the size of the </w:t>
      </w:r>
      <w:r w:rsidR="0082251A">
        <w:rPr>
          <w:color w:val="000000" w:themeColor="text1"/>
        </w:rPr>
        <w:t xml:space="preserve">restricted use </w:t>
      </w:r>
      <w:r w:rsidR="009134F1">
        <w:rPr>
          <w:color w:val="000000" w:themeColor="text1"/>
        </w:rPr>
        <w:t xml:space="preserve">band should be made as small as possible. </w:t>
      </w:r>
    </w:p>
    <w:p w14:paraId="176958EC" w14:textId="0FE4A831" w:rsidR="005C3896" w:rsidRDefault="005C3896" w:rsidP="00C61A02">
      <w:pPr>
        <w:pStyle w:val="Paragraph"/>
      </w:pPr>
      <w:r w:rsidRPr="00C90564">
        <w:t>In addition to managing interference between NBN Co</w:t>
      </w:r>
      <w:r>
        <w:t xml:space="preserve"> services</w:t>
      </w:r>
      <w:r w:rsidRPr="00C90564">
        <w:t xml:space="preserve"> and adjacent band </w:t>
      </w:r>
      <w:r>
        <w:t>3.4</w:t>
      </w:r>
      <w:r w:rsidR="000952A0">
        <w:t> </w:t>
      </w:r>
      <w:r>
        <w:t xml:space="preserve">GHz </w:t>
      </w:r>
      <w:r w:rsidRPr="00C90564">
        <w:t xml:space="preserve">spectrum licences, measures to manage interference between different operators inside urban excise need </w:t>
      </w:r>
      <w:r w:rsidR="009452B5">
        <w:t>consideration</w:t>
      </w:r>
      <w:r w:rsidRPr="00C90564">
        <w:t>.</w:t>
      </w:r>
      <w:r>
        <w:t xml:space="preserve"> Only adjacent channel interference needs to be considered for Options 1</w:t>
      </w:r>
      <w:r w:rsidR="0098774C">
        <w:t xml:space="preserve"> and 2</w:t>
      </w:r>
      <w:r>
        <w:t xml:space="preserve">. However, co-channel interference needs to be considered for Option </w:t>
      </w:r>
      <w:r w:rsidR="0098774C">
        <w:t>3</w:t>
      </w:r>
      <w:r>
        <w:t xml:space="preserve"> and Option </w:t>
      </w:r>
      <w:r w:rsidR="0098774C">
        <w:t>4</w:t>
      </w:r>
      <w:r>
        <w:t xml:space="preserve"> (if Option </w:t>
      </w:r>
      <w:r w:rsidR="0098774C">
        <w:t xml:space="preserve">3 </w:t>
      </w:r>
      <w:r>
        <w:t xml:space="preserve">is </w:t>
      </w:r>
      <w:r w:rsidR="0098774C">
        <w:t xml:space="preserve">implemented in the </w:t>
      </w:r>
      <w:r w:rsidR="00082DD9">
        <w:br/>
      </w:r>
      <w:r w:rsidR="0098774C">
        <w:t>3460</w:t>
      </w:r>
      <w:r w:rsidR="00082DD9">
        <w:t>–</w:t>
      </w:r>
      <w:r w:rsidR="0098774C">
        <w:t xml:space="preserve">3475 MHz frequency range). </w:t>
      </w:r>
      <w:r w:rsidRPr="00C90564">
        <w:t xml:space="preserve"> </w:t>
      </w:r>
    </w:p>
    <w:p w14:paraId="51EEF425" w14:textId="4AFEE690" w:rsidR="009134F1" w:rsidRDefault="009452B5" w:rsidP="00C61A02">
      <w:pPr>
        <w:pStyle w:val="Paragraph"/>
        <w:rPr>
          <w:color w:val="000000" w:themeColor="text1"/>
        </w:rPr>
      </w:pPr>
      <w:r>
        <w:rPr>
          <w:color w:val="000000" w:themeColor="text1"/>
        </w:rPr>
        <w:t>I</w:t>
      </w:r>
      <w:r w:rsidR="002A0838">
        <w:rPr>
          <w:color w:val="000000" w:themeColor="text1"/>
        </w:rPr>
        <w:t xml:space="preserve">t is not proposed to implement a </w:t>
      </w:r>
      <w:r w:rsidR="0082251A">
        <w:rPr>
          <w:color w:val="000000" w:themeColor="text1"/>
        </w:rPr>
        <w:t xml:space="preserve">restricted use </w:t>
      </w:r>
      <w:r w:rsidR="002A0838">
        <w:rPr>
          <w:color w:val="000000" w:themeColor="text1"/>
        </w:rPr>
        <w:t xml:space="preserve">band between </w:t>
      </w:r>
      <w:r w:rsidR="0098774C">
        <w:rPr>
          <w:color w:val="000000" w:themeColor="text1"/>
        </w:rPr>
        <w:t xml:space="preserve">urban excise </w:t>
      </w:r>
      <w:r w:rsidR="002A0838">
        <w:rPr>
          <w:color w:val="000000" w:themeColor="text1"/>
        </w:rPr>
        <w:t xml:space="preserve">operators to manage interference. A </w:t>
      </w:r>
      <w:r w:rsidR="00063EBB">
        <w:rPr>
          <w:color w:val="000000" w:themeColor="text1"/>
        </w:rPr>
        <w:t xml:space="preserve">5 </w:t>
      </w:r>
      <w:r w:rsidR="002A0838">
        <w:rPr>
          <w:color w:val="000000" w:themeColor="text1"/>
        </w:rPr>
        <w:t xml:space="preserve">or 15 MHz </w:t>
      </w:r>
      <w:r w:rsidR="0082251A">
        <w:rPr>
          <w:color w:val="000000" w:themeColor="text1"/>
        </w:rPr>
        <w:t xml:space="preserve">restricted use </w:t>
      </w:r>
      <w:r w:rsidR="002A0838">
        <w:rPr>
          <w:color w:val="000000" w:themeColor="text1"/>
        </w:rPr>
        <w:t>band greatly reduce</w:t>
      </w:r>
      <w:r>
        <w:rPr>
          <w:color w:val="000000" w:themeColor="text1"/>
        </w:rPr>
        <w:t>s</w:t>
      </w:r>
      <w:r w:rsidR="002A0838">
        <w:rPr>
          <w:color w:val="000000" w:themeColor="text1"/>
        </w:rPr>
        <w:t xml:space="preserve"> the amount of usable spectrum in the 3400</w:t>
      </w:r>
      <w:r w:rsidR="00063EBB">
        <w:rPr>
          <w:color w:val="000000" w:themeColor="text1"/>
        </w:rPr>
        <w:t>–</w:t>
      </w:r>
      <w:r w:rsidR="002A0838">
        <w:rPr>
          <w:color w:val="000000" w:themeColor="text1"/>
        </w:rPr>
        <w:t xml:space="preserve">3475 MHz band (especially if there is already a </w:t>
      </w:r>
      <w:r w:rsidR="0082251A">
        <w:rPr>
          <w:color w:val="000000" w:themeColor="text1"/>
        </w:rPr>
        <w:t xml:space="preserve">restricted use </w:t>
      </w:r>
      <w:r w:rsidR="002A0838">
        <w:rPr>
          <w:color w:val="000000" w:themeColor="text1"/>
        </w:rPr>
        <w:t>band at the top of the band)</w:t>
      </w:r>
      <w:r w:rsidR="009134F1">
        <w:rPr>
          <w:color w:val="000000" w:themeColor="text1"/>
        </w:rPr>
        <w:t>. It could also</w:t>
      </w:r>
      <w:r w:rsidR="002A0838">
        <w:rPr>
          <w:color w:val="000000" w:themeColor="text1"/>
        </w:rPr>
        <w:t xml:space="preserve"> be difficult to manage in the multi-operator environment proposed under Option </w:t>
      </w:r>
      <w:r w:rsidR="0098774C">
        <w:rPr>
          <w:color w:val="000000" w:themeColor="text1"/>
        </w:rPr>
        <w:t>3</w:t>
      </w:r>
      <w:r w:rsidR="002A0838">
        <w:rPr>
          <w:color w:val="000000" w:themeColor="text1"/>
        </w:rPr>
        <w:t xml:space="preserve">. </w:t>
      </w:r>
    </w:p>
    <w:p w14:paraId="31CE7FB6" w14:textId="61055074" w:rsidR="004D7ADF" w:rsidRDefault="004D7ADF" w:rsidP="004D7ADF">
      <w:pPr>
        <w:pStyle w:val="Heading4"/>
      </w:pPr>
      <w:r>
        <w:t>Managing co-channel interference</w:t>
      </w:r>
    </w:p>
    <w:p w14:paraId="2E9F1F20" w14:textId="5E89C5B6" w:rsidR="00E90FCF" w:rsidRDefault="005711A5" w:rsidP="00C61A02">
      <w:pPr>
        <w:pStyle w:val="Paragraph"/>
      </w:pPr>
      <w:r>
        <w:t xml:space="preserve">There are </w:t>
      </w:r>
      <w:r w:rsidR="00134165">
        <w:t xml:space="preserve">2 </w:t>
      </w:r>
      <w:r>
        <w:t>mechanisms identified to manage co-channel interference. These are defining limits on emissions that leave an area and adopt</w:t>
      </w:r>
      <w:r w:rsidR="0098774C">
        <w:t>ing</w:t>
      </w:r>
      <w:r>
        <w:t xml:space="preserve"> the </w:t>
      </w:r>
      <w:r w:rsidR="0098774C">
        <w:t>s</w:t>
      </w:r>
      <w:r w:rsidR="00530F8F">
        <w:t>ynchronisation requirement</w:t>
      </w:r>
      <w:r>
        <w:t xml:space="preserve">. </w:t>
      </w:r>
      <w:r w:rsidR="0098774C">
        <w:t xml:space="preserve">These can be implemented independently or in combination. </w:t>
      </w:r>
    </w:p>
    <w:p w14:paraId="75935B36" w14:textId="23A6EF0C" w:rsidR="005711A5" w:rsidRDefault="005711A5" w:rsidP="00C61A02">
      <w:pPr>
        <w:pStyle w:val="Paragraph"/>
        <w:rPr>
          <w:color w:val="000000" w:themeColor="text1"/>
        </w:rPr>
      </w:pPr>
      <w:r>
        <w:t>In order to manage interference into NBN Co services</w:t>
      </w:r>
      <w:r w:rsidR="009452B5">
        <w:t>,</w:t>
      </w:r>
      <w:r>
        <w:t xml:space="preserve"> it is </w:t>
      </w:r>
      <w:r w:rsidR="00E90FCF">
        <w:t>considered necessary to have an out of area emission limit.</w:t>
      </w:r>
      <w:r>
        <w:t xml:space="preserve"> </w:t>
      </w:r>
      <w:r w:rsidR="00E90FCF">
        <w:t xml:space="preserve">Possible approaches to this are </w:t>
      </w:r>
      <w:r>
        <w:t xml:space="preserve">defined </w:t>
      </w:r>
      <w:r w:rsidRPr="009317CD">
        <w:t xml:space="preserve">in </w:t>
      </w:r>
      <w:r w:rsidR="00E90FCF" w:rsidRPr="009317CD">
        <w:t xml:space="preserve">Table 10 in </w:t>
      </w:r>
      <w:hyperlink w:anchor="_Appendix_E:_Possible" w:history="1">
        <w:r w:rsidRPr="00696EB4">
          <w:rPr>
            <w:rStyle w:val="Hyperlink"/>
          </w:rPr>
          <w:t>Appendix E</w:t>
        </w:r>
      </w:hyperlink>
      <w:r w:rsidRPr="009317CD">
        <w:t>.</w:t>
      </w:r>
      <w:r w:rsidR="00E90FCF" w:rsidRPr="009317CD">
        <w:t xml:space="preserve"> Less conservative criteria can be applied if out of area limits are combined with the </w:t>
      </w:r>
      <w:r w:rsidR="0098774C" w:rsidRPr="009317CD">
        <w:t>s</w:t>
      </w:r>
      <w:r w:rsidR="00530F8F" w:rsidRPr="009317CD">
        <w:t>ynchronisation requirement</w:t>
      </w:r>
      <w:r w:rsidR="00E90FCF" w:rsidRPr="009317CD">
        <w:t>.</w:t>
      </w:r>
      <w:r w:rsidR="00DC64EE" w:rsidRPr="009317CD">
        <w:t xml:space="preserve"> Such an approach is used in the 3.4</w:t>
      </w:r>
      <w:r w:rsidR="000952A0" w:rsidRPr="009317CD">
        <w:t> </w:t>
      </w:r>
      <w:r w:rsidR="00DC64EE" w:rsidRPr="009317CD">
        <w:t>GHz spectrum license technical framework.</w:t>
      </w:r>
      <w:r w:rsidR="00E90FCF" w:rsidRPr="009317CD">
        <w:t xml:space="preserve"> This </w:t>
      </w:r>
      <w:r w:rsidR="00574055" w:rsidRPr="009317CD">
        <w:t xml:space="preserve">not only </w:t>
      </w:r>
      <w:r w:rsidR="00E90FCF" w:rsidRPr="009317CD">
        <w:t>reduces the risk</w:t>
      </w:r>
      <w:r w:rsidR="00E90FCF">
        <w:t xml:space="preserve"> of base station to base station interference </w:t>
      </w:r>
      <w:r w:rsidR="00574055">
        <w:t xml:space="preserve">but </w:t>
      </w:r>
      <w:r w:rsidR="00E90FCF">
        <w:t>allow</w:t>
      </w:r>
      <w:r w:rsidR="00574055">
        <w:t>s</w:t>
      </w:r>
      <w:r w:rsidR="00E90FCF">
        <w:t xml:space="preserve"> </w:t>
      </w:r>
      <w:r w:rsidR="00DC64EE">
        <w:t>operators</w:t>
      </w:r>
      <w:r w:rsidR="00E90FCF">
        <w:t xml:space="preserve"> </w:t>
      </w:r>
      <w:r w:rsidR="0098774C">
        <w:t xml:space="preserve">more </w:t>
      </w:r>
      <w:r w:rsidR="00DC64EE">
        <w:t xml:space="preserve">flexibility </w:t>
      </w:r>
      <w:r w:rsidR="00574055">
        <w:t xml:space="preserve">to </w:t>
      </w:r>
      <w:r w:rsidR="00DC64EE">
        <w:t>deploy services</w:t>
      </w:r>
      <w:r w:rsidR="00574055">
        <w:t>, resulting in greater spectrum utility</w:t>
      </w:r>
      <w:r w:rsidR="00DC64EE">
        <w:t>.</w:t>
      </w:r>
    </w:p>
    <w:p w14:paraId="401A37D2" w14:textId="49AFA64B" w:rsidR="00574055" w:rsidRDefault="00DC64EE" w:rsidP="00C61A02">
      <w:pPr>
        <w:pStyle w:val="Paragraph"/>
        <w:rPr>
          <w:color w:val="000000" w:themeColor="text1"/>
        </w:rPr>
      </w:pPr>
      <w:r>
        <w:rPr>
          <w:color w:val="000000" w:themeColor="text1"/>
        </w:rPr>
        <w:t xml:space="preserve">Adopting the </w:t>
      </w:r>
      <w:r w:rsidR="0098774C">
        <w:rPr>
          <w:color w:val="000000" w:themeColor="text1"/>
        </w:rPr>
        <w:t>s</w:t>
      </w:r>
      <w:r w:rsidR="00530F8F">
        <w:rPr>
          <w:color w:val="000000" w:themeColor="text1"/>
        </w:rPr>
        <w:t>ynchronisation requirement</w:t>
      </w:r>
      <w:r>
        <w:rPr>
          <w:color w:val="000000" w:themeColor="text1"/>
        </w:rPr>
        <w:t xml:space="preserve"> </w:t>
      </w:r>
      <w:r w:rsidR="005711A5">
        <w:rPr>
          <w:color w:val="000000" w:themeColor="text1"/>
        </w:rPr>
        <w:t>means o</w:t>
      </w:r>
      <w:r w:rsidR="002A0838">
        <w:rPr>
          <w:color w:val="000000" w:themeColor="text1"/>
        </w:rPr>
        <w:t xml:space="preserve">perators </w:t>
      </w:r>
      <w:r w:rsidR="005711A5">
        <w:rPr>
          <w:color w:val="000000" w:themeColor="text1"/>
        </w:rPr>
        <w:t xml:space="preserve">in urban excise areas </w:t>
      </w:r>
      <w:r w:rsidR="002A0838">
        <w:rPr>
          <w:color w:val="000000" w:themeColor="text1"/>
        </w:rPr>
        <w:t xml:space="preserve">may be required to implement </w:t>
      </w:r>
      <w:r>
        <w:rPr>
          <w:color w:val="000000" w:themeColor="text1"/>
        </w:rPr>
        <w:t>a</w:t>
      </w:r>
      <w:r w:rsidR="002A0838">
        <w:rPr>
          <w:color w:val="000000" w:themeColor="text1"/>
        </w:rPr>
        <w:t xml:space="preserve"> 4G optimised frame structure</w:t>
      </w:r>
      <w:r w:rsidR="0098774C">
        <w:rPr>
          <w:color w:val="000000" w:themeColor="text1"/>
        </w:rPr>
        <w:t xml:space="preserve"> </w:t>
      </w:r>
      <w:r w:rsidR="002A0838">
        <w:rPr>
          <w:color w:val="000000" w:themeColor="text1"/>
        </w:rPr>
        <w:t>to manage co-channel interference with NBN Co services.</w:t>
      </w:r>
      <w:r w:rsidR="00B62CF2">
        <w:rPr>
          <w:color w:val="000000" w:themeColor="text1"/>
        </w:rPr>
        <w:t xml:space="preserve"> This </w:t>
      </w:r>
      <w:r w:rsidR="005E66D9">
        <w:rPr>
          <w:color w:val="000000" w:themeColor="text1"/>
        </w:rPr>
        <w:t>is also expected to</w:t>
      </w:r>
      <w:r w:rsidR="00B62CF2">
        <w:rPr>
          <w:color w:val="000000" w:themeColor="text1"/>
        </w:rPr>
        <w:t xml:space="preserve"> allow operators to deploy services closer to urban excise area boundaries. </w:t>
      </w:r>
      <w:r>
        <w:rPr>
          <w:color w:val="000000" w:themeColor="text1"/>
        </w:rPr>
        <w:t xml:space="preserve">While </w:t>
      </w:r>
      <w:r w:rsidR="0098774C">
        <w:rPr>
          <w:color w:val="000000" w:themeColor="text1"/>
        </w:rPr>
        <w:t>use of a</w:t>
      </w:r>
      <w:r w:rsidR="00574055">
        <w:rPr>
          <w:color w:val="000000" w:themeColor="text1"/>
        </w:rPr>
        <w:t xml:space="preserve"> 5G optimised</w:t>
      </w:r>
      <w:r>
        <w:rPr>
          <w:color w:val="000000" w:themeColor="text1"/>
        </w:rPr>
        <w:t xml:space="preserve"> frame structure may </w:t>
      </w:r>
      <w:r w:rsidR="00574055">
        <w:rPr>
          <w:color w:val="000000" w:themeColor="text1"/>
        </w:rPr>
        <w:t xml:space="preserve">be preferred by some operators, </w:t>
      </w:r>
      <w:r>
        <w:rPr>
          <w:color w:val="000000" w:themeColor="text1"/>
        </w:rPr>
        <w:t xml:space="preserve">the </w:t>
      </w:r>
      <w:r w:rsidR="00B62CF2">
        <w:rPr>
          <w:color w:val="000000" w:themeColor="text1"/>
        </w:rPr>
        <w:t>increased</w:t>
      </w:r>
      <w:r>
        <w:rPr>
          <w:color w:val="000000" w:themeColor="text1"/>
        </w:rPr>
        <w:t xml:space="preserve"> spectrum utility </w:t>
      </w:r>
      <w:r w:rsidR="00B62CF2">
        <w:rPr>
          <w:color w:val="000000" w:themeColor="text1"/>
        </w:rPr>
        <w:t xml:space="preserve">associated with </w:t>
      </w:r>
      <w:r w:rsidR="00574055">
        <w:rPr>
          <w:color w:val="000000" w:themeColor="text1"/>
        </w:rPr>
        <w:t xml:space="preserve">adopting the current </w:t>
      </w:r>
      <w:r w:rsidR="00B62CF2">
        <w:rPr>
          <w:color w:val="000000" w:themeColor="text1"/>
        </w:rPr>
        <w:t xml:space="preserve">(4G) </w:t>
      </w:r>
      <w:r w:rsidR="0098774C">
        <w:rPr>
          <w:color w:val="000000" w:themeColor="text1"/>
        </w:rPr>
        <w:t>s</w:t>
      </w:r>
      <w:r w:rsidR="00530F8F">
        <w:rPr>
          <w:color w:val="000000" w:themeColor="text1"/>
        </w:rPr>
        <w:t>ynchronisation requirement</w:t>
      </w:r>
      <w:r w:rsidR="00574055">
        <w:rPr>
          <w:color w:val="000000" w:themeColor="text1"/>
        </w:rPr>
        <w:t xml:space="preserve"> </w:t>
      </w:r>
      <w:r w:rsidR="005E66D9">
        <w:rPr>
          <w:color w:val="000000" w:themeColor="text1"/>
        </w:rPr>
        <w:t>is</w:t>
      </w:r>
      <w:r>
        <w:rPr>
          <w:color w:val="000000" w:themeColor="text1"/>
        </w:rPr>
        <w:t xml:space="preserve"> considered</w:t>
      </w:r>
      <w:r w:rsidR="00574055">
        <w:rPr>
          <w:color w:val="000000" w:themeColor="text1"/>
        </w:rPr>
        <w:t xml:space="preserve"> to outweigh this</w:t>
      </w:r>
      <w:r>
        <w:rPr>
          <w:color w:val="000000" w:themeColor="text1"/>
        </w:rPr>
        <w:t xml:space="preserve">. </w:t>
      </w:r>
    </w:p>
    <w:p w14:paraId="20F93F2F" w14:textId="0D0584A9" w:rsidR="00102291" w:rsidRDefault="00102291" w:rsidP="00C61A02">
      <w:pPr>
        <w:pStyle w:val="Paragraph"/>
        <w:rPr>
          <w:color w:val="000000" w:themeColor="text1"/>
        </w:rPr>
      </w:pPr>
      <w:r>
        <w:t xml:space="preserve">The final detail of what these measures will look like will be addressed in future consultation processes once a decision has been made on which option to adopt.  </w:t>
      </w:r>
    </w:p>
    <w:p w14:paraId="0C948070" w14:textId="75D68704" w:rsidR="00043E8C" w:rsidRPr="006B6A28" w:rsidRDefault="0051344B" w:rsidP="00043E8C">
      <w:pPr>
        <w:pStyle w:val="Heading4"/>
      </w:pPr>
      <w:r w:rsidRPr="00E01008">
        <w:t>Wide area versus local area wireless broadband (WBB) use cases</w:t>
      </w:r>
      <w:r w:rsidRPr="006B6A28">
        <w:t xml:space="preserve"> </w:t>
      </w:r>
    </w:p>
    <w:p w14:paraId="6029ADBD" w14:textId="74916E50" w:rsidR="00043E8C" w:rsidRPr="00E01008" w:rsidRDefault="0051344B" w:rsidP="00C61A02">
      <w:pPr>
        <w:pStyle w:val="Paragraph"/>
        <w:rPr>
          <w:color w:val="000000" w:themeColor="text1"/>
        </w:rPr>
      </w:pPr>
      <w:r w:rsidRPr="006B6A28">
        <w:rPr>
          <w:color w:val="000000" w:themeColor="text1"/>
        </w:rPr>
        <w:t xml:space="preserve">A wide area WBB </w:t>
      </w:r>
      <w:r w:rsidR="00E357B4" w:rsidRPr="006B6A28">
        <w:rPr>
          <w:color w:val="000000" w:themeColor="text1"/>
        </w:rPr>
        <w:t xml:space="preserve">(WA WBB) </w:t>
      </w:r>
      <w:r w:rsidRPr="00E01008">
        <w:rPr>
          <w:color w:val="000000" w:themeColor="text1"/>
        </w:rPr>
        <w:t xml:space="preserve">use case </w:t>
      </w:r>
      <w:r w:rsidR="00E357B4" w:rsidRPr="006B6A28">
        <w:rPr>
          <w:color w:val="000000" w:themeColor="text1"/>
        </w:rPr>
        <w:t xml:space="preserve">would </w:t>
      </w:r>
      <w:r w:rsidRPr="00E01008">
        <w:rPr>
          <w:color w:val="000000" w:themeColor="text1"/>
        </w:rPr>
        <w:t xml:space="preserve">provide exclusive access to a single operator in a defined frequency </w:t>
      </w:r>
      <w:r w:rsidRPr="006B6A28">
        <w:rPr>
          <w:color w:val="000000" w:themeColor="text1"/>
        </w:rPr>
        <w:t>in each urban excise area</w:t>
      </w:r>
      <w:r w:rsidR="00E357B4" w:rsidRPr="006B6A28">
        <w:rPr>
          <w:color w:val="000000" w:themeColor="text1"/>
        </w:rPr>
        <w:t xml:space="preserve">, </w:t>
      </w:r>
      <w:r w:rsidR="008C5DD2" w:rsidRPr="00E01008">
        <w:rPr>
          <w:color w:val="000000" w:themeColor="text1"/>
        </w:rPr>
        <w:t>as proposed under Options</w:t>
      </w:r>
      <w:r w:rsidR="00063EBB">
        <w:rPr>
          <w:color w:val="000000" w:themeColor="text1"/>
        </w:rPr>
        <w:t> </w:t>
      </w:r>
      <w:r w:rsidR="008C5DD2" w:rsidRPr="00E01008">
        <w:rPr>
          <w:color w:val="000000" w:themeColor="text1"/>
        </w:rPr>
        <w:t>1 and 2</w:t>
      </w:r>
      <w:r w:rsidRPr="00E01008">
        <w:rPr>
          <w:color w:val="000000" w:themeColor="text1"/>
        </w:rPr>
        <w:t>. A local area WBB</w:t>
      </w:r>
      <w:r w:rsidR="00E357B4" w:rsidRPr="006B6A28">
        <w:rPr>
          <w:color w:val="000000" w:themeColor="text1"/>
        </w:rPr>
        <w:t xml:space="preserve"> (LA WBB)</w:t>
      </w:r>
      <w:r w:rsidRPr="00E01008">
        <w:rPr>
          <w:color w:val="000000" w:themeColor="text1"/>
        </w:rPr>
        <w:t xml:space="preserve"> use case would enable multiple operators to </w:t>
      </w:r>
      <w:r w:rsidR="008C5DD2" w:rsidRPr="00E01008">
        <w:rPr>
          <w:color w:val="000000" w:themeColor="text1"/>
        </w:rPr>
        <w:t>access the same frequency range at different locations within an urban excise area</w:t>
      </w:r>
      <w:r w:rsidR="00E357B4" w:rsidRPr="006B6A28">
        <w:rPr>
          <w:color w:val="000000" w:themeColor="text1"/>
        </w:rPr>
        <w:t xml:space="preserve">, </w:t>
      </w:r>
      <w:r w:rsidR="008C5DD2" w:rsidRPr="00E01008">
        <w:rPr>
          <w:color w:val="000000" w:themeColor="text1"/>
        </w:rPr>
        <w:t>as proposed under Option 3.</w:t>
      </w:r>
      <w:r w:rsidR="00D46CAB" w:rsidRPr="006B6A28">
        <w:rPr>
          <w:color w:val="000000" w:themeColor="text1"/>
        </w:rPr>
        <w:t xml:space="preserve"> </w:t>
      </w:r>
      <w:r w:rsidR="00E357B4" w:rsidRPr="006B6A28">
        <w:rPr>
          <w:color w:val="000000" w:themeColor="text1"/>
        </w:rPr>
        <w:t xml:space="preserve">Option 4 can be optimised for either WA WBB or a combination of WA WBB and LA WBB depending on how the </w:t>
      </w:r>
      <w:r w:rsidR="00063EBB">
        <w:rPr>
          <w:color w:val="000000" w:themeColor="text1"/>
        </w:rPr>
        <w:br/>
      </w:r>
      <w:r w:rsidR="00E357B4" w:rsidRPr="006B6A28">
        <w:rPr>
          <w:color w:val="000000" w:themeColor="text1"/>
        </w:rPr>
        <w:t>3460</w:t>
      </w:r>
      <w:r w:rsidR="00063EBB">
        <w:rPr>
          <w:color w:val="000000" w:themeColor="text1"/>
        </w:rPr>
        <w:t>–</w:t>
      </w:r>
      <w:r w:rsidR="00E357B4" w:rsidRPr="006B6A28">
        <w:rPr>
          <w:color w:val="000000" w:themeColor="text1"/>
        </w:rPr>
        <w:t xml:space="preserve">3475 MHz segment is made available for use. </w:t>
      </w:r>
    </w:p>
    <w:p w14:paraId="2066B13E" w14:textId="5621096F" w:rsidR="00E97BF9" w:rsidRDefault="00E357B4" w:rsidP="00C61A02">
      <w:pPr>
        <w:pStyle w:val="Paragraph"/>
        <w:rPr>
          <w:color w:val="000000" w:themeColor="text1"/>
        </w:rPr>
      </w:pPr>
      <w:r w:rsidRPr="006B6A28">
        <w:rPr>
          <w:color w:val="000000" w:themeColor="text1"/>
        </w:rPr>
        <w:t>There are numerous bands available and optimised for WA WBB use that encompass urban excise areas. Currently the only apparatus licensed LA WBB spectrum available in urban excise areas is in the 24.7</w:t>
      </w:r>
      <w:r w:rsidR="00063EBB">
        <w:rPr>
          <w:color w:val="000000" w:themeColor="text1"/>
        </w:rPr>
        <w:t>–</w:t>
      </w:r>
      <w:r w:rsidRPr="006B6A28">
        <w:rPr>
          <w:color w:val="000000" w:themeColor="text1"/>
        </w:rPr>
        <w:t>25.1 GHz and 27.5</w:t>
      </w:r>
      <w:r w:rsidR="00063EBB">
        <w:rPr>
          <w:color w:val="000000" w:themeColor="text1"/>
        </w:rPr>
        <w:t>–</w:t>
      </w:r>
      <w:r w:rsidRPr="006B6A28">
        <w:rPr>
          <w:color w:val="000000" w:themeColor="text1"/>
        </w:rPr>
        <w:t xml:space="preserve">29.5 GHz bands. As part of the </w:t>
      </w:r>
      <w:r w:rsidRPr="00E01008">
        <w:rPr>
          <w:szCs w:val="20"/>
        </w:rPr>
        <w:t xml:space="preserve">implementation of the </w:t>
      </w:r>
      <w:hyperlink r:id="rId66" w:history="1">
        <w:r w:rsidRPr="00E01008">
          <w:rPr>
            <w:rStyle w:val="Hyperlink"/>
            <w:i/>
            <w:iCs/>
            <w:szCs w:val="20"/>
          </w:rPr>
          <w:t>Replanning the 3700–4200 MHz band: Outcomes paper</w:t>
        </w:r>
      </w:hyperlink>
      <w:r w:rsidRPr="006B6A28">
        <w:rPr>
          <w:color w:val="000000" w:themeColor="text1"/>
        </w:rPr>
        <w:t xml:space="preserve"> the ACMA is intending to make </w:t>
      </w:r>
      <w:r w:rsidR="00D65FDC">
        <w:rPr>
          <w:color w:val="000000" w:themeColor="text1"/>
        </w:rPr>
        <w:t>mid-band</w:t>
      </w:r>
      <w:r w:rsidRPr="006B6A28">
        <w:rPr>
          <w:color w:val="000000" w:themeColor="text1"/>
        </w:rPr>
        <w:t xml:space="preserve"> spectrum available for such use in the </w:t>
      </w:r>
      <w:r w:rsidR="00063EBB">
        <w:rPr>
          <w:color w:val="000000" w:themeColor="text1"/>
        </w:rPr>
        <w:br/>
      </w:r>
      <w:r w:rsidRPr="006B6A28">
        <w:rPr>
          <w:color w:val="000000" w:themeColor="text1"/>
        </w:rPr>
        <w:t>3800</w:t>
      </w:r>
      <w:r w:rsidR="00063EBB">
        <w:rPr>
          <w:color w:val="000000" w:themeColor="text1"/>
        </w:rPr>
        <w:t>–</w:t>
      </w:r>
      <w:r w:rsidRPr="006B6A28">
        <w:rPr>
          <w:color w:val="000000" w:themeColor="text1"/>
        </w:rPr>
        <w:t>4000 MHz band. Due to incumbent satellite earth station</w:t>
      </w:r>
      <w:r w:rsidR="00E97BF9" w:rsidRPr="006B6A28">
        <w:rPr>
          <w:color w:val="000000" w:themeColor="text1"/>
        </w:rPr>
        <w:t xml:space="preserve"> receivers, there may be limited utility of the 3800</w:t>
      </w:r>
      <w:r w:rsidR="00063EBB">
        <w:rPr>
          <w:color w:val="000000" w:themeColor="text1"/>
        </w:rPr>
        <w:t>–</w:t>
      </w:r>
      <w:r w:rsidR="00E97BF9" w:rsidRPr="006B6A28">
        <w:rPr>
          <w:color w:val="000000" w:themeColor="text1"/>
        </w:rPr>
        <w:t>4000 MHz band for LA WBB use in Adelaide, Perth and Sydney. In this case</w:t>
      </w:r>
      <w:r w:rsidRPr="006B6A28">
        <w:rPr>
          <w:color w:val="000000" w:themeColor="text1"/>
        </w:rPr>
        <w:t xml:space="preserve"> </w:t>
      </w:r>
      <w:r w:rsidR="00E97BF9" w:rsidRPr="006B6A28">
        <w:rPr>
          <w:color w:val="000000" w:themeColor="text1"/>
        </w:rPr>
        <w:t>t</w:t>
      </w:r>
      <w:r w:rsidRPr="006B6A28">
        <w:rPr>
          <w:color w:val="000000" w:themeColor="text1"/>
        </w:rPr>
        <w:t>he 3400</w:t>
      </w:r>
      <w:r w:rsidR="00063EBB">
        <w:rPr>
          <w:color w:val="000000" w:themeColor="text1"/>
        </w:rPr>
        <w:t>–</w:t>
      </w:r>
      <w:r w:rsidRPr="006B6A28">
        <w:rPr>
          <w:color w:val="000000" w:themeColor="text1"/>
        </w:rPr>
        <w:t>3475 MHz band presents another opportunity to make more</w:t>
      </w:r>
      <w:r w:rsidR="00E97BF9" w:rsidRPr="006B6A28">
        <w:rPr>
          <w:color w:val="000000" w:themeColor="text1"/>
        </w:rPr>
        <w:t xml:space="preserve"> mid-band</w:t>
      </w:r>
      <w:r w:rsidRPr="006B6A28">
        <w:rPr>
          <w:color w:val="000000" w:themeColor="text1"/>
        </w:rPr>
        <w:t xml:space="preserve"> spectrum available for LA WBB use.</w:t>
      </w:r>
    </w:p>
    <w:p w14:paraId="2283FD5A" w14:textId="2B91CAF0" w:rsidR="00A447A8" w:rsidRDefault="00A447A8" w:rsidP="00A447A8">
      <w:pPr>
        <w:pStyle w:val="Paragraph"/>
        <w:rPr>
          <w:color w:val="000000" w:themeColor="text1"/>
        </w:rPr>
      </w:pPr>
      <w:r>
        <w:rPr>
          <w:color w:val="000000" w:themeColor="text1"/>
        </w:rPr>
        <w:t>The benefits of an LA WBB use case is that it</w:t>
      </w:r>
      <w:r w:rsidR="00803711">
        <w:rPr>
          <w:color w:val="000000" w:themeColor="text1"/>
        </w:rPr>
        <w:t xml:space="preserve"> provides support for multiple operators and</w:t>
      </w:r>
      <w:r>
        <w:rPr>
          <w:color w:val="000000" w:themeColor="text1"/>
        </w:rPr>
        <w:t xml:space="preserve"> </w:t>
      </w:r>
      <w:r>
        <w:t xml:space="preserve">allows </w:t>
      </w:r>
      <w:r w:rsidR="00803711">
        <w:t xml:space="preserve">them </w:t>
      </w:r>
      <w:r>
        <w:t xml:space="preserve">to design and operate their own infrastructure. However, there is also an increased risk of interference between different operators. This could limit how close services can be deployed and result in areas between different operators that are of limited utility. The </w:t>
      </w:r>
      <w:r w:rsidR="00803711">
        <w:t xml:space="preserve">limited spectrum and </w:t>
      </w:r>
      <w:r w:rsidR="00D65FDC">
        <w:rPr>
          <w:color w:val="000000" w:themeColor="text1"/>
        </w:rPr>
        <w:t xml:space="preserve">small size of urban excise areas </w:t>
      </w:r>
      <w:r>
        <w:rPr>
          <w:color w:val="000000" w:themeColor="text1"/>
        </w:rPr>
        <w:t>compounds this further. T</w:t>
      </w:r>
      <w:r>
        <w:t xml:space="preserve">o reduce the risk of interference and improve spectrum utility, additional </w:t>
      </w:r>
      <w:r w:rsidR="00102291">
        <w:t>deployment restrictions would need to be imposed</w:t>
      </w:r>
      <w:r>
        <w:t xml:space="preserve">. This could involve defining emission limits outside of a controlled premise coupled with </w:t>
      </w:r>
      <w:r w:rsidR="00102291">
        <w:t xml:space="preserve">a need to adhere to a </w:t>
      </w:r>
      <w:r>
        <w:t>synchronisation requirement.</w:t>
      </w:r>
      <w:r w:rsidR="00102291">
        <w:t xml:space="preserve"> </w:t>
      </w:r>
    </w:p>
    <w:p w14:paraId="6DB8950D" w14:textId="47DC60C3" w:rsidR="00043E8C" w:rsidRDefault="004D078E" w:rsidP="00C61A02">
      <w:pPr>
        <w:pStyle w:val="Paragraph"/>
        <w:rPr>
          <w:color w:val="000000" w:themeColor="text1"/>
        </w:rPr>
      </w:pPr>
      <w:r>
        <w:t xml:space="preserve">The benefits of a </w:t>
      </w:r>
      <w:r w:rsidR="00102291">
        <w:t xml:space="preserve">WA WBB use case </w:t>
      </w:r>
      <w:r>
        <w:t xml:space="preserve">are it </w:t>
      </w:r>
      <w:r w:rsidR="00102291">
        <w:t>would likely enable a higher density of deployments and greater spectrum utility. This is because</w:t>
      </w:r>
      <w:r w:rsidR="009452B5">
        <w:t xml:space="preserve"> </w:t>
      </w:r>
      <w:r w:rsidR="00102291">
        <w:t xml:space="preserve">within the small urban excise areas, interference on a specific frequency can be self-managed. Consequently, individual deployments can be modified/optimised accordingly. </w:t>
      </w:r>
      <w:r>
        <w:t>A WA</w:t>
      </w:r>
      <w:r w:rsidR="00A11362">
        <w:t> </w:t>
      </w:r>
      <w:r>
        <w:t>WBB use case</w:t>
      </w:r>
      <w:r w:rsidR="00803711">
        <w:t xml:space="preserve"> will</w:t>
      </w:r>
      <w:r>
        <w:t xml:space="preserve"> limit the number of licensees in a band. However, m</w:t>
      </w:r>
      <w:r w:rsidR="00102291">
        <w:t>ultiple operators could be support</w:t>
      </w:r>
      <w:r w:rsidR="00917778">
        <w:t>ed</w:t>
      </w:r>
      <w:r w:rsidR="00102291">
        <w:t xml:space="preserve"> </w:t>
      </w:r>
      <w:r w:rsidR="00917778">
        <w:t>by issuing</w:t>
      </w:r>
      <w:r>
        <w:t xml:space="preserve"> them </w:t>
      </w:r>
      <w:r w:rsidR="00917778">
        <w:t xml:space="preserve">licences in </w:t>
      </w:r>
      <w:r w:rsidR="00102291">
        <w:t>different segments of the 3400</w:t>
      </w:r>
      <w:r w:rsidR="00063EBB">
        <w:t>–</w:t>
      </w:r>
      <w:r w:rsidR="00102291">
        <w:t>3475 MHz band.</w:t>
      </w:r>
    </w:p>
    <w:p w14:paraId="4E18035C" w14:textId="1E011D79" w:rsidR="00A96A3F" w:rsidRDefault="00C67B28" w:rsidP="00696EB4">
      <w:pPr>
        <w:pStyle w:val="Bulletlevel1"/>
      </w:pPr>
      <w:r>
        <w:rPr>
          <w:b/>
          <w:bCs/>
        </w:rPr>
        <w:t xml:space="preserve">Option </w:t>
      </w:r>
      <w:r w:rsidR="00574055">
        <w:rPr>
          <w:b/>
          <w:bCs/>
        </w:rPr>
        <w:t>1</w:t>
      </w:r>
      <w:r w:rsidR="00063EBB">
        <w:rPr>
          <w:b/>
          <w:bCs/>
        </w:rPr>
        <w:t>:</w:t>
      </w:r>
      <w:r w:rsidR="001E5D63">
        <w:rPr>
          <w:b/>
          <w:bCs/>
        </w:rPr>
        <w:t xml:space="preserve"> </w:t>
      </w:r>
      <w:r w:rsidR="00574055">
        <w:t>T</w:t>
      </w:r>
      <w:r>
        <w:t xml:space="preserve">his option provides the greatest flexibility for how operators can use </w:t>
      </w:r>
      <w:r w:rsidR="009452B5">
        <w:t xml:space="preserve">spectrum in </w:t>
      </w:r>
      <w:r>
        <w:t xml:space="preserve">urban excise areas – </w:t>
      </w:r>
      <w:r w:rsidR="00AB48C8" w:rsidRPr="00AB48C8">
        <w:t xml:space="preserve">it allows for the deployment of </w:t>
      </w:r>
      <w:r w:rsidR="00574055">
        <w:t>both</w:t>
      </w:r>
      <w:r w:rsidR="00AB48C8" w:rsidRPr="00AB48C8">
        <w:t xml:space="preserve"> macro and restricted cells</w:t>
      </w:r>
      <w:r>
        <w:t xml:space="preserve">. </w:t>
      </w:r>
      <w:r w:rsidR="00180797">
        <w:t>I</w:t>
      </w:r>
      <w:r>
        <w:t>t is expected that initially, most deployments would follow a restricted cell model. However, discrete macro cell deployments could be considered on a case-by-case basis</w:t>
      </w:r>
      <w:r w:rsidR="00180797">
        <w:t>,</w:t>
      </w:r>
      <w:r w:rsidR="005E66D9">
        <w:t xml:space="preserve"> </w:t>
      </w:r>
      <w:r w:rsidR="00AE359A">
        <w:t>either</w:t>
      </w:r>
      <w:r>
        <w:t xml:space="preserve"> immediately or in the future as equipment capabilities evolve.</w:t>
      </w:r>
      <w:r w:rsidR="00C374C6">
        <w:t xml:space="preserve"> </w:t>
      </w:r>
      <w:bookmarkStart w:id="100" w:name="_Hlk78366921"/>
      <w:r w:rsidR="005E66D9">
        <w:t>Under this model, additional a</w:t>
      </w:r>
      <w:r w:rsidR="00C374C6">
        <w:t xml:space="preserve">rrangements to manage interference due to ducting </w:t>
      </w:r>
      <w:r w:rsidR="005E66D9">
        <w:t>may need to be considered</w:t>
      </w:r>
      <w:r w:rsidR="00C374C6">
        <w:t>.</w:t>
      </w:r>
      <w:r w:rsidR="00574055">
        <w:t xml:space="preserve"> </w:t>
      </w:r>
      <w:bookmarkEnd w:id="100"/>
      <w:r w:rsidR="00722FAE">
        <w:t xml:space="preserve">If a </w:t>
      </w:r>
      <w:r w:rsidR="0082251A">
        <w:t xml:space="preserve">restricted use </w:t>
      </w:r>
      <w:r w:rsidR="00722FAE">
        <w:t>band is implemented, only 60 MHz of the 3400</w:t>
      </w:r>
      <w:r w:rsidR="00063EBB">
        <w:t>–</w:t>
      </w:r>
      <w:r w:rsidR="00722FAE">
        <w:t>3475 MHz frequency range would be</w:t>
      </w:r>
      <w:r w:rsidR="00180797">
        <w:t>come</w:t>
      </w:r>
      <w:r w:rsidR="00722FAE">
        <w:t xml:space="preserve"> available for use. This results in </w:t>
      </w:r>
      <w:r w:rsidR="000D367B">
        <w:t xml:space="preserve">less of the band </w:t>
      </w:r>
      <w:r w:rsidR="00722FAE">
        <w:t xml:space="preserve">being utilised than </w:t>
      </w:r>
      <w:r w:rsidR="00180797">
        <w:t>under</w:t>
      </w:r>
      <w:r w:rsidR="005E66D9">
        <w:t xml:space="preserve"> </w:t>
      </w:r>
      <w:r w:rsidR="00722FAE">
        <w:t>Option</w:t>
      </w:r>
      <w:r w:rsidR="008D4028">
        <w:t xml:space="preserve">s </w:t>
      </w:r>
      <w:r w:rsidR="00574055">
        <w:t>2</w:t>
      </w:r>
      <w:r w:rsidR="00063EBB">
        <w:t xml:space="preserve"> to </w:t>
      </w:r>
      <w:r w:rsidR="00574055">
        <w:t>4</w:t>
      </w:r>
      <w:r w:rsidR="00722FAE">
        <w:t xml:space="preserve">. </w:t>
      </w:r>
    </w:p>
    <w:p w14:paraId="46D05D1F" w14:textId="512A7755" w:rsidR="001E5D63" w:rsidRDefault="00837F43" w:rsidP="006B6A28">
      <w:pPr>
        <w:pStyle w:val="ListBullet"/>
        <w:numPr>
          <w:ilvl w:val="0"/>
          <w:numId w:val="0"/>
        </w:numPr>
        <w:spacing w:after="160"/>
        <w:ind w:left="295"/>
      </w:pPr>
      <w:r>
        <w:rPr>
          <w:rFonts w:cs="Arial"/>
          <w:color w:val="000000" w:themeColor="text1"/>
        </w:rPr>
        <w:t>Under</w:t>
      </w:r>
      <w:r w:rsidR="00180797">
        <w:rPr>
          <w:rFonts w:cs="Arial"/>
          <w:color w:val="000000" w:themeColor="text1"/>
        </w:rPr>
        <w:t xml:space="preserve"> Option 1, it is desirable</w:t>
      </w:r>
      <w:r w:rsidR="00A96A3F">
        <w:rPr>
          <w:rFonts w:cs="Arial"/>
          <w:color w:val="000000" w:themeColor="text1"/>
        </w:rPr>
        <w:t xml:space="preserve"> </w:t>
      </w:r>
      <w:r>
        <w:t xml:space="preserve">to combine the release of </w:t>
      </w:r>
      <w:r w:rsidR="00A96A3F">
        <w:t xml:space="preserve">urban excise </w:t>
      </w:r>
      <w:r>
        <w:t>spectrum with allocation processes for spectrum in the 3700</w:t>
      </w:r>
      <w:r w:rsidR="00063EBB">
        <w:t>–</w:t>
      </w:r>
      <w:r>
        <w:t xml:space="preserve">4200 MHz band. </w:t>
      </w:r>
      <w:r w:rsidR="00713CD3">
        <w:t xml:space="preserve">Currently, the ACMA anticipates this could occur between </w:t>
      </w:r>
      <w:r w:rsidR="00063EBB">
        <w:t xml:space="preserve">the second quarter of </w:t>
      </w:r>
      <w:r w:rsidR="00713CD3">
        <w:t xml:space="preserve">2022 and </w:t>
      </w:r>
      <w:r w:rsidR="00063EBB">
        <w:t xml:space="preserve">fourth quarter of </w:t>
      </w:r>
      <w:r w:rsidR="00713CD3">
        <w:t>2023.</w:t>
      </w:r>
    </w:p>
    <w:p w14:paraId="4D3B2EF4" w14:textId="023584F3" w:rsidR="008D3C2C" w:rsidRDefault="001E5D63" w:rsidP="00696EB4">
      <w:pPr>
        <w:pStyle w:val="Bulletlevel1"/>
      </w:pPr>
      <w:r w:rsidRPr="00196BA7">
        <w:rPr>
          <w:b/>
          <w:bCs/>
        </w:rPr>
        <w:t xml:space="preserve">Option </w:t>
      </w:r>
      <w:r w:rsidR="00574055">
        <w:rPr>
          <w:b/>
          <w:bCs/>
        </w:rPr>
        <w:t>2</w:t>
      </w:r>
      <w:r w:rsidR="00063EBB">
        <w:rPr>
          <w:b/>
          <w:bCs/>
        </w:rPr>
        <w:t>:</w:t>
      </w:r>
      <w:r>
        <w:rPr>
          <w:b/>
          <w:bCs/>
        </w:rPr>
        <w:t xml:space="preserve"> </w:t>
      </w:r>
      <w:r w:rsidR="009C106C">
        <w:t>U</w:t>
      </w:r>
      <w:r w:rsidR="003B4F3C">
        <w:t>nder</w:t>
      </w:r>
      <w:r w:rsidR="008D4028">
        <w:t xml:space="preserve"> this option,</w:t>
      </w:r>
      <w:r w:rsidR="00C824D7">
        <w:t xml:space="preserve"> similar to Option 3,</w:t>
      </w:r>
      <w:r w:rsidR="008D4028">
        <w:t xml:space="preserve"> </w:t>
      </w:r>
      <w:r w:rsidR="00F05187">
        <w:t xml:space="preserve">deployments </w:t>
      </w:r>
      <w:r w:rsidR="00722FAE">
        <w:t xml:space="preserve">in urban excise areas are limited to a restricted cell model. </w:t>
      </w:r>
      <w:r w:rsidR="00180797">
        <w:t>T</w:t>
      </w:r>
      <w:r w:rsidR="00374DE2">
        <w:t xml:space="preserve">his option </w:t>
      </w:r>
      <w:r w:rsidR="008D4028">
        <w:t>c</w:t>
      </w:r>
      <w:r w:rsidR="00374DE2">
        <w:t xml:space="preserve">ould result in </w:t>
      </w:r>
      <w:r w:rsidR="00AB48C8">
        <w:t>a higher density of deployments</w:t>
      </w:r>
      <w:r w:rsidR="00374DE2">
        <w:t xml:space="preserve"> than Option </w:t>
      </w:r>
      <w:r w:rsidR="00C824D7">
        <w:t>3</w:t>
      </w:r>
      <w:r w:rsidR="00374DE2">
        <w:t xml:space="preserve">. </w:t>
      </w:r>
      <w:r w:rsidR="00917778">
        <w:t xml:space="preserve">Multiple operators could be supported by issuing </w:t>
      </w:r>
      <w:r w:rsidR="004D078E">
        <w:t xml:space="preserve">them </w:t>
      </w:r>
      <w:r w:rsidR="00917778">
        <w:t>licences in different segments of the 3400</w:t>
      </w:r>
      <w:r w:rsidR="00063EBB">
        <w:t>–</w:t>
      </w:r>
      <w:r w:rsidR="00917778">
        <w:t xml:space="preserve">3475 MHz band. </w:t>
      </w:r>
      <w:r w:rsidR="00A034E3" w:rsidRPr="00FC5FEC">
        <w:t xml:space="preserve">The ACMA </w:t>
      </w:r>
      <w:r w:rsidR="00180797">
        <w:t>considers</w:t>
      </w:r>
      <w:r w:rsidR="00A034E3" w:rsidRPr="00FC5FEC">
        <w:t xml:space="preserve"> </w:t>
      </w:r>
      <w:r w:rsidR="00A034E3">
        <w:t>interference due to ducting should</w:t>
      </w:r>
      <w:r w:rsidR="00A034E3" w:rsidRPr="00FC5FEC">
        <w:t xml:space="preserve"> be adequately addressed by restrictions on service deployments</w:t>
      </w:r>
      <w:r w:rsidR="00A034E3">
        <w:t xml:space="preserve"> such as limits on radiated power and antenna heights.</w:t>
      </w:r>
      <w:r w:rsidR="007E0A89">
        <w:t xml:space="preserve"> If a </w:t>
      </w:r>
      <w:r w:rsidR="0082251A">
        <w:t xml:space="preserve">restricted use </w:t>
      </w:r>
      <w:r w:rsidR="007E0A89">
        <w:t xml:space="preserve">band is implemented, </w:t>
      </w:r>
      <w:r w:rsidR="00180797">
        <w:t xml:space="preserve">up to </w:t>
      </w:r>
      <w:r w:rsidR="007E0A89">
        <w:t>70 MHz of the 3400</w:t>
      </w:r>
      <w:r w:rsidR="00063EBB">
        <w:t>–</w:t>
      </w:r>
      <w:r w:rsidR="007E0A89">
        <w:t xml:space="preserve">3475 MHz frequency range </w:t>
      </w:r>
      <w:r w:rsidR="00180797">
        <w:t xml:space="preserve">could become </w:t>
      </w:r>
      <w:r w:rsidR="007E0A89">
        <w:t xml:space="preserve">available for use. This results in more of the band being utilised than </w:t>
      </w:r>
      <w:r w:rsidR="00180797">
        <w:t>under</w:t>
      </w:r>
      <w:r w:rsidR="007E0A89">
        <w:t xml:space="preserve"> Option 1. </w:t>
      </w:r>
    </w:p>
    <w:p w14:paraId="5C09AF67" w14:textId="3FEA1D68" w:rsidR="001E5D63" w:rsidRPr="00F05187" w:rsidRDefault="008D3C2C" w:rsidP="006B6A28">
      <w:pPr>
        <w:pStyle w:val="ListBullet"/>
        <w:numPr>
          <w:ilvl w:val="0"/>
          <w:numId w:val="0"/>
        </w:numPr>
        <w:spacing w:after="160"/>
        <w:ind w:left="295"/>
      </w:pPr>
      <w:r>
        <w:rPr>
          <w:rFonts w:cs="Arial"/>
          <w:color w:val="000000" w:themeColor="text1"/>
        </w:rPr>
        <w:t xml:space="preserve">Under </w:t>
      </w:r>
      <w:r w:rsidR="00180797">
        <w:rPr>
          <w:rFonts w:cs="Arial"/>
          <w:color w:val="000000" w:themeColor="text1"/>
        </w:rPr>
        <w:t>Option 2</w:t>
      </w:r>
      <w:r>
        <w:rPr>
          <w:rFonts w:cs="Arial"/>
          <w:color w:val="000000" w:themeColor="text1"/>
        </w:rPr>
        <w:t xml:space="preserve"> it </w:t>
      </w:r>
      <w:r w:rsidR="00180797">
        <w:rPr>
          <w:rFonts w:cs="Arial"/>
          <w:color w:val="000000" w:themeColor="text1"/>
        </w:rPr>
        <w:t xml:space="preserve">is </w:t>
      </w:r>
      <w:r>
        <w:rPr>
          <w:rFonts w:cs="Arial"/>
          <w:color w:val="000000" w:themeColor="text1"/>
        </w:rPr>
        <w:t xml:space="preserve">desirable, </w:t>
      </w:r>
      <w:r w:rsidR="00837F43">
        <w:t>to combine the release of spectrum with allocation processes for spectrum in the 3700</w:t>
      </w:r>
      <w:r w:rsidR="00063EBB">
        <w:t>–</w:t>
      </w:r>
      <w:r w:rsidR="00837F43">
        <w:t xml:space="preserve">4200 MHz band. </w:t>
      </w:r>
      <w:r w:rsidR="00713CD3">
        <w:t xml:space="preserve">Currently, the ACMA anticipates this could occur between </w:t>
      </w:r>
      <w:r w:rsidR="00063EBB">
        <w:t xml:space="preserve">the second quarter of </w:t>
      </w:r>
      <w:r w:rsidR="00713CD3">
        <w:t xml:space="preserve">2022 and </w:t>
      </w:r>
      <w:r w:rsidR="00063EBB">
        <w:t xml:space="preserve">fourth quarter of </w:t>
      </w:r>
      <w:r w:rsidR="00713CD3">
        <w:t>2023.</w:t>
      </w:r>
    </w:p>
    <w:p w14:paraId="26D46F40" w14:textId="3AE4FFEE" w:rsidR="00180797" w:rsidRDefault="00F05187" w:rsidP="008D4028">
      <w:pPr>
        <w:pStyle w:val="ListBullet"/>
        <w:spacing w:after="160"/>
      </w:pPr>
      <w:r w:rsidRPr="00196BA7">
        <w:rPr>
          <w:b/>
          <w:bCs/>
        </w:rPr>
        <w:t xml:space="preserve">Option </w:t>
      </w:r>
      <w:r w:rsidR="00574055">
        <w:rPr>
          <w:b/>
          <w:bCs/>
        </w:rPr>
        <w:t>3</w:t>
      </w:r>
      <w:r w:rsidR="00063EBB">
        <w:rPr>
          <w:b/>
          <w:bCs/>
        </w:rPr>
        <w:t>:</w:t>
      </w:r>
      <w:r>
        <w:rPr>
          <w:b/>
          <w:bCs/>
        </w:rPr>
        <w:t xml:space="preserve"> </w:t>
      </w:r>
      <w:r w:rsidR="00A034E3">
        <w:t>U</w:t>
      </w:r>
      <w:r w:rsidR="003B4F3C">
        <w:t>nder</w:t>
      </w:r>
      <w:r w:rsidR="008D4028">
        <w:t xml:space="preserve"> this option,</w:t>
      </w:r>
      <w:r w:rsidR="00A034E3">
        <w:t xml:space="preserve"> similar to Option 2,</w:t>
      </w:r>
      <w:r w:rsidR="008D4028">
        <w:t xml:space="preserve"> deployments in urban excise areas are limited to a restricted cell model. This option provides support for multiple different operators to access spectrum</w:t>
      </w:r>
      <w:r w:rsidR="00A034E3">
        <w:t xml:space="preserve"> on the same frequency in the same urban excise area.</w:t>
      </w:r>
      <w:r w:rsidR="008D4028">
        <w:t xml:space="preserve"> </w:t>
      </w:r>
    </w:p>
    <w:p w14:paraId="428C14D1" w14:textId="7BA548E0" w:rsidR="00AA2660" w:rsidRDefault="00A034E3" w:rsidP="00696EB4">
      <w:pPr>
        <w:pStyle w:val="ListBullet"/>
        <w:numPr>
          <w:ilvl w:val="0"/>
          <w:numId w:val="0"/>
        </w:numPr>
        <w:spacing w:after="160"/>
        <w:ind w:left="295"/>
      </w:pPr>
      <w:r>
        <w:t>Under this approach, t</w:t>
      </w:r>
      <w:r w:rsidR="008C3B3F">
        <w:t xml:space="preserve">here is a </w:t>
      </w:r>
      <w:r w:rsidR="00102291">
        <w:t xml:space="preserve">greater </w:t>
      </w:r>
      <w:r w:rsidR="008C3B3F">
        <w:t xml:space="preserve">risk of </w:t>
      </w:r>
      <w:r w:rsidR="00AB48C8">
        <w:t xml:space="preserve">interference </w:t>
      </w:r>
      <w:r>
        <w:t xml:space="preserve">of interference between different </w:t>
      </w:r>
      <w:r w:rsidR="00102291">
        <w:t xml:space="preserve">urban excise </w:t>
      </w:r>
      <w:r>
        <w:t xml:space="preserve">operators. </w:t>
      </w:r>
      <w:r w:rsidR="00102291">
        <w:t>T</w:t>
      </w:r>
      <w:r w:rsidR="008C3B3F">
        <w:t xml:space="preserve">o </w:t>
      </w:r>
      <w:r w:rsidR="007E0A89">
        <w:t>reduce th</w:t>
      </w:r>
      <w:r w:rsidR="00917778">
        <w:t>is</w:t>
      </w:r>
      <w:r w:rsidR="007E0A89">
        <w:t xml:space="preserve"> risk and improve spectrum utility</w:t>
      </w:r>
      <w:r w:rsidR="008C3B3F">
        <w:t xml:space="preserve">, there may be a need for additional </w:t>
      </w:r>
      <w:r w:rsidR="007E0A89">
        <w:t>measures</w:t>
      </w:r>
      <w:r w:rsidR="008C3B3F">
        <w:t xml:space="preserve"> compared to Option 3</w:t>
      </w:r>
      <w:r w:rsidR="007E0A89">
        <w:t>.</w:t>
      </w:r>
      <w:r w:rsidR="00AB48C8">
        <w:t xml:space="preserve"> </w:t>
      </w:r>
      <w:r w:rsidR="007E0A89" w:rsidRPr="00FC5FEC">
        <w:t xml:space="preserve">The ACMA </w:t>
      </w:r>
      <w:r w:rsidR="00180797">
        <w:t>considers that</w:t>
      </w:r>
      <w:r w:rsidR="007E0A89" w:rsidRPr="00FC5FEC">
        <w:t xml:space="preserve"> </w:t>
      </w:r>
      <w:r w:rsidR="007E0A89">
        <w:t>interference due to ducting should</w:t>
      </w:r>
      <w:r w:rsidR="007E0A89" w:rsidRPr="00FC5FEC">
        <w:t xml:space="preserve"> be adequately addressed by restrictions on service deployments</w:t>
      </w:r>
      <w:r w:rsidR="007E0A89">
        <w:t xml:space="preserve"> such as limits on radiated power and antenna</w:t>
      </w:r>
      <w:r w:rsidR="00063EBB">
        <w:t> </w:t>
      </w:r>
      <w:r w:rsidR="007E0A89">
        <w:t xml:space="preserve">heights. If a </w:t>
      </w:r>
      <w:r w:rsidR="0082251A">
        <w:t xml:space="preserve">restricted use </w:t>
      </w:r>
      <w:r w:rsidR="007E0A89">
        <w:t xml:space="preserve">band is implemented, </w:t>
      </w:r>
      <w:r w:rsidR="00180797">
        <w:t xml:space="preserve">up to </w:t>
      </w:r>
      <w:r w:rsidR="007E0A89">
        <w:t xml:space="preserve">70 MHz of the </w:t>
      </w:r>
      <w:r w:rsidR="00063EBB">
        <w:br/>
      </w:r>
      <w:r w:rsidR="007E0A89">
        <w:t>3400</w:t>
      </w:r>
      <w:r w:rsidR="00063EBB">
        <w:t>–</w:t>
      </w:r>
      <w:r w:rsidR="007E0A89">
        <w:t xml:space="preserve">3475 MHz frequency range </w:t>
      </w:r>
      <w:r w:rsidR="00180797">
        <w:t>could become</w:t>
      </w:r>
      <w:r w:rsidR="007E0A89">
        <w:t xml:space="preserve"> available for use. This results in</w:t>
      </w:r>
      <w:r w:rsidR="00063EBB">
        <w:t> </w:t>
      </w:r>
      <w:r w:rsidR="007E0A89">
        <w:t xml:space="preserve">more of the band being utilised than </w:t>
      </w:r>
      <w:r w:rsidR="00180797">
        <w:t>under</w:t>
      </w:r>
      <w:r w:rsidR="007E0A89">
        <w:t xml:space="preserve"> Option 1. </w:t>
      </w:r>
    </w:p>
    <w:p w14:paraId="10C44A07" w14:textId="4A395EB4" w:rsidR="008D4028" w:rsidRPr="00F05187" w:rsidRDefault="00004D62" w:rsidP="006B6A28">
      <w:pPr>
        <w:pStyle w:val="ListBullet"/>
        <w:numPr>
          <w:ilvl w:val="0"/>
          <w:numId w:val="0"/>
        </w:numPr>
        <w:spacing w:after="160"/>
        <w:ind w:left="295"/>
      </w:pPr>
      <w:r>
        <w:t xml:space="preserve">Spectrum could be made available under this option </w:t>
      </w:r>
      <w:r w:rsidR="00713CD3">
        <w:t xml:space="preserve">as early as </w:t>
      </w:r>
      <w:r w:rsidR="00063EBB">
        <w:t xml:space="preserve">the first or second quarter of </w:t>
      </w:r>
      <w:r>
        <w:t>2022</w:t>
      </w:r>
      <w:r w:rsidR="00837F43">
        <w:t>. This could be done independent</w:t>
      </w:r>
      <w:r w:rsidR="00180797">
        <w:t>ly</w:t>
      </w:r>
      <w:r w:rsidR="00837F43">
        <w:t xml:space="preserve"> of allocation processes for spectrum in the 3700</w:t>
      </w:r>
      <w:r w:rsidR="00063EBB">
        <w:t>–</w:t>
      </w:r>
      <w:r w:rsidR="00837F43">
        <w:t xml:space="preserve">4200 MHz band.  </w:t>
      </w:r>
      <w:r>
        <w:t xml:space="preserve"> </w:t>
      </w:r>
    </w:p>
    <w:p w14:paraId="5FFCFD96" w14:textId="7663AE95" w:rsidR="00180797" w:rsidRDefault="001E5D63" w:rsidP="00115DE4">
      <w:pPr>
        <w:pStyle w:val="ListBullet"/>
        <w:spacing w:after="160"/>
      </w:pPr>
      <w:r w:rsidRPr="00830B57">
        <w:rPr>
          <w:b/>
          <w:bCs/>
        </w:rPr>
        <w:t xml:space="preserve">Option </w:t>
      </w:r>
      <w:r w:rsidR="00574055">
        <w:rPr>
          <w:b/>
          <w:bCs/>
        </w:rPr>
        <w:t>4</w:t>
      </w:r>
      <w:r w:rsidR="00063EBB">
        <w:rPr>
          <w:b/>
          <w:bCs/>
        </w:rPr>
        <w:t>:</w:t>
      </w:r>
      <w:r w:rsidRPr="00830B57">
        <w:rPr>
          <w:b/>
          <w:bCs/>
        </w:rPr>
        <w:t xml:space="preserve"> </w:t>
      </w:r>
      <w:r w:rsidR="005D2E8E">
        <w:t xml:space="preserve">The proposed implementation of this option </w:t>
      </w:r>
      <w:r w:rsidR="005D2E8E" w:rsidRPr="009317CD">
        <w:t xml:space="preserve">detailed in Table </w:t>
      </w:r>
      <w:r w:rsidR="00C443E2" w:rsidRPr="009317CD">
        <w:t>7</w:t>
      </w:r>
      <w:r w:rsidR="008C3B3F" w:rsidRPr="009317CD">
        <w:t xml:space="preserve"> combine</w:t>
      </w:r>
      <w:r w:rsidR="005D2E8E" w:rsidRPr="009317CD">
        <w:t>s</w:t>
      </w:r>
      <w:r w:rsidR="008C3B3F" w:rsidRPr="009317CD">
        <w:t xml:space="preserve"> parts of Options 1</w:t>
      </w:r>
      <w:r w:rsidR="00063EBB">
        <w:t xml:space="preserve"> to </w:t>
      </w:r>
      <w:r w:rsidR="0063431A" w:rsidRPr="009317CD">
        <w:t>3</w:t>
      </w:r>
      <w:r w:rsidR="00C374C6" w:rsidRPr="009317CD">
        <w:t xml:space="preserve"> to maximise utility of urban excise areas</w:t>
      </w:r>
      <w:r w:rsidR="008C3B3F" w:rsidRPr="009317CD">
        <w:t>.</w:t>
      </w:r>
      <w:r w:rsidR="005D2E8E" w:rsidRPr="009317CD">
        <w:t xml:space="preserve"> </w:t>
      </w:r>
      <w:r w:rsidR="00C374C6" w:rsidRPr="009317CD">
        <w:t xml:space="preserve">This results </w:t>
      </w:r>
      <w:r w:rsidR="005D2E8E" w:rsidRPr="009317CD">
        <w:t xml:space="preserve">in </w:t>
      </w:r>
      <w:r w:rsidR="00C374C6" w:rsidRPr="009317CD">
        <w:t xml:space="preserve">a solution that provides the greatest flexibility </w:t>
      </w:r>
      <w:r w:rsidR="005D2E8E" w:rsidRPr="009317CD">
        <w:t>for service</w:t>
      </w:r>
      <w:r w:rsidR="005D2E8E">
        <w:t xml:space="preserve"> deployments </w:t>
      </w:r>
      <w:r w:rsidR="00C374C6">
        <w:t xml:space="preserve">in the </w:t>
      </w:r>
      <w:r w:rsidR="00063EBB">
        <w:br/>
      </w:r>
      <w:r w:rsidR="00C374C6">
        <w:t>3400</w:t>
      </w:r>
      <w:r w:rsidR="00063EBB">
        <w:t>–</w:t>
      </w:r>
      <w:r w:rsidR="00C374C6">
        <w:t>3460 MHz frequency segment</w:t>
      </w:r>
      <w:r w:rsidR="00180797">
        <w:t>,</w:t>
      </w:r>
      <w:r w:rsidR="00C374C6">
        <w:t xml:space="preserve"> while also minimising the amount of spectrum</w:t>
      </w:r>
      <w:r w:rsidR="00063EBB">
        <w:t> </w:t>
      </w:r>
      <w:r w:rsidR="00C10A8B">
        <w:t>used for</w:t>
      </w:r>
      <w:r w:rsidR="00C374C6">
        <w:t xml:space="preserve"> </w:t>
      </w:r>
      <w:r w:rsidR="0082251A">
        <w:t xml:space="preserve">restricted use </w:t>
      </w:r>
      <w:r w:rsidR="00C374C6">
        <w:t xml:space="preserve">bands. </w:t>
      </w:r>
    </w:p>
    <w:p w14:paraId="5427409A" w14:textId="37628AE7" w:rsidR="00C374C6" w:rsidRDefault="00BD7A6D" w:rsidP="00115DE4">
      <w:pPr>
        <w:pStyle w:val="ListBullet"/>
        <w:spacing w:after="160"/>
      </w:pPr>
      <w:r>
        <w:t>Under this option, additional arrangements to manage interference due to ducting may need to be considered</w:t>
      </w:r>
      <w:r w:rsidR="00F86E28">
        <w:t>.</w:t>
      </w:r>
      <w:r>
        <w:t xml:space="preserve"> </w:t>
      </w:r>
      <w:r w:rsidR="005D2E8E">
        <w:t xml:space="preserve">Spectrum could be made available under this option </w:t>
      </w:r>
      <w:proofErr w:type="gramStart"/>
      <w:r w:rsidR="005D2E8E">
        <w:t>in</w:t>
      </w:r>
      <w:proofErr w:type="gramEnd"/>
      <w:r w:rsidR="005D2E8E">
        <w:t xml:space="preserve"> the same time as Option 1</w:t>
      </w:r>
      <w:r w:rsidR="00180797">
        <w:t xml:space="preserve"> (between </w:t>
      </w:r>
      <w:r w:rsidR="00063EBB">
        <w:t xml:space="preserve">the second quarter of </w:t>
      </w:r>
      <w:r w:rsidR="00180797">
        <w:t xml:space="preserve">2022 and </w:t>
      </w:r>
      <w:r w:rsidR="00063EBB">
        <w:t xml:space="preserve">fourth quarter of </w:t>
      </w:r>
      <w:r w:rsidR="00180797">
        <w:t>2023)</w:t>
      </w:r>
      <w:r w:rsidR="005D2E8E">
        <w:t xml:space="preserve">. </w:t>
      </w:r>
    </w:p>
    <w:p w14:paraId="6A02C017" w14:textId="77777777" w:rsidR="003B4F3C" w:rsidRDefault="003B4F3C" w:rsidP="003B4F3C">
      <w:pPr>
        <w:pStyle w:val="Heading2"/>
        <w:sectPr w:rsidR="003B4F3C" w:rsidSect="00C77380">
          <w:headerReference w:type="even" r:id="rId67"/>
          <w:headerReference w:type="default" r:id="rId68"/>
          <w:footerReference w:type="even" r:id="rId69"/>
          <w:footerReference w:type="default" r:id="rId70"/>
          <w:pgSz w:w="11906" w:h="16838" w:code="9"/>
          <w:pgMar w:top="1945" w:right="3101" w:bottom="1134" w:left="1134" w:header="709" w:footer="119" w:gutter="0"/>
          <w:pgNumType w:start="1"/>
          <w:cols w:space="708"/>
          <w:docGrid w:linePitch="360"/>
        </w:sectPr>
      </w:pPr>
    </w:p>
    <w:p w14:paraId="7B591000" w14:textId="775CA7D3" w:rsidR="00154025" w:rsidRDefault="003B4F3C" w:rsidP="00F37FB5">
      <w:pPr>
        <w:pStyle w:val="Heading2"/>
      </w:pPr>
      <w:bookmarkStart w:id="101" w:name="_Toc80795880"/>
      <w:r w:rsidRPr="00F37FB5">
        <w:t>Summary of assessment</w:t>
      </w:r>
      <w:bookmarkEnd w:id="101"/>
    </w:p>
    <w:p w14:paraId="3278140F" w14:textId="4231169C" w:rsidR="00154025" w:rsidRPr="00F37FB5" w:rsidRDefault="00154025" w:rsidP="00696EB4">
      <w:pPr>
        <w:pStyle w:val="Tableheading"/>
        <w:numPr>
          <w:ilvl w:val="0"/>
          <w:numId w:val="0"/>
        </w:numPr>
        <w:spacing w:after="360"/>
        <w:ind w:right="6104"/>
        <w:rPr>
          <w:b w:val="0"/>
          <w:color w:val="auto"/>
          <w:szCs w:val="24"/>
        </w:rPr>
      </w:pPr>
      <w:r w:rsidRPr="009317CD">
        <w:rPr>
          <w:b w:val="0"/>
          <w:color w:val="auto"/>
          <w:szCs w:val="24"/>
        </w:rPr>
        <w:t>Table 8 provides</w:t>
      </w:r>
      <w:r w:rsidRPr="00F37FB5">
        <w:rPr>
          <w:b w:val="0"/>
          <w:color w:val="auto"/>
          <w:szCs w:val="24"/>
        </w:rPr>
        <w:t xml:space="preserve"> a summary of the ACMA’s assessment of each option against the desirable planning outcomes.</w:t>
      </w:r>
    </w:p>
    <w:p w14:paraId="62E8FA63" w14:textId="715F4998" w:rsidR="003B4F3C" w:rsidRPr="00421612" w:rsidRDefault="00421612" w:rsidP="00696EB4">
      <w:pPr>
        <w:pStyle w:val="Tableheading"/>
        <w:ind w:right="6104"/>
      </w:pPr>
      <w:r>
        <w:t>Summary of assessment of options against the desirable planning outcomes</w:t>
      </w:r>
    </w:p>
    <w:tbl>
      <w:tblPr>
        <w:tblStyle w:val="ACMAtablestyle"/>
        <w:tblW w:w="15735" w:type="dxa"/>
        <w:tblInd w:w="-714" w:type="dxa"/>
        <w:tblLayout w:type="fixed"/>
        <w:tblLook w:val="01E0" w:firstRow="1" w:lastRow="1" w:firstColumn="1" w:lastColumn="1" w:noHBand="0" w:noVBand="0"/>
      </w:tblPr>
      <w:tblGrid>
        <w:gridCol w:w="709"/>
        <w:gridCol w:w="3544"/>
        <w:gridCol w:w="3544"/>
        <w:gridCol w:w="3544"/>
        <w:gridCol w:w="4394"/>
      </w:tblGrid>
      <w:tr w:rsidR="00F22F5C" w:rsidRPr="00930510" w14:paraId="275579A9" w14:textId="77777777" w:rsidTr="008D0DCF">
        <w:trPr>
          <w:cnfStyle w:val="100000000000" w:firstRow="1" w:lastRow="0" w:firstColumn="0" w:lastColumn="0" w:oddVBand="0" w:evenVBand="0" w:oddHBand="0" w:evenHBand="0" w:firstRowFirstColumn="0" w:firstRowLastColumn="0" w:lastRowFirstColumn="0" w:lastRowLastColumn="0"/>
          <w:trHeight w:val="120"/>
        </w:trPr>
        <w:tc>
          <w:tcPr>
            <w:tcW w:w="709" w:type="dxa"/>
            <w:tcMar>
              <w:left w:w="0" w:type="dxa"/>
              <w:right w:w="0" w:type="dxa"/>
            </w:tcMar>
          </w:tcPr>
          <w:p w14:paraId="01556928" w14:textId="77777777" w:rsidR="00F23441" w:rsidRPr="00930510" w:rsidRDefault="00F23441">
            <w:pPr>
              <w:pStyle w:val="Tableheaderrow"/>
              <w:jc w:val="center"/>
            </w:pPr>
            <w:r>
              <w:t>Option</w:t>
            </w:r>
          </w:p>
        </w:tc>
        <w:tc>
          <w:tcPr>
            <w:tcW w:w="3544" w:type="dxa"/>
            <w:tcBorders>
              <w:top w:val="nil"/>
            </w:tcBorders>
          </w:tcPr>
          <w:p w14:paraId="44AFD49C" w14:textId="1DFDCB0C" w:rsidR="00F23441" w:rsidRDefault="00F23441">
            <w:pPr>
              <w:pStyle w:val="Tableheaderrow"/>
              <w:jc w:val="center"/>
            </w:pPr>
            <w:r>
              <w:t>Desirabl</w:t>
            </w:r>
            <w:r w:rsidR="00045E1C">
              <w:t>e p</w:t>
            </w:r>
            <w:r>
              <w:t>lanning Outcome</w:t>
            </w:r>
            <w:r w:rsidRPr="00D57EC8">
              <w:t xml:space="preserve"> </w:t>
            </w:r>
            <w:r>
              <w:t>1</w:t>
            </w:r>
          </w:p>
          <w:p w14:paraId="287C4B31" w14:textId="6A8AB932" w:rsidR="00F23441" w:rsidRPr="006A1098" w:rsidRDefault="00F23441">
            <w:pPr>
              <w:pStyle w:val="Tableheaderrow"/>
              <w:jc w:val="center"/>
              <w:rPr>
                <w:b w:val="0"/>
                <w:bCs/>
              </w:rPr>
            </w:pPr>
            <w:r w:rsidRPr="006A1098">
              <w:rPr>
                <w:b w:val="0"/>
                <w:bCs/>
                <w:i/>
                <w:iCs/>
              </w:rPr>
              <w:t xml:space="preserve">Provide </w:t>
            </w:r>
            <w:r w:rsidR="00F37FB5">
              <w:rPr>
                <w:b w:val="0"/>
                <w:bCs/>
                <w:i/>
                <w:iCs/>
              </w:rPr>
              <w:t>adequate</w:t>
            </w:r>
            <w:r w:rsidRPr="006A1098">
              <w:rPr>
                <w:b w:val="0"/>
                <w:bCs/>
                <w:i/>
                <w:iCs/>
              </w:rPr>
              <w:t xml:space="preserve"> protection to incumbent NBN Co services in adjacent areas</w:t>
            </w:r>
          </w:p>
        </w:tc>
        <w:tc>
          <w:tcPr>
            <w:tcW w:w="3544" w:type="dxa"/>
            <w:tcBorders>
              <w:top w:val="nil"/>
            </w:tcBorders>
          </w:tcPr>
          <w:p w14:paraId="435D6FE4" w14:textId="06BCA93E" w:rsidR="00F23441" w:rsidRDefault="00F23441">
            <w:pPr>
              <w:pStyle w:val="Tableheaderrow"/>
              <w:jc w:val="center"/>
            </w:pPr>
            <w:r>
              <w:t xml:space="preserve">Desirable </w:t>
            </w:r>
            <w:r w:rsidR="00045E1C">
              <w:t>p</w:t>
            </w:r>
            <w:r>
              <w:t>lanning Outcome</w:t>
            </w:r>
            <w:r w:rsidRPr="00D57EC8">
              <w:t xml:space="preserve"> </w:t>
            </w:r>
            <w:r>
              <w:t>2</w:t>
            </w:r>
          </w:p>
          <w:p w14:paraId="729A568A" w14:textId="0FE78815" w:rsidR="00F23441" w:rsidRPr="006A1098" w:rsidRDefault="00F23441">
            <w:pPr>
              <w:pStyle w:val="Tableheaderrow"/>
              <w:jc w:val="center"/>
              <w:rPr>
                <w:b w:val="0"/>
                <w:bCs/>
              </w:rPr>
            </w:pPr>
            <w:r w:rsidRPr="006A1098">
              <w:rPr>
                <w:b w:val="0"/>
                <w:bCs/>
                <w:i/>
                <w:iCs/>
              </w:rPr>
              <w:t xml:space="preserve">Ensure NBN Co </w:t>
            </w:r>
            <w:r w:rsidR="004C684D">
              <w:rPr>
                <w:b w:val="0"/>
                <w:bCs/>
                <w:i/>
                <w:iCs/>
              </w:rPr>
              <w:t>is</w:t>
            </w:r>
            <w:r w:rsidRPr="006A1098">
              <w:rPr>
                <w:b w:val="0"/>
                <w:bCs/>
                <w:i/>
                <w:iCs/>
              </w:rPr>
              <w:t xml:space="preserve"> not unreasonably constrained in their ability to deploy new and more spectrally efficient technologies in the future</w:t>
            </w:r>
          </w:p>
        </w:tc>
        <w:tc>
          <w:tcPr>
            <w:tcW w:w="3544" w:type="dxa"/>
            <w:tcBorders>
              <w:top w:val="nil"/>
            </w:tcBorders>
          </w:tcPr>
          <w:p w14:paraId="25F6EEBC" w14:textId="374F21C0" w:rsidR="00F23441" w:rsidRPr="00D57EC8" w:rsidRDefault="00F23441">
            <w:pPr>
              <w:pStyle w:val="Tableheaderrow"/>
              <w:jc w:val="center"/>
            </w:pPr>
            <w:r>
              <w:t xml:space="preserve">Desirable </w:t>
            </w:r>
            <w:r w:rsidR="00045E1C">
              <w:t>p</w:t>
            </w:r>
            <w:r>
              <w:t>lanning Outcome</w:t>
            </w:r>
            <w:r w:rsidRPr="00D57EC8">
              <w:t xml:space="preserve"> 3 </w:t>
            </w:r>
            <w:r w:rsidR="008D0DCF" w:rsidRPr="008D0DCF">
              <w:rPr>
                <w:b w:val="0"/>
                <w:bCs/>
                <w:i/>
                <w:iCs/>
              </w:rPr>
              <w:t>Minimise the impact any new arrangements may have on existing 3.4 GHz spectrum licences above 3475 MHz</w:t>
            </w:r>
          </w:p>
        </w:tc>
        <w:tc>
          <w:tcPr>
            <w:tcW w:w="4394" w:type="dxa"/>
            <w:tcBorders>
              <w:top w:val="nil"/>
            </w:tcBorders>
          </w:tcPr>
          <w:p w14:paraId="0D316CDB" w14:textId="5F7456CE" w:rsidR="00F23441" w:rsidRDefault="00F23441">
            <w:pPr>
              <w:pStyle w:val="Tableheaderrow"/>
              <w:jc w:val="center"/>
            </w:pPr>
            <w:r>
              <w:t xml:space="preserve">Desirable </w:t>
            </w:r>
            <w:r w:rsidR="00045E1C">
              <w:t>p</w:t>
            </w:r>
            <w:r>
              <w:t>lanning Outcome</w:t>
            </w:r>
            <w:r w:rsidRPr="00D57EC8">
              <w:t xml:space="preserve"> </w:t>
            </w:r>
            <w:r>
              <w:t>4</w:t>
            </w:r>
          </w:p>
          <w:p w14:paraId="3C29B6C5" w14:textId="77777777" w:rsidR="00F23441" w:rsidRPr="006A1098" w:rsidRDefault="00F23441">
            <w:pPr>
              <w:pStyle w:val="Tableheaderrow"/>
              <w:jc w:val="center"/>
              <w:rPr>
                <w:b w:val="0"/>
                <w:bCs/>
              </w:rPr>
            </w:pPr>
            <w:r w:rsidRPr="006A1098">
              <w:rPr>
                <w:b w:val="0"/>
                <w:bCs/>
                <w:i/>
                <w:iCs/>
              </w:rPr>
              <w:t>Maximise the utility of urban excise areas for new wireless broadband services</w:t>
            </w:r>
          </w:p>
        </w:tc>
      </w:tr>
      <w:tr w:rsidR="00F23441" w:rsidRPr="00930510" w14:paraId="3EFF3031" w14:textId="77777777" w:rsidTr="008D0DCF">
        <w:trPr>
          <w:cnfStyle w:val="000000100000" w:firstRow="0" w:lastRow="0" w:firstColumn="0" w:lastColumn="0" w:oddVBand="0" w:evenVBand="0" w:oddHBand="1" w:evenHBand="0" w:firstRowFirstColumn="0" w:firstRowLastColumn="0" w:lastRowFirstColumn="0" w:lastRowLastColumn="0"/>
        </w:trPr>
        <w:tc>
          <w:tcPr>
            <w:tcW w:w="709" w:type="dxa"/>
            <w:tcMar>
              <w:left w:w="28" w:type="dxa"/>
              <w:right w:w="28" w:type="dxa"/>
            </w:tcMar>
          </w:tcPr>
          <w:p w14:paraId="16E0128C" w14:textId="5DF52F4F" w:rsidR="00F23441" w:rsidRPr="00696EB4" w:rsidRDefault="00ED3225" w:rsidP="0003567E">
            <w:pPr>
              <w:pStyle w:val="TableBody"/>
              <w:jc w:val="center"/>
              <w:rPr>
                <w:szCs w:val="20"/>
              </w:rPr>
            </w:pPr>
            <w:r w:rsidRPr="00696EB4">
              <w:rPr>
                <w:szCs w:val="20"/>
              </w:rPr>
              <w:t>1</w:t>
            </w:r>
          </w:p>
        </w:tc>
        <w:tc>
          <w:tcPr>
            <w:tcW w:w="3544" w:type="dxa"/>
            <w:tcMar>
              <w:left w:w="28" w:type="dxa"/>
              <w:right w:w="28" w:type="dxa"/>
            </w:tcMar>
          </w:tcPr>
          <w:p w14:paraId="2D343B09" w14:textId="63E4862C" w:rsidR="00F23441" w:rsidRPr="00930510" w:rsidRDefault="00F23441" w:rsidP="0003567E">
            <w:pPr>
              <w:pStyle w:val="TableBody"/>
            </w:pPr>
            <w:r>
              <w:t xml:space="preserve">Suitable criteria can be implemented. </w:t>
            </w:r>
            <w:r w:rsidR="00BD7A6D">
              <w:t>Additional m</w:t>
            </w:r>
            <w:r w:rsidRPr="00FC5FEC">
              <w:t xml:space="preserve">easure to manage interference </w:t>
            </w:r>
            <w:r>
              <w:t>caused by</w:t>
            </w:r>
            <w:r w:rsidRPr="00FC5FEC">
              <w:t xml:space="preserve"> ducting </w:t>
            </w:r>
            <w:r>
              <w:t xml:space="preserve">may </w:t>
            </w:r>
            <w:r w:rsidRPr="00FC5FEC">
              <w:t>need to be</w:t>
            </w:r>
            <w:r>
              <w:t xml:space="preserve"> considered further.</w:t>
            </w:r>
          </w:p>
        </w:tc>
        <w:tc>
          <w:tcPr>
            <w:tcW w:w="3544" w:type="dxa"/>
            <w:tcMar>
              <w:left w:w="28" w:type="dxa"/>
              <w:right w:w="28" w:type="dxa"/>
            </w:tcMar>
          </w:tcPr>
          <w:p w14:paraId="47C98842" w14:textId="78C1878B" w:rsidR="00F23441" w:rsidRPr="00930510" w:rsidRDefault="00F23441" w:rsidP="0003567E">
            <w:pPr>
              <w:pStyle w:val="TableBody"/>
            </w:pPr>
            <w:r>
              <w:t xml:space="preserve">Suitable measures can be implemented. </w:t>
            </w:r>
            <w:r w:rsidR="00161C0B">
              <w:t>To manage</w:t>
            </w:r>
            <w:r w:rsidR="00ED3225">
              <w:t xml:space="preserve"> co-channel</w:t>
            </w:r>
            <w:r w:rsidR="00161C0B">
              <w:t xml:space="preserve"> interference into urban excise areas, r</w:t>
            </w:r>
            <w:r>
              <w:t xml:space="preserve">easonable constraints would likely need to be applied on NBN Co’s ability </w:t>
            </w:r>
            <w:r w:rsidR="005D2E8E">
              <w:t>deploy new technologies</w:t>
            </w:r>
            <w:r>
              <w:t xml:space="preserve">.  </w:t>
            </w:r>
          </w:p>
        </w:tc>
        <w:tc>
          <w:tcPr>
            <w:tcW w:w="3544" w:type="dxa"/>
          </w:tcPr>
          <w:p w14:paraId="197D2A77" w14:textId="303FE334" w:rsidR="00F23441" w:rsidRPr="00930510" w:rsidRDefault="00F23441" w:rsidP="0003567E">
            <w:pPr>
              <w:pStyle w:val="TableBody"/>
            </w:pPr>
            <w:r>
              <w:t xml:space="preserve">Adopting a 15 MHz </w:t>
            </w:r>
            <w:r w:rsidR="0082251A">
              <w:t xml:space="preserve">restricted use </w:t>
            </w:r>
            <w:r>
              <w:t>band would minimise impact</w:t>
            </w:r>
            <w:r w:rsidR="00161C0B">
              <w:t xml:space="preserve"> to </w:t>
            </w:r>
            <w:r w:rsidR="005D2E8E">
              <w:t>adjacent band</w:t>
            </w:r>
            <w:r w:rsidR="00161C0B">
              <w:t xml:space="preserve"> 3.4 GHz spectrum licen</w:t>
            </w:r>
            <w:r w:rsidR="00757959">
              <w:t>ces</w:t>
            </w:r>
            <w:r>
              <w:t xml:space="preserve">. </w:t>
            </w:r>
            <w:r w:rsidR="00161C0B">
              <w:t xml:space="preserve">This option has the largest </w:t>
            </w:r>
            <w:r w:rsidR="0082251A">
              <w:t xml:space="preserve">restricted use </w:t>
            </w:r>
            <w:r w:rsidR="00161C0B">
              <w:t xml:space="preserve">band. </w:t>
            </w:r>
          </w:p>
        </w:tc>
        <w:tc>
          <w:tcPr>
            <w:tcW w:w="4394" w:type="dxa"/>
          </w:tcPr>
          <w:p w14:paraId="71D2CC94" w14:textId="3718515E" w:rsidR="00161C0B" w:rsidRPr="00930510" w:rsidRDefault="008D0DCF" w:rsidP="0003567E">
            <w:pPr>
              <w:pStyle w:val="TableBody"/>
            </w:pPr>
            <w:r>
              <w:t xml:space="preserve">This option </w:t>
            </w:r>
            <w:r w:rsidR="00161C0B">
              <w:t>support</w:t>
            </w:r>
            <w:r>
              <w:t>s</w:t>
            </w:r>
            <w:r w:rsidR="00161C0B">
              <w:t xml:space="preserve"> f</w:t>
            </w:r>
            <w:r w:rsidR="00F805EC">
              <w:t xml:space="preserve">lexible use </w:t>
            </w:r>
            <w:r w:rsidR="00161C0B">
              <w:t>for 60 MHz of the band in</w:t>
            </w:r>
            <w:r w:rsidR="00F23441">
              <w:t xml:space="preserve"> urban excise areas. </w:t>
            </w:r>
            <w:r w:rsidR="00161C0B">
              <w:t xml:space="preserve">This could enable the </w:t>
            </w:r>
            <w:bookmarkStart w:id="102" w:name="_Hlk78369299"/>
            <w:r w:rsidR="00161C0B">
              <w:t xml:space="preserve">deployment of macro cells on a case-by-case basis. </w:t>
            </w:r>
            <w:bookmarkEnd w:id="102"/>
            <w:r w:rsidR="00F23441">
              <w:t>Allocation of licences could be combined with the release of spectrum in the 3700</w:t>
            </w:r>
            <w:r w:rsidR="00045E1C">
              <w:t>–</w:t>
            </w:r>
            <w:r w:rsidR="00F23441">
              <w:t>4200 MHz band.</w:t>
            </w:r>
          </w:p>
        </w:tc>
      </w:tr>
      <w:tr w:rsidR="00F22F5C" w14:paraId="3136CF3D" w14:textId="77777777" w:rsidTr="008D0DCF">
        <w:trPr>
          <w:cnfStyle w:val="000000010000" w:firstRow="0" w:lastRow="0" w:firstColumn="0" w:lastColumn="0" w:oddVBand="0" w:evenVBand="0" w:oddHBand="0" w:evenHBand="1" w:firstRowFirstColumn="0" w:firstRowLastColumn="0" w:lastRowFirstColumn="0" w:lastRowLastColumn="0"/>
        </w:trPr>
        <w:tc>
          <w:tcPr>
            <w:tcW w:w="709" w:type="dxa"/>
            <w:tcMar>
              <w:left w:w="28" w:type="dxa"/>
              <w:right w:w="28" w:type="dxa"/>
            </w:tcMar>
          </w:tcPr>
          <w:p w14:paraId="5EE8AD54" w14:textId="6CAA0643" w:rsidR="00F23441" w:rsidRPr="00696EB4" w:rsidRDefault="00ED3225" w:rsidP="0003567E">
            <w:pPr>
              <w:pStyle w:val="TableBody"/>
              <w:jc w:val="center"/>
              <w:rPr>
                <w:szCs w:val="20"/>
              </w:rPr>
            </w:pPr>
            <w:r w:rsidRPr="00696EB4">
              <w:rPr>
                <w:szCs w:val="20"/>
              </w:rPr>
              <w:t>2</w:t>
            </w:r>
          </w:p>
        </w:tc>
        <w:tc>
          <w:tcPr>
            <w:tcW w:w="3544" w:type="dxa"/>
            <w:tcMar>
              <w:left w:w="28" w:type="dxa"/>
              <w:right w:w="28" w:type="dxa"/>
            </w:tcMar>
          </w:tcPr>
          <w:p w14:paraId="1F4E4E14" w14:textId="1DFC0E65" w:rsidR="00F23441" w:rsidRPr="00930510" w:rsidRDefault="00F23441" w:rsidP="0003567E">
            <w:pPr>
              <w:pStyle w:val="TableBody"/>
            </w:pPr>
            <w:r>
              <w:t xml:space="preserve">Suitable criteria can be implemented. </w:t>
            </w:r>
            <w:r w:rsidR="00D57ED7">
              <w:t>Additional m</w:t>
            </w:r>
            <w:r w:rsidRPr="00FC5FEC">
              <w:t>easure</w:t>
            </w:r>
            <w:r w:rsidR="00D57ED7">
              <w:t>s</w:t>
            </w:r>
            <w:r w:rsidRPr="00FC5FEC">
              <w:t xml:space="preserve"> to manage interference </w:t>
            </w:r>
            <w:r>
              <w:t>caused by</w:t>
            </w:r>
            <w:r w:rsidRPr="00FC5FEC">
              <w:t xml:space="preserve"> ducting </w:t>
            </w:r>
            <w:r>
              <w:t>do not need to be considered.</w:t>
            </w:r>
          </w:p>
        </w:tc>
        <w:tc>
          <w:tcPr>
            <w:tcW w:w="3544" w:type="dxa"/>
            <w:tcMar>
              <w:left w:w="28" w:type="dxa"/>
              <w:right w:w="28" w:type="dxa"/>
            </w:tcMar>
          </w:tcPr>
          <w:p w14:paraId="1A161196" w14:textId="2FC95F98" w:rsidR="00F23441" w:rsidRDefault="00F23441" w:rsidP="0003567E">
            <w:pPr>
              <w:pStyle w:val="TableBody"/>
            </w:pPr>
            <w:r>
              <w:t xml:space="preserve">Suitable measures can be implemented. The most flexible measures to enable NBN Co to do this can be adopted under Options </w:t>
            </w:r>
            <w:r w:rsidR="00ED3225">
              <w:t>2</w:t>
            </w:r>
            <w:r>
              <w:t xml:space="preserve"> and </w:t>
            </w:r>
            <w:r w:rsidR="00ED3225">
              <w:t>3</w:t>
            </w:r>
            <w:r>
              <w:t>.</w:t>
            </w:r>
          </w:p>
        </w:tc>
        <w:tc>
          <w:tcPr>
            <w:tcW w:w="3544" w:type="dxa"/>
          </w:tcPr>
          <w:p w14:paraId="5BAD636F" w14:textId="2BCEC129" w:rsidR="00F23441" w:rsidRDefault="00F23441" w:rsidP="0003567E">
            <w:pPr>
              <w:pStyle w:val="TableBody"/>
            </w:pPr>
            <w:r>
              <w:t xml:space="preserve">Adopting a 5 MHz </w:t>
            </w:r>
            <w:r w:rsidR="0082251A">
              <w:t xml:space="preserve">restricted use </w:t>
            </w:r>
            <w:r>
              <w:t>band would minimise impact</w:t>
            </w:r>
            <w:r w:rsidR="00757959">
              <w:t xml:space="preserve"> to </w:t>
            </w:r>
            <w:r w:rsidR="005D2E8E">
              <w:t>adjacent band</w:t>
            </w:r>
            <w:r w:rsidR="00757959">
              <w:t xml:space="preserve"> 3.4 GHz spectrum licences</w:t>
            </w:r>
            <w:r>
              <w:t xml:space="preserve">. Options </w:t>
            </w:r>
            <w:r w:rsidR="00ED3225">
              <w:t>2</w:t>
            </w:r>
            <w:r>
              <w:t xml:space="preserve">, </w:t>
            </w:r>
            <w:r w:rsidR="00ED3225">
              <w:t>3</w:t>
            </w:r>
            <w:r>
              <w:t xml:space="preserve"> and </w:t>
            </w:r>
            <w:r w:rsidR="00ED3225">
              <w:t>4</w:t>
            </w:r>
            <w:r w:rsidR="00161C0B">
              <w:t xml:space="preserve"> have the smallest </w:t>
            </w:r>
            <w:r w:rsidR="0082251A">
              <w:t xml:space="preserve">restricted use </w:t>
            </w:r>
            <w:r w:rsidR="00161C0B">
              <w:t>band</w:t>
            </w:r>
            <w:r>
              <w:t>.</w:t>
            </w:r>
          </w:p>
        </w:tc>
        <w:tc>
          <w:tcPr>
            <w:tcW w:w="4394" w:type="dxa"/>
          </w:tcPr>
          <w:p w14:paraId="25CC7F27" w14:textId="66034A79" w:rsidR="00F23441" w:rsidRDefault="00F23441" w:rsidP="0003567E">
            <w:pPr>
              <w:pStyle w:val="TableBody"/>
            </w:pPr>
            <w:r>
              <w:t xml:space="preserve">Macro-cell deployments would not be possible under this option. This option would </w:t>
            </w:r>
            <w:r w:rsidR="00AB48C8">
              <w:t xml:space="preserve">likely support a greater density of deployments </w:t>
            </w:r>
            <w:r>
              <w:t xml:space="preserve">than Option </w:t>
            </w:r>
            <w:r w:rsidR="00ED3225">
              <w:t>3</w:t>
            </w:r>
            <w:r w:rsidR="00757959">
              <w:t xml:space="preserve">. This is </w:t>
            </w:r>
            <w:r>
              <w:t xml:space="preserve">because </w:t>
            </w:r>
            <w:r w:rsidR="00757959">
              <w:t>a single operat</w:t>
            </w:r>
            <w:r w:rsidR="003D3F3C">
              <w:t>or</w:t>
            </w:r>
            <w:r w:rsidR="00757959">
              <w:t xml:space="preserve"> model enables co-channel interference within each urban excise area </w:t>
            </w:r>
            <w:r w:rsidR="008D0DCF">
              <w:t>to</w:t>
            </w:r>
            <w:r w:rsidR="00ED3225">
              <w:t xml:space="preserve"> </w:t>
            </w:r>
            <w:r w:rsidR="00757959">
              <w:t xml:space="preserve">be self-managed, </w:t>
            </w:r>
            <w:r w:rsidR="003D3F3C">
              <w:t xml:space="preserve">which </w:t>
            </w:r>
            <w:r w:rsidR="00757959">
              <w:t>mak</w:t>
            </w:r>
            <w:r w:rsidR="003D3F3C">
              <w:t>es</w:t>
            </w:r>
            <w:r w:rsidR="00757959">
              <w:t xml:space="preserve"> it easier for individual deployments to be modified/optimised accordingly</w:t>
            </w:r>
            <w:r w:rsidR="003D3F3C">
              <w:t>.</w:t>
            </w:r>
            <w:r>
              <w:t xml:space="preserve"> Allocation of licences could be combined with the release of spectrum in the 3700</w:t>
            </w:r>
            <w:r w:rsidR="00045E1C">
              <w:t>–</w:t>
            </w:r>
            <w:r>
              <w:t>4200 MHz band.</w:t>
            </w:r>
          </w:p>
        </w:tc>
      </w:tr>
      <w:tr w:rsidR="00ED3225" w14:paraId="440BA98C" w14:textId="77777777" w:rsidTr="008D0DCF">
        <w:trPr>
          <w:cnfStyle w:val="000000100000" w:firstRow="0" w:lastRow="0" w:firstColumn="0" w:lastColumn="0" w:oddVBand="0" w:evenVBand="0" w:oddHBand="1" w:evenHBand="0" w:firstRowFirstColumn="0" w:firstRowLastColumn="0" w:lastRowFirstColumn="0" w:lastRowLastColumn="0"/>
        </w:trPr>
        <w:tc>
          <w:tcPr>
            <w:tcW w:w="709" w:type="dxa"/>
            <w:tcMar>
              <w:left w:w="28" w:type="dxa"/>
              <w:right w:w="28" w:type="dxa"/>
            </w:tcMar>
          </w:tcPr>
          <w:p w14:paraId="1EB9295C" w14:textId="451CF6AE" w:rsidR="00ED3225" w:rsidRPr="00696EB4" w:rsidRDefault="00ED3225" w:rsidP="00696EB4">
            <w:pPr>
              <w:pStyle w:val="TableBody"/>
              <w:keepNext/>
              <w:keepLines/>
              <w:jc w:val="center"/>
              <w:rPr>
                <w:szCs w:val="20"/>
              </w:rPr>
            </w:pPr>
            <w:r w:rsidRPr="00696EB4">
              <w:rPr>
                <w:szCs w:val="20"/>
              </w:rPr>
              <w:t>3</w:t>
            </w:r>
          </w:p>
        </w:tc>
        <w:tc>
          <w:tcPr>
            <w:tcW w:w="3544" w:type="dxa"/>
            <w:tcMar>
              <w:left w:w="28" w:type="dxa"/>
              <w:right w:w="28" w:type="dxa"/>
            </w:tcMar>
          </w:tcPr>
          <w:p w14:paraId="40746BDD" w14:textId="35D51A29" w:rsidR="00ED3225" w:rsidRPr="00930510" w:rsidRDefault="00ED3225" w:rsidP="00696EB4">
            <w:pPr>
              <w:pStyle w:val="TableBody"/>
              <w:keepNext/>
              <w:keepLines/>
            </w:pPr>
            <w:r>
              <w:t xml:space="preserve">Suitable criteria can be implemented. </w:t>
            </w:r>
            <w:r w:rsidR="00D57ED7">
              <w:t>Additional m</w:t>
            </w:r>
            <w:r w:rsidRPr="00FC5FEC">
              <w:t xml:space="preserve">easure to manage interference </w:t>
            </w:r>
            <w:r>
              <w:t>caused by</w:t>
            </w:r>
            <w:r w:rsidRPr="00FC5FEC">
              <w:t xml:space="preserve"> ducting </w:t>
            </w:r>
            <w:r>
              <w:t>do not need to be considered.</w:t>
            </w:r>
          </w:p>
        </w:tc>
        <w:tc>
          <w:tcPr>
            <w:tcW w:w="3544" w:type="dxa"/>
            <w:tcMar>
              <w:left w:w="28" w:type="dxa"/>
              <w:right w:w="28" w:type="dxa"/>
            </w:tcMar>
          </w:tcPr>
          <w:p w14:paraId="4D5AD507" w14:textId="03304A14" w:rsidR="00ED3225" w:rsidRDefault="00ED3225" w:rsidP="00696EB4">
            <w:pPr>
              <w:pStyle w:val="TableBody"/>
              <w:keepNext/>
              <w:keepLines/>
            </w:pPr>
            <w:r>
              <w:t>Suitable measures can be implemented. The most flexible measures to enable NBN Co to do this can be adopted under Options 2 and 3.</w:t>
            </w:r>
          </w:p>
        </w:tc>
        <w:tc>
          <w:tcPr>
            <w:tcW w:w="3544" w:type="dxa"/>
          </w:tcPr>
          <w:p w14:paraId="30AB3BEB" w14:textId="411E6FC8" w:rsidR="00ED3225" w:rsidRDefault="00ED3225" w:rsidP="00696EB4">
            <w:pPr>
              <w:pStyle w:val="TableBody"/>
              <w:keepNext/>
              <w:keepLines/>
            </w:pPr>
            <w:r>
              <w:t xml:space="preserve">Adopting a 5 MHz </w:t>
            </w:r>
            <w:r w:rsidR="0082251A">
              <w:t xml:space="preserve">restricted use </w:t>
            </w:r>
            <w:r>
              <w:t xml:space="preserve">band would minimise impact to </w:t>
            </w:r>
            <w:r w:rsidR="005D2E8E">
              <w:t>adjacent band</w:t>
            </w:r>
            <w:r>
              <w:t xml:space="preserve"> 3.4 GHz spectrum licences. Options 2, 3 and 4 have the smallest </w:t>
            </w:r>
            <w:r w:rsidR="0082251A">
              <w:t xml:space="preserve">restricted use </w:t>
            </w:r>
            <w:r>
              <w:t>band.</w:t>
            </w:r>
          </w:p>
        </w:tc>
        <w:tc>
          <w:tcPr>
            <w:tcW w:w="4394" w:type="dxa"/>
          </w:tcPr>
          <w:p w14:paraId="34268010" w14:textId="5E156ABE" w:rsidR="00ED3225" w:rsidRDefault="00ED3225" w:rsidP="00696EB4">
            <w:pPr>
              <w:pStyle w:val="TableBody"/>
              <w:keepNext/>
              <w:keepLines/>
            </w:pPr>
            <w:r>
              <w:t xml:space="preserve">Macro-cell deployments would not be possible under this option. This option would likely have a lower density of deployments than Option 2. However, multiple operators </w:t>
            </w:r>
            <w:r w:rsidR="008D0DCF">
              <w:t xml:space="preserve">would be able to </w:t>
            </w:r>
            <w:r>
              <w:t>deploy a service in any defined frequency range in each urban excise area. Allocation of licences could be done independent of the work in the 3700</w:t>
            </w:r>
            <w:r w:rsidR="00045E1C">
              <w:t>–</w:t>
            </w:r>
            <w:r>
              <w:t>4200 MHz band. Spectrum could be made available the fastest under this option.</w:t>
            </w:r>
          </w:p>
        </w:tc>
      </w:tr>
      <w:tr w:rsidR="008D0DCF" w14:paraId="2D8A01FE" w14:textId="77777777" w:rsidTr="008D0DCF">
        <w:trPr>
          <w:cnfStyle w:val="000000010000" w:firstRow="0" w:lastRow="0" w:firstColumn="0" w:lastColumn="0" w:oddVBand="0" w:evenVBand="0" w:oddHBand="0" w:evenHBand="1" w:firstRowFirstColumn="0" w:firstRowLastColumn="0" w:lastRowFirstColumn="0" w:lastRowLastColumn="0"/>
        </w:trPr>
        <w:tc>
          <w:tcPr>
            <w:tcW w:w="709" w:type="dxa"/>
            <w:tcMar>
              <w:left w:w="28" w:type="dxa"/>
              <w:right w:w="28" w:type="dxa"/>
            </w:tcMar>
          </w:tcPr>
          <w:p w14:paraId="0E74417F" w14:textId="24ED7E5C" w:rsidR="00161C0B" w:rsidRPr="00696EB4" w:rsidRDefault="00ED3225" w:rsidP="00696EB4">
            <w:pPr>
              <w:pStyle w:val="TableBody"/>
              <w:keepNext/>
              <w:keepLines/>
              <w:jc w:val="center"/>
              <w:rPr>
                <w:szCs w:val="20"/>
              </w:rPr>
            </w:pPr>
            <w:r w:rsidRPr="00696EB4">
              <w:rPr>
                <w:szCs w:val="20"/>
              </w:rPr>
              <w:t>4</w:t>
            </w:r>
          </w:p>
        </w:tc>
        <w:tc>
          <w:tcPr>
            <w:tcW w:w="3544" w:type="dxa"/>
            <w:tcMar>
              <w:left w:w="28" w:type="dxa"/>
              <w:right w:w="28" w:type="dxa"/>
            </w:tcMar>
          </w:tcPr>
          <w:p w14:paraId="1D014C40" w14:textId="47B31204" w:rsidR="00161C0B" w:rsidRPr="00930510" w:rsidRDefault="00161C0B" w:rsidP="00696EB4">
            <w:pPr>
              <w:pStyle w:val="TableBody"/>
              <w:keepNext/>
              <w:keepLines/>
            </w:pPr>
            <w:r>
              <w:t xml:space="preserve">Suitable criteria can be implemented. </w:t>
            </w:r>
            <w:r w:rsidR="00D57ED7">
              <w:t>Additional m</w:t>
            </w:r>
            <w:r w:rsidR="00ED3225" w:rsidRPr="00FC5FEC">
              <w:t>easure</w:t>
            </w:r>
            <w:r w:rsidR="00D57ED7">
              <w:t>s</w:t>
            </w:r>
            <w:r w:rsidR="00ED3225" w:rsidRPr="00FC5FEC">
              <w:t xml:space="preserve"> to manage interference </w:t>
            </w:r>
            <w:r w:rsidR="00ED3225">
              <w:t>caused by</w:t>
            </w:r>
            <w:r w:rsidR="00ED3225" w:rsidRPr="00FC5FEC">
              <w:t xml:space="preserve"> ducting </w:t>
            </w:r>
            <w:r w:rsidR="00ED3225">
              <w:t xml:space="preserve">may </w:t>
            </w:r>
            <w:r w:rsidR="00ED3225" w:rsidRPr="00FC5FEC">
              <w:t>need to be</w:t>
            </w:r>
            <w:r w:rsidR="00ED3225">
              <w:t xml:space="preserve"> considered further</w:t>
            </w:r>
            <w:r w:rsidR="00D57ED7">
              <w:t xml:space="preserve"> for part of the band</w:t>
            </w:r>
            <w:r w:rsidR="00ED3225">
              <w:t>.</w:t>
            </w:r>
          </w:p>
        </w:tc>
        <w:tc>
          <w:tcPr>
            <w:tcW w:w="3544" w:type="dxa"/>
            <w:tcMar>
              <w:left w:w="28" w:type="dxa"/>
              <w:right w:w="28" w:type="dxa"/>
            </w:tcMar>
          </w:tcPr>
          <w:p w14:paraId="55D7060B" w14:textId="2251BCCC" w:rsidR="00161C0B" w:rsidRDefault="005D2E8E" w:rsidP="00696EB4">
            <w:pPr>
              <w:pStyle w:val="TableBody"/>
              <w:keepNext/>
              <w:keepLines/>
            </w:pPr>
            <w:r>
              <w:t>Suitable measures can be implemented. To manage co-channel interference into urban excise areas, reasonable constraints would likely need to be applied on NBN Co’s ability deploy new technologies</w:t>
            </w:r>
            <w:r w:rsidR="00D57ED7">
              <w:t xml:space="preserve"> in part of the band</w:t>
            </w:r>
            <w:r>
              <w:t xml:space="preserve">.  </w:t>
            </w:r>
          </w:p>
        </w:tc>
        <w:tc>
          <w:tcPr>
            <w:tcW w:w="3544" w:type="dxa"/>
          </w:tcPr>
          <w:p w14:paraId="350FC92F" w14:textId="59693504" w:rsidR="00161C0B" w:rsidRDefault="008D0DCF" w:rsidP="00696EB4">
            <w:pPr>
              <w:pStyle w:val="TableBody"/>
              <w:keepNext/>
              <w:keepLines/>
            </w:pPr>
            <w:r>
              <w:t xml:space="preserve">Adopting a 5 MHz </w:t>
            </w:r>
            <w:r w:rsidR="0082251A">
              <w:t xml:space="preserve">restricted use </w:t>
            </w:r>
            <w:r>
              <w:t xml:space="preserve">band would minimise impact to adjacent band 3.4 GHz spectrum licences. Options 2, 3 and 4 have the smallest </w:t>
            </w:r>
            <w:r w:rsidR="0082251A">
              <w:t xml:space="preserve">restricted use </w:t>
            </w:r>
            <w:r>
              <w:t>band</w:t>
            </w:r>
          </w:p>
        </w:tc>
        <w:tc>
          <w:tcPr>
            <w:tcW w:w="4394" w:type="dxa"/>
          </w:tcPr>
          <w:p w14:paraId="39A5ED36" w14:textId="3C5A0323" w:rsidR="00ED3225" w:rsidRDefault="008D0DCF" w:rsidP="00696EB4">
            <w:pPr>
              <w:keepNext/>
              <w:keepLines/>
            </w:pPr>
            <w:r>
              <w:t xml:space="preserve">The proposed implementation of this option combines </w:t>
            </w:r>
            <w:r w:rsidR="00F9422A">
              <w:t>different</w:t>
            </w:r>
            <w:r>
              <w:t xml:space="preserve"> </w:t>
            </w:r>
            <w:r w:rsidR="00F9422A">
              <w:t>aspects</w:t>
            </w:r>
            <w:r>
              <w:t xml:space="preserve"> of Options 1</w:t>
            </w:r>
            <w:r w:rsidR="00A11362">
              <w:t xml:space="preserve"> with either Option 2 or 3</w:t>
            </w:r>
            <w:r>
              <w:t xml:space="preserve">. It enables the deployment of macro cells on a case-by-case basis and has the smallest </w:t>
            </w:r>
            <w:r w:rsidR="0082251A">
              <w:t xml:space="preserve">restricted use </w:t>
            </w:r>
            <w:r>
              <w:t>band (along with Option 2 and 3). Allocation of licences could be combined with the release of spectrum in the 3700</w:t>
            </w:r>
            <w:r w:rsidR="005E2923">
              <w:t>–</w:t>
            </w:r>
            <w:r>
              <w:t>4200 MHz band.</w:t>
            </w:r>
          </w:p>
        </w:tc>
      </w:tr>
    </w:tbl>
    <w:p w14:paraId="63AB983C" w14:textId="77777777" w:rsidR="003B4F3C" w:rsidRDefault="003B4F3C" w:rsidP="00817B9B">
      <w:pPr>
        <w:pStyle w:val="Heading2"/>
        <w:sectPr w:rsidR="003B4F3C" w:rsidSect="00F67B7A">
          <w:pgSz w:w="16838" w:h="11906" w:orient="landscape" w:code="9"/>
          <w:pgMar w:top="1134" w:right="1945" w:bottom="993" w:left="1134" w:header="709" w:footer="119" w:gutter="0"/>
          <w:cols w:space="708"/>
          <w:docGrid w:linePitch="360"/>
        </w:sectPr>
      </w:pPr>
    </w:p>
    <w:p w14:paraId="766AEEC1" w14:textId="725CF9C8" w:rsidR="00817B9B" w:rsidRPr="00602151" w:rsidRDefault="00817B9B" w:rsidP="00817B9B">
      <w:pPr>
        <w:pStyle w:val="Heading2"/>
      </w:pPr>
      <w:bookmarkStart w:id="103" w:name="_Hlk77248405"/>
      <w:bookmarkStart w:id="104" w:name="_Toc80795881"/>
      <w:r>
        <w:t xml:space="preserve">ACMA </w:t>
      </w:r>
      <w:r w:rsidR="00154025">
        <w:t xml:space="preserve">preliminary </w:t>
      </w:r>
      <w:r>
        <w:t>preferred option</w:t>
      </w:r>
      <w:bookmarkEnd w:id="103"/>
      <w:bookmarkEnd w:id="104"/>
    </w:p>
    <w:p w14:paraId="202AA930" w14:textId="2B3323DF" w:rsidR="00C10A8B" w:rsidRDefault="003F4F6D" w:rsidP="000A5E01">
      <w:pPr>
        <w:spacing w:before="240"/>
        <w:rPr>
          <w:rFonts w:cs="Arial"/>
          <w:bCs/>
        </w:rPr>
      </w:pPr>
      <w:bookmarkStart w:id="105" w:name="_Hlk78899950"/>
      <w:r>
        <w:rPr>
          <w:rFonts w:cs="Arial"/>
          <w:bCs/>
        </w:rPr>
        <w:t>After considering the</w:t>
      </w:r>
      <w:r w:rsidR="000A5E01" w:rsidRPr="00577686">
        <w:rPr>
          <w:rFonts w:cs="Arial"/>
          <w:bCs/>
        </w:rPr>
        <w:t xml:space="preserve"> assessment of each option against its </w:t>
      </w:r>
      <w:r>
        <w:rPr>
          <w:rFonts w:cs="Arial"/>
          <w:bCs/>
        </w:rPr>
        <w:t xml:space="preserve">desirable </w:t>
      </w:r>
      <w:r w:rsidR="000A5E01" w:rsidRPr="00577686">
        <w:rPr>
          <w:rFonts w:cs="Arial"/>
          <w:bCs/>
        </w:rPr>
        <w:t>planning</w:t>
      </w:r>
      <w:r>
        <w:rPr>
          <w:rFonts w:cs="Arial"/>
          <w:bCs/>
        </w:rPr>
        <w:t xml:space="preserve"> outcomes, the ACMA has identified Option </w:t>
      </w:r>
      <w:r w:rsidR="008D0DCF">
        <w:rPr>
          <w:rFonts w:cs="Arial"/>
          <w:bCs/>
        </w:rPr>
        <w:t>4</w:t>
      </w:r>
      <w:r>
        <w:rPr>
          <w:rFonts w:cs="Arial"/>
          <w:bCs/>
        </w:rPr>
        <w:t xml:space="preserve"> as </w:t>
      </w:r>
      <w:r w:rsidR="004A2CFD">
        <w:rPr>
          <w:rFonts w:cs="Arial"/>
          <w:bCs/>
        </w:rPr>
        <w:t>its</w:t>
      </w:r>
      <w:r>
        <w:rPr>
          <w:rFonts w:cs="Arial"/>
          <w:bCs/>
        </w:rPr>
        <w:t xml:space="preserve"> preliminary preferred option</w:t>
      </w:r>
      <w:bookmarkStart w:id="106" w:name="_Hlk78962193"/>
      <w:r>
        <w:rPr>
          <w:rFonts w:cs="Arial"/>
          <w:bCs/>
        </w:rPr>
        <w:t xml:space="preserve">. </w:t>
      </w:r>
      <w:r w:rsidR="002B1144">
        <w:rPr>
          <w:rFonts w:cs="Arial"/>
          <w:bCs/>
        </w:rPr>
        <w:t xml:space="preserve">This involves adopting Option </w:t>
      </w:r>
      <w:r w:rsidR="00C443E2">
        <w:rPr>
          <w:rFonts w:cs="Arial"/>
          <w:bCs/>
        </w:rPr>
        <w:t>1 in the 3400</w:t>
      </w:r>
      <w:r w:rsidR="00045E1C">
        <w:rPr>
          <w:rFonts w:cs="Arial"/>
          <w:bCs/>
        </w:rPr>
        <w:t>–</w:t>
      </w:r>
      <w:r w:rsidR="00C443E2">
        <w:rPr>
          <w:rFonts w:cs="Arial"/>
          <w:bCs/>
        </w:rPr>
        <w:t>3460 MHz</w:t>
      </w:r>
      <w:r w:rsidR="002B1144">
        <w:rPr>
          <w:rFonts w:cs="Arial"/>
          <w:bCs/>
        </w:rPr>
        <w:t xml:space="preserve"> </w:t>
      </w:r>
      <w:r w:rsidR="00C443E2">
        <w:rPr>
          <w:rFonts w:cs="Arial"/>
          <w:bCs/>
        </w:rPr>
        <w:t xml:space="preserve">frequency range </w:t>
      </w:r>
      <w:r w:rsidR="002B1144">
        <w:rPr>
          <w:rFonts w:cs="Arial"/>
          <w:bCs/>
        </w:rPr>
        <w:t xml:space="preserve">and </w:t>
      </w:r>
      <w:r w:rsidR="00C443E2">
        <w:rPr>
          <w:rFonts w:cs="Arial"/>
          <w:bCs/>
        </w:rPr>
        <w:t xml:space="preserve">a restricted </w:t>
      </w:r>
      <w:r w:rsidR="0012437E">
        <w:rPr>
          <w:rFonts w:cs="Arial"/>
          <w:bCs/>
        </w:rPr>
        <w:t xml:space="preserve">cell </w:t>
      </w:r>
      <w:r w:rsidR="00C443E2">
        <w:rPr>
          <w:rFonts w:cs="Arial"/>
          <w:bCs/>
        </w:rPr>
        <w:t xml:space="preserve">model similar to </w:t>
      </w:r>
      <w:r w:rsidR="002B1144">
        <w:rPr>
          <w:rFonts w:cs="Arial"/>
          <w:bCs/>
        </w:rPr>
        <w:t xml:space="preserve">Option </w:t>
      </w:r>
      <w:r w:rsidR="00C443E2">
        <w:rPr>
          <w:rFonts w:cs="Arial"/>
          <w:bCs/>
        </w:rPr>
        <w:t>2</w:t>
      </w:r>
      <w:r w:rsidR="002B1144">
        <w:rPr>
          <w:rFonts w:cs="Arial"/>
          <w:bCs/>
        </w:rPr>
        <w:t xml:space="preserve"> in the 3460</w:t>
      </w:r>
      <w:r w:rsidR="00045E1C">
        <w:rPr>
          <w:rFonts w:cs="Arial"/>
          <w:bCs/>
        </w:rPr>
        <w:t>–</w:t>
      </w:r>
      <w:r w:rsidR="002B1144">
        <w:rPr>
          <w:rFonts w:cs="Arial"/>
          <w:bCs/>
        </w:rPr>
        <w:t>347</w:t>
      </w:r>
      <w:r w:rsidR="00691A8D">
        <w:rPr>
          <w:rFonts w:cs="Arial"/>
          <w:bCs/>
        </w:rPr>
        <w:t>5</w:t>
      </w:r>
      <w:r w:rsidR="002B1144">
        <w:rPr>
          <w:rFonts w:cs="Arial"/>
          <w:bCs/>
        </w:rPr>
        <w:t xml:space="preserve"> MHz frequency range </w:t>
      </w:r>
      <w:r w:rsidR="00691A8D">
        <w:rPr>
          <w:rFonts w:cs="Arial"/>
          <w:bCs/>
        </w:rPr>
        <w:t xml:space="preserve">(noting a 5 MHz </w:t>
      </w:r>
      <w:r w:rsidR="0082251A">
        <w:rPr>
          <w:rFonts w:cs="Arial"/>
          <w:bCs/>
        </w:rPr>
        <w:t xml:space="preserve">restricted use </w:t>
      </w:r>
      <w:r w:rsidR="00691A8D">
        <w:rPr>
          <w:rFonts w:cs="Arial"/>
          <w:bCs/>
        </w:rPr>
        <w:t>band applies in the 3470</w:t>
      </w:r>
      <w:r w:rsidR="00045E1C">
        <w:rPr>
          <w:rFonts w:cs="Arial"/>
          <w:bCs/>
        </w:rPr>
        <w:t>–</w:t>
      </w:r>
      <w:r w:rsidR="00691A8D">
        <w:rPr>
          <w:rFonts w:cs="Arial"/>
          <w:bCs/>
        </w:rPr>
        <w:t>3475 MHz frequency range)</w:t>
      </w:r>
      <w:r w:rsidR="002B1144">
        <w:rPr>
          <w:rFonts w:cs="Arial"/>
          <w:bCs/>
        </w:rPr>
        <w:t xml:space="preserve">. </w:t>
      </w:r>
      <w:bookmarkEnd w:id="106"/>
    </w:p>
    <w:p w14:paraId="4DA9C6AE" w14:textId="38AD8A81" w:rsidR="00043E8C" w:rsidRPr="00E01008" w:rsidRDefault="00F9422A" w:rsidP="000A5E01">
      <w:pPr>
        <w:spacing w:before="240"/>
      </w:pPr>
      <w:r>
        <w:t xml:space="preserve">Under this </w:t>
      </w:r>
      <w:r w:rsidR="00C10A8B">
        <w:t>implementation of Option 4</w:t>
      </w:r>
      <w:r w:rsidR="008465B8">
        <w:t>,</w:t>
      </w:r>
      <w:r>
        <w:t xml:space="preserve"> a single operator would </w:t>
      </w:r>
      <w:r w:rsidR="005F4DB6">
        <w:t>hold</w:t>
      </w:r>
      <w:r>
        <w:t xml:space="preserve"> a licence in each urban excise area </w:t>
      </w:r>
      <w:r w:rsidR="00277FBC">
        <w:t xml:space="preserve">in </w:t>
      </w:r>
      <w:r>
        <w:t xml:space="preserve">a given frequency range. Multiple operators could be supported </w:t>
      </w:r>
      <w:r w:rsidR="00BD7A6D">
        <w:t xml:space="preserve">by licensing them </w:t>
      </w:r>
      <w:r>
        <w:t>in different segments of the 3400</w:t>
      </w:r>
      <w:r w:rsidR="00CB2D7D">
        <w:t>–</w:t>
      </w:r>
      <w:r>
        <w:t xml:space="preserve">3475 MHz frequency range. </w:t>
      </w:r>
      <w:bookmarkStart w:id="107" w:name="_Hlk78811985"/>
      <w:r w:rsidR="00C10A8B">
        <w:t xml:space="preserve">The number of licensees in an area and the quanta of spectrum licenced to each would be </w:t>
      </w:r>
      <w:r w:rsidR="00C10A8B" w:rsidRPr="009317CD">
        <w:t xml:space="preserve">determined as part of an allocation process. </w:t>
      </w:r>
      <w:bookmarkEnd w:id="107"/>
      <w:r w:rsidR="00C10A8B" w:rsidRPr="009317CD">
        <w:t xml:space="preserve">An example of what this </w:t>
      </w:r>
      <w:r w:rsidRPr="009317CD">
        <w:t xml:space="preserve">could look like is provided in Figure </w:t>
      </w:r>
      <w:r w:rsidR="000169AD" w:rsidRPr="009317CD">
        <w:t>4</w:t>
      </w:r>
      <w:r w:rsidRPr="009317CD">
        <w:t>.</w:t>
      </w:r>
      <w:r>
        <w:t xml:space="preserve"> </w:t>
      </w:r>
    </w:p>
    <w:bookmarkEnd w:id="105"/>
    <w:p w14:paraId="1F189279" w14:textId="70BD82A3" w:rsidR="004A2CFD" w:rsidRDefault="00CB2D7D" w:rsidP="00696EB4">
      <w:pPr>
        <w:pStyle w:val="ACMAFigureHeader"/>
        <w:numPr>
          <w:ilvl w:val="0"/>
          <w:numId w:val="0"/>
        </w:numPr>
        <w:spacing w:before="360" w:after="0"/>
        <w:ind w:left="1134" w:hanging="1134"/>
      </w:pPr>
      <w:r>
        <w:t xml:space="preserve">Figure 4: </w:t>
      </w:r>
      <w:r>
        <w:tab/>
      </w:r>
      <w:r w:rsidR="004A2CFD">
        <w:t xml:space="preserve">Pictorial description of </w:t>
      </w:r>
      <w:r w:rsidR="002E68D8">
        <w:t xml:space="preserve">preliminary preferred implementation of Option </w:t>
      </w:r>
      <w:r w:rsidR="00C443E2">
        <w:t>4</w:t>
      </w:r>
    </w:p>
    <w:p w14:paraId="2E9DAB94" w14:textId="7A90CB60" w:rsidR="004A2CFD" w:rsidRDefault="000F17AC" w:rsidP="00A11362">
      <w:pPr>
        <w:spacing w:before="120" w:after="120"/>
        <w:rPr>
          <w:rFonts w:cs="Arial"/>
          <w:bCs/>
        </w:rPr>
      </w:pPr>
      <w:r>
        <w:rPr>
          <w:noProof/>
        </w:rPr>
        <w:drawing>
          <wp:inline distT="0" distB="0" distL="0" distR="0" wp14:anchorId="1FD712A5" wp14:editId="1531F756">
            <wp:extent cx="4871085" cy="991870"/>
            <wp:effectExtent l="0" t="0" r="5715" b="0"/>
            <wp:docPr id="11" name="Picture 11" descr="Figure 4: Pictorial description of preliminary preferred implementation of Option 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Figure 4: Pictorial description of preliminary preferred implementation of Option 4. "/>
                    <pic:cNvPicPr/>
                  </pic:nvPicPr>
                  <pic:blipFill>
                    <a:blip r:embed="rId71"/>
                    <a:stretch>
                      <a:fillRect/>
                    </a:stretch>
                  </pic:blipFill>
                  <pic:spPr>
                    <a:xfrm>
                      <a:off x="0" y="0"/>
                      <a:ext cx="4871085" cy="991870"/>
                    </a:xfrm>
                    <a:prstGeom prst="rect">
                      <a:avLst/>
                    </a:prstGeom>
                  </pic:spPr>
                </pic:pic>
              </a:graphicData>
            </a:graphic>
          </wp:inline>
        </w:drawing>
      </w:r>
    </w:p>
    <w:p w14:paraId="5BE792DD" w14:textId="5E4C3206" w:rsidR="003F4F6D" w:rsidRDefault="000E55FF" w:rsidP="00696EB4">
      <w:pPr>
        <w:pStyle w:val="Paragraphbeforelist"/>
      </w:pPr>
      <w:bookmarkStart w:id="108" w:name="_Hlk78463651"/>
      <w:bookmarkStart w:id="109" w:name="_Hlk78962363"/>
      <w:r>
        <w:t>We consider t</w:t>
      </w:r>
      <w:r w:rsidR="00691A8D">
        <w:t xml:space="preserve">his implementation of Option </w:t>
      </w:r>
      <w:r w:rsidR="00C443E2">
        <w:t>4</w:t>
      </w:r>
      <w:r w:rsidR="00691A8D">
        <w:t xml:space="preserve"> </w:t>
      </w:r>
      <w:bookmarkEnd w:id="108"/>
      <w:r w:rsidR="007B7FDF">
        <w:t>best promote</w:t>
      </w:r>
      <w:r w:rsidR="008465B8">
        <w:t>s</w:t>
      </w:r>
      <w:r w:rsidR="007B7FDF">
        <w:t xml:space="preserve"> the long</w:t>
      </w:r>
      <w:r w:rsidR="007B7FDF">
        <w:rPr>
          <w:rFonts w:ascii="Cambria Math" w:hAnsi="Cambria Math" w:cs="Cambria Math"/>
        </w:rPr>
        <w:t>‑</w:t>
      </w:r>
      <w:r w:rsidR="007B7FDF">
        <w:t>term public interest derived from use of the 3400</w:t>
      </w:r>
      <w:r w:rsidR="00CB2D7D">
        <w:t>–</w:t>
      </w:r>
      <w:r w:rsidR="007B7FDF">
        <w:t xml:space="preserve">3475 MHz band. </w:t>
      </w:r>
      <w:bookmarkStart w:id="110" w:name="_Hlk78463682"/>
      <w:bookmarkEnd w:id="109"/>
      <w:r w:rsidR="00691A8D">
        <w:t xml:space="preserve">Key </w:t>
      </w:r>
      <w:r w:rsidR="007B7FDF">
        <w:t>points that support this conclusion are</w:t>
      </w:r>
      <w:r w:rsidR="003F4F6D">
        <w:t>:</w:t>
      </w:r>
    </w:p>
    <w:p w14:paraId="71FC4D0E" w14:textId="00CF7841" w:rsidR="00691A8D" w:rsidRDefault="00691A8D" w:rsidP="00696EB4">
      <w:pPr>
        <w:pStyle w:val="Bulletlevel1"/>
      </w:pPr>
      <w:bookmarkStart w:id="111" w:name="_Hlk78889671"/>
      <w:r>
        <w:t xml:space="preserve">It </w:t>
      </w:r>
      <w:r w:rsidRPr="00691A8D">
        <w:t xml:space="preserve">provides the greatest flexibility for how operators can use urban excise areas – it allows for the deployment of </w:t>
      </w:r>
      <w:r>
        <w:t xml:space="preserve">both </w:t>
      </w:r>
      <w:r w:rsidRPr="00691A8D">
        <w:t xml:space="preserve">macro </w:t>
      </w:r>
      <w:r w:rsidR="006924C3">
        <w:t xml:space="preserve">(if/when technology allows it and/or in areas where it is otherwise possible using existing </w:t>
      </w:r>
      <w:r w:rsidR="00C10A8B">
        <w:t>technology</w:t>
      </w:r>
      <w:r w:rsidR="006924C3">
        <w:t xml:space="preserve">) </w:t>
      </w:r>
      <w:r w:rsidRPr="00691A8D">
        <w:t>and restricted cells</w:t>
      </w:r>
    </w:p>
    <w:p w14:paraId="1BD74706" w14:textId="1D3B4BE0" w:rsidR="002B1144" w:rsidRDefault="00691A8D" w:rsidP="00696EB4">
      <w:pPr>
        <w:pStyle w:val="Bulletlevel1"/>
      </w:pPr>
      <w:r>
        <w:t>It m</w:t>
      </w:r>
      <w:r w:rsidR="002B1144" w:rsidRPr="00F67B7A">
        <w:t>inimise</w:t>
      </w:r>
      <w:r>
        <w:t>s</w:t>
      </w:r>
      <w:r w:rsidR="002B1144" w:rsidRPr="00F67B7A">
        <w:t xml:space="preserve"> spectrum </w:t>
      </w:r>
      <w:r w:rsidR="00E01008">
        <w:t>incorporated into</w:t>
      </w:r>
      <w:r w:rsidR="002B1144" w:rsidRPr="00F67B7A">
        <w:t xml:space="preserve"> </w:t>
      </w:r>
      <w:r w:rsidR="0082251A">
        <w:t xml:space="preserve">restricted use </w:t>
      </w:r>
      <w:r w:rsidR="002B1144" w:rsidRPr="00F67B7A">
        <w:t>bands.</w:t>
      </w:r>
      <w:r>
        <w:t xml:space="preserve"> </w:t>
      </w:r>
    </w:p>
    <w:p w14:paraId="68EC5D49" w14:textId="519CEADE" w:rsidR="008465B8" w:rsidRPr="008465B8" w:rsidRDefault="008465B8" w:rsidP="00696EB4">
      <w:pPr>
        <w:pStyle w:val="Bulletlevel1"/>
      </w:pPr>
      <w:bookmarkStart w:id="112" w:name="_Hlk78464080"/>
      <w:r w:rsidRPr="008465B8">
        <w:t>It supports a greater density of deployments and spectrum utility in the</w:t>
      </w:r>
      <w:r w:rsidR="00277FBC">
        <w:t xml:space="preserve"> </w:t>
      </w:r>
      <w:r w:rsidR="00CB2D7D">
        <w:br/>
      </w:r>
      <w:r w:rsidR="00277FBC">
        <w:t>3460</w:t>
      </w:r>
      <w:r w:rsidR="00CB2D7D">
        <w:t>–</w:t>
      </w:r>
      <w:r w:rsidR="00277FBC">
        <w:t>3475 MHz frequency range</w:t>
      </w:r>
      <w:r w:rsidRPr="008465B8">
        <w:t xml:space="preserve">. It </w:t>
      </w:r>
      <w:r w:rsidR="003A5A45">
        <w:t>w</w:t>
      </w:r>
      <w:r w:rsidRPr="008465B8">
        <w:t>ould also allow an operator to combine this</w:t>
      </w:r>
      <w:r w:rsidR="00CB2D7D">
        <w:t> </w:t>
      </w:r>
      <w:r w:rsidRPr="008465B8">
        <w:t>spectrum with spectrum below 3460 MHz to deploy services with a larger contiguous bandwidth.</w:t>
      </w:r>
    </w:p>
    <w:bookmarkEnd w:id="112"/>
    <w:p w14:paraId="79AF2058" w14:textId="1AE88BC1" w:rsidR="00917778" w:rsidRPr="00E01008" w:rsidRDefault="00691A8D" w:rsidP="00696EB4">
      <w:pPr>
        <w:pStyle w:val="Bulletlevel1last"/>
      </w:pPr>
      <w:r>
        <w:t>In a given urban excise area, m</w:t>
      </w:r>
      <w:r w:rsidRPr="00691A8D">
        <w:t xml:space="preserve">ultiple operators could be supported </w:t>
      </w:r>
      <w:r>
        <w:t xml:space="preserve">by licensing </w:t>
      </w:r>
      <w:r w:rsidR="00803711">
        <w:t xml:space="preserve">them in </w:t>
      </w:r>
      <w:r w:rsidRPr="00691A8D">
        <w:t>different segments of the 3400</w:t>
      </w:r>
      <w:r w:rsidR="00CB2D7D">
        <w:t>–</w:t>
      </w:r>
      <w:r w:rsidRPr="00691A8D">
        <w:t>3475 MHz frequency range</w:t>
      </w:r>
      <w:r w:rsidR="000E55FF">
        <w:t xml:space="preserve">. </w:t>
      </w:r>
      <w:bookmarkEnd w:id="110"/>
      <w:bookmarkEnd w:id="111"/>
    </w:p>
    <w:p w14:paraId="2EE0F964" w14:textId="610AEBE1" w:rsidR="005F4DB6" w:rsidRDefault="005F4DB6" w:rsidP="005F4DB6">
      <w:pPr>
        <w:spacing w:before="240"/>
        <w:rPr>
          <w:rFonts w:cs="Arial"/>
          <w:bCs/>
        </w:rPr>
      </w:pPr>
      <w:r>
        <w:rPr>
          <w:rFonts w:cs="Arial"/>
          <w:bCs/>
        </w:rPr>
        <w:t xml:space="preserve">It is recognised that adopting </w:t>
      </w:r>
      <w:r w:rsidR="000836FE">
        <w:rPr>
          <w:rFonts w:cs="Arial"/>
          <w:bCs/>
        </w:rPr>
        <w:t>Option 4</w:t>
      </w:r>
      <w:r>
        <w:rPr>
          <w:rFonts w:cs="Arial"/>
          <w:bCs/>
        </w:rPr>
        <w:t xml:space="preserve"> would result in less spectrum optimised for LA WBB uses/users in mid-band spectrum</w:t>
      </w:r>
      <w:r w:rsidR="007B1442">
        <w:rPr>
          <w:rFonts w:cs="Arial"/>
          <w:bCs/>
        </w:rPr>
        <w:t xml:space="preserve"> in urban excise areas</w:t>
      </w:r>
      <w:r w:rsidR="008E0191">
        <w:rPr>
          <w:rFonts w:cs="Arial"/>
          <w:bCs/>
        </w:rPr>
        <w:t>. This is</w:t>
      </w:r>
      <w:r>
        <w:rPr>
          <w:rFonts w:cs="Arial"/>
          <w:bCs/>
        </w:rPr>
        <w:t xml:space="preserve"> especially </w:t>
      </w:r>
      <w:r w:rsidR="008E0191">
        <w:rPr>
          <w:rFonts w:cs="Arial"/>
          <w:bCs/>
        </w:rPr>
        <w:t xml:space="preserve">the case </w:t>
      </w:r>
      <w:r>
        <w:rPr>
          <w:rFonts w:cs="Arial"/>
          <w:bCs/>
        </w:rPr>
        <w:t xml:space="preserve">in Adelaide, Perth and Sydney where incumbent satellite earth stations will affect access to the </w:t>
      </w:r>
      <w:r w:rsidR="008E0191">
        <w:rPr>
          <w:rFonts w:cs="Arial"/>
          <w:bCs/>
        </w:rPr>
        <w:t xml:space="preserve">only other mid-band LA WBB spectrum in the </w:t>
      </w:r>
      <w:r>
        <w:rPr>
          <w:rFonts w:cs="Arial"/>
          <w:bCs/>
        </w:rPr>
        <w:t>3800</w:t>
      </w:r>
      <w:r w:rsidR="00CB2D7D">
        <w:rPr>
          <w:rFonts w:cs="Arial"/>
          <w:bCs/>
        </w:rPr>
        <w:t>–</w:t>
      </w:r>
      <w:r>
        <w:rPr>
          <w:rFonts w:cs="Arial"/>
          <w:bCs/>
        </w:rPr>
        <w:t>4000 MHz band</w:t>
      </w:r>
      <w:r w:rsidR="000836FE">
        <w:rPr>
          <w:rFonts w:cs="Arial"/>
          <w:bCs/>
        </w:rPr>
        <w:t xml:space="preserve"> </w:t>
      </w:r>
      <w:r w:rsidR="008E0191">
        <w:rPr>
          <w:rFonts w:cs="Arial"/>
          <w:bCs/>
        </w:rPr>
        <w:t>(the ACMA is in the process of developing arrangements for access to this spectrum)</w:t>
      </w:r>
      <w:r>
        <w:rPr>
          <w:rFonts w:cs="Arial"/>
          <w:bCs/>
        </w:rPr>
        <w:t xml:space="preserve">. </w:t>
      </w:r>
    </w:p>
    <w:p w14:paraId="6CBA2679" w14:textId="6BA17F50" w:rsidR="005F4DB6" w:rsidRDefault="005F4DB6" w:rsidP="00F67B7A">
      <w:pPr>
        <w:spacing w:before="240"/>
        <w:rPr>
          <w:rFonts w:cs="Arial"/>
          <w:bCs/>
        </w:rPr>
      </w:pPr>
      <w:r w:rsidRPr="00540234">
        <w:rPr>
          <w:rFonts w:cs="Arial"/>
          <w:bCs/>
        </w:rPr>
        <w:t xml:space="preserve">However, taking a holistic view considering other spectrum available for LA WBB, </w:t>
      </w:r>
      <w:r w:rsidR="008E0191">
        <w:rPr>
          <w:rFonts w:cs="Arial"/>
          <w:bCs/>
        </w:rPr>
        <w:t xml:space="preserve">ACMA is </w:t>
      </w:r>
      <w:r w:rsidRPr="00540234">
        <w:rPr>
          <w:rFonts w:cs="Arial"/>
          <w:bCs/>
        </w:rPr>
        <w:t xml:space="preserve">of the view that, on balance, the increase in technical utility provided by Option 4 outweighs the benefits offered to </w:t>
      </w:r>
      <w:r w:rsidR="000836FE">
        <w:rPr>
          <w:rFonts w:cs="Arial"/>
          <w:bCs/>
        </w:rPr>
        <w:t xml:space="preserve">potential </w:t>
      </w:r>
      <w:r w:rsidRPr="00540234">
        <w:rPr>
          <w:rFonts w:cs="Arial"/>
          <w:bCs/>
        </w:rPr>
        <w:t>LA WBB uses provided by Option</w:t>
      </w:r>
      <w:r w:rsidR="00CB2D7D">
        <w:rPr>
          <w:rFonts w:cs="Arial"/>
          <w:bCs/>
        </w:rPr>
        <w:t> </w:t>
      </w:r>
      <w:r w:rsidRPr="00540234">
        <w:rPr>
          <w:rFonts w:cs="Arial"/>
          <w:bCs/>
        </w:rPr>
        <w:t xml:space="preserve">3. </w:t>
      </w:r>
      <w:r w:rsidR="008E0191">
        <w:rPr>
          <w:rFonts w:cs="Arial"/>
          <w:bCs/>
        </w:rPr>
        <w:t>It is noted that t</w:t>
      </w:r>
      <w:r w:rsidRPr="00540234">
        <w:rPr>
          <w:rFonts w:cs="Arial"/>
          <w:bCs/>
        </w:rPr>
        <w:t xml:space="preserve">he reduced mid band LA WBB opportunities in Sydney, Perth and Adelaide </w:t>
      </w:r>
      <w:r w:rsidR="007B1442">
        <w:rPr>
          <w:rFonts w:cs="Arial"/>
          <w:bCs/>
        </w:rPr>
        <w:t>would be</w:t>
      </w:r>
      <w:r w:rsidRPr="00540234">
        <w:rPr>
          <w:rFonts w:cs="Arial"/>
          <w:bCs/>
        </w:rPr>
        <w:t xml:space="preserve"> partly offset by opportunities in </w:t>
      </w:r>
      <w:r w:rsidR="008E0191">
        <w:rPr>
          <w:rFonts w:cs="Arial"/>
          <w:bCs/>
        </w:rPr>
        <w:t xml:space="preserve">the </w:t>
      </w:r>
      <w:r w:rsidRPr="00540234">
        <w:rPr>
          <w:rFonts w:cs="Arial"/>
          <w:bCs/>
        </w:rPr>
        <w:t>26/28 GHz</w:t>
      </w:r>
      <w:r w:rsidR="008E0191">
        <w:rPr>
          <w:rFonts w:cs="Arial"/>
          <w:bCs/>
        </w:rPr>
        <w:t xml:space="preserve"> band</w:t>
      </w:r>
      <w:r w:rsidRPr="00540234">
        <w:rPr>
          <w:rFonts w:cs="Arial"/>
          <w:bCs/>
        </w:rPr>
        <w:t xml:space="preserve">. </w:t>
      </w:r>
    </w:p>
    <w:p w14:paraId="71447535" w14:textId="7E211F8D" w:rsidR="003977A4" w:rsidRDefault="00C443E2" w:rsidP="00696EB4">
      <w:pPr>
        <w:keepNext/>
        <w:keepLines/>
        <w:spacing w:before="240"/>
      </w:pPr>
      <w:r>
        <w:rPr>
          <w:rFonts w:cs="Arial"/>
          <w:bCs/>
        </w:rPr>
        <w:t xml:space="preserve">Possible interference management criteria that could be implemented under this option is detailed in </w:t>
      </w:r>
      <w:hyperlink w:anchor="_Appendix_E:_Possible" w:history="1">
        <w:r w:rsidRPr="00696EB4">
          <w:rPr>
            <w:rStyle w:val="Hyperlink"/>
            <w:bCs/>
          </w:rPr>
          <w:t>Appendix E</w:t>
        </w:r>
      </w:hyperlink>
      <w:r>
        <w:rPr>
          <w:rFonts w:cs="Arial"/>
          <w:bCs/>
        </w:rPr>
        <w:t xml:space="preserve">. </w:t>
      </w:r>
      <w:r>
        <w:t xml:space="preserve">The final detail of what these measures will look like will be addressed in future consultation processes once a decision has been made on which option to adopt.  </w:t>
      </w:r>
    </w:p>
    <w:p w14:paraId="06052AE7" w14:textId="20D23BD6" w:rsidR="003977A4" w:rsidRDefault="003977A4" w:rsidP="003977A4">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pPr>
      <w:r>
        <w:t xml:space="preserve">Question </w:t>
      </w:r>
      <w:r w:rsidR="00C50064">
        <w:t>7</w:t>
      </w:r>
    </w:p>
    <w:p w14:paraId="3EE28D0C" w14:textId="4EF46110" w:rsidR="00CB2D7D" w:rsidRDefault="003977A4" w:rsidP="006B6A28">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pPr>
      <w:r w:rsidRPr="00346287">
        <w:t xml:space="preserve">Comment is sought on the </w:t>
      </w:r>
      <w:r>
        <w:t xml:space="preserve">ACMA’s preliminary preferred option. Are other options </w:t>
      </w:r>
      <w:r w:rsidR="00D94318">
        <w:t>preferred</w:t>
      </w:r>
      <w:r>
        <w:t>,</w:t>
      </w:r>
      <w:r w:rsidR="00FD6E44">
        <w:t xml:space="preserve"> and</w:t>
      </w:r>
      <w:r>
        <w:t xml:space="preserve"> if so, why?</w:t>
      </w:r>
      <w:r w:rsidR="00CB2D7D">
        <w:br/>
      </w:r>
    </w:p>
    <w:p w14:paraId="55714DFA" w14:textId="77777777" w:rsidR="006C1631" w:rsidRDefault="006C1631" w:rsidP="006C1631">
      <w:pPr>
        <w:pStyle w:val="Heading1"/>
      </w:pPr>
      <w:bookmarkStart w:id="113" w:name="_Toc80795882"/>
      <w:r>
        <w:t>Invitation to comment</w:t>
      </w:r>
      <w:bookmarkEnd w:id="113"/>
    </w:p>
    <w:p w14:paraId="76C9654E" w14:textId="77777777" w:rsidR="006C1631" w:rsidRDefault="006C1631" w:rsidP="006C1631">
      <w:pPr>
        <w:pStyle w:val="Heading2"/>
      </w:pPr>
      <w:bookmarkStart w:id="114" w:name="_Toc433122131"/>
      <w:bookmarkStart w:id="115" w:name="_Toc348105637"/>
      <w:bookmarkStart w:id="116" w:name="_Toc300909556"/>
      <w:bookmarkStart w:id="117" w:name="_Toc298924673"/>
      <w:bookmarkStart w:id="118" w:name="_Toc80795883"/>
      <w:bookmarkStart w:id="119" w:name="_Toc348105638"/>
      <w:bookmarkStart w:id="120" w:name="_Toc300909557"/>
      <w:bookmarkStart w:id="121" w:name="_Toc298924674"/>
      <w:bookmarkStart w:id="122" w:name="_Toc274296357"/>
      <w:r>
        <w:t>Making a submission</w:t>
      </w:r>
      <w:bookmarkEnd w:id="114"/>
      <w:bookmarkEnd w:id="115"/>
      <w:bookmarkEnd w:id="116"/>
      <w:bookmarkEnd w:id="117"/>
      <w:bookmarkEnd w:id="118"/>
    </w:p>
    <w:p w14:paraId="27405A59" w14:textId="77777777" w:rsidR="006C1631" w:rsidRDefault="006C5FD4" w:rsidP="006C1631">
      <w:r>
        <w:t>We</w:t>
      </w:r>
      <w:r w:rsidR="006C1631">
        <w:t xml:space="preserve"> invite comments on the issues set out in this discussion paper. </w:t>
      </w:r>
    </w:p>
    <w:p w14:paraId="6AD6C94B" w14:textId="77777777" w:rsidR="0070133D" w:rsidRDefault="00E97D51" w:rsidP="0070133D">
      <w:pPr>
        <w:pStyle w:val="Bulletlevel1"/>
      </w:pPr>
      <w:hyperlink r:id="rId72" w:history="1">
        <w:r w:rsidR="0070133D">
          <w:rPr>
            <w:rStyle w:val="Hyperlink"/>
          </w:rPr>
          <w:t>Online submissions</w:t>
        </w:r>
      </w:hyperlink>
      <w:r w:rsidR="0070133D">
        <w:t xml:space="preserve"> can be made by </w:t>
      </w:r>
      <w:r w:rsidR="0070133D" w:rsidRPr="0070133D">
        <w:t>uploading</w:t>
      </w:r>
      <w:r w:rsidR="0070133D">
        <w:t xml:space="preserve"> a document. Submissions in</w:t>
      </w:r>
      <w:r w:rsidR="00396DC2">
        <w:t xml:space="preserve"> PDF, </w:t>
      </w:r>
      <w:r w:rsidR="0070133D">
        <w:t>Microsoft Word or Rich Text Format are preferred.</w:t>
      </w:r>
    </w:p>
    <w:p w14:paraId="6D567D1B" w14:textId="7C16B82B" w:rsidR="000E42DD" w:rsidRDefault="006C1631" w:rsidP="005B2F0D">
      <w:pPr>
        <w:pStyle w:val="Bulletlevel1"/>
      </w:pPr>
      <w:r>
        <w:t xml:space="preserve">Submissions by post can be sent to: </w:t>
      </w:r>
      <w:bookmarkStart w:id="123" w:name="_Toc348105639"/>
      <w:bookmarkStart w:id="124" w:name="_Toc300909558"/>
      <w:bookmarkStart w:id="125" w:name="_Hlk59627494"/>
      <w:bookmarkEnd w:id="119"/>
      <w:bookmarkEnd w:id="120"/>
    </w:p>
    <w:p w14:paraId="2031D0D3" w14:textId="77777777" w:rsidR="000E42DD" w:rsidRPr="00E6683C" w:rsidRDefault="000E42DD" w:rsidP="000E42DD">
      <w:pPr>
        <w:tabs>
          <w:tab w:val="num" w:pos="295"/>
        </w:tabs>
        <w:spacing w:after="0"/>
        <w:ind w:left="295"/>
        <w:rPr>
          <w:szCs w:val="20"/>
        </w:rPr>
      </w:pPr>
      <w:bookmarkStart w:id="126" w:name="_Hlk31718494"/>
      <w:r w:rsidRPr="00E6683C">
        <w:rPr>
          <w:szCs w:val="20"/>
        </w:rPr>
        <w:t>The Manager</w:t>
      </w:r>
    </w:p>
    <w:p w14:paraId="3224E2E1" w14:textId="77777777" w:rsidR="000E42DD" w:rsidRPr="00E6683C" w:rsidRDefault="000E42DD" w:rsidP="000E42DD">
      <w:pPr>
        <w:spacing w:after="0"/>
        <w:ind w:left="295"/>
        <w:rPr>
          <w:szCs w:val="20"/>
        </w:rPr>
      </w:pPr>
      <w:r w:rsidRPr="00E6683C">
        <w:rPr>
          <w:szCs w:val="20"/>
        </w:rPr>
        <w:t>Wireless Broadband Section</w:t>
      </w:r>
    </w:p>
    <w:p w14:paraId="4C209C5E" w14:textId="77777777" w:rsidR="000E42DD" w:rsidRPr="00E6683C" w:rsidRDefault="000E42DD" w:rsidP="000E42DD">
      <w:pPr>
        <w:spacing w:after="0"/>
        <w:ind w:left="295"/>
        <w:rPr>
          <w:szCs w:val="20"/>
        </w:rPr>
      </w:pPr>
      <w:r w:rsidRPr="00E6683C">
        <w:rPr>
          <w:szCs w:val="20"/>
        </w:rPr>
        <w:t>Australian Communications and Media Authority</w:t>
      </w:r>
    </w:p>
    <w:p w14:paraId="1A1B98B1" w14:textId="77777777" w:rsidR="000E42DD" w:rsidRPr="00E6683C" w:rsidRDefault="000E42DD" w:rsidP="000E42DD">
      <w:pPr>
        <w:spacing w:after="0"/>
        <w:ind w:left="295"/>
        <w:rPr>
          <w:szCs w:val="20"/>
        </w:rPr>
      </w:pPr>
      <w:r w:rsidRPr="00E6683C">
        <w:rPr>
          <w:szCs w:val="20"/>
        </w:rPr>
        <w:t>PO Box 78</w:t>
      </w:r>
    </w:p>
    <w:p w14:paraId="2FBD9046" w14:textId="77777777" w:rsidR="000E42DD" w:rsidRDefault="000E42DD" w:rsidP="000E42DD">
      <w:pPr>
        <w:ind w:left="295"/>
        <w:rPr>
          <w:szCs w:val="20"/>
        </w:rPr>
      </w:pPr>
      <w:r w:rsidRPr="00E6683C">
        <w:rPr>
          <w:szCs w:val="20"/>
        </w:rPr>
        <w:t>Belconnen ACT 2616</w:t>
      </w:r>
    </w:p>
    <w:bookmarkEnd w:id="126"/>
    <w:p w14:paraId="16549C55" w14:textId="7083BF6A" w:rsidR="000E42DD" w:rsidRPr="00E6683C" w:rsidRDefault="000E42DD" w:rsidP="000E42DD">
      <w:r>
        <w:t xml:space="preserve">The closing date for submissions is </w:t>
      </w:r>
      <w:r w:rsidRPr="00696EB4">
        <w:rPr>
          <w:b/>
          <w:bCs/>
        </w:rPr>
        <w:t xml:space="preserve">COB, </w:t>
      </w:r>
      <w:r w:rsidR="00756055" w:rsidRPr="00696EB4">
        <w:rPr>
          <w:b/>
          <w:bCs/>
        </w:rPr>
        <w:t>Thursday 30</w:t>
      </w:r>
      <w:r w:rsidRPr="00696EB4">
        <w:rPr>
          <w:b/>
          <w:bCs/>
        </w:rPr>
        <w:t xml:space="preserve"> September 2021</w:t>
      </w:r>
      <w:r w:rsidRPr="000E42DD">
        <w:t>.</w:t>
      </w:r>
    </w:p>
    <w:p w14:paraId="46FE269F" w14:textId="77777777" w:rsidR="000E42DD" w:rsidRDefault="000E42DD" w:rsidP="000E42DD">
      <w:pPr>
        <w:rPr>
          <w:szCs w:val="20"/>
        </w:rPr>
      </w:pPr>
      <w:r w:rsidRPr="00E6683C">
        <w:t xml:space="preserve">Consultation enquiries can be emailed </w:t>
      </w:r>
      <w:r w:rsidRPr="00E6683C">
        <w:rPr>
          <w:szCs w:val="20"/>
        </w:rPr>
        <w:t xml:space="preserve">to </w:t>
      </w:r>
      <w:hyperlink r:id="rId73" w:history="1">
        <w:r w:rsidRPr="00E6683C">
          <w:rPr>
            <w:rStyle w:val="Hyperlink"/>
            <w:szCs w:val="20"/>
          </w:rPr>
          <w:t>freqplan@acma.gov.au</w:t>
        </w:r>
      </w:hyperlink>
      <w:r w:rsidRPr="00E6683C">
        <w:rPr>
          <w:szCs w:val="20"/>
        </w:rPr>
        <w:t>.</w:t>
      </w:r>
    </w:p>
    <w:p w14:paraId="2E124356" w14:textId="2A0A5F6F" w:rsidR="006C1631" w:rsidRDefault="006C1631" w:rsidP="005B2F0D">
      <w:pPr>
        <w:pStyle w:val="Heading4"/>
      </w:pPr>
      <w:r>
        <w:t xml:space="preserve">Publication of </w:t>
      </w:r>
      <w:r w:rsidRPr="005B2F0D">
        <w:t>submissions</w:t>
      </w:r>
      <w:bookmarkEnd w:id="121"/>
      <w:bookmarkEnd w:id="122"/>
      <w:bookmarkEnd w:id="123"/>
      <w:bookmarkEnd w:id="124"/>
    </w:p>
    <w:p w14:paraId="0DAE15CF" w14:textId="77777777" w:rsidR="006C1631" w:rsidRDefault="006C5FD4" w:rsidP="006C1631">
      <w:bookmarkStart w:id="127" w:name="_Toc348105640"/>
      <w:bookmarkStart w:id="128" w:name="_Toc300909559"/>
      <w:bookmarkStart w:id="129" w:name="_Toc265246234"/>
      <w:r>
        <w:t>We</w:t>
      </w:r>
      <w:r w:rsidR="006C1631">
        <w:t xml:space="preserve"> publish submissions on our website</w:t>
      </w:r>
      <w:r w:rsidR="006C1631">
        <w:rPr>
          <w:rFonts w:cs="Arial"/>
        </w:rPr>
        <w:t>, including personal information (such as names and contact details)</w:t>
      </w:r>
      <w:r w:rsidR="006C1631">
        <w:t xml:space="preserve">, except for information that you have claimed (and we have accepted) is confidential. </w:t>
      </w:r>
    </w:p>
    <w:p w14:paraId="6A875853" w14:textId="77777777" w:rsidR="006C1631" w:rsidRDefault="006C1631" w:rsidP="006C1631">
      <w:r>
        <w:t>Confidential information will not be published or otherwise released unless required or authorised by law.</w:t>
      </w:r>
    </w:p>
    <w:p w14:paraId="655455D8" w14:textId="77777777" w:rsidR="006C1631" w:rsidRDefault="006C1631" w:rsidP="005B2F0D">
      <w:pPr>
        <w:pStyle w:val="Heading4"/>
      </w:pPr>
      <w:r>
        <w:t>Privacy</w:t>
      </w:r>
    </w:p>
    <w:p w14:paraId="6F6E3CAC" w14:textId="77777777" w:rsidR="006C1631" w:rsidRDefault="00E21056" w:rsidP="005B2F0D">
      <w:pPr>
        <w:pStyle w:val="Paragraph"/>
      </w:pPr>
      <w:r>
        <w:t>View</w:t>
      </w:r>
      <w:r w:rsidR="006C1631">
        <w:t xml:space="preserve"> information about </w:t>
      </w:r>
      <w:r>
        <w:t xml:space="preserve">our policy on the </w:t>
      </w:r>
      <w:hyperlink r:id="rId74" w:history="1">
        <w:r>
          <w:rPr>
            <w:rStyle w:val="Hyperlink"/>
          </w:rPr>
          <w:t>p</w:t>
        </w:r>
        <w:r w:rsidRPr="00E21056">
          <w:rPr>
            <w:rStyle w:val="Hyperlink"/>
          </w:rPr>
          <w:t>ublication of submissions</w:t>
        </w:r>
      </w:hyperlink>
      <w:r>
        <w:t xml:space="preserve">, including </w:t>
      </w:r>
      <w:r w:rsidR="006C1631">
        <w:t>collection of personal information during consultation and how we handle that information</w:t>
      </w:r>
      <w:r>
        <w:t>.</w:t>
      </w:r>
    </w:p>
    <w:bookmarkEnd w:id="127"/>
    <w:bookmarkEnd w:id="128"/>
    <w:bookmarkEnd w:id="129"/>
    <w:p w14:paraId="731A8054" w14:textId="77777777" w:rsidR="00A4193E" w:rsidRPr="0041233F" w:rsidRDefault="006C1631" w:rsidP="005B2F0D">
      <w:pPr>
        <w:pStyle w:val="Paragraph"/>
      </w:pPr>
      <w:r>
        <w:t xml:space="preserve">Information on the </w:t>
      </w:r>
      <w:r>
        <w:rPr>
          <w:i/>
        </w:rPr>
        <w:t>Privacy Act 1988</w:t>
      </w:r>
      <w:r w:rsidR="006A4CCA">
        <w:rPr>
          <w:i/>
        </w:rPr>
        <w:t xml:space="preserve">, </w:t>
      </w:r>
      <w:r>
        <w:t xml:space="preserve">how to access or correct personal information, how to make a privacy complaint and how we will deal with </w:t>
      </w:r>
      <w:r w:rsidR="006C5FD4">
        <w:t xml:space="preserve">any </w:t>
      </w:r>
      <w:r>
        <w:t>complaint</w:t>
      </w:r>
      <w:r w:rsidR="006C5FD4">
        <w:t>s</w:t>
      </w:r>
      <w:r w:rsidR="00BB6335">
        <w:t>,</w:t>
      </w:r>
      <w:r w:rsidR="00CF0BFE">
        <w:t xml:space="preserve"> </w:t>
      </w:r>
      <w:r>
        <w:t xml:space="preserve">is available </w:t>
      </w:r>
      <w:r w:rsidR="00E21056">
        <w:t xml:space="preserve">in our </w:t>
      </w:r>
      <w:hyperlink r:id="rId75" w:history="1">
        <w:r w:rsidR="00E21056" w:rsidRPr="00E21056">
          <w:rPr>
            <w:rStyle w:val="Hyperlink"/>
          </w:rPr>
          <w:t>privacy policy</w:t>
        </w:r>
      </w:hyperlink>
      <w:r>
        <w:t>.</w:t>
      </w:r>
      <w:r w:rsidR="00A4193E">
        <w:t xml:space="preserve"> </w:t>
      </w:r>
    </w:p>
    <w:p w14:paraId="5AB9FB71" w14:textId="4C88A3C1" w:rsidR="00240CE9" w:rsidRPr="00023A36" w:rsidRDefault="00FF3C69" w:rsidP="00FF3C69">
      <w:pPr>
        <w:pStyle w:val="Heading1"/>
      </w:pPr>
      <w:bookmarkStart w:id="130" w:name="_Appendix_A:_Urban"/>
      <w:bookmarkStart w:id="131" w:name="_Toc348105641"/>
      <w:bookmarkStart w:id="132" w:name="_Toc80795884"/>
      <w:bookmarkEnd w:id="125"/>
      <w:bookmarkEnd w:id="130"/>
      <w:r w:rsidRPr="006D46E5">
        <w:t>Appendix A</w:t>
      </w:r>
      <w:bookmarkEnd w:id="131"/>
      <w:r w:rsidR="00023A36">
        <w:t xml:space="preserve">: </w:t>
      </w:r>
      <w:r w:rsidR="00871249">
        <w:t>Urban excise areas</w:t>
      </w:r>
      <w:bookmarkEnd w:id="132"/>
    </w:p>
    <w:p w14:paraId="03B88DC3" w14:textId="77777777" w:rsidR="00871249" w:rsidRPr="009317CD" w:rsidRDefault="00871249" w:rsidP="00871249">
      <w:pPr>
        <w:spacing w:after="80" w:line="240" w:lineRule="auto"/>
        <w:rPr>
          <w:rFonts w:cs="Arial"/>
          <w:szCs w:val="20"/>
        </w:rPr>
      </w:pPr>
      <w:r w:rsidRPr="0034255C">
        <w:rPr>
          <w:rFonts w:cs="Arial"/>
          <w:szCs w:val="20"/>
        </w:rPr>
        <w:t xml:space="preserve">The </w:t>
      </w:r>
      <w:r w:rsidRPr="009317CD">
        <w:rPr>
          <w:rFonts w:cs="Arial"/>
          <w:szCs w:val="20"/>
        </w:rPr>
        <w:t>geographical areas covered by urban excise areas are:</w:t>
      </w:r>
    </w:p>
    <w:p w14:paraId="5A231D5F" w14:textId="76147EC5" w:rsidR="00871249" w:rsidRPr="009317CD" w:rsidRDefault="00871249" w:rsidP="00871249">
      <w:pPr>
        <w:pStyle w:val="ListParagraph"/>
        <w:numPr>
          <w:ilvl w:val="0"/>
          <w:numId w:val="19"/>
        </w:numPr>
        <w:spacing w:after="0" w:line="240" w:lineRule="auto"/>
        <w:rPr>
          <w:rFonts w:ascii="Arial" w:eastAsia="Times New Roman" w:hAnsi="Arial" w:cs="Arial"/>
          <w:sz w:val="20"/>
          <w:szCs w:val="20"/>
          <w:lang w:eastAsia="en-AU"/>
        </w:rPr>
      </w:pPr>
      <w:r w:rsidRPr="009317CD">
        <w:rPr>
          <w:rFonts w:ascii="Arial" w:eastAsia="Times New Roman" w:hAnsi="Arial" w:cs="Arial"/>
          <w:sz w:val="20"/>
          <w:szCs w:val="20"/>
          <w:lang w:eastAsia="en-AU"/>
        </w:rPr>
        <w:t xml:space="preserve">Described in the Table </w:t>
      </w:r>
      <w:r w:rsidR="00346287" w:rsidRPr="009317CD">
        <w:rPr>
          <w:rFonts w:ascii="Arial" w:eastAsia="Times New Roman" w:hAnsi="Arial" w:cs="Arial"/>
          <w:sz w:val="20"/>
          <w:szCs w:val="20"/>
          <w:lang w:eastAsia="en-AU"/>
        </w:rPr>
        <w:t>9</w:t>
      </w:r>
      <w:r w:rsidR="00257184">
        <w:rPr>
          <w:rFonts w:ascii="Arial" w:eastAsia="Times New Roman" w:hAnsi="Arial" w:cs="Arial"/>
          <w:sz w:val="20"/>
          <w:szCs w:val="20"/>
          <w:lang w:eastAsia="en-AU"/>
        </w:rPr>
        <w:t>.</w:t>
      </w:r>
    </w:p>
    <w:p w14:paraId="102AB3CF" w14:textId="0B50409C" w:rsidR="00871249" w:rsidRPr="009317CD" w:rsidRDefault="00871249" w:rsidP="00871249">
      <w:pPr>
        <w:pStyle w:val="ListParagraph"/>
        <w:numPr>
          <w:ilvl w:val="0"/>
          <w:numId w:val="19"/>
        </w:numPr>
        <w:spacing w:after="0" w:line="240" w:lineRule="auto"/>
        <w:rPr>
          <w:rFonts w:ascii="Arial" w:eastAsia="Times New Roman" w:hAnsi="Arial" w:cs="Arial"/>
          <w:sz w:val="20"/>
          <w:szCs w:val="20"/>
          <w:lang w:eastAsia="en-AU"/>
        </w:rPr>
      </w:pPr>
      <w:r w:rsidRPr="009317CD">
        <w:rPr>
          <w:rFonts w:ascii="Arial" w:eastAsia="Times New Roman" w:hAnsi="Arial" w:cs="Arial"/>
          <w:sz w:val="20"/>
          <w:szCs w:val="20"/>
          <w:lang w:eastAsia="en-AU"/>
        </w:rPr>
        <w:t xml:space="preserve">Illustrated in Figure </w:t>
      </w:r>
      <w:r w:rsidR="000169AD" w:rsidRPr="009317CD">
        <w:rPr>
          <w:rFonts w:ascii="Arial" w:eastAsia="Times New Roman" w:hAnsi="Arial" w:cs="Arial"/>
          <w:sz w:val="20"/>
          <w:szCs w:val="20"/>
          <w:lang w:eastAsia="en-AU"/>
        </w:rPr>
        <w:t>5</w:t>
      </w:r>
      <w:r w:rsidR="00257184">
        <w:rPr>
          <w:rFonts w:ascii="Arial" w:eastAsia="Times New Roman" w:hAnsi="Arial" w:cs="Arial"/>
          <w:sz w:val="20"/>
          <w:szCs w:val="20"/>
          <w:lang w:eastAsia="en-AU"/>
        </w:rPr>
        <w:t>.</w:t>
      </w:r>
    </w:p>
    <w:p w14:paraId="5140CE0F" w14:textId="77777777" w:rsidR="00871249" w:rsidRDefault="00871249" w:rsidP="00871249">
      <w:pPr>
        <w:spacing w:after="0" w:line="240" w:lineRule="auto"/>
        <w:rPr>
          <w:rStyle w:val="Heading3Char"/>
        </w:rPr>
      </w:pPr>
    </w:p>
    <w:p w14:paraId="3E2E08B0" w14:textId="77777777" w:rsidR="00871249" w:rsidRDefault="00871249" w:rsidP="00871249">
      <w:pPr>
        <w:spacing w:after="0" w:line="240" w:lineRule="auto"/>
        <w:rPr>
          <w:rStyle w:val="Heading3Char"/>
        </w:rPr>
      </w:pPr>
    </w:p>
    <w:p w14:paraId="07102FB8" w14:textId="77777777" w:rsidR="00871249" w:rsidRDefault="00871249" w:rsidP="00871249">
      <w:pPr>
        <w:pStyle w:val="Tableheading"/>
        <w:keepLines/>
      </w:pPr>
      <w:r>
        <w:t>HCIS description of urban excise areas</w:t>
      </w:r>
    </w:p>
    <w:tbl>
      <w:tblPr>
        <w:tblStyle w:val="TableGrid"/>
        <w:tblW w:w="8370" w:type="dxa"/>
        <w:tblLayout w:type="fixed"/>
        <w:tblCellMar>
          <w:top w:w="85" w:type="dxa"/>
          <w:bottom w:w="85" w:type="dxa"/>
        </w:tblCellMar>
        <w:tblLook w:val="04A0" w:firstRow="1" w:lastRow="0" w:firstColumn="1" w:lastColumn="0" w:noHBand="0" w:noVBand="1"/>
        <w:tblCaption w:val="HCIS description of areas"/>
        <w:tblDescription w:val="Table containing a descirption of the different area re-farming options "/>
      </w:tblPr>
      <w:tblGrid>
        <w:gridCol w:w="1461"/>
        <w:gridCol w:w="6909"/>
      </w:tblGrid>
      <w:tr w:rsidR="00871249" w14:paraId="2458A234" w14:textId="77777777" w:rsidTr="00696EB4">
        <w:trPr>
          <w:cantSplit/>
          <w:tblHeader/>
        </w:trPr>
        <w:tc>
          <w:tcPr>
            <w:tcW w:w="1460"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130348EA" w14:textId="77777777" w:rsidR="00871249" w:rsidRDefault="00871249" w:rsidP="00AC67DA">
            <w:pPr>
              <w:pStyle w:val="TableHeading0"/>
              <w:rPr>
                <w:color w:val="FFFFFF" w:themeColor="background1"/>
              </w:rPr>
            </w:pPr>
            <w:r>
              <w:rPr>
                <w:color w:val="FFFFFF" w:themeColor="background1"/>
              </w:rPr>
              <w:t>Sub-area name</w:t>
            </w:r>
          </w:p>
        </w:tc>
        <w:tc>
          <w:tcPr>
            <w:tcW w:w="6905"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0010ECCA" w14:textId="77777777" w:rsidR="00871249" w:rsidRDefault="00871249" w:rsidP="00AC67DA">
            <w:pPr>
              <w:pStyle w:val="TableHeading0"/>
              <w:rPr>
                <w:color w:val="FFFFFF" w:themeColor="background1"/>
              </w:rPr>
            </w:pPr>
            <w:r>
              <w:rPr>
                <w:color w:val="FFFFFF" w:themeColor="background1"/>
              </w:rPr>
              <w:t>HCIS</w:t>
            </w:r>
          </w:p>
        </w:tc>
      </w:tr>
      <w:tr w:rsidR="00871249" w14:paraId="0759CA06" w14:textId="77777777" w:rsidTr="00696EB4">
        <w:trPr>
          <w:cantSplit/>
        </w:trPr>
        <w:tc>
          <w:tcPr>
            <w:tcW w:w="1460" w:type="dxa"/>
            <w:tcBorders>
              <w:top w:val="single" w:sz="4" w:space="0" w:color="auto"/>
              <w:left w:val="single" w:sz="4" w:space="0" w:color="auto"/>
              <w:bottom w:val="single" w:sz="4" w:space="0" w:color="auto"/>
              <w:right w:val="single" w:sz="4" w:space="0" w:color="auto"/>
            </w:tcBorders>
            <w:hideMark/>
          </w:tcPr>
          <w:p w14:paraId="77536DCB" w14:textId="77777777" w:rsidR="00871249" w:rsidRDefault="00871249" w:rsidP="00AC67DA">
            <w:pPr>
              <w:pStyle w:val="TableBody"/>
              <w:spacing w:line="240" w:lineRule="atLeast"/>
            </w:pPr>
            <w:r>
              <w:t>Adelaide</w:t>
            </w:r>
          </w:p>
        </w:tc>
        <w:tc>
          <w:tcPr>
            <w:tcW w:w="6905" w:type="dxa"/>
            <w:tcBorders>
              <w:top w:val="single" w:sz="4" w:space="0" w:color="auto"/>
              <w:left w:val="single" w:sz="4" w:space="0" w:color="auto"/>
              <w:bottom w:val="single" w:sz="4" w:space="0" w:color="auto"/>
              <w:right w:val="single" w:sz="4" w:space="0" w:color="auto"/>
            </w:tcBorders>
            <w:hideMark/>
          </w:tcPr>
          <w:p w14:paraId="56A80878" w14:textId="77777777" w:rsidR="00871249" w:rsidRDefault="00871249" w:rsidP="00AC67DA">
            <w:pPr>
              <w:pStyle w:val="TableBody"/>
              <w:spacing w:line="240" w:lineRule="atLeast"/>
            </w:pPr>
            <w:r>
              <w:t>IW3N, IW3O4, IW3O5, IW3O7, IW3O8, IW6B1, IW6B2, IW6B3, IW6B5, IW6B6</w:t>
            </w:r>
          </w:p>
        </w:tc>
      </w:tr>
      <w:tr w:rsidR="00871249" w14:paraId="177E48D6" w14:textId="77777777" w:rsidTr="00696EB4">
        <w:trPr>
          <w:cantSplit/>
        </w:trPr>
        <w:tc>
          <w:tcPr>
            <w:tcW w:w="146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AA80746" w14:textId="77777777" w:rsidR="00871249" w:rsidRDefault="00871249" w:rsidP="00AC67DA">
            <w:pPr>
              <w:pStyle w:val="TableBody"/>
              <w:spacing w:line="240" w:lineRule="atLeast"/>
            </w:pPr>
            <w:r>
              <w:t>Brisbane</w:t>
            </w:r>
          </w:p>
        </w:tc>
        <w:tc>
          <w:tcPr>
            <w:tcW w:w="690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B2BB9A8" w14:textId="77777777" w:rsidR="00871249" w:rsidRDefault="00871249" w:rsidP="00AC67DA">
            <w:pPr>
              <w:pStyle w:val="TableBody"/>
              <w:spacing w:line="240" w:lineRule="atLeast"/>
            </w:pPr>
            <w:r>
              <w:t>NT9B, NT9C, NT9D, NT9E, NT9F, NT9G, NT9H, NT9K, NT9L, NT8H3, NT8L2, NT8L3, NT8L5, NT8L6, NT8L8, NT8L9, NT9A6, NT9A7, NT9A8, NT9A9, NT9I1, NT9I2, NT9I3, NT9I4, NT9I5, NT9I6, NT9J1, NT9J2, NT9J3, NT9J4, NT9J5, NT9J6, NT9J9, NT9N5, NT9N6, NT9N8, NT9N9, NT9O4, NT9O7, NU3B2, NU3B3, NU3C1, NU3C4</w:t>
            </w:r>
          </w:p>
        </w:tc>
      </w:tr>
      <w:tr w:rsidR="00871249" w14:paraId="71C9D208" w14:textId="77777777" w:rsidTr="00696EB4">
        <w:trPr>
          <w:cantSplit/>
        </w:trPr>
        <w:tc>
          <w:tcPr>
            <w:tcW w:w="1460" w:type="dxa"/>
            <w:tcBorders>
              <w:top w:val="single" w:sz="4" w:space="0" w:color="auto"/>
              <w:left w:val="single" w:sz="4" w:space="0" w:color="auto"/>
              <w:bottom w:val="single" w:sz="4" w:space="0" w:color="auto"/>
              <w:right w:val="single" w:sz="4" w:space="0" w:color="auto"/>
            </w:tcBorders>
            <w:hideMark/>
          </w:tcPr>
          <w:p w14:paraId="62BCF54F" w14:textId="77777777" w:rsidR="00871249" w:rsidRDefault="00871249" w:rsidP="00AC67DA">
            <w:pPr>
              <w:pStyle w:val="TableBody"/>
              <w:spacing w:line="240" w:lineRule="atLeast"/>
            </w:pPr>
            <w:r>
              <w:t xml:space="preserve">Canberra </w:t>
            </w:r>
          </w:p>
        </w:tc>
        <w:tc>
          <w:tcPr>
            <w:tcW w:w="6905" w:type="dxa"/>
            <w:tcBorders>
              <w:top w:val="single" w:sz="4" w:space="0" w:color="auto"/>
              <w:left w:val="single" w:sz="4" w:space="0" w:color="auto"/>
              <w:bottom w:val="single" w:sz="4" w:space="0" w:color="auto"/>
              <w:right w:val="single" w:sz="4" w:space="0" w:color="auto"/>
            </w:tcBorders>
            <w:hideMark/>
          </w:tcPr>
          <w:p w14:paraId="061BC10D" w14:textId="77777777" w:rsidR="00871249" w:rsidRDefault="00871249" w:rsidP="00AC67DA">
            <w:pPr>
              <w:pStyle w:val="TableBody"/>
              <w:spacing w:line="240" w:lineRule="atLeast"/>
            </w:pPr>
            <w:r>
              <w:t>MW4D, MW4H, MW5A, MW5B, MW5E, MW5F, MW2M5, MW2M6, MW2M7, MW2M8, MW2M9, MW2N4, MW2N5, MW2N7, MW2N8, MW2N9, MW4L1, MW4L2, MW4L3, MW4L5, MW4L6, MW5I1, MW5I2, MW5I3, MW5I4, MW5I5, MW5I6, MW5J1, MW5J2, MW5J4, MW5J5</w:t>
            </w:r>
          </w:p>
        </w:tc>
      </w:tr>
      <w:tr w:rsidR="00871249" w14:paraId="03ACEBBF" w14:textId="77777777" w:rsidTr="00696EB4">
        <w:trPr>
          <w:cantSplit/>
          <w:trHeight w:val="283"/>
        </w:trPr>
        <w:tc>
          <w:tcPr>
            <w:tcW w:w="146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68B7397" w14:textId="77777777" w:rsidR="00871249" w:rsidRDefault="00871249" w:rsidP="00AC67DA">
            <w:pPr>
              <w:pStyle w:val="TableBody"/>
              <w:spacing w:line="240" w:lineRule="atLeast"/>
            </w:pPr>
            <w:r>
              <w:t>Melbourne</w:t>
            </w:r>
          </w:p>
        </w:tc>
        <w:tc>
          <w:tcPr>
            <w:tcW w:w="690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EDE5D45" w14:textId="77777777" w:rsidR="00871249" w:rsidRDefault="00871249" w:rsidP="00AC67DA">
            <w:pPr>
              <w:pStyle w:val="TableBody"/>
              <w:spacing w:line="240" w:lineRule="atLeast"/>
            </w:pPr>
            <w:r>
              <w:t>KX3P, KX3L6, KX3L7, KX3L8, KX3L9, KX6D1, KX6D2, KX6D3, KX6D5, KX6D6, LX1M, LX1I7, LX1N4, LX4A1, LX4A2, LX4A3, LX4A4, LX4A5, LX4B1</w:t>
            </w:r>
          </w:p>
        </w:tc>
      </w:tr>
      <w:tr w:rsidR="00871249" w14:paraId="76AC26CE" w14:textId="77777777" w:rsidTr="00696EB4">
        <w:trPr>
          <w:cantSplit/>
        </w:trPr>
        <w:tc>
          <w:tcPr>
            <w:tcW w:w="1460" w:type="dxa"/>
            <w:tcBorders>
              <w:top w:val="single" w:sz="4" w:space="0" w:color="auto"/>
              <w:left w:val="single" w:sz="4" w:space="0" w:color="auto"/>
              <w:bottom w:val="single" w:sz="4" w:space="0" w:color="auto"/>
              <w:right w:val="single" w:sz="4" w:space="0" w:color="auto"/>
            </w:tcBorders>
            <w:hideMark/>
          </w:tcPr>
          <w:p w14:paraId="1BDCC366" w14:textId="77777777" w:rsidR="00871249" w:rsidRDefault="00871249" w:rsidP="00AC67DA">
            <w:pPr>
              <w:pStyle w:val="TableBody"/>
              <w:spacing w:line="240" w:lineRule="atLeast"/>
            </w:pPr>
            <w:r>
              <w:t>Perth</w:t>
            </w:r>
          </w:p>
        </w:tc>
        <w:tc>
          <w:tcPr>
            <w:tcW w:w="6905" w:type="dxa"/>
            <w:tcBorders>
              <w:top w:val="single" w:sz="4" w:space="0" w:color="auto"/>
              <w:left w:val="single" w:sz="4" w:space="0" w:color="auto"/>
              <w:bottom w:val="single" w:sz="4" w:space="0" w:color="auto"/>
              <w:right w:val="single" w:sz="4" w:space="0" w:color="auto"/>
            </w:tcBorders>
            <w:hideMark/>
          </w:tcPr>
          <w:p w14:paraId="7F40DEB1" w14:textId="77777777" w:rsidR="00871249" w:rsidRDefault="00871249" w:rsidP="00AC67DA">
            <w:pPr>
              <w:pStyle w:val="TableBody"/>
              <w:spacing w:line="240" w:lineRule="atLeast"/>
            </w:pPr>
            <w:r>
              <w:t>BV1M, BV1N, BV1O, BV4A, BV4B, BV4C, BV1L5, BV1L8, BV1P1, BV1P2, BV1P4, BV1P5, BV1P7, BV1P8, BV4D1, BV4D2, BV4E1, BV4E2, BV4E3, BV4F1, BV4F2, BV4F3, BV4G1, BV4G2, BV1P9, BV4D3, BV4D4, BV4G3</w:t>
            </w:r>
          </w:p>
        </w:tc>
      </w:tr>
      <w:tr w:rsidR="00871249" w14:paraId="58435C78" w14:textId="77777777" w:rsidTr="00696EB4">
        <w:trPr>
          <w:cantSplit/>
        </w:trPr>
        <w:tc>
          <w:tcPr>
            <w:tcW w:w="146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559AC70" w14:textId="77777777" w:rsidR="00871249" w:rsidRDefault="00871249" w:rsidP="00AC67DA">
            <w:pPr>
              <w:pStyle w:val="TableBody"/>
              <w:spacing w:line="240" w:lineRule="atLeast"/>
            </w:pPr>
            <w:r>
              <w:t>Sydney</w:t>
            </w:r>
          </w:p>
        </w:tc>
        <w:tc>
          <w:tcPr>
            <w:tcW w:w="690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C392B6B" w14:textId="77777777" w:rsidR="00871249" w:rsidRDefault="00871249" w:rsidP="00AC67DA">
            <w:pPr>
              <w:pStyle w:val="TableBody"/>
              <w:spacing w:line="240" w:lineRule="atLeast"/>
            </w:pPr>
            <w:r>
              <w:t>NV7G, NV7H, NV7J, NV7K, NV7L, NV7M, NV7N, NV7O, NV7P, NW1A, NW1B, NW1C, NW1D, NW1E, NW1F, NW1G, NW1H, MV9P2, MV9P3, MV9P5, MV9P6, MV9P7, MV9P8, MV9P9, MW3D1, MW3D2, MW3D3, MW3D5, MW3D6, MW3D8, MW3D9, MW3H2, MW3H3, MW3H5, MW3H6, MW3H9, MW3L2, MW3L3, NV4O7, NV4O8, NV4O9, NV4P7, NV7F6, NV7F8, NV7F9, NV7I6, NV7I8, NV7I9, NW1I1, NW1I2, NW1I3, NW1J1, NW1J2, NW1J3, NW1K1, NW1K2, NW1K3, NW1L1, NW1L2, NW1L3</w:t>
            </w:r>
          </w:p>
        </w:tc>
      </w:tr>
    </w:tbl>
    <w:p w14:paraId="2B3F5511" w14:textId="39FE39EE" w:rsidR="00871249" w:rsidRDefault="00871249" w:rsidP="00871249">
      <w:pPr>
        <w:pStyle w:val="Tableorfigurenote"/>
        <w:spacing w:before="120"/>
      </w:pPr>
      <w:r>
        <w:t xml:space="preserve">The HCIS coordinates can be converted into a Placemark file (viewable in Google Earth) through a facility on the </w:t>
      </w:r>
      <w:hyperlink r:id="rId76" w:history="1">
        <w:r>
          <w:rPr>
            <w:rStyle w:val="Hyperlink"/>
          </w:rPr>
          <w:t>ACMA website</w:t>
        </w:r>
      </w:hyperlink>
      <w:r>
        <w:t>.</w:t>
      </w:r>
    </w:p>
    <w:p w14:paraId="37AF2F1D" w14:textId="77777777" w:rsidR="00871249" w:rsidRDefault="00871249" w:rsidP="00871249">
      <w:pPr>
        <w:spacing w:after="0" w:line="240" w:lineRule="auto"/>
      </w:pPr>
      <w:r>
        <w:br w:type="page"/>
      </w:r>
    </w:p>
    <w:p w14:paraId="56AF3F61" w14:textId="77777777" w:rsidR="00871249" w:rsidRDefault="00871249" w:rsidP="00696EB4">
      <w:pPr>
        <w:pStyle w:val="ACMAFigureHeader"/>
        <w:numPr>
          <w:ilvl w:val="0"/>
          <w:numId w:val="81"/>
        </w:numPr>
      </w:pPr>
      <w:r>
        <w:t xml:space="preserve">Illustration of urban excise areas (purple areas) </w:t>
      </w:r>
    </w:p>
    <w:p w14:paraId="1C1F4FE5" w14:textId="77777777" w:rsidR="00871249" w:rsidRDefault="00871249" w:rsidP="00871249">
      <w:pPr>
        <w:spacing w:after="60"/>
        <w:ind w:right="-1260"/>
      </w:pPr>
      <w:r>
        <w:rPr>
          <w:noProof/>
        </w:rPr>
        <w:drawing>
          <wp:inline distT="0" distB="0" distL="0" distR="0" wp14:anchorId="3412448E" wp14:editId="1DFABCC6">
            <wp:extent cx="2590800" cy="2695575"/>
            <wp:effectExtent l="0" t="0" r="0" b="9525"/>
            <wp:docPr id="8" name="Picture 8" descr="Illustration of Adelaid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Illustration of Adelaide urban excise areas (purple areas). "/>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590800" cy="2695575"/>
                    </a:xfrm>
                    <a:prstGeom prst="rect">
                      <a:avLst/>
                    </a:prstGeom>
                    <a:noFill/>
                    <a:ln>
                      <a:noFill/>
                    </a:ln>
                  </pic:spPr>
                </pic:pic>
              </a:graphicData>
            </a:graphic>
          </wp:inline>
        </w:drawing>
      </w:r>
      <w:r>
        <w:t xml:space="preserve"> </w:t>
      </w:r>
      <w:r>
        <w:rPr>
          <w:noProof/>
        </w:rPr>
        <w:drawing>
          <wp:inline distT="0" distB="0" distL="0" distR="0" wp14:anchorId="1FB2C244" wp14:editId="34719644">
            <wp:extent cx="2428875" cy="2695575"/>
            <wp:effectExtent l="0" t="0" r="9525" b="9525"/>
            <wp:docPr id="7" name="Picture 7" descr="Illustration of Brisbane/Gold Coast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llustration of Brisbane/Gold Coast urban excise areas (purple areas). "/>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428875" cy="2695575"/>
                    </a:xfrm>
                    <a:prstGeom prst="rect">
                      <a:avLst/>
                    </a:prstGeom>
                    <a:noFill/>
                    <a:ln>
                      <a:noFill/>
                    </a:ln>
                  </pic:spPr>
                </pic:pic>
              </a:graphicData>
            </a:graphic>
          </wp:inline>
        </w:drawing>
      </w:r>
    </w:p>
    <w:p w14:paraId="7848CDFE" w14:textId="77777777" w:rsidR="00871249" w:rsidRDefault="00871249" w:rsidP="00871249">
      <w:pPr>
        <w:spacing w:after="60"/>
        <w:ind w:right="-1260"/>
      </w:pPr>
      <w:r>
        <w:rPr>
          <w:noProof/>
        </w:rPr>
        <w:drawing>
          <wp:inline distT="0" distB="0" distL="0" distR="0" wp14:anchorId="762695F8" wp14:editId="59A5A994">
            <wp:extent cx="2590800" cy="2628900"/>
            <wp:effectExtent l="0" t="0" r="0" b="0"/>
            <wp:docPr id="6" name="Picture 6" descr="Illustration of Canberra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llustration of Canberra urban excise areas (purple areas). "/>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590800" cy="2628900"/>
                    </a:xfrm>
                    <a:prstGeom prst="rect">
                      <a:avLst/>
                    </a:prstGeom>
                    <a:noFill/>
                    <a:ln>
                      <a:noFill/>
                    </a:ln>
                  </pic:spPr>
                </pic:pic>
              </a:graphicData>
            </a:graphic>
          </wp:inline>
        </w:drawing>
      </w:r>
      <w:r>
        <w:t xml:space="preserve"> </w:t>
      </w:r>
      <w:r>
        <w:rPr>
          <w:noProof/>
        </w:rPr>
        <w:drawing>
          <wp:inline distT="0" distB="0" distL="0" distR="0" wp14:anchorId="5A550EDE" wp14:editId="5828A9BE">
            <wp:extent cx="2428875" cy="2619375"/>
            <wp:effectExtent l="0" t="0" r="9525" b="9525"/>
            <wp:docPr id="5" name="Picture 5" descr="Illustration of Melbourn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Illustration of Melbourne urban excise areas (purple areas). "/>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428875" cy="2619375"/>
                    </a:xfrm>
                    <a:prstGeom prst="rect">
                      <a:avLst/>
                    </a:prstGeom>
                    <a:noFill/>
                    <a:ln>
                      <a:noFill/>
                    </a:ln>
                  </pic:spPr>
                </pic:pic>
              </a:graphicData>
            </a:graphic>
          </wp:inline>
        </w:drawing>
      </w:r>
    </w:p>
    <w:p w14:paraId="33E28B03" w14:textId="5682B3DD" w:rsidR="00FF3C69" w:rsidRDefault="00871249" w:rsidP="00871249">
      <w:pPr>
        <w:spacing w:after="60"/>
        <w:ind w:right="-1260"/>
      </w:pPr>
      <w:r>
        <w:rPr>
          <w:noProof/>
        </w:rPr>
        <w:drawing>
          <wp:inline distT="0" distB="0" distL="0" distR="0" wp14:anchorId="01A86097" wp14:editId="32D76510">
            <wp:extent cx="2590800" cy="3019425"/>
            <wp:effectExtent l="0" t="0" r="0" b="9525"/>
            <wp:docPr id="3" name="Picture 3" descr="Illustration of Sydney/Newcastl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llustration of Sydney/Newcastle urban excise areas (purple areas). "/>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590800" cy="3019425"/>
                    </a:xfrm>
                    <a:prstGeom prst="rect">
                      <a:avLst/>
                    </a:prstGeom>
                    <a:noFill/>
                    <a:ln>
                      <a:noFill/>
                    </a:ln>
                  </pic:spPr>
                </pic:pic>
              </a:graphicData>
            </a:graphic>
          </wp:inline>
        </w:drawing>
      </w:r>
      <w:r>
        <w:rPr>
          <w:noProof/>
        </w:rPr>
        <w:t xml:space="preserve"> </w:t>
      </w:r>
      <w:r>
        <w:rPr>
          <w:noProof/>
        </w:rPr>
        <w:drawing>
          <wp:inline distT="0" distB="0" distL="0" distR="0" wp14:anchorId="6FC86614" wp14:editId="32F8811C">
            <wp:extent cx="2419350" cy="3028950"/>
            <wp:effectExtent l="0" t="0" r="0" b="0"/>
            <wp:docPr id="2" name="Picture 2" descr="Illustration of Perth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llustration of Perth urban excise areas (purple areas). "/>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19350" cy="3028950"/>
                    </a:xfrm>
                    <a:prstGeom prst="rect">
                      <a:avLst/>
                    </a:prstGeom>
                    <a:noFill/>
                    <a:ln>
                      <a:noFill/>
                    </a:ln>
                  </pic:spPr>
                </pic:pic>
              </a:graphicData>
            </a:graphic>
          </wp:inline>
        </w:drawing>
      </w:r>
      <w:r>
        <w:t xml:space="preserve"> </w:t>
      </w:r>
    </w:p>
    <w:p w14:paraId="188C5764" w14:textId="61CD1B5E" w:rsidR="00332829" w:rsidRPr="00702EA1" w:rsidRDefault="00332829">
      <w:pPr>
        <w:pStyle w:val="Heading1"/>
      </w:pPr>
      <w:bookmarkStart w:id="133" w:name="_Appendix_E:_Possible"/>
      <w:bookmarkStart w:id="134" w:name="_Toc80795885"/>
      <w:bookmarkEnd w:id="133"/>
      <w:r w:rsidRPr="00702EA1">
        <w:t xml:space="preserve">Appendix </w:t>
      </w:r>
      <w:r w:rsidR="007936AF">
        <w:t>E</w:t>
      </w:r>
      <w:r>
        <w:t>: Possible interference management criteria for urban excise areas</w:t>
      </w:r>
      <w:bookmarkEnd w:id="134"/>
    </w:p>
    <w:p w14:paraId="27F564A7" w14:textId="2F247CEC" w:rsidR="00144201" w:rsidRDefault="00144201" w:rsidP="00696EB4">
      <w:pPr>
        <w:spacing w:after="60"/>
      </w:pPr>
      <w:r>
        <w:t xml:space="preserve">This </w:t>
      </w:r>
      <w:r w:rsidR="00590BC7">
        <w:t>a</w:t>
      </w:r>
      <w:r>
        <w:t xml:space="preserve">ppendix summarises possible interference management criteria to and from urban excise areas. </w:t>
      </w:r>
      <w:r w:rsidR="00921B7E">
        <w:t xml:space="preserve">It is preliminary ACMA commentary on the issues informed by TLG discussions and is intended to assist those commenting on the options identified in this paper. </w:t>
      </w:r>
      <w:r w:rsidR="003B12C1">
        <w:t>A</w:t>
      </w:r>
      <w:r w:rsidR="00921B7E">
        <w:t>rrangements would be determined by the ACMA when final regulatory arrangements are developed and would be subject to further consultation.</w:t>
      </w:r>
    </w:p>
    <w:p w14:paraId="0C233137" w14:textId="77777777" w:rsidR="00144201" w:rsidRPr="007832E7" w:rsidRDefault="00144201">
      <w:pPr>
        <w:pStyle w:val="Heading2"/>
        <w:spacing w:before="360"/>
      </w:pPr>
      <w:bookmarkStart w:id="135" w:name="_Toc76376861"/>
      <w:bookmarkStart w:id="136" w:name="_Toc80795886"/>
      <w:r w:rsidRPr="007832E7">
        <w:t>Interference mechanisms</w:t>
      </w:r>
      <w:bookmarkEnd w:id="135"/>
      <w:bookmarkEnd w:id="136"/>
      <w:r w:rsidRPr="007832E7">
        <w:t xml:space="preserve"> </w:t>
      </w:r>
    </w:p>
    <w:p w14:paraId="3D23B697" w14:textId="77777777" w:rsidR="00144201" w:rsidRDefault="00144201" w:rsidP="00696EB4">
      <w:pPr>
        <w:pStyle w:val="Paragraphbeforelist"/>
      </w:pPr>
      <w:bookmarkStart w:id="137" w:name="_Hlk66805302"/>
      <w:r>
        <w:t>To manage interference to/from urban excise areas, the following interference mechanisms were identified for consideration:</w:t>
      </w:r>
    </w:p>
    <w:p w14:paraId="1E208DC2" w14:textId="0308AEF5" w:rsidR="00144201" w:rsidRPr="00B53EE3" w:rsidRDefault="00144201" w:rsidP="00696EB4">
      <w:pPr>
        <w:pStyle w:val="Bulletlevel1"/>
      </w:pPr>
      <w:r w:rsidRPr="00696EB4">
        <w:rPr>
          <w:b/>
          <w:bCs/>
        </w:rPr>
        <w:t xml:space="preserve">Base station (BS) to </w:t>
      </w:r>
      <w:r w:rsidR="00590BC7" w:rsidRPr="00696EB4">
        <w:rPr>
          <w:b/>
          <w:bCs/>
        </w:rPr>
        <w:t>b</w:t>
      </w:r>
      <w:r w:rsidRPr="00696EB4">
        <w:rPr>
          <w:b/>
          <w:bCs/>
        </w:rPr>
        <w:t>ase station (BS-BS):</w:t>
      </w:r>
      <w:r w:rsidRPr="00B53EE3">
        <w:t xml:space="preserve"> Interference between BS operating in adjacent area and frequency licences. </w:t>
      </w:r>
    </w:p>
    <w:p w14:paraId="61EB0937" w14:textId="77777777" w:rsidR="00144201" w:rsidRPr="00B53EE3" w:rsidRDefault="00144201" w:rsidP="00696EB4">
      <w:pPr>
        <w:pStyle w:val="Bulletlevel1"/>
      </w:pPr>
      <w:r w:rsidRPr="00696EB4">
        <w:rPr>
          <w:b/>
          <w:bCs/>
        </w:rPr>
        <w:t>BS to user terminals:</w:t>
      </w:r>
      <w:r w:rsidRPr="00B53EE3">
        <w:t xml:space="preserve"> Interference from a BS to a user terminal operating in operating in adjacent area or frequency licences. Two cases are defined:</w:t>
      </w:r>
    </w:p>
    <w:p w14:paraId="10CD7699" w14:textId="4CF2ADE8" w:rsidR="00144201" w:rsidRPr="00B53EE3" w:rsidRDefault="00144201" w:rsidP="00696EB4">
      <w:pPr>
        <w:pStyle w:val="Bulletlevel2"/>
      </w:pPr>
      <w:r w:rsidRPr="00696EB4">
        <w:rPr>
          <w:b/>
          <w:bCs/>
        </w:rPr>
        <w:t>BS to customer premise equipment (BS-CPE</w:t>
      </w:r>
      <w:bookmarkStart w:id="138" w:name="_Ref54958130"/>
      <w:r w:rsidR="00590BC7" w:rsidRPr="00696EB4">
        <w:rPr>
          <w:b/>
          <w:bCs/>
        </w:rPr>
        <w:t>):</w:t>
      </w:r>
      <w:r w:rsidRPr="00696EB4">
        <w:rPr>
          <w:rStyle w:val="FootnoteReference"/>
          <w:b/>
          <w:bCs/>
          <w:szCs w:val="20"/>
        </w:rPr>
        <w:footnoteReference w:id="16"/>
      </w:r>
      <w:bookmarkEnd w:id="138"/>
      <w:r w:rsidRPr="00B53EE3">
        <w:t xml:space="preserve"> Interference from a BS operating inside an urban excise area to a CPE operating under an </w:t>
      </w:r>
      <w:r w:rsidR="002532FC">
        <w:t>NBN Co</w:t>
      </w:r>
      <w:r w:rsidRPr="00B53EE3">
        <w:t xml:space="preserve"> licence. </w:t>
      </w:r>
    </w:p>
    <w:p w14:paraId="354B8979" w14:textId="77777777" w:rsidR="00144201" w:rsidRPr="00B53EE3" w:rsidRDefault="00144201" w:rsidP="00696EB4">
      <w:pPr>
        <w:pStyle w:val="Bulletlevel2"/>
      </w:pPr>
      <w:r w:rsidRPr="00696EB4">
        <w:rPr>
          <w:b/>
          <w:bCs/>
        </w:rPr>
        <w:t>BS to mobile station (BS-MS):</w:t>
      </w:r>
      <w:r w:rsidRPr="00B53EE3">
        <w:t xml:space="preserve"> Interference from a BS to an MS operating in an adjacent area or frequency licence.</w:t>
      </w:r>
      <w:bookmarkStart w:id="139" w:name="_Ref62208772"/>
      <w:r>
        <w:rPr>
          <w:rStyle w:val="FootnoteReference"/>
          <w:szCs w:val="20"/>
        </w:rPr>
        <w:footnoteReference w:id="17"/>
      </w:r>
      <w:bookmarkEnd w:id="139"/>
      <w:r w:rsidRPr="00B53EE3">
        <w:t xml:space="preserve"> </w:t>
      </w:r>
    </w:p>
    <w:p w14:paraId="2DE5C225" w14:textId="77777777" w:rsidR="00144201" w:rsidRPr="00B53EE3" w:rsidRDefault="00144201" w:rsidP="00696EB4">
      <w:pPr>
        <w:pStyle w:val="Bulletlevel1"/>
      </w:pPr>
      <w:r w:rsidRPr="00696EB4">
        <w:rPr>
          <w:b/>
          <w:bCs/>
        </w:rPr>
        <w:t>User terminals to BS:</w:t>
      </w:r>
      <w:r w:rsidRPr="00B53EE3">
        <w:t xml:space="preserve"> Interference from a user terminal to a BS operating in adjacent area and frequency licences. Two cases are defined:</w:t>
      </w:r>
    </w:p>
    <w:p w14:paraId="6255E174" w14:textId="0BA75159" w:rsidR="00144201" w:rsidRPr="00B53EE3" w:rsidRDefault="00144201" w:rsidP="00696EB4">
      <w:pPr>
        <w:pStyle w:val="Bulletlevel2"/>
      </w:pPr>
      <w:r w:rsidRPr="00696EB4">
        <w:rPr>
          <w:b/>
          <w:bCs/>
        </w:rPr>
        <w:t>CPE- BS</w:t>
      </w:r>
      <w:r w:rsidR="00590BC7" w:rsidRPr="00696EB4">
        <w:rPr>
          <w:b/>
          <w:bCs/>
        </w:rPr>
        <w:t>:</w:t>
      </w:r>
      <w:r w:rsidRPr="00696EB4">
        <w:rPr>
          <w:b/>
          <w:bCs/>
          <w:vertAlign w:val="superscript"/>
        </w:rPr>
        <w:fldChar w:fldCharType="begin"/>
      </w:r>
      <w:r w:rsidRPr="00696EB4">
        <w:rPr>
          <w:b/>
          <w:bCs/>
          <w:vertAlign w:val="superscript"/>
        </w:rPr>
        <w:instrText xml:space="preserve"> NOTEREF _Ref54958130 \h  \* MERGEFORMAT </w:instrText>
      </w:r>
      <w:r w:rsidRPr="00696EB4">
        <w:rPr>
          <w:b/>
          <w:bCs/>
          <w:vertAlign w:val="superscript"/>
        </w:rPr>
      </w:r>
      <w:r w:rsidRPr="00696EB4">
        <w:rPr>
          <w:b/>
          <w:bCs/>
          <w:vertAlign w:val="superscript"/>
        </w:rPr>
        <w:fldChar w:fldCharType="separate"/>
      </w:r>
      <w:r w:rsidRPr="00696EB4">
        <w:rPr>
          <w:b/>
          <w:bCs/>
          <w:vertAlign w:val="superscript"/>
        </w:rPr>
        <w:t>3</w:t>
      </w:r>
      <w:r w:rsidRPr="00696EB4">
        <w:rPr>
          <w:b/>
          <w:bCs/>
          <w:vertAlign w:val="superscript"/>
        </w:rPr>
        <w:fldChar w:fldCharType="end"/>
      </w:r>
      <w:r w:rsidRPr="00B53EE3">
        <w:t xml:space="preserve"> Interference from a CPE operating under an </w:t>
      </w:r>
      <w:r w:rsidR="002532FC">
        <w:t>NBN Co</w:t>
      </w:r>
      <w:r w:rsidRPr="00B53EE3">
        <w:t xml:space="preserve"> licence to a BS operating in an urban excise area. </w:t>
      </w:r>
    </w:p>
    <w:p w14:paraId="13B6FB15" w14:textId="77777777" w:rsidR="00144201" w:rsidRPr="00B53EE3" w:rsidRDefault="00144201" w:rsidP="00696EB4">
      <w:pPr>
        <w:pStyle w:val="Bulletlevel2"/>
      </w:pPr>
      <w:r w:rsidRPr="00696EB4">
        <w:rPr>
          <w:b/>
          <w:bCs/>
        </w:rPr>
        <w:t>MS-BS:</w:t>
      </w:r>
      <w:r w:rsidRPr="00B53EE3">
        <w:t xml:space="preserve"> Interference from an MS to a BS operating in an adjacent area or frequency licence.</w:t>
      </w:r>
      <w:r w:rsidRPr="00B53EE3">
        <w:rPr>
          <w:vertAlign w:val="superscript"/>
        </w:rPr>
        <w:fldChar w:fldCharType="begin"/>
      </w:r>
      <w:r w:rsidRPr="00B53EE3">
        <w:rPr>
          <w:vertAlign w:val="superscript"/>
        </w:rPr>
        <w:instrText xml:space="preserve"> NOTEREF _Ref62208772 \h </w:instrText>
      </w:r>
      <w:r>
        <w:rPr>
          <w:vertAlign w:val="superscript"/>
        </w:rPr>
        <w:instrText xml:space="preserve"> \* MERGEFORMAT </w:instrText>
      </w:r>
      <w:r w:rsidRPr="00B53EE3">
        <w:rPr>
          <w:vertAlign w:val="superscript"/>
        </w:rPr>
      </w:r>
      <w:r w:rsidRPr="00B53EE3">
        <w:rPr>
          <w:vertAlign w:val="superscript"/>
        </w:rPr>
        <w:fldChar w:fldCharType="separate"/>
      </w:r>
      <w:r>
        <w:rPr>
          <w:vertAlign w:val="superscript"/>
        </w:rPr>
        <w:t>4</w:t>
      </w:r>
      <w:r w:rsidRPr="00B53EE3">
        <w:rPr>
          <w:vertAlign w:val="superscript"/>
        </w:rPr>
        <w:fldChar w:fldCharType="end"/>
      </w:r>
    </w:p>
    <w:p w14:paraId="6DCB033B" w14:textId="4BC06398" w:rsidR="00144201" w:rsidRPr="00696EB4" w:rsidRDefault="00144201" w:rsidP="00696EB4">
      <w:pPr>
        <w:pStyle w:val="Bulletlevel1last"/>
        <w:rPr>
          <w:b/>
          <w:bCs/>
        </w:rPr>
      </w:pPr>
      <w:r w:rsidRPr="00696EB4">
        <w:rPr>
          <w:b/>
          <w:bCs/>
        </w:rPr>
        <w:t>User terminal to user terminal inference (CPE-MS</w:t>
      </w:r>
      <w:r w:rsidR="00C10A8B" w:rsidRPr="00696EB4">
        <w:rPr>
          <w:b/>
          <w:bCs/>
        </w:rPr>
        <w:t xml:space="preserve"> and MS-MS</w:t>
      </w:r>
      <w:r w:rsidRPr="00696EB4">
        <w:rPr>
          <w:b/>
          <w:bCs/>
        </w:rPr>
        <w:t>)</w:t>
      </w:r>
      <w:r w:rsidR="00590BC7" w:rsidRPr="00696EB4">
        <w:rPr>
          <w:b/>
          <w:bCs/>
        </w:rPr>
        <w:t>.</w:t>
      </w:r>
      <w:r w:rsidRPr="00696EB4">
        <w:rPr>
          <w:b/>
          <w:bCs/>
        </w:rPr>
        <w:t xml:space="preserve"> </w:t>
      </w:r>
    </w:p>
    <w:bookmarkEnd w:id="137"/>
    <w:p w14:paraId="2047EDE4" w14:textId="77777777" w:rsidR="00144201" w:rsidRDefault="00144201" w:rsidP="00696EB4">
      <w:pPr>
        <w:spacing w:after="60"/>
      </w:pPr>
      <w:r>
        <w:t>In addition to the mechanisms above, the TLG identified a preference to manage interference between adjacent channel 4G and 5G systems when they are using different frame structures.</w:t>
      </w:r>
    </w:p>
    <w:p w14:paraId="027DF642" w14:textId="77777777" w:rsidR="00144201" w:rsidRDefault="00144201" w:rsidP="00696EB4">
      <w:pPr>
        <w:pStyle w:val="Paragraphbeforelist"/>
      </w:pPr>
      <w:r>
        <w:t>Two possible deployment scenarios were considered for urban excise areas:</w:t>
      </w:r>
    </w:p>
    <w:p w14:paraId="355CFED2" w14:textId="5CA97D2C" w:rsidR="00144201" w:rsidRDefault="00144201" w:rsidP="00696EB4">
      <w:pPr>
        <w:pStyle w:val="Bulletlevel1"/>
      </w:pPr>
      <w:r w:rsidRPr="008171B1">
        <w:t xml:space="preserve">A macro-cell scenario </w:t>
      </w:r>
    </w:p>
    <w:p w14:paraId="41BE5B3F" w14:textId="1FDB67A2" w:rsidR="002532FC" w:rsidRDefault="002532FC" w:rsidP="00696EB4">
      <w:pPr>
        <w:pStyle w:val="Bulletlevel1last"/>
      </w:pPr>
      <w:r w:rsidRPr="008171B1">
        <w:t>A restricted cell scenario</w:t>
      </w:r>
      <w:r>
        <w:t xml:space="preserve">. Under this scenario restrictions would apply such as limits on outdoor antenna heights, </w:t>
      </w:r>
      <w:r w:rsidR="000952A0">
        <w:t xml:space="preserve">radiate power </w:t>
      </w:r>
      <w:r>
        <w:t>levels</w:t>
      </w:r>
      <w:r w:rsidR="00590BC7">
        <w:t>,</w:t>
      </w:r>
      <w:r>
        <w:t xml:space="preserve"> etc.</w:t>
      </w:r>
    </w:p>
    <w:p w14:paraId="77011F66" w14:textId="0D9A3450" w:rsidR="00144201" w:rsidRPr="00702EA1" w:rsidRDefault="002532FC" w:rsidP="00696EB4">
      <w:pPr>
        <w:pStyle w:val="Heading2"/>
        <w:keepLines/>
        <w:spacing w:before="0"/>
      </w:pPr>
      <w:bookmarkStart w:id="140" w:name="_Toc76376842"/>
      <w:bookmarkStart w:id="141" w:name="_Toc80795887"/>
      <w:r>
        <w:t xml:space="preserve">Option </w:t>
      </w:r>
      <w:r w:rsidR="00096C45">
        <w:t>1</w:t>
      </w:r>
      <w:r w:rsidR="00144201">
        <w:t xml:space="preserve"> interference management criteria</w:t>
      </w:r>
      <w:bookmarkEnd w:id="140"/>
      <w:bookmarkEnd w:id="141"/>
    </w:p>
    <w:p w14:paraId="011E7928" w14:textId="3090B4D2" w:rsidR="00144201" w:rsidRDefault="009D5F78" w:rsidP="00696EB4">
      <w:pPr>
        <w:pStyle w:val="CommentText"/>
        <w:keepNext/>
        <w:keepLines/>
        <w:tabs>
          <w:tab w:val="left" w:pos="426"/>
        </w:tabs>
        <w:spacing w:before="120"/>
        <w:rPr>
          <w:rFonts w:cs="Arial"/>
          <w:color w:val="000000" w:themeColor="text1"/>
        </w:rPr>
      </w:pPr>
      <w:r>
        <w:t xml:space="preserve">Option </w:t>
      </w:r>
      <w:r w:rsidR="00096C45">
        <w:t>1</w:t>
      </w:r>
      <w:r>
        <w:t xml:space="preserve"> is intended to support the deployment </w:t>
      </w:r>
      <w:r w:rsidRPr="009317CD">
        <w:t xml:space="preserve">of macro-cells. </w:t>
      </w:r>
      <w:r w:rsidRPr="009317CD">
        <w:rPr>
          <w:rFonts w:cs="Arial"/>
          <w:color w:val="000000" w:themeColor="text1"/>
        </w:rPr>
        <w:t xml:space="preserve">A summary of the measures </w:t>
      </w:r>
      <w:r w:rsidR="008B56E5" w:rsidRPr="009317CD">
        <w:rPr>
          <w:rFonts w:cs="Arial"/>
          <w:color w:val="000000" w:themeColor="text1"/>
        </w:rPr>
        <w:t>proposed for this scenario is</w:t>
      </w:r>
      <w:r w:rsidRPr="009317CD">
        <w:rPr>
          <w:rFonts w:cs="Arial"/>
          <w:color w:val="000000" w:themeColor="text1"/>
        </w:rPr>
        <w:t xml:space="preserve"> provided </w:t>
      </w:r>
      <w:r w:rsidR="00144201" w:rsidRPr="009317CD">
        <w:rPr>
          <w:rFonts w:cs="Arial"/>
          <w:color w:val="000000" w:themeColor="text1"/>
        </w:rPr>
        <w:t xml:space="preserve">in Table </w:t>
      </w:r>
      <w:r w:rsidR="002532FC" w:rsidRPr="009317CD">
        <w:rPr>
          <w:rFonts w:cs="Arial"/>
          <w:color w:val="000000" w:themeColor="text1"/>
        </w:rPr>
        <w:t>10</w:t>
      </w:r>
      <w:r w:rsidR="00144201" w:rsidRPr="009317CD">
        <w:rPr>
          <w:rFonts w:cs="Arial"/>
          <w:color w:val="000000" w:themeColor="text1"/>
        </w:rPr>
        <w:t xml:space="preserve">. </w:t>
      </w:r>
      <w:r w:rsidR="008B56E5" w:rsidRPr="009317CD">
        <w:rPr>
          <w:rFonts w:cs="Arial"/>
          <w:color w:val="000000" w:themeColor="text1"/>
        </w:rPr>
        <w:t xml:space="preserve">Most of these were discussed within the TLG. </w:t>
      </w:r>
      <w:r w:rsidR="00144201" w:rsidRPr="009317CD">
        <w:rPr>
          <w:rFonts w:cs="Arial"/>
          <w:color w:val="000000" w:themeColor="text1"/>
        </w:rPr>
        <w:t xml:space="preserve">In </w:t>
      </w:r>
      <w:r w:rsidR="008B56E5" w:rsidRPr="009317CD">
        <w:rPr>
          <w:rFonts w:cs="Arial"/>
          <w:color w:val="000000" w:themeColor="text1"/>
        </w:rPr>
        <w:t>addition,</w:t>
      </w:r>
      <w:r w:rsidR="00144201" w:rsidRPr="009317CD">
        <w:rPr>
          <w:rFonts w:cs="Arial"/>
          <w:color w:val="000000" w:themeColor="text1"/>
        </w:rPr>
        <w:t xml:space="preserve"> as a general rule, </w:t>
      </w:r>
      <w:r w:rsidR="002532FC" w:rsidRPr="009317CD">
        <w:rPr>
          <w:rFonts w:cs="Arial"/>
          <w:color w:val="000000" w:themeColor="text1"/>
        </w:rPr>
        <w:t>licensees</w:t>
      </w:r>
      <w:r w:rsidR="00144201">
        <w:rPr>
          <w:rFonts w:cs="Arial"/>
          <w:color w:val="000000" w:themeColor="text1"/>
        </w:rPr>
        <w:t xml:space="preserve"> </w:t>
      </w:r>
      <w:r w:rsidR="00D57ED7">
        <w:rPr>
          <w:rFonts w:cs="Arial"/>
          <w:color w:val="000000" w:themeColor="text1"/>
        </w:rPr>
        <w:t xml:space="preserve">would </w:t>
      </w:r>
      <w:r w:rsidR="002532FC">
        <w:rPr>
          <w:rFonts w:cs="Arial"/>
          <w:color w:val="000000" w:themeColor="text1"/>
        </w:rPr>
        <w:t xml:space="preserve">be free </w:t>
      </w:r>
      <w:r w:rsidR="00144201">
        <w:rPr>
          <w:rFonts w:cs="Arial"/>
          <w:color w:val="000000" w:themeColor="text1"/>
        </w:rPr>
        <w:t xml:space="preserve">to negotiate alternative arrangements </w:t>
      </w:r>
      <w:r w:rsidR="002532FC">
        <w:rPr>
          <w:rFonts w:cs="Arial"/>
          <w:color w:val="000000" w:themeColor="text1"/>
        </w:rPr>
        <w:t xml:space="preserve">with affected parties </w:t>
      </w:r>
      <w:r w:rsidR="00144201">
        <w:rPr>
          <w:rFonts w:cs="Arial"/>
          <w:color w:val="000000" w:themeColor="text1"/>
        </w:rPr>
        <w:t xml:space="preserve">on a case-by-case basis. </w:t>
      </w:r>
    </w:p>
    <w:p w14:paraId="21BA441F" w14:textId="24C0D5A8" w:rsidR="009846D4" w:rsidRDefault="009846D4" w:rsidP="00696EB4">
      <w:pPr>
        <w:pStyle w:val="Paragraph"/>
        <w:keepNext/>
        <w:keepLines/>
        <w:spacing w:before="240"/>
        <w:rPr>
          <w:color w:val="000000" w:themeColor="text1"/>
        </w:rPr>
      </w:pPr>
      <w:r>
        <w:rPr>
          <w:color w:val="000000" w:themeColor="text1"/>
        </w:rPr>
        <w:t>In general, the interference management criteria define geographical and frequency boundary conditions for service deployments under a licence. It is noted that t</w:t>
      </w:r>
      <w:r>
        <w:t xml:space="preserve">here was no agreement within the TLG on what criteria should be applied for some interference scenarios. Where this was the case </w:t>
      </w:r>
      <w:r w:rsidR="00134165">
        <w:t xml:space="preserve">2 </w:t>
      </w:r>
      <w:r>
        <w:t>possible options were identified.</w:t>
      </w:r>
      <w:r>
        <w:rPr>
          <w:color w:val="000000" w:themeColor="text1"/>
        </w:rPr>
        <w:t xml:space="preserve"> </w:t>
      </w:r>
      <w:bookmarkStart w:id="142" w:name="_Hlk78366350"/>
      <w:r>
        <w:rPr>
          <w:color w:val="000000" w:themeColor="text1"/>
        </w:rPr>
        <w:t xml:space="preserve">One of the key issues where there was no agreement, was whether to include </w:t>
      </w:r>
      <w:r w:rsidR="001E2AC3">
        <w:rPr>
          <w:color w:val="000000" w:themeColor="text1"/>
        </w:rPr>
        <w:t xml:space="preserve">specific </w:t>
      </w:r>
      <w:r w:rsidR="00F81E80">
        <w:rPr>
          <w:color w:val="000000" w:themeColor="text1"/>
        </w:rPr>
        <w:t>additional</w:t>
      </w:r>
      <w:r>
        <w:rPr>
          <w:color w:val="000000" w:themeColor="text1"/>
        </w:rPr>
        <w:t xml:space="preserve"> measures to protect NBN Co services from interference caused by ducting.</w:t>
      </w:r>
      <w:bookmarkEnd w:id="142"/>
      <w:r>
        <w:rPr>
          <w:color w:val="000000" w:themeColor="text1"/>
        </w:rPr>
        <w:t xml:space="preserve"> </w:t>
      </w:r>
    </w:p>
    <w:p w14:paraId="01D41D00" w14:textId="2A94BEA1" w:rsidR="009846D4" w:rsidRDefault="009846D4" w:rsidP="009846D4">
      <w:pPr>
        <w:pStyle w:val="Paragraph"/>
        <w:spacing w:before="240"/>
        <w:rPr>
          <w:color w:val="000000" w:themeColor="text1"/>
          <w:szCs w:val="20"/>
        </w:rPr>
      </w:pPr>
      <w:r>
        <w:rPr>
          <w:color w:val="000000" w:themeColor="text1"/>
        </w:rPr>
        <w:t xml:space="preserve">The existing </w:t>
      </w:r>
      <w:r w:rsidRPr="00B8248B">
        <w:rPr>
          <w:szCs w:val="20"/>
        </w:rPr>
        <w:t xml:space="preserve">synchronisation requirement </w:t>
      </w:r>
      <w:r>
        <w:rPr>
          <w:szCs w:val="20"/>
        </w:rPr>
        <w:t xml:space="preserve">for 3.4 GHz spectrum licences, </w:t>
      </w:r>
      <w:r w:rsidRPr="00B8248B">
        <w:rPr>
          <w:szCs w:val="20"/>
        </w:rPr>
        <w:t xml:space="preserve">as detailed in </w:t>
      </w:r>
      <w:hyperlink r:id="rId83" w:history="1">
        <w:r w:rsidRPr="00B8248B">
          <w:rPr>
            <w:rStyle w:val="Hyperlink"/>
            <w:szCs w:val="20"/>
          </w:rPr>
          <w:t>clause 11 of Licence Schedule 4 on all 3.4 GHz spectrum licences</w:t>
        </w:r>
      </w:hyperlink>
      <w:r>
        <w:rPr>
          <w:szCs w:val="20"/>
        </w:rPr>
        <w:t xml:space="preserve">, provides a degree of protection from cochannel base station to base station (BS-BS) interference. Specifically, the guard period associated with the </w:t>
      </w:r>
      <w:r w:rsidR="0098774C">
        <w:rPr>
          <w:szCs w:val="20"/>
        </w:rPr>
        <w:t>s</w:t>
      </w:r>
      <w:r w:rsidR="00530F8F">
        <w:rPr>
          <w:szCs w:val="20"/>
        </w:rPr>
        <w:t>ynchronisation requirement</w:t>
      </w:r>
      <w:r>
        <w:rPr>
          <w:szCs w:val="20"/>
        </w:rPr>
        <w:t xml:space="preserve"> provides </w:t>
      </w:r>
      <w:r w:rsidRPr="008E6028">
        <w:t>adequate co-channe</w:t>
      </w:r>
      <w:r>
        <w:t>l BS-BS</w:t>
      </w:r>
      <w:r w:rsidRPr="008E6028">
        <w:t xml:space="preserve"> protection out to about 64</w:t>
      </w:r>
      <w:r>
        <w:t xml:space="preserve"> </w:t>
      </w:r>
      <w:r w:rsidRPr="008E6028">
        <w:t>km.</w:t>
      </w:r>
      <w:r>
        <w:t xml:space="preserve"> </w:t>
      </w:r>
      <w:bookmarkStart w:id="143" w:name="_Hlk78366482"/>
      <w:r>
        <w:t>However, there</w:t>
      </w:r>
      <w:r w:rsidRPr="008E6028">
        <w:t xml:space="preserve"> are cases in the 3.4 GHz and </w:t>
      </w:r>
      <w:r>
        <w:t>other bands</w:t>
      </w:r>
      <w:r w:rsidRPr="008E6028">
        <w:t xml:space="preserve">, where cochannel interference can occur at separation distances </w:t>
      </w:r>
      <w:r>
        <w:t xml:space="preserve">far </w:t>
      </w:r>
      <w:r w:rsidRPr="008E6028">
        <w:t>beyond this due to anomalous propagation</w:t>
      </w:r>
      <w:r>
        <w:t xml:space="preserve"> conditions, this is referred to as ducting. This tends to occur between devices that are located above the local clutter, such as base stations.</w:t>
      </w:r>
      <w:r w:rsidRPr="00625503">
        <w:t xml:space="preserve"> </w:t>
      </w:r>
      <w:r w:rsidRPr="00F67FD9">
        <w:rPr>
          <w:color w:val="000000" w:themeColor="text1"/>
          <w:szCs w:val="20"/>
        </w:rPr>
        <w:t xml:space="preserve">It is currently experienced periodically by all licensees in bands </w:t>
      </w:r>
      <w:r>
        <w:rPr>
          <w:color w:val="000000" w:themeColor="text1"/>
          <w:szCs w:val="20"/>
        </w:rPr>
        <w:t xml:space="preserve">TDD </w:t>
      </w:r>
      <w:r w:rsidRPr="00F67FD9">
        <w:rPr>
          <w:color w:val="000000" w:themeColor="text1"/>
          <w:szCs w:val="20"/>
        </w:rPr>
        <w:t>technologies are deployed, this includes the 2.3 GHz and 3.4</w:t>
      </w:r>
      <w:r w:rsidR="00590BC7">
        <w:rPr>
          <w:color w:val="000000" w:themeColor="text1"/>
          <w:szCs w:val="20"/>
        </w:rPr>
        <w:t> </w:t>
      </w:r>
      <w:r w:rsidRPr="00F67FD9">
        <w:rPr>
          <w:color w:val="000000" w:themeColor="text1"/>
          <w:szCs w:val="20"/>
        </w:rPr>
        <w:t xml:space="preserve">GHz bands. </w:t>
      </w:r>
      <w:r>
        <w:rPr>
          <w:color w:val="000000" w:themeColor="text1"/>
          <w:szCs w:val="20"/>
        </w:rPr>
        <w:t xml:space="preserve">Interference due to ducting </w:t>
      </w:r>
      <w:r w:rsidRPr="00F67FD9">
        <w:rPr>
          <w:color w:val="000000" w:themeColor="text1"/>
          <w:szCs w:val="20"/>
        </w:rPr>
        <w:t xml:space="preserve">can be caused </w:t>
      </w:r>
      <w:r>
        <w:rPr>
          <w:color w:val="000000" w:themeColor="text1"/>
          <w:szCs w:val="20"/>
        </w:rPr>
        <w:t xml:space="preserve">from a licensees’ </w:t>
      </w:r>
      <w:r w:rsidRPr="00F67FD9">
        <w:rPr>
          <w:color w:val="000000" w:themeColor="text1"/>
          <w:szCs w:val="20"/>
        </w:rPr>
        <w:t xml:space="preserve">own </w:t>
      </w:r>
      <w:r>
        <w:rPr>
          <w:color w:val="000000" w:themeColor="text1"/>
          <w:szCs w:val="20"/>
        </w:rPr>
        <w:t xml:space="preserve">services </w:t>
      </w:r>
      <w:r w:rsidRPr="00F67FD9">
        <w:rPr>
          <w:color w:val="000000" w:themeColor="text1"/>
          <w:szCs w:val="20"/>
        </w:rPr>
        <w:t xml:space="preserve">or </w:t>
      </w:r>
      <w:r>
        <w:rPr>
          <w:color w:val="000000" w:themeColor="text1"/>
          <w:szCs w:val="20"/>
        </w:rPr>
        <w:t>from other</w:t>
      </w:r>
      <w:r w:rsidRPr="00F67FD9">
        <w:rPr>
          <w:color w:val="000000" w:themeColor="text1"/>
          <w:szCs w:val="20"/>
        </w:rPr>
        <w:t xml:space="preserve"> licensees’ services.</w:t>
      </w:r>
    </w:p>
    <w:p w14:paraId="41694445" w14:textId="45A5AD4B" w:rsidR="009846D4" w:rsidRPr="00747113" w:rsidRDefault="009846D4" w:rsidP="009846D4">
      <w:pPr>
        <w:spacing w:line="80" w:lineRule="atLeast"/>
        <w:rPr>
          <w:szCs w:val="20"/>
        </w:rPr>
      </w:pPr>
      <w:bookmarkStart w:id="144" w:name="_Hlk78366495"/>
      <w:bookmarkEnd w:id="143"/>
      <w:r>
        <w:rPr>
          <w:rFonts w:cs="Arial"/>
          <w:color w:val="000000" w:themeColor="text1"/>
          <w:szCs w:val="20"/>
        </w:rPr>
        <w:t>Existing t</w:t>
      </w:r>
      <w:r w:rsidRPr="00F67FD9">
        <w:rPr>
          <w:rFonts w:cs="Arial"/>
          <w:color w:val="000000" w:themeColor="text1"/>
          <w:szCs w:val="20"/>
        </w:rPr>
        <w:t xml:space="preserve">echnical frameworks do not define </w:t>
      </w:r>
      <w:r w:rsidR="001E2AC3">
        <w:rPr>
          <w:rFonts w:cs="Arial"/>
          <w:color w:val="000000" w:themeColor="text1"/>
          <w:szCs w:val="20"/>
        </w:rPr>
        <w:t xml:space="preserve">additional specific </w:t>
      </w:r>
      <w:r w:rsidRPr="00F67FD9">
        <w:rPr>
          <w:rFonts w:cs="Arial"/>
          <w:color w:val="000000" w:themeColor="text1"/>
          <w:szCs w:val="20"/>
        </w:rPr>
        <w:t xml:space="preserve">measures to </w:t>
      </w:r>
      <w:r>
        <w:rPr>
          <w:rFonts w:cs="Arial"/>
          <w:color w:val="000000" w:themeColor="text1"/>
          <w:szCs w:val="20"/>
        </w:rPr>
        <w:t>manage</w:t>
      </w:r>
      <w:r w:rsidRPr="00F67FD9">
        <w:rPr>
          <w:rFonts w:cs="Arial"/>
          <w:color w:val="000000" w:themeColor="text1"/>
          <w:szCs w:val="20"/>
        </w:rPr>
        <w:t xml:space="preserve"> </w:t>
      </w:r>
      <w:r>
        <w:rPr>
          <w:rFonts w:cs="Arial"/>
          <w:color w:val="000000" w:themeColor="text1"/>
          <w:szCs w:val="20"/>
        </w:rPr>
        <w:t xml:space="preserve">interference caused by </w:t>
      </w:r>
      <w:r w:rsidRPr="00F67FD9">
        <w:rPr>
          <w:rFonts w:cs="Arial"/>
          <w:color w:val="000000" w:themeColor="text1"/>
          <w:szCs w:val="20"/>
        </w:rPr>
        <w:t xml:space="preserve">ducting </w:t>
      </w:r>
      <w:r>
        <w:rPr>
          <w:rFonts w:cs="Arial"/>
          <w:color w:val="000000" w:themeColor="text1"/>
          <w:szCs w:val="20"/>
        </w:rPr>
        <w:t>between</w:t>
      </w:r>
      <w:r w:rsidRPr="00F67FD9">
        <w:rPr>
          <w:rFonts w:cs="Arial"/>
          <w:color w:val="000000" w:themeColor="text1"/>
          <w:szCs w:val="20"/>
        </w:rPr>
        <w:t xml:space="preserve"> wireless broadband </w:t>
      </w:r>
      <w:r>
        <w:rPr>
          <w:rFonts w:cs="Arial"/>
          <w:color w:val="000000" w:themeColor="text1"/>
          <w:szCs w:val="20"/>
        </w:rPr>
        <w:t>services.</w:t>
      </w:r>
      <w:r w:rsidRPr="00F67FD9">
        <w:rPr>
          <w:rFonts w:cs="Arial"/>
          <w:color w:val="000000" w:themeColor="text1"/>
          <w:szCs w:val="20"/>
        </w:rPr>
        <w:t xml:space="preserve"> Doing so would reduce utility of the spectrum due to the </w:t>
      </w:r>
      <w:r>
        <w:rPr>
          <w:rFonts w:cs="Arial"/>
          <w:color w:val="000000" w:themeColor="text1"/>
          <w:szCs w:val="20"/>
        </w:rPr>
        <w:t xml:space="preserve">large </w:t>
      </w:r>
      <w:r w:rsidRPr="00F67FD9">
        <w:rPr>
          <w:rFonts w:cs="Arial"/>
          <w:color w:val="000000" w:themeColor="text1"/>
          <w:szCs w:val="20"/>
        </w:rPr>
        <w:t>distances this type of interference can occur over.</w:t>
      </w:r>
      <w:r>
        <w:rPr>
          <w:rFonts w:cs="Arial"/>
          <w:color w:val="000000" w:themeColor="text1"/>
          <w:szCs w:val="20"/>
        </w:rPr>
        <w:t xml:space="preserve"> Consequently, licensees are required to take this into account when planning and deploying services. This can include negotiating solutions with other parties and </w:t>
      </w:r>
      <w:r w:rsidRPr="00144201">
        <w:rPr>
          <w:rFonts w:cs="Arial"/>
          <w:color w:val="000000" w:themeColor="text1"/>
          <w:szCs w:val="20"/>
        </w:rPr>
        <w:t>employing mitigation techniques w</w:t>
      </w:r>
      <w:r w:rsidRPr="002532FC">
        <w:rPr>
          <w:rFonts w:cs="Arial"/>
          <w:color w:val="000000" w:themeColor="text1"/>
          <w:szCs w:val="20"/>
        </w:rPr>
        <w:t>here possible (e.g.</w:t>
      </w:r>
      <w:r w:rsidR="00590BC7">
        <w:rPr>
          <w:rFonts w:cs="Arial"/>
          <w:color w:val="000000" w:themeColor="text1"/>
          <w:szCs w:val="20"/>
        </w:rPr>
        <w:t>,</w:t>
      </w:r>
      <w:r w:rsidRPr="002532FC">
        <w:rPr>
          <w:rFonts w:cs="Arial"/>
          <w:color w:val="000000" w:themeColor="text1"/>
          <w:szCs w:val="20"/>
        </w:rPr>
        <w:t xml:space="preserve"> lower antenna heights, </w:t>
      </w:r>
      <w:r w:rsidRPr="00405487">
        <w:rPr>
          <w:rFonts w:cs="Arial"/>
          <w:color w:val="000000" w:themeColor="text1"/>
          <w:szCs w:val="20"/>
        </w:rPr>
        <w:t xml:space="preserve">increased antenna </w:t>
      </w:r>
      <w:r w:rsidRPr="00742CBE">
        <w:rPr>
          <w:rFonts w:cs="Arial"/>
          <w:color w:val="000000" w:themeColor="text1"/>
          <w:szCs w:val="20"/>
        </w:rPr>
        <w:t>down tilts</w:t>
      </w:r>
      <w:r w:rsidR="00590BC7">
        <w:rPr>
          <w:rFonts w:cs="Arial"/>
          <w:color w:val="000000" w:themeColor="text1"/>
          <w:szCs w:val="20"/>
        </w:rPr>
        <w:t>,</w:t>
      </w:r>
      <w:r w:rsidRPr="00A7183C">
        <w:rPr>
          <w:rFonts w:cs="Arial"/>
          <w:color w:val="000000" w:themeColor="text1"/>
          <w:szCs w:val="20"/>
        </w:rPr>
        <w:t xml:space="preserve"> etc).</w:t>
      </w:r>
      <w:r w:rsidRPr="00724940">
        <w:rPr>
          <w:rFonts w:cs="Arial"/>
          <w:color w:val="000000" w:themeColor="text1"/>
          <w:szCs w:val="20"/>
        </w:rPr>
        <w:t xml:space="preserve"> </w:t>
      </w:r>
    </w:p>
    <w:p w14:paraId="7E6CD88B" w14:textId="07B1F8BB" w:rsidR="009846D4" w:rsidRDefault="009846D4" w:rsidP="009846D4">
      <w:pPr>
        <w:pStyle w:val="CommentText"/>
        <w:tabs>
          <w:tab w:val="left" w:pos="426"/>
        </w:tabs>
        <w:spacing w:before="120"/>
        <w:rPr>
          <w:rFonts w:cs="Arial"/>
          <w:color w:val="000000" w:themeColor="text1"/>
        </w:rPr>
      </w:pPr>
      <w:r w:rsidRPr="00F67B7A">
        <w:t xml:space="preserve">It is recognised that </w:t>
      </w:r>
      <w:r w:rsidRPr="00144201">
        <w:t xml:space="preserve">that </w:t>
      </w:r>
      <w:r w:rsidR="003B12C1">
        <w:t xml:space="preserve">use of spectrum in </w:t>
      </w:r>
      <w:r w:rsidRPr="00144201">
        <w:rPr>
          <w:rFonts w:cs="Arial"/>
          <w:color w:val="000000" w:themeColor="text1"/>
        </w:rPr>
        <w:t xml:space="preserve">urban excise </w:t>
      </w:r>
      <w:r w:rsidR="003B12C1">
        <w:rPr>
          <w:rFonts w:cs="Arial"/>
          <w:color w:val="000000" w:themeColor="text1"/>
        </w:rPr>
        <w:t xml:space="preserve">areas by other operators </w:t>
      </w:r>
      <w:r w:rsidRPr="00144201">
        <w:rPr>
          <w:rFonts w:cs="Arial"/>
          <w:color w:val="000000" w:themeColor="text1"/>
        </w:rPr>
        <w:t>represents a significant shift form the interference scenario</w:t>
      </w:r>
      <w:r>
        <w:rPr>
          <w:rFonts w:cs="Arial"/>
          <w:color w:val="000000" w:themeColor="text1"/>
        </w:rPr>
        <w:t xml:space="preserve"> NBN Co</w:t>
      </w:r>
      <w:r w:rsidRPr="00DB09DB">
        <w:rPr>
          <w:rFonts w:cs="Arial"/>
          <w:color w:val="000000" w:themeColor="text1"/>
        </w:rPr>
        <w:t xml:space="preserve"> </w:t>
      </w:r>
      <w:r>
        <w:rPr>
          <w:rFonts w:cs="Arial"/>
          <w:color w:val="000000" w:themeColor="text1"/>
        </w:rPr>
        <w:t xml:space="preserve">currently </w:t>
      </w:r>
      <w:r w:rsidRPr="00DB09DB">
        <w:rPr>
          <w:rFonts w:cs="Arial"/>
          <w:color w:val="000000" w:themeColor="text1"/>
        </w:rPr>
        <w:t>experience</w:t>
      </w:r>
      <w:r>
        <w:rPr>
          <w:rFonts w:cs="Arial"/>
          <w:color w:val="000000" w:themeColor="text1"/>
        </w:rPr>
        <w:t>s in the 3.4 GHz band</w:t>
      </w:r>
      <w:r w:rsidRPr="00DB09DB">
        <w:rPr>
          <w:rFonts w:cs="Arial"/>
          <w:color w:val="000000" w:themeColor="text1"/>
        </w:rPr>
        <w:t xml:space="preserve"> and would introduce a new source of interference. Specifically, </w:t>
      </w:r>
      <w:r>
        <w:rPr>
          <w:rFonts w:cs="Arial"/>
          <w:color w:val="000000" w:themeColor="text1"/>
        </w:rPr>
        <w:t xml:space="preserve">NBN Co </w:t>
      </w:r>
      <w:r w:rsidRPr="00DB09DB">
        <w:rPr>
          <w:rFonts w:cs="Arial"/>
          <w:color w:val="000000" w:themeColor="text1"/>
        </w:rPr>
        <w:t>would be moving from a situation where they have no co-channel neighbours in metro areas to one where they do.</w:t>
      </w:r>
      <w:r>
        <w:rPr>
          <w:rFonts w:cs="Arial"/>
          <w:color w:val="000000" w:themeColor="text1"/>
        </w:rPr>
        <w:t xml:space="preserve"> While NBN Co has implemented measures to manage this issue between their own services, these measures may not be</w:t>
      </w:r>
      <w:r w:rsidRPr="00DB09DB">
        <w:rPr>
          <w:rFonts w:cs="Arial"/>
          <w:color w:val="000000" w:themeColor="text1"/>
        </w:rPr>
        <w:t xml:space="preserve"> sufficient to protect against additional ducting interference from urban excise areas</w:t>
      </w:r>
      <w:r>
        <w:rPr>
          <w:rFonts w:cs="Arial"/>
          <w:color w:val="000000" w:themeColor="text1"/>
        </w:rPr>
        <w:t>.</w:t>
      </w:r>
      <w:r w:rsidRPr="00DB09DB">
        <w:rPr>
          <w:rFonts w:cs="Arial"/>
          <w:color w:val="000000" w:themeColor="text1"/>
        </w:rPr>
        <w:t xml:space="preserve"> </w:t>
      </w:r>
    </w:p>
    <w:p w14:paraId="30BC364C" w14:textId="0FC5C139" w:rsidR="009846D4" w:rsidRDefault="009846D4" w:rsidP="009846D4">
      <w:pPr>
        <w:pStyle w:val="CommentText"/>
        <w:tabs>
          <w:tab w:val="left" w:pos="426"/>
        </w:tabs>
        <w:spacing w:before="120"/>
        <w:rPr>
          <w:rFonts w:cs="Arial"/>
          <w:color w:val="000000" w:themeColor="text1"/>
        </w:rPr>
      </w:pPr>
      <w:bookmarkStart w:id="145" w:name="_Hlk78366453"/>
      <w:bookmarkEnd w:id="144"/>
      <w:r>
        <w:rPr>
          <w:rFonts w:cs="Arial"/>
          <w:color w:val="000000" w:themeColor="text1"/>
        </w:rPr>
        <w:t xml:space="preserve">During the TLG NBN Co indicated that the effects of ducting could be seen as a reduction in uplink performance in a base station sector or, in the worst case, an outage. Such interference can </w:t>
      </w:r>
      <w:r w:rsidRPr="00DB09DB">
        <w:rPr>
          <w:rFonts w:cs="Arial"/>
          <w:color w:val="000000" w:themeColor="text1"/>
        </w:rPr>
        <w:t xml:space="preserve">occur for periods of minutes/hours </w:t>
      </w:r>
      <w:r>
        <w:rPr>
          <w:rFonts w:cs="Arial"/>
          <w:color w:val="000000" w:themeColor="text1"/>
        </w:rPr>
        <w:t>or</w:t>
      </w:r>
      <w:r w:rsidRPr="00DB09DB">
        <w:rPr>
          <w:rFonts w:cs="Arial"/>
          <w:color w:val="000000" w:themeColor="text1"/>
        </w:rPr>
        <w:t xml:space="preserve"> even days</w:t>
      </w:r>
      <w:r>
        <w:rPr>
          <w:rFonts w:cs="Arial"/>
          <w:color w:val="000000" w:themeColor="text1"/>
        </w:rPr>
        <w:t xml:space="preserve"> at a time, but events usually occur during specific times of the year. </w:t>
      </w:r>
      <w:r w:rsidRPr="00DB09DB">
        <w:rPr>
          <w:rFonts w:cs="Arial"/>
          <w:color w:val="000000" w:themeColor="text1"/>
        </w:rPr>
        <w:t xml:space="preserve">To manage this, </w:t>
      </w:r>
      <w:r>
        <w:rPr>
          <w:rFonts w:cs="Arial"/>
          <w:color w:val="000000" w:themeColor="text1"/>
        </w:rPr>
        <w:t xml:space="preserve">NBN Co proposed </w:t>
      </w:r>
      <w:r w:rsidRPr="00DB09DB">
        <w:rPr>
          <w:rFonts w:cs="Arial"/>
          <w:color w:val="000000" w:themeColor="text1"/>
        </w:rPr>
        <w:t xml:space="preserve">the inclusion of a secondary fallback scheme to the </w:t>
      </w:r>
      <w:r w:rsidR="0098774C">
        <w:rPr>
          <w:rFonts w:cs="Arial"/>
          <w:color w:val="000000" w:themeColor="text1"/>
        </w:rPr>
        <w:t>s</w:t>
      </w:r>
      <w:r w:rsidR="00530F8F">
        <w:rPr>
          <w:rFonts w:cs="Arial"/>
          <w:color w:val="000000" w:themeColor="text1"/>
        </w:rPr>
        <w:t>ynchronisation requirement</w:t>
      </w:r>
      <w:r w:rsidRPr="00DB09DB">
        <w:rPr>
          <w:rFonts w:cs="Arial"/>
          <w:color w:val="000000" w:themeColor="text1"/>
        </w:rPr>
        <w:t xml:space="preserve">. </w:t>
      </w:r>
      <w:r w:rsidR="003B12C1">
        <w:rPr>
          <w:rFonts w:cs="Arial"/>
          <w:color w:val="000000" w:themeColor="text1"/>
        </w:rPr>
        <w:t xml:space="preserve">The use of the synchronisation requirement </w:t>
      </w:r>
      <w:r w:rsidRPr="00DB09DB">
        <w:rPr>
          <w:rFonts w:cs="Arial"/>
          <w:color w:val="000000" w:themeColor="text1"/>
        </w:rPr>
        <w:t>would only apply during periods</w:t>
      </w:r>
      <w:r w:rsidR="003B12C1">
        <w:rPr>
          <w:rFonts w:cs="Arial"/>
          <w:color w:val="000000" w:themeColor="text1"/>
        </w:rPr>
        <w:t xml:space="preserve"> when</w:t>
      </w:r>
      <w:r w:rsidRPr="00DB09DB">
        <w:rPr>
          <w:rFonts w:cs="Arial"/>
          <w:color w:val="000000" w:themeColor="text1"/>
        </w:rPr>
        <w:t xml:space="preserve"> ducting is a problem</w:t>
      </w:r>
      <w:r>
        <w:rPr>
          <w:rFonts w:cs="Arial"/>
          <w:color w:val="000000" w:themeColor="text1"/>
        </w:rPr>
        <w:t xml:space="preserve"> (for example during certain times of the year and certain areas)</w:t>
      </w:r>
      <w:r w:rsidRPr="00DB09DB">
        <w:rPr>
          <w:rFonts w:cs="Arial"/>
          <w:color w:val="000000" w:themeColor="text1"/>
        </w:rPr>
        <w:t xml:space="preserve">. </w:t>
      </w:r>
      <w:r>
        <w:rPr>
          <w:rFonts w:cs="Arial"/>
          <w:color w:val="000000" w:themeColor="text1"/>
        </w:rPr>
        <w:t xml:space="preserve">Notionally it would also only apply to those transmitters that are causing interference. However, in practice </w:t>
      </w:r>
      <w:r w:rsidR="001E2AC3">
        <w:rPr>
          <w:rFonts w:cs="Arial"/>
          <w:color w:val="000000" w:themeColor="text1"/>
        </w:rPr>
        <w:t>it</w:t>
      </w:r>
      <w:r>
        <w:rPr>
          <w:rFonts w:cs="Arial"/>
          <w:color w:val="000000" w:themeColor="text1"/>
        </w:rPr>
        <w:t xml:space="preserve"> may be difficult to determine </w:t>
      </w:r>
      <w:r w:rsidR="001E2AC3">
        <w:rPr>
          <w:rFonts w:cs="Arial"/>
          <w:color w:val="000000" w:themeColor="text1"/>
        </w:rPr>
        <w:t xml:space="preserve">the exact transmitter that is the source of ducting interference </w:t>
      </w:r>
      <w:r>
        <w:rPr>
          <w:rFonts w:cs="Arial"/>
          <w:color w:val="000000" w:themeColor="text1"/>
        </w:rPr>
        <w:t xml:space="preserve">so the requirement may end up be applied to some or all transmitters in an area. </w:t>
      </w:r>
    </w:p>
    <w:bookmarkEnd w:id="145"/>
    <w:p w14:paraId="3F7BC75E" w14:textId="445FA987" w:rsidR="009846D4" w:rsidRDefault="009846D4" w:rsidP="009846D4">
      <w:pPr>
        <w:pStyle w:val="CommentText"/>
        <w:tabs>
          <w:tab w:val="left" w:pos="426"/>
        </w:tabs>
        <w:spacing w:before="120"/>
        <w:rPr>
          <w:rFonts w:cs="Arial"/>
          <w:color w:val="000000" w:themeColor="text1"/>
        </w:rPr>
      </w:pPr>
      <w:r w:rsidRPr="00DB09DB">
        <w:rPr>
          <w:rFonts w:cs="Arial"/>
          <w:color w:val="000000" w:themeColor="text1"/>
        </w:rPr>
        <w:t xml:space="preserve">The secondary fallback measure </w:t>
      </w:r>
      <w:r>
        <w:rPr>
          <w:rFonts w:cs="Arial"/>
          <w:color w:val="000000" w:themeColor="text1"/>
        </w:rPr>
        <w:t xml:space="preserve">would </w:t>
      </w:r>
      <w:r w:rsidRPr="00DB09DB">
        <w:rPr>
          <w:rFonts w:cs="Arial"/>
          <w:color w:val="000000" w:themeColor="text1"/>
        </w:rPr>
        <w:t xml:space="preserve">adopt </w:t>
      </w:r>
      <w:r w:rsidR="00FB2F62">
        <w:rPr>
          <w:rFonts w:cs="Arial"/>
          <w:color w:val="000000" w:themeColor="text1"/>
        </w:rPr>
        <w:t>‘</w:t>
      </w:r>
      <w:r w:rsidRPr="00696EB4">
        <w:rPr>
          <w:rFonts w:cs="Arial"/>
        </w:rPr>
        <w:t>special subframe configuration 5</w:t>
      </w:r>
      <w:r w:rsidR="00FB2F62">
        <w:rPr>
          <w:rFonts w:cs="Arial"/>
        </w:rPr>
        <w:t>’</w:t>
      </w:r>
      <w:r w:rsidRPr="00DB09DB">
        <w:rPr>
          <w:rFonts w:cs="Arial"/>
        </w:rPr>
        <w:t xml:space="preserve"> which has a larger guard period than </w:t>
      </w:r>
      <w:r w:rsidR="00FB2F62">
        <w:rPr>
          <w:rFonts w:cs="Arial"/>
        </w:rPr>
        <w:t>‘</w:t>
      </w:r>
      <w:r w:rsidRPr="00696EB4">
        <w:rPr>
          <w:rFonts w:cs="Arial"/>
        </w:rPr>
        <w:t>special subframe configuration 6</w:t>
      </w:r>
      <w:r w:rsidR="00FB2F62">
        <w:rPr>
          <w:rFonts w:cs="Arial"/>
        </w:rPr>
        <w:t>’</w:t>
      </w:r>
      <w:r>
        <w:rPr>
          <w:rFonts w:cs="Arial"/>
          <w:i/>
          <w:iCs/>
        </w:rPr>
        <w:t xml:space="preserve"> </w:t>
      </w:r>
      <w:r>
        <w:rPr>
          <w:rFonts w:cs="Arial"/>
        </w:rPr>
        <w:t xml:space="preserve">as defined in Table 4.2.2 of </w:t>
      </w:r>
      <w:hyperlink r:id="rId84" w:history="1">
        <w:r>
          <w:rPr>
            <w:rStyle w:val="Hyperlink"/>
          </w:rPr>
          <w:t>3GPP TS 36.211</w:t>
        </w:r>
      </w:hyperlink>
      <w:r w:rsidRPr="00DB09DB">
        <w:rPr>
          <w:rFonts w:cs="Arial"/>
        </w:rPr>
        <w:t>. This guard period would assist in managing co-channel interference between base stations up to a distance of 193 km</w:t>
      </w:r>
      <w:r>
        <w:rPr>
          <w:rFonts w:cs="Arial"/>
        </w:rPr>
        <w:t xml:space="preserve"> and reduce the affects for some distance beyond that</w:t>
      </w:r>
      <w:r w:rsidRPr="00DB09DB">
        <w:rPr>
          <w:rFonts w:cs="Arial"/>
        </w:rPr>
        <w:t xml:space="preserve">. </w:t>
      </w:r>
      <w:r>
        <w:rPr>
          <w:rFonts w:cs="Arial"/>
        </w:rPr>
        <w:t>Due to the larger guard period, t</w:t>
      </w:r>
      <w:r w:rsidRPr="00DB09DB">
        <w:rPr>
          <w:rFonts w:cs="Arial"/>
          <w:color w:val="000000" w:themeColor="text1"/>
        </w:rPr>
        <w:t>his fallback scheme</w:t>
      </w:r>
      <w:r>
        <w:rPr>
          <w:rFonts w:cs="Arial"/>
          <w:color w:val="000000" w:themeColor="text1"/>
        </w:rPr>
        <w:t xml:space="preserve"> results</w:t>
      </w:r>
      <w:r w:rsidRPr="00DB09DB">
        <w:rPr>
          <w:rFonts w:cs="Arial"/>
          <w:color w:val="000000" w:themeColor="text1"/>
        </w:rPr>
        <w:t xml:space="preserve"> </w:t>
      </w:r>
      <w:r>
        <w:rPr>
          <w:rFonts w:cs="Arial"/>
          <w:color w:val="000000" w:themeColor="text1"/>
        </w:rPr>
        <w:t>in a reduction in downlink capacity of approximately 11.7% (based on the reduction in downlink symbols in a 10 ms frame)</w:t>
      </w:r>
      <w:r w:rsidRPr="00DB09DB">
        <w:rPr>
          <w:rFonts w:cs="Arial"/>
          <w:color w:val="000000" w:themeColor="text1"/>
        </w:rPr>
        <w:t xml:space="preserve">. </w:t>
      </w:r>
    </w:p>
    <w:p w14:paraId="5A4EB627" w14:textId="62768801" w:rsidR="002532FC" w:rsidRPr="00527ABB" w:rsidRDefault="009846D4" w:rsidP="00AA7DC3">
      <w:pPr>
        <w:pStyle w:val="CommentText"/>
        <w:tabs>
          <w:tab w:val="left" w:pos="426"/>
        </w:tabs>
        <w:spacing w:before="120"/>
        <w:rPr>
          <w:rFonts w:cs="Arial"/>
          <w:color w:val="000000" w:themeColor="text1"/>
        </w:rPr>
      </w:pPr>
      <w:r>
        <w:rPr>
          <w:rFonts w:cs="Arial"/>
          <w:color w:val="000000" w:themeColor="text1"/>
        </w:rPr>
        <w:t xml:space="preserve">Due to the reduction in capacity, </w:t>
      </w:r>
      <w:r w:rsidR="001E2AC3">
        <w:rPr>
          <w:rFonts w:cs="Arial"/>
          <w:color w:val="000000" w:themeColor="text1"/>
        </w:rPr>
        <w:t xml:space="preserve">during the TLG </w:t>
      </w:r>
      <w:r>
        <w:rPr>
          <w:rFonts w:cs="Arial"/>
          <w:color w:val="000000" w:themeColor="text1"/>
        </w:rPr>
        <w:t xml:space="preserve">mobile network operators did not support the introduction of a secondary fallback scheme or other regulatory measures to manage interference caused by ducting. They argued this is an issue all operators experience and need to actively manage between their own </w:t>
      </w:r>
      <w:r w:rsidR="00F81E80">
        <w:rPr>
          <w:rFonts w:cs="Arial"/>
          <w:color w:val="000000" w:themeColor="text1"/>
        </w:rPr>
        <w:t xml:space="preserve">and </w:t>
      </w:r>
      <w:r>
        <w:rPr>
          <w:rFonts w:cs="Arial"/>
          <w:color w:val="000000" w:themeColor="text1"/>
        </w:rPr>
        <w:t>other operators’ services.</w:t>
      </w:r>
    </w:p>
    <w:p w14:paraId="18AECC57" w14:textId="4518DA52" w:rsidR="002532FC" w:rsidRDefault="002532FC" w:rsidP="002532FC">
      <w:pPr>
        <w:pStyle w:val="Tableheading"/>
        <w:keepLines/>
      </w:pPr>
      <w:r>
        <w:t xml:space="preserve">Summary of </w:t>
      </w:r>
      <w:r w:rsidR="007754EF">
        <w:t xml:space="preserve">possible </w:t>
      </w:r>
      <w:r>
        <w:t>interference management criteria</w:t>
      </w:r>
      <w:r w:rsidR="007754EF">
        <w:t xml:space="preserve"> for Option 1</w:t>
      </w:r>
    </w:p>
    <w:tbl>
      <w:tblPr>
        <w:tblStyle w:val="TableGrid"/>
        <w:tblW w:w="9209" w:type="dxa"/>
        <w:tblCellMar>
          <w:top w:w="85" w:type="dxa"/>
          <w:bottom w:w="85" w:type="dxa"/>
        </w:tblCellMar>
        <w:tblLook w:val="04A0" w:firstRow="1" w:lastRow="0" w:firstColumn="1" w:lastColumn="0" w:noHBand="0" w:noVBand="1"/>
      </w:tblPr>
      <w:tblGrid>
        <w:gridCol w:w="2972"/>
        <w:gridCol w:w="6237"/>
      </w:tblGrid>
      <w:tr w:rsidR="002532FC" w:rsidRPr="00FB2F62" w14:paraId="4C2381B4" w14:textId="77777777" w:rsidTr="00696EB4">
        <w:trPr>
          <w:cantSplit/>
        </w:trPr>
        <w:tc>
          <w:tcPr>
            <w:tcW w:w="2972" w:type="dxa"/>
            <w:shd w:val="clear" w:color="auto" w:fill="404040" w:themeFill="text1" w:themeFillTint="BF"/>
          </w:tcPr>
          <w:p w14:paraId="04E1D4BD" w14:textId="77777777" w:rsidR="002532FC" w:rsidRPr="00696EB4" w:rsidRDefault="002532FC" w:rsidP="00193349">
            <w:pPr>
              <w:spacing w:after="0" w:line="240" w:lineRule="auto"/>
              <w:rPr>
                <w:rFonts w:cs="Arial"/>
                <w:b/>
                <w:bCs/>
                <w:color w:val="FFFFFF" w:themeColor="background1"/>
                <w:szCs w:val="20"/>
              </w:rPr>
            </w:pPr>
            <w:bookmarkStart w:id="146" w:name="_Hlk75265707"/>
            <w:r w:rsidRPr="00696EB4">
              <w:rPr>
                <w:rFonts w:cs="Arial"/>
                <w:b/>
                <w:bCs/>
                <w:color w:val="FFFFFF" w:themeColor="background1"/>
                <w:szCs w:val="20"/>
              </w:rPr>
              <w:t>Item</w:t>
            </w:r>
          </w:p>
        </w:tc>
        <w:tc>
          <w:tcPr>
            <w:tcW w:w="6237" w:type="dxa"/>
            <w:shd w:val="clear" w:color="auto" w:fill="404040" w:themeFill="text1" w:themeFillTint="BF"/>
          </w:tcPr>
          <w:p w14:paraId="66AB13CD" w14:textId="77777777" w:rsidR="002532FC" w:rsidRPr="00696EB4" w:rsidRDefault="002532FC" w:rsidP="00193349">
            <w:pPr>
              <w:spacing w:after="0" w:line="240" w:lineRule="auto"/>
              <w:rPr>
                <w:rFonts w:cs="Arial"/>
                <w:b/>
                <w:bCs/>
                <w:color w:val="FFFFFF" w:themeColor="background1"/>
                <w:szCs w:val="20"/>
              </w:rPr>
            </w:pPr>
            <w:r w:rsidRPr="00696EB4">
              <w:rPr>
                <w:rFonts w:cs="Arial"/>
                <w:b/>
                <w:bCs/>
                <w:color w:val="FFFFFF" w:themeColor="background1"/>
                <w:szCs w:val="20"/>
              </w:rPr>
              <w:t>Interference management criteria</w:t>
            </w:r>
          </w:p>
        </w:tc>
      </w:tr>
      <w:tr w:rsidR="008B56E5" w14:paraId="1B125F72" w14:textId="77777777" w:rsidTr="00696EB4">
        <w:trPr>
          <w:cantSplit/>
        </w:trPr>
        <w:tc>
          <w:tcPr>
            <w:tcW w:w="2972" w:type="dxa"/>
            <w:shd w:val="clear" w:color="auto" w:fill="F2F2F2" w:themeFill="background1" w:themeFillShade="F2"/>
          </w:tcPr>
          <w:p w14:paraId="60ABBC66" w14:textId="09E8CDD7" w:rsidR="008B56E5" w:rsidRPr="00682C0D" w:rsidRDefault="008B56E5" w:rsidP="00193349">
            <w:pPr>
              <w:spacing w:after="0" w:line="240" w:lineRule="auto"/>
            </w:pPr>
            <w:r>
              <w:t>Unwanted emission limits</w:t>
            </w:r>
          </w:p>
        </w:tc>
        <w:tc>
          <w:tcPr>
            <w:tcW w:w="6237" w:type="dxa"/>
            <w:shd w:val="clear" w:color="auto" w:fill="F2F2F2" w:themeFill="background1" w:themeFillShade="F2"/>
          </w:tcPr>
          <w:p w14:paraId="3767902A" w14:textId="29F39CDD" w:rsidR="008B56E5" w:rsidRPr="008B56E5" w:rsidRDefault="008B56E5" w:rsidP="00193349">
            <w:pPr>
              <w:pStyle w:val="TableBody"/>
            </w:pPr>
            <w:r>
              <w:t>Adopt the same unwanted emission limits as defined for existing 3.4</w:t>
            </w:r>
            <w:r w:rsidR="00FB2F62">
              <w:t> </w:t>
            </w:r>
            <w:r>
              <w:t xml:space="preserve">GHz spectrum licences. </w:t>
            </w:r>
          </w:p>
        </w:tc>
      </w:tr>
      <w:tr w:rsidR="002532FC" w14:paraId="14F1FB5C" w14:textId="77777777" w:rsidTr="00696EB4">
        <w:trPr>
          <w:cantSplit/>
        </w:trPr>
        <w:tc>
          <w:tcPr>
            <w:tcW w:w="2972" w:type="dxa"/>
            <w:vMerge w:val="restart"/>
          </w:tcPr>
          <w:p w14:paraId="0933B541" w14:textId="77777777" w:rsidR="002532FC" w:rsidRDefault="002532FC" w:rsidP="00193349">
            <w:pPr>
              <w:spacing w:after="0" w:line="240" w:lineRule="auto"/>
            </w:pPr>
            <w:r w:rsidRPr="00682C0D">
              <w:t>Synchronisation requirement</w:t>
            </w:r>
          </w:p>
          <w:p w14:paraId="1FBD3071" w14:textId="77777777" w:rsidR="002532FC" w:rsidRDefault="002532FC" w:rsidP="00193349">
            <w:pPr>
              <w:spacing w:after="0" w:line="240" w:lineRule="auto"/>
            </w:pPr>
          </w:p>
          <w:p w14:paraId="37F830E0" w14:textId="3833385E" w:rsidR="002532FC" w:rsidRPr="00682C0D" w:rsidRDefault="002532FC" w:rsidP="00193349">
            <w:pPr>
              <w:spacing w:after="0" w:line="240" w:lineRule="auto"/>
            </w:pPr>
          </w:p>
        </w:tc>
        <w:tc>
          <w:tcPr>
            <w:tcW w:w="6237" w:type="dxa"/>
          </w:tcPr>
          <w:p w14:paraId="4777C256" w14:textId="657C61C4" w:rsidR="002532FC" w:rsidRPr="00696EB4" w:rsidRDefault="002532FC" w:rsidP="00193349">
            <w:pPr>
              <w:pStyle w:val="TableBody"/>
              <w:rPr>
                <w:b/>
                <w:bCs/>
              </w:rPr>
            </w:pPr>
            <w:r w:rsidRPr="00696EB4">
              <w:rPr>
                <w:b/>
                <w:bCs/>
              </w:rPr>
              <w:t xml:space="preserve">Option </w:t>
            </w:r>
            <w:r w:rsidR="00096C45" w:rsidRPr="00696EB4">
              <w:rPr>
                <w:b/>
                <w:bCs/>
              </w:rPr>
              <w:t>A</w:t>
            </w:r>
          </w:p>
          <w:p w14:paraId="58674996" w14:textId="77777777" w:rsidR="002532FC" w:rsidRPr="00D8773C" w:rsidRDefault="002532FC" w:rsidP="00193349">
            <w:pPr>
              <w:pStyle w:val="TableBody"/>
            </w:pPr>
            <w:r w:rsidRPr="00D8773C">
              <w:t>Apply the same synchronisation requirement as detailed in clause 11 of Licence Schedule 4 on all 3.4 GHz spectrum licences</w:t>
            </w:r>
            <w:r>
              <w:t>.</w:t>
            </w:r>
          </w:p>
          <w:p w14:paraId="0D7EF25C" w14:textId="77777777" w:rsidR="002532FC" w:rsidRPr="00D8773C" w:rsidRDefault="002532FC" w:rsidP="00193349">
            <w:pPr>
              <w:pStyle w:val="TableBody"/>
            </w:pPr>
          </w:p>
          <w:p w14:paraId="6413C88A" w14:textId="01D58CAD" w:rsidR="00AA7DC3" w:rsidRPr="00D8773C" w:rsidRDefault="00AA7DC3" w:rsidP="00696EB4">
            <w:pPr>
              <w:pStyle w:val="Paragraphbeforelist"/>
            </w:pPr>
            <w:r w:rsidRPr="00D8773C">
              <w:t xml:space="preserve">In addition to this, </w:t>
            </w:r>
            <w:r w:rsidRPr="00193349">
              <w:rPr>
                <w:szCs w:val="20"/>
              </w:rPr>
              <w:t>where interference is transient or temporary,</w:t>
            </w:r>
            <w:r w:rsidRPr="001D734E">
              <w:t xml:space="preserve"> </w:t>
            </w:r>
            <w:r w:rsidRPr="00D8773C">
              <w:t>for devices operating in the 3400</w:t>
            </w:r>
            <w:r w:rsidR="00FB2F62">
              <w:t>–</w:t>
            </w:r>
            <w:r w:rsidRPr="00D8773C">
              <w:t xml:space="preserve">3475 MHz band, if: </w:t>
            </w:r>
          </w:p>
          <w:p w14:paraId="66012FE5" w14:textId="788279C6" w:rsidR="00AA7DC3" w:rsidRPr="00D8773C" w:rsidRDefault="00AA7DC3" w:rsidP="00696EB4">
            <w:pPr>
              <w:pStyle w:val="Bulletlevel1"/>
            </w:pPr>
            <w:r w:rsidRPr="00D8773C">
              <w:t>interference is experienced between a device operating in an urban excise area and a device operating in an adjacent area</w:t>
            </w:r>
          </w:p>
          <w:p w14:paraId="56975542" w14:textId="40869239" w:rsidR="00AA7DC3" w:rsidRPr="00D8773C" w:rsidRDefault="00AA7DC3" w:rsidP="00696EB4">
            <w:pPr>
              <w:pStyle w:val="Bulletlevel1"/>
            </w:pPr>
            <w:r w:rsidRPr="00D8773C">
              <w:t>there is no agreement on how to manage the interference</w:t>
            </w:r>
          </w:p>
          <w:p w14:paraId="06AEA27E" w14:textId="05A477D7" w:rsidR="00AA7DC3" w:rsidRPr="00D8773C" w:rsidRDefault="00AA7DC3" w:rsidP="00696EB4">
            <w:pPr>
              <w:pStyle w:val="Bulletlevel1"/>
            </w:pPr>
            <w:r w:rsidRPr="00D8773C">
              <w:t>the interference is not adequately resolved by adopting the synchronisation requirement</w:t>
            </w:r>
          </w:p>
          <w:p w14:paraId="48070523" w14:textId="4A1BFF3D" w:rsidR="002532FC" w:rsidRPr="00D8773C" w:rsidRDefault="00AA7DC3" w:rsidP="00193349">
            <w:pPr>
              <w:pStyle w:val="TableBody"/>
            </w:pPr>
            <w:r w:rsidRPr="00193349">
              <w:rPr>
                <w:rFonts w:cs="Arial"/>
                <w:szCs w:val="20"/>
              </w:rPr>
              <w:t xml:space="preserve">then a temporary adoption of special subframe configuration 5 must be implemented within </w:t>
            </w:r>
            <w:r w:rsidR="00FB2F62">
              <w:rPr>
                <w:rFonts w:cs="Arial"/>
                <w:szCs w:val="20"/>
              </w:rPr>
              <w:t>(</w:t>
            </w:r>
            <w:r w:rsidRPr="00193349">
              <w:rPr>
                <w:rFonts w:cs="Arial"/>
                <w:szCs w:val="20"/>
              </w:rPr>
              <w:t>TBD timeframe</w:t>
            </w:r>
            <w:r w:rsidR="00FB2F62">
              <w:rPr>
                <w:rFonts w:cs="Arial"/>
                <w:szCs w:val="20"/>
              </w:rPr>
              <w:t>)</w:t>
            </w:r>
            <w:r w:rsidRPr="00193349">
              <w:rPr>
                <w:rFonts w:cs="Arial"/>
                <w:szCs w:val="20"/>
              </w:rPr>
              <w:t xml:space="preserve"> of the notification of the interference for the duration of the interference event. Normal operation can be restored as agreed between the licensees.</w:t>
            </w:r>
            <w:r>
              <w:rPr>
                <w:rFonts w:cs="Arial"/>
                <w:color w:val="51A7F9"/>
                <w:szCs w:val="20"/>
              </w:rPr>
              <w:t> </w:t>
            </w:r>
          </w:p>
          <w:p w14:paraId="505CD8B2" w14:textId="77777777" w:rsidR="002532FC" w:rsidRPr="00D8773C" w:rsidRDefault="002532FC" w:rsidP="00193349">
            <w:pPr>
              <w:spacing w:after="0" w:line="240" w:lineRule="auto"/>
              <w:rPr>
                <w:rFonts w:cs="Arial"/>
                <w:szCs w:val="20"/>
              </w:rPr>
            </w:pPr>
            <w:r w:rsidRPr="00D8773C">
              <w:t xml:space="preserve"> </w:t>
            </w:r>
          </w:p>
        </w:tc>
      </w:tr>
      <w:tr w:rsidR="002532FC" w14:paraId="58417E37" w14:textId="77777777" w:rsidTr="00696EB4">
        <w:trPr>
          <w:cantSplit/>
        </w:trPr>
        <w:tc>
          <w:tcPr>
            <w:tcW w:w="2972" w:type="dxa"/>
            <w:vMerge/>
          </w:tcPr>
          <w:p w14:paraId="2244B1F8" w14:textId="77777777" w:rsidR="002532FC" w:rsidRPr="00682C0D" w:rsidRDefault="002532FC" w:rsidP="00193349">
            <w:pPr>
              <w:spacing w:after="0" w:line="240" w:lineRule="auto"/>
            </w:pPr>
          </w:p>
        </w:tc>
        <w:tc>
          <w:tcPr>
            <w:tcW w:w="6237" w:type="dxa"/>
          </w:tcPr>
          <w:p w14:paraId="406C3DC0" w14:textId="38D5C691" w:rsidR="002532FC" w:rsidRPr="00696EB4" w:rsidRDefault="002532FC" w:rsidP="00193349">
            <w:pPr>
              <w:pStyle w:val="TableBody"/>
              <w:rPr>
                <w:b/>
                <w:bCs/>
              </w:rPr>
            </w:pPr>
            <w:r w:rsidRPr="00696EB4">
              <w:rPr>
                <w:b/>
                <w:bCs/>
              </w:rPr>
              <w:t xml:space="preserve">Option </w:t>
            </w:r>
            <w:r w:rsidR="00096C45" w:rsidRPr="00696EB4">
              <w:rPr>
                <w:b/>
                <w:bCs/>
              </w:rPr>
              <w:t>B</w:t>
            </w:r>
          </w:p>
          <w:p w14:paraId="1389D39B" w14:textId="77777777" w:rsidR="002532FC" w:rsidRPr="00D8773C" w:rsidRDefault="002532FC" w:rsidP="00193349">
            <w:pPr>
              <w:pStyle w:val="TableBody"/>
            </w:pPr>
            <w:r w:rsidRPr="00D8773C">
              <w:t>Apply the same synchronisation requirement as detailed in clause 11 of Licence Schedule 4 on all 3.4 GHz spectrum licences</w:t>
            </w:r>
            <w:r>
              <w:t>.</w:t>
            </w:r>
          </w:p>
          <w:p w14:paraId="2987A785" w14:textId="77777777" w:rsidR="002532FC" w:rsidRPr="00D8773C" w:rsidRDefault="002532FC" w:rsidP="00193349">
            <w:pPr>
              <w:pStyle w:val="TableBody"/>
            </w:pPr>
          </w:p>
          <w:p w14:paraId="5432545C" w14:textId="77777777" w:rsidR="002532FC" w:rsidRPr="00D8773C" w:rsidRDefault="002532FC" w:rsidP="00193349">
            <w:pPr>
              <w:pStyle w:val="TableBody"/>
            </w:pPr>
            <w:bookmarkStart w:id="147" w:name="_Hlk62044132"/>
            <w:r>
              <w:t>Beyond this, as is currently the case, l</w:t>
            </w:r>
            <w:r w:rsidRPr="00D8773C">
              <w:t xml:space="preserve">icensees </w:t>
            </w:r>
            <w:r>
              <w:t>can</w:t>
            </w:r>
            <w:r w:rsidRPr="00D8773C">
              <w:t xml:space="preserve"> implement technical measures, where possible and as required, to manage interference due to ducting. This could include negotiating with adjacent area licensees.  </w:t>
            </w:r>
          </w:p>
          <w:bookmarkEnd w:id="147"/>
          <w:p w14:paraId="29DB2C5C" w14:textId="77777777" w:rsidR="002532FC" w:rsidRPr="00D8773C" w:rsidRDefault="002532FC" w:rsidP="00193349">
            <w:pPr>
              <w:spacing w:after="0" w:line="240" w:lineRule="auto"/>
              <w:rPr>
                <w:rFonts w:cs="Arial"/>
                <w:szCs w:val="20"/>
              </w:rPr>
            </w:pPr>
          </w:p>
        </w:tc>
      </w:tr>
      <w:tr w:rsidR="002532FC" w14:paraId="36B201C0" w14:textId="77777777" w:rsidTr="00696EB4">
        <w:trPr>
          <w:cantSplit/>
        </w:trPr>
        <w:tc>
          <w:tcPr>
            <w:tcW w:w="2972" w:type="dxa"/>
            <w:shd w:val="clear" w:color="auto" w:fill="F2F2F2" w:themeFill="background1" w:themeFillShade="F2"/>
          </w:tcPr>
          <w:p w14:paraId="6393F80B" w14:textId="2F1B9D7B" w:rsidR="002532FC" w:rsidRPr="00682C0D" w:rsidRDefault="002532FC" w:rsidP="00193349">
            <w:pPr>
              <w:spacing w:after="0" w:line="240" w:lineRule="auto"/>
              <w:rPr>
                <w:rFonts w:cs="Arial"/>
                <w:szCs w:val="20"/>
              </w:rPr>
            </w:pPr>
            <w:r w:rsidRPr="001D57C2">
              <w:rPr>
                <w:rFonts w:cs="Arial"/>
                <w:szCs w:val="20"/>
              </w:rPr>
              <w:t>Application of the current 3.4</w:t>
            </w:r>
            <w:r w:rsidR="00FB2F62">
              <w:rPr>
                <w:rFonts w:cs="Arial"/>
                <w:szCs w:val="20"/>
              </w:rPr>
              <w:t> </w:t>
            </w:r>
            <w:r w:rsidRPr="001D57C2">
              <w:rPr>
                <w:rFonts w:cs="Arial"/>
                <w:szCs w:val="20"/>
              </w:rPr>
              <w:t>GHz device boundary criteria (DBC)</w:t>
            </w:r>
          </w:p>
        </w:tc>
        <w:tc>
          <w:tcPr>
            <w:tcW w:w="6237" w:type="dxa"/>
            <w:shd w:val="clear" w:color="auto" w:fill="F2F2F2" w:themeFill="background1" w:themeFillShade="F2"/>
          </w:tcPr>
          <w:p w14:paraId="3E9FA5B2" w14:textId="517534C0" w:rsidR="002532FC" w:rsidRPr="00D8773C" w:rsidRDefault="002532FC" w:rsidP="00696EB4">
            <w:pPr>
              <w:pStyle w:val="Bulletlevel1"/>
            </w:pPr>
            <w:r w:rsidRPr="00D8773C">
              <w:t xml:space="preserve">For devices deployed within urban excise areas in the </w:t>
            </w:r>
            <w:r w:rsidR="00FB2F62">
              <w:br/>
            </w:r>
            <w:r w:rsidRPr="00D8773C">
              <w:t>3400</w:t>
            </w:r>
            <w:r w:rsidR="00FB2F62">
              <w:t>–</w:t>
            </w:r>
            <w:r w:rsidRPr="00D8773C">
              <w:t>3475 MHz band</w:t>
            </w:r>
            <w:r w:rsidR="00FB2F62">
              <w:t>,</w:t>
            </w:r>
            <w:r w:rsidRPr="00D8773C">
              <w:t xml:space="preserve"> the </w:t>
            </w:r>
            <w:r>
              <w:t xml:space="preserve">current </w:t>
            </w:r>
            <w:r w:rsidRPr="00D8773C">
              <w:t>DBC does not apply.</w:t>
            </w:r>
            <w:r>
              <w:t xml:space="preserve"> Alternative measures are defined below for new devices </w:t>
            </w:r>
            <w:r w:rsidR="00FB2F62">
              <w:br/>
            </w:r>
            <w:r>
              <w:t xml:space="preserve">(both registered and unregistered). </w:t>
            </w:r>
          </w:p>
          <w:p w14:paraId="0DA4867E" w14:textId="18758504" w:rsidR="002532FC" w:rsidRPr="00D8773C" w:rsidRDefault="002532FC" w:rsidP="00696EB4">
            <w:pPr>
              <w:pStyle w:val="Bulletlevel1"/>
            </w:pPr>
            <w:r w:rsidRPr="00D8773C">
              <w:t>For devices deployed in the 3400</w:t>
            </w:r>
            <w:r w:rsidR="00FB2F62">
              <w:t>–</w:t>
            </w:r>
            <w:r w:rsidRPr="00D8773C">
              <w:t>3475 MHz band outside urban excise areas</w:t>
            </w:r>
            <w:r w:rsidR="00FB2F62">
              <w:t>,</w:t>
            </w:r>
            <w:r w:rsidRPr="00D8773C">
              <w:t xml:space="preserve"> the </w:t>
            </w:r>
            <w:r>
              <w:t xml:space="preserve">current </w:t>
            </w:r>
            <w:r w:rsidRPr="00D8773C">
              <w:t xml:space="preserve">DBC </w:t>
            </w:r>
            <w:r>
              <w:t xml:space="preserve">does not apply </w:t>
            </w:r>
            <w:r w:rsidRPr="00D8773C">
              <w:t xml:space="preserve">within urban excise areas. </w:t>
            </w:r>
            <w:r>
              <w:t>Alternative measures are defined below for new devices (both registered and unregistered).</w:t>
            </w:r>
          </w:p>
          <w:p w14:paraId="7BC847AB" w14:textId="77777777" w:rsidR="002532FC" w:rsidRPr="00D8773C" w:rsidRDefault="002532FC" w:rsidP="00696EB4">
            <w:pPr>
              <w:pStyle w:val="Bulletlevel1"/>
            </w:pPr>
            <w:r w:rsidRPr="00D8773C">
              <w:t xml:space="preserve">The </w:t>
            </w:r>
            <w:r>
              <w:t xml:space="preserve">current </w:t>
            </w:r>
            <w:r w:rsidRPr="00D8773C">
              <w:t>DBC continues to apply as usual for all other cases.</w:t>
            </w:r>
          </w:p>
          <w:p w14:paraId="4D72584B" w14:textId="77777777" w:rsidR="002532FC" w:rsidRPr="00D8773C" w:rsidRDefault="002532FC" w:rsidP="00193349">
            <w:pPr>
              <w:spacing w:after="0" w:line="240" w:lineRule="auto"/>
              <w:rPr>
                <w:rFonts w:cs="Arial"/>
                <w:szCs w:val="20"/>
              </w:rPr>
            </w:pPr>
          </w:p>
        </w:tc>
      </w:tr>
      <w:tr w:rsidR="002532FC" w14:paraId="294CF7E6" w14:textId="77777777" w:rsidTr="00696EB4">
        <w:trPr>
          <w:cantSplit/>
        </w:trPr>
        <w:tc>
          <w:tcPr>
            <w:tcW w:w="2972" w:type="dxa"/>
            <w:vMerge w:val="restart"/>
          </w:tcPr>
          <w:p w14:paraId="65F9E7AF" w14:textId="6F7CA711" w:rsidR="002532FC" w:rsidRDefault="002532FC" w:rsidP="00193349">
            <w:pPr>
              <w:spacing w:after="0" w:line="240" w:lineRule="auto"/>
              <w:rPr>
                <w:rFonts w:cs="Arial"/>
                <w:szCs w:val="20"/>
              </w:rPr>
            </w:pPr>
            <w:r w:rsidRPr="004253A7">
              <w:rPr>
                <w:rFonts w:cs="Arial"/>
                <w:szCs w:val="20"/>
              </w:rPr>
              <w:t xml:space="preserve">Registering new devices </w:t>
            </w:r>
            <w:r w:rsidRPr="00696EB4">
              <w:rPr>
                <w:rFonts w:cs="Arial"/>
                <w:szCs w:val="20"/>
              </w:rPr>
              <w:t>inside</w:t>
            </w:r>
            <w:r w:rsidRPr="004253A7">
              <w:rPr>
                <w:rFonts w:cs="Arial"/>
                <w:szCs w:val="20"/>
              </w:rPr>
              <w:t xml:space="preserve"> urban excise areas within the 3400</w:t>
            </w:r>
            <w:r w:rsidR="00FB2F62">
              <w:rPr>
                <w:rFonts w:cs="Arial"/>
                <w:szCs w:val="20"/>
              </w:rPr>
              <w:t>–</w:t>
            </w:r>
            <w:r w:rsidRPr="004253A7">
              <w:rPr>
                <w:rFonts w:cs="Arial"/>
                <w:szCs w:val="20"/>
              </w:rPr>
              <w:t>3475 MHz band</w:t>
            </w:r>
          </w:p>
          <w:p w14:paraId="3F3A029C" w14:textId="77777777" w:rsidR="002532FC" w:rsidRDefault="002532FC" w:rsidP="00193349">
            <w:pPr>
              <w:spacing w:after="0" w:line="240" w:lineRule="auto"/>
              <w:rPr>
                <w:rFonts w:cs="Arial"/>
                <w:szCs w:val="20"/>
              </w:rPr>
            </w:pPr>
          </w:p>
          <w:p w14:paraId="2F82F2F0" w14:textId="60645A5F" w:rsidR="002532FC" w:rsidRPr="004253A7" w:rsidRDefault="002532FC" w:rsidP="00193349">
            <w:pPr>
              <w:spacing w:after="0" w:line="240" w:lineRule="auto"/>
              <w:rPr>
                <w:rFonts w:cs="Arial"/>
                <w:szCs w:val="20"/>
              </w:rPr>
            </w:pPr>
          </w:p>
        </w:tc>
        <w:tc>
          <w:tcPr>
            <w:tcW w:w="6237" w:type="dxa"/>
          </w:tcPr>
          <w:p w14:paraId="4DAEB9FA" w14:textId="7C2F7972" w:rsidR="002532FC" w:rsidRPr="00696EB4" w:rsidRDefault="002532FC" w:rsidP="00AA7DC3">
            <w:pPr>
              <w:pStyle w:val="TableBody"/>
              <w:rPr>
                <w:rFonts w:cs="Arial"/>
                <w:b/>
                <w:bCs/>
                <w:szCs w:val="20"/>
              </w:rPr>
            </w:pPr>
            <w:r w:rsidRPr="00696EB4">
              <w:rPr>
                <w:rFonts w:cs="Arial"/>
                <w:b/>
                <w:bCs/>
                <w:szCs w:val="20"/>
              </w:rPr>
              <w:t xml:space="preserve">Option </w:t>
            </w:r>
            <w:r w:rsidR="00096C45" w:rsidRPr="00696EB4">
              <w:rPr>
                <w:rFonts w:cs="Arial"/>
                <w:b/>
                <w:bCs/>
                <w:szCs w:val="20"/>
              </w:rPr>
              <w:t>A</w:t>
            </w:r>
          </w:p>
          <w:p w14:paraId="43218F07" w14:textId="77777777" w:rsidR="002532FC" w:rsidRDefault="002532FC" w:rsidP="00696EB4">
            <w:pPr>
              <w:pStyle w:val="Paragraphbeforelist"/>
            </w:pPr>
            <w:r w:rsidRPr="00D8773C">
              <w:t xml:space="preserve">For registered devices, </w:t>
            </w:r>
            <w:r>
              <w:t xml:space="preserve">the following measures apply: </w:t>
            </w:r>
          </w:p>
          <w:p w14:paraId="7978C5E6" w14:textId="7602A304" w:rsidR="002532FC" w:rsidRPr="000C4FBE" w:rsidRDefault="00FB2F62" w:rsidP="00696EB4">
            <w:pPr>
              <w:pStyle w:val="Bulletlevel1"/>
            </w:pPr>
            <w:r>
              <w:t>E</w:t>
            </w:r>
            <w:r w:rsidR="002532FC" w:rsidRPr="00D8773C">
              <w:t>nsuring the</w:t>
            </w:r>
            <w:r w:rsidR="002532FC">
              <w:t xml:space="preserve"> power flux density</w:t>
            </w:r>
            <w:r w:rsidR="002532FC" w:rsidRPr="00D8773C">
              <w:t xml:space="preserve"> (or alternatively field strength or</w:t>
            </w:r>
            <w:r>
              <w:t> </w:t>
            </w:r>
            <w:r w:rsidR="002532FC" w:rsidRPr="00D8773C">
              <w:t xml:space="preserve">received power level into a notional </w:t>
            </w:r>
            <w:r w:rsidR="000952A0">
              <w:t>receiver</w:t>
            </w:r>
            <w:r w:rsidR="002532FC" w:rsidRPr="00D8773C">
              <w:t xml:space="preserve">) from a proposed BS inside an urban excise area does not exceed </w:t>
            </w:r>
            <w:r>
              <w:br/>
            </w:r>
            <w:r w:rsidR="002532FC" w:rsidRPr="00D8773C">
              <w:t>-99.9 dBW/m</w:t>
            </w:r>
            <w:r w:rsidR="002532FC" w:rsidRPr="00D8773C">
              <w:rPr>
                <w:vertAlign w:val="superscript"/>
              </w:rPr>
              <w:t>2</w:t>
            </w:r>
            <w:r w:rsidR="002532FC" w:rsidRPr="00D8773C">
              <w:t>/MHz for non-AAS and -91.9 dBW/m</w:t>
            </w:r>
            <w:r w:rsidR="002532FC" w:rsidRPr="00D8773C">
              <w:rPr>
                <w:vertAlign w:val="superscript"/>
              </w:rPr>
              <w:t>2</w:t>
            </w:r>
            <w:r w:rsidR="002532FC" w:rsidRPr="00D8773C">
              <w:t xml:space="preserve">/MHz at a height of 5 metres </w:t>
            </w:r>
            <w:r w:rsidR="002532FC">
              <w:t xml:space="preserve">above ground level </w:t>
            </w:r>
            <w:r w:rsidR="002532FC" w:rsidRPr="00D8773C">
              <w:t xml:space="preserve">within </w:t>
            </w:r>
            <w:r w:rsidR="002532FC">
              <w:t>the NBN Co</w:t>
            </w:r>
            <w:r w:rsidR="002532FC" w:rsidRPr="00D8773C">
              <w:t xml:space="preserve"> service areas for </w:t>
            </w:r>
            <w:r>
              <w:t>(</w:t>
            </w:r>
            <w:r w:rsidR="002532FC" w:rsidRPr="00D8773C">
              <w:t>TBD</w:t>
            </w:r>
            <w:bookmarkStart w:id="148" w:name="_Ref75250747"/>
            <w:r>
              <w:t>)</w:t>
            </w:r>
            <w:r w:rsidR="002532FC">
              <w:rPr>
                <w:rStyle w:val="FootnoteReference"/>
                <w:szCs w:val="20"/>
              </w:rPr>
              <w:footnoteReference w:id="18"/>
            </w:r>
            <w:bookmarkEnd w:id="148"/>
            <w:r w:rsidR="002532FC" w:rsidRPr="00D8773C">
              <w:t xml:space="preserve"> % of locations. </w:t>
            </w:r>
            <w:r w:rsidR="002532FC">
              <w:t xml:space="preserve">This criterion is to be met in NBN Co service areas that are within a </w:t>
            </w:r>
            <w:r w:rsidR="002532FC" w:rsidRPr="00D8773C">
              <w:t xml:space="preserve">64 km </w:t>
            </w:r>
            <w:r w:rsidR="002532FC">
              <w:t>radius of a</w:t>
            </w:r>
            <w:r w:rsidR="002532FC" w:rsidRPr="00D8773C">
              <w:t xml:space="preserve"> proposed BS.</w:t>
            </w:r>
          </w:p>
        </w:tc>
      </w:tr>
      <w:tr w:rsidR="002532FC" w14:paraId="53D02640" w14:textId="77777777" w:rsidTr="00696EB4">
        <w:trPr>
          <w:cantSplit/>
        </w:trPr>
        <w:tc>
          <w:tcPr>
            <w:tcW w:w="2972" w:type="dxa"/>
            <w:vMerge/>
          </w:tcPr>
          <w:p w14:paraId="08CF0966" w14:textId="77777777" w:rsidR="002532FC" w:rsidRPr="004253A7" w:rsidRDefault="002532FC" w:rsidP="00193349">
            <w:pPr>
              <w:spacing w:after="0" w:line="240" w:lineRule="auto"/>
              <w:rPr>
                <w:rFonts w:cs="Arial"/>
                <w:szCs w:val="20"/>
              </w:rPr>
            </w:pPr>
          </w:p>
        </w:tc>
        <w:tc>
          <w:tcPr>
            <w:tcW w:w="6237" w:type="dxa"/>
          </w:tcPr>
          <w:p w14:paraId="09A8558A" w14:textId="44530346" w:rsidR="002532FC" w:rsidRPr="00696EB4" w:rsidRDefault="002532FC" w:rsidP="00AA7DC3">
            <w:pPr>
              <w:pStyle w:val="TableBody"/>
              <w:rPr>
                <w:rFonts w:cs="Arial"/>
                <w:b/>
                <w:bCs/>
                <w:szCs w:val="20"/>
              </w:rPr>
            </w:pPr>
            <w:r w:rsidRPr="00696EB4">
              <w:rPr>
                <w:rFonts w:cs="Arial"/>
                <w:b/>
                <w:bCs/>
                <w:szCs w:val="20"/>
              </w:rPr>
              <w:t xml:space="preserve">Option </w:t>
            </w:r>
            <w:r w:rsidR="00096C45" w:rsidRPr="00696EB4">
              <w:rPr>
                <w:rFonts w:cs="Arial"/>
                <w:b/>
                <w:bCs/>
                <w:szCs w:val="20"/>
              </w:rPr>
              <w:t>B</w:t>
            </w:r>
          </w:p>
          <w:p w14:paraId="19E64D8D" w14:textId="77777777" w:rsidR="002532FC" w:rsidRDefault="002532FC" w:rsidP="00696EB4">
            <w:pPr>
              <w:pStyle w:val="Paragraphbeforelist"/>
            </w:pPr>
            <w:r w:rsidRPr="00D8773C">
              <w:t xml:space="preserve">For registered devices, </w:t>
            </w:r>
            <w:r>
              <w:t>the following measures apply:</w:t>
            </w:r>
          </w:p>
          <w:p w14:paraId="4D586965" w14:textId="4E5DFC8C" w:rsidR="002532FC" w:rsidRPr="00D8773C" w:rsidRDefault="002532FC" w:rsidP="00696EB4">
            <w:pPr>
              <w:pStyle w:val="Bulletlevel1"/>
              <w:rPr>
                <w:szCs w:val="20"/>
              </w:rPr>
            </w:pPr>
            <w:r>
              <w:t>e</w:t>
            </w:r>
            <w:r w:rsidRPr="00D8773C">
              <w:t xml:space="preserve">nsuring a proposed BS inside an urban excise area </w:t>
            </w:r>
            <w:r>
              <w:t>satisfies a minimum aggregate</w:t>
            </w:r>
            <w:r w:rsidRPr="00D8773C">
              <w:t xml:space="preserve"> </w:t>
            </w:r>
            <w:r>
              <w:t>C/(N+I)</w:t>
            </w:r>
            <w:r w:rsidRPr="00D8773C">
              <w:t xml:space="preserve"> of</w:t>
            </w:r>
            <w:r>
              <w:t xml:space="preserve"> 13</w:t>
            </w:r>
            <w:r w:rsidRPr="00D8773C">
              <w:t xml:space="preserve"> dB into a notional </w:t>
            </w:r>
            <w:r>
              <w:t>CPE</w:t>
            </w:r>
            <w:r w:rsidRPr="00D8773C">
              <w:t xml:space="preserve"> within </w:t>
            </w:r>
            <w:r>
              <w:t xml:space="preserve">NBN Co </w:t>
            </w:r>
            <w:r w:rsidRPr="00D8773C">
              <w:t>service area</w:t>
            </w:r>
            <w:r>
              <w:t xml:space="preserve">s for </w:t>
            </w:r>
            <w:r w:rsidR="00D62D8F">
              <w:t>(</w:t>
            </w:r>
            <w:r w:rsidRPr="00D8773C">
              <w:t>TBD</w:t>
            </w:r>
            <w:r w:rsidR="00D62D8F">
              <w:t>)</w:t>
            </w:r>
            <w:r w:rsidRPr="00F2190D">
              <w:rPr>
                <w:vertAlign w:val="superscript"/>
              </w:rPr>
              <w:fldChar w:fldCharType="begin"/>
            </w:r>
            <w:r w:rsidRPr="00F2190D">
              <w:rPr>
                <w:vertAlign w:val="superscript"/>
              </w:rPr>
              <w:instrText xml:space="preserve"> NOTEREF _Ref75250747 \h </w:instrText>
            </w:r>
            <w:r>
              <w:rPr>
                <w:vertAlign w:val="superscript"/>
              </w:rPr>
              <w:instrText xml:space="preserve"> \* MERGEFORMAT </w:instrText>
            </w:r>
            <w:r w:rsidRPr="00F2190D">
              <w:rPr>
                <w:vertAlign w:val="superscript"/>
              </w:rPr>
            </w:r>
            <w:r w:rsidRPr="00F2190D">
              <w:rPr>
                <w:vertAlign w:val="superscript"/>
              </w:rPr>
              <w:fldChar w:fldCharType="separate"/>
            </w:r>
            <w:r>
              <w:rPr>
                <w:vertAlign w:val="superscript"/>
              </w:rPr>
              <w:t>1</w:t>
            </w:r>
            <w:r w:rsidRPr="00F2190D">
              <w:rPr>
                <w:vertAlign w:val="superscript"/>
              </w:rPr>
              <w:fldChar w:fldCharType="end"/>
            </w:r>
            <w:r w:rsidRPr="00D8773C">
              <w:t xml:space="preserve"> % of locations. </w:t>
            </w:r>
            <w:r>
              <w:t xml:space="preserve">This criterion is to be met in NBN Co service areas that within a </w:t>
            </w:r>
            <w:r w:rsidRPr="00D8773C">
              <w:t xml:space="preserve">64 km </w:t>
            </w:r>
            <w:r>
              <w:t>radius of a</w:t>
            </w:r>
            <w:r w:rsidRPr="00D8773C">
              <w:t xml:space="preserve"> proposed BS. </w:t>
            </w:r>
          </w:p>
        </w:tc>
      </w:tr>
      <w:tr w:rsidR="002532FC" w14:paraId="133DCAC0" w14:textId="77777777" w:rsidTr="00696EB4">
        <w:trPr>
          <w:cantSplit/>
        </w:trPr>
        <w:tc>
          <w:tcPr>
            <w:tcW w:w="2972" w:type="dxa"/>
            <w:vMerge w:val="restart"/>
            <w:shd w:val="clear" w:color="auto" w:fill="F2F2F2" w:themeFill="background1" w:themeFillShade="F2"/>
          </w:tcPr>
          <w:p w14:paraId="735847EE" w14:textId="06AE6A71" w:rsidR="002532FC" w:rsidRDefault="002532FC" w:rsidP="00193349">
            <w:pPr>
              <w:spacing w:after="0" w:line="240" w:lineRule="auto"/>
              <w:rPr>
                <w:rFonts w:cs="Arial"/>
                <w:szCs w:val="20"/>
              </w:rPr>
            </w:pPr>
            <w:r>
              <w:rPr>
                <w:rFonts w:cs="Arial"/>
                <w:szCs w:val="20"/>
              </w:rPr>
              <w:t>Registering</w:t>
            </w:r>
            <w:r w:rsidRPr="004253A7">
              <w:rPr>
                <w:rFonts w:cs="Arial"/>
                <w:szCs w:val="20"/>
              </w:rPr>
              <w:t xml:space="preserve"> new devices </w:t>
            </w:r>
            <w:r w:rsidRPr="00696EB4">
              <w:rPr>
                <w:rFonts w:cs="Arial"/>
                <w:szCs w:val="20"/>
              </w:rPr>
              <w:t>outside</w:t>
            </w:r>
            <w:r w:rsidRPr="004253A7">
              <w:rPr>
                <w:rFonts w:cs="Arial"/>
                <w:szCs w:val="20"/>
              </w:rPr>
              <w:t xml:space="preserve"> urban excise areas within the 3400</w:t>
            </w:r>
            <w:r w:rsidR="00D62D8F">
              <w:rPr>
                <w:rFonts w:cs="Arial"/>
                <w:szCs w:val="20"/>
              </w:rPr>
              <w:softHyphen/>
              <w:t>–</w:t>
            </w:r>
            <w:r w:rsidRPr="004253A7">
              <w:rPr>
                <w:rFonts w:cs="Arial"/>
                <w:szCs w:val="20"/>
              </w:rPr>
              <w:t>3475 MHz band</w:t>
            </w:r>
          </w:p>
          <w:p w14:paraId="1CCC57C5" w14:textId="77777777" w:rsidR="002532FC" w:rsidRDefault="002532FC" w:rsidP="00193349">
            <w:pPr>
              <w:spacing w:after="0" w:line="240" w:lineRule="auto"/>
              <w:rPr>
                <w:rFonts w:cs="Arial"/>
                <w:szCs w:val="20"/>
              </w:rPr>
            </w:pPr>
          </w:p>
          <w:p w14:paraId="664FE007" w14:textId="62A53ACE" w:rsidR="002532FC" w:rsidRPr="004253A7" w:rsidRDefault="002532FC" w:rsidP="00193349">
            <w:pPr>
              <w:spacing w:after="0" w:line="240" w:lineRule="auto"/>
              <w:rPr>
                <w:rFonts w:cs="Arial"/>
                <w:szCs w:val="20"/>
              </w:rPr>
            </w:pPr>
          </w:p>
        </w:tc>
        <w:tc>
          <w:tcPr>
            <w:tcW w:w="6237" w:type="dxa"/>
            <w:shd w:val="clear" w:color="auto" w:fill="F2F2F2" w:themeFill="background1" w:themeFillShade="F2"/>
          </w:tcPr>
          <w:p w14:paraId="215266FA" w14:textId="3FB16DD2" w:rsidR="002532FC" w:rsidRPr="00696EB4" w:rsidRDefault="002532FC" w:rsidP="00193349">
            <w:pPr>
              <w:pStyle w:val="TableBody"/>
              <w:rPr>
                <w:rFonts w:cs="Arial"/>
                <w:b/>
                <w:bCs/>
                <w:szCs w:val="20"/>
              </w:rPr>
            </w:pPr>
            <w:r w:rsidRPr="00696EB4">
              <w:rPr>
                <w:rFonts w:cs="Arial"/>
                <w:b/>
                <w:bCs/>
                <w:szCs w:val="20"/>
              </w:rPr>
              <w:t xml:space="preserve">Option </w:t>
            </w:r>
            <w:r w:rsidR="00096C45" w:rsidRPr="00696EB4">
              <w:rPr>
                <w:rFonts w:cs="Arial"/>
                <w:b/>
                <w:bCs/>
                <w:szCs w:val="20"/>
              </w:rPr>
              <w:t>A</w:t>
            </w:r>
          </w:p>
          <w:p w14:paraId="71455704" w14:textId="77777777" w:rsidR="002532FC" w:rsidRDefault="002532FC" w:rsidP="00696EB4">
            <w:pPr>
              <w:pStyle w:val="Paragraphbeforelist"/>
            </w:pPr>
            <w:r w:rsidRPr="00CF45B7">
              <w:t xml:space="preserve">For registered devices, the following measures apply: </w:t>
            </w:r>
          </w:p>
          <w:p w14:paraId="0C281843" w14:textId="76716633" w:rsidR="002532FC" w:rsidRPr="00D8773C" w:rsidRDefault="002532FC" w:rsidP="00696EB4">
            <w:pPr>
              <w:pStyle w:val="Bulletlevel1"/>
            </w:pPr>
            <w:r>
              <w:t xml:space="preserve">Ensuring a proposed </w:t>
            </w:r>
            <w:r w:rsidRPr="00D8773C">
              <w:t>BS outside an urban excise area does not exceed -73.9 dBW/m</w:t>
            </w:r>
            <w:r w:rsidRPr="00D8773C">
              <w:rPr>
                <w:vertAlign w:val="superscript"/>
              </w:rPr>
              <w:t>2</w:t>
            </w:r>
            <w:r w:rsidRPr="00D8773C">
              <w:t>/MHz for non-AAS and -65.9 dBW/m</w:t>
            </w:r>
            <w:r w:rsidRPr="00D8773C">
              <w:rPr>
                <w:vertAlign w:val="superscript"/>
              </w:rPr>
              <w:t>2</w:t>
            </w:r>
            <w:r w:rsidRPr="00D8773C">
              <w:t xml:space="preserve">/MHz at a height of 1.5 metres </w:t>
            </w:r>
            <w:r>
              <w:t xml:space="preserve">above ground level </w:t>
            </w:r>
            <w:r w:rsidRPr="00D8773C">
              <w:t xml:space="preserve">within urban excise </w:t>
            </w:r>
            <w:r w:rsidRPr="0050657B">
              <w:t xml:space="preserve">service areas for </w:t>
            </w:r>
            <w:r w:rsidR="00D62D8F">
              <w:t>(</w:t>
            </w:r>
            <w:r w:rsidRPr="0050657B">
              <w:t>T</w:t>
            </w:r>
            <w:r>
              <w:t>BD</w:t>
            </w:r>
            <w:r w:rsidR="00D62D8F">
              <w:t>)</w:t>
            </w:r>
            <w:r w:rsidRPr="00F2190D">
              <w:rPr>
                <w:vertAlign w:val="superscript"/>
              </w:rPr>
              <w:fldChar w:fldCharType="begin"/>
            </w:r>
            <w:r w:rsidRPr="00F2190D">
              <w:rPr>
                <w:vertAlign w:val="superscript"/>
              </w:rPr>
              <w:instrText xml:space="preserve"> NOTEREF _Ref75250747 \h </w:instrText>
            </w:r>
            <w:r>
              <w:rPr>
                <w:vertAlign w:val="superscript"/>
              </w:rPr>
              <w:instrText xml:space="preserve"> \* MERGEFORMAT </w:instrText>
            </w:r>
            <w:r w:rsidRPr="00F2190D">
              <w:rPr>
                <w:vertAlign w:val="superscript"/>
              </w:rPr>
            </w:r>
            <w:r w:rsidRPr="00F2190D">
              <w:rPr>
                <w:vertAlign w:val="superscript"/>
              </w:rPr>
              <w:fldChar w:fldCharType="separate"/>
            </w:r>
            <w:r>
              <w:rPr>
                <w:vertAlign w:val="superscript"/>
              </w:rPr>
              <w:t>1</w:t>
            </w:r>
            <w:r w:rsidRPr="00F2190D">
              <w:rPr>
                <w:vertAlign w:val="superscript"/>
              </w:rPr>
              <w:fldChar w:fldCharType="end"/>
            </w:r>
            <w:r w:rsidRPr="00D8773C">
              <w:t xml:space="preserve"> % of locations. </w:t>
            </w:r>
            <w:r w:rsidRPr="00EB3948">
              <w:t xml:space="preserve">This criterion is to be met </w:t>
            </w:r>
            <w:r>
              <w:t>inside urban excise</w:t>
            </w:r>
            <w:r w:rsidRPr="00EB3948">
              <w:t xml:space="preserve"> areas that</w:t>
            </w:r>
            <w:r>
              <w:t xml:space="preserve"> are</w:t>
            </w:r>
            <w:r w:rsidRPr="00EB3948">
              <w:t xml:space="preserve"> within a 64 km radius of a proposed BS</w:t>
            </w:r>
            <w:r w:rsidR="00D62D8F">
              <w:t>.</w:t>
            </w:r>
          </w:p>
          <w:p w14:paraId="6096C62E" w14:textId="1916145B" w:rsidR="002532FC" w:rsidRPr="00D8773C" w:rsidRDefault="002532FC" w:rsidP="00925D1B">
            <w:pPr>
              <w:pStyle w:val="TableBody"/>
            </w:pPr>
            <w:r w:rsidRPr="00D8773C">
              <w:rPr>
                <w:rFonts w:cs="Arial"/>
                <w:szCs w:val="20"/>
              </w:rPr>
              <w:t xml:space="preserve">Existing measures in the 3.4 GHz spectrum licence technical framework apply in all other cases. </w:t>
            </w:r>
          </w:p>
        </w:tc>
      </w:tr>
      <w:tr w:rsidR="002532FC" w14:paraId="7B6C0FFB" w14:textId="77777777" w:rsidTr="00696EB4">
        <w:trPr>
          <w:cantSplit/>
        </w:trPr>
        <w:tc>
          <w:tcPr>
            <w:tcW w:w="2972" w:type="dxa"/>
            <w:vMerge/>
            <w:shd w:val="clear" w:color="auto" w:fill="F2F2F2" w:themeFill="background1" w:themeFillShade="F2"/>
          </w:tcPr>
          <w:p w14:paraId="4497DAC7" w14:textId="77777777" w:rsidR="002532FC" w:rsidRPr="004253A7" w:rsidRDefault="002532FC" w:rsidP="00193349">
            <w:pPr>
              <w:spacing w:after="0" w:line="240" w:lineRule="auto"/>
              <w:rPr>
                <w:rFonts w:cs="Arial"/>
                <w:szCs w:val="20"/>
              </w:rPr>
            </w:pPr>
          </w:p>
        </w:tc>
        <w:tc>
          <w:tcPr>
            <w:tcW w:w="6237" w:type="dxa"/>
            <w:shd w:val="clear" w:color="auto" w:fill="F2F2F2" w:themeFill="background1" w:themeFillShade="F2"/>
          </w:tcPr>
          <w:p w14:paraId="10B0D285" w14:textId="14CEDF84" w:rsidR="002532FC" w:rsidRPr="00925D1B" w:rsidRDefault="002532FC" w:rsidP="00193349">
            <w:pPr>
              <w:pStyle w:val="TableBody"/>
              <w:rPr>
                <w:rFonts w:cs="Arial"/>
                <w:b/>
                <w:bCs/>
                <w:szCs w:val="20"/>
              </w:rPr>
            </w:pPr>
            <w:r w:rsidRPr="00925D1B">
              <w:rPr>
                <w:rFonts w:cs="Arial"/>
                <w:b/>
                <w:bCs/>
                <w:szCs w:val="20"/>
              </w:rPr>
              <w:t xml:space="preserve">Option </w:t>
            </w:r>
            <w:r w:rsidR="00096C45" w:rsidRPr="00925D1B">
              <w:rPr>
                <w:rFonts w:cs="Arial"/>
                <w:b/>
                <w:bCs/>
                <w:szCs w:val="20"/>
              </w:rPr>
              <w:t>B</w:t>
            </w:r>
          </w:p>
          <w:p w14:paraId="6A890411" w14:textId="77777777" w:rsidR="002532FC" w:rsidRPr="00D8773C" w:rsidRDefault="002532FC" w:rsidP="00925D1B">
            <w:pPr>
              <w:pStyle w:val="Paragraphbeforelist"/>
            </w:pPr>
            <w:r w:rsidRPr="001D57C2">
              <w:t>For registered devices, the following measures apply</w:t>
            </w:r>
            <w:r w:rsidRPr="00D8773C">
              <w:t>:</w:t>
            </w:r>
          </w:p>
          <w:p w14:paraId="256DF285" w14:textId="4B50603F" w:rsidR="002532FC" w:rsidRPr="00284222" w:rsidRDefault="002532FC" w:rsidP="00925D1B">
            <w:pPr>
              <w:pStyle w:val="ListBullet"/>
            </w:pPr>
            <w:r w:rsidRPr="00D8773C">
              <w:t xml:space="preserve">Applying similar rules as within urban excise areas. But for </w:t>
            </w:r>
            <w:r>
              <w:t>C/(N+I)</w:t>
            </w:r>
            <w:r w:rsidRPr="00D8773C">
              <w:t xml:space="preserve"> criteria of </w:t>
            </w:r>
            <w:r w:rsidR="001941D1">
              <w:t>(</w:t>
            </w:r>
            <w:r w:rsidRPr="00D8773C">
              <w:t>TBD</w:t>
            </w:r>
            <w:r w:rsidR="001941D1">
              <w:t>)</w:t>
            </w:r>
            <w:r w:rsidRPr="00F2190D">
              <w:rPr>
                <w:vertAlign w:val="superscript"/>
              </w:rPr>
              <w:fldChar w:fldCharType="begin"/>
            </w:r>
            <w:r w:rsidRPr="00F2190D">
              <w:rPr>
                <w:vertAlign w:val="superscript"/>
              </w:rPr>
              <w:instrText xml:space="preserve"> NOTEREF _Ref75250747 \h </w:instrText>
            </w:r>
            <w:r>
              <w:rPr>
                <w:vertAlign w:val="superscript"/>
              </w:rPr>
              <w:instrText xml:space="preserve"> \* MERGEFORMAT </w:instrText>
            </w:r>
            <w:r w:rsidRPr="00F2190D">
              <w:rPr>
                <w:vertAlign w:val="superscript"/>
              </w:rPr>
            </w:r>
            <w:r w:rsidRPr="00F2190D">
              <w:rPr>
                <w:vertAlign w:val="superscript"/>
              </w:rPr>
              <w:fldChar w:fldCharType="separate"/>
            </w:r>
            <w:r>
              <w:rPr>
                <w:vertAlign w:val="superscript"/>
              </w:rPr>
              <w:t>1</w:t>
            </w:r>
            <w:r w:rsidRPr="00F2190D">
              <w:rPr>
                <w:vertAlign w:val="superscript"/>
              </w:rPr>
              <w:fldChar w:fldCharType="end"/>
            </w:r>
            <w:r w:rsidRPr="00D8773C">
              <w:t xml:space="preserve"> dBm into a notional </w:t>
            </w:r>
            <w:r>
              <w:t>MS</w:t>
            </w:r>
            <w:r w:rsidRPr="00D8773C">
              <w:t>.</w:t>
            </w:r>
          </w:p>
          <w:p w14:paraId="6BF6F042" w14:textId="65892EEB" w:rsidR="002532FC" w:rsidRPr="00D8773C" w:rsidRDefault="002532FC" w:rsidP="00925D1B">
            <w:pPr>
              <w:pStyle w:val="TableBody"/>
            </w:pPr>
            <w:r w:rsidRPr="00D8773C">
              <w:rPr>
                <w:rFonts w:cs="Arial"/>
                <w:szCs w:val="20"/>
              </w:rPr>
              <w:t xml:space="preserve">Existing measures in the 3.4 GHz spectrum licence technical framework apply in all other cases. </w:t>
            </w:r>
          </w:p>
        </w:tc>
      </w:tr>
      <w:tr w:rsidR="002532FC" w14:paraId="647C228E" w14:textId="77777777" w:rsidTr="00696EB4">
        <w:trPr>
          <w:cantSplit/>
        </w:trPr>
        <w:tc>
          <w:tcPr>
            <w:tcW w:w="2972" w:type="dxa"/>
            <w:vMerge w:val="restart"/>
          </w:tcPr>
          <w:p w14:paraId="7BAE01B2" w14:textId="5AD9EC00" w:rsidR="002532FC" w:rsidRDefault="002532FC" w:rsidP="00193349">
            <w:pPr>
              <w:spacing w:after="0" w:line="240" w:lineRule="auto"/>
              <w:rPr>
                <w:rFonts w:cs="Arial"/>
                <w:szCs w:val="20"/>
              </w:rPr>
            </w:pPr>
            <w:bookmarkStart w:id="149" w:name="_Hlk77594049"/>
            <w:r>
              <w:rPr>
                <w:rFonts w:cs="Arial"/>
                <w:szCs w:val="20"/>
              </w:rPr>
              <w:t xml:space="preserve">Unregistered devices </w:t>
            </w:r>
            <w:r w:rsidRPr="00925D1B">
              <w:rPr>
                <w:rFonts w:cs="Arial"/>
                <w:szCs w:val="20"/>
              </w:rPr>
              <w:t>inside</w:t>
            </w:r>
            <w:r w:rsidRPr="004253A7">
              <w:rPr>
                <w:rFonts w:cs="Arial"/>
                <w:szCs w:val="20"/>
              </w:rPr>
              <w:t xml:space="preserve"> urban excise areas within the 3400</w:t>
            </w:r>
            <w:r w:rsidR="001941D1">
              <w:rPr>
                <w:rFonts w:cs="Arial"/>
                <w:szCs w:val="20"/>
              </w:rPr>
              <w:t>–</w:t>
            </w:r>
            <w:r w:rsidRPr="004253A7">
              <w:rPr>
                <w:rFonts w:cs="Arial"/>
                <w:szCs w:val="20"/>
              </w:rPr>
              <w:t>3475 MHz band</w:t>
            </w:r>
          </w:p>
          <w:p w14:paraId="5D84110F" w14:textId="77777777" w:rsidR="002532FC" w:rsidRDefault="002532FC" w:rsidP="00193349">
            <w:pPr>
              <w:spacing w:after="0" w:line="240" w:lineRule="auto"/>
              <w:rPr>
                <w:rFonts w:cs="Arial"/>
                <w:szCs w:val="20"/>
              </w:rPr>
            </w:pPr>
          </w:p>
          <w:p w14:paraId="2E8F4EFB" w14:textId="77CDD370" w:rsidR="002532FC" w:rsidRPr="004253A7" w:rsidRDefault="002532FC" w:rsidP="00193349">
            <w:pPr>
              <w:spacing w:after="0" w:line="240" w:lineRule="auto"/>
              <w:rPr>
                <w:rFonts w:cs="Arial"/>
                <w:szCs w:val="20"/>
              </w:rPr>
            </w:pPr>
          </w:p>
        </w:tc>
        <w:tc>
          <w:tcPr>
            <w:tcW w:w="6237" w:type="dxa"/>
          </w:tcPr>
          <w:p w14:paraId="4AD5C78D" w14:textId="3DDF69BB" w:rsidR="002532FC" w:rsidRPr="00925D1B" w:rsidRDefault="002532FC" w:rsidP="00193349">
            <w:pPr>
              <w:pStyle w:val="TableBody"/>
              <w:rPr>
                <w:rFonts w:cs="Arial"/>
                <w:b/>
                <w:bCs/>
                <w:szCs w:val="20"/>
              </w:rPr>
            </w:pPr>
            <w:r w:rsidRPr="00925D1B">
              <w:rPr>
                <w:rFonts w:cs="Arial"/>
                <w:b/>
                <w:bCs/>
                <w:szCs w:val="20"/>
              </w:rPr>
              <w:t xml:space="preserve">Option </w:t>
            </w:r>
            <w:r w:rsidR="00096C45" w:rsidRPr="00925D1B">
              <w:rPr>
                <w:rFonts w:cs="Arial"/>
                <w:b/>
                <w:bCs/>
                <w:szCs w:val="20"/>
              </w:rPr>
              <w:t>A</w:t>
            </w:r>
          </w:p>
          <w:p w14:paraId="06555A4C" w14:textId="77777777" w:rsidR="002532FC" w:rsidRPr="00D8773C" w:rsidRDefault="002532FC" w:rsidP="00925D1B">
            <w:pPr>
              <w:pStyle w:val="Paragraphbeforelist"/>
            </w:pPr>
            <w:r w:rsidRPr="00D8773C">
              <w:t>No change to existing requirements. These are:</w:t>
            </w:r>
          </w:p>
          <w:p w14:paraId="27B60DEB" w14:textId="77777777" w:rsidR="002532FC" w:rsidRPr="00D8773C" w:rsidRDefault="002532FC" w:rsidP="00925D1B">
            <w:pPr>
              <w:pStyle w:val="Bulletlevel1"/>
            </w:pPr>
            <w:r w:rsidRPr="00D8773C">
              <w:t xml:space="preserve">Operation is only authorised within a licensee’s spectrum space </w:t>
            </w:r>
            <w:r>
              <w:t>when</w:t>
            </w:r>
            <w:r w:rsidRPr="00D8773C">
              <w:t xml:space="preserve"> 3</w:t>
            </w:r>
            <w:r w:rsidRPr="00D8773C">
              <w:rPr>
                <w:vertAlign w:val="superscript"/>
              </w:rPr>
              <w:t>rd</w:t>
            </w:r>
            <w:r w:rsidRPr="00D8773C">
              <w:t xml:space="preserve"> party authorised to do so </w:t>
            </w:r>
            <w:r>
              <w:t>by that</w:t>
            </w:r>
            <w:r w:rsidRPr="00D8773C">
              <w:t xml:space="preserve"> licensee. </w:t>
            </w:r>
          </w:p>
          <w:p w14:paraId="62C61763" w14:textId="753F94C9" w:rsidR="002532FC" w:rsidRPr="008762A7" w:rsidRDefault="002532FC" w:rsidP="00925D1B">
            <w:pPr>
              <w:pStyle w:val="Bulletlevel1"/>
            </w:pPr>
            <w:r w:rsidRPr="00D8773C">
              <w:t>Devices exempt from registration operate on a ‘no interference and no protection’ basis.</w:t>
            </w:r>
          </w:p>
        </w:tc>
      </w:tr>
      <w:tr w:rsidR="002532FC" w14:paraId="60B5D137" w14:textId="77777777" w:rsidTr="00696EB4">
        <w:trPr>
          <w:cantSplit/>
        </w:trPr>
        <w:tc>
          <w:tcPr>
            <w:tcW w:w="2972" w:type="dxa"/>
            <w:vMerge/>
          </w:tcPr>
          <w:p w14:paraId="09468984" w14:textId="77777777" w:rsidR="002532FC" w:rsidRDefault="002532FC" w:rsidP="00193349">
            <w:pPr>
              <w:spacing w:after="0" w:line="240" w:lineRule="auto"/>
              <w:rPr>
                <w:rFonts w:cs="Arial"/>
                <w:szCs w:val="20"/>
              </w:rPr>
            </w:pPr>
          </w:p>
        </w:tc>
        <w:tc>
          <w:tcPr>
            <w:tcW w:w="6237" w:type="dxa"/>
          </w:tcPr>
          <w:p w14:paraId="72163DF4" w14:textId="671A2571" w:rsidR="002532FC" w:rsidRPr="00925D1B" w:rsidRDefault="002532FC" w:rsidP="00193349">
            <w:pPr>
              <w:pStyle w:val="TableBody"/>
              <w:rPr>
                <w:b/>
                <w:bCs/>
              </w:rPr>
            </w:pPr>
            <w:r w:rsidRPr="00925D1B">
              <w:rPr>
                <w:rFonts w:cs="Arial"/>
                <w:b/>
                <w:bCs/>
                <w:szCs w:val="20"/>
              </w:rPr>
              <w:t xml:space="preserve">Option </w:t>
            </w:r>
            <w:r w:rsidR="00096C45" w:rsidRPr="00925D1B">
              <w:rPr>
                <w:rFonts w:cs="Arial"/>
                <w:b/>
                <w:bCs/>
                <w:szCs w:val="20"/>
              </w:rPr>
              <w:t>B</w:t>
            </w:r>
          </w:p>
          <w:p w14:paraId="5A53B1E6" w14:textId="77777777" w:rsidR="002532FC" w:rsidRPr="00D8773C" w:rsidRDefault="002532FC" w:rsidP="00193349">
            <w:pPr>
              <w:pStyle w:val="TableBody"/>
              <w:spacing w:after="120"/>
            </w:pPr>
            <w:r w:rsidRPr="00D8773C">
              <w:t xml:space="preserve">Existing requirements </w:t>
            </w:r>
            <w:r>
              <w:t xml:space="preserve">on spectrum licences </w:t>
            </w:r>
            <w:r w:rsidRPr="00D8773C">
              <w:t xml:space="preserve">apply to mobile devices. For fixed UEs (or a subset of defined fixed UEs) existing </w:t>
            </w:r>
            <w:r>
              <w:t>requirements</w:t>
            </w:r>
            <w:r w:rsidRPr="00D8773C">
              <w:t xml:space="preserve"> </w:t>
            </w:r>
            <w:r>
              <w:t xml:space="preserve">on spectrum licences </w:t>
            </w:r>
            <w:r w:rsidRPr="00D8773C">
              <w:t xml:space="preserve">apply </w:t>
            </w:r>
            <w:r>
              <w:t>with the exception that</w:t>
            </w:r>
            <w:r w:rsidRPr="00D8773C">
              <w:t>:</w:t>
            </w:r>
          </w:p>
          <w:p w14:paraId="48C8F6EE" w14:textId="4CF02336" w:rsidR="002532FC" w:rsidRPr="00D8773C" w:rsidRDefault="002532FC" w:rsidP="00925D1B">
            <w:pPr>
              <w:pStyle w:val="Bulletlevel1"/>
            </w:pPr>
            <w:r w:rsidRPr="00D8773C">
              <w:t>Fixed UEs in the 3400</w:t>
            </w:r>
            <w:r w:rsidR="001941D1">
              <w:t>–</w:t>
            </w:r>
            <w:r w:rsidRPr="00D8773C">
              <w:t xml:space="preserve">3475 MHz band and inside urban excise areas, are deemed </w:t>
            </w:r>
            <w:r>
              <w:t xml:space="preserve">not </w:t>
            </w:r>
            <w:r w:rsidRPr="00D8773C">
              <w:t xml:space="preserve">to cause interference to adjacent area licences. </w:t>
            </w:r>
          </w:p>
        </w:tc>
      </w:tr>
      <w:tr w:rsidR="002532FC" w14:paraId="2C08EE05" w14:textId="77777777" w:rsidTr="00696EB4">
        <w:trPr>
          <w:cantSplit/>
        </w:trPr>
        <w:tc>
          <w:tcPr>
            <w:tcW w:w="2972" w:type="dxa"/>
            <w:vMerge w:val="restart"/>
            <w:shd w:val="clear" w:color="auto" w:fill="F2F2F2" w:themeFill="background1" w:themeFillShade="F2"/>
          </w:tcPr>
          <w:p w14:paraId="3A281322" w14:textId="3383BDF6" w:rsidR="002532FC" w:rsidRDefault="002532FC" w:rsidP="00193349">
            <w:pPr>
              <w:spacing w:after="0" w:line="240" w:lineRule="auto"/>
              <w:rPr>
                <w:rFonts w:cs="Arial"/>
                <w:szCs w:val="20"/>
              </w:rPr>
            </w:pPr>
            <w:r>
              <w:rPr>
                <w:rFonts w:cs="Arial"/>
                <w:szCs w:val="20"/>
              </w:rPr>
              <w:t xml:space="preserve">Unregistered devices </w:t>
            </w:r>
            <w:r w:rsidRPr="00925D1B">
              <w:rPr>
                <w:rFonts w:cs="Arial"/>
                <w:szCs w:val="20"/>
              </w:rPr>
              <w:t>outside</w:t>
            </w:r>
            <w:r>
              <w:rPr>
                <w:rFonts w:cs="Arial"/>
                <w:b/>
                <w:bCs/>
                <w:i/>
                <w:iCs/>
                <w:szCs w:val="20"/>
              </w:rPr>
              <w:t xml:space="preserve"> </w:t>
            </w:r>
            <w:r w:rsidRPr="004253A7">
              <w:rPr>
                <w:rFonts w:cs="Arial"/>
                <w:szCs w:val="20"/>
              </w:rPr>
              <w:t>urban excise areas within the 3400</w:t>
            </w:r>
            <w:r w:rsidR="001941D1">
              <w:rPr>
                <w:rFonts w:cs="Arial"/>
                <w:szCs w:val="20"/>
              </w:rPr>
              <w:t>–</w:t>
            </w:r>
            <w:r w:rsidRPr="004253A7">
              <w:rPr>
                <w:rFonts w:cs="Arial"/>
                <w:szCs w:val="20"/>
              </w:rPr>
              <w:t>3475 MHz band</w:t>
            </w:r>
          </w:p>
          <w:p w14:paraId="2E72C543" w14:textId="77777777" w:rsidR="002532FC" w:rsidRDefault="002532FC" w:rsidP="00193349">
            <w:pPr>
              <w:spacing w:after="0" w:line="240" w:lineRule="auto"/>
              <w:rPr>
                <w:rFonts w:cs="Arial"/>
                <w:szCs w:val="20"/>
              </w:rPr>
            </w:pPr>
          </w:p>
          <w:p w14:paraId="040660E1" w14:textId="534BCCFD" w:rsidR="002532FC" w:rsidRPr="004253A7" w:rsidRDefault="002532FC" w:rsidP="00193349">
            <w:pPr>
              <w:spacing w:after="0" w:line="240" w:lineRule="auto"/>
              <w:rPr>
                <w:rFonts w:cs="Arial"/>
                <w:szCs w:val="20"/>
              </w:rPr>
            </w:pPr>
          </w:p>
        </w:tc>
        <w:tc>
          <w:tcPr>
            <w:tcW w:w="6237" w:type="dxa"/>
            <w:shd w:val="clear" w:color="auto" w:fill="F2F2F2" w:themeFill="background1" w:themeFillShade="F2"/>
          </w:tcPr>
          <w:p w14:paraId="03BF3A6F" w14:textId="41A77687" w:rsidR="002532FC" w:rsidRPr="00925D1B" w:rsidRDefault="002532FC" w:rsidP="00925D1B">
            <w:pPr>
              <w:pStyle w:val="Paragraphbeforelist"/>
              <w:spacing w:after="0"/>
              <w:rPr>
                <w:b/>
                <w:bCs/>
              </w:rPr>
            </w:pPr>
            <w:r w:rsidRPr="00925D1B">
              <w:rPr>
                <w:b/>
                <w:bCs/>
              </w:rPr>
              <w:t xml:space="preserve">Option </w:t>
            </w:r>
            <w:r w:rsidR="00096C45" w:rsidRPr="00925D1B">
              <w:rPr>
                <w:b/>
                <w:bCs/>
              </w:rPr>
              <w:t>A</w:t>
            </w:r>
          </w:p>
          <w:p w14:paraId="5A316B9F" w14:textId="77777777" w:rsidR="002532FC" w:rsidRPr="00D8773C" w:rsidRDefault="002532FC" w:rsidP="00925D1B">
            <w:pPr>
              <w:pStyle w:val="Paragraphbeforelist"/>
            </w:pPr>
            <w:r w:rsidRPr="00D8773C">
              <w:t>No change to existing requirements. These are:</w:t>
            </w:r>
          </w:p>
          <w:p w14:paraId="0B3B7E42" w14:textId="595A00F7" w:rsidR="002532FC" w:rsidRPr="00D8773C" w:rsidRDefault="002532FC" w:rsidP="00925D1B">
            <w:pPr>
              <w:pStyle w:val="Bulletlevel1"/>
            </w:pPr>
            <w:r w:rsidRPr="00D8773C">
              <w:t xml:space="preserve">Operation is only authorised within a licensee’s spectrum space </w:t>
            </w:r>
            <w:r>
              <w:t>when</w:t>
            </w:r>
            <w:r w:rsidRPr="00D8773C">
              <w:t xml:space="preserve"> </w:t>
            </w:r>
            <w:r w:rsidR="00887FCD">
              <w:t xml:space="preserve">third </w:t>
            </w:r>
            <w:r w:rsidRPr="00D8773C">
              <w:t xml:space="preserve">party authorised to do so </w:t>
            </w:r>
            <w:r>
              <w:t>by that</w:t>
            </w:r>
            <w:r w:rsidRPr="00D8773C">
              <w:t xml:space="preserve"> licensee. </w:t>
            </w:r>
          </w:p>
          <w:p w14:paraId="0D986FE2" w14:textId="08825A71" w:rsidR="002532FC" w:rsidRPr="00D8773C" w:rsidRDefault="002532FC" w:rsidP="00925D1B">
            <w:pPr>
              <w:pStyle w:val="Bulletlevel1"/>
            </w:pPr>
            <w:r w:rsidRPr="00D8773C">
              <w:t>Devices exempt from registration operate on a ‘no interference and no protection’ basis.</w:t>
            </w:r>
          </w:p>
        </w:tc>
      </w:tr>
      <w:tr w:rsidR="002532FC" w14:paraId="7AD07E5C" w14:textId="77777777" w:rsidTr="00696EB4">
        <w:trPr>
          <w:cantSplit/>
        </w:trPr>
        <w:tc>
          <w:tcPr>
            <w:tcW w:w="2972" w:type="dxa"/>
            <w:vMerge/>
            <w:shd w:val="clear" w:color="auto" w:fill="F2F2F2" w:themeFill="background1" w:themeFillShade="F2"/>
          </w:tcPr>
          <w:p w14:paraId="6DA00324" w14:textId="77777777" w:rsidR="002532FC" w:rsidRDefault="002532FC" w:rsidP="00193349">
            <w:pPr>
              <w:spacing w:after="0" w:line="240" w:lineRule="auto"/>
              <w:rPr>
                <w:rFonts w:cs="Arial"/>
                <w:szCs w:val="20"/>
              </w:rPr>
            </w:pPr>
          </w:p>
        </w:tc>
        <w:tc>
          <w:tcPr>
            <w:tcW w:w="6237" w:type="dxa"/>
            <w:shd w:val="clear" w:color="auto" w:fill="F2F2F2" w:themeFill="background1" w:themeFillShade="F2"/>
          </w:tcPr>
          <w:p w14:paraId="2EA5674D" w14:textId="507AF32E" w:rsidR="002532FC" w:rsidRPr="00925D1B" w:rsidRDefault="002532FC" w:rsidP="00925D1B">
            <w:pPr>
              <w:pStyle w:val="TableBody"/>
              <w:rPr>
                <w:b/>
                <w:bCs/>
              </w:rPr>
            </w:pPr>
            <w:r w:rsidRPr="00925D1B">
              <w:rPr>
                <w:b/>
                <w:bCs/>
              </w:rPr>
              <w:t xml:space="preserve">Option </w:t>
            </w:r>
            <w:r w:rsidR="00096C45" w:rsidRPr="00925D1B">
              <w:rPr>
                <w:b/>
                <w:bCs/>
              </w:rPr>
              <w:t>B</w:t>
            </w:r>
          </w:p>
          <w:p w14:paraId="1A78CC1E" w14:textId="77777777" w:rsidR="002532FC" w:rsidRPr="00D8773C" w:rsidRDefault="002532FC" w:rsidP="00925D1B">
            <w:pPr>
              <w:pStyle w:val="Paragraphbeforelist"/>
            </w:pPr>
            <w:r w:rsidRPr="00D8773C">
              <w:t xml:space="preserve">Existing requirements apply with the </w:t>
            </w:r>
            <w:r>
              <w:t>exception that</w:t>
            </w:r>
            <w:r w:rsidRPr="00D8773C">
              <w:t>:</w:t>
            </w:r>
          </w:p>
          <w:p w14:paraId="2AA79A20" w14:textId="66BCDDA9" w:rsidR="002532FC" w:rsidRPr="00D8773C" w:rsidRDefault="002532FC" w:rsidP="00925D1B">
            <w:pPr>
              <w:pStyle w:val="Bulletlevel1"/>
            </w:pPr>
            <w:r w:rsidRPr="00D8773C">
              <w:t xml:space="preserve">Fixed UEs associated with the provision of the NBN in the </w:t>
            </w:r>
            <w:r w:rsidR="00887FCD">
              <w:br/>
            </w:r>
            <w:r w:rsidRPr="00D8773C">
              <w:t>3400</w:t>
            </w:r>
            <w:r w:rsidR="00887FCD">
              <w:t>–</w:t>
            </w:r>
            <w:r w:rsidRPr="00D8773C">
              <w:t>3475 MHz band, are deemed</w:t>
            </w:r>
            <w:r>
              <w:t xml:space="preserve"> not</w:t>
            </w:r>
            <w:r w:rsidRPr="00D8773C">
              <w:t xml:space="preserve"> to cause interference into urban excise areas. </w:t>
            </w:r>
          </w:p>
        </w:tc>
      </w:tr>
      <w:bookmarkEnd w:id="149"/>
      <w:tr w:rsidR="002532FC" w14:paraId="4CD014DE" w14:textId="77777777" w:rsidTr="00696EB4">
        <w:trPr>
          <w:cantSplit/>
        </w:trPr>
        <w:tc>
          <w:tcPr>
            <w:tcW w:w="2972" w:type="dxa"/>
          </w:tcPr>
          <w:p w14:paraId="2B8C8D3A" w14:textId="07609A5B" w:rsidR="002532FC" w:rsidRPr="004253A7" w:rsidRDefault="002532FC" w:rsidP="00193349">
            <w:pPr>
              <w:spacing w:after="0" w:line="240" w:lineRule="auto"/>
              <w:rPr>
                <w:rFonts w:cs="Arial"/>
                <w:szCs w:val="20"/>
              </w:rPr>
            </w:pPr>
            <w:r>
              <w:rPr>
                <w:rFonts w:cs="Arial"/>
                <w:szCs w:val="20"/>
              </w:rPr>
              <w:t>D</w:t>
            </w:r>
            <w:r w:rsidRPr="004253A7">
              <w:rPr>
                <w:rFonts w:cs="Arial"/>
                <w:szCs w:val="20"/>
              </w:rPr>
              <w:t>evices</w:t>
            </w:r>
            <w:r>
              <w:rPr>
                <w:rFonts w:cs="Arial"/>
                <w:szCs w:val="20"/>
              </w:rPr>
              <w:t xml:space="preserve"> (both registered and</w:t>
            </w:r>
            <w:r w:rsidR="00887FCD">
              <w:rPr>
                <w:rFonts w:cs="Arial"/>
                <w:szCs w:val="20"/>
              </w:rPr>
              <w:t> </w:t>
            </w:r>
            <w:r>
              <w:rPr>
                <w:rFonts w:cs="Arial"/>
                <w:szCs w:val="20"/>
              </w:rPr>
              <w:t>unregistered)</w:t>
            </w:r>
            <w:r w:rsidRPr="004253A7">
              <w:rPr>
                <w:rFonts w:cs="Arial"/>
                <w:szCs w:val="20"/>
              </w:rPr>
              <w:t xml:space="preserve"> in </w:t>
            </w:r>
            <w:r>
              <w:rPr>
                <w:rFonts w:cs="Arial"/>
                <w:szCs w:val="20"/>
              </w:rPr>
              <w:t xml:space="preserve">the </w:t>
            </w:r>
            <w:r w:rsidR="00887FCD">
              <w:rPr>
                <w:rFonts w:cs="Arial"/>
                <w:szCs w:val="20"/>
              </w:rPr>
              <w:br/>
            </w:r>
            <w:r w:rsidRPr="004253A7">
              <w:rPr>
                <w:rFonts w:cs="Arial"/>
                <w:szCs w:val="20"/>
              </w:rPr>
              <w:t>3475</w:t>
            </w:r>
            <w:r w:rsidR="00887FCD">
              <w:rPr>
                <w:rFonts w:cs="Arial"/>
                <w:szCs w:val="20"/>
              </w:rPr>
              <w:t>–</w:t>
            </w:r>
            <w:r w:rsidRPr="004253A7">
              <w:rPr>
                <w:rFonts w:cs="Arial"/>
                <w:szCs w:val="20"/>
              </w:rPr>
              <w:t>3700 MHz band</w:t>
            </w:r>
          </w:p>
        </w:tc>
        <w:tc>
          <w:tcPr>
            <w:tcW w:w="6237" w:type="dxa"/>
          </w:tcPr>
          <w:p w14:paraId="4A12C303" w14:textId="77777777" w:rsidR="002532FC" w:rsidRPr="00D8773C" w:rsidRDefault="002532FC" w:rsidP="00193349">
            <w:pPr>
              <w:spacing w:after="0" w:line="240" w:lineRule="auto"/>
              <w:rPr>
                <w:rFonts w:cs="Arial"/>
                <w:szCs w:val="20"/>
              </w:rPr>
            </w:pPr>
            <w:r w:rsidRPr="00D8773C">
              <w:rPr>
                <w:rFonts w:cs="Arial"/>
                <w:szCs w:val="20"/>
              </w:rPr>
              <w:t xml:space="preserve">No change to existing requirements. </w:t>
            </w:r>
          </w:p>
        </w:tc>
      </w:tr>
      <w:tr w:rsidR="002532FC" w14:paraId="07CACC64" w14:textId="77777777" w:rsidTr="00696EB4">
        <w:trPr>
          <w:cantSplit/>
        </w:trPr>
        <w:tc>
          <w:tcPr>
            <w:tcW w:w="2972" w:type="dxa"/>
            <w:vMerge w:val="restart"/>
            <w:shd w:val="clear" w:color="auto" w:fill="F2F2F2" w:themeFill="background1" w:themeFillShade="F2"/>
          </w:tcPr>
          <w:p w14:paraId="65BD6D20" w14:textId="179AC5E5" w:rsidR="002532FC" w:rsidRDefault="002532FC" w:rsidP="00193349">
            <w:pPr>
              <w:spacing w:after="0" w:line="240" w:lineRule="auto"/>
              <w:rPr>
                <w:rFonts w:cs="Arial"/>
                <w:szCs w:val="20"/>
              </w:rPr>
            </w:pPr>
            <w:r w:rsidRPr="00F82A66">
              <w:rPr>
                <w:rFonts w:cs="Arial"/>
                <w:szCs w:val="20"/>
              </w:rPr>
              <w:t xml:space="preserve">Measures to enable </w:t>
            </w:r>
            <w:r>
              <w:rPr>
                <w:rFonts w:cs="Arial"/>
                <w:szCs w:val="20"/>
              </w:rPr>
              <w:t>NBN Co</w:t>
            </w:r>
            <w:r w:rsidRPr="00F82A66">
              <w:rPr>
                <w:rFonts w:cs="Arial"/>
                <w:szCs w:val="20"/>
              </w:rPr>
              <w:t xml:space="preserve"> to deploy new more spectrally efficient technologies in the future</w:t>
            </w:r>
            <w:r>
              <w:rPr>
                <w:rFonts w:cs="Arial"/>
                <w:szCs w:val="20"/>
              </w:rPr>
              <w:t xml:space="preserve"> (e.g.</w:t>
            </w:r>
            <w:r w:rsidR="000147B6">
              <w:rPr>
                <w:rFonts w:cs="Arial"/>
                <w:szCs w:val="20"/>
              </w:rPr>
              <w:t>,</w:t>
            </w:r>
            <w:r>
              <w:rPr>
                <w:rFonts w:cs="Arial"/>
                <w:szCs w:val="20"/>
              </w:rPr>
              <w:t xml:space="preserve"> 5G, AAS)</w:t>
            </w:r>
          </w:p>
          <w:p w14:paraId="2F1054B8" w14:textId="77777777" w:rsidR="002532FC" w:rsidRDefault="002532FC" w:rsidP="00193349">
            <w:pPr>
              <w:spacing w:after="0" w:line="240" w:lineRule="auto"/>
              <w:rPr>
                <w:rFonts w:cs="Arial"/>
                <w:szCs w:val="20"/>
              </w:rPr>
            </w:pPr>
          </w:p>
          <w:p w14:paraId="208EE67F" w14:textId="77777777" w:rsidR="002532FC" w:rsidRPr="004253A7" w:rsidRDefault="002532FC" w:rsidP="00193349">
            <w:pPr>
              <w:spacing w:after="0" w:line="240" w:lineRule="auto"/>
              <w:rPr>
                <w:rFonts w:cs="Arial"/>
                <w:szCs w:val="20"/>
              </w:rPr>
            </w:pPr>
          </w:p>
        </w:tc>
        <w:tc>
          <w:tcPr>
            <w:tcW w:w="6237" w:type="dxa"/>
            <w:shd w:val="clear" w:color="auto" w:fill="F2F2F2" w:themeFill="background1" w:themeFillShade="F2"/>
          </w:tcPr>
          <w:p w14:paraId="252D4CD6" w14:textId="634CFB45" w:rsidR="002532FC" w:rsidRPr="00925D1B" w:rsidRDefault="002532FC" w:rsidP="00193349">
            <w:pPr>
              <w:pStyle w:val="TableBody"/>
              <w:rPr>
                <w:rFonts w:cs="Arial"/>
                <w:b/>
                <w:bCs/>
                <w:szCs w:val="20"/>
              </w:rPr>
            </w:pPr>
            <w:r w:rsidRPr="00925D1B">
              <w:rPr>
                <w:rFonts w:cs="Arial"/>
                <w:b/>
                <w:bCs/>
                <w:szCs w:val="20"/>
              </w:rPr>
              <w:t xml:space="preserve">Option </w:t>
            </w:r>
            <w:r w:rsidR="00096C45" w:rsidRPr="00925D1B">
              <w:rPr>
                <w:rFonts w:cs="Arial"/>
                <w:b/>
                <w:bCs/>
                <w:szCs w:val="20"/>
              </w:rPr>
              <w:t>A</w:t>
            </w:r>
          </w:p>
          <w:p w14:paraId="78B30B70" w14:textId="2416D9F5" w:rsidR="002532FC" w:rsidRPr="00D8773C" w:rsidRDefault="002532FC" w:rsidP="00925D1B">
            <w:pPr>
              <w:spacing w:after="0" w:line="240" w:lineRule="auto"/>
            </w:pPr>
            <w:r w:rsidRPr="00D8773C">
              <w:rPr>
                <w:rFonts w:cs="Arial"/>
                <w:szCs w:val="20"/>
              </w:rPr>
              <w:t xml:space="preserve">Put a condition on all urban excise area licences in the </w:t>
            </w:r>
            <w:r w:rsidR="000147B6">
              <w:rPr>
                <w:rFonts w:cs="Arial"/>
                <w:szCs w:val="20"/>
              </w:rPr>
              <w:br/>
            </w:r>
            <w:r w:rsidRPr="00D8773C">
              <w:rPr>
                <w:rFonts w:cs="Arial"/>
                <w:szCs w:val="20"/>
              </w:rPr>
              <w:t>3400</w:t>
            </w:r>
            <w:r w:rsidR="000147B6">
              <w:rPr>
                <w:rFonts w:cs="Arial"/>
                <w:szCs w:val="20"/>
              </w:rPr>
              <w:t>–</w:t>
            </w:r>
            <w:r w:rsidRPr="00D8773C">
              <w:rPr>
                <w:rFonts w:cs="Arial"/>
                <w:szCs w:val="20"/>
              </w:rPr>
              <w:t xml:space="preserve">3475 MHz band </w:t>
            </w:r>
            <w:r>
              <w:rPr>
                <w:rFonts w:cs="Arial"/>
                <w:szCs w:val="20"/>
              </w:rPr>
              <w:t>which</w:t>
            </w:r>
            <w:r w:rsidRPr="00D8773C">
              <w:rPr>
                <w:rFonts w:cs="Arial"/>
                <w:szCs w:val="20"/>
              </w:rPr>
              <w:t xml:space="preserve"> states th</w:t>
            </w:r>
            <w:r>
              <w:rPr>
                <w:rFonts w:cs="Arial"/>
                <w:szCs w:val="20"/>
              </w:rPr>
              <w:t>at</w:t>
            </w:r>
            <w:r w:rsidRPr="00D8773C">
              <w:rPr>
                <w:rFonts w:cs="Arial"/>
                <w:szCs w:val="20"/>
              </w:rPr>
              <w:t xml:space="preserve"> licensees cannot claim protection from interference caused by base stations associated with the delivery of the </w:t>
            </w:r>
            <w:r>
              <w:rPr>
                <w:rFonts w:cs="Arial"/>
                <w:szCs w:val="20"/>
              </w:rPr>
              <w:t>NBN</w:t>
            </w:r>
            <w:r w:rsidRPr="00D8773C">
              <w:rPr>
                <w:rFonts w:cs="Arial"/>
                <w:szCs w:val="20"/>
              </w:rPr>
              <w:t>.</w:t>
            </w:r>
          </w:p>
        </w:tc>
      </w:tr>
      <w:tr w:rsidR="002532FC" w14:paraId="769ACD7F" w14:textId="77777777" w:rsidTr="00696EB4">
        <w:trPr>
          <w:cantSplit/>
        </w:trPr>
        <w:tc>
          <w:tcPr>
            <w:tcW w:w="2972" w:type="dxa"/>
            <w:vMerge/>
            <w:shd w:val="clear" w:color="auto" w:fill="F2F2F2" w:themeFill="background1" w:themeFillShade="F2"/>
          </w:tcPr>
          <w:p w14:paraId="0A0FBFD2" w14:textId="77777777" w:rsidR="002532FC" w:rsidRPr="00F82A66" w:rsidRDefault="002532FC" w:rsidP="00193349">
            <w:pPr>
              <w:spacing w:after="0" w:line="240" w:lineRule="auto"/>
              <w:rPr>
                <w:rFonts w:cs="Arial"/>
                <w:szCs w:val="20"/>
              </w:rPr>
            </w:pPr>
          </w:p>
        </w:tc>
        <w:tc>
          <w:tcPr>
            <w:tcW w:w="6237" w:type="dxa"/>
            <w:shd w:val="clear" w:color="auto" w:fill="F2F2F2" w:themeFill="background1" w:themeFillShade="F2"/>
          </w:tcPr>
          <w:p w14:paraId="193E8434" w14:textId="1B5079D5" w:rsidR="002532FC" w:rsidRPr="00925D1B" w:rsidRDefault="002532FC" w:rsidP="00193349">
            <w:pPr>
              <w:pStyle w:val="TableBody"/>
              <w:rPr>
                <w:rFonts w:cs="Arial"/>
                <w:b/>
                <w:bCs/>
                <w:szCs w:val="20"/>
              </w:rPr>
            </w:pPr>
            <w:r w:rsidRPr="00925D1B">
              <w:rPr>
                <w:rFonts w:cs="Arial"/>
                <w:b/>
                <w:bCs/>
                <w:szCs w:val="20"/>
              </w:rPr>
              <w:t xml:space="preserve">Option </w:t>
            </w:r>
            <w:r w:rsidR="00096C45" w:rsidRPr="00925D1B">
              <w:rPr>
                <w:rFonts w:cs="Arial"/>
                <w:b/>
                <w:bCs/>
                <w:szCs w:val="20"/>
              </w:rPr>
              <w:t>B</w:t>
            </w:r>
          </w:p>
          <w:p w14:paraId="0E62791D" w14:textId="152B42E6" w:rsidR="002532FC" w:rsidRPr="00D8773C" w:rsidRDefault="002532FC" w:rsidP="00193349">
            <w:pPr>
              <w:pStyle w:val="TableBody"/>
              <w:rPr>
                <w:rFonts w:cs="Arial"/>
                <w:color w:val="000000" w:themeColor="text1"/>
              </w:rPr>
            </w:pPr>
            <w:r w:rsidRPr="00D8773C">
              <w:rPr>
                <w:rFonts w:cs="Arial"/>
                <w:szCs w:val="20"/>
              </w:rPr>
              <w:t xml:space="preserve">Before urban excise areas are made available, </w:t>
            </w:r>
            <w:r>
              <w:rPr>
                <w:rFonts w:cs="Arial"/>
                <w:szCs w:val="20"/>
              </w:rPr>
              <w:t>NBN Co</w:t>
            </w:r>
            <w:r w:rsidRPr="00D8773C">
              <w:rPr>
                <w:rFonts w:cs="Arial"/>
                <w:szCs w:val="20"/>
              </w:rPr>
              <w:t xml:space="preserve"> would c</w:t>
            </w:r>
            <w:r w:rsidRPr="00D8773C">
              <w:rPr>
                <w:rFonts w:cs="Arial"/>
                <w:color w:val="000000" w:themeColor="text1"/>
              </w:rPr>
              <w:t>oordinate and register devices at all new planned or likely</w:t>
            </w:r>
            <w:r>
              <w:rPr>
                <w:rFonts w:cs="Arial"/>
                <w:color w:val="000000" w:themeColor="text1"/>
              </w:rPr>
              <w:t xml:space="preserve"> new</w:t>
            </w:r>
            <w:r w:rsidRPr="00D8773C">
              <w:rPr>
                <w:rFonts w:cs="Arial"/>
                <w:color w:val="000000" w:themeColor="text1"/>
              </w:rPr>
              <w:t xml:space="preserve"> base station sites.</w:t>
            </w:r>
          </w:p>
          <w:p w14:paraId="72CD062E" w14:textId="77777777" w:rsidR="002532FC" w:rsidRPr="00D8773C" w:rsidRDefault="002532FC" w:rsidP="00193349">
            <w:pPr>
              <w:pStyle w:val="TableBody"/>
              <w:rPr>
                <w:rFonts w:cs="Arial"/>
                <w:szCs w:val="20"/>
              </w:rPr>
            </w:pPr>
          </w:p>
          <w:p w14:paraId="3E72F8D7" w14:textId="6E0D688D" w:rsidR="002532FC" w:rsidRPr="00D8773C" w:rsidRDefault="002532FC" w:rsidP="00193349">
            <w:pPr>
              <w:pStyle w:val="TableBody"/>
              <w:rPr>
                <w:rFonts w:cs="Arial"/>
                <w:szCs w:val="20"/>
              </w:rPr>
            </w:pPr>
            <w:r w:rsidRPr="00D8773C">
              <w:rPr>
                <w:rFonts w:cs="Arial"/>
                <w:szCs w:val="20"/>
              </w:rPr>
              <w:t xml:space="preserve">In addition, a condition </w:t>
            </w:r>
            <w:r>
              <w:rPr>
                <w:rFonts w:cs="Arial"/>
                <w:szCs w:val="20"/>
              </w:rPr>
              <w:t xml:space="preserve">would be added </w:t>
            </w:r>
            <w:r w:rsidRPr="00D8773C">
              <w:rPr>
                <w:rFonts w:cs="Arial"/>
                <w:szCs w:val="20"/>
              </w:rPr>
              <w:t xml:space="preserve">to </w:t>
            </w:r>
            <w:r>
              <w:rPr>
                <w:rFonts w:cs="Arial"/>
                <w:szCs w:val="20"/>
              </w:rPr>
              <w:t xml:space="preserve">the </w:t>
            </w:r>
            <w:r w:rsidRPr="00D8773C">
              <w:rPr>
                <w:rFonts w:cs="Arial"/>
                <w:szCs w:val="20"/>
              </w:rPr>
              <w:t xml:space="preserve">relevant licences or the s.145(4) </w:t>
            </w:r>
            <w:r w:rsidR="000147B6">
              <w:rPr>
                <w:rFonts w:cs="Arial"/>
                <w:szCs w:val="20"/>
              </w:rPr>
              <w:t>D</w:t>
            </w:r>
            <w:r w:rsidRPr="00D8773C">
              <w:rPr>
                <w:rFonts w:cs="Arial"/>
                <w:szCs w:val="20"/>
              </w:rPr>
              <w:t xml:space="preserve">etermination, that allows </w:t>
            </w:r>
            <w:r>
              <w:rPr>
                <w:rFonts w:cs="Arial"/>
                <w:szCs w:val="20"/>
              </w:rPr>
              <w:t>NBN Co</w:t>
            </w:r>
            <w:r w:rsidRPr="00D8773C">
              <w:rPr>
                <w:rFonts w:cs="Arial"/>
                <w:szCs w:val="20"/>
              </w:rPr>
              <w:t xml:space="preserve"> to deploy higher gain antennas (to a defined point) and larger bandwidths at existing </w:t>
            </w:r>
            <w:r>
              <w:rPr>
                <w:rFonts w:cs="Arial"/>
                <w:szCs w:val="20"/>
              </w:rPr>
              <w:t>NBN Co</w:t>
            </w:r>
            <w:r w:rsidRPr="00D8773C">
              <w:rPr>
                <w:rFonts w:cs="Arial"/>
                <w:szCs w:val="20"/>
              </w:rPr>
              <w:t xml:space="preserve"> BS sites without needing to re-coordinate with services inside urban excise areas. This condition would only apply to </w:t>
            </w:r>
            <w:r>
              <w:rPr>
                <w:rFonts w:cs="Arial"/>
                <w:szCs w:val="20"/>
              </w:rPr>
              <w:t xml:space="preserve">NBN Co </w:t>
            </w:r>
            <w:r w:rsidRPr="00D8773C">
              <w:rPr>
                <w:rFonts w:cs="Arial"/>
                <w:szCs w:val="20"/>
              </w:rPr>
              <w:t>BS in the 3400</w:t>
            </w:r>
            <w:r w:rsidR="000147B6">
              <w:rPr>
                <w:rFonts w:cs="Arial"/>
                <w:szCs w:val="20"/>
              </w:rPr>
              <w:t>–</w:t>
            </w:r>
            <w:r w:rsidRPr="00D8773C">
              <w:rPr>
                <w:rFonts w:cs="Arial"/>
                <w:szCs w:val="20"/>
              </w:rPr>
              <w:t xml:space="preserve">3475 MHz band </w:t>
            </w:r>
            <w:r>
              <w:rPr>
                <w:rFonts w:cs="Arial"/>
                <w:szCs w:val="20"/>
              </w:rPr>
              <w:t xml:space="preserve">and </w:t>
            </w:r>
            <w:r w:rsidRPr="00D8773C">
              <w:rPr>
                <w:rFonts w:cs="Arial"/>
                <w:szCs w:val="20"/>
              </w:rPr>
              <w:t xml:space="preserve">only when managing interference into urban excise areas. </w:t>
            </w:r>
            <w:r w:rsidRPr="00D8773C">
              <w:rPr>
                <w:rFonts w:cs="Arial"/>
                <w:color w:val="000000" w:themeColor="text1"/>
              </w:rPr>
              <w:t>Prospective urban excise licensees would</w:t>
            </w:r>
            <w:r>
              <w:rPr>
                <w:rFonts w:cs="Arial"/>
                <w:color w:val="000000" w:themeColor="text1"/>
              </w:rPr>
              <w:t xml:space="preserve"> need to</w:t>
            </w:r>
            <w:r w:rsidRPr="00D8773C">
              <w:rPr>
                <w:rFonts w:cs="Arial"/>
                <w:color w:val="000000" w:themeColor="text1"/>
              </w:rPr>
              <w:t xml:space="preserve"> be made aware of this before any licences are issued. This will ensure they can consider it when planning service deployments.</w:t>
            </w:r>
          </w:p>
          <w:p w14:paraId="5BC119C2" w14:textId="5C061796" w:rsidR="002532FC" w:rsidRPr="00D8773C" w:rsidRDefault="002532FC" w:rsidP="00193349">
            <w:pPr>
              <w:pStyle w:val="TableBody"/>
              <w:spacing w:before="120"/>
              <w:rPr>
                <w:rFonts w:cs="Arial"/>
                <w:szCs w:val="20"/>
              </w:rPr>
            </w:pPr>
            <w:r w:rsidRPr="00D8773C">
              <w:rPr>
                <w:rFonts w:cs="Arial"/>
                <w:color w:val="000000" w:themeColor="text1"/>
              </w:rPr>
              <w:t xml:space="preserve">Any new base stations deployed after this condition is put in place would be subject to </w:t>
            </w:r>
            <w:r>
              <w:rPr>
                <w:rFonts w:cs="Arial"/>
                <w:color w:val="000000" w:themeColor="text1"/>
              </w:rPr>
              <w:t xml:space="preserve">general </w:t>
            </w:r>
            <w:r w:rsidRPr="00D8773C">
              <w:rPr>
                <w:rFonts w:cs="Arial"/>
                <w:color w:val="000000" w:themeColor="text1"/>
              </w:rPr>
              <w:t>coordination rules</w:t>
            </w:r>
            <w:r>
              <w:rPr>
                <w:rFonts w:cs="Arial"/>
                <w:color w:val="000000" w:themeColor="text1"/>
              </w:rPr>
              <w:t xml:space="preserve"> (e</w:t>
            </w:r>
            <w:r w:rsidR="000147B6">
              <w:rPr>
                <w:rFonts w:cs="Arial"/>
                <w:color w:val="000000" w:themeColor="text1"/>
              </w:rPr>
              <w:t>.</w:t>
            </w:r>
            <w:r>
              <w:rPr>
                <w:rFonts w:cs="Arial"/>
                <w:color w:val="000000" w:themeColor="text1"/>
              </w:rPr>
              <w:t>g</w:t>
            </w:r>
            <w:r w:rsidR="000147B6">
              <w:rPr>
                <w:rFonts w:cs="Arial"/>
                <w:color w:val="000000" w:themeColor="text1"/>
              </w:rPr>
              <w:t>.,</w:t>
            </w:r>
            <w:r>
              <w:rPr>
                <w:rFonts w:cs="Arial"/>
                <w:color w:val="000000" w:themeColor="text1"/>
              </w:rPr>
              <w:t xml:space="preserve"> </w:t>
            </w:r>
            <w:r>
              <w:t>the PFD or C(I+N) coordination described above)</w:t>
            </w:r>
            <w:r w:rsidRPr="00D8773C">
              <w:rPr>
                <w:rFonts w:cs="Arial"/>
                <w:color w:val="000000" w:themeColor="text1"/>
              </w:rPr>
              <w:t xml:space="preserve">. </w:t>
            </w:r>
          </w:p>
          <w:p w14:paraId="1A061686" w14:textId="77777777" w:rsidR="002532FC" w:rsidRPr="00D8773C" w:rsidRDefault="002532FC" w:rsidP="00193349">
            <w:pPr>
              <w:pStyle w:val="TableBody"/>
              <w:rPr>
                <w:rFonts w:cs="Arial"/>
                <w:szCs w:val="20"/>
              </w:rPr>
            </w:pPr>
          </w:p>
        </w:tc>
      </w:tr>
      <w:tr w:rsidR="002532FC" w14:paraId="0FC8F928" w14:textId="77777777" w:rsidTr="00696EB4">
        <w:trPr>
          <w:cantSplit/>
        </w:trPr>
        <w:tc>
          <w:tcPr>
            <w:tcW w:w="2972" w:type="dxa"/>
            <w:vMerge w:val="restart"/>
            <w:shd w:val="clear" w:color="auto" w:fill="FFFFFF" w:themeFill="background1"/>
          </w:tcPr>
          <w:p w14:paraId="2BCA7188" w14:textId="77777777" w:rsidR="002532FC" w:rsidRDefault="002532FC" w:rsidP="00193349">
            <w:pPr>
              <w:spacing w:after="0" w:line="240" w:lineRule="auto"/>
              <w:rPr>
                <w:rFonts w:cs="Arial"/>
                <w:szCs w:val="20"/>
              </w:rPr>
            </w:pPr>
            <w:r w:rsidRPr="00F82A66">
              <w:rPr>
                <w:rFonts w:cs="Arial"/>
                <w:szCs w:val="20"/>
              </w:rPr>
              <w:t>Managing interference between 4G and 5G systems</w:t>
            </w:r>
          </w:p>
          <w:p w14:paraId="08310E42" w14:textId="02960C96" w:rsidR="002532FC" w:rsidRPr="00F82A66" w:rsidRDefault="002532FC" w:rsidP="00193349">
            <w:pPr>
              <w:spacing w:after="0" w:line="240" w:lineRule="auto"/>
              <w:rPr>
                <w:rFonts w:cs="Arial"/>
                <w:szCs w:val="20"/>
              </w:rPr>
            </w:pPr>
          </w:p>
        </w:tc>
        <w:tc>
          <w:tcPr>
            <w:tcW w:w="6237" w:type="dxa"/>
            <w:shd w:val="clear" w:color="auto" w:fill="FFFFFF" w:themeFill="background1"/>
          </w:tcPr>
          <w:p w14:paraId="5CFC9F84" w14:textId="795EAC34" w:rsidR="002532FC" w:rsidRPr="00925D1B" w:rsidRDefault="002532FC" w:rsidP="00193349">
            <w:pPr>
              <w:pStyle w:val="TableBody"/>
              <w:rPr>
                <w:rFonts w:cs="Arial"/>
                <w:b/>
                <w:bCs/>
                <w:szCs w:val="20"/>
              </w:rPr>
            </w:pPr>
            <w:r w:rsidRPr="00925D1B">
              <w:rPr>
                <w:rFonts w:cs="Arial"/>
                <w:b/>
                <w:bCs/>
                <w:szCs w:val="20"/>
              </w:rPr>
              <w:t xml:space="preserve">Option </w:t>
            </w:r>
            <w:r w:rsidR="00096C45" w:rsidRPr="00925D1B">
              <w:rPr>
                <w:rFonts w:cs="Arial"/>
                <w:b/>
                <w:bCs/>
                <w:szCs w:val="20"/>
              </w:rPr>
              <w:t>A</w:t>
            </w:r>
          </w:p>
          <w:p w14:paraId="628064DE" w14:textId="77777777" w:rsidR="002532FC" w:rsidRPr="00D8773C" w:rsidRDefault="002532FC" w:rsidP="00193349">
            <w:pPr>
              <w:pStyle w:val="TableBody"/>
              <w:rPr>
                <w:rFonts w:cs="Arial"/>
                <w:lang w:eastAsia="en-US"/>
              </w:rPr>
            </w:pPr>
            <w:r w:rsidRPr="00D8773C">
              <w:rPr>
                <w:rFonts w:cs="Arial"/>
                <w:lang w:eastAsia="en-US"/>
              </w:rPr>
              <w:t>No change to existing requirements</w:t>
            </w:r>
          </w:p>
          <w:p w14:paraId="72AA7149" w14:textId="77777777" w:rsidR="002532FC" w:rsidRPr="00D8773C" w:rsidRDefault="002532FC" w:rsidP="00193349">
            <w:pPr>
              <w:pStyle w:val="TableBody"/>
              <w:rPr>
                <w:rFonts w:cs="Arial"/>
                <w:szCs w:val="20"/>
                <w:lang w:eastAsia="en-US"/>
              </w:rPr>
            </w:pPr>
          </w:p>
        </w:tc>
      </w:tr>
      <w:tr w:rsidR="002532FC" w14:paraId="4E6472B8" w14:textId="77777777" w:rsidTr="00696EB4">
        <w:trPr>
          <w:cantSplit/>
        </w:trPr>
        <w:tc>
          <w:tcPr>
            <w:tcW w:w="2972" w:type="dxa"/>
            <w:vMerge/>
            <w:shd w:val="clear" w:color="auto" w:fill="FFFFFF" w:themeFill="background1"/>
          </w:tcPr>
          <w:p w14:paraId="2C0B1BEB" w14:textId="77777777" w:rsidR="002532FC" w:rsidRPr="00F82A66" w:rsidRDefault="002532FC" w:rsidP="00193349">
            <w:pPr>
              <w:spacing w:after="0" w:line="240" w:lineRule="auto"/>
              <w:rPr>
                <w:rFonts w:cs="Arial"/>
                <w:szCs w:val="20"/>
              </w:rPr>
            </w:pPr>
          </w:p>
        </w:tc>
        <w:tc>
          <w:tcPr>
            <w:tcW w:w="6237" w:type="dxa"/>
            <w:shd w:val="clear" w:color="auto" w:fill="FFFFFF" w:themeFill="background1"/>
          </w:tcPr>
          <w:p w14:paraId="413ADC8A" w14:textId="40014033" w:rsidR="002532FC" w:rsidRPr="00925D1B" w:rsidRDefault="002532FC" w:rsidP="00193349">
            <w:pPr>
              <w:pStyle w:val="TableBody"/>
              <w:rPr>
                <w:rFonts w:cs="Arial"/>
                <w:b/>
                <w:bCs/>
                <w:szCs w:val="20"/>
              </w:rPr>
            </w:pPr>
            <w:r w:rsidRPr="00925D1B">
              <w:rPr>
                <w:rFonts w:cs="Arial"/>
                <w:b/>
                <w:bCs/>
                <w:szCs w:val="20"/>
              </w:rPr>
              <w:t xml:space="preserve">Option </w:t>
            </w:r>
            <w:r w:rsidR="00096C45" w:rsidRPr="00925D1B">
              <w:rPr>
                <w:rFonts w:cs="Arial"/>
                <w:b/>
                <w:bCs/>
                <w:szCs w:val="20"/>
              </w:rPr>
              <w:t>B</w:t>
            </w:r>
          </w:p>
          <w:p w14:paraId="0A2B6FA1" w14:textId="77B3EDCE" w:rsidR="002532FC" w:rsidRPr="00D8773C" w:rsidRDefault="002532FC" w:rsidP="00193349">
            <w:pPr>
              <w:pStyle w:val="TableBody"/>
            </w:pPr>
            <w:r w:rsidRPr="00D8773C">
              <w:t>For devices operating in the 3400</w:t>
            </w:r>
            <w:r w:rsidR="000147B6">
              <w:t>–</w:t>
            </w:r>
            <w:r w:rsidRPr="00D8773C">
              <w:t xml:space="preserve">3475 MHz band inside urban excise areas, a 15 MHz </w:t>
            </w:r>
            <w:r w:rsidR="0082251A">
              <w:t xml:space="preserve">restricted use </w:t>
            </w:r>
            <w:r w:rsidRPr="00D8773C">
              <w:t>band will apply when a 4G</w:t>
            </w:r>
            <w:r>
              <w:t xml:space="preserve"> optimised</w:t>
            </w:r>
            <w:r w:rsidRPr="00D8773C">
              <w:t xml:space="preserve"> frame structure is used. No </w:t>
            </w:r>
            <w:r w:rsidR="0082251A">
              <w:t xml:space="preserve">restricted use </w:t>
            </w:r>
            <w:r w:rsidRPr="00D8773C">
              <w:t xml:space="preserve">band is required if the licensee can adopt the same frame structure as the spectrum licensees directly above 3475 MHz. Alternatively, the </w:t>
            </w:r>
            <w:r w:rsidR="0082251A">
              <w:t xml:space="preserve">restricted use </w:t>
            </w:r>
            <w:r w:rsidRPr="00D8773C">
              <w:t>band can be relaxed if there is agreement with</w:t>
            </w:r>
            <w:r>
              <w:t xml:space="preserve"> frequency </w:t>
            </w:r>
            <w:r w:rsidRPr="00D8773C">
              <w:t xml:space="preserve">adjacent spectrum licensees to do so. </w:t>
            </w:r>
          </w:p>
          <w:p w14:paraId="3F6630A1" w14:textId="77777777" w:rsidR="002532FC" w:rsidRPr="00D8773C" w:rsidRDefault="002532FC" w:rsidP="00193349">
            <w:pPr>
              <w:pStyle w:val="TableBody"/>
              <w:rPr>
                <w:rFonts w:cs="Arial"/>
                <w:szCs w:val="20"/>
                <w:lang w:eastAsia="en-US"/>
              </w:rPr>
            </w:pPr>
          </w:p>
        </w:tc>
      </w:tr>
    </w:tbl>
    <w:p w14:paraId="7E91DBB3" w14:textId="77777777" w:rsidR="002532FC" w:rsidRDefault="002532FC" w:rsidP="002532FC">
      <w:pPr>
        <w:spacing w:after="0" w:line="240" w:lineRule="auto"/>
      </w:pPr>
      <w:r>
        <w:br w:type="page"/>
      </w:r>
    </w:p>
    <w:p w14:paraId="15D6A550" w14:textId="0F799C49" w:rsidR="007754EF" w:rsidRPr="00702EA1" w:rsidRDefault="007754EF" w:rsidP="007754EF">
      <w:pPr>
        <w:pStyle w:val="Heading2"/>
        <w:spacing w:before="0"/>
      </w:pPr>
      <w:bookmarkStart w:id="150" w:name="_Toc80795888"/>
      <w:bookmarkEnd w:id="146"/>
      <w:r>
        <w:t xml:space="preserve">Option </w:t>
      </w:r>
      <w:r w:rsidR="00096C45">
        <w:t>2</w:t>
      </w:r>
      <w:r>
        <w:t xml:space="preserve"> interference management criteria</w:t>
      </w:r>
      <w:bookmarkEnd w:id="150"/>
    </w:p>
    <w:p w14:paraId="355D6093" w14:textId="3DF61949" w:rsidR="002532FC" w:rsidRPr="00F67B7A" w:rsidRDefault="009D5F78" w:rsidP="00144201">
      <w:pPr>
        <w:pStyle w:val="CommentText"/>
        <w:tabs>
          <w:tab w:val="left" w:pos="426"/>
        </w:tabs>
        <w:spacing w:before="120"/>
        <w:rPr>
          <w:rFonts w:cs="Arial"/>
          <w:color w:val="000000" w:themeColor="text1"/>
        </w:rPr>
      </w:pPr>
      <w:r>
        <w:t xml:space="preserve">Option </w:t>
      </w:r>
      <w:r w:rsidR="00096C45">
        <w:t>2</w:t>
      </w:r>
      <w:r>
        <w:t xml:space="preserve"> is intended to support a </w:t>
      </w:r>
      <w:r>
        <w:rPr>
          <w:rFonts w:cs="Arial"/>
          <w:color w:val="000000" w:themeColor="text1"/>
        </w:rPr>
        <w:t>restricted cell scenario</w:t>
      </w:r>
      <w:r>
        <w:t xml:space="preserve">. </w:t>
      </w:r>
      <w:r w:rsidR="00405487">
        <w:rPr>
          <w:rFonts w:cs="Arial"/>
          <w:color w:val="000000" w:themeColor="text1"/>
        </w:rPr>
        <w:t xml:space="preserve">Based on what </w:t>
      </w:r>
      <w:r>
        <w:rPr>
          <w:rFonts w:cs="Arial"/>
          <w:color w:val="000000" w:themeColor="text1"/>
        </w:rPr>
        <w:t>was considered in</w:t>
      </w:r>
      <w:r w:rsidR="00405487">
        <w:rPr>
          <w:rFonts w:cs="Arial"/>
          <w:color w:val="000000" w:themeColor="text1"/>
        </w:rPr>
        <w:t xml:space="preserve"> the TLG, the ACMA has </w:t>
      </w:r>
      <w:r w:rsidR="00405487" w:rsidRPr="009317CD">
        <w:rPr>
          <w:rFonts w:cs="Arial"/>
          <w:color w:val="000000" w:themeColor="text1"/>
        </w:rPr>
        <w:t xml:space="preserve">developed </w:t>
      </w:r>
      <w:r w:rsidRPr="009317CD">
        <w:rPr>
          <w:rFonts w:cs="Arial"/>
          <w:color w:val="000000" w:themeColor="text1"/>
        </w:rPr>
        <w:t xml:space="preserve">the </w:t>
      </w:r>
      <w:r w:rsidR="00405487" w:rsidRPr="009317CD">
        <w:rPr>
          <w:rFonts w:cs="Arial"/>
          <w:color w:val="000000" w:themeColor="text1"/>
        </w:rPr>
        <w:t xml:space="preserve">possible </w:t>
      </w:r>
      <w:r w:rsidR="007754EF" w:rsidRPr="009317CD">
        <w:rPr>
          <w:rFonts w:cs="Arial"/>
          <w:color w:val="000000" w:themeColor="text1"/>
        </w:rPr>
        <w:t xml:space="preserve">interference management criteria </w:t>
      </w:r>
      <w:r w:rsidR="00405487" w:rsidRPr="009317CD">
        <w:rPr>
          <w:rFonts w:cs="Arial"/>
          <w:color w:val="000000" w:themeColor="text1"/>
        </w:rPr>
        <w:t xml:space="preserve">for Option </w:t>
      </w:r>
      <w:r w:rsidR="00096C45" w:rsidRPr="009317CD">
        <w:rPr>
          <w:rFonts w:cs="Arial"/>
          <w:color w:val="000000" w:themeColor="text1"/>
        </w:rPr>
        <w:t>2</w:t>
      </w:r>
      <w:r w:rsidR="00405487" w:rsidRPr="009317CD">
        <w:rPr>
          <w:rFonts w:cs="Arial"/>
          <w:color w:val="000000" w:themeColor="text1"/>
        </w:rPr>
        <w:t xml:space="preserve"> detailed</w:t>
      </w:r>
      <w:r w:rsidR="007754EF" w:rsidRPr="009317CD">
        <w:rPr>
          <w:rFonts w:cs="Arial"/>
          <w:color w:val="000000" w:themeColor="text1"/>
        </w:rPr>
        <w:t xml:space="preserve"> in Table 11. In addition to these, licensees will be free to negotiate alternative arrangements</w:t>
      </w:r>
      <w:r w:rsidR="007754EF">
        <w:rPr>
          <w:rFonts w:cs="Arial"/>
          <w:color w:val="000000" w:themeColor="text1"/>
        </w:rPr>
        <w:t xml:space="preserve"> with affected parties on a case-by-case basis. </w:t>
      </w:r>
    </w:p>
    <w:p w14:paraId="61B89A6F" w14:textId="2ABED4D9" w:rsidR="007754EF" w:rsidRDefault="007754EF" w:rsidP="007754EF">
      <w:pPr>
        <w:pStyle w:val="Tableheading"/>
        <w:keepLines/>
      </w:pPr>
      <w:r>
        <w:t xml:space="preserve">Summary of possible interference management criteria for Option </w:t>
      </w:r>
      <w:r w:rsidR="00096C45">
        <w:t>2</w:t>
      </w:r>
    </w:p>
    <w:tbl>
      <w:tblPr>
        <w:tblStyle w:val="TableGrid"/>
        <w:tblW w:w="9634" w:type="dxa"/>
        <w:tblCellMar>
          <w:top w:w="85" w:type="dxa"/>
          <w:bottom w:w="85" w:type="dxa"/>
        </w:tblCellMar>
        <w:tblLook w:val="04A0" w:firstRow="1" w:lastRow="0" w:firstColumn="1" w:lastColumn="0" w:noHBand="0" w:noVBand="1"/>
      </w:tblPr>
      <w:tblGrid>
        <w:gridCol w:w="1980"/>
        <w:gridCol w:w="7654"/>
      </w:tblGrid>
      <w:tr w:rsidR="007754EF" w:rsidRPr="000147B6" w14:paraId="4779E2CE" w14:textId="77777777" w:rsidTr="00925D1B">
        <w:trPr>
          <w:cantSplit/>
        </w:trPr>
        <w:tc>
          <w:tcPr>
            <w:tcW w:w="1980" w:type="dxa"/>
            <w:shd w:val="clear" w:color="auto" w:fill="404040" w:themeFill="text1" w:themeFillTint="BF"/>
          </w:tcPr>
          <w:p w14:paraId="02096C25" w14:textId="77777777" w:rsidR="007754EF" w:rsidRPr="00925D1B" w:rsidRDefault="007754EF" w:rsidP="00193349">
            <w:pPr>
              <w:spacing w:after="0" w:line="240" w:lineRule="auto"/>
              <w:rPr>
                <w:rFonts w:cs="Arial"/>
                <w:b/>
                <w:bCs/>
                <w:color w:val="FFFFFF" w:themeColor="background1"/>
                <w:szCs w:val="20"/>
              </w:rPr>
            </w:pPr>
            <w:bookmarkStart w:id="151" w:name="_Hlk77766342"/>
            <w:r w:rsidRPr="00925D1B">
              <w:rPr>
                <w:rFonts w:cs="Arial"/>
                <w:b/>
                <w:bCs/>
                <w:color w:val="FFFFFF" w:themeColor="background1"/>
                <w:szCs w:val="20"/>
              </w:rPr>
              <w:t>Item</w:t>
            </w:r>
          </w:p>
        </w:tc>
        <w:tc>
          <w:tcPr>
            <w:tcW w:w="7654" w:type="dxa"/>
            <w:shd w:val="clear" w:color="auto" w:fill="404040" w:themeFill="text1" w:themeFillTint="BF"/>
          </w:tcPr>
          <w:p w14:paraId="3E86766C" w14:textId="77777777" w:rsidR="007754EF" w:rsidRPr="00925D1B" w:rsidRDefault="007754EF" w:rsidP="00193349">
            <w:pPr>
              <w:spacing w:after="0" w:line="240" w:lineRule="auto"/>
              <w:rPr>
                <w:rFonts w:cs="Arial"/>
                <w:b/>
                <w:bCs/>
                <w:color w:val="FFFFFF" w:themeColor="background1"/>
                <w:szCs w:val="20"/>
              </w:rPr>
            </w:pPr>
            <w:r w:rsidRPr="00925D1B">
              <w:rPr>
                <w:rFonts w:cs="Arial"/>
                <w:b/>
                <w:bCs/>
                <w:color w:val="FFFFFF" w:themeColor="background1"/>
                <w:szCs w:val="20"/>
              </w:rPr>
              <w:t>Interference management criteria</w:t>
            </w:r>
          </w:p>
        </w:tc>
      </w:tr>
      <w:tr w:rsidR="007754EF" w14:paraId="5331B7D9" w14:textId="77777777" w:rsidTr="00925D1B">
        <w:trPr>
          <w:cantSplit/>
        </w:trPr>
        <w:tc>
          <w:tcPr>
            <w:tcW w:w="1980" w:type="dxa"/>
            <w:shd w:val="clear" w:color="auto" w:fill="FFFFFF" w:themeFill="background1"/>
          </w:tcPr>
          <w:p w14:paraId="29FED3F3" w14:textId="1FDB3F61" w:rsidR="007754EF" w:rsidRPr="00682C0D" w:rsidRDefault="007754EF" w:rsidP="00F67B7A">
            <w:pPr>
              <w:spacing w:before="120" w:after="120" w:line="240" w:lineRule="auto"/>
              <w:rPr>
                <w:rFonts w:cs="Arial"/>
                <w:szCs w:val="20"/>
              </w:rPr>
            </w:pPr>
            <w:r>
              <w:rPr>
                <w:rFonts w:cs="Arial"/>
                <w:szCs w:val="20"/>
              </w:rPr>
              <w:t xml:space="preserve">Licence </w:t>
            </w:r>
            <w:r w:rsidR="000147B6">
              <w:rPr>
                <w:rFonts w:cs="Arial"/>
                <w:szCs w:val="20"/>
              </w:rPr>
              <w:t>t</w:t>
            </w:r>
            <w:r>
              <w:rPr>
                <w:rFonts w:cs="Arial"/>
                <w:szCs w:val="20"/>
              </w:rPr>
              <w:t>ype</w:t>
            </w:r>
          </w:p>
        </w:tc>
        <w:tc>
          <w:tcPr>
            <w:tcW w:w="7654" w:type="dxa"/>
            <w:shd w:val="clear" w:color="auto" w:fill="FFFFFF" w:themeFill="background1"/>
          </w:tcPr>
          <w:p w14:paraId="3015E652" w14:textId="6106568B" w:rsidR="007754EF" w:rsidRPr="00D8773C" w:rsidRDefault="007754EF" w:rsidP="00F67B7A">
            <w:pPr>
              <w:spacing w:before="120" w:after="120" w:line="240" w:lineRule="auto"/>
              <w:rPr>
                <w:rFonts w:cs="Arial"/>
                <w:szCs w:val="20"/>
              </w:rPr>
            </w:pPr>
            <w:r>
              <w:rPr>
                <w:rFonts w:cs="Arial"/>
                <w:szCs w:val="20"/>
              </w:rPr>
              <w:t xml:space="preserve">Spectrum or </w:t>
            </w:r>
            <w:r w:rsidR="000147B6">
              <w:rPr>
                <w:rFonts w:cs="Arial"/>
                <w:szCs w:val="20"/>
              </w:rPr>
              <w:t>a</w:t>
            </w:r>
            <w:r>
              <w:rPr>
                <w:rFonts w:cs="Arial"/>
                <w:szCs w:val="20"/>
              </w:rPr>
              <w:t>pparatus (e.g.</w:t>
            </w:r>
            <w:r w:rsidR="000147B6">
              <w:rPr>
                <w:rFonts w:cs="Arial"/>
                <w:szCs w:val="20"/>
              </w:rPr>
              <w:t>,</w:t>
            </w:r>
            <w:r>
              <w:rPr>
                <w:rFonts w:cs="Arial"/>
                <w:szCs w:val="20"/>
              </w:rPr>
              <w:t xml:space="preserve"> AWL) licence</w:t>
            </w:r>
          </w:p>
        </w:tc>
      </w:tr>
      <w:tr w:rsidR="007754EF" w14:paraId="5ADBD203" w14:textId="77777777" w:rsidTr="00925D1B">
        <w:trPr>
          <w:cantSplit/>
        </w:trPr>
        <w:tc>
          <w:tcPr>
            <w:tcW w:w="1980" w:type="dxa"/>
            <w:shd w:val="clear" w:color="auto" w:fill="F2F2F2" w:themeFill="background1" w:themeFillShade="F2"/>
          </w:tcPr>
          <w:p w14:paraId="285F7DCA" w14:textId="77777777" w:rsidR="007754EF" w:rsidRPr="004253A7" w:rsidRDefault="007754EF" w:rsidP="00F67B7A">
            <w:pPr>
              <w:spacing w:before="120" w:after="120" w:line="240" w:lineRule="auto"/>
              <w:rPr>
                <w:rFonts w:cs="Arial"/>
                <w:szCs w:val="20"/>
              </w:rPr>
            </w:pPr>
            <w:r>
              <w:rPr>
                <w:rFonts w:cs="Arial"/>
                <w:szCs w:val="20"/>
              </w:rPr>
              <w:t>General rules for all transmitters</w:t>
            </w:r>
          </w:p>
        </w:tc>
        <w:tc>
          <w:tcPr>
            <w:tcW w:w="7654" w:type="dxa"/>
            <w:shd w:val="clear" w:color="auto" w:fill="F2F2F2" w:themeFill="background1" w:themeFillShade="F2"/>
          </w:tcPr>
          <w:p w14:paraId="72697F3A" w14:textId="4030D148" w:rsidR="007754EF" w:rsidRDefault="007754EF" w:rsidP="00F67B7A">
            <w:pPr>
              <w:pStyle w:val="Heading2"/>
              <w:numPr>
                <w:ilvl w:val="0"/>
                <w:numId w:val="57"/>
              </w:numPr>
              <w:spacing w:before="120" w:after="120"/>
              <w:ind w:left="736" w:hanging="720"/>
              <w:outlineLvl w:val="1"/>
              <w:rPr>
                <w:b w:val="0"/>
                <w:bCs w:val="0"/>
                <w:iCs w:val="0"/>
                <w:sz w:val="20"/>
                <w:szCs w:val="24"/>
              </w:rPr>
            </w:pPr>
            <w:bookmarkStart w:id="152" w:name="_Toc75275776"/>
            <w:bookmarkStart w:id="153" w:name="_Toc76376844"/>
            <w:bookmarkStart w:id="154" w:name="_Toc78811516"/>
            <w:bookmarkStart w:id="155" w:name="_Toc80784124"/>
            <w:bookmarkStart w:id="156" w:name="_Toc80792125"/>
            <w:bookmarkStart w:id="157" w:name="_Toc80795889"/>
            <w:r>
              <w:rPr>
                <w:b w:val="0"/>
                <w:bCs w:val="0"/>
                <w:iCs w:val="0"/>
                <w:sz w:val="20"/>
                <w:szCs w:val="24"/>
              </w:rPr>
              <w:t>Operation of transmitters is limited to urban excise areas and within the 3400</w:t>
            </w:r>
            <w:r w:rsidR="000147B6">
              <w:rPr>
                <w:b w:val="0"/>
                <w:bCs w:val="0"/>
                <w:iCs w:val="0"/>
                <w:sz w:val="20"/>
                <w:szCs w:val="24"/>
              </w:rPr>
              <w:t>–</w:t>
            </w:r>
            <w:r>
              <w:rPr>
                <w:b w:val="0"/>
                <w:bCs w:val="0"/>
                <w:iCs w:val="0"/>
                <w:sz w:val="20"/>
                <w:szCs w:val="24"/>
              </w:rPr>
              <w:t>3470 MHz band</w:t>
            </w:r>
            <w:r w:rsidR="00405487">
              <w:rPr>
                <w:b w:val="0"/>
                <w:bCs w:val="0"/>
                <w:iCs w:val="0"/>
                <w:sz w:val="20"/>
                <w:szCs w:val="24"/>
              </w:rPr>
              <w:t xml:space="preserve"> (i.e.</w:t>
            </w:r>
            <w:r w:rsidR="000147B6">
              <w:rPr>
                <w:b w:val="0"/>
                <w:bCs w:val="0"/>
                <w:iCs w:val="0"/>
                <w:sz w:val="20"/>
                <w:szCs w:val="24"/>
              </w:rPr>
              <w:t>,</w:t>
            </w:r>
            <w:r w:rsidR="00405487">
              <w:rPr>
                <w:b w:val="0"/>
                <w:bCs w:val="0"/>
                <w:iCs w:val="0"/>
                <w:sz w:val="20"/>
                <w:szCs w:val="24"/>
              </w:rPr>
              <w:t xml:space="preserve"> 5 MHz </w:t>
            </w:r>
            <w:r w:rsidR="0082251A">
              <w:rPr>
                <w:b w:val="0"/>
                <w:bCs w:val="0"/>
                <w:iCs w:val="0"/>
                <w:sz w:val="20"/>
                <w:szCs w:val="24"/>
              </w:rPr>
              <w:t xml:space="preserve">restricted use </w:t>
            </w:r>
            <w:r w:rsidR="00405487">
              <w:rPr>
                <w:b w:val="0"/>
                <w:bCs w:val="0"/>
                <w:iCs w:val="0"/>
                <w:sz w:val="20"/>
                <w:szCs w:val="24"/>
              </w:rPr>
              <w:t>band</w:t>
            </w:r>
            <w:r w:rsidR="00C257A5">
              <w:rPr>
                <w:b w:val="0"/>
                <w:bCs w:val="0"/>
                <w:iCs w:val="0"/>
                <w:sz w:val="20"/>
                <w:szCs w:val="24"/>
              </w:rPr>
              <w:t>)</w:t>
            </w:r>
            <w:r w:rsidR="00405487">
              <w:rPr>
                <w:b w:val="0"/>
                <w:bCs w:val="0"/>
                <w:iCs w:val="0"/>
                <w:sz w:val="20"/>
                <w:szCs w:val="24"/>
              </w:rPr>
              <w:t>. Operation within the 3470</w:t>
            </w:r>
            <w:r w:rsidR="000147B6">
              <w:rPr>
                <w:b w:val="0"/>
                <w:bCs w:val="0"/>
                <w:iCs w:val="0"/>
                <w:sz w:val="20"/>
                <w:szCs w:val="24"/>
              </w:rPr>
              <w:t>–</w:t>
            </w:r>
            <w:r w:rsidR="00405487">
              <w:rPr>
                <w:b w:val="0"/>
                <w:bCs w:val="0"/>
                <w:iCs w:val="0"/>
                <w:sz w:val="20"/>
                <w:szCs w:val="24"/>
              </w:rPr>
              <w:t>3475 MHz band is possible via agreement with the adjacent band spectrum licensee.</w:t>
            </w:r>
            <w:bookmarkEnd w:id="152"/>
            <w:bookmarkEnd w:id="153"/>
            <w:bookmarkEnd w:id="154"/>
            <w:bookmarkEnd w:id="155"/>
            <w:bookmarkEnd w:id="156"/>
            <w:bookmarkEnd w:id="157"/>
            <w:r>
              <w:rPr>
                <w:b w:val="0"/>
                <w:bCs w:val="0"/>
                <w:iCs w:val="0"/>
                <w:sz w:val="20"/>
                <w:szCs w:val="24"/>
              </w:rPr>
              <w:t xml:space="preserve"> </w:t>
            </w:r>
          </w:p>
          <w:p w14:paraId="5442D3E6" w14:textId="6C4CD985" w:rsidR="007754EF" w:rsidRDefault="007754EF" w:rsidP="00F67B7A">
            <w:pPr>
              <w:pStyle w:val="Heading2"/>
              <w:numPr>
                <w:ilvl w:val="0"/>
                <w:numId w:val="57"/>
              </w:numPr>
              <w:spacing w:before="120" w:after="120"/>
              <w:ind w:left="736" w:hanging="720"/>
              <w:outlineLvl w:val="1"/>
              <w:rPr>
                <w:b w:val="0"/>
                <w:bCs w:val="0"/>
                <w:iCs w:val="0"/>
                <w:sz w:val="20"/>
                <w:szCs w:val="24"/>
              </w:rPr>
            </w:pPr>
            <w:bookmarkStart w:id="158" w:name="_Toc75275777"/>
            <w:bookmarkStart w:id="159" w:name="_Toc76376845"/>
            <w:bookmarkStart w:id="160" w:name="_Toc78811517"/>
            <w:bookmarkStart w:id="161" w:name="_Toc80784125"/>
            <w:bookmarkStart w:id="162" w:name="_Toc80792126"/>
            <w:bookmarkStart w:id="163" w:name="_Toc80795890"/>
            <w:r w:rsidRPr="00943E03">
              <w:rPr>
                <w:b w:val="0"/>
                <w:bCs w:val="0"/>
                <w:iCs w:val="0"/>
                <w:sz w:val="20"/>
                <w:szCs w:val="24"/>
              </w:rPr>
              <w:t xml:space="preserve">The maximum transmitter </w:t>
            </w:r>
            <w:r w:rsidR="000952A0">
              <w:rPr>
                <w:b w:val="0"/>
                <w:bCs w:val="0"/>
                <w:iCs w:val="0"/>
                <w:sz w:val="20"/>
                <w:szCs w:val="24"/>
              </w:rPr>
              <w:t>effective isotropic radiated power (</w:t>
            </w:r>
            <w:r>
              <w:rPr>
                <w:b w:val="0"/>
                <w:bCs w:val="0"/>
                <w:iCs w:val="0"/>
                <w:sz w:val="20"/>
                <w:szCs w:val="24"/>
              </w:rPr>
              <w:t>EIRP</w:t>
            </w:r>
            <w:r w:rsidR="000952A0">
              <w:rPr>
                <w:b w:val="0"/>
                <w:bCs w:val="0"/>
                <w:iCs w:val="0"/>
                <w:sz w:val="20"/>
                <w:szCs w:val="24"/>
              </w:rPr>
              <w:t>)</w:t>
            </w:r>
            <w:r w:rsidRPr="00943E03">
              <w:rPr>
                <w:b w:val="0"/>
                <w:bCs w:val="0"/>
                <w:iCs w:val="0"/>
                <w:sz w:val="20"/>
                <w:szCs w:val="24"/>
              </w:rPr>
              <w:t xml:space="preserve"> must not exceed </w:t>
            </w:r>
            <w:r>
              <w:rPr>
                <w:b w:val="0"/>
                <w:bCs w:val="0"/>
                <w:iCs w:val="0"/>
                <w:sz w:val="20"/>
                <w:szCs w:val="24"/>
              </w:rPr>
              <w:t>30</w:t>
            </w:r>
            <w:r w:rsidRPr="00943E03">
              <w:rPr>
                <w:b w:val="0"/>
                <w:bCs w:val="0"/>
                <w:iCs w:val="0"/>
                <w:sz w:val="20"/>
                <w:szCs w:val="24"/>
              </w:rPr>
              <w:t xml:space="preserve"> dBm.</w:t>
            </w:r>
            <w:bookmarkEnd w:id="158"/>
            <w:bookmarkEnd w:id="159"/>
            <w:bookmarkEnd w:id="160"/>
            <w:bookmarkEnd w:id="161"/>
            <w:bookmarkEnd w:id="162"/>
            <w:bookmarkEnd w:id="163"/>
          </w:p>
          <w:p w14:paraId="22C7F3E6" w14:textId="77777777" w:rsidR="007754EF" w:rsidRPr="00943E03" w:rsidRDefault="007754EF" w:rsidP="00F67B7A">
            <w:pPr>
              <w:pStyle w:val="Heading2"/>
              <w:numPr>
                <w:ilvl w:val="0"/>
                <w:numId w:val="57"/>
              </w:numPr>
              <w:spacing w:before="120" w:after="120"/>
              <w:ind w:left="736" w:hanging="720"/>
              <w:outlineLvl w:val="1"/>
              <w:rPr>
                <w:b w:val="0"/>
                <w:bCs w:val="0"/>
                <w:iCs w:val="0"/>
                <w:sz w:val="20"/>
                <w:szCs w:val="24"/>
              </w:rPr>
            </w:pPr>
            <w:bookmarkStart w:id="164" w:name="_Toc75275778"/>
            <w:bookmarkStart w:id="165" w:name="_Toc76376846"/>
            <w:bookmarkStart w:id="166" w:name="_Toc78811518"/>
            <w:bookmarkStart w:id="167" w:name="_Toc80784126"/>
            <w:bookmarkStart w:id="168" w:name="_Toc80792127"/>
            <w:bookmarkStart w:id="169" w:name="_Toc80795891"/>
            <w:r w:rsidRPr="00943E03">
              <w:rPr>
                <w:b w:val="0"/>
                <w:bCs w:val="0"/>
                <w:iCs w:val="0"/>
                <w:sz w:val="20"/>
                <w:szCs w:val="24"/>
              </w:rPr>
              <w:t>The</w:t>
            </w:r>
            <w:r>
              <w:rPr>
                <w:b w:val="0"/>
                <w:bCs w:val="0"/>
                <w:iCs w:val="0"/>
                <w:sz w:val="20"/>
                <w:szCs w:val="24"/>
              </w:rPr>
              <w:t xml:space="preserve"> power spectral density of a</w:t>
            </w:r>
            <w:r w:rsidRPr="00943E03">
              <w:rPr>
                <w:b w:val="0"/>
                <w:bCs w:val="0"/>
                <w:iCs w:val="0"/>
                <w:sz w:val="20"/>
                <w:szCs w:val="24"/>
              </w:rPr>
              <w:t xml:space="preserve"> transmitter must not exceed </w:t>
            </w:r>
            <w:r>
              <w:rPr>
                <w:b w:val="0"/>
                <w:bCs w:val="0"/>
                <w:iCs w:val="0"/>
                <w:sz w:val="20"/>
                <w:szCs w:val="24"/>
              </w:rPr>
              <w:t>17 dBm EIRP per MHz</w:t>
            </w:r>
            <w:r w:rsidRPr="00943E03">
              <w:rPr>
                <w:b w:val="0"/>
                <w:bCs w:val="0"/>
                <w:iCs w:val="0"/>
                <w:sz w:val="20"/>
                <w:szCs w:val="24"/>
              </w:rPr>
              <w:t>.</w:t>
            </w:r>
            <w:bookmarkEnd w:id="164"/>
            <w:bookmarkEnd w:id="165"/>
            <w:bookmarkEnd w:id="166"/>
            <w:bookmarkEnd w:id="167"/>
            <w:bookmarkEnd w:id="168"/>
            <w:bookmarkEnd w:id="169"/>
          </w:p>
          <w:p w14:paraId="6BE4941F" w14:textId="77777777" w:rsidR="007754EF" w:rsidRPr="00943E03" w:rsidRDefault="007754EF" w:rsidP="00F67B7A">
            <w:pPr>
              <w:pStyle w:val="Heading2"/>
              <w:numPr>
                <w:ilvl w:val="0"/>
                <w:numId w:val="57"/>
              </w:numPr>
              <w:spacing w:before="120" w:after="120"/>
              <w:ind w:left="736" w:hanging="720"/>
              <w:outlineLvl w:val="1"/>
              <w:rPr>
                <w:b w:val="0"/>
                <w:bCs w:val="0"/>
                <w:iCs w:val="0"/>
                <w:sz w:val="20"/>
                <w:szCs w:val="24"/>
              </w:rPr>
            </w:pPr>
            <w:bookmarkStart w:id="170" w:name="_Toc75275779"/>
            <w:bookmarkStart w:id="171" w:name="_Toc76376847"/>
            <w:bookmarkStart w:id="172" w:name="_Toc78811519"/>
            <w:bookmarkStart w:id="173" w:name="_Toc80784127"/>
            <w:bookmarkStart w:id="174" w:name="_Toc80792128"/>
            <w:bookmarkStart w:id="175" w:name="_Toc80795892"/>
            <w:r w:rsidRPr="00943E03">
              <w:rPr>
                <w:b w:val="0"/>
                <w:bCs w:val="0"/>
                <w:iCs w:val="0"/>
                <w:sz w:val="20"/>
                <w:szCs w:val="24"/>
              </w:rPr>
              <w:t>Base station transmitters must comply with the unwanted and spurious emission limits described in 3GPP TS 38.104.</w:t>
            </w:r>
            <w:bookmarkEnd w:id="170"/>
            <w:bookmarkEnd w:id="171"/>
            <w:bookmarkEnd w:id="172"/>
            <w:bookmarkEnd w:id="173"/>
            <w:bookmarkEnd w:id="174"/>
            <w:bookmarkEnd w:id="175"/>
          </w:p>
          <w:p w14:paraId="3B1353BC" w14:textId="77777777" w:rsidR="007754EF" w:rsidRDefault="007754EF" w:rsidP="00F67B7A">
            <w:pPr>
              <w:pStyle w:val="Heading2"/>
              <w:numPr>
                <w:ilvl w:val="0"/>
                <w:numId w:val="57"/>
              </w:numPr>
              <w:spacing w:before="120" w:after="120"/>
              <w:ind w:left="736" w:hanging="720"/>
              <w:outlineLvl w:val="1"/>
              <w:rPr>
                <w:b w:val="0"/>
                <w:bCs w:val="0"/>
                <w:iCs w:val="0"/>
                <w:sz w:val="20"/>
                <w:szCs w:val="24"/>
              </w:rPr>
            </w:pPr>
            <w:bookmarkStart w:id="176" w:name="_Toc75275780"/>
            <w:bookmarkStart w:id="177" w:name="_Toc76376848"/>
            <w:bookmarkStart w:id="178" w:name="_Toc78811520"/>
            <w:bookmarkStart w:id="179" w:name="_Toc80784128"/>
            <w:bookmarkStart w:id="180" w:name="_Toc80792129"/>
            <w:bookmarkStart w:id="181" w:name="_Toc80795893"/>
            <w:r w:rsidRPr="00943E03">
              <w:rPr>
                <w:b w:val="0"/>
                <w:bCs w:val="0"/>
                <w:iCs w:val="0"/>
                <w:sz w:val="20"/>
                <w:szCs w:val="24"/>
              </w:rPr>
              <w:t>User equipment transmitters must comply with the unwanted and spurious emission limits described in 3GPP TS 38.101-2.</w:t>
            </w:r>
            <w:bookmarkEnd w:id="176"/>
            <w:bookmarkEnd w:id="177"/>
            <w:bookmarkEnd w:id="178"/>
            <w:bookmarkEnd w:id="179"/>
            <w:bookmarkEnd w:id="180"/>
            <w:bookmarkEnd w:id="181"/>
          </w:p>
          <w:p w14:paraId="6F80317B" w14:textId="0B3DB500" w:rsidR="007754EF" w:rsidRPr="00A70F9B" w:rsidRDefault="00C257A5" w:rsidP="00F67B7A">
            <w:pPr>
              <w:pStyle w:val="Heading2"/>
              <w:numPr>
                <w:ilvl w:val="0"/>
                <w:numId w:val="57"/>
              </w:numPr>
              <w:spacing w:before="120" w:after="120"/>
              <w:ind w:left="736" w:hanging="720"/>
              <w:outlineLvl w:val="1"/>
              <w:rPr>
                <w:b w:val="0"/>
                <w:bCs w:val="0"/>
                <w:iCs w:val="0"/>
                <w:sz w:val="20"/>
                <w:szCs w:val="24"/>
              </w:rPr>
            </w:pPr>
            <w:bookmarkStart w:id="182" w:name="_Toc75275781"/>
            <w:bookmarkStart w:id="183" w:name="_Toc76376849"/>
            <w:bookmarkStart w:id="184" w:name="_Toc78811521"/>
            <w:bookmarkStart w:id="185" w:name="_Toc80784129"/>
            <w:bookmarkStart w:id="186" w:name="_Toc80792130"/>
            <w:bookmarkStart w:id="187" w:name="_Toc80795894"/>
            <w:r>
              <w:rPr>
                <w:b w:val="0"/>
                <w:bCs w:val="0"/>
                <w:iCs w:val="0"/>
                <w:sz w:val="20"/>
                <w:szCs w:val="24"/>
              </w:rPr>
              <w:t xml:space="preserve">Operation </w:t>
            </w:r>
            <w:r w:rsidRPr="00A70F9B">
              <w:rPr>
                <w:b w:val="0"/>
                <w:bCs w:val="0"/>
                <w:iCs w:val="0"/>
                <w:sz w:val="20"/>
                <w:szCs w:val="24"/>
              </w:rPr>
              <w:t>is on a no interference and no protection basis</w:t>
            </w:r>
            <w:r>
              <w:rPr>
                <w:b w:val="0"/>
                <w:bCs w:val="0"/>
                <w:iCs w:val="0"/>
                <w:sz w:val="20"/>
                <w:szCs w:val="24"/>
              </w:rPr>
              <w:t xml:space="preserve"> to services operating under other licences</w:t>
            </w:r>
            <w:r w:rsidR="007754EF" w:rsidRPr="00A70F9B">
              <w:rPr>
                <w:b w:val="0"/>
                <w:sz w:val="20"/>
                <w:szCs w:val="24"/>
              </w:rPr>
              <w:t>.</w:t>
            </w:r>
            <w:bookmarkEnd w:id="182"/>
            <w:bookmarkEnd w:id="183"/>
            <w:bookmarkEnd w:id="184"/>
            <w:bookmarkEnd w:id="185"/>
            <w:bookmarkEnd w:id="186"/>
            <w:bookmarkEnd w:id="187"/>
          </w:p>
          <w:p w14:paraId="42D4EF8C" w14:textId="17DB2598" w:rsidR="00405487" w:rsidRDefault="007754EF" w:rsidP="00F67B7A">
            <w:pPr>
              <w:pStyle w:val="Heading2"/>
              <w:numPr>
                <w:ilvl w:val="0"/>
                <w:numId w:val="57"/>
              </w:numPr>
              <w:spacing w:before="120" w:after="120"/>
              <w:ind w:left="736" w:hanging="720"/>
              <w:outlineLvl w:val="1"/>
              <w:rPr>
                <w:b w:val="0"/>
                <w:bCs w:val="0"/>
                <w:iCs w:val="0"/>
                <w:sz w:val="20"/>
                <w:szCs w:val="24"/>
              </w:rPr>
            </w:pPr>
            <w:bookmarkStart w:id="188" w:name="_Toc75275782"/>
            <w:bookmarkStart w:id="189" w:name="_Toc76376850"/>
            <w:bookmarkStart w:id="190" w:name="_Toc78811522"/>
            <w:bookmarkStart w:id="191" w:name="_Toc80784130"/>
            <w:bookmarkStart w:id="192" w:name="_Toc80792131"/>
            <w:bookmarkStart w:id="193" w:name="_Toc80795895"/>
            <w:r w:rsidRPr="0042323A">
              <w:rPr>
                <w:b w:val="0"/>
                <w:bCs w:val="0"/>
                <w:iCs w:val="0"/>
                <w:sz w:val="20"/>
                <w:szCs w:val="24"/>
              </w:rPr>
              <w:t>The operation of transmitters must be synchronised with the operation of services operating under</w:t>
            </w:r>
            <w:r>
              <w:rPr>
                <w:b w:val="0"/>
                <w:bCs w:val="0"/>
                <w:iCs w:val="0"/>
                <w:sz w:val="20"/>
                <w:szCs w:val="24"/>
              </w:rPr>
              <w:t xml:space="preserve"> adjacent area</w:t>
            </w:r>
            <w:r w:rsidRPr="0042323A">
              <w:rPr>
                <w:b w:val="0"/>
                <w:bCs w:val="0"/>
                <w:iCs w:val="0"/>
                <w:sz w:val="20"/>
                <w:szCs w:val="24"/>
              </w:rPr>
              <w:t xml:space="preserve"> 3.4 GHz spectrum licences</w:t>
            </w:r>
            <w:r w:rsidR="00405487">
              <w:rPr>
                <w:b w:val="0"/>
                <w:bCs w:val="0"/>
                <w:iCs w:val="0"/>
                <w:sz w:val="20"/>
                <w:szCs w:val="24"/>
              </w:rPr>
              <w:t xml:space="preserve"> (i.e.</w:t>
            </w:r>
            <w:r w:rsidR="000147B6">
              <w:rPr>
                <w:b w:val="0"/>
                <w:bCs w:val="0"/>
                <w:iCs w:val="0"/>
                <w:sz w:val="20"/>
                <w:szCs w:val="24"/>
              </w:rPr>
              <w:t>,</w:t>
            </w:r>
            <w:r w:rsidR="00405487">
              <w:rPr>
                <w:b w:val="0"/>
                <w:bCs w:val="0"/>
                <w:iCs w:val="0"/>
                <w:sz w:val="20"/>
                <w:szCs w:val="24"/>
              </w:rPr>
              <w:t xml:space="preserve"> NBN Co)</w:t>
            </w:r>
            <w:r w:rsidRPr="0042323A">
              <w:rPr>
                <w:b w:val="0"/>
                <w:bCs w:val="0"/>
                <w:iCs w:val="0"/>
                <w:sz w:val="20"/>
                <w:szCs w:val="24"/>
              </w:rPr>
              <w:t xml:space="preserve"> that are directly adjacent to urban excise areas. In this case synchronisation means operating in accordance with </w:t>
            </w:r>
            <w:bookmarkEnd w:id="188"/>
            <w:bookmarkEnd w:id="189"/>
            <w:r w:rsidR="00405487" w:rsidRPr="00925D1B">
              <w:fldChar w:fldCharType="begin"/>
            </w:r>
            <w:r w:rsidR="00405487" w:rsidRPr="00925D1B">
              <w:rPr>
                <w:b w:val="0"/>
                <w:bCs w:val="0"/>
              </w:rPr>
              <w:instrText xml:space="preserve"> HYPERLINK "https://web.acma.gov.au/rrl/licence_image.extract_pdf?pLICENCE_NO=10917464" </w:instrText>
            </w:r>
            <w:r w:rsidR="00405487" w:rsidRPr="00925D1B">
              <w:fldChar w:fldCharType="separate"/>
            </w:r>
            <w:r w:rsidR="00405487" w:rsidRPr="00925D1B">
              <w:rPr>
                <w:rStyle w:val="Hyperlink"/>
                <w:b w:val="0"/>
                <w:bCs w:val="0"/>
                <w:sz w:val="20"/>
                <w:szCs w:val="20"/>
              </w:rPr>
              <w:t>clause 11 of Licence Schedule 4 of a 3.4 GHz spectrum licences</w:t>
            </w:r>
            <w:r w:rsidR="00405487" w:rsidRPr="00925D1B">
              <w:rPr>
                <w:rStyle w:val="Hyperlink"/>
                <w:b w:val="0"/>
                <w:bCs w:val="0"/>
                <w:sz w:val="20"/>
                <w:szCs w:val="20"/>
              </w:rPr>
              <w:fldChar w:fldCharType="end"/>
            </w:r>
            <w:r w:rsidR="00405487">
              <w:rPr>
                <w:b w:val="0"/>
                <w:bCs w:val="0"/>
                <w:iCs w:val="0"/>
                <w:sz w:val="20"/>
                <w:szCs w:val="24"/>
              </w:rPr>
              <w:t>.</w:t>
            </w:r>
            <w:bookmarkStart w:id="194" w:name="_Toc75275787"/>
            <w:bookmarkStart w:id="195" w:name="_Toc76376855"/>
            <w:bookmarkEnd w:id="190"/>
            <w:bookmarkEnd w:id="191"/>
            <w:bookmarkEnd w:id="192"/>
            <w:bookmarkEnd w:id="193"/>
          </w:p>
          <w:p w14:paraId="23F721E3" w14:textId="3E45185E" w:rsidR="00405487" w:rsidRPr="00742CBE" w:rsidRDefault="00405487" w:rsidP="00F67B7A">
            <w:pPr>
              <w:pStyle w:val="Heading2"/>
              <w:numPr>
                <w:ilvl w:val="0"/>
                <w:numId w:val="57"/>
              </w:numPr>
              <w:spacing w:before="120" w:after="120"/>
              <w:ind w:left="736" w:hanging="720"/>
              <w:outlineLvl w:val="1"/>
              <w:rPr>
                <w:b w:val="0"/>
                <w:bCs w:val="0"/>
                <w:iCs w:val="0"/>
                <w:sz w:val="20"/>
                <w:szCs w:val="24"/>
              </w:rPr>
            </w:pPr>
            <w:bookmarkStart w:id="196" w:name="_Toc78811523"/>
            <w:bookmarkStart w:id="197" w:name="_Toc80784131"/>
            <w:bookmarkStart w:id="198" w:name="_Toc80792132"/>
            <w:bookmarkStart w:id="199" w:name="_Toc80795896"/>
            <w:r w:rsidRPr="00F67B7A">
              <w:rPr>
                <w:b w:val="0"/>
                <w:bCs w:val="0"/>
                <w:iCs w:val="0"/>
                <w:sz w:val="20"/>
                <w:szCs w:val="24"/>
              </w:rPr>
              <w:t xml:space="preserve">The aggregate power flux-density from transmitters </w:t>
            </w:r>
            <w:r>
              <w:rPr>
                <w:b w:val="0"/>
                <w:bCs w:val="0"/>
                <w:iCs w:val="0"/>
                <w:sz w:val="20"/>
                <w:szCs w:val="24"/>
              </w:rPr>
              <w:t>operating under an urban excise licence</w:t>
            </w:r>
            <w:r w:rsidRPr="00F67B7A">
              <w:rPr>
                <w:b w:val="0"/>
                <w:bCs w:val="0"/>
                <w:iCs w:val="0"/>
                <w:sz w:val="20"/>
                <w:szCs w:val="24"/>
              </w:rPr>
              <w:t xml:space="preserve"> must not exceed -</w:t>
            </w:r>
            <w:r>
              <w:rPr>
                <w:b w:val="0"/>
                <w:bCs w:val="0"/>
                <w:iCs w:val="0"/>
                <w:sz w:val="20"/>
                <w:szCs w:val="24"/>
              </w:rPr>
              <w:t>99</w:t>
            </w:r>
            <w:r w:rsidRPr="00F67B7A">
              <w:rPr>
                <w:b w:val="0"/>
                <w:bCs w:val="0"/>
                <w:iCs w:val="0"/>
                <w:sz w:val="20"/>
                <w:szCs w:val="24"/>
              </w:rPr>
              <w:t>.9 dBm/MHz/m</w:t>
            </w:r>
            <w:r w:rsidRPr="00F67B7A">
              <w:rPr>
                <w:b w:val="0"/>
                <w:bCs w:val="0"/>
                <w:iCs w:val="0"/>
                <w:sz w:val="20"/>
                <w:szCs w:val="24"/>
                <w:vertAlign w:val="superscript"/>
              </w:rPr>
              <w:t>2</w:t>
            </w:r>
            <w:r w:rsidRPr="00F67B7A">
              <w:rPr>
                <w:b w:val="0"/>
                <w:bCs w:val="0"/>
                <w:iCs w:val="0"/>
                <w:sz w:val="20"/>
                <w:szCs w:val="24"/>
              </w:rPr>
              <w:t xml:space="preserve"> at the boundary</w:t>
            </w:r>
            <w:r w:rsidR="000147B6">
              <w:rPr>
                <w:b w:val="0"/>
                <w:bCs w:val="0"/>
                <w:iCs w:val="0"/>
                <w:sz w:val="20"/>
                <w:szCs w:val="24"/>
              </w:rPr>
              <w:t> </w:t>
            </w:r>
            <w:r w:rsidRPr="00F67B7A">
              <w:rPr>
                <w:b w:val="0"/>
                <w:bCs w:val="0"/>
                <w:iCs w:val="0"/>
                <w:sz w:val="20"/>
                <w:szCs w:val="24"/>
              </w:rPr>
              <w:t>of urban excise areas at heights between 5 and 100 metres above ground level.</w:t>
            </w:r>
            <w:bookmarkEnd w:id="194"/>
            <w:bookmarkEnd w:id="195"/>
            <w:bookmarkEnd w:id="196"/>
            <w:bookmarkEnd w:id="197"/>
            <w:bookmarkEnd w:id="198"/>
            <w:bookmarkEnd w:id="199"/>
          </w:p>
        </w:tc>
      </w:tr>
      <w:bookmarkEnd w:id="151"/>
    </w:tbl>
    <w:p w14:paraId="5AB0B9AD" w14:textId="77777777" w:rsidR="007754EF" w:rsidRPr="00702EA1" w:rsidRDefault="007754EF" w:rsidP="007754EF">
      <w:pPr>
        <w:pStyle w:val="Paragraph"/>
      </w:pPr>
    </w:p>
    <w:p w14:paraId="1D7F0176" w14:textId="75F853AF" w:rsidR="007754EF" w:rsidRPr="00702EA1" w:rsidRDefault="007754EF" w:rsidP="007754EF">
      <w:pPr>
        <w:pStyle w:val="Heading2"/>
        <w:spacing w:before="0"/>
      </w:pPr>
      <w:bookmarkStart w:id="200" w:name="_Toc80784132"/>
      <w:bookmarkStart w:id="201" w:name="_Toc80795897"/>
      <w:r>
        <w:t>Optio</w:t>
      </w:r>
      <w:r w:rsidR="00187D0F">
        <w:t>n</w:t>
      </w:r>
      <w:r>
        <w:t xml:space="preserve"> </w:t>
      </w:r>
      <w:r w:rsidR="00096C45">
        <w:t>3</w:t>
      </w:r>
      <w:r>
        <w:t xml:space="preserve"> interference management criteria</w:t>
      </w:r>
      <w:bookmarkEnd w:id="200"/>
      <w:bookmarkEnd w:id="201"/>
    </w:p>
    <w:p w14:paraId="663AEF4E" w14:textId="420D3162" w:rsidR="009846D4" w:rsidRPr="009317CD" w:rsidRDefault="009846D4" w:rsidP="00BA11D7">
      <w:pPr>
        <w:pStyle w:val="CommentText"/>
        <w:tabs>
          <w:tab w:val="left" w:pos="426"/>
        </w:tabs>
        <w:spacing w:before="120"/>
        <w:rPr>
          <w:rFonts w:cs="Arial"/>
          <w:color w:val="000000" w:themeColor="text1"/>
        </w:rPr>
      </w:pPr>
      <w:r>
        <w:t xml:space="preserve">Option </w:t>
      </w:r>
      <w:r w:rsidR="00096C45">
        <w:t>3</w:t>
      </w:r>
      <w:r>
        <w:t xml:space="preserve"> is intended to support a </w:t>
      </w:r>
      <w:r>
        <w:rPr>
          <w:rFonts w:cs="Arial"/>
          <w:color w:val="000000" w:themeColor="text1"/>
        </w:rPr>
        <w:t>restricted cell scenario</w:t>
      </w:r>
      <w:r>
        <w:t>.</w:t>
      </w:r>
      <w:r w:rsidR="00BA11D7">
        <w:rPr>
          <w:rFonts w:cs="Arial"/>
          <w:color w:val="000000" w:themeColor="text1"/>
        </w:rPr>
        <w:t xml:space="preserve"> </w:t>
      </w:r>
      <w:r>
        <w:rPr>
          <w:rFonts w:cs="Arial"/>
          <w:color w:val="000000" w:themeColor="text1"/>
        </w:rPr>
        <w:t>Based on TLG</w:t>
      </w:r>
      <w:r w:rsidR="003B12C1">
        <w:rPr>
          <w:rFonts w:cs="Arial"/>
          <w:color w:val="000000" w:themeColor="text1"/>
        </w:rPr>
        <w:t xml:space="preserve"> discussions</w:t>
      </w:r>
      <w:r w:rsidR="00BA11D7">
        <w:rPr>
          <w:rFonts w:cs="Arial"/>
          <w:color w:val="000000" w:themeColor="text1"/>
        </w:rPr>
        <w:t xml:space="preserve">, the ACMA </w:t>
      </w:r>
      <w:r w:rsidR="00BA11D7" w:rsidRPr="009317CD">
        <w:rPr>
          <w:rFonts w:cs="Arial"/>
          <w:color w:val="000000" w:themeColor="text1"/>
        </w:rPr>
        <w:t xml:space="preserve">has developed possible interference management criteria for Option </w:t>
      </w:r>
      <w:r w:rsidR="00096C45" w:rsidRPr="009317CD">
        <w:rPr>
          <w:rFonts w:cs="Arial"/>
          <w:color w:val="000000" w:themeColor="text1"/>
        </w:rPr>
        <w:t>3</w:t>
      </w:r>
      <w:r w:rsidR="00BA11D7" w:rsidRPr="009317CD">
        <w:rPr>
          <w:rFonts w:cs="Arial"/>
          <w:color w:val="000000" w:themeColor="text1"/>
        </w:rPr>
        <w:t xml:space="preserve"> as detailed in Table 1</w:t>
      </w:r>
      <w:r w:rsidR="00C257A5" w:rsidRPr="009317CD">
        <w:rPr>
          <w:rFonts w:cs="Arial"/>
          <w:color w:val="000000" w:themeColor="text1"/>
        </w:rPr>
        <w:t>2</w:t>
      </w:r>
      <w:r w:rsidR="00BA11D7" w:rsidRPr="009317CD">
        <w:rPr>
          <w:rFonts w:cs="Arial"/>
          <w:color w:val="000000" w:themeColor="text1"/>
        </w:rPr>
        <w:t xml:space="preserve">. </w:t>
      </w:r>
      <w:r w:rsidR="00C257A5" w:rsidRPr="009317CD">
        <w:rPr>
          <w:rFonts w:cs="Arial"/>
          <w:color w:val="000000" w:themeColor="text1"/>
        </w:rPr>
        <w:t xml:space="preserve">The criteria </w:t>
      </w:r>
      <w:r w:rsidR="00DC1F7C" w:rsidRPr="009317CD">
        <w:rPr>
          <w:rFonts w:cs="Arial"/>
          <w:color w:val="000000" w:themeColor="text1"/>
        </w:rPr>
        <w:t>are</w:t>
      </w:r>
      <w:r w:rsidR="00C257A5" w:rsidRPr="009317CD">
        <w:rPr>
          <w:rFonts w:cs="Arial"/>
          <w:color w:val="000000" w:themeColor="text1"/>
        </w:rPr>
        <w:t xml:space="preserve"> similar to that developed for Option </w:t>
      </w:r>
      <w:r w:rsidR="00096C45" w:rsidRPr="009317CD">
        <w:rPr>
          <w:rFonts w:cs="Arial"/>
          <w:color w:val="000000" w:themeColor="text1"/>
        </w:rPr>
        <w:t>2</w:t>
      </w:r>
      <w:r w:rsidR="00C257A5" w:rsidRPr="009317CD">
        <w:rPr>
          <w:rFonts w:cs="Arial"/>
          <w:color w:val="000000" w:themeColor="text1"/>
        </w:rPr>
        <w:t xml:space="preserve"> with extra measures to manage interference between different urban excise licensees. </w:t>
      </w:r>
      <w:r w:rsidR="00BA11D7" w:rsidRPr="009317CD">
        <w:rPr>
          <w:rFonts w:cs="Arial"/>
          <w:color w:val="000000" w:themeColor="text1"/>
        </w:rPr>
        <w:t xml:space="preserve">In addition to these, as a general rule, licensees will be free to negotiate alternative arrangements with affected parties on a case-by-case basis. </w:t>
      </w:r>
    </w:p>
    <w:p w14:paraId="0E14DECE" w14:textId="048B6470" w:rsidR="00BA11D7" w:rsidRPr="009317CD" w:rsidRDefault="009846D4" w:rsidP="00BA11D7">
      <w:pPr>
        <w:pStyle w:val="CommentText"/>
        <w:tabs>
          <w:tab w:val="left" w:pos="426"/>
        </w:tabs>
        <w:spacing w:before="120"/>
      </w:pPr>
      <w:r w:rsidRPr="009317CD">
        <w:rPr>
          <w:rFonts w:cs="Arial"/>
          <w:color w:val="000000" w:themeColor="text1"/>
        </w:rPr>
        <w:t>It is noted that s</w:t>
      </w:r>
      <w:r w:rsidRPr="009317CD">
        <w:rPr>
          <w:rFonts w:cs="Arial"/>
        </w:rPr>
        <w:t xml:space="preserve">ome </w:t>
      </w:r>
      <w:r w:rsidRPr="009317CD">
        <w:t>TLG members queried how practical it would be to synchronise the operation of a large number of small cells, especially if they are operated by multiple different operators.</w:t>
      </w:r>
    </w:p>
    <w:p w14:paraId="7298E211" w14:textId="77777777" w:rsidR="00096C45" w:rsidRPr="009317CD" w:rsidRDefault="00096C45" w:rsidP="00BA11D7">
      <w:pPr>
        <w:pStyle w:val="CommentText"/>
        <w:tabs>
          <w:tab w:val="left" w:pos="426"/>
        </w:tabs>
        <w:spacing w:before="120"/>
        <w:rPr>
          <w:rFonts w:cs="Arial"/>
          <w:color w:val="000000" w:themeColor="text1"/>
        </w:rPr>
      </w:pPr>
    </w:p>
    <w:p w14:paraId="173041F7" w14:textId="66B30A08" w:rsidR="00C257A5" w:rsidRPr="009317CD" w:rsidRDefault="00C257A5" w:rsidP="00C257A5">
      <w:pPr>
        <w:pStyle w:val="Tableheading"/>
        <w:keepLines/>
      </w:pPr>
      <w:r w:rsidRPr="009317CD">
        <w:t xml:space="preserve">Summary of possible interference management criteria for Option </w:t>
      </w:r>
      <w:r w:rsidR="00096C45" w:rsidRPr="009317CD">
        <w:t>3</w:t>
      </w:r>
      <w:r w:rsidRPr="009317CD">
        <w:t xml:space="preserve"> </w:t>
      </w:r>
    </w:p>
    <w:tbl>
      <w:tblPr>
        <w:tblStyle w:val="TableGrid"/>
        <w:tblW w:w="9634" w:type="dxa"/>
        <w:tblCellMar>
          <w:top w:w="85" w:type="dxa"/>
          <w:bottom w:w="85" w:type="dxa"/>
        </w:tblCellMar>
        <w:tblLook w:val="04A0" w:firstRow="1" w:lastRow="0" w:firstColumn="1" w:lastColumn="0" w:noHBand="0" w:noVBand="1"/>
      </w:tblPr>
      <w:tblGrid>
        <w:gridCol w:w="1980"/>
        <w:gridCol w:w="7654"/>
      </w:tblGrid>
      <w:tr w:rsidR="00C257A5" w:rsidRPr="000147B6" w14:paraId="31CB80FE" w14:textId="77777777" w:rsidTr="00925D1B">
        <w:trPr>
          <w:cantSplit/>
        </w:trPr>
        <w:tc>
          <w:tcPr>
            <w:tcW w:w="1980" w:type="dxa"/>
            <w:shd w:val="clear" w:color="auto" w:fill="404040" w:themeFill="text1" w:themeFillTint="BF"/>
          </w:tcPr>
          <w:p w14:paraId="315F5B67" w14:textId="77777777" w:rsidR="00C257A5" w:rsidRPr="00925D1B" w:rsidRDefault="00C257A5" w:rsidP="00193349">
            <w:pPr>
              <w:spacing w:after="0" w:line="240" w:lineRule="auto"/>
              <w:rPr>
                <w:rFonts w:cs="Arial"/>
                <w:b/>
                <w:bCs/>
                <w:color w:val="FFFFFF" w:themeColor="background1"/>
                <w:szCs w:val="20"/>
              </w:rPr>
            </w:pPr>
            <w:r w:rsidRPr="00925D1B">
              <w:rPr>
                <w:rFonts w:cs="Arial"/>
                <w:b/>
                <w:bCs/>
                <w:color w:val="FFFFFF" w:themeColor="background1"/>
                <w:szCs w:val="20"/>
              </w:rPr>
              <w:t>Item</w:t>
            </w:r>
          </w:p>
        </w:tc>
        <w:tc>
          <w:tcPr>
            <w:tcW w:w="7654" w:type="dxa"/>
            <w:shd w:val="clear" w:color="auto" w:fill="404040" w:themeFill="text1" w:themeFillTint="BF"/>
          </w:tcPr>
          <w:p w14:paraId="32423A83" w14:textId="77777777" w:rsidR="00C257A5" w:rsidRPr="00925D1B" w:rsidRDefault="00C257A5" w:rsidP="00193349">
            <w:pPr>
              <w:spacing w:after="0" w:line="240" w:lineRule="auto"/>
              <w:rPr>
                <w:rFonts w:cs="Arial"/>
                <w:b/>
                <w:bCs/>
                <w:color w:val="FFFFFF" w:themeColor="background1"/>
                <w:szCs w:val="20"/>
              </w:rPr>
            </w:pPr>
            <w:r w:rsidRPr="00925D1B">
              <w:rPr>
                <w:rFonts w:cs="Arial"/>
                <w:b/>
                <w:bCs/>
                <w:color w:val="FFFFFF" w:themeColor="background1"/>
                <w:szCs w:val="20"/>
              </w:rPr>
              <w:t>Interference management criteria</w:t>
            </w:r>
          </w:p>
        </w:tc>
      </w:tr>
      <w:tr w:rsidR="00C257A5" w:rsidRPr="009317CD" w14:paraId="6BD2ED16" w14:textId="77777777" w:rsidTr="00925D1B">
        <w:trPr>
          <w:cantSplit/>
        </w:trPr>
        <w:tc>
          <w:tcPr>
            <w:tcW w:w="1980" w:type="dxa"/>
            <w:shd w:val="clear" w:color="auto" w:fill="F2F2F2" w:themeFill="background1" w:themeFillShade="F2"/>
          </w:tcPr>
          <w:p w14:paraId="67205C19" w14:textId="0554258A" w:rsidR="00C257A5" w:rsidRPr="009317CD" w:rsidRDefault="00C257A5" w:rsidP="00F67B7A">
            <w:pPr>
              <w:spacing w:before="120" w:after="120" w:line="240" w:lineRule="auto"/>
              <w:rPr>
                <w:rFonts w:cs="Arial"/>
                <w:szCs w:val="20"/>
              </w:rPr>
            </w:pPr>
            <w:r w:rsidRPr="009317CD">
              <w:rPr>
                <w:rFonts w:cs="Arial"/>
                <w:szCs w:val="20"/>
              </w:rPr>
              <w:t xml:space="preserve">Licence </w:t>
            </w:r>
            <w:r w:rsidR="000147B6">
              <w:rPr>
                <w:rFonts w:cs="Arial"/>
                <w:szCs w:val="20"/>
              </w:rPr>
              <w:t>t</w:t>
            </w:r>
            <w:r w:rsidRPr="009317CD">
              <w:rPr>
                <w:rFonts w:cs="Arial"/>
                <w:szCs w:val="20"/>
              </w:rPr>
              <w:t>ype</w:t>
            </w:r>
          </w:p>
        </w:tc>
        <w:tc>
          <w:tcPr>
            <w:tcW w:w="7654" w:type="dxa"/>
            <w:shd w:val="clear" w:color="auto" w:fill="F2F2F2" w:themeFill="background1" w:themeFillShade="F2"/>
          </w:tcPr>
          <w:p w14:paraId="5F7A2464" w14:textId="63FF6D33" w:rsidR="00C257A5" w:rsidRPr="009317CD" w:rsidRDefault="00C257A5" w:rsidP="00F67B7A">
            <w:pPr>
              <w:spacing w:before="120" w:after="120" w:line="240" w:lineRule="auto"/>
              <w:rPr>
                <w:rFonts w:cs="Arial"/>
                <w:szCs w:val="20"/>
              </w:rPr>
            </w:pPr>
            <w:r w:rsidRPr="009317CD">
              <w:rPr>
                <w:rFonts w:cs="Arial"/>
                <w:szCs w:val="20"/>
              </w:rPr>
              <w:t>Apparatus (e.g.</w:t>
            </w:r>
            <w:r w:rsidR="000147B6">
              <w:rPr>
                <w:rFonts w:cs="Arial"/>
                <w:szCs w:val="20"/>
              </w:rPr>
              <w:t>,</w:t>
            </w:r>
            <w:r w:rsidRPr="009317CD">
              <w:rPr>
                <w:rFonts w:cs="Arial"/>
                <w:szCs w:val="20"/>
              </w:rPr>
              <w:t xml:space="preserve"> AWL) or </w:t>
            </w:r>
            <w:r w:rsidR="000147B6">
              <w:rPr>
                <w:rFonts w:cs="Arial"/>
                <w:szCs w:val="20"/>
              </w:rPr>
              <w:t>c</w:t>
            </w:r>
            <w:r w:rsidRPr="009317CD">
              <w:rPr>
                <w:rFonts w:cs="Arial"/>
                <w:szCs w:val="20"/>
              </w:rPr>
              <w:t xml:space="preserve">lass </w:t>
            </w:r>
            <w:r w:rsidR="000147B6">
              <w:rPr>
                <w:rFonts w:cs="Arial"/>
                <w:szCs w:val="20"/>
              </w:rPr>
              <w:t>l</w:t>
            </w:r>
            <w:r w:rsidRPr="009317CD">
              <w:rPr>
                <w:rFonts w:cs="Arial"/>
                <w:szCs w:val="20"/>
              </w:rPr>
              <w:t xml:space="preserve">icence </w:t>
            </w:r>
          </w:p>
        </w:tc>
      </w:tr>
      <w:tr w:rsidR="00C257A5" w:rsidRPr="009317CD" w14:paraId="32B0D45E" w14:textId="77777777" w:rsidTr="00925D1B">
        <w:trPr>
          <w:cantSplit/>
        </w:trPr>
        <w:tc>
          <w:tcPr>
            <w:tcW w:w="1980" w:type="dxa"/>
            <w:shd w:val="clear" w:color="auto" w:fill="auto"/>
          </w:tcPr>
          <w:p w14:paraId="15DE6041" w14:textId="77777777" w:rsidR="00C257A5" w:rsidRPr="009317CD" w:rsidRDefault="00C257A5" w:rsidP="00F67B7A">
            <w:pPr>
              <w:spacing w:before="120" w:after="120" w:line="240" w:lineRule="auto"/>
              <w:rPr>
                <w:rFonts w:cs="Arial"/>
                <w:szCs w:val="20"/>
              </w:rPr>
            </w:pPr>
            <w:r w:rsidRPr="009317CD">
              <w:rPr>
                <w:rFonts w:cs="Arial"/>
                <w:szCs w:val="20"/>
              </w:rPr>
              <w:t>Definitions</w:t>
            </w:r>
          </w:p>
        </w:tc>
        <w:tc>
          <w:tcPr>
            <w:tcW w:w="7654" w:type="dxa"/>
            <w:shd w:val="clear" w:color="auto" w:fill="auto"/>
          </w:tcPr>
          <w:p w14:paraId="0F1F4973" w14:textId="43444CF4" w:rsidR="00C257A5" w:rsidRPr="009317CD" w:rsidRDefault="000147B6" w:rsidP="00F67B7A">
            <w:pPr>
              <w:pStyle w:val="TableBody"/>
              <w:spacing w:before="120" w:after="120"/>
              <w:rPr>
                <w:rFonts w:cs="Arial"/>
                <w:bCs/>
                <w:i/>
                <w:color w:val="000000"/>
                <w:szCs w:val="20"/>
              </w:rPr>
            </w:pPr>
            <w:r>
              <w:rPr>
                <w:rFonts w:cs="Arial"/>
                <w:color w:val="000000"/>
                <w:szCs w:val="20"/>
              </w:rPr>
              <w:t>‘C</w:t>
            </w:r>
            <w:r w:rsidR="00C257A5" w:rsidRPr="00925D1B">
              <w:rPr>
                <w:rFonts w:cs="Arial"/>
                <w:color w:val="000000"/>
                <w:szCs w:val="20"/>
              </w:rPr>
              <w:t>ontrolled premises</w:t>
            </w:r>
            <w:r>
              <w:rPr>
                <w:rFonts w:cs="Arial"/>
                <w:color w:val="000000"/>
                <w:szCs w:val="20"/>
              </w:rPr>
              <w:t>’</w:t>
            </w:r>
            <w:r w:rsidR="00C257A5" w:rsidRPr="009317CD">
              <w:rPr>
                <w:rFonts w:cs="Arial"/>
                <w:b/>
                <w:i/>
                <w:color w:val="000000"/>
                <w:szCs w:val="20"/>
              </w:rPr>
              <w:t xml:space="preserve"> </w:t>
            </w:r>
            <w:r w:rsidR="00C257A5" w:rsidRPr="009317CD">
              <w:rPr>
                <w:rFonts w:cs="Arial"/>
                <w:bCs/>
                <w:iCs/>
                <w:color w:val="000000"/>
                <w:szCs w:val="20"/>
              </w:rPr>
              <w:t>means premises that are owned by or under the control of a person who is providing a radiocommunications service under a class licence</w:t>
            </w:r>
            <w:r w:rsidR="00C257A5" w:rsidRPr="009317CD">
              <w:rPr>
                <w:rFonts w:cs="Arial"/>
                <w:bCs/>
                <w:i/>
                <w:color w:val="000000"/>
                <w:szCs w:val="20"/>
              </w:rPr>
              <w:t xml:space="preserve">.  </w:t>
            </w:r>
          </w:p>
          <w:p w14:paraId="57640215" w14:textId="48D237D8" w:rsidR="00C257A5" w:rsidRPr="009317CD" w:rsidRDefault="00C257A5" w:rsidP="00F67B7A">
            <w:pPr>
              <w:pStyle w:val="TableBody"/>
              <w:spacing w:before="120" w:after="120"/>
              <w:rPr>
                <w:iCs/>
              </w:rPr>
            </w:pPr>
            <w:r w:rsidRPr="00925D1B">
              <w:rPr>
                <w:bCs/>
                <w:iCs/>
                <w:color w:val="000000"/>
              </w:rPr>
              <w:t>Note:</w:t>
            </w:r>
            <w:r w:rsidRPr="009317CD">
              <w:rPr>
                <w:bCs/>
                <w:iCs/>
                <w:color w:val="000000"/>
              </w:rPr>
              <w:t xml:space="preserve"> If a spectrum licence or AWL approach is adopted, the term ‘controlled premises</w:t>
            </w:r>
            <w:r w:rsidR="000147B6">
              <w:rPr>
                <w:bCs/>
                <w:iCs/>
                <w:color w:val="000000"/>
              </w:rPr>
              <w:t>’</w:t>
            </w:r>
            <w:r w:rsidRPr="009317CD">
              <w:rPr>
                <w:bCs/>
                <w:iCs/>
                <w:color w:val="000000"/>
              </w:rPr>
              <w:t xml:space="preserve"> would be defined as the geographical boundary of the licence. </w:t>
            </w:r>
          </w:p>
        </w:tc>
      </w:tr>
      <w:tr w:rsidR="00C257A5" w:rsidRPr="009317CD" w14:paraId="2CD65419" w14:textId="77777777" w:rsidTr="00925D1B">
        <w:trPr>
          <w:cantSplit/>
        </w:trPr>
        <w:tc>
          <w:tcPr>
            <w:tcW w:w="1980" w:type="dxa"/>
            <w:shd w:val="clear" w:color="auto" w:fill="F2F2F2" w:themeFill="background1" w:themeFillShade="F2"/>
          </w:tcPr>
          <w:p w14:paraId="44CFF3D6" w14:textId="77777777" w:rsidR="00C257A5" w:rsidRPr="009317CD" w:rsidRDefault="00C257A5" w:rsidP="00F67B7A">
            <w:pPr>
              <w:spacing w:before="120" w:after="120" w:line="240" w:lineRule="auto"/>
              <w:rPr>
                <w:rFonts w:cs="Arial"/>
                <w:szCs w:val="20"/>
              </w:rPr>
            </w:pPr>
            <w:r w:rsidRPr="009317CD">
              <w:rPr>
                <w:rFonts w:cs="Arial"/>
                <w:szCs w:val="20"/>
              </w:rPr>
              <w:t>General rules for all transmitters</w:t>
            </w:r>
          </w:p>
        </w:tc>
        <w:tc>
          <w:tcPr>
            <w:tcW w:w="7654" w:type="dxa"/>
            <w:shd w:val="clear" w:color="auto" w:fill="F2F2F2" w:themeFill="background1" w:themeFillShade="F2"/>
          </w:tcPr>
          <w:p w14:paraId="78CA42D6" w14:textId="6994E584" w:rsidR="00C257A5" w:rsidRPr="009317CD" w:rsidRDefault="00C257A5" w:rsidP="00F67B7A">
            <w:pPr>
              <w:pStyle w:val="Heading2"/>
              <w:numPr>
                <w:ilvl w:val="0"/>
                <w:numId w:val="60"/>
              </w:numPr>
              <w:spacing w:before="120" w:after="120"/>
              <w:ind w:left="743" w:hanging="727"/>
              <w:outlineLvl w:val="1"/>
              <w:rPr>
                <w:b w:val="0"/>
                <w:bCs w:val="0"/>
                <w:iCs w:val="0"/>
                <w:sz w:val="20"/>
                <w:szCs w:val="24"/>
              </w:rPr>
            </w:pPr>
            <w:bookmarkStart w:id="202" w:name="_Toc78811525"/>
            <w:bookmarkStart w:id="203" w:name="_Toc80784133"/>
            <w:bookmarkStart w:id="204" w:name="_Toc80792134"/>
            <w:bookmarkStart w:id="205" w:name="_Toc80795898"/>
            <w:r w:rsidRPr="009317CD">
              <w:rPr>
                <w:b w:val="0"/>
                <w:bCs w:val="0"/>
                <w:iCs w:val="0"/>
                <w:sz w:val="20"/>
                <w:szCs w:val="24"/>
              </w:rPr>
              <w:t>Operation of transmitters is limited to urban excise areas and within the 3400</w:t>
            </w:r>
            <w:r w:rsidR="000147B6">
              <w:rPr>
                <w:b w:val="0"/>
                <w:bCs w:val="0"/>
                <w:iCs w:val="0"/>
                <w:sz w:val="20"/>
                <w:szCs w:val="24"/>
              </w:rPr>
              <w:t>–</w:t>
            </w:r>
            <w:r w:rsidRPr="009317CD">
              <w:rPr>
                <w:b w:val="0"/>
                <w:bCs w:val="0"/>
                <w:iCs w:val="0"/>
                <w:sz w:val="20"/>
                <w:szCs w:val="24"/>
              </w:rPr>
              <w:t>3470 MHz band (i.e.</w:t>
            </w:r>
            <w:r w:rsidR="000147B6">
              <w:rPr>
                <w:b w:val="0"/>
                <w:bCs w:val="0"/>
                <w:iCs w:val="0"/>
                <w:sz w:val="20"/>
                <w:szCs w:val="24"/>
              </w:rPr>
              <w:t>,</w:t>
            </w:r>
            <w:r w:rsidRPr="009317CD">
              <w:rPr>
                <w:b w:val="0"/>
                <w:bCs w:val="0"/>
                <w:iCs w:val="0"/>
                <w:sz w:val="20"/>
                <w:szCs w:val="24"/>
              </w:rPr>
              <w:t xml:space="preserve"> 5 MHz </w:t>
            </w:r>
            <w:r w:rsidR="0082251A" w:rsidRPr="009317CD">
              <w:rPr>
                <w:b w:val="0"/>
                <w:bCs w:val="0"/>
                <w:iCs w:val="0"/>
                <w:sz w:val="20"/>
                <w:szCs w:val="24"/>
              </w:rPr>
              <w:t xml:space="preserve">restricted use </w:t>
            </w:r>
            <w:r w:rsidRPr="009317CD">
              <w:rPr>
                <w:b w:val="0"/>
                <w:bCs w:val="0"/>
                <w:iCs w:val="0"/>
                <w:sz w:val="20"/>
                <w:szCs w:val="24"/>
              </w:rPr>
              <w:t>band). Operation within the 3470</w:t>
            </w:r>
            <w:r w:rsidR="000147B6">
              <w:rPr>
                <w:b w:val="0"/>
                <w:bCs w:val="0"/>
                <w:iCs w:val="0"/>
                <w:sz w:val="20"/>
                <w:szCs w:val="24"/>
              </w:rPr>
              <w:t>–</w:t>
            </w:r>
            <w:r w:rsidRPr="009317CD">
              <w:rPr>
                <w:b w:val="0"/>
                <w:bCs w:val="0"/>
                <w:iCs w:val="0"/>
                <w:sz w:val="20"/>
                <w:szCs w:val="24"/>
              </w:rPr>
              <w:t>3475 MHz band is possible via agreement with the adjacent band spectrum licensee.</w:t>
            </w:r>
            <w:bookmarkEnd w:id="202"/>
            <w:bookmarkEnd w:id="203"/>
            <w:bookmarkEnd w:id="204"/>
            <w:bookmarkEnd w:id="205"/>
            <w:r w:rsidRPr="009317CD">
              <w:rPr>
                <w:b w:val="0"/>
                <w:bCs w:val="0"/>
                <w:iCs w:val="0"/>
                <w:sz w:val="20"/>
                <w:szCs w:val="24"/>
              </w:rPr>
              <w:t xml:space="preserve"> </w:t>
            </w:r>
          </w:p>
          <w:p w14:paraId="027313BE" w14:textId="77777777" w:rsidR="00C257A5" w:rsidRPr="009317CD" w:rsidRDefault="00C257A5" w:rsidP="00F67B7A">
            <w:pPr>
              <w:pStyle w:val="Heading2"/>
              <w:numPr>
                <w:ilvl w:val="0"/>
                <w:numId w:val="60"/>
              </w:numPr>
              <w:spacing w:before="120" w:after="120"/>
              <w:ind w:left="736" w:hanging="720"/>
              <w:outlineLvl w:val="1"/>
              <w:rPr>
                <w:b w:val="0"/>
                <w:bCs w:val="0"/>
                <w:iCs w:val="0"/>
                <w:sz w:val="20"/>
                <w:szCs w:val="24"/>
              </w:rPr>
            </w:pPr>
            <w:bookmarkStart w:id="206" w:name="_Toc78811526"/>
            <w:bookmarkStart w:id="207" w:name="_Toc80784134"/>
            <w:bookmarkStart w:id="208" w:name="_Toc80792135"/>
            <w:bookmarkStart w:id="209" w:name="_Toc80795899"/>
            <w:r w:rsidRPr="009317CD">
              <w:rPr>
                <w:b w:val="0"/>
                <w:bCs w:val="0"/>
                <w:iCs w:val="0"/>
                <w:sz w:val="20"/>
                <w:szCs w:val="24"/>
              </w:rPr>
              <w:t>The maximum transmitter EIRP must not exceed 30 dBm.</w:t>
            </w:r>
            <w:bookmarkEnd w:id="206"/>
            <w:bookmarkEnd w:id="207"/>
            <w:bookmarkEnd w:id="208"/>
            <w:bookmarkEnd w:id="209"/>
          </w:p>
          <w:p w14:paraId="13C90737" w14:textId="77777777" w:rsidR="00C257A5" w:rsidRPr="009317CD" w:rsidRDefault="00C257A5" w:rsidP="00F67B7A">
            <w:pPr>
              <w:pStyle w:val="Heading2"/>
              <w:numPr>
                <w:ilvl w:val="0"/>
                <w:numId w:val="60"/>
              </w:numPr>
              <w:spacing w:before="120" w:after="120"/>
              <w:ind w:left="736" w:hanging="720"/>
              <w:outlineLvl w:val="1"/>
              <w:rPr>
                <w:b w:val="0"/>
                <w:bCs w:val="0"/>
                <w:iCs w:val="0"/>
                <w:sz w:val="20"/>
                <w:szCs w:val="24"/>
              </w:rPr>
            </w:pPr>
            <w:bookmarkStart w:id="210" w:name="_Toc78811527"/>
            <w:bookmarkStart w:id="211" w:name="_Toc80784135"/>
            <w:bookmarkStart w:id="212" w:name="_Toc80792136"/>
            <w:bookmarkStart w:id="213" w:name="_Toc80795900"/>
            <w:r w:rsidRPr="009317CD">
              <w:rPr>
                <w:b w:val="0"/>
                <w:bCs w:val="0"/>
                <w:iCs w:val="0"/>
                <w:sz w:val="20"/>
                <w:szCs w:val="24"/>
              </w:rPr>
              <w:t>The power spectral density of a transmitter must not exceed 17 dBm EIRP per MHz.</w:t>
            </w:r>
            <w:bookmarkEnd w:id="210"/>
            <w:bookmarkEnd w:id="211"/>
            <w:bookmarkEnd w:id="212"/>
            <w:bookmarkEnd w:id="213"/>
          </w:p>
          <w:p w14:paraId="22267C63" w14:textId="77777777" w:rsidR="00C257A5" w:rsidRPr="009317CD" w:rsidRDefault="00C257A5" w:rsidP="00F67B7A">
            <w:pPr>
              <w:pStyle w:val="Heading2"/>
              <w:numPr>
                <w:ilvl w:val="0"/>
                <w:numId w:val="60"/>
              </w:numPr>
              <w:spacing w:before="120" w:after="120"/>
              <w:ind w:left="736" w:hanging="720"/>
              <w:outlineLvl w:val="1"/>
              <w:rPr>
                <w:b w:val="0"/>
                <w:bCs w:val="0"/>
                <w:iCs w:val="0"/>
                <w:sz w:val="20"/>
                <w:szCs w:val="24"/>
              </w:rPr>
            </w:pPr>
            <w:bookmarkStart w:id="214" w:name="_Toc78811528"/>
            <w:bookmarkStart w:id="215" w:name="_Toc80784136"/>
            <w:bookmarkStart w:id="216" w:name="_Toc80792137"/>
            <w:bookmarkStart w:id="217" w:name="_Toc80795901"/>
            <w:r w:rsidRPr="009317CD">
              <w:rPr>
                <w:b w:val="0"/>
                <w:bCs w:val="0"/>
                <w:iCs w:val="0"/>
                <w:sz w:val="20"/>
                <w:szCs w:val="24"/>
              </w:rPr>
              <w:t>Base station transmitters must comply with the unwanted and spurious emission limits described in 3GPP TS 38.104.</w:t>
            </w:r>
            <w:bookmarkEnd w:id="214"/>
            <w:bookmarkEnd w:id="215"/>
            <w:bookmarkEnd w:id="216"/>
            <w:bookmarkEnd w:id="217"/>
          </w:p>
          <w:p w14:paraId="397E9D4F" w14:textId="77777777" w:rsidR="00C257A5" w:rsidRPr="009317CD" w:rsidRDefault="00C257A5" w:rsidP="00F67B7A">
            <w:pPr>
              <w:pStyle w:val="Heading2"/>
              <w:numPr>
                <w:ilvl w:val="0"/>
                <w:numId w:val="60"/>
              </w:numPr>
              <w:spacing w:before="120" w:after="120"/>
              <w:ind w:left="736" w:hanging="720"/>
              <w:outlineLvl w:val="1"/>
              <w:rPr>
                <w:b w:val="0"/>
                <w:bCs w:val="0"/>
                <w:iCs w:val="0"/>
                <w:sz w:val="20"/>
                <w:szCs w:val="24"/>
              </w:rPr>
            </w:pPr>
            <w:bookmarkStart w:id="218" w:name="_Toc78811529"/>
            <w:bookmarkStart w:id="219" w:name="_Toc80784137"/>
            <w:bookmarkStart w:id="220" w:name="_Toc80792138"/>
            <w:bookmarkStart w:id="221" w:name="_Toc80795902"/>
            <w:r w:rsidRPr="009317CD">
              <w:rPr>
                <w:b w:val="0"/>
                <w:bCs w:val="0"/>
                <w:iCs w:val="0"/>
                <w:sz w:val="20"/>
                <w:szCs w:val="24"/>
              </w:rPr>
              <w:t>User equipment transmitters must comply with the unwanted and spurious emission limits described in 3GPP TS 38.101-2.</w:t>
            </w:r>
            <w:bookmarkEnd w:id="218"/>
            <w:bookmarkEnd w:id="219"/>
            <w:bookmarkEnd w:id="220"/>
            <w:bookmarkEnd w:id="221"/>
          </w:p>
          <w:p w14:paraId="4965B425" w14:textId="4DC49B0D" w:rsidR="00C257A5" w:rsidRPr="009317CD" w:rsidRDefault="00C257A5" w:rsidP="00F67B7A">
            <w:pPr>
              <w:pStyle w:val="Heading2"/>
              <w:numPr>
                <w:ilvl w:val="0"/>
                <w:numId w:val="60"/>
              </w:numPr>
              <w:spacing w:before="120" w:after="120"/>
              <w:ind w:left="736" w:hanging="720"/>
              <w:outlineLvl w:val="1"/>
              <w:rPr>
                <w:b w:val="0"/>
                <w:bCs w:val="0"/>
                <w:iCs w:val="0"/>
                <w:sz w:val="20"/>
                <w:szCs w:val="24"/>
              </w:rPr>
            </w:pPr>
            <w:bookmarkStart w:id="222" w:name="_Toc78811530"/>
            <w:bookmarkStart w:id="223" w:name="_Toc80784138"/>
            <w:bookmarkStart w:id="224" w:name="_Toc80792139"/>
            <w:bookmarkStart w:id="225" w:name="_Toc80795903"/>
            <w:r w:rsidRPr="009317CD">
              <w:rPr>
                <w:b w:val="0"/>
                <w:bCs w:val="0"/>
                <w:iCs w:val="0"/>
                <w:sz w:val="20"/>
                <w:szCs w:val="24"/>
              </w:rPr>
              <w:t>Operation is on a no interference and no protection basis to services operating under other licences</w:t>
            </w:r>
            <w:r w:rsidRPr="009317CD">
              <w:rPr>
                <w:b w:val="0"/>
                <w:sz w:val="20"/>
                <w:szCs w:val="24"/>
              </w:rPr>
              <w:t>.</w:t>
            </w:r>
            <w:bookmarkEnd w:id="222"/>
            <w:bookmarkEnd w:id="223"/>
            <w:bookmarkEnd w:id="224"/>
            <w:bookmarkEnd w:id="225"/>
          </w:p>
          <w:p w14:paraId="19D09AAC" w14:textId="5529C462" w:rsidR="00C257A5" w:rsidRPr="009317CD" w:rsidRDefault="00C257A5" w:rsidP="00F67B7A">
            <w:pPr>
              <w:pStyle w:val="Heading2"/>
              <w:numPr>
                <w:ilvl w:val="0"/>
                <w:numId w:val="60"/>
              </w:numPr>
              <w:spacing w:before="120" w:after="120"/>
              <w:ind w:left="736" w:hanging="720"/>
              <w:outlineLvl w:val="1"/>
              <w:rPr>
                <w:b w:val="0"/>
                <w:bCs w:val="0"/>
                <w:iCs w:val="0"/>
                <w:sz w:val="20"/>
                <w:szCs w:val="24"/>
              </w:rPr>
            </w:pPr>
            <w:bookmarkStart w:id="226" w:name="_Toc78811531"/>
            <w:bookmarkStart w:id="227" w:name="_Toc80784139"/>
            <w:bookmarkStart w:id="228" w:name="_Toc80792140"/>
            <w:bookmarkStart w:id="229" w:name="_Toc80795904"/>
            <w:r w:rsidRPr="009317CD">
              <w:rPr>
                <w:b w:val="0"/>
                <w:bCs w:val="0"/>
                <w:iCs w:val="0"/>
                <w:sz w:val="20"/>
                <w:szCs w:val="24"/>
              </w:rPr>
              <w:t xml:space="preserve">The operation of transmitters must be synchronised with the operation of services operating under adjacent area 3.4 GHz spectrum licences that are directly adjacent to urban excise areas. In this case synchronisation means operating in accordance with </w:t>
            </w:r>
            <w:hyperlink r:id="rId85" w:history="1">
              <w:r w:rsidRPr="00925D1B">
                <w:rPr>
                  <w:rStyle w:val="Hyperlink"/>
                  <w:b w:val="0"/>
                  <w:bCs w:val="0"/>
                  <w:sz w:val="20"/>
                  <w:szCs w:val="20"/>
                </w:rPr>
                <w:t>clause 11 of Licence Schedule 4 of a 3.4 GHz spectrum licences</w:t>
              </w:r>
            </w:hyperlink>
            <w:r w:rsidRPr="009317CD">
              <w:rPr>
                <w:b w:val="0"/>
                <w:bCs w:val="0"/>
                <w:iCs w:val="0"/>
                <w:sz w:val="20"/>
                <w:szCs w:val="24"/>
              </w:rPr>
              <w:t>.</w:t>
            </w:r>
            <w:bookmarkEnd w:id="226"/>
            <w:bookmarkEnd w:id="227"/>
            <w:bookmarkEnd w:id="228"/>
            <w:bookmarkEnd w:id="229"/>
          </w:p>
          <w:p w14:paraId="78C91F29" w14:textId="77777777" w:rsidR="00C257A5" w:rsidRPr="009317CD" w:rsidRDefault="00C257A5" w:rsidP="00C257A5">
            <w:pPr>
              <w:pStyle w:val="Heading2"/>
              <w:numPr>
                <w:ilvl w:val="0"/>
                <w:numId w:val="60"/>
              </w:numPr>
              <w:spacing w:before="120" w:after="120"/>
              <w:ind w:left="743" w:hanging="727"/>
              <w:outlineLvl w:val="1"/>
              <w:rPr>
                <w:b w:val="0"/>
                <w:bCs w:val="0"/>
                <w:iCs w:val="0"/>
                <w:sz w:val="20"/>
                <w:szCs w:val="24"/>
              </w:rPr>
            </w:pPr>
            <w:bookmarkStart w:id="230" w:name="_Toc75275784"/>
            <w:bookmarkStart w:id="231" w:name="_Toc76376852"/>
            <w:bookmarkStart w:id="232" w:name="_Toc78811532"/>
            <w:bookmarkStart w:id="233" w:name="_Toc80784140"/>
            <w:bookmarkStart w:id="234" w:name="_Toc80792141"/>
            <w:bookmarkStart w:id="235" w:name="_Toc80795905"/>
            <w:r w:rsidRPr="009317CD">
              <w:rPr>
                <w:b w:val="0"/>
                <w:bCs w:val="0"/>
                <w:iCs w:val="0"/>
                <w:sz w:val="20"/>
                <w:szCs w:val="24"/>
              </w:rPr>
              <w:t>The aggregate power flux-density from transmitters on controlled premises must not exceed –64.9 dBm/MHz/m</w:t>
            </w:r>
            <w:r w:rsidRPr="009317CD">
              <w:rPr>
                <w:b w:val="0"/>
                <w:bCs w:val="0"/>
                <w:iCs w:val="0"/>
                <w:sz w:val="20"/>
                <w:szCs w:val="24"/>
                <w:vertAlign w:val="superscript"/>
              </w:rPr>
              <w:t>2</w:t>
            </w:r>
            <w:r w:rsidRPr="009317CD">
              <w:rPr>
                <w:b w:val="0"/>
                <w:bCs w:val="0"/>
                <w:iCs w:val="0"/>
                <w:sz w:val="20"/>
                <w:szCs w:val="24"/>
              </w:rPr>
              <w:t xml:space="preserve"> at the external boundary of the controlled premises at a height of 5 metres above ground level.</w:t>
            </w:r>
            <w:bookmarkStart w:id="236" w:name="_Toc75275785"/>
            <w:bookmarkStart w:id="237" w:name="_Toc76376853"/>
            <w:bookmarkEnd w:id="230"/>
            <w:bookmarkEnd w:id="231"/>
            <w:bookmarkEnd w:id="232"/>
            <w:bookmarkEnd w:id="233"/>
            <w:bookmarkEnd w:id="234"/>
            <w:bookmarkEnd w:id="235"/>
          </w:p>
          <w:p w14:paraId="5DBCBE1D" w14:textId="7D8F2D48" w:rsidR="00C257A5" w:rsidRPr="009317CD" w:rsidRDefault="00C257A5" w:rsidP="00F67B7A">
            <w:pPr>
              <w:pStyle w:val="Heading2"/>
              <w:numPr>
                <w:ilvl w:val="0"/>
                <w:numId w:val="60"/>
              </w:numPr>
              <w:spacing w:before="120" w:after="120"/>
              <w:ind w:left="743" w:hanging="727"/>
              <w:outlineLvl w:val="1"/>
              <w:rPr>
                <w:b w:val="0"/>
                <w:bCs w:val="0"/>
                <w:iCs w:val="0"/>
                <w:sz w:val="20"/>
                <w:szCs w:val="24"/>
              </w:rPr>
            </w:pPr>
            <w:bookmarkStart w:id="238" w:name="_Toc78811533"/>
            <w:bookmarkStart w:id="239" w:name="_Toc80784141"/>
            <w:bookmarkStart w:id="240" w:name="_Toc80792142"/>
            <w:bookmarkStart w:id="241" w:name="_Toc80795906"/>
            <w:r w:rsidRPr="009317CD">
              <w:rPr>
                <w:b w:val="0"/>
                <w:bCs w:val="0"/>
                <w:iCs w:val="0"/>
                <w:sz w:val="20"/>
                <w:szCs w:val="24"/>
              </w:rPr>
              <w:t>The aggregate power flux-density from transmitters on controlled premises must not exceed –99.9 dBm/MHz/m</w:t>
            </w:r>
            <w:r w:rsidRPr="009317CD">
              <w:rPr>
                <w:b w:val="0"/>
                <w:bCs w:val="0"/>
                <w:iCs w:val="0"/>
                <w:sz w:val="20"/>
                <w:szCs w:val="24"/>
                <w:vertAlign w:val="superscript"/>
              </w:rPr>
              <w:t xml:space="preserve">2 </w:t>
            </w:r>
            <w:r w:rsidRPr="009317CD">
              <w:rPr>
                <w:b w:val="0"/>
                <w:bCs w:val="0"/>
                <w:iCs w:val="0"/>
                <w:sz w:val="20"/>
                <w:szCs w:val="24"/>
              </w:rPr>
              <w:t>at the boundary of urban excise areas at heights between 5 and 100 metres above ground level.</w:t>
            </w:r>
            <w:bookmarkEnd w:id="236"/>
            <w:bookmarkEnd w:id="237"/>
            <w:bookmarkEnd w:id="238"/>
            <w:bookmarkEnd w:id="239"/>
            <w:bookmarkEnd w:id="240"/>
            <w:bookmarkEnd w:id="241"/>
          </w:p>
        </w:tc>
      </w:tr>
    </w:tbl>
    <w:p w14:paraId="6F3B0F88" w14:textId="6BE6939A" w:rsidR="000E42DD" w:rsidRPr="009317CD" w:rsidRDefault="000E42DD" w:rsidP="00871249">
      <w:pPr>
        <w:spacing w:after="60"/>
        <w:ind w:right="-1260"/>
      </w:pPr>
    </w:p>
    <w:p w14:paraId="6EDEF358" w14:textId="7D94C97E" w:rsidR="00187D0F" w:rsidRPr="009317CD" w:rsidRDefault="00187D0F" w:rsidP="00187D0F">
      <w:pPr>
        <w:pStyle w:val="Heading2"/>
        <w:spacing w:before="0"/>
      </w:pPr>
      <w:bookmarkStart w:id="242" w:name="_Toc80795907"/>
      <w:r w:rsidRPr="009317CD">
        <w:t xml:space="preserve">Option </w:t>
      </w:r>
      <w:r w:rsidR="00096C45" w:rsidRPr="009317CD">
        <w:t>4</w:t>
      </w:r>
      <w:r w:rsidRPr="009317CD">
        <w:t xml:space="preserve"> interference management criteria</w:t>
      </w:r>
      <w:bookmarkEnd w:id="242"/>
    </w:p>
    <w:p w14:paraId="78B2C303" w14:textId="12420A37" w:rsidR="000C4DE0" w:rsidRDefault="00475DF0">
      <w:pPr>
        <w:pStyle w:val="Paragraphbeforelist"/>
      </w:pPr>
      <w:r w:rsidRPr="009317CD">
        <w:t xml:space="preserve">Option 4 is intended to </w:t>
      </w:r>
      <w:r w:rsidR="000C4DE0" w:rsidRPr="009317CD">
        <w:t xml:space="preserve">provide </w:t>
      </w:r>
      <w:r w:rsidRPr="009317CD">
        <w:t xml:space="preserve">support </w:t>
      </w:r>
      <w:r w:rsidR="000C4DE0" w:rsidRPr="009317CD">
        <w:t xml:space="preserve">for </w:t>
      </w:r>
      <w:r w:rsidRPr="009317CD">
        <w:t xml:space="preserve">macro cell deployments in the </w:t>
      </w:r>
      <w:r w:rsidR="000147B6">
        <w:br/>
      </w:r>
      <w:r w:rsidRPr="009317CD">
        <w:t>3400</w:t>
      </w:r>
      <w:r w:rsidR="000147B6">
        <w:t>–</w:t>
      </w:r>
      <w:r w:rsidRPr="009317CD">
        <w:t xml:space="preserve">3460 MHz frequency range and a restricted cell scenario in the </w:t>
      </w:r>
      <w:r w:rsidR="000147B6">
        <w:br/>
      </w:r>
      <w:r w:rsidRPr="009317CD">
        <w:t>3460</w:t>
      </w:r>
      <w:r w:rsidR="000147B6">
        <w:t>–</w:t>
      </w:r>
      <w:r w:rsidRPr="009317CD">
        <w:t>3475 MHz frequency range. In this case</w:t>
      </w:r>
      <w:r w:rsidR="000147B6">
        <w:t>,</w:t>
      </w:r>
      <w:r w:rsidRPr="009317CD">
        <w:t xml:space="preserve"> the possible interference management</w:t>
      </w:r>
      <w:r w:rsidR="000147B6">
        <w:t> </w:t>
      </w:r>
      <w:r w:rsidRPr="009317CD">
        <w:t>criteria for Option 1 as detailed in Table 10 would be applied across the</w:t>
      </w:r>
      <w:r w:rsidR="000147B6">
        <w:t> </w:t>
      </w:r>
      <w:r w:rsidRPr="009317CD">
        <w:t>entire 3400</w:t>
      </w:r>
      <w:r w:rsidR="000147B6">
        <w:t>–</w:t>
      </w:r>
      <w:r w:rsidRPr="009317CD">
        <w:t>3475 MHz band</w:t>
      </w:r>
      <w:r w:rsidR="000C4DE0" w:rsidRPr="009317CD">
        <w:t xml:space="preserve"> with the following additional </w:t>
      </w:r>
      <w:r w:rsidR="000C4DE0" w:rsidRPr="000147B6">
        <w:t>restrictions</w:t>
      </w:r>
      <w:r w:rsidR="000C4DE0" w:rsidRPr="009317CD">
        <w:t>:</w:t>
      </w:r>
    </w:p>
    <w:p w14:paraId="6EABC5C3" w14:textId="1899B11F" w:rsidR="000C4DE0" w:rsidRPr="00AA7DC3" w:rsidRDefault="000C4DE0" w:rsidP="00925D1B">
      <w:pPr>
        <w:pStyle w:val="Bulletlevel1"/>
        <w:rPr>
          <w:iCs/>
        </w:rPr>
      </w:pPr>
      <w:r w:rsidRPr="00ED3225">
        <w:t xml:space="preserve">Operation of transmitters is </w:t>
      </w:r>
      <w:r w:rsidRPr="00C420A3">
        <w:t xml:space="preserve">limited to urban excise areas and within the </w:t>
      </w:r>
      <w:r w:rsidR="000147B6">
        <w:br/>
      </w:r>
      <w:r w:rsidRPr="00C420A3">
        <w:t>3400</w:t>
      </w:r>
      <w:r w:rsidR="000147B6">
        <w:t>–</w:t>
      </w:r>
      <w:r w:rsidRPr="00C420A3">
        <w:t xml:space="preserve">3470 MHz band </w:t>
      </w:r>
      <w:r w:rsidRPr="00AA7DC3">
        <w:t>(i.e.</w:t>
      </w:r>
      <w:r w:rsidR="000147B6">
        <w:t>,</w:t>
      </w:r>
      <w:r w:rsidRPr="00AA7DC3">
        <w:t xml:space="preserve"> 5 MHz </w:t>
      </w:r>
      <w:r w:rsidR="00CC5CE9">
        <w:t>restricted use</w:t>
      </w:r>
      <w:r w:rsidR="00CC5CE9" w:rsidRPr="00AA7DC3">
        <w:t xml:space="preserve"> </w:t>
      </w:r>
      <w:r w:rsidRPr="00AA7DC3">
        <w:t>band</w:t>
      </w:r>
      <w:r w:rsidRPr="00AA7DC3">
        <w:rPr>
          <w:iCs/>
        </w:rPr>
        <w:t xml:space="preserve">). Operation within the </w:t>
      </w:r>
      <w:r w:rsidR="000147B6">
        <w:rPr>
          <w:iCs/>
        </w:rPr>
        <w:br/>
      </w:r>
      <w:r w:rsidRPr="00AA7DC3">
        <w:rPr>
          <w:iCs/>
        </w:rPr>
        <w:t>3470</w:t>
      </w:r>
      <w:r w:rsidR="000147B6">
        <w:rPr>
          <w:iCs/>
        </w:rPr>
        <w:t>–</w:t>
      </w:r>
      <w:r w:rsidRPr="00AA7DC3">
        <w:rPr>
          <w:iCs/>
        </w:rPr>
        <w:t>3475 MHz band is possible via agreement with the adjacent band spectrum licensee</w:t>
      </w:r>
      <w:r w:rsidR="0099669E">
        <w:rPr>
          <w:iCs/>
        </w:rPr>
        <w:t xml:space="preserve"> </w:t>
      </w:r>
      <w:r w:rsidR="0099669E">
        <w:rPr>
          <w:color w:val="000000" w:themeColor="text1"/>
        </w:rPr>
        <w:t>or if operation can be synchronised with the adjacent band licensee</w:t>
      </w:r>
      <w:r w:rsidRPr="00AA7DC3">
        <w:rPr>
          <w:iCs/>
        </w:rPr>
        <w:t>.</w:t>
      </w:r>
      <w:r w:rsidRPr="00AA7DC3">
        <w:t xml:space="preserve"> </w:t>
      </w:r>
    </w:p>
    <w:p w14:paraId="4ECEBD61" w14:textId="3A316356" w:rsidR="000C4DE0" w:rsidRPr="00ED3225" w:rsidRDefault="000C4DE0" w:rsidP="00AA7DC3">
      <w:pPr>
        <w:pStyle w:val="Paragraphbeforelist"/>
        <w:numPr>
          <w:ilvl w:val="0"/>
          <w:numId w:val="67"/>
        </w:numPr>
        <w:spacing w:after="240"/>
        <w:rPr>
          <w:szCs w:val="20"/>
        </w:rPr>
      </w:pPr>
      <w:r w:rsidRPr="00AA7DC3">
        <w:rPr>
          <w:szCs w:val="20"/>
        </w:rPr>
        <w:t>Within the 3460</w:t>
      </w:r>
      <w:r w:rsidR="00F82ACE">
        <w:rPr>
          <w:szCs w:val="20"/>
        </w:rPr>
        <w:t>–</w:t>
      </w:r>
      <w:r w:rsidRPr="00AA7DC3">
        <w:rPr>
          <w:szCs w:val="20"/>
        </w:rPr>
        <w:t>347</w:t>
      </w:r>
      <w:r w:rsidR="009317CD">
        <w:rPr>
          <w:szCs w:val="20"/>
        </w:rPr>
        <w:t>0</w:t>
      </w:r>
      <w:r w:rsidRPr="00AA7DC3">
        <w:rPr>
          <w:szCs w:val="20"/>
        </w:rPr>
        <w:t xml:space="preserve"> MHz frequency range</w:t>
      </w:r>
      <w:r w:rsidR="00F82ACE">
        <w:rPr>
          <w:szCs w:val="20"/>
        </w:rPr>
        <w:t>,</w:t>
      </w:r>
      <w:r w:rsidRPr="00AA7DC3">
        <w:rPr>
          <w:szCs w:val="20"/>
        </w:rPr>
        <w:t xml:space="preserve"> the </w:t>
      </w:r>
      <w:r w:rsidR="00B75CA3">
        <w:t>power spectral density of a</w:t>
      </w:r>
      <w:r w:rsidR="00B75CA3" w:rsidRPr="00943E03">
        <w:t xml:space="preserve"> transmitter must not exceed</w:t>
      </w:r>
      <w:r w:rsidR="00F81E80">
        <w:t xml:space="preserve"> a defined power spectral density limit</w:t>
      </w:r>
      <w:r w:rsidR="00F82ACE">
        <w:t>;</w:t>
      </w:r>
      <w:r w:rsidR="00F81E80">
        <w:t xml:space="preserve"> for example</w:t>
      </w:r>
      <w:r w:rsidR="00F82ACE">
        <w:t>,</w:t>
      </w:r>
      <w:r w:rsidR="00B75CA3" w:rsidRPr="00943E03">
        <w:t xml:space="preserve"> </w:t>
      </w:r>
      <w:r w:rsidR="00F81E80">
        <w:t>17</w:t>
      </w:r>
      <w:r w:rsidR="00F82ACE">
        <w:t> </w:t>
      </w:r>
      <w:r w:rsidR="00B75CA3">
        <w:t>dBm EIRP per MHz</w:t>
      </w:r>
      <w:r w:rsidR="00B75CA3">
        <w:rPr>
          <w:szCs w:val="20"/>
        </w:rPr>
        <w:t>.</w:t>
      </w:r>
    </w:p>
    <w:p w14:paraId="07B96832" w14:textId="1B3DBD49" w:rsidR="00187D0F" w:rsidRDefault="00475DF0" w:rsidP="00AA7DC3">
      <w:pPr>
        <w:pStyle w:val="Paragraphbeforelist"/>
      </w:pPr>
      <w:r>
        <w:t xml:space="preserve">In addition, licensees will be free to negotiate alternative arrangements with affected parties on a case-by-case basis. </w:t>
      </w:r>
    </w:p>
    <w:sectPr w:rsidR="00187D0F" w:rsidSect="00F67B7A">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419511" w14:textId="77777777" w:rsidR="00E97D51" w:rsidRDefault="00E97D51">
      <w:r>
        <w:separator/>
      </w:r>
    </w:p>
  </w:endnote>
  <w:endnote w:type="continuationSeparator" w:id="0">
    <w:p w14:paraId="20DE466C" w14:textId="77777777" w:rsidR="00E97D51" w:rsidRDefault="00E97D51">
      <w:r>
        <w:continuationSeparator/>
      </w:r>
    </w:p>
  </w:endnote>
  <w:endnote w:type="continuationNotice" w:id="1">
    <w:p w14:paraId="63678521" w14:textId="77777777" w:rsidR="00E97D51" w:rsidRDefault="00E97D5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NeueLT Std Lt">
    <w:altName w:val="Arial"/>
    <w:panose1 w:val="020B0403020202020204"/>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altName w:val="Arial"/>
    <w:panose1 w:val="020B0604020202020204"/>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Helvetica Neue">
    <w:altName w:val="Arial"/>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110AD" w14:textId="77777777" w:rsidR="005E250B" w:rsidRDefault="005E250B" w:rsidP="005E250B">
    <w:pPr>
      <w:pStyle w:val="Footer"/>
      <w:jc w:val="right"/>
    </w:pPr>
    <w:r w:rsidRPr="005E250B">
      <w:rPr>
        <w:noProof/>
        <w:vertAlign w:val="subscript"/>
      </w:rPr>
      <w:drawing>
        <wp:inline distT="0" distB="0" distL="0" distR="0" wp14:anchorId="3A0D5DE8" wp14:editId="2DD869D2">
          <wp:extent cx="1066800" cy="277368"/>
          <wp:effectExtent l="0" t="0" r="0" b="0"/>
          <wp:docPr id="13" name="Picture 13"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ma.gov.au">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49FFB" w14:textId="77777777" w:rsidR="00C053A1" w:rsidRDefault="00C053A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F58F7" w14:textId="77777777" w:rsidR="00C053A1" w:rsidRDefault="00C053A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E20E50" w14:textId="77777777" w:rsidR="00971914" w:rsidRPr="00622A3B" w:rsidRDefault="00971914"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iv</w:t>
    </w:r>
    <w:r w:rsidRPr="002E4DDC">
      <w:rPr>
        <w:color w:val="505050"/>
      </w:rPr>
      <w:fldChar w:fldCharType="end"/>
    </w:r>
  </w:p>
  <w:p w14:paraId="204C03AF" w14:textId="77777777" w:rsidR="00C053A1" w:rsidRPr="00A5474E" w:rsidRDefault="00C053A1"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ED801" w14:textId="77777777" w:rsidR="00971914" w:rsidRPr="00622A3B" w:rsidRDefault="00971914"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v</w:t>
    </w:r>
    <w:r w:rsidRPr="002E4DDC">
      <w:rPr>
        <w:color w:val="505050"/>
      </w:rPr>
      <w:fldChar w:fldCharType="end"/>
    </w:r>
  </w:p>
  <w:p w14:paraId="49C191C1" w14:textId="77777777" w:rsidR="00C053A1" w:rsidRPr="00A5474E" w:rsidRDefault="00C053A1"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15E6B" w14:textId="77777777" w:rsidR="00C053A1" w:rsidRPr="00622A3B" w:rsidRDefault="00C053A1"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DD1A43">
      <w:rPr>
        <w:noProof/>
        <w:color w:val="505050"/>
      </w:rPr>
      <w:t>iii</w:t>
    </w:r>
    <w:r w:rsidRPr="002E4DDC">
      <w:rPr>
        <w:color w:val="505050"/>
      </w:rPr>
      <w:fldChar w:fldCharType="end"/>
    </w:r>
  </w:p>
  <w:p w14:paraId="546009C2" w14:textId="77777777" w:rsidR="00C053A1" w:rsidRPr="00A5474E" w:rsidRDefault="00C053A1"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F8442F" w14:textId="77777777" w:rsidR="00C053A1" w:rsidRPr="00622A3B" w:rsidRDefault="00C053A1"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sidR="00DD1A43">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045C8343" w14:textId="77777777" w:rsidR="00C053A1" w:rsidRPr="00A5474E" w:rsidRDefault="00C053A1"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85D433" w14:textId="77777777" w:rsidR="00C053A1" w:rsidRPr="00622A3B" w:rsidRDefault="00C053A1"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DD1A43">
      <w:rPr>
        <w:noProof/>
        <w:color w:val="505050"/>
      </w:rPr>
      <w:t>1</w:t>
    </w:r>
    <w:r w:rsidRPr="00575AC5">
      <w:rPr>
        <w:color w:val="505050"/>
      </w:rPr>
      <w:fldChar w:fldCharType="end"/>
    </w:r>
  </w:p>
  <w:p w14:paraId="0B2A7D93" w14:textId="77777777" w:rsidR="00C053A1" w:rsidRPr="00A5474E" w:rsidRDefault="00C053A1"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FAAA75" w14:textId="77777777" w:rsidR="00E97D51" w:rsidRDefault="00E97D51" w:rsidP="00EA0969">
      <w:pPr>
        <w:spacing w:after="0"/>
      </w:pPr>
      <w:r>
        <w:separator/>
      </w:r>
    </w:p>
  </w:footnote>
  <w:footnote w:type="continuationSeparator" w:id="0">
    <w:p w14:paraId="0303730F" w14:textId="77777777" w:rsidR="00E97D51" w:rsidRDefault="00E97D51">
      <w:r>
        <w:continuationSeparator/>
      </w:r>
    </w:p>
  </w:footnote>
  <w:footnote w:type="continuationNotice" w:id="1">
    <w:p w14:paraId="6057118D" w14:textId="77777777" w:rsidR="00E97D51" w:rsidRDefault="00E97D51">
      <w:pPr>
        <w:spacing w:after="0" w:line="240" w:lineRule="auto"/>
      </w:pPr>
    </w:p>
  </w:footnote>
  <w:footnote w:id="2">
    <w:p w14:paraId="41B99E2E" w14:textId="3BD86BD1" w:rsidR="000169AD" w:rsidRDefault="000169AD" w:rsidP="000169AD">
      <w:pPr>
        <w:pStyle w:val="FootnoteText"/>
      </w:pPr>
      <w:r>
        <w:rPr>
          <w:rStyle w:val="FootnoteReference"/>
        </w:rPr>
        <w:footnoteRef/>
      </w:r>
      <w:r>
        <w:t xml:space="preserve"> For the purposes of the </w:t>
      </w:r>
      <w:r w:rsidR="00DE44FA">
        <w:t>o</w:t>
      </w:r>
      <w:r>
        <w:t>ptions paper, a macro-cell is considered to refer to a base station within a mobile network that provides radio coverage to user terminals over a large area. They are typically characterised by transmitters with high power and high gain antennas with antennas mounted on towers, masts, roof-tops and other existing structures to support wide-area coverage</w:t>
      </w:r>
    </w:p>
  </w:footnote>
  <w:footnote w:id="3">
    <w:p w14:paraId="7A62C434" w14:textId="0A2D6974" w:rsidR="000169AD" w:rsidRDefault="000169AD" w:rsidP="000169AD">
      <w:pPr>
        <w:pStyle w:val="FootnoteText"/>
      </w:pPr>
      <w:r>
        <w:rPr>
          <w:rStyle w:val="FootnoteReference"/>
        </w:rPr>
        <w:footnoteRef/>
      </w:r>
      <w:r>
        <w:t xml:space="preserve"> For the purposes of the </w:t>
      </w:r>
      <w:r w:rsidR="00DE44FA">
        <w:t>o</w:t>
      </w:r>
      <w:r>
        <w:t>ptions paper</w:t>
      </w:r>
      <w:r w:rsidR="00DE44FA">
        <w:t>,</w:t>
      </w:r>
      <w:r>
        <w:t xml:space="preserve"> a restricted cell is considered to be a base station that has some form of restrictions on its operation that limits or reduces the size of the radio coverage to user terminals (e.g.</w:t>
      </w:r>
      <w:r w:rsidR="00DE44FA">
        <w:t>,</w:t>
      </w:r>
      <w:r>
        <w:t xml:space="preserve"> limits on radiated power and antenna heights). It encompasses terms such as micro-cells, small cells, femtocells</w:t>
      </w:r>
      <w:r w:rsidR="00DE44FA">
        <w:t>,</w:t>
      </w:r>
      <w:r>
        <w:t xml:space="preserve"> etc.  </w:t>
      </w:r>
    </w:p>
  </w:footnote>
  <w:footnote w:id="4">
    <w:p w14:paraId="692A0349" w14:textId="222E3818" w:rsidR="00155646" w:rsidRDefault="00155646" w:rsidP="00155646">
      <w:pPr>
        <w:pStyle w:val="FootnoteText"/>
      </w:pPr>
      <w:r>
        <w:rPr>
          <w:rStyle w:val="FootnoteReference"/>
        </w:rPr>
        <w:footnoteRef/>
      </w:r>
      <w:r>
        <w:t xml:space="preserve"> </w:t>
      </w:r>
      <w:r w:rsidRPr="00CF535D">
        <w:t xml:space="preserve">In context </w:t>
      </w:r>
      <w:r>
        <w:t>of this paper</w:t>
      </w:r>
      <w:r w:rsidR="00991B8B">
        <w:t>,</w:t>
      </w:r>
      <w:r>
        <w:t xml:space="preserve"> </w:t>
      </w:r>
      <w:r w:rsidRPr="00CF535D">
        <w:t xml:space="preserve">a restricted use band refers to a defined frequency range were either no operation is </w:t>
      </w:r>
      <w:r w:rsidR="00DA0F7F" w:rsidRPr="00CF535D">
        <w:t>permitted,</w:t>
      </w:r>
      <w:r w:rsidRPr="00CF535D">
        <w:t xml:space="preserve"> or operation is only permitted under certain conditions (e.g.</w:t>
      </w:r>
      <w:r w:rsidR="00991B8B">
        <w:t>,</w:t>
      </w:r>
      <w:r w:rsidRPr="00CF535D">
        <w:t xml:space="preserve"> agreement between operators)</w:t>
      </w:r>
      <w:r w:rsidR="00DE44FA">
        <w:t>.</w:t>
      </w:r>
    </w:p>
  </w:footnote>
  <w:footnote w:id="5">
    <w:p w14:paraId="23F2C0B8" w14:textId="690184F5" w:rsidR="005A3A3A" w:rsidRDefault="005A3A3A">
      <w:pPr>
        <w:pStyle w:val="FootnoteText"/>
      </w:pPr>
      <w:r>
        <w:rPr>
          <w:rStyle w:val="FootnoteReference"/>
        </w:rPr>
        <w:footnoteRef/>
      </w:r>
      <w:r>
        <w:t xml:space="preserve"> A TLG is a </w:t>
      </w:r>
      <w:r w:rsidRPr="005A3A3A">
        <w:t>is a short-term advisory body convened by the ACMA.</w:t>
      </w:r>
      <w:r>
        <w:t xml:space="preserve"> </w:t>
      </w:r>
      <w:r w:rsidR="00F95913">
        <w:t>It is typically composed of representatives from interested or affected stakeholders, manufacturers, accredited persons</w:t>
      </w:r>
      <w:r w:rsidR="004C5C36">
        <w:t>,</w:t>
      </w:r>
      <w:r w:rsidR="00F95913">
        <w:t xml:space="preserve"> etc.</w:t>
      </w:r>
      <w:r w:rsidRPr="005A3A3A">
        <w:t xml:space="preserve"> While not having any decision-making powers, it serve</w:t>
      </w:r>
      <w:r>
        <w:t>s</w:t>
      </w:r>
      <w:r w:rsidRPr="005A3A3A">
        <w:t xml:space="preserve"> an important purpose in providing advice on the development of, or possible changes to, a spectrum or apparatus licence technical framework</w:t>
      </w:r>
      <w:r>
        <w:t>.</w:t>
      </w:r>
      <w:r w:rsidR="00E65605">
        <w:t xml:space="preserve"> Further details on TLGs are available on the </w:t>
      </w:r>
      <w:hyperlink r:id="rId1" w:history="1">
        <w:r w:rsidR="00E65605" w:rsidRPr="00E65605">
          <w:rPr>
            <w:rStyle w:val="Hyperlink"/>
          </w:rPr>
          <w:t>ACMA website</w:t>
        </w:r>
      </w:hyperlink>
      <w:r w:rsidR="00E65605">
        <w:t>.</w:t>
      </w:r>
    </w:p>
  </w:footnote>
  <w:footnote w:id="6">
    <w:p w14:paraId="3B0B2BBB" w14:textId="1BC95CFF" w:rsidR="00DA45AD" w:rsidRDefault="00DA45AD" w:rsidP="00DA45AD">
      <w:pPr>
        <w:pStyle w:val="FootnoteText"/>
      </w:pPr>
      <w:r>
        <w:rPr>
          <w:rStyle w:val="FootnoteReference"/>
        </w:rPr>
        <w:footnoteRef/>
      </w:r>
      <w:r>
        <w:t xml:space="preserve"> ACMA </w:t>
      </w:r>
      <w:hyperlink r:id="rId2" w:history="1">
        <w:r>
          <w:rPr>
            <w:rStyle w:val="Hyperlink"/>
            <w:i/>
          </w:rPr>
          <w:t>Corporate plan 20</w:t>
        </w:r>
        <w:r w:rsidR="004A1B7A">
          <w:rPr>
            <w:rStyle w:val="Hyperlink"/>
            <w:i/>
          </w:rPr>
          <w:t>20</w:t>
        </w:r>
        <w:r>
          <w:rPr>
            <w:rStyle w:val="Hyperlink"/>
            <w:i/>
          </w:rPr>
          <w:t>–2</w:t>
        </w:r>
        <w:r w:rsidR="004A1B7A">
          <w:rPr>
            <w:rStyle w:val="Hyperlink"/>
            <w:i/>
          </w:rPr>
          <w:t>1</w:t>
        </w:r>
      </w:hyperlink>
      <w:r w:rsidR="004C5C36" w:rsidRPr="00925D1B">
        <w:rPr>
          <w:rStyle w:val="Hyperlink"/>
          <w:iCs/>
          <w:color w:val="auto"/>
          <w:u w:val="none"/>
        </w:rPr>
        <w:t>.</w:t>
      </w:r>
    </w:p>
  </w:footnote>
  <w:footnote w:id="7">
    <w:p w14:paraId="70893E07" w14:textId="13EA994E" w:rsidR="00417724" w:rsidRDefault="00417724" w:rsidP="00417724">
      <w:pPr>
        <w:pStyle w:val="FootnoteText"/>
      </w:pPr>
      <w:r>
        <w:rPr>
          <w:rStyle w:val="FootnoteReference"/>
        </w:rPr>
        <w:footnoteRef/>
      </w:r>
      <w:r>
        <w:t xml:space="preserve"> </w:t>
      </w:r>
      <w:hyperlink r:id="rId3" w:history="1">
        <w:r>
          <w:rPr>
            <w:rStyle w:val="Hyperlink"/>
          </w:rPr>
          <w:t>Radiocommunications (Spectrum Designation—3.4 GHz Band) Notice 2020</w:t>
        </w:r>
      </w:hyperlink>
      <w:r w:rsidR="00447034" w:rsidRPr="00925D1B">
        <w:rPr>
          <w:rStyle w:val="Hyperlink"/>
          <w:color w:val="auto"/>
          <w:u w:val="none"/>
        </w:rPr>
        <w:t>.</w:t>
      </w:r>
    </w:p>
  </w:footnote>
  <w:footnote w:id="8">
    <w:p w14:paraId="36997FBF" w14:textId="77777777" w:rsidR="00DA45AD" w:rsidRDefault="00DA45AD" w:rsidP="004A1B7A">
      <w:pPr>
        <w:pStyle w:val="FootnoteText"/>
        <w:ind w:right="16"/>
      </w:pPr>
      <w:r>
        <w:rPr>
          <w:rStyle w:val="FootnoteReference"/>
        </w:rPr>
        <w:footnoteRef/>
      </w:r>
      <w:r>
        <w:t xml:space="preserve"> Technical conditions include maximum power, frequency range, out-of-band emissions limits, geographical licence area, and out-of-area emission limits. </w:t>
      </w:r>
    </w:p>
  </w:footnote>
  <w:footnote w:id="9">
    <w:p w14:paraId="7BA01403" w14:textId="419CE90B" w:rsidR="00397E52" w:rsidRDefault="00397E52" w:rsidP="00397E52">
      <w:pPr>
        <w:pStyle w:val="FootnoteText"/>
      </w:pPr>
      <w:r>
        <w:rPr>
          <w:rStyle w:val="FootnoteReference"/>
        </w:rPr>
        <w:footnoteRef/>
      </w:r>
      <w:r>
        <w:t xml:space="preserve"> Global mobile Suppliers Association, Member report – 5G Ecosystem report</w:t>
      </w:r>
      <w:r w:rsidRPr="000A7D6F">
        <w:t xml:space="preserve"> –</w:t>
      </w:r>
      <w:r w:rsidR="007E6722">
        <w:t xml:space="preserve"> </w:t>
      </w:r>
      <w:r>
        <w:t xml:space="preserve">June </w:t>
      </w:r>
      <w:r w:rsidRPr="000A7D6F">
        <w:t>2021</w:t>
      </w:r>
      <w:r w:rsidR="007E6722">
        <w:t>.</w:t>
      </w:r>
    </w:p>
  </w:footnote>
  <w:footnote w:id="10">
    <w:p w14:paraId="2870F224" w14:textId="42DB949D" w:rsidR="007700AF" w:rsidRPr="00E70A52" w:rsidRDefault="007700AF">
      <w:pPr>
        <w:pStyle w:val="FootnoteText"/>
      </w:pPr>
      <w:r>
        <w:rPr>
          <w:rStyle w:val="FootnoteReference"/>
        </w:rPr>
        <w:footnoteRef/>
      </w:r>
      <w:r>
        <w:t xml:space="preserve"> Refer to submissions </w:t>
      </w:r>
      <w:r w:rsidR="00E70A52">
        <w:t xml:space="preserve">made to the </w:t>
      </w:r>
      <w:hyperlink r:id="rId4" w:history="1">
        <w:r w:rsidR="00E70A52" w:rsidRPr="006B6A28">
          <w:rPr>
            <w:rStyle w:val="Hyperlink"/>
            <w:i/>
            <w:iCs/>
          </w:rPr>
          <w:t>Options paper: Optimising arrangements for the 3400</w:t>
        </w:r>
        <w:r w:rsidR="007E6722">
          <w:rPr>
            <w:rStyle w:val="Hyperlink"/>
            <w:i/>
            <w:iCs/>
          </w:rPr>
          <w:t>–</w:t>
        </w:r>
        <w:r w:rsidR="00E70A52" w:rsidRPr="006B6A28">
          <w:rPr>
            <w:rStyle w:val="Hyperlink"/>
            <w:i/>
            <w:iCs/>
          </w:rPr>
          <w:t>3575 MH band</w:t>
        </w:r>
      </w:hyperlink>
      <w:r>
        <w:t xml:space="preserve"> and</w:t>
      </w:r>
      <w:r w:rsidR="00E70A52">
        <w:t xml:space="preserve"> the </w:t>
      </w:r>
      <w:hyperlink r:id="rId5" w:history="1">
        <w:r w:rsidR="00E70A52" w:rsidRPr="00E70A52">
          <w:rPr>
            <w:rStyle w:val="Hyperlink"/>
            <w:i/>
            <w:iCs/>
          </w:rPr>
          <w:t>Replanning of the 3700</w:t>
        </w:r>
        <w:r w:rsidR="007E6722">
          <w:rPr>
            <w:rStyle w:val="Hyperlink"/>
            <w:i/>
            <w:iCs/>
          </w:rPr>
          <w:t>–</w:t>
        </w:r>
        <w:r w:rsidR="00E70A52" w:rsidRPr="00E70A52">
          <w:rPr>
            <w:rStyle w:val="Hyperlink"/>
            <w:i/>
            <w:iCs/>
          </w:rPr>
          <w:t>4200 MHz band – Options paper</w:t>
        </w:r>
      </w:hyperlink>
      <w:r w:rsidR="00E70A52">
        <w:t>.</w:t>
      </w:r>
    </w:p>
  </w:footnote>
  <w:footnote w:id="11">
    <w:p w14:paraId="5127D922" w14:textId="02D0C3C7" w:rsidR="00E70A52" w:rsidRDefault="00E70A52">
      <w:pPr>
        <w:pStyle w:val="FootnoteText"/>
      </w:pPr>
      <w:r>
        <w:rPr>
          <w:rStyle w:val="FootnoteReference"/>
        </w:rPr>
        <w:footnoteRef/>
      </w:r>
      <w:r>
        <w:t xml:space="preserve"> Refer to submissions made to the </w:t>
      </w:r>
      <w:hyperlink r:id="rId6" w:history="1">
        <w:r w:rsidRPr="00193349">
          <w:rPr>
            <w:rStyle w:val="Hyperlink"/>
            <w:i/>
            <w:iCs/>
          </w:rPr>
          <w:t>Options paper: Optimising arrangements for the 3400</w:t>
        </w:r>
        <w:r w:rsidR="007E6722">
          <w:rPr>
            <w:rStyle w:val="Hyperlink"/>
            <w:i/>
            <w:iCs/>
          </w:rPr>
          <w:t>–</w:t>
        </w:r>
        <w:r w:rsidRPr="00193349">
          <w:rPr>
            <w:rStyle w:val="Hyperlink"/>
            <w:i/>
            <w:iCs/>
          </w:rPr>
          <w:t>3575 MH band</w:t>
        </w:r>
      </w:hyperlink>
      <w:r w:rsidR="007E6722" w:rsidRPr="00925D1B">
        <w:rPr>
          <w:rStyle w:val="Hyperlink"/>
          <w:color w:val="auto"/>
          <w:u w:val="none"/>
        </w:rPr>
        <w:t>.</w:t>
      </w:r>
    </w:p>
  </w:footnote>
  <w:footnote w:id="12">
    <w:p w14:paraId="10690EE8" w14:textId="77AC43BE" w:rsidR="001C4E67" w:rsidRDefault="001C4E67" w:rsidP="001C4E67">
      <w:pPr>
        <w:pStyle w:val="FootnoteText"/>
      </w:pPr>
      <w:r>
        <w:rPr>
          <w:rStyle w:val="FootnoteReference"/>
        </w:rPr>
        <w:footnoteRef/>
      </w:r>
      <w:r>
        <w:t xml:space="preserve"> </w:t>
      </w:r>
      <w:r w:rsidR="0013582C">
        <w:t>For the purposes of this paper</w:t>
      </w:r>
      <w:r w:rsidR="00056A04">
        <w:t>,</w:t>
      </w:r>
      <w:r w:rsidR="0013582C">
        <w:t xml:space="preserve"> </w:t>
      </w:r>
      <w:bookmarkStart w:id="75" w:name="_Hlk78457454"/>
      <w:r w:rsidR="0013582C">
        <w:t>a</w:t>
      </w:r>
      <w:r>
        <w:t xml:space="preserve"> macro-cell is considered to refer to a base station within a mobile network that provides radio coverage to user terminals over a large area. They are typically characterised by transmitters with high power and high gain antennas with antennas mounted on </w:t>
      </w:r>
      <w:r w:rsidR="00A41A16">
        <w:t>towers,</w:t>
      </w:r>
      <w:r>
        <w:t xml:space="preserve"> masts, roof-tops and other existing structures to support wide-area coverage</w:t>
      </w:r>
      <w:bookmarkEnd w:id="75"/>
      <w:r>
        <w:t xml:space="preserve">. </w:t>
      </w:r>
    </w:p>
  </w:footnote>
  <w:footnote w:id="13">
    <w:p w14:paraId="296D934E" w14:textId="48AF91BA" w:rsidR="001C4E67" w:rsidRDefault="001C4E67" w:rsidP="001C4E67">
      <w:pPr>
        <w:pStyle w:val="FootnoteText"/>
      </w:pPr>
      <w:r>
        <w:rPr>
          <w:rStyle w:val="FootnoteReference"/>
        </w:rPr>
        <w:footnoteRef/>
      </w:r>
      <w:r>
        <w:t xml:space="preserve"> </w:t>
      </w:r>
      <w:bookmarkStart w:id="76" w:name="_Hlk78457484"/>
      <w:r w:rsidR="0013582C">
        <w:t>For the purposes of this paper</w:t>
      </w:r>
      <w:r w:rsidR="00056A04">
        <w:t>,</w:t>
      </w:r>
      <w:r w:rsidR="0013582C">
        <w:t xml:space="preserve"> a</w:t>
      </w:r>
      <w:r>
        <w:t xml:space="preserve"> restricted cell is considered to be a base station that has some form of restrictions on its operation that limits or reduces the size of the radio coverage to user terminals (e.g.</w:t>
      </w:r>
      <w:r w:rsidR="00056A04">
        <w:t>,</w:t>
      </w:r>
      <w:r>
        <w:t xml:space="preserve"> limits on EIRP and antenna heights). It encompasses terms such as micro-cells, small cells, femtocells</w:t>
      </w:r>
      <w:r w:rsidR="00056A04">
        <w:t>,</w:t>
      </w:r>
      <w:r>
        <w:t xml:space="preserve"> etc.  </w:t>
      </w:r>
      <w:bookmarkEnd w:id="76"/>
    </w:p>
  </w:footnote>
  <w:footnote w:id="14">
    <w:p w14:paraId="36666C52" w14:textId="423A0AAB" w:rsidR="00C67B28" w:rsidRDefault="00C67B28">
      <w:pPr>
        <w:pStyle w:val="FootnoteText"/>
      </w:pPr>
      <w:r>
        <w:rPr>
          <w:rStyle w:val="FootnoteReference"/>
        </w:rPr>
        <w:footnoteRef/>
      </w:r>
      <w:r>
        <w:t xml:space="preserve"> </w:t>
      </w:r>
      <w:bookmarkStart w:id="80" w:name="_Hlk78458017"/>
      <w:r>
        <w:t>The studies suggest that a reasonabl</w:t>
      </w:r>
      <w:r w:rsidR="00056A04">
        <w:t xml:space="preserve">y </w:t>
      </w:r>
      <w:r>
        <w:t>sized macro cell network could be deployed in Canberra and parts of Sydney. However, such deployments would be difficult in other urban excise areas. They would either be limited to a few discrete locations</w:t>
      </w:r>
      <w:r w:rsidDel="009610D0">
        <w:t xml:space="preserve"> </w:t>
      </w:r>
      <w:r>
        <w:t>or not practical to deploy while managing interference</w:t>
      </w:r>
      <w:r w:rsidR="008C3E4D">
        <w:t xml:space="preserve"> into NBN Co services</w:t>
      </w:r>
      <w:r>
        <w:t xml:space="preserve">. </w:t>
      </w:r>
      <w:bookmarkEnd w:id="80"/>
      <w:r>
        <w:t xml:space="preserve"> </w:t>
      </w:r>
    </w:p>
  </w:footnote>
  <w:footnote w:id="15">
    <w:p w14:paraId="0EE4DE82" w14:textId="40D60F24" w:rsidR="00E01008" w:rsidRDefault="00E01008">
      <w:pPr>
        <w:pStyle w:val="FootnoteText"/>
      </w:pPr>
      <w:r>
        <w:rPr>
          <w:rStyle w:val="FootnoteReference"/>
        </w:rPr>
        <w:footnoteRef/>
      </w:r>
      <w:r>
        <w:t xml:space="preserve"> </w:t>
      </w:r>
      <w:r w:rsidRPr="00CF535D">
        <w:t xml:space="preserve">In context </w:t>
      </w:r>
      <w:r>
        <w:t>of this paper</w:t>
      </w:r>
      <w:r w:rsidR="00056A04">
        <w:t>,</w:t>
      </w:r>
      <w:r>
        <w:t xml:space="preserve"> </w:t>
      </w:r>
      <w:r w:rsidRPr="00CF535D">
        <w:t>a restricted</w:t>
      </w:r>
      <w:r w:rsidR="00056A04">
        <w:t>-</w:t>
      </w:r>
      <w:r w:rsidRPr="00CF535D">
        <w:t xml:space="preserve">use band refers to a defined frequency range were either no operation is </w:t>
      </w:r>
      <w:r w:rsidR="00DA0F7F" w:rsidRPr="00CF535D">
        <w:t>permitted,</w:t>
      </w:r>
      <w:r w:rsidRPr="00CF535D">
        <w:t xml:space="preserve"> or operation is only permitted under certain conditions (e.g.</w:t>
      </w:r>
      <w:r w:rsidR="00056A04">
        <w:t>,</w:t>
      </w:r>
      <w:r w:rsidRPr="00CF535D">
        <w:t xml:space="preserve"> agreement between operators)</w:t>
      </w:r>
      <w:r w:rsidR="00056A04">
        <w:t>.</w:t>
      </w:r>
    </w:p>
  </w:footnote>
  <w:footnote w:id="16">
    <w:p w14:paraId="1AF5B44A" w14:textId="2E9B2E60" w:rsidR="00144201" w:rsidRDefault="00144201" w:rsidP="00144201">
      <w:pPr>
        <w:pStyle w:val="FootnoteText"/>
      </w:pPr>
      <w:r>
        <w:rPr>
          <w:rStyle w:val="FootnoteReference"/>
        </w:rPr>
        <w:footnoteRef/>
      </w:r>
      <w:r>
        <w:t xml:space="preserve"> For the purposes of this paper, CPEs are defined as fixed, high gain user terminals, typically wall or roof mounted on homes or businesses. They are used to deliver services associated with the NBN.</w:t>
      </w:r>
    </w:p>
  </w:footnote>
  <w:footnote w:id="17">
    <w:p w14:paraId="5F124882" w14:textId="11D0C3E9" w:rsidR="00144201" w:rsidRDefault="00144201" w:rsidP="00144201">
      <w:pPr>
        <w:pStyle w:val="FootnoteText"/>
      </w:pPr>
      <w:r>
        <w:rPr>
          <w:rStyle w:val="FootnoteReference"/>
        </w:rPr>
        <w:footnoteRef/>
      </w:r>
      <w:r>
        <w:t xml:space="preserve"> </w:t>
      </w:r>
      <w:r w:rsidRPr="00B53EE3">
        <w:t>For the purposes of th</w:t>
      </w:r>
      <w:r>
        <w:t>us paper</w:t>
      </w:r>
      <w:r w:rsidRPr="00B53EE3">
        <w:t xml:space="preserve">, MS are not considered to operate under </w:t>
      </w:r>
      <w:r>
        <w:t>NBN Co</w:t>
      </w:r>
      <w:r w:rsidRPr="00B53EE3">
        <w:t xml:space="preserve"> licences.</w:t>
      </w:r>
    </w:p>
  </w:footnote>
  <w:footnote w:id="18">
    <w:p w14:paraId="3CA66095" w14:textId="77777777" w:rsidR="002532FC" w:rsidRDefault="002532FC" w:rsidP="002532FC">
      <w:pPr>
        <w:pStyle w:val="FootnoteText"/>
      </w:pPr>
      <w:r>
        <w:rPr>
          <w:rStyle w:val="FootnoteReference"/>
        </w:rPr>
        <w:footnoteRef/>
      </w:r>
      <w:r>
        <w:t xml:space="preserve"> The TLG did not define a percentage of locations to apply this limit.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0581E4" w14:textId="77777777" w:rsidR="00C053A1" w:rsidRPr="00A5474E" w:rsidRDefault="0021426C" w:rsidP="00A5474E">
    <w:pPr>
      <w:pStyle w:val="Header"/>
    </w:pPr>
    <w:r>
      <w:rPr>
        <w:noProof/>
      </w:rPr>
      <w:drawing>
        <wp:inline distT="0" distB="0" distL="0" distR="0" wp14:anchorId="4C412A89" wp14:editId="7B0997B1">
          <wp:extent cx="6210300" cy="571134"/>
          <wp:effectExtent l="0" t="0" r="0" b="0"/>
          <wp:docPr id="4" name="Picture 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10300" cy="57113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A26D0" w14:textId="77777777" w:rsidR="00C053A1" w:rsidRPr="00A5474E" w:rsidRDefault="00C053A1"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BFAE6" w14:textId="77777777" w:rsidR="00C053A1" w:rsidRDefault="00C053A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5E579" w14:textId="77777777" w:rsidR="00C053A1" w:rsidRDefault="00C053A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23441914" w14:textId="77777777" w:rsidTr="003B0421">
      <w:trPr>
        <w:trHeight w:hRule="exact" w:val="988"/>
      </w:trPr>
      <w:tc>
        <w:tcPr>
          <w:tcW w:w="7678" w:type="dxa"/>
          <w:shd w:val="clear" w:color="auto" w:fill="auto"/>
        </w:tcPr>
        <w:p w14:paraId="0D557A5E" w14:textId="77777777" w:rsidR="00971914" w:rsidRDefault="00971914" w:rsidP="00971914">
          <w:pPr>
            <w:pStyle w:val="Header"/>
          </w:pPr>
        </w:p>
      </w:tc>
    </w:tr>
    <w:tr w:rsidR="00971914" w14:paraId="65B94D37" w14:textId="77777777" w:rsidTr="003B0421">
      <w:tc>
        <w:tcPr>
          <w:tcW w:w="7678" w:type="dxa"/>
          <w:shd w:val="clear" w:color="auto" w:fill="auto"/>
        </w:tcPr>
        <w:p w14:paraId="0682DF33" w14:textId="77777777" w:rsidR="00971914" w:rsidRDefault="00971914" w:rsidP="00971914">
          <w:pPr>
            <w:pStyle w:val="GridTable31"/>
          </w:pPr>
          <w:r>
            <w:t xml:space="preserve">Contents </w:t>
          </w:r>
          <w:r w:rsidRPr="00915B1C">
            <w:rPr>
              <w:b w:val="0"/>
              <w:spacing w:val="0"/>
              <w:sz w:val="28"/>
              <w:szCs w:val="28"/>
            </w:rPr>
            <w:t>(Continued)</w:t>
          </w:r>
        </w:p>
      </w:tc>
    </w:tr>
    <w:tr w:rsidR="00971914" w14:paraId="34AFA1C7" w14:textId="77777777" w:rsidTr="003B0421">
      <w:trPr>
        <w:trHeight w:val="1220"/>
      </w:trPr>
      <w:tc>
        <w:tcPr>
          <w:tcW w:w="7678" w:type="dxa"/>
          <w:shd w:val="clear" w:color="auto" w:fill="auto"/>
        </w:tcPr>
        <w:p w14:paraId="10D41ED6" w14:textId="77777777" w:rsidR="00971914" w:rsidRDefault="00971914" w:rsidP="00971914"/>
      </w:tc>
    </w:tr>
  </w:tbl>
  <w:p w14:paraId="50DE254F" w14:textId="77777777" w:rsidR="00971914" w:rsidRDefault="00971914"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51789F12" w14:textId="77777777" w:rsidTr="003B0421">
      <w:trPr>
        <w:trHeight w:hRule="exact" w:val="988"/>
      </w:trPr>
      <w:tc>
        <w:tcPr>
          <w:tcW w:w="7678" w:type="dxa"/>
          <w:shd w:val="clear" w:color="auto" w:fill="auto"/>
        </w:tcPr>
        <w:p w14:paraId="3AF7DA25" w14:textId="77777777" w:rsidR="00971914" w:rsidRDefault="00971914" w:rsidP="00971914">
          <w:pPr>
            <w:pStyle w:val="Header"/>
          </w:pPr>
        </w:p>
      </w:tc>
    </w:tr>
    <w:tr w:rsidR="00971914" w14:paraId="68868108" w14:textId="77777777" w:rsidTr="003B0421">
      <w:tc>
        <w:tcPr>
          <w:tcW w:w="7678" w:type="dxa"/>
          <w:shd w:val="clear" w:color="auto" w:fill="auto"/>
        </w:tcPr>
        <w:p w14:paraId="1B7B6961" w14:textId="77777777" w:rsidR="00971914" w:rsidRDefault="00971914" w:rsidP="00971914">
          <w:pPr>
            <w:pStyle w:val="GridTable31"/>
          </w:pPr>
          <w:r>
            <w:t xml:space="preserve">Contents </w:t>
          </w:r>
          <w:r w:rsidRPr="00915B1C">
            <w:rPr>
              <w:b w:val="0"/>
              <w:spacing w:val="0"/>
              <w:sz w:val="28"/>
              <w:szCs w:val="28"/>
            </w:rPr>
            <w:t>(Continued)</w:t>
          </w:r>
        </w:p>
      </w:tc>
    </w:tr>
    <w:tr w:rsidR="00971914" w14:paraId="26FD46DB" w14:textId="77777777" w:rsidTr="003B0421">
      <w:trPr>
        <w:trHeight w:val="1220"/>
      </w:trPr>
      <w:tc>
        <w:tcPr>
          <w:tcW w:w="7678" w:type="dxa"/>
          <w:shd w:val="clear" w:color="auto" w:fill="auto"/>
        </w:tcPr>
        <w:p w14:paraId="0B110519" w14:textId="77777777" w:rsidR="00971914" w:rsidRDefault="00971914" w:rsidP="00971914"/>
      </w:tc>
    </w:tr>
  </w:tbl>
  <w:p w14:paraId="5D9410EE" w14:textId="77777777" w:rsidR="00C053A1" w:rsidRPr="00A5474E" w:rsidRDefault="00C053A1"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D8C3F" w14:textId="77777777" w:rsidR="00C053A1" w:rsidRDefault="00C053A1">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86C74" w14:textId="77777777" w:rsidR="00C053A1" w:rsidRDefault="00C053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AE58021A"/>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51B60EB2"/>
    <w:lvl w:ilvl="0">
      <w:start w:val="1"/>
      <w:numFmt w:val="decimal"/>
      <w:pStyle w:val="ListNumber"/>
      <w:lvlText w:val="%1."/>
      <w:lvlJc w:val="left"/>
      <w:pPr>
        <w:ind w:left="360" w:hanging="360"/>
      </w:pPr>
      <w:rPr>
        <w:rFonts w:hint="default"/>
        <w:b w:val="0"/>
        <w:bCs/>
        <w:caps/>
        <w:sz w:val="20"/>
      </w:rPr>
    </w:lvl>
  </w:abstractNum>
  <w:abstractNum w:abstractNumId="3" w15:restartNumberingAfterBreak="0">
    <w:nsid w:val="FFFFFF89"/>
    <w:multiLevelType w:val="singleLevel"/>
    <w:tmpl w:val="BBE86C9A"/>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26E70BB"/>
    <w:multiLevelType w:val="hybridMultilevel"/>
    <w:tmpl w:val="1DEC55CC"/>
    <w:lvl w:ilvl="0" w:tplc="0C090001">
      <w:start w:val="1"/>
      <w:numFmt w:val="bullet"/>
      <w:lvlText w:val=""/>
      <w:lvlJc w:val="left"/>
      <w:pPr>
        <w:ind w:left="360" w:hanging="360"/>
      </w:pPr>
      <w:rPr>
        <w:rFonts w:ascii="Symbol" w:hAnsi="Symbol" w:hint="default"/>
        <w:b w:val="0"/>
        <w:bCs/>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02760B30"/>
    <w:multiLevelType w:val="hybridMultilevel"/>
    <w:tmpl w:val="B27CE1D4"/>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15:restartNumberingAfterBreak="0">
    <w:nsid w:val="0281348E"/>
    <w:multiLevelType w:val="hybridMultilevel"/>
    <w:tmpl w:val="BAB40C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0394760B"/>
    <w:multiLevelType w:val="hybridMultilevel"/>
    <w:tmpl w:val="8BE43BF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03CC4808"/>
    <w:multiLevelType w:val="hybridMultilevel"/>
    <w:tmpl w:val="42F885C6"/>
    <w:lvl w:ilvl="0" w:tplc="22C6873E">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06355450"/>
    <w:multiLevelType w:val="hybridMultilevel"/>
    <w:tmpl w:val="8948F440"/>
    <w:lvl w:ilvl="0" w:tplc="44EEC084">
      <w:start w:val="1"/>
      <w:numFmt w:val="bullet"/>
      <w:lvlText w:val="&gt;"/>
      <w:lvlJc w:val="left"/>
      <w:pPr>
        <w:ind w:left="360" w:hanging="360"/>
      </w:pPr>
      <w:rPr>
        <w:rFonts w:ascii="HelveticaNeueLT Std" w:hAnsi="HelveticaNeueLT Std"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953728E"/>
    <w:multiLevelType w:val="hybridMultilevel"/>
    <w:tmpl w:val="252EAD64"/>
    <w:lvl w:ilvl="0" w:tplc="0C090001">
      <w:start w:val="1"/>
      <w:numFmt w:val="bullet"/>
      <w:lvlText w:val=""/>
      <w:lvlJc w:val="left"/>
      <w:pPr>
        <w:ind w:left="360" w:hanging="360"/>
      </w:pPr>
      <w:rPr>
        <w:rFonts w:ascii="Symbol" w:hAnsi="Symbol" w:hint="default"/>
        <w:b w:val="0"/>
        <w:bCs/>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0A1A284C"/>
    <w:multiLevelType w:val="hybridMultilevel"/>
    <w:tmpl w:val="A824EDF6"/>
    <w:lvl w:ilvl="0" w:tplc="420C40BA">
      <w:start w:val="1"/>
      <w:numFmt w:val="lowerLetter"/>
      <w:lvlText w:val="(%1)"/>
      <w:lvlJc w:val="left"/>
      <w:pPr>
        <w:ind w:left="376" w:hanging="360"/>
      </w:pPr>
      <w:rPr>
        <w:rFonts w:hint="default"/>
      </w:rPr>
    </w:lvl>
    <w:lvl w:ilvl="1" w:tplc="0C090019" w:tentative="1">
      <w:start w:val="1"/>
      <w:numFmt w:val="lowerLetter"/>
      <w:lvlText w:val="%2."/>
      <w:lvlJc w:val="left"/>
      <w:pPr>
        <w:ind w:left="1096" w:hanging="360"/>
      </w:pPr>
    </w:lvl>
    <w:lvl w:ilvl="2" w:tplc="0C09001B" w:tentative="1">
      <w:start w:val="1"/>
      <w:numFmt w:val="lowerRoman"/>
      <w:lvlText w:val="%3."/>
      <w:lvlJc w:val="right"/>
      <w:pPr>
        <w:ind w:left="1816" w:hanging="180"/>
      </w:pPr>
    </w:lvl>
    <w:lvl w:ilvl="3" w:tplc="0C09000F" w:tentative="1">
      <w:start w:val="1"/>
      <w:numFmt w:val="decimal"/>
      <w:lvlText w:val="%4."/>
      <w:lvlJc w:val="left"/>
      <w:pPr>
        <w:ind w:left="2536" w:hanging="360"/>
      </w:pPr>
    </w:lvl>
    <w:lvl w:ilvl="4" w:tplc="0C090019" w:tentative="1">
      <w:start w:val="1"/>
      <w:numFmt w:val="lowerLetter"/>
      <w:lvlText w:val="%5."/>
      <w:lvlJc w:val="left"/>
      <w:pPr>
        <w:ind w:left="3256" w:hanging="360"/>
      </w:pPr>
    </w:lvl>
    <w:lvl w:ilvl="5" w:tplc="0C09001B" w:tentative="1">
      <w:start w:val="1"/>
      <w:numFmt w:val="lowerRoman"/>
      <w:lvlText w:val="%6."/>
      <w:lvlJc w:val="right"/>
      <w:pPr>
        <w:ind w:left="3976" w:hanging="180"/>
      </w:pPr>
    </w:lvl>
    <w:lvl w:ilvl="6" w:tplc="0C09000F" w:tentative="1">
      <w:start w:val="1"/>
      <w:numFmt w:val="decimal"/>
      <w:lvlText w:val="%7."/>
      <w:lvlJc w:val="left"/>
      <w:pPr>
        <w:ind w:left="4696" w:hanging="360"/>
      </w:pPr>
    </w:lvl>
    <w:lvl w:ilvl="7" w:tplc="0C090019" w:tentative="1">
      <w:start w:val="1"/>
      <w:numFmt w:val="lowerLetter"/>
      <w:lvlText w:val="%8."/>
      <w:lvlJc w:val="left"/>
      <w:pPr>
        <w:ind w:left="5416" w:hanging="360"/>
      </w:pPr>
    </w:lvl>
    <w:lvl w:ilvl="8" w:tplc="0C09001B" w:tentative="1">
      <w:start w:val="1"/>
      <w:numFmt w:val="lowerRoman"/>
      <w:lvlText w:val="%9."/>
      <w:lvlJc w:val="right"/>
      <w:pPr>
        <w:ind w:left="6136" w:hanging="180"/>
      </w:pPr>
    </w:lvl>
  </w:abstractNum>
  <w:abstractNum w:abstractNumId="14" w15:restartNumberingAfterBreak="0">
    <w:nsid w:val="0C320154"/>
    <w:multiLevelType w:val="hybridMultilevel"/>
    <w:tmpl w:val="93DE1B8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15:restartNumberingAfterBreak="0">
    <w:nsid w:val="0D3A281C"/>
    <w:multiLevelType w:val="hybridMultilevel"/>
    <w:tmpl w:val="E84423F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0D8253D7"/>
    <w:multiLevelType w:val="hybridMultilevel"/>
    <w:tmpl w:val="70EED188"/>
    <w:lvl w:ilvl="0" w:tplc="22C6873E">
      <w:start w:val="1"/>
      <w:numFmt w:val="bullet"/>
      <w:lvlText w:val="&gt;"/>
      <w:lvlJc w:val="left"/>
      <w:pPr>
        <w:ind w:left="360" w:hanging="360"/>
      </w:pPr>
      <w:rPr>
        <w:rFonts w:ascii="HelveticaNeueLT Std Lt" w:hAnsi="HelveticaNeueLT Std Lt" w:hint="default"/>
        <w:sz w:val="20"/>
      </w:rPr>
    </w:lvl>
    <w:lvl w:ilvl="1" w:tplc="22C6873E">
      <w:start w:val="1"/>
      <w:numFmt w:val="bullet"/>
      <w:lvlText w:val="&gt;"/>
      <w:lvlJc w:val="left"/>
      <w:pPr>
        <w:ind w:left="1080" w:hanging="360"/>
      </w:pPr>
      <w:rPr>
        <w:rFonts w:ascii="HelveticaNeueLT Std Lt" w:hAnsi="HelveticaNeueLT Std Lt" w:hint="default"/>
        <w:sz w:val="20"/>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7" w15:restartNumberingAfterBreak="0">
    <w:nsid w:val="126B493F"/>
    <w:multiLevelType w:val="hybridMultilevel"/>
    <w:tmpl w:val="597A2230"/>
    <w:lvl w:ilvl="0" w:tplc="0C090017">
      <w:start w:val="1"/>
      <w:numFmt w:val="lowerLetter"/>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8" w15:restartNumberingAfterBreak="0">
    <w:nsid w:val="17CC151A"/>
    <w:multiLevelType w:val="hybridMultilevel"/>
    <w:tmpl w:val="635C4FAE"/>
    <w:lvl w:ilvl="0" w:tplc="44EEC084">
      <w:start w:val="1"/>
      <w:numFmt w:val="bullet"/>
      <w:lvlText w:val="&gt;"/>
      <w:lvlJc w:val="left"/>
      <w:pPr>
        <w:ind w:left="360" w:hanging="360"/>
      </w:pPr>
      <w:rPr>
        <w:rFonts w:ascii="HelveticaNeueLT Std" w:hAnsi="HelveticaNeueLT Std"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1945232C"/>
    <w:multiLevelType w:val="hybridMultilevel"/>
    <w:tmpl w:val="05060366"/>
    <w:lvl w:ilvl="0" w:tplc="856E6310">
      <w:start w:val="1"/>
      <w:numFmt w:val="bullet"/>
      <w:lvlText w:val="&gt;"/>
      <w:lvlJc w:val="left"/>
      <w:pPr>
        <w:ind w:left="360" w:hanging="360"/>
      </w:pPr>
      <w:rPr>
        <w:rFonts w:ascii="Arial" w:hAnsi="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231C0F94"/>
    <w:multiLevelType w:val="hybridMultilevel"/>
    <w:tmpl w:val="CE727200"/>
    <w:lvl w:ilvl="0" w:tplc="92869FEC">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281D1869"/>
    <w:multiLevelType w:val="hybridMultilevel"/>
    <w:tmpl w:val="44CCDBB4"/>
    <w:lvl w:ilvl="0" w:tplc="B4DE576E">
      <w:start w:val="1"/>
      <w:numFmt w:val="decimal"/>
      <w:pStyle w:val="ACMANumberedList"/>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28B86144"/>
    <w:multiLevelType w:val="hybridMultilevel"/>
    <w:tmpl w:val="89167C8C"/>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23" w15:restartNumberingAfterBreak="0">
    <w:nsid w:val="2AF47FB9"/>
    <w:multiLevelType w:val="hybridMultilevel"/>
    <w:tmpl w:val="57B637FA"/>
    <w:lvl w:ilvl="0" w:tplc="22C6873E">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15:restartNumberingAfterBreak="0">
    <w:nsid w:val="2B082014"/>
    <w:multiLevelType w:val="hybridMultilevel"/>
    <w:tmpl w:val="D16A5FBE"/>
    <w:lvl w:ilvl="0" w:tplc="55F2986E">
      <w:start w:val="1"/>
      <w:numFmt w:val="bullet"/>
      <w:lvlText w:val=""/>
      <w:lvlJc w:val="left"/>
      <w:pPr>
        <w:ind w:left="360" w:hanging="360"/>
      </w:pPr>
      <w:rPr>
        <w:rFonts w:ascii="Symbol" w:hAnsi="Symbol" w:hint="default"/>
        <w:b w:val="0"/>
        <w:bCs/>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6" w15:restartNumberingAfterBreak="0">
    <w:nsid w:val="2EB05929"/>
    <w:multiLevelType w:val="hybridMultilevel"/>
    <w:tmpl w:val="A074067E"/>
    <w:lvl w:ilvl="0" w:tplc="420C40BA">
      <w:start w:val="1"/>
      <w:numFmt w:val="lowerLetter"/>
      <w:lvlText w:val="(%1)"/>
      <w:lvlJc w:val="left"/>
      <w:pPr>
        <w:ind w:left="376" w:hanging="360"/>
      </w:pPr>
      <w:rPr>
        <w:rFonts w:hint="default"/>
      </w:rPr>
    </w:lvl>
    <w:lvl w:ilvl="1" w:tplc="0C090019" w:tentative="1">
      <w:start w:val="1"/>
      <w:numFmt w:val="lowerLetter"/>
      <w:lvlText w:val="%2."/>
      <w:lvlJc w:val="left"/>
      <w:pPr>
        <w:ind w:left="1096" w:hanging="360"/>
      </w:pPr>
    </w:lvl>
    <w:lvl w:ilvl="2" w:tplc="0C09001B" w:tentative="1">
      <w:start w:val="1"/>
      <w:numFmt w:val="lowerRoman"/>
      <w:lvlText w:val="%3."/>
      <w:lvlJc w:val="right"/>
      <w:pPr>
        <w:ind w:left="1816" w:hanging="180"/>
      </w:pPr>
    </w:lvl>
    <w:lvl w:ilvl="3" w:tplc="0C09000F" w:tentative="1">
      <w:start w:val="1"/>
      <w:numFmt w:val="decimal"/>
      <w:lvlText w:val="%4."/>
      <w:lvlJc w:val="left"/>
      <w:pPr>
        <w:ind w:left="2536" w:hanging="360"/>
      </w:pPr>
    </w:lvl>
    <w:lvl w:ilvl="4" w:tplc="0C090019" w:tentative="1">
      <w:start w:val="1"/>
      <w:numFmt w:val="lowerLetter"/>
      <w:lvlText w:val="%5."/>
      <w:lvlJc w:val="left"/>
      <w:pPr>
        <w:ind w:left="3256" w:hanging="360"/>
      </w:pPr>
    </w:lvl>
    <w:lvl w:ilvl="5" w:tplc="0C09001B" w:tentative="1">
      <w:start w:val="1"/>
      <w:numFmt w:val="lowerRoman"/>
      <w:lvlText w:val="%6."/>
      <w:lvlJc w:val="right"/>
      <w:pPr>
        <w:ind w:left="3976" w:hanging="180"/>
      </w:pPr>
    </w:lvl>
    <w:lvl w:ilvl="6" w:tplc="0C09000F" w:tentative="1">
      <w:start w:val="1"/>
      <w:numFmt w:val="decimal"/>
      <w:lvlText w:val="%7."/>
      <w:lvlJc w:val="left"/>
      <w:pPr>
        <w:ind w:left="4696" w:hanging="360"/>
      </w:pPr>
    </w:lvl>
    <w:lvl w:ilvl="7" w:tplc="0C090019" w:tentative="1">
      <w:start w:val="1"/>
      <w:numFmt w:val="lowerLetter"/>
      <w:lvlText w:val="%8."/>
      <w:lvlJc w:val="left"/>
      <w:pPr>
        <w:ind w:left="5416" w:hanging="360"/>
      </w:pPr>
    </w:lvl>
    <w:lvl w:ilvl="8" w:tplc="0C09001B" w:tentative="1">
      <w:start w:val="1"/>
      <w:numFmt w:val="lowerRoman"/>
      <w:lvlText w:val="%9."/>
      <w:lvlJc w:val="right"/>
      <w:pPr>
        <w:ind w:left="6136" w:hanging="180"/>
      </w:pPr>
    </w:lvl>
  </w:abstractNum>
  <w:abstractNum w:abstractNumId="27" w15:restartNumberingAfterBreak="0">
    <w:nsid w:val="2F5A5080"/>
    <w:multiLevelType w:val="hybridMultilevel"/>
    <w:tmpl w:val="BE2AF6CE"/>
    <w:lvl w:ilvl="0" w:tplc="D05E2434">
      <w:start w:val="1"/>
      <w:numFmt w:val="bullet"/>
      <w:lvlText w:val="●"/>
      <w:lvlJc w:val="left"/>
      <w:pPr>
        <w:ind w:left="357" w:hanging="357"/>
      </w:pPr>
      <w:rPr>
        <w:rFonts w:ascii="Arial" w:hAnsi="Arial" w:cs="Arial" w:hint="default"/>
        <w:sz w:val="20"/>
        <w:szCs w:val="20"/>
      </w:rPr>
    </w:lvl>
    <w:lvl w:ilvl="1" w:tplc="04090003">
      <w:start w:val="1"/>
      <w:numFmt w:val="bullet"/>
      <w:lvlText w:val="o"/>
      <w:lvlJc w:val="left"/>
      <w:pPr>
        <w:tabs>
          <w:tab w:val="num" w:pos="1728"/>
        </w:tabs>
        <w:ind w:left="1728" w:hanging="360"/>
      </w:pPr>
      <w:rPr>
        <w:rFonts w:ascii="Courier New" w:hAnsi="Courier New" w:cs="Times New Roman"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cs="Times New Roman"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cs="Times New Roman"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28" w15:restartNumberingAfterBreak="0">
    <w:nsid w:val="34B66ED9"/>
    <w:multiLevelType w:val="hybridMultilevel"/>
    <w:tmpl w:val="3AA41778"/>
    <w:lvl w:ilvl="0" w:tplc="22C6873E">
      <w:start w:val="1"/>
      <w:numFmt w:val="bullet"/>
      <w:lvlText w:val="&gt;"/>
      <w:lvlJc w:val="left"/>
      <w:pPr>
        <w:ind w:left="376" w:hanging="360"/>
      </w:pPr>
      <w:rPr>
        <w:rFonts w:ascii="HelveticaNeueLT Std Lt" w:hAnsi="HelveticaNeueLT Std Lt" w:hint="default"/>
        <w:sz w:val="20"/>
      </w:rPr>
    </w:lvl>
    <w:lvl w:ilvl="1" w:tplc="22C6873E">
      <w:start w:val="1"/>
      <w:numFmt w:val="bullet"/>
      <w:lvlText w:val="&gt;"/>
      <w:lvlJc w:val="left"/>
      <w:pPr>
        <w:ind w:left="1096" w:hanging="360"/>
      </w:pPr>
      <w:rPr>
        <w:rFonts w:ascii="HelveticaNeueLT Std Lt" w:hAnsi="HelveticaNeueLT Std Lt" w:hint="default"/>
        <w:sz w:val="20"/>
      </w:rPr>
    </w:lvl>
    <w:lvl w:ilvl="2" w:tplc="0C09001B" w:tentative="1">
      <w:start w:val="1"/>
      <w:numFmt w:val="lowerRoman"/>
      <w:lvlText w:val="%3."/>
      <w:lvlJc w:val="right"/>
      <w:pPr>
        <w:ind w:left="1816" w:hanging="180"/>
      </w:pPr>
    </w:lvl>
    <w:lvl w:ilvl="3" w:tplc="0C09000F" w:tentative="1">
      <w:start w:val="1"/>
      <w:numFmt w:val="decimal"/>
      <w:lvlText w:val="%4."/>
      <w:lvlJc w:val="left"/>
      <w:pPr>
        <w:ind w:left="2536" w:hanging="360"/>
      </w:pPr>
    </w:lvl>
    <w:lvl w:ilvl="4" w:tplc="0C090019" w:tentative="1">
      <w:start w:val="1"/>
      <w:numFmt w:val="lowerLetter"/>
      <w:lvlText w:val="%5."/>
      <w:lvlJc w:val="left"/>
      <w:pPr>
        <w:ind w:left="3256" w:hanging="360"/>
      </w:pPr>
    </w:lvl>
    <w:lvl w:ilvl="5" w:tplc="0C09001B" w:tentative="1">
      <w:start w:val="1"/>
      <w:numFmt w:val="lowerRoman"/>
      <w:lvlText w:val="%6."/>
      <w:lvlJc w:val="right"/>
      <w:pPr>
        <w:ind w:left="3976" w:hanging="180"/>
      </w:pPr>
    </w:lvl>
    <w:lvl w:ilvl="6" w:tplc="0C09000F" w:tentative="1">
      <w:start w:val="1"/>
      <w:numFmt w:val="decimal"/>
      <w:lvlText w:val="%7."/>
      <w:lvlJc w:val="left"/>
      <w:pPr>
        <w:ind w:left="4696" w:hanging="360"/>
      </w:pPr>
    </w:lvl>
    <w:lvl w:ilvl="7" w:tplc="0C090019" w:tentative="1">
      <w:start w:val="1"/>
      <w:numFmt w:val="lowerLetter"/>
      <w:lvlText w:val="%8."/>
      <w:lvlJc w:val="left"/>
      <w:pPr>
        <w:ind w:left="5416" w:hanging="360"/>
      </w:pPr>
    </w:lvl>
    <w:lvl w:ilvl="8" w:tplc="0C09001B" w:tentative="1">
      <w:start w:val="1"/>
      <w:numFmt w:val="lowerRoman"/>
      <w:lvlText w:val="%9."/>
      <w:lvlJc w:val="right"/>
      <w:pPr>
        <w:ind w:left="6136" w:hanging="180"/>
      </w:pPr>
    </w:lvl>
  </w:abstractNum>
  <w:abstractNum w:abstractNumId="29" w15:restartNumberingAfterBreak="0">
    <w:nsid w:val="34E15D01"/>
    <w:multiLevelType w:val="hybridMultilevel"/>
    <w:tmpl w:val="69B83436"/>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0" w15:restartNumberingAfterBreak="0">
    <w:nsid w:val="36F926F2"/>
    <w:multiLevelType w:val="hybridMultilevel"/>
    <w:tmpl w:val="AA3C6590"/>
    <w:lvl w:ilvl="0" w:tplc="44EEC084">
      <w:start w:val="1"/>
      <w:numFmt w:val="bullet"/>
      <w:lvlText w:val="&gt;"/>
      <w:lvlJc w:val="left"/>
      <w:pPr>
        <w:ind w:left="360" w:hanging="360"/>
      </w:pPr>
      <w:rPr>
        <w:rFonts w:ascii="HelveticaNeueLT Std" w:hAnsi="HelveticaNeueLT Std"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15:restartNumberingAfterBreak="0">
    <w:nsid w:val="37020905"/>
    <w:multiLevelType w:val="hybridMultilevel"/>
    <w:tmpl w:val="54AA93A0"/>
    <w:lvl w:ilvl="0" w:tplc="FA94A91C">
      <w:start w:val="1"/>
      <w:numFmt w:val="decimal"/>
      <w:lvlText w:val="%1."/>
      <w:lvlJc w:val="left"/>
      <w:pPr>
        <w:ind w:left="360" w:hanging="360"/>
      </w:pPr>
      <w:rPr>
        <w:rFonts w:ascii="Arial" w:hAnsi="Arial" w:cs="Arial" w:hint="default"/>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15:restartNumberingAfterBreak="0">
    <w:nsid w:val="39F23F7E"/>
    <w:multiLevelType w:val="hybridMultilevel"/>
    <w:tmpl w:val="EDE6347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A383970"/>
    <w:multiLevelType w:val="hybridMultilevel"/>
    <w:tmpl w:val="7A269DA2"/>
    <w:lvl w:ilvl="0" w:tplc="22C6873E">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4" w15:restartNumberingAfterBreak="0">
    <w:nsid w:val="3BD927B9"/>
    <w:multiLevelType w:val="hybridMultilevel"/>
    <w:tmpl w:val="53EAAE5C"/>
    <w:lvl w:ilvl="0" w:tplc="22C6873E">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15:restartNumberingAfterBreak="0">
    <w:nsid w:val="3DE949FF"/>
    <w:multiLevelType w:val="hybridMultilevel"/>
    <w:tmpl w:val="F2A41934"/>
    <w:lvl w:ilvl="0" w:tplc="44EEC084">
      <w:start w:val="1"/>
      <w:numFmt w:val="bullet"/>
      <w:lvlText w:val="&gt;"/>
      <w:lvlJc w:val="left"/>
      <w:pPr>
        <w:ind w:left="360" w:hanging="360"/>
      </w:pPr>
      <w:rPr>
        <w:rFonts w:ascii="HelveticaNeueLT Std" w:hAnsi="HelveticaNeueLT Std"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6" w15:restartNumberingAfterBreak="0">
    <w:nsid w:val="3E8077E7"/>
    <w:multiLevelType w:val="hybridMultilevel"/>
    <w:tmpl w:val="4BBCC4C6"/>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443B44D4"/>
    <w:multiLevelType w:val="hybridMultilevel"/>
    <w:tmpl w:val="A074067E"/>
    <w:lvl w:ilvl="0" w:tplc="420C40BA">
      <w:start w:val="1"/>
      <w:numFmt w:val="lowerLetter"/>
      <w:lvlText w:val="(%1)"/>
      <w:lvlJc w:val="left"/>
      <w:pPr>
        <w:ind w:left="376" w:hanging="360"/>
      </w:pPr>
      <w:rPr>
        <w:rFonts w:hint="default"/>
      </w:rPr>
    </w:lvl>
    <w:lvl w:ilvl="1" w:tplc="0C090019" w:tentative="1">
      <w:start w:val="1"/>
      <w:numFmt w:val="lowerLetter"/>
      <w:lvlText w:val="%2."/>
      <w:lvlJc w:val="left"/>
      <w:pPr>
        <w:ind w:left="1096" w:hanging="360"/>
      </w:pPr>
    </w:lvl>
    <w:lvl w:ilvl="2" w:tplc="0C09001B" w:tentative="1">
      <w:start w:val="1"/>
      <w:numFmt w:val="lowerRoman"/>
      <w:lvlText w:val="%3."/>
      <w:lvlJc w:val="right"/>
      <w:pPr>
        <w:ind w:left="1816" w:hanging="180"/>
      </w:pPr>
    </w:lvl>
    <w:lvl w:ilvl="3" w:tplc="0C09000F" w:tentative="1">
      <w:start w:val="1"/>
      <w:numFmt w:val="decimal"/>
      <w:lvlText w:val="%4."/>
      <w:lvlJc w:val="left"/>
      <w:pPr>
        <w:ind w:left="2536" w:hanging="360"/>
      </w:pPr>
    </w:lvl>
    <w:lvl w:ilvl="4" w:tplc="0C090019" w:tentative="1">
      <w:start w:val="1"/>
      <w:numFmt w:val="lowerLetter"/>
      <w:lvlText w:val="%5."/>
      <w:lvlJc w:val="left"/>
      <w:pPr>
        <w:ind w:left="3256" w:hanging="360"/>
      </w:pPr>
    </w:lvl>
    <w:lvl w:ilvl="5" w:tplc="0C09001B" w:tentative="1">
      <w:start w:val="1"/>
      <w:numFmt w:val="lowerRoman"/>
      <w:lvlText w:val="%6."/>
      <w:lvlJc w:val="right"/>
      <w:pPr>
        <w:ind w:left="3976" w:hanging="180"/>
      </w:pPr>
    </w:lvl>
    <w:lvl w:ilvl="6" w:tplc="0C09000F" w:tentative="1">
      <w:start w:val="1"/>
      <w:numFmt w:val="decimal"/>
      <w:lvlText w:val="%7."/>
      <w:lvlJc w:val="left"/>
      <w:pPr>
        <w:ind w:left="4696" w:hanging="360"/>
      </w:pPr>
    </w:lvl>
    <w:lvl w:ilvl="7" w:tplc="0C090019" w:tentative="1">
      <w:start w:val="1"/>
      <w:numFmt w:val="lowerLetter"/>
      <w:lvlText w:val="%8."/>
      <w:lvlJc w:val="left"/>
      <w:pPr>
        <w:ind w:left="5416" w:hanging="360"/>
      </w:pPr>
    </w:lvl>
    <w:lvl w:ilvl="8" w:tplc="0C09001B" w:tentative="1">
      <w:start w:val="1"/>
      <w:numFmt w:val="lowerRoman"/>
      <w:lvlText w:val="%9."/>
      <w:lvlJc w:val="right"/>
      <w:pPr>
        <w:ind w:left="6136" w:hanging="180"/>
      </w:pPr>
    </w:lvl>
  </w:abstractNum>
  <w:abstractNum w:abstractNumId="38" w15:restartNumberingAfterBreak="0">
    <w:nsid w:val="44C4636E"/>
    <w:multiLevelType w:val="hybridMultilevel"/>
    <w:tmpl w:val="A074067E"/>
    <w:lvl w:ilvl="0" w:tplc="420C40BA">
      <w:start w:val="1"/>
      <w:numFmt w:val="lowerLetter"/>
      <w:lvlText w:val="(%1)"/>
      <w:lvlJc w:val="left"/>
      <w:pPr>
        <w:ind w:left="568" w:hanging="360"/>
      </w:pPr>
      <w:rPr>
        <w:rFonts w:hint="default"/>
      </w:rPr>
    </w:lvl>
    <w:lvl w:ilvl="1" w:tplc="0C090019" w:tentative="1">
      <w:start w:val="1"/>
      <w:numFmt w:val="lowerLetter"/>
      <w:lvlText w:val="%2."/>
      <w:lvlJc w:val="left"/>
      <w:pPr>
        <w:ind w:left="1288" w:hanging="360"/>
      </w:pPr>
    </w:lvl>
    <w:lvl w:ilvl="2" w:tplc="0C09001B" w:tentative="1">
      <w:start w:val="1"/>
      <w:numFmt w:val="lowerRoman"/>
      <w:lvlText w:val="%3."/>
      <w:lvlJc w:val="right"/>
      <w:pPr>
        <w:ind w:left="2008" w:hanging="180"/>
      </w:pPr>
    </w:lvl>
    <w:lvl w:ilvl="3" w:tplc="0C09000F" w:tentative="1">
      <w:start w:val="1"/>
      <w:numFmt w:val="decimal"/>
      <w:lvlText w:val="%4."/>
      <w:lvlJc w:val="left"/>
      <w:pPr>
        <w:ind w:left="2728" w:hanging="360"/>
      </w:pPr>
    </w:lvl>
    <w:lvl w:ilvl="4" w:tplc="0C090019" w:tentative="1">
      <w:start w:val="1"/>
      <w:numFmt w:val="lowerLetter"/>
      <w:lvlText w:val="%5."/>
      <w:lvlJc w:val="left"/>
      <w:pPr>
        <w:ind w:left="3448" w:hanging="360"/>
      </w:pPr>
    </w:lvl>
    <w:lvl w:ilvl="5" w:tplc="0C09001B" w:tentative="1">
      <w:start w:val="1"/>
      <w:numFmt w:val="lowerRoman"/>
      <w:lvlText w:val="%6."/>
      <w:lvlJc w:val="right"/>
      <w:pPr>
        <w:ind w:left="4168" w:hanging="180"/>
      </w:pPr>
    </w:lvl>
    <w:lvl w:ilvl="6" w:tplc="0C09000F" w:tentative="1">
      <w:start w:val="1"/>
      <w:numFmt w:val="decimal"/>
      <w:lvlText w:val="%7."/>
      <w:lvlJc w:val="left"/>
      <w:pPr>
        <w:ind w:left="4888" w:hanging="360"/>
      </w:pPr>
    </w:lvl>
    <w:lvl w:ilvl="7" w:tplc="0C090019" w:tentative="1">
      <w:start w:val="1"/>
      <w:numFmt w:val="lowerLetter"/>
      <w:lvlText w:val="%8."/>
      <w:lvlJc w:val="left"/>
      <w:pPr>
        <w:ind w:left="5608" w:hanging="360"/>
      </w:pPr>
    </w:lvl>
    <w:lvl w:ilvl="8" w:tplc="0C09001B" w:tentative="1">
      <w:start w:val="1"/>
      <w:numFmt w:val="lowerRoman"/>
      <w:lvlText w:val="%9."/>
      <w:lvlJc w:val="right"/>
      <w:pPr>
        <w:ind w:left="6328" w:hanging="180"/>
      </w:pPr>
    </w:lvl>
  </w:abstractNum>
  <w:abstractNum w:abstractNumId="39" w15:restartNumberingAfterBreak="0">
    <w:nsid w:val="45E400F5"/>
    <w:multiLevelType w:val="hybridMultilevel"/>
    <w:tmpl w:val="CC3E25D4"/>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4B8F63B5"/>
    <w:multiLevelType w:val="hybridMultilevel"/>
    <w:tmpl w:val="EC90EC82"/>
    <w:lvl w:ilvl="0" w:tplc="0C09000F">
      <w:start w:val="1"/>
      <w:numFmt w:val="decimal"/>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1" w15:restartNumberingAfterBreak="0">
    <w:nsid w:val="4C577CEE"/>
    <w:multiLevelType w:val="hybridMultilevel"/>
    <w:tmpl w:val="F4785608"/>
    <w:lvl w:ilvl="0" w:tplc="1210446E">
      <w:start w:val="1"/>
      <w:numFmt w:val="bullet"/>
      <w:lvlText w:val=""/>
      <w:lvlJc w:val="left"/>
      <w:pPr>
        <w:ind w:left="644" w:hanging="360"/>
      </w:pPr>
      <w:rPr>
        <w:rFonts w:ascii="Symbol" w:hAnsi="Symbol" w:hint="default"/>
      </w:rPr>
    </w:lvl>
    <w:lvl w:ilvl="1" w:tplc="55F2986E">
      <w:start w:val="1"/>
      <w:numFmt w:val="bullet"/>
      <w:lvlText w:val=""/>
      <w:lvlJc w:val="left"/>
      <w:pPr>
        <w:ind w:left="1364" w:hanging="360"/>
      </w:pPr>
      <w:rPr>
        <w:rFonts w:ascii="Symbol" w:hAnsi="Symbol" w:hint="default"/>
      </w:rPr>
    </w:lvl>
    <w:lvl w:ilvl="2" w:tplc="0C090005">
      <w:start w:val="1"/>
      <w:numFmt w:val="bullet"/>
      <w:lvlText w:val=""/>
      <w:lvlJc w:val="left"/>
      <w:pPr>
        <w:ind w:left="2084" w:hanging="360"/>
      </w:pPr>
      <w:rPr>
        <w:rFonts w:ascii="Wingdings" w:hAnsi="Wingdings" w:hint="default"/>
      </w:rPr>
    </w:lvl>
    <w:lvl w:ilvl="3" w:tplc="0C090001">
      <w:start w:val="1"/>
      <w:numFmt w:val="bullet"/>
      <w:lvlText w:val=""/>
      <w:lvlJc w:val="left"/>
      <w:pPr>
        <w:ind w:left="2804" w:hanging="360"/>
      </w:pPr>
      <w:rPr>
        <w:rFonts w:ascii="Symbol" w:hAnsi="Symbol" w:hint="default"/>
      </w:rPr>
    </w:lvl>
    <w:lvl w:ilvl="4" w:tplc="0C090003">
      <w:start w:val="1"/>
      <w:numFmt w:val="bullet"/>
      <w:lvlText w:val="o"/>
      <w:lvlJc w:val="left"/>
      <w:pPr>
        <w:ind w:left="3524" w:hanging="360"/>
      </w:pPr>
      <w:rPr>
        <w:rFonts w:ascii="Courier New" w:hAnsi="Courier New" w:cs="Courier New" w:hint="default"/>
      </w:rPr>
    </w:lvl>
    <w:lvl w:ilvl="5" w:tplc="0C090005">
      <w:start w:val="1"/>
      <w:numFmt w:val="bullet"/>
      <w:lvlText w:val=""/>
      <w:lvlJc w:val="left"/>
      <w:pPr>
        <w:ind w:left="4244" w:hanging="360"/>
      </w:pPr>
      <w:rPr>
        <w:rFonts w:ascii="Wingdings" w:hAnsi="Wingdings" w:hint="default"/>
      </w:rPr>
    </w:lvl>
    <w:lvl w:ilvl="6" w:tplc="0C090001">
      <w:start w:val="1"/>
      <w:numFmt w:val="bullet"/>
      <w:lvlText w:val=""/>
      <w:lvlJc w:val="left"/>
      <w:pPr>
        <w:ind w:left="4964" w:hanging="360"/>
      </w:pPr>
      <w:rPr>
        <w:rFonts w:ascii="Symbol" w:hAnsi="Symbol" w:hint="default"/>
      </w:rPr>
    </w:lvl>
    <w:lvl w:ilvl="7" w:tplc="0C090003">
      <w:start w:val="1"/>
      <w:numFmt w:val="bullet"/>
      <w:lvlText w:val="o"/>
      <w:lvlJc w:val="left"/>
      <w:pPr>
        <w:ind w:left="5684" w:hanging="360"/>
      </w:pPr>
      <w:rPr>
        <w:rFonts w:ascii="Courier New" w:hAnsi="Courier New" w:cs="Courier New" w:hint="default"/>
      </w:rPr>
    </w:lvl>
    <w:lvl w:ilvl="8" w:tplc="0C090005">
      <w:start w:val="1"/>
      <w:numFmt w:val="bullet"/>
      <w:lvlText w:val=""/>
      <w:lvlJc w:val="left"/>
      <w:pPr>
        <w:ind w:left="6404" w:hanging="360"/>
      </w:pPr>
      <w:rPr>
        <w:rFonts w:ascii="Wingdings" w:hAnsi="Wingdings" w:hint="default"/>
      </w:rPr>
    </w:lvl>
  </w:abstractNum>
  <w:abstractNum w:abstractNumId="42" w15:restartNumberingAfterBreak="0">
    <w:nsid w:val="4F9F4E9F"/>
    <w:multiLevelType w:val="hybridMultilevel"/>
    <w:tmpl w:val="D8D29E5E"/>
    <w:lvl w:ilvl="0" w:tplc="22C6873E">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3" w15:restartNumberingAfterBreak="0">
    <w:nsid w:val="51724D8B"/>
    <w:multiLevelType w:val="hybridMultilevel"/>
    <w:tmpl w:val="76AC0F5E"/>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44" w15:restartNumberingAfterBreak="0">
    <w:nsid w:val="5491082A"/>
    <w:multiLevelType w:val="hybridMultilevel"/>
    <w:tmpl w:val="EB7481BE"/>
    <w:lvl w:ilvl="0" w:tplc="AEBCF04A">
      <w:numFmt w:val="bullet"/>
      <w:lvlText w:val="-"/>
      <w:lvlJc w:val="left"/>
      <w:pPr>
        <w:ind w:left="680" w:hanging="360"/>
      </w:pPr>
      <w:rPr>
        <w:rFonts w:ascii="Arial" w:eastAsia="Calibri" w:hAnsi="Arial" w:cs="Arial" w:hint="default"/>
      </w:rPr>
    </w:lvl>
    <w:lvl w:ilvl="1" w:tplc="0C090003" w:tentative="1">
      <w:start w:val="1"/>
      <w:numFmt w:val="bullet"/>
      <w:lvlText w:val="o"/>
      <w:lvlJc w:val="left"/>
      <w:pPr>
        <w:ind w:left="1400" w:hanging="360"/>
      </w:pPr>
      <w:rPr>
        <w:rFonts w:ascii="Courier New" w:hAnsi="Courier New" w:cs="Courier New" w:hint="default"/>
      </w:rPr>
    </w:lvl>
    <w:lvl w:ilvl="2" w:tplc="0C090005" w:tentative="1">
      <w:start w:val="1"/>
      <w:numFmt w:val="bullet"/>
      <w:lvlText w:val=""/>
      <w:lvlJc w:val="left"/>
      <w:pPr>
        <w:ind w:left="2120" w:hanging="360"/>
      </w:pPr>
      <w:rPr>
        <w:rFonts w:ascii="Wingdings" w:hAnsi="Wingdings" w:hint="default"/>
      </w:rPr>
    </w:lvl>
    <w:lvl w:ilvl="3" w:tplc="0C090001" w:tentative="1">
      <w:start w:val="1"/>
      <w:numFmt w:val="bullet"/>
      <w:lvlText w:val=""/>
      <w:lvlJc w:val="left"/>
      <w:pPr>
        <w:ind w:left="2840" w:hanging="360"/>
      </w:pPr>
      <w:rPr>
        <w:rFonts w:ascii="Symbol" w:hAnsi="Symbol" w:hint="default"/>
      </w:rPr>
    </w:lvl>
    <w:lvl w:ilvl="4" w:tplc="0C090003" w:tentative="1">
      <w:start w:val="1"/>
      <w:numFmt w:val="bullet"/>
      <w:lvlText w:val="o"/>
      <w:lvlJc w:val="left"/>
      <w:pPr>
        <w:ind w:left="3560" w:hanging="360"/>
      </w:pPr>
      <w:rPr>
        <w:rFonts w:ascii="Courier New" w:hAnsi="Courier New" w:cs="Courier New" w:hint="default"/>
      </w:rPr>
    </w:lvl>
    <w:lvl w:ilvl="5" w:tplc="0C090005" w:tentative="1">
      <w:start w:val="1"/>
      <w:numFmt w:val="bullet"/>
      <w:lvlText w:val=""/>
      <w:lvlJc w:val="left"/>
      <w:pPr>
        <w:ind w:left="4280" w:hanging="360"/>
      </w:pPr>
      <w:rPr>
        <w:rFonts w:ascii="Wingdings" w:hAnsi="Wingdings" w:hint="default"/>
      </w:rPr>
    </w:lvl>
    <w:lvl w:ilvl="6" w:tplc="0C090001" w:tentative="1">
      <w:start w:val="1"/>
      <w:numFmt w:val="bullet"/>
      <w:lvlText w:val=""/>
      <w:lvlJc w:val="left"/>
      <w:pPr>
        <w:ind w:left="5000" w:hanging="360"/>
      </w:pPr>
      <w:rPr>
        <w:rFonts w:ascii="Symbol" w:hAnsi="Symbol" w:hint="default"/>
      </w:rPr>
    </w:lvl>
    <w:lvl w:ilvl="7" w:tplc="0C090003" w:tentative="1">
      <w:start w:val="1"/>
      <w:numFmt w:val="bullet"/>
      <w:lvlText w:val="o"/>
      <w:lvlJc w:val="left"/>
      <w:pPr>
        <w:ind w:left="5720" w:hanging="360"/>
      </w:pPr>
      <w:rPr>
        <w:rFonts w:ascii="Courier New" w:hAnsi="Courier New" w:cs="Courier New" w:hint="default"/>
      </w:rPr>
    </w:lvl>
    <w:lvl w:ilvl="8" w:tplc="0C090005" w:tentative="1">
      <w:start w:val="1"/>
      <w:numFmt w:val="bullet"/>
      <w:lvlText w:val=""/>
      <w:lvlJc w:val="left"/>
      <w:pPr>
        <w:ind w:left="6440" w:hanging="360"/>
      </w:pPr>
      <w:rPr>
        <w:rFonts w:ascii="Wingdings" w:hAnsi="Wingdings" w:hint="default"/>
      </w:rPr>
    </w:lvl>
  </w:abstractNum>
  <w:abstractNum w:abstractNumId="45" w15:restartNumberingAfterBreak="0">
    <w:nsid w:val="55AA21F0"/>
    <w:multiLevelType w:val="hybridMultilevel"/>
    <w:tmpl w:val="9B5CB936"/>
    <w:lvl w:ilvl="0" w:tplc="CCA08FFA">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5F559B3"/>
    <w:multiLevelType w:val="hybridMultilevel"/>
    <w:tmpl w:val="C484B392"/>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15:restartNumberingAfterBreak="0">
    <w:nsid w:val="566C3657"/>
    <w:multiLevelType w:val="hybridMultilevel"/>
    <w:tmpl w:val="D44042AE"/>
    <w:lvl w:ilvl="0" w:tplc="22C6873E">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8" w15:restartNumberingAfterBreak="0">
    <w:nsid w:val="57B62F2A"/>
    <w:multiLevelType w:val="hybridMultilevel"/>
    <w:tmpl w:val="4434D456"/>
    <w:lvl w:ilvl="0" w:tplc="FA94A91C">
      <w:start w:val="1"/>
      <w:numFmt w:val="decimal"/>
      <w:lvlText w:val="%1."/>
      <w:lvlJc w:val="left"/>
      <w:pPr>
        <w:ind w:left="360" w:hanging="360"/>
      </w:pPr>
      <w:rPr>
        <w:rFonts w:ascii="Arial" w:hAnsi="Arial" w:cs="Arial" w:hint="default"/>
      </w:rPr>
    </w:lvl>
    <w:lvl w:ilvl="1" w:tplc="22C6873E">
      <w:start w:val="1"/>
      <w:numFmt w:val="bullet"/>
      <w:lvlText w:val="&gt;"/>
      <w:lvlJc w:val="left"/>
      <w:pPr>
        <w:ind w:left="1080" w:hanging="360"/>
      </w:pPr>
      <w:rPr>
        <w:rFonts w:ascii="HelveticaNeueLT Std Lt" w:hAnsi="HelveticaNeueLT Std Lt" w:hint="default"/>
        <w:sz w:val="20"/>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9" w15:restartNumberingAfterBreak="0">
    <w:nsid w:val="5845242F"/>
    <w:multiLevelType w:val="hybridMultilevel"/>
    <w:tmpl w:val="EF7897F8"/>
    <w:lvl w:ilvl="0" w:tplc="0C090001">
      <w:start w:val="1"/>
      <w:numFmt w:val="bullet"/>
      <w:lvlText w:val=""/>
      <w:lvlJc w:val="left"/>
      <w:pPr>
        <w:ind w:left="360" w:hanging="360"/>
      </w:pPr>
      <w:rPr>
        <w:rFonts w:ascii="Symbol" w:hAnsi="Symbol" w:hint="default"/>
      </w:rPr>
    </w:lvl>
    <w:lvl w:ilvl="1" w:tplc="AD368B42">
      <w:numFmt w:val="bullet"/>
      <w:lvlText w:val="•"/>
      <w:lvlJc w:val="left"/>
      <w:pPr>
        <w:ind w:left="1440" w:hanging="720"/>
      </w:pPr>
      <w:rPr>
        <w:rFonts w:ascii="Calibri" w:eastAsiaTheme="minorHAnsi" w:hAnsi="Calibri" w:cs="Calibri"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0" w15:restartNumberingAfterBreak="0">
    <w:nsid w:val="58FD2533"/>
    <w:multiLevelType w:val="hybridMultilevel"/>
    <w:tmpl w:val="8B84B162"/>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51" w15:restartNumberingAfterBreak="0">
    <w:nsid w:val="59F6040B"/>
    <w:multiLevelType w:val="hybridMultilevel"/>
    <w:tmpl w:val="13B2FBA0"/>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2" w15:restartNumberingAfterBreak="0">
    <w:nsid w:val="5A954D2D"/>
    <w:multiLevelType w:val="hybridMultilevel"/>
    <w:tmpl w:val="DD50C584"/>
    <w:lvl w:ilvl="0" w:tplc="0C090017">
      <w:start w:val="1"/>
      <w:numFmt w:val="lowerLetter"/>
      <w:lvlText w:val="%1)"/>
      <w:lvlJc w:val="left"/>
      <w:pPr>
        <w:ind w:left="360" w:hanging="360"/>
      </w:pPr>
    </w:lvl>
    <w:lvl w:ilvl="1" w:tplc="E444AD82">
      <w:start w:val="1"/>
      <w:numFmt w:val="lowerRoman"/>
      <w:lvlText w:val="(%2)"/>
      <w:lvlJc w:val="left"/>
      <w:pPr>
        <w:ind w:left="1080" w:hanging="360"/>
      </w:pPr>
      <w:rPr>
        <w:rFonts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3" w15:restartNumberingAfterBreak="0">
    <w:nsid w:val="5AEE38A5"/>
    <w:multiLevelType w:val="hybridMultilevel"/>
    <w:tmpl w:val="ACB8921A"/>
    <w:lvl w:ilvl="0" w:tplc="856E6310">
      <w:start w:val="1"/>
      <w:numFmt w:val="bullet"/>
      <w:lvlText w:val="&gt;"/>
      <w:lvlJc w:val="left"/>
      <w:pPr>
        <w:ind w:left="360" w:hanging="360"/>
      </w:pPr>
      <w:rPr>
        <w:rFonts w:ascii="Arial" w:hAnsi="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4" w15:restartNumberingAfterBreak="0">
    <w:nsid w:val="5D683AF1"/>
    <w:multiLevelType w:val="hybridMultilevel"/>
    <w:tmpl w:val="02AE20DC"/>
    <w:lvl w:ilvl="0" w:tplc="856E6310">
      <w:start w:val="1"/>
      <w:numFmt w:val="bullet"/>
      <w:lvlText w:val="&gt;"/>
      <w:lvlJc w:val="left"/>
      <w:pPr>
        <w:ind w:left="360" w:hanging="360"/>
      </w:pPr>
      <w:rPr>
        <w:rFonts w:ascii="Arial" w:hAnsi="Aria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5" w15:restartNumberingAfterBreak="0">
    <w:nsid w:val="623962D8"/>
    <w:multiLevelType w:val="hybridMultilevel"/>
    <w:tmpl w:val="AE0CA69A"/>
    <w:lvl w:ilvl="0" w:tplc="856E6310">
      <w:start w:val="1"/>
      <w:numFmt w:val="bullet"/>
      <w:lvlText w:val="&gt;"/>
      <w:lvlJc w:val="left"/>
      <w:pPr>
        <w:ind w:left="360" w:hanging="360"/>
      </w:pPr>
      <w:rPr>
        <w:rFonts w:ascii="Arial" w:hAnsi="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6"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5071478"/>
    <w:multiLevelType w:val="hybridMultilevel"/>
    <w:tmpl w:val="C3E83108"/>
    <w:lvl w:ilvl="0" w:tplc="6CFEBEC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C861597"/>
    <w:multiLevelType w:val="hybridMultilevel"/>
    <w:tmpl w:val="EC90EC82"/>
    <w:lvl w:ilvl="0" w:tplc="0C09000F">
      <w:start w:val="1"/>
      <w:numFmt w:val="decimal"/>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9"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DB21773"/>
    <w:multiLevelType w:val="hybridMultilevel"/>
    <w:tmpl w:val="B5D42EA6"/>
    <w:lvl w:ilvl="0" w:tplc="1210446E">
      <w:start w:val="1"/>
      <w:numFmt w:val="bullet"/>
      <w:lvlText w:val=""/>
      <w:lvlJc w:val="left"/>
      <w:pPr>
        <w:ind w:left="644" w:hanging="360"/>
      </w:pPr>
      <w:rPr>
        <w:rFonts w:ascii="Symbol" w:hAnsi="Symbol" w:hint="default"/>
      </w:rPr>
    </w:lvl>
    <w:lvl w:ilvl="1" w:tplc="55F2986E">
      <w:start w:val="1"/>
      <w:numFmt w:val="bullet"/>
      <w:lvlText w:val=""/>
      <w:lvlJc w:val="left"/>
      <w:pPr>
        <w:ind w:left="1364" w:hanging="360"/>
      </w:pPr>
      <w:rPr>
        <w:rFonts w:ascii="Symbol" w:hAnsi="Symbol" w:hint="default"/>
      </w:rPr>
    </w:lvl>
    <w:lvl w:ilvl="2" w:tplc="0C090005">
      <w:start w:val="1"/>
      <w:numFmt w:val="bullet"/>
      <w:lvlText w:val=""/>
      <w:lvlJc w:val="left"/>
      <w:pPr>
        <w:ind w:left="2084" w:hanging="360"/>
      </w:pPr>
      <w:rPr>
        <w:rFonts w:ascii="Wingdings" w:hAnsi="Wingdings" w:hint="default"/>
      </w:rPr>
    </w:lvl>
    <w:lvl w:ilvl="3" w:tplc="0C090001">
      <w:start w:val="1"/>
      <w:numFmt w:val="bullet"/>
      <w:lvlText w:val=""/>
      <w:lvlJc w:val="left"/>
      <w:pPr>
        <w:ind w:left="2804" w:hanging="360"/>
      </w:pPr>
      <w:rPr>
        <w:rFonts w:ascii="Symbol" w:hAnsi="Symbol" w:hint="default"/>
      </w:rPr>
    </w:lvl>
    <w:lvl w:ilvl="4" w:tplc="0C090003">
      <w:start w:val="1"/>
      <w:numFmt w:val="bullet"/>
      <w:lvlText w:val="o"/>
      <w:lvlJc w:val="left"/>
      <w:pPr>
        <w:ind w:left="3524" w:hanging="360"/>
      </w:pPr>
      <w:rPr>
        <w:rFonts w:ascii="Courier New" w:hAnsi="Courier New" w:cs="Courier New" w:hint="default"/>
      </w:rPr>
    </w:lvl>
    <w:lvl w:ilvl="5" w:tplc="0C090005">
      <w:start w:val="1"/>
      <w:numFmt w:val="bullet"/>
      <w:lvlText w:val=""/>
      <w:lvlJc w:val="left"/>
      <w:pPr>
        <w:ind w:left="4244" w:hanging="360"/>
      </w:pPr>
      <w:rPr>
        <w:rFonts w:ascii="Wingdings" w:hAnsi="Wingdings" w:hint="default"/>
      </w:rPr>
    </w:lvl>
    <w:lvl w:ilvl="6" w:tplc="0C090001">
      <w:start w:val="1"/>
      <w:numFmt w:val="bullet"/>
      <w:lvlText w:val=""/>
      <w:lvlJc w:val="left"/>
      <w:pPr>
        <w:ind w:left="4964" w:hanging="360"/>
      </w:pPr>
      <w:rPr>
        <w:rFonts w:ascii="Symbol" w:hAnsi="Symbol" w:hint="default"/>
      </w:rPr>
    </w:lvl>
    <w:lvl w:ilvl="7" w:tplc="0C090003">
      <w:start w:val="1"/>
      <w:numFmt w:val="bullet"/>
      <w:lvlText w:val="o"/>
      <w:lvlJc w:val="left"/>
      <w:pPr>
        <w:ind w:left="5684" w:hanging="360"/>
      </w:pPr>
      <w:rPr>
        <w:rFonts w:ascii="Courier New" w:hAnsi="Courier New" w:cs="Courier New" w:hint="default"/>
      </w:rPr>
    </w:lvl>
    <w:lvl w:ilvl="8" w:tplc="0C090005">
      <w:start w:val="1"/>
      <w:numFmt w:val="bullet"/>
      <w:lvlText w:val=""/>
      <w:lvlJc w:val="left"/>
      <w:pPr>
        <w:ind w:left="6404" w:hanging="360"/>
      </w:pPr>
      <w:rPr>
        <w:rFonts w:ascii="Wingdings" w:hAnsi="Wingdings" w:hint="default"/>
      </w:rPr>
    </w:lvl>
  </w:abstractNum>
  <w:abstractNum w:abstractNumId="61" w15:restartNumberingAfterBreak="0">
    <w:nsid w:val="70E02196"/>
    <w:multiLevelType w:val="hybridMultilevel"/>
    <w:tmpl w:val="3C6C5BAC"/>
    <w:lvl w:ilvl="0" w:tplc="E444AD82">
      <w:start w:val="1"/>
      <w:numFmt w:val="lowerRoman"/>
      <w:lvlText w:val="(%1)"/>
      <w:lvlJc w:val="left"/>
      <w:pPr>
        <w:ind w:left="655" w:hanging="360"/>
      </w:pPr>
      <w:rPr>
        <w:rFonts w:hint="default"/>
      </w:rPr>
    </w:lvl>
    <w:lvl w:ilvl="1" w:tplc="0C090019" w:tentative="1">
      <w:start w:val="1"/>
      <w:numFmt w:val="lowerLetter"/>
      <w:lvlText w:val="%2."/>
      <w:lvlJc w:val="left"/>
      <w:pPr>
        <w:ind w:left="1375" w:hanging="360"/>
      </w:pPr>
    </w:lvl>
    <w:lvl w:ilvl="2" w:tplc="0C09001B" w:tentative="1">
      <w:start w:val="1"/>
      <w:numFmt w:val="lowerRoman"/>
      <w:lvlText w:val="%3."/>
      <w:lvlJc w:val="right"/>
      <w:pPr>
        <w:ind w:left="2095" w:hanging="180"/>
      </w:pPr>
    </w:lvl>
    <w:lvl w:ilvl="3" w:tplc="0C09000F" w:tentative="1">
      <w:start w:val="1"/>
      <w:numFmt w:val="decimal"/>
      <w:lvlText w:val="%4."/>
      <w:lvlJc w:val="left"/>
      <w:pPr>
        <w:ind w:left="2815" w:hanging="360"/>
      </w:pPr>
    </w:lvl>
    <w:lvl w:ilvl="4" w:tplc="0C090019" w:tentative="1">
      <w:start w:val="1"/>
      <w:numFmt w:val="lowerLetter"/>
      <w:lvlText w:val="%5."/>
      <w:lvlJc w:val="left"/>
      <w:pPr>
        <w:ind w:left="3535" w:hanging="360"/>
      </w:pPr>
    </w:lvl>
    <w:lvl w:ilvl="5" w:tplc="0C09001B" w:tentative="1">
      <w:start w:val="1"/>
      <w:numFmt w:val="lowerRoman"/>
      <w:lvlText w:val="%6."/>
      <w:lvlJc w:val="right"/>
      <w:pPr>
        <w:ind w:left="4255" w:hanging="180"/>
      </w:pPr>
    </w:lvl>
    <w:lvl w:ilvl="6" w:tplc="0C09000F" w:tentative="1">
      <w:start w:val="1"/>
      <w:numFmt w:val="decimal"/>
      <w:lvlText w:val="%7."/>
      <w:lvlJc w:val="left"/>
      <w:pPr>
        <w:ind w:left="4975" w:hanging="360"/>
      </w:pPr>
    </w:lvl>
    <w:lvl w:ilvl="7" w:tplc="0C090019" w:tentative="1">
      <w:start w:val="1"/>
      <w:numFmt w:val="lowerLetter"/>
      <w:lvlText w:val="%8."/>
      <w:lvlJc w:val="left"/>
      <w:pPr>
        <w:ind w:left="5695" w:hanging="360"/>
      </w:pPr>
    </w:lvl>
    <w:lvl w:ilvl="8" w:tplc="0C09001B" w:tentative="1">
      <w:start w:val="1"/>
      <w:numFmt w:val="lowerRoman"/>
      <w:lvlText w:val="%9."/>
      <w:lvlJc w:val="right"/>
      <w:pPr>
        <w:ind w:left="6415" w:hanging="180"/>
      </w:pPr>
    </w:lvl>
  </w:abstractNum>
  <w:abstractNum w:abstractNumId="62" w15:restartNumberingAfterBreak="0">
    <w:nsid w:val="737232EA"/>
    <w:multiLevelType w:val="hybridMultilevel"/>
    <w:tmpl w:val="A824EDF6"/>
    <w:lvl w:ilvl="0" w:tplc="420C40BA">
      <w:start w:val="1"/>
      <w:numFmt w:val="lowerLetter"/>
      <w:lvlText w:val="(%1)"/>
      <w:lvlJc w:val="left"/>
      <w:pPr>
        <w:ind w:left="376" w:hanging="360"/>
      </w:pPr>
      <w:rPr>
        <w:rFonts w:hint="default"/>
      </w:rPr>
    </w:lvl>
    <w:lvl w:ilvl="1" w:tplc="0C090019" w:tentative="1">
      <w:start w:val="1"/>
      <w:numFmt w:val="lowerLetter"/>
      <w:lvlText w:val="%2."/>
      <w:lvlJc w:val="left"/>
      <w:pPr>
        <w:ind w:left="1096" w:hanging="360"/>
      </w:pPr>
    </w:lvl>
    <w:lvl w:ilvl="2" w:tplc="0C09001B" w:tentative="1">
      <w:start w:val="1"/>
      <w:numFmt w:val="lowerRoman"/>
      <w:lvlText w:val="%3."/>
      <w:lvlJc w:val="right"/>
      <w:pPr>
        <w:ind w:left="1816" w:hanging="180"/>
      </w:pPr>
    </w:lvl>
    <w:lvl w:ilvl="3" w:tplc="0C09000F" w:tentative="1">
      <w:start w:val="1"/>
      <w:numFmt w:val="decimal"/>
      <w:lvlText w:val="%4."/>
      <w:lvlJc w:val="left"/>
      <w:pPr>
        <w:ind w:left="2536" w:hanging="360"/>
      </w:pPr>
    </w:lvl>
    <w:lvl w:ilvl="4" w:tplc="0C090019" w:tentative="1">
      <w:start w:val="1"/>
      <w:numFmt w:val="lowerLetter"/>
      <w:lvlText w:val="%5."/>
      <w:lvlJc w:val="left"/>
      <w:pPr>
        <w:ind w:left="3256" w:hanging="360"/>
      </w:pPr>
    </w:lvl>
    <w:lvl w:ilvl="5" w:tplc="0C09001B" w:tentative="1">
      <w:start w:val="1"/>
      <w:numFmt w:val="lowerRoman"/>
      <w:lvlText w:val="%6."/>
      <w:lvlJc w:val="right"/>
      <w:pPr>
        <w:ind w:left="3976" w:hanging="180"/>
      </w:pPr>
    </w:lvl>
    <w:lvl w:ilvl="6" w:tplc="0C09000F" w:tentative="1">
      <w:start w:val="1"/>
      <w:numFmt w:val="decimal"/>
      <w:lvlText w:val="%7."/>
      <w:lvlJc w:val="left"/>
      <w:pPr>
        <w:ind w:left="4696" w:hanging="360"/>
      </w:pPr>
    </w:lvl>
    <w:lvl w:ilvl="7" w:tplc="0C090019" w:tentative="1">
      <w:start w:val="1"/>
      <w:numFmt w:val="lowerLetter"/>
      <w:lvlText w:val="%8."/>
      <w:lvlJc w:val="left"/>
      <w:pPr>
        <w:ind w:left="5416" w:hanging="360"/>
      </w:pPr>
    </w:lvl>
    <w:lvl w:ilvl="8" w:tplc="0C09001B" w:tentative="1">
      <w:start w:val="1"/>
      <w:numFmt w:val="lowerRoman"/>
      <w:lvlText w:val="%9."/>
      <w:lvlJc w:val="right"/>
      <w:pPr>
        <w:ind w:left="6136" w:hanging="180"/>
      </w:pPr>
    </w:lvl>
  </w:abstractNum>
  <w:abstractNum w:abstractNumId="63" w15:restartNumberingAfterBreak="0">
    <w:nsid w:val="76903D3D"/>
    <w:multiLevelType w:val="hybridMultilevel"/>
    <w:tmpl w:val="433EF0AA"/>
    <w:lvl w:ilvl="0" w:tplc="101ED0DC">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4" w15:restartNumberingAfterBreak="0">
    <w:nsid w:val="76A84D1C"/>
    <w:multiLevelType w:val="hybridMultilevel"/>
    <w:tmpl w:val="BF6E5234"/>
    <w:lvl w:ilvl="0" w:tplc="55F298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5" w15:restartNumberingAfterBreak="0">
    <w:nsid w:val="7B3E3F59"/>
    <w:multiLevelType w:val="hybridMultilevel"/>
    <w:tmpl w:val="0C1CDF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6" w15:restartNumberingAfterBreak="0">
    <w:nsid w:val="7E027592"/>
    <w:multiLevelType w:val="hybridMultilevel"/>
    <w:tmpl w:val="597A2230"/>
    <w:lvl w:ilvl="0" w:tplc="0C090017">
      <w:start w:val="1"/>
      <w:numFmt w:val="lowerLetter"/>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num w:numId="1">
    <w:abstractNumId w:val="3"/>
  </w:num>
  <w:num w:numId="2">
    <w:abstractNumId w:val="1"/>
  </w:num>
  <w:num w:numId="3">
    <w:abstractNumId w:val="2"/>
  </w:num>
  <w:num w:numId="4">
    <w:abstractNumId w:val="0"/>
  </w:num>
  <w:num w:numId="5">
    <w:abstractNumId w:val="25"/>
  </w:num>
  <w:num w:numId="6">
    <w:abstractNumId w:val="57"/>
  </w:num>
  <w:num w:numId="7">
    <w:abstractNumId w:val="45"/>
  </w:num>
  <w:num w:numId="8">
    <w:abstractNumId w:val="56"/>
  </w:num>
  <w:num w:numId="9">
    <w:abstractNumId w:val="59"/>
  </w:num>
  <w:num w:numId="10">
    <w:abstractNumId w:val="11"/>
  </w:num>
  <w:num w:numId="11">
    <w:abstractNumId w:val="7"/>
  </w:num>
  <w:num w:numId="12">
    <w:abstractNumId w:val="3"/>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27"/>
  </w:num>
  <w:num w:numId="17">
    <w:abstractNumId w:val="2"/>
    <w:lvlOverride w:ilvl="0">
      <w:startOverride w:val="1"/>
    </w:lvlOverride>
  </w:num>
  <w:num w:numId="18">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3"/>
  </w:num>
  <w:num w:numId="20">
    <w:abstractNumId w:val="55"/>
  </w:num>
  <w:num w:numId="21">
    <w:abstractNumId w:val="19"/>
  </w:num>
  <w:num w:numId="22">
    <w:abstractNumId w:val="3"/>
  </w:num>
  <w:num w:numId="23">
    <w:abstractNumId w:val="24"/>
  </w:num>
  <w:num w:numId="24">
    <w:abstractNumId w:val="64"/>
  </w:num>
  <w:num w:numId="25">
    <w:abstractNumId w:val="53"/>
  </w:num>
  <w:num w:numId="26">
    <w:abstractNumId w:val="54"/>
  </w:num>
  <w:num w:numId="27">
    <w:abstractNumId w:val="36"/>
  </w:num>
  <w:num w:numId="28">
    <w:abstractNumId w:val="49"/>
  </w:num>
  <w:num w:numId="29">
    <w:abstractNumId w:val="29"/>
  </w:num>
  <w:num w:numId="30">
    <w:abstractNumId w:val="39"/>
  </w:num>
  <w:num w:numId="31">
    <w:abstractNumId w:val="10"/>
  </w:num>
  <w:num w:numId="32">
    <w:abstractNumId w:val="3"/>
  </w:num>
  <w:num w:numId="33">
    <w:abstractNumId w:val="61"/>
  </w:num>
  <w:num w:numId="34">
    <w:abstractNumId w:val="35"/>
  </w:num>
  <w:num w:numId="35">
    <w:abstractNumId w:val="30"/>
  </w:num>
  <w:num w:numId="36">
    <w:abstractNumId w:val="58"/>
  </w:num>
  <w:num w:numId="37">
    <w:abstractNumId w:val="46"/>
  </w:num>
  <w:num w:numId="38">
    <w:abstractNumId w:val="66"/>
  </w:num>
  <w:num w:numId="39">
    <w:abstractNumId w:val="20"/>
  </w:num>
  <w:num w:numId="40">
    <w:abstractNumId w:val="63"/>
  </w:num>
  <w:num w:numId="41">
    <w:abstractNumId w:val="52"/>
  </w:num>
  <w:num w:numId="42">
    <w:abstractNumId w:val="18"/>
  </w:num>
  <w:num w:numId="43">
    <w:abstractNumId w:val="50"/>
  </w:num>
  <w:num w:numId="44">
    <w:abstractNumId w:val="3"/>
  </w:num>
  <w:num w:numId="45">
    <w:abstractNumId w:val="3"/>
  </w:num>
  <w:num w:numId="46">
    <w:abstractNumId w:val="3"/>
  </w:num>
  <w:num w:numId="47">
    <w:abstractNumId w:val="44"/>
  </w:num>
  <w:num w:numId="48">
    <w:abstractNumId w:val="22"/>
  </w:num>
  <w:num w:numId="49">
    <w:abstractNumId w:val="41"/>
  </w:num>
  <w:num w:numId="50">
    <w:abstractNumId w:val="60"/>
  </w:num>
  <w:num w:numId="51">
    <w:abstractNumId w:val="12"/>
  </w:num>
  <w:num w:numId="52">
    <w:abstractNumId w:val="8"/>
  </w:num>
  <w:num w:numId="53">
    <w:abstractNumId w:val="51"/>
  </w:num>
  <w:num w:numId="54">
    <w:abstractNumId w:val="15"/>
  </w:num>
  <w:num w:numId="55">
    <w:abstractNumId w:val="4"/>
  </w:num>
  <w:num w:numId="56">
    <w:abstractNumId w:val="14"/>
  </w:num>
  <w:num w:numId="57">
    <w:abstractNumId w:val="38"/>
  </w:num>
  <w:num w:numId="58">
    <w:abstractNumId w:val="37"/>
  </w:num>
  <w:num w:numId="59">
    <w:abstractNumId w:val="26"/>
  </w:num>
  <w:num w:numId="60">
    <w:abstractNumId w:val="62"/>
  </w:num>
  <w:num w:numId="61">
    <w:abstractNumId w:val="9"/>
  </w:num>
  <w:num w:numId="62">
    <w:abstractNumId w:val="17"/>
  </w:num>
  <w:num w:numId="63">
    <w:abstractNumId w:val="6"/>
  </w:num>
  <w:num w:numId="64">
    <w:abstractNumId w:val="47"/>
  </w:num>
  <w:num w:numId="65">
    <w:abstractNumId w:val="13"/>
  </w:num>
  <w:num w:numId="66">
    <w:abstractNumId w:val="28"/>
  </w:num>
  <w:num w:numId="67">
    <w:abstractNumId w:val="34"/>
  </w:num>
  <w:num w:numId="68">
    <w:abstractNumId w:val="33"/>
  </w:num>
  <w:num w:numId="69">
    <w:abstractNumId w:val="3"/>
  </w:num>
  <w:num w:numId="70">
    <w:abstractNumId w:val="3"/>
  </w:num>
  <w:num w:numId="71">
    <w:abstractNumId w:val="65"/>
  </w:num>
  <w:num w:numId="72">
    <w:abstractNumId w:val="32"/>
  </w:num>
  <w:num w:numId="73">
    <w:abstractNumId w:val="31"/>
  </w:num>
  <w:num w:numId="74">
    <w:abstractNumId w:val="23"/>
  </w:num>
  <w:num w:numId="75">
    <w:abstractNumId w:val="40"/>
  </w:num>
  <w:num w:numId="76">
    <w:abstractNumId w:val="42"/>
  </w:num>
  <w:num w:numId="77">
    <w:abstractNumId w:val="21"/>
  </w:num>
  <w:num w:numId="78">
    <w:abstractNumId w:val="48"/>
  </w:num>
  <w:num w:numId="79">
    <w:abstractNumId w:val="16"/>
  </w:num>
  <w:num w:numId="80">
    <w:abstractNumId w:val="5"/>
  </w:num>
  <w:num w:numId="81">
    <w:abstractNumId w:val="57"/>
    <w:lvlOverride w:ilvl="0">
      <w:startOverride w:val="5"/>
    </w:lvlOverride>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284"/>
  <w:evenAndOddHeaders/>
  <w:drawingGridHorizontalSpacing w:val="100"/>
  <w:displayHorizontalDrawingGridEvery w:val="2"/>
  <w:characterSpacingControl w:val="doNotCompress"/>
  <w:savePreviewPicture/>
  <w:hdrShapeDefaults>
    <o:shapedefaults v:ext="edit" spidmax="2049">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65F2"/>
    <w:rsid w:val="00000315"/>
    <w:rsid w:val="00004D62"/>
    <w:rsid w:val="000059E1"/>
    <w:rsid w:val="00006285"/>
    <w:rsid w:val="00007D81"/>
    <w:rsid w:val="00010667"/>
    <w:rsid w:val="000129D5"/>
    <w:rsid w:val="000147B6"/>
    <w:rsid w:val="00015AE7"/>
    <w:rsid w:val="000169AD"/>
    <w:rsid w:val="00016E21"/>
    <w:rsid w:val="0001719C"/>
    <w:rsid w:val="00017EB9"/>
    <w:rsid w:val="000203F4"/>
    <w:rsid w:val="0002224E"/>
    <w:rsid w:val="00023A36"/>
    <w:rsid w:val="000245E5"/>
    <w:rsid w:val="00026F91"/>
    <w:rsid w:val="00032621"/>
    <w:rsid w:val="00033D3B"/>
    <w:rsid w:val="000342C6"/>
    <w:rsid w:val="0003562E"/>
    <w:rsid w:val="00041F9C"/>
    <w:rsid w:val="000420E5"/>
    <w:rsid w:val="000438E2"/>
    <w:rsid w:val="00043E8C"/>
    <w:rsid w:val="00045E1C"/>
    <w:rsid w:val="0004764C"/>
    <w:rsid w:val="0005011A"/>
    <w:rsid w:val="0005045A"/>
    <w:rsid w:val="000511A0"/>
    <w:rsid w:val="00051C1E"/>
    <w:rsid w:val="00051D97"/>
    <w:rsid w:val="000539F9"/>
    <w:rsid w:val="00054C27"/>
    <w:rsid w:val="00055EC3"/>
    <w:rsid w:val="000563CE"/>
    <w:rsid w:val="00056A04"/>
    <w:rsid w:val="000624A0"/>
    <w:rsid w:val="00063EBB"/>
    <w:rsid w:val="00063ECE"/>
    <w:rsid w:val="00065908"/>
    <w:rsid w:val="000659B6"/>
    <w:rsid w:val="000661E3"/>
    <w:rsid w:val="0006686F"/>
    <w:rsid w:val="00066C81"/>
    <w:rsid w:val="0006722A"/>
    <w:rsid w:val="000732CF"/>
    <w:rsid w:val="00074FEB"/>
    <w:rsid w:val="00075B96"/>
    <w:rsid w:val="00077F53"/>
    <w:rsid w:val="0008196A"/>
    <w:rsid w:val="00082DD9"/>
    <w:rsid w:val="000836FE"/>
    <w:rsid w:val="000862FC"/>
    <w:rsid w:val="0009085C"/>
    <w:rsid w:val="000915ED"/>
    <w:rsid w:val="0009209D"/>
    <w:rsid w:val="0009463C"/>
    <w:rsid w:val="000952A0"/>
    <w:rsid w:val="000969BD"/>
    <w:rsid w:val="000969BF"/>
    <w:rsid w:val="00096C45"/>
    <w:rsid w:val="00097191"/>
    <w:rsid w:val="00097F3B"/>
    <w:rsid w:val="000A052B"/>
    <w:rsid w:val="000A0C22"/>
    <w:rsid w:val="000A1400"/>
    <w:rsid w:val="000A2761"/>
    <w:rsid w:val="000A3C43"/>
    <w:rsid w:val="000A4A51"/>
    <w:rsid w:val="000A4E41"/>
    <w:rsid w:val="000A5D2B"/>
    <w:rsid w:val="000A5E01"/>
    <w:rsid w:val="000B38A7"/>
    <w:rsid w:val="000B4446"/>
    <w:rsid w:val="000B4664"/>
    <w:rsid w:val="000B5DE3"/>
    <w:rsid w:val="000B60CE"/>
    <w:rsid w:val="000B694F"/>
    <w:rsid w:val="000B74BF"/>
    <w:rsid w:val="000C0A57"/>
    <w:rsid w:val="000C135F"/>
    <w:rsid w:val="000C230C"/>
    <w:rsid w:val="000C3450"/>
    <w:rsid w:val="000C3A0B"/>
    <w:rsid w:val="000C4DE0"/>
    <w:rsid w:val="000C6AB4"/>
    <w:rsid w:val="000D0481"/>
    <w:rsid w:val="000D367B"/>
    <w:rsid w:val="000D3909"/>
    <w:rsid w:val="000D6FBB"/>
    <w:rsid w:val="000D71D9"/>
    <w:rsid w:val="000D76E0"/>
    <w:rsid w:val="000D7E8B"/>
    <w:rsid w:val="000E11B1"/>
    <w:rsid w:val="000E1874"/>
    <w:rsid w:val="000E3DCF"/>
    <w:rsid w:val="000E42DD"/>
    <w:rsid w:val="000E4449"/>
    <w:rsid w:val="000E55FF"/>
    <w:rsid w:val="000E6097"/>
    <w:rsid w:val="000F17AC"/>
    <w:rsid w:val="00102291"/>
    <w:rsid w:val="00103829"/>
    <w:rsid w:val="00111FCE"/>
    <w:rsid w:val="00117016"/>
    <w:rsid w:val="001172DE"/>
    <w:rsid w:val="001229A5"/>
    <w:rsid w:val="001234F0"/>
    <w:rsid w:val="0012437E"/>
    <w:rsid w:val="0012489B"/>
    <w:rsid w:val="001255CA"/>
    <w:rsid w:val="00127D14"/>
    <w:rsid w:val="00130017"/>
    <w:rsid w:val="00130F91"/>
    <w:rsid w:val="00133FB4"/>
    <w:rsid w:val="00134165"/>
    <w:rsid w:val="001349ED"/>
    <w:rsid w:val="00134FC7"/>
    <w:rsid w:val="0013582C"/>
    <w:rsid w:val="00137424"/>
    <w:rsid w:val="00140318"/>
    <w:rsid w:val="00141AD9"/>
    <w:rsid w:val="00144201"/>
    <w:rsid w:val="00146CE6"/>
    <w:rsid w:val="00152903"/>
    <w:rsid w:val="00153FD5"/>
    <w:rsid w:val="00154025"/>
    <w:rsid w:val="00155646"/>
    <w:rsid w:val="0015614F"/>
    <w:rsid w:val="001577C2"/>
    <w:rsid w:val="00161C0B"/>
    <w:rsid w:val="001630E4"/>
    <w:rsid w:val="001633C4"/>
    <w:rsid w:val="001704D5"/>
    <w:rsid w:val="00171591"/>
    <w:rsid w:val="00173981"/>
    <w:rsid w:val="0017719D"/>
    <w:rsid w:val="00180797"/>
    <w:rsid w:val="00183FD7"/>
    <w:rsid w:val="00185CAB"/>
    <w:rsid w:val="0018623B"/>
    <w:rsid w:val="00186612"/>
    <w:rsid w:val="001875B7"/>
    <w:rsid w:val="00187CB3"/>
    <w:rsid w:val="00187D0F"/>
    <w:rsid w:val="0019050A"/>
    <w:rsid w:val="001910D4"/>
    <w:rsid w:val="0019155F"/>
    <w:rsid w:val="00192001"/>
    <w:rsid w:val="00193C7B"/>
    <w:rsid w:val="001941D1"/>
    <w:rsid w:val="0019431B"/>
    <w:rsid w:val="001976E3"/>
    <w:rsid w:val="001A0E5C"/>
    <w:rsid w:val="001A18A6"/>
    <w:rsid w:val="001A44EC"/>
    <w:rsid w:val="001B33FA"/>
    <w:rsid w:val="001B53C9"/>
    <w:rsid w:val="001B58AA"/>
    <w:rsid w:val="001B7E48"/>
    <w:rsid w:val="001C0C79"/>
    <w:rsid w:val="001C17CE"/>
    <w:rsid w:val="001C36CA"/>
    <w:rsid w:val="001C44D1"/>
    <w:rsid w:val="001C4E67"/>
    <w:rsid w:val="001C5903"/>
    <w:rsid w:val="001C6AEE"/>
    <w:rsid w:val="001C7630"/>
    <w:rsid w:val="001D0A63"/>
    <w:rsid w:val="001D6D15"/>
    <w:rsid w:val="001E1E20"/>
    <w:rsid w:val="001E2AC3"/>
    <w:rsid w:val="001E5D63"/>
    <w:rsid w:val="001E6E3E"/>
    <w:rsid w:val="001F2745"/>
    <w:rsid w:val="001F2A74"/>
    <w:rsid w:val="001F50F7"/>
    <w:rsid w:val="001F7558"/>
    <w:rsid w:val="00200B9F"/>
    <w:rsid w:val="00201EE2"/>
    <w:rsid w:val="00205B57"/>
    <w:rsid w:val="00211C6F"/>
    <w:rsid w:val="0021426C"/>
    <w:rsid w:val="002157E0"/>
    <w:rsid w:val="00216A57"/>
    <w:rsid w:val="00216BEC"/>
    <w:rsid w:val="00217448"/>
    <w:rsid w:val="0022334F"/>
    <w:rsid w:val="00226819"/>
    <w:rsid w:val="0022701C"/>
    <w:rsid w:val="00233101"/>
    <w:rsid w:val="00233817"/>
    <w:rsid w:val="002367FF"/>
    <w:rsid w:val="00240CE9"/>
    <w:rsid w:val="002434BA"/>
    <w:rsid w:val="00246089"/>
    <w:rsid w:val="00246093"/>
    <w:rsid w:val="002465B3"/>
    <w:rsid w:val="00246702"/>
    <w:rsid w:val="00247C59"/>
    <w:rsid w:val="00247F2E"/>
    <w:rsid w:val="00250ADC"/>
    <w:rsid w:val="00250B07"/>
    <w:rsid w:val="002532FC"/>
    <w:rsid w:val="0025366D"/>
    <w:rsid w:val="002554A9"/>
    <w:rsid w:val="00257184"/>
    <w:rsid w:val="0025727E"/>
    <w:rsid w:val="00257553"/>
    <w:rsid w:val="00260FB2"/>
    <w:rsid w:val="00262128"/>
    <w:rsid w:val="00263565"/>
    <w:rsid w:val="0027019F"/>
    <w:rsid w:val="0027165D"/>
    <w:rsid w:val="00273CEB"/>
    <w:rsid w:val="00276B98"/>
    <w:rsid w:val="00277FBC"/>
    <w:rsid w:val="00281C89"/>
    <w:rsid w:val="0028282F"/>
    <w:rsid w:val="00282EEE"/>
    <w:rsid w:val="00287547"/>
    <w:rsid w:val="00291CFB"/>
    <w:rsid w:val="00294657"/>
    <w:rsid w:val="0029593B"/>
    <w:rsid w:val="00297AD8"/>
    <w:rsid w:val="00297D99"/>
    <w:rsid w:val="00297FC5"/>
    <w:rsid w:val="002A0417"/>
    <w:rsid w:val="002A0838"/>
    <w:rsid w:val="002A16D8"/>
    <w:rsid w:val="002A1BC8"/>
    <w:rsid w:val="002A25B3"/>
    <w:rsid w:val="002A3EF2"/>
    <w:rsid w:val="002B058D"/>
    <w:rsid w:val="002B0DED"/>
    <w:rsid w:val="002B1144"/>
    <w:rsid w:val="002B19A2"/>
    <w:rsid w:val="002B2307"/>
    <w:rsid w:val="002B381A"/>
    <w:rsid w:val="002B3B69"/>
    <w:rsid w:val="002B423B"/>
    <w:rsid w:val="002B4FCC"/>
    <w:rsid w:val="002B5623"/>
    <w:rsid w:val="002B6E20"/>
    <w:rsid w:val="002B7408"/>
    <w:rsid w:val="002B7CFD"/>
    <w:rsid w:val="002C0530"/>
    <w:rsid w:val="002C210F"/>
    <w:rsid w:val="002C5D44"/>
    <w:rsid w:val="002D0273"/>
    <w:rsid w:val="002D1799"/>
    <w:rsid w:val="002D2660"/>
    <w:rsid w:val="002D3600"/>
    <w:rsid w:val="002E4DDC"/>
    <w:rsid w:val="002E5D92"/>
    <w:rsid w:val="002E68D8"/>
    <w:rsid w:val="0030063D"/>
    <w:rsid w:val="00302480"/>
    <w:rsid w:val="00302758"/>
    <w:rsid w:val="00304E25"/>
    <w:rsid w:val="00304E90"/>
    <w:rsid w:val="0031296D"/>
    <w:rsid w:val="00313EB7"/>
    <w:rsid w:val="003145E8"/>
    <w:rsid w:val="003165E6"/>
    <w:rsid w:val="003215B5"/>
    <w:rsid w:val="003221CF"/>
    <w:rsid w:val="00322747"/>
    <w:rsid w:val="003233ED"/>
    <w:rsid w:val="00324D9F"/>
    <w:rsid w:val="003253EE"/>
    <w:rsid w:val="00327948"/>
    <w:rsid w:val="0033000F"/>
    <w:rsid w:val="00332011"/>
    <w:rsid w:val="00332518"/>
    <w:rsid w:val="00332829"/>
    <w:rsid w:val="00332925"/>
    <w:rsid w:val="00332E3F"/>
    <w:rsid w:val="003332ED"/>
    <w:rsid w:val="003368DC"/>
    <w:rsid w:val="00340FD2"/>
    <w:rsid w:val="00341233"/>
    <w:rsid w:val="00341B9E"/>
    <w:rsid w:val="0034471F"/>
    <w:rsid w:val="0034490B"/>
    <w:rsid w:val="00345927"/>
    <w:rsid w:val="00346287"/>
    <w:rsid w:val="00350584"/>
    <w:rsid w:val="00351108"/>
    <w:rsid w:val="0035176A"/>
    <w:rsid w:val="00351857"/>
    <w:rsid w:val="003545E8"/>
    <w:rsid w:val="003546DD"/>
    <w:rsid w:val="00356EF5"/>
    <w:rsid w:val="003610E1"/>
    <w:rsid w:val="003627A7"/>
    <w:rsid w:val="003671BE"/>
    <w:rsid w:val="00371DB9"/>
    <w:rsid w:val="00372485"/>
    <w:rsid w:val="00373200"/>
    <w:rsid w:val="00374DE2"/>
    <w:rsid w:val="00375EF5"/>
    <w:rsid w:val="003767A5"/>
    <w:rsid w:val="00381D15"/>
    <w:rsid w:val="00385045"/>
    <w:rsid w:val="00385254"/>
    <w:rsid w:val="00385927"/>
    <w:rsid w:val="00390D91"/>
    <w:rsid w:val="003933E8"/>
    <w:rsid w:val="00394031"/>
    <w:rsid w:val="0039591F"/>
    <w:rsid w:val="00396DC2"/>
    <w:rsid w:val="003977A4"/>
    <w:rsid w:val="00397E52"/>
    <w:rsid w:val="003A04DB"/>
    <w:rsid w:val="003A3658"/>
    <w:rsid w:val="003A5A45"/>
    <w:rsid w:val="003A5F5B"/>
    <w:rsid w:val="003A789A"/>
    <w:rsid w:val="003A79D6"/>
    <w:rsid w:val="003B0C01"/>
    <w:rsid w:val="003B12C1"/>
    <w:rsid w:val="003B12EC"/>
    <w:rsid w:val="003B3A4A"/>
    <w:rsid w:val="003B4BDB"/>
    <w:rsid w:val="003B4F3C"/>
    <w:rsid w:val="003B6FB2"/>
    <w:rsid w:val="003C03B8"/>
    <w:rsid w:val="003C2D37"/>
    <w:rsid w:val="003C77E0"/>
    <w:rsid w:val="003D17D7"/>
    <w:rsid w:val="003D2678"/>
    <w:rsid w:val="003D27A1"/>
    <w:rsid w:val="003D3F3C"/>
    <w:rsid w:val="003D67A8"/>
    <w:rsid w:val="003D71A3"/>
    <w:rsid w:val="003E24F0"/>
    <w:rsid w:val="003E2B8A"/>
    <w:rsid w:val="003E36BF"/>
    <w:rsid w:val="003E6BB6"/>
    <w:rsid w:val="003F10EE"/>
    <w:rsid w:val="003F16BB"/>
    <w:rsid w:val="003F16F6"/>
    <w:rsid w:val="003F4158"/>
    <w:rsid w:val="003F4DC7"/>
    <w:rsid w:val="003F4F6D"/>
    <w:rsid w:val="003F5235"/>
    <w:rsid w:val="003F55AB"/>
    <w:rsid w:val="004027E4"/>
    <w:rsid w:val="00405487"/>
    <w:rsid w:val="0041071D"/>
    <w:rsid w:val="004107F2"/>
    <w:rsid w:val="00414AFC"/>
    <w:rsid w:val="004151A7"/>
    <w:rsid w:val="00415310"/>
    <w:rsid w:val="0041587B"/>
    <w:rsid w:val="0041604B"/>
    <w:rsid w:val="00417724"/>
    <w:rsid w:val="00421612"/>
    <w:rsid w:val="00421709"/>
    <w:rsid w:val="00423763"/>
    <w:rsid w:val="00424E34"/>
    <w:rsid w:val="0042762F"/>
    <w:rsid w:val="00427DC7"/>
    <w:rsid w:val="00430A4C"/>
    <w:rsid w:val="00431613"/>
    <w:rsid w:val="00431792"/>
    <w:rsid w:val="0043297A"/>
    <w:rsid w:val="00432987"/>
    <w:rsid w:val="00432EB2"/>
    <w:rsid w:val="00434D65"/>
    <w:rsid w:val="0043714F"/>
    <w:rsid w:val="004438B5"/>
    <w:rsid w:val="00447034"/>
    <w:rsid w:val="00447037"/>
    <w:rsid w:val="00447883"/>
    <w:rsid w:val="0045124D"/>
    <w:rsid w:val="00452FF6"/>
    <w:rsid w:val="00454596"/>
    <w:rsid w:val="00455480"/>
    <w:rsid w:val="0045605D"/>
    <w:rsid w:val="00456218"/>
    <w:rsid w:val="00460B69"/>
    <w:rsid w:val="0046135B"/>
    <w:rsid w:val="0046136F"/>
    <w:rsid w:val="00461D47"/>
    <w:rsid w:val="00464AC1"/>
    <w:rsid w:val="004718CC"/>
    <w:rsid w:val="00475DF0"/>
    <w:rsid w:val="0048001E"/>
    <w:rsid w:val="00481695"/>
    <w:rsid w:val="00486F2A"/>
    <w:rsid w:val="00495A96"/>
    <w:rsid w:val="00495BB3"/>
    <w:rsid w:val="00495E5F"/>
    <w:rsid w:val="004977F9"/>
    <w:rsid w:val="004A02D7"/>
    <w:rsid w:val="004A1B7A"/>
    <w:rsid w:val="004A2A5F"/>
    <w:rsid w:val="004A2CFD"/>
    <w:rsid w:val="004A56BB"/>
    <w:rsid w:val="004A70D6"/>
    <w:rsid w:val="004A7921"/>
    <w:rsid w:val="004B1751"/>
    <w:rsid w:val="004B22F4"/>
    <w:rsid w:val="004B3F2F"/>
    <w:rsid w:val="004B54A9"/>
    <w:rsid w:val="004C0253"/>
    <w:rsid w:val="004C3186"/>
    <w:rsid w:val="004C3822"/>
    <w:rsid w:val="004C5C36"/>
    <w:rsid w:val="004C684D"/>
    <w:rsid w:val="004D04CF"/>
    <w:rsid w:val="004D078E"/>
    <w:rsid w:val="004D1C75"/>
    <w:rsid w:val="004D3854"/>
    <w:rsid w:val="004D56FF"/>
    <w:rsid w:val="004D7ADF"/>
    <w:rsid w:val="004D7CAD"/>
    <w:rsid w:val="004E2697"/>
    <w:rsid w:val="004E39D3"/>
    <w:rsid w:val="004E508A"/>
    <w:rsid w:val="004E616D"/>
    <w:rsid w:val="004F1BDE"/>
    <w:rsid w:val="004F2CEE"/>
    <w:rsid w:val="004F4423"/>
    <w:rsid w:val="004F556E"/>
    <w:rsid w:val="004F591C"/>
    <w:rsid w:val="004F5C0E"/>
    <w:rsid w:val="004F5D77"/>
    <w:rsid w:val="004F689C"/>
    <w:rsid w:val="004F7F44"/>
    <w:rsid w:val="00501D34"/>
    <w:rsid w:val="005028B8"/>
    <w:rsid w:val="005037B4"/>
    <w:rsid w:val="0050632F"/>
    <w:rsid w:val="005079BF"/>
    <w:rsid w:val="005116BD"/>
    <w:rsid w:val="0051269A"/>
    <w:rsid w:val="0051344B"/>
    <w:rsid w:val="005219E7"/>
    <w:rsid w:val="00524D10"/>
    <w:rsid w:val="00525AF5"/>
    <w:rsid w:val="00526688"/>
    <w:rsid w:val="00527518"/>
    <w:rsid w:val="00527FC0"/>
    <w:rsid w:val="0053007C"/>
    <w:rsid w:val="00530F8F"/>
    <w:rsid w:val="00531B9A"/>
    <w:rsid w:val="00531D15"/>
    <w:rsid w:val="00533D97"/>
    <w:rsid w:val="005353A3"/>
    <w:rsid w:val="00536B12"/>
    <w:rsid w:val="00536DE4"/>
    <w:rsid w:val="00537604"/>
    <w:rsid w:val="00537721"/>
    <w:rsid w:val="00540234"/>
    <w:rsid w:val="00542377"/>
    <w:rsid w:val="005476EB"/>
    <w:rsid w:val="00551782"/>
    <w:rsid w:val="00551E75"/>
    <w:rsid w:val="00560826"/>
    <w:rsid w:val="00560C5D"/>
    <w:rsid w:val="00563BE3"/>
    <w:rsid w:val="00563EF1"/>
    <w:rsid w:val="00566AB4"/>
    <w:rsid w:val="005711A5"/>
    <w:rsid w:val="00573812"/>
    <w:rsid w:val="00574055"/>
    <w:rsid w:val="0057550E"/>
    <w:rsid w:val="00575AC5"/>
    <w:rsid w:val="0057605D"/>
    <w:rsid w:val="00576A6A"/>
    <w:rsid w:val="005810A1"/>
    <w:rsid w:val="00581347"/>
    <w:rsid w:val="00581AC9"/>
    <w:rsid w:val="005849F8"/>
    <w:rsid w:val="00590BC7"/>
    <w:rsid w:val="00590DC1"/>
    <w:rsid w:val="00592676"/>
    <w:rsid w:val="005935B3"/>
    <w:rsid w:val="005938DF"/>
    <w:rsid w:val="00594E9C"/>
    <w:rsid w:val="005953A6"/>
    <w:rsid w:val="005974E8"/>
    <w:rsid w:val="005A099B"/>
    <w:rsid w:val="005A1F5E"/>
    <w:rsid w:val="005A2D9C"/>
    <w:rsid w:val="005A3A3A"/>
    <w:rsid w:val="005A55FE"/>
    <w:rsid w:val="005A6A11"/>
    <w:rsid w:val="005B2F0D"/>
    <w:rsid w:val="005B3F1F"/>
    <w:rsid w:val="005B4AED"/>
    <w:rsid w:val="005B755F"/>
    <w:rsid w:val="005C0502"/>
    <w:rsid w:val="005C2B74"/>
    <w:rsid w:val="005C2C02"/>
    <w:rsid w:val="005C34EF"/>
    <w:rsid w:val="005C3896"/>
    <w:rsid w:val="005D2502"/>
    <w:rsid w:val="005D2E8E"/>
    <w:rsid w:val="005D40BB"/>
    <w:rsid w:val="005D47F3"/>
    <w:rsid w:val="005D49BF"/>
    <w:rsid w:val="005D4AA5"/>
    <w:rsid w:val="005D6F4E"/>
    <w:rsid w:val="005D75D3"/>
    <w:rsid w:val="005D7C73"/>
    <w:rsid w:val="005E11B7"/>
    <w:rsid w:val="005E250B"/>
    <w:rsid w:val="005E2923"/>
    <w:rsid w:val="005E3476"/>
    <w:rsid w:val="005E3ACD"/>
    <w:rsid w:val="005E50E2"/>
    <w:rsid w:val="005E66D9"/>
    <w:rsid w:val="005E7226"/>
    <w:rsid w:val="005E7A57"/>
    <w:rsid w:val="005F24B0"/>
    <w:rsid w:val="005F43D7"/>
    <w:rsid w:val="005F4DB6"/>
    <w:rsid w:val="005F5D54"/>
    <w:rsid w:val="005F6FDE"/>
    <w:rsid w:val="005F7E2A"/>
    <w:rsid w:val="00600B86"/>
    <w:rsid w:val="00604315"/>
    <w:rsid w:val="0060480D"/>
    <w:rsid w:val="00604E26"/>
    <w:rsid w:val="0060523F"/>
    <w:rsid w:val="006052CF"/>
    <w:rsid w:val="00606CC0"/>
    <w:rsid w:val="00607B8D"/>
    <w:rsid w:val="00610CDE"/>
    <w:rsid w:val="00611F5C"/>
    <w:rsid w:val="00616E09"/>
    <w:rsid w:val="00622A3B"/>
    <w:rsid w:val="00622EEA"/>
    <w:rsid w:val="0062396C"/>
    <w:rsid w:val="00623FF9"/>
    <w:rsid w:val="0062437D"/>
    <w:rsid w:val="00625503"/>
    <w:rsid w:val="00627D4E"/>
    <w:rsid w:val="00632B89"/>
    <w:rsid w:val="0063346D"/>
    <w:rsid w:val="0063431A"/>
    <w:rsid w:val="00634478"/>
    <w:rsid w:val="006348E2"/>
    <w:rsid w:val="00636D01"/>
    <w:rsid w:val="00640308"/>
    <w:rsid w:val="00641AB8"/>
    <w:rsid w:val="00644373"/>
    <w:rsid w:val="00645915"/>
    <w:rsid w:val="00645A76"/>
    <w:rsid w:val="00646CC4"/>
    <w:rsid w:val="006519C3"/>
    <w:rsid w:val="00652B30"/>
    <w:rsid w:val="00655A30"/>
    <w:rsid w:val="00656345"/>
    <w:rsid w:val="00656DC6"/>
    <w:rsid w:val="00660EC6"/>
    <w:rsid w:val="00662097"/>
    <w:rsid w:val="00662489"/>
    <w:rsid w:val="00664110"/>
    <w:rsid w:val="00664D17"/>
    <w:rsid w:val="00665005"/>
    <w:rsid w:val="00666520"/>
    <w:rsid w:val="00667BAE"/>
    <w:rsid w:val="00667C5B"/>
    <w:rsid w:val="0067011C"/>
    <w:rsid w:val="0067073A"/>
    <w:rsid w:val="006825DD"/>
    <w:rsid w:val="00690103"/>
    <w:rsid w:val="00691A8D"/>
    <w:rsid w:val="00691EB8"/>
    <w:rsid w:val="006924C3"/>
    <w:rsid w:val="006925CB"/>
    <w:rsid w:val="00692CDE"/>
    <w:rsid w:val="00693073"/>
    <w:rsid w:val="006969B9"/>
    <w:rsid w:val="00696EB4"/>
    <w:rsid w:val="006977FF"/>
    <w:rsid w:val="006A01FA"/>
    <w:rsid w:val="006A0E9E"/>
    <w:rsid w:val="006A25C7"/>
    <w:rsid w:val="006A3ECF"/>
    <w:rsid w:val="006A402C"/>
    <w:rsid w:val="006A4263"/>
    <w:rsid w:val="006A4AAD"/>
    <w:rsid w:val="006A4CCA"/>
    <w:rsid w:val="006A5703"/>
    <w:rsid w:val="006A6DA2"/>
    <w:rsid w:val="006A7150"/>
    <w:rsid w:val="006A7AB2"/>
    <w:rsid w:val="006B0704"/>
    <w:rsid w:val="006B0765"/>
    <w:rsid w:val="006B3210"/>
    <w:rsid w:val="006B52DE"/>
    <w:rsid w:val="006B5717"/>
    <w:rsid w:val="006B582F"/>
    <w:rsid w:val="006B5EB2"/>
    <w:rsid w:val="006B6A28"/>
    <w:rsid w:val="006B788A"/>
    <w:rsid w:val="006C098C"/>
    <w:rsid w:val="006C0CEB"/>
    <w:rsid w:val="006C1631"/>
    <w:rsid w:val="006C3B1E"/>
    <w:rsid w:val="006C47FD"/>
    <w:rsid w:val="006C5C19"/>
    <w:rsid w:val="006C5FD4"/>
    <w:rsid w:val="006C70A0"/>
    <w:rsid w:val="006D27CB"/>
    <w:rsid w:val="006D2F08"/>
    <w:rsid w:val="006D53EC"/>
    <w:rsid w:val="006D576C"/>
    <w:rsid w:val="006D5865"/>
    <w:rsid w:val="006E4B1B"/>
    <w:rsid w:val="006E5445"/>
    <w:rsid w:val="006E6CE8"/>
    <w:rsid w:val="006E7D93"/>
    <w:rsid w:val="006F20E3"/>
    <w:rsid w:val="006F39E6"/>
    <w:rsid w:val="007005EE"/>
    <w:rsid w:val="0070133D"/>
    <w:rsid w:val="0070234D"/>
    <w:rsid w:val="007029A3"/>
    <w:rsid w:val="00703353"/>
    <w:rsid w:val="0070420F"/>
    <w:rsid w:val="00706E4E"/>
    <w:rsid w:val="0070791C"/>
    <w:rsid w:val="007120D0"/>
    <w:rsid w:val="0071383C"/>
    <w:rsid w:val="00713CD3"/>
    <w:rsid w:val="007141A7"/>
    <w:rsid w:val="00715722"/>
    <w:rsid w:val="00715BAF"/>
    <w:rsid w:val="00716AE0"/>
    <w:rsid w:val="00720BDE"/>
    <w:rsid w:val="00721032"/>
    <w:rsid w:val="00721B55"/>
    <w:rsid w:val="00722FAE"/>
    <w:rsid w:val="00724940"/>
    <w:rsid w:val="0072594E"/>
    <w:rsid w:val="00726CE4"/>
    <w:rsid w:val="00727D3C"/>
    <w:rsid w:val="0073387E"/>
    <w:rsid w:val="00733EB9"/>
    <w:rsid w:val="00734143"/>
    <w:rsid w:val="00737E47"/>
    <w:rsid w:val="00740EAC"/>
    <w:rsid w:val="00742CBE"/>
    <w:rsid w:val="00744956"/>
    <w:rsid w:val="00744E0C"/>
    <w:rsid w:val="00745A5C"/>
    <w:rsid w:val="0074605F"/>
    <w:rsid w:val="00747113"/>
    <w:rsid w:val="00747E94"/>
    <w:rsid w:val="00750FB8"/>
    <w:rsid w:val="00751EF3"/>
    <w:rsid w:val="007549F5"/>
    <w:rsid w:val="00754C83"/>
    <w:rsid w:val="00756055"/>
    <w:rsid w:val="00757783"/>
    <w:rsid w:val="00757959"/>
    <w:rsid w:val="00760BD9"/>
    <w:rsid w:val="00761E5C"/>
    <w:rsid w:val="00765DF8"/>
    <w:rsid w:val="00766749"/>
    <w:rsid w:val="00767C1B"/>
    <w:rsid w:val="007700AF"/>
    <w:rsid w:val="00770B3F"/>
    <w:rsid w:val="007714A9"/>
    <w:rsid w:val="00774F88"/>
    <w:rsid w:val="00774FDB"/>
    <w:rsid w:val="007754EF"/>
    <w:rsid w:val="0077554A"/>
    <w:rsid w:val="007769D1"/>
    <w:rsid w:val="00777BA2"/>
    <w:rsid w:val="00777DCC"/>
    <w:rsid w:val="00781408"/>
    <w:rsid w:val="00784F7F"/>
    <w:rsid w:val="00785601"/>
    <w:rsid w:val="00786BCE"/>
    <w:rsid w:val="007878BD"/>
    <w:rsid w:val="00793436"/>
    <w:rsid w:val="007936AF"/>
    <w:rsid w:val="0079465C"/>
    <w:rsid w:val="00795042"/>
    <w:rsid w:val="00796F25"/>
    <w:rsid w:val="007A2E98"/>
    <w:rsid w:val="007A3BA3"/>
    <w:rsid w:val="007A6CC0"/>
    <w:rsid w:val="007A7FEC"/>
    <w:rsid w:val="007B1442"/>
    <w:rsid w:val="007B1499"/>
    <w:rsid w:val="007B1BBF"/>
    <w:rsid w:val="007B2960"/>
    <w:rsid w:val="007B355D"/>
    <w:rsid w:val="007B7980"/>
    <w:rsid w:val="007B7FDF"/>
    <w:rsid w:val="007C0DEF"/>
    <w:rsid w:val="007C1EFD"/>
    <w:rsid w:val="007C2CED"/>
    <w:rsid w:val="007C472F"/>
    <w:rsid w:val="007C5D5A"/>
    <w:rsid w:val="007C607F"/>
    <w:rsid w:val="007C79DD"/>
    <w:rsid w:val="007D1A97"/>
    <w:rsid w:val="007D1D6A"/>
    <w:rsid w:val="007D2CD6"/>
    <w:rsid w:val="007D3063"/>
    <w:rsid w:val="007D3C3B"/>
    <w:rsid w:val="007D3CEB"/>
    <w:rsid w:val="007E0A89"/>
    <w:rsid w:val="007E2E17"/>
    <w:rsid w:val="007E6722"/>
    <w:rsid w:val="007E7683"/>
    <w:rsid w:val="007F3BE0"/>
    <w:rsid w:val="007F49FA"/>
    <w:rsid w:val="007F5124"/>
    <w:rsid w:val="007F54C4"/>
    <w:rsid w:val="007F6E9A"/>
    <w:rsid w:val="007F736D"/>
    <w:rsid w:val="00800CCD"/>
    <w:rsid w:val="00801FEB"/>
    <w:rsid w:val="00803711"/>
    <w:rsid w:val="008044D4"/>
    <w:rsid w:val="0080586E"/>
    <w:rsid w:val="00806A8C"/>
    <w:rsid w:val="00807890"/>
    <w:rsid w:val="00810AB4"/>
    <w:rsid w:val="00813005"/>
    <w:rsid w:val="00817B56"/>
    <w:rsid w:val="00817B9B"/>
    <w:rsid w:val="00817F7B"/>
    <w:rsid w:val="00821A88"/>
    <w:rsid w:val="0082251A"/>
    <w:rsid w:val="0082322E"/>
    <w:rsid w:val="008232AD"/>
    <w:rsid w:val="0082495D"/>
    <w:rsid w:val="00826E71"/>
    <w:rsid w:val="00830409"/>
    <w:rsid w:val="00830B57"/>
    <w:rsid w:val="00831AC3"/>
    <w:rsid w:val="00832A61"/>
    <w:rsid w:val="00834717"/>
    <w:rsid w:val="008364F3"/>
    <w:rsid w:val="00836762"/>
    <w:rsid w:val="00836FCE"/>
    <w:rsid w:val="00837F43"/>
    <w:rsid w:val="008408FF"/>
    <w:rsid w:val="00844FE7"/>
    <w:rsid w:val="008451F7"/>
    <w:rsid w:val="00845957"/>
    <w:rsid w:val="008465B8"/>
    <w:rsid w:val="008468DC"/>
    <w:rsid w:val="00847FDC"/>
    <w:rsid w:val="00851BEE"/>
    <w:rsid w:val="00851F3F"/>
    <w:rsid w:val="00851FE7"/>
    <w:rsid w:val="00853E98"/>
    <w:rsid w:val="00854A40"/>
    <w:rsid w:val="00854D37"/>
    <w:rsid w:val="00856EDC"/>
    <w:rsid w:val="00857937"/>
    <w:rsid w:val="008623B5"/>
    <w:rsid w:val="0086702E"/>
    <w:rsid w:val="00870861"/>
    <w:rsid w:val="0087094D"/>
    <w:rsid w:val="00870ABA"/>
    <w:rsid w:val="008710E1"/>
    <w:rsid w:val="00871249"/>
    <w:rsid w:val="008716E5"/>
    <w:rsid w:val="00873AA3"/>
    <w:rsid w:val="00873AA6"/>
    <w:rsid w:val="00874A24"/>
    <w:rsid w:val="00877386"/>
    <w:rsid w:val="00881651"/>
    <w:rsid w:val="00881CA9"/>
    <w:rsid w:val="00883628"/>
    <w:rsid w:val="00885544"/>
    <w:rsid w:val="0088634E"/>
    <w:rsid w:val="00886828"/>
    <w:rsid w:val="00887FCD"/>
    <w:rsid w:val="00891306"/>
    <w:rsid w:val="008919E5"/>
    <w:rsid w:val="008926D5"/>
    <w:rsid w:val="00892B4A"/>
    <w:rsid w:val="00892EA0"/>
    <w:rsid w:val="00893AB8"/>
    <w:rsid w:val="008978DE"/>
    <w:rsid w:val="008A04C8"/>
    <w:rsid w:val="008A4066"/>
    <w:rsid w:val="008A6913"/>
    <w:rsid w:val="008B09B8"/>
    <w:rsid w:val="008B3A90"/>
    <w:rsid w:val="008B56E5"/>
    <w:rsid w:val="008B70F3"/>
    <w:rsid w:val="008B71C4"/>
    <w:rsid w:val="008B76DF"/>
    <w:rsid w:val="008B7A6B"/>
    <w:rsid w:val="008C10F4"/>
    <w:rsid w:val="008C1C76"/>
    <w:rsid w:val="008C3B3F"/>
    <w:rsid w:val="008C3E4D"/>
    <w:rsid w:val="008C5DD2"/>
    <w:rsid w:val="008C65F7"/>
    <w:rsid w:val="008C6AED"/>
    <w:rsid w:val="008D0DCF"/>
    <w:rsid w:val="008D1A60"/>
    <w:rsid w:val="008D3C2C"/>
    <w:rsid w:val="008D4028"/>
    <w:rsid w:val="008E0191"/>
    <w:rsid w:val="008E0428"/>
    <w:rsid w:val="008E4767"/>
    <w:rsid w:val="008E7A8C"/>
    <w:rsid w:val="008F153A"/>
    <w:rsid w:val="008F3BAC"/>
    <w:rsid w:val="008F4784"/>
    <w:rsid w:val="008F534B"/>
    <w:rsid w:val="008F5AC0"/>
    <w:rsid w:val="0090203B"/>
    <w:rsid w:val="00903285"/>
    <w:rsid w:val="0090495F"/>
    <w:rsid w:val="009052F2"/>
    <w:rsid w:val="0090608E"/>
    <w:rsid w:val="0090696E"/>
    <w:rsid w:val="00906E50"/>
    <w:rsid w:val="00906F40"/>
    <w:rsid w:val="009070D4"/>
    <w:rsid w:val="0090731E"/>
    <w:rsid w:val="009134F1"/>
    <w:rsid w:val="00915B1C"/>
    <w:rsid w:val="009174F3"/>
    <w:rsid w:val="00917778"/>
    <w:rsid w:val="0091797D"/>
    <w:rsid w:val="009202C7"/>
    <w:rsid w:val="00921B7E"/>
    <w:rsid w:val="00923CBA"/>
    <w:rsid w:val="00925D1B"/>
    <w:rsid w:val="00926703"/>
    <w:rsid w:val="009271E3"/>
    <w:rsid w:val="00927691"/>
    <w:rsid w:val="00927A5F"/>
    <w:rsid w:val="00930510"/>
    <w:rsid w:val="009317CD"/>
    <w:rsid w:val="00935B63"/>
    <w:rsid w:val="00936038"/>
    <w:rsid w:val="00936E95"/>
    <w:rsid w:val="00940778"/>
    <w:rsid w:val="0094078F"/>
    <w:rsid w:val="00940FA3"/>
    <w:rsid w:val="00941FB0"/>
    <w:rsid w:val="009426D4"/>
    <w:rsid w:val="00942A6E"/>
    <w:rsid w:val="00943B04"/>
    <w:rsid w:val="00943B95"/>
    <w:rsid w:val="00943C6C"/>
    <w:rsid w:val="009452B5"/>
    <w:rsid w:val="00947F25"/>
    <w:rsid w:val="00950159"/>
    <w:rsid w:val="00953EAB"/>
    <w:rsid w:val="0095490B"/>
    <w:rsid w:val="009560E2"/>
    <w:rsid w:val="00960A33"/>
    <w:rsid w:val="009610D0"/>
    <w:rsid w:val="0096213D"/>
    <w:rsid w:val="009641A9"/>
    <w:rsid w:val="0096673E"/>
    <w:rsid w:val="00967586"/>
    <w:rsid w:val="00967F81"/>
    <w:rsid w:val="00970F44"/>
    <w:rsid w:val="00971914"/>
    <w:rsid w:val="00974363"/>
    <w:rsid w:val="00981898"/>
    <w:rsid w:val="009846D4"/>
    <w:rsid w:val="0098774C"/>
    <w:rsid w:val="0099129F"/>
    <w:rsid w:val="00991B8B"/>
    <w:rsid w:val="0099577C"/>
    <w:rsid w:val="0099669E"/>
    <w:rsid w:val="009A021C"/>
    <w:rsid w:val="009A25CC"/>
    <w:rsid w:val="009A6A8C"/>
    <w:rsid w:val="009A7C9A"/>
    <w:rsid w:val="009B24A5"/>
    <w:rsid w:val="009B2601"/>
    <w:rsid w:val="009B4E9E"/>
    <w:rsid w:val="009B5682"/>
    <w:rsid w:val="009C106C"/>
    <w:rsid w:val="009C1690"/>
    <w:rsid w:val="009C3E21"/>
    <w:rsid w:val="009C442A"/>
    <w:rsid w:val="009C6881"/>
    <w:rsid w:val="009C7759"/>
    <w:rsid w:val="009C79DC"/>
    <w:rsid w:val="009D043D"/>
    <w:rsid w:val="009D06BE"/>
    <w:rsid w:val="009D07C8"/>
    <w:rsid w:val="009D4C85"/>
    <w:rsid w:val="009D5F78"/>
    <w:rsid w:val="009D6C71"/>
    <w:rsid w:val="009E0631"/>
    <w:rsid w:val="009E16D0"/>
    <w:rsid w:val="009E2051"/>
    <w:rsid w:val="009E38FD"/>
    <w:rsid w:val="009E57C4"/>
    <w:rsid w:val="009E7BB0"/>
    <w:rsid w:val="009F0A0C"/>
    <w:rsid w:val="009F13D6"/>
    <w:rsid w:val="009F35A2"/>
    <w:rsid w:val="009F4C6B"/>
    <w:rsid w:val="009F78A8"/>
    <w:rsid w:val="00A017E0"/>
    <w:rsid w:val="00A02AD6"/>
    <w:rsid w:val="00A034E3"/>
    <w:rsid w:val="00A05F17"/>
    <w:rsid w:val="00A07096"/>
    <w:rsid w:val="00A07318"/>
    <w:rsid w:val="00A11362"/>
    <w:rsid w:val="00A11370"/>
    <w:rsid w:val="00A1509C"/>
    <w:rsid w:val="00A16123"/>
    <w:rsid w:val="00A21D0E"/>
    <w:rsid w:val="00A224CE"/>
    <w:rsid w:val="00A22522"/>
    <w:rsid w:val="00A2361B"/>
    <w:rsid w:val="00A23F47"/>
    <w:rsid w:val="00A24AFD"/>
    <w:rsid w:val="00A24F5C"/>
    <w:rsid w:val="00A32F96"/>
    <w:rsid w:val="00A35E7D"/>
    <w:rsid w:val="00A37324"/>
    <w:rsid w:val="00A40871"/>
    <w:rsid w:val="00A412AB"/>
    <w:rsid w:val="00A4137F"/>
    <w:rsid w:val="00A4193E"/>
    <w:rsid w:val="00A41A16"/>
    <w:rsid w:val="00A440E0"/>
    <w:rsid w:val="00A442EF"/>
    <w:rsid w:val="00A447A8"/>
    <w:rsid w:val="00A47FA9"/>
    <w:rsid w:val="00A51D1A"/>
    <w:rsid w:val="00A529EB"/>
    <w:rsid w:val="00A5418D"/>
    <w:rsid w:val="00A5474E"/>
    <w:rsid w:val="00A6066E"/>
    <w:rsid w:val="00A632EC"/>
    <w:rsid w:val="00A64234"/>
    <w:rsid w:val="00A6661A"/>
    <w:rsid w:val="00A70ADF"/>
    <w:rsid w:val="00A71466"/>
    <w:rsid w:val="00A7183C"/>
    <w:rsid w:val="00A72E4C"/>
    <w:rsid w:val="00A72EBC"/>
    <w:rsid w:val="00A731E4"/>
    <w:rsid w:val="00A74B5E"/>
    <w:rsid w:val="00A81BED"/>
    <w:rsid w:val="00A81EC4"/>
    <w:rsid w:val="00A824E8"/>
    <w:rsid w:val="00A82661"/>
    <w:rsid w:val="00A9240B"/>
    <w:rsid w:val="00A967FD"/>
    <w:rsid w:val="00A96A3F"/>
    <w:rsid w:val="00AA022F"/>
    <w:rsid w:val="00AA2660"/>
    <w:rsid w:val="00AA2DE5"/>
    <w:rsid w:val="00AA663B"/>
    <w:rsid w:val="00AA7DC3"/>
    <w:rsid w:val="00AB156C"/>
    <w:rsid w:val="00AB48C8"/>
    <w:rsid w:val="00AB6814"/>
    <w:rsid w:val="00AB6C9E"/>
    <w:rsid w:val="00AC04BA"/>
    <w:rsid w:val="00AC0E39"/>
    <w:rsid w:val="00AC14E6"/>
    <w:rsid w:val="00AC3962"/>
    <w:rsid w:val="00AC56A0"/>
    <w:rsid w:val="00AC6F48"/>
    <w:rsid w:val="00AD0AF4"/>
    <w:rsid w:val="00AD18F2"/>
    <w:rsid w:val="00AD3082"/>
    <w:rsid w:val="00AD32B4"/>
    <w:rsid w:val="00AD3D28"/>
    <w:rsid w:val="00AD4AD0"/>
    <w:rsid w:val="00AD5436"/>
    <w:rsid w:val="00AD60CD"/>
    <w:rsid w:val="00AD6C8C"/>
    <w:rsid w:val="00AD6D8D"/>
    <w:rsid w:val="00AE091D"/>
    <w:rsid w:val="00AE359A"/>
    <w:rsid w:val="00AE3B60"/>
    <w:rsid w:val="00AE53A1"/>
    <w:rsid w:val="00AE64C5"/>
    <w:rsid w:val="00AF18A6"/>
    <w:rsid w:val="00AF2484"/>
    <w:rsid w:val="00AF4153"/>
    <w:rsid w:val="00AF63E7"/>
    <w:rsid w:val="00AF6E17"/>
    <w:rsid w:val="00B0165D"/>
    <w:rsid w:val="00B01B60"/>
    <w:rsid w:val="00B02755"/>
    <w:rsid w:val="00B031F3"/>
    <w:rsid w:val="00B03268"/>
    <w:rsid w:val="00B052A4"/>
    <w:rsid w:val="00B125DE"/>
    <w:rsid w:val="00B13FDD"/>
    <w:rsid w:val="00B20419"/>
    <w:rsid w:val="00B22EB2"/>
    <w:rsid w:val="00B234CB"/>
    <w:rsid w:val="00B27442"/>
    <w:rsid w:val="00B308C1"/>
    <w:rsid w:val="00B31167"/>
    <w:rsid w:val="00B329D8"/>
    <w:rsid w:val="00B32BB9"/>
    <w:rsid w:val="00B33AE1"/>
    <w:rsid w:val="00B37C38"/>
    <w:rsid w:val="00B4288C"/>
    <w:rsid w:val="00B43262"/>
    <w:rsid w:val="00B44100"/>
    <w:rsid w:val="00B4552B"/>
    <w:rsid w:val="00B45BF2"/>
    <w:rsid w:val="00B46CBA"/>
    <w:rsid w:val="00B46F94"/>
    <w:rsid w:val="00B52FC7"/>
    <w:rsid w:val="00B54A5D"/>
    <w:rsid w:val="00B5796A"/>
    <w:rsid w:val="00B6003C"/>
    <w:rsid w:val="00B61F03"/>
    <w:rsid w:val="00B626E4"/>
    <w:rsid w:val="00B62CF2"/>
    <w:rsid w:val="00B650E0"/>
    <w:rsid w:val="00B7050E"/>
    <w:rsid w:val="00B72F4A"/>
    <w:rsid w:val="00B73139"/>
    <w:rsid w:val="00B75CA3"/>
    <w:rsid w:val="00B803D6"/>
    <w:rsid w:val="00B83C27"/>
    <w:rsid w:val="00B84BC3"/>
    <w:rsid w:val="00B84BDD"/>
    <w:rsid w:val="00B91BC9"/>
    <w:rsid w:val="00B92812"/>
    <w:rsid w:val="00BA11D7"/>
    <w:rsid w:val="00BA3506"/>
    <w:rsid w:val="00BA4E19"/>
    <w:rsid w:val="00BB0497"/>
    <w:rsid w:val="00BB45A1"/>
    <w:rsid w:val="00BB6335"/>
    <w:rsid w:val="00BB7686"/>
    <w:rsid w:val="00BB7802"/>
    <w:rsid w:val="00BC1D77"/>
    <w:rsid w:val="00BC23F9"/>
    <w:rsid w:val="00BC3421"/>
    <w:rsid w:val="00BC732C"/>
    <w:rsid w:val="00BD0BAE"/>
    <w:rsid w:val="00BD24AA"/>
    <w:rsid w:val="00BD432B"/>
    <w:rsid w:val="00BD4421"/>
    <w:rsid w:val="00BD7A6D"/>
    <w:rsid w:val="00BD7D36"/>
    <w:rsid w:val="00BE2580"/>
    <w:rsid w:val="00BE266D"/>
    <w:rsid w:val="00BE2A23"/>
    <w:rsid w:val="00BE3938"/>
    <w:rsid w:val="00BE4C11"/>
    <w:rsid w:val="00BE71C0"/>
    <w:rsid w:val="00BF06E1"/>
    <w:rsid w:val="00BF3081"/>
    <w:rsid w:val="00BF583A"/>
    <w:rsid w:val="00BF610C"/>
    <w:rsid w:val="00C0060B"/>
    <w:rsid w:val="00C01A6C"/>
    <w:rsid w:val="00C02084"/>
    <w:rsid w:val="00C0277D"/>
    <w:rsid w:val="00C02F26"/>
    <w:rsid w:val="00C05398"/>
    <w:rsid w:val="00C053A1"/>
    <w:rsid w:val="00C10A8B"/>
    <w:rsid w:val="00C16198"/>
    <w:rsid w:val="00C201B7"/>
    <w:rsid w:val="00C2083D"/>
    <w:rsid w:val="00C24A53"/>
    <w:rsid w:val="00C257A5"/>
    <w:rsid w:val="00C2617B"/>
    <w:rsid w:val="00C27004"/>
    <w:rsid w:val="00C273AF"/>
    <w:rsid w:val="00C323D7"/>
    <w:rsid w:val="00C3251A"/>
    <w:rsid w:val="00C34A05"/>
    <w:rsid w:val="00C35CCE"/>
    <w:rsid w:val="00C36393"/>
    <w:rsid w:val="00C364D4"/>
    <w:rsid w:val="00C37146"/>
    <w:rsid w:val="00C374C6"/>
    <w:rsid w:val="00C4032F"/>
    <w:rsid w:val="00C41F21"/>
    <w:rsid w:val="00C420A3"/>
    <w:rsid w:val="00C44047"/>
    <w:rsid w:val="00C443E2"/>
    <w:rsid w:val="00C44473"/>
    <w:rsid w:val="00C45155"/>
    <w:rsid w:val="00C45D50"/>
    <w:rsid w:val="00C50064"/>
    <w:rsid w:val="00C50F41"/>
    <w:rsid w:val="00C51636"/>
    <w:rsid w:val="00C53E97"/>
    <w:rsid w:val="00C54846"/>
    <w:rsid w:val="00C5498F"/>
    <w:rsid w:val="00C54ED1"/>
    <w:rsid w:val="00C55235"/>
    <w:rsid w:val="00C55F51"/>
    <w:rsid w:val="00C57091"/>
    <w:rsid w:val="00C60C8B"/>
    <w:rsid w:val="00C61A02"/>
    <w:rsid w:val="00C627BB"/>
    <w:rsid w:val="00C64AD7"/>
    <w:rsid w:val="00C64CD0"/>
    <w:rsid w:val="00C65F61"/>
    <w:rsid w:val="00C6623C"/>
    <w:rsid w:val="00C6638E"/>
    <w:rsid w:val="00C6684F"/>
    <w:rsid w:val="00C67B28"/>
    <w:rsid w:val="00C67E6A"/>
    <w:rsid w:val="00C70E70"/>
    <w:rsid w:val="00C71E4C"/>
    <w:rsid w:val="00C72433"/>
    <w:rsid w:val="00C75F8D"/>
    <w:rsid w:val="00C77380"/>
    <w:rsid w:val="00C80BFD"/>
    <w:rsid w:val="00C824D7"/>
    <w:rsid w:val="00C83E2F"/>
    <w:rsid w:val="00C84F5E"/>
    <w:rsid w:val="00C8617C"/>
    <w:rsid w:val="00C87E8A"/>
    <w:rsid w:val="00C90564"/>
    <w:rsid w:val="00C913D6"/>
    <w:rsid w:val="00C926FD"/>
    <w:rsid w:val="00C9452C"/>
    <w:rsid w:val="00C94B50"/>
    <w:rsid w:val="00C94D63"/>
    <w:rsid w:val="00C9654C"/>
    <w:rsid w:val="00C96BB4"/>
    <w:rsid w:val="00C97736"/>
    <w:rsid w:val="00CA345A"/>
    <w:rsid w:val="00CA5E12"/>
    <w:rsid w:val="00CB00DE"/>
    <w:rsid w:val="00CB1E82"/>
    <w:rsid w:val="00CB2D7D"/>
    <w:rsid w:val="00CB481C"/>
    <w:rsid w:val="00CB4BA8"/>
    <w:rsid w:val="00CB52D7"/>
    <w:rsid w:val="00CC079B"/>
    <w:rsid w:val="00CC15C5"/>
    <w:rsid w:val="00CC5CE9"/>
    <w:rsid w:val="00CC6732"/>
    <w:rsid w:val="00CC7383"/>
    <w:rsid w:val="00CD520B"/>
    <w:rsid w:val="00CD6ACF"/>
    <w:rsid w:val="00CD6C7B"/>
    <w:rsid w:val="00CE0303"/>
    <w:rsid w:val="00CE2560"/>
    <w:rsid w:val="00CE3C96"/>
    <w:rsid w:val="00CE415D"/>
    <w:rsid w:val="00CE51A8"/>
    <w:rsid w:val="00CE5F92"/>
    <w:rsid w:val="00CF0A45"/>
    <w:rsid w:val="00CF0BFE"/>
    <w:rsid w:val="00CF2035"/>
    <w:rsid w:val="00CF2802"/>
    <w:rsid w:val="00CF369B"/>
    <w:rsid w:val="00CF5AD5"/>
    <w:rsid w:val="00D00E28"/>
    <w:rsid w:val="00D0269E"/>
    <w:rsid w:val="00D05D6C"/>
    <w:rsid w:val="00D07ABC"/>
    <w:rsid w:val="00D11CB8"/>
    <w:rsid w:val="00D13E37"/>
    <w:rsid w:val="00D15810"/>
    <w:rsid w:val="00D15C3C"/>
    <w:rsid w:val="00D16D4E"/>
    <w:rsid w:val="00D16FE3"/>
    <w:rsid w:val="00D17052"/>
    <w:rsid w:val="00D22045"/>
    <w:rsid w:val="00D27F41"/>
    <w:rsid w:val="00D31014"/>
    <w:rsid w:val="00D34258"/>
    <w:rsid w:val="00D35F8B"/>
    <w:rsid w:val="00D36441"/>
    <w:rsid w:val="00D4064E"/>
    <w:rsid w:val="00D406D4"/>
    <w:rsid w:val="00D43B47"/>
    <w:rsid w:val="00D44E9B"/>
    <w:rsid w:val="00D4625D"/>
    <w:rsid w:val="00D46CAB"/>
    <w:rsid w:val="00D4759E"/>
    <w:rsid w:val="00D47AEB"/>
    <w:rsid w:val="00D50DB9"/>
    <w:rsid w:val="00D51302"/>
    <w:rsid w:val="00D52C43"/>
    <w:rsid w:val="00D54A08"/>
    <w:rsid w:val="00D55BDC"/>
    <w:rsid w:val="00D5613B"/>
    <w:rsid w:val="00D5700E"/>
    <w:rsid w:val="00D57ED7"/>
    <w:rsid w:val="00D60852"/>
    <w:rsid w:val="00D61243"/>
    <w:rsid w:val="00D62D8F"/>
    <w:rsid w:val="00D6507F"/>
    <w:rsid w:val="00D65FDC"/>
    <w:rsid w:val="00D66D20"/>
    <w:rsid w:val="00D710F7"/>
    <w:rsid w:val="00D713E2"/>
    <w:rsid w:val="00D730BC"/>
    <w:rsid w:val="00D73912"/>
    <w:rsid w:val="00D76C16"/>
    <w:rsid w:val="00D770D8"/>
    <w:rsid w:val="00D77E99"/>
    <w:rsid w:val="00D82189"/>
    <w:rsid w:val="00D85226"/>
    <w:rsid w:val="00D87B94"/>
    <w:rsid w:val="00D92D49"/>
    <w:rsid w:val="00D92EC1"/>
    <w:rsid w:val="00D93CFB"/>
    <w:rsid w:val="00D94318"/>
    <w:rsid w:val="00D94CB9"/>
    <w:rsid w:val="00D96042"/>
    <w:rsid w:val="00D9649C"/>
    <w:rsid w:val="00D96DEA"/>
    <w:rsid w:val="00DA0F7F"/>
    <w:rsid w:val="00DA45AD"/>
    <w:rsid w:val="00DA4E41"/>
    <w:rsid w:val="00DB10C8"/>
    <w:rsid w:val="00DB117A"/>
    <w:rsid w:val="00DB5173"/>
    <w:rsid w:val="00DB7873"/>
    <w:rsid w:val="00DC187B"/>
    <w:rsid w:val="00DC1F7C"/>
    <w:rsid w:val="00DC64EE"/>
    <w:rsid w:val="00DC7C5C"/>
    <w:rsid w:val="00DD007E"/>
    <w:rsid w:val="00DD1A43"/>
    <w:rsid w:val="00DD347E"/>
    <w:rsid w:val="00DD73C2"/>
    <w:rsid w:val="00DE033C"/>
    <w:rsid w:val="00DE319B"/>
    <w:rsid w:val="00DE44FA"/>
    <w:rsid w:val="00DE790C"/>
    <w:rsid w:val="00DF0198"/>
    <w:rsid w:val="00DF21A6"/>
    <w:rsid w:val="00DF2ECA"/>
    <w:rsid w:val="00DF32A2"/>
    <w:rsid w:val="00DF34FE"/>
    <w:rsid w:val="00DF56AA"/>
    <w:rsid w:val="00DF56AF"/>
    <w:rsid w:val="00DF5BAF"/>
    <w:rsid w:val="00DF78E7"/>
    <w:rsid w:val="00E007CF"/>
    <w:rsid w:val="00E01008"/>
    <w:rsid w:val="00E06018"/>
    <w:rsid w:val="00E110E0"/>
    <w:rsid w:val="00E12F89"/>
    <w:rsid w:val="00E131B3"/>
    <w:rsid w:val="00E15371"/>
    <w:rsid w:val="00E17A34"/>
    <w:rsid w:val="00E21056"/>
    <w:rsid w:val="00E24104"/>
    <w:rsid w:val="00E25F4E"/>
    <w:rsid w:val="00E302D0"/>
    <w:rsid w:val="00E35366"/>
    <w:rsid w:val="00E35707"/>
    <w:rsid w:val="00E357B4"/>
    <w:rsid w:val="00E36AA1"/>
    <w:rsid w:val="00E40FC9"/>
    <w:rsid w:val="00E41ECB"/>
    <w:rsid w:val="00E42676"/>
    <w:rsid w:val="00E52884"/>
    <w:rsid w:val="00E54FDB"/>
    <w:rsid w:val="00E555CF"/>
    <w:rsid w:val="00E5617D"/>
    <w:rsid w:val="00E563D7"/>
    <w:rsid w:val="00E65605"/>
    <w:rsid w:val="00E663F4"/>
    <w:rsid w:val="00E666F2"/>
    <w:rsid w:val="00E66DD4"/>
    <w:rsid w:val="00E70A52"/>
    <w:rsid w:val="00E71872"/>
    <w:rsid w:val="00E71897"/>
    <w:rsid w:val="00E748CC"/>
    <w:rsid w:val="00E74F15"/>
    <w:rsid w:val="00E75415"/>
    <w:rsid w:val="00E775B1"/>
    <w:rsid w:val="00E807DA"/>
    <w:rsid w:val="00E810A7"/>
    <w:rsid w:val="00E8152A"/>
    <w:rsid w:val="00E83405"/>
    <w:rsid w:val="00E857EE"/>
    <w:rsid w:val="00E90FCF"/>
    <w:rsid w:val="00E925BA"/>
    <w:rsid w:val="00E93629"/>
    <w:rsid w:val="00E93B5C"/>
    <w:rsid w:val="00E94CEC"/>
    <w:rsid w:val="00E95DD8"/>
    <w:rsid w:val="00E97BF9"/>
    <w:rsid w:val="00E97D51"/>
    <w:rsid w:val="00EA04EF"/>
    <w:rsid w:val="00EA0969"/>
    <w:rsid w:val="00EA1A99"/>
    <w:rsid w:val="00EA6C79"/>
    <w:rsid w:val="00EA6F19"/>
    <w:rsid w:val="00EB0901"/>
    <w:rsid w:val="00EB39D5"/>
    <w:rsid w:val="00EB47ED"/>
    <w:rsid w:val="00EB7090"/>
    <w:rsid w:val="00EC1BBE"/>
    <w:rsid w:val="00EC2A48"/>
    <w:rsid w:val="00EC2B68"/>
    <w:rsid w:val="00EC3AEF"/>
    <w:rsid w:val="00EC3F18"/>
    <w:rsid w:val="00EC4E7A"/>
    <w:rsid w:val="00EC5CD7"/>
    <w:rsid w:val="00EC7047"/>
    <w:rsid w:val="00EC73CB"/>
    <w:rsid w:val="00EC7EC0"/>
    <w:rsid w:val="00ED0C8E"/>
    <w:rsid w:val="00ED1076"/>
    <w:rsid w:val="00ED3225"/>
    <w:rsid w:val="00ED584B"/>
    <w:rsid w:val="00ED58CB"/>
    <w:rsid w:val="00EE1031"/>
    <w:rsid w:val="00EE1AB5"/>
    <w:rsid w:val="00EE5FB3"/>
    <w:rsid w:val="00EE7474"/>
    <w:rsid w:val="00EE7F79"/>
    <w:rsid w:val="00EF0B49"/>
    <w:rsid w:val="00EF715A"/>
    <w:rsid w:val="00F00637"/>
    <w:rsid w:val="00F00685"/>
    <w:rsid w:val="00F0486F"/>
    <w:rsid w:val="00F05187"/>
    <w:rsid w:val="00F065F2"/>
    <w:rsid w:val="00F06E14"/>
    <w:rsid w:val="00F13690"/>
    <w:rsid w:val="00F14244"/>
    <w:rsid w:val="00F16078"/>
    <w:rsid w:val="00F179D4"/>
    <w:rsid w:val="00F20308"/>
    <w:rsid w:val="00F2032A"/>
    <w:rsid w:val="00F22A23"/>
    <w:rsid w:val="00F22F5C"/>
    <w:rsid w:val="00F23441"/>
    <w:rsid w:val="00F328F1"/>
    <w:rsid w:val="00F33C56"/>
    <w:rsid w:val="00F34760"/>
    <w:rsid w:val="00F347C7"/>
    <w:rsid w:val="00F34848"/>
    <w:rsid w:val="00F361D7"/>
    <w:rsid w:val="00F37FB5"/>
    <w:rsid w:val="00F42D46"/>
    <w:rsid w:val="00F43776"/>
    <w:rsid w:val="00F4496C"/>
    <w:rsid w:val="00F44BE3"/>
    <w:rsid w:val="00F44F3A"/>
    <w:rsid w:val="00F456D7"/>
    <w:rsid w:val="00F51F10"/>
    <w:rsid w:val="00F529A5"/>
    <w:rsid w:val="00F5310D"/>
    <w:rsid w:val="00F5436E"/>
    <w:rsid w:val="00F60F00"/>
    <w:rsid w:val="00F614C0"/>
    <w:rsid w:val="00F67B7A"/>
    <w:rsid w:val="00F70708"/>
    <w:rsid w:val="00F70EF1"/>
    <w:rsid w:val="00F72FE8"/>
    <w:rsid w:val="00F77BD0"/>
    <w:rsid w:val="00F805EC"/>
    <w:rsid w:val="00F81144"/>
    <w:rsid w:val="00F81E80"/>
    <w:rsid w:val="00F82ACE"/>
    <w:rsid w:val="00F83848"/>
    <w:rsid w:val="00F8473C"/>
    <w:rsid w:val="00F86E28"/>
    <w:rsid w:val="00F9104C"/>
    <w:rsid w:val="00F9422A"/>
    <w:rsid w:val="00F95913"/>
    <w:rsid w:val="00F96EF0"/>
    <w:rsid w:val="00F975E9"/>
    <w:rsid w:val="00FA1B7D"/>
    <w:rsid w:val="00FA2F10"/>
    <w:rsid w:val="00FA68B9"/>
    <w:rsid w:val="00FB0292"/>
    <w:rsid w:val="00FB0DB9"/>
    <w:rsid w:val="00FB2B6E"/>
    <w:rsid w:val="00FB2F62"/>
    <w:rsid w:val="00FB4885"/>
    <w:rsid w:val="00FB7D8C"/>
    <w:rsid w:val="00FC07B9"/>
    <w:rsid w:val="00FC4E21"/>
    <w:rsid w:val="00FC4F46"/>
    <w:rsid w:val="00FC5F6D"/>
    <w:rsid w:val="00FC5FEC"/>
    <w:rsid w:val="00FC633C"/>
    <w:rsid w:val="00FC7B67"/>
    <w:rsid w:val="00FC7CF6"/>
    <w:rsid w:val="00FD0107"/>
    <w:rsid w:val="00FD2C2F"/>
    <w:rsid w:val="00FD3B31"/>
    <w:rsid w:val="00FD53B9"/>
    <w:rsid w:val="00FD6E44"/>
    <w:rsid w:val="00FE1823"/>
    <w:rsid w:val="00FE487A"/>
    <w:rsid w:val="00FF0569"/>
    <w:rsid w:val="00FF0F98"/>
    <w:rsid w:val="00FF206E"/>
    <w:rsid w:val="00FF221C"/>
    <w:rsid w:val="00FF3C69"/>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red,#4d4d4f"/>
    </o:shapedefaults>
    <o:shapelayout v:ext="edit">
      <o:idmap v:ext="edit" data="1"/>
    </o:shapelayout>
  </w:shapeDefaults>
  <w:decimalSymbol w:val="."/>
  <w:listSeparator w:val=","/>
  <w14:docId w14:val="697C41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heading 1" w:qFormat="1"/>
    <w:lsdException w:name="heading 2" w:uiPriority="1" w:qFormat="1"/>
    <w:lsdException w:name="heading 3" w:qFormat="1"/>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Strong" w:semiHidden="1"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qFormat="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390D91"/>
    <w:pPr>
      <w:spacing w:after="240" w:line="240" w:lineRule="atLeast"/>
    </w:pPr>
    <w:rPr>
      <w:rFonts w:ascii="Arial" w:hAnsi="Arial"/>
      <w:sz w:val="20"/>
    </w:rPr>
  </w:style>
  <w:style w:type="paragraph" w:styleId="Heading1">
    <w:name w:val="heading 1"/>
    <w:basedOn w:val="Normal"/>
    <w:next w:val="Normal"/>
    <w:link w:val="Heading1Char"/>
    <w:uiPriority w:val="1"/>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Paragraph"/>
    <w:link w:val="Heading2Char"/>
    <w:uiPriority w:val="1"/>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uiPriority w:val="2"/>
    <w:qFormat/>
    <w:rsid w:val="00C55235"/>
    <w:pPr>
      <w:keepNext/>
      <w:spacing w:before="60" w:after="60"/>
      <w:outlineLvl w:val="2"/>
    </w:pPr>
    <w:rPr>
      <w:rFonts w:cs="Arial"/>
      <w:b/>
      <w:bCs/>
      <w:szCs w:val="26"/>
    </w:rPr>
  </w:style>
  <w:style w:type="paragraph" w:styleId="Heading4">
    <w:name w:val="heading 4"/>
    <w:basedOn w:val="BodySubHeader"/>
    <w:next w:val="Normal"/>
    <w:uiPriority w:val="3"/>
    <w:qFormat/>
    <w:rsid w:val="005B2F0D"/>
    <w:pPr>
      <w:outlineLvl w:val="3"/>
    </w:pPr>
    <w:rPr>
      <w:rFonts w:cs="Arial"/>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uiPriority w:val="5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semiHidden/>
    <w:qFormat/>
    <w:rsid w:val="00E8152A"/>
    <w:pPr>
      <w:numPr>
        <w:numId w:val="9"/>
      </w:numPr>
      <w:spacing w:after="0"/>
    </w:pPr>
    <w:rPr>
      <w:b/>
      <w:bCs/>
      <w:color w:val="323232"/>
      <w:szCs w:val="20"/>
    </w:rPr>
  </w:style>
  <w:style w:type="paragraph" w:customStyle="1" w:styleId="BodySubHeader">
    <w:name w:val="BodySubHeader"/>
    <w:basedOn w:val="Normal"/>
    <w:next w:val="Normal"/>
    <w:semiHidden/>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semiHidden/>
    <w:qFormat/>
    <w:rsid w:val="001C6AEE"/>
    <w:pPr>
      <w:numPr>
        <w:numId w:val="2"/>
      </w:numPr>
      <w:spacing w:after="80"/>
    </w:pPr>
  </w:style>
  <w:style w:type="paragraph" w:styleId="ListNumber">
    <w:name w:val="List Number"/>
    <w:basedOn w:val="Normal"/>
    <w:semiHidden/>
    <w:qFormat/>
    <w:rsid w:val="00C24A53"/>
    <w:pPr>
      <w:numPr>
        <w:numId w:val="3"/>
      </w:numPr>
      <w:spacing w:after="80"/>
    </w:pPr>
  </w:style>
  <w:style w:type="paragraph" w:styleId="ListNumber2">
    <w:name w:val="List Number 2"/>
    <w:basedOn w:val="Normal"/>
    <w:semiHidden/>
    <w:qFormat/>
    <w:rsid w:val="004A70D6"/>
    <w:pPr>
      <w:numPr>
        <w:numId w:val="4"/>
      </w:numPr>
      <w:spacing w:after="80"/>
      <w:ind w:left="828" w:hanging="357"/>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C87E8A"/>
    <w:pPr>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C35CCE"/>
    <w:rPr>
      <w:color w:val="0000FF"/>
      <w:u w:val="single" w:color="0000FF"/>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Style 13,FR"/>
    <w:basedOn w:val="DefaultParagraphFont"/>
    <w:rsid w:val="00566AB4"/>
    <w:rPr>
      <w:rFonts w:ascii="Arial" w:hAnsi="Arial"/>
      <w:vertAlign w:val="superscript"/>
    </w:rPr>
  </w:style>
  <w:style w:type="paragraph" w:styleId="FootnoteText">
    <w:name w:val="footnote text"/>
    <w:aliases w:val="Footnote text,ACMA Footnote Text,ABA Footnote Text,footnote text,Footnote Text Char1,Footnote Text Char Char,Footnote Text Char1 Char Char,Footnote Text Char Char Char Char,Footnote Text Char1 Char Char Char Char,f,fn,ALTS FOOTNOTE"/>
    <w:basedOn w:val="Normal"/>
    <w:link w:val="FootnoteTextChar"/>
    <w:qFormat/>
    <w:rsid w:val="00D61243"/>
    <w:pPr>
      <w:spacing w:after="0"/>
    </w:pPr>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semiHidden/>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uiPriority w:val="5"/>
    <w:qFormat/>
    <w:rsid w:val="00A824E8"/>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semiHidden/>
    <w:qFormat/>
    <w:rsid w:val="00C16198"/>
    <w:pPr>
      <w:spacing w:after="240"/>
      <w:ind w:left="357" w:hanging="357"/>
    </w:pPr>
    <w:rPr>
      <w:rFonts w:cs="Arial"/>
    </w:rPr>
  </w:style>
  <w:style w:type="paragraph" w:customStyle="1" w:styleId="ACMATableHeader">
    <w:name w:val="ACMA_TableHeader"/>
    <w:qFormat/>
    <w:rsid w:val="003F10EE"/>
    <w:pPr>
      <w:numPr>
        <w:numId w:val="7"/>
      </w:numPr>
      <w:spacing w:after="160"/>
    </w:pPr>
    <w:rPr>
      <w:rFonts w:ascii="Arial" w:hAnsi="Arial"/>
      <w:b/>
      <w:bCs/>
      <w:color w:val="323232"/>
      <w:sz w:val="20"/>
      <w:szCs w:val="20"/>
    </w:rPr>
  </w:style>
  <w:style w:type="paragraph" w:customStyle="1" w:styleId="ACMANotes">
    <w:name w:val="ACMA_Notes"/>
    <w:semiHidden/>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8"/>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uiPriority w:val="1"/>
    <w:rsid w:val="00F5310D"/>
    <w:rPr>
      <w:rFonts w:ascii="Arial" w:hAnsi="Arial" w:cs="Arial"/>
      <w:bCs/>
      <w:color w:val="323232"/>
      <w:kern w:val="32"/>
      <w:sz w:val="53"/>
      <w:szCs w:val="32"/>
    </w:rPr>
  </w:style>
  <w:style w:type="character" w:customStyle="1" w:styleId="Heading2Char">
    <w:name w:val="Heading 2 Char"/>
    <w:aliases w:val="RIS Heading 2 Char"/>
    <w:basedOn w:val="DefaultParagraphFont"/>
    <w:link w:val="Heading2"/>
    <w:uiPriority w:val="1"/>
    <w:rsid w:val="00800CCD"/>
    <w:rPr>
      <w:rFonts w:ascii="Arial" w:hAnsi="Arial" w:cs="Arial"/>
      <w:b/>
      <w:bCs/>
      <w:iCs/>
      <w:sz w:val="28"/>
      <w:szCs w:val="28"/>
    </w:rPr>
  </w:style>
  <w:style w:type="character" w:styleId="UnresolvedMention">
    <w:name w:val="Unresolved Mention"/>
    <w:basedOn w:val="DefaultParagraphFont"/>
    <w:uiPriority w:val="99"/>
    <w:semiHidden/>
    <w:unhideWhenUsed/>
    <w:rsid w:val="006B52DE"/>
    <w:rPr>
      <w:color w:val="605E5C"/>
      <w:shd w:val="clear" w:color="auto" w:fill="E1DFDD"/>
    </w:rPr>
  </w:style>
  <w:style w:type="character" w:customStyle="1" w:styleId="Heading3Char">
    <w:name w:val="Heading 3 Char"/>
    <w:basedOn w:val="DefaultParagraphFont"/>
    <w:link w:val="Heading3"/>
    <w:uiPriority w:val="2"/>
    <w:rsid w:val="00390D91"/>
    <w:rPr>
      <w:rFonts w:ascii="Arial" w:hAnsi="Arial" w:cs="Arial"/>
      <w:b/>
      <w:bCs/>
      <w:sz w:val="20"/>
      <w:szCs w:val="26"/>
    </w:rPr>
  </w:style>
  <w:style w:type="paragraph" w:customStyle="1" w:styleId="Paragraph">
    <w:name w:val="Paragraph"/>
    <w:basedOn w:val="Normal"/>
    <w:qFormat/>
    <w:rsid w:val="00A824E8"/>
    <w:rPr>
      <w:rFonts w:cs="Arial"/>
    </w:rPr>
  </w:style>
  <w:style w:type="paragraph" w:customStyle="1" w:styleId="Bulletlevel2">
    <w:name w:val="Bullet level 2"/>
    <w:basedOn w:val="ListBullet2"/>
    <w:uiPriority w:val="7"/>
    <w:qFormat/>
    <w:rsid w:val="00D43B47"/>
    <w:pPr>
      <w:ind w:left="590" w:hanging="295"/>
    </w:pPr>
    <w:rPr>
      <w:rFonts w:cs="Arial"/>
    </w:rPr>
  </w:style>
  <w:style w:type="paragraph" w:customStyle="1" w:styleId="Bulletlevel1last">
    <w:name w:val="Bullet level 1 last"/>
    <w:basedOn w:val="ListBulletLast"/>
    <w:uiPriority w:val="6"/>
    <w:qFormat/>
    <w:rsid w:val="00A824E8"/>
  </w:style>
  <w:style w:type="paragraph" w:customStyle="1" w:styleId="Numberlistlevel2">
    <w:name w:val="Number list level 2"/>
    <w:basedOn w:val="ListNumber2"/>
    <w:uiPriority w:val="11"/>
    <w:qFormat/>
    <w:rsid w:val="00801FEB"/>
    <w:pPr>
      <w:ind w:left="766" w:hanging="295"/>
    </w:pPr>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F361D7"/>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57" w:type="dxa"/>
        <w:bottom w:w="85" w:type="dxa"/>
        <w:right w:w="57"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Pr/>
      <w:tcPr>
        <w:shd w:val="clear" w:color="auto" w:fill="F2F2F2" w:themeFill="background1" w:themeFillShade="F2"/>
      </w:tcPr>
    </w:tblStylePr>
    <w:tblStylePr w:type="band2Horz">
      <w:rPr>
        <w:rFonts w:ascii="Arial" w:hAnsi="Arial"/>
        <w:sz w:val="20"/>
      </w:rPr>
    </w:tblStylePr>
  </w:style>
  <w:style w:type="paragraph" w:customStyle="1" w:styleId="Tableheading">
    <w:name w:val="Table heading"/>
    <w:basedOn w:val="ACMATableHeader"/>
    <w:next w:val="Paragraph"/>
    <w:uiPriority w:val="13"/>
    <w:qFormat/>
    <w:rsid w:val="0063346D"/>
    <w:pPr>
      <w:keepNext/>
      <w:spacing w:line="240" w:lineRule="atLeast"/>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next w:val="Paragraph"/>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styleId="BalloonText">
    <w:name w:val="Balloon Text"/>
    <w:basedOn w:val="Normal"/>
    <w:link w:val="BalloonTextChar"/>
    <w:semiHidden/>
    <w:unhideWhenUsed/>
    <w:rsid w:val="003933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3933E8"/>
    <w:rPr>
      <w:rFonts w:ascii="Segoe UI" w:hAnsi="Segoe UI" w:cs="Segoe UI"/>
      <w:sz w:val="18"/>
      <w:szCs w:val="18"/>
    </w:rPr>
  </w:style>
  <w:style w:type="paragraph" w:customStyle="1" w:styleId="Note">
    <w:name w:val="Note"/>
    <w:basedOn w:val="ACMANotes"/>
    <w:uiPriority w:val="23"/>
    <w:semiHidden/>
    <w:qFormat/>
    <w:rsid w:val="00D61243"/>
  </w:style>
  <w:style w:type="paragraph" w:customStyle="1" w:styleId="Protectivemarking">
    <w:name w:val="Protective marking"/>
    <w:basedOn w:val="Normal"/>
    <w:uiPriority w:val="99"/>
    <w:qFormat/>
    <w:rsid w:val="00390D91"/>
    <w:pPr>
      <w:tabs>
        <w:tab w:val="left" w:pos="720"/>
      </w:tabs>
      <w:spacing w:after="0" w:line="240" w:lineRule="auto"/>
      <w:jc w:val="center"/>
    </w:pPr>
    <w:rPr>
      <w:rFonts w:cs="Arial"/>
      <w:b/>
      <w:bCs/>
      <w:color w:val="FF0000"/>
      <w:sz w:val="32"/>
      <w:lang w:eastAsia="en-US"/>
    </w:rPr>
  </w:style>
  <w:style w:type="paragraph" w:styleId="Revision">
    <w:name w:val="Revision"/>
    <w:hidden/>
    <w:semiHidden/>
    <w:rsid w:val="00023A36"/>
    <w:rPr>
      <w:rFonts w:ascii="Arial" w:hAnsi="Arial"/>
      <w:sz w:val="20"/>
    </w:rPr>
  </w:style>
  <w:style w:type="paragraph" w:styleId="ListParagraph">
    <w:name w:val="List Paragraph"/>
    <w:aliases w:val="List Paragraph1,Recommendation"/>
    <w:basedOn w:val="Normal"/>
    <w:link w:val="ListParagraphChar"/>
    <w:uiPriority w:val="34"/>
    <w:qFormat/>
    <w:rsid w:val="00871249"/>
    <w:pPr>
      <w:spacing w:after="200" w:line="276" w:lineRule="auto"/>
      <w:ind w:left="720"/>
      <w:contextualSpacing/>
    </w:pPr>
    <w:rPr>
      <w:rFonts w:ascii="Calibri" w:eastAsia="Calibri" w:hAnsi="Calibri"/>
      <w:sz w:val="22"/>
      <w:szCs w:val="22"/>
      <w:lang w:eastAsia="en-US"/>
    </w:rPr>
  </w:style>
  <w:style w:type="character" w:customStyle="1" w:styleId="ListParagraphChar">
    <w:name w:val="List Paragraph Char"/>
    <w:aliases w:val="List Paragraph1 Char,Recommendation Char"/>
    <w:basedOn w:val="DefaultParagraphFont"/>
    <w:link w:val="ListParagraph"/>
    <w:uiPriority w:val="34"/>
    <w:locked/>
    <w:rsid w:val="00871249"/>
    <w:rPr>
      <w:rFonts w:ascii="Calibri" w:eastAsia="Calibri" w:hAnsi="Calibri"/>
      <w:sz w:val="22"/>
      <w:szCs w:val="22"/>
      <w:lang w:eastAsia="en-US"/>
    </w:rPr>
  </w:style>
  <w:style w:type="paragraph" w:customStyle="1" w:styleId="TableHeading0">
    <w:name w:val="Table Heading"/>
    <w:basedOn w:val="Normal"/>
    <w:qFormat/>
    <w:rsid w:val="00871249"/>
    <w:pPr>
      <w:spacing w:after="0"/>
    </w:pPr>
    <w:rPr>
      <w:b/>
    </w:rPr>
  </w:style>
  <w:style w:type="character" w:customStyle="1" w:styleId="ListBulletChar">
    <w:name w:val="List Bullet Char"/>
    <w:aliases w:val="List Bullet 1 Char"/>
    <w:basedOn w:val="DefaultParagraphFont"/>
    <w:link w:val="ListBullet"/>
    <w:rsid w:val="000E42DD"/>
    <w:rPr>
      <w:rFonts w:ascii="Arial" w:hAnsi="Arial"/>
      <w:sz w:val="20"/>
    </w:rPr>
  </w:style>
  <w:style w:type="character" w:customStyle="1" w:styleId="FootnoteTextChar">
    <w:name w:val="Footnote Text Char"/>
    <w:aliases w:val="Footnote text Char,ACMA Footnote Text Char,ABA Footnote Text Char,footnote text Char,Footnote Text Char1 Char,Footnote Text Char Char Char,Footnote Text Char1 Char Char Char,Footnote Text Char Char Char Char Char,f Char,fn Char"/>
    <w:basedOn w:val="DefaultParagraphFont"/>
    <w:link w:val="FootnoteText"/>
    <w:uiPriority w:val="99"/>
    <w:qFormat/>
    <w:rsid w:val="005810A1"/>
    <w:rPr>
      <w:rFonts w:ascii="Arial" w:hAnsi="Arial"/>
      <w:sz w:val="16"/>
      <w:szCs w:val="16"/>
    </w:rPr>
  </w:style>
  <w:style w:type="paragraph" w:customStyle="1" w:styleId="ACMASpaceaftertable">
    <w:name w:val="ACMA_Space after table"/>
    <w:basedOn w:val="Normal"/>
    <w:qFormat/>
    <w:rsid w:val="00DA45AD"/>
    <w:pPr>
      <w:keepLines/>
      <w:spacing w:after="120"/>
    </w:pPr>
    <w:rPr>
      <w:rFonts w:cs="Arial"/>
    </w:rPr>
  </w:style>
  <w:style w:type="paragraph" w:customStyle="1" w:styleId="ACMAExecSummaryHeading">
    <w:name w:val="ACMA_ExecSummaryHeading"/>
    <w:basedOn w:val="Normal"/>
    <w:qFormat/>
    <w:rsid w:val="00EF0B49"/>
    <w:pPr>
      <w:spacing w:after="1440" w:line="550" w:lineRule="exact"/>
    </w:pPr>
    <w:rPr>
      <w:b/>
      <w:color w:val="323232"/>
      <w:spacing w:val="-18"/>
      <w:sz w:val="53"/>
    </w:rPr>
  </w:style>
  <w:style w:type="paragraph" w:customStyle="1" w:styleId="ACMABodyText">
    <w:name w:val="ACMA Body Text"/>
    <w:link w:val="ACMABodyTextChar"/>
    <w:rsid w:val="002532FC"/>
    <w:pPr>
      <w:suppressAutoHyphens/>
      <w:spacing w:before="80" w:after="120" w:line="280" w:lineRule="atLeast"/>
    </w:pPr>
    <w:rPr>
      <w:snapToGrid w:val="0"/>
      <w:szCs w:val="20"/>
      <w:lang w:eastAsia="en-US"/>
    </w:rPr>
  </w:style>
  <w:style w:type="character" w:customStyle="1" w:styleId="ACMABodyTextChar">
    <w:name w:val="ACMA Body Text Char"/>
    <w:basedOn w:val="DefaultParagraphFont"/>
    <w:link w:val="ACMABodyText"/>
    <w:locked/>
    <w:rsid w:val="002532FC"/>
    <w:rPr>
      <w:snapToGrid w:val="0"/>
      <w:szCs w:val="20"/>
      <w:lang w:eastAsia="en-US"/>
    </w:rPr>
  </w:style>
  <w:style w:type="paragraph" w:customStyle="1" w:styleId="ACMANumberedList">
    <w:name w:val="ACMA Numbered List"/>
    <w:rsid w:val="00EC7EC0"/>
    <w:pPr>
      <w:numPr>
        <w:numId w:val="77"/>
      </w:numPr>
      <w:spacing w:before="20" w:after="20"/>
    </w:pPr>
    <w:rPr>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2813674">
      <w:bodyDiv w:val="1"/>
      <w:marLeft w:val="0"/>
      <w:marRight w:val="0"/>
      <w:marTop w:val="0"/>
      <w:marBottom w:val="0"/>
      <w:divBdr>
        <w:top w:val="none" w:sz="0" w:space="0" w:color="auto"/>
        <w:left w:val="none" w:sz="0" w:space="0" w:color="auto"/>
        <w:bottom w:val="none" w:sz="0" w:space="0" w:color="auto"/>
        <w:right w:val="none" w:sz="0" w:space="0" w:color="auto"/>
      </w:divBdr>
    </w:div>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778380013">
      <w:bodyDiv w:val="1"/>
      <w:marLeft w:val="0"/>
      <w:marRight w:val="0"/>
      <w:marTop w:val="0"/>
      <w:marBottom w:val="0"/>
      <w:divBdr>
        <w:top w:val="none" w:sz="0" w:space="0" w:color="auto"/>
        <w:left w:val="none" w:sz="0" w:space="0" w:color="auto"/>
        <w:bottom w:val="none" w:sz="0" w:space="0" w:color="auto"/>
        <w:right w:val="none" w:sz="0" w:space="0" w:color="auto"/>
      </w:divBdr>
    </w:div>
    <w:div w:id="934633860">
      <w:bodyDiv w:val="1"/>
      <w:marLeft w:val="0"/>
      <w:marRight w:val="0"/>
      <w:marTop w:val="0"/>
      <w:marBottom w:val="0"/>
      <w:divBdr>
        <w:top w:val="none" w:sz="0" w:space="0" w:color="auto"/>
        <w:left w:val="none" w:sz="0" w:space="0" w:color="auto"/>
        <w:bottom w:val="none" w:sz="0" w:space="0" w:color="auto"/>
        <w:right w:val="none" w:sz="0" w:space="0" w:color="auto"/>
      </w:divBdr>
    </w:div>
    <w:div w:id="1076635228">
      <w:bodyDiv w:val="1"/>
      <w:marLeft w:val="0"/>
      <w:marRight w:val="0"/>
      <w:marTop w:val="0"/>
      <w:marBottom w:val="0"/>
      <w:divBdr>
        <w:top w:val="none" w:sz="0" w:space="0" w:color="auto"/>
        <w:left w:val="none" w:sz="0" w:space="0" w:color="auto"/>
        <w:bottom w:val="none" w:sz="0" w:space="0" w:color="auto"/>
        <w:right w:val="none" w:sz="0" w:space="0" w:color="auto"/>
      </w:divBdr>
    </w:div>
    <w:div w:id="1158157714">
      <w:bodyDiv w:val="1"/>
      <w:marLeft w:val="0"/>
      <w:marRight w:val="0"/>
      <w:marTop w:val="0"/>
      <w:marBottom w:val="0"/>
      <w:divBdr>
        <w:top w:val="none" w:sz="0" w:space="0" w:color="auto"/>
        <w:left w:val="none" w:sz="0" w:space="0" w:color="auto"/>
        <w:bottom w:val="none" w:sz="0" w:space="0" w:color="auto"/>
        <w:right w:val="none" w:sz="0" w:space="0" w:color="auto"/>
      </w:divBdr>
      <w:divsChild>
        <w:div w:id="354814241">
          <w:marLeft w:val="0"/>
          <w:marRight w:val="0"/>
          <w:marTop w:val="0"/>
          <w:marBottom w:val="0"/>
          <w:divBdr>
            <w:top w:val="none" w:sz="0" w:space="0" w:color="auto"/>
            <w:left w:val="none" w:sz="0" w:space="0" w:color="auto"/>
            <w:bottom w:val="none" w:sz="0" w:space="0" w:color="auto"/>
            <w:right w:val="none" w:sz="0" w:space="0" w:color="auto"/>
          </w:divBdr>
          <w:divsChild>
            <w:div w:id="223763159">
              <w:marLeft w:val="0"/>
              <w:marRight w:val="0"/>
              <w:marTop w:val="0"/>
              <w:marBottom w:val="0"/>
              <w:divBdr>
                <w:top w:val="none" w:sz="0" w:space="0" w:color="auto"/>
                <w:left w:val="none" w:sz="0" w:space="0" w:color="auto"/>
                <w:bottom w:val="none" w:sz="0" w:space="0" w:color="auto"/>
                <w:right w:val="none" w:sz="0" w:space="0" w:color="auto"/>
              </w:divBdr>
              <w:divsChild>
                <w:div w:id="1076240767">
                  <w:marLeft w:val="0"/>
                  <w:marRight w:val="0"/>
                  <w:marTop w:val="0"/>
                  <w:marBottom w:val="0"/>
                  <w:divBdr>
                    <w:top w:val="none" w:sz="0" w:space="0" w:color="auto"/>
                    <w:left w:val="none" w:sz="0" w:space="0" w:color="auto"/>
                    <w:bottom w:val="none" w:sz="0" w:space="0" w:color="auto"/>
                    <w:right w:val="none" w:sz="0" w:space="0" w:color="auto"/>
                  </w:divBdr>
                  <w:divsChild>
                    <w:div w:id="1995331622">
                      <w:marLeft w:val="13380"/>
                      <w:marRight w:val="0"/>
                      <w:marTop w:val="0"/>
                      <w:marBottom w:val="0"/>
                      <w:divBdr>
                        <w:top w:val="none" w:sz="0" w:space="0" w:color="auto"/>
                        <w:left w:val="none" w:sz="0" w:space="0" w:color="auto"/>
                        <w:bottom w:val="none" w:sz="0" w:space="0" w:color="auto"/>
                        <w:right w:val="none" w:sz="0" w:space="0" w:color="auto"/>
                      </w:divBdr>
                      <w:divsChild>
                        <w:div w:id="1552419714">
                          <w:marLeft w:val="0"/>
                          <w:marRight w:val="0"/>
                          <w:marTop w:val="0"/>
                          <w:marBottom w:val="0"/>
                          <w:divBdr>
                            <w:top w:val="none" w:sz="0" w:space="0" w:color="auto"/>
                            <w:left w:val="none" w:sz="0" w:space="0" w:color="auto"/>
                            <w:bottom w:val="none" w:sz="0" w:space="0" w:color="auto"/>
                            <w:right w:val="none" w:sz="0" w:space="0" w:color="auto"/>
                          </w:divBdr>
                          <w:divsChild>
                            <w:div w:id="418064623">
                              <w:marLeft w:val="0"/>
                              <w:marRight w:val="0"/>
                              <w:marTop w:val="0"/>
                              <w:marBottom w:val="0"/>
                              <w:divBdr>
                                <w:top w:val="none" w:sz="0" w:space="0" w:color="auto"/>
                                <w:left w:val="none" w:sz="0" w:space="0" w:color="auto"/>
                                <w:bottom w:val="none" w:sz="0" w:space="0" w:color="auto"/>
                                <w:right w:val="none" w:sz="0" w:space="0" w:color="auto"/>
                              </w:divBdr>
                              <w:divsChild>
                                <w:div w:id="613098682">
                                  <w:marLeft w:val="0"/>
                                  <w:marRight w:val="0"/>
                                  <w:marTop w:val="0"/>
                                  <w:marBottom w:val="0"/>
                                  <w:divBdr>
                                    <w:top w:val="none" w:sz="0" w:space="0" w:color="auto"/>
                                    <w:left w:val="none" w:sz="0" w:space="0" w:color="auto"/>
                                    <w:bottom w:val="none" w:sz="0" w:space="0" w:color="auto"/>
                                    <w:right w:val="none" w:sz="0" w:space="0" w:color="auto"/>
                                  </w:divBdr>
                                  <w:divsChild>
                                    <w:div w:id="70006605">
                                      <w:marLeft w:val="0"/>
                                      <w:marRight w:val="0"/>
                                      <w:marTop w:val="0"/>
                                      <w:marBottom w:val="0"/>
                                      <w:divBdr>
                                        <w:top w:val="none" w:sz="0" w:space="0" w:color="auto"/>
                                        <w:left w:val="none" w:sz="0" w:space="0" w:color="auto"/>
                                        <w:bottom w:val="none" w:sz="0" w:space="0" w:color="auto"/>
                                        <w:right w:val="none" w:sz="0" w:space="0" w:color="auto"/>
                                      </w:divBdr>
                                      <w:divsChild>
                                        <w:div w:id="1064841036">
                                          <w:marLeft w:val="0"/>
                                          <w:marRight w:val="0"/>
                                          <w:marTop w:val="0"/>
                                          <w:marBottom w:val="0"/>
                                          <w:divBdr>
                                            <w:top w:val="none" w:sz="0" w:space="0" w:color="auto"/>
                                            <w:left w:val="none" w:sz="0" w:space="0" w:color="auto"/>
                                            <w:bottom w:val="none" w:sz="0" w:space="0" w:color="auto"/>
                                            <w:right w:val="none" w:sz="0" w:space="0" w:color="auto"/>
                                          </w:divBdr>
                                          <w:divsChild>
                                            <w:div w:id="1375543957">
                                              <w:marLeft w:val="0"/>
                                              <w:marRight w:val="0"/>
                                              <w:marTop w:val="0"/>
                                              <w:marBottom w:val="0"/>
                                              <w:divBdr>
                                                <w:top w:val="none" w:sz="0" w:space="0" w:color="auto"/>
                                                <w:left w:val="none" w:sz="0" w:space="0" w:color="auto"/>
                                                <w:bottom w:val="none" w:sz="0" w:space="0" w:color="auto"/>
                                                <w:right w:val="none" w:sz="0" w:space="0" w:color="auto"/>
                                              </w:divBdr>
                                              <w:divsChild>
                                                <w:div w:id="26878517">
                                                  <w:marLeft w:val="0"/>
                                                  <w:marRight w:val="0"/>
                                                  <w:marTop w:val="0"/>
                                                  <w:marBottom w:val="0"/>
                                                  <w:divBdr>
                                                    <w:top w:val="none" w:sz="0" w:space="0" w:color="auto"/>
                                                    <w:left w:val="none" w:sz="0" w:space="0" w:color="auto"/>
                                                    <w:bottom w:val="none" w:sz="0" w:space="0" w:color="auto"/>
                                                    <w:right w:val="none" w:sz="0" w:space="0" w:color="auto"/>
                                                  </w:divBdr>
                                                  <w:divsChild>
                                                    <w:div w:id="265503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01286193">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902474584">
      <w:bodyDiv w:val="1"/>
      <w:marLeft w:val="0"/>
      <w:marRight w:val="0"/>
      <w:marTop w:val="0"/>
      <w:marBottom w:val="0"/>
      <w:divBdr>
        <w:top w:val="none" w:sz="0" w:space="0" w:color="auto"/>
        <w:left w:val="none" w:sz="0" w:space="0" w:color="auto"/>
        <w:bottom w:val="none" w:sz="0" w:space="0" w:color="auto"/>
        <w:right w:val="none" w:sz="0" w:space="0" w:color="auto"/>
      </w:divBdr>
      <w:divsChild>
        <w:div w:id="246884067">
          <w:marLeft w:val="0"/>
          <w:marRight w:val="0"/>
          <w:marTop w:val="0"/>
          <w:marBottom w:val="0"/>
          <w:divBdr>
            <w:top w:val="none" w:sz="0" w:space="0" w:color="auto"/>
            <w:left w:val="none" w:sz="0" w:space="0" w:color="auto"/>
            <w:bottom w:val="none" w:sz="0" w:space="0" w:color="auto"/>
            <w:right w:val="none" w:sz="0" w:space="0" w:color="auto"/>
          </w:divBdr>
          <w:divsChild>
            <w:div w:id="132644941">
              <w:marLeft w:val="0"/>
              <w:marRight w:val="0"/>
              <w:marTop w:val="0"/>
              <w:marBottom w:val="0"/>
              <w:divBdr>
                <w:top w:val="none" w:sz="0" w:space="0" w:color="auto"/>
                <w:left w:val="none" w:sz="0" w:space="0" w:color="auto"/>
                <w:bottom w:val="none" w:sz="0" w:space="0" w:color="auto"/>
                <w:right w:val="none" w:sz="0" w:space="0" w:color="auto"/>
              </w:divBdr>
              <w:divsChild>
                <w:div w:id="2007441283">
                  <w:marLeft w:val="0"/>
                  <w:marRight w:val="0"/>
                  <w:marTop w:val="0"/>
                  <w:marBottom w:val="0"/>
                  <w:divBdr>
                    <w:top w:val="none" w:sz="0" w:space="0" w:color="auto"/>
                    <w:left w:val="none" w:sz="0" w:space="0" w:color="auto"/>
                    <w:bottom w:val="none" w:sz="0" w:space="0" w:color="auto"/>
                    <w:right w:val="none" w:sz="0" w:space="0" w:color="auto"/>
                  </w:divBdr>
                  <w:divsChild>
                    <w:div w:id="1381781442">
                      <w:marLeft w:val="0"/>
                      <w:marRight w:val="0"/>
                      <w:marTop w:val="0"/>
                      <w:marBottom w:val="0"/>
                      <w:divBdr>
                        <w:top w:val="none" w:sz="0" w:space="0" w:color="auto"/>
                        <w:left w:val="none" w:sz="0" w:space="0" w:color="auto"/>
                        <w:bottom w:val="none" w:sz="0" w:space="0" w:color="auto"/>
                        <w:right w:val="none" w:sz="0" w:space="0" w:color="auto"/>
                      </w:divBdr>
                      <w:divsChild>
                        <w:div w:id="496504528">
                          <w:marLeft w:val="0"/>
                          <w:marRight w:val="0"/>
                          <w:marTop w:val="0"/>
                          <w:marBottom w:val="0"/>
                          <w:divBdr>
                            <w:top w:val="none" w:sz="0" w:space="0" w:color="auto"/>
                            <w:left w:val="none" w:sz="0" w:space="0" w:color="auto"/>
                            <w:bottom w:val="none" w:sz="0" w:space="0" w:color="auto"/>
                            <w:right w:val="none" w:sz="0" w:space="0" w:color="auto"/>
                          </w:divBdr>
                          <w:divsChild>
                            <w:div w:id="431902199">
                              <w:marLeft w:val="0"/>
                              <w:marRight w:val="0"/>
                              <w:marTop w:val="0"/>
                              <w:marBottom w:val="0"/>
                              <w:divBdr>
                                <w:top w:val="none" w:sz="0" w:space="0" w:color="auto"/>
                                <w:left w:val="none" w:sz="0" w:space="0" w:color="auto"/>
                                <w:bottom w:val="none" w:sz="0" w:space="0" w:color="auto"/>
                                <w:right w:val="none" w:sz="0" w:space="0" w:color="auto"/>
                              </w:divBdr>
                              <w:divsChild>
                                <w:div w:id="1482189488">
                                  <w:marLeft w:val="0"/>
                                  <w:marRight w:val="0"/>
                                  <w:marTop w:val="0"/>
                                  <w:marBottom w:val="0"/>
                                  <w:divBdr>
                                    <w:top w:val="none" w:sz="0" w:space="0" w:color="auto"/>
                                    <w:left w:val="none" w:sz="0" w:space="0" w:color="auto"/>
                                    <w:bottom w:val="none" w:sz="0" w:space="0" w:color="auto"/>
                                    <w:right w:val="none" w:sz="0" w:space="0" w:color="auto"/>
                                  </w:divBdr>
                                  <w:divsChild>
                                    <w:div w:id="1736121712">
                                      <w:marLeft w:val="0"/>
                                      <w:marRight w:val="0"/>
                                      <w:marTop w:val="0"/>
                                      <w:marBottom w:val="0"/>
                                      <w:divBdr>
                                        <w:top w:val="none" w:sz="0" w:space="0" w:color="auto"/>
                                        <w:left w:val="none" w:sz="0" w:space="0" w:color="auto"/>
                                        <w:bottom w:val="none" w:sz="0" w:space="0" w:color="auto"/>
                                        <w:right w:val="none" w:sz="0" w:space="0" w:color="auto"/>
                                      </w:divBdr>
                                      <w:divsChild>
                                        <w:div w:id="1443040183">
                                          <w:marLeft w:val="0"/>
                                          <w:marRight w:val="0"/>
                                          <w:marTop w:val="0"/>
                                          <w:marBottom w:val="0"/>
                                          <w:divBdr>
                                            <w:top w:val="none" w:sz="0" w:space="0" w:color="auto"/>
                                            <w:left w:val="none" w:sz="0" w:space="0" w:color="auto"/>
                                            <w:bottom w:val="none" w:sz="0" w:space="0" w:color="auto"/>
                                            <w:right w:val="none" w:sz="0" w:space="0" w:color="auto"/>
                                          </w:divBdr>
                                          <w:divsChild>
                                            <w:div w:id="1979647422">
                                              <w:marLeft w:val="0"/>
                                              <w:marRight w:val="0"/>
                                              <w:marTop w:val="0"/>
                                              <w:marBottom w:val="0"/>
                                              <w:divBdr>
                                                <w:top w:val="none" w:sz="0" w:space="0" w:color="auto"/>
                                                <w:left w:val="none" w:sz="0" w:space="0" w:color="auto"/>
                                                <w:bottom w:val="none" w:sz="0" w:space="0" w:color="auto"/>
                                                <w:right w:val="none" w:sz="0" w:space="0" w:color="auto"/>
                                              </w:divBdr>
                                              <w:divsChild>
                                                <w:div w:id="1184056007">
                                                  <w:marLeft w:val="0"/>
                                                  <w:marRight w:val="0"/>
                                                  <w:marTop w:val="0"/>
                                                  <w:marBottom w:val="0"/>
                                                  <w:divBdr>
                                                    <w:top w:val="none" w:sz="0" w:space="0" w:color="auto"/>
                                                    <w:left w:val="none" w:sz="0" w:space="0" w:color="auto"/>
                                                    <w:bottom w:val="none" w:sz="0" w:space="0" w:color="auto"/>
                                                    <w:right w:val="none" w:sz="0" w:space="0" w:color="auto"/>
                                                  </w:divBdr>
                                                  <w:divsChild>
                                                    <w:div w:id="1997803166">
                                                      <w:marLeft w:val="0"/>
                                                      <w:marRight w:val="0"/>
                                                      <w:marTop w:val="0"/>
                                                      <w:marBottom w:val="0"/>
                                                      <w:divBdr>
                                                        <w:top w:val="none" w:sz="0" w:space="0" w:color="auto"/>
                                                        <w:left w:val="none" w:sz="0" w:space="0" w:color="auto"/>
                                                        <w:bottom w:val="none" w:sz="0" w:space="0" w:color="auto"/>
                                                        <w:right w:val="none" w:sz="0" w:space="0" w:color="auto"/>
                                                      </w:divBdr>
                                                      <w:divsChild>
                                                        <w:div w:id="6235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 w:id="2085563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4.0/" TargetMode="External"/><Relationship Id="rId18" Type="http://schemas.openxmlformats.org/officeDocument/2006/relationships/footer" Target="footer3.xml"/><Relationship Id="rId26" Type="http://schemas.openxmlformats.org/officeDocument/2006/relationships/hyperlink" Target="https://www.legislation.gov.au/Series/F2015L00727" TargetMode="External"/><Relationship Id="rId39" Type="http://schemas.openxmlformats.org/officeDocument/2006/relationships/hyperlink" Target="https://www.acma.gov.au/radcomms-licensing-and-allocation-reform" TargetMode="External"/><Relationship Id="rId21" Type="http://schemas.openxmlformats.org/officeDocument/2006/relationships/footer" Target="footer4.xml"/><Relationship Id="rId34" Type="http://schemas.openxmlformats.org/officeDocument/2006/relationships/hyperlink" Target="https://digitaleconomy.pmc.gov.au/sites/default/files/2021-07/digital-economy-strategy.pdf" TargetMode="External"/><Relationship Id="rId42" Type="http://schemas.openxmlformats.org/officeDocument/2006/relationships/hyperlink" Target="https://www.acma.gov.au/area-wide-apparatus-licence" TargetMode="External"/><Relationship Id="rId47" Type="http://schemas.openxmlformats.org/officeDocument/2006/relationships/hyperlink" Target="https://www.acma.gov.au/spectrum-licence-technical-liaison-groups" TargetMode="External"/><Relationship Id="rId50" Type="http://schemas.openxmlformats.org/officeDocument/2006/relationships/hyperlink" Target="https://www.legislation.gov.au/Series/F2015L00728" TargetMode="External"/><Relationship Id="rId55" Type="http://schemas.openxmlformats.org/officeDocument/2006/relationships/hyperlink" Target="https://www.legislation.gov.au/Series/F2015L00728" TargetMode="External"/><Relationship Id="rId63" Type="http://schemas.openxmlformats.org/officeDocument/2006/relationships/hyperlink" Target="https://web.acma.gov.au/rrl/licence_image.extract_pdf?pLICENCE_NO=10917464" TargetMode="External"/><Relationship Id="rId68" Type="http://schemas.openxmlformats.org/officeDocument/2006/relationships/header" Target="header8.xml"/><Relationship Id="rId76" Type="http://schemas.openxmlformats.org/officeDocument/2006/relationships/hyperlink" Target="https://acma.gov.au/convert-hcis-area-description-placemark-0" TargetMode="External"/><Relationship Id="rId84" Type="http://schemas.openxmlformats.org/officeDocument/2006/relationships/hyperlink" Target="https://portal.3gpp.org/desktopmodules/Specifications/SpecificationDetails.aspx?specificationId=2425" TargetMode="External"/><Relationship Id="rId7" Type="http://schemas.openxmlformats.org/officeDocument/2006/relationships/endnotes" Target="endnotes.xml"/><Relationship Id="rId71"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acma.gov.au/consultations/2020-07/planning-options-3700-4200-mhz-band-consultation-222020" TargetMode="External"/><Relationship Id="rId11" Type="http://schemas.openxmlformats.org/officeDocument/2006/relationships/hyperlink" Target="http://i.creativecommons.org/l/by/3.0/88x31.png" TargetMode="External"/><Relationship Id="rId24" Type="http://schemas.openxmlformats.org/officeDocument/2006/relationships/hyperlink" Target="https://www.acma.gov.au/consultations/2019-08/optimising-3400-3575-mhz-band-consultation-122019" TargetMode="External"/><Relationship Id="rId32" Type="http://schemas.openxmlformats.org/officeDocument/2006/relationships/hyperlink" Target="https://www.acma.gov.au/34-ghz-technical-framework" TargetMode="External"/><Relationship Id="rId37" Type="http://schemas.openxmlformats.org/officeDocument/2006/relationships/hyperlink" Target="https://www.infrastructure.gov.au/department/ips/government_responses/government-response-next-gen-future.aspx" TargetMode="External"/><Relationship Id="rId40" Type="http://schemas.openxmlformats.org/officeDocument/2006/relationships/hyperlink" Target="https://www.acma.gov.au/publications/2021-03/rules/our-approach-radcomms-licensing-and-allocation" TargetMode="External"/><Relationship Id="rId45" Type="http://schemas.openxmlformats.org/officeDocument/2006/relationships/hyperlink" Target="https://www.acma.gov.au/34-ghz-technical-framework" TargetMode="External"/><Relationship Id="rId53" Type="http://schemas.openxmlformats.org/officeDocument/2006/relationships/hyperlink" Target="https://web.acma.gov.au/rrl/browse_licences.licence_list?pSV_ID=85&amp;pSS_ID=861" TargetMode="External"/><Relationship Id="rId58" Type="http://schemas.openxmlformats.org/officeDocument/2006/relationships/hyperlink" Target="https://www.3gpp.org/DynaReport/38104.htm" TargetMode="External"/><Relationship Id="rId66" Type="http://schemas.openxmlformats.org/officeDocument/2006/relationships/hyperlink" Target="https://www.acma.gov.au/consultations/2020-07/planning-options-3700-4200-mhz-band-consultation-222020" TargetMode="External"/><Relationship Id="rId74" Type="http://schemas.openxmlformats.org/officeDocument/2006/relationships/hyperlink" Target="https://www.acma.gov.au/publication-submissions" TargetMode="External"/><Relationship Id="rId79" Type="http://schemas.openxmlformats.org/officeDocument/2006/relationships/image" Target="media/image9.jpeg"/><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www.legislation.gov.au/Series/F2015L01438" TargetMode="External"/><Relationship Id="rId82" Type="http://schemas.openxmlformats.org/officeDocument/2006/relationships/image" Target="media/image12.jpeg"/><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footer" Target="footer5.xml"/><Relationship Id="rId27" Type="http://schemas.openxmlformats.org/officeDocument/2006/relationships/hyperlink" Target="https://www.acma.gov.au/consultations/2020-12/review-23-ghz-spectrum-licencing-technical-framework-consultation-372020" TargetMode="External"/><Relationship Id="rId30" Type="http://schemas.openxmlformats.org/officeDocument/2006/relationships/hyperlink" Target="https://www.acma.gov.au/consultations/2019-08/optimising-3400-3575-mhz-band-consultation-122019" TargetMode="External"/><Relationship Id="rId35" Type="http://schemas.openxmlformats.org/officeDocument/2006/relationships/hyperlink" Target="https://www.communications.gov.au/departmental-news/5g-enabling-future-economy" TargetMode="External"/><Relationship Id="rId43" Type="http://schemas.openxmlformats.org/officeDocument/2006/relationships/image" Target="media/image5.png"/><Relationship Id="rId48" Type="http://schemas.openxmlformats.org/officeDocument/2006/relationships/hyperlink" Target="https://www.acma.gov.au/consultations/2020-07/planning-options-3700-4200-mhz-band-consultation-222020" TargetMode="External"/><Relationship Id="rId56" Type="http://schemas.openxmlformats.org/officeDocument/2006/relationships/hyperlink" Target="https://www.legislation.gov.au/Series/F2015L00729" TargetMode="External"/><Relationship Id="rId64" Type="http://schemas.openxmlformats.org/officeDocument/2006/relationships/hyperlink" Target="https://web.acma.gov.au/rrl/licence_image.extract_pdf?pLICENCE_NO=10917464" TargetMode="External"/><Relationship Id="rId69" Type="http://schemas.openxmlformats.org/officeDocument/2006/relationships/footer" Target="footer7.xml"/><Relationship Id="rId77" Type="http://schemas.openxmlformats.org/officeDocument/2006/relationships/image" Target="media/image7.jpeg"/><Relationship Id="rId8" Type="http://schemas.openxmlformats.org/officeDocument/2006/relationships/header" Target="header1.xml"/><Relationship Id="rId51" Type="http://schemas.openxmlformats.org/officeDocument/2006/relationships/hyperlink" Target="https://www.acma.gov.au/five-year-spectrum-outlook" TargetMode="External"/><Relationship Id="rId72" Type="http://schemas.openxmlformats.org/officeDocument/2006/relationships/hyperlink" Target="https://www.acma.gov.au/have-your-say" TargetMode="External"/><Relationship Id="rId80" Type="http://schemas.openxmlformats.org/officeDocument/2006/relationships/image" Target="media/image10.jpeg"/><Relationship Id="rId85" Type="http://schemas.openxmlformats.org/officeDocument/2006/relationships/hyperlink" Target="https://web.acma.gov.au/rrl/licence_image.extract_pdf?pLICENCE_NO=10917464"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acma.gov.au/publications/2019-08/instruction/frequency-coordination-procedures-earth-station-protection-zones" TargetMode="External"/><Relationship Id="rId33" Type="http://schemas.openxmlformats.org/officeDocument/2006/relationships/hyperlink" Target="https://www.legislation.gov.au/Details/C2019C00262" TargetMode="External"/><Relationship Id="rId38" Type="http://schemas.openxmlformats.org/officeDocument/2006/relationships/hyperlink" Target="https://www.aph.gov.au/Parliamentary_Business/Committees/House/Communications/5G/Report" TargetMode="External"/><Relationship Id="rId46" Type="http://schemas.openxmlformats.org/officeDocument/2006/relationships/hyperlink" Target="https://www.legislation.gov.au/Series/F2015L00729" TargetMode="External"/><Relationship Id="rId59" Type="http://schemas.openxmlformats.org/officeDocument/2006/relationships/hyperlink" Target="https://www.acma.gov.au/spectrum-licence-technical-liaison-groups" TargetMode="External"/><Relationship Id="rId67" Type="http://schemas.openxmlformats.org/officeDocument/2006/relationships/header" Target="header7.xml"/><Relationship Id="rId20" Type="http://schemas.openxmlformats.org/officeDocument/2006/relationships/header" Target="header6.xml"/><Relationship Id="rId41" Type="http://schemas.openxmlformats.org/officeDocument/2006/relationships/hyperlink" Target="https://www.acma.gov.au/fees-apparatus-licences" TargetMode="External"/><Relationship Id="rId54" Type="http://schemas.openxmlformats.org/officeDocument/2006/relationships/hyperlink" Target="https://www.legislation.gov.au/Series/F2015L00727" TargetMode="External"/><Relationship Id="rId62" Type="http://schemas.openxmlformats.org/officeDocument/2006/relationships/hyperlink" Target="https://www.legislation.gov.au/Details/F2014L01399" TargetMode="External"/><Relationship Id="rId70" Type="http://schemas.openxmlformats.org/officeDocument/2006/relationships/footer" Target="footer8.xml"/><Relationship Id="rId75" Type="http://schemas.openxmlformats.org/officeDocument/2006/relationships/hyperlink" Target="https://www.acma.gov.au/privacy-policy" TargetMode="External"/><Relationship Id="rId83" Type="http://schemas.openxmlformats.org/officeDocument/2006/relationships/hyperlink" Target="https://web.acma.gov.au/rrl/licence_image.extract_pdf?pLICENCE_NO=10917464"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image" Target="media/image4.png"/><Relationship Id="rId36" Type="http://schemas.openxmlformats.org/officeDocument/2006/relationships/hyperlink" Target="https://www.industry.gov.au/news-media/australias-tech-future" TargetMode="External"/><Relationship Id="rId49" Type="http://schemas.openxmlformats.org/officeDocument/2006/relationships/hyperlink" Target="https://www.legislation.gov.au/Details/F2020L01661" TargetMode="External"/><Relationship Id="rId57" Type="http://schemas.openxmlformats.org/officeDocument/2006/relationships/hyperlink" Target="https://www.acma.gov.au/consultations/2020-12/review-23-ghz-spectrum-licencing-technical-framework-consultation-372020" TargetMode="External"/><Relationship Id="rId10" Type="http://schemas.openxmlformats.org/officeDocument/2006/relationships/header" Target="header2.xml"/><Relationship Id="rId31" Type="http://schemas.openxmlformats.org/officeDocument/2006/relationships/hyperlink" Target="https://www.acma.gov.au/publications/2019-08/instruction/frequency-coordination-procedures-earth-station-protection-zones" TargetMode="External"/><Relationship Id="rId44" Type="http://schemas.openxmlformats.org/officeDocument/2006/relationships/hyperlink" Target="https://www.acma.gov.au/spectrum-licence-technical-liaison-groups" TargetMode="External"/><Relationship Id="rId52" Type="http://schemas.openxmlformats.org/officeDocument/2006/relationships/hyperlink" Target="https://www.acma.gov.au/publications/2012-12/guide/spectrum-licencees-know-your-obligations" TargetMode="External"/><Relationship Id="rId60" Type="http://schemas.openxmlformats.org/officeDocument/2006/relationships/hyperlink" Target="https://www.acma.gov.au/consultations/2020-07/planning-options-3700-4200-mhz-band-consultation-222020" TargetMode="External"/><Relationship Id="rId65" Type="http://schemas.openxmlformats.org/officeDocument/2006/relationships/hyperlink" Target="https://web.acma.gov.au/rrl/licence_image.extract_pdf?pLICENCE_NO=10917464" TargetMode="External"/><Relationship Id="rId73" Type="http://schemas.openxmlformats.org/officeDocument/2006/relationships/hyperlink" Target="mailto:freqplan@acma.gov.au" TargetMode="External"/><Relationship Id="rId78" Type="http://schemas.openxmlformats.org/officeDocument/2006/relationships/image" Target="media/image8.png"/><Relationship Id="rId81" Type="http://schemas.openxmlformats.org/officeDocument/2006/relationships/image" Target="media/image11.jpeg"/><Relationship Id="rId86"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legislation.gov.au/Details/F2020L01661" TargetMode="External"/><Relationship Id="rId2" Type="http://schemas.openxmlformats.org/officeDocument/2006/relationships/hyperlink" Target="https://www.acma.gov.au/publications/2020-08/report/corporate-plan-2020-21" TargetMode="External"/><Relationship Id="rId1" Type="http://schemas.openxmlformats.org/officeDocument/2006/relationships/hyperlink" Target="https://www.acma.gov.au/spectrum-licence-technical-liaison-groups" TargetMode="External"/><Relationship Id="rId6" Type="http://schemas.openxmlformats.org/officeDocument/2006/relationships/hyperlink" Target="https://www.acma.gov.au/consultations/2019-08/optimising-3400-3575-mhz-band-consultation-122019" TargetMode="External"/><Relationship Id="rId5" Type="http://schemas.openxmlformats.org/officeDocument/2006/relationships/hyperlink" Target="https://www.acma.gov.au/consultations/2020-07/planning-options-3700-4200-mhz-band-consultation-222020" TargetMode="External"/><Relationship Id="rId4" Type="http://schemas.openxmlformats.org/officeDocument/2006/relationships/hyperlink" Target="https://www.acma.gov.au/consultations/2019-08/optimising-3400-3575-mhz-band-consultation-122019"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F8262-1C21-46BC-9DE5-9254E2ABE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48</Pages>
  <Words>17227</Words>
  <Characters>98194</Characters>
  <Application>Microsoft Office Word</Application>
  <DocSecurity>0</DocSecurity>
  <Lines>818</Lines>
  <Paragraphs>230</Paragraphs>
  <ScaleCrop>false</ScaleCrop>
  <HeadingPairs>
    <vt:vector size="4" baseType="variant">
      <vt:variant>
        <vt:lpstr>Title</vt:lpstr>
      </vt:variant>
      <vt:variant>
        <vt:i4>1</vt:i4>
      </vt:variant>
      <vt:variant>
        <vt:lpstr>Headings</vt:lpstr>
      </vt:variant>
      <vt:variant>
        <vt:i4>42</vt:i4>
      </vt:variant>
    </vt:vector>
  </HeadingPairs>
  <TitlesOfParts>
    <vt:vector size="43" baseType="lpstr">
      <vt:lpstr/>
      <vt:lpstr>    Proposed amendments to the 3.4 GHz  technical framework</vt:lpstr>
      <vt:lpstr>    Options for use of spectrum in urban excise areas</vt:lpstr>
      <vt:lpstr>Issues for comment</vt:lpstr>
      <vt:lpstr>Introduction </vt:lpstr>
      <vt:lpstr>    Purpose of this paper</vt:lpstr>
      <vt:lpstr>    Legislative and policy environment</vt:lpstr>
      <vt:lpstr>        Guiding legislation and policy	</vt:lpstr>
      <vt:lpstr>        Other relevant advice </vt:lpstr>
      <vt:lpstr>        Licensing arrangements</vt:lpstr>
      <vt:lpstr>        Spectrum planning options development</vt:lpstr>
      <vt:lpstr>    3.4 GHz technical liaison group</vt:lpstr>
      <vt:lpstr>    Scope of this paper</vt:lpstr>
      <vt:lpstr>    Next steps</vt:lpstr>
      <vt:lpstr>Case for action</vt:lpstr>
      <vt:lpstr>Proposed amendments to the 3.4 GHz technical framework </vt:lpstr>
      <vt:lpstr>    Overview of the 3.4 GHz spectrum licence technical framework </vt:lpstr>
      <vt:lpstr>    s.145(4) Determination</vt:lpstr>
      <vt:lpstr>        General changes</vt:lpstr>
      <vt:lpstr>        Additional changes</vt:lpstr>
      <vt:lpstr>        Question 1</vt:lpstr>
      <vt:lpstr>    Receiver spurious emission limits</vt:lpstr>
      <vt:lpstr>        Question 2</vt:lpstr>
      <vt:lpstr>    RALI MS44</vt:lpstr>
      <vt:lpstr>        Question 3</vt:lpstr>
      <vt:lpstr>Options for use of spectrum in urban excise areas </vt:lpstr>
      <vt:lpstr>    Identification of options</vt:lpstr>
      <vt:lpstr>        Question 4</vt:lpstr>
      <vt:lpstr>    Possible interference management criteria</vt:lpstr>
      <vt:lpstr>        Question 5</vt:lpstr>
      <vt:lpstr>    Assessment of options</vt:lpstr>
      <vt:lpstr>        Question 6</vt:lpstr>
      <vt:lpstr>    </vt:lpstr>
      <vt:lpstr>    Summary of assessment</vt:lpstr>
      <vt:lpstr>    </vt:lpstr>
      <vt:lpstr>    ACMA preliminary preferred option</vt:lpstr>
      <vt:lpstr>        Question 7</vt:lpstr>
      <vt:lpstr>Invitation to comment</vt:lpstr>
      <vt:lpstr>    Making a submission</vt:lpstr>
      <vt:lpstr>Appendix A: Urban excise areas</vt:lpstr>
      <vt:lpstr>Appendix E: Possible interference management criteria for urban excise areas</vt:lpstr>
      <vt:lpstr>    Interference mechanisms </vt:lpstr>
      <vt:lpstr>    Option 1 interference management criteria</vt:lpstr>
    </vt:vector>
  </TitlesOfParts>
  <Manager/>
  <Company/>
  <LinksUpToDate>false</LinksUpToDate>
  <CharactersWithSpaces>115191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2021-08-26T02:15:00Z</dcterms:created>
  <dcterms:modified xsi:type="dcterms:W3CDTF">2021-08-26T02:15:00Z</dcterms:modified>
  <cp:category/>
</cp:coreProperties>
</file>