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9F7217" w14:textId="6FDCA3B1" w:rsidR="00F06E14" w:rsidRPr="000B6A4B" w:rsidRDefault="000C1B75" w:rsidP="00A51D1A">
      <w:pPr>
        <w:pStyle w:val="Reporttitle"/>
      </w:pPr>
      <w:r w:rsidRPr="000B6A4B">
        <w:t>Planning for wireless broadband use in urban areas in the 3400–3475 MHz band</w:t>
      </w:r>
    </w:p>
    <w:p w14:paraId="6FE8A735" w14:textId="56CEFB8C" w:rsidR="00F06E14" w:rsidRPr="000B6A4B" w:rsidRDefault="000C1B75" w:rsidP="00F06E14">
      <w:pPr>
        <w:pStyle w:val="Reportsubtitle"/>
      </w:pPr>
      <w:r w:rsidRPr="000B6A4B">
        <w:t>Outcomes paper</w:t>
      </w:r>
    </w:p>
    <w:p w14:paraId="4B6387B3" w14:textId="2585D428" w:rsidR="00C97736" w:rsidRPr="000B6A4B" w:rsidRDefault="000C1B75" w:rsidP="00EC2B68">
      <w:pPr>
        <w:pStyle w:val="Reportdate"/>
        <w:spacing w:after="720"/>
        <w:rPr>
          <w:rFonts w:cs="Arial"/>
        </w:rPr>
        <w:sectPr w:rsidR="00C97736" w:rsidRPr="000B6A4B" w:rsidSect="0021426C">
          <w:headerReference w:type="default" r:id="rId8"/>
          <w:footerReference w:type="default" r:id="rId9"/>
          <w:headerReference w:type="first" r:id="rId10"/>
          <w:pgSz w:w="11906" w:h="16838" w:code="9"/>
          <w:pgMar w:top="3924" w:right="992" w:bottom="1440" w:left="1134" w:header="709" w:footer="454" w:gutter="0"/>
          <w:cols w:space="708"/>
          <w:docGrid w:linePitch="360"/>
        </w:sectPr>
      </w:pPr>
      <w:r w:rsidRPr="000B6A4B">
        <w:t>December</w:t>
      </w:r>
      <w:r w:rsidR="00BD4421" w:rsidRPr="000B6A4B">
        <w:t xml:space="preserve"> 20</w:t>
      </w:r>
      <w:r w:rsidR="008E0428" w:rsidRPr="000B6A4B">
        <w:t>2</w:t>
      </w:r>
      <w:r w:rsidR="003253EE" w:rsidRPr="000B6A4B">
        <w:t>1</w:t>
      </w:r>
    </w:p>
    <w:p w14:paraId="4459CA26" w14:textId="77777777" w:rsidR="0005011A" w:rsidRPr="000B6A4B" w:rsidRDefault="0005011A" w:rsidP="00FC07B9">
      <w:pPr>
        <w:pStyle w:val="ACMACorporateAddressHeader"/>
      </w:pPr>
      <w:r w:rsidRPr="000B6A4B">
        <w:lastRenderedPageBreak/>
        <w:t>Canberra</w:t>
      </w:r>
    </w:p>
    <w:p w14:paraId="43ACF1C4" w14:textId="77777777" w:rsidR="0005011A" w:rsidRPr="000B6A4B" w:rsidRDefault="0005011A" w:rsidP="00FC07B9">
      <w:pPr>
        <w:pStyle w:val="ACMACorporateAddresses"/>
      </w:pPr>
      <w:r w:rsidRPr="000B6A4B">
        <w:t xml:space="preserve">Red Building </w:t>
      </w:r>
      <w:r w:rsidRPr="000B6A4B">
        <w:br/>
        <w:t>Benjamin Offices</w:t>
      </w:r>
      <w:r w:rsidRPr="000B6A4B">
        <w:br/>
        <w:t xml:space="preserve">Chan Street </w:t>
      </w:r>
      <w:r w:rsidRPr="000B6A4B">
        <w:br/>
        <w:t>Belconnen ACT</w:t>
      </w:r>
    </w:p>
    <w:p w14:paraId="5CC3BD80" w14:textId="77777777" w:rsidR="0005011A" w:rsidRPr="000B6A4B" w:rsidRDefault="0005011A" w:rsidP="00FC07B9">
      <w:pPr>
        <w:pStyle w:val="ACMACorporateAddresses"/>
      </w:pPr>
      <w:r w:rsidRPr="000B6A4B">
        <w:t>PO Box 78</w:t>
      </w:r>
      <w:r w:rsidRPr="000B6A4B">
        <w:br/>
        <w:t>Belconnen ACT 2616</w:t>
      </w:r>
    </w:p>
    <w:p w14:paraId="5C49B469" w14:textId="77777777" w:rsidR="00FE1823" w:rsidRPr="000B6A4B" w:rsidRDefault="0005011A" w:rsidP="00FC07B9">
      <w:pPr>
        <w:pStyle w:val="ACMACorporateAddresses"/>
      </w:pPr>
      <w:r w:rsidRPr="000B6A4B">
        <w:t>T</w:t>
      </w:r>
      <w:r w:rsidR="00537604" w:rsidRPr="000B6A4B">
        <w:tab/>
      </w:r>
      <w:r w:rsidRPr="000B6A4B">
        <w:t>+61 2 6219 5555</w:t>
      </w:r>
      <w:r w:rsidRPr="000B6A4B">
        <w:br/>
        <w:t>F</w:t>
      </w:r>
      <w:r w:rsidR="00537604" w:rsidRPr="000B6A4B">
        <w:tab/>
      </w:r>
      <w:r w:rsidRPr="000B6A4B">
        <w:t>+61 2 6219 5353</w:t>
      </w:r>
    </w:p>
    <w:p w14:paraId="129B02FA" w14:textId="77777777" w:rsidR="0005011A" w:rsidRPr="000B6A4B" w:rsidRDefault="0005011A" w:rsidP="00FC07B9">
      <w:pPr>
        <w:pStyle w:val="ACMACorporateAddressHeader"/>
      </w:pPr>
      <w:r w:rsidRPr="000B6A4B">
        <w:t>Melbourne</w:t>
      </w:r>
    </w:p>
    <w:p w14:paraId="5FCDFAB3" w14:textId="77777777" w:rsidR="0005011A" w:rsidRPr="000B6A4B" w:rsidRDefault="0005011A" w:rsidP="00FC07B9">
      <w:pPr>
        <w:pStyle w:val="ACMACorporateAddresses"/>
      </w:pPr>
      <w:r w:rsidRPr="000B6A4B">
        <w:t xml:space="preserve">Level 32 </w:t>
      </w:r>
      <w:r w:rsidRPr="000B6A4B">
        <w:br/>
        <w:t>Melbourne Central Tower</w:t>
      </w:r>
      <w:r w:rsidRPr="000B6A4B">
        <w:br/>
        <w:t xml:space="preserve">360 Elizabeth Street </w:t>
      </w:r>
      <w:r w:rsidR="008C10F4" w:rsidRPr="000B6A4B">
        <w:br/>
      </w:r>
      <w:r w:rsidRPr="000B6A4B">
        <w:t>Melbourne VIC</w:t>
      </w:r>
    </w:p>
    <w:p w14:paraId="7C17829C" w14:textId="77777777" w:rsidR="0005011A" w:rsidRPr="000B6A4B" w:rsidRDefault="0005011A" w:rsidP="00FC07B9">
      <w:pPr>
        <w:pStyle w:val="ACMACorporateAddresses"/>
      </w:pPr>
      <w:r w:rsidRPr="000B6A4B">
        <w:t>PO Box 13112</w:t>
      </w:r>
      <w:r w:rsidRPr="000B6A4B">
        <w:br/>
        <w:t xml:space="preserve">Law Courts </w:t>
      </w:r>
      <w:r w:rsidRPr="000B6A4B">
        <w:br/>
        <w:t>Melbourne VIC 8010</w:t>
      </w:r>
    </w:p>
    <w:p w14:paraId="2CFA95DB" w14:textId="77777777" w:rsidR="0005011A" w:rsidRPr="000B6A4B" w:rsidRDefault="0005011A" w:rsidP="00FC07B9">
      <w:pPr>
        <w:pStyle w:val="ACMACorporateAddresses"/>
      </w:pPr>
      <w:r w:rsidRPr="000B6A4B">
        <w:t>T</w:t>
      </w:r>
      <w:r w:rsidR="00140318" w:rsidRPr="000B6A4B">
        <w:tab/>
      </w:r>
      <w:r w:rsidRPr="000B6A4B">
        <w:t>+61 3 9963 6800</w:t>
      </w:r>
      <w:r w:rsidRPr="000B6A4B">
        <w:br/>
        <w:t>F</w:t>
      </w:r>
      <w:r w:rsidR="00140318" w:rsidRPr="000B6A4B">
        <w:tab/>
      </w:r>
      <w:r w:rsidRPr="000B6A4B">
        <w:t>+61 3 9963 6899</w:t>
      </w:r>
    </w:p>
    <w:p w14:paraId="2453BDB7" w14:textId="77777777" w:rsidR="0005011A" w:rsidRPr="000B6A4B" w:rsidRDefault="0005011A" w:rsidP="00FC07B9">
      <w:pPr>
        <w:pStyle w:val="ACMACorporateAddressHeader"/>
      </w:pPr>
      <w:r w:rsidRPr="000B6A4B">
        <w:t>Sydney</w:t>
      </w:r>
    </w:p>
    <w:p w14:paraId="3BA1D013" w14:textId="77777777" w:rsidR="0005011A" w:rsidRPr="000B6A4B" w:rsidRDefault="0005011A" w:rsidP="00FC07B9">
      <w:pPr>
        <w:pStyle w:val="ACMACorporateAddresses"/>
      </w:pPr>
      <w:r w:rsidRPr="000B6A4B">
        <w:t xml:space="preserve">Level 5 </w:t>
      </w:r>
      <w:r w:rsidRPr="000B6A4B">
        <w:br/>
        <w:t>The Bay Centre</w:t>
      </w:r>
      <w:r w:rsidRPr="000B6A4B">
        <w:br/>
        <w:t xml:space="preserve">65 Pirrama Road </w:t>
      </w:r>
      <w:r w:rsidRPr="000B6A4B">
        <w:br/>
        <w:t>Pyrmont NSW</w:t>
      </w:r>
    </w:p>
    <w:p w14:paraId="49B84464" w14:textId="77777777" w:rsidR="0005011A" w:rsidRPr="000B6A4B" w:rsidRDefault="0005011A" w:rsidP="00FC07B9">
      <w:pPr>
        <w:pStyle w:val="ACMACorporateAddresses"/>
      </w:pPr>
      <w:r w:rsidRPr="000B6A4B">
        <w:t>PO Box Q500</w:t>
      </w:r>
      <w:r w:rsidRPr="000B6A4B">
        <w:br/>
        <w:t xml:space="preserve">Queen Victoria Building </w:t>
      </w:r>
      <w:r w:rsidRPr="000B6A4B">
        <w:br/>
        <w:t>NSW 1230</w:t>
      </w:r>
    </w:p>
    <w:p w14:paraId="3D2481DA" w14:textId="77777777" w:rsidR="0005011A" w:rsidRPr="000B6A4B" w:rsidRDefault="0005011A" w:rsidP="00FC07B9">
      <w:pPr>
        <w:pStyle w:val="ACMACorporateAddresses"/>
      </w:pPr>
      <w:r w:rsidRPr="000B6A4B">
        <w:t>T</w:t>
      </w:r>
      <w:r w:rsidR="00140318" w:rsidRPr="000B6A4B">
        <w:tab/>
      </w:r>
      <w:r w:rsidRPr="000B6A4B">
        <w:t>+61 2 9334 7700</w:t>
      </w:r>
      <w:r w:rsidR="00140318" w:rsidRPr="000B6A4B">
        <w:t xml:space="preserve"> or</w:t>
      </w:r>
      <w:r w:rsidRPr="000B6A4B">
        <w:t xml:space="preserve"> 1800 226 667</w:t>
      </w:r>
      <w:r w:rsidRPr="000B6A4B">
        <w:br/>
        <w:t>F</w:t>
      </w:r>
      <w:r w:rsidR="00140318" w:rsidRPr="000B6A4B">
        <w:tab/>
      </w:r>
      <w:r w:rsidRPr="000B6A4B">
        <w:t>+61 2 9334 7799</w:t>
      </w:r>
    </w:p>
    <w:p w14:paraId="3C9653A6" w14:textId="77777777" w:rsidR="00140318" w:rsidRPr="000B6A4B" w:rsidRDefault="00140318" w:rsidP="00FC07B9">
      <w:pPr>
        <w:pStyle w:val="ACMACopyrightHeader"/>
      </w:pPr>
      <w:r w:rsidRPr="000B6A4B">
        <w:t>Copyright notice</w:t>
      </w:r>
    </w:p>
    <w:p w14:paraId="6E13DDC5" w14:textId="77777777" w:rsidR="00140318" w:rsidRPr="000B6A4B" w:rsidRDefault="00623FF9" w:rsidP="00623FF9">
      <w:pPr>
        <w:pStyle w:val="ACMACClogo"/>
      </w:pPr>
      <w:r w:rsidRPr="000B6A4B">
        <w:rPr>
          <w:noProof/>
        </w:rPr>
        <w:drawing>
          <wp:inline distT="0" distB="0" distL="0" distR="0" wp14:anchorId="7DE88EDD" wp14:editId="5DBDA86D">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0B2FBFF0" w14:textId="77777777" w:rsidR="00AA2DE5" w:rsidRPr="000B6A4B" w:rsidRDefault="00ED05F9" w:rsidP="00AA2DE5">
      <w:pPr>
        <w:pStyle w:val="ACMACorporateAddresses"/>
        <w:rPr>
          <w:rStyle w:val="Hyperlink"/>
        </w:rPr>
      </w:pPr>
      <w:hyperlink r:id="rId13" w:history="1">
        <w:r w:rsidR="00AA2DE5" w:rsidRPr="000B6A4B">
          <w:rPr>
            <w:rStyle w:val="Hyperlink"/>
          </w:rPr>
          <w:t>https://creativecommons.org/licenses/by/4.0/</w:t>
        </w:r>
      </w:hyperlink>
    </w:p>
    <w:p w14:paraId="41E306EB" w14:textId="77777777" w:rsidR="00AA2DE5" w:rsidRPr="000B6A4B" w:rsidRDefault="00AA2DE5" w:rsidP="00AA2DE5">
      <w:pPr>
        <w:pStyle w:val="ACMACorporateAddresses"/>
      </w:pPr>
      <w:r w:rsidRPr="000B6A4B">
        <w:t xml:space="preserve">With the exception of coats of arms, logos, emblems, images, other third-party material or devices protected by a trademark, this content is made available under the terms of the Creative Commons Attribution 4.0 International (CC BY 4.0) licence. </w:t>
      </w:r>
    </w:p>
    <w:p w14:paraId="3D8D5012" w14:textId="77777777" w:rsidR="00AA2DE5" w:rsidRPr="000B6A4B" w:rsidRDefault="00AA2DE5" w:rsidP="00AA2DE5">
      <w:pPr>
        <w:pStyle w:val="ACMACorporateAddresses"/>
      </w:pPr>
      <w:r w:rsidRPr="000B6A4B">
        <w:t>We request attribution as © Commonwealth of Australia (Australian Communications and Media Authority) 20</w:t>
      </w:r>
      <w:r w:rsidR="00C41F21" w:rsidRPr="000B6A4B">
        <w:t>2</w:t>
      </w:r>
      <w:r w:rsidR="00023A36" w:rsidRPr="000B6A4B">
        <w:t>1</w:t>
      </w:r>
      <w:r w:rsidRPr="000B6A4B">
        <w:t>.</w:t>
      </w:r>
    </w:p>
    <w:p w14:paraId="71458F30" w14:textId="77777777" w:rsidR="00AA2DE5" w:rsidRPr="000B6A4B" w:rsidRDefault="00AA2DE5" w:rsidP="00AA2DE5">
      <w:pPr>
        <w:pStyle w:val="ACMACorporateAddresses"/>
      </w:pPr>
      <w:r w:rsidRPr="000B6A4B">
        <w:t>All other rights are reserved.</w:t>
      </w:r>
    </w:p>
    <w:p w14:paraId="14931DAD" w14:textId="77777777" w:rsidR="00AA2DE5" w:rsidRPr="000B6A4B" w:rsidRDefault="00AA2DE5" w:rsidP="00AA2DE5">
      <w:pPr>
        <w:pStyle w:val="ACMACorporateAddresses"/>
      </w:pPr>
      <w:r w:rsidRPr="000B6A4B">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6AE6256D" w14:textId="77777777" w:rsidR="00AA2DE5" w:rsidRPr="000B6A4B" w:rsidRDefault="00AA2DE5" w:rsidP="00AA2DE5">
      <w:pPr>
        <w:pStyle w:val="ACMACorporateAddresses"/>
      </w:pPr>
      <w:r w:rsidRPr="000B6A4B">
        <w:t>Written enquiries may be sent to:</w:t>
      </w:r>
    </w:p>
    <w:p w14:paraId="1A36AD8D" w14:textId="77777777" w:rsidR="00AA2DE5" w:rsidRPr="000B6A4B" w:rsidRDefault="00AA2DE5" w:rsidP="00AA2DE5">
      <w:pPr>
        <w:pStyle w:val="ACMACorporateAddresses"/>
        <w:rPr>
          <w:rStyle w:val="Hyperlink"/>
        </w:rPr>
      </w:pPr>
      <w:r w:rsidRPr="000B6A4B">
        <w:t xml:space="preserve">Manager, Editorial </w:t>
      </w:r>
      <w:r w:rsidR="000245E5" w:rsidRPr="000B6A4B">
        <w:t>Services</w:t>
      </w:r>
      <w:r w:rsidRPr="000B6A4B">
        <w:br/>
        <w:t>PO Box 13112</w:t>
      </w:r>
      <w:r w:rsidRPr="000B6A4B">
        <w:br/>
        <w:t>Law Courts</w:t>
      </w:r>
      <w:r w:rsidRPr="000B6A4B">
        <w:br/>
        <w:t>Melbourne VIC 8010</w:t>
      </w:r>
      <w:r w:rsidRPr="000B6A4B">
        <w:br/>
        <w:t xml:space="preserve">Email: </w:t>
      </w:r>
      <w:hyperlink r:id="rId14" w:history="1">
        <w:r w:rsidRPr="000B6A4B">
          <w:rPr>
            <w:rStyle w:val="Hyperlink"/>
          </w:rPr>
          <w:t>info@acma.gov.au</w:t>
        </w:r>
      </w:hyperlink>
    </w:p>
    <w:p w14:paraId="3EACC3E1" w14:textId="77777777" w:rsidR="00D16FE3" w:rsidRPr="000B6A4B" w:rsidRDefault="00D16FE3" w:rsidP="00D16FE3">
      <w:pPr>
        <w:pStyle w:val="ACMACorporateAddresses"/>
        <w:rPr>
          <w:rStyle w:val="Hyperlink"/>
        </w:rPr>
      </w:pPr>
    </w:p>
    <w:p w14:paraId="04E3576C" w14:textId="77777777" w:rsidR="00D16FE3" w:rsidRPr="000B6A4B" w:rsidRDefault="00D16FE3" w:rsidP="00D16FE3">
      <w:pPr>
        <w:pStyle w:val="ACMACorporateAddresses"/>
        <w:sectPr w:rsidR="00D16FE3" w:rsidRPr="000B6A4B">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61B3F2E7" w14:textId="7D55B18E" w:rsidR="00DF7B17" w:rsidRDefault="006A3ECF">
      <w:pPr>
        <w:pStyle w:val="TOC1"/>
        <w:rPr>
          <w:rFonts w:asciiTheme="minorHAnsi" w:eastAsiaTheme="minorEastAsia" w:hAnsiTheme="minorHAnsi" w:cstheme="minorBidi"/>
          <w:b w:val="0"/>
          <w:spacing w:val="0"/>
          <w:sz w:val="22"/>
          <w:szCs w:val="22"/>
        </w:rPr>
      </w:pPr>
      <w:r w:rsidRPr="000B6A4B">
        <w:rPr>
          <w:rFonts w:cs="Arial"/>
        </w:rPr>
        <w:lastRenderedPageBreak/>
        <w:fldChar w:fldCharType="begin"/>
      </w:r>
      <w:r w:rsidRPr="000B6A4B">
        <w:rPr>
          <w:rFonts w:cs="Arial"/>
        </w:rPr>
        <w:instrText xml:space="preserve"> TOC \o "1-2" \h \z \t "Exec summary heading,1" </w:instrText>
      </w:r>
      <w:r w:rsidRPr="000B6A4B">
        <w:rPr>
          <w:rFonts w:cs="Arial"/>
        </w:rPr>
        <w:fldChar w:fldCharType="separate"/>
      </w:r>
      <w:hyperlink w:anchor="_Toc89250830" w:history="1">
        <w:r w:rsidR="00DF7B17" w:rsidRPr="009009C6">
          <w:rPr>
            <w:rStyle w:val="Hyperlink"/>
          </w:rPr>
          <w:t>Executive summary</w:t>
        </w:r>
        <w:r w:rsidR="00DF7B17">
          <w:rPr>
            <w:webHidden/>
          </w:rPr>
          <w:tab/>
        </w:r>
        <w:r w:rsidR="00DF7B17">
          <w:rPr>
            <w:webHidden/>
          </w:rPr>
          <w:fldChar w:fldCharType="begin"/>
        </w:r>
        <w:r w:rsidR="00DF7B17">
          <w:rPr>
            <w:webHidden/>
          </w:rPr>
          <w:instrText xml:space="preserve"> PAGEREF _Toc89250830 \h </w:instrText>
        </w:r>
        <w:r w:rsidR="00DF7B17">
          <w:rPr>
            <w:webHidden/>
          </w:rPr>
        </w:r>
        <w:r w:rsidR="00DF7B17">
          <w:rPr>
            <w:webHidden/>
          </w:rPr>
          <w:fldChar w:fldCharType="separate"/>
        </w:r>
        <w:r w:rsidR="00ED2821">
          <w:rPr>
            <w:webHidden/>
          </w:rPr>
          <w:t>1</w:t>
        </w:r>
        <w:r w:rsidR="00DF7B17">
          <w:rPr>
            <w:webHidden/>
          </w:rPr>
          <w:fldChar w:fldCharType="end"/>
        </w:r>
      </w:hyperlink>
    </w:p>
    <w:p w14:paraId="4F7A814D" w14:textId="403A2979" w:rsidR="00DF7B17" w:rsidRDefault="00ED05F9">
      <w:pPr>
        <w:pStyle w:val="TOC2"/>
        <w:rPr>
          <w:rFonts w:asciiTheme="minorHAnsi" w:eastAsiaTheme="minorEastAsia" w:hAnsiTheme="minorHAnsi" w:cstheme="minorBidi"/>
          <w:spacing w:val="0"/>
          <w:sz w:val="22"/>
          <w:szCs w:val="22"/>
        </w:rPr>
      </w:pPr>
      <w:hyperlink w:anchor="_Toc89250831" w:history="1">
        <w:r w:rsidR="00DF7B17" w:rsidRPr="009009C6">
          <w:rPr>
            <w:rStyle w:val="Hyperlink"/>
          </w:rPr>
          <w:t>3.4 GHz technical framework</w:t>
        </w:r>
        <w:r w:rsidR="00DF7B17">
          <w:rPr>
            <w:webHidden/>
          </w:rPr>
          <w:tab/>
        </w:r>
        <w:r w:rsidR="00DF7B17">
          <w:rPr>
            <w:webHidden/>
          </w:rPr>
          <w:fldChar w:fldCharType="begin"/>
        </w:r>
        <w:r w:rsidR="00DF7B17">
          <w:rPr>
            <w:webHidden/>
          </w:rPr>
          <w:instrText xml:space="preserve"> PAGEREF _Toc89250831 \h </w:instrText>
        </w:r>
        <w:r w:rsidR="00DF7B17">
          <w:rPr>
            <w:webHidden/>
          </w:rPr>
        </w:r>
        <w:r w:rsidR="00DF7B17">
          <w:rPr>
            <w:webHidden/>
          </w:rPr>
          <w:fldChar w:fldCharType="separate"/>
        </w:r>
        <w:r w:rsidR="00ED2821">
          <w:rPr>
            <w:webHidden/>
          </w:rPr>
          <w:t>1</w:t>
        </w:r>
        <w:r w:rsidR="00DF7B17">
          <w:rPr>
            <w:webHidden/>
          </w:rPr>
          <w:fldChar w:fldCharType="end"/>
        </w:r>
      </w:hyperlink>
    </w:p>
    <w:p w14:paraId="29BF4AB4" w14:textId="73AEB4A4" w:rsidR="00DF7B17" w:rsidRDefault="00ED05F9">
      <w:pPr>
        <w:pStyle w:val="TOC2"/>
        <w:rPr>
          <w:rFonts w:asciiTheme="minorHAnsi" w:eastAsiaTheme="minorEastAsia" w:hAnsiTheme="minorHAnsi" w:cstheme="minorBidi"/>
          <w:spacing w:val="0"/>
          <w:sz w:val="22"/>
          <w:szCs w:val="22"/>
        </w:rPr>
      </w:pPr>
      <w:hyperlink w:anchor="_Toc89250832" w:history="1">
        <w:r w:rsidR="00DF7B17" w:rsidRPr="009009C6">
          <w:rPr>
            <w:rStyle w:val="Hyperlink"/>
          </w:rPr>
          <w:t>Use of urban excise areas</w:t>
        </w:r>
        <w:r w:rsidR="00DF7B17">
          <w:rPr>
            <w:webHidden/>
          </w:rPr>
          <w:tab/>
        </w:r>
        <w:r w:rsidR="00DF7B17">
          <w:rPr>
            <w:webHidden/>
          </w:rPr>
          <w:fldChar w:fldCharType="begin"/>
        </w:r>
        <w:r w:rsidR="00DF7B17">
          <w:rPr>
            <w:webHidden/>
          </w:rPr>
          <w:instrText xml:space="preserve"> PAGEREF _Toc89250832 \h </w:instrText>
        </w:r>
        <w:r w:rsidR="00DF7B17">
          <w:rPr>
            <w:webHidden/>
          </w:rPr>
        </w:r>
        <w:r w:rsidR="00DF7B17">
          <w:rPr>
            <w:webHidden/>
          </w:rPr>
          <w:fldChar w:fldCharType="separate"/>
        </w:r>
        <w:r w:rsidR="00ED2821">
          <w:rPr>
            <w:webHidden/>
          </w:rPr>
          <w:t>2</w:t>
        </w:r>
        <w:r w:rsidR="00DF7B17">
          <w:rPr>
            <w:webHidden/>
          </w:rPr>
          <w:fldChar w:fldCharType="end"/>
        </w:r>
      </w:hyperlink>
    </w:p>
    <w:p w14:paraId="2AA1AC2A" w14:textId="6A8BD592" w:rsidR="00DF7B17" w:rsidRDefault="00ED05F9">
      <w:pPr>
        <w:pStyle w:val="TOC1"/>
        <w:rPr>
          <w:rFonts w:asciiTheme="minorHAnsi" w:eastAsiaTheme="minorEastAsia" w:hAnsiTheme="minorHAnsi" w:cstheme="minorBidi"/>
          <w:b w:val="0"/>
          <w:spacing w:val="0"/>
          <w:sz w:val="22"/>
          <w:szCs w:val="22"/>
        </w:rPr>
      </w:pPr>
      <w:hyperlink w:anchor="_Toc89250833" w:history="1">
        <w:r w:rsidR="00DF7B17" w:rsidRPr="009009C6">
          <w:rPr>
            <w:rStyle w:val="Hyperlink"/>
          </w:rPr>
          <w:t>Introduction</w:t>
        </w:r>
        <w:r w:rsidR="00DF7B17">
          <w:rPr>
            <w:webHidden/>
          </w:rPr>
          <w:tab/>
        </w:r>
        <w:r w:rsidR="00DF7B17">
          <w:rPr>
            <w:webHidden/>
          </w:rPr>
          <w:fldChar w:fldCharType="begin"/>
        </w:r>
        <w:r w:rsidR="00DF7B17">
          <w:rPr>
            <w:webHidden/>
          </w:rPr>
          <w:instrText xml:space="preserve"> PAGEREF _Toc89250833 \h </w:instrText>
        </w:r>
        <w:r w:rsidR="00DF7B17">
          <w:rPr>
            <w:webHidden/>
          </w:rPr>
        </w:r>
        <w:r w:rsidR="00DF7B17">
          <w:rPr>
            <w:webHidden/>
          </w:rPr>
          <w:fldChar w:fldCharType="separate"/>
        </w:r>
        <w:r w:rsidR="00ED2821">
          <w:rPr>
            <w:webHidden/>
          </w:rPr>
          <w:t>4</w:t>
        </w:r>
        <w:r w:rsidR="00DF7B17">
          <w:rPr>
            <w:webHidden/>
          </w:rPr>
          <w:fldChar w:fldCharType="end"/>
        </w:r>
      </w:hyperlink>
    </w:p>
    <w:p w14:paraId="175699C2" w14:textId="1A559923" w:rsidR="00DF7B17" w:rsidRDefault="00ED05F9">
      <w:pPr>
        <w:pStyle w:val="TOC2"/>
        <w:rPr>
          <w:rFonts w:asciiTheme="minorHAnsi" w:eastAsiaTheme="minorEastAsia" w:hAnsiTheme="minorHAnsi" w:cstheme="minorBidi"/>
          <w:spacing w:val="0"/>
          <w:sz w:val="22"/>
          <w:szCs w:val="22"/>
        </w:rPr>
      </w:pPr>
      <w:hyperlink w:anchor="_Toc89250834" w:history="1">
        <w:r w:rsidR="00DF7B17" w:rsidRPr="009009C6">
          <w:rPr>
            <w:rStyle w:val="Hyperlink"/>
          </w:rPr>
          <w:t>Scope of this paper</w:t>
        </w:r>
        <w:r w:rsidR="00DF7B17">
          <w:rPr>
            <w:webHidden/>
          </w:rPr>
          <w:tab/>
        </w:r>
        <w:r w:rsidR="00DF7B17">
          <w:rPr>
            <w:webHidden/>
          </w:rPr>
          <w:fldChar w:fldCharType="begin"/>
        </w:r>
        <w:r w:rsidR="00DF7B17">
          <w:rPr>
            <w:webHidden/>
          </w:rPr>
          <w:instrText xml:space="preserve"> PAGEREF _Toc89250834 \h </w:instrText>
        </w:r>
        <w:r w:rsidR="00DF7B17">
          <w:rPr>
            <w:webHidden/>
          </w:rPr>
        </w:r>
        <w:r w:rsidR="00DF7B17">
          <w:rPr>
            <w:webHidden/>
          </w:rPr>
          <w:fldChar w:fldCharType="separate"/>
        </w:r>
        <w:r w:rsidR="00ED2821">
          <w:rPr>
            <w:webHidden/>
          </w:rPr>
          <w:t>5</w:t>
        </w:r>
        <w:r w:rsidR="00DF7B17">
          <w:rPr>
            <w:webHidden/>
          </w:rPr>
          <w:fldChar w:fldCharType="end"/>
        </w:r>
      </w:hyperlink>
    </w:p>
    <w:p w14:paraId="70555A6D" w14:textId="2B979E2A" w:rsidR="00DF7B17" w:rsidRDefault="00ED05F9">
      <w:pPr>
        <w:pStyle w:val="TOC2"/>
        <w:rPr>
          <w:rFonts w:asciiTheme="minorHAnsi" w:eastAsiaTheme="minorEastAsia" w:hAnsiTheme="minorHAnsi" w:cstheme="minorBidi"/>
          <w:spacing w:val="0"/>
          <w:sz w:val="22"/>
          <w:szCs w:val="22"/>
        </w:rPr>
      </w:pPr>
      <w:hyperlink w:anchor="_Toc89250835" w:history="1">
        <w:r w:rsidR="00DF7B17" w:rsidRPr="009009C6">
          <w:rPr>
            <w:rStyle w:val="Hyperlink"/>
          </w:rPr>
          <w:t>Legislative and policy environment</w:t>
        </w:r>
        <w:r w:rsidR="00DF7B17">
          <w:rPr>
            <w:webHidden/>
          </w:rPr>
          <w:tab/>
        </w:r>
        <w:r w:rsidR="00DF7B17">
          <w:rPr>
            <w:webHidden/>
          </w:rPr>
          <w:fldChar w:fldCharType="begin"/>
        </w:r>
        <w:r w:rsidR="00DF7B17">
          <w:rPr>
            <w:webHidden/>
          </w:rPr>
          <w:instrText xml:space="preserve"> PAGEREF _Toc89250835 \h </w:instrText>
        </w:r>
        <w:r w:rsidR="00DF7B17">
          <w:rPr>
            <w:webHidden/>
          </w:rPr>
        </w:r>
        <w:r w:rsidR="00DF7B17">
          <w:rPr>
            <w:webHidden/>
          </w:rPr>
          <w:fldChar w:fldCharType="separate"/>
        </w:r>
        <w:r w:rsidR="00ED2821">
          <w:rPr>
            <w:webHidden/>
          </w:rPr>
          <w:t>5</w:t>
        </w:r>
        <w:r w:rsidR="00DF7B17">
          <w:rPr>
            <w:webHidden/>
          </w:rPr>
          <w:fldChar w:fldCharType="end"/>
        </w:r>
      </w:hyperlink>
    </w:p>
    <w:p w14:paraId="157AF538" w14:textId="065D0D96" w:rsidR="00DF7B17" w:rsidRDefault="00ED05F9">
      <w:pPr>
        <w:pStyle w:val="TOC2"/>
        <w:rPr>
          <w:rFonts w:asciiTheme="minorHAnsi" w:eastAsiaTheme="minorEastAsia" w:hAnsiTheme="minorHAnsi" w:cstheme="minorBidi"/>
          <w:spacing w:val="0"/>
          <w:sz w:val="22"/>
          <w:szCs w:val="22"/>
        </w:rPr>
      </w:pPr>
      <w:hyperlink w:anchor="_Toc89250836" w:history="1">
        <w:r w:rsidR="00DF7B17" w:rsidRPr="009009C6">
          <w:rPr>
            <w:rStyle w:val="Hyperlink"/>
          </w:rPr>
          <w:t>Spectrum planning outcomes development</w:t>
        </w:r>
        <w:r w:rsidR="00DF7B17">
          <w:rPr>
            <w:webHidden/>
          </w:rPr>
          <w:tab/>
        </w:r>
        <w:r w:rsidR="00DF7B17">
          <w:rPr>
            <w:webHidden/>
          </w:rPr>
          <w:fldChar w:fldCharType="begin"/>
        </w:r>
        <w:r w:rsidR="00DF7B17">
          <w:rPr>
            <w:webHidden/>
          </w:rPr>
          <w:instrText xml:space="preserve"> PAGEREF _Toc89250836 \h </w:instrText>
        </w:r>
        <w:r w:rsidR="00DF7B17">
          <w:rPr>
            <w:webHidden/>
          </w:rPr>
        </w:r>
        <w:r w:rsidR="00DF7B17">
          <w:rPr>
            <w:webHidden/>
          </w:rPr>
          <w:fldChar w:fldCharType="separate"/>
        </w:r>
        <w:r w:rsidR="00ED2821">
          <w:rPr>
            <w:webHidden/>
          </w:rPr>
          <w:t>7</w:t>
        </w:r>
        <w:r w:rsidR="00DF7B17">
          <w:rPr>
            <w:webHidden/>
          </w:rPr>
          <w:fldChar w:fldCharType="end"/>
        </w:r>
      </w:hyperlink>
    </w:p>
    <w:p w14:paraId="291E354B" w14:textId="3E21D976" w:rsidR="00DF7B17" w:rsidRDefault="00ED05F9">
      <w:pPr>
        <w:pStyle w:val="TOC1"/>
        <w:rPr>
          <w:rFonts w:asciiTheme="minorHAnsi" w:eastAsiaTheme="minorEastAsia" w:hAnsiTheme="minorHAnsi" w:cstheme="minorBidi"/>
          <w:b w:val="0"/>
          <w:spacing w:val="0"/>
          <w:sz w:val="22"/>
          <w:szCs w:val="22"/>
        </w:rPr>
      </w:pPr>
      <w:hyperlink w:anchor="_Toc89250837" w:history="1">
        <w:r w:rsidR="00DF7B17" w:rsidRPr="009009C6">
          <w:rPr>
            <w:rStyle w:val="Hyperlink"/>
          </w:rPr>
          <w:t>Process to date</w:t>
        </w:r>
        <w:r w:rsidR="00DF7B17">
          <w:rPr>
            <w:webHidden/>
          </w:rPr>
          <w:tab/>
        </w:r>
        <w:r w:rsidR="00DF7B17">
          <w:rPr>
            <w:webHidden/>
          </w:rPr>
          <w:fldChar w:fldCharType="begin"/>
        </w:r>
        <w:r w:rsidR="00DF7B17">
          <w:rPr>
            <w:webHidden/>
          </w:rPr>
          <w:instrText xml:space="preserve"> PAGEREF _Toc89250837 \h </w:instrText>
        </w:r>
        <w:r w:rsidR="00DF7B17">
          <w:rPr>
            <w:webHidden/>
          </w:rPr>
        </w:r>
        <w:r w:rsidR="00DF7B17">
          <w:rPr>
            <w:webHidden/>
          </w:rPr>
          <w:fldChar w:fldCharType="separate"/>
        </w:r>
        <w:r w:rsidR="00ED2821">
          <w:rPr>
            <w:webHidden/>
          </w:rPr>
          <w:t>9</w:t>
        </w:r>
        <w:r w:rsidR="00DF7B17">
          <w:rPr>
            <w:webHidden/>
          </w:rPr>
          <w:fldChar w:fldCharType="end"/>
        </w:r>
      </w:hyperlink>
    </w:p>
    <w:p w14:paraId="06EF50D2" w14:textId="1B5E5F3E" w:rsidR="00DF7B17" w:rsidRDefault="00ED05F9">
      <w:pPr>
        <w:pStyle w:val="TOC2"/>
        <w:rPr>
          <w:rFonts w:asciiTheme="minorHAnsi" w:eastAsiaTheme="minorEastAsia" w:hAnsiTheme="minorHAnsi" w:cstheme="minorBidi"/>
          <w:spacing w:val="0"/>
          <w:sz w:val="22"/>
          <w:szCs w:val="22"/>
        </w:rPr>
      </w:pPr>
      <w:hyperlink w:anchor="_Toc89250838" w:history="1">
        <w:r w:rsidR="00DF7B17" w:rsidRPr="009009C6">
          <w:rPr>
            <w:rStyle w:val="Hyperlink"/>
          </w:rPr>
          <w:t>Issues considered in the options paper</w:t>
        </w:r>
        <w:r w:rsidR="00DF7B17">
          <w:rPr>
            <w:webHidden/>
          </w:rPr>
          <w:tab/>
        </w:r>
        <w:r w:rsidR="00DF7B17">
          <w:rPr>
            <w:webHidden/>
          </w:rPr>
          <w:fldChar w:fldCharType="begin"/>
        </w:r>
        <w:r w:rsidR="00DF7B17">
          <w:rPr>
            <w:webHidden/>
          </w:rPr>
          <w:instrText xml:space="preserve"> PAGEREF _Toc89250838 \h </w:instrText>
        </w:r>
        <w:r w:rsidR="00DF7B17">
          <w:rPr>
            <w:webHidden/>
          </w:rPr>
        </w:r>
        <w:r w:rsidR="00DF7B17">
          <w:rPr>
            <w:webHidden/>
          </w:rPr>
          <w:fldChar w:fldCharType="separate"/>
        </w:r>
        <w:r w:rsidR="00ED2821">
          <w:rPr>
            <w:webHidden/>
          </w:rPr>
          <w:t>9</w:t>
        </w:r>
        <w:r w:rsidR="00DF7B17">
          <w:rPr>
            <w:webHidden/>
          </w:rPr>
          <w:fldChar w:fldCharType="end"/>
        </w:r>
      </w:hyperlink>
    </w:p>
    <w:p w14:paraId="25FC4236" w14:textId="1A0DD014" w:rsidR="00DF7B17" w:rsidRDefault="00ED05F9">
      <w:pPr>
        <w:pStyle w:val="TOC2"/>
        <w:rPr>
          <w:rFonts w:asciiTheme="minorHAnsi" w:eastAsiaTheme="minorEastAsia" w:hAnsiTheme="minorHAnsi" w:cstheme="minorBidi"/>
          <w:spacing w:val="0"/>
          <w:sz w:val="22"/>
          <w:szCs w:val="22"/>
        </w:rPr>
      </w:pPr>
      <w:hyperlink w:anchor="_Toc89250839" w:history="1">
        <w:r w:rsidR="00DF7B17" w:rsidRPr="009009C6">
          <w:rPr>
            <w:rStyle w:val="Hyperlink"/>
          </w:rPr>
          <w:t>Discussion of submissions</w:t>
        </w:r>
        <w:r w:rsidR="00DF7B17">
          <w:rPr>
            <w:webHidden/>
          </w:rPr>
          <w:tab/>
        </w:r>
        <w:r w:rsidR="00DF7B17">
          <w:rPr>
            <w:webHidden/>
          </w:rPr>
          <w:fldChar w:fldCharType="begin"/>
        </w:r>
        <w:r w:rsidR="00DF7B17">
          <w:rPr>
            <w:webHidden/>
          </w:rPr>
          <w:instrText xml:space="preserve"> PAGEREF _Toc89250839 \h </w:instrText>
        </w:r>
        <w:r w:rsidR="00DF7B17">
          <w:rPr>
            <w:webHidden/>
          </w:rPr>
        </w:r>
        <w:r w:rsidR="00DF7B17">
          <w:rPr>
            <w:webHidden/>
          </w:rPr>
          <w:fldChar w:fldCharType="separate"/>
        </w:r>
        <w:r w:rsidR="00ED2821">
          <w:rPr>
            <w:webHidden/>
          </w:rPr>
          <w:t>11</w:t>
        </w:r>
        <w:r w:rsidR="00DF7B17">
          <w:rPr>
            <w:webHidden/>
          </w:rPr>
          <w:fldChar w:fldCharType="end"/>
        </w:r>
      </w:hyperlink>
    </w:p>
    <w:p w14:paraId="5984D4C0" w14:textId="39B1C806" w:rsidR="00DF7B17" w:rsidRDefault="00ED05F9">
      <w:pPr>
        <w:pStyle w:val="TOC1"/>
        <w:rPr>
          <w:rFonts w:asciiTheme="minorHAnsi" w:eastAsiaTheme="minorEastAsia" w:hAnsiTheme="minorHAnsi" w:cstheme="minorBidi"/>
          <w:b w:val="0"/>
          <w:spacing w:val="0"/>
          <w:sz w:val="22"/>
          <w:szCs w:val="22"/>
        </w:rPr>
      </w:pPr>
      <w:hyperlink w:anchor="_Toc89250840" w:history="1">
        <w:r w:rsidR="00DF7B17" w:rsidRPr="009009C6">
          <w:rPr>
            <w:rStyle w:val="Hyperlink"/>
          </w:rPr>
          <w:t>Planning outcomes</w:t>
        </w:r>
        <w:r w:rsidR="00DF7B17">
          <w:rPr>
            <w:webHidden/>
          </w:rPr>
          <w:tab/>
        </w:r>
        <w:r w:rsidR="00DF7B17">
          <w:rPr>
            <w:webHidden/>
          </w:rPr>
          <w:fldChar w:fldCharType="begin"/>
        </w:r>
        <w:r w:rsidR="00DF7B17">
          <w:rPr>
            <w:webHidden/>
          </w:rPr>
          <w:instrText xml:space="preserve"> PAGEREF _Toc89250840 \h </w:instrText>
        </w:r>
        <w:r w:rsidR="00DF7B17">
          <w:rPr>
            <w:webHidden/>
          </w:rPr>
        </w:r>
        <w:r w:rsidR="00DF7B17">
          <w:rPr>
            <w:webHidden/>
          </w:rPr>
          <w:fldChar w:fldCharType="separate"/>
        </w:r>
        <w:r w:rsidR="00ED2821">
          <w:rPr>
            <w:webHidden/>
          </w:rPr>
          <w:t>22</w:t>
        </w:r>
        <w:r w:rsidR="00DF7B17">
          <w:rPr>
            <w:webHidden/>
          </w:rPr>
          <w:fldChar w:fldCharType="end"/>
        </w:r>
      </w:hyperlink>
    </w:p>
    <w:p w14:paraId="57E2C05C" w14:textId="6A7492A9" w:rsidR="00DF7B17" w:rsidRDefault="00ED05F9">
      <w:pPr>
        <w:pStyle w:val="TOC2"/>
        <w:rPr>
          <w:rFonts w:asciiTheme="minorHAnsi" w:eastAsiaTheme="minorEastAsia" w:hAnsiTheme="minorHAnsi" w:cstheme="minorBidi"/>
          <w:spacing w:val="0"/>
          <w:sz w:val="22"/>
          <w:szCs w:val="22"/>
        </w:rPr>
      </w:pPr>
      <w:hyperlink w:anchor="_Toc89250841" w:history="1">
        <w:r w:rsidR="00DF7B17" w:rsidRPr="009009C6">
          <w:rPr>
            <w:rStyle w:val="Hyperlink"/>
          </w:rPr>
          <w:t>Planning decisions</w:t>
        </w:r>
        <w:r w:rsidR="00DF7B17">
          <w:rPr>
            <w:webHidden/>
          </w:rPr>
          <w:tab/>
        </w:r>
        <w:r w:rsidR="00DF7B17">
          <w:rPr>
            <w:webHidden/>
          </w:rPr>
          <w:fldChar w:fldCharType="begin"/>
        </w:r>
        <w:r w:rsidR="00DF7B17">
          <w:rPr>
            <w:webHidden/>
          </w:rPr>
          <w:instrText xml:space="preserve"> PAGEREF _Toc89250841 \h </w:instrText>
        </w:r>
        <w:r w:rsidR="00DF7B17">
          <w:rPr>
            <w:webHidden/>
          </w:rPr>
        </w:r>
        <w:r w:rsidR="00DF7B17">
          <w:rPr>
            <w:webHidden/>
          </w:rPr>
          <w:fldChar w:fldCharType="separate"/>
        </w:r>
        <w:r w:rsidR="00ED2821">
          <w:rPr>
            <w:webHidden/>
          </w:rPr>
          <w:t>22</w:t>
        </w:r>
        <w:r w:rsidR="00DF7B17">
          <w:rPr>
            <w:webHidden/>
          </w:rPr>
          <w:fldChar w:fldCharType="end"/>
        </w:r>
      </w:hyperlink>
    </w:p>
    <w:p w14:paraId="30FA77DE" w14:textId="00CB35C3" w:rsidR="00DF7B17" w:rsidRDefault="00ED05F9">
      <w:pPr>
        <w:pStyle w:val="TOC2"/>
        <w:rPr>
          <w:rFonts w:asciiTheme="minorHAnsi" w:eastAsiaTheme="minorEastAsia" w:hAnsiTheme="minorHAnsi" w:cstheme="minorBidi"/>
          <w:spacing w:val="0"/>
          <w:sz w:val="22"/>
          <w:szCs w:val="22"/>
        </w:rPr>
      </w:pPr>
      <w:hyperlink w:anchor="_Toc89250842" w:history="1">
        <w:r w:rsidR="00DF7B17" w:rsidRPr="009009C6">
          <w:rPr>
            <w:rStyle w:val="Hyperlink"/>
          </w:rPr>
          <w:t>Update on urban excise work</w:t>
        </w:r>
        <w:r w:rsidR="00DF7B17">
          <w:rPr>
            <w:webHidden/>
          </w:rPr>
          <w:tab/>
        </w:r>
        <w:r w:rsidR="00DF7B17">
          <w:rPr>
            <w:webHidden/>
          </w:rPr>
          <w:fldChar w:fldCharType="begin"/>
        </w:r>
        <w:r w:rsidR="00DF7B17">
          <w:rPr>
            <w:webHidden/>
          </w:rPr>
          <w:instrText xml:space="preserve"> PAGEREF _Toc89250842 \h </w:instrText>
        </w:r>
        <w:r w:rsidR="00DF7B17">
          <w:rPr>
            <w:webHidden/>
          </w:rPr>
        </w:r>
        <w:r w:rsidR="00DF7B17">
          <w:rPr>
            <w:webHidden/>
          </w:rPr>
          <w:fldChar w:fldCharType="separate"/>
        </w:r>
        <w:r w:rsidR="00ED2821">
          <w:rPr>
            <w:webHidden/>
          </w:rPr>
          <w:t>23</w:t>
        </w:r>
        <w:r w:rsidR="00DF7B17">
          <w:rPr>
            <w:webHidden/>
          </w:rPr>
          <w:fldChar w:fldCharType="end"/>
        </w:r>
      </w:hyperlink>
    </w:p>
    <w:p w14:paraId="13D54F73" w14:textId="652D46C1" w:rsidR="00DF7B17" w:rsidRDefault="00ED05F9">
      <w:pPr>
        <w:pStyle w:val="TOC1"/>
        <w:rPr>
          <w:rFonts w:asciiTheme="minorHAnsi" w:eastAsiaTheme="minorEastAsia" w:hAnsiTheme="minorHAnsi" w:cstheme="minorBidi"/>
          <w:b w:val="0"/>
          <w:spacing w:val="0"/>
          <w:sz w:val="22"/>
          <w:szCs w:val="22"/>
        </w:rPr>
      </w:pPr>
      <w:hyperlink w:anchor="_Toc89250843" w:history="1">
        <w:r w:rsidR="00DF7B17" w:rsidRPr="009009C6">
          <w:rPr>
            <w:rStyle w:val="Hyperlink"/>
          </w:rPr>
          <w:t>Next steps</w:t>
        </w:r>
        <w:r w:rsidR="00DF7B17">
          <w:rPr>
            <w:webHidden/>
          </w:rPr>
          <w:tab/>
        </w:r>
        <w:r w:rsidR="00DF7B17">
          <w:rPr>
            <w:webHidden/>
          </w:rPr>
          <w:fldChar w:fldCharType="begin"/>
        </w:r>
        <w:r w:rsidR="00DF7B17">
          <w:rPr>
            <w:webHidden/>
          </w:rPr>
          <w:instrText xml:space="preserve"> PAGEREF _Toc89250843 \h </w:instrText>
        </w:r>
        <w:r w:rsidR="00DF7B17">
          <w:rPr>
            <w:webHidden/>
          </w:rPr>
        </w:r>
        <w:r w:rsidR="00DF7B17">
          <w:rPr>
            <w:webHidden/>
          </w:rPr>
          <w:fldChar w:fldCharType="separate"/>
        </w:r>
        <w:r w:rsidR="00ED2821">
          <w:rPr>
            <w:webHidden/>
          </w:rPr>
          <w:t>26</w:t>
        </w:r>
        <w:r w:rsidR="00DF7B17">
          <w:rPr>
            <w:webHidden/>
          </w:rPr>
          <w:fldChar w:fldCharType="end"/>
        </w:r>
      </w:hyperlink>
    </w:p>
    <w:p w14:paraId="7955B369" w14:textId="506FF0E3" w:rsidR="00DF7B17" w:rsidRDefault="00ED05F9">
      <w:pPr>
        <w:pStyle w:val="TOC1"/>
        <w:rPr>
          <w:rFonts w:asciiTheme="minorHAnsi" w:eastAsiaTheme="minorEastAsia" w:hAnsiTheme="minorHAnsi" w:cstheme="minorBidi"/>
          <w:b w:val="0"/>
          <w:spacing w:val="0"/>
          <w:sz w:val="22"/>
          <w:szCs w:val="22"/>
        </w:rPr>
      </w:pPr>
      <w:hyperlink w:anchor="_Toc89250844" w:history="1">
        <w:r w:rsidR="00DF7B17" w:rsidRPr="009009C6">
          <w:rPr>
            <w:rStyle w:val="Hyperlink"/>
          </w:rPr>
          <w:t>Appendix A: Geographical area description</w:t>
        </w:r>
        <w:r w:rsidR="00DF7B17">
          <w:rPr>
            <w:webHidden/>
          </w:rPr>
          <w:tab/>
        </w:r>
        <w:r w:rsidR="00DF7B17">
          <w:rPr>
            <w:webHidden/>
          </w:rPr>
          <w:fldChar w:fldCharType="begin"/>
        </w:r>
        <w:r w:rsidR="00DF7B17">
          <w:rPr>
            <w:webHidden/>
          </w:rPr>
          <w:instrText xml:space="preserve"> PAGEREF _Toc89250844 \h </w:instrText>
        </w:r>
        <w:r w:rsidR="00DF7B17">
          <w:rPr>
            <w:webHidden/>
          </w:rPr>
        </w:r>
        <w:r w:rsidR="00DF7B17">
          <w:rPr>
            <w:webHidden/>
          </w:rPr>
          <w:fldChar w:fldCharType="separate"/>
        </w:r>
        <w:r w:rsidR="00ED2821">
          <w:rPr>
            <w:webHidden/>
          </w:rPr>
          <w:t>28</w:t>
        </w:r>
        <w:r w:rsidR="00DF7B17">
          <w:rPr>
            <w:webHidden/>
          </w:rPr>
          <w:fldChar w:fldCharType="end"/>
        </w:r>
      </w:hyperlink>
    </w:p>
    <w:p w14:paraId="67D0ABAB" w14:textId="24BE3456" w:rsidR="00DF7B17" w:rsidRDefault="00ED05F9">
      <w:pPr>
        <w:pStyle w:val="TOC1"/>
        <w:rPr>
          <w:rFonts w:asciiTheme="minorHAnsi" w:eastAsiaTheme="minorEastAsia" w:hAnsiTheme="minorHAnsi" w:cstheme="minorBidi"/>
          <w:b w:val="0"/>
          <w:spacing w:val="0"/>
          <w:sz w:val="22"/>
          <w:szCs w:val="22"/>
        </w:rPr>
      </w:pPr>
      <w:hyperlink w:anchor="_Toc89250845" w:history="1">
        <w:r w:rsidR="00DF7B17" w:rsidRPr="009009C6">
          <w:rPr>
            <w:rStyle w:val="Hyperlink"/>
          </w:rPr>
          <w:t>Appendix B: Options for use of urban excise areas</w:t>
        </w:r>
        <w:r w:rsidR="00DF7B17">
          <w:rPr>
            <w:webHidden/>
          </w:rPr>
          <w:tab/>
        </w:r>
        <w:r w:rsidR="00DF7B17">
          <w:rPr>
            <w:webHidden/>
          </w:rPr>
          <w:fldChar w:fldCharType="begin"/>
        </w:r>
        <w:r w:rsidR="00DF7B17">
          <w:rPr>
            <w:webHidden/>
          </w:rPr>
          <w:instrText xml:space="preserve"> PAGEREF _Toc89250845 \h </w:instrText>
        </w:r>
        <w:r w:rsidR="00DF7B17">
          <w:rPr>
            <w:webHidden/>
          </w:rPr>
        </w:r>
        <w:r w:rsidR="00DF7B17">
          <w:rPr>
            <w:webHidden/>
          </w:rPr>
          <w:fldChar w:fldCharType="separate"/>
        </w:r>
        <w:r w:rsidR="00ED2821">
          <w:rPr>
            <w:webHidden/>
          </w:rPr>
          <w:t>30</w:t>
        </w:r>
        <w:r w:rsidR="00DF7B17">
          <w:rPr>
            <w:webHidden/>
          </w:rPr>
          <w:fldChar w:fldCharType="end"/>
        </w:r>
      </w:hyperlink>
    </w:p>
    <w:p w14:paraId="4B56A7F2" w14:textId="400EF847" w:rsidR="00DF7B17" w:rsidRDefault="00ED05F9">
      <w:pPr>
        <w:pStyle w:val="TOC1"/>
        <w:rPr>
          <w:rFonts w:asciiTheme="minorHAnsi" w:eastAsiaTheme="minorEastAsia" w:hAnsiTheme="minorHAnsi" w:cstheme="minorBidi"/>
          <w:b w:val="0"/>
          <w:spacing w:val="0"/>
          <w:sz w:val="22"/>
          <w:szCs w:val="22"/>
        </w:rPr>
      </w:pPr>
      <w:hyperlink w:anchor="_Toc89250846" w:history="1">
        <w:r w:rsidR="00DF7B17" w:rsidRPr="009009C6">
          <w:rPr>
            <w:rStyle w:val="Hyperlink"/>
          </w:rPr>
          <w:t>Appendix C: List of consultation respondents</w:t>
        </w:r>
        <w:r w:rsidR="00DF7B17">
          <w:rPr>
            <w:webHidden/>
          </w:rPr>
          <w:tab/>
        </w:r>
        <w:r w:rsidR="00DF7B17">
          <w:rPr>
            <w:webHidden/>
          </w:rPr>
          <w:fldChar w:fldCharType="begin"/>
        </w:r>
        <w:r w:rsidR="00DF7B17">
          <w:rPr>
            <w:webHidden/>
          </w:rPr>
          <w:instrText xml:space="preserve"> PAGEREF _Toc89250846 \h </w:instrText>
        </w:r>
        <w:r w:rsidR="00DF7B17">
          <w:rPr>
            <w:webHidden/>
          </w:rPr>
        </w:r>
        <w:r w:rsidR="00DF7B17">
          <w:rPr>
            <w:webHidden/>
          </w:rPr>
          <w:fldChar w:fldCharType="separate"/>
        </w:r>
        <w:r w:rsidR="00ED2821">
          <w:rPr>
            <w:webHidden/>
          </w:rPr>
          <w:t>32</w:t>
        </w:r>
        <w:r w:rsidR="00DF7B17">
          <w:rPr>
            <w:webHidden/>
          </w:rPr>
          <w:fldChar w:fldCharType="end"/>
        </w:r>
      </w:hyperlink>
    </w:p>
    <w:p w14:paraId="53131924" w14:textId="412AF721" w:rsidR="004D56FF" w:rsidRPr="000B6A4B" w:rsidRDefault="006A3ECF">
      <w:pPr>
        <w:rPr>
          <w:rFonts w:cs="Arial"/>
        </w:rPr>
        <w:sectPr w:rsidR="004D56FF" w:rsidRPr="000B6A4B" w:rsidSect="00C77380">
          <w:headerReference w:type="even" r:id="rId19"/>
          <w:headerReference w:type="default" r:id="rId20"/>
          <w:footerReference w:type="even" r:id="rId21"/>
          <w:footerReference w:type="default" r:id="rId22"/>
          <w:footerReference w:type="first" r:id="rId23"/>
          <w:pgSz w:w="11906" w:h="16838" w:code="9"/>
          <w:pgMar w:top="3646" w:right="3101" w:bottom="1134" w:left="1134" w:header="709" w:footer="119" w:gutter="0"/>
          <w:cols w:space="708"/>
          <w:titlePg/>
          <w:docGrid w:linePitch="360"/>
        </w:sectPr>
      </w:pPr>
      <w:r w:rsidRPr="000B6A4B">
        <w:rPr>
          <w:rFonts w:cs="Arial"/>
          <w:noProof/>
          <w:spacing w:val="-14"/>
          <w:sz w:val="28"/>
        </w:rPr>
        <w:fldChar w:fldCharType="end"/>
      </w:r>
    </w:p>
    <w:p w14:paraId="1EB84D7A" w14:textId="173F9A4C" w:rsidR="009D6C71" w:rsidRPr="000B6A4B" w:rsidRDefault="009D6C71" w:rsidP="009174F3">
      <w:pPr>
        <w:pStyle w:val="Execsummaryheading"/>
      </w:pPr>
      <w:bookmarkStart w:id="0" w:name="_Toc89250830"/>
      <w:r w:rsidRPr="000B6A4B">
        <w:lastRenderedPageBreak/>
        <w:t>Executive summary</w:t>
      </w:r>
      <w:bookmarkEnd w:id="0"/>
    </w:p>
    <w:p w14:paraId="0ABA84FB" w14:textId="1FBA5A2C" w:rsidR="00B02390" w:rsidRDefault="00D775A4" w:rsidP="00363C59">
      <w:pPr>
        <w:pStyle w:val="Paragraph"/>
        <w:spacing w:before="240"/>
      </w:pPr>
      <w:bookmarkStart w:id="1" w:name="_Toc433122125"/>
      <w:r>
        <w:t xml:space="preserve">On 27 August </w:t>
      </w:r>
      <w:r w:rsidRPr="000B6A4B">
        <w:t>2021</w:t>
      </w:r>
      <w:r w:rsidR="00F2724B">
        <w:t>,</w:t>
      </w:r>
      <w:r w:rsidRPr="000B6A4B">
        <w:t xml:space="preserve"> the ACMA released the </w:t>
      </w:r>
      <w:hyperlink r:id="rId24" w:history="1">
        <w:r w:rsidRPr="000B6A4B">
          <w:rPr>
            <w:rStyle w:val="Hyperlink"/>
            <w:i/>
            <w:iCs/>
          </w:rPr>
          <w:t>Planning for wireless broadband use in urban areas in the 3400–3475 MHz band – Options paper</w:t>
        </w:r>
      </w:hyperlink>
      <w:r w:rsidRPr="000B6A4B">
        <w:t xml:space="preserve"> (the options paper).</w:t>
      </w:r>
      <w:r>
        <w:t xml:space="preserve"> </w:t>
      </w:r>
      <w:r w:rsidR="00363C59">
        <w:t>It</w:t>
      </w:r>
      <w:r>
        <w:t xml:space="preserve"> proposed changes to the 3.4 GHz spectrum licence technical framework and options for </w:t>
      </w:r>
      <w:r w:rsidR="00363C59">
        <w:t xml:space="preserve">the future </w:t>
      </w:r>
      <w:r>
        <w:t>use of the 3400</w:t>
      </w:r>
      <w:r w:rsidR="00F2724B">
        <w:t>–</w:t>
      </w:r>
      <w:r>
        <w:t xml:space="preserve">3475 MHz band in </w:t>
      </w:r>
      <w:r w:rsidR="00F2724B">
        <w:t>‘</w:t>
      </w:r>
      <w:r>
        <w:t>urban excise areas</w:t>
      </w:r>
      <w:r w:rsidR="00F2724B">
        <w:t>’</w:t>
      </w:r>
      <w:r w:rsidR="00736736">
        <w:t xml:space="preserve">. </w:t>
      </w:r>
      <w:r w:rsidR="00F2724B">
        <w:t xml:space="preserve">These </w:t>
      </w:r>
      <w:r w:rsidR="00363C59">
        <w:t xml:space="preserve">are the areas </w:t>
      </w:r>
      <w:r w:rsidR="00DE4F2D">
        <w:t>for which</w:t>
      </w:r>
      <w:r w:rsidR="00363C59">
        <w:t xml:space="preserve"> NBN Co recently surrendered apparatus licences</w:t>
      </w:r>
      <w:r w:rsidR="00B02390">
        <w:t xml:space="preserve"> </w:t>
      </w:r>
      <w:r w:rsidR="00DE4F2D">
        <w:t>that</w:t>
      </w:r>
      <w:r w:rsidR="00B02390">
        <w:t xml:space="preserve"> </w:t>
      </w:r>
      <w:r w:rsidR="00363C59">
        <w:t>are not required</w:t>
      </w:r>
      <w:r w:rsidR="00F2724B">
        <w:t> </w:t>
      </w:r>
      <w:r w:rsidR="00363C59">
        <w:t>for the provision of</w:t>
      </w:r>
      <w:r w:rsidR="00363C59" w:rsidRPr="000B6A4B">
        <w:t xml:space="preserve"> </w:t>
      </w:r>
      <w:r w:rsidR="00363C59">
        <w:t xml:space="preserve">its </w:t>
      </w:r>
      <w:r w:rsidR="00363C59" w:rsidRPr="000B6A4B">
        <w:t>terrestrial wireless broadband (WBB) service</w:t>
      </w:r>
      <w:r w:rsidR="00DE4F2D">
        <w:t>s</w:t>
      </w:r>
      <w:r w:rsidR="00363C59">
        <w:t xml:space="preserve"> (refer to</w:t>
      </w:r>
      <w:r w:rsidR="00F2724B">
        <w:t> </w:t>
      </w:r>
      <w:hyperlink w:anchor="_Appendix_A:_Geographical" w:history="1">
        <w:r w:rsidR="00363C59" w:rsidRPr="00F2724B">
          <w:rPr>
            <w:rStyle w:val="Hyperlink"/>
          </w:rPr>
          <w:t>Appendix</w:t>
        </w:r>
        <w:r w:rsidR="00F2724B" w:rsidRPr="00F2724B">
          <w:rPr>
            <w:rStyle w:val="Hyperlink"/>
          </w:rPr>
          <w:t> </w:t>
        </w:r>
        <w:r w:rsidR="00363C59" w:rsidRPr="00F2724B">
          <w:rPr>
            <w:rStyle w:val="Hyperlink"/>
          </w:rPr>
          <w:t>A</w:t>
        </w:r>
      </w:hyperlink>
      <w:r w:rsidR="00363C59">
        <w:t xml:space="preserve"> for a definition of these areas). </w:t>
      </w:r>
    </w:p>
    <w:p w14:paraId="54D9FC96" w14:textId="7DCB9125" w:rsidR="00363C59" w:rsidRPr="000B6A4B" w:rsidRDefault="00363C59" w:rsidP="00363C59">
      <w:pPr>
        <w:pStyle w:val="Paragraph"/>
        <w:spacing w:before="240"/>
      </w:pPr>
      <w:r w:rsidRPr="000B6A4B">
        <w:t>Feedback to the options paper closed on 30 September 2021</w:t>
      </w:r>
      <w:r w:rsidR="00DE4F2D">
        <w:t xml:space="preserve"> and</w:t>
      </w:r>
      <w:r w:rsidR="00B02390">
        <w:t xml:space="preserve"> </w:t>
      </w:r>
      <w:r w:rsidR="00DE4F2D">
        <w:t>w</w:t>
      </w:r>
      <w:r>
        <w:t xml:space="preserve">e </w:t>
      </w:r>
      <w:r w:rsidRPr="000B6A4B">
        <w:t>received 14 submissions.</w:t>
      </w:r>
      <w:r>
        <w:t xml:space="preserve"> A summary and response to submissions is provided in this paper. </w:t>
      </w:r>
    </w:p>
    <w:p w14:paraId="31D708AA" w14:textId="4B2210A4" w:rsidR="00295830" w:rsidRDefault="00363C59" w:rsidP="00363C59">
      <w:r>
        <w:t>After reviewing</w:t>
      </w:r>
      <w:r w:rsidRPr="000B6A4B">
        <w:t xml:space="preserve"> submissions, we </w:t>
      </w:r>
      <w:r>
        <w:t xml:space="preserve">have </w:t>
      </w:r>
      <w:r w:rsidRPr="000B6A4B">
        <w:t>deci</w:t>
      </w:r>
      <w:r>
        <w:t>ded</w:t>
      </w:r>
      <w:r w:rsidRPr="000B6A4B">
        <w:t xml:space="preserve"> </w:t>
      </w:r>
      <w:r>
        <w:t xml:space="preserve">to </w:t>
      </w:r>
      <w:r w:rsidR="00295830">
        <w:t xml:space="preserve">make the </w:t>
      </w:r>
      <w:r>
        <w:t>amend</w:t>
      </w:r>
      <w:r w:rsidR="00295830">
        <w:t>ments to</w:t>
      </w:r>
      <w:r>
        <w:t xml:space="preserve"> the 3.4</w:t>
      </w:r>
      <w:r w:rsidR="00F2724B">
        <w:t> </w:t>
      </w:r>
      <w:r>
        <w:t xml:space="preserve">GHz technical framework and </w:t>
      </w:r>
      <w:r w:rsidR="00C21279">
        <w:t xml:space="preserve">have </w:t>
      </w:r>
      <w:r>
        <w:t>progress</w:t>
      </w:r>
      <w:r w:rsidR="00C21279">
        <w:t>ed</w:t>
      </w:r>
      <w:r>
        <w:t xml:space="preserve"> our consideration of options for use of urban excise areas. </w:t>
      </w:r>
    </w:p>
    <w:p w14:paraId="45B4FD50" w14:textId="6C7A854F" w:rsidR="00B02390" w:rsidRDefault="00B02390" w:rsidP="00363C59">
      <w:bookmarkStart w:id="2" w:name="_Hlk89161089"/>
      <w:r>
        <w:t>S</w:t>
      </w:r>
      <w:r w:rsidR="00C21279">
        <w:t xml:space="preserve">ome of the </w:t>
      </w:r>
      <w:r>
        <w:t xml:space="preserve">proposed </w:t>
      </w:r>
      <w:r w:rsidR="00C21279">
        <w:t xml:space="preserve">changes to the 3.4 GHz technical framework are being made to enable NBN Co to re-register </w:t>
      </w:r>
      <w:r w:rsidR="00DE4F2D">
        <w:t xml:space="preserve">radiocommunications </w:t>
      </w:r>
      <w:r w:rsidR="00C21279">
        <w:t xml:space="preserve">devices near urban excise areas following the defragmentation of </w:t>
      </w:r>
      <w:r w:rsidR="00DE4F2D">
        <w:t xml:space="preserve">its </w:t>
      </w:r>
      <w:r w:rsidR="00C21279">
        <w:t xml:space="preserve">licence holdings. NBN Co is required to register </w:t>
      </w:r>
      <w:r w:rsidR="00DE4F2D">
        <w:t>its</w:t>
      </w:r>
      <w:r w:rsidR="00C21279">
        <w:t xml:space="preserve"> devices by 15 February 2022. This means relevant changes to the 3.4 GHz technical framework need to be in place before then. </w:t>
      </w:r>
      <w:bookmarkEnd w:id="2"/>
    </w:p>
    <w:p w14:paraId="176D4640" w14:textId="5265F620" w:rsidR="00B02390" w:rsidRDefault="00C21279" w:rsidP="00363C59">
      <w:r>
        <w:rPr>
          <w:rFonts w:cs="Arial"/>
        </w:rPr>
        <w:t xml:space="preserve">While </w:t>
      </w:r>
      <w:r w:rsidR="00F46868">
        <w:t xml:space="preserve">changes proposed to the 3.4 GHz technical framework </w:t>
      </w:r>
      <w:r>
        <w:t xml:space="preserve">and consideration of options for use of </w:t>
      </w:r>
      <w:r w:rsidR="00B02390">
        <w:t xml:space="preserve">spectrum in the </w:t>
      </w:r>
      <w:r>
        <w:t xml:space="preserve">urban excise areas were combined in the same consultation paper, they are </w:t>
      </w:r>
      <w:r w:rsidR="00B02390">
        <w:t>separate considerations</w:t>
      </w:r>
      <w:r>
        <w:t xml:space="preserve"> and can be implemented independently of each other. </w:t>
      </w:r>
    </w:p>
    <w:p w14:paraId="49BBF6E2" w14:textId="1B189089" w:rsidR="00363C59" w:rsidRPr="00C21279" w:rsidRDefault="00363C59" w:rsidP="00363C59">
      <w:r>
        <w:rPr>
          <w:rFonts w:cs="Arial"/>
        </w:rPr>
        <w:t xml:space="preserve">Consequently, we have decided to progress changes to the 3.4 GHz technical framework ahead of making decisions on the use of </w:t>
      </w:r>
      <w:r w:rsidR="00B02390">
        <w:rPr>
          <w:rFonts w:cs="Arial"/>
        </w:rPr>
        <w:t xml:space="preserve">spectrum in the </w:t>
      </w:r>
      <w:r>
        <w:rPr>
          <w:rFonts w:cs="Arial"/>
        </w:rPr>
        <w:t xml:space="preserve">urban excise areas. This will provide time for us to consider the best use of </w:t>
      </w:r>
      <w:r w:rsidR="00B02390">
        <w:rPr>
          <w:rFonts w:cs="Arial"/>
        </w:rPr>
        <w:t xml:space="preserve">spectrum in the </w:t>
      </w:r>
      <w:r>
        <w:rPr>
          <w:rFonts w:cs="Arial"/>
        </w:rPr>
        <w:t>urban excise areas in the broader context of our work to implement arrangements for wireless broadband in the 3400</w:t>
      </w:r>
      <w:r w:rsidR="005A4E13">
        <w:rPr>
          <w:rFonts w:cs="Arial"/>
        </w:rPr>
        <w:t>–</w:t>
      </w:r>
      <w:r>
        <w:rPr>
          <w:rFonts w:cs="Arial"/>
        </w:rPr>
        <w:t xml:space="preserve">4000 MHz band. </w:t>
      </w:r>
    </w:p>
    <w:p w14:paraId="4AFB27A0" w14:textId="77777777" w:rsidR="00363C59" w:rsidRPr="00A85D75" w:rsidRDefault="00363C59" w:rsidP="00363C59">
      <w:pPr>
        <w:pStyle w:val="Heading2"/>
      </w:pPr>
      <w:bookmarkStart w:id="3" w:name="_Toc89250831"/>
      <w:r>
        <w:t>3.4 GHz technical framework</w:t>
      </w:r>
      <w:bookmarkEnd w:id="3"/>
    </w:p>
    <w:p w14:paraId="202BF1B4" w14:textId="77777777" w:rsidR="00363C59" w:rsidRPr="000B6A4B" w:rsidRDefault="00363C59" w:rsidP="004453CF">
      <w:pPr>
        <w:pStyle w:val="Paragraphbeforelist"/>
      </w:pPr>
      <w:r w:rsidRPr="000B6A4B">
        <w:t>The options paper proposed amendments to the</w:t>
      </w:r>
      <w:r>
        <w:t xml:space="preserve"> following aspects of the</w:t>
      </w:r>
      <w:r w:rsidRPr="000B6A4B">
        <w:t xml:space="preserve"> 3.4 GHz technical framework: </w:t>
      </w:r>
    </w:p>
    <w:p w14:paraId="50E4524B" w14:textId="186D92E4" w:rsidR="00363C59" w:rsidRPr="000B6A4B" w:rsidRDefault="005A4E13" w:rsidP="004453CF">
      <w:pPr>
        <w:pStyle w:val="Bulletlevel1"/>
        <w:rPr>
          <w:bCs/>
          <w:color w:val="000000" w:themeColor="text1"/>
          <w:szCs w:val="20"/>
        </w:rPr>
      </w:pPr>
      <w:r>
        <w:rPr>
          <w:bCs/>
          <w:color w:val="000000" w:themeColor="text1"/>
          <w:szCs w:val="20"/>
        </w:rPr>
        <w:t>T</w:t>
      </w:r>
      <w:r w:rsidR="00363C59" w:rsidRPr="000B6A4B">
        <w:rPr>
          <w:bCs/>
          <w:color w:val="000000" w:themeColor="text1"/>
          <w:szCs w:val="20"/>
        </w:rPr>
        <w:t xml:space="preserve">he </w:t>
      </w:r>
      <w:hyperlink r:id="rId25" w:tgtFrame="_self" w:history="1">
        <w:r w:rsidR="00363C59" w:rsidRPr="000B6A4B">
          <w:rPr>
            <w:rStyle w:val="Hyperlink"/>
            <w:bCs/>
          </w:rPr>
          <w:t>Radiocommunications (Unacceptable Levels of Interference – 3.4 GHz Band) Determination 2015</w:t>
        </w:r>
      </w:hyperlink>
      <w:r w:rsidR="00363C59" w:rsidRPr="000B6A4B">
        <w:rPr>
          <w:i/>
          <w:iCs/>
        </w:rPr>
        <w:t xml:space="preserve"> </w:t>
      </w:r>
      <w:r w:rsidR="00363C59" w:rsidRPr="000B6A4B">
        <w:t xml:space="preserve">(the s.145(4) Determination). </w:t>
      </w:r>
    </w:p>
    <w:p w14:paraId="6235E129" w14:textId="3EA8F45E" w:rsidR="00363C59" w:rsidRPr="000B6A4B" w:rsidRDefault="005A4E13" w:rsidP="004453CF">
      <w:pPr>
        <w:pStyle w:val="Bulletlevel1"/>
      </w:pPr>
      <w:r>
        <w:t>T</w:t>
      </w:r>
      <w:r w:rsidR="00363C59" w:rsidRPr="000B6A4B">
        <w:t>he 3.4 GHz spectrum licen</w:t>
      </w:r>
      <w:r w:rsidR="00363C59">
        <w:t>c</w:t>
      </w:r>
      <w:r w:rsidR="00363C59" w:rsidRPr="000B6A4B">
        <w:t>e core conditions relating to receiver spurious emissions.</w:t>
      </w:r>
    </w:p>
    <w:p w14:paraId="480BBA89" w14:textId="72B3952F" w:rsidR="00363C59" w:rsidRPr="000B6A4B" w:rsidRDefault="005A4E13" w:rsidP="004453CF">
      <w:pPr>
        <w:pStyle w:val="Bulletlevel1last"/>
        <w:rPr>
          <w:bCs/>
          <w:color w:val="000000" w:themeColor="text1"/>
          <w:szCs w:val="20"/>
        </w:rPr>
      </w:pPr>
      <w:r>
        <w:rPr>
          <w:bCs/>
          <w:color w:val="000000" w:themeColor="text1"/>
          <w:szCs w:val="20"/>
        </w:rPr>
        <w:t>T</w:t>
      </w:r>
      <w:r w:rsidR="00363C59">
        <w:rPr>
          <w:bCs/>
          <w:color w:val="000000" w:themeColor="text1"/>
          <w:szCs w:val="20"/>
        </w:rPr>
        <w:t>he</w:t>
      </w:r>
      <w:r w:rsidR="00363C59" w:rsidRPr="000B6A4B">
        <w:rPr>
          <w:bCs/>
          <w:color w:val="000000" w:themeColor="text1"/>
          <w:szCs w:val="20"/>
        </w:rPr>
        <w:t xml:space="preserve"> </w:t>
      </w:r>
      <w:hyperlink r:id="rId26" w:history="1">
        <w:r w:rsidR="00363C59">
          <w:rPr>
            <w:rStyle w:val="Hyperlink"/>
            <w:i/>
            <w:iCs/>
          </w:rPr>
          <w:t>Radiocommunications Assignment and Licensing Instruction MS44 – Frequency coordination procedures for the earth station protection zones</w:t>
        </w:r>
      </w:hyperlink>
      <w:r w:rsidR="00363C59" w:rsidRPr="000B6A4B">
        <w:rPr>
          <w:i/>
          <w:iCs/>
        </w:rPr>
        <w:t xml:space="preserve"> </w:t>
      </w:r>
      <w:r>
        <w:rPr>
          <w:i/>
          <w:iCs/>
        </w:rPr>
        <w:br/>
      </w:r>
      <w:r w:rsidR="00363C59" w:rsidRPr="000B6A4B">
        <w:t>(RALI MS44)</w:t>
      </w:r>
      <w:r w:rsidR="00363C59">
        <w:t>.</w:t>
      </w:r>
    </w:p>
    <w:p w14:paraId="255B20D9" w14:textId="25FFE8B9" w:rsidR="00E21783" w:rsidRPr="000B6A4B" w:rsidRDefault="00363C59" w:rsidP="005C29D6">
      <w:pPr>
        <w:pStyle w:val="Paragraph"/>
        <w:rPr>
          <w:bCs/>
          <w:color w:val="000000" w:themeColor="text1"/>
          <w:szCs w:val="20"/>
        </w:rPr>
      </w:pPr>
      <w:r>
        <w:t>Submissions received supported the proposed amendments. Additional minor changes were suggested to the</w:t>
      </w:r>
      <w:r w:rsidR="00DE4F2D">
        <w:t xml:space="preserve"> draft</w:t>
      </w:r>
      <w:r>
        <w:t xml:space="preserve"> </w:t>
      </w:r>
      <w:r w:rsidRPr="004453CF">
        <w:t>Radiocommunications (Unacceptable Levels of Interference – 3.4 GHz Band) Amendment Determination 2021 (No. 1)</w:t>
      </w:r>
      <w:r>
        <w:t xml:space="preserve">. </w:t>
      </w:r>
    </w:p>
    <w:p w14:paraId="04046104" w14:textId="26BBCA9C" w:rsidR="00815170" w:rsidRDefault="00815170" w:rsidP="00295830">
      <w:pPr>
        <w:pStyle w:val="Paragraph"/>
        <w:rPr>
          <w:sz w:val="28"/>
          <w:szCs w:val="28"/>
        </w:rPr>
      </w:pPr>
      <w:r>
        <w:lastRenderedPageBreak/>
        <w:t>T</w:t>
      </w:r>
      <w:r w:rsidR="00E45CD1">
        <w:rPr>
          <w:szCs w:val="20"/>
        </w:rPr>
        <w:t>he ACMA has</w:t>
      </w:r>
      <w:r>
        <w:rPr>
          <w:szCs w:val="20"/>
        </w:rPr>
        <w:t xml:space="preserve"> subsequently</w:t>
      </w:r>
      <w:r w:rsidR="00E45CD1">
        <w:rPr>
          <w:szCs w:val="20"/>
        </w:rPr>
        <w:t xml:space="preserve"> decided to implement the changes </w:t>
      </w:r>
      <w:r w:rsidR="00D5243D">
        <w:rPr>
          <w:szCs w:val="20"/>
        </w:rPr>
        <w:t xml:space="preserve">to the s.145(4) Determination, receiver spurious emission limits </w:t>
      </w:r>
      <w:r w:rsidR="00DE4F2D">
        <w:rPr>
          <w:szCs w:val="20"/>
        </w:rPr>
        <w:t xml:space="preserve">in spectrum licences </w:t>
      </w:r>
      <w:r w:rsidR="00D5243D">
        <w:rPr>
          <w:szCs w:val="20"/>
        </w:rPr>
        <w:t>and RA</w:t>
      </w:r>
      <w:r w:rsidR="00200F1C">
        <w:rPr>
          <w:szCs w:val="20"/>
        </w:rPr>
        <w:t>LI</w:t>
      </w:r>
      <w:r w:rsidR="00D5243D">
        <w:rPr>
          <w:szCs w:val="20"/>
        </w:rPr>
        <w:t xml:space="preserve"> MS44 </w:t>
      </w:r>
      <w:r w:rsidR="00DE4F2D">
        <w:rPr>
          <w:szCs w:val="20"/>
        </w:rPr>
        <w:t xml:space="preserve">that were </w:t>
      </w:r>
      <w:r w:rsidR="00E45CD1">
        <w:rPr>
          <w:szCs w:val="20"/>
        </w:rPr>
        <w:t>detailed in the options paper</w:t>
      </w:r>
      <w:r w:rsidR="00D5243D">
        <w:rPr>
          <w:szCs w:val="20"/>
        </w:rPr>
        <w:t xml:space="preserve">. </w:t>
      </w:r>
      <w:r w:rsidR="00200F1C">
        <w:rPr>
          <w:szCs w:val="20"/>
        </w:rPr>
        <w:t>T</w:t>
      </w:r>
      <w:r w:rsidR="00D5243D">
        <w:rPr>
          <w:szCs w:val="20"/>
        </w:rPr>
        <w:t>his also includes</w:t>
      </w:r>
      <w:r w:rsidR="00E45CD1">
        <w:rPr>
          <w:szCs w:val="20"/>
        </w:rPr>
        <w:t xml:space="preserve"> the addition</w:t>
      </w:r>
      <w:r w:rsidR="00711BBE">
        <w:rPr>
          <w:szCs w:val="20"/>
        </w:rPr>
        <w:t>al</w:t>
      </w:r>
      <w:r w:rsidR="00E45CD1">
        <w:rPr>
          <w:szCs w:val="20"/>
        </w:rPr>
        <w:t xml:space="preserve"> proposed changes to the </w:t>
      </w:r>
      <w:r w:rsidR="00E45CD1" w:rsidRPr="004453CF">
        <w:t>Radiocommunications (Unacceptable Levels of Interference – 3.4 GHz Band) Amendment Determination 2021 (No. 1)</w:t>
      </w:r>
      <w:r w:rsidR="00E45CD1">
        <w:rPr>
          <w:szCs w:val="20"/>
        </w:rPr>
        <w:t>.</w:t>
      </w:r>
    </w:p>
    <w:p w14:paraId="0672B794" w14:textId="3A986917" w:rsidR="00E45CD1" w:rsidRPr="00A85D75" w:rsidRDefault="00E45CD1" w:rsidP="00E45CD1">
      <w:pPr>
        <w:pStyle w:val="Heading2"/>
      </w:pPr>
      <w:bookmarkStart w:id="4" w:name="_Toc89250832"/>
      <w:r>
        <w:t>Use of urban excise areas</w:t>
      </w:r>
      <w:bookmarkEnd w:id="4"/>
    </w:p>
    <w:p w14:paraId="4AC027AA" w14:textId="383F25EB" w:rsidR="00F53DDA" w:rsidRPr="000B6A4B" w:rsidRDefault="00F53DDA" w:rsidP="004453CF">
      <w:pPr>
        <w:pStyle w:val="Paragraphbeforelist"/>
      </w:pPr>
      <w:r w:rsidRPr="000B6A4B">
        <w:t>The paper identified four options to support WBB use of the 3400</w:t>
      </w:r>
      <w:r w:rsidR="0058521A">
        <w:t>–</w:t>
      </w:r>
      <w:r w:rsidRPr="000B6A4B">
        <w:t xml:space="preserve">3475 MHz band in urban excise areas. These are summarised in </w:t>
      </w:r>
      <w:r w:rsidR="00CB35C4">
        <w:t>Table 1</w:t>
      </w:r>
      <w:r w:rsidR="008E1A98">
        <w:t>,</w:t>
      </w:r>
      <w:r>
        <w:t xml:space="preserve"> with further detail provided at </w:t>
      </w:r>
      <w:hyperlink w:anchor="_Appendix_B:_Options" w:history="1">
        <w:r w:rsidRPr="0058521A">
          <w:rPr>
            <w:rStyle w:val="Hyperlink"/>
            <w:bCs/>
            <w:szCs w:val="20"/>
          </w:rPr>
          <w:t>Appendix B</w:t>
        </w:r>
      </w:hyperlink>
      <w:r w:rsidRPr="000B6A4B">
        <w:t xml:space="preserve">. Each option involves different </w:t>
      </w:r>
      <w:r w:rsidR="00E96234">
        <w:t>considerations for</w:t>
      </w:r>
      <w:r w:rsidRPr="000B6A4B">
        <w:t>:</w:t>
      </w:r>
    </w:p>
    <w:p w14:paraId="48BE7D06" w14:textId="77777777" w:rsidR="00F53DDA" w:rsidRPr="000B6A4B" w:rsidRDefault="00F53DDA" w:rsidP="00F53DDA">
      <w:pPr>
        <w:pStyle w:val="Bulletlevel1"/>
        <w:tabs>
          <w:tab w:val="clear" w:pos="295"/>
          <w:tab w:val="num" w:pos="-119"/>
        </w:tabs>
      </w:pPr>
      <w:r w:rsidRPr="000B6A4B">
        <w:t>macro-cell</w:t>
      </w:r>
      <w:r w:rsidRPr="000B6A4B">
        <w:rPr>
          <w:rStyle w:val="FootnoteReference"/>
          <w:sz w:val="22"/>
          <w:szCs w:val="22"/>
        </w:rPr>
        <w:footnoteReference w:id="2"/>
      </w:r>
      <w:r w:rsidRPr="000B6A4B">
        <w:t xml:space="preserve"> or restricted cell</w:t>
      </w:r>
      <w:r w:rsidRPr="000B6A4B">
        <w:rPr>
          <w:rStyle w:val="FootnoteReference"/>
          <w:sz w:val="22"/>
          <w:szCs w:val="22"/>
        </w:rPr>
        <w:footnoteReference w:id="3"/>
      </w:r>
      <w:r w:rsidRPr="000B6A4B">
        <w:t xml:space="preserve"> deployment models</w:t>
      </w:r>
    </w:p>
    <w:p w14:paraId="4ECF27F8" w14:textId="6C8CD1CF" w:rsidR="00F53DDA" w:rsidRDefault="00F53DDA" w:rsidP="00F53DDA">
      <w:pPr>
        <w:pStyle w:val="Bulletlevel1last"/>
      </w:pPr>
      <w:r w:rsidRPr="000B6A4B">
        <w:t>single or multiple operators per channel in an urban excise area</w:t>
      </w:r>
      <w:r w:rsidR="00200F1C">
        <w:t xml:space="preserve"> (exclusive versus shared access)</w:t>
      </w:r>
      <w:r w:rsidRPr="000B6A4B">
        <w:t xml:space="preserve">. </w:t>
      </w:r>
    </w:p>
    <w:p w14:paraId="7159E702" w14:textId="6529E26C" w:rsidR="00CB35C4" w:rsidRDefault="00CB35C4" w:rsidP="00DF7B17">
      <w:pPr>
        <w:pStyle w:val="Tableheading"/>
        <w:keepLines/>
      </w:pPr>
      <w:r>
        <w:t>Summary of options for use of urban excise spectrum</w:t>
      </w:r>
    </w:p>
    <w:tbl>
      <w:tblPr>
        <w:tblW w:w="9782" w:type="dxa"/>
        <w:tblInd w:w="-10" w:type="dxa"/>
        <w:tblCellMar>
          <w:left w:w="0" w:type="dxa"/>
          <w:right w:w="0" w:type="dxa"/>
        </w:tblCellMar>
        <w:tblLook w:val="04A0" w:firstRow="1" w:lastRow="0" w:firstColumn="1" w:lastColumn="0" w:noHBand="0" w:noVBand="1"/>
      </w:tblPr>
      <w:tblGrid>
        <w:gridCol w:w="994"/>
        <w:gridCol w:w="2974"/>
        <w:gridCol w:w="2408"/>
        <w:gridCol w:w="1417"/>
        <w:gridCol w:w="1989"/>
      </w:tblGrid>
      <w:tr w:rsidR="00CB35C4" w14:paraId="29729E39" w14:textId="77777777" w:rsidTr="00DF7B17">
        <w:trPr>
          <w:cantSplit/>
          <w:tblHeader/>
        </w:trPr>
        <w:tc>
          <w:tcPr>
            <w:tcW w:w="994" w:type="dxa"/>
            <w:tcBorders>
              <w:top w:val="single" w:sz="8" w:space="0" w:color="auto"/>
              <w:left w:val="single" w:sz="8" w:space="0" w:color="auto"/>
              <w:bottom w:val="single" w:sz="8" w:space="0" w:color="auto"/>
              <w:right w:val="nil"/>
            </w:tcBorders>
            <w:shd w:val="clear" w:color="auto" w:fill="404040"/>
            <w:tcMar>
              <w:top w:w="85" w:type="dxa"/>
              <w:left w:w="57" w:type="dxa"/>
              <w:bottom w:w="85" w:type="dxa"/>
              <w:right w:w="57" w:type="dxa"/>
            </w:tcMar>
            <w:hideMark/>
          </w:tcPr>
          <w:p w14:paraId="0E43F95E" w14:textId="77777777" w:rsidR="00CB35C4" w:rsidRDefault="00CB35C4">
            <w:pPr>
              <w:pStyle w:val="Tableheaderrow"/>
              <w:jc w:val="center"/>
              <w:rPr>
                <w:color w:val="FFFFFF"/>
              </w:rPr>
            </w:pPr>
            <w:r>
              <w:rPr>
                <w:color w:val="FFFFFF"/>
              </w:rPr>
              <w:t>Option</w:t>
            </w:r>
          </w:p>
        </w:tc>
        <w:tc>
          <w:tcPr>
            <w:tcW w:w="2974" w:type="dxa"/>
            <w:tcBorders>
              <w:top w:val="single" w:sz="8" w:space="0" w:color="auto"/>
              <w:left w:val="nil"/>
              <w:bottom w:val="single" w:sz="8" w:space="0" w:color="auto"/>
              <w:right w:val="nil"/>
            </w:tcBorders>
            <w:shd w:val="clear" w:color="auto" w:fill="404040"/>
            <w:tcMar>
              <w:top w:w="85" w:type="dxa"/>
              <w:left w:w="57" w:type="dxa"/>
              <w:bottom w:w="85" w:type="dxa"/>
              <w:right w:w="57" w:type="dxa"/>
            </w:tcMar>
            <w:hideMark/>
          </w:tcPr>
          <w:p w14:paraId="60C2381B" w14:textId="77777777" w:rsidR="00CB35C4" w:rsidRDefault="00CB35C4">
            <w:pPr>
              <w:pStyle w:val="Tableheaderrow"/>
              <w:jc w:val="center"/>
              <w:rPr>
                <w:color w:val="FFFFFF"/>
              </w:rPr>
            </w:pPr>
            <w:r>
              <w:rPr>
                <w:color w:val="FFFFFF"/>
              </w:rPr>
              <w:t>Deployment model</w:t>
            </w:r>
          </w:p>
        </w:tc>
        <w:tc>
          <w:tcPr>
            <w:tcW w:w="2408" w:type="dxa"/>
            <w:tcBorders>
              <w:top w:val="single" w:sz="8" w:space="0" w:color="auto"/>
              <w:left w:val="nil"/>
              <w:bottom w:val="single" w:sz="8" w:space="0" w:color="auto"/>
              <w:right w:val="nil"/>
            </w:tcBorders>
            <w:shd w:val="clear" w:color="auto" w:fill="404040"/>
            <w:tcMar>
              <w:top w:w="85" w:type="dxa"/>
              <w:left w:w="57" w:type="dxa"/>
              <w:bottom w:w="85" w:type="dxa"/>
              <w:right w:w="57" w:type="dxa"/>
            </w:tcMar>
            <w:hideMark/>
          </w:tcPr>
          <w:p w14:paraId="15EF3D0D" w14:textId="77777777" w:rsidR="00CB35C4" w:rsidRDefault="00CB35C4">
            <w:pPr>
              <w:pStyle w:val="Tableheaderrow"/>
              <w:jc w:val="center"/>
              <w:rPr>
                <w:color w:val="FFFFFF"/>
              </w:rPr>
            </w:pPr>
            <w:r>
              <w:rPr>
                <w:color w:val="FFFFFF"/>
              </w:rPr>
              <w:t>Restricted use band</w:t>
            </w:r>
          </w:p>
        </w:tc>
        <w:tc>
          <w:tcPr>
            <w:tcW w:w="1417" w:type="dxa"/>
            <w:tcBorders>
              <w:top w:val="single" w:sz="8" w:space="0" w:color="auto"/>
              <w:left w:val="nil"/>
              <w:bottom w:val="single" w:sz="8" w:space="0" w:color="auto"/>
              <w:right w:val="nil"/>
            </w:tcBorders>
            <w:shd w:val="clear" w:color="auto" w:fill="404040"/>
            <w:tcMar>
              <w:top w:w="85" w:type="dxa"/>
              <w:left w:w="57" w:type="dxa"/>
              <w:bottom w:w="85" w:type="dxa"/>
              <w:right w:w="57" w:type="dxa"/>
            </w:tcMar>
            <w:hideMark/>
          </w:tcPr>
          <w:p w14:paraId="1605DC04" w14:textId="77777777" w:rsidR="00CB35C4" w:rsidRDefault="00CB35C4">
            <w:pPr>
              <w:pStyle w:val="Tableheaderrow"/>
              <w:jc w:val="center"/>
              <w:rPr>
                <w:color w:val="FFFFFF"/>
              </w:rPr>
            </w:pPr>
            <w:r>
              <w:rPr>
                <w:color w:val="FFFFFF"/>
              </w:rPr>
              <w:t>Access type</w:t>
            </w:r>
          </w:p>
        </w:tc>
        <w:tc>
          <w:tcPr>
            <w:tcW w:w="1989" w:type="dxa"/>
            <w:tcBorders>
              <w:top w:val="single" w:sz="8" w:space="0" w:color="auto"/>
              <w:left w:val="nil"/>
              <w:bottom w:val="single" w:sz="8" w:space="0" w:color="auto"/>
              <w:right w:val="single" w:sz="8" w:space="0" w:color="auto"/>
            </w:tcBorders>
            <w:shd w:val="clear" w:color="auto" w:fill="404040"/>
            <w:tcMar>
              <w:top w:w="85" w:type="dxa"/>
              <w:left w:w="57" w:type="dxa"/>
              <w:bottom w:w="85" w:type="dxa"/>
              <w:right w:w="57" w:type="dxa"/>
            </w:tcMar>
            <w:hideMark/>
          </w:tcPr>
          <w:p w14:paraId="79D63315" w14:textId="77777777" w:rsidR="00CB35C4" w:rsidRDefault="00CB35C4">
            <w:pPr>
              <w:pStyle w:val="Tableheaderrow"/>
              <w:jc w:val="center"/>
              <w:rPr>
                <w:color w:val="FFFFFF"/>
              </w:rPr>
            </w:pPr>
            <w:r>
              <w:rPr>
                <w:color w:val="FFFFFF"/>
              </w:rPr>
              <w:t>Licence model</w:t>
            </w:r>
          </w:p>
        </w:tc>
      </w:tr>
      <w:tr w:rsidR="00CB35C4" w14:paraId="2A4D9AEE" w14:textId="77777777" w:rsidTr="00DF7B17">
        <w:trPr>
          <w:cantSplit/>
        </w:trPr>
        <w:tc>
          <w:tcPr>
            <w:tcW w:w="994" w:type="dxa"/>
            <w:tcBorders>
              <w:top w:val="nil"/>
              <w:left w:val="single" w:sz="8" w:space="0" w:color="auto"/>
              <w:bottom w:val="single" w:sz="8" w:space="0" w:color="auto"/>
              <w:right w:val="single" w:sz="8" w:space="0" w:color="auto"/>
            </w:tcBorders>
            <w:shd w:val="clear" w:color="auto" w:fill="F2F2F2"/>
            <w:tcMar>
              <w:top w:w="85" w:type="dxa"/>
              <w:left w:w="28" w:type="dxa"/>
              <w:bottom w:w="85" w:type="dxa"/>
              <w:right w:w="28" w:type="dxa"/>
            </w:tcMar>
            <w:vAlign w:val="center"/>
            <w:hideMark/>
          </w:tcPr>
          <w:p w14:paraId="2D2CB245" w14:textId="77777777" w:rsidR="00CB35C4" w:rsidRDefault="00CB35C4">
            <w:pPr>
              <w:pStyle w:val="TableBody"/>
              <w:jc w:val="center"/>
            </w:pPr>
            <w:r>
              <w:rPr>
                <w:color w:val="000000"/>
              </w:rPr>
              <w:t>Option 1</w:t>
            </w:r>
          </w:p>
        </w:tc>
        <w:tc>
          <w:tcPr>
            <w:tcW w:w="2974" w:type="dxa"/>
            <w:tcBorders>
              <w:top w:val="nil"/>
              <w:left w:val="nil"/>
              <w:bottom w:val="single" w:sz="8" w:space="0" w:color="auto"/>
              <w:right w:val="single" w:sz="8" w:space="0" w:color="auto"/>
            </w:tcBorders>
            <w:shd w:val="clear" w:color="auto" w:fill="F2F2F2"/>
            <w:tcMar>
              <w:top w:w="85" w:type="dxa"/>
              <w:left w:w="28" w:type="dxa"/>
              <w:bottom w:w="85" w:type="dxa"/>
              <w:right w:w="28" w:type="dxa"/>
            </w:tcMar>
            <w:vAlign w:val="center"/>
            <w:hideMark/>
          </w:tcPr>
          <w:p w14:paraId="26BFD86F" w14:textId="3D126083" w:rsidR="00CB35C4" w:rsidRDefault="00CB35C4">
            <w:pPr>
              <w:pStyle w:val="TableBody"/>
              <w:jc w:val="center"/>
            </w:pPr>
            <w:r>
              <w:rPr>
                <w:color w:val="000000"/>
              </w:rPr>
              <w:t>3400</w:t>
            </w:r>
            <w:r w:rsidR="0058521A">
              <w:rPr>
                <w:color w:val="000000"/>
              </w:rPr>
              <w:t>–</w:t>
            </w:r>
            <w:r>
              <w:rPr>
                <w:color w:val="000000"/>
              </w:rPr>
              <w:t>3460 MHz: Macro-cell</w:t>
            </w:r>
          </w:p>
        </w:tc>
        <w:tc>
          <w:tcPr>
            <w:tcW w:w="2408" w:type="dxa"/>
            <w:tcBorders>
              <w:top w:val="nil"/>
              <w:left w:val="nil"/>
              <w:bottom w:val="single" w:sz="8" w:space="0" w:color="auto"/>
              <w:right w:val="single" w:sz="8" w:space="0" w:color="auto"/>
            </w:tcBorders>
            <w:shd w:val="clear" w:color="auto" w:fill="F2F2F2"/>
            <w:tcMar>
              <w:top w:w="85" w:type="dxa"/>
              <w:left w:w="28" w:type="dxa"/>
              <w:bottom w:w="85" w:type="dxa"/>
              <w:right w:w="28" w:type="dxa"/>
            </w:tcMar>
            <w:vAlign w:val="center"/>
            <w:hideMark/>
          </w:tcPr>
          <w:p w14:paraId="28DEEC39" w14:textId="050D543D" w:rsidR="00CB35C4" w:rsidRDefault="00CB35C4">
            <w:pPr>
              <w:pStyle w:val="TableBody"/>
              <w:jc w:val="center"/>
            </w:pPr>
            <w:r>
              <w:rPr>
                <w:color w:val="000000"/>
              </w:rPr>
              <w:t>3460</w:t>
            </w:r>
            <w:r w:rsidR="0058521A">
              <w:rPr>
                <w:color w:val="000000"/>
              </w:rPr>
              <w:t>–</w:t>
            </w:r>
            <w:r>
              <w:rPr>
                <w:color w:val="000000"/>
              </w:rPr>
              <w:t>3475 MHz: 15 MHz</w:t>
            </w:r>
          </w:p>
        </w:tc>
        <w:tc>
          <w:tcPr>
            <w:tcW w:w="1417" w:type="dxa"/>
            <w:tcBorders>
              <w:top w:val="nil"/>
              <w:left w:val="nil"/>
              <w:bottom w:val="single" w:sz="8" w:space="0" w:color="auto"/>
              <w:right w:val="single" w:sz="8" w:space="0" w:color="auto"/>
            </w:tcBorders>
            <w:shd w:val="clear" w:color="auto" w:fill="F2F2F2"/>
            <w:tcMar>
              <w:top w:w="85" w:type="dxa"/>
              <w:left w:w="57" w:type="dxa"/>
              <w:bottom w:w="85" w:type="dxa"/>
              <w:right w:w="57" w:type="dxa"/>
            </w:tcMar>
            <w:vAlign w:val="center"/>
            <w:hideMark/>
          </w:tcPr>
          <w:p w14:paraId="0B190EA4" w14:textId="77777777" w:rsidR="00CB35C4" w:rsidRDefault="00CB35C4">
            <w:pPr>
              <w:pStyle w:val="TableBody"/>
              <w:jc w:val="center"/>
            </w:pPr>
            <w:r>
              <w:rPr>
                <w:color w:val="000000"/>
              </w:rPr>
              <w:t>Exclusive</w:t>
            </w:r>
          </w:p>
        </w:tc>
        <w:tc>
          <w:tcPr>
            <w:tcW w:w="1989" w:type="dxa"/>
            <w:tcBorders>
              <w:top w:val="nil"/>
              <w:left w:val="nil"/>
              <w:bottom w:val="single" w:sz="8" w:space="0" w:color="auto"/>
              <w:right w:val="single" w:sz="8" w:space="0" w:color="auto"/>
            </w:tcBorders>
            <w:shd w:val="clear" w:color="auto" w:fill="F2F2F2"/>
            <w:tcMar>
              <w:top w:w="85" w:type="dxa"/>
              <w:left w:w="57" w:type="dxa"/>
              <w:bottom w:w="85" w:type="dxa"/>
              <w:right w:w="57" w:type="dxa"/>
            </w:tcMar>
            <w:vAlign w:val="center"/>
            <w:hideMark/>
          </w:tcPr>
          <w:p w14:paraId="5B536B70" w14:textId="134EC20E" w:rsidR="00CB35C4" w:rsidRDefault="00CB35C4">
            <w:pPr>
              <w:pStyle w:val="TableBody"/>
              <w:jc w:val="center"/>
            </w:pPr>
            <w:r>
              <w:rPr>
                <w:color w:val="000000"/>
              </w:rPr>
              <w:t>Spectrum licence / area</w:t>
            </w:r>
            <w:r w:rsidR="0058521A">
              <w:rPr>
                <w:color w:val="000000"/>
              </w:rPr>
              <w:t>-</w:t>
            </w:r>
            <w:r>
              <w:rPr>
                <w:color w:val="000000"/>
              </w:rPr>
              <w:t>wide apparatus licence (AWL)</w:t>
            </w:r>
          </w:p>
        </w:tc>
      </w:tr>
      <w:tr w:rsidR="00CB35C4" w14:paraId="223FD2CB" w14:textId="77777777" w:rsidTr="00DF7B17">
        <w:trPr>
          <w:cantSplit/>
        </w:trPr>
        <w:tc>
          <w:tcPr>
            <w:tcW w:w="994" w:type="dxa"/>
            <w:tcBorders>
              <w:top w:val="nil"/>
              <w:left w:val="single" w:sz="8" w:space="0" w:color="auto"/>
              <w:bottom w:val="single" w:sz="8" w:space="0" w:color="auto"/>
              <w:right w:val="single" w:sz="8" w:space="0" w:color="auto"/>
            </w:tcBorders>
            <w:tcMar>
              <w:top w:w="85" w:type="dxa"/>
              <w:left w:w="28" w:type="dxa"/>
              <w:bottom w:w="85" w:type="dxa"/>
              <w:right w:w="28" w:type="dxa"/>
            </w:tcMar>
            <w:vAlign w:val="center"/>
            <w:hideMark/>
          </w:tcPr>
          <w:p w14:paraId="7E3D5DDF" w14:textId="77777777" w:rsidR="00CB35C4" w:rsidRDefault="00CB35C4">
            <w:pPr>
              <w:pStyle w:val="TableBody"/>
              <w:jc w:val="center"/>
            </w:pPr>
            <w:r>
              <w:t>Option 2</w:t>
            </w:r>
          </w:p>
        </w:tc>
        <w:tc>
          <w:tcPr>
            <w:tcW w:w="2974" w:type="dxa"/>
            <w:tcBorders>
              <w:top w:val="nil"/>
              <w:left w:val="nil"/>
              <w:bottom w:val="single" w:sz="8" w:space="0" w:color="auto"/>
              <w:right w:val="single" w:sz="8" w:space="0" w:color="auto"/>
            </w:tcBorders>
            <w:tcMar>
              <w:top w:w="85" w:type="dxa"/>
              <w:left w:w="28" w:type="dxa"/>
              <w:bottom w:w="85" w:type="dxa"/>
              <w:right w:w="28" w:type="dxa"/>
            </w:tcMar>
            <w:vAlign w:val="center"/>
            <w:hideMark/>
          </w:tcPr>
          <w:p w14:paraId="134723CF" w14:textId="6B65690C" w:rsidR="00CB35C4" w:rsidRDefault="00CB35C4">
            <w:pPr>
              <w:pStyle w:val="TableBody"/>
              <w:jc w:val="center"/>
            </w:pPr>
            <w:r>
              <w:t>3400</w:t>
            </w:r>
            <w:r w:rsidR="0058521A">
              <w:t>–</w:t>
            </w:r>
            <w:r>
              <w:t>3470 MHz: Restricted cell</w:t>
            </w:r>
          </w:p>
        </w:tc>
        <w:tc>
          <w:tcPr>
            <w:tcW w:w="2408" w:type="dxa"/>
            <w:tcBorders>
              <w:top w:val="nil"/>
              <w:left w:val="nil"/>
              <w:bottom w:val="single" w:sz="8" w:space="0" w:color="auto"/>
              <w:right w:val="single" w:sz="8" w:space="0" w:color="auto"/>
            </w:tcBorders>
            <w:tcMar>
              <w:top w:w="85" w:type="dxa"/>
              <w:left w:w="28" w:type="dxa"/>
              <w:bottom w:w="85" w:type="dxa"/>
              <w:right w:w="28" w:type="dxa"/>
            </w:tcMar>
            <w:vAlign w:val="center"/>
            <w:hideMark/>
          </w:tcPr>
          <w:p w14:paraId="2B356FFA" w14:textId="2C7BD6BD" w:rsidR="00CB35C4" w:rsidRDefault="00CB35C4">
            <w:pPr>
              <w:pStyle w:val="TableBody"/>
              <w:jc w:val="center"/>
            </w:pPr>
            <w:r>
              <w:t>3470</w:t>
            </w:r>
            <w:r w:rsidR="0058521A">
              <w:t>–</w:t>
            </w:r>
            <w:r>
              <w:t>3475 MHz: 5 MHz</w:t>
            </w:r>
          </w:p>
        </w:tc>
        <w:tc>
          <w:tcPr>
            <w:tcW w:w="1417" w:type="dxa"/>
            <w:tcBorders>
              <w:top w:val="nil"/>
              <w:left w:val="nil"/>
              <w:bottom w:val="single" w:sz="8" w:space="0" w:color="auto"/>
              <w:right w:val="single" w:sz="8" w:space="0" w:color="auto"/>
            </w:tcBorders>
            <w:tcMar>
              <w:top w:w="85" w:type="dxa"/>
              <w:left w:w="57" w:type="dxa"/>
              <w:bottom w:w="85" w:type="dxa"/>
              <w:right w:w="57" w:type="dxa"/>
            </w:tcMar>
            <w:vAlign w:val="center"/>
            <w:hideMark/>
          </w:tcPr>
          <w:p w14:paraId="3C159101" w14:textId="77777777" w:rsidR="00CB35C4" w:rsidRDefault="00CB35C4">
            <w:pPr>
              <w:pStyle w:val="TableBody"/>
              <w:jc w:val="center"/>
            </w:pPr>
            <w:r>
              <w:t>Exclusive</w:t>
            </w:r>
          </w:p>
        </w:tc>
        <w:tc>
          <w:tcPr>
            <w:tcW w:w="1989" w:type="dxa"/>
            <w:tcBorders>
              <w:top w:val="nil"/>
              <w:left w:val="nil"/>
              <w:bottom w:val="single" w:sz="8" w:space="0" w:color="auto"/>
              <w:right w:val="single" w:sz="8" w:space="0" w:color="auto"/>
            </w:tcBorders>
            <w:tcMar>
              <w:top w:w="85" w:type="dxa"/>
              <w:left w:w="57" w:type="dxa"/>
              <w:bottom w:w="85" w:type="dxa"/>
              <w:right w:w="57" w:type="dxa"/>
            </w:tcMar>
            <w:vAlign w:val="center"/>
            <w:hideMark/>
          </w:tcPr>
          <w:p w14:paraId="22689C45" w14:textId="77777777" w:rsidR="00CB35C4" w:rsidRDefault="00CB35C4">
            <w:pPr>
              <w:pStyle w:val="TableBody"/>
              <w:jc w:val="center"/>
            </w:pPr>
            <w:r>
              <w:t>Spectrum licence / AWL</w:t>
            </w:r>
          </w:p>
        </w:tc>
      </w:tr>
      <w:tr w:rsidR="00CB35C4" w14:paraId="2422C60D" w14:textId="77777777" w:rsidTr="00DF7B17">
        <w:trPr>
          <w:cantSplit/>
        </w:trPr>
        <w:tc>
          <w:tcPr>
            <w:tcW w:w="994" w:type="dxa"/>
            <w:tcBorders>
              <w:top w:val="nil"/>
              <w:left w:val="single" w:sz="8" w:space="0" w:color="auto"/>
              <w:bottom w:val="single" w:sz="8" w:space="0" w:color="auto"/>
              <w:right w:val="single" w:sz="8" w:space="0" w:color="auto"/>
            </w:tcBorders>
            <w:shd w:val="clear" w:color="auto" w:fill="F2F2F2"/>
            <w:tcMar>
              <w:top w:w="85" w:type="dxa"/>
              <w:left w:w="28" w:type="dxa"/>
              <w:bottom w:w="85" w:type="dxa"/>
              <w:right w:w="28" w:type="dxa"/>
            </w:tcMar>
            <w:vAlign w:val="center"/>
            <w:hideMark/>
          </w:tcPr>
          <w:p w14:paraId="0586736A" w14:textId="77777777" w:rsidR="00CB35C4" w:rsidRDefault="00CB35C4">
            <w:pPr>
              <w:pStyle w:val="TableBody"/>
              <w:jc w:val="center"/>
            </w:pPr>
            <w:r>
              <w:rPr>
                <w:color w:val="000000"/>
              </w:rPr>
              <w:t>Option 3</w:t>
            </w:r>
          </w:p>
        </w:tc>
        <w:tc>
          <w:tcPr>
            <w:tcW w:w="2974" w:type="dxa"/>
            <w:tcBorders>
              <w:top w:val="nil"/>
              <w:left w:val="nil"/>
              <w:bottom w:val="single" w:sz="8" w:space="0" w:color="auto"/>
              <w:right w:val="single" w:sz="8" w:space="0" w:color="auto"/>
            </w:tcBorders>
            <w:shd w:val="clear" w:color="auto" w:fill="F2F2F2"/>
            <w:tcMar>
              <w:top w:w="85" w:type="dxa"/>
              <w:left w:w="28" w:type="dxa"/>
              <w:bottom w:w="85" w:type="dxa"/>
              <w:right w:w="28" w:type="dxa"/>
            </w:tcMar>
            <w:vAlign w:val="center"/>
            <w:hideMark/>
          </w:tcPr>
          <w:p w14:paraId="12066FCB" w14:textId="25E9E15C" w:rsidR="00CB35C4" w:rsidRDefault="00CB35C4">
            <w:pPr>
              <w:pStyle w:val="TableBody"/>
              <w:jc w:val="center"/>
            </w:pPr>
            <w:r>
              <w:rPr>
                <w:color w:val="000000"/>
              </w:rPr>
              <w:t>3400</w:t>
            </w:r>
            <w:r w:rsidR="0058521A">
              <w:rPr>
                <w:color w:val="000000"/>
              </w:rPr>
              <w:t>–</w:t>
            </w:r>
            <w:r>
              <w:rPr>
                <w:color w:val="000000"/>
              </w:rPr>
              <w:t>3470 MHz: Restricted cell</w:t>
            </w:r>
          </w:p>
        </w:tc>
        <w:tc>
          <w:tcPr>
            <w:tcW w:w="2408" w:type="dxa"/>
            <w:tcBorders>
              <w:top w:val="nil"/>
              <w:left w:val="nil"/>
              <w:bottom w:val="single" w:sz="8" w:space="0" w:color="auto"/>
              <w:right w:val="single" w:sz="8" w:space="0" w:color="auto"/>
            </w:tcBorders>
            <w:shd w:val="clear" w:color="auto" w:fill="F2F2F2"/>
            <w:tcMar>
              <w:top w:w="85" w:type="dxa"/>
              <w:left w:w="28" w:type="dxa"/>
              <w:bottom w:w="85" w:type="dxa"/>
              <w:right w:w="28" w:type="dxa"/>
            </w:tcMar>
            <w:vAlign w:val="center"/>
            <w:hideMark/>
          </w:tcPr>
          <w:p w14:paraId="1BFB80C3" w14:textId="187751F4" w:rsidR="00CB35C4" w:rsidRDefault="00CB35C4">
            <w:pPr>
              <w:pStyle w:val="TableBody"/>
              <w:jc w:val="center"/>
            </w:pPr>
            <w:r>
              <w:rPr>
                <w:color w:val="000000"/>
              </w:rPr>
              <w:t>3470</w:t>
            </w:r>
            <w:r w:rsidR="0058521A">
              <w:rPr>
                <w:color w:val="000000"/>
              </w:rPr>
              <w:t>–</w:t>
            </w:r>
            <w:r>
              <w:rPr>
                <w:color w:val="000000"/>
              </w:rPr>
              <w:t>3475 MHz: 5 MHz</w:t>
            </w:r>
          </w:p>
        </w:tc>
        <w:tc>
          <w:tcPr>
            <w:tcW w:w="1417" w:type="dxa"/>
            <w:tcBorders>
              <w:top w:val="nil"/>
              <w:left w:val="nil"/>
              <w:bottom w:val="single" w:sz="8" w:space="0" w:color="auto"/>
              <w:right w:val="single" w:sz="8" w:space="0" w:color="auto"/>
            </w:tcBorders>
            <w:shd w:val="clear" w:color="auto" w:fill="F2F2F2"/>
            <w:tcMar>
              <w:top w:w="85" w:type="dxa"/>
              <w:left w:w="57" w:type="dxa"/>
              <w:bottom w:w="85" w:type="dxa"/>
              <w:right w:w="57" w:type="dxa"/>
            </w:tcMar>
            <w:vAlign w:val="center"/>
            <w:hideMark/>
          </w:tcPr>
          <w:p w14:paraId="1A876D4B" w14:textId="77777777" w:rsidR="00CB35C4" w:rsidRDefault="00CB35C4">
            <w:pPr>
              <w:pStyle w:val="TableBody"/>
              <w:jc w:val="center"/>
            </w:pPr>
            <w:r>
              <w:rPr>
                <w:color w:val="000000"/>
              </w:rPr>
              <w:t>Shared</w:t>
            </w:r>
          </w:p>
        </w:tc>
        <w:tc>
          <w:tcPr>
            <w:tcW w:w="1989" w:type="dxa"/>
            <w:tcBorders>
              <w:top w:val="nil"/>
              <w:left w:val="nil"/>
              <w:bottom w:val="single" w:sz="8" w:space="0" w:color="auto"/>
              <w:right w:val="single" w:sz="8" w:space="0" w:color="auto"/>
            </w:tcBorders>
            <w:shd w:val="clear" w:color="auto" w:fill="F2F2F2"/>
            <w:tcMar>
              <w:top w:w="85" w:type="dxa"/>
              <w:left w:w="57" w:type="dxa"/>
              <w:bottom w:w="85" w:type="dxa"/>
              <w:right w:w="57" w:type="dxa"/>
            </w:tcMar>
            <w:vAlign w:val="center"/>
            <w:hideMark/>
          </w:tcPr>
          <w:p w14:paraId="58788F6A" w14:textId="659DDD68" w:rsidR="00CB35C4" w:rsidRDefault="00CB35C4">
            <w:pPr>
              <w:pStyle w:val="TableBody"/>
              <w:jc w:val="center"/>
            </w:pPr>
            <w:r>
              <w:rPr>
                <w:color w:val="000000"/>
              </w:rPr>
              <w:t xml:space="preserve">Apparatus </w:t>
            </w:r>
            <w:r w:rsidR="00050E43">
              <w:rPr>
                <w:color w:val="000000"/>
              </w:rPr>
              <w:t xml:space="preserve">(site based or AWL) </w:t>
            </w:r>
            <w:r>
              <w:rPr>
                <w:color w:val="000000"/>
              </w:rPr>
              <w:t>/ class licence</w:t>
            </w:r>
          </w:p>
        </w:tc>
      </w:tr>
      <w:tr w:rsidR="00CB35C4" w14:paraId="49F2B268" w14:textId="77777777" w:rsidTr="00DF7B17">
        <w:trPr>
          <w:cantSplit/>
        </w:trPr>
        <w:tc>
          <w:tcPr>
            <w:tcW w:w="994" w:type="dxa"/>
            <w:tcBorders>
              <w:top w:val="nil"/>
              <w:left w:val="single" w:sz="8" w:space="0" w:color="auto"/>
              <w:bottom w:val="single" w:sz="8" w:space="0" w:color="auto"/>
              <w:right w:val="single" w:sz="8" w:space="0" w:color="auto"/>
            </w:tcBorders>
            <w:tcMar>
              <w:top w:w="85" w:type="dxa"/>
              <w:left w:w="28" w:type="dxa"/>
              <w:bottom w:w="85" w:type="dxa"/>
              <w:right w:w="28" w:type="dxa"/>
            </w:tcMar>
            <w:vAlign w:val="center"/>
            <w:hideMark/>
          </w:tcPr>
          <w:p w14:paraId="6514B3D1" w14:textId="77777777" w:rsidR="00CB35C4" w:rsidRDefault="00CB35C4">
            <w:pPr>
              <w:pStyle w:val="TableBody"/>
              <w:jc w:val="center"/>
            </w:pPr>
            <w:r>
              <w:t>Option 4</w:t>
            </w:r>
          </w:p>
        </w:tc>
        <w:tc>
          <w:tcPr>
            <w:tcW w:w="2974" w:type="dxa"/>
            <w:tcBorders>
              <w:top w:val="nil"/>
              <w:left w:val="nil"/>
              <w:bottom w:val="single" w:sz="8" w:space="0" w:color="auto"/>
              <w:right w:val="single" w:sz="8" w:space="0" w:color="auto"/>
            </w:tcBorders>
            <w:tcMar>
              <w:top w:w="85" w:type="dxa"/>
              <w:left w:w="28" w:type="dxa"/>
              <w:bottom w:w="85" w:type="dxa"/>
              <w:right w:w="28" w:type="dxa"/>
            </w:tcMar>
            <w:vAlign w:val="center"/>
            <w:hideMark/>
          </w:tcPr>
          <w:p w14:paraId="6643439F" w14:textId="348FB4B7" w:rsidR="00CB35C4" w:rsidRDefault="00CB35C4" w:rsidP="00DF7B17">
            <w:pPr>
              <w:spacing w:after="60"/>
              <w:jc w:val="center"/>
              <w:rPr>
                <w:rFonts w:cs="Arial"/>
                <w:szCs w:val="20"/>
              </w:rPr>
            </w:pPr>
            <w:r>
              <w:rPr>
                <w:rFonts w:cs="Arial"/>
                <w:szCs w:val="20"/>
              </w:rPr>
              <w:t>3400</w:t>
            </w:r>
            <w:r w:rsidR="0058521A">
              <w:rPr>
                <w:rFonts w:cs="Arial"/>
                <w:szCs w:val="20"/>
              </w:rPr>
              <w:t>–</w:t>
            </w:r>
            <w:r>
              <w:rPr>
                <w:rFonts w:cs="Arial"/>
                <w:szCs w:val="20"/>
              </w:rPr>
              <w:t>3460 MHz: Macro-cell</w:t>
            </w:r>
          </w:p>
          <w:p w14:paraId="3D861DC7" w14:textId="0814975E" w:rsidR="00CB35C4" w:rsidRDefault="00CB35C4">
            <w:pPr>
              <w:pStyle w:val="TableBody"/>
              <w:jc w:val="center"/>
              <w:rPr>
                <w:rFonts w:cs="Arial"/>
                <w:szCs w:val="20"/>
              </w:rPr>
            </w:pPr>
            <w:r>
              <w:t>3460</w:t>
            </w:r>
            <w:r w:rsidR="0058521A">
              <w:t>–</w:t>
            </w:r>
            <w:r>
              <w:t>3470 MHz: Restricted cell</w:t>
            </w:r>
          </w:p>
        </w:tc>
        <w:tc>
          <w:tcPr>
            <w:tcW w:w="2408" w:type="dxa"/>
            <w:tcBorders>
              <w:top w:val="nil"/>
              <w:left w:val="nil"/>
              <w:bottom w:val="single" w:sz="8" w:space="0" w:color="auto"/>
              <w:right w:val="single" w:sz="8" w:space="0" w:color="auto"/>
            </w:tcBorders>
            <w:tcMar>
              <w:top w:w="85" w:type="dxa"/>
              <w:left w:w="28" w:type="dxa"/>
              <w:bottom w:w="85" w:type="dxa"/>
              <w:right w:w="28" w:type="dxa"/>
            </w:tcMar>
            <w:vAlign w:val="center"/>
            <w:hideMark/>
          </w:tcPr>
          <w:p w14:paraId="5D312E2A" w14:textId="18FF9E2F" w:rsidR="00CB35C4" w:rsidRDefault="00CB35C4">
            <w:pPr>
              <w:pStyle w:val="TableBody"/>
              <w:jc w:val="center"/>
            </w:pPr>
            <w:r>
              <w:t>3470</w:t>
            </w:r>
            <w:r w:rsidR="0058521A">
              <w:t>–</w:t>
            </w:r>
            <w:r>
              <w:t>3475 MHz: 5 MHz</w:t>
            </w:r>
          </w:p>
        </w:tc>
        <w:tc>
          <w:tcPr>
            <w:tcW w:w="1417" w:type="dxa"/>
            <w:tcBorders>
              <w:top w:val="nil"/>
              <w:left w:val="nil"/>
              <w:bottom w:val="single" w:sz="8" w:space="0" w:color="auto"/>
              <w:right w:val="single" w:sz="8" w:space="0" w:color="auto"/>
            </w:tcBorders>
            <w:tcMar>
              <w:top w:w="85" w:type="dxa"/>
              <w:left w:w="57" w:type="dxa"/>
              <w:bottom w:w="85" w:type="dxa"/>
              <w:right w:w="57" w:type="dxa"/>
            </w:tcMar>
            <w:vAlign w:val="center"/>
            <w:hideMark/>
          </w:tcPr>
          <w:p w14:paraId="42C4D70D" w14:textId="77777777" w:rsidR="00CB35C4" w:rsidRDefault="00CB35C4">
            <w:pPr>
              <w:pStyle w:val="TableBody"/>
              <w:jc w:val="center"/>
            </w:pPr>
            <w:r>
              <w:t>Exclusive</w:t>
            </w:r>
          </w:p>
        </w:tc>
        <w:tc>
          <w:tcPr>
            <w:tcW w:w="1989" w:type="dxa"/>
            <w:tcBorders>
              <w:top w:val="nil"/>
              <w:left w:val="nil"/>
              <w:bottom w:val="single" w:sz="8" w:space="0" w:color="auto"/>
              <w:right w:val="single" w:sz="8" w:space="0" w:color="auto"/>
            </w:tcBorders>
            <w:tcMar>
              <w:top w:w="85" w:type="dxa"/>
              <w:left w:w="57" w:type="dxa"/>
              <w:bottom w:w="85" w:type="dxa"/>
              <w:right w:w="57" w:type="dxa"/>
            </w:tcMar>
            <w:vAlign w:val="center"/>
            <w:hideMark/>
          </w:tcPr>
          <w:p w14:paraId="147AE6BE" w14:textId="77777777" w:rsidR="00CB35C4" w:rsidRDefault="00CB35C4">
            <w:pPr>
              <w:pStyle w:val="TableBody"/>
              <w:jc w:val="center"/>
            </w:pPr>
            <w:r>
              <w:t>Spectrum licence / AWL</w:t>
            </w:r>
          </w:p>
        </w:tc>
      </w:tr>
    </w:tbl>
    <w:p w14:paraId="238D26CD" w14:textId="77777777" w:rsidR="00CB35C4" w:rsidRDefault="00CB35C4" w:rsidP="005C29D6">
      <w:pPr>
        <w:pStyle w:val="Paragraphbeforelist"/>
        <w:spacing w:after="240"/>
      </w:pPr>
    </w:p>
    <w:p w14:paraId="04D5D8C1" w14:textId="1ACF5BE8" w:rsidR="00F53DDA" w:rsidRDefault="00F53DDA" w:rsidP="005C29D6">
      <w:pPr>
        <w:pStyle w:val="Paragraphbeforelist"/>
        <w:spacing w:after="240"/>
      </w:pPr>
      <w:r w:rsidRPr="000B6A4B">
        <w:t>The ACMA identified Option 4 as its preliminary preferred option. It was considered that this best promoted the long</w:t>
      </w:r>
      <w:r w:rsidRPr="000B6A4B">
        <w:rPr>
          <w:rFonts w:ascii="Cambria Math" w:hAnsi="Cambria Math" w:cs="Cambria Math"/>
        </w:rPr>
        <w:t>‑</w:t>
      </w:r>
      <w:r w:rsidRPr="000B6A4B">
        <w:t xml:space="preserve">term public interest derived from use of the </w:t>
      </w:r>
      <w:r w:rsidR="0058521A">
        <w:br/>
      </w:r>
      <w:r w:rsidRPr="000B6A4B">
        <w:t xml:space="preserve">3400–3475 MHz band. </w:t>
      </w:r>
    </w:p>
    <w:p w14:paraId="5F9A96B0" w14:textId="2005814A" w:rsidR="00F53DDA" w:rsidRDefault="00847EC9" w:rsidP="004453CF">
      <w:pPr>
        <w:pStyle w:val="Paragraphbeforelist"/>
      </w:pPr>
      <w:r>
        <w:t>V</w:t>
      </w:r>
      <w:r w:rsidR="00F53DDA">
        <w:t xml:space="preserve">iews on the preferred option for use of urban excise </w:t>
      </w:r>
      <w:r w:rsidR="00992159">
        <w:t>areas</w:t>
      </w:r>
      <w:r w:rsidR="00F53DDA">
        <w:t xml:space="preserve"> </w:t>
      </w:r>
      <w:r w:rsidR="00E74CC2">
        <w:t>varied</w:t>
      </w:r>
      <w:r w:rsidR="0058521A">
        <w:t>:</w:t>
      </w:r>
      <w:r w:rsidR="00F53DDA">
        <w:rPr>
          <w:rStyle w:val="FootnoteReference"/>
        </w:rPr>
        <w:footnoteReference w:id="4"/>
      </w:r>
    </w:p>
    <w:p w14:paraId="4893D54C" w14:textId="71E796B8" w:rsidR="00F53DDA" w:rsidRDefault="00F53DDA" w:rsidP="004453CF">
      <w:pPr>
        <w:pStyle w:val="Bulletlevel1"/>
      </w:pPr>
      <w:r>
        <w:t xml:space="preserve">NBN Co and private </w:t>
      </w:r>
      <w:r w:rsidR="00847EC9">
        <w:t>wireless broadband (</w:t>
      </w:r>
      <w:r>
        <w:t>WBB</w:t>
      </w:r>
      <w:r w:rsidR="00847EC9">
        <w:t>)</w:t>
      </w:r>
      <w:r>
        <w:t xml:space="preserve"> submissions primarily supported Option 3, </w:t>
      </w:r>
      <w:r w:rsidR="0058521A">
        <w:t>al</w:t>
      </w:r>
      <w:r>
        <w:t xml:space="preserve">though there was some support for Option 2. </w:t>
      </w:r>
    </w:p>
    <w:p w14:paraId="6A6AAC02" w14:textId="4E28929A" w:rsidR="00F53DDA" w:rsidRDefault="00F53DDA" w:rsidP="004453CF">
      <w:pPr>
        <w:pStyle w:val="Bulletlevel1"/>
      </w:pPr>
      <w:r>
        <w:t>Mobile industry submissions primarily support</w:t>
      </w:r>
      <w:r w:rsidR="00992159">
        <w:t>ed</w:t>
      </w:r>
      <w:r>
        <w:t xml:space="preserve"> Option 4 (implementing Option 2 in the upper 15 MHz)</w:t>
      </w:r>
      <w:r w:rsidR="00F7039B">
        <w:t>,</w:t>
      </w:r>
      <w:r w:rsidR="00D40C79">
        <w:t xml:space="preserve"> with </w:t>
      </w:r>
      <w:r>
        <w:t xml:space="preserve">a secondary preference for Option 1. </w:t>
      </w:r>
    </w:p>
    <w:p w14:paraId="1955BC0B" w14:textId="0E3DBB98" w:rsidR="00F53DDA" w:rsidRDefault="00F53DDA" w:rsidP="004453CF">
      <w:pPr>
        <w:pStyle w:val="Bulletlevel1last"/>
      </w:pPr>
      <w:r>
        <w:t>O</w:t>
      </w:r>
      <w:r w:rsidRPr="000B6A4B">
        <w:t xml:space="preserve">ne confidential submission did not support WBB services being deployed </w:t>
      </w:r>
      <w:r>
        <w:t>using the 3400</w:t>
      </w:r>
      <w:r w:rsidR="0058521A">
        <w:t>–</w:t>
      </w:r>
      <w:r>
        <w:t xml:space="preserve">3475 MHz band in </w:t>
      </w:r>
      <w:r w:rsidRPr="000B6A4B">
        <w:t>urban excise areas.</w:t>
      </w:r>
    </w:p>
    <w:p w14:paraId="091BBA61" w14:textId="4625FA4F" w:rsidR="00F53DDA" w:rsidRDefault="00F53DDA" w:rsidP="00F53DDA">
      <w:pPr>
        <w:pStyle w:val="Paragraph"/>
        <w:rPr>
          <w:szCs w:val="20"/>
        </w:rPr>
      </w:pPr>
      <w:r>
        <w:rPr>
          <w:szCs w:val="20"/>
        </w:rPr>
        <w:lastRenderedPageBreak/>
        <w:t>Several submissions also linked outcomes in urban excise areas to the work underway to develop arrangements for WBB across the broader 3400</w:t>
      </w:r>
      <w:r w:rsidR="00CA2698">
        <w:rPr>
          <w:szCs w:val="20"/>
        </w:rPr>
        <w:t>–</w:t>
      </w:r>
      <w:r>
        <w:rPr>
          <w:szCs w:val="20"/>
        </w:rPr>
        <w:t xml:space="preserve">4000 MHz band. It was suggested that planning guidelines </w:t>
      </w:r>
      <w:r w:rsidRPr="0071481E">
        <w:rPr>
          <w:szCs w:val="20"/>
        </w:rPr>
        <w:t xml:space="preserve">be created </w:t>
      </w:r>
      <w:r>
        <w:rPr>
          <w:szCs w:val="20"/>
        </w:rPr>
        <w:t>considering the</w:t>
      </w:r>
      <w:r w:rsidRPr="0071481E">
        <w:rPr>
          <w:szCs w:val="20"/>
        </w:rPr>
        <w:t xml:space="preserve"> </w:t>
      </w:r>
      <w:r>
        <w:rPr>
          <w:szCs w:val="20"/>
        </w:rPr>
        <w:t xml:space="preserve">entire </w:t>
      </w:r>
      <w:r w:rsidRPr="0071481E">
        <w:rPr>
          <w:szCs w:val="20"/>
        </w:rPr>
        <w:t>3400</w:t>
      </w:r>
      <w:r w:rsidR="00CA2698">
        <w:rPr>
          <w:szCs w:val="20"/>
        </w:rPr>
        <w:t>–</w:t>
      </w:r>
      <w:r w:rsidRPr="0071481E">
        <w:rPr>
          <w:szCs w:val="20"/>
        </w:rPr>
        <w:t>4000 MHz band</w:t>
      </w:r>
      <w:r w:rsidR="00854CB8">
        <w:rPr>
          <w:szCs w:val="20"/>
        </w:rPr>
        <w:t>,</w:t>
      </w:r>
      <w:r w:rsidRPr="0071481E">
        <w:rPr>
          <w:szCs w:val="20"/>
        </w:rPr>
        <w:t xml:space="preserve"> to show where </w:t>
      </w:r>
      <w:r w:rsidR="007D049F">
        <w:rPr>
          <w:szCs w:val="20"/>
        </w:rPr>
        <w:t>we</w:t>
      </w:r>
      <w:r w:rsidRPr="0071481E">
        <w:rPr>
          <w:szCs w:val="20"/>
        </w:rPr>
        <w:t xml:space="preserve"> believe different use cases should reside. </w:t>
      </w:r>
      <w:r>
        <w:rPr>
          <w:szCs w:val="20"/>
        </w:rPr>
        <w:t>This would allow t</w:t>
      </w:r>
      <w:r w:rsidRPr="0071481E">
        <w:rPr>
          <w:szCs w:val="20"/>
        </w:rPr>
        <w:t xml:space="preserve">echnical </w:t>
      </w:r>
      <w:r>
        <w:rPr>
          <w:szCs w:val="20"/>
        </w:rPr>
        <w:t>arrangements</w:t>
      </w:r>
      <w:r w:rsidRPr="0071481E">
        <w:rPr>
          <w:szCs w:val="20"/>
        </w:rPr>
        <w:t xml:space="preserve"> </w:t>
      </w:r>
      <w:r>
        <w:rPr>
          <w:szCs w:val="20"/>
        </w:rPr>
        <w:t xml:space="preserve">to </w:t>
      </w:r>
      <w:r w:rsidR="002B5D8C">
        <w:rPr>
          <w:szCs w:val="20"/>
        </w:rPr>
        <w:t xml:space="preserve">be </w:t>
      </w:r>
      <w:r>
        <w:rPr>
          <w:szCs w:val="20"/>
        </w:rPr>
        <w:t xml:space="preserve">developed and </w:t>
      </w:r>
      <w:r w:rsidRPr="0071481E">
        <w:rPr>
          <w:szCs w:val="20"/>
        </w:rPr>
        <w:t>optimised based on these groupings.</w:t>
      </w:r>
      <w:r>
        <w:rPr>
          <w:szCs w:val="20"/>
        </w:rPr>
        <w:t xml:space="preserve"> </w:t>
      </w:r>
    </w:p>
    <w:p w14:paraId="0CDA8CE2" w14:textId="3A007B4E" w:rsidR="00F53DDA" w:rsidRDefault="008B0128" w:rsidP="00F53DDA">
      <w:pPr>
        <w:pStyle w:val="Paragraph"/>
        <w:rPr>
          <w:szCs w:val="20"/>
        </w:rPr>
      </w:pPr>
      <w:r>
        <w:rPr>
          <w:szCs w:val="20"/>
        </w:rPr>
        <w:t xml:space="preserve">In relation to </w:t>
      </w:r>
      <w:r w:rsidR="00F53DDA">
        <w:rPr>
          <w:szCs w:val="20"/>
        </w:rPr>
        <w:t>the submission that did not support use of urban excise areas for WBB services</w:t>
      </w:r>
      <w:r>
        <w:rPr>
          <w:szCs w:val="20"/>
        </w:rPr>
        <w:t xml:space="preserve">, </w:t>
      </w:r>
      <w:r w:rsidR="00F53DDA">
        <w:rPr>
          <w:szCs w:val="20"/>
        </w:rPr>
        <w:t xml:space="preserve">we have previously consulted on this issue as part of the </w:t>
      </w:r>
      <w:hyperlink r:id="rId27" w:history="1">
        <w:r w:rsidR="00F53DDA" w:rsidRPr="000721E9">
          <w:rPr>
            <w:rStyle w:val="Hyperlink"/>
            <w:szCs w:val="20"/>
          </w:rPr>
          <w:t>3400</w:t>
        </w:r>
        <w:r w:rsidR="007D049F">
          <w:rPr>
            <w:rStyle w:val="Hyperlink"/>
            <w:szCs w:val="20"/>
          </w:rPr>
          <w:t>–</w:t>
        </w:r>
        <w:r w:rsidR="00F53DDA" w:rsidRPr="000721E9">
          <w:rPr>
            <w:rStyle w:val="Hyperlink"/>
            <w:szCs w:val="20"/>
          </w:rPr>
          <w:t>3575 MHz optimisation process</w:t>
        </w:r>
      </w:hyperlink>
      <w:r w:rsidR="00F53DDA">
        <w:rPr>
          <w:szCs w:val="20"/>
        </w:rPr>
        <w:t>. The outcomes of this process identified making the urban excise areas available for WBB use. The ACMA does not intend to revisit this decision.</w:t>
      </w:r>
    </w:p>
    <w:p w14:paraId="7213A5B2" w14:textId="3F22821E" w:rsidR="00B06BF8" w:rsidRDefault="00B06BF8" w:rsidP="00B06BF8">
      <w:pPr>
        <w:pStyle w:val="Paragraph"/>
        <w:rPr>
          <w:szCs w:val="20"/>
        </w:rPr>
      </w:pPr>
      <w:r>
        <w:rPr>
          <w:szCs w:val="20"/>
        </w:rPr>
        <w:t xml:space="preserve">After reviewing submissions, </w:t>
      </w:r>
      <w:r w:rsidR="007D049F">
        <w:rPr>
          <w:szCs w:val="20"/>
        </w:rPr>
        <w:t>we</w:t>
      </w:r>
      <w:r>
        <w:rPr>
          <w:szCs w:val="20"/>
        </w:rPr>
        <w:t xml:space="preserve"> believe that Options 3 and 4 should be considered further for implementation in urban excise areas. We will reassess both these options</w:t>
      </w:r>
      <w:r w:rsidR="003B4083">
        <w:rPr>
          <w:szCs w:val="20"/>
        </w:rPr>
        <w:t>,</w:t>
      </w:r>
      <w:r>
        <w:rPr>
          <w:szCs w:val="20"/>
        </w:rPr>
        <w:t xml:space="preserve"> </w:t>
      </w:r>
      <w:proofErr w:type="gramStart"/>
      <w:r>
        <w:rPr>
          <w:szCs w:val="20"/>
        </w:rPr>
        <w:t>taking into account</w:t>
      </w:r>
      <w:proofErr w:type="gramEnd"/>
      <w:r>
        <w:rPr>
          <w:szCs w:val="20"/>
        </w:rPr>
        <w:t xml:space="preserve"> relevant </w:t>
      </w:r>
      <w:r w:rsidR="003B4083">
        <w:rPr>
          <w:szCs w:val="20"/>
        </w:rPr>
        <w:t>feedback</w:t>
      </w:r>
      <w:r>
        <w:rPr>
          <w:szCs w:val="20"/>
        </w:rPr>
        <w:t xml:space="preserve">. To ensure the best long-term outcomes are adopted, these will also be considered in the context of work that is underway to develop planning and allocation arrangements for WBB use across the broader 3400-4000 MHz band. </w:t>
      </w:r>
    </w:p>
    <w:p w14:paraId="571FD15D" w14:textId="594D1C37" w:rsidR="006B5D75" w:rsidRDefault="00B06BF8" w:rsidP="00487C62">
      <w:pPr>
        <w:pStyle w:val="Paragraph"/>
        <w:rPr>
          <w:szCs w:val="20"/>
        </w:rPr>
      </w:pPr>
      <w:bookmarkStart w:id="5" w:name="_Hlk89160671"/>
      <w:r>
        <w:rPr>
          <w:szCs w:val="20"/>
        </w:rPr>
        <w:t xml:space="preserve">In February 2022, </w:t>
      </w:r>
      <w:r w:rsidR="007D049F">
        <w:rPr>
          <w:szCs w:val="20"/>
        </w:rPr>
        <w:t>we</w:t>
      </w:r>
      <w:r>
        <w:rPr>
          <w:szCs w:val="20"/>
        </w:rPr>
        <w:t xml:space="preserve"> plan to consult on the re-allocation of spectrum in the 3400</w:t>
      </w:r>
      <w:r w:rsidR="007D049F">
        <w:rPr>
          <w:szCs w:val="20"/>
        </w:rPr>
        <w:t>–</w:t>
      </w:r>
      <w:r>
        <w:rPr>
          <w:szCs w:val="20"/>
        </w:rPr>
        <w:t>3800 MHz band for the issue of spectrum licen</w:t>
      </w:r>
      <w:r w:rsidR="002B5D8C">
        <w:rPr>
          <w:szCs w:val="20"/>
        </w:rPr>
        <w:t>ces pursuant to</w:t>
      </w:r>
      <w:r>
        <w:rPr>
          <w:szCs w:val="20"/>
        </w:rPr>
        <w:t xml:space="preserve"> </w:t>
      </w:r>
      <w:r w:rsidR="002B5D8C">
        <w:rPr>
          <w:szCs w:val="20"/>
        </w:rPr>
        <w:t xml:space="preserve">section </w:t>
      </w:r>
      <w:r>
        <w:rPr>
          <w:szCs w:val="20"/>
        </w:rPr>
        <w:t xml:space="preserve">153B of the </w:t>
      </w:r>
      <w:r>
        <w:rPr>
          <w:i/>
          <w:iCs/>
          <w:szCs w:val="20"/>
        </w:rPr>
        <w:t>Radiocommunications Act 1992</w:t>
      </w:r>
      <w:r>
        <w:rPr>
          <w:szCs w:val="20"/>
        </w:rPr>
        <w:t xml:space="preserve"> (the Act). We </w:t>
      </w:r>
      <w:r w:rsidR="00DE6C6F">
        <w:rPr>
          <w:szCs w:val="20"/>
        </w:rPr>
        <w:t xml:space="preserve">intend to provide additional explanation of </w:t>
      </w:r>
      <w:r>
        <w:rPr>
          <w:szCs w:val="20"/>
        </w:rPr>
        <w:t>the broader 3400</w:t>
      </w:r>
      <w:r w:rsidR="007D049F">
        <w:rPr>
          <w:szCs w:val="20"/>
        </w:rPr>
        <w:t>–</w:t>
      </w:r>
      <w:r>
        <w:rPr>
          <w:szCs w:val="20"/>
        </w:rPr>
        <w:t>4000 MHz band planning and allocation issues</w:t>
      </w:r>
      <w:r w:rsidR="00DE6C6F">
        <w:rPr>
          <w:szCs w:val="20"/>
        </w:rPr>
        <w:t>, including the purposes for which urban excise spectrum may be used.</w:t>
      </w:r>
      <w:r>
        <w:rPr>
          <w:szCs w:val="20"/>
        </w:rPr>
        <w:t xml:space="preserve"> We also plan to conduct a </w:t>
      </w:r>
      <w:hyperlink r:id="rId28" w:history="1">
        <w:r w:rsidR="00FD1D7B" w:rsidRPr="00090CE7">
          <w:rPr>
            <w:rStyle w:val="Hyperlink"/>
            <w:szCs w:val="20"/>
          </w:rPr>
          <w:t>spectrum tune-up</w:t>
        </w:r>
      </w:hyperlink>
      <w:r>
        <w:rPr>
          <w:szCs w:val="20"/>
        </w:rPr>
        <w:t xml:space="preserve"> on 3400</w:t>
      </w:r>
      <w:r w:rsidR="007D049F">
        <w:rPr>
          <w:szCs w:val="20"/>
        </w:rPr>
        <w:t>–</w:t>
      </w:r>
      <w:r>
        <w:rPr>
          <w:szCs w:val="20"/>
        </w:rPr>
        <w:t>4000 MHz band</w:t>
      </w:r>
      <w:r w:rsidR="007D049F">
        <w:rPr>
          <w:szCs w:val="20"/>
        </w:rPr>
        <w:t>-</w:t>
      </w:r>
      <w:r>
        <w:rPr>
          <w:szCs w:val="20"/>
        </w:rPr>
        <w:t xml:space="preserve">related issues in </w:t>
      </w:r>
      <w:r w:rsidR="007D049F">
        <w:rPr>
          <w:szCs w:val="20"/>
        </w:rPr>
        <w:t xml:space="preserve">the second quarter of </w:t>
      </w:r>
      <w:r>
        <w:rPr>
          <w:szCs w:val="20"/>
        </w:rPr>
        <w:t xml:space="preserve">2022. This will provide an opportunity for </w:t>
      </w:r>
      <w:r w:rsidR="007D049F">
        <w:rPr>
          <w:szCs w:val="20"/>
        </w:rPr>
        <w:t>us</w:t>
      </w:r>
      <w:r>
        <w:rPr>
          <w:szCs w:val="20"/>
        </w:rPr>
        <w:t xml:space="preserve"> </w:t>
      </w:r>
      <w:r w:rsidR="00C01E3A">
        <w:rPr>
          <w:szCs w:val="20"/>
        </w:rPr>
        <w:t>to</w:t>
      </w:r>
      <w:r>
        <w:rPr>
          <w:szCs w:val="20"/>
        </w:rPr>
        <w:t xml:space="preserve"> workshop </w:t>
      </w:r>
      <w:r w:rsidR="007D049F">
        <w:rPr>
          <w:szCs w:val="20"/>
        </w:rPr>
        <w:t>our</w:t>
      </w:r>
      <w:r>
        <w:rPr>
          <w:szCs w:val="20"/>
        </w:rPr>
        <w:t xml:space="preserve"> ideas. We</w:t>
      </w:r>
      <w:r w:rsidR="00E04B56">
        <w:rPr>
          <w:szCs w:val="20"/>
        </w:rPr>
        <w:t xml:space="preserve"> </w:t>
      </w:r>
      <w:r>
        <w:rPr>
          <w:szCs w:val="20"/>
        </w:rPr>
        <w:t xml:space="preserve">aim to </w:t>
      </w:r>
      <w:r w:rsidR="00E04B56">
        <w:rPr>
          <w:szCs w:val="20"/>
        </w:rPr>
        <w:t>decide</w:t>
      </w:r>
      <w:r>
        <w:rPr>
          <w:szCs w:val="20"/>
        </w:rPr>
        <w:t xml:space="preserve"> on the use of urban excise areas in mid-2022.</w:t>
      </w:r>
    </w:p>
    <w:p w14:paraId="063A7B12" w14:textId="0C755F01" w:rsidR="00CB35C4" w:rsidRDefault="00DF7B17" w:rsidP="00487C62">
      <w:pPr>
        <w:pStyle w:val="Paragraph"/>
        <w:rPr>
          <w:szCs w:val="20"/>
        </w:rPr>
      </w:pPr>
      <w:r>
        <w:t>By c</w:t>
      </w:r>
      <w:r w:rsidR="00CB35C4">
        <w:t>ombining further discussion on this issue with the s.153B consultation</w:t>
      </w:r>
      <w:r>
        <w:t xml:space="preserve">, the ACMA is seeking to reduce the number of separate consultation processes that stakeholders need to consider and to expose some of the broader issues for consideration in the 3400-4000 MHz band. It does not </w:t>
      </w:r>
      <w:r w:rsidR="00D32635">
        <w:t xml:space="preserve">mean </w:t>
      </w:r>
      <w:r w:rsidR="007D049F">
        <w:t xml:space="preserve">we have </w:t>
      </w:r>
      <w:proofErr w:type="gramStart"/>
      <w:r>
        <w:t>made a decision</w:t>
      </w:r>
      <w:proofErr w:type="gramEnd"/>
      <w:r>
        <w:t xml:space="preserve"> to </w:t>
      </w:r>
      <w:r w:rsidR="00CB35C4">
        <w:t>issue spectrum licences in urban excise areas.</w:t>
      </w:r>
    </w:p>
    <w:p w14:paraId="4A195C66" w14:textId="32D03521" w:rsidR="000E40FE" w:rsidRDefault="000E40FE" w:rsidP="000E40FE">
      <w:pPr>
        <w:spacing w:before="240"/>
      </w:pPr>
      <w:r>
        <w:rPr>
          <w:szCs w:val="20"/>
        </w:rPr>
        <w:t xml:space="preserve">Once a decision has been made, we will commence </w:t>
      </w:r>
      <w:r w:rsidR="00DE6C6F">
        <w:rPr>
          <w:szCs w:val="20"/>
        </w:rPr>
        <w:t xml:space="preserve">implementation, which will </w:t>
      </w:r>
      <w:r w:rsidRPr="000B6A4B">
        <w:t xml:space="preserve">include finalising interference management criteria, developing </w:t>
      </w:r>
      <w:r>
        <w:t xml:space="preserve">administrative policy guidance </w:t>
      </w:r>
      <w:r w:rsidR="00110059">
        <w:t xml:space="preserve">– </w:t>
      </w:r>
      <w:r>
        <w:t xml:space="preserve">such as </w:t>
      </w:r>
      <w:r w:rsidR="00110059">
        <w:t>r</w:t>
      </w:r>
      <w:r>
        <w:t xml:space="preserve">adiocommunications </w:t>
      </w:r>
      <w:r w:rsidR="00110059">
        <w:t>a</w:t>
      </w:r>
      <w:r>
        <w:t xml:space="preserve">ssignment and </w:t>
      </w:r>
      <w:r w:rsidR="00110059">
        <w:t>l</w:t>
      </w:r>
      <w:r>
        <w:t xml:space="preserve">icensing </w:t>
      </w:r>
      <w:r w:rsidR="00110059">
        <w:t>i</w:t>
      </w:r>
      <w:r>
        <w:t>nstructions (</w:t>
      </w:r>
      <w:r w:rsidRPr="000B6A4B">
        <w:t>RALIs</w:t>
      </w:r>
      <w:r>
        <w:t>)</w:t>
      </w:r>
      <w:r w:rsidR="00110059">
        <w:t xml:space="preserve"> –</w:t>
      </w:r>
      <w:r w:rsidRPr="000B6A4B">
        <w:t xml:space="preserve"> and making/updating relevant legislative instruments. Where </w:t>
      </w:r>
      <w:r>
        <w:t>appropriate</w:t>
      </w:r>
      <w:r w:rsidR="00E04B56">
        <w:t>,</w:t>
      </w:r>
      <w:r w:rsidRPr="000B6A4B">
        <w:t xml:space="preserve"> any work will be combined with similar </w:t>
      </w:r>
      <w:r w:rsidR="00110059">
        <w:t>projects</w:t>
      </w:r>
      <w:r w:rsidR="00110059" w:rsidRPr="000B6A4B">
        <w:t xml:space="preserve"> </w:t>
      </w:r>
      <w:r w:rsidRPr="000B6A4B">
        <w:t xml:space="preserve">being conducted to implement the </w:t>
      </w:r>
      <w:hyperlink r:id="rId29" w:history="1">
        <w:r w:rsidRPr="000B6A4B">
          <w:rPr>
            <w:rStyle w:val="Hyperlink"/>
            <w:i/>
            <w:iCs/>
            <w:szCs w:val="20"/>
          </w:rPr>
          <w:t>Replanning the 3700–4200 MHz band – Outcomes paper</w:t>
        </w:r>
      </w:hyperlink>
      <w:r w:rsidRPr="000B6A4B">
        <w:t>.</w:t>
      </w:r>
    </w:p>
    <w:p w14:paraId="4A46F42D" w14:textId="0FAFCFA5" w:rsidR="000C1B75" w:rsidRPr="000B6A4B" w:rsidRDefault="000C1B75" w:rsidP="000C1B75">
      <w:pPr>
        <w:pStyle w:val="Heading1"/>
      </w:pPr>
      <w:bookmarkStart w:id="6" w:name="_Toc89250833"/>
      <w:bookmarkEnd w:id="1"/>
      <w:bookmarkEnd w:id="5"/>
      <w:r w:rsidRPr="000B6A4B">
        <w:lastRenderedPageBreak/>
        <w:t>Introduction</w:t>
      </w:r>
      <w:bookmarkEnd w:id="6"/>
    </w:p>
    <w:p w14:paraId="1F123DC3" w14:textId="5882E0E7" w:rsidR="000C1B75" w:rsidRPr="000B6A4B" w:rsidRDefault="00D243D2" w:rsidP="000C1B75">
      <w:pPr>
        <w:pStyle w:val="Paragraph"/>
      </w:pPr>
      <w:r w:rsidRPr="000B6A4B">
        <w:rPr>
          <w:bCs/>
          <w:color w:val="000000" w:themeColor="text1"/>
          <w:szCs w:val="20"/>
        </w:rPr>
        <w:t xml:space="preserve">In November 2019, the </w:t>
      </w:r>
      <w:r w:rsidRPr="000B6A4B">
        <w:t>ACMA</w:t>
      </w:r>
      <w:r w:rsidRPr="000B6A4B">
        <w:rPr>
          <w:bCs/>
          <w:color w:val="000000" w:themeColor="text1"/>
          <w:szCs w:val="20"/>
        </w:rPr>
        <w:t xml:space="preserve"> released the</w:t>
      </w:r>
      <w:r w:rsidR="001F7200">
        <w:rPr>
          <w:bCs/>
          <w:color w:val="000000" w:themeColor="text1"/>
          <w:szCs w:val="20"/>
        </w:rPr>
        <w:t xml:space="preserve"> paper</w:t>
      </w:r>
      <w:r w:rsidRPr="000B6A4B">
        <w:rPr>
          <w:bCs/>
          <w:color w:val="000000" w:themeColor="text1"/>
          <w:szCs w:val="20"/>
        </w:rPr>
        <w:t xml:space="preserve"> </w:t>
      </w:r>
      <w:hyperlink r:id="rId30" w:history="1">
        <w:r w:rsidRPr="000B6A4B">
          <w:rPr>
            <w:i/>
            <w:iCs/>
            <w:color w:val="0000FF"/>
            <w:szCs w:val="20"/>
            <w:u w:val="single" w:color="0000FF"/>
          </w:rPr>
          <w:t>Optimising arrangements for the 3400–3575 MHz band – Planning decisions and preliminary views</w:t>
        </w:r>
      </w:hyperlink>
      <w:r w:rsidRPr="000B6A4B">
        <w:rPr>
          <w:bCs/>
          <w:color w:val="000000" w:themeColor="text1"/>
          <w:szCs w:val="20"/>
        </w:rPr>
        <w:t xml:space="preserve"> </w:t>
      </w:r>
      <w:r w:rsidR="00FD6195">
        <w:rPr>
          <w:bCs/>
          <w:color w:val="000000" w:themeColor="text1"/>
          <w:szCs w:val="20"/>
        </w:rPr>
        <w:t xml:space="preserve">(the 2019 </w:t>
      </w:r>
      <w:r w:rsidR="00DC6D28">
        <w:rPr>
          <w:bCs/>
          <w:color w:val="000000" w:themeColor="text1"/>
          <w:szCs w:val="20"/>
        </w:rPr>
        <w:t>o</w:t>
      </w:r>
      <w:r w:rsidR="00D5243D">
        <w:rPr>
          <w:bCs/>
          <w:color w:val="000000" w:themeColor="text1"/>
          <w:szCs w:val="20"/>
        </w:rPr>
        <w:t>utcomes</w:t>
      </w:r>
      <w:r w:rsidR="00FD6195">
        <w:rPr>
          <w:bCs/>
          <w:color w:val="000000" w:themeColor="text1"/>
          <w:szCs w:val="20"/>
        </w:rPr>
        <w:t xml:space="preserve"> paper)</w:t>
      </w:r>
      <w:r w:rsidRPr="000B6A4B">
        <w:rPr>
          <w:bCs/>
          <w:color w:val="000000" w:themeColor="text1"/>
          <w:szCs w:val="20"/>
        </w:rPr>
        <w:t>.</w:t>
      </w:r>
      <w:r w:rsidRPr="000B6A4B">
        <w:rPr>
          <w:b/>
          <w:color w:val="000000" w:themeColor="text1"/>
          <w:szCs w:val="20"/>
        </w:rPr>
        <w:t xml:space="preserve"> </w:t>
      </w:r>
      <w:r w:rsidR="00A6603A">
        <w:rPr>
          <w:bCs/>
          <w:color w:val="000000" w:themeColor="text1"/>
          <w:szCs w:val="20"/>
        </w:rPr>
        <w:t>It</w:t>
      </w:r>
      <w:r w:rsidRPr="000B6A4B">
        <w:rPr>
          <w:bCs/>
          <w:color w:val="000000" w:themeColor="text1"/>
          <w:szCs w:val="20"/>
        </w:rPr>
        <w:t xml:space="preserve"> </w:t>
      </w:r>
      <w:r w:rsidRPr="000B6A4B">
        <w:t xml:space="preserve">outlined our </w:t>
      </w:r>
      <w:r w:rsidR="00831E6E">
        <w:t>proposals</w:t>
      </w:r>
      <w:r w:rsidR="00831E6E" w:rsidRPr="000B6A4B">
        <w:t xml:space="preserve"> </w:t>
      </w:r>
      <w:r w:rsidRPr="000B6A4B">
        <w:t>to defragment apparatus licence arrangements and spectrum licence holdings in the 3400–3575 MHz band. Since releasing the paper, we have been working to implement the planning outcomes.</w:t>
      </w:r>
      <w:r w:rsidR="000C1B75" w:rsidRPr="000B6A4B">
        <w:t xml:space="preserve"> </w:t>
      </w:r>
    </w:p>
    <w:p w14:paraId="0A59B8EF" w14:textId="686A9642" w:rsidR="00D243D2" w:rsidRPr="000B6A4B" w:rsidRDefault="00D243D2" w:rsidP="004453CF">
      <w:pPr>
        <w:pStyle w:val="Paragraphbeforelist"/>
      </w:pPr>
      <w:bookmarkStart w:id="7" w:name="_Hlk78379020"/>
      <w:bookmarkStart w:id="8" w:name="_Hlk78887343"/>
      <w:r w:rsidRPr="000B6A4B">
        <w:t xml:space="preserve">Key announcements in the </w:t>
      </w:r>
      <w:r w:rsidR="00FD6195">
        <w:t xml:space="preserve">2019 </w:t>
      </w:r>
      <w:r w:rsidR="00DC6D28">
        <w:t>o</w:t>
      </w:r>
      <w:r w:rsidR="00D5243D">
        <w:t>utcomes</w:t>
      </w:r>
      <w:r w:rsidR="00D5243D" w:rsidRPr="000B6A4B">
        <w:t xml:space="preserve"> </w:t>
      </w:r>
      <w:r w:rsidRPr="000B6A4B">
        <w:t>paper</w:t>
      </w:r>
      <w:r w:rsidR="00DB1479">
        <w:t xml:space="preserve"> </w:t>
      </w:r>
      <w:r w:rsidRPr="000B6A4B">
        <w:t>include</w:t>
      </w:r>
      <w:r w:rsidR="00D5243D">
        <w:t>d</w:t>
      </w:r>
      <w:r w:rsidRPr="000B6A4B">
        <w:t xml:space="preserve">: </w:t>
      </w:r>
      <w:bookmarkEnd w:id="7"/>
    </w:p>
    <w:p w14:paraId="2F185F00" w14:textId="77777777" w:rsidR="00D243D2" w:rsidRPr="000B6A4B" w:rsidRDefault="00D243D2" w:rsidP="00E034ED">
      <w:pPr>
        <w:pStyle w:val="Bulletlevel1"/>
        <w:tabs>
          <w:tab w:val="clear" w:pos="295"/>
          <w:tab w:val="num" w:pos="-249"/>
        </w:tabs>
        <w:rPr>
          <w:color w:val="000000" w:themeColor="text1"/>
          <w:szCs w:val="20"/>
        </w:rPr>
      </w:pPr>
      <w:bookmarkStart w:id="9" w:name="_Hlk78378982"/>
      <w:r w:rsidRPr="000B6A4B">
        <w:t xml:space="preserve">An intention to vary </w:t>
      </w:r>
      <w:hyperlink r:id="rId31" w:history="1">
        <w:r w:rsidRPr="000B6A4B">
          <w:rPr>
            <w:rStyle w:val="Hyperlink"/>
            <w:i/>
            <w:iCs/>
          </w:rPr>
          <w:t>Radiocommunications assignment and licensing instruction MS44 – Frequency coordination procedures for the earth station protection zones</w:t>
        </w:r>
      </w:hyperlink>
      <w:r w:rsidRPr="000B6A4B">
        <w:rPr>
          <w:i/>
          <w:iCs/>
        </w:rPr>
        <w:t xml:space="preserve"> </w:t>
      </w:r>
      <w:r w:rsidRPr="000B6A4B">
        <w:t xml:space="preserve">(RALI MS44) so that earth station protection zones (ESPZs) in eastern Australia cover those parts of the band not subject to spectrum licensing. </w:t>
      </w:r>
    </w:p>
    <w:p w14:paraId="550142FD" w14:textId="7185203C" w:rsidR="00D243D2" w:rsidRPr="000B6A4B" w:rsidRDefault="00D243D2" w:rsidP="00E034ED">
      <w:pPr>
        <w:pStyle w:val="Bulletlevel1"/>
        <w:tabs>
          <w:tab w:val="clear" w:pos="295"/>
          <w:tab w:val="num" w:pos="-119"/>
        </w:tabs>
      </w:pPr>
      <w:r w:rsidRPr="000B6A4B">
        <w:t xml:space="preserve">Plans to convert NBN Co’s apparatus licences in the 3400–3575 MHz band to spectrum licences. This </w:t>
      </w:r>
      <w:r w:rsidR="004F1A49">
        <w:t>was done to</w:t>
      </w:r>
      <w:r w:rsidRPr="000B6A4B">
        <w:t xml:space="preserve"> facilitate spectrum licensees in the 3400–3575 MHz band to defragment their spectrum holdings in most areas (‘defrag’). </w:t>
      </w:r>
      <w:r w:rsidR="004F1A49">
        <w:t>The conversion and defrag processes were completed in June and July 2021 respectively.</w:t>
      </w:r>
    </w:p>
    <w:p w14:paraId="2C73C265" w14:textId="46E04BE1" w:rsidR="00D243D2" w:rsidRPr="000B6A4B" w:rsidRDefault="00D243D2" w:rsidP="00E034ED">
      <w:pPr>
        <w:pStyle w:val="Bulletlevel1last"/>
        <w:tabs>
          <w:tab w:val="clear" w:pos="295"/>
          <w:tab w:val="num" w:pos="-119"/>
        </w:tabs>
      </w:pPr>
      <w:r w:rsidRPr="000B6A4B">
        <w:t>NBN Co surrender</w:t>
      </w:r>
      <w:r w:rsidR="00CA0EA3">
        <w:t>ing</w:t>
      </w:r>
      <w:r w:rsidRPr="000B6A4B">
        <w:t xml:space="preserve"> any licences it holds in urban areas </w:t>
      </w:r>
      <w:r w:rsidR="002B5D8C">
        <w:t xml:space="preserve">in which </w:t>
      </w:r>
      <w:r w:rsidRPr="000B6A4B">
        <w:t>it does not plan to provide terrestrial wireless broadband</w:t>
      </w:r>
      <w:r w:rsidR="004F1D06" w:rsidRPr="000B6A4B">
        <w:t xml:space="preserve"> (WBB)</w:t>
      </w:r>
      <w:r w:rsidRPr="000B6A4B">
        <w:t xml:space="preserve"> services</w:t>
      </w:r>
      <w:r w:rsidR="00673DC0">
        <w:t xml:space="preserve"> (</w:t>
      </w:r>
      <w:r w:rsidRPr="000B6A4B">
        <w:t>‘urban excise’</w:t>
      </w:r>
      <w:r w:rsidR="00673DC0">
        <w:t xml:space="preserve"> areas</w:t>
      </w:r>
      <w:r w:rsidR="00110059">
        <w:t>).</w:t>
      </w:r>
      <w:r w:rsidR="00CA0EA3">
        <w:rPr>
          <w:rStyle w:val="FootnoteReference"/>
        </w:rPr>
        <w:footnoteReference w:id="5"/>
      </w:r>
      <w:r w:rsidRPr="000B6A4B">
        <w:t xml:space="preserve"> </w:t>
      </w:r>
      <w:r w:rsidR="00110059">
        <w:t>We</w:t>
      </w:r>
      <w:r w:rsidR="00F92DDB">
        <w:t xml:space="preserve"> also</w:t>
      </w:r>
      <w:r w:rsidRPr="000B6A4B">
        <w:t xml:space="preserve"> committed to working with industry to investigate ways to make this spectrum available for use by other </w:t>
      </w:r>
      <w:r w:rsidR="004F1D06" w:rsidRPr="000B6A4B">
        <w:t>WBB</w:t>
      </w:r>
      <w:r w:rsidRPr="000B6A4B">
        <w:t xml:space="preserve"> operators.</w:t>
      </w:r>
      <w:r w:rsidR="004F1A49">
        <w:t xml:space="preserve"> NBN Co surrendered their licences in urban areas in August 2021. </w:t>
      </w:r>
    </w:p>
    <w:bookmarkEnd w:id="8"/>
    <w:bookmarkEnd w:id="9"/>
    <w:p w14:paraId="62CD9C3C" w14:textId="5EC80A8E" w:rsidR="007F082B" w:rsidRDefault="00D243D2" w:rsidP="007F082B">
      <w:pPr>
        <w:pStyle w:val="Bulletlevel1"/>
        <w:numPr>
          <w:ilvl w:val="0"/>
          <w:numId w:val="0"/>
        </w:numPr>
        <w:spacing w:after="120"/>
        <w:ind w:left="-6" w:hanging="17"/>
      </w:pPr>
      <w:r w:rsidRPr="000B6A4B">
        <w:t xml:space="preserve">To progress consideration of these issues, </w:t>
      </w:r>
      <w:r w:rsidR="00DB1479">
        <w:t xml:space="preserve">on 27 August </w:t>
      </w:r>
      <w:r w:rsidRPr="000B6A4B">
        <w:t xml:space="preserve">2021 </w:t>
      </w:r>
      <w:r w:rsidR="00110059">
        <w:t>we</w:t>
      </w:r>
      <w:r w:rsidRPr="000B6A4B">
        <w:t xml:space="preserve"> released the </w:t>
      </w:r>
      <w:hyperlink r:id="rId32" w:history="1">
        <w:r w:rsidR="00DB1479" w:rsidRPr="000B6A4B">
          <w:rPr>
            <w:rStyle w:val="Hyperlink"/>
            <w:i/>
            <w:iCs/>
          </w:rPr>
          <w:t>Planning for wireless broadband use in urban areas in the 3400–3475 MHz band – Options paper</w:t>
        </w:r>
      </w:hyperlink>
      <w:r w:rsidR="00DB1479" w:rsidRPr="000B6A4B">
        <w:t xml:space="preserve"> (the options paper)</w:t>
      </w:r>
      <w:r w:rsidR="009E20D3" w:rsidRPr="000B6A4B">
        <w:t>.</w:t>
      </w:r>
      <w:r w:rsidR="002D72B9">
        <w:t xml:space="preserve"> We also took the opportunity to consult on </w:t>
      </w:r>
      <w:r w:rsidR="00932318">
        <w:t xml:space="preserve">possible </w:t>
      </w:r>
      <w:r w:rsidR="007F082B">
        <w:t xml:space="preserve">changes to the 3.4 GHz spectrum licence technical framework (the 3.4 GHz technical framework). This included </w:t>
      </w:r>
      <w:r w:rsidR="007F082B" w:rsidRPr="00621241">
        <w:t>consequential changes to support the NBN licence conversion process</w:t>
      </w:r>
      <w:r w:rsidR="007F082B">
        <w:t xml:space="preserve">, </w:t>
      </w:r>
      <w:r w:rsidR="007F082B" w:rsidRPr="00621241">
        <w:t xml:space="preserve">general updates to the </w:t>
      </w:r>
      <w:hyperlink r:id="rId33" w:tgtFrame="_self" w:history="1">
        <w:r w:rsidR="007F082B" w:rsidRPr="004453CF">
          <w:rPr>
            <w:bCs/>
            <w:color w:val="0000FF"/>
            <w:u w:val="single" w:color="0000FF"/>
          </w:rPr>
          <w:t>Radiocommunications (Unacceptable Levels of Interference – 3.4 GHz Band) Determination 2015</w:t>
        </w:r>
      </w:hyperlink>
      <w:r w:rsidR="007F082B" w:rsidRPr="00621241">
        <w:rPr>
          <w:i/>
          <w:iCs/>
        </w:rPr>
        <w:t xml:space="preserve"> </w:t>
      </w:r>
      <w:r w:rsidR="007F082B" w:rsidRPr="00621241">
        <w:t xml:space="preserve">(the s.145(4) </w:t>
      </w:r>
      <w:r w:rsidR="007F6D4E">
        <w:t>D</w:t>
      </w:r>
      <w:r w:rsidR="007F082B" w:rsidRPr="00621241">
        <w:t>etermination)</w:t>
      </w:r>
      <w:r w:rsidR="00932318">
        <w:t>,</w:t>
      </w:r>
      <w:r w:rsidR="007F5876">
        <w:t xml:space="preserve"> and </w:t>
      </w:r>
      <w:r w:rsidR="007F082B" w:rsidRPr="00621241">
        <w:t>aligning receiver spurious emission limits with international standards.</w:t>
      </w:r>
    </w:p>
    <w:p w14:paraId="581A2F5C" w14:textId="76DADAA4" w:rsidR="009E20D3" w:rsidRPr="000B6A4B" w:rsidRDefault="002D72B9" w:rsidP="007F082B">
      <w:pPr>
        <w:pStyle w:val="Paragraph"/>
        <w:spacing w:before="240"/>
      </w:pPr>
      <w:r>
        <w:t xml:space="preserve">Discussion of issues in the option paper </w:t>
      </w:r>
      <w:r w:rsidR="00E46331">
        <w:t>w</w:t>
      </w:r>
      <w:r w:rsidR="00831E6E">
        <w:t>as</w:t>
      </w:r>
      <w:r w:rsidR="00E46331">
        <w:t xml:space="preserve"> </w:t>
      </w:r>
      <w:r>
        <w:t xml:space="preserve">divided into updates to the 3.4 GHz technical framework and options </w:t>
      </w:r>
      <w:r w:rsidR="007F5876">
        <w:t xml:space="preserve">for </w:t>
      </w:r>
      <w:r>
        <w:t xml:space="preserve">use of urban excise areas. </w:t>
      </w:r>
      <w:r w:rsidR="009E20D3" w:rsidRPr="000B6A4B">
        <w:t>Feedback to the options paper closed on 30 September 2021</w:t>
      </w:r>
      <w:r w:rsidR="00671D9F">
        <w:t xml:space="preserve">. </w:t>
      </w:r>
      <w:r w:rsidR="00A971F0">
        <w:t>Fourteen</w:t>
      </w:r>
      <w:r w:rsidR="009E20D3" w:rsidRPr="000B6A4B">
        <w:t xml:space="preserve"> submissions</w:t>
      </w:r>
      <w:r w:rsidR="00671D9F">
        <w:t xml:space="preserve"> were received to the paper</w:t>
      </w:r>
      <w:r w:rsidR="009E20D3" w:rsidRPr="000B6A4B">
        <w:t>.</w:t>
      </w:r>
    </w:p>
    <w:p w14:paraId="24AD1AB0" w14:textId="7D06AA87" w:rsidR="00295830" w:rsidRDefault="00295830" w:rsidP="00295830">
      <w:bookmarkStart w:id="10" w:name="_Hlk89161004"/>
      <w:r>
        <w:t>After reviewing</w:t>
      </w:r>
      <w:r w:rsidRPr="000B6A4B">
        <w:t xml:space="preserve"> submissions, we </w:t>
      </w:r>
      <w:r>
        <w:t xml:space="preserve">have </w:t>
      </w:r>
      <w:r w:rsidRPr="000B6A4B">
        <w:t>deci</w:t>
      </w:r>
      <w:r>
        <w:t>ded</w:t>
      </w:r>
      <w:r w:rsidRPr="000B6A4B">
        <w:t xml:space="preserve"> </w:t>
      </w:r>
      <w:r>
        <w:t xml:space="preserve">to </w:t>
      </w:r>
      <w:r w:rsidR="007B0B2B">
        <w:t xml:space="preserve">proceed with making </w:t>
      </w:r>
      <w:r>
        <w:t>the amendments to the 3.4 GHz technical framework</w:t>
      </w:r>
      <w:r w:rsidR="007B0B2B">
        <w:t xml:space="preserve">, with further work underway to consider </w:t>
      </w:r>
      <w:r>
        <w:t xml:space="preserve">options for use of urban excise areas. </w:t>
      </w:r>
    </w:p>
    <w:bookmarkEnd w:id="10"/>
    <w:p w14:paraId="54D30A93" w14:textId="3B49D40F" w:rsidR="007B0B2B" w:rsidRDefault="00712625" w:rsidP="00295830">
      <w:r>
        <w:t>S</w:t>
      </w:r>
      <w:r w:rsidR="00295830">
        <w:t xml:space="preserve">ome of the </w:t>
      </w:r>
      <w:r>
        <w:t xml:space="preserve">proposed </w:t>
      </w:r>
      <w:r w:rsidR="00295830">
        <w:t xml:space="preserve">changes to the 3.4 GHz technical framework are being made to enable NBN Co to re-register devices near urban excise areas following the defragmentation of their licence holdings. NBN Co is required to register </w:t>
      </w:r>
      <w:r w:rsidR="00831E6E">
        <w:t xml:space="preserve">its </w:t>
      </w:r>
      <w:r w:rsidR="00295830">
        <w:t xml:space="preserve">devices by 15 February 2022. This means relevant changes to the 3.4 GHz technical framework need to be in place before then. </w:t>
      </w:r>
      <w:r w:rsidR="00295830">
        <w:rPr>
          <w:rFonts w:cs="Arial"/>
        </w:rPr>
        <w:t xml:space="preserve">While </w:t>
      </w:r>
      <w:r w:rsidR="00295830">
        <w:t xml:space="preserve">changes proposed to the 3.4 GHz technical framework and consideration of options for use of </w:t>
      </w:r>
      <w:r w:rsidR="007B0B2B">
        <w:t xml:space="preserve">spectrum in </w:t>
      </w:r>
      <w:r w:rsidR="00295830">
        <w:t xml:space="preserve">urban excise areas were combined in the same consultation paper, they are </w:t>
      </w:r>
      <w:r w:rsidR="007B0B2B">
        <w:t xml:space="preserve">separate </w:t>
      </w:r>
      <w:r w:rsidR="00831E6E">
        <w:t xml:space="preserve">matters </w:t>
      </w:r>
      <w:r w:rsidR="00295830">
        <w:t xml:space="preserve">and can be implemented independently. </w:t>
      </w:r>
    </w:p>
    <w:p w14:paraId="4080B1EF" w14:textId="2A4FC1BF" w:rsidR="009768A5" w:rsidRDefault="00295830" w:rsidP="00295830">
      <w:pPr>
        <w:rPr>
          <w:rFonts w:cs="Arial"/>
          <w:b/>
          <w:bCs/>
          <w:iCs/>
          <w:sz w:val="28"/>
          <w:szCs w:val="28"/>
        </w:rPr>
      </w:pPr>
      <w:r>
        <w:rPr>
          <w:rFonts w:cs="Arial"/>
        </w:rPr>
        <w:lastRenderedPageBreak/>
        <w:t xml:space="preserve">Consequently, we have decided to progress changes to the 3.4 GHz technical framework ahead of making decisions on the use of </w:t>
      </w:r>
      <w:r w:rsidR="007B0B2B">
        <w:rPr>
          <w:rFonts w:cs="Arial"/>
        </w:rPr>
        <w:t xml:space="preserve">spectrum in </w:t>
      </w:r>
      <w:r>
        <w:rPr>
          <w:rFonts w:cs="Arial"/>
        </w:rPr>
        <w:t xml:space="preserve">urban excise areas. This will provide time for us to consider the best use of </w:t>
      </w:r>
      <w:r w:rsidR="007B0B2B">
        <w:rPr>
          <w:rFonts w:cs="Arial"/>
        </w:rPr>
        <w:t xml:space="preserve">spectrum in </w:t>
      </w:r>
      <w:r>
        <w:rPr>
          <w:rFonts w:cs="Arial"/>
        </w:rPr>
        <w:t>urban excise areas in the broader context of our work to implement arrangements for wireless broadband (WBB) in the 3400</w:t>
      </w:r>
      <w:r w:rsidR="00181EF3">
        <w:rPr>
          <w:rFonts w:cs="Arial"/>
        </w:rPr>
        <w:t>–</w:t>
      </w:r>
      <w:r>
        <w:rPr>
          <w:rFonts w:cs="Arial"/>
        </w:rPr>
        <w:t>4000 MHz band.</w:t>
      </w:r>
    </w:p>
    <w:p w14:paraId="252E0F91" w14:textId="62F0873A" w:rsidR="00075033" w:rsidRPr="000B6A4B" w:rsidRDefault="00075033" w:rsidP="00075033">
      <w:pPr>
        <w:pStyle w:val="Heading2"/>
        <w:rPr>
          <w:b w:val="0"/>
          <w:bCs w:val="0"/>
        </w:rPr>
      </w:pPr>
      <w:bookmarkStart w:id="11" w:name="_Toc89250834"/>
      <w:r w:rsidRPr="000B6A4B">
        <w:t>Scope of this paper</w:t>
      </w:r>
      <w:bookmarkEnd w:id="11"/>
      <w:r w:rsidRPr="000B6A4B">
        <w:t> </w:t>
      </w:r>
    </w:p>
    <w:p w14:paraId="723BD431" w14:textId="56DEFDAD" w:rsidR="00F04893" w:rsidRDefault="00DC6D28" w:rsidP="004453CF">
      <w:pPr>
        <w:pStyle w:val="Paragraphbeforelist"/>
      </w:pPr>
      <w:r>
        <w:t>T</w:t>
      </w:r>
      <w:r w:rsidR="00710F17">
        <w:t xml:space="preserve">he </w:t>
      </w:r>
      <w:r w:rsidR="009E20D3" w:rsidRPr="000B6A4B">
        <w:t>purpose of this paper is to</w:t>
      </w:r>
      <w:r w:rsidR="00F04893">
        <w:t>:</w:t>
      </w:r>
    </w:p>
    <w:p w14:paraId="56840DD9" w14:textId="50C8799A" w:rsidR="00F04893" w:rsidRDefault="00F04893" w:rsidP="00F04893">
      <w:pPr>
        <w:pStyle w:val="Bulletlevel1"/>
        <w:tabs>
          <w:tab w:val="clear" w:pos="295"/>
          <w:tab w:val="num" w:pos="-119"/>
        </w:tabs>
      </w:pPr>
      <w:r>
        <w:t>provide a summary and response to submissions made to the options paper</w:t>
      </w:r>
    </w:p>
    <w:p w14:paraId="7F7862F1" w14:textId="35EDF225" w:rsidR="00F04893" w:rsidRDefault="009E20D3" w:rsidP="00F04893">
      <w:pPr>
        <w:pStyle w:val="Bulletlevel1"/>
        <w:tabs>
          <w:tab w:val="clear" w:pos="295"/>
          <w:tab w:val="num" w:pos="-119"/>
        </w:tabs>
      </w:pPr>
      <w:r w:rsidRPr="000B6A4B">
        <w:t xml:space="preserve">present </w:t>
      </w:r>
      <w:r w:rsidR="00F04893">
        <w:t xml:space="preserve">decisions made regarding </w:t>
      </w:r>
      <w:r w:rsidR="00722495">
        <w:t xml:space="preserve">amendments </w:t>
      </w:r>
      <w:r w:rsidR="00F04893">
        <w:t xml:space="preserve">to the 3.4 GHz technical framework </w:t>
      </w:r>
      <w:r w:rsidR="00260B09" w:rsidRPr="000B6A4B">
        <w:t>and</w:t>
      </w:r>
      <w:r w:rsidRPr="000B6A4B">
        <w:t xml:space="preserve"> </w:t>
      </w:r>
      <w:r w:rsidR="00F04893" w:rsidRPr="000B6A4B">
        <w:t>outline the next steps to implement the</w:t>
      </w:r>
      <w:r w:rsidR="00722495">
        <w:t>m</w:t>
      </w:r>
    </w:p>
    <w:p w14:paraId="23552CC7" w14:textId="0A1B9CBE" w:rsidR="002F5B9C" w:rsidRPr="000B6A4B" w:rsidRDefault="00F04893" w:rsidP="00710F17">
      <w:pPr>
        <w:pStyle w:val="Bulletlevel1"/>
        <w:tabs>
          <w:tab w:val="clear" w:pos="295"/>
          <w:tab w:val="num" w:pos="-119"/>
        </w:tabs>
        <w:spacing w:after="240"/>
      </w:pPr>
      <w:r>
        <w:t>provide an update on the ACMA’s consideration of options for use of urban excise areas</w:t>
      </w:r>
      <w:r w:rsidR="00710F17">
        <w:t xml:space="preserve"> and the planned timeframe for </w:t>
      </w:r>
      <w:proofErr w:type="gramStart"/>
      <w:r w:rsidR="00710F17">
        <w:t>making a decision</w:t>
      </w:r>
      <w:proofErr w:type="gramEnd"/>
      <w:r>
        <w:t xml:space="preserve">. </w:t>
      </w:r>
    </w:p>
    <w:p w14:paraId="04D4E181" w14:textId="77777777" w:rsidR="002F5B9C" w:rsidRPr="000B6A4B" w:rsidRDefault="002F5B9C" w:rsidP="002F5B9C">
      <w:pPr>
        <w:pStyle w:val="Heading2"/>
        <w:ind w:right="1557"/>
      </w:pPr>
      <w:bookmarkStart w:id="12" w:name="_Toc45789440"/>
      <w:bookmarkStart w:id="13" w:name="_Toc80795866"/>
      <w:bookmarkStart w:id="14" w:name="_Toc89250835"/>
      <w:bookmarkStart w:id="15" w:name="_Ref517343910"/>
      <w:bookmarkStart w:id="16" w:name="_Toc519765104"/>
      <w:bookmarkStart w:id="17" w:name="_Toc521585770"/>
      <w:bookmarkStart w:id="18" w:name="_Toc482886573"/>
      <w:bookmarkStart w:id="19" w:name="_Toc482886614"/>
      <w:bookmarkStart w:id="20" w:name="_Toc482888955"/>
      <w:bookmarkStart w:id="21" w:name="_Toc482891226"/>
      <w:bookmarkStart w:id="22" w:name="_Toc482891293"/>
      <w:bookmarkStart w:id="23" w:name="_Toc482956502"/>
      <w:bookmarkStart w:id="24" w:name="_Toc484011474"/>
      <w:bookmarkStart w:id="25" w:name="_Toc484511690"/>
      <w:bookmarkStart w:id="26" w:name="_Toc459906709"/>
      <w:bookmarkStart w:id="27" w:name="_Toc464480503"/>
      <w:r w:rsidRPr="000B6A4B">
        <w:t>Legislative and policy environment</w:t>
      </w:r>
      <w:bookmarkEnd w:id="12"/>
      <w:bookmarkEnd w:id="13"/>
      <w:bookmarkEnd w:id="14"/>
    </w:p>
    <w:p w14:paraId="75DBBE38" w14:textId="77777777" w:rsidR="002F5B9C" w:rsidRPr="000B6A4B" w:rsidRDefault="002F5B9C" w:rsidP="002F5B9C">
      <w:pPr>
        <w:ind w:right="16"/>
      </w:pPr>
      <w:r w:rsidRPr="000B6A4B">
        <w:t>Managing spectrum efficiently and effectively for the benefit of all Australians is a key priority for the ACMA.</w:t>
      </w:r>
      <w:r w:rsidRPr="000B6A4B">
        <w:rPr>
          <w:vertAlign w:val="superscript"/>
        </w:rPr>
        <w:footnoteReference w:id="6"/>
      </w:r>
      <w:r w:rsidRPr="000B6A4B">
        <w:t xml:space="preserve"> </w:t>
      </w:r>
    </w:p>
    <w:p w14:paraId="0A1D5891" w14:textId="77777777" w:rsidR="002F5B9C" w:rsidRPr="000B6A4B" w:rsidRDefault="002F5B9C" w:rsidP="002F5B9C">
      <w:pPr>
        <w:pStyle w:val="Heading3"/>
        <w:ind w:right="16"/>
      </w:pPr>
      <w:bookmarkStart w:id="28" w:name="_Guiding_legislation_and"/>
      <w:bookmarkStart w:id="29" w:name="_Ref78198576"/>
      <w:bookmarkEnd w:id="28"/>
      <w:r w:rsidRPr="000B6A4B">
        <w:t>Guiding legislation and policy</w:t>
      </w:r>
      <w:bookmarkEnd w:id="29"/>
      <w:r w:rsidRPr="000B6A4B">
        <w:tab/>
      </w:r>
    </w:p>
    <w:p w14:paraId="22DB6DA5" w14:textId="7D1051CD" w:rsidR="002F5B9C" w:rsidRPr="000B6A4B" w:rsidRDefault="002F5B9C" w:rsidP="002F5B9C">
      <w:pPr>
        <w:spacing w:after="120"/>
        <w:ind w:right="16"/>
      </w:pPr>
      <w:r w:rsidRPr="000B6A4B">
        <w:t>The ACMA’s decisions are guided by the object of the Act to promote the long</w:t>
      </w:r>
      <w:r w:rsidRPr="000B6A4B">
        <w:rPr>
          <w:rFonts w:ascii="Cambria Math" w:hAnsi="Cambria Math" w:cs="Cambria Math"/>
        </w:rPr>
        <w:t>‑</w:t>
      </w:r>
      <w:r w:rsidRPr="000B6A4B">
        <w:t>term public interest derived from the use of the spectrum by providing for the management of the spectrum in a manner that:</w:t>
      </w:r>
    </w:p>
    <w:p w14:paraId="570A2AE8" w14:textId="77777777" w:rsidR="002F5B9C" w:rsidRPr="000B6A4B" w:rsidRDefault="002F5B9C" w:rsidP="002F5B9C">
      <w:pPr>
        <w:pStyle w:val="ListParagraph"/>
        <w:numPr>
          <w:ilvl w:val="0"/>
          <w:numId w:val="21"/>
        </w:numPr>
        <w:spacing w:after="80"/>
        <w:ind w:right="16"/>
        <w:rPr>
          <w:rFonts w:ascii="Arial" w:hAnsi="Arial" w:cs="Arial"/>
          <w:sz w:val="20"/>
          <w:szCs w:val="20"/>
        </w:rPr>
      </w:pPr>
      <w:r w:rsidRPr="000B6A4B">
        <w:rPr>
          <w:rFonts w:ascii="Arial" w:hAnsi="Arial" w:cs="Arial"/>
          <w:sz w:val="20"/>
          <w:szCs w:val="20"/>
        </w:rPr>
        <w:t>facilitates the efficient planning, allocation and use of the spectrum</w:t>
      </w:r>
    </w:p>
    <w:p w14:paraId="3C1CE990" w14:textId="77777777" w:rsidR="002F5B9C" w:rsidRPr="000B6A4B" w:rsidRDefault="002F5B9C" w:rsidP="002F5B9C">
      <w:pPr>
        <w:pStyle w:val="ListParagraph"/>
        <w:numPr>
          <w:ilvl w:val="0"/>
          <w:numId w:val="21"/>
        </w:numPr>
        <w:spacing w:after="80"/>
        <w:ind w:right="16"/>
        <w:rPr>
          <w:rFonts w:ascii="Arial" w:hAnsi="Arial" w:cs="Arial"/>
          <w:sz w:val="20"/>
          <w:szCs w:val="20"/>
        </w:rPr>
      </w:pPr>
      <w:r w:rsidRPr="000B6A4B">
        <w:rPr>
          <w:rFonts w:ascii="Arial" w:hAnsi="Arial" w:cs="Arial"/>
          <w:sz w:val="20"/>
          <w:szCs w:val="20"/>
        </w:rPr>
        <w:t>facilitates the use of the spectrum for:</w:t>
      </w:r>
    </w:p>
    <w:p w14:paraId="3C3906A4" w14:textId="77777777" w:rsidR="002F5B9C" w:rsidRPr="000B6A4B" w:rsidRDefault="002F5B9C" w:rsidP="002F5B9C">
      <w:pPr>
        <w:pStyle w:val="ListParagraph"/>
        <w:numPr>
          <w:ilvl w:val="1"/>
          <w:numId w:val="22"/>
        </w:numPr>
        <w:spacing w:after="80"/>
        <w:ind w:left="709" w:right="16"/>
        <w:rPr>
          <w:rFonts w:ascii="Arial" w:hAnsi="Arial" w:cs="Arial"/>
          <w:sz w:val="20"/>
          <w:szCs w:val="20"/>
        </w:rPr>
      </w:pPr>
      <w:r w:rsidRPr="000B6A4B">
        <w:rPr>
          <w:rFonts w:ascii="Arial" w:hAnsi="Arial" w:cs="Arial"/>
          <w:sz w:val="20"/>
          <w:szCs w:val="20"/>
        </w:rPr>
        <w:t>commercial purposes</w:t>
      </w:r>
    </w:p>
    <w:p w14:paraId="72C0866F" w14:textId="77777777" w:rsidR="002F5B9C" w:rsidRPr="000B6A4B" w:rsidRDefault="002F5B9C" w:rsidP="002F5B9C">
      <w:pPr>
        <w:pStyle w:val="ListParagraph"/>
        <w:numPr>
          <w:ilvl w:val="1"/>
          <w:numId w:val="22"/>
        </w:numPr>
        <w:spacing w:after="80"/>
        <w:ind w:left="709" w:right="16"/>
        <w:rPr>
          <w:rFonts w:ascii="Arial" w:hAnsi="Arial" w:cs="Arial"/>
          <w:sz w:val="20"/>
          <w:szCs w:val="20"/>
        </w:rPr>
      </w:pPr>
      <w:r w:rsidRPr="000B6A4B">
        <w:rPr>
          <w:rFonts w:ascii="Arial" w:hAnsi="Arial" w:cs="Arial"/>
          <w:sz w:val="20"/>
          <w:szCs w:val="20"/>
        </w:rPr>
        <w:t>defence purposes, national security purposes and other non</w:t>
      </w:r>
      <w:r w:rsidRPr="000B6A4B">
        <w:rPr>
          <w:rFonts w:ascii="Cambria Math" w:hAnsi="Cambria Math" w:cs="Cambria Math"/>
          <w:sz w:val="20"/>
          <w:szCs w:val="20"/>
        </w:rPr>
        <w:t>‑</w:t>
      </w:r>
      <w:r w:rsidRPr="000B6A4B">
        <w:rPr>
          <w:rFonts w:ascii="Arial" w:hAnsi="Arial" w:cs="Arial"/>
          <w:sz w:val="20"/>
          <w:szCs w:val="20"/>
        </w:rPr>
        <w:t>commercial purposes (including public safety and community purposes)</w:t>
      </w:r>
    </w:p>
    <w:p w14:paraId="5EF24DC1" w14:textId="77777777" w:rsidR="002F5B9C" w:rsidRPr="000B6A4B" w:rsidRDefault="002F5B9C" w:rsidP="002F5B9C">
      <w:pPr>
        <w:pStyle w:val="ListParagraph"/>
        <w:numPr>
          <w:ilvl w:val="0"/>
          <w:numId w:val="21"/>
        </w:numPr>
        <w:spacing w:after="240"/>
        <w:ind w:left="357" w:right="17" w:hanging="357"/>
        <w:rPr>
          <w:rFonts w:ascii="Arial" w:hAnsi="Arial" w:cs="Arial"/>
          <w:sz w:val="20"/>
          <w:szCs w:val="20"/>
        </w:rPr>
      </w:pPr>
      <w:r w:rsidRPr="000B6A4B">
        <w:rPr>
          <w:rFonts w:ascii="Arial" w:hAnsi="Arial" w:cs="Arial"/>
          <w:sz w:val="20"/>
          <w:szCs w:val="20"/>
        </w:rPr>
        <w:t>supports the communications policy objectives of the Commonwealth Government.</w:t>
      </w:r>
    </w:p>
    <w:p w14:paraId="109DC1A7" w14:textId="046F502F" w:rsidR="002F5B9C" w:rsidRPr="000B6A4B" w:rsidRDefault="002F5B9C" w:rsidP="002F5B9C">
      <w:r w:rsidRPr="000B6A4B">
        <w:rPr>
          <w:rFonts w:cs="Arial"/>
        </w:rPr>
        <w:t>On 10 December 2020, the Minister for Communications, Cyber Safety and the Arts, the Hon Paul Fletcher MP, made a notice designating parts of the 3.4 GHz band for spectrum licensing.</w:t>
      </w:r>
      <w:r w:rsidRPr="000B6A4B">
        <w:rPr>
          <w:rStyle w:val="FootnoteReference"/>
          <w:rFonts w:cs="Arial"/>
        </w:rPr>
        <w:footnoteReference w:id="7"/>
      </w:r>
      <w:r w:rsidRPr="000B6A4B">
        <w:rPr>
          <w:rFonts w:cs="Arial"/>
        </w:rPr>
        <w:t xml:space="preserve"> The areas and frequencies covered by the notice encompass apparatus licences held by NBN Co. The notice has allowed </w:t>
      </w:r>
      <w:r w:rsidR="00147565">
        <w:rPr>
          <w:rFonts w:cs="Arial"/>
        </w:rPr>
        <w:t>us</w:t>
      </w:r>
      <w:r w:rsidRPr="000B6A4B">
        <w:rPr>
          <w:rFonts w:cs="Arial"/>
        </w:rPr>
        <w:t xml:space="preserve"> to convert NBN Co’s apparatus licences to spectrum licences, facilitating defragmentation of the 3.4 GHz band. NBN Co uses this spectrum to provide fixed-wireless services in regional and outer-metropolitan </w:t>
      </w:r>
      <w:r w:rsidRPr="000B6A4B">
        <w:t>areas. The Explanatory Statement to the Minister’s designation notice noted the government’s expectation that ‘ACMA will work with NBN Co to make underutilised spectrum in inner-metropolitan areas of NBN Co’s spectrum licences available for licensing by other operators, subject to the development of appropriate interference management criteria and assessment of the utility of the spectrum’.</w:t>
      </w:r>
    </w:p>
    <w:p w14:paraId="0F1AE3A9" w14:textId="77777777" w:rsidR="002F5B9C" w:rsidRPr="000B6A4B" w:rsidRDefault="002F5B9C" w:rsidP="002F5B9C">
      <w:pPr>
        <w:pStyle w:val="Paragraph"/>
      </w:pPr>
      <w:r w:rsidRPr="000B6A4B">
        <w:t>Several communications policy objectives relevant to the replanning considerations in this band have been identified.</w:t>
      </w:r>
    </w:p>
    <w:p w14:paraId="159C8285" w14:textId="77777777" w:rsidR="002F5B9C" w:rsidRPr="000B6A4B" w:rsidRDefault="002F5B9C" w:rsidP="002F5B9C">
      <w:pPr>
        <w:pStyle w:val="Paragraph"/>
      </w:pPr>
      <w:r w:rsidRPr="000B6A4B">
        <w:t>The government’s</w:t>
      </w:r>
      <w:r w:rsidRPr="000B6A4B">
        <w:rPr>
          <w:color w:val="1F497D"/>
        </w:rPr>
        <w:t xml:space="preserve"> </w:t>
      </w:r>
      <w:hyperlink r:id="rId34" w:history="1">
        <w:r w:rsidRPr="000B6A4B">
          <w:rPr>
            <w:rStyle w:val="Hyperlink"/>
            <w:i/>
            <w:iCs/>
          </w:rPr>
          <w:t>Digital Economy Strategy</w:t>
        </w:r>
      </w:hyperlink>
      <w:r w:rsidRPr="000B6A4B">
        <w:rPr>
          <w:rStyle w:val="Hyperlink"/>
          <w:i/>
          <w:iCs/>
        </w:rPr>
        <w:t xml:space="preserve"> 2030</w:t>
      </w:r>
      <w:r w:rsidRPr="000B6A4B">
        <w:t xml:space="preserve">, released in 2021, sets out how Australia will secure its future as a modern and leading digital economy and society by 2030. The strategy identified that digital infrastructure was a key enabler making it possible to access the digital world. The strategy noted that the government is </w:t>
      </w:r>
      <w:r w:rsidRPr="000B6A4B">
        <w:lastRenderedPageBreak/>
        <w:t>supporting the roll out of 5G services through the timely availability of spectrum, streamlining deployment arrangements and showcasing trials of 5G use cases to promote business uptake.</w:t>
      </w:r>
    </w:p>
    <w:p w14:paraId="3047DDAB" w14:textId="21FE84F6" w:rsidR="002F5B9C" w:rsidRPr="000B6A4B" w:rsidRDefault="002F5B9C" w:rsidP="002F5B9C">
      <w:pPr>
        <w:pStyle w:val="Paragraph"/>
      </w:pPr>
      <w:r w:rsidRPr="000B6A4B">
        <w:t xml:space="preserve">The </w:t>
      </w:r>
      <w:hyperlink r:id="rId35" w:tgtFrame="_blank" w:history="1">
        <w:r w:rsidRPr="000B6A4B">
          <w:rPr>
            <w:color w:val="0000FF"/>
            <w:u w:val="single"/>
          </w:rPr>
          <w:t>5G—Enabling the future economy</w:t>
        </w:r>
      </w:hyperlink>
      <w:r w:rsidRPr="000B6A4B">
        <w:t xml:space="preserve"> strategy, released in 2017, committed to government action to support the timely rollout of 5G in Australia, including making spectrum available in a timely manner.</w:t>
      </w:r>
      <w:r w:rsidRPr="000B6A4B">
        <w:rPr>
          <w:rFonts w:ascii="Times New Roman" w:hAnsi="Times New Roman"/>
        </w:rPr>
        <w:t> </w:t>
      </w:r>
    </w:p>
    <w:p w14:paraId="500FA92F" w14:textId="77777777" w:rsidR="002F5B9C" w:rsidRPr="000B6A4B" w:rsidRDefault="00ED05F9" w:rsidP="002F5B9C">
      <w:pPr>
        <w:pStyle w:val="Paragraphbeforelist"/>
        <w:rPr>
          <w:rFonts w:ascii="Times New Roman" w:hAnsi="Times New Roman"/>
          <w:sz w:val="24"/>
        </w:rPr>
      </w:pPr>
      <w:hyperlink r:id="rId36" w:tgtFrame="_blank" w:history="1">
        <w:r w:rsidR="002F5B9C" w:rsidRPr="000B6A4B">
          <w:rPr>
            <w:color w:val="0000FF"/>
            <w:u w:val="single"/>
          </w:rPr>
          <w:t>Australia’s Tech Future</w:t>
        </w:r>
      </w:hyperlink>
      <w:r w:rsidR="002F5B9C" w:rsidRPr="000B6A4B">
        <w:t>, released in December 2018, sets out the Australian Government’s strategy for the nation’s technological future. The strategy presents a vision that Australians have access to world-class digital infrastructure in their personal and working lives with the following outcomes:</w:t>
      </w:r>
      <w:r w:rsidR="002F5B9C" w:rsidRPr="000B6A4B">
        <w:rPr>
          <w:rFonts w:ascii="Times New Roman" w:hAnsi="Times New Roman"/>
        </w:rPr>
        <w:t> </w:t>
      </w:r>
    </w:p>
    <w:p w14:paraId="03DA5588" w14:textId="77777777" w:rsidR="002F5B9C" w:rsidRPr="0098750A" w:rsidRDefault="002F5B9C" w:rsidP="004453CF">
      <w:pPr>
        <w:pStyle w:val="Bulletlevel1"/>
      </w:pPr>
      <w:r w:rsidRPr="0098750A">
        <w:t>Australians have reliable, secure and affordable access to high-speed broadband and mobile communications. </w:t>
      </w:r>
    </w:p>
    <w:p w14:paraId="6A0FF3A2" w14:textId="77777777" w:rsidR="002F5B9C" w:rsidRPr="0098750A" w:rsidRDefault="002F5B9C" w:rsidP="004453CF">
      <w:pPr>
        <w:pStyle w:val="Bulletlevel1"/>
      </w:pPr>
      <w:r w:rsidRPr="0098750A">
        <w:t>Australia’s communications sector is sustainable and competitive. </w:t>
      </w:r>
    </w:p>
    <w:p w14:paraId="010274A8" w14:textId="77777777" w:rsidR="002F5B9C" w:rsidRPr="0098750A" w:rsidRDefault="002F5B9C" w:rsidP="004453CF">
      <w:pPr>
        <w:pStyle w:val="Bulletlevel1"/>
      </w:pPr>
      <w:r w:rsidRPr="0098750A">
        <w:t>Australia’s world-leading navigation and positioning infrastructure supports emerging technologies.</w:t>
      </w:r>
    </w:p>
    <w:p w14:paraId="56420C99" w14:textId="5C0C097A" w:rsidR="002F5B9C" w:rsidRDefault="002F5B9C" w:rsidP="004453CF">
      <w:pPr>
        <w:pStyle w:val="Bulletlevel1last"/>
      </w:pPr>
      <w:r w:rsidRPr="000B6A4B">
        <w:t>Australia’s researchers have the specialised high-performing computing and data infrastructure needed to stay ahead in everything from health to agriculture. </w:t>
      </w:r>
    </w:p>
    <w:p w14:paraId="54D47D30" w14:textId="0F532648" w:rsidR="005808E5" w:rsidRPr="00553D91" w:rsidRDefault="005808E5" w:rsidP="00553D91">
      <w:pPr>
        <w:rPr>
          <w:rFonts w:cs="Arial"/>
        </w:rPr>
      </w:pPr>
      <w:r w:rsidRPr="00553D91">
        <w:rPr>
          <w:rFonts w:cs="Arial"/>
        </w:rPr>
        <w:t xml:space="preserve">On </w:t>
      </w:r>
      <w:r w:rsidR="00553D91" w:rsidRPr="00553D91">
        <w:rPr>
          <w:rFonts w:cs="Arial"/>
        </w:rPr>
        <w:t>17</w:t>
      </w:r>
      <w:r w:rsidRPr="00553D91">
        <w:rPr>
          <w:rFonts w:cs="Arial"/>
        </w:rPr>
        <w:t xml:space="preserve"> November 2021</w:t>
      </w:r>
      <w:r w:rsidR="00553D91" w:rsidRPr="00553D91">
        <w:rPr>
          <w:rFonts w:cs="Arial"/>
        </w:rPr>
        <w:t xml:space="preserve">, the Department of Prime Minister and Cabinet released </w:t>
      </w:r>
      <w:r w:rsidR="002B5D8C">
        <w:rPr>
          <w:rFonts w:cs="Arial"/>
        </w:rPr>
        <w:t xml:space="preserve">the </w:t>
      </w:r>
      <w:r w:rsidR="00553D91" w:rsidRPr="00553D91">
        <w:rPr>
          <w:rFonts w:cs="Arial"/>
        </w:rPr>
        <w:t xml:space="preserve">Australian Government’s </w:t>
      </w:r>
      <w:hyperlink r:id="rId37" w:history="1">
        <w:r w:rsidR="0098750A">
          <w:rPr>
            <w:rStyle w:val="Hyperlink"/>
            <w:rFonts w:cs="Arial"/>
          </w:rPr>
          <w:t>A</w:t>
        </w:r>
        <w:r w:rsidR="00553D91" w:rsidRPr="00553D91">
          <w:rPr>
            <w:rStyle w:val="Hyperlink"/>
            <w:rFonts w:cs="Arial"/>
          </w:rPr>
          <w:t xml:space="preserve">ction </w:t>
        </w:r>
        <w:r w:rsidR="0098750A">
          <w:rPr>
            <w:rStyle w:val="Hyperlink"/>
            <w:rFonts w:cs="Arial"/>
          </w:rPr>
          <w:t>P</w:t>
        </w:r>
        <w:r w:rsidR="00553D91" w:rsidRPr="00553D91">
          <w:rPr>
            <w:rStyle w:val="Hyperlink"/>
            <w:rFonts w:cs="Arial"/>
          </w:rPr>
          <w:t xml:space="preserve">lan for </w:t>
        </w:r>
        <w:r w:rsidR="0098750A">
          <w:rPr>
            <w:rStyle w:val="Hyperlink"/>
            <w:rFonts w:cs="Arial"/>
          </w:rPr>
          <w:t>C</w:t>
        </w:r>
        <w:r w:rsidR="00553D91" w:rsidRPr="00553D91">
          <w:rPr>
            <w:rStyle w:val="Hyperlink"/>
            <w:rFonts w:cs="Arial"/>
          </w:rPr>
          <w:t xml:space="preserve">ritical </w:t>
        </w:r>
        <w:r w:rsidR="0098750A">
          <w:rPr>
            <w:rStyle w:val="Hyperlink"/>
            <w:rFonts w:cs="Arial"/>
          </w:rPr>
          <w:t>T</w:t>
        </w:r>
        <w:r w:rsidR="00553D91" w:rsidRPr="00553D91">
          <w:rPr>
            <w:rStyle w:val="Hyperlink"/>
            <w:rFonts w:cs="Arial"/>
          </w:rPr>
          <w:t>echnologies</w:t>
        </w:r>
      </w:hyperlink>
      <w:r w:rsidR="00553D91" w:rsidRPr="00553D91">
        <w:rPr>
          <w:rFonts w:cs="Arial"/>
        </w:rPr>
        <w:t xml:space="preserve">. </w:t>
      </w:r>
      <w:r w:rsidR="008C162D" w:rsidRPr="008C162D">
        <w:rPr>
          <w:rFonts w:cs="Arial"/>
        </w:rPr>
        <w:t xml:space="preserve">This outlines a vision for protecting and promoting critical technologies in Australia’s national interest, including advanced radiofrequency communications </w:t>
      </w:r>
      <w:r w:rsidR="0098750A">
        <w:rPr>
          <w:rFonts w:cs="Arial"/>
        </w:rPr>
        <w:t>–</w:t>
      </w:r>
      <w:r w:rsidR="008C162D" w:rsidRPr="008C162D">
        <w:rPr>
          <w:rFonts w:cs="Arial"/>
        </w:rPr>
        <w:t xml:space="preserve"> 5G and 6G technologies</w:t>
      </w:r>
      <w:r w:rsidR="00B933CF" w:rsidRPr="00B933CF">
        <w:rPr>
          <w:rFonts w:cs="Arial"/>
        </w:rPr>
        <w:t xml:space="preserve">. The </w:t>
      </w:r>
      <w:r w:rsidR="0098750A">
        <w:rPr>
          <w:rFonts w:cs="Arial"/>
        </w:rPr>
        <w:t>b</w:t>
      </w:r>
      <w:r w:rsidR="00B933CF" w:rsidRPr="00B933CF">
        <w:rPr>
          <w:rFonts w:cs="Arial"/>
        </w:rPr>
        <w:t xml:space="preserve">lueprint is underpinned by </w:t>
      </w:r>
      <w:r w:rsidR="00C9195C">
        <w:rPr>
          <w:rFonts w:cs="Arial"/>
        </w:rPr>
        <w:t>4</w:t>
      </w:r>
      <w:r w:rsidR="00C9195C" w:rsidRPr="00B933CF">
        <w:rPr>
          <w:rFonts w:cs="Arial"/>
        </w:rPr>
        <w:t xml:space="preserve"> </w:t>
      </w:r>
      <w:r w:rsidR="00B933CF" w:rsidRPr="00B933CF">
        <w:rPr>
          <w:rFonts w:cs="Arial"/>
        </w:rPr>
        <w:t xml:space="preserve">goals and </w:t>
      </w:r>
      <w:r w:rsidR="00C9195C">
        <w:rPr>
          <w:rFonts w:cs="Arial"/>
        </w:rPr>
        <w:t>7</w:t>
      </w:r>
      <w:r w:rsidR="00C9195C" w:rsidRPr="00B933CF">
        <w:rPr>
          <w:rFonts w:cs="Arial"/>
        </w:rPr>
        <w:t xml:space="preserve"> </w:t>
      </w:r>
      <w:r w:rsidR="00B933CF" w:rsidRPr="00B933CF">
        <w:rPr>
          <w:rFonts w:cs="Arial"/>
        </w:rPr>
        <w:t>action pillars, with a focus on promoting and protecting critical technologies through a national interest lens that balances the economic opportunities of critical technologies with their national security risks.</w:t>
      </w:r>
    </w:p>
    <w:p w14:paraId="3EEA32EF" w14:textId="77777777" w:rsidR="002F5B9C" w:rsidRPr="000B6A4B" w:rsidRDefault="002F5B9C" w:rsidP="002F5B9C">
      <w:pPr>
        <w:pStyle w:val="Heading3"/>
        <w:rPr>
          <w:rFonts w:ascii="Times New Roman" w:hAnsi="Times New Roman"/>
          <w:sz w:val="24"/>
        </w:rPr>
      </w:pPr>
      <w:bookmarkStart w:id="30" w:name="_Toc61435411"/>
      <w:r w:rsidRPr="000B6A4B">
        <w:t>Other relevant advice</w:t>
      </w:r>
      <w:bookmarkEnd w:id="30"/>
      <w:r w:rsidRPr="000B6A4B">
        <w:rPr>
          <w:rFonts w:ascii="Times New Roman" w:hAnsi="Times New Roman"/>
        </w:rPr>
        <w:t> </w:t>
      </w:r>
    </w:p>
    <w:p w14:paraId="39B0C89A" w14:textId="77777777" w:rsidR="002F5B9C" w:rsidRPr="000B6A4B" w:rsidRDefault="002F5B9C" w:rsidP="002F5B9C">
      <w:pPr>
        <w:pStyle w:val="Paragraph"/>
        <w:rPr>
          <w:rFonts w:ascii="Times New Roman" w:hAnsi="Times New Roman"/>
          <w:sz w:val="24"/>
        </w:rPr>
      </w:pPr>
      <w:r w:rsidRPr="000B6A4B">
        <w:rPr>
          <w:szCs w:val="20"/>
        </w:rPr>
        <w:t xml:space="preserve">We note the </w:t>
      </w:r>
      <w:hyperlink r:id="rId38" w:tgtFrame="_blank" w:history="1">
        <w:r w:rsidRPr="000B6A4B">
          <w:rPr>
            <w:color w:val="0000FF"/>
            <w:szCs w:val="20"/>
            <w:u w:val="single"/>
          </w:rPr>
          <w:t>Australian Government’s response</w:t>
        </w:r>
      </w:hyperlink>
      <w:r w:rsidRPr="000B6A4B">
        <w:rPr>
          <w:szCs w:val="20"/>
        </w:rPr>
        <w:t xml:space="preserve"> of November 2020 to the parliamentary report </w:t>
      </w:r>
      <w:hyperlink r:id="rId39" w:tgtFrame="_blank" w:history="1">
        <w:r w:rsidRPr="000B6A4B">
          <w:rPr>
            <w:i/>
            <w:iCs/>
            <w:color w:val="0000FF"/>
            <w:szCs w:val="20"/>
            <w:u w:val="single"/>
          </w:rPr>
          <w:t>Next Gen Future: Inquiry into the deployment, adoption and application of 5G in Australia</w:t>
        </w:r>
      </w:hyperlink>
      <w:r w:rsidRPr="000B6A4B">
        <w:rPr>
          <w:szCs w:val="20"/>
        </w:rPr>
        <w:t xml:space="preserve">. In particular, we acknowledge the government’s support for Recommendation 1 of the </w:t>
      </w:r>
      <w:r w:rsidRPr="000B6A4B">
        <w:t>report</w:t>
      </w:r>
      <w:r w:rsidRPr="000B6A4B">
        <w:rPr>
          <w:szCs w:val="20"/>
        </w:rPr>
        <w:t>, which</w:t>
      </w:r>
      <w:r w:rsidRPr="000B6A4B">
        <w:t xml:space="preserve"> recommended the ACMA finalise spectrum allocations expeditiously and investigate how future spectrum auctions can promote improved market competition for the benefit of consumers.</w:t>
      </w:r>
    </w:p>
    <w:p w14:paraId="4E0C8440" w14:textId="77777777" w:rsidR="002F5B9C" w:rsidRPr="000B6A4B" w:rsidRDefault="002F5B9C" w:rsidP="002F5B9C">
      <w:pPr>
        <w:pStyle w:val="Heading3"/>
        <w:ind w:right="16"/>
      </w:pPr>
      <w:r w:rsidRPr="000B6A4B">
        <w:t>Licensing arrangements</w:t>
      </w:r>
    </w:p>
    <w:p w14:paraId="513A6FF4" w14:textId="761F30C3" w:rsidR="002F5B9C" w:rsidRPr="000B6A4B" w:rsidRDefault="002F5B9C" w:rsidP="002F5B9C">
      <w:pPr>
        <w:rPr>
          <w:rFonts w:cs="Arial"/>
        </w:rPr>
      </w:pPr>
      <w:r w:rsidRPr="000B6A4B">
        <w:rPr>
          <w:rFonts w:cs="Arial"/>
        </w:rPr>
        <w:t>There are currently 3 licence types available to authorise access to spectrum –spectrum, apparatus and class licences. Each of these ha</w:t>
      </w:r>
      <w:r w:rsidR="00831E6E">
        <w:rPr>
          <w:rFonts w:cs="Arial"/>
        </w:rPr>
        <w:t>s</w:t>
      </w:r>
      <w:r w:rsidRPr="000B6A4B">
        <w:rPr>
          <w:rFonts w:cs="Arial"/>
        </w:rPr>
        <w:t xml:space="preserve"> differing characteristics with respect to the allocation method commonly used, approach to pricing, associated level of exclusivity and interference environment. </w:t>
      </w:r>
      <w:bookmarkStart w:id="31" w:name="_Hlk75769434"/>
      <w:r w:rsidRPr="000B6A4B">
        <w:t>These approaches influence how options can be developed and implemented.</w:t>
      </w:r>
    </w:p>
    <w:p w14:paraId="49E5C246" w14:textId="1BF1F091" w:rsidR="002F5B9C" w:rsidRPr="000B6A4B" w:rsidRDefault="002F5B9C" w:rsidP="002F5B9C">
      <w:pPr>
        <w:rPr>
          <w:rFonts w:cs="Arial"/>
        </w:rPr>
      </w:pPr>
      <w:r w:rsidRPr="000B6A4B">
        <w:rPr>
          <w:rFonts w:cs="Arial"/>
        </w:rPr>
        <w:t>On 17 June 2021, amendments to the Act</w:t>
      </w:r>
      <w:r w:rsidR="00831E6E">
        <w:rPr>
          <w:rFonts w:cs="Arial"/>
          <w:i/>
          <w:iCs/>
        </w:rPr>
        <w:t xml:space="preserve"> </w:t>
      </w:r>
      <w:r w:rsidR="00831E6E" w:rsidRPr="00ED2821">
        <w:rPr>
          <w:rFonts w:cs="Arial"/>
        </w:rPr>
        <w:t>made by</w:t>
      </w:r>
      <w:r w:rsidRPr="000B6A4B">
        <w:rPr>
          <w:rFonts w:cs="Arial"/>
        </w:rPr>
        <w:t xml:space="preserve"> the </w:t>
      </w:r>
      <w:r w:rsidRPr="000B6A4B">
        <w:rPr>
          <w:rFonts w:cs="Arial"/>
          <w:i/>
          <w:iCs/>
        </w:rPr>
        <w:t xml:space="preserve">Radiocommunications Legislation Amendment (Reform and Modernisation) Act 2020 </w:t>
      </w:r>
      <w:r w:rsidRPr="000B6A4B">
        <w:rPr>
          <w:rFonts w:cs="Arial"/>
        </w:rPr>
        <w:t>(the Modernisation Act) came into force. The amendments allow for greater flexibility for the ACMA to manage spectrum and greater clarity to licensees</w:t>
      </w:r>
      <w:bookmarkStart w:id="32" w:name="_Hlk75769689"/>
      <w:r w:rsidRPr="000B6A4B">
        <w:rPr>
          <w:rFonts w:cs="Arial"/>
        </w:rPr>
        <w:t xml:space="preserve">. More information on the amendments can be found on the </w:t>
      </w:r>
      <w:hyperlink r:id="rId40" w:history="1">
        <w:r w:rsidRPr="000B6A4B">
          <w:rPr>
            <w:rFonts w:cs="Arial"/>
            <w:color w:val="0000FF"/>
            <w:u w:val="single" w:color="0000FF"/>
          </w:rPr>
          <w:t>ACMA website</w:t>
        </w:r>
      </w:hyperlink>
      <w:r w:rsidRPr="000B6A4B">
        <w:rPr>
          <w:rFonts w:cs="Arial"/>
        </w:rPr>
        <w:t xml:space="preserve">. </w:t>
      </w:r>
      <w:r w:rsidR="00277B28">
        <w:rPr>
          <w:rFonts w:cs="Arial"/>
        </w:rPr>
        <w:t>We have d</w:t>
      </w:r>
      <w:r w:rsidRPr="000B6A4B">
        <w:rPr>
          <w:rFonts w:cs="Arial"/>
        </w:rPr>
        <w:t xml:space="preserve">eveloped an </w:t>
      </w:r>
      <w:hyperlink r:id="rId41" w:history="1">
        <w:r w:rsidRPr="000B6A4B">
          <w:rPr>
            <w:rStyle w:val="Hyperlink"/>
            <w:rFonts w:cs="Arial"/>
          </w:rPr>
          <w:t xml:space="preserve">overview of </w:t>
        </w:r>
        <w:r w:rsidR="00501E23">
          <w:rPr>
            <w:rStyle w:val="Hyperlink"/>
            <w:rFonts w:cs="Arial"/>
          </w:rPr>
          <w:t>our</w:t>
        </w:r>
        <w:r w:rsidRPr="000B6A4B">
          <w:rPr>
            <w:rStyle w:val="Hyperlink"/>
            <w:rFonts w:cs="Arial"/>
          </w:rPr>
          <w:t xml:space="preserve"> approach</w:t>
        </w:r>
      </w:hyperlink>
      <w:r w:rsidRPr="000B6A4B">
        <w:rPr>
          <w:rFonts w:cs="Arial"/>
        </w:rPr>
        <w:t xml:space="preserve"> to implementing the changes to licensing and allocation</w:t>
      </w:r>
      <w:r w:rsidR="002B5D8C">
        <w:rPr>
          <w:rFonts w:cs="Arial"/>
        </w:rPr>
        <w:t xml:space="preserve"> of spectrum</w:t>
      </w:r>
      <w:r w:rsidRPr="000B6A4B">
        <w:rPr>
          <w:rFonts w:cs="Arial"/>
        </w:rPr>
        <w:t>.</w:t>
      </w:r>
      <w:bookmarkEnd w:id="31"/>
      <w:bookmarkEnd w:id="32"/>
    </w:p>
    <w:p w14:paraId="0E5AE115" w14:textId="4BE05AAD" w:rsidR="002F5B9C" w:rsidRPr="000B6A4B" w:rsidRDefault="002F5B9C" w:rsidP="002F5B9C">
      <w:pPr>
        <w:ind w:right="16"/>
      </w:pPr>
      <w:r w:rsidRPr="000B6A4B">
        <w:t xml:space="preserve">A spectrum licence authorises the operation of </w:t>
      </w:r>
      <w:r w:rsidR="002B5D8C">
        <w:t xml:space="preserve">radiocommunications </w:t>
      </w:r>
      <w:r w:rsidRPr="000B6A4B">
        <w:t xml:space="preserve">devices within a defined frequency range and geographic area, with a high degree of exclusivity. The geographic area can vary in size and can comprise the entire country. Spectrum licences are usually allocated by an auction and have historically been utilised for </w:t>
      </w:r>
      <w:r w:rsidRPr="000B6A4B">
        <w:lastRenderedPageBreak/>
        <w:t>most bands used to deploy commercial mobile broadband networks. Spectrum licences may be allocated for up to 20 years.</w:t>
      </w:r>
    </w:p>
    <w:p w14:paraId="4F799A73" w14:textId="11223A3F" w:rsidR="002F5B9C" w:rsidRPr="000B6A4B" w:rsidRDefault="002F5B9C" w:rsidP="002F5B9C">
      <w:pPr>
        <w:ind w:right="16"/>
      </w:pPr>
      <w:r w:rsidRPr="000B6A4B">
        <w:t>An inherent feature of spectrum licensing is technological flexibility – that is, the licence conditions and associated technical framework, while usually optimised for an expected technology, specify generic technical conditions</w:t>
      </w:r>
      <w:r w:rsidRPr="000B6A4B">
        <w:rPr>
          <w:vertAlign w:val="superscript"/>
        </w:rPr>
        <w:footnoteReference w:id="8"/>
      </w:r>
      <w:r w:rsidRPr="000B6A4B">
        <w:t xml:space="preserve"> and do not usually expressly mandate or limit specific technologies or services. This allows a licensee to deploy any technology that complies with the conditions of the licence. It is up to the licensee to manage interference between their </w:t>
      </w:r>
      <w:r w:rsidR="002B5D8C">
        <w:t xml:space="preserve">radiocommunications </w:t>
      </w:r>
      <w:r w:rsidRPr="000B6A4B">
        <w:t>devices (note that the adoption of international standards within the technical framework mitigates the potential for interference between devices). Spectrum licences are more conducive to secondary trading than apparatus licences, due to design features such as their longer tenure and their ability to be sub-divided.</w:t>
      </w:r>
    </w:p>
    <w:p w14:paraId="072713FC" w14:textId="7A36C7BF" w:rsidR="002F5B9C" w:rsidRPr="000B6A4B" w:rsidRDefault="002F5B9C" w:rsidP="002F5B9C">
      <w:pPr>
        <w:pStyle w:val="Paragraph"/>
        <w:rPr>
          <w:rFonts w:ascii="Times New Roman" w:hAnsi="Times New Roman"/>
          <w:szCs w:val="20"/>
        </w:rPr>
      </w:pPr>
      <w:r w:rsidRPr="000B6A4B">
        <w:rPr>
          <w:szCs w:val="20"/>
        </w:rPr>
        <w:t xml:space="preserve">An apparatus licence authorises the use of a radiocommunications device (or group of devices) operating under a specific radiocommunications service type, in a specific frequency range, and traditionally at one or more specific geographic locations for a period of up to 20 years. They are typically issued ‘over-the-counter’ in accordance with coordination policies developed by the ACMA. We </w:t>
      </w:r>
      <w:hyperlink r:id="rId42" w:tgtFrame="_blank" w:history="1">
        <w:r w:rsidRPr="000B6A4B">
          <w:rPr>
            <w:color w:val="0000FF"/>
            <w:szCs w:val="20"/>
            <w:u w:val="single"/>
          </w:rPr>
          <w:t xml:space="preserve">impose cost recovery </w:t>
        </w:r>
      </w:hyperlink>
      <w:r w:rsidRPr="000B6A4B">
        <w:rPr>
          <w:color w:val="0000FF"/>
          <w:szCs w:val="20"/>
          <w:u w:val="single"/>
        </w:rPr>
        <w:t>charges, and separate legislation imposes taxes</w:t>
      </w:r>
      <w:r w:rsidRPr="000B6A4B">
        <w:rPr>
          <w:szCs w:val="20"/>
        </w:rPr>
        <w:t xml:space="preserve"> in relation to apparatus licences. These amounts cover our costs and </w:t>
      </w:r>
      <w:r w:rsidR="00831E6E">
        <w:rPr>
          <w:szCs w:val="20"/>
        </w:rPr>
        <w:t>create</w:t>
      </w:r>
      <w:r w:rsidRPr="000B6A4B">
        <w:rPr>
          <w:szCs w:val="20"/>
        </w:rPr>
        <w:t xml:space="preserve"> incentive</w:t>
      </w:r>
      <w:r w:rsidR="00831E6E">
        <w:rPr>
          <w:szCs w:val="20"/>
        </w:rPr>
        <w:t>s</w:t>
      </w:r>
      <w:r w:rsidRPr="000B6A4B">
        <w:rPr>
          <w:szCs w:val="20"/>
        </w:rPr>
        <w:t xml:space="preserve"> to use spectrum efficiently.</w:t>
      </w:r>
      <w:r w:rsidRPr="000B6A4B">
        <w:rPr>
          <w:rFonts w:ascii="Times New Roman" w:hAnsi="Times New Roman"/>
          <w:szCs w:val="20"/>
        </w:rPr>
        <w:t> </w:t>
      </w:r>
    </w:p>
    <w:p w14:paraId="013654BC" w14:textId="2299E8A5" w:rsidR="002F5B9C" w:rsidRPr="000B6A4B" w:rsidRDefault="002F5B9C" w:rsidP="002F5B9C">
      <w:pPr>
        <w:pStyle w:val="Paragraph"/>
      </w:pPr>
      <w:r w:rsidRPr="000B6A4B">
        <w:t xml:space="preserve">The ACMA has also created a new apparatus licence type – the </w:t>
      </w:r>
      <w:hyperlink r:id="rId43" w:tgtFrame="_blank" w:history="1">
        <w:r w:rsidRPr="000B6A4B">
          <w:rPr>
            <w:color w:val="0000FF"/>
            <w:u w:val="single"/>
          </w:rPr>
          <w:t>area-wide apparatus licence</w:t>
        </w:r>
      </w:hyperlink>
      <w:r w:rsidRPr="000B6A4B">
        <w:t xml:space="preserve">. This authorises the operation of one or more radiocommunications devices within a defined geographic area within frequencies specified in the licence, subject to the conditions included </w:t>
      </w:r>
      <w:r w:rsidR="00831E6E">
        <w:t>i</w:t>
      </w:r>
      <w:r w:rsidRPr="000B6A4B">
        <w:t>n the issued licence. The licence type is proposed to be scalable, enabling its use for authorising different-sized geographic areas and bandwidths. Unlike existing apparatus licence types – which typically align with specific uses and purposes – the area-wide apparatus licence is capable of authorising a variety of services, uses, applications and technologies.</w:t>
      </w:r>
    </w:p>
    <w:p w14:paraId="1C5D6DE4" w14:textId="2BA6AE56" w:rsidR="002F5B9C" w:rsidRPr="000B6A4B" w:rsidRDefault="002F5B9C" w:rsidP="002F5B9C">
      <w:pPr>
        <w:pStyle w:val="Paragraph"/>
      </w:pPr>
      <w:r w:rsidRPr="000B6A4B">
        <w:t xml:space="preserve">Class licences are a standing authorisation to access spectrum without the need to apply to </w:t>
      </w:r>
      <w:r w:rsidR="00AC4BCD">
        <w:t>us</w:t>
      </w:r>
      <w:r w:rsidRPr="000B6A4B">
        <w:t xml:space="preserve"> for an individual licence (hence</w:t>
      </w:r>
      <w:r w:rsidR="00831E6E">
        <w:t xml:space="preserve"> no</w:t>
      </w:r>
      <w:r w:rsidRPr="000B6A4B">
        <w:t xml:space="preserve"> taxes or charges are paid), subject to the conditions of the relevant class licence. These conditions include technical and geographic matters and/or pertain to the type of use or class of user.</w:t>
      </w:r>
    </w:p>
    <w:p w14:paraId="474D8325" w14:textId="36E15F65" w:rsidR="002F5B9C" w:rsidRPr="000B6A4B" w:rsidRDefault="002F5B9C" w:rsidP="00392A96">
      <w:pPr>
        <w:pStyle w:val="Heading2"/>
        <w:ind w:right="1557"/>
      </w:pPr>
      <w:bookmarkStart w:id="33" w:name="_Toc89250836"/>
      <w:r w:rsidRPr="000B6A4B">
        <w:t xml:space="preserve">Spectrum planning </w:t>
      </w:r>
      <w:r w:rsidR="00392A96" w:rsidRPr="000B6A4B">
        <w:t>outcomes</w:t>
      </w:r>
      <w:r w:rsidRPr="000B6A4B">
        <w:t xml:space="preserve"> development</w:t>
      </w:r>
      <w:bookmarkEnd w:id="33"/>
    </w:p>
    <w:p w14:paraId="03ACF414" w14:textId="6F0578E8" w:rsidR="002F5B9C" w:rsidRPr="000B6A4B" w:rsidRDefault="002F5B9C" w:rsidP="002F5B9C">
      <w:pPr>
        <w:ind w:right="16"/>
      </w:pPr>
      <w:r w:rsidRPr="000B6A4B">
        <w:t>We are guided in our spectrum management functions by the object of the Act, set out in</w:t>
      </w:r>
      <w:r w:rsidR="00AC4BCD">
        <w:t xml:space="preserve"> </w:t>
      </w:r>
      <w:hyperlink w:anchor="_Guiding_legislation_and" w:history="1">
        <w:r w:rsidR="00AC4BCD" w:rsidRPr="00AC4BCD">
          <w:rPr>
            <w:rStyle w:val="Hyperlink"/>
          </w:rPr>
          <w:t>Guiding legislation and policy</w:t>
        </w:r>
      </w:hyperlink>
      <w:r w:rsidRPr="000B6A4B">
        <w:t xml:space="preserve">. A balanced application of regulatory and market mechanisms is often necessary in order to achieve key elements of the object of the Act, in particular maximising the overall public benefit from the efficient allocation and use of the radiofrequency spectrum and meeting the government’s policy objectives. </w:t>
      </w:r>
    </w:p>
    <w:p w14:paraId="1D1C65F4" w14:textId="347AF3E8" w:rsidR="002F5B9C" w:rsidRPr="000B6A4B" w:rsidRDefault="002F5B9C" w:rsidP="002F5B9C">
      <w:pPr>
        <w:ind w:right="16"/>
      </w:pPr>
      <w:r w:rsidRPr="000B6A4B">
        <w:t xml:space="preserve">Figure 2 describes the approach </w:t>
      </w:r>
      <w:r w:rsidR="00AC4BCD">
        <w:t>we have</w:t>
      </w:r>
      <w:r w:rsidRPr="000B6A4B">
        <w:t xml:space="preserve"> used in </w:t>
      </w:r>
      <w:r w:rsidR="00392A96" w:rsidRPr="000B6A4B">
        <w:t>developing</w:t>
      </w:r>
      <w:r w:rsidRPr="000B6A4B">
        <w:t xml:space="preserve"> and </w:t>
      </w:r>
      <w:proofErr w:type="spellStart"/>
      <w:r w:rsidRPr="000B6A4B">
        <w:t>assessing</w:t>
      </w:r>
      <w:proofErr w:type="spellEnd"/>
      <w:r w:rsidRPr="000B6A4B">
        <w:t xml:space="preserve"> options for the use of urban excise areas in the 3400–3475 MHz band.</w:t>
      </w:r>
      <w:r w:rsidR="00392A96" w:rsidRPr="000B6A4B">
        <w:t xml:space="preserve"> This approach led to the formation of the ACMA’s preliminary preferred option for replanning the band</w:t>
      </w:r>
      <w:r w:rsidRPr="000B6A4B">
        <w:t xml:space="preserve"> </w:t>
      </w:r>
      <w:r w:rsidR="00392A96" w:rsidRPr="000B6A4B">
        <w:t>as detailed in the options paper.</w:t>
      </w:r>
    </w:p>
    <w:p w14:paraId="116A8A29" w14:textId="6BEBDCE0" w:rsidR="00392A96" w:rsidRPr="000B6A4B" w:rsidRDefault="00392A96" w:rsidP="00392A96">
      <w:pPr>
        <w:pStyle w:val="Paragraph"/>
      </w:pPr>
      <w:r w:rsidRPr="000B6A4B">
        <w:t xml:space="preserve">In determining the planning outcomes presented in this paper, </w:t>
      </w:r>
      <w:r w:rsidR="00AC4BCD">
        <w:t xml:space="preserve">we have </w:t>
      </w:r>
      <w:r w:rsidRPr="000B6A4B">
        <w:t xml:space="preserve">carefully considered submissions to the options paper. We have also </w:t>
      </w:r>
      <w:proofErr w:type="gramStart"/>
      <w:r w:rsidRPr="000B6A4B">
        <w:t>taken into account</w:t>
      </w:r>
      <w:proofErr w:type="gramEnd"/>
      <w:r w:rsidRPr="000B6A4B">
        <w:t xml:space="preserve"> other relevant developments, both domestic and international, that may impact the potential future use of the band.</w:t>
      </w:r>
    </w:p>
    <w:p w14:paraId="65800E71" w14:textId="77777777" w:rsidR="002F5B9C" w:rsidRPr="000B6A4B" w:rsidRDefault="002F5B9C" w:rsidP="00E034ED">
      <w:pPr>
        <w:pStyle w:val="ACMAFigureHeader"/>
        <w:tabs>
          <w:tab w:val="clear" w:pos="1021"/>
          <w:tab w:val="num" w:pos="607"/>
        </w:tabs>
        <w:spacing w:before="240"/>
      </w:pPr>
      <w:r w:rsidRPr="000B6A4B">
        <w:lastRenderedPageBreak/>
        <w:t>Spectrum planning options framework</w:t>
      </w:r>
    </w:p>
    <w:p w14:paraId="7CB6E5DB" w14:textId="77777777" w:rsidR="002F5B9C" w:rsidRPr="000B6A4B" w:rsidRDefault="002F5B9C" w:rsidP="002F5B9C">
      <w:pPr>
        <w:pStyle w:val="ACMASpaceaftertable"/>
        <w:rPr>
          <w:szCs w:val="26"/>
        </w:rPr>
      </w:pPr>
      <w:bookmarkStart w:id="34" w:name="_Toc466017062"/>
      <w:bookmarkStart w:id="35" w:name="_Toc468438957"/>
      <w:bookmarkStart w:id="36" w:name="_Toc468705312"/>
      <w:bookmarkStart w:id="37" w:name="_Ref517340300"/>
      <w:r w:rsidRPr="000B6A4B">
        <w:rPr>
          <w:noProof/>
        </w:rPr>
        <w:drawing>
          <wp:inline distT="0" distB="0" distL="0" distR="0" wp14:anchorId="0F9CF67A" wp14:editId="13A859CD">
            <wp:extent cx="6480000" cy="3567600"/>
            <wp:effectExtent l="0" t="0" r="0" b="0"/>
            <wp:docPr id="9" name="Picture 9" descr="Figure 1: Spectrum planning options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480000" cy="3567600"/>
                    </a:xfrm>
                    <a:prstGeom prst="rect">
                      <a:avLst/>
                    </a:prstGeom>
                  </pic:spPr>
                </pic:pic>
              </a:graphicData>
            </a:graphic>
          </wp:inline>
        </w:drawing>
      </w:r>
    </w:p>
    <w:bookmarkEnd w:id="15"/>
    <w:bookmarkEnd w:id="16"/>
    <w:bookmarkEnd w:id="17"/>
    <w:bookmarkEnd w:id="18"/>
    <w:bookmarkEnd w:id="19"/>
    <w:bookmarkEnd w:id="20"/>
    <w:bookmarkEnd w:id="21"/>
    <w:bookmarkEnd w:id="22"/>
    <w:bookmarkEnd w:id="23"/>
    <w:bookmarkEnd w:id="24"/>
    <w:bookmarkEnd w:id="25"/>
    <w:bookmarkEnd w:id="26"/>
    <w:bookmarkEnd w:id="27"/>
    <w:bookmarkEnd w:id="34"/>
    <w:bookmarkEnd w:id="35"/>
    <w:bookmarkEnd w:id="36"/>
    <w:bookmarkEnd w:id="37"/>
    <w:p w14:paraId="5DE066CE" w14:textId="77777777" w:rsidR="002F5B9C" w:rsidRPr="000B6A4B" w:rsidRDefault="002F5B9C" w:rsidP="000C1B75">
      <w:pPr>
        <w:pStyle w:val="Paragraph"/>
      </w:pPr>
    </w:p>
    <w:p w14:paraId="3AB46FA7" w14:textId="02CD31C6" w:rsidR="000C1B75" w:rsidRPr="000B6A4B" w:rsidRDefault="000C1B75" w:rsidP="000C1B75">
      <w:pPr>
        <w:pStyle w:val="Heading1"/>
      </w:pPr>
      <w:bookmarkStart w:id="38" w:name="_Toc89250837"/>
      <w:r w:rsidRPr="000B6A4B">
        <w:lastRenderedPageBreak/>
        <w:t>Process to date</w:t>
      </w:r>
      <w:bookmarkEnd w:id="38"/>
      <w:r w:rsidRPr="000B6A4B">
        <w:t xml:space="preserve"> </w:t>
      </w:r>
    </w:p>
    <w:p w14:paraId="372C3010" w14:textId="7A69145F" w:rsidR="000C1B75" w:rsidRPr="000B6A4B" w:rsidRDefault="00915AE2" w:rsidP="000C1B75">
      <w:pPr>
        <w:pStyle w:val="Paragraph"/>
      </w:pPr>
      <w:r w:rsidRPr="000B6A4B">
        <w:t xml:space="preserve">This chapter </w:t>
      </w:r>
      <w:r w:rsidR="003323EF">
        <w:t>summarises</w:t>
      </w:r>
      <w:r w:rsidR="003323EF" w:rsidRPr="000B6A4B">
        <w:t xml:space="preserve"> </w:t>
      </w:r>
      <w:r w:rsidRPr="000B6A4B">
        <w:t xml:space="preserve">the </w:t>
      </w:r>
      <w:r w:rsidR="005631CC" w:rsidRPr="000B6A4B">
        <w:t xml:space="preserve">issues for comment </w:t>
      </w:r>
      <w:r w:rsidRPr="000B6A4B">
        <w:t>in the options paper</w:t>
      </w:r>
      <w:r w:rsidR="005631CC" w:rsidRPr="000B6A4B">
        <w:t>, the main themes in</w:t>
      </w:r>
      <w:r w:rsidRPr="000B6A4B">
        <w:t xml:space="preserve"> submissions and the ACMA’s </w:t>
      </w:r>
      <w:r w:rsidR="005631CC" w:rsidRPr="000B6A4B">
        <w:t>response to</w:t>
      </w:r>
      <w:r w:rsidRPr="000B6A4B">
        <w:t xml:space="preserve"> them.</w:t>
      </w:r>
    </w:p>
    <w:p w14:paraId="33BA1E10" w14:textId="1D18B77C" w:rsidR="000C1B75" w:rsidRPr="000B6A4B" w:rsidRDefault="00B65B6A" w:rsidP="000C1B75">
      <w:pPr>
        <w:pStyle w:val="Heading2"/>
      </w:pPr>
      <w:bookmarkStart w:id="39" w:name="_Toc89250838"/>
      <w:r w:rsidRPr="000B6A4B">
        <w:t xml:space="preserve">Issues </w:t>
      </w:r>
      <w:r w:rsidR="00607C13" w:rsidRPr="000B6A4B">
        <w:t>considered in the options paper</w:t>
      </w:r>
      <w:bookmarkEnd w:id="39"/>
    </w:p>
    <w:p w14:paraId="7DD7F5CD" w14:textId="60B5B3B1" w:rsidR="00B65B6A" w:rsidRPr="000B6A4B" w:rsidRDefault="00B65B6A" w:rsidP="00154AB2">
      <w:pPr>
        <w:pStyle w:val="Paragraph"/>
        <w:rPr>
          <w:bCs/>
          <w:color w:val="000000" w:themeColor="text1"/>
          <w:szCs w:val="20"/>
        </w:rPr>
      </w:pPr>
      <w:r w:rsidRPr="000B6A4B">
        <w:rPr>
          <w:bCs/>
          <w:color w:val="000000" w:themeColor="text1"/>
          <w:szCs w:val="20"/>
        </w:rPr>
        <w:t>In the options paper</w:t>
      </w:r>
      <w:r w:rsidR="00C7750D">
        <w:rPr>
          <w:bCs/>
          <w:color w:val="000000" w:themeColor="text1"/>
          <w:szCs w:val="20"/>
        </w:rPr>
        <w:t>,</w:t>
      </w:r>
      <w:r w:rsidRPr="000B6A4B">
        <w:rPr>
          <w:bCs/>
          <w:color w:val="000000" w:themeColor="text1"/>
          <w:szCs w:val="20"/>
        </w:rPr>
        <w:t xml:space="preserve"> the ACMA sought comment</w:t>
      </w:r>
      <w:r w:rsidR="00607C13" w:rsidRPr="000B6A4B">
        <w:rPr>
          <w:bCs/>
          <w:color w:val="000000" w:themeColor="text1"/>
          <w:szCs w:val="20"/>
        </w:rPr>
        <w:t xml:space="preserve"> </w:t>
      </w:r>
      <w:r w:rsidR="00551EE3">
        <w:rPr>
          <w:bCs/>
          <w:color w:val="000000" w:themeColor="text1"/>
          <w:szCs w:val="20"/>
        </w:rPr>
        <w:t xml:space="preserve">on </w:t>
      </w:r>
      <w:r w:rsidR="00607C13" w:rsidRPr="000B6A4B">
        <w:rPr>
          <w:bCs/>
          <w:color w:val="000000" w:themeColor="text1"/>
          <w:szCs w:val="20"/>
        </w:rPr>
        <w:t xml:space="preserve">proposed amendments to the technical framework for 3.4 GHz spectrum licences (the 3.4 GHz technical framework) and </w:t>
      </w:r>
      <w:r w:rsidR="008B1C47">
        <w:rPr>
          <w:bCs/>
          <w:color w:val="000000" w:themeColor="text1"/>
          <w:szCs w:val="20"/>
        </w:rPr>
        <w:t>o</w:t>
      </w:r>
      <w:r w:rsidR="008B1C47" w:rsidRPr="000B6A4B">
        <w:rPr>
          <w:bCs/>
          <w:color w:val="000000" w:themeColor="text1"/>
          <w:szCs w:val="20"/>
        </w:rPr>
        <w:t xml:space="preserve">ptions </w:t>
      </w:r>
      <w:r w:rsidR="00607C13" w:rsidRPr="000B6A4B">
        <w:rPr>
          <w:bCs/>
          <w:color w:val="000000" w:themeColor="text1"/>
          <w:szCs w:val="20"/>
        </w:rPr>
        <w:t xml:space="preserve">to support </w:t>
      </w:r>
      <w:r w:rsidR="004F1D06" w:rsidRPr="000B6A4B">
        <w:rPr>
          <w:bCs/>
          <w:color w:val="000000" w:themeColor="text1"/>
          <w:szCs w:val="20"/>
        </w:rPr>
        <w:t>WBB</w:t>
      </w:r>
      <w:r w:rsidR="00607C13" w:rsidRPr="000B6A4B">
        <w:rPr>
          <w:bCs/>
          <w:color w:val="000000" w:themeColor="text1"/>
          <w:szCs w:val="20"/>
        </w:rPr>
        <w:t xml:space="preserve"> use of the 3400</w:t>
      </w:r>
      <w:r w:rsidR="00B118F4">
        <w:rPr>
          <w:bCs/>
          <w:color w:val="000000" w:themeColor="text1"/>
          <w:szCs w:val="20"/>
        </w:rPr>
        <w:t>–</w:t>
      </w:r>
      <w:r w:rsidR="00607C13" w:rsidRPr="000B6A4B">
        <w:rPr>
          <w:bCs/>
          <w:color w:val="000000" w:themeColor="text1"/>
          <w:szCs w:val="20"/>
        </w:rPr>
        <w:t>3475 MHz band in urban excise areas.</w:t>
      </w:r>
    </w:p>
    <w:p w14:paraId="09EA062E" w14:textId="0AF5AA41" w:rsidR="00607C13" w:rsidRPr="000B6A4B" w:rsidRDefault="00607C13" w:rsidP="00607C13">
      <w:pPr>
        <w:pStyle w:val="Heading3"/>
      </w:pPr>
      <w:r w:rsidRPr="000B6A4B">
        <w:t xml:space="preserve">Proposed amendments to the 3.4 GHz technical framework </w:t>
      </w:r>
    </w:p>
    <w:p w14:paraId="2CB78FD0" w14:textId="2F187117" w:rsidR="00FF3A4E" w:rsidRPr="000B6A4B" w:rsidRDefault="00607C13" w:rsidP="004453CF">
      <w:pPr>
        <w:pStyle w:val="Paragraphbeforelist"/>
      </w:pPr>
      <w:r w:rsidRPr="000B6A4B">
        <w:t xml:space="preserve">The options paper proposed the following </w:t>
      </w:r>
      <w:r w:rsidR="00FF3A4E" w:rsidRPr="000B6A4B">
        <w:t xml:space="preserve">amendments to the </w:t>
      </w:r>
      <w:r w:rsidRPr="000B6A4B">
        <w:t xml:space="preserve">3.4 GHz </w:t>
      </w:r>
      <w:r w:rsidR="00FF3A4E" w:rsidRPr="000B6A4B">
        <w:t xml:space="preserve">technical framework: </w:t>
      </w:r>
    </w:p>
    <w:p w14:paraId="57B7481C" w14:textId="39581A58" w:rsidR="00607C13" w:rsidRPr="000B6A4B" w:rsidRDefault="00607C13" w:rsidP="004453CF">
      <w:pPr>
        <w:pStyle w:val="Bulletlevel1"/>
        <w:rPr>
          <w:bCs/>
          <w:color w:val="000000" w:themeColor="text1"/>
          <w:szCs w:val="20"/>
        </w:rPr>
      </w:pPr>
      <w:r w:rsidRPr="000B6A4B">
        <w:rPr>
          <w:bCs/>
          <w:color w:val="000000" w:themeColor="text1"/>
          <w:szCs w:val="20"/>
        </w:rPr>
        <w:t xml:space="preserve">Amendments to the </w:t>
      </w:r>
      <w:hyperlink r:id="rId45" w:tgtFrame="_self" w:history="1">
        <w:r w:rsidRPr="000B6A4B">
          <w:rPr>
            <w:rStyle w:val="Hyperlink"/>
            <w:bCs/>
          </w:rPr>
          <w:t>Radiocommunications (Unacceptable Levels of Interference – 3.4 GHz Band) Determination 2015</w:t>
        </w:r>
      </w:hyperlink>
      <w:r w:rsidRPr="000B6A4B">
        <w:rPr>
          <w:i/>
          <w:iCs/>
        </w:rPr>
        <w:t xml:space="preserve"> </w:t>
      </w:r>
      <w:r w:rsidRPr="000B6A4B">
        <w:t>(the s.145(4) Determination).</w:t>
      </w:r>
      <w:r w:rsidR="00071F49" w:rsidRPr="000B6A4B">
        <w:t xml:space="preserve"> Th</w:t>
      </w:r>
      <w:r w:rsidR="00AC0082">
        <w:t>ese</w:t>
      </w:r>
      <w:r w:rsidR="00071F49" w:rsidRPr="000B6A4B">
        <w:t xml:space="preserve"> included:</w:t>
      </w:r>
    </w:p>
    <w:p w14:paraId="0796B98B" w14:textId="1D820BA9" w:rsidR="00071F49" w:rsidRPr="00B118F4" w:rsidRDefault="00071F49" w:rsidP="004453CF">
      <w:pPr>
        <w:pStyle w:val="Bulletlevel2"/>
      </w:pPr>
      <w:r w:rsidRPr="00B118F4">
        <w:t xml:space="preserve">General changes that aligned with those identified and implemented in the review of the </w:t>
      </w:r>
      <w:hyperlink r:id="rId46" w:history="1">
        <w:r w:rsidRPr="004453CF">
          <w:rPr>
            <w:rStyle w:val="Hyperlink"/>
            <w:color w:val="auto"/>
            <w:u w:val="none"/>
          </w:rPr>
          <w:t>2.3 GHz technical framework</w:t>
        </w:r>
      </w:hyperlink>
      <w:r w:rsidRPr="00B118F4">
        <w:t xml:space="preserve">. </w:t>
      </w:r>
      <w:bookmarkStart w:id="40" w:name="_Hlk78901415"/>
      <w:r w:rsidRPr="00B118F4">
        <w:t>These changes will enable spectrum licensees to deploy services closer to the geographical boundaries of their licence, subsequently increasing utility of the spectrum.</w:t>
      </w:r>
      <w:bookmarkEnd w:id="40"/>
    </w:p>
    <w:p w14:paraId="412A0A58" w14:textId="35BB8796" w:rsidR="00071F49" w:rsidRPr="00B118F4" w:rsidRDefault="00071F49" w:rsidP="004453CF">
      <w:pPr>
        <w:pStyle w:val="Bulletlevel2"/>
      </w:pPr>
      <w:r w:rsidRPr="00B118F4">
        <w:t xml:space="preserve">Additional changes to ensure NBN Co </w:t>
      </w:r>
      <w:r w:rsidR="002B5D8C" w:rsidRPr="00B118F4">
        <w:t xml:space="preserve">is </w:t>
      </w:r>
      <w:r w:rsidRPr="00B118F4">
        <w:t xml:space="preserve">not prevented from re-registering </w:t>
      </w:r>
      <w:r w:rsidR="008D542D" w:rsidRPr="00B118F4">
        <w:t xml:space="preserve">radiocommunications devices for </w:t>
      </w:r>
      <w:r w:rsidRPr="00B118F4">
        <w:t>existing services in the 3400</w:t>
      </w:r>
      <w:r w:rsidR="00B118F4">
        <w:t>–</w:t>
      </w:r>
      <w:r w:rsidRPr="00B118F4">
        <w:t>3475 MHz band located near urban excise areas.</w:t>
      </w:r>
    </w:p>
    <w:p w14:paraId="3413B00D" w14:textId="490A9DB9" w:rsidR="00607C13" w:rsidRPr="000B6A4B" w:rsidRDefault="00607C13" w:rsidP="004453CF">
      <w:pPr>
        <w:pStyle w:val="Bulletlevel1"/>
      </w:pPr>
      <w:r w:rsidRPr="000B6A4B">
        <w:t>Amendments to the 3.4 GHz spectrum licen</w:t>
      </w:r>
      <w:r w:rsidR="008D542D">
        <w:t>c</w:t>
      </w:r>
      <w:r w:rsidRPr="000B6A4B">
        <w:t xml:space="preserve">e core conditions relating to receiver spurious emissions </w:t>
      </w:r>
      <w:r w:rsidR="00CE4CE7">
        <w:t>t</w:t>
      </w:r>
      <w:r w:rsidRPr="000B6A4B">
        <w:t>o align with international standards.</w:t>
      </w:r>
    </w:p>
    <w:p w14:paraId="1E0239D3" w14:textId="56710ED8" w:rsidR="00607C13" w:rsidRPr="000B6A4B" w:rsidRDefault="00607C13" w:rsidP="004453CF">
      <w:pPr>
        <w:pStyle w:val="Bulletlevel1last"/>
        <w:rPr>
          <w:bCs/>
          <w:color w:val="000000" w:themeColor="text1"/>
          <w:szCs w:val="20"/>
        </w:rPr>
      </w:pPr>
      <w:r w:rsidRPr="000B6A4B">
        <w:rPr>
          <w:bCs/>
          <w:color w:val="000000" w:themeColor="text1"/>
          <w:szCs w:val="20"/>
        </w:rPr>
        <w:t xml:space="preserve">Amendments to </w:t>
      </w:r>
      <w:hyperlink r:id="rId47" w:history="1">
        <w:r w:rsidRPr="000B6A4B">
          <w:rPr>
            <w:rStyle w:val="Hyperlink"/>
            <w:i/>
            <w:iCs/>
          </w:rPr>
          <w:t>Radiocommunications assignment and licensing instruction MS44 – Frequency coordination procedures for the earth station protection zones</w:t>
        </w:r>
      </w:hyperlink>
      <w:r w:rsidRPr="000B6A4B">
        <w:rPr>
          <w:i/>
          <w:iCs/>
        </w:rPr>
        <w:t xml:space="preserve"> </w:t>
      </w:r>
      <w:r w:rsidRPr="000B6A4B">
        <w:t>(RALI MS44) so that earth station protection zones (ESPZs) in eastern Australia cover those parts of the band not subject to spectrum licensing in the 3400-3575 MHz band</w:t>
      </w:r>
    </w:p>
    <w:p w14:paraId="1D070311" w14:textId="2D16628C" w:rsidR="00071F49" w:rsidRPr="000B6A4B" w:rsidRDefault="00071F49" w:rsidP="00071F49">
      <w:pPr>
        <w:pStyle w:val="Heading3"/>
      </w:pPr>
      <w:r w:rsidRPr="000B6A4B">
        <w:t xml:space="preserve">Options for use of urban excise areas </w:t>
      </w:r>
    </w:p>
    <w:p w14:paraId="5B23A2DA" w14:textId="3C165345" w:rsidR="00E034ED" w:rsidRPr="000B6A4B" w:rsidRDefault="00071F49" w:rsidP="004453CF">
      <w:pPr>
        <w:pStyle w:val="Paragraphbeforelist"/>
      </w:pPr>
      <w:r w:rsidRPr="000B6A4B">
        <w:t xml:space="preserve">The options paper </w:t>
      </w:r>
      <w:r w:rsidR="00E034ED" w:rsidRPr="000B6A4B">
        <w:t xml:space="preserve">identified four options to support </w:t>
      </w:r>
      <w:r w:rsidR="006D38CE">
        <w:t xml:space="preserve">the </w:t>
      </w:r>
      <w:r w:rsidR="004F1D06" w:rsidRPr="000B6A4B">
        <w:t>WBB</w:t>
      </w:r>
      <w:r w:rsidR="00E034ED" w:rsidRPr="000B6A4B">
        <w:t xml:space="preserve"> use of the 3400-3475</w:t>
      </w:r>
      <w:r w:rsidR="00577074">
        <w:t> </w:t>
      </w:r>
      <w:r w:rsidR="00E034ED" w:rsidRPr="000B6A4B">
        <w:t xml:space="preserve">MHz band in urban excise areas. These are summarised in Figure </w:t>
      </w:r>
      <w:r w:rsidR="00CB35C4">
        <w:t>2</w:t>
      </w:r>
      <w:r w:rsidR="006A00EF">
        <w:t xml:space="preserve"> with </w:t>
      </w:r>
      <w:r w:rsidR="00577074">
        <w:t xml:space="preserve">more </w:t>
      </w:r>
      <w:r w:rsidR="006A00EF">
        <w:t>detail provided at Appendix B</w:t>
      </w:r>
      <w:r w:rsidR="00E034ED" w:rsidRPr="000B6A4B">
        <w:t>. Each option involves support for different combinations of:</w:t>
      </w:r>
    </w:p>
    <w:p w14:paraId="5DF4D926" w14:textId="13CDC48B" w:rsidR="00E034ED" w:rsidRPr="000B6A4B" w:rsidRDefault="00E034ED" w:rsidP="00E034ED">
      <w:pPr>
        <w:pStyle w:val="Bulletlevel1"/>
        <w:tabs>
          <w:tab w:val="clear" w:pos="295"/>
          <w:tab w:val="num" w:pos="-119"/>
        </w:tabs>
      </w:pPr>
      <w:r w:rsidRPr="000B6A4B">
        <w:t>macro-cell or restricted cell deployment models</w:t>
      </w:r>
    </w:p>
    <w:p w14:paraId="153B5E66" w14:textId="77777777" w:rsidR="00E034ED" w:rsidRPr="000B6A4B" w:rsidRDefault="00E034ED" w:rsidP="00E034ED">
      <w:pPr>
        <w:pStyle w:val="Bulletlevel1last"/>
      </w:pPr>
      <w:r w:rsidRPr="000B6A4B">
        <w:t xml:space="preserve">single or multiple operators per channel in an urban excise area. </w:t>
      </w:r>
    </w:p>
    <w:p w14:paraId="065E61E4" w14:textId="1601AB7F" w:rsidR="00CB35C4" w:rsidRDefault="00CB35C4">
      <w:pPr>
        <w:spacing w:after="0" w:line="240" w:lineRule="auto"/>
        <w:rPr>
          <w:rFonts w:cs="Arial"/>
        </w:rPr>
      </w:pPr>
      <w:r>
        <w:br w:type="page"/>
      </w:r>
    </w:p>
    <w:p w14:paraId="09099E65" w14:textId="77777777" w:rsidR="00CB35C4" w:rsidRPr="000B6A4B" w:rsidRDefault="00CB35C4" w:rsidP="00CB35C4">
      <w:pPr>
        <w:pStyle w:val="Bulletlevel1last"/>
        <w:numPr>
          <w:ilvl w:val="0"/>
          <w:numId w:val="0"/>
        </w:numPr>
        <w:ind w:left="295" w:hanging="295"/>
      </w:pPr>
    </w:p>
    <w:p w14:paraId="510E4E86" w14:textId="77777777" w:rsidR="00CB35C4" w:rsidRPr="000B6A4B" w:rsidRDefault="00CB35C4" w:rsidP="00CB35C4">
      <w:pPr>
        <w:pStyle w:val="ACMAFigureHeader"/>
        <w:spacing w:before="360" w:after="0"/>
      </w:pPr>
      <w:r w:rsidRPr="000B6A4B">
        <w:t>Pictorial description of options for urban excise use</w:t>
      </w:r>
      <w:r w:rsidRPr="000B6A4B">
        <w:rPr>
          <w:rStyle w:val="FootnoteReference"/>
        </w:rPr>
        <w:footnoteReference w:id="9"/>
      </w:r>
    </w:p>
    <w:p w14:paraId="2CE74F9C" w14:textId="76821159" w:rsidR="00CB35C4" w:rsidRPr="000B6A4B" w:rsidRDefault="00CB35C4" w:rsidP="00CB35C4">
      <w:pPr>
        <w:pStyle w:val="ACMAFigureHeader"/>
        <w:numPr>
          <w:ilvl w:val="0"/>
          <w:numId w:val="0"/>
        </w:numPr>
      </w:pPr>
      <w:r w:rsidRPr="000B6A4B">
        <w:rPr>
          <w:noProof/>
        </w:rPr>
        <w:t xml:space="preserve">  </w:t>
      </w:r>
      <w:r w:rsidR="00FE027D">
        <w:rPr>
          <w:noProof/>
        </w:rPr>
        <w:drawing>
          <wp:inline distT="0" distB="0" distL="0" distR="0" wp14:anchorId="571DF37C" wp14:editId="5FDF80F9">
            <wp:extent cx="4871085" cy="2160270"/>
            <wp:effectExtent l="0" t="0" r="5715" b="0"/>
            <wp:docPr id="10" name="Picture 1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 application, email&#10;&#10;Description automatically generated"/>
                    <pic:cNvPicPr/>
                  </pic:nvPicPr>
                  <pic:blipFill>
                    <a:blip r:embed="rId48"/>
                    <a:stretch>
                      <a:fillRect/>
                    </a:stretch>
                  </pic:blipFill>
                  <pic:spPr>
                    <a:xfrm>
                      <a:off x="0" y="0"/>
                      <a:ext cx="4871085" cy="2160270"/>
                    </a:xfrm>
                    <a:prstGeom prst="rect">
                      <a:avLst/>
                    </a:prstGeom>
                  </pic:spPr>
                </pic:pic>
              </a:graphicData>
            </a:graphic>
          </wp:inline>
        </w:drawing>
      </w:r>
    </w:p>
    <w:p w14:paraId="591CDC69" w14:textId="77777777" w:rsidR="00CB35C4" w:rsidRDefault="00CB35C4" w:rsidP="00E034ED">
      <w:pPr>
        <w:pStyle w:val="Paragraphbeforelist"/>
      </w:pPr>
    </w:p>
    <w:p w14:paraId="1ADD5E1E" w14:textId="39C60D3D" w:rsidR="00607C13" w:rsidRPr="000B6A4B" w:rsidRDefault="00607C13" w:rsidP="00E034ED">
      <w:pPr>
        <w:pStyle w:val="Paragraphbeforelist"/>
      </w:pPr>
      <w:r w:rsidRPr="000B6A4B">
        <w:t xml:space="preserve">To assist with assessing each option, </w:t>
      </w:r>
      <w:r w:rsidR="00B118F4">
        <w:t>we</w:t>
      </w:r>
      <w:r w:rsidRPr="000B6A4B">
        <w:t xml:space="preserve"> identified </w:t>
      </w:r>
      <w:r w:rsidR="00B118F4">
        <w:t>4</w:t>
      </w:r>
      <w:r w:rsidRPr="000B6A4B">
        <w:t xml:space="preserve"> desirable planning outcomes</w:t>
      </w:r>
      <w:r w:rsidR="00B118F4">
        <w:t xml:space="preserve">. These </w:t>
      </w:r>
      <w:r w:rsidRPr="000B6A4B">
        <w:t xml:space="preserve">were: </w:t>
      </w:r>
    </w:p>
    <w:p w14:paraId="397068DC" w14:textId="77777777" w:rsidR="00607C13" w:rsidRPr="000B6A4B" w:rsidRDefault="00607C13" w:rsidP="004453CF">
      <w:pPr>
        <w:pStyle w:val="Numberlistlevel1"/>
      </w:pPr>
      <w:r w:rsidRPr="000B6A4B">
        <w:t xml:space="preserve">Provide adequate protection to incumbent NBN Co services in adjacent areas. </w:t>
      </w:r>
    </w:p>
    <w:p w14:paraId="28739019" w14:textId="77777777" w:rsidR="00607C13" w:rsidRPr="000B6A4B" w:rsidRDefault="00607C13" w:rsidP="004453CF">
      <w:pPr>
        <w:pStyle w:val="Numberlistlevel1"/>
      </w:pPr>
      <w:r w:rsidRPr="000B6A4B">
        <w:t>Ensure NBN Co is not unreasonably constrained in its ability to deploy new and more spectrally efficient technologies in the future (e.g., moving from 4G to 5G technologies).</w:t>
      </w:r>
    </w:p>
    <w:p w14:paraId="746BD031" w14:textId="77777777" w:rsidR="00607C13" w:rsidRPr="000B6A4B" w:rsidRDefault="00607C13" w:rsidP="004453CF">
      <w:pPr>
        <w:pStyle w:val="Numberlistlevel1"/>
        <w:rPr>
          <w:rFonts w:cs="Arial"/>
          <w:color w:val="000000" w:themeColor="text1"/>
        </w:rPr>
      </w:pPr>
      <w:r w:rsidRPr="000B6A4B">
        <w:t xml:space="preserve">Minimise the impact any new arrangements may have on existing 3.4 GHz spectrum licences above 3475 </w:t>
      </w:r>
      <w:proofErr w:type="spellStart"/>
      <w:r w:rsidRPr="000B6A4B">
        <w:t>MHz</w:t>
      </w:r>
      <w:r w:rsidRPr="000B6A4B">
        <w:rPr>
          <w:rFonts w:cs="Arial"/>
          <w:color w:val="000000" w:themeColor="text1"/>
        </w:rPr>
        <w:t>.</w:t>
      </w:r>
      <w:proofErr w:type="spellEnd"/>
    </w:p>
    <w:p w14:paraId="671EE215" w14:textId="71378957" w:rsidR="00607C13" w:rsidRPr="000B6A4B" w:rsidRDefault="00607C13" w:rsidP="004453CF">
      <w:pPr>
        <w:pStyle w:val="Numberlistlast"/>
      </w:pPr>
      <w:r w:rsidRPr="000B6A4B">
        <w:t xml:space="preserve">Maximise the utility of spectrum in urban excise areas for new </w:t>
      </w:r>
      <w:r w:rsidR="004F1D06" w:rsidRPr="000B6A4B">
        <w:t>WBB</w:t>
      </w:r>
      <w:r w:rsidRPr="000B6A4B">
        <w:t xml:space="preserve"> services.</w:t>
      </w:r>
    </w:p>
    <w:p w14:paraId="2450C8C5" w14:textId="57F9D6DF" w:rsidR="00CC7159" w:rsidRPr="000B6A4B" w:rsidRDefault="00F73AAA" w:rsidP="00CC7159">
      <w:pPr>
        <w:pStyle w:val="Paragraph"/>
        <w:spacing w:before="240"/>
      </w:pPr>
      <w:r>
        <w:t>P</w:t>
      </w:r>
      <w:r w:rsidR="00CC7159" w:rsidRPr="000B6A4B">
        <w:t xml:space="preserve">reliminary criteria to manage interference to and from services operating in urban excise areas were presented for each option. </w:t>
      </w:r>
      <w:bookmarkStart w:id="41" w:name="_Hlk78463751"/>
      <w:r w:rsidR="00CC7159" w:rsidRPr="000B6A4B">
        <w:t>These were presented for information to assist stakeholders in developing views on a preferred option. Stakeholders were free to provide their views on the possible criteria as part of a response to th</w:t>
      </w:r>
      <w:r w:rsidR="008D542D">
        <w:t>e options</w:t>
      </w:r>
      <w:r w:rsidR="00CC7159" w:rsidRPr="000B6A4B">
        <w:t xml:space="preserve"> paper. Pending a decision on an implementation option, it was indicated the ACMA would consult further on the interference management criteria before finalising and implementing them. </w:t>
      </w:r>
      <w:bookmarkEnd w:id="41"/>
    </w:p>
    <w:p w14:paraId="472EC5C7" w14:textId="4BFD45C1" w:rsidR="00E034ED" w:rsidRPr="000B6A4B" w:rsidRDefault="00E034ED" w:rsidP="00E034ED">
      <w:pPr>
        <w:pStyle w:val="Paragraphbeforelist"/>
      </w:pPr>
      <w:r w:rsidRPr="000B6A4B">
        <w:t>The ACMA identified Option 4 as its preliminary preferred option. It was considered that this option best promoted the long</w:t>
      </w:r>
      <w:r w:rsidRPr="000B6A4B">
        <w:rPr>
          <w:rFonts w:ascii="Cambria Math" w:hAnsi="Cambria Math" w:cs="Cambria Math"/>
        </w:rPr>
        <w:t>‑</w:t>
      </w:r>
      <w:r w:rsidRPr="000B6A4B">
        <w:t>term public interest derived from use of the 3400–3475 MHz band</w:t>
      </w:r>
      <w:r w:rsidR="00BC55F4">
        <w:t>,</w:t>
      </w:r>
      <w:r w:rsidR="004E2EF7">
        <w:t xml:space="preserve"> on the basis that</w:t>
      </w:r>
      <w:r w:rsidRPr="000B6A4B">
        <w:t>:</w:t>
      </w:r>
    </w:p>
    <w:p w14:paraId="68662E38" w14:textId="77777777" w:rsidR="00E034ED" w:rsidRPr="000B6A4B" w:rsidRDefault="00E034ED" w:rsidP="00E034ED">
      <w:pPr>
        <w:pStyle w:val="Bulletlevel1"/>
      </w:pPr>
      <w:r w:rsidRPr="000B6A4B">
        <w:t>It provides the greatest technical flexibility for how operators can use urban excise areas. This includes support for both macro and restricted cell deployments.</w:t>
      </w:r>
    </w:p>
    <w:p w14:paraId="33080CC3" w14:textId="77777777" w:rsidR="00E034ED" w:rsidRPr="000B6A4B" w:rsidRDefault="00E034ED" w:rsidP="00E034ED">
      <w:pPr>
        <w:pStyle w:val="Bulletlevel1"/>
      </w:pPr>
      <w:r w:rsidRPr="000B6A4B">
        <w:t>It minimises spectrum incorporated into restricted use bands.</w:t>
      </w:r>
    </w:p>
    <w:p w14:paraId="56DE5653" w14:textId="77777777" w:rsidR="00E034ED" w:rsidRPr="000B6A4B" w:rsidRDefault="00E034ED" w:rsidP="00E034ED">
      <w:pPr>
        <w:pStyle w:val="Bulletlevel1"/>
      </w:pPr>
      <w:r w:rsidRPr="000B6A4B">
        <w:t xml:space="preserve">It is expected to result in greater spectrum utility in the 3460–3475 MHz frequency range. </w:t>
      </w:r>
    </w:p>
    <w:p w14:paraId="2AA2A4EA" w14:textId="40F3C358" w:rsidR="00E034ED" w:rsidRPr="000B6A4B" w:rsidRDefault="00E034ED" w:rsidP="00E034ED">
      <w:pPr>
        <w:pStyle w:val="Bulletlevel1last"/>
      </w:pPr>
      <w:r w:rsidRPr="000B6A4B">
        <w:t>In a</w:t>
      </w:r>
      <w:r w:rsidR="00730C2E">
        <w:t>ny</w:t>
      </w:r>
      <w:r w:rsidRPr="000B6A4B">
        <w:t xml:space="preserve"> given area, multiple operators could be supported by licensing them in different segments of the 3400–3475 MHz frequency range</w:t>
      </w:r>
      <w:r w:rsidR="00AC0082">
        <w:t>.</w:t>
      </w:r>
    </w:p>
    <w:p w14:paraId="3892F75D" w14:textId="78F79949" w:rsidR="00981E32" w:rsidRPr="000B6A4B" w:rsidRDefault="004E2EF7" w:rsidP="00CC7159">
      <w:pPr>
        <w:spacing w:before="240"/>
        <w:rPr>
          <w:rFonts w:cs="Arial"/>
        </w:rPr>
      </w:pPr>
      <w:r>
        <w:lastRenderedPageBreak/>
        <w:t xml:space="preserve">The options paper stated that </w:t>
      </w:r>
      <w:r w:rsidR="00E034ED" w:rsidRPr="000B6A4B">
        <w:t xml:space="preserve">once a decision has been made on which option to adopt, </w:t>
      </w:r>
      <w:r w:rsidR="00656713">
        <w:t xml:space="preserve">we </w:t>
      </w:r>
      <w:r w:rsidR="00E034ED" w:rsidRPr="000B6A4B">
        <w:t>would then commence work</w:t>
      </w:r>
      <w:r w:rsidR="008D542D">
        <w:t xml:space="preserve"> to</w:t>
      </w:r>
      <w:r w:rsidR="00E034ED" w:rsidRPr="000B6A4B">
        <w:t xml:space="preserve"> implement </w:t>
      </w:r>
      <w:r>
        <w:t xml:space="preserve">the </w:t>
      </w:r>
      <w:r w:rsidR="00E034ED" w:rsidRPr="000B6A4B">
        <w:t>outcome</w:t>
      </w:r>
      <w:r>
        <w:t xml:space="preserve"> associated with the relevant option, including </w:t>
      </w:r>
      <w:r w:rsidR="00E034ED" w:rsidRPr="000B6A4B">
        <w:t xml:space="preserve">finalising interference management criteria, developing RALIs and making/updating relevant legislative instruments. Where it makes sense to do so, it is proposed any work will be combined with similar work being conducted to implement the </w:t>
      </w:r>
      <w:hyperlink r:id="rId49" w:history="1">
        <w:r w:rsidR="00E034ED" w:rsidRPr="000B6A4B">
          <w:rPr>
            <w:rStyle w:val="Hyperlink"/>
            <w:i/>
            <w:iCs/>
            <w:szCs w:val="20"/>
          </w:rPr>
          <w:t>Replanning the 3700–4200 MHz band – Outcomes paper</w:t>
        </w:r>
      </w:hyperlink>
      <w:r w:rsidR="00E034ED" w:rsidRPr="000B6A4B">
        <w:t>.</w:t>
      </w:r>
    </w:p>
    <w:p w14:paraId="68947703" w14:textId="67AEE204" w:rsidR="000C1B75" w:rsidRPr="000B6A4B" w:rsidRDefault="000C1B75" w:rsidP="000C1B75">
      <w:pPr>
        <w:pStyle w:val="Heading2"/>
      </w:pPr>
      <w:bookmarkStart w:id="42" w:name="_Discussion_of_submissions"/>
      <w:bookmarkStart w:id="43" w:name="_Toc89250839"/>
      <w:bookmarkEnd w:id="42"/>
      <w:r w:rsidRPr="000B6A4B">
        <w:t>Discussion of submissions</w:t>
      </w:r>
      <w:bookmarkEnd w:id="43"/>
    </w:p>
    <w:p w14:paraId="289DC762" w14:textId="164FB7AD" w:rsidR="000E198A" w:rsidRPr="000B6A4B" w:rsidRDefault="00C27BD8" w:rsidP="000C1B75">
      <w:pPr>
        <w:pStyle w:val="Paragraph"/>
        <w:rPr>
          <w:szCs w:val="20"/>
        </w:rPr>
      </w:pPr>
      <w:r w:rsidRPr="000B6A4B">
        <w:rPr>
          <w:szCs w:val="20"/>
        </w:rPr>
        <w:t xml:space="preserve">Fourteen submissions to the options paper </w:t>
      </w:r>
      <w:r w:rsidR="00D212C5">
        <w:rPr>
          <w:szCs w:val="20"/>
        </w:rPr>
        <w:t xml:space="preserve">consultation </w:t>
      </w:r>
      <w:r w:rsidRPr="000B6A4B">
        <w:rPr>
          <w:szCs w:val="20"/>
        </w:rPr>
        <w:t>were received</w:t>
      </w:r>
      <w:r w:rsidR="001C0B6E">
        <w:rPr>
          <w:szCs w:val="20"/>
        </w:rPr>
        <w:t>, including</w:t>
      </w:r>
      <w:r w:rsidRPr="000B6A4B">
        <w:rPr>
          <w:szCs w:val="20"/>
        </w:rPr>
        <w:t xml:space="preserve"> </w:t>
      </w:r>
      <w:r w:rsidR="001C0B6E">
        <w:rPr>
          <w:szCs w:val="20"/>
        </w:rPr>
        <w:t>o</w:t>
      </w:r>
      <w:r w:rsidRPr="000B6A4B">
        <w:rPr>
          <w:szCs w:val="20"/>
        </w:rPr>
        <w:t xml:space="preserve">ne </w:t>
      </w:r>
      <w:r w:rsidR="005C51AD">
        <w:rPr>
          <w:szCs w:val="20"/>
        </w:rPr>
        <w:t>confidential submission</w:t>
      </w:r>
      <w:r w:rsidRPr="000B6A4B">
        <w:rPr>
          <w:szCs w:val="20"/>
        </w:rPr>
        <w:t xml:space="preserve">. The </w:t>
      </w:r>
      <w:r w:rsidR="005C51AD">
        <w:rPr>
          <w:szCs w:val="20"/>
        </w:rPr>
        <w:t>public</w:t>
      </w:r>
      <w:r w:rsidRPr="000B6A4B">
        <w:rPr>
          <w:szCs w:val="20"/>
        </w:rPr>
        <w:t xml:space="preserve"> submission</w:t>
      </w:r>
      <w:r w:rsidR="00D212C5">
        <w:rPr>
          <w:szCs w:val="20"/>
        </w:rPr>
        <w:t>s</w:t>
      </w:r>
      <w:r w:rsidRPr="000B6A4B">
        <w:rPr>
          <w:szCs w:val="20"/>
        </w:rPr>
        <w:t xml:space="preserve"> </w:t>
      </w:r>
      <w:r w:rsidRPr="000B6A4B">
        <w:t xml:space="preserve">can be found on the </w:t>
      </w:r>
      <w:hyperlink r:id="rId50" w:history="1">
        <w:r w:rsidRPr="000B6A4B">
          <w:rPr>
            <w:rStyle w:val="Hyperlink"/>
          </w:rPr>
          <w:t>ACMA’s website</w:t>
        </w:r>
      </w:hyperlink>
      <w:r w:rsidR="001C0B6E">
        <w:rPr>
          <w:rStyle w:val="Hyperlink"/>
        </w:rPr>
        <w:t>,</w:t>
      </w:r>
      <w:r w:rsidR="009A39A2" w:rsidRPr="000B6A4B">
        <w:t xml:space="preserve"> </w:t>
      </w:r>
      <w:r w:rsidR="00DD1C6A">
        <w:t xml:space="preserve">with </w:t>
      </w:r>
      <w:r w:rsidRPr="000B6A4B">
        <w:t xml:space="preserve">a list of the submitters </w:t>
      </w:r>
      <w:r w:rsidR="00DD1C6A">
        <w:t xml:space="preserve">provided </w:t>
      </w:r>
      <w:r w:rsidRPr="000B6A4B">
        <w:t xml:space="preserve">at </w:t>
      </w:r>
      <w:hyperlink w:anchor="_Appendix_C:_List" w:history="1">
        <w:r w:rsidRPr="00F245C9">
          <w:rPr>
            <w:rStyle w:val="Hyperlink"/>
          </w:rPr>
          <w:t xml:space="preserve">Appendix </w:t>
        </w:r>
        <w:r w:rsidR="006A00EF" w:rsidRPr="00F245C9">
          <w:rPr>
            <w:rStyle w:val="Hyperlink"/>
          </w:rPr>
          <w:t>C</w:t>
        </w:r>
      </w:hyperlink>
      <w:r w:rsidRPr="000B6A4B">
        <w:t xml:space="preserve">. </w:t>
      </w:r>
    </w:p>
    <w:p w14:paraId="1FB2D701" w14:textId="016E3454" w:rsidR="00C27BD8" w:rsidRPr="000B6A4B" w:rsidRDefault="009A39A2" w:rsidP="00C27BD8">
      <w:pPr>
        <w:pStyle w:val="Paragraph"/>
        <w:rPr>
          <w:szCs w:val="20"/>
        </w:rPr>
      </w:pPr>
      <w:r w:rsidRPr="000B6A4B">
        <w:t xml:space="preserve">Response </w:t>
      </w:r>
      <w:r w:rsidR="00A63E0C">
        <w:t>summaries</w:t>
      </w:r>
      <w:r w:rsidRPr="000B6A4B">
        <w:t xml:space="preserve"> are </w:t>
      </w:r>
      <w:r w:rsidR="00AB6EBA">
        <w:t>grouped</w:t>
      </w:r>
      <w:r w:rsidRPr="000B6A4B">
        <w:t xml:space="preserve"> according to feedback received on amendments to the different aspects of the 3.4 GHz technical framework and issues related to the options for use of urban excise areas.</w:t>
      </w:r>
    </w:p>
    <w:p w14:paraId="3C340EDD" w14:textId="4DC087AB" w:rsidR="004B0F44" w:rsidRPr="000B6A4B" w:rsidRDefault="004B0F44" w:rsidP="004B0F44">
      <w:pPr>
        <w:pStyle w:val="Heading3"/>
      </w:pPr>
      <w:r w:rsidRPr="000B6A4B">
        <w:t xml:space="preserve">Proposed amendments to the s.145(4) </w:t>
      </w:r>
      <w:r w:rsidR="00F245C9">
        <w:t>D</w:t>
      </w:r>
      <w:r w:rsidRPr="000B6A4B">
        <w:t xml:space="preserve">etermination </w:t>
      </w:r>
    </w:p>
    <w:p w14:paraId="22A6A3F4" w14:textId="6E219897" w:rsidR="000C1B75" w:rsidRPr="000B6A4B" w:rsidRDefault="00E7498E" w:rsidP="004B0F44">
      <w:pPr>
        <w:pStyle w:val="Paragraph"/>
      </w:pPr>
      <w:r w:rsidRPr="000B6A4B">
        <w:rPr>
          <w:szCs w:val="20"/>
        </w:rPr>
        <w:t xml:space="preserve">The proposed changes to the s.145(4) </w:t>
      </w:r>
      <w:r w:rsidR="00F245C9">
        <w:rPr>
          <w:szCs w:val="20"/>
        </w:rPr>
        <w:t>D</w:t>
      </w:r>
      <w:r w:rsidRPr="000B6A4B">
        <w:rPr>
          <w:szCs w:val="20"/>
        </w:rPr>
        <w:t xml:space="preserve">etermination were supported </w:t>
      </w:r>
      <w:r w:rsidR="00A63E0C">
        <w:rPr>
          <w:szCs w:val="20"/>
        </w:rPr>
        <w:t>by</w:t>
      </w:r>
      <w:r w:rsidR="00A63E0C" w:rsidRPr="000B6A4B">
        <w:rPr>
          <w:szCs w:val="20"/>
        </w:rPr>
        <w:t xml:space="preserve"> </w:t>
      </w:r>
      <w:r w:rsidRPr="000B6A4B">
        <w:rPr>
          <w:szCs w:val="20"/>
        </w:rPr>
        <w:t xml:space="preserve">most submissions that commented on this issue. Submissions from </w:t>
      </w:r>
      <w:r w:rsidR="000A24A8" w:rsidRPr="000B6A4B">
        <w:rPr>
          <w:szCs w:val="20"/>
        </w:rPr>
        <w:t xml:space="preserve">the </w:t>
      </w:r>
      <w:r w:rsidR="000A24A8">
        <w:rPr>
          <w:szCs w:val="20"/>
        </w:rPr>
        <w:t>Australian Critical Communications Forum (ACCF)</w:t>
      </w:r>
      <w:r w:rsidR="00CE3077">
        <w:rPr>
          <w:szCs w:val="20"/>
        </w:rPr>
        <w:t>,</w:t>
      </w:r>
      <w:r w:rsidR="000A24A8">
        <w:rPr>
          <w:szCs w:val="20"/>
        </w:rPr>
        <w:t xml:space="preserve"> </w:t>
      </w:r>
      <w:proofErr w:type="spellStart"/>
      <w:r w:rsidR="000A24A8">
        <w:t>Simoco</w:t>
      </w:r>
      <w:proofErr w:type="spellEnd"/>
      <w:r w:rsidR="000A24A8">
        <w:t xml:space="preserve"> Wireless Solutions (</w:t>
      </w:r>
      <w:r w:rsidR="000A24A8" w:rsidRPr="000B6A4B">
        <w:rPr>
          <w:szCs w:val="20"/>
        </w:rPr>
        <w:t>SWS</w:t>
      </w:r>
      <w:r w:rsidR="000A24A8">
        <w:rPr>
          <w:szCs w:val="20"/>
        </w:rPr>
        <w:t>)</w:t>
      </w:r>
      <w:r w:rsidRPr="000B6A4B">
        <w:rPr>
          <w:szCs w:val="20"/>
        </w:rPr>
        <w:t xml:space="preserve"> and </w:t>
      </w:r>
      <w:r w:rsidR="000A24A8">
        <w:rPr>
          <w:szCs w:val="20"/>
        </w:rPr>
        <w:t>t</w:t>
      </w:r>
      <w:r w:rsidR="000A24A8" w:rsidRPr="003542B3">
        <w:rPr>
          <w:szCs w:val="20"/>
        </w:rPr>
        <w:t>he Australian Radio Communications Industry Association (ARCIA)</w:t>
      </w:r>
      <w:r w:rsidRPr="000B6A4B">
        <w:rPr>
          <w:szCs w:val="20"/>
        </w:rPr>
        <w:t xml:space="preserve"> indicated they did not support macro cell usage within urban excise areas. </w:t>
      </w:r>
      <w:r w:rsidR="00391DBB">
        <w:rPr>
          <w:szCs w:val="20"/>
        </w:rPr>
        <w:t xml:space="preserve">They felt the proposed changes to the determination would become </w:t>
      </w:r>
      <w:r w:rsidR="00AC0082">
        <w:rPr>
          <w:szCs w:val="20"/>
        </w:rPr>
        <w:t xml:space="preserve">unnecessary </w:t>
      </w:r>
      <w:r w:rsidR="00391DBB">
        <w:rPr>
          <w:szCs w:val="20"/>
        </w:rPr>
        <w:t xml:space="preserve">if their preferred option use of urban excise areas </w:t>
      </w:r>
      <w:r w:rsidR="00CE3077">
        <w:rPr>
          <w:szCs w:val="20"/>
        </w:rPr>
        <w:t xml:space="preserve">were </w:t>
      </w:r>
      <w:r w:rsidR="00391DBB">
        <w:rPr>
          <w:szCs w:val="20"/>
        </w:rPr>
        <w:t>adopted.</w:t>
      </w:r>
      <w:r w:rsidRPr="000B6A4B">
        <w:rPr>
          <w:szCs w:val="20"/>
        </w:rPr>
        <w:t xml:space="preserve"> </w:t>
      </w:r>
    </w:p>
    <w:p w14:paraId="5B0A21A8" w14:textId="1EAB2BB7" w:rsidR="004B0F44" w:rsidRPr="000B6A4B" w:rsidRDefault="00E7498E" w:rsidP="00E7498E">
      <w:pPr>
        <w:pStyle w:val="Paragraph"/>
        <w:spacing w:after="80"/>
      </w:pPr>
      <w:r w:rsidRPr="000B6A4B">
        <w:t>Submissions from AMTA, Optus and Telstra raised the following additional issues:</w:t>
      </w:r>
    </w:p>
    <w:p w14:paraId="27B8BD03" w14:textId="13C38CC5" w:rsidR="00E7498E" w:rsidRPr="000B6A4B" w:rsidRDefault="008735BD" w:rsidP="00E7498E">
      <w:pPr>
        <w:pStyle w:val="Paragraph"/>
        <w:numPr>
          <w:ilvl w:val="0"/>
          <w:numId w:val="29"/>
        </w:numPr>
        <w:spacing w:after="80"/>
      </w:pPr>
      <w:r w:rsidRPr="000B6A4B">
        <w:t xml:space="preserve">It </w:t>
      </w:r>
      <w:r w:rsidR="00F460D2">
        <w:t>was</w:t>
      </w:r>
      <w:r w:rsidR="00F460D2" w:rsidRPr="000B6A4B">
        <w:t xml:space="preserve"> </w:t>
      </w:r>
      <w:r w:rsidRPr="000B6A4B">
        <w:t xml:space="preserve">not clear why the current </w:t>
      </w:r>
      <w:r w:rsidR="008D542D">
        <w:t>sub</w:t>
      </w:r>
      <w:r w:rsidRPr="000B6A4B">
        <w:t xml:space="preserve">section 9(2) is being removed. There is preference to retain this clause and adopt the proposed new changes. </w:t>
      </w:r>
    </w:p>
    <w:p w14:paraId="37C21CD2" w14:textId="2EA6AE6E" w:rsidR="00DF26F9" w:rsidRPr="000B6A4B" w:rsidRDefault="008D542D" w:rsidP="00E7498E">
      <w:pPr>
        <w:pStyle w:val="Paragraph"/>
        <w:numPr>
          <w:ilvl w:val="0"/>
          <w:numId w:val="29"/>
        </w:numPr>
        <w:spacing w:after="80"/>
      </w:pPr>
      <w:r>
        <w:t>T</w:t>
      </w:r>
      <w:r w:rsidR="00DF26F9" w:rsidRPr="000B6A4B">
        <w:t>here was general support for the proposal to include additional measures to</w:t>
      </w:r>
      <w:r w:rsidR="00585C2A" w:rsidRPr="000B6A4B">
        <w:t xml:space="preserve"> expand</w:t>
      </w:r>
      <w:r w:rsidR="00DF26F9" w:rsidRPr="000B6A4B">
        <w:t xml:space="preserve"> the grandfathering clause (in the proposed new section 11) </w:t>
      </w:r>
      <w:r w:rsidR="00585C2A" w:rsidRPr="000B6A4B">
        <w:t xml:space="preserve">so </w:t>
      </w:r>
      <w:r w:rsidR="00864CA2">
        <w:t xml:space="preserve">that </w:t>
      </w:r>
      <w:r w:rsidR="00585C2A" w:rsidRPr="000B6A4B">
        <w:t xml:space="preserve">it would </w:t>
      </w:r>
      <w:r w:rsidR="00DF26F9" w:rsidRPr="000B6A4B">
        <w:t xml:space="preserve">continue to apply to </w:t>
      </w:r>
      <w:r>
        <w:t xml:space="preserve">radiocommunications </w:t>
      </w:r>
      <w:r w:rsidR="00DF26F9" w:rsidRPr="000B6A4B">
        <w:t xml:space="preserve">devices when minor modifications </w:t>
      </w:r>
      <w:r w:rsidR="003B519D">
        <w:t xml:space="preserve">to devices </w:t>
      </w:r>
      <w:r w:rsidR="00DF26F9" w:rsidRPr="000B6A4B">
        <w:t>are made</w:t>
      </w:r>
      <w:r w:rsidR="00876ECC">
        <w:t>.</w:t>
      </w:r>
      <w:r w:rsidR="00A971F0">
        <w:t xml:space="preserve"> </w:t>
      </w:r>
      <w:r>
        <w:t>As well</w:t>
      </w:r>
      <w:r w:rsidR="00876ECC">
        <w:t xml:space="preserve">, </w:t>
      </w:r>
      <w:r w:rsidR="00A971F0">
        <w:t xml:space="preserve">there was a preference for </w:t>
      </w:r>
      <w:r w:rsidR="00585C2A" w:rsidRPr="000B6A4B">
        <w:t xml:space="preserve">any modifications to devices </w:t>
      </w:r>
      <w:r w:rsidR="00A971F0">
        <w:t>to</w:t>
      </w:r>
      <w:r w:rsidR="003B519D">
        <w:t xml:space="preserve"> be </w:t>
      </w:r>
      <w:r w:rsidR="00585C2A" w:rsidRPr="000B6A4B">
        <w:t>reflected in the Register o</w:t>
      </w:r>
      <w:r w:rsidR="00AC0082">
        <w:t>f</w:t>
      </w:r>
      <w:r w:rsidR="00585C2A" w:rsidRPr="000B6A4B">
        <w:t xml:space="preserve"> Radiocommunications Licences (the RRL) – </w:t>
      </w:r>
      <w:r w:rsidR="00585C2A" w:rsidRPr="000B6A4B">
        <w:rPr>
          <w:szCs w:val="20"/>
        </w:rPr>
        <w:t>regardless of whether those</w:t>
      </w:r>
      <w:r w:rsidR="00AC0082">
        <w:rPr>
          <w:szCs w:val="20"/>
        </w:rPr>
        <w:t xml:space="preserve"> modifications</w:t>
      </w:r>
      <w:r w:rsidR="00585C2A" w:rsidRPr="000B6A4B">
        <w:rPr>
          <w:szCs w:val="20"/>
        </w:rPr>
        <w:t xml:space="preserve"> cause little or no change to the calculated device boundary criteria</w:t>
      </w:r>
      <w:r w:rsidR="00585C2A" w:rsidRPr="000B6A4B">
        <w:t xml:space="preserve">. This information </w:t>
      </w:r>
      <w:r w:rsidR="007C4FFD">
        <w:t>was</w:t>
      </w:r>
      <w:r w:rsidR="00585C2A" w:rsidRPr="000B6A4B">
        <w:t xml:space="preserve"> considered vital for performing coordination activities.</w:t>
      </w:r>
    </w:p>
    <w:p w14:paraId="5865F5C9" w14:textId="745062E6" w:rsidR="00DF26F9" w:rsidRPr="000B6A4B" w:rsidRDefault="006B770D" w:rsidP="00585C2A">
      <w:pPr>
        <w:pStyle w:val="Paragraph"/>
        <w:numPr>
          <w:ilvl w:val="0"/>
          <w:numId w:val="29"/>
        </w:numPr>
      </w:pPr>
      <w:r>
        <w:t>N</w:t>
      </w:r>
      <w:r w:rsidR="00DF26F9" w:rsidRPr="000B6A4B">
        <w:t>ot</w:t>
      </w:r>
      <w:r>
        <w:t>ing</w:t>
      </w:r>
      <w:r w:rsidR="00DF26F9" w:rsidRPr="000B6A4B">
        <w:t xml:space="preserve"> that NBN Co is required to re-register all relevant</w:t>
      </w:r>
      <w:r w:rsidR="008D542D">
        <w:t xml:space="preserve"> radiocommunications</w:t>
      </w:r>
      <w:r w:rsidR="00DF26F9" w:rsidRPr="000B6A4B">
        <w:t xml:space="preserve"> devices that were retuned as part of the defrag process by 15 February 2022</w:t>
      </w:r>
      <w:r>
        <w:t xml:space="preserve">, </w:t>
      </w:r>
      <w:r w:rsidR="00AC0082">
        <w:t>thereafter</w:t>
      </w:r>
      <w:r w:rsidR="00DF26F9" w:rsidRPr="000B6A4B">
        <w:t xml:space="preserve"> NBN Co should be required to comply with all registration requirements without exception. </w:t>
      </w:r>
    </w:p>
    <w:p w14:paraId="692D2025" w14:textId="788D405B" w:rsidR="008735BD" w:rsidRPr="000B6A4B" w:rsidRDefault="00E834FD" w:rsidP="00DD4AFD">
      <w:pPr>
        <w:pStyle w:val="Paragraph"/>
      </w:pPr>
      <w:r>
        <w:rPr>
          <w:szCs w:val="20"/>
        </w:rPr>
        <w:t>RF Industries Pty Ltd (</w:t>
      </w:r>
      <w:r w:rsidR="00585C2A" w:rsidRPr="000B6A4B">
        <w:t>RFI</w:t>
      </w:r>
      <w:r>
        <w:t>)</w:t>
      </w:r>
      <w:r w:rsidR="00585C2A" w:rsidRPr="000B6A4B">
        <w:t xml:space="preserve"> requested a review of the definitions for a group of</w:t>
      </w:r>
      <w:r w:rsidR="00F245C9">
        <w:t> </w:t>
      </w:r>
      <w:r w:rsidR="00585C2A" w:rsidRPr="000B6A4B">
        <w:t>transmitters and receivers</w:t>
      </w:r>
      <w:r w:rsidR="00DD4AFD" w:rsidRPr="000B6A4B">
        <w:t xml:space="preserve"> and specific parts of Schedule 3</w:t>
      </w:r>
      <w:r w:rsidR="008D542D">
        <w:t xml:space="preserve"> of the s.145(4)</w:t>
      </w:r>
      <w:r w:rsidR="00F245C9">
        <w:t> D</w:t>
      </w:r>
      <w:r w:rsidR="00F574D2">
        <w:t>etermination</w:t>
      </w:r>
      <w:r w:rsidR="00585C2A" w:rsidRPr="000B6A4B">
        <w:t>. Th</w:t>
      </w:r>
      <w:r w:rsidR="00DD4AFD" w:rsidRPr="000B6A4B">
        <w:t>ey requested this to provide better support for low</w:t>
      </w:r>
      <w:r w:rsidR="00F245C9">
        <w:t>-</w:t>
      </w:r>
      <w:r w:rsidR="00DD4AFD" w:rsidRPr="000B6A4B">
        <w:t>power and indoor applications which could be located within 20 m</w:t>
      </w:r>
      <w:r w:rsidR="00C22419">
        <w:t>etres</w:t>
      </w:r>
      <w:r w:rsidR="00DD4AFD" w:rsidRPr="000B6A4B">
        <w:t xml:space="preserve"> of each other and deployments that could utilise multiple low power transceivers throughout a building or campus. </w:t>
      </w:r>
    </w:p>
    <w:p w14:paraId="1F0CDA0A" w14:textId="5DEAEDF9" w:rsidR="00DD4AFD" w:rsidRPr="000B6A4B" w:rsidRDefault="00DD4AFD" w:rsidP="00DD4AFD">
      <w:pPr>
        <w:pStyle w:val="Paragraph"/>
        <w:spacing w:after="0"/>
        <w:rPr>
          <w:b/>
          <w:bCs/>
          <w:i/>
          <w:iCs/>
        </w:rPr>
      </w:pPr>
      <w:r w:rsidRPr="000B6A4B">
        <w:rPr>
          <w:b/>
          <w:bCs/>
          <w:i/>
          <w:iCs/>
        </w:rPr>
        <w:t>ACMA response</w:t>
      </w:r>
    </w:p>
    <w:p w14:paraId="3F54696A" w14:textId="65E2EF94" w:rsidR="00DD4AFD" w:rsidRPr="000B6A4B" w:rsidRDefault="00F245C9" w:rsidP="00DD4AFD">
      <w:pPr>
        <w:pStyle w:val="Paragraph"/>
        <w:rPr>
          <w:szCs w:val="20"/>
        </w:rPr>
      </w:pPr>
      <w:r>
        <w:rPr>
          <w:szCs w:val="20"/>
        </w:rPr>
        <w:t>We note</w:t>
      </w:r>
      <w:r w:rsidR="00DD4AFD" w:rsidRPr="000B6A4B">
        <w:rPr>
          <w:szCs w:val="20"/>
        </w:rPr>
        <w:t xml:space="preserve"> the broad support for the proposed amendments to the s.145(4)</w:t>
      </w:r>
      <w:r>
        <w:rPr>
          <w:szCs w:val="20"/>
        </w:rPr>
        <w:t> D</w:t>
      </w:r>
      <w:r w:rsidR="00DD4AFD" w:rsidRPr="000B6A4B">
        <w:rPr>
          <w:szCs w:val="20"/>
        </w:rPr>
        <w:t xml:space="preserve">etermination. We </w:t>
      </w:r>
      <w:r w:rsidR="00C84FF9" w:rsidRPr="000B6A4B">
        <w:rPr>
          <w:szCs w:val="20"/>
        </w:rPr>
        <w:t xml:space="preserve">also </w:t>
      </w:r>
      <w:r w:rsidR="00DD4AFD" w:rsidRPr="000B6A4B">
        <w:rPr>
          <w:szCs w:val="20"/>
        </w:rPr>
        <w:t>note that the changes proposed are not intended to</w:t>
      </w:r>
      <w:r>
        <w:rPr>
          <w:szCs w:val="20"/>
        </w:rPr>
        <w:t> </w:t>
      </w:r>
      <w:r w:rsidR="00DD4AFD" w:rsidRPr="000B6A4B">
        <w:rPr>
          <w:szCs w:val="20"/>
        </w:rPr>
        <w:t xml:space="preserve">reflect </w:t>
      </w:r>
      <w:r w:rsidR="00C84FF9" w:rsidRPr="000B6A4B">
        <w:rPr>
          <w:szCs w:val="20"/>
        </w:rPr>
        <w:t>how urban excise areas are used</w:t>
      </w:r>
      <w:r w:rsidR="009911B7" w:rsidRPr="000B6A4B">
        <w:rPr>
          <w:szCs w:val="20"/>
        </w:rPr>
        <w:t xml:space="preserve"> (</w:t>
      </w:r>
      <w:r w:rsidR="00896A7C" w:rsidRPr="000B6A4B">
        <w:rPr>
          <w:szCs w:val="20"/>
        </w:rPr>
        <w:t>i.e.,</w:t>
      </w:r>
      <w:r w:rsidR="009911B7" w:rsidRPr="000B6A4B">
        <w:rPr>
          <w:szCs w:val="20"/>
        </w:rPr>
        <w:t xml:space="preserve"> </w:t>
      </w:r>
      <w:r w:rsidR="00C22419">
        <w:rPr>
          <w:szCs w:val="20"/>
        </w:rPr>
        <w:t xml:space="preserve">under </w:t>
      </w:r>
      <w:r w:rsidR="009911B7" w:rsidRPr="000B6A4B">
        <w:rPr>
          <w:szCs w:val="20"/>
        </w:rPr>
        <w:t xml:space="preserve">either </w:t>
      </w:r>
      <w:r w:rsidR="008D542D">
        <w:rPr>
          <w:szCs w:val="20"/>
        </w:rPr>
        <w:t xml:space="preserve">a </w:t>
      </w:r>
      <w:r w:rsidR="009911B7" w:rsidRPr="000B6A4B">
        <w:rPr>
          <w:szCs w:val="20"/>
        </w:rPr>
        <w:t>macro or restricted cell</w:t>
      </w:r>
      <w:r w:rsidR="00C22419">
        <w:rPr>
          <w:szCs w:val="20"/>
        </w:rPr>
        <w:t xml:space="preserve"> model</w:t>
      </w:r>
      <w:r w:rsidR="009911B7" w:rsidRPr="000B6A4B">
        <w:rPr>
          <w:szCs w:val="20"/>
        </w:rPr>
        <w:t>)</w:t>
      </w:r>
      <w:r w:rsidR="00C84FF9" w:rsidRPr="000B6A4B">
        <w:rPr>
          <w:szCs w:val="20"/>
        </w:rPr>
        <w:t xml:space="preserve">. At present the s.145(4) </w:t>
      </w:r>
      <w:r>
        <w:rPr>
          <w:szCs w:val="20"/>
        </w:rPr>
        <w:t>D</w:t>
      </w:r>
      <w:r w:rsidR="00C84FF9" w:rsidRPr="000B6A4B">
        <w:rPr>
          <w:szCs w:val="20"/>
        </w:rPr>
        <w:t>etermination only applies to services deployed under existing 3.4 GHz spectrum licen</w:t>
      </w:r>
      <w:r w:rsidR="008D542D">
        <w:rPr>
          <w:szCs w:val="20"/>
        </w:rPr>
        <w:t>c</w:t>
      </w:r>
      <w:r w:rsidR="00C84FF9" w:rsidRPr="000B6A4B">
        <w:rPr>
          <w:szCs w:val="20"/>
        </w:rPr>
        <w:t xml:space="preserve">es held by NBN Co, Optus, Telstra and TPG. Measures to manage co-channel interference to and from urban excise areas are </w:t>
      </w:r>
      <w:r w:rsidR="00C84FF9" w:rsidRPr="000B6A4B">
        <w:rPr>
          <w:szCs w:val="20"/>
        </w:rPr>
        <w:lastRenderedPageBreak/>
        <w:t xml:space="preserve">being considered separately. Initial proposals </w:t>
      </w:r>
      <w:r w:rsidR="00C22419">
        <w:rPr>
          <w:szCs w:val="20"/>
        </w:rPr>
        <w:t xml:space="preserve">to manage interference </w:t>
      </w:r>
      <w:r w:rsidR="009911B7" w:rsidRPr="000B6A4B">
        <w:rPr>
          <w:szCs w:val="20"/>
        </w:rPr>
        <w:t xml:space="preserve">for the macro and restricted cell scenarios </w:t>
      </w:r>
      <w:r w:rsidR="00C84FF9" w:rsidRPr="000B6A4B">
        <w:rPr>
          <w:szCs w:val="20"/>
        </w:rPr>
        <w:t xml:space="preserve">were presented at Appendix </w:t>
      </w:r>
      <w:r w:rsidR="005F63A1" w:rsidRPr="000B6A4B">
        <w:rPr>
          <w:szCs w:val="20"/>
        </w:rPr>
        <w:t>E</w:t>
      </w:r>
      <w:r w:rsidR="00C84FF9" w:rsidRPr="000B6A4B">
        <w:rPr>
          <w:szCs w:val="20"/>
        </w:rPr>
        <w:t xml:space="preserve"> of the options paper. </w:t>
      </w:r>
    </w:p>
    <w:p w14:paraId="5EA7210A" w14:textId="3738D44B" w:rsidR="000323AD" w:rsidRPr="000B6A4B" w:rsidRDefault="000323AD" w:rsidP="002B0779">
      <w:pPr>
        <w:pStyle w:val="Paragraph"/>
        <w:spacing w:after="80"/>
        <w:rPr>
          <w:szCs w:val="20"/>
        </w:rPr>
      </w:pPr>
      <w:r w:rsidRPr="000B6A4B">
        <w:rPr>
          <w:szCs w:val="20"/>
        </w:rPr>
        <w:t>Regarding the additional issues raised in submissions:</w:t>
      </w:r>
    </w:p>
    <w:p w14:paraId="6DED3EC0" w14:textId="0673C7DF" w:rsidR="00C84FF9" w:rsidRPr="000B6A4B" w:rsidRDefault="00C84FF9" w:rsidP="002B0779">
      <w:pPr>
        <w:pStyle w:val="Paragraph"/>
        <w:numPr>
          <w:ilvl w:val="0"/>
          <w:numId w:val="30"/>
        </w:numPr>
        <w:spacing w:after="80"/>
        <w:rPr>
          <w:szCs w:val="20"/>
        </w:rPr>
      </w:pPr>
      <w:r w:rsidRPr="000B6A4B">
        <w:rPr>
          <w:szCs w:val="20"/>
        </w:rPr>
        <w:t xml:space="preserve">The ACMA had proposed to remove the existing </w:t>
      </w:r>
      <w:r w:rsidR="00F574D2">
        <w:rPr>
          <w:szCs w:val="20"/>
        </w:rPr>
        <w:t>sub</w:t>
      </w:r>
      <w:r w:rsidRPr="000B6A4B">
        <w:rPr>
          <w:szCs w:val="20"/>
        </w:rPr>
        <w:t>section 9(2)</w:t>
      </w:r>
      <w:r w:rsidR="00E834FD">
        <w:rPr>
          <w:rStyle w:val="FootnoteReference"/>
          <w:szCs w:val="20"/>
        </w:rPr>
        <w:footnoteReference w:id="10"/>
      </w:r>
      <w:r w:rsidRPr="000B6A4B">
        <w:rPr>
          <w:szCs w:val="20"/>
        </w:rPr>
        <w:t xml:space="preserve"> of the s.145(4)</w:t>
      </w:r>
      <w:r w:rsidR="007F6D4E">
        <w:rPr>
          <w:szCs w:val="20"/>
        </w:rPr>
        <w:t> D</w:t>
      </w:r>
      <w:r w:rsidR="000323AD" w:rsidRPr="000B6A4B">
        <w:rPr>
          <w:szCs w:val="20"/>
        </w:rPr>
        <w:t>etermination</w:t>
      </w:r>
      <w:r w:rsidR="003E311F">
        <w:rPr>
          <w:szCs w:val="20"/>
        </w:rPr>
        <w:t>,</w:t>
      </w:r>
      <w:r w:rsidRPr="000B6A4B">
        <w:rPr>
          <w:szCs w:val="20"/>
        </w:rPr>
        <w:t xml:space="preserve"> as it was felt that </w:t>
      </w:r>
      <w:r w:rsidR="000323AD" w:rsidRPr="000B6A4B">
        <w:rPr>
          <w:szCs w:val="20"/>
        </w:rPr>
        <w:t xml:space="preserve">existing </w:t>
      </w:r>
      <w:r w:rsidR="00F574D2">
        <w:rPr>
          <w:szCs w:val="20"/>
        </w:rPr>
        <w:t>subsection</w:t>
      </w:r>
      <w:r w:rsidRPr="000B6A4B">
        <w:rPr>
          <w:szCs w:val="20"/>
        </w:rPr>
        <w:t xml:space="preserve"> 9(4)</w:t>
      </w:r>
      <w:r w:rsidR="001A33C9">
        <w:rPr>
          <w:rStyle w:val="FootnoteReference"/>
          <w:szCs w:val="20"/>
        </w:rPr>
        <w:footnoteReference w:id="11"/>
      </w:r>
      <w:r w:rsidRPr="000B6A4B">
        <w:rPr>
          <w:szCs w:val="20"/>
        </w:rPr>
        <w:t xml:space="preserve"> </w:t>
      </w:r>
      <w:r w:rsidR="004D4F6C">
        <w:rPr>
          <w:szCs w:val="20"/>
        </w:rPr>
        <w:t>made it redundant</w:t>
      </w:r>
      <w:r w:rsidRPr="000B6A4B">
        <w:rPr>
          <w:szCs w:val="20"/>
        </w:rPr>
        <w:t xml:space="preserve">. However, we </w:t>
      </w:r>
      <w:r w:rsidR="003E311F">
        <w:rPr>
          <w:szCs w:val="20"/>
        </w:rPr>
        <w:t>understand</w:t>
      </w:r>
      <w:r w:rsidRPr="000B6A4B">
        <w:rPr>
          <w:szCs w:val="20"/>
        </w:rPr>
        <w:t xml:space="preserve"> there may be circumstances that have not been </w:t>
      </w:r>
      <w:r w:rsidR="000323AD" w:rsidRPr="000B6A4B">
        <w:rPr>
          <w:szCs w:val="20"/>
        </w:rPr>
        <w:t>envisioned</w:t>
      </w:r>
      <w:r w:rsidRPr="000B6A4B">
        <w:rPr>
          <w:szCs w:val="20"/>
        </w:rPr>
        <w:t xml:space="preserve"> </w:t>
      </w:r>
      <w:r w:rsidR="00A971F0">
        <w:rPr>
          <w:szCs w:val="20"/>
        </w:rPr>
        <w:t>where this may not be the case</w:t>
      </w:r>
      <w:r w:rsidRPr="000B6A4B">
        <w:rPr>
          <w:szCs w:val="20"/>
        </w:rPr>
        <w:t xml:space="preserve">. </w:t>
      </w:r>
      <w:r w:rsidR="000323AD" w:rsidRPr="000B6A4B">
        <w:rPr>
          <w:szCs w:val="20"/>
        </w:rPr>
        <w:t>Consequently,</w:t>
      </w:r>
      <w:r w:rsidRPr="000B6A4B">
        <w:rPr>
          <w:szCs w:val="20"/>
        </w:rPr>
        <w:t xml:space="preserve"> we will retain </w:t>
      </w:r>
      <w:r w:rsidR="000323AD" w:rsidRPr="000B6A4B">
        <w:rPr>
          <w:szCs w:val="20"/>
        </w:rPr>
        <w:t xml:space="preserve">the existing </w:t>
      </w:r>
      <w:r w:rsidR="00F574D2">
        <w:rPr>
          <w:szCs w:val="20"/>
        </w:rPr>
        <w:t>sub</w:t>
      </w:r>
      <w:r w:rsidR="000323AD" w:rsidRPr="000B6A4B">
        <w:rPr>
          <w:szCs w:val="20"/>
        </w:rPr>
        <w:t>section 9(2)</w:t>
      </w:r>
      <w:r w:rsidR="00A971F0">
        <w:rPr>
          <w:szCs w:val="20"/>
        </w:rPr>
        <w:t xml:space="preserve">. </w:t>
      </w:r>
    </w:p>
    <w:p w14:paraId="2864F01C" w14:textId="56724890" w:rsidR="000323AD" w:rsidRPr="000B6A4B" w:rsidRDefault="000323AD" w:rsidP="002B0779">
      <w:pPr>
        <w:pStyle w:val="Paragraph"/>
        <w:numPr>
          <w:ilvl w:val="0"/>
          <w:numId w:val="30"/>
        </w:numPr>
        <w:spacing w:after="80"/>
        <w:rPr>
          <w:szCs w:val="20"/>
        </w:rPr>
      </w:pPr>
      <w:r w:rsidRPr="000B6A4B">
        <w:rPr>
          <w:szCs w:val="20"/>
        </w:rPr>
        <w:t xml:space="preserve">The ACMA will include </w:t>
      </w:r>
      <w:r w:rsidRPr="000B6A4B">
        <w:t>additional measures to expand the grandfathering clause in the proposed new section 11.</w:t>
      </w:r>
      <w:r w:rsidR="004E5FCD">
        <w:rPr>
          <w:rStyle w:val="FootnoteReference"/>
        </w:rPr>
        <w:footnoteReference w:id="12"/>
      </w:r>
      <w:r w:rsidRPr="000B6A4B">
        <w:t xml:space="preserve"> </w:t>
      </w:r>
      <w:r w:rsidR="00876ECC">
        <w:t xml:space="preserve">This will enable licensees to make minor modifications </w:t>
      </w:r>
      <w:r w:rsidR="004D4F6C">
        <w:t xml:space="preserve">to existing </w:t>
      </w:r>
      <w:r w:rsidR="00F574D2">
        <w:t xml:space="preserve">radiocommunications </w:t>
      </w:r>
      <w:r w:rsidR="004D4F6C">
        <w:t xml:space="preserve">devices </w:t>
      </w:r>
      <w:r w:rsidR="004E5FCD">
        <w:t xml:space="preserve">that </w:t>
      </w:r>
      <w:r w:rsidR="004E5FCD" w:rsidRPr="004E5FCD">
        <w:t>would result in a device boundary that is the same or smaller when using the criteria that applied when the device was originally registered.</w:t>
      </w:r>
      <w:r w:rsidR="00876ECC">
        <w:t xml:space="preserve"> </w:t>
      </w:r>
      <w:r w:rsidRPr="000B6A4B">
        <w:t xml:space="preserve">To address concerns raised, </w:t>
      </w:r>
      <w:r w:rsidR="009911B7" w:rsidRPr="000B6A4B">
        <w:t xml:space="preserve">we </w:t>
      </w:r>
      <w:r w:rsidRPr="000B6A4B">
        <w:t xml:space="preserve">will include a statement </w:t>
      </w:r>
      <w:r w:rsidR="00F574D2">
        <w:t xml:space="preserve">in section 11 </w:t>
      </w:r>
      <w:r w:rsidRPr="000B6A4B">
        <w:t xml:space="preserve">that </w:t>
      </w:r>
      <w:r w:rsidR="009911B7" w:rsidRPr="000B6A4B">
        <w:t xml:space="preserve">requires the </w:t>
      </w:r>
      <w:r w:rsidRPr="000B6A4B">
        <w:t>details of a device be updated in the RRL to reflect any changes.</w:t>
      </w:r>
    </w:p>
    <w:p w14:paraId="30E6768D" w14:textId="7956B1A6" w:rsidR="002B0779" w:rsidRPr="000B6A4B" w:rsidRDefault="002B0779" w:rsidP="002B0779">
      <w:pPr>
        <w:pStyle w:val="Paragraph"/>
        <w:numPr>
          <w:ilvl w:val="0"/>
          <w:numId w:val="30"/>
        </w:numPr>
        <w:spacing w:after="80"/>
        <w:rPr>
          <w:szCs w:val="20"/>
        </w:rPr>
      </w:pPr>
      <w:r w:rsidRPr="000B6A4B">
        <w:t xml:space="preserve">The ACMA confirms that NBN Co is required </w:t>
      </w:r>
      <w:r w:rsidR="00C22419">
        <w:t xml:space="preserve">to </w:t>
      </w:r>
      <w:r w:rsidRPr="000B6A4B">
        <w:t xml:space="preserve">register all relevant </w:t>
      </w:r>
      <w:r w:rsidR="00F574D2">
        <w:t xml:space="preserve">radiocommunications </w:t>
      </w:r>
      <w:r w:rsidRPr="000B6A4B">
        <w:t xml:space="preserve">devices </w:t>
      </w:r>
      <w:r w:rsidR="00C22419">
        <w:t xml:space="preserve">affected by the defrag </w:t>
      </w:r>
      <w:r w:rsidR="00F574D2">
        <w:t xml:space="preserve">process </w:t>
      </w:r>
      <w:r w:rsidR="00C22419">
        <w:t>i</w:t>
      </w:r>
      <w:r w:rsidR="005F63A1" w:rsidRPr="000B6A4B">
        <w:t xml:space="preserve">n the RRL </w:t>
      </w:r>
      <w:r w:rsidRPr="000B6A4B">
        <w:t xml:space="preserve">by 15 February 2022. </w:t>
      </w:r>
    </w:p>
    <w:p w14:paraId="27D4855C" w14:textId="01E0B366" w:rsidR="00DD4AFD" w:rsidRPr="00A67134" w:rsidRDefault="002B0779" w:rsidP="00DD4AFD">
      <w:pPr>
        <w:pStyle w:val="Paragraph"/>
        <w:numPr>
          <w:ilvl w:val="0"/>
          <w:numId w:val="30"/>
        </w:numPr>
        <w:rPr>
          <w:szCs w:val="20"/>
        </w:rPr>
      </w:pPr>
      <w:r w:rsidRPr="000B6A4B">
        <w:t xml:space="preserve">The ACMA does not </w:t>
      </w:r>
      <w:r w:rsidR="003E311F">
        <w:t>consider that</w:t>
      </w:r>
      <w:r w:rsidRPr="000B6A4B">
        <w:t xml:space="preserve"> change</w:t>
      </w:r>
      <w:r w:rsidR="009911B7" w:rsidRPr="000B6A4B">
        <w:t>s</w:t>
      </w:r>
      <w:r w:rsidRPr="000B6A4B">
        <w:t xml:space="preserve"> to the definitions for a group of transmitters and receivers and specific parts of Schedule 3 are required to support low power and indoor devices. </w:t>
      </w:r>
      <w:r w:rsidR="009911B7" w:rsidRPr="000B6A4B">
        <w:t>This is because t</w:t>
      </w:r>
      <w:r w:rsidRPr="000B6A4B">
        <w:t xml:space="preserve">hese terms only apply to devices that are required to be registered on the RRL. </w:t>
      </w:r>
      <w:r w:rsidR="009911B7" w:rsidRPr="000B6A4B">
        <w:t>Flexibility</w:t>
      </w:r>
      <w:r w:rsidRPr="000B6A4B">
        <w:t xml:space="preserve"> </w:t>
      </w:r>
      <w:r w:rsidR="009911B7" w:rsidRPr="000B6A4B">
        <w:t>for</w:t>
      </w:r>
      <w:r w:rsidRPr="000B6A4B">
        <w:t xml:space="preserve"> the deployment of low power and indoor devices is provided by the </w:t>
      </w:r>
      <w:r w:rsidR="009911B7" w:rsidRPr="000B6A4B">
        <w:t>exemption</w:t>
      </w:r>
      <w:r w:rsidRPr="000B6A4B">
        <w:t xml:space="preserve"> from registration clause on all 3.4</w:t>
      </w:r>
      <w:r w:rsidR="00C22419">
        <w:t> </w:t>
      </w:r>
      <w:r w:rsidRPr="000B6A4B">
        <w:t>GHz spectrum licences. Th</w:t>
      </w:r>
      <w:r w:rsidR="009911B7" w:rsidRPr="000B6A4B">
        <w:t>is exempts d</w:t>
      </w:r>
      <w:r w:rsidRPr="000B6A4B">
        <w:t xml:space="preserve">evices that operate with a </w:t>
      </w:r>
      <w:r w:rsidR="009911B7" w:rsidRPr="000B6A4B">
        <w:t>total radiated power (TRP)</w:t>
      </w:r>
      <w:r w:rsidRPr="000B6A4B">
        <w:t xml:space="preserve"> le</w:t>
      </w:r>
      <w:r w:rsidR="009911B7" w:rsidRPr="000B6A4B">
        <w:t>s</w:t>
      </w:r>
      <w:r w:rsidRPr="000B6A4B">
        <w:t xml:space="preserve">s than or equal to 28 dBm per occupied bandwidth </w:t>
      </w:r>
      <w:r w:rsidR="009911B7" w:rsidRPr="000B6A4B">
        <w:t>from being registered on the RRL.</w:t>
      </w:r>
    </w:p>
    <w:p w14:paraId="474E4856" w14:textId="22C75AE1" w:rsidR="00A67134" w:rsidRPr="000B6A4B" w:rsidRDefault="00A67134" w:rsidP="00A67134">
      <w:pPr>
        <w:pStyle w:val="Paragraph"/>
        <w:rPr>
          <w:szCs w:val="20"/>
        </w:rPr>
      </w:pPr>
      <w:r>
        <w:t xml:space="preserve">The ACMA will amend the s.145(4) </w:t>
      </w:r>
      <w:r w:rsidR="007F6D4E">
        <w:t>D</w:t>
      </w:r>
      <w:r>
        <w:t xml:space="preserve">etermination </w:t>
      </w:r>
      <w:r w:rsidR="006B770D">
        <w:t>based on the assessment of submissions described above</w:t>
      </w:r>
      <w:r>
        <w:t>.</w:t>
      </w:r>
    </w:p>
    <w:p w14:paraId="6626DA40" w14:textId="01FB135A" w:rsidR="004B0F44" w:rsidRPr="000B6A4B" w:rsidRDefault="004B0F44" w:rsidP="004B0F44">
      <w:pPr>
        <w:pStyle w:val="Heading3"/>
      </w:pPr>
      <w:r w:rsidRPr="000B6A4B">
        <w:t xml:space="preserve">Proposed amendments to receiver spurious emission limits </w:t>
      </w:r>
    </w:p>
    <w:p w14:paraId="38F27E9A" w14:textId="22016352" w:rsidR="009138E2" w:rsidRPr="000B6A4B" w:rsidRDefault="009138E2" w:rsidP="009138E2">
      <w:pPr>
        <w:pStyle w:val="Paragraph"/>
        <w:rPr>
          <w:szCs w:val="20"/>
        </w:rPr>
      </w:pPr>
      <w:r w:rsidRPr="000B6A4B">
        <w:rPr>
          <w:szCs w:val="20"/>
        </w:rPr>
        <w:t>All submissions that commented on this proposal supported aligning receiver spurious emission limits with 3GPP standards. It was noted this w</w:t>
      </w:r>
      <w:r w:rsidR="00C22419">
        <w:rPr>
          <w:szCs w:val="20"/>
        </w:rPr>
        <w:t>ould</w:t>
      </w:r>
      <w:r w:rsidRPr="000B6A4B">
        <w:rPr>
          <w:szCs w:val="20"/>
        </w:rPr>
        <w:t xml:space="preserve"> allow Australia to align with international standards and access global market for equipment </w:t>
      </w:r>
      <w:r w:rsidR="00C22419">
        <w:rPr>
          <w:szCs w:val="20"/>
        </w:rPr>
        <w:t>and the</w:t>
      </w:r>
      <w:r w:rsidRPr="000B6A4B">
        <w:rPr>
          <w:szCs w:val="20"/>
        </w:rPr>
        <w:t xml:space="preserve"> </w:t>
      </w:r>
      <w:r w:rsidR="00C22419">
        <w:rPr>
          <w:szCs w:val="20"/>
        </w:rPr>
        <w:t xml:space="preserve">associated </w:t>
      </w:r>
      <w:r w:rsidRPr="000B6A4B">
        <w:rPr>
          <w:szCs w:val="20"/>
        </w:rPr>
        <w:t>economies of scale.</w:t>
      </w:r>
    </w:p>
    <w:p w14:paraId="13225F20" w14:textId="68CE2512" w:rsidR="009138E2" w:rsidRPr="000B6A4B" w:rsidRDefault="009138E2" w:rsidP="009138E2">
      <w:pPr>
        <w:pStyle w:val="Paragraph"/>
        <w:rPr>
          <w:szCs w:val="20"/>
        </w:rPr>
      </w:pPr>
      <w:r w:rsidRPr="000B6A4B">
        <w:rPr>
          <w:szCs w:val="20"/>
        </w:rPr>
        <w:t xml:space="preserve">A few submissions queried whether NBN Co would be required to meet the new limits. </w:t>
      </w:r>
    </w:p>
    <w:p w14:paraId="24A85969" w14:textId="54F62B4D" w:rsidR="009138E2" w:rsidRPr="000B6A4B" w:rsidRDefault="009138E2" w:rsidP="009138E2">
      <w:pPr>
        <w:pStyle w:val="Paragraph"/>
        <w:spacing w:after="0"/>
        <w:rPr>
          <w:b/>
          <w:bCs/>
          <w:i/>
          <w:iCs/>
        </w:rPr>
      </w:pPr>
      <w:r w:rsidRPr="000B6A4B">
        <w:rPr>
          <w:b/>
          <w:bCs/>
          <w:i/>
          <w:iCs/>
        </w:rPr>
        <w:t>ACMA response</w:t>
      </w:r>
    </w:p>
    <w:p w14:paraId="18CC7BC7" w14:textId="02E80058" w:rsidR="005250BA" w:rsidRDefault="007F6D4E" w:rsidP="009138E2">
      <w:pPr>
        <w:pStyle w:val="Paragraph"/>
      </w:pPr>
      <w:r>
        <w:rPr>
          <w:szCs w:val="20"/>
        </w:rPr>
        <w:t xml:space="preserve">We note </w:t>
      </w:r>
      <w:r w:rsidR="000C3AE6">
        <w:rPr>
          <w:szCs w:val="20"/>
        </w:rPr>
        <w:t xml:space="preserve">the support for </w:t>
      </w:r>
      <w:r w:rsidR="000C3AE6" w:rsidRPr="000B6A4B">
        <w:rPr>
          <w:szCs w:val="20"/>
        </w:rPr>
        <w:t>this proposal</w:t>
      </w:r>
      <w:r w:rsidR="000C3AE6">
        <w:rPr>
          <w:szCs w:val="20"/>
        </w:rPr>
        <w:t xml:space="preserve"> in submissions</w:t>
      </w:r>
      <w:r w:rsidR="005250BA">
        <w:rPr>
          <w:szCs w:val="20"/>
        </w:rPr>
        <w:t xml:space="preserve"> </w:t>
      </w:r>
      <w:r w:rsidR="00A67134">
        <w:rPr>
          <w:szCs w:val="20"/>
        </w:rPr>
        <w:t xml:space="preserve">and will </w:t>
      </w:r>
      <w:r w:rsidR="005250BA">
        <w:rPr>
          <w:szCs w:val="20"/>
        </w:rPr>
        <w:t xml:space="preserve">work </w:t>
      </w:r>
      <w:r w:rsidR="00A67134">
        <w:rPr>
          <w:szCs w:val="20"/>
        </w:rPr>
        <w:t>to implement the changes as proposed</w:t>
      </w:r>
      <w:r w:rsidR="000C3AE6" w:rsidRPr="000B6A4B">
        <w:rPr>
          <w:szCs w:val="20"/>
        </w:rPr>
        <w:t xml:space="preserve">. </w:t>
      </w:r>
      <w:r w:rsidR="005250BA" w:rsidRPr="00686C02">
        <w:t>As this</w:t>
      </w:r>
      <w:r w:rsidR="005250BA">
        <w:t xml:space="preserve"> relates to a change in core conditions, the changes will only be made on a licence-by-licence basis if there is agreement from </w:t>
      </w:r>
      <w:r w:rsidR="00F574D2">
        <w:t xml:space="preserve">a </w:t>
      </w:r>
      <w:r w:rsidR="005250BA">
        <w:t xml:space="preserve">licensee in accordance with section 72 of the Act. </w:t>
      </w:r>
    </w:p>
    <w:p w14:paraId="0AC94348" w14:textId="66E4F03A" w:rsidR="004B0F44" w:rsidRDefault="009138E2" w:rsidP="009138E2">
      <w:pPr>
        <w:pStyle w:val="Paragraph"/>
        <w:rPr>
          <w:szCs w:val="20"/>
        </w:rPr>
      </w:pPr>
      <w:r w:rsidRPr="000B6A4B">
        <w:rPr>
          <w:szCs w:val="20"/>
        </w:rPr>
        <w:lastRenderedPageBreak/>
        <w:t>We can also confirm that</w:t>
      </w:r>
      <w:r w:rsidR="00E7498E" w:rsidRPr="000B6A4B">
        <w:rPr>
          <w:szCs w:val="20"/>
        </w:rPr>
        <w:t>, if adopted,</w:t>
      </w:r>
      <w:r w:rsidRPr="000B6A4B">
        <w:rPr>
          <w:szCs w:val="20"/>
        </w:rPr>
        <w:t xml:space="preserve"> all 3.4 GHz spectrum licensees</w:t>
      </w:r>
      <w:r w:rsidR="00E7498E" w:rsidRPr="000B6A4B">
        <w:rPr>
          <w:szCs w:val="20"/>
        </w:rPr>
        <w:t xml:space="preserve"> </w:t>
      </w:r>
      <w:r w:rsidRPr="000B6A4B">
        <w:rPr>
          <w:szCs w:val="20"/>
        </w:rPr>
        <w:t xml:space="preserve">would be </w:t>
      </w:r>
      <w:r w:rsidR="00E7498E" w:rsidRPr="000B6A4B">
        <w:rPr>
          <w:szCs w:val="20"/>
        </w:rPr>
        <w:t>required</w:t>
      </w:r>
      <w:r w:rsidRPr="000B6A4B">
        <w:rPr>
          <w:szCs w:val="20"/>
        </w:rPr>
        <w:t xml:space="preserve"> to meet the </w:t>
      </w:r>
      <w:r w:rsidR="00E7498E" w:rsidRPr="000B6A4B">
        <w:rPr>
          <w:szCs w:val="20"/>
        </w:rPr>
        <w:t>proposed receiver spurious emissions limits, includ</w:t>
      </w:r>
      <w:r w:rsidR="00E25563">
        <w:rPr>
          <w:szCs w:val="20"/>
        </w:rPr>
        <w:t>ing</w:t>
      </w:r>
      <w:r w:rsidR="00E7498E" w:rsidRPr="000B6A4B">
        <w:rPr>
          <w:szCs w:val="20"/>
        </w:rPr>
        <w:t xml:space="preserve"> NBN Co and mobile network operators</w:t>
      </w:r>
      <w:r w:rsidR="000C3AE6">
        <w:rPr>
          <w:szCs w:val="20"/>
        </w:rPr>
        <w:t xml:space="preserve"> (MNOs)</w:t>
      </w:r>
      <w:r w:rsidR="00E7498E" w:rsidRPr="000B6A4B">
        <w:rPr>
          <w:szCs w:val="20"/>
        </w:rPr>
        <w:t xml:space="preserve">. </w:t>
      </w:r>
    </w:p>
    <w:p w14:paraId="6905F20A" w14:textId="68B60A71" w:rsidR="004B0F44" w:rsidRPr="000B6A4B" w:rsidRDefault="004B0F44" w:rsidP="004B0F44">
      <w:pPr>
        <w:pStyle w:val="Heading3"/>
      </w:pPr>
      <w:r w:rsidRPr="000B6A4B">
        <w:t xml:space="preserve">Proposed amendments to RALI MS44 </w:t>
      </w:r>
      <w:r w:rsidR="00955A0B">
        <w:t xml:space="preserve">concerning </w:t>
      </w:r>
      <w:r w:rsidR="00F574D2">
        <w:t>e</w:t>
      </w:r>
      <w:r w:rsidR="00955A0B">
        <w:t>arth station protection zones</w:t>
      </w:r>
    </w:p>
    <w:p w14:paraId="11A170CC" w14:textId="6955A67A" w:rsidR="007075B1" w:rsidRPr="000B6A4B" w:rsidRDefault="007075B1" w:rsidP="004B0F44">
      <w:pPr>
        <w:pStyle w:val="Paragraph"/>
        <w:rPr>
          <w:szCs w:val="20"/>
        </w:rPr>
      </w:pPr>
      <w:r w:rsidRPr="000B6A4B">
        <w:rPr>
          <w:szCs w:val="20"/>
        </w:rPr>
        <w:t xml:space="preserve">All submissions </w:t>
      </w:r>
      <w:r w:rsidR="00195BEF" w:rsidRPr="000B6A4B">
        <w:rPr>
          <w:szCs w:val="20"/>
        </w:rPr>
        <w:t xml:space="preserve">that commented on this proposal </w:t>
      </w:r>
      <w:r w:rsidRPr="000B6A4B">
        <w:rPr>
          <w:szCs w:val="20"/>
        </w:rPr>
        <w:t>supported</w:t>
      </w:r>
      <w:r w:rsidR="00195BEF" w:rsidRPr="000B6A4B">
        <w:rPr>
          <w:szCs w:val="20"/>
        </w:rPr>
        <w:t xml:space="preserve"> </w:t>
      </w:r>
      <w:r w:rsidR="00955A0B">
        <w:rPr>
          <w:szCs w:val="20"/>
        </w:rPr>
        <w:t xml:space="preserve">the proposed changes to </w:t>
      </w:r>
      <w:r w:rsidR="00F574D2">
        <w:rPr>
          <w:szCs w:val="20"/>
        </w:rPr>
        <w:t xml:space="preserve">RALI </w:t>
      </w:r>
      <w:r w:rsidR="00955A0B">
        <w:rPr>
          <w:szCs w:val="20"/>
        </w:rPr>
        <w:t>MS 44</w:t>
      </w:r>
      <w:r w:rsidRPr="000B6A4B">
        <w:rPr>
          <w:szCs w:val="20"/>
        </w:rPr>
        <w:t>.</w:t>
      </w:r>
    </w:p>
    <w:p w14:paraId="009E9C2A" w14:textId="1961DB81" w:rsidR="00195BEF" w:rsidRPr="000B6A4B" w:rsidRDefault="00195BEF" w:rsidP="00195BEF">
      <w:pPr>
        <w:pStyle w:val="Paragraph"/>
        <w:spacing w:after="0"/>
        <w:rPr>
          <w:b/>
          <w:bCs/>
          <w:i/>
          <w:iCs/>
        </w:rPr>
      </w:pPr>
      <w:r w:rsidRPr="000B6A4B">
        <w:rPr>
          <w:b/>
          <w:bCs/>
          <w:i/>
          <w:iCs/>
        </w:rPr>
        <w:t>ACMA response</w:t>
      </w:r>
    </w:p>
    <w:p w14:paraId="0B355DFA" w14:textId="609047F7" w:rsidR="00195BEF" w:rsidRPr="000B6A4B" w:rsidRDefault="007F6D4E" w:rsidP="004B0F44">
      <w:pPr>
        <w:pStyle w:val="Paragraph"/>
        <w:rPr>
          <w:szCs w:val="20"/>
        </w:rPr>
      </w:pPr>
      <w:r>
        <w:rPr>
          <w:szCs w:val="20"/>
        </w:rPr>
        <w:t>We note</w:t>
      </w:r>
      <w:r w:rsidR="00A26A8A" w:rsidRPr="000B6A4B">
        <w:rPr>
          <w:szCs w:val="20"/>
        </w:rPr>
        <w:t xml:space="preserve"> </w:t>
      </w:r>
      <w:r w:rsidR="000C3AE6">
        <w:rPr>
          <w:szCs w:val="20"/>
        </w:rPr>
        <w:t xml:space="preserve">the support for </w:t>
      </w:r>
      <w:r w:rsidR="00A26A8A" w:rsidRPr="000B6A4B">
        <w:rPr>
          <w:szCs w:val="20"/>
        </w:rPr>
        <w:t>this proposal</w:t>
      </w:r>
      <w:r w:rsidR="000C3AE6">
        <w:rPr>
          <w:szCs w:val="20"/>
        </w:rPr>
        <w:t xml:space="preserve"> in submissions</w:t>
      </w:r>
      <w:r w:rsidR="005250BA">
        <w:rPr>
          <w:szCs w:val="20"/>
        </w:rPr>
        <w:t xml:space="preserve">. </w:t>
      </w:r>
      <w:r w:rsidR="00A26A8A" w:rsidRPr="000B6A4B">
        <w:rPr>
          <w:szCs w:val="20"/>
        </w:rPr>
        <w:t xml:space="preserve">We </w:t>
      </w:r>
      <w:r>
        <w:rPr>
          <w:szCs w:val="20"/>
        </w:rPr>
        <w:t xml:space="preserve">also </w:t>
      </w:r>
      <w:r w:rsidR="00F45977">
        <w:rPr>
          <w:szCs w:val="20"/>
        </w:rPr>
        <w:t>note</w:t>
      </w:r>
      <w:r w:rsidR="004F291F">
        <w:rPr>
          <w:szCs w:val="20"/>
        </w:rPr>
        <w:t xml:space="preserve"> that</w:t>
      </w:r>
      <w:r w:rsidR="006C307B">
        <w:rPr>
          <w:szCs w:val="20"/>
        </w:rPr>
        <w:t xml:space="preserve"> </w:t>
      </w:r>
      <w:r w:rsidR="00195BEF" w:rsidRPr="000B6A4B">
        <w:rPr>
          <w:szCs w:val="20"/>
        </w:rPr>
        <w:t xml:space="preserve">the </w:t>
      </w:r>
      <w:r w:rsidR="00A67134">
        <w:rPr>
          <w:szCs w:val="20"/>
        </w:rPr>
        <w:t>d</w:t>
      </w:r>
      <w:r w:rsidR="00195BEF" w:rsidRPr="000B6A4B">
        <w:rPr>
          <w:szCs w:val="20"/>
        </w:rPr>
        <w:t>raft RALI</w:t>
      </w:r>
      <w:r w:rsidR="00FE5AEE">
        <w:rPr>
          <w:szCs w:val="20"/>
        </w:rPr>
        <w:t> </w:t>
      </w:r>
      <w:r w:rsidR="00195BEF" w:rsidRPr="000B6A4B">
        <w:rPr>
          <w:szCs w:val="20"/>
        </w:rPr>
        <w:t>MS44</w:t>
      </w:r>
      <w:r w:rsidR="007C1531">
        <w:rPr>
          <w:szCs w:val="20"/>
        </w:rPr>
        <w:t>,</w:t>
      </w:r>
      <w:r w:rsidR="00195BEF" w:rsidRPr="000B6A4B">
        <w:rPr>
          <w:szCs w:val="20"/>
        </w:rPr>
        <w:t xml:space="preserve"> </w:t>
      </w:r>
      <w:r w:rsidR="00F574D2">
        <w:rPr>
          <w:szCs w:val="20"/>
        </w:rPr>
        <w:t>i.e.</w:t>
      </w:r>
      <w:r>
        <w:rPr>
          <w:szCs w:val="20"/>
        </w:rPr>
        <w:t>,</w:t>
      </w:r>
      <w:r w:rsidR="00F574D2">
        <w:rPr>
          <w:szCs w:val="20"/>
        </w:rPr>
        <w:t xml:space="preserve"> </w:t>
      </w:r>
      <w:r w:rsidR="00195BEF" w:rsidRPr="000B6A4B">
        <w:rPr>
          <w:szCs w:val="20"/>
        </w:rPr>
        <w:t>Appendix C to the options paper</w:t>
      </w:r>
      <w:r w:rsidR="007C1531">
        <w:rPr>
          <w:szCs w:val="20"/>
        </w:rPr>
        <w:t>,</w:t>
      </w:r>
      <w:r w:rsidR="00195BEF" w:rsidRPr="000B6A4B">
        <w:rPr>
          <w:szCs w:val="20"/>
        </w:rPr>
        <w:t xml:space="preserve"> </w:t>
      </w:r>
      <w:r w:rsidR="00A26A8A" w:rsidRPr="000B6A4B">
        <w:rPr>
          <w:szCs w:val="20"/>
        </w:rPr>
        <w:t>incorrectly</w:t>
      </w:r>
      <w:r w:rsidR="00195BEF" w:rsidRPr="000B6A4B">
        <w:rPr>
          <w:szCs w:val="20"/>
        </w:rPr>
        <w:t xml:space="preserve"> </w:t>
      </w:r>
      <w:r w:rsidR="007C1531">
        <w:rPr>
          <w:szCs w:val="20"/>
        </w:rPr>
        <w:t>identified</w:t>
      </w:r>
      <w:r w:rsidR="007C1531" w:rsidRPr="000B6A4B">
        <w:rPr>
          <w:szCs w:val="20"/>
        </w:rPr>
        <w:t xml:space="preserve"> </w:t>
      </w:r>
      <w:r w:rsidR="00195BEF" w:rsidRPr="000B6A4B">
        <w:rPr>
          <w:szCs w:val="20"/>
        </w:rPr>
        <w:t xml:space="preserve">the </w:t>
      </w:r>
      <w:r w:rsidR="00A26A8A" w:rsidRPr="000B6A4B">
        <w:rPr>
          <w:szCs w:val="20"/>
        </w:rPr>
        <w:t>additional frequency</w:t>
      </w:r>
      <w:r w:rsidR="00195BEF" w:rsidRPr="000B6A4B">
        <w:rPr>
          <w:szCs w:val="20"/>
        </w:rPr>
        <w:t xml:space="preserve"> ranges for </w:t>
      </w:r>
      <w:r w:rsidR="00A26A8A" w:rsidRPr="000B6A4B">
        <w:rPr>
          <w:szCs w:val="20"/>
        </w:rPr>
        <w:t>defined ESPZs would be 3400</w:t>
      </w:r>
      <w:r>
        <w:rPr>
          <w:szCs w:val="20"/>
        </w:rPr>
        <w:t>–</w:t>
      </w:r>
      <w:r w:rsidR="00A26A8A" w:rsidRPr="000B6A4B">
        <w:rPr>
          <w:szCs w:val="20"/>
        </w:rPr>
        <w:t>3425 MHz and 3492.5</w:t>
      </w:r>
      <w:r>
        <w:rPr>
          <w:szCs w:val="20"/>
        </w:rPr>
        <w:t>–</w:t>
      </w:r>
      <w:r w:rsidR="00A26A8A" w:rsidRPr="000B6A4B">
        <w:rPr>
          <w:szCs w:val="20"/>
        </w:rPr>
        <w:t>3542.5</w:t>
      </w:r>
      <w:r>
        <w:rPr>
          <w:szCs w:val="20"/>
        </w:rPr>
        <w:t> </w:t>
      </w:r>
      <w:proofErr w:type="spellStart"/>
      <w:r w:rsidR="00A26A8A" w:rsidRPr="000B6A4B">
        <w:rPr>
          <w:szCs w:val="20"/>
        </w:rPr>
        <w:t>MHz.</w:t>
      </w:r>
      <w:proofErr w:type="spellEnd"/>
      <w:r w:rsidR="00A26A8A" w:rsidRPr="000B6A4B">
        <w:rPr>
          <w:szCs w:val="20"/>
        </w:rPr>
        <w:t xml:space="preserve"> The correct frequency ranges </w:t>
      </w:r>
      <w:r w:rsidR="007C1531">
        <w:rPr>
          <w:szCs w:val="20"/>
        </w:rPr>
        <w:t>were</w:t>
      </w:r>
      <w:r w:rsidR="007C1531" w:rsidRPr="000B6A4B">
        <w:rPr>
          <w:szCs w:val="20"/>
        </w:rPr>
        <w:t xml:space="preserve"> </w:t>
      </w:r>
      <w:r w:rsidR="00A26A8A" w:rsidRPr="000B6A4B">
        <w:rPr>
          <w:szCs w:val="20"/>
        </w:rPr>
        <w:t xml:space="preserve">detailed in the body of the options paper. These are </w:t>
      </w:r>
      <w:r w:rsidR="007C1531">
        <w:rPr>
          <w:szCs w:val="20"/>
        </w:rPr>
        <w:t>the</w:t>
      </w:r>
      <w:r w:rsidR="00A26A8A" w:rsidRPr="000B6A4B">
        <w:rPr>
          <w:szCs w:val="20"/>
        </w:rPr>
        <w:t xml:space="preserve"> 3400</w:t>
      </w:r>
      <w:r>
        <w:rPr>
          <w:szCs w:val="20"/>
        </w:rPr>
        <w:t>–</w:t>
      </w:r>
      <w:r w:rsidR="00A26A8A" w:rsidRPr="000B6A4B">
        <w:rPr>
          <w:szCs w:val="20"/>
        </w:rPr>
        <w:t>34</w:t>
      </w:r>
      <w:r w:rsidR="002A391E">
        <w:rPr>
          <w:szCs w:val="20"/>
        </w:rPr>
        <w:t>42.5</w:t>
      </w:r>
      <w:r w:rsidR="00A26A8A" w:rsidRPr="000B6A4B">
        <w:rPr>
          <w:szCs w:val="20"/>
        </w:rPr>
        <w:t xml:space="preserve"> MHz and 3475</w:t>
      </w:r>
      <w:r w:rsidR="001644E2">
        <w:rPr>
          <w:szCs w:val="20"/>
        </w:rPr>
        <w:t>–</w:t>
      </w:r>
      <w:r w:rsidR="00A26A8A" w:rsidRPr="000B6A4B">
        <w:rPr>
          <w:szCs w:val="20"/>
        </w:rPr>
        <w:t>3542.5 MHz bands</w:t>
      </w:r>
      <w:r w:rsidR="00A67134">
        <w:rPr>
          <w:szCs w:val="20"/>
        </w:rPr>
        <w:t>,</w:t>
      </w:r>
      <w:r w:rsidR="00A26A8A" w:rsidRPr="000B6A4B">
        <w:rPr>
          <w:szCs w:val="20"/>
        </w:rPr>
        <w:t xml:space="preserve"> which also reflects what was discussed</w:t>
      </w:r>
      <w:r w:rsidR="00A67134">
        <w:rPr>
          <w:szCs w:val="20"/>
        </w:rPr>
        <w:t xml:space="preserve"> and agreed</w:t>
      </w:r>
      <w:r w:rsidR="00A26A8A" w:rsidRPr="000B6A4B">
        <w:rPr>
          <w:szCs w:val="20"/>
        </w:rPr>
        <w:t xml:space="preserve"> within the 3.4 GHz </w:t>
      </w:r>
      <w:r w:rsidR="008B4FFB">
        <w:rPr>
          <w:szCs w:val="20"/>
        </w:rPr>
        <w:t>T</w:t>
      </w:r>
      <w:r w:rsidR="00A26A8A" w:rsidRPr="000B6A4B">
        <w:rPr>
          <w:szCs w:val="20"/>
        </w:rPr>
        <w:t>echnical Liaison Group</w:t>
      </w:r>
      <w:r w:rsidR="00A67134">
        <w:rPr>
          <w:szCs w:val="20"/>
        </w:rPr>
        <w:t xml:space="preserve"> (TLG)</w:t>
      </w:r>
      <w:r w:rsidR="00A26A8A" w:rsidRPr="000B6A4B">
        <w:rPr>
          <w:szCs w:val="20"/>
        </w:rPr>
        <w:t xml:space="preserve">. </w:t>
      </w:r>
      <w:r w:rsidR="002A391E">
        <w:rPr>
          <w:szCs w:val="20"/>
        </w:rPr>
        <w:t>Th</w:t>
      </w:r>
      <w:r w:rsidR="00357792">
        <w:rPr>
          <w:szCs w:val="20"/>
        </w:rPr>
        <w:t>ese frequencies</w:t>
      </w:r>
      <w:r w:rsidR="002A391E">
        <w:rPr>
          <w:szCs w:val="20"/>
        </w:rPr>
        <w:t xml:space="preserve"> represent the portions of the band not currently subject to spectrum licensing </w:t>
      </w:r>
      <w:r w:rsidR="00AC0082">
        <w:rPr>
          <w:szCs w:val="20"/>
        </w:rPr>
        <w:t>in</w:t>
      </w:r>
      <w:r w:rsidR="002A391E">
        <w:rPr>
          <w:szCs w:val="20"/>
        </w:rPr>
        <w:t xml:space="preserve"> the Moree, Roma and Uralla ESPZs.</w:t>
      </w:r>
    </w:p>
    <w:p w14:paraId="5517DDC2" w14:textId="368383E1" w:rsidR="00A26A8A" w:rsidRPr="000B6A4B" w:rsidRDefault="0089352B" w:rsidP="004B0F44">
      <w:pPr>
        <w:pStyle w:val="Paragraph"/>
        <w:rPr>
          <w:szCs w:val="20"/>
        </w:rPr>
      </w:pPr>
      <w:r>
        <w:rPr>
          <w:szCs w:val="20"/>
        </w:rPr>
        <w:t>Considering</w:t>
      </w:r>
      <w:r w:rsidR="00A26A8A" w:rsidRPr="000B6A4B">
        <w:rPr>
          <w:szCs w:val="20"/>
        </w:rPr>
        <w:t xml:space="preserve"> comments received </w:t>
      </w:r>
      <w:r w:rsidR="00A67134">
        <w:rPr>
          <w:szCs w:val="20"/>
        </w:rPr>
        <w:t xml:space="preserve">and previous support within the TLG, </w:t>
      </w:r>
      <w:r w:rsidR="00A26A8A" w:rsidRPr="000B6A4B">
        <w:rPr>
          <w:szCs w:val="20"/>
        </w:rPr>
        <w:t xml:space="preserve">we do not </w:t>
      </w:r>
      <w:r w:rsidR="00094EF2">
        <w:rPr>
          <w:szCs w:val="20"/>
        </w:rPr>
        <w:t>expect</w:t>
      </w:r>
      <w:r w:rsidR="00094EF2" w:rsidRPr="000B6A4B">
        <w:rPr>
          <w:szCs w:val="20"/>
        </w:rPr>
        <w:t xml:space="preserve"> </w:t>
      </w:r>
      <w:r w:rsidR="00A26A8A" w:rsidRPr="000B6A4B">
        <w:rPr>
          <w:szCs w:val="20"/>
        </w:rPr>
        <w:t>any issues with adopting the 3400</w:t>
      </w:r>
      <w:r w:rsidR="001644E2">
        <w:rPr>
          <w:szCs w:val="20"/>
        </w:rPr>
        <w:t>–</w:t>
      </w:r>
      <w:r w:rsidR="00A26A8A" w:rsidRPr="000B6A4B">
        <w:rPr>
          <w:szCs w:val="20"/>
        </w:rPr>
        <w:t>34</w:t>
      </w:r>
      <w:r w:rsidR="002A391E">
        <w:rPr>
          <w:szCs w:val="20"/>
        </w:rPr>
        <w:t>42.5</w:t>
      </w:r>
      <w:r w:rsidR="00A26A8A" w:rsidRPr="000B6A4B">
        <w:rPr>
          <w:szCs w:val="20"/>
        </w:rPr>
        <w:t xml:space="preserve"> MHz and 3475</w:t>
      </w:r>
      <w:r w:rsidR="001644E2">
        <w:rPr>
          <w:szCs w:val="20"/>
        </w:rPr>
        <w:t>–</w:t>
      </w:r>
      <w:r w:rsidR="00A26A8A" w:rsidRPr="000B6A4B">
        <w:rPr>
          <w:szCs w:val="20"/>
        </w:rPr>
        <w:t xml:space="preserve">3542.5 MHz frequency ranges. </w:t>
      </w:r>
      <w:r w:rsidR="00823CE6">
        <w:rPr>
          <w:szCs w:val="20"/>
        </w:rPr>
        <w:t xml:space="preserve">We have updated </w:t>
      </w:r>
      <w:hyperlink r:id="rId51" w:history="1">
        <w:r w:rsidR="00823CE6" w:rsidRPr="00823CE6">
          <w:rPr>
            <w:rStyle w:val="Hyperlink"/>
            <w:szCs w:val="20"/>
          </w:rPr>
          <w:t>RALI MS44</w:t>
        </w:r>
      </w:hyperlink>
      <w:r w:rsidR="00823CE6">
        <w:rPr>
          <w:szCs w:val="20"/>
        </w:rPr>
        <w:t xml:space="preserve"> accordingly</w:t>
      </w:r>
      <w:r w:rsidR="00823CE6" w:rsidRPr="000B6A4B">
        <w:rPr>
          <w:szCs w:val="20"/>
        </w:rPr>
        <w:t>.</w:t>
      </w:r>
    </w:p>
    <w:p w14:paraId="01408786" w14:textId="192EEA32" w:rsidR="00F06FFE" w:rsidRPr="000B6A4B" w:rsidRDefault="00F06FFE" w:rsidP="00F06FFE">
      <w:pPr>
        <w:pStyle w:val="Heading3"/>
      </w:pPr>
      <w:r>
        <w:t>Desirable planning outcomes for use of spectrum in urban</w:t>
      </w:r>
      <w:r w:rsidRPr="000B6A4B">
        <w:t xml:space="preserve"> excise areas </w:t>
      </w:r>
    </w:p>
    <w:p w14:paraId="68D55320" w14:textId="258A6059" w:rsidR="001C6A85" w:rsidRDefault="00D03D5E" w:rsidP="00F06FFE">
      <w:pPr>
        <w:pStyle w:val="Paragraph"/>
        <w:rPr>
          <w:szCs w:val="20"/>
        </w:rPr>
      </w:pPr>
      <w:r>
        <w:rPr>
          <w:szCs w:val="20"/>
        </w:rPr>
        <w:t>While s</w:t>
      </w:r>
      <w:r w:rsidR="00F06FFE">
        <w:rPr>
          <w:szCs w:val="20"/>
        </w:rPr>
        <w:t xml:space="preserve">ubmissions </w:t>
      </w:r>
      <w:r>
        <w:rPr>
          <w:szCs w:val="20"/>
        </w:rPr>
        <w:t>were broadly supportive of</w:t>
      </w:r>
      <w:r w:rsidR="00F06FFE">
        <w:rPr>
          <w:szCs w:val="20"/>
        </w:rPr>
        <w:t xml:space="preserve"> </w:t>
      </w:r>
      <w:r w:rsidR="009E0399">
        <w:rPr>
          <w:szCs w:val="20"/>
        </w:rPr>
        <w:t xml:space="preserve">the </w:t>
      </w:r>
      <w:r w:rsidR="00F06FFE">
        <w:rPr>
          <w:szCs w:val="20"/>
        </w:rPr>
        <w:t>desirable planning outcomes</w:t>
      </w:r>
      <w:r w:rsidR="00CE24AD">
        <w:rPr>
          <w:szCs w:val="20"/>
        </w:rPr>
        <w:t xml:space="preserve">, </w:t>
      </w:r>
      <w:r w:rsidR="00216344">
        <w:rPr>
          <w:szCs w:val="20"/>
        </w:rPr>
        <w:t xml:space="preserve">private WBB </w:t>
      </w:r>
      <w:r w:rsidR="001D779B">
        <w:rPr>
          <w:szCs w:val="20"/>
        </w:rPr>
        <w:t xml:space="preserve">sector </w:t>
      </w:r>
      <w:r w:rsidR="007F082B">
        <w:rPr>
          <w:szCs w:val="20"/>
        </w:rPr>
        <w:t>submissions</w:t>
      </w:r>
      <w:r w:rsidR="0043065A">
        <w:rPr>
          <w:rStyle w:val="FootnoteReference"/>
          <w:szCs w:val="20"/>
        </w:rPr>
        <w:footnoteReference w:id="13"/>
      </w:r>
      <w:r w:rsidR="00216344">
        <w:rPr>
          <w:szCs w:val="20"/>
        </w:rPr>
        <w:t xml:space="preserve"> </w:t>
      </w:r>
      <w:r w:rsidR="00AC0082">
        <w:rPr>
          <w:szCs w:val="20"/>
        </w:rPr>
        <w:t xml:space="preserve">called for </w:t>
      </w:r>
      <w:r w:rsidR="00216344">
        <w:rPr>
          <w:szCs w:val="20"/>
        </w:rPr>
        <w:t xml:space="preserve">further </w:t>
      </w:r>
      <w:r w:rsidR="009E0399">
        <w:rPr>
          <w:szCs w:val="20"/>
        </w:rPr>
        <w:t>emphasis</w:t>
      </w:r>
      <w:r w:rsidR="00216344">
        <w:rPr>
          <w:szCs w:val="20"/>
        </w:rPr>
        <w:t xml:space="preserve"> </w:t>
      </w:r>
      <w:r w:rsidR="00AC0082">
        <w:rPr>
          <w:szCs w:val="20"/>
        </w:rPr>
        <w:t xml:space="preserve">to </w:t>
      </w:r>
      <w:r w:rsidR="00216344">
        <w:rPr>
          <w:szCs w:val="20"/>
        </w:rPr>
        <w:t xml:space="preserve">be given </w:t>
      </w:r>
      <w:r w:rsidR="00E5536D">
        <w:rPr>
          <w:szCs w:val="20"/>
        </w:rPr>
        <w:t xml:space="preserve">to </w:t>
      </w:r>
      <w:r w:rsidR="00216344">
        <w:rPr>
          <w:szCs w:val="20"/>
        </w:rPr>
        <w:t xml:space="preserve">the </w:t>
      </w:r>
      <w:r w:rsidR="00FE5AEE">
        <w:rPr>
          <w:szCs w:val="20"/>
        </w:rPr>
        <w:t>‘</w:t>
      </w:r>
      <w:r w:rsidR="00E5536D">
        <w:rPr>
          <w:szCs w:val="20"/>
        </w:rPr>
        <w:t>pent-up</w:t>
      </w:r>
      <w:r w:rsidR="001C6A85">
        <w:rPr>
          <w:szCs w:val="20"/>
        </w:rPr>
        <w:t xml:space="preserve"> demand</w:t>
      </w:r>
      <w:r w:rsidR="00FE5AEE">
        <w:rPr>
          <w:szCs w:val="20"/>
        </w:rPr>
        <w:t>’</w:t>
      </w:r>
      <w:r w:rsidR="001C6A85">
        <w:rPr>
          <w:szCs w:val="20"/>
        </w:rPr>
        <w:t xml:space="preserve"> for spectrum to support localised private and enterprise networks</w:t>
      </w:r>
      <w:r w:rsidR="006A341C">
        <w:rPr>
          <w:szCs w:val="20"/>
        </w:rPr>
        <w:t>,</w:t>
      </w:r>
      <w:r w:rsidR="001C6A85">
        <w:rPr>
          <w:szCs w:val="20"/>
        </w:rPr>
        <w:t xml:space="preserve"> </w:t>
      </w:r>
      <w:r w:rsidR="006A341C">
        <w:rPr>
          <w:szCs w:val="20"/>
        </w:rPr>
        <w:t>includ</w:t>
      </w:r>
      <w:r w:rsidR="000506D0">
        <w:rPr>
          <w:szCs w:val="20"/>
        </w:rPr>
        <w:t>ing</w:t>
      </w:r>
      <w:r w:rsidR="006A341C">
        <w:rPr>
          <w:szCs w:val="20"/>
        </w:rPr>
        <w:t xml:space="preserve"> services at </w:t>
      </w:r>
      <w:r w:rsidR="006A341C">
        <w:t>warehouse</w:t>
      </w:r>
      <w:r w:rsidR="000506D0">
        <w:t>s</w:t>
      </w:r>
      <w:r w:rsidR="006A341C">
        <w:t>, factories, airports, ports, transport, hospitals, schools</w:t>
      </w:r>
      <w:r w:rsidR="00BE4254">
        <w:t xml:space="preserve"> and</w:t>
      </w:r>
      <w:r w:rsidR="006A341C">
        <w:t xml:space="preserve"> smart buildings. </w:t>
      </w:r>
      <w:r>
        <w:rPr>
          <w:szCs w:val="20"/>
        </w:rPr>
        <w:t>These submissions</w:t>
      </w:r>
      <w:r w:rsidR="00E5536D">
        <w:rPr>
          <w:szCs w:val="20"/>
        </w:rPr>
        <w:t xml:space="preserve"> argued </w:t>
      </w:r>
      <w:r w:rsidR="000506D0">
        <w:rPr>
          <w:szCs w:val="20"/>
        </w:rPr>
        <w:t>that</w:t>
      </w:r>
      <w:r w:rsidR="00E5536D">
        <w:rPr>
          <w:szCs w:val="20"/>
        </w:rPr>
        <w:t xml:space="preserve"> the lack of </w:t>
      </w:r>
      <w:r w:rsidR="00AB00ED">
        <w:rPr>
          <w:szCs w:val="20"/>
        </w:rPr>
        <w:t xml:space="preserve">dedicated </w:t>
      </w:r>
      <w:r w:rsidR="00E5536D">
        <w:rPr>
          <w:szCs w:val="20"/>
        </w:rPr>
        <w:t xml:space="preserve">spectrum in urban areas </w:t>
      </w:r>
      <w:r w:rsidR="006A341C">
        <w:rPr>
          <w:szCs w:val="20"/>
        </w:rPr>
        <w:t>is inhibiting</w:t>
      </w:r>
      <w:r w:rsidR="00E5536D">
        <w:rPr>
          <w:szCs w:val="20"/>
        </w:rPr>
        <w:t xml:space="preserve"> the adoption of </w:t>
      </w:r>
      <w:r w:rsidR="00CE24AD">
        <w:rPr>
          <w:szCs w:val="20"/>
        </w:rPr>
        <w:t xml:space="preserve">new </w:t>
      </w:r>
      <w:r w:rsidR="00E5536D">
        <w:rPr>
          <w:szCs w:val="20"/>
        </w:rPr>
        <w:t>technologies</w:t>
      </w:r>
      <w:r w:rsidR="006A341C">
        <w:rPr>
          <w:szCs w:val="20"/>
        </w:rPr>
        <w:t xml:space="preserve"> by </w:t>
      </w:r>
      <w:r w:rsidR="009E0399">
        <w:rPr>
          <w:szCs w:val="20"/>
        </w:rPr>
        <w:t>industry</w:t>
      </w:r>
      <w:r w:rsidR="00E5536D">
        <w:rPr>
          <w:szCs w:val="20"/>
        </w:rPr>
        <w:t xml:space="preserve"> to support the </w:t>
      </w:r>
      <w:r w:rsidR="00AC0082">
        <w:rPr>
          <w:szCs w:val="20"/>
        </w:rPr>
        <w:t>I</w:t>
      </w:r>
      <w:r w:rsidR="00E5536D">
        <w:rPr>
          <w:szCs w:val="20"/>
        </w:rPr>
        <w:t xml:space="preserve">nternet of </w:t>
      </w:r>
      <w:r w:rsidR="00AC0082">
        <w:rPr>
          <w:szCs w:val="20"/>
        </w:rPr>
        <w:t>T</w:t>
      </w:r>
      <w:r w:rsidR="00E5536D">
        <w:rPr>
          <w:szCs w:val="20"/>
        </w:rPr>
        <w:t>hings (IoT), intelligent transport systems (ITS), smart cities, smart utility applications and other Industry 4.0</w:t>
      </w:r>
      <w:r w:rsidR="001B2D2A">
        <w:rPr>
          <w:rStyle w:val="FootnoteReference"/>
          <w:szCs w:val="20"/>
        </w:rPr>
        <w:footnoteReference w:id="14"/>
      </w:r>
      <w:r w:rsidR="00E5536D">
        <w:rPr>
          <w:szCs w:val="20"/>
        </w:rPr>
        <w:t xml:space="preserve"> </w:t>
      </w:r>
      <w:r w:rsidR="006A341C">
        <w:t>opportunities. These</w:t>
      </w:r>
      <w:r w:rsidR="00F52F14">
        <w:t xml:space="preserve"> technologies would </w:t>
      </w:r>
      <w:r w:rsidR="009E0399">
        <w:t>result in</w:t>
      </w:r>
      <w:r w:rsidR="00F52F14">
        <w:t xml:space="preserve"> </w:t>
      </w:r>
      <w:r w:rsidR="006A341C">
        <w:t>greater economic outputs</w:t>
      </w:r>
      <w:r w:rsidR="00F52F14">
        <w:t xml:space="preserve"> </w:t>
      </w:r>
      <w:r w:rsidR="009E0399">
        <w:t xml:space="preserve">and </w:t>
      </w:r>
      <w:r w:rsidR="00CE24AD">
        <w:t>increase</w:t>
      </w:r>
      <w:r w:rsidR="009E0399">
        <w:t xml:space="preserve"> Australia’s competitiveness in the global marketplace</w:t>
      </w:r>
      <w:r w:rsidR="00E5536D">
        <w:rPr>
          <w:szCs w:val="20"/>
        </w:rPr>
        <w:t>. The</w:t>
      </w:r>
      <w:r w:rsidR="00E776E3">
        <w:rPr>
          <w:szCs w:val="20"/>
        </w:rPr>
        <w:t xml:space="preserve"> private WBB </w:t>
      </w:r>
      <w:r w:rsidR="00992A41">
        <w:rPr>
          <w:szCs w:val="20"/>
        </w:rPr>
        <w:t>sector</w:t>
      </w:r>
      <w:r w:rsidR="00E776E3">
        <w:rPr>
          <w:szCs w:val="20"/>
        </w:rPr>
        <w:t xml:space="preserve"> submissions</w:t>
      </w:r>
      <w:r w:rsidR="00E5536D">
        <w:rPr>
          <w:szCs w:val="20"/>
        </w:rPr>
        <w:t xml:space="preserve"> </w:t>
      </w:r>
      <w:r w:rsidR="009E0399">
        <w:rPr>
          <w:szCs w:val="20"/>
        </w:rPr>
        <w:t xml:space="preserve">also </w:t>
      </w:r>
      <w:r w:rsidR="00403DE7">
        <w:rPr>
          <w:szCs w:val="20"/>
        </w:rPr>
        <w:t>argued</w:t>
      </w:r>
      <w:r w:rsidR="00E5536D">
        <w:rPr>
          <w:szCs w:val="20"/>
        </w:rPr>
        <w:t xml:space="preserve"> that while </w:t>
      </w:r>
      <w:r w:rsidR="009E0399">
        <w:rPr>
          <w:szCs w:val="20"/>
        </w:rPr>
        <w:t xml:space="preserve">class licensed bands and </w:t>
      </w:r>
      <w:r w:rsidR="00E5536D">
        <w:rPr>
          <w:szCs w:val="20"/>
        </w:rPr>
        <w:t xml:space="preserve">26/28 GHz spectrum </w:t>
      </w:r>
      <w:r w:rsidR="00403DE7">
        <w:rPr>
          <w:szCs w:val="20"/>
        </w:rPr>
        <w:t>options are</w:t>
      </w:r>
      <w:r w:rsidR="00E5536D">
        <w:rPr>
          <w:szCs w:val="20"/>
        </w:rPr>
        <w:t xml:space="preserve"> available, </w:t>
      </w:r>
      <w:r w:rsidR="00E776E3">
        <w:rPr>
          <w:szCs w:val="20"/>
        </w:rPr>
        <w:t>the</w:t>
      </w:r>
      <w:r w:rsidR="008B4FFB">
        <w:rPr>
          <w:szCs w:val="20"/>
        </w:rPr>
        <w:t>se</w:t>
      </w:r>
      <w:r w:rsidR="00E776E3">
        <w:rPr>
          <w:szCs w:val="20"/>
        </w:rPr>
        <w:t xml:space="preserve"> bands </w:t>
      </w:r>
      <w:r w:rsidR="009E0399">
        <w:rPr>
          <w:szCs w:val="20"/>
        </w:rPr>
        <w:t>are</w:t>
      </w:r>
      <w:r w:rsidR="00E5536D">
        <w:rPr>
          <w:szCs w:val="20"/>
        </w:rPr>
        <w:t xml:space="preserve"> not </w:t>
      </w:r>
      <w:r w:rsidR="000506D0">
        <w:rPr>
          <w:szCs w:val="20"/>
        </w:rPr>
        <w:t xml:space="preserve">suitable </w:t>
      </w:r>
      <w:r w:rsidR="00E5536D">
        <w:rPr>
          <w:szCs w:val="20"/>
        </w:rPr>
        <w:t>substitute</w:t>
      </w:r>
      <w:r w:rsidR="00CE24AD">
        <w:rPr>
          <w:szCs w:val="20"/>
        </w:rPr>
        <w:t>s</w:t>
      </w:r>
      <w:r w:rsidR="006A341C">
        <w:rPr>
          <w:szCs w:val="20"/>
        </w:rPr>
        <w:t xml:space="preserve"> for</w:t>
      </w:r>
      <w:r w:rsidR="00F52F14">
        <w:rPr>
          <w:szCs w:val="20"/>
        </w:rPr>
        <w:t xml:space="preserve"> </w:t>
      </w:r>
      <w:r w:rsidR="00CE24AD">
        <w:rPr>
          <w:szCs w:val="20"/>
        </w:rPr>
        <w:t>interference managed</w:t>
      </w:r>
      <w:r w:rsidR="009E0399">
        <w:rPr>
          <w:szCs w:val="20"/>
        </w:rPr>
        <w:t xml:space="preserve"> </w:t>
      </w:r>
      <w:r w:rsidR="00F52F14">
        <w:rPr>
          <w:szCs w:val="20"/>
        </w:rPr>
        <w:t>mid-band</w:t>
      </w:r>
      <w:r w:rsidR="006A341C">
        <w:rPr>
          <w:szCs w:val="20"/>
        </w:rPr>
        <w:t xml:space="preserve"> spectrum</w:t>
      </w:r>
      <w:r w:rsidR="00403DE7">
        <w:rPr>
          <w:szCs w:val="20"/>
        </w:rPr>
        <w:t xml:space="preserve"> </w:t>
      </w:r>
      <w:r w:rsidR="00CE24AD">
        <w:rPr>
          <w:szCs w:val="20"/>
        </w:rPr>
        <w:t>that</w:t>
      </w:r>
      <w:r w:rsidR="00403DE7">
        <w:rPr>
          <w:szCs w:val="20"/>
        </w:rPr>
        <w:t xml:space="preserve"> </w:t>
      </w:r>
      <w:r w:rsidR="00CE24AD">
        <w:rPr>
          <w:szCs w:val="20"/>
        </w:rPr>
        <w:t xml:space="preserve">could be made available in </w:t>
      </w:r>
      <w:r w:rsidR="00403DE7">
        <w:rPr>
          <w:szCs w:val="20"/>
        </w:rPr>
        <w:t xml:space="preserve">the </w:t>
      </w:r>
      <w:r w:rsidR="006A341C">
        <w:rPr>
          <w:szCs w:val="20"/>
        </w:rPr>
        <w:t>3400</w:t>
      </w:r>
      <w:r w:rsidR="00A04D6A">
        <w:rPr>
          <w:szCs w:val="20"/>
        </w:rPr>
        <w:t>–</w:t>
      </w:r>
      <w:r w:rsidR="006A341C">
        <w:rPr>
          <w:szCs w:val="20"/>
        </w:rPr>
        <w:t>3475 MHz</w:t>
      </w:r>
      <w:r w:rsidR="00403DE7">
        <w:rPr>
          <w:szCs w:val="20"/>
        </w:rPr>
        <w:t xml:space="preserve"> band</w:t>
      </w:r>
      <w:r w:rsidR="006A341C">
        <w:rPr>
          <w:szCs w:val="20"/>
        </w:rPr>
        <w:t>.</w:t>
      </w:r>
    </w:p>
    <w:p w14:paraId="576CBFC5" w14:textId="7573E5E2" w:rsidR="00216344" w:rsidRDefault="00216344" w:rsidP="00CE24AD">
      <w:pPr>
        <w:pStyle w:val="Paragraph"/>
        <w:spacing w:after="80"/>
      </w:pPr>
      <w:r>
        <w:t xml:space="preserve">Telstra </w:t>
      </w:r>
      <w:r w:rsidR="00366B07">
        <w:t xml:space="preserve">proposed </w:t>
      </w:r>
      <w:r>
        <w:t xml:space="preserve">some planning principles for </w:t>
      </w:r>
      <w:r w:rsidR="00366B07">
        <w:t>consideration in the selection of the best option</w:t>
      </w:r>
      <w:r>
        <w:t>:</w:t>
      </w:r>
    </w:p>
    <w:p w14:paraId="6D33F0A9" w14:textId="77777777" w:rsidR="000C3AE6" w:rsidRPr="000C3AE6" w:rsidRDefault="000C3AE6" w:rsidP="000C3AE6">
      <w:pPr>
        <w:pStyle w:val="Default"/>
        <w:numPr>
          <w:ilvl w:val="0"/>
          <w:numId w:val="31"/>
        </w:numPr>
        <w:rPr>
          <w:color w:val="auto"/>
          <w:sz w:val="20"/>
        </w:rPr>
      </w:pPr>
      <w:r w:rsidRPr="000C3AE6">
        <w:rPr>
          <w:color w:val="auto"/>
          <w:sz w:val="20"/>
        </w:rPr>
        <w:t xml:space="preserve">Maximise the population covered. </w:t>
      </w:r>
    </w:p>
    <w:p w14:paraId="6732C960" w14:textId="77777777" w:rsidR="000C3AE6" w:rsidRPr="000C3AE6" w:rsidRDefault="000C3AE6" w:rsidP="000C3AE6">
      <w:pPr>
        <w:pStyle w:val="Default"/>
        <w:numPr>
          <w:ilvl w:val="0"/>
          <w:numId w:val="31"/>
        </w:numPr>
        <w:rPr>
          <w:color w:val="auto"/>
          <w:sz w:val="20"/>
        </w:rPr>
      </w:pPr>
      <w:r w:rsidRPr="000C3AE6">
        <w:rPr>
          <w:color w:val="auto"/>
          <w:sz w:val="20"/>
        </w:rPr>
        <w:t xml:space="preserve">Encourage homogeneity. </w:t>
      </w:r>
    </w:p>
    <w:p w14:paraId="1D349A4E" w14:textId="77777777" w:rsidR="000C3AE6" w:rsidRPr="000C3AE6" w:rsidRDefault="000C3AE6" w:rsidP="000C3AE6">
      <w:pPr>
        <w:pStyle w:val="Default"/>
        <w:numPr>
          <w:ilvl w:val="0"/>
          <w:numId w:val="31"/>
        </w:numPr>
        <w:rPr>
          <w:color w:val="auto"/>
          <w:sz w:val="20"/>
        </w:rPr>
      </w:pPr>
      <w:r w:rsidRPr="000C3AE6">
        <w:rPr>
          <w:color w:val="auto"/>
          <w:sz w:val="20"/>
        </w:rPr>
        <w:t xml:space="preserve">Allow flexibility for technology to evolve. </w:t>
      </w:r>
    </w:p>
    <w:p w14:paraId="08D654CB" w14:textId="37DC5D4B" w:rsidR="000C3AE6" w:rsidRPr="000C3AE6" w:rsidRDefault="000C3AE6" w:rsidP="000C3AE6">
      <w:pPr>
        <w:pStyle w:val="Default"/>
        <w:numPr>
          <w:ilvl w:val="0"/>
          <w:numId w:val="31"/>
        </w:numPr>
        <w:spacing w:after="240"/>
        <w:rPr>
          <w:color w:val="auto"/>
          <w:sz w:val="20"/>
        </w:rPr>
      </w:pPr>
      <w:r w:rsidRPr="000C3AE6">
        <w:rPr>
          <w:color w:val="auto"/>
          <w:sz w:val="20"/>
        </w:rPr>
        <w:t xml:space="preserve">Promote certainty </w:t>
      </w:r>
      <w:r w:rsidR="000506D0">
        <w:rPr>
          <w:color w:val="auto"/>
          <w:sz w:val="20"/>
        </w:rPr>
        <w:t>of</w:t>
      </w:r>
      <w:r w:rsidR="000506D0" w:rsidRPr="000C3AE6">
        <w:rPr>
          <w:color w:val="auto"/>
          <w:sz w:val="20"/>
        </w:rPr>
        <w:t xml:space="preserve"> </w:t>
      </w:r>
      <w:r w:rsidRPr="000C3AE6">
        <w:rPr>
          <w:color w:val="auto"/>
          <w:sz w:val="20"/>
        </w:rPr>
        <w:t xml:space="preserve">investment. </w:t>
      </w:r>
    </w:p>
    <w:p w14:paraId="239BD5EE" w14:textId="4EF8FACC" w:rsidR="00F06FFE" w:rsidRDefault="000C3AE6" w:rsidP="00F06FFE">
      <w:pPr>
        <w:pStyle w:val="Paragraph"/>
        <w:rPr>
          <w:szCs w:val="20"/>
        </w:rPr>
      </w:pPr>
      <w:r>
        <w:rPr>
          <w:szCs w:val="20"/>
        </w:rPr>
        <w:t xml:space="preserve">Further details on these principles are provided in the Telstra submission. </w:t>
      </w:r>
    </w:p>
    <w:p w14:paraId="3C393B05" w14:textId="489F0C80" w:rsidR="000C3AE6" w:rsidRPr="000B6A4B" w:rsidRDefault="00823CE6" w:rsidP="004453CF">
      <w:pPr>
        <w:pStyle w:val="Paragraph"/>
        <w:keepNext/>
        <w:keepLines/>
        <w:spacing w:after="0"/>
        <w:rPr>
          <w:b/>
          <w:bCs/>
          <w:i/>
          <w:iCs/>
        </w:rPr>
      </w:pPr>
      <w:r>
        <w:rPr>
          <w:b/>
          <w:bCs/>
          <w:i/>
          <w:iCs/>
        </w:rPr>
        <w:lastRenderedPageBreak/>
        <w:t xml:space="preserve">Preliminary </w:t>
      </w:r>
      <w:r w:rsidR="000C3AE6" w:rsidRPr="000B6A4B">
        <w:rPr>
          <w:b/>
          <w:bCs/>
          <w:i/>
          <w:iCs/>
        </w:rPr>
        <w:t>ACMA response</w:t>
      </w:r>
    </w:p>
    <w:p w14:paraId="40BA3ABA" w14:textId="1B0276C8" w:rsidR="000C3AE6" w:rsidRDefault="000C3AE6" w:rsidP="004453CF">
      <w:pPr>
        <w:pStyle w:val="Paragraph"/>
        <w:keepNext/>
        <w:keepLines/>
        <w:rPr>
          <w:color w:val="000000" w:themeColor="text1"/>
        </w:rPr>
      </w:pPr>
      <w:r w:rsidRPr="000B6A4B">
        <w:rPr>
          <w:szCs w:val="20"/>
        </w:rPr>
        <w:t>The ACMA note</w:t>
      </w:r>
      <w:r w:rsidR="008B4FFB">
        <w:rPr>
          <w:szCs w:val="20"/>
        </w:rPr>
        <w:t>s</w:t>
      </w:r>
      <w:r w:rsidRPr="000B6A4B">
        <w:rPr>
          <w:szCs w:val="20"/>
        </w:rPr>
        <w:t xml:space="preserve"> </w:t>
      </w:r>
      <w:r>
        <w:rPr>
          <w:szCs w:val="20"/>
        </w:rPr>
        <w:t xml:space="preserve">the support for </w:t>
      </w:r>
      <w:r w:rsidR="00DC56F0">
        <w:rPr>
          <w:szCs w:val="20"/>
        </w:rPr>
        <w:t xml:space="preserve">our </w:t>
      </w:r>
      <w:r w:rsidR="005D6C6B">
        <w:rPr>
          <w:szCs w:val="20"/>
        </w:rPr>
        <w:t>desir</w:t>
      </w:r>
      <w:r w:rsidR="005D6C6B" w:rsidDel="00E776E3">
        <w:rPr>
          <w:szCs w:val="20"/>
        </w:rPr>
        <w:t>able</w:t>
      </w:r>
      <w:r w:rsidR="005D6C6B">
        <w:rPr>
          <w:szCs w:val="20"/>
        </w:rPr>
        <w:t xml:space="preserve"> planning outcomes</w:t>
      </w:r>
      <w:r w:rsidRPr="000B6A4B">
        <w:rPr>
          <w:szCs w:val="20"/>
        </w:rPr>
        <w:t xml:space="preserve">. </w:t>
      </w:r>
      <w:r w:rsidR="000255AF">
        <w:rPr>
          <w:szCs w:val="20"/>
        </w:rPr>
        <w:t xml:space="preserve">We acknowledge interest in making spectrum available for localised private and enterprise networks. </w:t>
      </w:r>
      <w:r>
        <w:rPr>
          <w:szCs w:val="20"/>
        </w:rPr>
        <w:t>We</w:t>
      </w:r>
      <w:r w:rsidR="000255AF">
        <w:rPr>
          <w:szCs w:val="20"/>
        </w:rPr>
        <w:t xml:space="preserve"> </w:t>
      </w:r>
      <w:r w:rsidR="007903E4">
        <w:rPr>
          <w:szCs w:val="20"/>
        </w:rPr>
        <w:t xml:space="preserve">will </w:t>
      </w:r>
      <w:r>
        <w:rPr>
          <w:szCs w:val="20"/>
        </w:rPr>
        <w:t>consider th</w:t>
      </w:r>
      <w:r w:rsidR="000255AF">
        <w:rPr>
          <w:szCs w:val="20"/>
        </w:rPr>
        <w:t>is</w:t>
      </w:r>
      <w:r w:rsidR="00054BEF">
        <w:rPr>
          <w:szCs w:val="20"/>
        </w:rPr>
        <w:t>,</w:t>
      </w:r>
      <w:r w:rsidR="000255AF">
        <w:rPr>
          <w:szCs w:val="20"/>
        </w:rPr>
        <w:t xml:space="preserve"> as well as </w:t>
      </w:r>
      <w:r w:rsidR="00E776E3">
        <w:rPr>
          <w:szCs w:val="20"/>
        </w:rPr>
        <w:t xml:space="preserve">matters raised in </w:t>
      </w:r>
      <w:r w:rsidR="005D6C6B">
        <w:rPr>
          <w:szCs w:val="20"/>
        </w:rPr>
        <w:t>other submi</w:t>
      </w:r>
      <w:r w:rsidR="00E776E3">
        <w:rPr>
          <w:szCs w:val="20"/>
        </w:rPr>
        <w:t>ssions</w:t>
      </w:r>
      <w:r w:rsidR="00054BEF">
        <w:rPr>
          <w:szCs w:val="20"/>
        </w:rPr>
        <w:t>,</w:t>
      </w:r>
      <w:r w:rsidR="005D6C6B">
        <w:rPr>
          <w:szCs w:val="20"/>
        </w:rPr>
        <w:t xml:space="preserve"> </w:t>
      </w:r>
      <w:r w:rsidR="000255AF">
        <w:rPr>
          <w:szCs w:val="20"/>
        </w:rPr>
        <w:t xml:space="preserve">when re-assessing the planning options against desirable planning </w:t>
      </w:r>
      <w:r w:rsidR="00DC56F0">
        <w:rPr>
          <w:szCs w:val="20"/>
        </w:rPr>
        <w:t>O</w:t>
      </w:r>
      <w:r w:rsidR="000255AF">
        <w:rPr>
          <w:szCs w:val="20"/>
        </w:rPr>
        <w:t xml:space="preserve">utcome 4 – </w:t>
      </w:r>
      <w:r w:rsidR="00DC56F0">
        <w:rPr>
          <w:szCs w:val="20"/>
        </w:rPr>
        <w:t>‘</w:t>
      </w:r>
      <w:r w:rsidR="000255AF" w:rsidRPr="004453CF">
        <w:rPr>
          <w:color w:val="000000" w:themeColor="text1"/>
        </w:rPr>
        <w:t>Maximise the utility of spectrum in urban excise areas for new wireless broadband services</w:t>
      </w:r>
      <w:r w:rsidR="00DC56F0">
        <w:rPr>
          <w:color w:val="000000" w:themeColor="text1"/>
        </w:rPr>
        <w:t>’</w:t>
      </w:r>
      <w:r w:rsidR="00230853">
        <w:rPr>
          <w:color w:val="000000" w:themeColor="text1"/>
        </w:rPr>
        <w:t>.</w:t>
      </w:r>
    </w:p>
    <w:p w14:paraId="271BBE57" w14:textId="6068FD8A" w:rsidR="00823CE6" w:rsidRDefault="00980312" w:rsidP="004453CF">
      <w:pPr>
        <w:pStyle w:val="Paragraphbeforelist"/>
        <w:rPr>
          <w:color w:val="000000" w:themeColor="text1"/>
        </w:rPr>
      </w:pPr>
      <w:r>
        <w:t>While the 3400</w:t>
      </w:r>
      <w:r w:rsidR="00DC56F0">
        <w:t>–</w:t>
      </w:r>
      <w:r>
        <w:t xml:space="preserve">3475 MHz band presents one </w:t>
      </w:r>
      <w:r w:rsidR="00017445">
        <w:t>potential opportunity</w:t>
      </w:r>
      <w:r>
        <w:t xml:space="preserve"> for private WBB use in urban areas, </w:t>
      </w:r>
      <w:r w:rsidR="00090ECE">
        <w:t>there are others to consider</w:t>
      </w:r>
      <w:r>
        <w:t xml:space="preserve">. The </w:t>
      </w:r>
      <w:hyperlink r:id="rId52" w:history="1">
        <w:r w:rsidRPr="00A914BF">
          <w:rPr>
            <w:rStyle w:val="Hyperlink"/>
            <w:i/>
            <w:iCs/>
            <w:szCs w:val="20"/>
          </w:rPr>
          <w:t>Spectrum options optimised for local area wireless broadband service</w:t>
        </w:r>
      </w:hyperlink>
      <w:r>
        <w:rPr>
          <w:i/>
          <w:iCs/>
        </w:rPr>
        <w:t xml:space="preserve"> </w:t>
      </w:r>
      <w:r w:rsidR="00DC56F0">
        <w:t xml:space="preserve">information paper </w:t>
      </w:r>
      <w:r>
        <w:t xml:space="preserve">details existing spectrum options for private WBB use. We are also working to make additional spectrum available in other bands. Stakeholders may wish to consider these to support Industry 4.0 applications. Some </w:t>
      </w:r>
      <w:r w:rsidR="00043060">
        <w:t>key</w:t>
      </w:r>
      <w:r>
        <w:t xml:space="preserve"> bands are:</w:t>
      </w:r>
    </w:p>
    <w:p w14:paraId="7BD5789A" w14:textId="36D36F53" w:rsidR="00A47C0D" w:rsidRDefault="003F0191" w:rsidP="004453CF">
      <w:pPr>
        <w:pStyle w:val="Bulletlevel1"/>
      </w:pPr>
      <w:hyperlink r:id="rId53" w:history="1">
        <w:r w:rsidR="00A47C0D" w:rsidRPr="005E4A6C">
          <w:rPr>
            <w:rStyle w:val="Hyperlink"/>
            <w:szCs w:val="20"/>
          </w:rPr>
          <w:t>928</w:t>
        </w:r>
        <w:r w:rsidR="00DC56F0">
          <w:rPr>
            <w:rStyle w:val="Hyperlink"/>
            <w:szCs w:val="20"/>
          </w:rPr>
          <w:t>–</w:t>
        </w:r>
        <w:r w:rsidR="005E4A6C" w:rsidRPr="005E4A6C">
          <w:rPr>
            <w:rStyle w:val="Hyperlink"/>
            <w:szCs w:val="20"/>
          </w:rPr>
          <w:t>935</w:t>
        </w:r>
        <w:r w:rsidR="00A47C0D" w:rsidRPr="005E4A6C">
          <w:rPr>
            <w:rStyle w:val="Hyperlink"/>
            <w:szCs w:val="20"/>
          </w:rPr>
          <w:t xml:space="preserve"> MHz</w:t>
        </w:r>
      </w:hyperlink>
      <w:r w:rsidR="00EC6834">
        <w:t>: Currently available for IoT applications</w:t>
      </w:r>
      <w:r w:rsidR="00A47C0D">
        <w:t xml:space="preserve"> </w:t>
      </w:r>
      <w:r w:rsidR="00EC6834">
        <w:t xml:space="preserve">via </w:t>
      </w:r>
      <w:r w:rsidR="005E4A6C">
        <w:t>class</w:t>
      </w:r>
      <w:r w:rsidR="00EC6834">
        <w:t xml:space="preserve"> licensing</w:t>
      </w:r>
      <w:r w:rsidR="00715233">
        <w:t>.</w:t>
      </w:r>
    </w:p>
    <w:p w14:paraId="31031227" w14:textId="686294F9" w:rsidR="007E5FF1" w:rsidRDefault="003F0191" w:rsidP="004453CF">
      <w:pPr>
        <w:pStyle w:val="Bulletlevel1"/>
      </w:pPr>
      <w:hyperlink r:id="rId54" w:history="1">
        <w:r w:rsidR="007E5FF1" w:rsidRPr="00C5501F">
          <w:rPr>
            <w:rStyle w:val="Hyperlink"/>
            <w:szCs w:val="20"/>
          </w:rPr>
          <w:t>3</w:t>
        </w:r>
        <w:r w:rsidR="007E5FF1">
          <w:rPr>
            <w:rStyle w:val="Hyperlink"/>
            <w:szCs w:val="20"/>
          </w:rPr>
          <w:t>800</w:t>
        </w:r>
        <w:r w:rsidR="00E95AC8">
          <w:rPr>
            <w:rStyle w:val="Hyperlink"/>
            <w:szCs w:val="20"/>
          </w:rPr>
          <w:t>–</w:t>
        </w:r>
        <w:r w:rsidR="007E5FF1" w:rsidRPr="00C5501F">
          <w:rPr>
            <w:rStyle w:val="Hyperlink"/>
            <w:szCs w:val="20"/>
          </w:rPr>
          <w:t>4</w:t>
        </w:r>
        <w:r w:rsidR="007E5FF1">
          <w:rPr>
            <w:rStyle w:val="Hyperlink"/>
            <w:szCs w:val="20"/>
          </w:rPr>
          <w:t>00</w:t>
        </w:r>
        <w:r w:rsidR="007E5FF1" w:rsidRPr="00C5501F">
          <w:rPr>
            <w:rStyle w:val="Hyperlink"/>
            <w:szCs w:val="20"/>
          </w:rPr>
          <w:t xml:space="preserve">0 </w:t>
        </w:r>
        <w:r w:rsidR="007E5FF1">
          <w:rPr>
            <w:rStyle w:val="Hyperlink"/>
            <w:szCs w:val="20"/>
          </w:rPr>
          <w:t>M</w:t>
        </w:r>
        <w:r w:rsidR="007E5FF1" w:rsidRPr="00C5501F">
          <w:rPr>
            <w:rStyle w:val="Hyperlink"/>
            <w:szCs w:val="20"/>
          </w:rPr>
          <w:t>Hz</w:t>
        </w:r>
      </w:hyperlink>
      <w:r w:rsidR="007E5FF1">
        <w:t xml:space="preserve">: The ACMA is in the process of developing arrangements for apparatus licensed WBB use of </w:t>
      </w:r>
      <w:r w:rsidR="00C21279">
        <w:t>this band</w:t>
      </w:r>
      <w:r w:rsidR="007E5FF1">
        <w:t xml:space="preserve">. </w:t>
      </w:r>
    </w:p>
    <w:p w14:paraId="292060BF" w14:textId="28F9FBC9" w:rsidR="00823CE6" w:rsidRDefault="003F0191" w:rsidP="004453CF">
      <w:pPr>
        <w:pStyle w:val="Bulletlevel1"/>
      </w:pPr>
      <w:hyperlink r:id="rId55" w:history="1">
        <w:r w:rsidR="005E4A6C" w:rsidRPr="004747AB">
          <w:rPr>
            <w:rStyle w:val="Hyperlink"/>
            <w:szCs w:val="20"/>
          </w:rPr>
          <w:t>5850</w:t>
        </w:r>
        <w:r w:rsidR="00E95AC8">
          <w:rPr>
            <w:rStyle w:val="Hyperlink"/>
            <w:szCs w:val="20"/>
          </w:rPr>
          <w:t>–</w:t>
        </w:r>
        <w:r w:rsidR="005E4A6C" w:rsidRPr="004747AB">
          <w:rPr>
            <w:rStyle w:val="Hyperlink"/>
            <w:szCs w:val="20"/>
          </w:rPr>
          <w:t>5925 MHz</w:t>
        </w:r>
      </w:hyperlink>
      <w:r w:rsidR="005E4A6C">
        <w:t xml:space="preserve">: </w:t>
      </w:r>
      <w:r w:rsidR="00EC6834">
        <w:t xml:space="preserve">Currently available for ITS applications via </w:t>
      </w:r>
      <w:r w:rsidR="004747AB">
        <w:t>class</w:t>
      </w:r>
      <w:r w:rsidR="00EC6834">
        <w:t xml:space="preserve"> licensing</w:t>
      </w:r>
      <w:r w:rsidR="00715233">
        <w:t>.</w:t>
      </w:r>
    </w:p>
    <w:p w14:paraId="77549154" w14:textId="573536DD" w:rsidR="007E5FF1" w:rsidRDefault="003F0191" w:rsidP="004453CF">
      <w:pPr>
        <w:pStyle w:val="Bulletlevel1"/>
      </w:pPr>
      <w:hyperlink r:id="rId56" w:history="1">
        <w:r w:rsidR="007E5FF1" w:rsidRPr="004747AB">
          <w:rPr>
            <w:rStyle w:val="Hyperlink"/>
            <w:szCs w:val="20"/>
          </w:rPr>
          <w:t>5925</w:t>
        </w:r>
        <w:r w:rsidR="00E95AC8">
          <w:rPr>
            <w:rStyle w:val="Hyperlink"/>
            <w:szCs w:val="20"/>
          </w:rPr>
          <w:t>–</w:t>
        </w:r>
        <w:r w:rsidR="007E5FF1" w:rsidRPr="004747AB">
          <w:rPr>
            <w:rStyle w:val="Hyperlink"/>
            <w:szCs w:val="20"/>
          </w:rPr>
          <w:t>6425 MHz</w:t>
        </w:r>
      </w:hyperlink>
      <w:r w:rsidR="007E5FF1">
        <w:t xml:space="preserve">: The ACMA is consulting on changes to support radio local area networks use of the band via class licensing. </w:t>
      </w:r>
    </w:p>
    <w:p w14:paraId="2DE77F6F" w14:textId="2F86A795" w:rsidR="00EC6834" w:rsidRDefault="003F0191" w:rsidP="004453CF">
      <w:pPr>
        <w:pStyle w:val="Bulletlevel1"/>
      </w:pPr>
      <w:hyperlink r:id="rId57" w:history="1">
        <w:r w:rsidR="00EC6834" w:rsidRPr="00C5501F">
          <w:rPr>
            <w:rStyle w:val="Hyperlink"/>
            <w:szCs w:val="20"/>
          </w:rPr>
          <w:t>24.25</w:t>
        </w:r>
        <w:r w:rsidR="00E95AC8">
          <w:rPr>
            <w:rStyle w:val="Hyperlink"/>
            <w:szCs w:val="20"/>
          </w:rPr>
          <w:t>–</w:t>
        </w:r>
        <w:r w:rsidR="00EC6834" w:rsidRPr="00C5501F">
          <w:rPr>
            <w:rStyle w:val="Hyperlink"/>
            <w:szCs w:val="20"/>
          </w:rPr>
          <w:t>25.1 GHz</w:t>
        </w:r>
      </w:hyperlink>
      <w:r w:rsidR="00EC6834">
        <w:t xml:space="preserve">: Currently available for private WBB </w:t>
      </w:r>
      <w:r w:rsidR="007E5FF1">
        <w:t xml:space="preserve">use </w:t>
      </w:r>
      <w:r w:rsidR="00EC6834">
        <w:t>via class licencing</w:t>
      </w:r>
      <w:r w:rsidR="00715233">
        <w:t>.</w:t>
      </w:r>
    </w:p>
    <w:p w14:paraId="704B8FD6" w14:textId="034C6C87" w:rsidR="00A914BF" w:rsidRPr="00980312" w:rsidRDefault="003F0191" w:rsidP="004453CF">
      <w:pPr>
        <w:pStyle w:val="Bulletlevel1last"/>
      </w:pPr>
      <w:hyperlink r:id="rId58" w:history="1">
        <w:r w:rsidR="00EC6834" w:rsidRPr="00C5501F">
          <w:rPr>
            <w:rStyle w:val="Hyperlink"/>
            <w:szCs w:val="20"/>
          </w:rPr>
          <w:t>24.7</w:t>
        </w:r>
        <w:r w:rsidR="00E95AC8">
          <w:rPr>
            <w:rStyle w:val="Hyperlink"/>
            <w:szCs w:val="20"/>
          </w:rPr>
          <w:t>–</w:t>
        </w:r>
        <w:r w:rsidR="00EC6834" w:rsidRPr="00C5501F">
          <w:rPr>
            <w:rStyle w:val="Hyperlink"/>
            <w:szCs w:val="20"/>
          </w:rPr>
          <w:t>25.1 GHz and 27.5</w:t>
        </w:r>
        <w:r w:rsidR="00E95AC8">
          <w:rPr>
            <w:rStyle w:val="Hyperlink"/>
            <w:szCs w:val="20"/>
          </w:rPr>
          <w:t>–</w:t>
        </w:r>
        <w:r w:rsidR="00EC6834" w:rsidRPr="00C5501F">
          <w:rPr>
            <w:rStyle w:val="Hyperlink"/>
            <w:szCs w:val="20"/>
          </w:rPr>
          <w:t>29.5 GHz</w:t>
        </w:r>
      </w:hyperlink>
      <w:r w:rsidR="00EC6834">
        <w:t xml:space="preserve">: </w:t>
      </w:r>
      <w:r w:rsidR="00A47C0D">
        <w:t xml:space="preserve"> </w:t>
      </w:r>
      <w:r w:rsidR="00C5501F">
        <w:t>Currently available for</w:t>
      </w:r>
      <w:r w:rsidR="00A914BF">
        <w:t xml:space="preserve"> apparatus licensed</w:t>
      </w:r>
      <w:r w:rsidR="00C5501F">
        <w:t xml:space="preserve"> private WBB </w:t>
      </w:r>
      <w:r w:rsidR="007E5FF1">
        <w:t>use</w:t>
      </w:r>
      <w:r w:rsidR="00A914BF">
        <w:t>.</w:t>
      </w:r>
    </w:p>
    <w:p w14:paraId="66A22688" w14:textId="6C4ABCE7" w:rsidR="004B0F44" w:rsidRPr="000B6A4B" w:rsidRDefault="004B0F44" w:rsidP="004B0F44">
      <w:pPr>
        <w:pStyle w:val="Heading3"/>
      </w:pPr>
      <w:r w:rsidRPr="000B6A4B">
        <w:t xml:space="preserve">Options for use of urban excise areas </w:t>
      </w:r>
    </w:p>
    <w:p w14:paraId="29ED8522" w14:textId="79B83415" w:rsidR="004B0F44" w:rsidRPr="000B6A4B" w:rsidRDefault="00F06FFE" w:rsidP="004453CF">
      <w:pPr>
        <w:pStyle w:val="Paragraphbeforelist"/>
      </w:pPr>
      <w:r>
        <w:t>S</w:t>
      </w:r>
      <w:r w:rsidR="005F63A1" w:rsidRPr="000B6A4B">
        <w:t xml:space="preserve">ubmissions on this issue </w:t>
      </w:r>
      <w:r w:rsidR="004B0F44" w:rsidRPr="000B6A4B">
        <w:t xml:space="preserve">generally </w:t>
      </w:r>
      <w:r w:rsidR="00232D33">
        <w:t>fell</w:t>
      </w:r>
      <w:r w:rsidR="00232D33" w:rsidRPr="000B6A4B">
        <w:t xml:space="preserve"> </w:t>
      </w:r>
      <w:r w:rsidR="004B0F44" w:rsidRPr="000B6A4B">
        <w:t>into the following categories:</w:t>
      </w:r>
    </w:p>
    <w:p w14:paraId="1819223A" w14:textId="6C593581" w:rsidR="004B0F44" w:rsidRPr="000B6A4B" w:rsidRDefault="00932AAB" w:rsidP="004453CF">
      <w:pPr>
        <w:pStyle w:val="Bulletlevel1"/>
      </w:pPr>
      <w:r w:rsidRPr="007863A7">
        <w:rPr>
          <w:u w:val="single"/>
        </w:rPr>
        <w:t>Support for a restricted cell model</w:t>
      </w:r>
      <w:r w:rsidR="004B0F44" w:rsidRPr="000B6A4B">
        <w:t>: This include</w:t>
      </w:r>
      <w:r w:rsidR="00AC0082">
        <w:t>d</w:t>
      </w:r>
      <w:r w:rsidRPr="000B6A4B">
        <w:t xml:space="preserve"> </w:t>
      </w:r>
      <w:r w:rsidR="004B0F44" w:rsidRPr="000B6A4B">
        <w:t xml:space="preserve">interest in making spectrum available in </w:t>
      </w:r>
      <w:r w:rsidR="007A1F7F">
        <w:t xml:space="preserve">a </w:t>
      </w:r>
      <w:r w:rsidR="004B0F44" w:rsidRPr="000B6A4B">
        <w:t>manner suitable for localised private and enterprise WBB networks</w:t>
      </w:r>
      <w:r w:rsidR="003164E7">
        <w:t xml:space="preserve"> – this includes appropriate licensing and allocation mechanisms</w:t>
      </w:r>
      <w:r w:rsidR="004B0F44" w:rsidRPr="000B6A4B">
        <w:t xml:space="preserve">. </w:t>
      </w:r>
      <w:r w:rsidR="000B6A4B">
        <w:t xml:space="preserve">NBN Co and private WBB </w:t>
      </w:r>
      <w:r w:rsidR="007F082B">
        <w:t>submissions</w:t>
      </w:r>
      <w:r w:rsidR="00E776E3">
        <w:t xml:space="preserve"> </w:t>
      </w:r>
      <w:r w:rsidR="00E776E3" w:rsidRPr="000B6A4B">
        <w:t>supported this approach</w:t>
      </w:r>
      <w:r w:rsidRPr="000B6A4B">
        <w:t>.</w:t>
      </w:r>
    </w:p>
    <w:p w14:paraId="05B8560C" w14:textId="4455CF12" w:rsidR="005F63A1" w:rsidRPr="000B6A4B" w:rsidRDefault="00932AAB" w:rsidP="004453CF">
      <w:pPr>
        <w:pStyle w:val="Bulletlevel1"/>
      </w:pPr>
      <w:r w:rsidRPr="007863A7">
        <w:rPr>
          <w:u w:val="single"/>
        </w:rPr>
        <w:t>Support for a macro cell model</w:t>
      </w:r>
      <w:r w:rsidR="004B0F44" w:rsidRPr="000B6A4B">
        <w:t>: This include</w:t>
      </w:r>
      <w:r w:rsidR="00AC0082">
        <w:t>d</w:t>
      </w:r>
      <w:r w:rsidR="004B0F44" w:rsidRPr="000B6A4B">
        <w:t xml:space="preserve"> </w:t>
      </w:r>
      <w:r w:rsidRPr="000B6A4B">
        <w:t xml:space="preserve">interest in making the spectrum available in </w:t>
      </w:r>
      <w:r w:rsidR="007A1F7F">
        <w:t xml:space="preserve">a </w:t>
      </w:r>
      <w:r w:rsidRPr="000B6A4B">
        <w:t>manner that provide</w:t>
      </w:r>
      <w:r w:rsidR="00715233">
        <w:t>s</w:t>
      </w:r>
      <w:r w:rsidRPr="000B6A4B">
        <w:t xml:space="preserve"> the greatest flexibility for how services are deployed </w:t>
      </w:r>
      <w:r w:rsidR="000B6A4B" w:rsidRPr="000B6A4B">
        <w:t>(macro or restricted cell)</w:t>
      </w:r>
      <w:r w:rsidR="00715233">
        <w:t>. It</w:t>
      </w:r>
      <w:r w:rsidR="000B6A4B" w:rsidRPr="000B6A4B">
        <w:t xml:space="preserve"> </w:t>
      </w:r>
      <w:r w:rsidRPr="000B6A4B">
        <w:t>limit</w:t>
      </w:r>
      <w:r w:rsidR="00715233">
        <w:t>s</w:t>
      </w:r>
      <w:r w:rsidRPr="000B6A4B">
        <w:t xml:space="preserve"> </w:t>
      </w:r>
      <w:r w:rsidR="000B6A4B" w:rsidRPr="000B6A4B">
        <w:t>access</w:t>
      </w:r>
      <w:r w:rsidRPr="000B6A4B">
        <w:t xml:space="preserve"> to </w:t>
      </w:r>
      <w:r w:rsidR="000B6A4B" w:rsidRPr="000B6A4B">
        <w:t xml:space="preserve">individual urban excise areas to one operator </w:t>
      </w:r>
      <w:r w:rsidR="00C91963">
        <w:t>per</w:t>
      </w:r>
      <w:r w:rsidR="00AD419E">
        <w:t xml:space="preserve"> frequency</w:t>
      </w:r>
      <w:r w:rsidR="000B6A4B" w:rsidRPr="000B6A4B">
        <w:t xml:space="preserve"> </w:t>
      </w:r>
      <w:r w:rsidR="00C91963">
        <w:t xml:space="preserve">segment </w:t>
      </w:r>
      <w:r w:rsidR="000B6A4B" w:rsidRPr="000B6A4B">
        <w:t>to minimise dead</w:t>
      </w:r>
      <w:r w:rsidR="000B6A4B">
        <w:t xml:space="preserve"> </w:t>
      </w:r>
      <w:r w:rsidR="000B6A4B" w:rsidRPr="000B6A4B">
        <w:t>zones</w:t>
      </w:r>
      <w:r w:rsidRPr="000B6A4B">
        <w:t xml:space="preserve">. </w:t>
      </w:r>
      <w:r w:rsidR="003164E7">
        <w:t xml:space="preserve">This </w:t>
      </w:r>
      <w:r w:rsidR="00715233">
        <w:t xml:space="preserve">incorporates </w:t>
      </w:r>
      <w:r w:rsidR="003164E7">
        <w:t>support for the use of an exclusive licensing model via the issue</w:t>
      </w:r>
      <w:r w:rsidR="00BD1D68">
        <w:t xml:space="preserve"> of</w:t>
      </w:r>
      <w:r w:rsidR="003164E7">
        <w:t xml:space="preserve"> spectrum licences. </w:t>
      </w:r>
      <w:r w:rsidRPr="000B6A4B">
        <w:t>AMTA, Optus and Telstra</w:t>
      </w:r>
      <w:r w:rsidR="000C3AE6">
        <w:t xml:space="preserve"> (collectively referred to as</w:t>
      </w:r>
      <w:r w:rsidR="00BD1D68">
        <w:t xml:space="preserve"> the</w:t>
      </w:r>
      <w:r w:rsidR="000C3AE6">
        <w:t xml:space="preserve"> mobile broadband industry)</w:t>
      </w:r>
      <w:r w:rsidR="00E776E3">
        <w:t xml:space="preserve"> </w:t>
      </w:r>
      <w:r w:rsidR="00E776E3" w:rsidRPr="000B6A4B">
        <w:t>supported this approach</w:t>
      </w:r>
      <w:r w:rsidR="004B0F44" w:rsidRPr="000B6A4B">
        <w:t xml:space="preserve">. </w:t>
      </w:r>
    </w:p>
    <w:p w14:paraId="75CE7B74" w14:textId="4F761975" w:rsidR="004B0F44" w:rsidRPr="000B6A4B" w:rsidRDefault="003A1D65" w:rsidP="004453CF">
      <w:pPr>
        <w:pStyle w:val="Bulletlevel1last"/>
      </w:pPr>
      <w:r w:rsidRPr="007863A7">
        <w:rPr>
          <w:u w:val="single"/>
        </w:rPr>
        <w:t>Do not support WBB use</w:t>
      </w:r>
      <w:r>
        <w:t xml:space="preserve">: </w:t>
      </w:r>
      <w:r w:rsidR="00E776E3">
        <w:t>O</w:t>
      </w:r>
      <w:r w:rsidR="00EB7649" w:rsidRPr="000B6A4B">
        <w:t xml:space="preserve">ne </w:t>
      </w:r>
      <w:r w:rsidR="005F63A1" w:rsidRPr="000B6A4B">
        <w:t xml:space="preserve">confidential </w:t>
      </w:r>
      <w:r w:rsidR="00EB7649" w:rsidRPr="000B6A4B">
        <w:t>submission</w:t>
      </w:r>
      <w:r w:rsidR="00D41C2A">
        <w:t>,</w:t>
      </w:r>
      <w:r w:rsidR="00EB7649" w:rsidRPr="000B6A4B">
        <w:t xml:space="preserve"> </w:t>
      </w:r>
      <w:r w:rsidR="009A39A2" w:rsidRPr="000B6A4B">
        <w:t>from</w:t>
      </w:r>
      <w:r w:rsidR="005F63A1" w:rsidRPr="000B6A4B">
        <w:t xml:space="preserve"> a</w:t>
      </w:r>
      <w:r w:rsidR="009A39A2" w:rsidRPr="000B6A4B">
        <w:t xml:space="preserve"> member of the public</w:t>
      </w:r>
      <w:r w:rsidR="00D41C2A">
        <w:t>,</w:t>
      </w:r>
      <w:r w:rsidR="009A39A2" w:rsidRPr="000B6A4B">
        <w:t xml:space="preserve"> did not support WBB services</w:t>
      </w:r>
      <w:r w:rsidR="005F63A1" w:rsidRPr="000B6A4B">
        <w:t xml:space="preserve"> being deployed</w:t>
      </w:r>
      <w:r w:rsidR="009A39A2" w:rsidRPr="000B6A4B">
        <w:t xml:space="preserve"> </w:t>
      </w:r>
      <w:r w:rsidR="003542B3">
        <w:t xml:space="preserve">using the 3400-3475 MHz band in </w:t>
      </w:r>
      <w:r w:rsidR="009A39A2" w:rsidRPr="000B6A4B">
        <w:t>urban excise areas.</w:t>
      </w:r>
    </w:p>
    <w:p w14:paraId="3FB27FAE" w14:textId="3DD9185E" w:rsidR="0039322F" w:rsidRPr="0039322F" w:rsidRDefault="0039322F" w:rsidP="0039322F">
      <w:pPr>
        <w:pStyle w:val="Paragraph"/>
        <w:spacing w:after="0"/>
        <w:rPr>
          <w:b/>
          <w:bCs/>
          <w:i/>
          <w:iCs/>
        </w:rPr>
      </w:pPr>
      <w:r w:rsidRPr="0039322F">
        <w:rPr>
          <w:b/>
          <w:bCs/>
          <w:i/>
          <w:iCs/>
          <w:szCs w:val="20"/>
        </w:rPr>
        <w:t>Support for a restricted cell model</w:t>
      </w:r>
    </w:p>
    <w:p w14:paraId="2E57C905" w14:textId="25EC2979" w:rsidR="000B6A4B" w:rsidRDefault="0015203B" w:rsidP="000C1B75">
      <w:pPr>
        <w:pStyle w:val="Paragraph"/>
      </w:pPr>
      <w:r>
        <w:t>NBN Co</w:t>
      </w:r>
      <w:r w:rsidR="0053110E">
        <w:t xml:space="preserve"> </w:t>
      </w:r>
      <w:r w:rsidR="00F73AAA">
        <w:t>considered</w:t>
      </w:r>
      <w:r w:rsidR="0053110E">
        <w:t xml:space="preserve"> the macro cell model in Option</w:t>
      </w:r>
      <w:r w:rsidR="00F738C3">
        <w:t>s</w:t>
      </w:r>
      <w:r w:rsidR="0053110E">
        <w:t xml:space="preserve"> 1 and 4 presented a greater risk of interference. </w:t>
      </w:r>
      <w:r w:rsidR="00AF51FC">
        <w:t>For this reason, NBN</w:t>
      </w:r>
      <w:r w:rsidR="009F47FB">
        <w:t> </w:t>
      </w:r>
      <w:r w:rsidR="00AF51FC">
        <w:t>Co believed the restricted cell model under Option</w:t>
      </w:r>
      <w:r w:rsidR="00F738C3">
        <w:t>s</w:t>
      </w:r>
      <w:r w:rsidR="00AF51FC">
        <w:t xml:space="preserve"> 2 or 3 </w:t>
      </w:r>
      <w:r w:rsidR="008E2A3A">
        <w:t xml:space="preserve">would </w:t>
      </w:r>
      <w:r w:rsidR="00AF51FC">
        <w:t>provide the most effective and appropriate co-existence protections.</w:t>
      </w:r>
      <w:r w:rsidR="000B6A4B">
        <w:t xml:space="preserve"> </w:t>
      </w:r>
      <w:r w:rsidR="005C3B17">
        <w:t xml:space="preserve">NBN Co indicated </w:t>
      </w:r>
      <w:r w:rsidR="00715233">
        <w:t xml:space="preserve">it </w:t>
      </w:r>
      <w:r w:rsidR="005C3B17">
        <w:t>could support Option 4 if no macro cell deployments are permitted in the 3800</w:t>
      </w:r>
      <w:r w:rsidR="00E95AC8">
        <w:t>–</w:t>
      </w:r>
      <w:r w:rsidR="005C3B17">
        <w:t xml:space="preserve">4000 MHz </w:t>
      </w:r>
      <w:proofErr w:type="gramStart"/>
      <w:r w:rsidR="005C3B17">
        <w:t>band</w:t>
      </w:r>
      <w:r w:rsidR="00275CE7">
        <w:t>,</w:t>
      </w:r>
      <w:r w:rsidR="00DE1299">
        <w:t xml:space="preserve"> and</w:t>
      </w:r>
      <w:proofErr w:type="gramEnd"/>
      <w:r w:rsidR="00DE1299">
        <w:t xml:space="preserve"> provided </w:t>
      </w:r>
      <w:r w:rsidR="00715233">
        <w:t>its</w:t>
      </w:r>
      <w:r w:rsidR="00DE1299">
        <w:t xml:space="preserve"> current and future deployments can operate interference</w:t>
      </w:r>
      <w:r w:rsidR="00BD1D68">
        <w:t>-</w:t>
      </w:r>
      <w:r w:rsidR="00DE1299">
        <w:t>free</w:t>
      </w:r>
      <w:r w:rsidR="005C3B17">
        <w:t>.</w:t>
      </w:r>
      <w:r w:rsidR="00EE7909">
        <w:t xml:space="preserve"> </w:t>
      </w:r>
    </w:p>
    <w:p w14:paraId="4DF2570E" w14:textId="31E70DCF" w:rsidR="00DE1299" w:rsidRDefault="00DE1299" w:rsidP="00DE1299">
      <w:pPr>
        <w:pStyle w:val="Paragraph"/>
      </w:pPr>
      <w:r w:rsidRPr="000B6A4B">
        <w:t>NBN Co</w:t>
      </w:r>
      <w:r>
        <w:t xml:space="preserve"> stated that any outcome needs to protect </w:t>
      </w:r>
      <w:r w:rsidR="00715233">
        <w:t>its</w:t>
      </w:r>
      <w:r>
        <w:t xml:space="preserve"> existing and planned services and ensure </w:t>
      </w:r>
      <w:r w:rsidR="00275CE7">
        <w:t xml:space="preserve">that </w:t>
      </w:r>
      <w:r w:rsidR="00715233">
        <w:t xml:space="preserve">it is </w:t>
      </w:r>
      <w:r>
        <w:t xml:space="preserve">not unreasonably constrained in </w:t>
      </w:r>
      <w:r w:rsidR="00715233">
        <w:t xml:space="preserve">its </w:t>
      </w:r>
      <w:r>
        <w:t xml:space="preserve">ability to deploy new technologies to meet future capacity growth. </w:t>
      </w:r>
      <w:r w:rsidR="00715233">
        <w:t xml:space="preserve">It </w:t>
      </w:r>
      <w:r>
        <w:t>indicated that of the</w:t>
      </w:r>
      <w:r w:rsidR="00275CE7">
        <w:t>ir</w:t>
      </w:r>
      <w:r>
        <w:t xml:space="preserve"> 2200 sites offering services, 600 directly adjacent to urban excise areas are solely reliant on spectrum in the 3400</w:t>
      </w:r>
      <w:r w:rsidR="00E95AC8">
        <w:t>–</w:t>
      </w:r>
      <w:r>
        <w:t xml:space="preserve">3475 MHz band. While </w:t>
      </w:r>
      <w:r w:rsidR="00715233">
        <w:t xml:space="preserve">NBN Co </w:t>
      </w:r>
      <w:r>
        <w:t xml:space="preserve">indicated that </w:t>
      </w:r>
      <w:r w:rsidR="00715233">
        <w:t>it</w:t>
      </w:r>
      <w:r>
        <w:t xml:space="preserve"> also held </w:t>
      </w:r>
      <w:r>
        <w:lastRenderedPageBreak/>
        <w:t>28</w:t>
      </w:r>
      <w:r w:rsidR="00E95AC8">
        <w:t> </w:t>
      </w:r>
      <w:r>
        <w:t>GHz spectrum in these areas, these services would still rely on 3400</w:t>
      </w:r>
      <w:r w:rsidR="00E95AC8">
        <w:t>–</w:t>
      </w:r>
      <w:r>
        <w:t>3475 MHz spectrum as an anchor layer.</w:t>
      </w:r>
    </w:p>
    <w:p w14:paraId="70CB7E78" w14:textId="08097D4B" w:rsidR="008E2A3A" w:rsidRDefault="00CE24AD" w:rsidP="008E2A3A">
      <w:pPr>
        <w:pStyle w:val="Paragraph"/>
      </w:pPr>
      <w:r>
        <w:t xml:space="preserve">Private WBB </w:t>
      </w:r>
      <w:r w:rsidR="007F082B">
        <w:t>submissions</w:t>
      </w:r>
      <w:r w:rsidR="00513DBB">
        <w:t xml:space="preserve"> primarily</w:t>
      </w:r>
      <w:r w:rsidR="003A1D65">
        <w:t xml:space="preserve"> </w:t>
      </w:r>
      <w:r w:rsidR="00D73CC9">
        <w:t>indicated</w:t>
      </w:r>
      <w:r w:rsidR="003A1D65">
        <w:t xml:space="preserve"> support for Option 3</w:t>
      </w:r>
      <w:r w:rsidR="00513DBB">
        <w:t xml:space="preserve"> as it will </w:t>
      </w:r>
      <w:r w:rsidR="00262547" w:rsidRPr="00262547">
        <w:t>assist industry to create and supply markets for private and enterprise wireless broadband solutions.</w:t>
      </w:r>
      <w:r w:rsidR="003A1D65">
        <w:t xml:space="preserve"> </w:t>
      </w:r>
      <w:r w:rsidR="00275CE7">
        <w:t>Some, however, also</w:t>
      </w:r>
      <w:r w:rsidR="00513DBB">
        <w:t xml:space="preserve"> </w:t>
      </w:r>
      <w:r w:rsidR="003A1D65">
        <w:t>support</w:t>
      </w:r>
      <w:r w:rsidR="00D73CC9">
        <w:t>ed</w:t>
      </w:r>
      <w:r w:rsidR="003A1D65">
        <w:t xml:space="preserve"> Option 2</w:t>
      </w:r>
      <w:r w:rsidR="00262547">
        <w:t>.</w:t>
      </w:r>
      <w:r w:rsidR="00907B95">
        <w:t xml:space="preserve"> </w:t>
      </w:r>
      <w:r w:rsidR="00262547">
        <w:t xml:space="preserve">Some </w:t>
      </w:r>
      <w:r w:rsidR="008E2A3A">
        <w:t xml:space="preserve">submissions indicated </w:t>
      </w:r>
      <w:r w:rsidR="00262547">
        <w:t>support</w:t>
      </w:r>
      <w:r w:rsidR="008E2A3A">
        <w:t xml:space="preserve"> for</w:t>
      </w:r>
      <w:r w:rsidR="00262547">
        <w:t xml:space="preserve"> Option 4 as a fallback option</w:t>
      </w:r>
      <w:r w:rsidR="00275CE7">
        <w:t>,</w:t>
      </w:r>
      <w:r w:rsidR="00262547">
        <w:t xml:space="preserve"> provided Option 3 is implemented in the upper 15 </w:t>
      </w:r>
      <w:proofErr w:type="spellStart"/>
      <w:r w:rsidR="00262547">
        <w:t>MHz.</w:t>
      </w:r>
      <w:proofErr w:type="spellEnd"/>
      <w:r w:rsidR="003A1D65">
        <w:t xml:space="preserve"> </w:t>
      </w:r>
      <w:r w:rsidR="008E2A3A">
        <w:t>DB Telecoms</w:t>
      </w:r>
      <w:r w:rsidR="008E2A3A" w:rsidDel="00292D81">
        <w:t xml:space="preserve"> </w:t>
      </w:r>
      <w:r w:rsidR="00292D81">
        <w:t xml:space="preserve">also </w:t>
      </w:r>
      <w:r w:rsidR="008E2A3A">
        <w:t xml:space="preserve">suggested </w:t>
      </w:r>
      <w:r w:rsidR="00715233">
        <w:t>it</w:t>
      </w:r>
      <w:r w:rsidR="008E2A3A">
        <w:t xml:space="preserve"> could support Option 4 if no macro cell deployments are supported in the 3800</w:t>
      </w:r>
      <w:r w:rsidR="00E95AC8">
        <w:t>–</w:t>
      </w:r>
      <w:r w:rsidR="008E2A3A">
        <w:t xml:space="preserve">4000 MHz band. </w:t>
      </w:r>
    </w:p>
    <w:p w14:paraId="7C0ECCCE" w14:textId="3EE5274F" w:rsidR="00907B95" w:rsidRDefault="004E5BB2" w:rsidP="004453CF">
      <w:pPr>
        <w:pStyle w:val="Paragraphbeforelist"/>
      </w:pPr>
      <w:r>
        <w:t>The r</w:t>
      </w:r>
      <w:r w:rsidR="00907B95">
        <w:t xml:space="preserve">easons </w:t>
      </w:r>
      <w:r w:rsidR="008E2A3A">
        <w:t xml:space="preserve">private WBB </w:t>
      </w:r>
      <w:r w:rsidR="007F082B">
        <w:t>submissions</w:t>
      </w:r>
      <w:r w:rsidR="008E2A3A">
        <w:t xml:space="preserve"> gave </w:t>
      </w:r>
      <w:r w:rsidR="00907B95">
        <w:t>for their preferred option were:</w:t>
      </w:r>
    </w:p>
    <w:p w14:paraId="6F694759" w14:textId="6F185779" w:rsidR="00907B95" w:rsidRDefault="00907B95" w:rsidP="004453CF">
      <w:pPr>
        <w:pStyle w:val="Bulletlevel1"/>
      </w:pPr>
      <w:r>
        <w:t>T</w:t>
      </w:r>
      <w:r w:rsidR="00CE24AD">
        <w:t>he ACMA’s preferred approach favour</w:t>
      </w:r>
      <w:r w:rsidR="003A1D65">
        <w:t xml:space="preserve">ed MNOs and such an </w:t>
      </w:r>
      <w:r w:rsidR="00CE24AD" w:rsidRPr="00AB00ED">
        <w:t>outcome would not result in ‘new WBB services’ being deployed</w:t>
      </w:r>
      <w:r w:rsidR="004E5BB2">
        <w:t>,</w:t>
      </w:r>
      <w:r w:rsidR="00CE24AD">
        <w:t xml:space="preserve"> as stated in desirable planning </w:t>
      </w:r>
      <w:r w:rsidR="001D520D">
        <w:t>O</w:t>
      </w:r>
      <w:r w:rsidR="00CE24AD">
        <w:t>utcome (</w:t>
      </w:r>
      <w:r w:rsidR="008E2A3A">
        <w:t>4</w:t>
      </w:r>
      <w:r w:rsidR="00CE24AD">
        <w:t>)</w:t>
      </w:r>
      <w:r w:rsidR="00CE24AD" w:rsidRPr="00AB00ED">
        <w:t xml:space="preserve">, only more capacity </w:t>
      </w:r>
      <w:r w:rsidR="003A1D65">
        <w:t xml:space="preserve">for </w:t>
      </w:r>
      <w:r w:rsidR="00CE24AD">
        <w:t>MNOs</w:t>
      </w:r>
      <w:r w:rsidR="00CE24AD" w:rsidRPr="00AB00ED">
        <w:t xml:space="preserve">. </w:t>
      </w:r>
      <w:r w:rsidR="004E5BB2">
        <w:t>Further,</w:t>
      </w:r>
      <w:r w:rsidR="00CE24AD">
        <w:t xml:space="preserve"> if Option 3 were implemented, it would </w:t>
      </w:r>
      <w:r w:rsidR="004E5BB2">
        <w:t>create</w:t>
      </w:r>
      <w:r w:rsidR="00CE24AD">
        <w:t xml:space="preserve"> opportunities for </w:t>
      </w:r>
      <w:r w:rsidR="00CE24AD" w:rsidRPr="00403DE7">
        <w:t xml:space="preserve">more operators </w:t>
      </w:r>
      <w:r w:rsidR="005F3676">
        <w:t xml:space="preserve">to </w:t>
      </w:r>
      <w:r w:rsidR="00CE24AD" w:rsidRPr="00403DE7">
        <w:t xml:space="preserve">design systems to meet the specific needs of the user’s industry, in preference to the ‘one size fits all’ </w:t>
      </w:r>
      <w:r w:rsidR="00CE24AD">
        <w:t>model provided by MNOs.</w:t>
      </w:r>
      <w:r w:rsidR="003A1D65">
        <w:t xml:space="preserve"> </w:t>
      </w:r>
      <w:r w:rsidR="003443C5">
        <w:rPr>
          <w:szCs w:val="20"/>
        </w:rPr>
        <w:t xml:space="preserve">This would enable the adoption of new technologies by industry to support IoT, ITS, smart cities, smart utility applications and other Industry 4.0 </w:t>
      </w:r>
      <w:r w:rsidR="003443C5">
        <w:t xml:space="preserve">opportunities. The end result </w:t>
      </w:r>
      <w:r w:rsidR="00292D81">
        <w:t xml:space="preserve">of this would </w:t>
      </w:r>
      <w:r w:rsidR="003443C5">
        <w:t>be greater economic outputs and an increase to Australia’s competitiveness in the global marketplace</w:t>
      </w:r>
      <w:r w:rsidR="003443C5">
        <w:rPr>
          <w:szCs w:val="20"/>
        </w:rPr>
        <w:t>.</w:t>
      </w:r>
    </w:p>
    <w:p w14:paraId="03425568" w14:textId="05A6136E" w:rsidR="00907B95" w:rsidRDefault="00907B95" w:rsidP="004453CF">
      <w:pPr>
        <w:pStyle w:val="Bulletlevel1"/>
      </w:pPr>
      <w:r>
        <w:rPr>
          <w:szCs w:val="20"/>
        </w:rPr>
        <w:t>U</w:t>
      </w:r>
      <w:r w:rsidR="004E076D" w:rsidRPr="00907B95">
        <w:rPr>
          <w:szCs w:val="20"/>
        </w:rPr>
        <w:t xml:space="preserve">nder </w:t>
      </w:r>
      <w:r>
        <w:rPr>
          <w:szCs w:val="20"/>
        </w:rPr>
        <w:t xml:space="preserve">the restricted cell model of </w:t>
      </w:r>
      <w:r w:rsidR="003443C5" w:rsidRPr="00907B95">
        <w:rPr>
          <w:szCs w:val="20"/>
        </w:rPr>
        <w:t>Option</w:t>
      </w:r>
      <w:r>
        <w:rPr>
          <w:szCs w:val="20"/>
        </w:rPr>
        <w:t>s</w:t>
      </w:r>
      <w:r w:rsidR="003443C5" w:rsidRPr="00907B95">
        <w:rPr>
          <w:szCs w:val="20"/>
        </w:rPr>
        <w:t xml:space="preserve"> </w:t>
      </w:r>
      <w:r>
        <w:rPr>
          <w:szCs w:val="20"/>
        </w:rPr>
        <w:t xml:space="preserve">2 </w:t>
      </w:r>
      <w:r w:rsidR="004607F2">
        <w:rPr>
          <w:szCs w:val="20"/>
        </w:rPr>
        <w:t>and</w:t>
      </w:r>
      <w:r>
        <w:rPr>
          <w:szCs w:val="20"/>
        </w:rPr>
        <w:t xml:space="preserve"> </w:t>
      </w:r>
      <w:r w:rsidR="003443C5" w:rsidRPr="00907B95">
        <w:rPr>
          <w:szCs w:val="20"/>
        </w:rPr>
        <w:t>3</w:t>
      </w:r>
      <w:r>
        <w:rPr>
          <w:szCs w:val="20"/>
        </w:rPr>
        <w:t>,</w:t>
      </w:r>
      <w:r w:rsidR="003443C5" w:rsidRPr="00907B95">
        <w:rPr>
          <w:szCs w:val="20"/>
        </w:rPr>
        <w:t xml:space="preserve"> </w:t>
      </w:r>
      <w:r w:rsidR="00250FAF" w:rsidRPr="00907B95">
        <w:rPr>
          <w:szCs w:val="20"/>
        </w:rPr>
        <w:t xml:space="preserve">interference </w:t>
      </w:r>
      <w:r w:rsidR="004E076D" w:rsidRPr="00907B95">
        <w:rPr>
          <w:szCs w:val="20"/>
        </w:rPr>
        <w:t>into NBN Co</w:t>
      </w:r>
      <w:r w:rsidR="00A01748" w:rsidRPr="00907B95">
        <w:rPr>
          <w:szCs w:val="20"/>
        </w:rPr>
        <w:t xml:space="preserve"> </w:t>
      </w:r>
      <w:r w:rsidR="00262547" w:rsidRPr="00907B95">
        <w:rPr>
          <w:szCs w:val="20"/>
        </w:rPr>
        <w:t>services</w:t>
      </w:r>
      <w:r w:rsidR="004E076D" w:rsidRPr="00907B95">
        <w:rPr>
          <w:szCs w:val="20"/>
        </w:rPr>
        <w:t xml:space="preserve"> and adjacent band spectrum licen</w:t>
      </w:r>
      <w:r w:rsidR="004607F2">
        <w:rPr>
          <w:szCs w:val="20"/>
        </w:rPr>
        <w:t>c</w:t>
      </w:r>
      <w:r w:rsidR="004E076D" w:rsidRPr="00907B95">
        <w:rPr>
          <w:szCs w:val="20"/>
        </w:rPr>
        <w:t>e</w:t>
      </w:r>
      <w:r w:rsidR="005D30AE" w:rsidRPr="00907B95">
        <w:rPr>
          <w:szCs w:val="20"/>
        </w:rPr>
        <w:t>s</w:t>
      </w:r>
      <w:r w:rsidR="004E076D" w:rsidRPr="00907B95">
        <w:rPr>
          <w:szCs w:val="20"/>
        </w:rPr>
        <w:t xml:space="preserve"> would be minimised and </w:t>
      </w:r>
      <w:r w:rsidR="00A01748" w:rsidRPr="00907B95">
        <w:rPr>
          <w:szCs w:val="20"/>
        </w:rPr>
        <w:t>simpler</w:t>
      </w:r>
      <w:r w:rsidR="004E076D" w:rsidRPr="00907B95">
        <w:rPr>
          <w:szCs w:val="20"/>
        </w:rPr>
        <w:t xml:space="preserve"> to manage. This is due to the lower power of services and typical location of devices below the clutter</w:t>
      </w:r>
      <w:r w:rsidR="005D30AE" w:rsidRPr="00907B95">
        <w:rPr>
          <w:szCs w:val="20"/>
        </w:rPr>
        <w:t xml:space="preserve"> </w:t>
      </w:r>
      <w:r w:rsidR="004607F2">
        <w:rPr>
          <w:szCs w:val="20"/>
        </w:rPr>
        <w:t>(i.e.</w:t>
      </w:r>
      <w:r w:rsidR="001D520D">
        <w:rPr>
          <w:szCs w:val="20"/>
        </w:rPr>
        <w:t>,</w:t>
      </w:r>
      <w:r w:rsidR="004607F2">
        <w:rPr>
          <w:szCs w:val="20"/>
        </w:rPr>
        <w:t xml:space="preserve"> trees and buildings) </w:t>
      </w:r>
      <w:r w:rsidR="005D30AE" w:rsidRPr="00907B95">
        <w:rPr>
          <w:szCs w:val="20"/>
        </w:rPr>
        <w:t>or indoors</w:t>
      </w:r>
      <w:r w:rsidR="004E076D" w:rsidRPr="00907B95">
        <w:rPr>
          <w:szCs w:val="20"/>
        </w:rPr>
        <w:t xml:space="preserve">, </w:t>
      </w:r>
      <w:r w:rsidR="00292D81">
        <w:rPr>
          <w:szCs w:val="20"/>
        </w:rPr>
        <w:t>all of which</w:t>
      </w:r>
      <w:r w:rsidR="00AD419E">
        <w:rPr>
          <w:szCs w:val="20"/>
        </w:rPr>
        <w:t xml:space="preserve"> </w:t>
      </w:r>
      <w:r w:rsidR="004E5BB2">
        <w:rPr>
          <w:szCs w:val="20"/>
        </w:rPr>
        <w:t>reduc</w:t>
      </w:r>
      <w:r w:rsidR="00AD419E">
        <w:rPr>
          <w:szCs w:val="20"/>
        </w:rPr>
        <w:t>e</w:t>
      </w:r>
      <w:r w:rsidR="004E076D" w:rsidRPr="00907B95">
        <w:rPr>
          <w:szCs w:val="20"/>
        </w:rPr>
        <w:t xml:space="preserve"> the impact of interference due to ducting as well. Some respondents commented that the propose</w:t>
      </w:r>
      <w:r w:rsidR="005D30AE" w:rsidRPr="00907B95">
        <w:rPr>
          <w:szCs w:val="20"/>
        </w:rPr>
        <w:t>d</w:t>
      </w:r>
      <w:r w:rsidR="004E076D" w:rsidRPr="00907B95">
        <w:rPr>
          <w:szCs w:val="20"/>
        </w:rPr>
        <w:t xml:space="preserve"> </w:t>
      </w:r>
      <w:r w:rsidR="005D30AE" w:rsidRPr="00907B95">
        <w:rPr>
          <w:szCs w:val="20"/>
        </w:rPr>
        <w:t>arrangements</w:t>
      </w:r>
      <w:r w:rsidR="004E076D" w:rsidRPr="00907B95">
        <w:rPr>
          <w:szCs w:val="20"/>
        </w:rPr>
        <w:t xml:space="preserve"> for Option 3 </w:t>
      </w:r>
      <w:r w:rsidR="005D30AE" w:rsidRPr="00907B95">
        <w:rPr>
          <w:szCs w:val="20"/>
        </w:rPr>
        <w:t xml:space="preserve">could be implemented in such </w:t>
      </w:r>
      <w:r w:rsidR="00292D81">
        <w:rPr>
          <w:szCs w:val="20"/>
        </w:rPr>
        <w:t xml:space="preserve">a way </w:t>
      </w:r>
      <w:r w:rsidR="005D30AE" w:rsidRPr="00907B95">
        <w:rPr>
          <w:szCs w:val="20"/>
        </w:rPr>
        <w:t xml:space="preserve">that there was minimal or no interference to other localised WBB operators. </w:t>
      </w:r>
      <w:r w:rsidR="00A01748" w:rsidRPr="00907B95">
        <w:rPr>
          <w:szCs w:val="20"/>
        </w:rPr>
        <w:t>A</w:t>
      </w:r>
      <w:r w:rsidR="005D30AE" w:rsidRPr="00907B95">
        <w:rPr>
          <w:szCs w:val="20"/>
        </w:rPr>
        <w:t>s an example</w:t>
      </w:r>
      <w:r w:rsidR="00A01748" w:rsidRPr="00907B95">
        <w:rPr>
          <w:szCs w:val="20"/>
        </w:rPr>
        <w:t>,</w:t>
      </w:r>
      <w:r w:rsidR="005D30AE" w:rsidRPr="00907B95">
        <w:rPr>
          <w:szCs w:val="20"/>
        </w:rPr>
        <w:t xml:space="preserve"> </w:t>
      </w:r>
      <w:r w:rsidR="00A01748" w:rsidRPr="00907B95">
        <w:rPr>
          <w:szCs w:val="20"/>
        </w:rPr>
        <w:t xml:space="preserve">it was highlighted that </w:t>
      </w:r>
      <w:r w:rsidR="005D30AE" w:rsidRPr="00907B95">
        <w:rPr>
          <w:szCs w:val="20"/>
        </w:rPr>
        <w:t xml:space="preserve">similar </w:t>
      </w:r>
      <w:r w:rsidR="00A01748" w:rsidRPr="00907B95">
        <w:rPr>
          <w:szCs w:val="20"/>
        </w:rPr>
        <w:t>arrangements are in place</w:t>
      </w:r>
      <w:r w:rsidR="003A2913">
        <w:rPr>
          <w:szCs w:val="20"/>
        </w:rPr>
        <w:t>, or planned to be put in place</w:t>
      </w:r>
      <w:r w:rsidR="000A24A8">
        <w:rPr>
          <w:szCs w:val="20"/>
        </w:rPr>
        <w:t xml:space="preserve"> in mid-band spectrum</w:t>
      </w:r>
      <w:r w:rsidR="003A2913">
        <w:rPr>
          <w:szCs w:val="20"/>
        </w:rPr>
        <w:t xml:space="preserve">, </w:t>
      </w:r>
      <w:r w:rsidR="005D30AE" w:rsidRPr="00907B95">
        <w:rPr>
          <w:szCs w:val="20"/>
        </w:rPr>
        <w:t xml:space="preserve">in </w:t>
      </w:r>
      <w:r w:rsidR="003A2913">
        <w:rPr>
          <w:szCs w:val="20"/>
        </w:rPr>
        <w:t xml:space="preserve">the United States of America, Canada, parts of Europe and </w:t>
      </w:r>
      <w:r w:rsidR="00976D2F">
        <w:rPr>
          <w:szCs w:val="20"/>
        </w:rPr>
        <w:t>parts of Asia</w:t>
      </w:r>
      <w:r w:rsidR="00A01748">
        <w:t>.</w:t>
      </w:r>
      <w:r w:rsidR="004E076D" w:rsidRPr="00907B95">
        <w:rPr>
          <w:szCs w:val="20"/>
        </w:rPr>
        <w:t xml:space="preserve"> </w:t>
      </w:r>
    </w:p>
    <w:p w14:paraId="10D82700" w14:textId="6EC55329" w:rsidR="00FA2334" w:rsidRDefault="00F73AAA" w:rsidP="004453CF">
      <w:pPr>
        <w:pStyle w:val="Bulletlevel1"/>
      </w:pPr>
      <w:r>
        <w:rPr>
          <w:szCs w:val="20"/>
        </w:rPr>
        <w:t xml:space="preserve">The ACMA had not placed sufficient </w:t>
      </w:r>
      <w:r w:rsidR="00262547" w:rsidRPr="00907B95">
        <w:rPr>
          <w:szCs w:val="20"/>
        </w:rPr>
        <w:t xml:space="preserve">weight </w:t>
      </w:r>
      <w:r>
        <w:rPr>
          <w:szCs w:val="20"/>
        </w:rPr>
        <w:t xml:space="preserve">on the disadvantages </w:t>
      </w:r>
      <w:r w:rsidR="00907B95">
        <w:t xml:space="preserve">associated with a </w:t>
      </w:r>
      <w:r w:rsidR="00262547">
        <w:t>macro-cell option</w:t>
      </w:r>
      <w:r w:rsidR="00FE38AE">
        <w:t xml:space="preserve">. </w:t>
      </w:r>
      <w:r w:rsidR="004E5BB2">
        <w:t xml:space="preserve">These </w:t>
      </w:r>
      <w:r w:rsidR="00FE38AE">
        <w:t>include</w:t>
      </w:r>
      <w:r w:rsidR="00FA2334">
        <w:t>:</w:t>
      </w:r>
      <w:r w:rsidR="00FE38AE">
        <w:t xml:space="preserve"> </w:t>
      </w:r>
    </w:p>
    <w:p w14:paraId="5AF86C73" w14:textId="5F5DBEC9" w:rsidR="00907B95" w:rsidRDefault="00FA2334" w:rsidP="004453CF">
      <w:pPr>
        <w:pStyle w:val="Bulletlevel2"/>
      </w:pPr>
      <w:r>
        <w:t>T</w:t>
      </w:r>
      <w:r w:rsidR="00FE38AE">
        <w:t xml:space="preserve">he increased interference risk to NBN Co services </w:t>
      </w:r>
      <w:r w:rsidR="00811B2A">
        <w:t xml:space="preserve">and resulting detriment </w:t>
      </w:r>
      <w:r w:rsidR="00FE38AE">
        <w:t xml:space="preserve">of </w:t>
      </w:r>
      <w:r w:rsidR="00BD3264">
        <w:t xml:space="preserve">their </w:t>
      </w:r>
      <w:r w:rsidR="00FE38AE">
        <w:t>end users</w:t>
      </w:r>
      <w:r w:rsidR="00262547">
        <w:t>.</w:t>
      </w:r>
      <w:r w:rsidR="00FE38AE">
        <w:t xml:space="preserve"> </w:t>
      </w:r>
      <w:r w:rsidR="00FE38AE" w:rsidRPr="00FA2334">
        <w:t xml:space="preserve">With a combination of NBN Co, retail providers and the ACMA all having limited resources and capacity to track down and manage interference, it was felt that anything other than the restricted-cell solution </w:t>
      </w:r>
      <w:r w:rsidR="00BD1D68">
        <w:t>wa</w:t>
      </w:r>
      <w:r w:rsidR="00FE38AE" w:rsidRPr="00FA2334">
        <w:t xml:space="preserve">s fraught with </w:t>
      </w:r>
      <w:r w:rsidR="00F71D9A">
        <w:t xml:space="preserve">operational </w:t>
      </w:r>
      <w:r w:rsidR="00FE38AE" w:rsidRPr="00FA2334">
        <w:t xml:space="preserve">risks. </w:t>
      </w:r>
    </w:p>
    <w:p w14:paraId="2E871686" w14:textId="13E0A3C3" w:rsidR="00FA2334" w:rsidRPr="00907B95" w:rsidRDefault="006B1744" w:rsidP="004453CF">
      <w:pPr>
        <w:pStyle w:val="Bulletlevel2last"/>
      </w:pPr>
      <w:r>
        <w:t>The l</w:t>
      </w:r>
      <w:r w:rsidR="00FA2334">
        <w:t xml:space="preserve">imited ability of a macro cell model to cater for multiple wide-area </w:t>
      </w:r>
      <w:r w:rsidR="00A54F83">
        <w:t xml:space="preserve">WBB </w:t>
      </w:r>
      <w:r w:rsidR="00FA2334">
        <w:t xml:space="preserve">operators. This is because 60 MHz is the minimum usable amount of spectrum from an MNO </w:t>
      </w:r>
      <w:r w:rsidR="005C29D6">
        <w:t>perspective,</w:t>
      </w:r>
      <w:r w:rsidR="00292D81">
        <w:t xml:space="preserve"> and more is generally preferred</w:t>
      </w:r>
      <w:r w:rsidR="00FA2334">
        <w:t>.</w:t>
      </w:r>
      <w:r w:rsidR="00581C17">
        <w:t xml:space="preserve"> Given the amount of spectrum available in the 3400</w:t>
      </w:r>
      <w:r w:rsidR="001D520D">
        <w:t>–</w:t>
      </w:r>
      <w:r w:rsidR="00581C17">
        <w:t>3475 MHz band, it would only be useful for one operator.</w:t>
      </w:r>
    </w:p>
    <w:p w14:paraId="46263BCE" w14:textId="2F9727D6" w:rsidR="00AC1F54" w:rsidRDefault="0039322F" w:rsidP="00AC1F54">
      <w:pPr>
        <w:pStyle w:val="Paragraph"/>
        <w:spacing w:before="240" w:after="0"/>
        <w:rPr>
          <w:b/>
          <w:bCs/>
          <w:i/>
          <w:iCs/>
        </w:rPr>
      </w:pPr>
      <w:r w:rsidRPr="0039322F">
        <w:rPr>
          <w:b/>
          <w:bCs/>
          <w:i/>
          <w:iCs/>
          <w:szCs w:val="20"/>
        </w:rPr>
        <w:t xml:space="preserve">Support for a </w:t>
      </w:r>
      <w:r w:rsidR="00497B48">
        <w:rPr>
          <w:b/>
          <w:bCs/>
          <w:i/>
          <w:iCs/>
          <w:szCs w:val="20"/>
        </w:rPr>
        <w:t>macro</w:t>
      </w:r>
      <w:r w:rsidRPr="0039322F">
        <w:rPr>
          <w:b/>
          <w:bCs/>
          <w:i/>
          <w:iCs/>
          <w:szCs w:val="20"/>
        </w:rPr>
        <w:t xml:space="preserve"> cell model</w:t>
      </w:r>
    </w:p>
    <w:p w14:paraId="237305DF" w14:textId="64B7A891" w:rsidR="009279CB" w:rsidRDefault="001B041F" w:rsidP="00AC1F54">
      <w:pPr>
        <w:pStyle w:val="Paragraph"/>
      </w:pPr>
      <w:r>
        <w:t>Mobile industry submissions</w:t>
      </w:r>
      <w:r w:rsidR="00292D81">
        <w:t xml:space="preserve"> </w:t>
      </w:r>
      <w:r w:rsidR="00AC1F54">
        <w:t>generally supported the ACMA assessment of Option 4 against the desir</w:t>
      </w:r>
      <w:r w:rsidR="001C65FA">
        <w:t>abl</w:t>
      </w:r>
      <w:r w:rsidR="00AC1F54">
        <w:t xml:space="preserve">e planning outcomes. They </w:t>
      </w:r>
      <w:r w:rsidR="00FD2C16">
        <w:t>indicated support for Option 4</w:t>
      </w:r>
      <w:r w:rsidR="004F0E6F">
        <w:t>,</w:t>
      </w:r>
      <w:r w:rsidR="00FD2C16">
        <w:t xml:space="preserve"> provided Option 2 is implemented in the upper 15 </w:t>
      </w:r>
      <w:proofErr w:type="spellStart"/>
      <w:r w:rsidR="00FD2C16">
        <w:t>MHz.</w:t>
      </w:r>
      <w:proofErr w:type="spellEnd"/>
      <w:r w:rsidR="00FD2C16">
        <w:t xml:space="preserve"> Option 1 was stated as a second preference. </w:t>
      </w:r>
      <w:r>
        <w:t>Mobile industry submissions</w:t>
      </w:r>
      <w:r w:rsidR="00FD2C16">
        <w:t xml:space="preserve"> also </w:t>
      </w:r>
      <w:r w:rsidR="004F0E6F">
        <w:t xml:space="preserve">indicated that </w:t>
      </w:r>
      <w:r w:rsidR="00FD2C16">
        <w:t xml:space="preserve">they would not oppose the ‘no change’ option as it would enable </w:t>
      </w:r>
      <w:r w:rsidR="005C29D6">
        <w:t xml:space="preserve">the </w:t>
      </w:r>
      <w:r w:rsidR="00FD2C16">
        <w:t>ACMA and potential license</w:t>
      </w:r>
      <w:r w:rsidR="004607F2">
        <w:t>es</w:t>
      </w:r>
      <w:r w:rsidR="00FD2C16">
        <w:t xml:space="preserve"> more time to wait for interference management techniques to advance to a</w:t>
      </w:r>
      <w:r w:rsidR="004607F2">
        <w:t xml:space="preserve"> </w:t>
      </w:r>
      <w:r w:rsidR="00FD2C16">
        <w:t xml:space="preserve">point where macro cell deployments are more easily achieved. </w:t>
      </w:r>
      <w:r>
        <w:t>Mobile industry submissions</w:t>
      </w:r>
      <w:r w:rsidR="00111768">
        <w:t xml:space="preserve"> </w:t>
      </w:r>
      <w:r w:rsidR="004F0E6F">
        <w:t xml:space="preserve">were </w:t>
      </w:r>
      <w:r w:rsidR="00AC1F54">
        <w:t>strongly</w:t>
      </w:r>
      <w:r w:rsidR="00A54F83">
        <w:t xml:space="preserve"> opposed to </w:t>
      </w:r>
      <w:r w:rsidR="00AC1F54">
        <w:t>Option 3 and the lack of support for macro-cell deployments made Option 2 undesirable.</w:t>
      </w:r>
    </w:p>
    <w:p w14:paraId="768B6601" w14:textId="132E2A45" w:rsidR="00FD2C16" w:rsidRDefault="00E43589" w:rsidP="004453CF">
      <w:pPr>
        <w:pStyle w:val="Paragraphbeforelist"/>
        <w:keepNext/>
        <w:keepLines/>
      </w:pPr>
      <w:r>
        <w:lastRenderedPageBreak/>
        <w:t>R</w:t>
      </w:r>
      <w:r w:rsidR="00FD2C16">
        <w:t>easons given for their preferred option were:</w:t>
      </w:r>
    </w:p>
    <w:p w14:paraId="4DA69275" w14:textId="66A29157" w:rsidR="00FD2C16" w:rsidRDefault="003622A1" w:rsidP="004453CF">
      <w:pPr>
        <w:pStyle w:val="Paragraph"/>
        <w:keepNext/>
        <w:keepLines/>
        <w:numPr>
          <w:ilvl w:val="0"/>
          <w:numId w:val="32"/>
        </w:numPr>
        <w:spacing w:after="80"/>
        <w:ind w:left="284"/>
      </w:pPr>
      <w:r w:rsidRPr="00111768">
        <w:t>Mid-ba</w:t>
      </w:r>
      <w:r w:rsidR="00A54F83">
        <w:t>n</w:t>
      </w:r>
      <w:r w:rsidRPr="00111768">
        <w:t>d spectrum is scarce, and hence valuable</w:t>
      </w:r>
      <w:r>
        <w:t xml:space="preserve">. </w:t>
      </w:r>
      <w:r w:rsidRPr="00111768">
        <w:t>Due to its scarcity, it is vital the technical configuration is optimised to serve the greatest population with the greatest potential benefit.</w:t>
      </w:r>
      <w:r>
        <w:t xml:space="preserve"> </w:t>
      </w:r>
      <w:r w:rsidR="007726B8">
        <w:t>For this reason, t</w:t>
      </w:r>
      <w:r w:rsidR="00111768">
        <w:t>he ACMA s</w:t>
      </w:r>
      <w:r w:rsidR="009279CB">
        <w:t xml:space="preserve">hould avoid </w:t>
      </w:r>
      <w:r w:rsidR="006051B7">
        <w:t>mixing use cases (</w:t>
      </w:r>
      <w:r w:rsidR="004F0E6F">
        <w:t>e.g.,</w:t>
      </w:r>
      <w:r w:rsidR="006051B7">
        <w:t xml:space="preserve"> fixed WBB, mobile WBB, localised </w:t>
      </w:r>
      <w:r w:rsidR="00E17774">
        <w:t xml:space="preserve">WBB </w:t>
      </w:r>
      <w:r w:rsidR="006051B7">
        <w:t>deployments)</w:t>
      </w:r>
      <w:r w:rsidR="009279CB">
        <w:t xml:space="preserve"> in high demand areas. This </w:t>
      </w:r>
      <w:r w:rsidR="00540D3F">
        <w:t>can lead to greater spectrum denial and under-utilisation (</w:t>
      </w:r>
      <w:r w:rsidR="004F0E6F">
        <w:t>e.g.,</w:t>
      </w:r>
      <w:r w:rsidR="00540D3F">
        <w:t xml:space="preserve"> due to </w:t>
      </w:r>
      <w:r w:rsidR="0089187A">
        <w:t xml:space="preserve">the </w:t>
      </w:r>
      <w:r w:rsidR="00540D3F">
        <w:t xml:space="preserve">need for guard space, lower power, antenna pointing restrictions and synchronisation) when managing interference. It has the </w:t>
      </w:r>
      <w:r w:rsidR="009279CB">
        <w:t>potential to deny access over a large area</w:t>
      </w:r>
      <w:r w:rsidR="004F0E6F">
        <w:t>,</w:t>
      </w:r>
      <w:r w:rsidR="009279CB">
        <w:t xml:space="preserve"> rendering spectrum in a highly valuable area useless. </w:t>
      </w:r>
      <w:r w:rsidR="0089187A">
        <w:t xml:space="preserve">To avoid this issue, </w:t>
      </w:r>
      <w:r w:rsidR="00AC1F54">
        <w:t>licence areas should be predefined to cover an entire urban excise area.</w:t>
      </w:r>
    </w:p>
    <w:p w14:paraId="22CEAD87" w14:textId="2BF72B69" w:rsidR="00713578" w:rsidRDefault="00713578" w:rsidP="004453CF">
      <w:pPr>
        <w:pStyle w:val="Bulletlevel1"/>
      </w:pPr>
      <w:r>
        <w:t>There is a preference for the use of spectrum licences in urban areas</w:t>
      </w:r>
      <w:r w:rsidR="004F0E6F">
        <w:t>,</w:t>
      </w:r>
      <w:r>
        <w:t xml:space="preserve"> as longer licence duration brings certainty to investment enabling the spectrum to achieve its highest value use. </w:t>
      </w:r>
      <w:r w:rsidR="004F0E6F">
        <w:t>Also,</w:t>
      </w:r>
      <w:r>
        <w:t xml:space="preserve"> if there is a need for a future restack to consolidate spectrum holdi</w:t>
      </w:r>
      <w:r w:rsidR="004F0E6F">
        <w:t>ngs</w:t>
      </w:r>
      <w:r>
        <w:t>, a single licence type across the 3400</w:t>
      </w:r>
      <w:r w:rsidR="006D07D7">
        <w:t>–</w:t>
      </w:r>
      <w:r>
        <w:t>3800 MHz band would better facilitate this.</w:t>
      </w:r>
    </w:p>
    <w:p w14:paraId="14FACDF1" w14:textId="44491E21" w:rsidR="00E17774" w:rsidRDefault="00D72734" w:rsidP="004453CF">
      <w:pPr>
        <w:pStyle w:val="Bulletlevel1"/>
      </w:pPr>
      <w:r>
        <w:t>O</w:t>
      </w:r>
      <w:r w:rsidR="00E17774">
        <w:t xml:space="preserve">ver time, </w:t>
      </w:r>
      <w:r w:rsidR="00E17774" w:rsidRPr="00F2337A">
        <w:t xml:space="preserve">technology will evolve to better </w:t>
      </w:r>
      <w:r w:rsidR="0063493D">
        <w:t>manage</w:t>
      </w:r>
      <w:r w:rsidR="0063493D" w:rsidRPr="00F2337A">
        <w:t xml:space="preserve"> </w:t>
      </w:r>
      <w:r w:rsidR="00E17774" w:rsidRPr="00F2337A">
        <w:t>interference.</w:t>
      </w:r>
      <w:r w:rsidR="00E17774">
        <w:t xml:space="preserve"> </w:t>
      </w:r>
      <w:r w:rsidR="00E43589">
        <w:t>Consequently, a</w:t>
      </w:r>
      <w:r w:rsidR="00E17774">
        <w:t xml:space="preserve">rrangements should be put in place now that support macro station deployments (even if it is not technically feasible today). This will </w:t>
      </w:r>
      <w:r w:rsidR="00E43589">
        <w:t xml:space="preserve">provide flexibility in the use of the spectrum and </w:t>
      </w:r>
      <w:r w:rsidR="00E17774">
        <w:t xml:space="preserve">avoid </w:t>
      </w:r>
      <w:r w:rsidR="00E17774" w:rsidRPr="00F2337A">
        <w:t xml:space="preserve">having to revisit </w:t>
      </w:r>
      <w:r w:rsidR="00E17774">
        <w:t xml:space="preserve">technical </w:t>
      </w:r>
      <w:r w:rsidR="00E17774" w:rsidRPr="00F2337A">
        <w:t>conditions</w:t>
      </w:r>
      <w:r w:rsidR="00E17774">
        <w:t xml:space="preserve"> </w:t>
      </w:r>
      <w:r w:rsidR="0089187A">
        <w:t xml:space="preserve">in the future </w:t>
      </w:r>
      <w:r w:rsidR="00E17774">
        <w:t>to enable</w:t>
      </w:r>
      <w:r w:rsidR="006D07D7">
        <w:t> </w:t>
      </w:r>
      <w:r w:rsidR="00E17774">
        <w:t xml:space="preserve">it. </w:t>
      </w:r>
    </w:p>
    <w:p w14:paraId="5B539305" w14:textId="4415C0AA" w:rsidR="00DE1299" w:rsidRDefault="00F2337A" w:rsidP="004453CF">
      <w:pPr>
        <w:pStyle w:val="Bulletlevel1last"/>
      </w:pPr>
      <w:r>
        <w:t xml:space="preserve">Telstra argued that the ACMA’s assessment of the options did not consider demand for </w:t>
      </w:r>
      <w:r w:rsidR="00713578">
        <w:t>access to the 3400</w:t>
      </w:r>
      <w:r w:rsidR="006D07D7">
        <w:t>–</w:t>
      </w:r>
      <w:r w:rsidR="00713578">
        <w:t>3475 MHz band by localised</w:t>
      </w:r>
      <w:r>
        <w:t xml:space="preserve"> WBB</w:t>
      </w:r>
      <w:r w:rsidR="00713578">
        <w:t xml:space="preserve"> operators</w:t>
      </w:r>
      <w:r>
        <w:t xml:space="preserve">. </w:t>
      </w:r>
      <w:r w:rsidR="004607F2">
        <w:t xml:space="preserve">Telstra </w:t>
      </w:r>
      <w:r>
        <w:t xml:space="preserve">acknowledged </w:t>
      </w:r>
      <w:r w:rsidR="004607F2">
        <w:t xml:space="preserve">it was </w:t>
      </w:r>
      <w:r>
        <w:t xml:space="preserve">not </w:t>
      </w:r>
      <w:r w:rsidR="0063493D">
        <w:t>able</w:t>
      </w:r>
      <w:r>
        <w:t xml:space="preserve"> to have visibility o</w:t>
      </w:r>
      <w:r w:rsidR="00713578">
        <w:t>f</w:t>
      </w:r>
      <w:r>
        <w:t xml:space="preserve"> such demand</w:t>
      </w:r>
      <w:r w:rsidR="00E55CEE">
        <w:t>,</w:t>
      </w:r>
      <w:r>
        <w:t xml:space="preserve"> but </w:t>
      </w:r>
      <w:r w:rsidR="00E55CEE">
        <w:t xml:space="preserve">suggested </w:t>
      </w:r>
      <w:r w:rsidR="00E55CEE">
        <w:rPr>
          <w:szCs w:val="20"/>
        </w:rPr>
        <w:t>Option 3 should not be considered</w:t>
      </w:r>
      <w:r w:rsidR="0063493D">
        <w:rPr>
          <w:szCs w:val="20"/>
        </w:rPr>
        <w:t>,</w:t>
      </w:r>
      <w:r w:rsidR="00E55CEE">
        <w:rPr>
          <w:szCs w:val="20"/>
        </w:rPr>
        <w:t xml:space="preserve"> in the absence of demonstrated proof or demand from such users</w:t>
      </w:r>
      <w:r w:rsidR="00E55CEE">
        <w:t xml:space="preserve">. </w:t>
      </w:r>
    </w:p>
    <w:p w14:paraId="19E93191" w14:textId="118D0A16" w:rsidR="00497B48" w:rsidRPr="000B6A4B" w:rsidRDefault="00A47C0D" w:rsidP="00497B48">
      <w:pPr>
        <w:pStyle w:val="Paragraph"/>
        <w:spacing w:after="0"/>
        <w:rPr>
          <w:b/>
          <w:bCs/>
          <w:i/>
          <w:iCs/>
        </w:rPr>
      </w:pPr>
      <w:r>
        <w:rPr>
          <w:b/>
          <w:bCs/>
          <w:i/>
          <w:iCs/>
        </w:rPr>
        <w:t xml:space="preserve">Preliminary </w:t>
      </w:r>
      <w:r w:rsidR="00497B48" w:rsidRPr="000B6A4B">
        <w:rPr>
          <w:b/>
          <w:bCs/>
          <w:i/>
          <w:iCs/>
        </w:rPr>
        <w:t>ACMA response</w:t>
      </w:r>
    </w:p>
    <w:p w14:paraId="56ECCAAE" w14:textId="157D5BFD" w:rsidR="000721E9" w:rsidRDefault="00D24F87" w:rsidP="00497B48">
      <w:pPr>
        <w:pStyle w:val="Paragraph"/>
        <w:rPr>
          <w:szCs w:val="20"/>
        </w:rPr>
      </w:pPr>
      <w:r>
        <w:rPr>
          <w:szCs w:val="20"/>
        </w:rPr>
        <w:t xml:space="preserve">We note </w:t>
      </w:r>
      <w:r w:rsidR="0022789C">
        <w:rPr>
          <w:szCs w:val="20"/>
        </w:rPr>
        <w:t xml:space="preserve">there are </w:t>
      </w:r>
      <w:r w:rsidR="00873E75">
        <w:rPr>
          <w:szCs w:val="20"/>
        </w:rPr>
        <w:t xml:space="preserve">different </w:t>
      </w:r>
      <w:r w:rsidR="0022789C">
        <w:rPr>
          <w:szCs w:val="20"/>
        </w:rPr>
        <w:t>views on which option to implement in urban excise areas</w:t>
      </w:r>
      <w:r w:rsidR="00093A05">
        <w:rPr>
          <w:szCs w:val="20"/>
        </w:rPr>
        <w:t>,</w:t>
      </w:r>
      <w:r w:rsidR="0022789C">
        <w:rPr>
          <w:szCs w:val="20"/>
        </w:rPr>
        <w:t xml:space="preserve"> with support for restricted cell and macro cell </w:t>
      </w:r>
      <w:r w:rsidR="0065397E">
        <w:rPr>
          <w:szCs w:val="20"/>
        </w:rPr>
        <w:t xml:space="preserve">options </w:t>
      </w:r>
      <w:r w:rsidR="0022789C">
        <w:rPr>
          <w:szCs w:val="20"/>
        </w:rPr>
        <w:t>provided</w:t>
      </w:r>
      <w:r w:rsidR="000721E9">
        <w:rPr>
          <w:szCs w:val="20"/>
        </w:rPr>
        <w:t xml:space="preserve"> as well as one submission that did not support the use of urban excise areas for WBB services</w:t>
      </w:r>
      <w:r w:rsidR="0022789C">
        <w:rPr>
          <w:szCs w:val="20"/>
        </w:rPr>
        <w:t>.</w:t>
      </w:r>
      <w:r w:rsidR="000721E9">
        <w:rPr>
          <w:szCs w:val="20"/>
        </w:rPr>
        <w:t xml:space="preserve"> After assessing submissions</w:t>
      </w:r>
      <w:r w:rsidR="00093A05">
        <w:rPr>
          <w:szCs w:val="20"/>
        </w:rPr>
        <w:t>,</w:t>
      </w:r>
      <w:r w:rsidR="000721E9">
        <w:rPr>
          <w:szCs w:val="20"/>
        </w:rPr>
        <w:t xml:space="preserve"> </w:t>
      </w:r>
      <w:r>
        <w:rPr>
          <w:szCs w:val="20"/>
        </w:rPr>
        <w:t xml:space="preserve">we have </w:t>
      </w:r>
      <w:r w:rsidR="007726B8">
        <w:rPr>
          <w:szCs w:val="20"/>
        </w:rPr>
        <w:t xml:space="preserve">identified </w:t>
      </w:r>
      <w:r w:rsidR="000721E9">
        <w:rPr>
          <w:szCs w:val="20"/>
        </w:rPr>
        <w:t>strong support for implementing either Option 3 or Option 4.</w:t>
      </w:r>
    </w:p>
    <w:p w14:paraId="1B1398E2" w14:textId="542B1850" w:rsidR="002A4EFA" w:rsidRDefault="00566A76" w:rsidP="00497B48">
      <w:pPr>
        <w:pStyle w:val="Paragraph"/>
        <w:rPr>
          <w:szCs w:val="20"/>
        </w:rPr>
      </w:pPr>
      <w:r>
        <w:rPr>
          <w:szCs w:val="20"/>
        </w:rPr>
        <w:t xml:space="preserve">In relation to </w:t>
      </w:r>
      <w:r w:rsidR="000721E9">
        <w:rPr>
          <w:szCs w:val="20"/>
        </w:rPr>
        <w:t>the submission that did not support the use of urban excise areas for WBB services</w:t>
      </w:r>
      <w:r>
        <w:rPr>
          <w:szCs w:val="20"/>
        </w:rPr>
        <w:t xml:space="preserve">, </w:t>
      </w:r>
      <w:r w:rsidR="000721E9">
        <w:rPr>
          <w:szCs w:val="20"/>
        </w:rPr>
        <w:t xml:space="preserve">the ACMA has previously consulted on this issue as part of the </w:t>
      </w:r>
      <w:hyperlink r:id="rId59" w:history="1">
        <w:r w:rsidR="000721E9" w:rsidRPr="000721E9">
          <w:rPr>
            <w:rStyle w:val="Hyperlink"/>
            <w:szCs w:val="20"/>
          </w:rPr>
          <w:t>3400</w:t>
        </w:r>
        <w:r w:rsidR="006D07D7">
          <w:rPr>
            <w:rStyle w:val="Hyperlink"/>
            <w:szCs w:val="20"/>
          </w:rPr>
          <w:t>–</w:t>
        </w:r>
        <w:r w:rsidR="000721E9" w:rsidRPr="000721E9">
          <w:rPr>
            <w:rStyle w:val="Hyperlink"/>
            <w:szCs w:val="20"/>
          </w:rPr>
          <w:t>3575 MHz optimisation process</w:t>
        </w:r>
      </w:hyperlink>
      <w:r w:rsidR="000721E9">
        <w:rPr>
          <w:szCs w:val="20"/>
        </w:rPr>
        <w:t xml:space="preserve">. The outcomes of this process identified making the urban excise areas available for WBB use. </w:t>
      </w:r>
      <w:r w:rsidR="00D24F87">
        <w:rPr>
          <w:szCs w:val="20"/>
        </w:rPr>
        <w:t xml:space="preserve">We do not </w:t>
      </w:r>
      <w:r w:rsidR="000721E9">
        <w:rPr>
          <w:szCs w:val="20"/>
        </w:rPr>
        <w:t xml:space="preserve">intend to revisit this decision. </w:t>
      </w:r>
    </w:p>
    <w:p w14:paraId="79F3B9A6" w14:textId="14508EFB" w:rsidR="003D24E9" w:rsidRDefault="003D24E9" w:rsidP="00497B48">
      <w:pPr>
        <w:pStyle w:val="Paragraph"/>
        <w:rPr>
          <w:szCs w:val="20"/>
        </w:rPr>
      </w:pPr>
      <w:r>
        <w:rPr>
          <w:szCs w:val="20"/>
        </w:rPr>
        <w:t xml:space="preserve">We acknowledge the concerns raised by </w:t>
      </w:r>
      <w:r w:rsidR="00093A05">
        <w:rPr>
          <w:szCs w:val="20"/>
        </w:rPr>
        <w:t xml:space="preserve">the </w:t>
      </w:r>
      <w:r>
        <w:rPr>
          <w:szCs w:val="20"/>
        </w:rPr>
        <w:t xml:space="preserve">mobile industry </w:t>
      </w:r>
      <w:r w:rsidR="00093A05">
        <w:rPr>
          <w:szCs w:val="20"/>
        </w:rPr>
        <w:t xml:space="preserve">sector </w:t>
      </w:r>
      <w:r w:rsidR="007E2A97">
        <w:rPr>
          <w:szCs w:val="20"/>
        </w:rPr>
        <w:t xml:space="preserve">regarding adoption of </w:t>
      </w:r>
      <w:r w:rsidR="007726B8">
        <w:rPr>
          <w:szCs w:val="20"/>
        </w:rPr>
        <w:t xml:space="preserve">a </w:t>
      </w:r>
      <w:r w:rsidR="007E2A97">
        <w:rPr>
          <w:szCs w:val="20"/>
        </w:rPr>
        <w:t>restricted cell option</w:t>
      </w:r>
      <w:r>
        <w:rPr>
          <w:szCs w:val="20"/>
        </w:rPr>
        <w:t>. This includes the potential complexity in creating arrangements to support localised WBB use under Option 3 a</w:t>
      </w:r>
      <w:r w:rsidR="007E2A97">
        <w:rPr>
          <w:szCs w:val="20"/>
        </w:rPr>
        <w:t>s well as</w:t>
      </w:r>
      <w:r>
        <w:rPr>
          <w:szCs w:val="20"/>
        </w:rPr>
        <w:t xml:space="preserve"> the potential benefits of having a single licence type in regional and metropolitan </w:t>
      </w:r>
      <w:r w:rsidR="004607F2">
        <w:rPr>
          <w:szCs w:val="20"/>
        </w:rPr>
        <w:t xml:space="preserve">areas </w:t>
      </w:r>
      <w:r w:rsidR="007E2A97">
        <w:rPr>
          <w:szCs w:val="20"/>
        </w:rPr>
        <w:t>across the 3400</w:t>
      </w:r>
      <w:r w:rsidR="00D24F87">
        <w:rPr>
          <w:szCs w:val="20"/>
        </w:rPr>
        <w:t>–</w:t>
      </w:r>
      <w:r w:rsidR="007E2A97">
        <w:rPr>
          <w:szCs w:val="20"/>
        </w:rPr>
        <w:t>3800 MHz band</w:t>
      </w:r>
      <w:r>
        <w:rPr>
          <w:szCs w:val="20"/>
        </w:rPr>
        <w:t>.</w:t>
      </w:r>
      <w:r w:rsidR="008D3299">
        <w:rPr>
          <w:szCs w:val="20"/>
        </w:rPr>
        <w:t xml:space="preserve"> </w:t>
      </w:r>
    </w:p>
    <w:p w14:paraId="5055DE2C" w14:textId="6020FECB" w:rsidR="003D24E9" w:rsidRDefault="00C54D95" w:rsidP="00497B48">
      <w:pPr>
        <w:pStyle w:val="Paragraph"/>
        <w:rPr>
          <w:szCs w:val="20"/>
        </w:rPr>
      </w:pPr>
      <w:r>
        <w:rPr>
          <w:szCs w:val="20"/>
        </w:rPr>
        <w:t xml:space="preserve">We note comments made regarding the management of interference with NBN Co services and adjacent band spectrum licensees. </w:t>
      </w:r>
      <w:r w:rsidR="0048373F">
        <w:rPr>
          <w:szCs w:val="20"/>
        </w:rPr>
        <w:t xml:space="preserve">We </w:t>
      </w:r>
      <w:r>
        <w:rPr>
          <w:szCs w:val="20"/>
        </w:rPr>
        <w:t xml:space="preserve">also </w:t>
      </w:r>
      <w:r w:rsidR="0048373F">
        <w:rPr>
          <w:szCs w:val="20"/>
        </w:rPr>
        <w:t xml:space="preserve">acknowledge comments made regarding the desire for spectrum to support private WBB use cases </w:t>
      </w:r>
      <w:r w:rsidR="0022789C">
        <w:rPr>
          <w:szCs w:val="20"/>
        </w:rPr>
        <w:t xml:space="preserve">in urban areas and </w:t>
      </w:r>
      <w:r w:rsidR="0048373F">
        <w:rPr>
          <w:szCs w:val="20"/>
        </w:rPr>
        <w:t>the</w:t>
      </w:r>
      <w:r>
        <w:rPr>
          <w:szCs w:val="20"/>
        </w:rPr>
        <w:t xml:space="preserve"> </w:t>
      </w:r>
      <w:r w:rsidR="002A4EFA">
        <w:rPr>
          <w:szCs w:val="20"/>
        </w:rPr>
        <w:t>benefits</w:t>
      </w:r>
      <w:r w:rsidR="0022789C">
        <w:rPr>
          <w:szCs w:val="20"/>
        </w:rPr>
        <w:t xml:space="preserve"> </w:t>
      </w:r>
      <w:r w:rsidR="0048373F">
        <w:rPr>
          <w:szCs w:val="20"/>
        </w:rPr>
        <w:t>associated with this</w:t>
      </w:r>
      <w:r w:rsidR="0022789C">
        <w:rPr>
          <w:szCs w:val="20"/>
        </w:rPr>
        <w:t>.</w:t>
      </w:r>
      <w:r w:rsidR="007E2A97">
        <w:rPr>
          <w:szCs w:val="20"/>
        </w:rPr>
        <w:t xml:space="preserve"> </w:t>
      </w:r>
      <w:r w:rsidR="0048373F">
        <w:rPr>
          <w:szCs w:val="20"/>
        </w:rPr>
        <w:t xml:space="preserve">As detailed in our response to the desirable planning outcomes, we have made spectrum available for private WBB use in numerous bands and are working to make more spectrum available. </w:t>
      </w:r>
      <w:r>
        <w:rPr>
          <w:szCs w:val="20"/>
        </w:rPr>
        <w:t>We recognise o</w:t>
      </w:r>
      <w:r w:rsidR="0048373F">
        <w:rPr>
          <w:szCs w:val="20"/>
        </w:rPr>
        <w:t>ptions for use of urban excise areas</w:t>
      </w:r>
      <w:r>
        <w:rPr>
          <w:szCs w:val="20"/>
        </w:rPr>
        <w:t xml:space="preserve"> and the broader 3400-4000 MHz band</w:t>
      </w:r>
      <w:r w:rsidR="0048373F">
        <w:rPr>
          <w:szCs w:val="20"/>
        </w:rPr>
        <w:t xml:space="preserve"> present</w:t>
      </w:r>
      <w:r w:rsidR="00BD1D68">
        <w:rPr>
          <w:szCs w:val="20"/>
        </w:rPr>
        <w:t>s</w:t>
      </w:r>
      <w:r w:rsidR="0048373F">
        <w:rPr>
          <w:szCs w:val="20"/>
        </w:rPr>
        <w:t xml:space="preserve"> an additional opportunity here. </w:t>
      </w:r>
    </w:p>
    <w:p w14:paraId="79CF1F1A" w14:textId="1E9E8166" w:rsidR="00497B48" w:rsidRPr="00281DF9" w:rsidRDefault="00281DF9" w:rsidP="00497B48">
      <w:pPr>
        <w:pStyle w:val="Paragraph"/>
        <w:rPr>
          <w:szCs w:val="20"/>
        </w:rPr>
      </w:pPr>
      <w:r>
        <w:rPr>
          <w:szCs w:val="20"/>
        </w:rPr>
        <w:t xml:space="preserve">Based on submissions, </w:t>
      </w:r>
      <w:r w:rsidR="00D24F87">
        <w:rPr>
          <w:szCs w:val="20"/>
        </w:rPr>
        <w:t xml:space="preserve">we </w:t>
      </w:r>
      <w:r>
        <w:rPr>
          <w:szCs w:val="20"/>
        </w:rPr>
        <w:t>believe that Options 3 and 4 should be considered further for implementation in urban excise areas.</w:t>
      </w:r>
      <w:r w:rsidR="00EF0951">
        <w:rPr>
          <w:szCs w:val="20"/>
        </w:rPr>
        <w:t xml:space="preserve"> </w:t>
      </w:r>
      <w:r w:rsidR="0065397E">
        <w:rPr>
          <w:szCs w:val="20"/>
        </w:rPr>
        <w:t xml:space="preserve">Issues raised </w:t>
      </w:r>
      <w:r w:rsidR="00EF0951">
        <w:rPr>
          <w:szCs w:val="20"/>
        </w:rPr>
        <w:t xml:space="preserve">by respondents </w:t>
      </w:r>
      <w:r w:rsidR="00090ECE">
        <w:rPr>
          <w:szCs w:val="20"/>
        </w:rPr>
        <w:t>will be</w:t>
      </w:r>
      <w:r w:rsidR="003D24E9">
        <w:rPr>
          <w:szCs w:val="20"/>
        </w:rPr>
        <w:t xml:space="preserve"> </w:t>
      </w:r>
      <w:r w:rsidR="002A4EFA">
        <w:rPr>
          <w:szCs w:val="20"/>
        </w:rPr>
        <w:lastRenderedPageBreak/>
        <w:t xml:space="preserve">considered </w:t>
      </w:r>
      <w:r w:rsidR="0031685A">
        <w:rPr>
          <w:szCs w:val="20"/>
        </w:rPr>
        <w:t xml:space="preserve">by the </w:t>
      </w:r>
      <w:r w:rsidR="003D24E9">
        <w:rPr>
          <w:szCs w:val="20"/>
        </w:rPr>
        <w:t>ACMA</w:t>
      </w:r>
      <w:r w:rsidR="0031685A">
        <w:rPr>
          <w:szCs w:val="20"/>
        </w:rPr>
        <w:t xml:space="preserve"> when re-assessing </w:t>
      </w:r>
      <w:r w:rsidR="0065397E">
        <w:rPr>
          <w:szCs w:val="20"/>
        </w:rPr>
        <w:t>the</w:t>
      </w:r>
      <w:r w:rsidR="00EF0951">
        <w:rPr>
          <w:szCs w:val="20"/>
        </w:rPr>
        <w:t>se</w:t>
      </w:r>
      <w:r w:rsidR="0065397E">
        <w:rPr>
          <w:szCs w:val="20"/>
        </w:rPr>
        <w:t xml:space="preserve"> options against the desir</w:t>
      </w:r>
      <w:r w:rsidR="001C65FA">
        <w:rPr>
          <w:szCs w:val="20"/>
        </w:rPr>
        <w:t>abl</w:t>
      </w:r>
      <w:r w:rsidR="0065397E">
        <w:rPr>
          <w:szCs w:val="20"/>
        </w:rPr>
        <w:t>e planning outcomes</w:t>
      </w:r>
      <w:r w:rsidR="00DF1C7D">
        <w:rPr>
          <w:szCs w:val="20"/>
        </w:rPr>
        <w:t>.</w:t>
      </w:r>
      <w:r w:rsidR="007E2A97">
        <w:rPr>
          <w:szCs w:val="20"/>
        </w:rPr>
        <w:t xml:space="preserve"> </w:t>
      </w:r>
    </w:p>
    <w:p w14:paraId="041A8D41" w14:textId="2F4D6F0C" w:rsidR="004B0F44" w:rsidRPr="000B6A4B" w:rsidRDefault="004B0F44" w:rsidP="004B0F44">
      <w:pPr>
        <w:pStyle w:val="Heading3"/>
      </w:pPr>
      <w:r w:rsidRPr="000B6A4B">
        <w:t xml:space="preserve">Feedback on preliminary interference management criteria </w:t>
      </w:r>
    </w:p>
    <w:p w14:paraId="0D294A78" w14:textId="05CFF27E" w:rsidR="004B0F44" w:rsidRDefault="00AD0843" w:rsidP="004B0F44">
      <w:pPr>
        <w:pStyle w:val="Paragraph"/>
        <w:rPr>
          <w:szCs w:val="20"/>
        </w:rPr>
      </w:pPr>
      <w:r>
        <w:rPr>
          <w:szCs w:val="20"/>
        </w:rPr>
        <w:t>Several submissions provided feedback on the preliminary interference management criteria provided in the options paper. Discussion o</w:t>
      </w:r>
      <w:r w:rsidR="00BD1D68">
        <w:rPr>
          <w:szCs w:val="20"/>
        </w:rPr>
        <w:t>f</w:t>
      </w:r>
      <w:r>
        <w:rPr>
          <w:szCs w:val="20"/>
        </w:rPr>
        <w:t xml:space="preserve"> the key issues raised </w:t>
      </w:r>
      <w:r w:rsidR="00BD1D68">
        <w:rPr>
          <w:szCs w:val="20"/>
        </w:rPr>
        <w:t>appears below</w:t>
      </w:r>
      <w:r>
        <w:rPr>
          <w:szCs w:val="20"/>
        </w:rPr>
        <w:t xml:space="preserve">. </w:t>
      </w:r>
    </w:p>
    <w:p w14:paraId="4CAC8B74" w14:textId="41D6FB8C" w:rsidR="00403AF2" w:rsidRDefault="00403AF2" w:rsidP="004B0F44">
      <w:pPr>
        <w:pStyle w:val="Paragraph"/>
        <w:rPr>
          <w:szCs w:val="20"/>
        </w:rPr>
      </w:pPr>
      <w:r>
        <w:rPr>
          <w:szCs w:val="20"/>
        </w:rPr>
        <w:t>As a</w:t>
      </w:r>
      <w:r w:rsidR="00D64A44">
        <w:rPr>
          <w:szCs w:val="20"/>
        </w:rPr>
        <w:t xml:space="preserve">n </w:t>
      </w:r>
      <w:r w:rsidR="001B041F">
        <w:rPr>
          <w:szCs w:val="20"/>
        </w:rPr>
        <w:t>overarching</w:t>
      </w:r>
      <w:r>
        <w:rPr>
          <w:szCs w:val="20"/>
        </w:rPr>
        <w:t xml:space="preserve"> comment, </w:t>
      </w:r>
      <w:r w:rsidR="001B041F">
        <w:rPr>
          <w:szCs w:val="20"/>
        </w:rPr>
        <w:t>mobile industry submissions</w:t>
      </w:r>
      <w:r>
        <w:rPr>
          <w:szCs w:val="20"/>
        </w:rPr>
        <w:t xml:space="preserve"> suggested that </w:t>
      </w:r>
      <w:r>
        <w:t>p</w:t>
      </w:r>
      <w:r w:rsidRPr="00B4706E">
        <w:t xml:space="preserve">lanning guidelines should be created </w:t>
      </w:r>
      <w:r>
        <w:t>for the broader 3400</w:t>
      </w:r>
      <w:r w:rsidR="00D24F87">
        <w:t>–</w:t>
      </w:r>
      <w:r>
        <w:t xml:space="preserve">4000 MHz band </w:t>
      </w:r>
      <w:r w:rsidRPr="00B4706E">
        <w:t>to show where the ACMA believes different use cases should reside.</w:t>
      </w:r>
      <w:r>
        <w:t xml:space="preserve"> </w:t>
      </w:r>
      <w:r w:rsidRPr="00B4706E">
        <w:t>Technical parameters c</w:t>
      </w:r>
      <w:r>
        <w:t>ould</w:t>
      </w:r>
      <w:r w:rsidRPr="00B4706E">
        <w:t xml:space="preserve"> then be optimised based on these groupings</w:t>
      </w:r>
      <w:r>
        <w:t>.</w:t>
      </w:r>
    </w:p>
    <w:p w14:paraId="177BEBBC" w14:textId="77777777" w:rsidR="00AD0843" w:rsidRDefault="00AD0843" w:rsidP="00AD0843">
      <w:pPr>
        <w:pStyle w:val="Paragraph"/>
        <w:spacing w:before="240" w:after="0"/>
        <w:rPr>
          <w:b/>
          <w:bCs/>
          <w:i/>
          <w:iCs/>
        </w:rPr>
      </w:pPr>
      <w:r>
        <w:rPr>
          <w:b/>
          <w:bCs/>
          <w:i/>
          <w:iCs/>
          <w:szCs w:val="20"/>
        </w:rPr>
        <w:t>Macro</w:t>
      </w:r>
      <w:r w:rsidRPr="0039322F">
        <w:rPr>
          <w:b/>
          <w:bCs/>
          <w:i/>
          <w:iCs/>
          <w:szCs w:val="20"/>
        </w:rPr>
        <w:t xml:space="preserve"> cell model</w:t>
      </w:r>
    </w:p>
    <w:p w14:paraId="7FAFD885" w14:textId="1596914F" w:rsidR="00851E1C" w:rsidRDefault="00851E1C" w:rsidP="004453CF">
      <w:pPr>
        <w:pStyle w:val="Paragraphbeforelist"/>
      </w:pPr>
      <w:r>
        <w:t xml:space="preserve">NBN Co identified </w:t>
      </w:r>
      <w:r w:rsidR="004607F2">
        <w:t xml:space="preserve">its </w:t>
      </w:r>
      <w:r>
        <w:t>preferred approach for the interference management criteria</w:t>
      </w:r>
      <w:r w:rsidR="00DE1299">
        <w:t xml:space="preserve"> if a macro cell model was implemented</w:t>
      </w:r>
      <w:r>
        <w:t xml:space="preserve">. </w:t>
      </w:r>
      <w:r w:rsidR="00C54D95">
        <w:t>T</w:t>
      </w:r>
      <w:r>
        <w:t xml:space="preserve">he key points </w:t>
      </w:r>
      <w:r w:rsidR="00C54D95">
        <w:t xml:space="preserve">raised </w:t>
      </w:r>
      <w:r>
        <w:t xml:space="preserve">were: </w:t>
      </w:r>
    </w:p>
    <w:p w14:paraId="225177A6" w14:textId="5474A852" w:rsidR="00851E1C" w:rsidRDefault="00851E1C" w:rsidP="004453CF">
      <w:pPr>
        <w:pStyle w:val="Bulletlevel1"/>
      </w:pPr>
      <w:r>
        <w:t xml:space="preserve">NBN Co supported implementing a secondary fallback </w:t>
      </w:r>
      <w:r w:rsidRPr="00475586">
        <w:t>synchronisation scheme</w:t>
      </w:r>
      <w:r>
        <w:t xml:space="preserve"> to manage interference caused by ducting. They argued th</w:t>
      </w:r>
      <w:r w:rsidR="00F07162">
        <w:t>ey are</w:t>
      </w:r>
      <w:r>
        <w:t xml:space="preserve"> </w:t>
      </w:r>
      <w:r w:rsidRPr="00851E1C">
        <w:t>uniquely impacted by ducting</w:t>
      </w:r>
      <w:r w:rsidR="00F93CD6">
        <w:t>,</w:t>
      </w:r>
      <w:r w:rsidRPr="00851E1C">
        <w:t xml:space="preserve"> as they do not have any </w:t>
      </w:r>
      <w:r>
        <w:t xml:space="preserve">frequency division duplex </w:t>
      </w:r>
      <w:r w:rsidRPr="00851E1C">
        <w:t>layers to rely on during such events.</w:t>
      </w:r>
    </w:p>
    <w:p w14:paraId="5CB1CFF7" w14:textId="4C514CC1" w:rsidR="00F07162" w:rsidRDefault="00851E1C" w:rsidP="004453CF">
      <w:pPr>
        <w:pStyle w:val="Bulletlevel1"/>
      </w:pPr>
      <w:r>
        <w:t>NBN Co indicated that they may be required to register base station</w:t>
      </w:r>
      <w:r w:rsidR="00BD1D68">
        <w:t>s</w:t>
      </w:r>
      <w:r>
        <w:t xml:space="preserve"> </w:t>
      </w:r>
      <w:r w:rsidR="004607F2">
        <w:t xml:space="preserve">on the RRL </w:t>
      </w:r>
      <w:r>
        <w:t>at new sites or increase frequency reuse to meet increasing capacity demands</w:t>
      </w:r>
      <w:r w:rsidR="00264C7C">
        <w:t xml:space="preserve"> in the future</w:t>
      </w:r>
      <w:r>
        <w:t xml:space="preserve">. </w:t>
      </w:r>
      <w:r w:rsidR="00667D24">
        <w:t xml:space="preserve">Further analysis of proposed options is required to ensure that </w:t>
      </w:r>
      <w:r w:rsidR="004607F2">
        <w:t>NBN Co</w:t>
      </w:r>
      <w:r w:rsidR="00667D24">
        <w:t xml:space="preserve"> are afforded sufficient flexibility to do this.</w:t>
      </w:r>
      <w:r w:rsidR="00F07162">
        <w:t xml:space="preserve"> </w:t>
      </w:r>
    </w:p>
    <w:p w14:paraId="6C34FB1C" w14:textId="6F7D0D5D" w:rsidR="00851E1C" w:rsidRDefault="00F07162" w:rsidP="004453CF">
      <w:pPr>
        <w:pStyle w:val="Bulletlevel1"/>
      </w:pPr>
      <w:r>
        <w:t>There was support for measures to enable NBN Co to adopt new technologies</w:t>
      </w:r>
      <w:r w:rsidR="00F93CD6">
        <w:t>,</w:t>
      </w:r>
      <w:r>
        <w:t xml:space="preserve"> provided reasonable restrictions are applied</w:t>
      </w:r>
      <w:r w:rsidR="0033646E">
        <w:t xml:space="preserve">. Due to the proximity of services to urban excise areas, it would be prohibitive to pursue any options other than </w:t>
      </w:r>
      <w:r>
        <w:t>Option</w:t>
      </w:r>
      <w:r w:rsidR="00D24F87">
        <w:t> </w:t>
      </w:r>
      <w:r>
        <w:t>A in Table 10 of the options paper).</w:t>
      </w:r>
      <w:r w:rsidR="00761279">
        <w:t xml:space="preserve"> This option places a condition on urban excise licences</w:t>
      </w:r>
      <w:r w:rsidR="004607F2">
        <w:t xml:space="preserve"> so</w:t>
      </w:r>
      <w:r w:rsidR="00761279">
        <w:t xml:space="preserve"> that </w:t>
      </w:r>
      <w:r w:rsidR="00750285">
        <w:t xml:space="preserve">operators </w:t>
      </w:r>
      <w:r w:rsidR="00761279">
        <w:t xml:space="preserve">cannot claim protection from interference caused by </w:t>
      </w:r>
      <w:r w:rsidR="00761279" w:rsidRPr="00D8773C">
        <w:rPr>
          <w:szCs w:val="20"/>
        </w:rPr>
        <w:t xml:space="preserve">base stations associated with the delivery of the </w:t>
      </w:r>
      <w:r w:rsidR="00761279">
        <w:rPr>
          <w:szCs w:val="20"/>
        </w:rPr>
        <w:t>NBN</w:t>
      </w:r>
      <w:r w:rsidR="00761279" w:rsidRPr="00D8773C">
        <w:rPr>
          <w:szCs w:val="20"/>
        </w:rPr>
        <w:t>.</w:t>
      </w:r>
    </w:p>
    <w:p w14:paraId="1EC2A3E7" w14:textId="521F38B7" w:rsidR="00F07162" w:rsidRDefault="00F07162" w:rsidP="004453CF">
      <w:pPr>
        <w:pStyle w:val="Bulletlevel1last"/>
      </w:pPr>
      <w:r>
        <w:t xml:space="preserve">There was support for protecting NBN Co customer premise equipment (CPE) in areas adjacent to urban excise areas and applying a condition that </w:t>
      </w:r>
      <w:r w:rsidR="00750285">
        <w:t>CPEs are</w:t>
      </w:r>
      <w:r>
        <w:t xml:space="preserve"> not deemed to cause interference into urban excise areas (as detailed in Option B in Table 10 of the options paper). </w:t>
      </w:r>
      <w:r w:rsidR="0033646E">
        <w:t>This minimises any risk to services provided.</w:t>
      </w:r>
    </w:p>
    <w:p w14:paraId="51B1814D" w14:textId="51E8B9DB" w:rsidR="00475586" w:rsidRDefault="001B041F" w:rsidP="004453CF">
      <w:pPr>
        <w:pStyle w:val="Paragraphbeforelist"/>
      </w:pPr>
      <w:r>
        <w:t>Mobile industry submissions</w:t>
      </w:r>
      <w:r w:rsidR="00AD0843">
        <w:t xml:space="preserve"> </w:t>
      </w:r>
      <w:r w:rsidR="00475586">
        <w:t>identified their preferred approach for the interference management criteria. Some of the key points were:</w:t>
      </w:r>
    </w:p>
    <w:p w14:paraId="080F54E1" w14:textId="44E7BFB5" w:rsidR="00AD0843" w:rsidRDefault="00A052C2" w:rsidP="004453CF">
      <w:pPr>
        <w:pStyle w:val="Bulletlevel1"/>
      </w:pPr>
      <w:r>
        <w:t xml:space="preserve">There was support for retention of the existing </w:t>
      </w:r>
      <w:r w:rsidR="00865C31">
        <w:t xml:space="preserve">fallback </w:t>
      </w:r>
      <w:r>
        <w:t xml:space="preserve">synchronisation requirement used </w:t>
      </w:r>
      <w:r w:rsidR="00750285">
        <w:t xml:space="preserve">in </w:t>
      </w:r>
      <w:r>
        <w:t>3.4 GHz spectrum licences. However, t</w:t>
      </w:r>
      <w:r w:rsidR="00475586" w:rsidRPr="00475586">
        <w:t xml:space="preserve">here was strong opposition to </w:t>
      </w:r>
      <w:r w:rsidR="003A2CBA">
        <w:t xml:space="preserve">the </w:t>
      </w:r>
      <w:r w:rsidR="00475586" w:rsidRPr="00475586">
        <w:t>adoption of a secondary fallback synchronisation scheme</w:t>
      </w:r>
      <w:r w:rsidR="005D65D1">
        <w:t xml:space="preserve"> as </w:t>
      </w:r>
      <w:r w:rsidR="00761279">
        <w:t xml:space="preserve">a </w:t>
      </w:r>
      <w:r w:rsidR="005D65D1">
        <w:t>measure to assist with ducting interference events</w:t>
      </w:r>
      <w:r w:rsidR="00475586" w:rsidRPr="00475586">
        <w:t xml:space="preserve">. </w:t>
      </w:r>
      <w:r w:rsidR="003A2CBA">
        <w:t xml:space="preserve">It was argued that </w:t>
      </w:r>
      <w:r>
        <w:t>this would be inefficient to solve relatively rare interference scenarios caused by ducting. It would also be difficult to identify what device</w:t>
      </w:r>
      <w:r w:rsidR="00750285">
        <w:t>s</w:t>
      </w:r>
      <w:r>
        <w:t xml:space="preserve"> or transmitters are causing the interference. This would mean all transmitters in a defined area would have </w:t>
      </w:r>
      <w:r w:rsidR="0060604C">
        <w:t xml:space="preserve">to </w:t>
      </w:r>
      <w:r>
        <w:t xml:space="preserve">implement the </w:t>
      </w:r>
      <w:r w:rsidR="0060604C">
        <w:t xml:space="preserve">secondary </w:t>
      </w:r>
      <w:r>
        <w:t xml:space="preserve">fallback scheme resulting in a significant reduction in network capacity. </w:t>
      </w:r>
      <w:r w:rsidR="0060604C">
        <w:t>Also</w:t>
      </w:r>
      <w:r>
        <w:t>, given ducting events</w:t>
      </w:r>
      <w:r w:rsidR="00B81E09">
        <w:t xml:space="preserve"> are transient in nature (several hours to possibly several days), time will be needed to communicate with affected</w:t>
      </w:r>
      <w:r>
        <w:t xml:space="preserve"> </w:t>
      </w:r>
      <w:r w:rsidR="00B81E09">
        <w:t>licen</w:t>
      </w:r>
      <w:r w:rsidR="00750285">
        <w:t>se</w:t>
      </w:r>
      <w:r w:rsidR="00B81E09">
        <w:t xml:space="preserve">es and then plan and implement changes (it was noted that this requires each </w:t>
      </w:r>
      <w:r w:rsidR="00F46B21">
        <w:t xml:space="preserve">affected </w:t>
      </w:r>
      <w:r w:rsidR="00B81E09">
        <w:t>base station to be restarted). By the time these steps are completed it is likely the ducting event has changed or dissipated. Lastly, the secondary fallback scheme does not guarantee the elimination of interference beyond the 190 km guard interval distance.</w:t>
      </w:r>
    </w:p>
    <w:p w14:paraId="3435BED3" w14:textId="7DD3F57F" w:rsidR="00C608C7" w:rsidRDefault="00C608C7" w:rsidP="004453CF">
      <w:pPr>
        <w:pStyle w:val="Bulletlevel1"/>
      </w:pPr>
      <w:r>
        <w:t xml:space="preserve">There was support for the use of restricted use bands (RBs) as </w:t>
      </w:r>
      <w:r w:rsidR="00750285">
        <w:t>they</w:t>
      </w:r>
      <w:r>
        <w:t xml:space="preserve"> provide better protection for 5G networks operating above 3475 </w:t>
      </w:r>
      <w:proofErr w:type="spellStart"/>
      <w:r>
        <w:t>MHz.</w:t>
      </w:r>
      <w:proofErr w:type="spellEnd"/>
      <w:r>
        <w:t xml:space="preserve"> There was support for the ACMA’s proposed definition of RBs </w:t>
      </w:r>
      <w:r w:rsidR="0064081B">
        <w:t xml:space="preserve">which </w:t>
      </w:r>
      <w:r w:rsidR="0064081B">
        <w:rPr>
          <w:color w:val="000000" w:themeColor="text1"/>
        </w:rPr>
        <w:t xml:space="preserve">refers to a defined frequency range </w:t>
      </w:r>
      <w:r w:rsidR="0064081B">
        <w:rPr>
          <w:color w:val="000000" w:themeColor="text1"/>
        </w:rPr>
        <w:lastRenderedPageBreak/>
        <w:t>w</w:t>
      </w:r>
      <w:r w:rsidR="00750285">
        <w:rPr>
          <w:color w:val="000000" w:themeColor="text1"/>
        </w:rPr>
        <w:t>h</w:t>
      </w:r>
      <w:r w:rsidR="0064081B">
        <w:rPr>
          <w:color w:val="000000" w:themeColor="text1"/>
        </w:rPr>
        <w:t>ere either no operation is permitted or where operation is only permitted under certain conditions (</w:t>
      </w:r>
      <w:r w:rsidR="00483339">
        <w:rPr>
          <w:color w:val="000000" w:themeColor="text1"/>
        </w:rPr>
        <w:t>e.g.,</w:t>
      </w:r>
      <w:r w:rsidR="0064081B">
        <w:rPr>
          <w:color w:val="000000" w:themeColor="text1"/>
        </w:rPr>
        <w:t xml:space="preserve"> agreement between operators). It was also suggested that if an adjacent frequency spectrum licensee obtains spectrum encompassed by an RB</w:t>
      </w:r>
      <w:r w:rsidR="00483339">
        <w:rPr>
          <w:color w:val="000000" w:themeColor="text1"/>
        </w:rPr>
        <w:t>,</w:t>
      </w:r>
      <w:r w:rsidR="0064081B">
        <w:rPr>
          <w:color w:val="000000" w:themeColor="text1"/>
        </w:rPr>
        <w:t xml:space="preserve"> there should be flexibility </w:t>
      </w:r>
      <w:r w:rsidR="003A2CBA">
        <w:rPr>
          <w:color w:val="000000" w:themeColor="text1"/>
        </w:rPr>
        <w:t xml:space="preserve">to support seamless operation of services within </w:t>
      </w:r>
      <w:r w:rsidR="00BD1D68">
        <w:rPr>
          <w:color w:val="000000" w:themeColor="text1"/>
        </w:rPr>
        <w:t>those</w:t>
      </w:r>
      <w:r w:rsidR="003A2CBA">
        <w:rPr>
          <w:color w:val="000000" w:themeColor="text1"/>
        </w:rPr>
        <w:t xml:space="preserve"> spectrum licence holdings.</w:t>
      </w:r>
    </w:p>
    <w:p w14:paraId="2D026F6E" w14:textId="477E0691" w:rsidR="00127636" w:rsidRDefault="00245317" w:rsidP="004453CF">
      <w:pPr>
        <w:pStyle w:val="Bulletlevel1"/>
      </w:pPr>
      <w:r>
        <w:t xml:space="preserve">It was clarified that base station (BS) to BS interference would be managed via use of </w:t>
      </w:r>
      <w:r w:rsidR="00D82401">
        <w:t>the current</w:t>
      </w:r>
      <w:r>
        <w:t xml:space="preserve"> synchronisation requirement</w:t>
      </w:r>
      <w:r w:rsidR="00D82401">
        <w:t xml:space="preserve"> on 3.4 GHz spectrum licences</w:t>
      </w:r>
      <w:r>
        <w:t xml:space="preserve">. </w:t>
      </w:r>
    </w:p>
    <w:p w14:paraId="657AF516" w14:textId="4F14497A" w:rsidR="00245317" w:rsidRDefault="00245317" w:rsidP="004453CF">
      <w:pPr>
        <w:pStyle w:val="Bulletlevel1"/>
      </w:pPr>
      <w:r>
        <w:t xml:space="preserve">It is understood that one of the </w:t>
      </w:r>
      <w:r w:rsidR="00C9195C">
        <w:t xml:space="preserve">2 </w:t>
      </w:r>
      <w:r>
        <w:t>proposed BS to CPE/</w:t>
      </w:r>
      <w:r w:rsidR="00A2186E">
        <w:t>mobile station (</w:t>
      </w:r>
      <w:r w:rsidR="0002592E">
        <w:t>MS</w:t>
      </w:r>
      <w:r w:rsidR="00A2186E">
        <w:t>)</w:t>
      </w:r>
      <w:r>
        <w:t xml:space="preserve"> interference criteria</w:t>
      </w:r>
      <w:r w:rsidR="00A90DD2">
        <w:t xml:space="preserve"> (detailed at Appendix E of the options paper)</w:t>
      </w:r>
      <w:r>
        <w:t xml:space="preserve"> would replace the existing </w:t>
      </w:r>
      <w:r w:rsidR="0002592E">
        <w:t xml:space="preserve">spectrum licence </w:t>
      </w:r>
      <w:r>
        <w:t xml:space="preserve">device boundary criteria </w:t>
      </w:r>
      <w:r w:rsidR="0002592E">
        <w:t xml:space="preserve">(DBC) </w:t>
      </w:r>
      <w:r>
        <w:t>for the management of interference to and from urban excise areas in the 3400</w:t>
      </w:r>
      <w:r w:rsidR="00230E24">
        <w:t>–</w:t>
      </w:r>
      <w:r>
        <w:t xml:space="preserve">3475 MHz band. </w:t>
      </w:r>
      <w:r w:rsidR="00E31963">
        <w:t>Mobile</w:t>
      </w:r>
      <w:r w:rsidR="001B041F">
        <w:t xml:space="preserve"> industry submissions</w:t>
      </w:r>
      <w:r w:rsidR="00E31963">
        <w:t xml:space="preserve"> </w:t>
      </w:r>
      <w:r w:rsidR="001B041F">
        <w:t xml:space="preserve">identified they have </w:t>
      </w:r>
      <w:r w:rsidR="00E31963">
        <w:t xml:space="preserve">not </w:t>
      </w:r>
      <w:r w:rsidR="00AB1158">
        <w:t>agreed</w:t>
      </w:r>
      <w:r w:rsidR="00E31963">
        <w:t xml:space="preserve"> on a preference for the </w:t>
      </w:r>
      <w:r w:rsidR="00A2186E">
        <w:t>power flux density (</w:t>
      </w:r>
      <w:r w:rsidR="00E31963">
        <w:t>PFD</w:t>
      </w:r>
      <w:r w:rsidR="00A2186E">
        <w:t>)</w:t>
      </w:r>
      <w:r w:rsidR="00E31963">
        <w:t xml:space="preserve"> or C/(N+I)</w:t>
      </w:r>
      <w:r w:rsidR="00A90DD2">
        <w:rPr>
          <w:rStyle w:val="FootnoteReference"/>
        </w:rPr>
        <w:footnoteReference w:id="15"/>
      </w:r>
      <w:r w:rsidR="00E31963">
        <w:t xml:space="preserve"> criteria</w:t>
      </w:r>
      <w:r w:rsidR="00DB0592">
        <w:t xml:space="preserve"> or associated parameters</w:t>
      </w:r>
      <w:r w:rsidR="00302E89">
        <w:t>, though it is proposed to use single entry assessment if a PFD approach is used</w:t>
      </w:r>
      <w:r w:rsidR="00E31963">
        <w:t xml:space="preserve">. </w:t>
      </w:r>
      <w:r w:rsidR="00302E89">
        <w:t>T</w:t>
      </w:r>
      <w:r w:rsidR="00127636">
        <w:t xml:space="preserve">he complexity and challenges in performing the proposed calculations for each new device registration were identified. </w:t>
      </w:r>
      <w:r w:rsidR="0002592E">
        <w:t>It was noted that there would be difficulties in registering transmitters</w:t>
      </w:r>
      <w:r w:rsidR="00A90DD2">
        <w:t xml:space="preserve"> in the RRL</w:t>
      </w:r>
      <w:r w:rsidR="0002592E">
        <w:t xml:space="preserve"> in urban excise areas to satisfy these requirements. Also</w:t>
      </w:r>
      <w:r w:rsidR="00AB1158">
        <w:t>,</w:t>
      </w:r>
      <w:r w:rsidR="0002592E">
        <w:t xml:space="preserve"> it is </w:t>
      </w:r>
      <w:r w:rsidR="00AB1158">
        <w:t xml:space="preserve">possible </w:t>
      </w:r>
      <w:r w:rsidR="0002592E">
        <w:t>that the more complex BS-CPE/MS criteria would be more restrictive than the current spectrum licence DBC.</w:t>
      </w:r>
      <w:r w:rsidR="00127636">
        <w:t xml:space="preserve"> </w:t>
      </w:r>
    </w:p>
    <w:p w14:paraId="351F8FEF" w14:textId="45E01C65" w:rsidR="00C74F54" w:rsidRDefault="00C74F54" w:rsidP="004453CF">
      <w:pPr>
        <w:pStyle w:val="Bulletlevel1"/>
      </w:pPr>
      <w:r>
        <w:t xml:space="preserve">It was agreed that no specific coordination requirements are required for interference between user equipment. </w:t>
      </w:r>
    </w:p>
    <w:p w14:paraId="1F3C3A5F" w14:textId="58539C98" w:rsidR="00475586" w:rsidRDefault="00475586" w:rsidP="004453CF">
      <w:pPr>
        <w:pStyle w:val="Bulletlevel1"/>
      </w:pPr>
      <w:r>
        <w:t xml:space="preserve">There was support for protecting NBN Co CPE </w:t>
      </w:r>
      <w:r w:rsidR="009E761D">
        <w:t xml:space="preserve">in areas adjacent to urban excise </w:t>
      </w:r>
      <w:proofErr w:type="gramStart"/>
      <w:r w:rsidR="009E761D">
        <w:t>areas</w:t>
      </w:r>
      <w:r w:rsidR="000F7F85">
        <w:t>,</w:t>
      </w:r>
      <w:r w:rsidR="00D64423">
        <w:t xml:space="preserve"> and</w:t>
      </w:r>
      <w:proofErr w:type="gramEnd"/>
      <w:r w:rsidR="00D64423">
        <w:t xml:space="preserve"> applying a condition that they are not deemed to cause interference into urban excise areas</w:t>
      </w:r>
      <w:r w:rsidR="009E761D">
        <w:t xml:space="preserve">. However, it was felt that reciprocal arrangements should apply to fixed </w:t>
      </w:r>
      <w:r w:rsidR="00B234AC">
        <w:t>CPEs</w:t>
      </w:r>
      <w:r w:rsidR="009E761D">
        <w:t xml:space="preserve"> inside urban excise areas</w:t>
      </w:r>
      <w:r w:rsidR="002D296F">
        <w:t>. This is so there is equality in the arrangements that apply</w:t>
      </w:r>
      <w:r w:rsidR="009E761D">
        <w:t xml:space="preserve">. </w:t>
      </w:r>
      <w:r w:rsidR="00C74F54">
        <w:t xml:space="preserve">It was also stated that such conditions should </w:t>
      </w:r>
      <w:r w:rsidR="00E31963">
        <w:t>only apply to the management of interference to and from urban excise areas and be limited to the 3400</w:t>
      </w:r>
      <w:r w:rsidR="00230E24">
        <w:t>–</w:t>
      </w:r>
      <w:r w:rsidR="00E31963">
        <w:t xml:space="preserve">3475 MHz band. </w:t>
      </w:r>
    </w:p>
    <w:p w14:paraId="6D0BC53F" w14:textId="48CEC536" w:rsidR="00F07162" w:rsidRDefault="00F07162" w:rsidP="004453CF">
      <w:pPr>
        <w:pStyle w:val="Bulletlevel1"/>
      </w:pPr>
      <w:r>
        <w:t xml:space="preserve">There was support for measures to enable NBN Co to adopt new technologies provided reasonable restrictions are applied (as detailed </w:t>
      </w:r>
      <w:r w:rsidR="00BD1D68">
        <w:t xml:space="preserve">in </w:t>
      </w:r>
      <w:r>
        <w:t>Option B in Table 10 of the options paper).</w:t>
      </w:r>
    </w:p>
    <w:p w14:paraId="1CE12EB4" w14:textId="2F27BDFB" w:rsidR="00D64423" w:rsidRPr="00475586" w:rsidRDefault="009E761D" w:rsidP="004453CF">
      <w:pPr>
        <w:pStyle w:val="Bulletlevel1last"/>
      </w:pPr>
      <w:r>
        <w:t>It was suggested that NBN Co service areas</w:t>
      </w:r>
      <w:r w:rsidR="00605C02">
        <w:t>,</w:t>
      </w:r>
      <w:r>
        <w:t xml:space="preserve"> where CPE</w:t>
      </w:r>
      <w:r w:rsidR="00900B7D">
        <w:t>s</w:t>
      </w:r>
      <w:r>
        <w:t xml:space="preserve"> </w:t>
      </w:r>
      <w:r w:rsidR="00900B7D">
        <w:t>are</w:t>
      </w:r>
      <w:r>
        <w:t xml:space="preserve"> protected</w:t>
      </w:r>
      <w:r w:rsidR="00605C02">
        <w:t>,</w:t>
      </w:r>
      <w:r>
        <w:t xml:space="preserve"> need to be </w:t>
      </w:r>
      <w:r w:rsidR="00900B7D">
        <w:t>defined more precisely</w:t>
      </w:r>
      <w:r>
        <w:t xml:space="preserve">. The areas should be defined to </w:t>
      </w:r>
      <w:r w:rsidR="000A607C">
        <w:t xml:space="preserve">only </w:t>
      </w:r>
      <w:r>
        <w:t>encompass premises</w:t>
      </w:r>
      <w:r w:rsidR="004164AB">
        <w:t>,</w:t>
      </w:r>
      <w:r>
        <w:t xml:space="preserve"> or serviceable areas</w:t>
      </w:r>
      <w:r w:rsidR="004164AB">
        <w:t>,</w:t>
      </w:r>
      <w:r>
        <w:t xml:space="preserve"> where NBN Co is required to provide fixed wireless services with </w:t>
      </w:r>
      <w:r w:rsidR="000A607C">
        <w:t xml:space="preserve">the </w:t>
      </w:r>
      <w:r>
        <w:t>addition of a small buffer (e.g.</w:t>
      </w:r>
      <w:r w:rsidR="00230E24">
        <w:t>,</w:t>
      </w:r>
      <w:r>
        <w:t xml:space="preserve"> 100 metres). This ensures erroneous areas</w:t>
      </w:r>
      <w:r w:rsidR="000A607C">
        <w:t>, such as vacant land, forests or other uninhabited places,</w:t>
      </w:r>
      <w:r>
        <w:t xml:space="preserve"> are not included.</w:t>
      </w:r>
    </w:p>
    <w:p w14:paraId="03218C5A" w14:textId="5BC17B28" w:rsidR="00475586" w:rsidRDefault="00475586" w:rsidP="00AD0843">
      <w:pPr>
        <w:pStyle w:val="Paragraph"/>
        <w:rPr>
          <w:szCs w:val="20"/>
        </w:rPr>
      </w:pPr>
      <w:r>
        <w:rPr>
          <w:szCs w:val="20"/>
        </w:rPr>
        <w:t>More detail</w:t>
      </w:r>
      <w:r w:rsidR="00230E24">
        <w:rPr>
          <w:szCs w:val="20"/>
        </w:rPr>
        <w:t>s</w:t>
      </w:r>
      <w:r>
        <w:rPr>
          <w:szCs w:val="20"/>
        </w:rPr>
        <w:t xml:space="preserve"> on </w:t>
      </w:r>
      <w:r w:rsidR="003A2CBA">
        <w:rPr>
          <w:szCs w:val="20"/>
        </w:rPr>
        <w:t xml:space="preserve">the </w:t>
      </w:r>
      <w:r>
        <w:rPr>
          <w:szCs w:val="20"/>
        </w:rPr>
        <w:t xml:space="preserve">views and proposals made by mobile industry </w:t>
      </w:r>
      <w:r w:rsidR="001B041F">
        <w:rPr>
          <w:szCs w:val="20"/>
        </w:rPr>
        <w:t xml:space="preserve">submissions </w:t>
      </w:r>
      <w:r w:rsidR="0064081B">
        <w:rPr>
          <w:szCs w:val="20"/>
        </w:rPr>
        <w:t xml:space="preserve">on this issue </w:t>
      </w:r>
      <w:r>
        <w:rPr>
          <w:szCs w:val="20"/>
        </w:rPr>
        <w:t>can be found in the AMTA</w:t>
      </w:r>
      <w:r w:rsidR="0064081B">
        <w:rPr>
          <w:szCs w:val="20"/>
        </w:rPr>
        <w:t>, Optus</w:t>
      </w:r>
      <w:r>
        <w:rPr>
          <w:szCs w:val="20"/>
        </w:rPr>
        <w:t xml:space="preserve"> and Telstra submissions. </w:t>
      </w:r>
    </w:p>
    <w:p w14:paraId="4F37FD73" w14:textId="77777777" w:rsidR="00AD0843" w:rsidRDefault="00AD0843" w:rsidP="00AD0843">
      <w:pPr>
        <w:pStyle w:val="Paragraph"/>
        <w:spacing w:before="240" w:after="0"/>
        <w:rPr>
          <w:b/>
          <w:bCs/>
          <w:i/>
          <w:iCs/>
        </w:rPr>
      </w:pPr>
      <w:r>
        <w:rPr>
          <w:b/>
          <w:bCs/>
          <w:i/>
          <w:iCs/>
          <w:szCs w:val="20"/>
        </w:rPr>
        <w:t xml:space="preserve">Restricted </w:t>
      </w:r>
      <w:r w:rsidRPr="0039322F">
        <w:rPr>
          <w:b/>
          <w:bCs/>
          <w:i/>
          <w:iCs/>
          <w:szCs w:val="20"/>
        </w:rPr>
        <w:t>cell model</w:t>
      </w:r>
    </w:p>
    <w:p w14:paraId="797803E4" w14:textId="03B861D8" w:rsidR="00DE1299" w:rsidRDefault="00071781" w:rsidP="00DE1299">
      <w:pPr>
        <w:pStyle w:val="Paragraph"/>
      </w:pPr>
      <w:r>
        <w:t>NBN Co stated a preference for t</w:t>
      </w:r>
      <w:r w:rsidR="00DE1299">
        <w:t>he proposed interference management criteria relating to Option</w:t>
      </w:r>
      <w:r w:rsidR="00900B7D">
        <w:t>s</w:t>
      </w:r>
      <w:r w:rsidR="00DE1299">
        <w:t xml:space="preserve"> 2 </w:t>
      </w:r>
      <w:r w:rsidR="00900B7D">
        <w:t>and</w:t>
      </w:r>
      <w:r w:rsidR="00DE1299">
        <w:t xml:space="preserve"> 3</w:t>
      </w:r>
      <w:r>
        <w:t xml:space="preserve">. </w:t>
      </w:r>
      <w:r w:rsidR="00900B7D">
        <w:t xml:space="preserve">It </w:t>
      </w:r>
      <w:r>
        <w:t>argued these were</w:t>
      </w:r>
      <w:r w:rsidR="00DE1299">
        <w:t xml:space="preserve"> simpler and would avoid many of the complexities </w:t>
      </w:r>
      <w:r w:rsidR="001D0F82">
        <w:t xml:space="preserve">the </w:t>
      </w:r>
      <w:r w:rsidR="00DE1299">
        <w:t xml:space="preserve">ACMA is trying to address </w:t>
      </w:r>
      <w:r>
        <w:t>regarding the development of interference criteria for the macro cell model.</w:t>
      </w:r>
    </w:p>
    <w:p w14:paraId="1C522C58" w14:textId="1657F97E" w:rsidR="00AD0843" w:rsidRDefault="00C755E8" w:rsidP="004453CF">
      <w:pPr>
        <w:pStyle w:val="Paragraphbeforelist"/>
      </w:pPr>
      <w:r>
        <w:t xml:space="preserve">Private </w:t>
      </w:r>
      <w:r w:rsidR="001B041F">
        <w:t>WBB submissions</w:t>
      </w:r>
      <w:r>
        <w:t xml:space="preserve"> raised the following points regarding the preliminary interference management criteria:</w:t>
      </w:r>
    </w:p>
    <w:p w14:paraId="48F77A59" w14:textId="15212F78" w:rsidR="003B5D00" w:rsidRDefault="003B5D00" w:rsidP="004453CF">
      <w:pPr>
        <w:pStyle w:val="Bulletlevel1"/>
      </w:pPr>
      <w:r>
        <w:t>Numerous submissions commented that the criteria proposed w</w:t>
      </w:r>
      <w:r w:rsidR="00DE49AB">
        <w:t>ere</w:t>
      </w:r>
      <w:r>
        <w:t xml:space="preserve"> reasonable.</w:t>
      </w:r>
      <w:r w:rsidR="00EE7909">
        <w:t xml:space="preserve"> </w:t>
      </w:r>
      <w:r w:rsidR="00766152">
        <w:t>They</w:t>
      </w:r>
      <w:r w:rsidR="00EE7909">
        <w:t xml:space="preserve"> believed that appropriate measure</w:t>
      </w:r>
      <w:r w:rsidR="00766152">
        <w:t>s</w:t>
      </w:r>
      <w:r w:rsidR="00EE7909">
        <w:t xml:space="preserve"> could be put in place to manage interference between multiple private WBB operators under Option 3.</w:t>
      </w:r>
    </w:p>
    <w:p w14:paraId="02D5A1B1" w14:textId="63677FB5" w:rsidR="00C755E8" w:rsidRDefault="00EE7909" w:rsidP="004453CF">
      <w:pPr>
        <w:pStyle w:val="Bulletlevel1"/>
      </w:pPr>
      <w:r>
        <w:lastRenderedPageBreak/>
        <w:t>One submission suggested o</w:t>
      </w:r>
      <w:r w:rsidR="00C755E8">
        <w:t>nly time division duplex (TDD) systems should be supported</w:t>
      </w:r>
      <w:r w:rsidR="00F3260B">
        <w:t>,</w:t>
      </w:r>
      <w:r w:rsidR="00C755E8">
        <w:t xml:space="preserve"> to </w:t>
      </w:r>
      <w:r w:rsidR="00C755E8">
        <w:rPr>
          <w:szCs w:val="20"/>
        </w:rPr>
        <w:t>minimise interference and maximise efficient use of spectrum</w:t>
      </w:r>
      <w:r w:rsidR="00C755E8">
        <w:t>. Also</w:t>
      </w:r>
      <w:r w:rsidR="00477010">
        <w:t>,</w:t>
      </w:r>
      <w:r w:rsidR="00C755E8">
        <w:t xml:space="preserve"> </w:t>
      </w:r>
      <w:r w:rsidR="00C755E8">
        <w:rPr>
          <w:szCs w:val="20"/>
        </w:rPr>
        <w:t>TDD synchronization/timing and a common flexible/configurable frame structure requirement needs to be adopted.</w:t>
      </w:r>
      <w:r w:rsidR="00C755E8">
        <w:t xml:space="preserve"> </w:t>
      </w:r>
    </w:p>
    <w:p w14:paraId="6CECDB58" w14:textId="2C26703F" w:rsidR="00EE7909" w:rsidRDefault="00EE7909" w:rsidP="004453CF">
      <w:pPr>
        <w:pStyle w:val="Bulletlevel1"/>
      </w:pPr>
      <w:r>
        <w:rPr>
          <w:szCs w:val="20"/>
        </w:rPr>
        <w:t>One submission indicated i</w:t>
      </w:r>
      <w:r w:rsidR="003B5D00">
        <w:rPr>
          <w:szCs w:val="20"/>
        </w:rPr>
        <w:t>t is important that unwanted emission limits be developed and/or guard bands</w:t>
      </w:r>
      <w:r w:rsidR="00DE49AB">
        <w:rPr>
          <w:szCs w:val="20"/>
        </w:rPr>
        <w:t xml:space="preserve"> be instituted</w:t>
      </w:r>
      <w:r w:rsidR="003B5D00">
        <w:rPr>
          <w:szCs w:val="20"/>
        </w:rPr>
        <w:t xml:space="preserve"> to assist in the management of interference. It is preferable that reasonable emission limits are used so that guard bands can be avoided to maximise available spectrum. Whatever emission limits are adopted, these should not be overly stringent and not add unwanted burden in terms of filtering (for example). It is equally important to ensure that these emissions limits are not </w:t>
      </w:r>
      <w:r w:rsidR="00DE49AB">
        <w:rPr>
          <w:szCs w:val="20"/>
        </w:rPr>
        <w:t xml:space="preserve">so </w:t>
      </w:r>
      <w:r w:rsidR="003B5D00">
        <w:rPr>
          <w:szCs w:val="20"/>
        </w:rPr>
        <w:t>relaxed</w:t>
      </w:r>
      <w:r w:rsidR="00DE49AB">
        <w:rPr>
          <w:szCs w:val="20"/>
        </w:rPr>
        <w:t xml:space="preserve"> as to </w:t>
      </w:r>
      <w:r w:rsidR="003B5D00">
        <w:rPr>
          <w:szCs w:val="20"/>
        </w:rPr>
        <w:t xml:space="preserve">contribute </w:t>
      </w:r>
      <w:r w:rsidR="00766152">
        <w:rPr>
          <w:szCs w:val="20"/>
        </w:rPr>
        <w:t xml:space="preserve">to </w:t>
      </w:r>
      <w:r w:rsidR="003B5D00">
        <w:rPr>
          <w:szCs w:val="20"/>
        </w:rPr>
        <w:t>interference.</w:t>
      </w:r>
      <w:r w:rsidR="003A2913">
        <w:rPr>
          <w:szCs w:val="20"/>
        </w:rPr>
        <w:t xml:space="preserve"> </w:t>
      </w:r>
      <w:r>
        <w:t xml:space="preserve">Another submission suggested </w:t>
      </w:r>
      <w:r w:rsidRPr="003A2913">
        <w:t xml:space="preserve">Interference to NBN Co and adjacent band </w:t>
      </w:r>
      <w:r w:rsidR="00B234AC">
        <w:t>spectrum licence</w:t>
      </w:r>
      <w:r w:rsidR="00B234AC" w:rsidRPr="003A2913">
        <w:t xml:space="preserve">s </w:t>
      </w:r>
      <w:r w:rsidRPr="003A2913">
        <w:t>c</w:t>
      </w:r>
      <w:r>
        <w:t>ould</w:t>
      </w:r>
      <w:r w:rsidRPr="003A2913">
        <w:t xml:space="preserve"> be managed by ensuring </w:t>
      </w:r>
      <w:r>
        <w:t xml:space="preserve">licences </w:t>
      </w:r>
      <w:r w:rsidRPr="003A2913">
        <w:t>are operated within the 3GPP guidelines.</w:t>
      </w:r>
    </w:p>
    <w:p w14:paraId="11FEF8F6" w14:textId="5894EBD9" w:rsidR="00EF0D73" w:rsidRPr="003A2913" w:rsidRDefault="003B5D00" w:rsidP="004453CF">
      <w:pPr>
        <w:pStyle w:val="Bulletlevel1last"/>
      </w:pPr>
      <w:r>
        <w:t xml:space="preserve">One submission proposed additional safeguards be put in place to ensure proposed networks take reasonable technical and engineering planning into account during the application process, </w:t>
      </w:r>
      <w:r w:rsidR="00DE49AB">
        <w:t>including</w:t>
      </w:r>
      <w:r>
        <w:t xml:space="preserve">: declaration and validation of devices to minimise interference, </w:t>
      </w:r>
      <w:r w:rsidR="00DE49AB">
        <w:t xml:space="preserve">and </w:t>
      </w:r>
      <w:r>
        <w:t>testing to ensure neighbouring users are not adversely affected in normal operation. Regulatory mechanism</w:t>
      </w:r>
      <w:r w:rsidR="00DE49AB">
        <w:t>s</w:t>
      </w:r>
      <w:r>
        <w:t xml:space="preserve"> should also be adopted to arbitrate or resolve dispute</w:t>
      </w:r>
      <w:r w:rsidR="00766152">
        <w:t>s</w:t>
      </w:r>
      <w:r>
        <w:t xml:space="preserve"> between adjacent spectrum holders in case of interference, should mutual negotiation fail.</w:t>
      </w:r>
    </w:p>
    <w:p w14:paraId="3B2C4FBA" w14:textId="1AAB53CE" w:rsidR="00AD0843" w:rsidRPr="000B6A4B" w:rsidRDefault="00A47C0D" w:rsidP="00490498">
      <w:pPr>
        <w:pStyle w:val="Paragraph"/>
        <w:spacing w:before="240" w:after="0"/>
        <w:rPr>
          <w:b/>
          <w:bCs/>
          <w:i/>
          <w:iCs/>
        </w:rPr>
      </w:pPr>
      <w:r>
        <w:rPr>
          <w:b/>
          <w:bCs/>
          <w:i/>
          <w:iCs/>
        </w:rPr>
        <w:t xml:space="preserve">Preliminary </w:t>
      </w:r>
      <w:r w:rsidR="00AD0843" w:rsidRPr="000B6A4B">
        <w:rPr>
          <w:b/>
          <w:bCs/>
          <w:i/>
          <w:iCs/>
        </w:rPr>
        <w:t>ACMA response</w:t>
      </w:r>
    </w:p>
    <w:p w14:paraId="1AF16E97" w14:textId="0FEAA725" w:rsidR="00AD0843" w:rsidRDefault="00793411" w:rsidP="00AD0843">
      <w:pPr>
        <w:pStyle w:val="Paragraph"/>
        <w:rPr>
          <w:szCs w:val="20"/>
        </w:rPr>
      </w:pPr>
      <w:r>
        <w:rPr>
          <w:szCs w:val="20"/>
        </w:rPr>
        <w:t xml:space="preserve">We note the </w:t>
      </w:r>
      <w:r w:rsidR="00490498">
        <w:rPr>
          <w:szCs w:val="20"/>
        </w:rPr>
        <w:t xml:space="preserve">views and proposals </w:t>
      </w:r>
      <w:r w:rsidR="00A90ED3">
        <w:rPr>
          <w:szCs w:val="20"/>
        </w:rPr>
        <w:t>concerning</w:t>
      </w:r>
      <w:r w:rsidR="00490498">
        <w:rPr>
          <w:szCs w:val="20"/>
        </w:rPr>
        <w:t xml:space="preserve"> the preliminary interference management criteria. These will be </w:t>
      </w:r>
      <w:r w:rsidR="00FA04CE">
        <w:rPr>
          <w:szCs w:val="20"/>
        </w:rPr>
        <w:t>considered</w:t>
      </w:r>
      <w:r w:rsidR="00490498">
        <w:rPr>
          <w:szCs w:val="20"/>
        </w:rPr>
        <w:t xml:space="preserve"> in the further development of these criteria under the final option adopted for use </w:t>
      </w:r>
      <w:r w:rsidR="00766152">
        <w:rPr>
          <w:szCs w:val="20"/>
        </w:rPr>
        <w:t xml:space="preserve">in </w:t>
      </w:r>
      <w:r w:rsidR="00490498">
        <w:rPr>
          <w:szCs w:val="20"/>
        </w:rPr>
        <w:t xml:space="preserve">urban excise areas. </w:t>
      </w:r>
      <w:r w:rsidR="00EF0D73">
        <w:rPr>
          <w:szCs w:val="20"/>
        </w:rPr>
        <w:t>We further confirm that support for TDD systems only is envisioned for urban excise areas.</w:t>
      </w:r>
    </w:p>
    <w:p w14:paraId="5BDD7790" w14:textId="0D16469B" w:rsidR="00AB4389" w:rsidRDefault="00023C84" w:rsidP="00AD0843">
      <w:pPr>
        <w:pStyle w:val="Paragraph"/>
        <w:rPr>
          <w:szCs w:val="20"/>
        </w:rPr>
      </w:pPr>
      <w:r>
        <w:rPr>
          <w:szCs w:val="20"/>
        </w:rPr>
        <w:t>T</w:t>
      </w:r>
      <w:r w:rsidR="00AB4389">
        <w:rPr>
          <w:szCs w:val="20"/>
        </w:rPr>
        <w:t xml:space="preserve">he ACMA plans to further consult on proposed interference management criteria before they are finalised. </w:t>
      </w:r>
    </w:p>
    <w:p w14:paraId="7B2E32EF" w14:textId="20E7CE31" w:rsidR="008E3043" w:rsidRPr="00295830" w:rsidRDefault="00633957" w:rsidP="00AD0843">
      <w:pPr>
        <w:pStyle w:val="Paragraph"/>
        <w:rPr>
          <w:szCs w:val="20"/>
        </w:rPr>
      </w:pPr>
      <w:r w:rsidRPr="00295830">
        <w:rPr>
          <w:szCs w:val="20"/>
        </w:rPr>
        <w:t>Part of this work will consider appropriate unwanted emission limits for WBB services. We acknowledge that these are one mechanism that can be used to manage adjacent channel interference</w:t>
      </w:r>
      <w:r w:rsidR="008E3043" w:rsidRPr="00295830">
        <w:rPr>
          <w:szCs w:val="20"/>
        </w:rPr>
        <w:t xml:space="preserve"> between different urban excise licensees</w:t>
      </w:r>
      <w:r w:rsidRPr="00295830">
        <w:rPr>
          <w:szCs w:val="20"/>
        </w:rPr>
        <w:t xml:space="preserve">, but they are not the only </w:t>
      </w:r>
      <w:r w:rsidR="00044B4B">
        <w:rPr>
          <w:szCs w:val="20"/>
        </w:rPr>
        <w:t xml:space="preserve">or </w:t>
      </w:r>
      <w:r w:rsidR="00DE49AB">
        <w:rPr>
          <w:szCs w:val="20"/>
        </w:rPr>
        <w:t xml:space="preserve">necessarily the </w:t>
      </w:r>
      <w:r w:rsidR="00044B4B">
        <w:rPr>
          <w:szCs w:val="20"/>
        </w:rPr>
        <w:t xml:space="preserve">most appropriate </w:t>
      </w:r>
      <w:r w:rsidRPr="00295830">
        <w:rPr>
          <w:szCs w:val="20"/>
        </w:rPr>
        <w:t>one. We note that relying on unwanted emission</w:t>
      </w:r>
      <w:r w:rsidR="00C53054" w:rsidRPr="00295830">
        <w:rPr>
          <w:szCs w:val="20"/>
        </w:rPr>
        <w:t xml:space="preserve"> limits</w:t>
      </w:r>
      <w:r w:rsidRPr="00295830">
        <w:rPr>
          <w:szCs w:val="20"/>
        </w:rPr>
        <w:t xml:space="preserve"> alone to manage </w:t>
      </w:r>
      <w:r w:rsidR="008E3043" w:rsidRPr="00295830">
        <w:rPr>
          <w:szCs w:val="20"/>
        </w:rPr>
        <w:t xml:space="preserve">adjacent channel </w:t>
      </w:r>
      <w:r w:rsidRPr="00295830">
        <w:rPr>
          <w:szCs w:val="20"/>
        </w:rPr>
        <w:t>interference</w:t>
      </w:r>
      <w:r w:rsidR="008E3043" w:rsidRPr="00295830">
        <w:rPr>
          <w:szCs w:val="20"/>
        </w:rPr>
        <w:t xml:space="preserve"> </w:t>
      </w:r>
      <w:r w:rsidRPr="00295830">
        <w:rPr>
          <w:szCs w:val="20"/>
        </w:rPr>
        <w:t>would likely require the use of restricted use bands.</w:t>
      </w:r>
      <w:r w:rsidR="008E3043" w:rsidRPr="00295830">
        <w:rPr>
          <w:szCs w:val="20"/>
        </w:rPr>
        <w:t xml:space="preserve"> The stricter the limits</w:t>
      </w:r>
      <w:r w:rsidR="00023C84">
        <w:rPr>
          <w:szCs w:val="20"/>
        </w:rPr>
        <w:t>,</w:t>
      </w:r>
      <w:r w:rsidR="008E3043" w:rsidRPr="00295830">
        <w:rPr>
          <w:szCs w:val="20"/>
        </w:rPr>
        <w:t xml:space="preserve"> the smaller the size of any </w:t>
      </w:r>
      <w:r w:rsidR="00795584" w:rsidRPr="00295830">
        <w:rPr>
          <w:szCs w:val="20"/>
        </w:rPr>
        <w:t>r</w:t>
      </w:r>
      <w:r w:rsidR="008E3043" w:rsidRPr="00295830">
        <w:rPr>
          <w:szCs w:val="20"/>
        </w:rPr>
        <w:t>estricted use bands</w:t>
      </w:r>
      <w:r w:rsidR="00795584" w:rsidRPr="00295830">
        <w:rPr>
          <w:szCs w:val="20"/>
        </w:rPr>
        <w:t xml:space="preserve"> and vice versa</w:t>
      </w:r>
      <w:r w:rsidR="008E3043" w:rsidRPr="00295830">
        <w:rPr>
          <w:szCs w:val="20"/>
        </w:rPr>
        <w:t>. If multiple operators gain access to an urban</w:t>
      </w:r>
      <w:r w:rsidR="00766152">
        <w:rPr>
          <w:szCs w:val="20"/>
        </w:rPr>
        <w:t xml:space="preserve"> excise</w:t>
      </w:r>
      <w:r w:rsidR="008E3043" w:rsidRPr="00295830">
        <w:rPr>
          <w:szCs w:val="20"/>
        </w:rPr>
        <w:t xml:space="preserve"> area this w</w:t>
      </w:r>
      <w:r w:rsidRPr="00295830">
        <w:rPr>
          <w:szCs w:val="20"/>
        </w:rPr>
        <w:t>ould further reduce the utility of</w:t>
      </w:r>
      <w:r w:rsidR="008E3043" w:rsidRPr="00295830">
        <w:rPr>
          <w:szCs w:val="20"/>
        </w:rPr>
        <w:t xml:space="preserve"> the already limited amount of spectrum available.</w:t>
      </w:r>
      <w:r w:rsidR="00044B4B">
        <w:rPr>
          <w:szCs w:val="20"/>
        </w:rPr>
        <w:t xml:space="preserve"> There may also be difficulties in implementing some limits in active antenna systems.</w:t>
      </w:r>
      <w:r w:rsidR="008E3043" w:rsidRPr="00295830">
        <w:rPr>
          <w:szCs w:val="20"/>
        </w:rPr>
        <w:t xml:space="preserve"> </w:t>
      </w:r>
      <w:r w:rsidR="00023C84">
        <w:rPr>
          <w:szCs w:val="20"/>
        </w:rPr>
        <w:t>It will be challenging f</w:t>
      </w:r>
      <w:r w:rsidR="00795584" w:rsidRPr="00295830">
        <w:rPr>
          <w:szCs w:val="20"/>
        </w:rPr>
        <w:t xml:space="preserve">inding the </w:t>
      </w:r>
      <w:r w:rsidR="00023C84">
        <w:rPr>
          <w:szCs w:val="20"/>
        </w:rPr>
        <w:t>appropriate</w:t>
      </w:r>
      <w:r w:rsidR="00795584" w:rsidRPr="00295830">
        <w:rPr>
          <w:szCs w:val="20"/>
        </w:rPr>
        <w:t xml:space="preserve"> balance for unwanted emission limits and guard/restricted use bands</w:t>
      </w:r>
      <w:r w:rsidR="00023C84">
        <w:rPr>
          <w:szCs w:val="20"/>
        </w:rPr>
        <w:t>.</w:t>
      </w:r>
      <w:r w:rsidR="00795584" w:rsidRPr="00295830">
        <w:rPr>
          <w:szCs w:val="20"/>
        </w:rPr>
        <w:t xml:space="preserve"> </w:t>
      </w:r>
    </w:p>
    <w:p w14:paraId="563DBD8D" w14:textId="7DAED578" w:rsidR="00671370" w:rsidRPr="00F42D41" w:rsidRDefault="00023C84" w:rsidP="00AD0843">
      <w:pPr>
        <w:pStyle w:val="Paragraph"/>
        <w:rPr>
          <w:szCs w:val="20"/>
        </w:rPr>
      </w:pPr>
      <w:r>
        <w:rPr>
          <w:szCs w:val="20"/>
        </w:rPr>
        <w:t>W</w:t>
      </w:r>
      <w:r w:rsidR="00C53054" w:rsidRPr="00295830">
        <w:rPr>
          <w:szCs w:val="20"/>
        </w:rPr>
        <w:t xml:space="preserve">e </w:t>
      </w:r>
      <w:r>
        <w:rPr>
          <w:szCs w:val="20"/>
        </w:rPr>
        <w:t>consider</w:t>
      </w:r>
      <w:r w:rsidR="00C53054" w:rsidRPr="00295830">
        <w:rPr>
          <w:szCs w:val="20"/>
        </w:rPr>
        <w:t xml:space="preserve"> that </w:t>
      </w:r>
      <w:r w:rsidR="00090CE7">
        <w:rPr>
          <w:szCs w:val="20"/>
        </w:rPr>
        <w:t>adopting a</w:t>
      </w:r>
      <w:r w:rsidR="00C53054" w:rsidRPr="00295830">
        <w:rPr>
          <w:szCs w:val="20"/>
        </w:rPr>
        <w:t xml:space="preserve"> restricted use band is appropriate for managing interference with services deployed under existing adjacent channel spectrum licences. However, t</w:t>
      </w:r>
      <w:r w:rsidR="00795584" w:rsidRPr="00295830">
        <w:rPr>
          <w:szCs w:val="20"/>
        </w:rPr>
        <w:t xml:space="preserve">he ACMA’s </w:t>
      </w:r>
      <w:r w:rsidR="00C53054" w:rsidRPr="00295830">
        <w:rPr>
          <w:szCs w:val="20"/>
        </w:rPr>
        <w:t xml:space="preserve">current </w:t>
      </w:r>
      <w:r w:rsidR="00795584" w:rsidRPr="00295830">
        <w:rPr>
          <w:szCs w:val="20"/>
        </w:rPr>
        <w:t>preference is to use a synchronisation fallback scheme to manage</w:t>
      </w:r>
      <w:r w:rsidR="00C53054" w:rsidRPr="00295830">
        <w:rPr>
          <w:szCs w:val="20"/>
        </w:rPr>
        <w:t xml:space="preserve"> adjacent channel interference between urban excise licensees. This </w:t>
      </w:r>
      <w:r w:rsidR="00F42D41" w:rsidRPr="00295830">
        <w:rPr>
          <w:szCs w:val="20"/>
        </w:rPr>
        <w:t xml:space="preserve">reduces the need for restricted use bands and enables licensees to investigate alternative measures if practical and/or agreed with relevant licensees. </w:t>
      </w:r>
      <w:r>
        <w:rPr>
          <w:szCs w:val="20"/>
        </w:rPr>
        <w:t>I</w:t>
      </w:r>
      <w:r w:rsidR="00F42D41" w:rsidRPr="00295830">
        <w:rPr>
          <w:szCs w:val="20"/>
        </w:rPr>
        <w:t xml:space="preserve">f this is not possible, then there is a clear mechanism </w:t>
      </w:r>
      <w:r w:rsidR="00DE49AB">
        <w:rPr>
          <w:szCs w:val="20"/>
        </w:rPr>
        <w:t>(i.e.</w:t>
      </w:r>
      <w:r w:rsidR="00793411">
        <w:rPr>
          <w:szCs w:val="20"/>
        </w:rPr>
        <w:t>,</w:t>
      </w:r>
      <w:r w:rsidR="00DE49AB">
        <w:rPr>
          <w:szCs w:val="20"/>
        </w:rPr>
        <w:t xml:space="preserve"> synchronise using a defined frame structure) </w:t>
      </w:r>
      <w:r w:rsidR="00F42D41" w:rsidRPr="00295830">
        <w:rPr>
          <w:szCs w:val="20"/>
        </w:rPr>
        <w:t xml:space="preserve">that licensees </w:t>
      </w:r>
      <w:r w:rsidR="00F42D41">
        <w:rPr>
          <w:szCs w:val="20"/>
        </w:rPr>
        <w:t>must</w:t>
      </w:r>
      <w:r w:rsidR="00F42D41" w:rsidRPr="00295830">
        <w:rPr>
          <w:szCs w:val="20"/>
        </w:rPr>
        <w:t xml:space="preserve"> adopt to manage any interference.</w:t>
      </w:r>
    </w:p>
    <w:p w14:paraId="6CA04BF4" w14:textId="3143D9B1" w:rsidR="004B0F44" w:rsidRPr="000B6A4B" w:rsidRDefault="004B0F44" w:rsidP="004B0F44">
      <w:pPr>
        <w:pStyle w:val="Heading3"/>
      </w:pPr>
      <w:r w:rsidRPr="000B6A4B">
        <w:t xml:space="preserve">Other issues </w:t>
      </w:r>
      <w:r w:rsidR="004A41BC">
        <w:t>raised</w:t>
      </w:r>
    </w:p>
    <w:p w14:paraId="33A4FC19" w14:textId="419E9A94" w:rsidR="00976D2F" w:rsidRDefault="00F5051A" w:rsidP="00976D2F">
      <w:pPr>
        <w:rPr>
          <w:szCs w:val="20"/>
        </w:rPr>
      </w:pPr>
      <w:proofErr w:type="spellStart"/>
      <w:r>
        <w:rPr>
          <w:szCs w:val="20"/>
        </w:rPr>
        <w:t>Aqura</w:t>
      </w:r>
      <w:proofErr w:type="spellEnd"/>
      <w:r>
        <w:rPr>
          <w:szCs w:val="20"/>
        </w:rPr>
        <w:t xml:space="preserve"> Technologies </w:t>
      </w:r>
      <w:r w:rsidR="00976D2F">
        <w:rPr>
          <w:szCs w:val="20"/>
        </w:rPr>
        <w:t>stated there</w:t>
      </w:r>
      <w:r w:rsidR="004A41BC">
        <w:rPr>
          <w:szCs w:val="20"/>
        </w:rPr>
        <w:t xml:space="preserve"> </w:t>
      </w:r>
      <w:r w:rsidR="004A48BE">
        <w:rPr>
          <w:szCs w:val="20"/>
        </w:rPr>
        <w:t xml:space="preserve">are </w:t>
      </w:r>
      <w:r w:rsidR="004A41BC">
        <w:rPr>
          <w:szCs w:val="20"/>
        </w:rPr>
        <w:t>entities</w:t>
      </w:r>
      <w:r w:rsidR="00976D2F">
        <w:rPr>
          <w:szCs w:val="20"/>
        </w:rPr>
        <w:t xml:space="preserve"> </w:t>
      </w:r>
      <w:r w:rsidR="004A41BC">
        <w:rPr>
          <w:szCs w:val="20"/>
        </w:rPr>
        <w:t xml:space="preserve">holding </w:t>
      </w:r>
      <w:r w:rsidR="00976D2F">
        <w:rPr>
          <w:szCs w:val="20"/>
        </w:rPr>
        <w:t xml:space="preserve">tactical </w:t>
      </w:r>
      <w:r w:rsidR="00976D2F">
        <w:rPr>
          <w:rFonts w:cs="Arial"/>
          <w:szCs w:val="20"/>
        </w:rPr>
        <w:t xml:space="preserve">spectrum holdings </w:t>
      </w:r>
      <w:r w:rsidR="00766152">
        <w:rPr>
          <w:rFonts w:cs="Arial"/>
          <w:szCs w:val="20"/>
        </w:rPr>
        <w:t xml:space="preserve">in various WBB bands </w:t>
      </w:r>
      <w:r w:rsidR="00976D2F">
        <w:rPr>
          <w:rFonts w:cs="Arial"/>
          <w:szCs w:val="20"/>
        </w:rPr>
        <w:t>for competitive gain</w:t>
      </w:r>
      <w:r w:rsidR="005C3965">
        <w:rPr>
          <w:rFonts w:cs="Arial"/>
          <w:szCs w:val="20"/>
        </w:rPr>
        <w:t>,</w:t>
      </w:r>
      <w:r w:rsidR="00976D2F">
        <w:rPr>
          <w:rFonts w:cs="Arial"/>
          <w:szCs w:val="20"/>
        </w:rPr>
        <w:t xml:space="preserve"> who are restricting the ability of end-user organisations to create and operate their own </w:t>
      </w:r>
      <w:r w:rsidR="004A41BC">
        <w:rPr>
          <w:rFonts w:cs="Arial"/>
          <w:szCs w:val="20"/>
        </w:rPr>
        <w:t>p</w:t>
      </w:r>
      <w:r w:rsidR="00976D2F">
        <w:rPr>
          <w:rFonts w:cs="Arial"/>
          <w:szCs w:val="20"/>
        </w:rPr>
        <w:t xml:space="preserve">rivate networks and the opportunities </w:t>
      </w:r>
      <w:r w:rsidR="00976D2F">
        <w:rPr>
          <w:rFonts w:cs="Arial"/>
          <w:szCs w:val="20"/>
        </w:rPr>
        <w:lastRenderedPageBreak/>
        <w:t>this can provide. Consequently</w:t>
      </w:r>
      <w:r w:rsidR="004A41BC">
        <w:rPr>
          <w:rFonts w:cs="Arial"/>
          <w:szCs w:val="20"/>
        </w:rPr>
        <w:t>,</w:t>
      </w:r>
      <w:r w:rsidR="00976D2F">
        <w:rPr>
          <w:rFonts w:cs="Arial"/>
          <w:szCs w:val="20"/>
        </w:rPr>
        <w:t xml:space="preserve"> they </w:t>
      </w:r>
      <w:r w:rsidR="00976D2F">
        <w:rPr>
          <w:szCs w:val="20"/>
        </w:rPr>
        <w:t>requested that f</w:t>
      </w:r>
      <w:r w:rsidR="00976D2F">
        <w:rPr>
          <w:rFonts w:cs="Arial"/>
          <w:szCs w:val="20"/>
        </w:rPr>
        <w:t xml:space="preserve">urther </w:t>
      </w:r>
      <w:r w:rsidR="000957BA">
        <w:rPr>
          <w:rFonts w:cs="Arial"/>
          <w:szCs w:val="20"/>
        </w:rPr>
        <w:t>criteria be used</w:t>
      </w:r>
      <w:r w:rsidR="00976D2F">
        <w:rPr>
          <w:rFonts w:cs="Arial"/>
          <w:szCs w:val="20"/>
        </w:rPr>
        <w:t xml:space="preserve"> </w:t>
      </w:r>
      <w:r w:rsidR="004B133D">
        <w:rPr>
          <w:rFonts w:cs="Arial"/>
          <w:szCs w:val="20"/>
        </w:rPr>
        <w:t>f</w:t>
      </w:r>
      <w:r w:rsidR="00976D2F">
        <w:rPr>
          <w:rFonts w:cs="Arial"/>
          <w:szCs w:val="20"/>
        </w:rPr>
        <w:t>o</w:t>
      </w:r>
      <w:r w:rsidR="004B133D">
        <w:rPr>
          <w:rFonts w:cs="Arial"/>
          <w:szCs w:val="20"/>
        </w:rPr>
        <w:t>r</w:t>
      </w:r>
      <w:r w:rsidR="00976D2F">
        <w:rPr>
          <w:rFonts w:cs="Arial"/>
          <w:szCs w:val="20"/>
        </w:rPr>
        <w:t xml:space="preserve"> apparatus licence</w:t>
      </w:r>
      <w:r w:rsidR="004B133D">
        <w:rPr>
          <w:rFonts w:cs="Arial"/>
          <w:szCs w:val="20"/>
        </w:rPr>
        <w:t xml:space="preserve"> applications</w:t>
      </w:r>
      <w:r w:rsidR="00C533BD">
        <w:rPr>
          <w:rFonts w:cs="Arial"/>
          <w:szCs w:val="20"/>
        </w:rPr>
        <w:t xml:space="preserve"> to manage this</w:t>
      </w:r>
      <w:r w:rsidR="00976D2F">
        <w:rPr>
          <w:rFonts w:cs="Arial"/>
          <w:szCs w:val="20"/>
        </w:rPr>
        <w:t xml:space="preserve">. </w:t>
      </w:r>
      <w:r w:rsidR="004A41BC">
        <w:rPr>
          <w:rFonts w:cs="Arial"/>
          <w:szCs w:val="20"/>
        </w:rPr>
        <w:t>They suggested</w:t>
      </w:r>
      <w:r w:rsidR="00976D2F">
        <w:rPr>
          <w:rFonts w:cs="Arial"/>
          <w:szCs w:val="20"/>
        </w:rPr>
        <w:t xml:space="preserve"> the right to apply for an apparatus licence should be based on ownership of the property or area or the ability to use the property or area. </w:t>
      </w:r>
      <w:r w:rsidR="004A41BC">
        <w:rPr>
          <w:rFonts w:cs="Arial"/>
          <w:szCs w:val="20"/>
        </w:rPr>
        <w:t>Also, w</w:t>
      </w:r>
      <w:r w:rsidR="00976D2F">
        <w:rPr>
          <w:rFonts w:cs="Arial"/>
          <w:szCs w:val="20"/>
        </w:rPr>
        <w:t xml:space="preserve">hen granted a licence, the licensee, should within a reasonable amount of time, be </w:t>
      </w:r>
      <w:r w:rsidR="00DE49AB">
        <w:rPr>
          <w:rFonts w:cs="Arial"/>
          <w:szCs w:val="20"/>
        </w:rPr>
        <w:t xml:space="preserve">transmitting </w:t>
      </w:r>
      <w:r w:rsidR="00976D2F">
        <w:rPr>
          <w:rFonts w:cs="Arial"/>
          <w:szCs w:val="20"/>
        </w:rPr>
        <w:t>on the licenced channel or the licence becomes invalid.</w:t>
      </w:r>
    </w:p>
    <w:p w14:paraId="389A4F51" w14:textId="16198709" w:rsidR="006F25C7" w:rsidRDefault="006F25C7" w:rsidP="006F25C7">
      <w:pPr>
        <w:pStyle w:val="Paragraph"/>
        <w:spacing w:after="80"/>
        <w:rPr>
          <w:szCs w:val="20"/>
        </w:rPr>
      </w:pPr>
      <w:r>
        <w:rPr>
          <w:szCs w:val="20"/>
        </w:rPr>
        <w:t xml:space="preserve">Mobile industry </w:t>
      </w:r>
      <w:r w:rsidR="001B041F">
        <w:rPr>
          <w:szCs w:val="20"/>
        </w:rPr>
        <w:t>submissions</w:t>
      </w:r>
      <w:r>
        <w:rPr>
          <w:szCs w:val="20"/>
        </w:rPr>
        <w:t xml:space="preserve"> provided </w:t>
      </w:r>
      <w:r w:rsidR="004A48BE">
        <w:rPr>
          <w:szCs w:val="20"/>
        </w:rPr>
        <w:t xml:space="preserve">additional </w:t>
      </w:r>
      <w:r>
        <w:rPr>
          <w:szCs w:val="20"/>
        </w:rPr>
        <w:t xml:space="preserve">comments relating to the allocation of licences in urban excise areas, </w:t>
      </w:r>
      <w:r w:rsidR="00DE49AB">
        <w:rPr>
          <w:szCs w:val="20"/>
        </w:rPr>
        <w:t>as follows</w:t>
      </w:r>
      <w:r>
        <w:rPr>
          <w:szCs w:val="20"/>
        </w:rPr>
        <w:t>:</w:t>
      </w:r>
    </w:p>
    <w:p w14:paraId="57981E79" w14:textId="37404C9D" w:rsidR="00B4706E" w:rsidRDefault="006F25C7" w:rsidP="004453CF">
      <w:pPr>
        <w:pStyle w:val="Bulletlevel1"/>
      </w:pPr>
      <w:r>
        <w:t xml:space="preserve">There was support for combining the allocation of spectrum under Options 1,2 and 4 with allocation processes for spectrum in the 3700–4200 MHz band. </w:t>
      </w:r>
      <w:r w:rsidR="00B4706E">
        <w:t xml:space="preserve">However, </w:t>
      </w:r>
      <w:r w:rsidR="007B3265">
        <w:t>i</w:t>
      </w:r>
      <w:r w:rsidR="00B4706E">
        <w:t>f AWLs are issued, licen</w:t>
      </w:r>
      <w:r w:rsidR="000319F9">
        <w:t>c</w:t>
      </w:r>
      <w:r w:rsidR="00B4706E">
        <w:t>es should be allocated after the auction of spectrum in metropolitan areas within the 3700–4200 MHz band, currently scheduled for 2023. This will help to determine</w:t>
      </w:r>
      <w:r w:rsidR="00F57543">
        <w:t xml:space="preserve"> </w:t>
      </w:r>
      <w:r w:rsidR="00B4706E">
        <w:t xml:space="preserve">whether there is indeed sufficient demand to allocate </w:t>
      </w:r>
      <w:r w:rsidR="00F57543">
        <w:t>u</w:t>
      </w:r>
      <w:r w:rsidR="00B4706E">
        <w:t xml:space="preserve">rban </w:t>
      </w:r>
      <w:r w:rsidR="00F57543">
        <w:t>e</w:t>
      </w:r>
      <w:r w:rsidR="00B4706E">
        <w:t>xcise areas in 3400</w:t>
      </w:r>
      <w:r w:rsidR="00961DE5">
        <w:t>–</w:t>
      </w:r>
      <w:r w:rsidR="00B4706E">
        <w:t xml:space="preserve">3475 MHz </w:t>
      </w:r>
      <w:r w:rsidR="00F57543">
        <w:t>via</w:t>
      </w:r>
      <w:r w:rsidR="00B4706E">
        <w:t xml:space="preserve"> AWL</w:t>
      </w:r>
      <w:r w:rsidR="00C533BD">
        <w:t>s</w:t>
      </w:r>
      <w:r w:rsidR="00B4706E">
        <w:t>.</w:t>
      </w:r>
    </w:p>
    <w:p w14:paraId="4905F018" w14:textId="68AD8C88" w:rsidR="00AF456B" w:rsidRDefault="00AF456B" w:rsidP="004453CF">
      <w:pPr>
        <w:pStyle w:val="Bulletlevel1"/>
      </w:pPr>
      <w:r>
        <w:t>There is</w:t>
      </w:r>
      <w:r w:rsidR="00DE49AB">
        <w:t xml:space="preserve"> a</w:t>
      </w:r>
      <w:r>
        <w:t xml:space="preserve"> preference for issuing spectrum licences in urban excise areas. T</w:t>
      </w:r>
      <w:r w:rsidRPr="00AF456B">
        <w:rPr>
          <w:szCs w:val="20"/>
        </w:rPr>
        <w:t xml:space="preserve">his is </w:t>
      </w:r>
      <w:r>
        <w:rPr>
          <w:szCs w:val="20"/>
        </w:rPr>
        <w:t xml:space="preserve">considered the </w:t>
      </w:r>
      <w:r w:rsidRPr="00AF456B">
        <w:rPr>
          <w:szCs w:val="20"/>
        </w:rPr>
        <w:t xml:space="preserve">most efficient way to ensure there is price and demand discovery for </w:t>
      </w:r>
      <w:r>
        <w:rPr>
          <w:szCs w:val="20"/>
        </w:rPr>
        <w:t xml:space="preserve">spectrum across the broader </w:t>
      </w:r>
      <w:r w:rsidRPr="00AF456B">
        <w:rPr>
          <w:szCs w:val="20"/>
        </w:rPr>
        <w:t>3400</w:t>
      </w:r>
      <w:r w:rsidR="00A03D30">
        <w:rPr>
          <w:szCs w:val="20"/>
        </w:rPr>
        <w:t>–</w:t>
      </w:r>
      <w:r w:rsidRPr="00AF456B">
        <w:rPr>
          <w:szCs w:val="20"/>
        </w:rPr>
        <w:t>3800 MHz</w:t>
      </w:r>
      <w:r>
        <w:rPr>
          <w:szCs w:val="20"/>
        </w:rPr>
        <w:t xml:space="preserve"> band</w:t>
      </w:r>
      <w:r w:rsidRPr="00AF456B">
        <w:rPr>
          <w:szCs w:val="20"/>
        </w:rPr>
        <w:t>. If there is any spectrum available at the end of the auction it could be made available for AWL</w:t>
      </w:r>
      <w:r w:rsidR="00C533BD">
        <w:rPr>
          <w:szCs w:val="20"/>
        </w:rPr>
        <w:t>s</w:t>
      </w:r>
      <w:r w:rsidRPr="00AF456B">
        <w:rPr>
          <w:szCs w:val="20"/>
        </w:rPr>
        <w:t xml:space="preserve">. </w:t>
      </w:r>
      <w:r>
        <w:rPr>
          <w:szCs w:val="20"/>
        </w:rPr>
        <w:t>Furthermore, the expiry of licences issued in u</w:t>
      </w:r>
      <w:r w:rsidRPr="00AF456B">
        <w:rPr>
          <w:szCs w:val="20"/>
        </w:rPr>
        <w:t xml:space="preserve">rban excise </w:t>
      </w:r>
      <w:r>
        <w:rPr>
          <w:szCs w:val="20"/>
        </w:rPr>
        <w:t>are</w:t>
      </w:r>
      <w:r w:rsidR="00317E9A">
        <w:rPr>
          <w:szCs w:val="20"/>
        </w:rPr>
        <w:t>as</w:t>
      </w:r>
      <w:r>
        <w:rPr>
          <w:szCs w:val="20"/>
        </w:rPr>
        <w:t xml:space="preserve"> </w:t>
      </w:r>
      <w:r w:rsidRPr="00AF456B">
        <w:rPr>
          <w:szCs w:val="20"/>
        </w:rPr>
        <w:t xml:space="preserve">should align with </w:t>
      </w:r>
      <w:r>
        <w:rPr>
          <w:szCs w:val="20"/>
        </w:rPr>
        <w:t xml:space="preserve">licences issued in the </w:t>
      </w:r>
      <w:r w:rsidRPr="00AF456B">
        <w:rPr>
          <w:szCs w:val="20"/>
        </w:rPr>
        <w:t>3700</w:t>
      </w:r>
      <w:r w:rsidR="00A03D30">
        <w:rPr>
          <w:szCs w:val="20"/>
        </w:rPr>
        <w:t>–</w:t>
      </w:r>
      <w:r w:rsidRPr="00AF456B">
        <w:rPr>
          <w:szCs w:val="20"/>
        </w:rPr>
        <w:t>3800 MHz</w:t>
      </w:r>
      <w:r>
        <w:rPr>
          <w:szCs w:val="20"/>
        </w:rPr>
        <w:t xml:space="preserve"> band</w:t>
      </w:r>
      <w:r w:rsidRPr="00AF456B">
        <w:rPr>
          <w:szCs w:val="20"/>
        </w:rPr>
        <w:t xml:space="preserve">. </w:t>
      </w:r>
    </w:p>
    <w:p w14:paraId="53C989DB" w14:textId="6D9283A0" w:rsidR="00DD6A8C" w:rsidRDefault="00DD6A8C" w:rsidP="004453CF">
      <w:pPr>
        <w:pStyle w:val="Bulletlevel1"/>
      </w:pPr>
      <w:r>
        <w:t xml:space="preserve">If Option 4 is adopted (with Option 2 in the upper 15 MHz) and a spectrum licence approach is taken, </w:t>
      </w:r>
      <w:r w:rsidRPr="00DD6A8C">
        <w:t xml:space="preserve">to minimise the number of potential adjacent-frequency boundary issues in the </w:t>
      </w:r>
      <w:r w:rsidR="00090ECE">
        <w:t>u</w:t>
      </w:r>
      <w:r w:rsidRPr="00DD6A8C">
        <w:t xml:space="preserve">rban </w:t>
      </w:r>
      <w:r w:rsidR="00090ECE">
        <w:t>e</w:t>
      </w:r>
      <w:r w:rsidRPr="00DD6A8C">
        <w:t xml:space="preserve">xcise spectrum space, </w:t>
      </w:r>
      <w:r w:rsidR="00664402">
        <w:t>it was</w:t>
      </w:r>
      <w:r w:rsidR="00664402" w:rsidRPr="00DD6A8C">
        <w:t xml:space="preserve"> </w:t>
      </w:r>
      <w:r w:rsidRPr="00DD6A8C">
        <w:t>recommend</w:t>
      </w:r>
      <w:r w:rsidR="005C29D6">
        <w:t>ed</w:t>
      </w:r>
      <w:r w:rsidRPr="00DD6A8C">
        <w:t xml:space="preserve"> that the R</w:t>
      </w:r>
      <w:r>
        <w:t>Bs</w:t>
      </w:r>
      <w:r w:rsidRPr="00DD6A8C">
        <w:t xml:space="preserve"> not be made available in isolation. Rather, </w:t>
      </w:r>
      <w:r>
        <w:t xml:space="preserve">the upper 15 MHz of the band </w:t>
      </w:r>
      <w:r w:rsidRPr="00DD6A8C">
        <w:t xml:space="preserve">should be bundled </w:t>
      </w:r>
      <w:r>
        <w:t xml:space="preserve">together </w:t>
      </w:r>
      <w:r w:rsidRPr="00DD6A8C">
        <w:t xml:space="preserve">as a single product. </w:t>
      </w:r>
      <w:r w:rsidR="00F57543">
        <w:t xml:space="preserve">Telstra also suggested that if such an approach is not taken, then their preference would be to not allocate the RBs. </w:t>
      </w:r>
    </w:p>
    <w:p w14:paraId="5C72BDA9" w14:textId="6C5E23F5" w:rsidR="00F57543" w:rsidRDefault="00F57543" w:rsidP="004453CF">
      <w:pPr>
        <w:pStyle w:val="Bulletlevel1"/>
      </w:pPr>
      <w:r>
        <w:t xml:space="preserve">While a minimum contiguous bandwidth </w:t>
      </w:r>
      <w:r w:rsidR="00F5051A">
        <w:t xml:space="preserve">(MCB) for the issue of licences </w:t>
      </w:r>
      <w:r>
        <w:t xml:space="preserve">was not </w:t>
      </w:r>
      <w:r w:rsidR="00F5051A">
        <w:t>canvassed</w:t>
      </w:r>
      <w:r>
        <w:t xml:space="preserve"> in the</w:t>
      </w:r>
      <w:r w:rsidR="00F5051A">
        <w:t xml:space="preserve"> </w:t>
      </w:r>
      <w:r>
        <w:t>options paper,</w:t>
      </w:r>
      <w:r w:rsidR="00F5051A">
        <w:t xml:space="preserve"> Telstra argued</w:t>
      </w:r>
      <w:r>
        <w:t xml:space="preserve"> it does have a linkage to the technical arrangements. </w:t>
      </w:r>
      <w:r w:rsidR="00C533BD">
        <w:t xml:space="preserve">It </w:t>
      </w:r>
      <w:r w:rsidR="00F5051A">
        <w:t xml:space="preserve">proposed a 10 MHz MCB be considered to reduce the risk of band fragmentation and possible need for more guard bands. </w:t>
      </w:r>
    </w:p>
    <w:p w14:paraId="2FE3D3B6" w14:textId="729656FA" w:rsidR="00B4706E" w:rsidRDefault="00403AF2" w:rsidP="004453CF">
      <w:pPr>
        <w:pStyle w:val="Bulletlevel1last"/>
      </w:pPr>
      <w:r>
        <w:t xml:space="preserve">As </w:t>
      </w:r>
      <w:r w:rsidR="00F5051A">
        <w:t xml:space="preserve">the </w:t>
      </w:r>
      <w:r>
        <w:t xml:space="preserve">allocation process can affect how technical matters could or should be </w:t>
      </w:r>
      <w:r w:rsidR="004B133D">
        <w:t>considered</w:t>
      </w:r>
      <w:r>
        <w:t>, it was suggested TLGs</w:t>
      </w:r>
      <w:r w:rsidR="00F5051A">
        <w:t xml:space="preserve"> should</w:t>
      </w:r>
      <w:r>
        <w:t xml:space="preserve"> include discussion of </w:t>
      </w:r>
      <w:r w:rsidR="00B52365">
        <w:t>that process</w:t>
      </w:r>
      <w:r>
        <w:t xml:space="preserve">. </w:t>
      </w:r>
    </w:p>
    <w:p w14:paraId="33922FD6" w14:textId="64F529AD" w:rsidR="004A41BC" w:rsidRPr="000B6A4B" w:rsidRDefault="00357792" w:rsidP="004A41BC">
      <w:pPr>
        <w:pStyle w:val="Paragraph"/>
        <w:spacing w:before="240" w:after="0"/>
        <w:rPr>
          <w:b/>
          <w:bCs/>
          <w:i/>
          <w:iCs/>
        </w:rPr>
      </w:pPr>
      <w:r>
        <w:rPr>
          <w:b/>
          <w:bCs/>
          <w:i/>
          <w:iCs/>
        </w:rPr>
        <w:t xml:space="preserve">Preliminary </w:t>
      </w:r>
      <w:r w:rsidR="004A41BC" w:rsidRPr="000B6A4B">
        <w:rPr>
          <w:b/>
          <w:bCs/>
          <w:i/>
          <w:iCs/>
        </w:rPr>
        <w:t>ACMA response</w:t>
      </w:r>
    </w:p>
    <w:p w14:paraId="2EE9828C" w14:textId="76B596E7" w:rsidR="00596F93" w:rsidRDefault="004A41BC" w:rsidP="004A41BC">
      <w:pPr>
        <w:pStyle w:val="Paragraph"/>
        <w:rPr>
          <w:szCs w:val="20"/>
        </w:rPr>
      </w:pPr>
      <w:r w:rsidRPr="000B6A4B">
        <w:rPr>
          <w:szCs w:val="20"/>
        </w:rPr>
        <w:t>The A</w:t>
      </w:r>
      <w:r w:rsidR="004A48BE">
        <w:rPr>
          <w:szCs w:val="20"/>
        </w:rPr>
        <w:t>CMA notes comments received regarding the allocation of licences in urban excise areas. These will be considered further in the development and consultation of</w:t>
      </w:r>
      <w:r w:rsidR="00A03D30">
        <w:t> </w:t>
      </w:r>
      <w:r w:rsidR="004A48BE">
        <w:rPr>
          <w:szCs w:val="20"/>
        </w:rPr>
        <w:t>allocation arrangements.</w:t>
      </w:r>
      <w:r w:rsidR="00596F93">
        <w:rPr>
          <w:szCs w:val="20"/>
        </w:rPr>
        <w:t xml:space="preserve"> Where it makes sense to do so, the ACMA will combine</w:t>
      </w:r>
      <w:r w:rsidR="00A03D30">
        <w:rPr>
          <w:szCs w:val="20"/>
        </w:rPr>
        <w:t> </w:t>
      </w:r>
      <w:r w:rsidR="00596F93">
        <w:rPr>
          <w:szCs w:val="20"/>
        </w:rPr>
        <w:t xml:space="preserve">this work with similar </w:t>
      </w:r>
      <w:r w:rsidR="006A5BB8">
        <w:rPr>
          <w:szCs w:val="20"/>
        </w:rPr>
        <w:t xml:space="preserve">work </w:t>
      </w:r>
      <w:r w:rsidR="00596F93">
        <w:rPr>
          <w:szCs w:val="20"/>
        </w:rPr>
        <w:t xml:space="preserve">being conducted </w:t>
      </w:r>
      <w:r w:rsidR="006A5BB8">
        <w:rPr>
          <w:szCs w:val="20"/>
        </w:rPr>
        <w:t>to release spectrum in the</w:t>
      </w:r>
      <w:r w:rsidR="00A03D30">
        <w:rPr>
          <w:szCs w:val="20"/>
        </w:rPr>
        <w:t> </w:t>
      </w:r>
      <w:r w:rsidR="006A5BB8">
        <w:rPr>
          <w:szCs w:val="20"/>
        </w:rPr>
        <w:t>broader 3400</w:t>
      </w:r>
      <w:r w:rsidR="00A03D30">
        <w:rPr>
          <w:szCs w:val="20"/>
        </w:rPr>
        <w:t>–</w:t>
      </w:r>
      <w:r w:rsidR="006A5BB8">
        <w:rPr>
          <w:szCs w:val="20"/>
        </w:rPr>
        <w:t xml:space="preserve">4000 MHz band. </w:t>
      </w:r>
    </w:p>
    <w:p w14:paraId="75F1EB9E" w14:textId="2F6B0951" w:rsidR="00281DF9" w:rsidRDefault="0090241A" w:rsidP="004A41BC">
      <w:pPr>
        <w:pStyle w:val="Paragraph"/>
        <w:rPr>
          <w:szCs w:val="20"/>
        </w:rPr>
      </w:pPr>
      <w:r>
        <w:rPr>
          <w:szCs w:val="20"/>
        </w:rPr>
        <w:t>The ACMA is currently working on multiple planning and allocation processes for spectrum licences and AWLs in the 3400</w:t>
      </w:r>
      <w:r w:rsidR="00A03D30">
        <w:rPr>
          <w:szCs w:val="20"/>
        </w:rPr>
        <w:t>–</w:t>
      </w:r>
      <w:r>
        <w:rPr>
          <w:szCs w:val="20"/>
        </w:rPr>
        <w:t xml:space="preserve">4000 MHz band. We aim to finalise these in 2022. For the sequencing of allocation processes, the ACMA currently plans to allocate AWLs in remote areas first. This will then be followed by the allocation of spectrum licences then AWLs in metropolitan and regional areas. </w:t>
      </w:r>
    </w:p>
    <w:p w14:paraId="5E96E53E" w14:textId="56F75D4F" w:rsidR="00281DF9" w:rsidRDefault="00281DF9" w:rsidP="00281DF9">
      <w:pPr>
        <w:pStyle w:val="Paragraph"/>
        <w:rPr>
          <w:szCs w:val="20"/>
        </w:rPr>
      </w:pPr>
      <w:r>
        <w:rPr>
          <w:szCs w:val="20"/>
        </w:rPr>
        <w:t xml:space="preserve">We acknowledge comments made regarding the inclusion of allocation issues in TLGs. </w:t>
      </w:r>
      <w:r w:rsidR="00EF0951">
        <w:rPr>
          <w:szCs w:val="20"/>
        </w:rPr>
        <w:t xml:space="preserve">These will be considered in our reassessment of Options 3 and 4. </w:t>
      </w:r>
      <w:r>
        <w:rPr>
          <w:szCs w:val="20"/>
        </w:rPr>
        <w:t>To ensure the best long-term outcomes are adopted, these will also be considered in the context of work that is currently underway to develop planning and allocation arrangements for WBB use across the broader 3400</w:t>
      </w:r>
      <w:r w:rsidR="00A03D30">
        <w:rPr>
          <w:szCs w:val="20"/>
        </w:rPr>
        <w:t>–</w:t>
      </w:r>
      <w:r>
        <w:rPr>
          <w:szCs w:val="20"/>
        </w:rPr>
        <w:t>4000 MHz band.</w:t>
      </w:r>
      <w:r w:rsidR="00EF0951">
        <w:rPr>
          <w:szCs w:val="20"/>
        </w:rPr>
        <w:t xml:space="preserve"> Refer to the </w:t>
      </w:r>
      <w:r w:rsidR="00B52365">
        <w:rPr>
          <w:szCs w:val="20"/>
        </w:rPr>
        <w:t>P</w:t>
      </w:r>
      <w:r w:rsidR="00EF0951">
        <w:rPr>
          <w:szCs w:val="20"/>
        </w:rPr>
        <w:t xml:space="preserve">lanning </w:t>
      </w:r>
      <w:r w:rsidR="00731A56">
        <w:rPr>
          <w:szCs w:val="20"/>
        </w:rPr>
        <w:t>o</w:t>
      </w:r>
      <w:r w:rsidR="00EF0951">
        <w:rPr>
          <w:szCs w:val="20"/>
        </w:rPr>
        <w:t xml:space="preserve">utcomes section </w:t>
      </w:r>
      <w:r w:rsidR="00731A56">
        <w:rPr>
          <w:szCs w:val="20"/>
        </w:rPr>
        <w:t xml:space="preserve">below </w:t>
      </w:r>
      <w:r w:rsidR="00EF0951">
        <w:rPr>
          <w:szCs w:val="20"/>
        </w:rPr>
        <w:t xml:space="preserve">for further information. </w:t>
      </w:r>
    </w:p>
    <w:p w14:paraId="74C1CC21" w14:textId="7D791005" w:rsidR="000C1B75" w:rsidRPr="000B6A4B" w:rsidRDefault="000C1B75" w:rsidP="000C1B75">
      <w:pPr>
        <w:pStyle w:val="Heading1"/>
      </w:pPr>
      <w:bookmarkStart w:id="44" w:name="_Toc89250840"/>
      <w:r w:rsidRPr="000B6A4B">
        <w:lastRenderedPageBreak/>
        <w:t>Planning outcomes</w:t>
      </w:r>
      <w:bookmarkEnd w:id="44"/>
      <w:r w:rsidRPr="000B6A4B">
        <w:t xml:space="preserve"> </w:t>
      </w:r>
    </w:p>
    <w:p w14:paraId="621EAE77" w14:textId="44A4B41A" w:rsidR="0069444A" w:rsidRDefault="00E23010" w:rsidP="00E23010">
      <w:pPr>
        <w:pStyle w:val="Paragraph"/>
      </w:pPr>
      <w:bookmarkStart w:id="45" w:name="_Hlk19200209"/>
      <w:r w:rsidRPr="00A85D75">
        <w:t xml:space="preserve">This section presents </w:t>
      </w:r>
      <w:r w:rsidRPr="00A85D75" w:rsidDel="00E31A1E">
        <w:t xml:space="preserve">planning decisions </w:t>
      </w:r>
      <w:r w:rsidRPr="00A85D75">
        <w:t xml:space="preserve">made </w:t>
      </w:r>
      <w:r w:rsidR="00722836">
        <w:t xml:space="preserve">regarding amendments to </w:t>
      </w:r>
      <w:r>
        <w:t xml:space="preserve">the 3.4 GHz technical framework and </w:t>
      </w:r>
      <w:r w:rsidR="00722836">
        <w:t xml:space="preserve">provides an update on our consideration of </w:t>
      </w:r>
      <w:r>
        <w:t xml:space="preserve">options for </w:t>
      </w:r>
      <w:r w:rsidR="00895237">
        <w:t xml:space="preserve">the </w:t>
      </w:r>
      <w:r>
        <w:t>use of urban excise areas</w:t>
      </w:r>
      <w:r w:rsidRPr="00A85D75">
        <w:t xml:space="preserve">. </w:t>
      </w:r>
      <w:bookmarkEnd w:id="45"/>
    </w:p>
    <w:p w14:paraId="74C6328D" w14:textId="6BFA282F" w:rsidR="0077538E" w:rsidRPr="00A85D75" w:rsidRDefault="007E2000" w:rsidP="00E23010">
      <w:pPr>
        <w:pStyle w:val="Paragraph"/>
      </w:pPr>
      <w:r>
        <w:t xml:space="preserve">The </w:t>
      </w:r>
      <w:hyperlink w:anchor="_Next_steps" w:history="1">
        <w:r w:rsidR="00B52365" w:rsidRPr="004453CF">
          <w:rPr>
            <w:rStyle w:val="Hyperlink"/>
          </w:rPr>
          <w:t>N</w:t>
        </w:r>
        <w:r w:rsidRPr="004453CF">
          <w:rPr>
            <w:rStyle w:val="Hyperlink"/>
          </w:rPr>
          <w:t xml:space="preserve">ext </w:t>
        </w:r>
        <w:r w:rsidR="00731A56" w:rsidRPr="00731A56">
          <w:rPr>
            <w:rStyle w:val="Hyperlink"/>
          </w:rPr>
          <w:t>s</w:t>
        </w:r>
        <w:r w:rsidRPr="004453CF">
          <w:rPr>
            <w:rStyle w:val="Hyperlink"/>
          </w:rPr>
          <w:t>teps</w:t>
        </w:r>
      </w:hyperlink>
      <w:r>
        <w:rPr>
          <w:i/>
          <w:iCs/>
        </w:rPr>
        <w:t xml:space="preserve"> </w:t>
      </w:r>
      <w:r>
        <w:t>section provides i</w:t>
      </w:r>
      <w:r w:rsidRPr="00A85D75">
        <w:t xml:space="preserve">ndicative timeframes for the </w:t>
      </w:r>
      <w:r>
        <w:t xml:space="preserve">implementation of amendments to </w:t>
      </w:r>
      <w:r w:rsidR="00C533BD">
        <w:t xml:space="preserve">the </w:t>
      </w:r>
      <w:r>
        <w:t xml:space="preserve">3.4 GHz technical framework and </w:t>
      </w:r>
      <w:r w:rsidR="00B52365">
        <w:t xml:space="preserve">further </w:t>
      </w:r>
      <w:r w:rsidR="0077538E">
        <w:t xml:space="preserve">consideration </w:t>
      </w:r>
      <w:r w:rsidR="00C533BD">
        <w:t>on</w:t>
      </w:r>
      <w:r w:rsidR="0077538E">
        <w:t xml:space="preserve"> </w:t>
      </w:r>
      <w:r>
        <w:t xml:space="preserve">the use of urban excise areas. </w:t>
      </w:r>
    </w:p>
    <w:p w14:paraId="3B7BA26A" w14:textId="5338033A" w:rsidR="000C1B75" w:rsidRPr="000B6A4B" w:rsidRDefault="000C1B75" w:rsidP="000C1B75">
      <w:pPr>
        <w:pStyle w:val="Heading2"/>
      </w:pPr>
      <w:bookmarkStart w:id="46" w:name="_Toc89250841"/>
      <w:r w:rsidRPr="000B6A4B">
        <w:t>Planning decisions</w:t>
      </w:r>
      <w:bookmarkEnd w:id="46"/>
    </w:p>
    <w:p w14:paraId="0A14641C" w14:textId="6BF3A2F9" w:rsidR="0069444A" w:rsidRPr="0069444A" w:rsidRDefault="0069444A" w:rsidP="0069444A">
      <w:pPr>
        <w:pStyle w:val="Heading3"/>
      </w:pPr>
      <w:r w:rsidRPr="0069444A">
        <w:t xml:space="preserve">3.4 GHz technical framework </w:t>
      </w:r>
    </w:p>
    <w:p w14:paraId="2F3D9B25" w14:textId="76E49080" w:rsidR="00ED6718" w:rsidRPr="00ED6718" w:rsidRDefault="00514A45" w:rsidP="00ED6718">
      <w:pPr>
        <w:pStyle w:val="Paragraph"/>
      </w:pPr>
      <w:r>
        <w:t xml:space="preserve">Submissions to the option paper were supportive of the </w:t>
      </w:r>
      <w:r w:rsidR="0069444A">
        <w:t xml:space="preserve">proposed amendments to the 3.4 GHz technical framework. </w:t>
      </w:r>
      <w:r w:rsidR="00ED6718">
        <w:t xml:space="preserve">There were </w:t>
      </w:r>
      <w:r w:rsidR="00B77D03">
        <w:t xml:space="preserve">also </w:t>
      </w:r>
      <w:r w:rsidR="00ED6718">
        <w:t xml:space="preserve">some additional proposed changes to the </w:t>
      </w:r>
      <w:r w:rsidR="00C533BD">
        <w:t xml:space="preserve">draft </w:t>
      </w:r>
      <w:r w:rsidR="00E45CD1" w:rsidRPr="004453CF">
        <w:t>Radiocommunications (Unacceptable Levels of Interference – 3.4 GHz Band) Amendment Determination 2021 (No. 1)</w:t>
      </w:r>
      <w:r w:rsidR="00E45CD1">
        <w:t xml:space="preserve"> </w:t>
      </w:r>
      <w:r w:rsidR="00ED6718">
        <w:t xml:space="preserve">as detailed in the </w:t>
      </w:r>
      <w:hyperlink w:anchor="_Discussion_of_submissions" w:history="1">
        <w:r w:rsidR="00B52365" w:rsidRPr="004453CF">
          <w:rPr>
            <w:rStyle w:val="Hyperlink"/>
          </w:rPr>
          <w:t>D</w:t>
        </w:r>
        <w:r w:rsidR="00ED6718" w:rsidRPr="004453CF">
          <w:rPr>
            <w:rStyle w:val="Hyperlink"/>
          </w:rPr>
          <w:t xml:space="preserve">iscussion of </w:t>
        </w:r>
        <w:r w:rsidR="000859C5" w:rsidRPr="000859C5">
          <w:rPr>
            <w:rStyle w:val="Hyperlink"/>
          </w:rPr>
          <w:t>s</w:t>
        </w:r>
        <w:r w:rsidR="00ED6718" w:rsidRPr="004453CF">
          <w:rPr>
            <w:rStyle w:val="Hyperlink"/>
          </w:rPr>
          <w:t>ubmissions</w:t>
        </w:r>
      </w:hyperlink>
      <w:r w:rsidR="00ED6718" w:rsidRPr="000859C5">
        <w:t xml:space="preserve"> </w:t>
      </w:r>
      <w:r w:rsidR="00ED6718">
        <w:t xml:space="preserve">section. </w:t>
      </w:r>
    </w:p>
    <w:p w14:paraId="4D304F58" w14:textId="594939F2" w:rsidR="00ED6718" w:rsidRDefault="008975E2" w:rsidP="004453CF">
      <w:pPr>
        <w:pStyle w:val="Paragraphbeforelist"/>
      </w:pPr>
      <w:r>
        <w:t>After review</w:t>
      </w:r>
      <w:r w:rsidR="00B77D03">
        <w:t>ing</w:t>
      </w:r>
      <w:r>
        <w:t xml:space="preserve"> submissions, the ACMA has made the following </w:t>
      </w:r>
      <w:r w:rsidR="00ED6718">
        <w:t>planning decisions regarding amendments to the 3.4 GHz technical framework:</w:t>
      </w:r>
    </w:p>
    <w:p w14:paraId="10388344" w14:textId="44D90C7B" w:rsidR="00ED6718" w:rsidRDefault="00ED6718" w:rsidP="004453CF">
      <w:pPr>
        <w:pStyle w:val="Bulletlevel1"/>
      </w:pPr>
      <w:r>
        <w:rPr>
          <w:u w:val="single"/>
        </w:rPr>
        <w:t xml:space="preserve">The s.145(4) </w:t>
      </w:r>
      <w:r w:rsidR="007F6D4E">
        <w:rPr>
          <w:u w:val="single"/>
        </w:rPr>
        <w:t>D</w:t>
      </w:r>
      <w:r>
        <w:rPr>
          <w:u w:val="single"/>
        </w:rPr>
        <w:t>etermination:</w:t>
      </w:r>
      <w:r>
        <w:t xml:space="preserve"> Implement the changes proposed in the </w:t>
      </w:r>
      <w:r w:rsidR="00C533BD">
        <w:t xml:space="preserve">draft </w:t>
      </w:r>
      <w:r w:rsidR="009C5BBF" w:rsidRPr="004453CF">
        <w:t>Radiocommunications (Unacceptable Levels of Interference – 3.4 GHz Band) Amendment Determination 2021 (No. 1)</w:t>
      </w:r>
      <w:r w:rsidR="009C5BBF">
        <w:t xml:space="preserve"> </w:t>
      </w:r>
      <w:r w:rsidR="00B77D03">
        <w:t xml:space="preserve">with the following amendments </w:t>
      </w:r>
      <w:r>
        <w:t xml:space="preserve">as detailed in the </w:t>
      </w:r>
      <w:hyperlink w:anchor="_Discussion_of_submissions" w:history="1">
        <w:r w:rsidR="00B52365" w:rsidRPr="004453CF">
          <w:rPr>
            <w:rStyle w:val="Hyperlink"/>
          </w:rPr>
          <w:t>D</w:t>
        </w:r>
        <w:r w:rsidRPr="004453CF">
          <w:rPr>
            <w:rStyle w:val="Hyperlink"/>
          </w:rPr>
          <w:t xml:space="preserve">iscussion of </w:t>
        </w:r>
        <w:r w:rsidR="000859C5" w:rsidRPr="000859C5">
          <w:rPr>
            <w:rStyle w:val="Hyperlink"/>
          </w:rPr>
          <w:t>s</w:t>
        </w:r>
        <w:r w:rsidRPr="004453CF">
          <w:rPr>
            <w:rStyle w:val="Hyperlink"/>
          </w:rPr>
          <w:t>ubmissions</w:t>
        </w:r>
      </w:hyperlink>
      <w:r>
        <w:t xml:space="preserve"> section: </w:t>
      </w:r>
    </w:p>
    <w:p w14:paraId="63109494" w14:textId="5C32064E" w:rsidR="00ED6718" w:rsidRPr="000859C5" w:rsidRDefault="00ED6718" w:rsidP="004453CF">
      <w:pPr>
        <w:pStyle w:val="Bulletlevel2"/>
      </w:pPr>
      <w:r w:rsidRPr="000859C5">
        <w:t xml:space="preserve">retain existing </w:t>
      </w:r>
      <w:r w:rsidR="00C533BD" w:rsidRPr="000859C5">
        <w:t>sub</w:t>
      </w:r>
      <w:r w:rsidRPr="000859C5">
        <w:t xml:space="preserve">section 9(2) </w:t>
      </w:r>
      <w:r w:rsidR="008975E2" w:rsidRPr="000859C5">
        <w:t xml:space="preserve">of the s.145(4) </w:t>
      </w:r>
      <w:r w:rsidR="007F6D4E" w:rsidRPr="000859C5">
        <w:t>D</w:t>
      </w:r>
      <w:r w:rsidR="008975E2" w:rsidRPr="000859C5">
        <w:t xml:space="preserve">etermination </w:t>
      </w:r>
      <w:r w:rsidRPr="000859C5">
        <w:t xml:space="preserve">and move the clause proposed to replace it to a new </w:t>
      </w:r>
      <w:r w:rsidR="00C533BD" w:rsidRPr="000859C5">
        <w:t>sub</w:t>
      </w:r>
      <w:r w:rsidRPr="000859C5">
        <w:t>section 9(5)</w:t>
      </w:r>
    </w:p>
    <w:p w14:paraId="0E20D98B" w14:textId="6D42EA23" w:rsidR="00ED6718" w:rsidRDefault="00ED6718" w:rsidP="004453CF">
      <w:pPr>
        <w:pStyle w:val="Bulletlevel2"/>
      </w:pPr>
      <w:r w:rsidRPr="000859C5">
        <w:t>include additional measures to expand the grandfathering clause in the proposed new section 11</w:t>
      </w:r>
      <w:r w:rsidR="00B77D03" w:rsidRPr="000859C5">
        <w:t xml:space="preserve"> to allow minor modifications to be made to </w:t>
      </w:r>
      <w:r w:rsidR="00C533BD" w:rsidRPr="000859C5">
        <w:t xml:space="preserve">radiocommunications </w:t>
      </w:r>
      <w:r w:rsidR="00B77D03" w:rsidRPr="000859C5">
        <w:t>devices</w:t>
      </w:r>
      <w:r w:rsidRPr="000859C5">
        <w:t>. To address concerns raised, we will include a statement that requires the details of a device be updated in the RRL to reflect any changes.</w:t>
      </w:r>
    </w:p>
    <w:p w14:paraId="1D4672EE" w14:textId="2E8A3414" w:rsidR="00ED6718" w:rsidRDefault="008975E2" w:rsidP="004453CF">
      <w:pPr>
        <w:pStyle w:val="Bulletlevel1"/>
      </w:pPr>
      <w:r w:rsidRPr="008E5730">
        <w:rPr>
          <w:u w:val="single"/>
        </w:rPr>
        <w:t>Receiver spurious emission limits:</w:t>
      </w:r>
      <w:r>
        <w:t xml:space="preserve"> Implement the changes as proposed in the options paper. </w:t>
      </w:r>
    </w:p>
    <w:p w14:paraId="06FCA728" w14:textId="68852F8E" w:rsidR="00514A45" w:rsidRPr="00514A45" w:rsidRDefault="00514A45" w:rsidP="004453CF">
      <w:pPr>
        <w:pStyle w:val="Bulletlevel1last"/>
      </w:pPr>
      <w:r w:rsidRPr="008E5730">
        <w:rPr>
          <w:u w:val="single"/>
        </w:rPr>
        <w:t>RALI MS44:</w:t>
      </w:r>
      <w:r>
        <w:t xml:space="preserve"> Implement the changes as proposed in the options paper. The ACMA notes that </w:t>
      </w:r>
      <w:r w:rsidRPr="000B6A4B">
        <w:t xml:space="preserve">the </w:t>
      </w:r>
      <w:r>
        <w:t>d</w:t>
      </w:r>
      <w:r w:rsidRPr="000B6A4B">
        <w:t>raft RALI MS44</w:t>
      </w:r>
      <w:r>
        <w:t>,</w:t>
      </w:r>
      <w:r w:rsidRPr="000B6A4B">
        <w:t xml:space="preserve"> at Appendix C to the options paper</w:t>
      </w:r>
      <w:r>
        <w:t>,</w:t>
      </w:r>
      <w:r w:rsidRPr="000B6A4B">
        <w:t xml:space="preserve"> incorrectly </w:t>
      </w:r>
      <w:r>
        <w:t>identified</w:t>
      </w:r>
      <w:r w:rsidRPr="000B6A4B">
        <w:t xml:space="preserve"> the additional frequency ranges for defined ESPZs would be 3400</w:t>
      </w:r>
      <w:r w:rsidR="00D62D9D">
        <w:t>–</w:t>
      </w:r>
      <w:r w:rsidRPr="000B6A4B">
        <w:t>3425 MHz and 3492.5</w:t>
      </w:r>
      <w:r w:rsidR="00D62D9D">
        <w:t>–</w:t>
      </w:r>
      <w:r w:rsidRPr="000B6A4B">
        <w:t xml:space="preserve">3542.5 </w:t>
      </w:r>
      <w:proofErr w:type="spellStart"/>
      <w:r w:rsidRPr="000B6A4B">
        <w:t>MHz.</w:t>
      </w:r>
      <w:proofErr w:type="spellEnd"/>
      <w:r w:rsidRPr="000B6A4B">
        <w:t xml:space="preserve"> The correct frequency ranges </w:t>
      </w:r>
      <w:r>
        <w:t>were</w:t>
      </w:r>
      <w:r w:rsidRPr="000B6A4B">
        <w:t xml:space="preserve"> detailed in the body of the options paper. These are </w:t>
      </w:r>
      <w:r>
        <w:t>the</w:t>
      </w:r>
      <w:r w:rsidRPr="000B6A4B">
        <w:t xml:space="preserve"> 3400</w:t>
      </w:r>
      <w:r w:rsidR="00CA6E7E">
        <w:t>–</w:t>
      </w:r>
      <w:r w:rsidRPr="000B6A4B">
        <w:t>34</w:t>
      </w:r>
      <w:r w:rsidR="002A391E">
        <w:t>42.5</w:t>
      </w:r>
      <w:r w:rsidRPr="000B6A4B">
        <w:t xml:space="preserve"> MHz and 3475</w:t>
      </w:r>
      <w:r w:rsidR="0019748E">
        <w:t>–</w:t>
      </w:r>
      <w:r w:rsidRPr="000B6A4B">
        <w:t>3542.5 MHz bands</w:t>
      </w:r>
      <w:r>
        <w:t>,</w:t>
      </w:r>
      <w:r w:rsidRPr="000B6A4B">
        <w:t xml:space="preserve"> which also reflects what was discussed</w:t>
      </w:r>
      <w:r>
        <w:t xml:space="preserve"> and agreed</w:t>
      </w:r>
      <w:r w:rsidRPr="000B6A4B">
        <w:t xml:space="preserve"> within the 3.4 GHz </w:t>
      </w:r>
      <w:r>
        <w:t>TLG</w:t>
      </w:r>
      <w:r w:rsidRPr="000B6A4B">
        <w:t>.</w:t>
      </w:r>
      <w:r w:rsidR="002A391E">
        <w:t xml:space="preserve"> Th</w:t>
      </w:r>
      <w:r w:rsidR="0061526B">
        <w:t xml:space="preserve">ese frequencies </w:t>
      </w:r>
      <w:r w:rsidR="002A391E">
        <w:t xml:space="preserve">represent the portions of the band not currently subject to spectrum licensing </w:t>
      </w:r>
      <w:r w:rsidR="00B52365">
        <w:t>in</w:t>
      </w:r>
      <w:r w:rsidR="002A391E">
        <w:t xml:space="preserve"> the Moree, Roma and Uralla ESPZs. </w:t>
      </w:r>
    </w:p>
    <w:p w14:paraId="1BB1BFBE" w14:textId="0100B97C" w:rsidR="00514A45" w:rsidRDefault="00514A45" w:rsidP="004453CF">
      <w:pPr>
        <w:pStyle w:val="Paragraph"/>
      </w:pPr>
      <w:r w:rsidRPr="000B6A4B">
        <w:t xml:space="preserve">Based on comments received </w:t>
      </w:r>
      <w:r>
        <w:t xml:space="preserve">and previous support within the TLG, </w:t>
      </w:r>
      <w:r w:rsidRPr="000B6A4B">
        <w:t xml:space="preserve">we do not </w:t>
      </w:r>
      <w:r>
        <w:t>expect</w:t>
      </w:r>
      <w:r w:rsidRPr="000B6A4B">
        <w:t xml:space="preserve"> any issues with adopting the 3400</w:t>
      </w:r>
      <w:r w:rsidR="0019748E">
        <w:t>–</w:t>
      </w:r>
      <w:r w:rsidRPr="000B6A4B">
        <w:t>34</w:t>
      </w:r>
      <w:r w:rsidR="002A391E">
        <w:t>42.5</w:t>
      </w:r>
      <w:r w:rsidRPr="000B6A4B">
        <w:t xml:space="preserve"> MHz and 3475</w:t>
      </w:r>
      <w:r w:rsidR="0019748E">
        <w:t>–</w:t>
      </w:r>
      <w:r w:rsidRPr="000B6A4B">
        <w:t>3542.5 MHz frequency ranges.</w:t>
      </w:r>
    </w:p>
    <w:p w14:paraId="3718E18C" w14:textId="2B3B7102" w:rsidR="000C1B75" w:rsidRPr="000B6A4B" w:rsidRDefault="004F6F62" w:rsidP="000C1B75">
      <w:pPr>
        <w:pStyle w:val="Heading2"/>
      </w:pPr>
      <w:bookmarkStart w:id="47" w:name="_Toc89250842"/>
      <w:r>
        <w:lastRenderedPageBreak/>
        <w:t>Update on urban excise work</w:t>
      </w:r>
      <w:bookmarkEnd w:id="47"/>
    </w:p>
    <w:p w14:paraId="56048035" w14:textId="3950F4FF" w:rsidR="004F6F62" w:rsidRDefault="004F6F62" w:rsidP="004453CF">
      <w:pPr>
        <w:pStyle w:val="Paragraphbeforelist"/>
      </w:pPr>
      <w:bookmarkStart w:id="48" w:name="_Hlk19200367"/>
      <w:r>
        <w:t xml:space="preserve">As detailed in the </w:t>
      </w:r>
      <w:hyperlink w:anchor="_Discussion_of_submissions" w:history="1">
        <w:r w:rsidR="00B52365" w:rsidRPr="004453CF">
          <w:rPr>
            <w:rStyle w:val="Hyperlink"/>
          </w:rPr>
          <w:t>D</w:t>
        </w:r>
        <w:r w:rsidRPr="004453CF">
          <w:rPr>
            <w:rStyle w:val="Hyperlink"/>
          </w:rPr>
          <w:t xml:space="preserve">iscussion of </w:t>
        </w:r>
        <w:r w:rsidR="0019748E" w:rsidRPr="0019748E">
          <w:rPr>
            <w:rStyle w:val="Hyperlink"/>
          </w:rPr>
          <w:t>s</w:t>
        </w:r>
        <w:r w:rsidRPr="004453CF">
          <w:rPr>
            <w:rStyle w:val="Hyperlink"/>
          </w:rPr>
          <w:t>ubmissions</w:t>
        </w:r>
      </w:hyperlink>
      <w:r>
        <w:rPr>
          <w:i/>
          <w:iCs/>
        </w:rPr>
        <w:t xml:space="preserve"> </w:t>
      </w:r>
      <w:r>
        <w:t xml:space="preserve">section, views on the </w:t>
      </w:r>
      <w:r w:rsidR="00C833C5">
        <w:t xml:space="preserve">preferred option for </w:t>
      </w:r>
      <w:r>
        <w:t xml:space="preserve">use of urban excise </w:t>
      </w:r>
      <w:r w:rsidR="007248F0">
        <w:t>areas</w:t>
      </w:r>
      <w:r>
        <w:t xml:space="preserve"> were polarised.</w:t>
      </w:r>
      <w:r w:rsidR="00A87F2C">
        <w:rPr>
          <w:rStyle w:val="FootnoteReference"/>
        </w:rPr>
        <w:footnoteReference w:id="16"/>
      </w:r>
      <w:r>
        <w:t xml:space="preserve"> They are grouped as follows:</w:t>
      </w:r>
    </w:p>
    <w:p w14:paraId="580EE233" w14:textId="71D39D65" w:rsidR="004F6F62" w:rsidRDefault="00C833C5" w:rsidP="004453CF">
      <w:pPr>
        <w:pStyle w:val="Bulletlevel1"/>
      </w:pPr>
      <w:r>
        <w:t xml:space="preserve">NBN Co and private WBB submissions primarily supported Option 3, though there was some support for Option 2 as well. </w:t>
      </w:r>
      <w:r w:rsidR="005473BA">
        <w:t>While most submissions opposed Option</w:t>
      </w:r>
      <w:r w:rsidR="00C533BD">
        <w:t>s</w:t>
      </w:r>
      <w:r w:rsidR="005473BA">
        <w:t xml:space="preserve"> 1 and 4, a</w:t>
      </w:r>
      <w:r>
        <w:t xml:space="preserve"> few indicated support for Option 4 if equivalent spectrum is not made available in the 3800</w:t>
      </w:r>
      <w:r w:rsidR="003361D5">
        <w:t>–</w:t>
      </w:r>
      <w:r>
        <w:t>4000 MHz band.</w:t>
      </w:r>
    </w:p>
    <w:p w14:paraId="490C745A" w14:textId="1A8C26C1" w:rsidR="004F6F62" w:rsidRDefault="00F90F4D" w:rsidP="004453CF">
      <w:pPr>
        <w:pStyle w:val="Bulletlevel1"/>
      </w:pPr>
      <w:r>
        <w:t>Mobile industry submissions primarily support</w:t>
      </w:r>
      <w:r w:rsidR="00AE312E">
        <w:t>ed</w:t>
      </w:r>
      <w:r>
        <w:t xml:space="preserve"> Option 4 (implementing Option 2 in the upper 15 MHz). They had a secondary preference for Option 1. </w:t>
      </w:r>
      <w:r w:rsidR="005473BA">
        <w:t xml:space="preserve">There was strong opposition to implementing Option 3. </w:t>
      </w:r>
    </w:p>
    <w:p w14:paraId="6FB130E8" w14:textId="5E4A25D3" w:rsidR="004F6F62" w:rsidRDefault="00F90F4D" w:rsidP="004453CF">
      <w:pPr>
        <w:pStyle w:val="Bulletlevel1last"/>
      </w:pPr>
      <w:r>
        <w:t>O</w:t>
      </w:r>
      <w:r w:rsidRPr="000B6A4B">
        <w:t xml:space="preserve">ne confidential submission did not support WBB services being deployed </w:t>
      </w:r>
      <w:r>
        <w:t>using the 3400</w:t>
      </w:r>
      <w:r w:rsidR="003361D5">
        <w:t>–</w:t>
      </w:r>
      <w:r>
        <w:t xml:space="preserve">3475 MHz band in </w:t>
      </w:r>
      <w:r w:rsidRPr="000B6A4B">
        <w:t>urban excise areas.</w:t>
      </w:r>
    </w:p>
    <w:p w14:paraId="2BC5C0F0" w14:textId="75125345" w:rsidR="007412FC" w:rsidRDefault="007412FC" w:rsidP="007412FC">
      <w:pPr>
        <w:pStyle w:val="Paragraph"/>
        <w:rPr>
          <w:szCs w:val="20"/>
        </w:rPr>
      </w:pPr>
      <w:r>
        <w:rPr>
          <w:szCs w:val="20"/>
        </w:rPr>
        <w:t>Several submissions also linked outcomes in urban excise areas to the work underway to develop arrangements for WBB across the broader 3400</w:t>
      </w:r>
      <w:r w:rsidR="003361D5">
        <w:rPr>
          <w:szCs w:val="20"/>
        </w:rPr>
        <w:t>–</w:t>
      </w:r>
      <w:r>
        <w:rPr>
          <w:szCs w:val="20"/>
        </w:rPr>
        <w:t xml:space="preserve">4000 MHz band. It was suggested that planning guidelines </w:t>
      </w:r>
      <w:r w:rsidRPr="0071481E">
        <w:rPr>
          <w:szCs w:val="20"/>
        </w:rPr>
        <w:t xml:space="preserve">should be created </w:t>
      </w:r>
      <w:r>
        <w:rPr>
          <w:szCs w:val="20"/>
        </w:rPr>
        <w:t>considering the</w:t>
      </w:r>
      <w:r w:rsidRPr="0071481E">
        <w:rPr>
          <w:szCs w:val="20"/>
        </w:rPr>
        <w:t xml:space="preserve"> </w:t>
      </w:r>
      <w:r>
        <w:rPr>
          <w:szCs w:val="20"/>
        </w:rPr>
        <w:t xml:space="preserve">entire </w:t>
      </w:r>
      <w:r w:rsidRPr="0071481E">
        <w:rPr>
          <w:szCs w:val="20"/>
        </w:rPr>
        <w:t>3400</w:t>
      </w:r>
      <w:r w:rsidR="003361D5">
        <w:rPr>
          <w:szCs w:val="20"/>
        </w:rPr>
        <w:t>–</w:t>
      </w:r>
      <w:r w:rsidRPr="0071481E">
        <w:rPr>
          <w:szCs w:val="20"/>
        </w:rPr>
        <w:t xml:space="preserve">4000 MHz band to show where the ACMA believes different use cases should reside. </w:t>
      </w:r>
      <w:r>
        <w:rPr>
          <w:szCs w:val="20"/>
        </w:rPr>
        <w:t>This would allow t</w:t>
      </w:r>
      <w:r w:rsidRPr="0071481E">
        <w:rPr>
          <w:szCs w:val="20"/>
        </w:rPr>
        <w:t xml:space="preserve">echnical </w:t>
      </w:r>
      <w:r>
        <w:rPr>
          <w:szCs w:val="20"/>
        </w:rPr>
        <w:t>arrangements</w:t>
      </w:r>
      <w:r w:rsidRPr="0071481E">
        <w:rPr>
          <w:szCs w:val="20"/>
        </w:rPr>
        <w:t xml:space="preserve"> </w:t>
      </w:r>
      <w:r>
        <w:rPr>
          <w:szCs w:val="20"/>
        </w:rPr>
        <w:t xml:space="preserve">to </w:t>
      </w:r>
      <w:r w:rsidR="00C533BD">
        <w:rPr>
          <w:szCs w:val="20"/>
        </w:rPr>
        <w:t xml:space="preserve">be </w:t>
      </w:r>
      <w:r>
        <w:rPr>
          <w:szCs w:val="20"/>
        </w:rPr>
        <w:t xml:space="preserve">developed and </w:t>
      </w:r>
      <w:r w:rsidRPr="0071481E">
        <w:rPr>
          <w:szCs w:val="20"/>
        </w:rPr>
        <w:t>optimised based on these groupings.</w:t>
      </w:r>
      <w:r>
        <w:rPr>
          <w:szCs w:val="20"/>
        </w:rPr>
        <w:t xml:space="preserve"> </w:t>
      </w:r>
    </w:p>
    <w:p w14:paraId="5C877D52" w14:textId="5B11726E" w:rsidR="007412FC" w:rsidRDefault="007412FC" w:rsidP="007412FC">
      <w:pPr>
        <w:pStyle w:val="Paragraph"/>
        <w:rPr>
          <w:szCs w:val="20"/>
        </w:rPr>
      </w:pPr>
      <w:r>
        <w:rPr>
          <w:szCs w:val="20"/>
        </w:rPr>
        <w:t>Current planning arrangements for the 3400</w:t>
      </w:r>
      <w:r w:rsidR="003361D5">
        <w:rPr>
          <w:szCs w:val="20"/>
        </w:rPr>
        <w:t>–</w:t>
      </w:r>
      <w:r>
        <w:rPr>
          <w:szCs w:val="20"/>
        </w:rPr>
        <w:t xml:space="preserve">4000 MHz band are detailed in Figure </w:t>
      </w:r>
      <w:r w:rsidR="00CB35C4">
        <w:rPr>
          <w:szCs w:val="20"/>
        </w:rPr>
        <w:t>3</w:t>
      </w:r>
      <w:r>
        <w:rPr>
          <w:szCs w:val="20"/>
        </w:rPr>
        <w:t>. Th</w:t>
      </w:r>
      <w:r w:rsidR="00B52365">
        <w:rPr>
          <w:szCs w:val="20"/>
        </w:rPr>
        <w:t>ese</w:t>
      </w:r>
      <w:r>
        <w:rPr>
          <w:szCs w:val="20"/>
        </w:rPr>
        <w:t xml:space="preserve"> include arrangements for WBB use under both spectrum licensing and AWLs </w:t>
      </w:r>
      <w:r w:rsidR="008E426F">
        <w:rPr>
          <w:szCs w:val="20"/>
        </w:rPr>
        <w:t>(supporting WBB)</w:t>
      </w:r>
      <w:r>
        <w:rPr>
          <w:szCs w:val="20"/>
        </w:rPr>
        <w:t xml:space="preserve"> in different segments of the band. </w:t>
      </w:r>
    </w:p>
    <w:p w14:paraId="63FEF928" w14:textId="475FC33F" w:rsidR="0076143A" w:rsidRDefault="008A167D" w:rsidP="0076143A">
      <w:pPr>
        <w:pStyle w:val="ACMAFigureHeader"/>
        <w:tabs>
          <w:tab w:val="clear" w:pos="1021"/>
          <w:tab w:val="num" w:pos="607"/>
        </w:tabs>
        <w:spacing w:before="240" w:after="0"/>
      </w:pPr>
      <w:r>
        <w:t>Planning arrangements for the 3400</w:t>
      </w:r>
      <w:r w:rsidR="003361D5">
        <w:t>–</w:t>
      </w:r>
      <w:r>
        <w:t>4000 MHz band</w:t>
      </w:r>
      <w:r w:rsidRPr="000B6A4B">
        <w:t xml:space="preserve"> </w:t>
      </w:r>
    </w:p>
    <w:p w14:paraId="1E38C3B3" w14:textId="77777777" w:rsidR="003361D5" w:rsidRDefault="003361D5" w:rsidP="0076143A">
      <w:pPr>
        <w:spacing w:after="0"/>
        <w:ind w:right="-897"/>
        <w:rPr>
          <w:b/>
          <w:bCs/>
          <w:sz w:val="16"/>
          <w:szCs w:val="16"/>
        </w:rPr>
      </w:pPr>
    </w:p>
    <w:p w14:paraId="50380E66" w14:textId="3FD22732" w:rsidR="002D2F33" w:rsidRDefault="0076143A" w:rsidP="0076143A">
      <w:pPr>
        <w:spacing w:after="0"/>
        <w:ind w:right="-897"/>
        <w:rPr>
          <w:b/>
          <w:bCs/>
          <w:sz w:val="16"/>
          <w:szCs w:val="16"/>
        </w:rPr>
      </w:pPr>
      <w:r>
        <w:rPr>
          <w:b/>
          <w:bCs/>
          <w:sz w:val="16"/>
          <w:szCs w:val="16"/>
        </w:rPr>
        <w:t xml:space="preserve">AM = </w:t>
      </w:r>
      <w:r w:rsidR="00C533BD">
        <w:rPr>
          <w:b/>
          <w:bCs/>
          <w:sz w:val="16"/>
          <w:szCs w:val="16"/>
        </w:rPr>
        <w:t>a</w:t>
      </w:r>
      <w:r>
        <w:rPr>
          <w:b/>
          <w:bCs/>
          <w:sz w:val="16"/>
          <w:szCs w:val="16"/>
        </w:rPr>
        <w:t>mateur services, AWL = area</w:t>
      </w:r>
      <w:r w:rsidR="003361D5">
        <w:rPr>
          <w:b/>
          <w:bCs/>
          <w:sz w:val="16"/>
          <w:szCs w:val="16"/>
        </w:rPr>
        <w:t>-</w:t>
      </w:r>
      <w:r>
        <w:rPr>
          <w:b/>
          <w:bCs/>
          <w:sz w:val="16"/>
          <w:szCs w:val="16"/>
        </w:rPr>
        <w:t xml:space="preserve">wide licence, </w:t>
      </w:r>
      <w:r w:rsidR="002D2F33">
        <w:rPr>
          <w:b/>
          <w:bCs/>
          <w:sz w:val="16"/>
          <w:szCs w:val="16"/>
        </w:rPr>
        <w:t xml:space="preserve">ESPZ = earth station protection zone, </w:t>
      </w:r>
    </w:p>
    <w:p w14:paraId="412F4907" w14:textId="5EF6EFA3" w:rsidR="0076143A" w:rsidRDefault="0076143A" w:rsidP="0076143A">
      <w:pPr>
        <w:spacing w:after="0"/>
        <w:ind w:right="-897"/>
        <w:rPr>
          <w:b/>
          <w:bCs/>
          <w:sz w:val="16"/>
          <w:szCs w:val="16"/>
        </w:rPr>
      </w:pPr>
      <w:r>
        <w:rPr>
          <w:b/>
          <w:bCs/>
          <w:sz w:val="16"/>
          <w:szCs w:val="16"/>
        </w:rPr>
        <w:t xml:space="preserve">FSS = </w:t>
      </w:r>
      <w:r w:rsidR="00C533BD">
        <w:rPr>
          <w:b/>
          <w:bCs/>
          <w:sz w:val="16"/>
          <w:szCs w:val="16"/>
        </w:rPr>
        <w:t>f</w:t>
      </w:r>
      <w:r>
        <w:rPr>
          <w:b/>
          <w:bCs/>
          <w:sz w:val="16"/>
          <w:szCs w:val="16"/>
        </w:rPr>
        <w:t xml:space="preserve">ixed satellite service, PMP = </w:t>
      </w:r>
      <w:r w:rsidR="00C533BD">
        <w:rPr>
          <w:b/>
          <w:bCs/>
          <w:sz w:val="16"/>
          <w:szCs w:val="16"/>
        </w:rPr>
        <w:t>p</w:t>
      </w:r>
      <w:r>
        <w:rPr>
          <w:b/>
          <w:bCs/>
          <w:sz w:val="16"/>
          <w:szCs w:val="16"/>
        </w:rPr>
        <w:t xml:space="preserve">oint-to-multipoint services, PTP = point-to-point services, </w:t>
      </w:r>
    </w:p>
    <w:p w14:paraId="7CDA9B64" w14:textId="425434BB" w:rsidR="0076143A" w:rsidRPr="000B6A4B" w:rsidRDefault="0076143A" w:rsidP="0076143A">
      <w:pPr>
        <w:spacing w:after="0"/>
        <w:ind w:right="-897"/>
      </w:pPr>
      <w:r>
        <w:rPr>
          <w:b/>
          <w:bCs/>
          <w:sz w:val="16"/>
          <w:szCs w:val="16"/>
        </w:rPr>
        <w:t xml:space="preserve">SL = </w:t>
      </w:r>
      <w:r w:rsidR="00C533BD">
        <w:rPr>
          <w:b/>
          <w:bCs/>
          <w:sz w:val="16"/>
          <w:szCs w:val="16"/>
        </w:rPr>
        <w:t>s</w:t>
      </w:r>
      <w:r>
        <w:rPr>
          <w:b/>
          <w:bCs/>
          <w:sz w:val="16"/>
          <w:szCs w:val="16"/>
        </w:rPr>
        <w:t>pectrum licence</w:t>
      </w:r>
    </w:p>
    <w:p w14:paraId="61837A0F" w14:textId="79E89447" w:rsidR="008A167D" w:rsidRDefault="002D2F33" w:rsidP="008A167D">
      <w:pPr>
        <w:pStyle w:val="Paragraph"/>
        <w:spacing w:after="360"/>
        <w:ind w:left="-567"/>
        <w:rPr>
          <w:szCs w:val="20"/>
        </w:rPr>
      </w:pPr>
      <w:r w:rsidRPr="002D2F33">
        <w:rPr>
          <w:noProof/>
        </w:rPr>
        <w:drawing>
          <wp:inline distT="0" distB="0" distL="0" distR="0" wp14:anchorId="7BD7F973" wp14:editId="64C7BFA8">
            <wp:extent cx="6900279" cy="2571750"/>
            <wp:effectExtent l="0" t="0" r="0" b="0"/>
            <wp:docPr id="13" name="Picture 13" descr="Figure 3: Planning arrangements for the 3400–4000 MHz ban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Figure 3: Planning arrangements for the 3400–4000 MHz band "/>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918954" cy="2578710"/>
                    </a:xfrm>
                    <a:prstGeom prst="rect">
                      <a:avLst/>
                    </a:prstGeom>
                    <a:noFill/>
                    <a:ln>
                      <a:noFill/>
                    </a:ln>
                  </pic:spPr>
                </pic:pic>
              </a:graphicData>
            </a:graphic>
          </wp:inline>
        </w:drawing>
      </w:r>
    </w:p>
    <w:p w14:paraId="74572186" w14:textId="7C3684CC" w:rsidR="005473BA" w:rsidRDefault="005473BA" w:rsidP="005473BA">
      <w:pPr>
        <w:pStyle w:val="Paragraph"/>
        <w:rPr>
          <w:szCs w:val="20"/>
        </w:rPr>
      </w:pPr>
      <w:r>
        <w:rPr>
          <w:szCs w:val="20"/>
        </w:rPr>
        <w:t xml:space="preserve">The ACMA acknowledges the submission that did not support use of urban excise areas for WBB services. However, we have previously consulted on this issue as part of the </w:t>
      </w:r>
      <w:hyperlink r:id="rId61" w:history="1">
        <w:r w:rsidRPr="000721E9">
          <w:rPr>
            <w:rStyle w:val="Hyperlink"/>
            <w:szCs w:val="20"/>
          </w:rPr>
          <w:t>3400</w:t>
        </w:r>
        <w:r w:rsidR="003361D5">
          <w:rPr>
            <w:rStyle w:val="Hyperlink"/>
            <w:szCs w:val="20"/>
          </w:rPr>
          <w:t>–</w:t>
        </w:r>
        <w:r w:rsidRPr="000721E9">
          <w:rPr>
            <w:rStyle w:val="Hyperlink"/>
            <w:szCs w:val="20"/>
          </w:rPr>
          <w:t>3575 MHz optimisation process</w:t>
        </w:r>
      </w:hyperlink>
      <w:r>
        <w:rPr>
          <w:szCs w:val="20"/>
        </w:rPr>
        <w:t xml:space="preserve">. The outcomes of this process identified making the urban excise areas available for WBB use. </w:t>
      </w:r>
    </w:p>
    <w:p w14:paraId="71BEAF3B" w14:textId="2E96D73B" w:rsidR="00FD1D7B" w:rsidRDefault="00FD1D7B" w:rsidP="00FD1D7B">
      <w:pPr>
        <w:pStyle w:val="Paragraph"/>
        <w:rPr>
          <w:szCs w:val="20"/>
        </w:rPr>
      </w:pPr>
      <w:r>
        <w:rPr>
          <w:szCs w:val="20"/>
        </w:rPr>
        <w:lastRenderedPageBreak/>
        <w:t xml:space="preserve">After reviewing submissions, </w:t>
      </w:r>
      <w:r w:rsidR="003361D5">
        <w:rPr>
          <w:szCs w:val="20"/>
        </w:rPr>
        <w:t xml:space="preserve">we </w:t>
      </w:r>
      <w:r>
        <w:rPr>
          <w:szCs w:val="20"/>
        </w:rPr>
        <w:t xml:space="preserve">believe that Options 3 and 4 should be considered further for implementation in urban excise areas. We will reassess both these options, taking into account relevant feedback. To ensure the best long-term outcomes are adopted, these will also be considered in the context of work that is underway to develop planning and allocation arrangements for WBB use across the broader </w:t>
      </w:r>
      <w:r w:rsidR="003361D5">
        <w:rPr>
          <w:szCs w:val="20"/>
        </w:rPr>
        <w:br/>
      </w:r>
      <w:r>
        <w:rPr>
          <w:szCs w:val="20"/>
        </w:rPr>
        <w:t>3400</w:t>
      </w:r>
      <w:r w:rsidR="003361D5">
        <w:rPr>
          <w:szCs w:val="20"/>
        </w:rPr>
        <w:t>–</w:t>
      </w:r>
      <w:r>
        <w:rPr>
          <w:szCs w:val="20"/>
        </w:rPr>
        <w:t xml:space="preserve">4000 MHz band. </w:t>
      </w:r>
    </w:p>
    <w:p w14:paraId="3B554E8A" w14:textId="7FE4DF16" w:rsidR="00FD1D7B" w:rsidRDefault="00FD0F48" w:rsidP="00FD1D7B">
      <w:pPr>
        <w:pStyle w:val="Paragraph"/>
      </w:pPr>
      <w:r>
        <w:rPr>
          <w:szCs w:val="20"/>
        </w:rPr>
        <w:t>We are</w:t>
      </w:r>
      <w:r w:rsidR="00FD1D7B">
        <w:rPr>
          <w:szCs w:val="20"/>
        </w:rPr>
        <w:t xml:space="preserve"> working on multiple planning and allocation processes for spectrum licences and AWLs in the 3400</w:t>
      </w:r>
      <w:r>
        <w:rPr>
          <w:szCs w:val="20"/>
        </w:rPr>
        <w:t>–</w:t>
      </w:r>
      <w:r w:rsidR="00FD1D7B">
        <w:rPr>
          <w:szCs w:val="20"/>
        </w:rPr>
        <w:t>4000 MHz band. However, time is required to progress these so that the role urban excise</w:t>
      </w:r>
      <w:r w:rsidR="00C533BD">
        <w:rPr>
          <w:szCs w:val="20"/>
        </w:rPr>
        <w:t xml:space="preserve"> areas</w:t>
      </w:r>
      <w:r w:rsidR="00FD1D7B">
        <w:rPr>
          <w:szCs w:val="20"/>
        </w:rPr>
        <w:t xml:space="preserve"> will play in achieving our objectives can be better understood. This includes how different WBB use cases can be accommodate</w:t>
      </w:r>
      <w:r w:rsidR="00627C6E">
        <w:rPr>
          <w:szCs w:val="20"/>
        </w:rPr>
        <w:t>d</w:t>
      </w:r>
      <w:r w:rsidR="00FD1D7B">
        <w:rPr>
          <w:szCs w:val="20"/>
        </w:rPr>
        <w:t xml:space="preserve"> within the 3400-4000 MHz band, as this may result in more efficient use of spectrum.</w:t>
      </w:r>
    </w:p>
    <w:p w14:paraId="6458A336" w14:textId="0A4F55CB" w:rsidR="002721AA" w:rsidRDefault="002721AA" w:rsidP="004453CF">
      <w:pPr>
        <w:pStyle w:val="Paragraphbeforelist"/>
      </w:pPr>
      <w:r>
        <w:t xml:space="preserve">Submissions confirmed the previously identified </w:t>
      </w:r>
      <w:r w:rsidR="00C9195C">
        <w:t xml:space="preserve">3 </w:t>
      </w:r>
      <w:r>
        <w:t xml:space="preserve">use cases that warrant further consideration, </w:t>
      </w:r>
      <w:r w:rsidR="00B52365">
        <w:t>being</w:t>
      </w:r>
      <w:r>
        <w:t xml:space="preserve">: </w:t>
      </w:r>
    </w:p>
    <w:p w14:paraId="377A2C21" w14:textId="791BEC53" w:rsidR="002721AA" w:rsidRDefault="002721AA" w:rsidP="004453CF">
      <w:pPr>
        <w:pStyle w:val="Bulletlevel1"/>
      </w:pPr>
      <w:r w:rsidRPr="008F272B">
        <w:rPr>
          <w:u w:val="single"/>
        </w:rPr>
        <w:t>Wide area WBB (WA WBB) uses</w:t>
      </w:r>
      <w:r>
        <w:rPr>
          <w:u w:val="single"/>
        </w:rPr>
        <w:t>:</w:t>
      </w:r>
      <w:r>
        <w:t xml:space="preserve"> This use case encompasses NBN Co and mobile network operators and is typically supported via the issue of spectrum licences covering large geographical areas. </w:t>
      </w:r>
    </w:p>
    <w:p w14:paraId="64FBBBD6" w14:textId="20DCE116" w:rsidR="002721AA" w:rsidRDefault="002721AA" w:rsidP="004453CF">
      <w:pPr>
        <w:pStyle w:val="Bulletlevel1"/>
      </w:pPr>
      <w:r w:rsidRPr="008F272B">
        <w:rPr>
          <w:u w:val="single"/>
        </w:rPr>
        <w:t>Macro cell local area WBB (LA WBB) uses</w:t>
      </w:r>
      <w:r>
        <w:rPr>
          <w:u w:val="single"/>
        </w:rPr>
        <w:t>:</w:t>
      </w:r>
      <w:r>
        <w:t xml:space="preserve"> This use case encompasses the deployment of a limited number of WBB services requiring a medium to large cell size, as is often seen for services delivered by wireless internet service providers and above ground mine sites. This use case is typically best supported by the issue of apparatus licences such as AWLs that enable operation within a desired service area or areas.</w:t>
      </w:r>
      <w:r w:rsidRPr="00866E34">
        <w:t xml:space="preserve"> </w:t>
      </w:r>
    </w:p>
    <w:p w14:paraId="2861F662" w14:textId="7416EB61" w:rsidR="002721AA" w:rsidRPr="00866E34" w:rsidRDefault="002721AA" w:rsidP="004453CF">
      <w:pPr>
        <w:pStyle w:val="Bulletlevel1last"/>
      </w:pPr>
      <w:r w:rsidRPr="008F272B">
        <w:rPr>
          <w:u w:val="single"/>
        </w:rPr>
        <w:t>Restricted cell LA WBB uses</w:t>
      </w:r>
      <w:r>
        <w:rPr>
          <w:u w:val="single"/>
        </w:rPr>
        <w:t>:</w:t>
      </w:r>
      <w:r>
        <w:t xml:space="preserve"> This use case encompasses highly </w:t>
      </w:r>
      <w:r>
        <w:rPr>
          <w:szCs w:val="20"/>
        </w:rPr>
        <w:t xml:space="preserve">localised private and enterprise networks, including services at </w:t>
      </w:r>
      <w:r>
        <w:t>warehouses, factories, airports, ports, transport</w:t>
      </w:r>
      <w:r w:rsidR="00B52365">
        <w:t xml:space="preserve"> hubs</w:t>
      </w:r>
      <w:r>
        <w:t xml:space="preserve">, hospitals, schools and smart buildings. This use case is typically best supported by class licence or apparatus licence (such as AWL) arrangements that enable operation within a highly localised service area or areas. </w:t>
      </w:r>
      <w:r>
        <w:rPr>
          <w:szCs w:val="20"/>
        </w:rPr>
        <w:t>While it is possible for AWL arrangements to support both the macro cell and restricted cell LA WBB cases, there may be efficiencies in identifying dedicated spectrum for each of these cases.</w:t>
      </w:r>
    </w:p>
    <w:p w14:paraId="43F0A686" w14:textId="3B9E6184" w:rsidR="000924F3" w:rsidRDefault="00FD1D7B" w:rsidP="00FD1D7B">
      <w:pPr>
        <w:pStyle w:val="Paragraph"/>
        <w:rPr>
          <w:szCs w:val="20"/>
        </w:rPr>
      </w:pPr>
      <w:r>
        <w:rPr>
          <w:szCs w:val="20"/>
        </w:rPr>
        <w:t xml:space="preserve">In February 2022, </w:t>
      </w:r>
      <w:r w:rsidR="00FD0F48">
        <w:rPr>
          <w:szCs w:val="20"/>
        </w:rPr>
        <w:t xml:space="preserve">we plan </w:t>
      </w:r>
      <w:r>
        <w:rPr>
          <w:szCs w:val="20"/>
        </w:rPr>
        <w:t xml:space="preserve">to consult on the re-allocation of spectrum in the </w:t>
      </w:r>
      <w:r w:rsidR="00FD0F48">
        <w:rPr>
          <w:szCs w:val="20"/>
        </w:rPr>
        <w:br/>
      </w:r>
      <w:r>
        <w:rPr>
          <w:szCs w:val="20"/>
        </w:rPr>
        <w:t>3400</w:t>
      </w:r>
      <w:r w:rsidR="00FD0F48">
        <w:rPr>
          <w:szCs w:val="20"/>
        </w:rPr>
        <w:t>–</w:t>
      </w:r>
      <w:r>
        <w:rPr>
          <w:szCs w:val="20"/>
        </w:rPr>
        <w:t xml:space="preserve">3800 MHz band for the issue of spectrum licensing </w:t>
      </w:r>
      <w:r w:rsidR="00627C6E">
        <w:rPr>
          <w:szCs w:val="20"/>
        </w:rPr>
        <w:t xml:space="preserve">pursuant to section </w:t>
      </w:r>
      <w:r>
        <w:rPr>
          <w:szCs w:val="20"/>
        </w:rPr>
        <w:t>153B</w:t>
      </w:r>
      <w:r w:rsidR="00CB1481">
        <w:rPr>
          <w:szCs w:val="20"/>
        </w:rPr>
        <w:t> </w:t>
      </w:r>
      <w:r>
        <w:rPr>
          <w:szCs w:val="20"/>
        </w:rPr>
        <w:t>of</w:t>
      </w:r>
      <w:r w:rsidR="00CB1481">
        <w:rPr>
          <w:szCs w:val="20"/>
        </w:rPr>
        <w:t> </w:t>
      </w:r>
      <w:r>
        <w:rPr>
          <w:szCs w:val="20"/>
        </w:rPr>
        <w:t xml:space="preserve">the Act. We </w:t>
      </w:r>
      <w:r w:rsidR="000924F3">
        <w:rPr>
          <w:szCs w:val="20"/>
        </w:rPr>
        <w:t xml:space="preserve">intend to provide additional explanation of </w:t>
      </w:r>
      <w:r>
        <w:rPr>
          <w:szCs w:val="20"/>
        </w:rPr>
        <w:t xml:space="preserve">the broader </w:t>
      </w:r>
      <w:r w:rsidR="00CB1481">
        <w:rPr>
          <w:szCs w:val="20"/>
        </w:rPr>
        <w:br/>
      </w:r>
      <w:r>
        <w:rPr>
          <w:szCs w:val="20"/>
        </w:rPr>
        <w:t>3400</w:t>
      </w:r>
      <w:r w:rsidR="00FD0F48">
        <w:rPr>
          <w:szCs w:val="20"/>
        </w:rPr>
        <w:t>–</w:t>
      </w:r>
      <w:r>
        <w:rPr>
          <w:szCs w:val="20"/>
        </w:rPr>
        <w:t>4000 MHz band planning and allocation issues</w:t>
      </w:r>
      <w:r w:rsidR="000924F3">
        <w:rPr>
          <w:szCs w:val="20"/>
        </w:rPr>
        <w:t>, including the purpose for which urban excise spectrum may be used</w:t>
      </w:r>
      <w:r>
        <w:rPr>
          <w:szCs w:val="20"/>
        </w:rPr>
        <w:t xml:space="preserve">. We also plan to conduct a </w:t>
      </w:r>
      <w:hyperlink r:id="rId62" w:history="1">
        <w:r w:rsidRPr="00090CE7">
          <w:rPr>
            <w:rStyle w:val="Hyperlink"/>
            <w:szCs w:val="20"/>
          </w:rPr>
          <w:t>spectrum tune-up</w:t>
        </w:r>
      </w:hyperlink>
      <w:r>
        <w:rPr>
          <w:szCs w:val="20"/>
        </w:rPr>
        <w:t xml:space="preserve"> on 3400</w:t>
      </w:r>
      <w:r w:rsidR="00CB1481">
        <w:rPr>
          <w:szCs w:val="20"/>
        </w:rPr>
        <w:t>–</w:t>
      </w:r>
      <w:r>
        <w:rPr>
          <w:szCs w:val="20"/>
        </w:rPr>
        <w:t xml:space="preserve">4000 MHz band related issues in Q2 2022. This will provide an opportunity for the ACMA to workshop its ideas. </w:t>
      </w:r>
      <w:r w:rsidR="00B52365">
        <w:rPr>
          <w:szCs w:val="20"/>
        </w:rPr>
        <w:t>C</w:t>
      </w:r>
      <w:r>
        <w:rPr>
          <w:szCs w:val="20"/>
        </w:rPr>
        <w:t xml:space="preserve">onsequentially, </w:t>
      </w:r>
      <w:r w:rsidR="00B52365">
        <w:rPr>
          <w:szCs w:val="20"/>
        </w:rPr>
        <w:t xml:space="preserve">we </w:t>
      </w:r>
      <w:r>
        <w:rPr>
          <w:szCs w:val="20"/>
        </w:rPr>
        <w:t>aim to decide on the use of urban excise areas in mid-2022.</w:t>
      </w:r>
      <w:r w:rsidR="000924F3">
        <w:rPr>
          <w:szCs w:val="20"/>
        </w:rPr>
        <w:t xml:space="preserve"> </w:t>
      </w:r>
    </w:p>
    <w:p w14:paraId="6C80FB51" w14:textId="460FD580" w:rsidR="00DF7B17" w:rsidRDefault="00DF7B17" w:rsidP="00DF7B17">
      <w:pPr>
        <w:pStyle w:val="Paragraph"/>
        <w:rPr>
          <w:szCs w:val="20"/>
        </w:rPr>
      </w:pPr>
      <w:r>
        <w:t>By combining further discussion on this issue with the s.153B consultation, the ACMA is seeking to reduce the number of separate consultation processes that stakeholders need to consider and to expose some of the broader issues for consideration in the 3400</w:t>
      </w:r>
      <w:r w:rsidR="00CB1481">
        <w:t>–</w:t>
      </w:r>
      <w:r>
        <w:t xml:space="preserve">4000 MHz band. </w:t>
      </w:r>
      <w:r w:rsidR="00D32635">
        <w:t>It does not mean the ACMA has made a decision to issue spectrum licences in urban excise areas.</w:t>
      </w:r>
    </w:p>
    <w:p w14:paraId="7FAA8D1A" w14:textId="0FB9DFAE" w:rsidR="004E00D7" w:rsidRDefault="00FD1D7B" w:rsidP="005C29D6">
      <w:pPr>
        <w:rPr>
          <w:szCs w:val="20"/>
        </w:rPr>
      </w:pPr>
      <w:r>
        <w:rPr>
          <w:szCs w:val="20"/>
        </w:rPr>
        <w:t xml:space="preserve">Once a decision has been made, we will commence </w:t>
      </w:r>
      <w:r w:rsidR="007807C4">
        <w:rPr>
          <w:szCs w:val="20"/>
        </w:rPr>
        <w:t>implementation, which will</w:t>
      </w:r>
      <w:r w:rsidR="007807C4">
        <w:t xml:space="preserve"> </w:t>
      </w:r>
      <w:r w:rsidRPr="000B6A4B">
        <w:t xml:space="preserve">include finalising interference management criteria, developing </w:t>
      </w:r>
      <w:r>
        <w:t>administrative policy guidance (such as Radiocommunications Assignment and Licensing Instructions (</w:t>
      </w:r>
      <w:r w:rsidRPr="000B6A4B">
        <w:t>RALIs</w:t>
      </w:r>
      <w:r>
        <w:t>))</w:t>
      </w:r>
      <w:r w:rsidRPr="000B6A4B">
        <w:t xml:space="preserve"> and making/updating relevant legislative instruments. Where </w:t>
      </w:r>
      <w:r>
        <w:t>appropriate,</w:t>
      </w:r>
      <w:r w:rsidRPr="000B6A4B">
        <w:t xml:space="preserve"> any work will be combined with similar work being conducted to implement the </w:t>
      </w:r>
      <w:hyperlink r:id="rId63" w:history="1">
        <w:r w:rsidRPr="00CB1481">
          <w:rPr>
            <w:rStyle w:val="Hyperlink"/>
            <w:i/>
            <w:iCs/>
            <w:szCs w:val="20"/>
          </w:rPr>
          <w:t>Replanning the 3700–4200 MHz band – Outcomes paper</w:t>
        </w:r>
      </w:hyperlink>
      <w:r w:rsidRPr="000B6A4B">
        <w:t>.</w:t>
      </w:r>
    </w:p>
    <w:p w14:paraId="03E18F64" w14:textId="30C4F9DC" w:rsidR="00744E7C" w:rsidRDefault="00744E7C" w:rsidP="004E00D7">
      <w:pPr>
        <w:pStyle w:val="Paragraph"/>
        <w:rPr>
          <w:szCs w:val="20"/>
        </w:rPr>
      </w:pPr>
    </w:p>
    <w:p w14:paraId="3F78A3EC" w14:textId="2017C8CB" w:rsidR="000C1B75" w:rsidRPr="000B6A4B" w:rsidRDefault="000C1B75" w:rsidP="000C1B75">
      <w:pPr>
        <w:pStyle w:val="Heading1"/>
      </w:pPr>
      <w:bookmarkStart w:id="49" w:name="_Next_steps"/>
      <w:bookmarkStart w:id="50" w:name="_Toc89250843"/>
      <w:bookmarkEnd w:id="48"/>
      <w:bookmarkEnd w:id="49"/>
      <w:r w:rsidRPr="000B6A4B">
        <w:lastRenderedPageBreak/>
        <w:t>Next steps</w:t>
      </w:r>
      <w:bookmarkEnd w:id="50"/>
      <w:r w:rsidRPr="000B6A4B">
        <w:t xml:space="preserve"> </w:t>
      </w:r>
    </w:p>
    <w:p w14:paraId="06F65272" w14:textId="780C5F99" w:rsidR="0077538E" w:rsidRDefault="00BB026A" w:rsidP="00DD0F74">
      <w:pPr>
        <w:pStyle w:val="Paragraph"/>
      </w:pPr>
      <w:r>
        <w:t xml:space="preserve">This section provides an overview of the next steps the ACMA will take to implement </w:t>
      </w:r>
      <w:r w:rsidR="0077538E">
        <w:t>amendments to</w:t>
      </w:r>
      <w:r w:rsidR="00D32635">
        <w:t xml:space="preserve"> the</w:t>
      </w:r>
      <w:r w:rsidR="0077538E">
        <w:t xml:space="preserve"> 3.4 GHz technical framework and progress consideration on the use of urban excise areas.</w:t>
      </w:r>
    </w:p>
    <w:p w14:paraId="3B559E14" w14:textId="77777777" w:rsidR="00BB026A" w:rsidRPr="0069444A" w:rsidRDefault="00BB026A" w:rsidP="00BB026A">
      <w:pPr>
        <w:pStyle w:val="Heading3"/>
      </w:pPr>
      <w:r w:rsidRPr="0069444A">
        <w:t xml:space="preserve">3.4 GHz technical framework </w:t>
      </w:r>
    </w:p>
    <w:p w14:paraId="292ED388" w14:textId="5D519D9C" w:rsidR="00BB026A" w:rsidRDefault="0063012E" w:rsidP="00BB026A">
      <w:pPr>
        <w:pStyle w:val="Paragraph"/>
      </w:pPr>
      <w:r>
        <w:t xml:space="preserve">We have </w:t>
      </w:r>
      <w:r w:rsidR="00B22598">
        <w:t>now</w:t>
      </w:r>
      <w:r w:rsidR="00D11BA8">
        <w:t xml:space="preserve"> </w:t>
      </w:r>
      <w:r w:rsidR="005357BE">
        <w:t xml:space="preserve">made the </w:t>
      </w:r>
      <w:r w:rsidR="005357BE" w:rsidRPr="004453CF">
        <w:t>Radiocommunications (Unacceptable Levels of Interference – 3.4 GHz Band) Amendment Determination 2021 (No. 1)</w:t>
      </w:r>
      <w:r w:rsidR="005357BE">
        <w:t xml:space="preserve"> </w:t>
      </w:r>
      <w:r w:rsidR="00D11BA8">
        <w:t xml:space="preserve">and </w:t>
      </w:r>
      <w:r w:rsidR="005357BE">
        <w:t xml:space="preserve">published updates to </w:t>
      </w:r>
      <w:hyperlink r:id="rId64" w:history="1">
        <w:r w:rsidR="00D11BA8" w:rsidRPr="00D61485">
          <w:rPr>
            <w:rStyle w:val="Hyperlink"/>
          </w:rPr>
          <w:t>RALI MS44</w:t>
        </w:r>
      </w:hyperlink>
      <w:r w:rsidR="00D11BA8">
        <w:t xml:space="preserve">. </w:t>
      </w:r>
    </w:p>
    <w:p w14:paraId="33299944" w14:textId="4DE39E21" w:rsidR="00B22598" w:rsidRPr="00295FFD" w:rsidRDefault="00B22598" w:rsidP="00B22598">
      <w:pPr>
        <w:pStyle w:val="Bulletlevel1"/>
        <w:numPr>
          <w:ilvl w:val="0"/>
          <w:numId w:val="0"/>
        </w:numPr>
        <w:spacing w:before="240" w:after="240"/>
      </w:pPr>
      <w:r w:rsidRPr="00686C02">
        <w:t xml:space="preserve">To give effect to </w:t>
      </w:r>
      <w:r>
        <w:t>th</w:t>
      </w:r>
      <w:r w:rsidR="003524D8">
        <w:t>e</w:t>
      </w:r>
      <w:r>
        <w:t xml:space="preserve"> </w:t>
      </w:r>
      <w:r w:rsidR="003524D8">
        <w:t>proposed changes to receiver spurious emission limits</w:t>
      </w:r>
      <w:r w:rsidRPr="00686C02">
        <w:t xml:space="preserve">, </w:t>
      </w:r>
      <w:r w:rsidR="002F15C7">
        <w:t>we</w:t>
      </w:r>
      <w:r w:rsidRPr="00686C02">
        <w:t xml:space="preserve"> will write to all 3.4 GHz band spectrum licensees seeking their agreement to </w:t>
      </w:r>
      <w:r w:rsidR="003524D8">
        <w:t xml:space="preserve">amend relevant conditions on their </w:t>
      </w:r>
      <w:r>
        <w:t>licence</w:t>
      </w:r>
      <w:r w:rsidR="003524D8">
        <w:t>s</w:t>
      </w:r>
      <w:r w:rsidRPr="00686C02">
        <w:t>. As this</w:t>
      </w:r>
      <w:r>
        <w:t xml:space="preserve"> relates to a change in core conditions, the changes will </w:t>
      </w:r>
      <w:r w:rsidR="00D61485">
        <w:t xml:space="preserve">only </w:t>
      </w:r>
      <w:r>
        <w:t>be made on a licence-by-licence basis if there is agreement from licensees in accordance with section 72 of the</w:t>
      </w:r>
      <w:r w:rsidR="003B1644">
        <w:t xml:space="preserve"> Act</w:t>
      </w:r>
      <w:r>
        <w:t>.</w:t>
      </w:r>
      <w:r w:rsidR="008213BF">
        <w:t xml:space="preserve"> We aim to </w:t>
      </w:r>
      <w:r w:rsidR="004F6F62">
        <w:t xml:space="preserve">commence this process in December 2021. </w:t>
      </w:r>
    </w:p>
    <w:p w14:paraId="791EA43A" w14:textId="6D7013B3" w:rsidR="00D11BA8" w:rsidRPr="0069444A" w:rsidRDefault="004F6F62" w:rsidP="00D11BA8">
      <w:pPr>
        <w:pStyle w:val="Heading3"/>
      </w:pPr>
      <w:r>
        <w:t>U</w:t>
      </w:r>
      <w:r w:rsidR="00D11BA8">
        <w:t>se of the 3400-3475 MHz band in urban excise areas</w:t>
      </w:r>
    </w:p>
    <w:p w14:paraId="6589260D" w14:textId="7C3A52F8" w:rsidR="00CA788F" w:rsidRDefault="00CF03CF" w:rsidP="00480944">
      <w:pPr>
        <w:pStyle w:val="Paragraph"/>
      </w:pPr>
      <w:r>
        <w:t xml:space="preserve">To progress consideration on the use of urban excise areas, the </w:t>
      </w:r>
      <w:r w:rsidRPr="00A85D75">
        <w:t xml:space="preserve">ACMA has developed the indicative </w:t>
      </w:r>
      <w:r>
        <w:t>timetable</w:t>
      </w:r>
      <w:r w:rsidRPr="00A85D75">
        <w:t xml:space="preserve"> set out in Table </w:t>
      </w:r>
      <w:r w:rsidR="00CB35C4">
        <w:t>2</w:t>
      </w:r>
      <w:r>
        <w:t>.</w:t>
      </w:r>
      <w:r w:rsidR="00346B31">
        <w:t xml:space="preserve"> </w:t>
      </w:r>
      <w:r w:rsidR="00DD0F74" w:rsidRPr="00A85D75">
        <w:t xml:space="preserve">The table shows the activities </w:t>
      </w:r>
      <w:r w:rsidR="006B77F1">
        <w:t>we</w:t>
      </w:r>
      <w:r w:rsidR="00DD0F74" w:rsidRPr="00A85D75">
        <w:t xml:space="preserve"> </w:t>
      </w:r>
      <w:r>
        <w:t xml:space="preserve">plan to undertake </w:t>
      </w:r>
      <w:r w:rsidR="00DD0F74" w:rsidRPr="00A85D75">
        <w:t xml:space="preserve">and </w:t>
      </w:r>
      <w:r>
        <w:t xml:space="preserve">their </w:t>
      </w:r>
      <w:r w:rsidR="00DD0F74" w:rsidRPr="00A85D75">
        <w:t>estimated timing follow</w:t>
      </w:r>
      <w:r>
        <w:t>ing</w:t>
      </w:r>
      <w:r w:rsidR="00DD0F74" w:rsidRPr="00A85D75">
        <w:t xml:space="preserve"> </w:t>
      </w:r>
      <w:r>
        <w:t xml:space="preserve">the </w:t>
      </w:r>
      <w:r w:rsidR="00DD0F74" w:rsidRPr="00A85D75">
        <w:t>release of this paper. Completion of these activities is contingent on a variety of factors</w:t>
      </w:r>
      <w:r w:rsidR="00DD0F74">
        <w:t>,</w:t>
      </w:r>
      <w:r w:rsidR="00DD0F74" w:rsidRPr="00A85D75">
        <w:t xml:space="preserve"> including feedback received from stakeholders and consideration by the ACMA. </w:t>
      </w:r>
      <w:r w:rsidR="00DD0F74">
        <w:t>Timeframes are indicative and intended to provide a guide to the sequencing and commencement of particular</w:t>
      </w:r>
      <w:r w:rsidR="00FD0803">
        <w:t xml:space="preserve"> </w:t>
      </w:r>
      <w:r w:rsidR="00DD0F74">
        <w:t xml:space="preserve">streams of work. </w:t>
      </w:r>
    </w:p>
    <w:p w14:paraId="5985AFD7" w14:textId="77777777" w:rsidR="00CA788F" w:rsidRDefault="00CA788F" w:rsidP="00CA788F">
      <w:pPr>
        <w:pStyle w:val="Tableheading"/>
      </w:pPr>
      <w:r>
        <w:t>Indicative timetable for finalising work</w:t>
      </w:r>
    </w:p>
    <w:tbl>
      <w:tblPr>
        <w:tblStyle w:val="ACMAtablestyle"/>
        <w:tblW w:w="9504" w:type="dxa"/>
        <w:tblLayout w:type="fixed"/>
        <w:tblLook w:val="01E0" w:firstRow="1" w:lastRow="1" w:firstColumn="1" w:lastColumn="1" w:noHBand="0" w:noVBand="0"/>
        <w:tblCaption w:val="Table title to go here"/>
        <w:tblDescription w:val="Table description to go here"/>
      </w:tblPr>
      <w:tblGrid>
        <w:gridCol w:w="3168"/>
        <w:gridCol w:w="3168"/>
        <w:gridCol w:w="3168"/>
      </w:tblGrid>
      <w:tr w:rsidR="00CA788F" w:rsidRPr="006D46E5" w14:paraId="6C093AEC" w14:textId="77777777" w:rsidTr="00CD44DA">
        <w:trPr>
          <w:cnfStyle w:val="100000000000" w:firstRow="1" w:lastRow="0" w:firstColumn="0" w:lastColumn="0" w:oddVBand="0" w:evenVBand="0" w:oddHBand="0" w:evenHBand="0" w:firstRowFirstColumn="0" w:firstRowLastColumn="0" w:lastRowFirstColumn="0" w:lastRowLastColumn="0"/>
          <w:cantSplit/>
        </w:trPr>
        <w:tc>
          <w:tcPr>
            <w:tcW w:w="0" w:type="dxa"/>
          </w:tcPr>
          <w:p w14:paraId="78B7B341" w14:textId="77777777" w:rsidR="00CA788F" w:rsidRPr="00930510" w:rsidRDefault="00CA788F" w:rsidP="00526514">
            <w:pPr>
              <w:pStyle w:val="Tableheaderrow"/>
            </w:pPr>
            <w:r>
              <w:t>Step</w:t>
            </w:r>
          </w:p>
        </w:tc>
        <w:tc>
          <w:tcPr>
            <w:tcW w:w="0" w:type="dxa"/>
          </w:tcPr>
          <w:p w14:paraId="3A64B0E3" w14:textId="77777777" w:rsidR="00CA788F" w:rsidRPr="00930510" w:rsidRDefault="00CA788F" w:rsidP="00526514">
            <w:pPr>
              <w:pStyle w:val="Tableheaderrow"/>
            </w:pPr>
            <w:r>
              <w:t>Step detail</w:t>
            </w:r>
          </w:p>
        </w:tc>
        <w:tc>
          <w:tcPr>
            <w:tcW w:w="0" w:type="dxa"/>
          </w:tcPr>
          <w:p w14:paraId="43E2BA13" w14:textId="77777777" w:rsidR="00CA788F" w:rsidRPr="00930510" w:rsidRDefault="00CA788F" w:rsidP="00526514">
            <w:pPr>
              <w:pStyle w:val="Tableheaderrow"/>
            </w:pPr>
            <w:r>
              <w:t>Completion date</w:t>
            </w:r>
          </w:p>
        </w:tc>
      </w:tr>
      <w:tr w:rsidR="00CA788F" w:rsidRPr="006D46E5" w14:paraId="5F46145E" w14:textId="77777777" w:rsidTr="00CD44DA">
        <w:trPr>
          <w:cnfStyle w:val="000000100000" w:firstRow="0" w:lastRow="0" w:firstColumn="0" w:lastColumn="0" w:oddVBand="0" w:evenVBand="0" w:oddHBand="1" w:evenHBand="0" w:firstRowFirstColumn="0" w:firstRowLastColumn="0" w:lastRowFirstColumn="0" w:lastRowLastColumn="0"/>
          <w:cantSplit/>
        </w:trPr>
        <w:tc>
          <w:tcPr>
            <w:tcW w:w="0" w:type="dxa"/>
            <w:tcMar>
              <w:left w:w="28" w:type="dxa"/>
              <w:right w:w="28" w:type="dxa"/>
            </w:tcMar>
          </w:tcPr>
          <w:p w14:paraId="39266FA3" w14:textId="77777777" w:rsidR="00CA788F" w:rsidRPr="00D12089" w:rsidRDefault="00CA788F" w:rsidP="00526514">
            <w:pPr>
              <w:pStyle w:val="TableBody"/>
            </w:pPr>
            <w:r w:rsidRPr="00D12089">
              <w:t>Public consultation</w:t>
            </w:r>
          </w:p>
        </w:tc>
        <w:tc>
          <w:tcPr>
            <w:tcW w:w="0" w:type="dxa"/>
            <w:tcMar>
              <w:left w:w="28" w:type="dxa"/>
              <w:right w:w="28" w:type="dxa"/>
            </w:tcMar>
          </w:tcPr>
          <w:p w14:paraId="6607A217" w14:textId="7EA150C7" w:rsidR="000770A0" w:rsidRPr="00D12089" w:rsidRDefault="00090CE7" w:rsidP="004453CF">
            <w:pPr>
              <w:pStyle w:val="Paragraphbeforelist"/>
            </w:pPr>
            <w:r>
              <w:t>C</w:t>
            </w:r>
            <w:r w:rsidR="00CA788F" w:rsidRPr="00D12089">
              <w:t>onsult</w:t>
            </w:r>
            <w:r w:rsidR="00CF03CF">
              <w:t>ation</w:t>
            </w:r>
            <w:r w:rsidR="00CA788F" w:rsidRPr="00D12089">
              <w:t xml:space="preserve"> on</w:t>
            </w:r>
            <w:r w:rsidR="000770A0" w:rsidRPr="00D12089">
              <w:t>:</w:t>
            </w:r>
            <w:r w:rsidR="00CA788F" w:rsidRPr="00D12089">
              <w:t xml:space="preserve"> </w:t>
            </w:r>
          </w:p>
          <w:p w14:paraId="02414E6D" w14:textId="1F184204" w:rsidR="000770A0" w:rsidRPr="00D12089" w:rsidRDefault="000770A0" w:rsidP="004453CF">
            <w:pPr>
              <w:pStyle w:val="Bulletlevel1"/>
            </w:pPr>
            <w:r w:rsidRPr="00D12089">
              <w:t>draft</w:t>
            </w:r>
            <w:r w:rsidR="003B1644">
              <w:t xml:space="preserve"> spectrum</w:t>
            </w:r>
            <w:r w:rsidRPr="00D12089">
              <w:t xml:space="preserve"> re-allocation declaration (</w:t>
            </w:r>
            <w:r w:rsidR="003B1644">
              <w:t xml:space="preserve">under </w:t>
            </w:r>
            <w:r w:rsidR="00627C6E">
              <w:t xml:space="preserve">section </w:t>
            </w:r>
            <w:r w:rsidRPr="00D12089">
              <w:t>153B of the Act)</w:t>
            </w:r>
            <w:r w:rsidR="003B1644">
              <w:t xml:space="preserve"> to support the issue of spectrum licences in defined parts of the </w:t>
            </w:r>
            <w:r w:rsidR="002B092A">
              <w:br/>
            </w:r>
            <w:r w:rsidR="003B1644">
              <w:t>3400</w:t>
            </w:r>
            <w:r w:rsidR="002B092A">
              <w:t>–</w:t>
            </w:r>
            <w:r w:rsidR="003B1644">
              <w:t>3800 MHz band</w:t>
            </w:r>
          </w:p>
          <w:p w14:paraId="12959C74" w14:textId="79F5FFEA" w:rsidR="000770A0" w:rsidRPr="00D12089" w:rsidRDefault="00CF03CF" w:rsidP="004453CF">
            <w:pPr>
              <w:pStyle w:val="Bulletlevel1last"/>
            </w:pPr>
            <w:r>
              <w:t xml:space="preserve">further consideration </w:t>
            </w:r>
            <w:r w:rsidR="00090CE7">
              <w:t>on the</w:t>
            </w:r>
            <w:r w:rsidR="00D12089">
              <w:t xml:space="preserve"> use</w:t>
            </w:r>
            <w:r w:rsidR="002B092A">
              <w:t> </w:t>
            </w:r>
            <w:r w:rsidR="00D12089">
              <w:t xml:space="preserve">of urban excise areas in context of the broader </w:t>
            </w:r>
            <w:r w:rsidR="002B092A">
              <w:br/>
            </w:r>
            <w:r w:rsidR="00D12089">
              <w:t>3400</w:t>
            </w:r>
            <w:r w:rsidR="002B092A">
              <w:t>–</w:t>
            </w:r>
            <w:r w:rsidR="00D12089">
              <w:t>4000 MHz band</w:t>
            </w:r>
            <w:r w:rsidR="00627C6E">
              <w:t>.</w:t>
            </w:r>
            <w:r w:rsidR="00090CE7">
              <w:t xml:space="preserve"> </w:t>
            </w:r>
          </w:p>
        </w:tc>
        <w:tc>
          <w:tcPr>
            <w:tcW w:w="0" w:type="dxa"/>
            <w:tcMar>
              <w:left w:w="28" w:type="dxa"/>
              <w:right w:w="28" w:type="dxa"/>
            </w:tcMar>
          </w:tcPr>
          <w:p w14:paraId="109FD89F" w14:textId="76A36E3C" w:rsidR="00CA788F" w:rsidRPr="00D12089" w:rsidRDefault="000770A0" w:rsidP="00526514">
            <w:pPr>
              <w:pStyle w:val="TableBody"/>
            </w:pPr>
            <w:r w:rsidRPr="00D12089">
              <w:t>February</w:t>
            </w:r>
            <w:r w:rsidR="00CA788F" w:rsidRPr="00D12089">
              <w:t xml:space="preserve"> 202</w:t>
            </w:r>
            <w:r w:rsidRPr="00D12089">
              <w:t>2</w:t>
            </w:r>
          </w:p>
        </w:tc>
      </w:tr>
      <w:tr w:rsidR="00090CE7" w:rsidRPr="006D46E5" w14:paraId="44AE2ED3" w14:textId="77777777" w:rsidTr="00295830">
        <w:trPr>
          <w:cnfStyle w:val="000000010000" w:firstRow="0" w:lastRow="0" w:firstColumn="0" w:lastColumn="0" w:oddVBand="0" w:evenVBand="0" w:oddHBand="0" w:evenHBand="1" w:firstRowFirstColumn="0" w:firstRowLastColumn="0" w:lastRowFirstColumn="0" w:lastRowLastColumn="0"/>
          <w:cantSplit/>
        </w:trPr>
        <w:tc>
          <w:tcPr>
            <w:tcW w:w="0" w:type="dxa"/>
            <w:tcMar>
              <w:left w:w="28" w:type="dxa"/>
              <w:right w:w="28" w:type="dxa"/>
            </w:tcMar>
          </w:tcPr>
          <w:p w14:paraId="2877D179" w14:textId="31F8C780" w:rsidR="00090CE7" w:rsidRPr="00D12089" w:rsidRDefault="00090CE7" w:rsidP="00526514">
            <w:pPr>
              <w:pStyle w:val="TableBody"/>
            </w:pPr>
            <w:r>
              <w:t>Spectrum tune-up</w:t>
            </w:r>
          </w:p>
        </w:tc>
        <w:tc>
          <w:tcPr>
            <w:tcW w:w="0" w:type="dxa"/>
            <w:tcMar>
              <w:left w:w="28" w:type="dxa"/>
              <w:right w:w="28" w:type="dxa"/>
            </w:tcMar>
          </w:tcPr>
          <w:p w14:paraId="17ABC80E" w14:textId="3B9C59CF" w:rsidR="00090CE7" w:rsidRDefault="00090CE7" w:rsidP="00526514">
            <w:pPr>
              <w:pStyle w:val="TableBody"/>
            </w:pPr>
            <w:r>
              <w:rPr>
                <w:szCs w:val="20"/>
              </w:rPr>
              <w:t>ACMA</w:t>
            </w:r>
            <w:r w:rsidR="002B092A">
              <w:rPr>
                <w:szCs w:val="20"/>
              </w:rPr>
              <w:t>-</w:t>
            </w:r>
            <w:r>
              <w:rPr>
                <w:szCs w:val="20"/>
              </w:rPr>
              <w:t xml:space="preserve">run event to discuss </w:t>
            </w:r>
            <w:r w:rsidR="002B092A">
              <w:rPr>
                <w:szCs w:val="20"/>
              </w:rPr>
              <w:br/>
            </w:r>
            <w:r>
              <w:rPr>
                <w:szCs w:val="20"/>
              </w:rPr>
              <w:t>3400</w:t>
            </w:r>
            <w:r w:rsidR="002B092A">
              <w:rPr>
                <w:szCs w:val="20"/>
              </w:rPr>
              <w:t>–</w:t>
            </w:r>
            <w:r>
              <w:rPr>
                <w:szCs w:val="20"/>
              </w:rPr>
              <w:t xml:space="preserve">4000 MHz band related issues. </w:t>
            </w:r>
          </w:p>
        </w:tc>
        <w:tc>
          <w:tcPr>
            <w:tcW w:w="0" w:type="dxa"/>
            <w:tcMar>
              <w:left w:w="28" w:type="dxa"/>
              <w:right w:w="28" w:type="dxa"/>
            </w:tcMar>
          </w:tcPr>
          <w:p w14:paraId="3426844C" w14:textId="47B31A0F" w:rsidR="00090CE7" w:rsidRPr="00D12089" w:rsidRDefault="00090CE7" w:rsidP="00526514">
            <w:pPr>
              <w:pStyle w:val="TableBody"/>
            </w:pPr>
            <w:r>
              <w:t>Q2 2022</w:t>
            </w:r>
          </w:p>
        </w:tc>
      </w:tr>
      <w:tr w:rsidR="00CA788F" w:rsidRPr="006D46E5" w14:paraId="1D78788F" w14:textId="77777777" w:rsidTr="00CD44DA">
        <w:trPr>
          <w:cnfStyle w:val="000000100000" w:firstRow="0" w:lastRow="0" w:firstColumn="0" w:lastColumn="0" w:oddVBand="0" w:evenVBand="0" w:oddHBand="1" w:evenHBand="0" w:firstRowFirstColumn="0" w:firstRowLastColumn="0" w:lastRowFirstColumn="0" w:lastRowLastColumn="0"/>
          <w:cantSplit/>
        </w:trPr>
        <w:tc>
          <w:tcPr>
            <w:tcW w:w="0" w:type="dxa"/>
            <w:tcMar>
              <w:left w:w="28" w:type="dxa"/>
              <w:right w:w="28" w:type="dxa"/>
            </w:tcMar>
          </w:tcPr>
          <w:p w14:paraId="1E88345D" w14:textId="28B64DF4" w:rsidR="00CA788F" w:rsidRPr="00D12089" w:rsidRDefault="000770A0" w:rsidP="00526514">
            <w:pPr>
              <w:pStyle w:val="TableBody"/>
            </w:pPr>
            <w:r w:rsidRPr="00D12089">
              <w:t>Announce outcomes of public consultation</w:t>
            </w:r>
          </w:p>
        </w:tc>
        <w:tc>
          <w:tcPr>
            <w:tcW w:w="0" w:type="dxa"/>
            <w:tcMar>
              <w:left w:w="28" w:type="dxa"/>
              <w:right w:w="28" w:type="dxa"/>
            </w:tcMar>
          </w:tcPr>
          <w:p w14:paraId="6A4DA1EF" w14:textId="782E1B4F" w:rsidR="00CA788F" w:rsidRPr="00D12089" w:rsidRDefault="000770A0" w:rsidP="00526514">
            <w:pPr>
              <w:pStyle w:val="TableBody"/>
            </w:pPr>
            <w:r w:rsidRPr="00D12089">
              <w:t>Release an outcomes paper for</w:t>
            </w:r>
            <w:r w:rsidR="00CA788F" w:rsidRPr="00D12089">
              <w:t xml:space="preserve"> the </w:t>
            </w:r>
            <w:r w:rsidRPr="00D12089">
              <w:t xml:space="preserve">February 2022 </w:t>
            </w:r>
            <w:r w:rsidR="00CA788F" w:rsidRPr="00D12089">
              <w:t>consultation</w:t>
            </w:r>
            <w:r w:rsidRPr="00D12089">
              <w:t xml:space="preserve"> process</w:t>
            </w:r>
            <w:r w:rsidR="00CA788F" w:rsidRPr="00D12089">
              <w:t xml:space="preserve">. </w:t>
            </w:r>
            <w:r w:rsidR="00D12089" w:rsidRPr="00D12089">
              <w:t>This will include a decision on the use of urban excise areas</w:t>
            </w:r>
            <w:r w:rsidR="00D12089">
              <w:t xml:space="preserve"> in</w:t>
            </w:r>
            <w:r w:rsidR="00627C6E">
              <w:t xml:space="preserve"> the</w:t>
            </w:r>
            <w:r w:rsidR="00D12089">
              <w:t xml:space="preserve"> context of the broader 3400</w:t>
            </w:r>
            <w:r w:rsidR="002B092A">
              <w:t>–</w:t>
            </w:r>
            <w:r w:rsidR="00D12089">
              <w:t>4000 MHz band</w:t>
            </w:r>
            <w:r w:rsidR="00D12089" w:rsidRPr="00D12089">
              <w:t>.</w:t>
            </w:r>
          </w:p>
        </w:tc>
        <w:tc>
          <w:tcPr>
            <w:tcW w:w="0" w:type="dxa"/>
            <w:tcMar>
              <w:left w:w="28" w:type="dxa"/>
              <w:right w:w="28" w:type="dxa"/>
            </w:tcMar>
          </w:tcPr>
          <w:p w14:paraId="3F4A38F9" w14:textId="62213604" w:rsidR="00CA788F" w:rsidRPr="00D12089" w:rsidRDefault="000770A0" w:rsidP="00526514">
            <w:pPr>
              <w:pStyle w:val="TableBody"/>
            </w:pPr>
            <w:r w:rsidRPr="00D12089">
              <w:t>June 2022</w:t>
            </w:r>
          </w:p>
        </w:tc>
      </w:tr>
      <w:tr w:rsidR="00CA788F" w:rsidRPr="006D46E5" w14:paraId="5DF5E4C6" w14:textId="77777777" w:rsidTr="00CD44DA">
        <w:trPr>
          <w:cnfStyle w:val="000000010000" w:firstRow="0" w:lastRow="0" w:firstColumn="0" w:lastColumn="0" w:oddVBand="0" w:evenVBand="0" w:oddHBand="0" w:evenHBand="1" w:firstRowFirstColumn="0" w:firstRowLastColumn="0" w:lastRowFirstColumn="0" w:lastRowLastColumn="0"/>
          <w:cantSplit/>
        </w:trPr>
        <w:tc>
          <w:tcPr>
            <w:tcW w:w="0" w:type="dxa"/>
            <w:tcMar>
              <w:left w:w="28" w:type="dxa"/>
              <w:right w:w="28" w:type="dxa"/>
            </w:tcMar>
          </w:tcPr>
          <w:p w14:paraId="31B5C018" w14:textId="77777777" w:rsidR="00CA788F" w:rsidRPr="00D12089" w:rsidRDefault="00CA788F" w:rsidP="00526514">
            <w:pPr>
              <w:pStyle w:val="TableBody"/>
            </w:pPr>
            <w:r w:rsidRPr="00D12089">
              <w:lastRenderedPageBreak/>
              <w:t>Consult on final regulatory arrangements for spectrum use in urban excise areas</w:t>
            </w:r>
          </w:p>
        </w:tc>
        <w:tc>
          <w:tcPr>
            <w:tcW w:w="0" w:type="dxa"/>
            <w:tcMar>
              <w:left w:w="28" w:type="dxa"/>
              <w:right w:w="28" w:type="dxa"/>
            </w:tcMar>
          </w:tcPr>
          <w:p w14:paraId="249730C3" w14:textId="2D384ACF" w:rsidR="00CA788F" w:rsidRPr="00D12089" w:rsidRDefault="00CA788F" w:rsidP="00526514">
            <w:pPr>
              <w:pStyle w:val="TableBody"/>
            </w:pPr>
            <w:r w:rsidRPr="00D12089">
              <w:t xml:space="preserve">Following </w:t>
            </w:r>
            <w:r w:rsidR="00723784">
              <w:t>a</w:t>
            </w:r>
            <w:r w:rsidRPr="00D12089">
              <w:t xml:space="preserve"> decision </w:t>
            </w:r>
            <w:r w:rsidR="00D12089" w:rsidRPr="00D12089">
              <w:t>on the use of urban excise areas</w:t>
            </w:r>
            <w:r w:rsidRPr="00D12089">
              <w:t>, we will formally consult on regulatory arrangements necessary to enable</w:t>
            </w:r>
            <w:r w:rsidR="002B092A">
              <w:t> </w:t>
            </w:r>
            <w:r w:rsidRPr="00D12089">
              <w:t>access to spectrum in urban excise areas. Where it makes sense to do so, we will combine any such consultation with that necessary for implementing arrangements in the</w:t>
            </w:r>
            <w:r w:rsidR="002B092A">
              <w:t> </w:t>
            </w:r>
            <w:r w:rsidRPr="00D12089">
              <w:t>3400–4000 MHz band.</w:t>
            </w:r>
          </w:p>
        </w:tc>
        <w:tc>
          <w:tcPr>
            <w:tcW w:w="0" w:type="dxa"/>
            <w:tcMar>
              <w:left w:w="28" w:type="dxa"/>
              <w:right w:w="28" w:type="dxa"/>
            </w:tcMar>
          </w:tcPr>
          <w:p w14:paraId="57366CB9" w14:textId="739D75A2" w:rsidR="00CA788F" w:rsidRPr="00D12089" w:rsidRDefault="00D12089" w:rsidP="00526514">
            <w:pPr>
              <w:pStyle w:val="TableBody"/>
            </w:pPr>
            <w:r w:rsidRPr="00D12089">
              <w:t>Q3 2022</w:t>
            </w:r>
          </w:p>
        </w:tc>
      </w:tr>
      <w:tr w:rsidR="00CA788F" w:rsidRPr="006D46E5" w14:paraId="46042481" w14:textId="77777777" w:rsidTr="00CD44DA">
        <w:trPr>
          <w:cnfStyle w:val="000000100000" w:firstRow="0" w:lastRow="0" w:firstColumn="0" w:lastColumn="0" w:oddVBand="0" w:evenVBand="0" w:oddHBand="1" w:evenHBand="0" w:firstRowFirstColumn="0" w:firstRowLastColumn="0" w:lastRowFirstColumn="0" w:lastRowLastColumn="0"/>
          <w:cantSplit/>
        </w:trPr>
        <w:tc>
          <w:tcPr>
            <w:tcW w:w="0" w:type="dxa"/>
            <w:tcMar>
              <w:left w:w="28" w:type="dxa"/>
              <w:right w:w="28" w:type="dxa"/>
            </w:tcMar>
          </w:tcPr>
          <w:p w14:paraId="3D566B87" w14:textId="0FEEEE30" w:rsidR="00CA788F" w:rsidRPr="00D12089" w:rsidRDefault="00CA788F" w:rsidP="00526514">
            <w:pPr>
              <w:pStyle w:val="TableBody"/>
            </w:pPr>
            <w:r w:rsidRPr="00D12089">
              <w:t>Release of spectrum</w:t>
            </w:r>
            <w:r w:rsidR="00D12089">
              <w:t xml:space="preserve"> in urban excise areas</w:t>
            </w:r>
          </w:p>
        </w:tc>
        <w:tc>
          <w:tcPr>
            <w:tcW w:w="0" w:type="dxa"/>
            <w:tcMar>
              <w:left w:w="28" w:type="dxa"/>
              <w:right w:w="28" w:type="dxa"/>
            </w:tcMar>
          </w:tcPr>
          <w:p w14:paraId="3767ED97" w14:textId="639AACE1" w:rsidR="00CA788F" w:rsidRPr="00D12089" w:rsidRDefault="00CA788F" w:rsidP="00526514">
            <w:pPr>
              <w:pStyle w:val="TableBody"/>
            </w:pPr>
            <w:r w:rsidRPr="00D12089">
              <w:t xml:space="preserve">Timeframes depend on the option implemented, licence type used, and allocation method adopted. Any outcome that uses AWLs or spectrum licences is proposed to be combined with allocation processes for </w:t>
            </w:r>
            <w:r w:rsidR="00D12089">
              <w:t xml:space="preserve">similar licences </w:t>
            </w:r>
            <w:r w:rsidRPr="00D12089">
              <w:t xml:space="preserve">in the </w:t>
            </w:r>
            <w:r w:rsidR="00D12089">
              <w:t>broader 3400</w:t>
            </w:r>
            <w:r w:rsidR="002B092A">
              <w:t>–</w:t>
            </w:r>
            <w:r w:rsidR="00D12089">
              <w:t>4000 MHz</w:t>
            </w:r>
            <w:r w:rsidRPr="00D12089">
              <w:t xml:space="preserve"> band. </w:t>
            </w:r>
          </w:p>
        </w:tc>
        <w:tc>
          <w:tcPr>
            <w:tcW w:w="0" w:type="dxa"/>
            <w:tcMar>
              <w:left w:w="28" w:type="dxa"/>
              <w:right w:w="28" w:type="dxa"/>
            </w:tcMar>
          </w:tcPr>
          <w:p w14:paraId="291281A3" w14:textId="3D7FF7CB" w:rsidR="00CA788F" w:rsidRPr="00D12089" w:rsidRDefault="00CA788F" w:rsidP="00526514">
            <w:pPr>
              <w:pStyle w:val="TableBody"/>
            </w:pPr>
            <w:r w:rsidRPr="00D12089">
              <w:t>Q</w:t>
            </w:r>
            <w:r w:rsidR="001731DB">
              <w:t>4</w:t>
            </w:r>
            <w:r w:rsidRPr="00D12089">
              <w:t xml:space="preserve"> 2022 to Q</w:t>
            </w:r>
            <w:r w:rsidR="00D12089">
              <w:t>4</w:t>
            </w:r>
            <w:r w:rsidRPr="00D12089">
              <w:t xml:space="preserve"> 2023</w:t>
            </w:r>
          </w:p>
        </w:tc>
      </w:tr>
    </w:tbl>
    <w:p w14:paraId="57DDFEA4" w14:textId="02283F61" w:rsidR="000E198A" w:rsidRPr="000B6A4B" w:rsidRDefault="000E198A" w:rsidP="000E198A">
      <w:pPr>
        <w:pStyle w:val="Heading1"/>
      </w:pPr>
      <w:bookmarkStart w:id="51" w:name="_Appendix_A:_Geographical"/>
      <w:bookmarkStart w:id="52" w:name="_Toc89250844"/>
      <w:bookmarkEnd w:id="51"/>
      <w:r w:rsidRPr="000B6A4B">
        <w:lastRenderedPageBreak/>
        <w:t>Appendix A: Geographical area description</w:t>
      </w:r>
      <w:bookmarkEnd w:id="52"/>
      <w:r w:rsidRPr="000B6A4B">
        <w:t xml:space="preserve"> </w:t>
      </w:r>
    </w:p>
    <w:p w14:paraId="7A7EC1BA" w14:textId="77777777" w:rsidR="000E198A" w:rsidRPr="000B6A4B" w:rsidRDefault="000E198A" w:rsidP="004453CF">
      <w:pPr>
        <w:pStyle w:val="Paragraphbeforelist"/>
      </w:pPr>
      <w:r w:rsidRPr="000B6A4B">
        <w:t>The geographical areas covered by urban excise areas are:</w:t>
      </w:r>
    </w:p>
    <w:p w14:paraId="6BDAE8D7" w14:textId="648DE84E" w:rsidR="000E198A" w:rsidRPr="005C29D6" w:rsidRDefault="000E198A" w:rsidP="004453CF">
      <w:pPr>
        <w:pStyle w:val="Bulletlevel1"/>
      </w:pPr>
      <w:r w:rsidRPr="000B6A4B">
        <w:t xml:space="preserve">Described in the </w:t>
      </w:r>
      <w:r w:rsidRPr="0073252B">
        <w:t xml:space="preserve">Table </w:t>
      </w:r>
      <w:r w:rsidR="00CB35C4">
        <w:t>3</w:t>
      </w:r>
      <w:r w:rsidRPr="005C29D6">
        <w:t>.</w:t>
      </w:r>
    </w:p>
    <w:p w14:paraId="48236C14" w14:textId="40A55226" w:rsidR="000E198A" w:rsidRPr="005C29D6" w:rsidRDefault="000E198A" w:rsidP="004453CF">
      <w:pPr>
        <w:pStyle w:val="Bulletlevel1last"/>
      </w:pPr>
      <w:r w:rsidRPr="005C29D6">
        <w:t xml:space="preserve">Illustrated in </w:t>
      </w:r>
      <w:r w:rsidRPr="0073252B">
        <w:t xml:space="preserve">Figure </w:t>
      </w:r>
      <w:r w:rsidR="00480944" w:rsidRPr="0073252B">
        <w:t>4</w:t>
      </w:r>
      <w:r w:rsidRPr="005C29D6">
        <w:t>.</w:t>
      </w:r>
    </w:p>
    <w:p w14:paraId="11F60B5E" w14:textId="77777777" w:rsidR="000E198A" w:rsidRPr="000B6A4B" w:rsidRDefault="000E198A" w:rsidP="000E198A">
      <w:pPr>
        <w:spacing w:after="0" w:line="240" w:lineRule="auto"/>
        <w:rPr>
          <w:rStyle w:val="Heading3Char"/>
        </w:rPr>
      </w:pPr>
    </w:p>
    <w:p w14:paraId="271ECF4B" w14:textId="77777777" w:rsidR="000E198A" w:rsidRPr="000B6A4B" w:rsidRDefault="000E198A" w:rsidP="000E198A">
      <w:pPr>
        <w:spacing w:after="0" w:line="240" w:lineRule="auto"/>
        <w:rPr>
          <w:rStyle w:val="Heading3Char"/>
        </w:rPr>
      </w:pPr>
    </w:p>
    <w:p w14:paraId="64034849" w14:textId="77777777" w:rsidR="000E198A" w:rsidRPr="000B6A4B" w:rsidRDefault="000E198A" w:rsidP="000E198A">
      <w:pPr>
        <w:pStyle w:val="Tableheading"/>
        <w:keepLines/>
      </w:pPr>
      <w:r w:rsidRPr="000B6A4B">
        <w:t>HCIS description of urban excise areas</w:t>
      </w:r>
    </w:p>
    <w:tbl>
      <w:tblPr>
        <w:tblStyle w:val="TableGrid"/>
        <w:tblW w:w="8370" w:type="dxa"/>
        <w:tblLayout w:type="fixed"/>
        <w:tblCellMar>
          <w:top w:w="85" w:type="dxa"/>
          <w:bottom w:w="85" w:type="dxa"/>
        </w:tblCellMar>
        <w:tblLook w:val="04A0" w:firstRow="1" w:lastRow="0" w:firstColumn="1" w:lastColumn="0" w:noHBand="0" w:noVBand="1"/>
        <w:tblCaption w:val="HCIS description of areas"/>
        <w:tblDescription w:val="Table containing a descirption of the different area re-farming options "/>
      </w:tblPr>
      <w:tblGrid>
        <w:gridCol w:w="1461"/>
        <w:gridCol w:w="6909"/>
      </w:tblGrid>
      <w:tr w:rsidR="000E198A" w:rsidRPr="000B6A4B" w14:paraId="2519593E" w14:textId="77777777" w:rsidTr="0069265C">
        <w:trPr>
          <w:cantSplit/>
          <w:tblHeader/>
        </w:trPr>
        <w:tc>
          <w:tcPr>
            <w:tcW w:w="1460"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6CF902C4" w14:textId="77777777" w:rsidR="000E198A" w:rsidRPr="000B6A4B" w:rsidRDefault="000E198A" w:rsidP="0069265C">
            <w:pPr>
              <w:pStyle w:val="TableHeading0"/>
              <w:rPr>
                <w:color w:val="FFFFFF" w:themeColor="background1"/>
              </w:rPr>
            </w:pPr>
            <w:r w:rsidRPr="000B6A4B">
              <w:rPr>
                <w:color w:val="FFFFFF" w:themeColor="background1"/>
              </w:rPr>
              <w:t>Sub-area name</w:t>
            </w:r>
          </w:p>
        </w:tc>
        <w:tc>
          <w:tcPr>
            <w:tcW w:w="6905"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27EC08C6" w14:textId="77777777" w:rsidR="000E198A" w:rsidRPr="000B6A4B" w:rsidRDefault="000E198A" w:rsidP="0069265C">
            <w:pPr>
              <w:pStyle w:val="TableHeading0"/>
              <w:rPr>
                <w:color w:val="FFFFFF" w:themeColor="background1"/>
              </w:rPr>
            </w:pPr>
            <w:r w:rsidRPr="000B6A4B">
              <w:rPr>
                <w:color w:val="FFFFFF" w:themeColor="background1"/>
              </w:rPr>
              <w:t>HCIS</w:t>
            </w:r>
          </w:p>
        </w:tc>
      </w:tr>
      <w:tr w:rsidR="000E198A" w:rsidRPr="000B6A4B" w14:paraId="1B1F70E4" w14:textId="77777777" w:rsidTr="0069265C">
        <w:trPr>
          <w:cantSplit/>
        </w:trPr>
        <w:tc>
          <w:tcPr>
            <w:tcW w:w="1460" w:type="dxa"/>
            <w:tcBorders>
              <w:top w:val="single" w:sz="4" w:space="0" w:color="auto"/>
              <w:left w:val="single" w:sz="4" w:space="0" w:color="auto"/>
              <w:bottom w:val="single" w:sz="4" w:space="0" w:color="auto"/>
              <w:right w:val="single" w:sz="4" w:space="0" w:color="auto"/>
            </w:tcBorders>
            <w:hideMark/>
          </w:tcPr>
          <w:p w14:paraId="588153AC" w14:textId="77777777" w:rsidR="000E198A" w:rsidRPr="000B6A4B" w:rsidRDefault="000E198A" w:rsidP="0069265C">
            <w:pPr>
              <w:pStyle w:val="TableBody"/>
              <w:spacing w:line="240" w:lineRule="atLeast"/>
            </w:pPr>
            <w:r w:rsidRPr="000B6A4B">
              <w:t>Adelaide</w:t>
            </w:r>
          </w:p>
        </w:tc>
        <w:tc>
          <w:tcPr>
            <w:tcW w:w="6905" w:type="dxa"/>
            <w:tcBorders>
              <w:top w:val="single" w:sz="4" w:space="0" w:color="auto"/>
              <w:left w:val="single" w:sz="4" w:space="0" w:color="auto"/>
              <w:bottom w:val="single" w:sz="4" w:space="0" w:color="auto"/>
              <w:right w:val="single" w:sz="4" w:space="0" w:color="auto"/>
            </w:tcBorders>
            <w:hideMark/>
          </w:tcPr>
          <w:p w14:paraId="7473D781" w14:textId="77777777" w:rsidR="000E198A" w:rsidRPr="000B6A4B" w:rsidRDefault="000E198A" w:rsidP="0069265C">
            <w:pPr>
              <w:pStyle w:val="TableBody"/>
              <w:spacing w:line="240" w:lineRule="atLeast"/>
            </w:pPr>
            <w:r w:rsidRPr="000B6A4B">
              <w:t>IW3N, IW3O4, IW3O5, IW3O7, IW3O8, IW6B1, IW6B2, IW6B3, IW6B5, IW6B6</w:t>
            </w:r>
          </w:p>
        </w:tc>
      </w:tr>
      <w:tr w:rsidR="000E198A" w:rsidRPr="000B6A4B" w14:paraId="182EF9F2" w14:textId="77777777" w:rsidTr="0069265C">
        <w:trPr>
          <w:cantSplit/>
        </w:trPr>
        <w:tc>
          <w:tcPr>
            <w:tcW w:w="146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03AAC94" w14:textId="77777777" w:rsidR="000E198A" w:rsidRPr="000B6A4B" w:rsidRDefault="000E198A" w:rsidP="0069265C">
            <w:pPr>
              <w:pStyle w:val="TableBody"/>
              <w:spacing w:line="240" w:lineRule="atLeast"/>
            </w:pPr>
            <w:r w:rsidRPr="000B6A4B">
              <w:t>Brisbane</w:t>
            </w:r>
          </w:p>
        </w:tc>
        <w:tc>
          <w:tcPr>
            <w:tcW w:w="690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5FB63C4" w14:textId="77777777" w:rsidR="000E198A" w:rsidRPr="000B6A4B" w:rsidRDefault="000E198A" w:rsidP="0069265C">
            <w:pPr>
              <w:pStyle w:val="TableBody"/>
              <w:spacing w:line="240" w:lineRule="atLeast"/>
            </w:pPr>
            <w:r w:rsidRPr="000B6A4B">
              <w:t>NT9B, NT9C, NT9D, NT9E, NT9F, NT9G, NT9H, NT9K, NT9L, NT8H3, NT8L2, NT8L3, NT8L5, NT8L6, NT8L8, NT8L9, NT9A6, NT9A7, NT9A8, NT9A9, NT9I1, NT9I2, NT9I3, NT9I4, NT9I5, NT9I6, NT9J1, NT9J2, NT9J3, NT9J4, NT9J5, NT9J6, NT9J9, NT9N5, NT9N6, NT9N8, NT9N9, NT9O4, NT9O7, NU3B2, NU3B3, NU3C1, NU3C4</w:t>
            </w:r>
          </w:p>
        </w:tc>
      </w:tr>
      <w:tr w:rsidR="000E198A" w:rsidRPr="000B6A4B" w14:paraId="7C78916A" w14:textId="77777777" w:rsidTr="0069265C">
        <w:trPr>
          <w:cantSplit/>
        </w:trPr>
        <w:tc>
          <w:tcPr>
            <w:tcW w:w="1460" w:type="dxa"/>
            <w:tcBorders>
              <w:top w:val="single" w:sz="4" w:space="0" w:color="auto"/>
              <w:left w:val="single" w:sz="4" w:space="0" w:color="auto"/>
              <w:bottom w:val="single" w:sz="4" w:space="0" w:color="auto"/>
              <w:right w:val="single" w:sz="4" w:space="0" w:color="auto"/>
            </w:tcBorders>
            <w:hideMark/>
          </w:tcPr>
          <w:p w14:paraId="5D37850A" w14:textId="77777777" w:rsidR="000E198A" w:rsidRPr="000B6A4B" w:rsidRDefault="000E198A" w:rsidP="0069265C">
            <w:pPr>
              <w:pStyle w:val="TableBody"/>
              <w:spacing w:line="240" w:lineRule="atLeast"/>
            </w:pPr>
            <w:r w:rsidRPr="000B6A4B">
              <w:t xml:space="preserve">Canberra </w:t>
            </w:r>
          </w:p>
        </w:tc>
        <w:tc>
          <w:tcPr>
            <w:tcW w:w="6905" w:type="dxa"/>
            <w:tcBorders>
              <w:top w:val="single" w:sz="4" w:space="0" w:color="auto"/>
              <w:left w:val="single" w:sz="4" w:space="0" w:color="auto"/>
              <w:bottom w:val="single" w:sz="4" w:space="0" w:color="auto"/>
              <w:right w:val="single" w:sz="4" w:space="0" w:color="auto"/>
            </w:tcBorders>
            <w:hideMark/>
          </w:tcPr>
          <w:p w14:paraId="35F7BF74" w14:textId="77777777" w:rsidR="000E198A" w:rsidRPr="000B6A4B" w:rsidRDefault="000E198A" w:rsidP="0069265C">
            <w:pPr>
              <w:pStyle w:val="TableBody"/>
              <w:spacing w:line="240" w:lineRule="atLeast"/>
            </w:pPr>
            <w:r w:rsidRPr="000B6A4B">
              <w:t>MW4D, MW4H, MW5A, MW5B, MW5E, MW5F, MW2M5, MW2M6, MW2M7, MW2M8, MW2M9, MW2N4, MW2N5, MW2N7, MW2N8, MW2N9, MW4L1, MW4L2, MW4L3, MW4L5, MW4L6, MW5I1, MW5I2, MW5I3, MW5I4, MW5I5, MW5I6, MW5J1, MW5J2, MW5J4, MW5J5</w:t>
            </w:r>
          </w:p>
        </w:tc>
      </w:tr>
      <w:tr w:rsidR="000E198A" w:rsidRPr="000B6A4B" w14:paraId="78AB99AB" w14:textId="77777777" w:rsidTr="0069265C">
        <w:trPr>
          <w:cantSplit/>
          <w:trHeight w:val="283"/>
        </w:trPr>
        <w:tc>
          <w:tcPr>
            <w:tcW w:w="146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86F8C44" w14:textId="77777777" w:rsidR="000E198A" w:rsidRPr="000B6A4B" w:rsidRDefault="000E198A" w:rsidP="0069265C">
            <w:pPr>
              <w:pStyle w:val="TableBody"/>
              <w:spacing w:line="240" w:lineRule="atLeast"/>
            </w:pPr>
            <w:r w:rsidRPr="000B6A4B">
              <w:t>Melbourne</w:t>
            </w:r>
          </w:p>
        </w:tc>
        <w:tc>
          <w:tcPr>
            <w:tcW w:w="690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A64D0D1" w14:textId="77777777" w:rsidR="000E198A" w:rsidRPr="000B6A4B" w:rsidRDefault="000E198A" w:rsidP="0069265C">
            <w:pPr>
              <w:pStyle w:val="TableBody"/>
              <w:spacing w:line="240" w:lineRule="atLeast"/>
            </w:pPr>
            <w:r w:rsidRPr="000B6A4B">
              <w:t>KX3P, KX3L6, KX3L7, KX3L8, KX3L9, KX6D1, KX6D2, KX6D3, KX6D5, KX6D6, LX1M, LX1I7, LX1N4, LX4A1, LX4A2, LX4A3, LX4A4, LX4A5, LX4B1</w:t>
            </w:r>
          </w:p>
        </w:tc>
      </w:tr>
      <w:tr w:rsidR="000E198A" w:rsidRPr="000B6A4B" w14:paraId="72255A0A" w14:textId="77777777" w:rsidTr="0069265C">
        <w:trPr>
          <w:cantSplit/>
        </w:trPr>
        <w:tc>
          <w:tcPr>
            <w:tcW w:w="1460" w:type="dxa"/>
            <w:tcBorders>
              <w:top w:val="single" w:sz="4" w:space="0" w:color="auto"/>
              <w:left w:val="single" w:sz="4" w:space="0" w:color="auto"/>
              <w:bottom w:val="single" w:sz="4" w:space="0" w:color="auto"/>
              <w:right w:val="single" w:sz="4" w:space="0" w:color="auto"/>
            </w:tcBorders>
            <w:hideMark/>
          </w:tcPr>
          <w:p w14:paraId="6A333AB7" w14:textId="77777777" w:rsidR="000E198A" w:rsidRPr="000B6A4B" w:rsidRDefault="000E198A" w:rsidP="0069265C">
            <w:pPr>
              <w:pStyle w:val="TableBody"/>
              <w:spacing w:line="240" w:lineRule="atLeast"/>
            </w:pPr>
            <w:r w:rsidRPr="000B6A4B">
              <w:t>Perth</w:t>
            </w:r>
          </w:p>
        </w:tc>
        <w:tc>
          <w:tcPr>
            <w:tcW w:w="6905" w:type="dxa"/>
            <w:tcBorders>
              <w:top w:val="single" w:sz="4" w:space="0" w:color="auto"/>
              <w:left w:val="single" w:sz="4" w:space="0" w:color="auto"/>
              <w:bottom w:val="single" w:sz="4" w:space="0" w:color="auto"/>
              <w:right w:val="single" w:sz="4" w:space="0" w:color="auto"/>
            </w:tcBorders>
            <w:hideMark/>
          </w:tcPr>
          <w:p w14:paraId="4A607996" w14:textId="77777777" w:rsidR="000E198A" w:rsidRPr="000B6A4B" w:rsidRDefault="000E198A" w:rsidP="0069265C">
            <w:pPr>
              <w:pStyle w:val="TableBody"/>
              <w:spacing w:line="240" w:lineRule="atLeast"/>
            </w:pPr>
            <w:r w:rsidRPr="000B6A4B">
              <w:t>BV1M, BV1N, BV1O, BV4A, BV4B, BV4C, BV1L5, BV1L8, BV1P1, BV1P2, BV1P4, BV1P5, BV1P7, BV1P8, BV4D1, BV4D2, BV4E1, BV4E2, BV4E3, BV4F1, BV4F2, BV4F3, BV4G1, BV4G2, BV1P9, BV4D3, BV4D4, BV4G3</w:t>
            </w:r>
          </w:p>
        </w:tc>
      </w:tr>
      <w:tr w:rsidR="000E198A" w:rsidRPr="000B6A4B" w14:paraId="7EBDCF58" w14:textId="77777777" w:rsidTr="0069265C">
        <w:trPr>
          <w:cantSplit/>
        </w:trPr>
        <w:tc>
          <w:tcPr>
            <w:tcW w:w="146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DFC16B7" w14:textId="77777777" w:rsidR="000E198A" w:rsidRPr="000B6A4B" w:rsidRDefault="000E198A" w:rsidP="0069265C">
            <w:pPr>
              <w:pStyle w:val="TableBody"/>
              <w:spacing w:line="240" w:lineRule="atLeast"/>
            </w:pPr>
            <w:r w:rsidRPr="000B6A4B">
              <w:t>Sydney</w:t>
            </w:r>
          </w:p>
        </w:tc>
        <w:tc>
          <w:tcPr>
            <w:tcW w:w="690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B001F4D" w14:textId="77777777" w:rsidR="000E198A" w:rsidRPr="000B6A4B" w:rsidRDefault="000E198A" w:rsidP="0069265C">
            <w:pPr>
              <w:pStyle w:val="TableBody"/>
              <w:spacing w:line="240" w:lineRule="atLeast"/>
            </w:pPr>
            <w:r w:rsidRPr="000B6A4B">
              <w:t>NV7G, NV7H, NV7J, NV7K, NV7L, NV7M, NV7N, NV7O, NV7P, NW1A, NW1B, NW1C, NW1D, NW1E, NW1F, NW1G, NW1H, MV9P2, MV9P3, MV9P5, MV9P6, MV9P7, MV9P8, MV9P9, MW3D1, MW3D2, MW3D3, MW3D5, MW3D6, MW3D8, MW3D9, MW3H2, MW3H3, MW3H5, MW3H6, MW3H9, MW3L2, MW3L3, NV4O7, NV4O8, NV4O9, NV4P7, NV7F6, NV7F8, NV7F9, NV7I6, NV7I8, NV7I9, NW1I1, NW1I2, NW1I3, NW1J1, NW1J2, NW1J3, NW1K1, NW1K2, NW1K3, NW1L1, NW1L2, NW1L3</w:t>
            </w:r>
          </w:p>
        </w:tc>
      </w:tr>
    </w:tbl>
    <w:p w14:paraId="52C86545" w14:textId="77777777" w:rsidR="000E198A" w:rsidRPr="000B6A4B" w:rsidRDefault="000E198A" w:rsidP="000E198A">
      <w:pPr>
        <w:pStyle w:val="Tableorfigurenote"/>
        <w:spacing w:before="120"/>
      </w:pPr>
      <w:r w:rsidRPr="000B6A4B">
        <w:t xml:space="preserve">The HCIS coordinates can be converted into a Placemark file (viewable in Google Earth) through a facility on the </w:t>
      </w:r>
      <w:hyperlink r:id="rId65" w:history="1">
        <w:r w:rsidRPr="000B6A4B">
          <w:rPr>
            <w:rStyle w:val="Hyperlink"/>
          </w:rPr>
          <w:t>ACMA website</w:t>
        </w:r>
      </w:hyperlink>
      <w:r w:rsidRPr="000B6A4B">
        <w:t>.</w:t>
      </w:r>
    </w:p>
    <w:p w14:paraId="6CE1DD1C" w14:textId="77777777" w:rsidR="000E198A" w:rsidRPr="000B6A4B" w:rsidRDefault="000E198A" w:rsidP="000E198A">
      <w:pPr>
        <w:spacing w:after="0" w:line="240" w:lineRule="auto"/>
      </w:pPr>
      <w:r w:rsidRPr="000B6A4B">
        <w:br w:type="page"/>
      </w:r>
    </w:p>
    <w:p w14:paraId="2FEC5B3B" w14:textId="77777777" w:rsidR="000E198A" w:rsidRPr="000B6A4B" w:rsidRDefault="000E198A" w:rsidP="000C203D">
      <w:pPr>
        <w:pStyle w:val="ACMAFigureHeader"/>
        <w:tabs>
          <w:tab w:val="clear" w:pos="1021"/>
          <w:tab w:val="num" w:pos="607"/>
        </w:tabs>
        <w:spacing w:before="240"/>
      </w:pPr>
      <w:r w:rsidRPr="000B6A4B">
        <w:lastRenderedPageBreak/>
        <w:t xml:space="preserve">Illustration of urban excise areas (purple areas) </w:t>
      </w:r>
    </w:p>
    <w:p w14:paraId="1974BB2E" w14:textId="77777777" w:rsidR="000E198A" w:rsidRPr="000B6A4B" w:rsidRDefault="000E198A" w:rsidP="000E198A">
      <w:pPr>
        <w:spacing w:after="60"/>
        <w:ind w:right="-1260"/>
      </w:pPr>
      <w:r w:rsidRPr="000B6A4B">
        <w:rPr>
          <w:noProof/>
        </w:rPr>
        <w:drawing>
          <wp:inline distT="0" distB="0" distL="0" distR="0" wp14:anchorId="6D185F2D" wp14:editId="5B083CC1">
            <wp:extent cx="2590800" cy="2695575"/>
            <wp:effectExtent l="0" t="0" r="0" b="9525"/>
            <wp:docPr id="8" name="Picture 8" descr="Illustration of Adelaide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Illustration of Adelaide urban excise areas (purple areas). "/>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590800" cy="2695575"/>
                    </a:xfrm>
                    <a:prstGeom prst="rect">
                      <a:avLst/>
                    </a:prstGeom>
                    <a:noFill/>
                    <a:ln>
                      <a:noFill/>
                    </a:ln>
                  </pic:spPr>
                </pic:pic>
              </a:graphicData>
            </a:graphic>
          </wp:inline>
        </w:drawing>
      </w:r>
      <w:r w:rsidRPr="000B6A4B">
        <w:t xml:space="preserve"> </w:t>
      </w:r>
      <w:r w:rsidRPr="000B6A4B">
        <w:rPr>
          <w:noProof/>
        </w:rPr>
        <w:drawing>
          <wp:inline distT="0" distB="0" distL="0" distR="0" wp14:anchorId="660F983F" wp14:editId="7F508472">
            <wp:extent cx="2428875" cy="2695575"/>
            <wp:effectExtent l="0" t="0" r="9525" b="9525"/>
            <wp:docPr id="7" name="Picture 7" descr="Illustration of Brisbane/Gold Coast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llustration of Brisbane/Gold Coast urban excise areas (purple areas). "/>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28875" cy="2695575"/>
                    </a:xfrm>
                    <a:prstGeom prst="rect">
                      <a:avLst/>
                    </a:prstGeom>
                    <a:noFill/>
                    <a:ln>
                      <a:noFill/>
                    </a:ln>
                  </pic:spPr>
                </pic:pic>
              </a:graphicData>
            </a:graphic>
          </wp:inline>
        </w:drawing>
      </w:r>
    </w:p>
    <w:p w14:paraId="2E3D97E6" w14:textId="77777777" w:rsidR="000E198A" w:rsidRPr="000B6A4B" w:rsidRDefault="000E198A" w:rsidP="000E198A">
      <w:pPr>
        <w:spacing w:after="60"/>
        <w:ind w:right="-1260"/>
      </w:pPr>
      <w:r w:rsidRPr="000B6A4B">
        <w:rPr>
          <w:noProof/>
        </w:rPr>
        <w:drawing>
          <wp:inline distT="0" distB="0" distL="0" distR="0" wp14:anchorId="4EF60844" wp14:editId="4FA80679">
            <wp:extent cx="2590800" cy="2628900"/>
            <wp:effectExtent l="0" t="0" r="0" b="0"/>
            <wp:docPr id="6" name="Picture 6" descr="Illustration of Canberra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llustration of Canberra urban excise areas (purple areas). "/>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590800" cy="2628900"/>
                    </a:xfrm>
                    <a:prstGeom prst="rect">
                      <a:avLst/>
                    </a:prstGeom>
                    <a:noFill/>
                    <a:ln>
                      <a:noFill/>
                    </a:ln>
                  </pic:spPr>
                </pic:pic>
              </a:graphicData>
            </a:graphic>
          </wp:inline>
        </w:drawing>
      </w:r>
      <w:r w:rsidRPr="000B6A4B">
        <w:t xml:space="preserve"> </w:t>
      </w:r>
      <w:r w:rsidRPr="000B6A4B">
        <w:rPr>
          <w:noProof/>
        </w:rPr>
        <w:drawing>
          <wp:inline distT="0" distB="0" distL="0" distR="0" wp14:anchorId="7C0D2DC4" wp14:editId="20A1A1EE">
            <wp:extent cx="2428875" cy="2619375"/>
            <wp:effectExtent l="0" t="0" r="9525" b="9525"/>
            <wp:docPr id="5" name="Picture 5" descr="Illustration of Melbourne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Illustration of Melbourne urban excise areas (purple areas). "/>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428875" cy="2619375"/>
                    </a:xfrm>
                    <a:prstGeom prst="rect">
                      <a:avLst/>
                    </a:prstGeom>
                    <a:noFill/>
                    <a:ln>
                      <a:noFill/>
                    </a:ln>
                  </pic:spPr>
                </pic:pic>
              </a:graphicData>
            </a:graphic>
          </wp:inline>
        </w:drawing>
      </w:r>
    </w:p>
    <w:p w14:paraId="0BF91146" w14:textId="77777777" w:rsidR="000E198A" w:rsidRPr="000B6A4B" w:rsidRDefault="000E198A" w:rsidP="000E198A">
      <w:pPr>
        <w:spacing w:after="60"/>
        <w:ind w:right="-1260"/>
      </w:pPr>
      <w:r w:rsidRPr="000B6A4B">
        <w:rPr>
          <w:noProof/>
        </w:rPr>
        <w:drawing>
          <wp:inline distT="0" distB="0" distL="0" distR="0" wp14:anchorId="73CDE653" wp14:editId="3D09E734">
            <wp:extent cx="2590800" cy="3019425"/>
            <wp:effectExtent l="0" t="0" r="0" b="9525"/>
            <wp:docPr id="3" name="Picture 3" descr="Illustration of Sydney/Newcastle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llustration of Sydney/Newcastle urban excise areas (purple areas). "/>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590800" cy="3019425"/>
                    </a:xfrm>
                    <a:prstGeom prst="rect">
                      <a:avLst/>
                    </a:prstGeom>
                    <a:noFill/>
                    <a:ln>
                      <a:noFill/>
                    </a:ln>
                  </pic:spPr>
                </pic:pic>
              </a:graphicData>
            </a:graphic>
          </wp:inline>
        </w:drawing>
      </w:r>
      <w:r w:rsidRPr="000B6A4B">
        <w:rPr>
          <w:noProof/>
        </w:rPr>
        <w:t xml:space="preserve"> </w:t>
      </w:r>
      <w:r w:rsidRPr="000B6A4B">
        <w:rPr>
          <w:noProof/>
        </w:rPr>
        <w:drawing>
          <wp:inline distT="0" distB="0" distL="0" distR="0" wp14:anchorId="3FF782D8" wp14:editId="156360DA">
            <wp:extent cx="2419350" cy="3028950"/>
            <wp:effectExtent l="0" t="0" r="0" b="0"/>
            <wp:docPr id="2" name="Picture 2" descr="Illustration of Perth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llustration of Perth urban excise areas (purple areas). "/>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419350" cy="3028950"/>
                    </a:xfrm>
                    <a:prstGeom prst="rect">
                      <a:avLst/>
                    </a:prstGeom>
                    <a:noFill/>
                    <a:ln>
                      <a:noFill/>
                    </a:ln>
                  </pic:spPr>
                </pic:pic>
              </a:graphicData>
            </a:graphic>
          </wp:inline>
        </w:drawing>
      </w:r>
      <w:r w:rsidRPr="000B6A4B">
        <w:t xml:space="preserve"> </w:t>
      </w:r>
    </w:p>
    <w:p w14:paraId="550272D0" w14:textId="77777777" w:rsidR="00A2491C" w:rsidRPr="000B6A4B" w:rsidRDefault="00A2491C" w:rsidP="00A2491C">
      <w:pPr>
        <w:pStyle w:val="Heading1"/>
      </w:pPr>
      <w:bookmarkStart w:id="53" w:name="_Appendix_B:_Options"/>
      <w:bookmarkStart w:id="54" w:name="_Toc89250845"/>
      <w:bookmarkEnd w:id="53"/>
      <w:r w:rsidRPr="000B6A4B">
        <w:lastRenderedPageBreak/>
        <w:t xml:space="preserve">Appendix </w:t>
      </w:r>
      <w:r>
        <w:t>B</w:t>
      </w:r>
      <w:r w:rsidRPr="000B6A4B">
        <w:t>:</w:t>
      </w:r>
      <w:r>
        <w:t xml:space="preserve"> Options for use of urban excise areas</w:t>
      </w:r>
      <w:bookmarkEnd w:id="54"/>
      <w:r w:rsidRPr="000B6A4B">
        <w:t xml:space="preserve"> </w:t>
      </w:r>
    </w:p>
    <w:p w14:paraId="59FB87FA" w14:textId="23533B24" w:rsidR="00A2491C" w:rsidRDefault="00A2491C" w:rsidP="00A2491C">
      <w:pPr>
        <w:rPr>
          <w:color w:val="000000" w:themeColor="text1"/>
        </w:rPr>
      </w:pPr>
      <w:r>
        <w:rPr>
          <w:color w:val="000000" w:themeColor="text1"/>
        </w:rPr>
        <w:t xml:space="preserve">In the options paper, </w:t>
      </w:r>
      <w:r w:rsidR="00D94DC9">
        <w:rPr>
          <w:color w:val="000000" w:themeColor="text1"/>
        </w:rPr>
        <w:t>we</w:t>
      </w:r>
      <w:r>
        <w:rPr>
          <w:color w:val="000000" w:themeColor="text1"/>
        </w:rPr>
        <w:t xml:space="preserve"> identified </w:t>
      </w:r>
      <w:r w:rsidR="00C9195C">
        <w:rPr>
          <w:color w:val="000000" w:themeColor="text1"/>
        </w:rPr>
        <w:t xml:space="preserve">4 </w:t>
      </w:r>
      <w:r w:rsidRPr="009317CD">
        <w:rPr>
          <w:color w:val="000000" w:themeColor="text1"/>
        </w:rPr>
        <w:t xml:space="preserve">options for making urban excise areas available for wireless broadband uses. These are </w:t>
      </w:r>
      <w:r>
        <w:rPr>
          <w:color w:val="000000" w:themeColor="text1"/>
        </w:rPr>
        <w:t xml:space="preserve">reproduced </w:t>
      </w:r>
      <w:r w:rsidRPr="009317CD">
        <w:rPr>
          <w:color w:val="000000" w:themeColor="text1"/>
        </w:rPr>
        <w:t xml:space="preserve">in Table </w:t>
      </w:r>
      <w:r w:rsidR="00CB35C4">
        <w:rPr>
          <w:color w:val="000000" w:themeColor="text1"/>
        </w:rPr>
        <w:t>4</w:t>
      </w:r>
      <w:r w:rsidRPr="009317CD">
        <w:rPr>
          <w:color w:val="000000" w:themeColor="text1"/>
        </w:rPr>
        <w:t xml:space="preserve">. </w:t>
      </w:r>
    </w:p>
    <w:p w14:paraId="219C69AC" w14:textId="77777777" w:rsidR="00A2491C" w:rsidRPr="00A2491C" w:rsidRDefault="00A2491C" w:rsidP="00A2491C">
      <w:pPr>
        <w:pStyle w:val="Paragraph"/>
        <w:spacing w:before="240"/>
        <w:rPr>
          <w:color w:val="000000" w:themeColor="text1"/>
        </w:rPr>
      </w:pPr>
      <w:r>
        <w:rPr>
          <w:color w:val="000000" w:themeColor="text1"/>
        </w:rPr>
        <w:t xml:space="preserve">The options paper also acknowledged that there is an option for ‘no change’. </w:t>
      </w:r>
      <w:r>
        <w:t xml:space="preserve">Under this option, use of spectrum in urban excise areas could be re-assessed as equipment capabilities evolve, which may change the technical coexistence considerations. However, while this could enable macro cell deployments, it was considered that this outcome was adequately covered by Options 1 and 4. </w:t>
      </w:r>
    </w:p>
    <w:p w14:paraId="088EBBE3" w14:textId="77777777" w:rsidR="00A2491C" w:rsidRDefault="00A2491C" w:rsidP="00A2491C">
      <w:pPr>
        <w:pStyle w:val="Tableheading"/>
        <w:keepLines/>
        <w:spacing w:before="360"/>
      </w:pPr>
      <w:r>
        <w:t>Options for use of spectrum in urban excise areas</w:t>
      </w:r>
    </w:p>
    <w:tbl>
      <w:tblPr>
        <w:tblStyle w:val="ACMAtablestyle"/>
        <w:tblW w:w="10479" w:type="dxa"/>
        <w:tblInd w:w="-572" w:type="dxa"/>
        <w:tblLayout w:type="fixed"/>
        <w:tblCellMar>
          <w:left w:w="85" w:type="dxa"/>
          <w:right w:w="85" w:type="dxa"/>
        </w:tblCellMar>
        <w:tblLook w:val="01E0" w:firstRow="1" w:lastRow="1" w:firstColumn="1" w:lastColumn="1" w:noHBand="0" w:noVBand="0"/>
        <w:tblCaption w:val="Table title to go here"/>
        <w:tblDescription w:val="Table description to go here"/>
      </w:tblPr>
      <w:tblGrid>
        <w:gridCol w:w="993"/>
        <w:gridCol w:w="1701"/>
        <w:gridCol w:w="1677"/>
        <w:gridCol w:w="1725"/>
        <w:gridCol w:w="4383"/>
      </w:tblGrid>
      <w:tr w:rsidR="00A2491C" w14:paraId="160309C3" w14:textId="77777777" w:rsidTr="00F73A69">
        <w:trPr>
          <w:cnfStyle w:val="100000000000" w:firstRow="1" w:lastRow="0" w:firstColumn="0" w:lastColumn="0" w:oddVBand="0" w:evenVBand="0" w:oddHBand="0" w:evenHBand="0" w:firstRowFirstColumn="0" w:firstRowLastColumn="0" w:lastRowFirstColumn="0" w:lastRowLastColumn="0"/>
          <w:cantSplit/>
        </w:trPr>
        <w:tc>
          <w:tcPr>
            <w:tcW w:w="0" w:type="dxa"/>
            <w:shd w:val="clear" w:color="auto" w:fill="262626" w:themeFill="text1" w:themeFillTint="D9"/>
          </w:tcPr>
          <w:p w14:paraId="66CAA31E" w14:textId="77777777" w:rsidR="00A2491C" w:rsidRDefault="00A2491C" w:rsidP="00F73A69">
            <w:pPr>
              <w:pStyle w:val="Tableheaderrow"/>
            </w:pPr>
            <w:r>
              <w:t>Option</w:t>
            </w:r>
          </w:p>
        </w:tc>
        <w:tc>
          <w:tcPr>
            <w:tcW w:w="0" w:type="dxa"/>
            <w:shd w:val="clear" w:color="auto" w:fill="262626" w:themeFill="text1" w:themeFillTint="D9"/>
          </w:tcPr>
          <w:p w14:paraId="06E0A3D2" w14:textId="77777777" w:rsidR="00A2491C" w:rsidRDefault="00A2491C" w:rsidP="00F73A69">
            <w:pPr>
              <w:pStyle w:val="Tableheaderrow"/>
              <w:jc w:val="center"/>
            </w:pPr>
            <w:r>
              <w:t>Technical model</w:t>
            </w:r>
          </w:p>
        </w:tc>
        <w:tc>
          <w:tcPr>
            <w:tcW w:w="0" w:type="dxa"/>
            <w:shd w:val="clear" w:color="auto" w:fill="262626" w:themeFill="text1" w:themeFillTint="D9"/>
          </w:tcPr>
          <w:p w14:paraId="72F974AB" w14:textId="77777777" w:rsidR="00A2491C" w:rsidRDefault="00A2491C" w:rsidP="00F73A69">
            <w:pPr>
              <w:pStyle w:val="Tableheaderrow"/>
              <w:jc w:val="center"/>
            </w:pPr>
            <w:r>
              <w:t>Access model</w:t>
            </w:r>
          </w:p>
        </w:tc>
        <w:tc>
          <w:tcPr>
            <w:tcW w:w="0" w:type="dxa"/>
            <w:shd w:val="clear" w:color="auto" w:fill="262626" w:themeFill="text1" w:themeFillTint="D9"/>
          </w:tcPr>
          <w:p w14:paraId="66FDCBF7" w14:textId="77777777" w:rsidR="00A2491C" w:rsidRDefault="00A2491C" w:rsidP="00F73A69">
            <w:pPr>
              <w:pStyle w:val="Tableheaderrow"/>
              <w:jc w:val="center"/>
            </w:pPr>
            <w:r>
              <w:t>Licence model</w:t>
            </w:r>
          </w:p>
        </w:tc>
        <w:tc>
          <w:tcPr>
            <w:tcW w:w="0" w:type="dxa"/>
            <w:shd w:val="clear" w:color="auto" w:fill="262626" w:themeFill="text1" w:themeFillTint="D9"/>
          </w:tcPr>
          <w:p w14:paraId="3186A8B6" w14:textId="77777777" w:rsidR="00A2491C" w:rsidRDefault="00A2491C" w:rsidP="00F73A69">
            <w:pPr>
              <w:pStyle w:val="Tableheaderrow"/>
            </w:pPr>
            <w:r>
              <w:t>Description</w:t>
            </w:r>
          </w:p>
        </w:tc>
      </w:tr>
      <w:tr w:rsidR="00A2491C" w14:paraId="20EC9197" w14:textId="77777777" w:rsidTr="00F73A69">
        <w:tblPrEx>
          <w:tblCellMar>
            <w:left w:w="57" w:type="dxa"/>
            <w:right w:w="57" w:type="dxa"/>
          </w:tblCellMar>
        </w:tblPrEx>
        <w:trPr>
          <w:cnfStyle w:val="000000100000" w:firstRow="0" w:lastRow="0" w:firstColumn="0" w:lastColumn="0" w:oddVBand="0" w:evenVBand="0" w:oddHBand="1" w:evenHBand="0" w:firstRowFirstColumn="0" w:firstRowLastColumn="0" w:lastRowFirstColumn="0" w:lastRowLastColumn="0"/>
          <w:cantSplit/>
        </w:trPr>
        <w:tc>
          <w:tcPr>
            <w:tcW w:w="9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0D9A47CC" w14:textId="77777777" w:rsidR="00A2491C" w:rsidRPr="00C138B5" w:rsidRDefault="00A2491C" w:rsidP="00F73A69">
            <w:pPr>
              <w:pStyle w:val="TableBody"/>
              <w:spacing w:before="60" w:after="60"/>
            </w:pPr>
            <w:r w:rsidRPr="00C138B5">
              <w:t>Option 1</w:t>
            </w:r>
          </w:p>
          <w:p w14:paraId="72C11B4C" w14:textId="77777777" w:rsidR="00A2491C" w:rsidRPr="00C138B5" w:rsidRDefault="00A2491C" w:rsidP="00F73A69">
            <w:pPr>
              <w:pStyle w:val="TableBody"/>
              <w:spacing w:before="60" w:after="60"/>
            </w:pPr>
          </w:p>
        </w:tc>
        <w:tc>
          <w:tcPr>
            <w:tcW w:w="1701" w:type="dxa"/>
            <w:tcBorders>
              <w:top w:val="single" w:sz="4" w:space="0" w:color="auto"/>
              <w:left w:val="single" w:sz="4" w:space="0" w:color="auto"/>
              <w:bottom w:val="single" w:sz="4" w:space="0" w:color="auto"/>
              <w:right w:val="single" w:sz="4" w:space="0" w:color="auto"/>
            </w:tcBorders>
          </w:tcPr>
          <w:p w14:paraId="754129AB" w14:textId="77777777" w:rsidR="00A2491C" w:rsidRDefault="00A2491C" w:rsidP="00F73A69">
            <w:pPr>
              <w:pStyle w:val="TableBody"/>
              <w:spacing w:before="60" w:after="60"/>
              <w:jc w:val="center"/>
            </w:pPr>
            <w:r>
              <w:t>Macro cell</w:t>
            </w:r>
          </w:p>
        </w:tc>
        <w:tc>
          <w:tcPr>
            <w:tcW w:w="1677" w:type="dxa"/>
            <w:tcBorders>
              <w:top w:val="single" w:sz="4" w:space="0" w:color="auto"/>
              <w:left w:val="single" w:sz="4" w:space="0" w:color="auto"/>
              <w:bottom w:val="single" w:sz="4" w:space="0" w:color="auto"/>
              <w:right w:val="single" w:sz="4" w:space="0" w:color="auto"/>
            </w:tcBorders>
          </w:tcPr>
          <w:p w14:paraId="5FE87716" w14:textId="77777777" w:rsidR="00A2491C" w:rsidRDefault="00A2491C" w:rsidP="00F73A69">
            <w:pPr>
              <w:pStyle w:val="TableBody"/>
              <w:spacing w:before="60" w:after="60"/>
              <w:jc w:val="center"/>
            </w:pPr>
            <w:r>
              <w:t>Single operator per frequency segment across entire urban excise area</w:t>
            </w:r>
          </w:p>
        </w:tc>
        <w:tc>
          <w:tcPr>
            <w:tcW w:w="172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742D6B78" w14:textId="77777777" w:rsidR="00A2491C" w:rsidRDefault="00A2491C" w:rsidP="00F73A69">
            <w:pPr>
              <w:pStyle w:val="TableBody"/>
              <w:spacing w:before="60" w:after="60"/>
              <w:jc w:val="center"/>
            </w:pPr>
            <w:r>
              <w:t>Spectrum licence or area wide licence (AWL)</w:t>
            </w:r>
          </w:p>
        </w:tc>
        <w:tc>
          <w:tcPr>
            <w:tcW w:w="438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0D80CAB1" w14:textId="2106FC18" w:rsidR="00A2491C" w:rsidRDefault="00A2491C" w:rsidP="00F73A69">
            <w:pPr>
              <w:pStyle w:val="TableBody"/>
              <w:spacing w:before="60" w:after="60"/>
            </w:pPr>
            <w:r>
              <w:t>Under this option, a single operator would take out a licence in each urban excise area for a given frequency range</w:t>
            </w:r>
            <w:r w:rsidR="00627C6E">
              <w:t xml:space="preserve"> (segment)</w:t>
            </w:r>
            <w:r>
              <w:t>. Multiple operators could be supported in different segments of the</w:t>
            </w:r>
            <w:r w:rsidR="00627C6E">
              <w:t xml:space="preserve"> </w:t>
            </w:r>
            <w:r>
              <w:t xml:space="preserve">3400–3475 MHz frequency range. To manage interference between different licensees, relevant co-channel and adjacent channel boundary conditions would be implemented. This may limit service deployments to small cells initially. Macro-cell deployments may be possible in the future as equipment capabilities evolve. </w:t>
            </w:r>
          </w:p>
        </w:tc>
      </w:tr>
      <w:tr w:rsidR="00A2491C" w14:paraId="7397802F" w14:textId="77777777" w:rsidTr="00F73A69">
        <w:tblPrEx>
          <w:tblCellMar>
            <w:left w:w="57" w:type="dxa"/>
            <w:right w:w="57" w:type="dxa"/>
          </w:tblCellMar>
        </w:tblPrEx>
        <w:trPr>
          <w:cnfStyle w:val="000000010000" w:firstRow="0" w:lastRow="0" w:firstColumn="0" w:lastColumn="0" w:oddVBand="0" w:evenVBand="0" w:oddHBand="0" w:evenHBand="1" w:firstRowFirstColumn="0" w:firstRowLastColumn="0" w:lastRowFirstColumn="0" w:lastRowLastColumn="0"/>
          <w:cantSplit/>
        </w:trPr>
        <w:tc>
          <w:tcPr>
            <w:tcW w:w="9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2E9A048E" w14:textId="77777777" w:rsidR="00A2491C" w:rsidRPr="00C138B5" w:rsidRDefault="00A2491C" w:rsidP="00F73A69">
            <w:pPr>
              <w:pStyle w:val="TableBody"/>
              <w:spacing w:before="60" w:after="60"/>
            </w:pPr>
            <w:r w:rsidRPr="00C138B5">
              <w:t>Option 2</w:t>
            </w:r>
          </w:p>
          <w:p w14:paraId="65AD85FD" w14:textId="77777777" w:rsidR="00A2491C" w:rsidRPr="00C138B5" w:rsidRDefault="00A2491C" w:rsidP="00F73A69">
            <w:pPr>
              <w:pStyle w:val="TableBody"/>
              <w:spacing w:before="60" w:after="60"/>
            </w:pPr>
          </w:p>
        </w:tc>
        <w:tc>
          <w:tcPr>
            <w:tcW w:w="1701" w:type="dxa"/>
            <w:tcBorders>
              <w:top w:val="single" w:sz="4" w:space="0" w:color="auto"/>
              <w:left w:val="single" w:sz="4" w:space="0" w:color="auto"/>
              <w:bottom w:val="single" w:sz="4" w:space="0" w:color="auto"/>
              <w:right w:val="single" w:sz="4" w:space="0" w:color="auto"/>
            </w:tcBorders>
          </w:tcPr>
          <w:p w14:paraId="4CFA22E9" w14:textId="77777777" w:rsidR="00A2491C" w:rsidRDefault="00A2491C" w:rsidP="00F73A69">
            <w:pPr>
              <w:pStyle w:val="TableBody"/>
              <w:spacing w:before="60" w:after="60"/>
              <w:jc w:val="center"/>
            </w:pPr>
            <w:r>
              <w:t>Restricted cell</w:t>
            </w:r>
          </w:p>
        </w:tc>
        <w:tc>
          <w:tcPr>
            <w:tcW w:w="1677" w:type="dxa"/>
            <w:tcBorders>
              <w:top w:val="single" w:sz="4" w:space="0" w:color="auto"/>
              <w:left w:val="single" w:sz="4" w:space="0" w:color="auto"/>
              <w:bottom w:val="single" w:sz="4" w:space="0" w:color="auto"/>
              <w:right w:val="single" w:sz="4" w:space="0" w:color="auto"/>
            </w:tcBorders>
          </w:tcPr>
          <w:p w14:paraId="331A22FB" w14:textId="77777777" w:rsidR="00A2491C" w:rsidRDefault="00A2491C" w:rsidP="00F73A69">
            <w:pPr>
              <w:pStyle w:val="TableBody"/>
              <w:spacing w:before="60" w:after="60"/>
              <w:jc w:val="center"/>
            </w:pPr>
            <w:r>
              <w:t>Single operator per frequency segment across entire urban excise area</w:t>
            </w:r>
          </w:p>
        </w:tc>
        <w:tc>
          <w:tcPr>
            <w:tcW w:w="172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0CBCC4F6" w14:textId="77777777" w:rsidR="00A2491C" w:rsidRDefault="00A2491C" w:rsidP="00F73A69">
            <w:pPr>
              <w:pStyle w:val="TableBody"/>
              <w:spacing w:before="60" w:after="60"/>
              <w:jc w:val="center"/>
            </w:pPr>
            <w:r>
              <w:t>Spectrum licence or AWL</w:t>
            </w:r>
          </w:p>
        </w:tc>
        <w:tc>
          <w:tcPr>
            <w:tcW w:w="438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40DCD9AC" w14:textId="4B108A40" w:rsidR="00A2491C" w:rsidRDefault="00A2491C" w:rsidP="00F73A69">
            <w:pPr>
              <w:pStyle w:val="TableBody"/>
              <w:spacing w:before="60" w:after="60"/>
            </w:pPr>
            <w:r>
              <w:t>Under this option, a single operator would take out a licence in each urban excise area for a given frequency range</w:t>
            </w:r>
            <w:r w:rsidR="00627C6E">
              <w:t xml:space="preserve"> (segment)</w:t>
            </w:r>
            <w:r>
              <w:t>. Multiple operators could be supported in different segments of the</w:t>
            </w:r>
            <w:r w:rsidR="00627C6E">
              <w:t xml:space="preserve"> </w:t>
            </w:r>
            <w:r>
              <w:t xml:space="preserve">3400–3475 MHz frequency range. To manage interference between different licensees, relevant co-channel and adjacent channel boundary conditions would be implemented. This includes deployment restrictions such as a low </w:t>
            </w:r>
            <w:r w:rsidR="002F15C7">
              <w:t>radiate</w:t>
            </w:r>
            <w:r w:rsidR="00D32635">
              <w:t>d</w:t>
            </w:r>
            <w:r w:rsidR="002F15C7">
              <w:t xml:space="preserve"> power </w:t>
            </w:r>
            <w:r>
              <w:t>limit and low outdoor antenna heights (</w:t>
            </w:r>
            <w:r w:rsidR="003F0191">
              <w:t>i.e.,</w:t>
            </w:r>
            <w:r>
              <w:t xml:space="preserve"> effectively small cell operation) and other possible restrictions.</w:t>
            </w:r>
          </w:p>
        </w:tc>
      </w:tr>
      <w:tr w:rsidR="00A2491C" w14:paraId="53589F0C" w14:textId="77777777" w:rsidTr="00F73A69">
        <w:tblPrEx>
          <w:tblCellMar>
            <w:left w:w="57" w:type="dxa"/>
            <w:right w:w="57" w:type="dxa"/>
          </w:tblCellMar>
        </w:tblPrEx>
        <w:trPr>
          <w:cnfStyle w:val="000000100000" w:firstRow="0" w:lastRow="0" w:firstColumn="0" w:lastColumn="0" w:oddVBand="0" w:evenVBand="0" w:oddHBand="1" w:evenHBand="0" w:firstRowFirstColumn="0" w:firstRowLastColumn="0" w:lastRowFirstColumn="0" w:lastRowLastColumn="0"/>
          <w:cantSplit/>
        </w:trPr>
        <w:tc>
          <w:tcPr>
            <w:tcW w:w="9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161D9013" w14:textId="77777777" w:rsidR="00A2491C" w:rsidRPr="00C138B5" w:rsidRDefault="00A2491C" w:rsidP="00F73A69">
            <w:pPr>
              <w:pStyle w:val="TableBody"/>
              <w:spacing w:before="60" w:after="60"/>
            </w:pPr>
            <w:r w:rsidRPr="00C138B5">
              <w:lastRenderedPageBreak/>
              <w:t>Option 3</w:t>
            </w:r>
          </w:p>
          <w:p w14:paraId="072CEC44" w14:textId="77777777" w:rsidR="00A2491C" w:rsidRPr="00C138B5" w:rsidRDefault="00A2491C" w:rsidP="00F73A69">
            <w:pPr>
              <w:pStyle w:val="TableBody"/>
              <w:spacing w:before="60" w:after="60"/>
            </w:pPr>
          </w:p>
        </w:tc>
        <w:tc>
          <w:tcPr>
            <w:tcW w:w="1701" w:type="dxa"/>
            <w:tcBorders>
              <w:top w:val="single" w:sz="4" w:space="0" w:color="auto"/>
              <w:left w:val="single" w:sz="4" w:space="0" w:color="auto"/>
              <w:bottom w:val="single" w:sz="4" w:space="0" w:color="auto"/>
              <w:right w:val="single" w:sz="4" w:space="0" w:color="auto"/>
            </w:tcBorders>
          </w:tcPr>
          <w:p w14:paraId="6170AB7E" w14:textId="77777777" w:rsidR="00A2491C" w:rsidRDefault="00A2491C" w:rsidP="00F73A69">
            <w:pPr>
              <w:pStyle w:val="TableBody"/>
              <w:spacing w:before="60" w:after="60"/>
              <w:jc w:val="center"/>
            </w:pPr>
            <w:r>
              <w:t>Restricted cell</w:t>
            </w:r>
          </w:p>
        </w:tc>
        <w:tc>
          <w:tcPr>
            <w:tcW w:w="1677" w:type="dxa"/>
            <w:tcBorders>
              <w:top w:val="single" w:sz="4" w:space="0" w:color="auto"/>
              <w:left w:val="single" w:sz="4" w:space="0" w:color="auto"/>
              <w:bottom w:val="single" w:sz="4" w:space="0" w:color="auto"/>
              <w:right w:val="single" w:sz="4" w:space="0" w:color="auto"/>
            </w:tcBorders>
          </w:tcPr>
          <w:p w14:paraId="3A6FE2DB" w14:textId="77777777" w:rsidR="00A2491C" w:rsidRDefault="00A2491C" w:rsidP="00F73A69">
            <w:pPr>
              <w:pStyle w:val="TableBody"/>
              <w:spacing w:before="60" w:after="60"/>
              <w:jc w:val="center"/>
            </w:pPr>
            <w:r>
              <w:t>Multiple operators across entire urban excise area – either within excusive frequency segment or shared</w:t>
            </w:r>
          </w:p>
        </w:tc>
        <w:tc>
          <w:tcPr>
            <w:tcW w:w="172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715EBC7A" w14:textId="77777777" w:rsidR="00A2491C" w:rsidRDefault="00A2491C" w:rsidP="00F73A69">
            <w:pPr>
              <w:pStyle w:val="TableBody"/>
              <w:spacing w:before="60" w:after="60"/>
              <w:jc w:val="center"/>
            </w:pPr>
            <w:r>
              <w:t>Apparatus licence (possibly AWL) or class licence</w:t>
            </w:r>
          </w:p>
        </w:tc>
        <w:tc>
          <w:tcPr>
            <w:tcW w:w="438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5A719B1D" w14:textId="53760BE5" w:rsidR="00A2491C" w:rsidRDefault="00A2491C" w:rsidP="00F73A69">
            <w:pPr>
              <w:pStyle w:val="TableBody"/>
              <w:spacing w:before="60" w:after="60"/>
            </w:pPr>
            <w:r>
              <w:t>Under this option, multiple operators could share access to the same frequency in an urban excise area and/or by operating in different segments of the 3400</w:t>
            </w:r>
            <w:r w:rsidRPr="00E23813">
              <w:t>–</w:t>
            </w:r>
            <w:r>
              <w:t>3475 MHz frequency range. To manage interference between different licensees, relevant co-channel and adjacent channel boundary conditions would be implemented. This includes deployment restrictions such as a low radiated power limit and low outdoor antenna heights (i.e.</w:t>
            </w:r>
            <w:r w:rsidR="00D94DC9">
              <w:t>,</w:t>
            </w:r>
            <w:r>
              <w:t xml:space="preserve"> effectively small cell operation) and other possible restrictions. </w:t>
            </w:r>
          </w:p>
        </w:tc>
      </w:tr>
      <w:tr w:rsidR="00A2491C" w14:paraId="4AFFDC92" w14:textId="77777777" w:rsidTr="00F73A69">
        <w:tblPrEx>
          <w:tblCellMar>
            <w:left w:w="57" w:type="dxa"/>
            <w:right w:w="57" w:type="dxa"/>
          </w:tblCellMar>
        </w:tblPrEx>
        <w:trPr>
          <w:cnfStyle w:val="000000010000" w:firstRow="0" w:lastRow="0" w:firstColumn="0" w:lastColumn="0" w:oddVBand="0" w:evenVBand="0" w:oddHBand="0" w:evenHBand="1" w:firstRowFirstColumn="0" w:firstRowLastColumn="0" w:lastRowFirstColumn="0" w:lastRowLastColumn="0"/>
          <w:cantSplit/>
        </w:trPr>
        <w:tc>
          <w:tcPr>
            <w:tcW w:w="99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09DA5E56" w14:textId="77777777" w:rsidR="00A2491C" w:rsidRPr="00C138B5" w:rsidRDefault="00A2491C" w:rsidP="00F73A69">
            <w:pPr>
              <w:pStyle w:val="TableBody"/>
              <w:spacing w:before="60" w:after="60"/>
            </w:pPr>
            <w:r w:rsidRPr="00C138B5">
              <w:t>Option 4</w:t>
            </w:r>
          </w:p>
          <w:p w14:paraId="1961CDF4" w14:textId="77777777" w:rsidR="00A2491C" w:rsidRPr="00C138B5" w:rsidRDefault="00A2491C" w:rsidP="00F73A69">
            <w:pPr>
              <w:pStyle w:val="TableBody"/>
              <w:spacing w:before="60" w:after="60"/>
            </w:pPr>
          </w:p>
        </w:tc>
        <w:tc>
          <w:tcPr>
            <w:tcW w:w="1701" w:type="dxa"/>
            <w:tcBorders>
              <w:top w:val="single" w:sz="4" w:space="0" w:color="auto"/>
              <w:left w:val="single" w:sz="4" w:space="0" w:color="auto"/>
              <w:bottom w:val="single" w:sz="4" w:space="0" w:color="auto"/>
              <w:right w:val="single" w:sz="4" w:space="0" w:color="auto"/>
            </w:tcBorders>
          </w:tcPr>
          <w:p w14:paraId="5826D2C5" w14:textId="77777777" w:rsidR="00A2491C" w:rsidRDefault="00A2491C" w:rsidP="00F73A69">
            <w:pPr>
              <w:pStyle w:val="TableBody"/>
              <w:spacing w:before="60" w:after="60"/>
              <w:jc w:val="center"/>
            </w:pPr>
            <w:r w:rsidRPr="00C138B5">
              <w:rPr>
                <w:u w:val="single"/>
              </w:rPr>
              <w:t>3400–3460</w:t>
            </w:r>
            <w:r w:rsidRPr="00193349">
              <w:rPr>
                <w:u w:val="single"/>
              </w:rPr>
              <w:t xml:space="preserve"> MHz</w:t>
            </w:r>
          </w:p>
          <w:p w14:paraId="6470B431" w14:textId="77777777" w:rsidR="00A2491C" w:rsidRDefault="00A2491C" w:rsidP="00F73A69">
            <w:pPr>
              <w:pStyle w:val="TableBody"/>
              <w:spacing w:before="60" w:after="60"/>
              <w:jc w:val="center"/>
            </w:pPr>
            <w:r>
              <w:t>macro cell</w:t>
            </w:r>
          </w:p>
          <w:p w14:paraId="52BDB9D4" w14:textId="77777777" w:rsidR="00A2491C" w:rsidRDefault="00A2491C" w:rsidP="00F73A69">
            <w:pPr>
              <w:pStyle w:val="TableBody"/>
              <w:spacing w:before="60" w:after="60"/>
              <w:jc w:val="center"/>
            </w:pPr>
          </w:p>
          <w:p w14:paraId="538EE7C9" w14:textId="77777777" w:rsidR="00A2491C" w:rsidRDefault="00A2491C" w:rsidP="00F73A69">
            <w:pPr>
              <w:pStyle w:val="TableBody"/>
              <w:spacing w:before="120"/>
              <w:jc w:val="center"/>
            </w:pPr>
            <w:r w:rsidRPr="00193349">
              <w:rPr>
                <w:u w:val="single"/>
              </w:rPr>
              <w:t>3460</w:t>
            </w:r>
            <w:r w:rsidRPr="00E23813">
              <w:rPr>
                <w:u w:val="single"/>
              </w:rPr>
              <w:t>–</w:t>
            </w:r>
            <w:r w:rsidRPr="00193349">
              <w:rPr>
                <w:u w:val="single"/>
              </w:rPr>
              <w:t>3475 MH</w:t>
            </w:r>
            <w:r>
              <w:rPr>
                <w:u w:val="single"/>
              </w:rPr>
              <w:t>z</w:t>
            </w:r>
          </w:p>
          <w:p w14:paraId="2C5EE7D5" w14:textId="77777777" w:rsidR="00A2491C" w:rsidRDefault="00A2491C" w:rsidP="00F73A69">
            <w:pPr>
              <w:pStyle w:val="TableBody"/>
              <w:spacing w:before="60" w:after="60"/>
              <w:jc w:val="center"/>
            </w:pPr>
            <w:r>
              <w:t>restricted cell</w:t>
            </w:r>
          </w:p>
        </w:tc>
        <w:tc>
          <w:tcPr>
            <w:tcW w:w="1677" w:type="dxa"/>
            <w:tcBorders>
              <w:top w:val="single" w:sz="4" w:space="0" w:color="auto"/>
              <w:left w:val="single" w:sz="4" w:space="0" w:color="auto"/>
              <w:bottom w:val="single" w:sz="4" w:space="0" w:color="auto"/>
              <w:right w:val="single" w:sz="4" w:space="0" w:color="auto"/>
            </w:tcBorders>
          </w:tcPr>
          <w:p w14:paraId="4FF099BD" w14:textId="77777777" w:rsidR="00A2491C" w:rsidRDefault="00A2491C" w:rsidP="00F73A69">
            <w:pPr>
              <w:pStyle w:val="TableBody"/>
              <w:spacing w:before="60" w:after="60"/>
              <w:jc w:val="center"/>
            </w:pPr>
            <w:r w:rsidRPr="006B6A28">
              <w:rPr>
                <w:u w:val="single"/>
              </w:rPr>
              <w:t>3400</w:t>
            </w:r>
            <w:r w:rsidRPr="00E23813">
              <w:rPr>
                <w:u w:val="single"/>
              </w:rPr>
              <w:t>–</w:t>
            </w:r>
            <w:r w:rsidRPr="006B6A28">
              <w:rPr>
                <w:u w:val="single"/>
              </w:rPr>
              <w:t>3460 MHz:</w:t>
            </w:r>
            <w:r>
              <w:t xml:space="preserve"> Single operator per frequency segment across entire urban excise area</w:t>
            </w:r>
          </w:p>
          <w:p w14:paraId="5C46CCD0" w14:textId="77777777" w:rsidR="00A2491C" w:rsidRDefault="00A2491C" w:rsidP="00F73A69">
            <w:pPr>
              <w:pStyle w:val="TableBody"/>
              <w:spacing w:before="120"/>
              <w:jc w:val="center"/>
            </w:pPr>
            <w:r w:rsidRPr="006B6A28">
              <w:rPr>
                <w:u w:val="single"/>
              </w:rPr>
              <w:t>3460</w:t>
            </w:r>
            <w:r w:rsidRPr="00E23813">
              <w:rPr>
                <w:u w:val="single"/>
              </w:rPr>
              <w:t>–</w:t>
            </w:r>
            <w:r w:rsidRPr="006B6A28">
              <w:rPr>
                <w:u w:val="single"/>
              </w:rPr>
              <w:t>3475 MH</w:t>
            </w:r>
            <w:r>
              <w:rPr>
                <w:u w:val="single"/>
              </w:rPr>
              <w:t>z:</w:t>
            </w:r>
          </w:p>
          <w:p w14:paraId="232C29A5" w14:textId="77C6D133" w:rsidR="00A2491C" w:rsidRDefault="00A2491C" w:rsidP="00F73A69">
            <w:pPr>
              <w:pStyle w:val="TableBody"/>
              <w:spacing w:after="60"/>
              <w:jc w:val="center"/>
            </w:pPr>
            <w:r>
              <w:t>Depends on which of Option</w:t>
            </w:r>
            <w:r w:rsidR="00627C6E">
              <w:t>s</w:t>
            </w:r>
            <w:r>
              <w:t xml:space="preserve"> 2</w:t>
            </w:r>
            <w:r w:rsidR="00627C6E">
              <w:t xml:space="preserve"> or </w:t>
            </w:r>
            <w:r>
              <w:t>3 is adopted</w:t>
            </w:r>
          </w:p>
        </w:tc>
        <w:tc>
          <w:tcPr>
            <w:tcW w:w="1725"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70466FDD" w14:textId="77777777" w:rsidR="00A2491C" w:rsidRDefault="00A2491C" w:rsidP="00F73A69">
            <w:pPr>
              <w:pStyle w:val="TableBody"/>
              <w:spacing w:before="60" w:after="60"/>
              <w:jc w:val="center"/>
            </w:pPr>
            <w:r w:rsidRPr="00193349">
              <w:rPr>
                <w:u w:val="single"/>
              </w:rPr>
              <w:t>3400</w:t>
            </w:r>
            <w:r w:rsidRPr="00E23813">
              <w:rPr>
                <w:u w:val="single"/>
              </w:rPr>
              <w:t>–</w:t>
            </w:r>
            <w:r w:rsidRPr="00193349">
              <w:rPr>
                <w:u w:val="single"/>
              </w:rPr>
              <w:t>3460 MHz</w:t>
            </w:r>
          </w:p>
          <w:p w14:paraId="593E51B7" w14:textId="77777777" w:rsidR="00A2491C" w:rsidRDefault="00A2491C" w:rsidP="00F73A69">
            <w:pPr>
              <w:pStyle w:val="TableBody"/>
              <w:spacing w:before="60" w:after="60"/>
              <w:jc w:val="center"/>
            </w:pPr>
            <w:r>
              <w:t>spectrum licence or AWL</w:t>
            </w:r>
          </w:p>
          <w:p w14:paraId="46D1D0FE" w14:textId="77777777" w:rsidR="00A2491C" w:rsidRDefault="00A2491C" w:rsidP="00F73A69">
            <w:pPr>
              <w:pStyle w:val="TableBody"/>
              <w:spacing w:before="120"/>
              <w:jc w:val="center"/>
            </w:pPr>
            <w:r w:rsidRPr="00193349">
              <w:rPr>
                <w:u w:val="single"/>
              </w:rPr>
              <w:t>3460</w:t>
            </w:r>
            <w:r w:rsidRPr="00E23813">
              <w:rPr>
                <w:u w:val="single"/>
              </w:rPr>
              <w:t>–</w:t>
            </w:r>
            <w:r w:rsidRPr="00193349">
              <w:rPr>
                <w:u w:val="single"/>
              </w:rPr>
              <w:t>3475 MH</w:t>
            </w:r>
            <w:r>
              <w:rPr>
                <w:u w:val="single"/>
              </w:rPr>
              <w:t>z</w:t>
            </w:r>
          </w:p>
          <w:p w14:paraId="7A4B6F3F" w14:textId="77777777" w:rsidR="00A2491C" w:rsidRDefault="00A2491C" w:rsidP="00F73A69">
            <w:pPr>
              <w:pStyle w:val="TableBody"/>
              <w:spacing w:before="60" w:after="60"/>
              <w:jc w:val="center"/>
            </w:pPr>
            <w:r>
              <w:t>spectrum licence, AWL or class licence</w:t>
            </w:r>
          </w:p>
        </w:tc>
        <w:tc>
          <w:tcPr>
            <w:tcW w:w="438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14:paraId="3AF7AEF6" w14:textId="457E5810" w:rsidR="00A2491C" w:rsidRDefault="00A2491C" w:rsidP="00F73A69">
            <w:pPr>
              <w:pStyle w:val="TableBody"/>
              <w:spacing w:before="60" w:after="60"/>
            </w:pPr>
            <w:r>
              <w:t>Under this option, any combination of Options 1</w:t>
            </w:r>
            <w:r w:rsidR="00627C6E">
              <w:t xml:space="preserve">, 2 or </w:t>
            </w:r>
            <w:r>
              <w:t>3 could be implemented in different segments of the 3400–3475 MHz frequency range. The ACMA propose the best combination would be Option 1 and Option 2 or 3 being implemented in the 3400</w:t>
            </w:r>
            <w:r w:rsidRPr="00C138B5">
              <w:t>–</w:t>
            </w:r>
            <w:r>
              <w:t xml:space="preserve">3460 MHz and </w:t>
            </w:r>
            <w:r>
              <w:br/>
              <w:t>3460</w:t>
            </w:r>
            <w:r w:rsidRPr="00E23813">
              <w:t>–</w:t>
            </w:r>
            <w:r>
              <w:t xml:space="preserve">3475 MHz segments respectively. </w:t>
            </w:r>
          </w:p>
        </w:tc>
      </w:tr>
    </w:tbl>
    <w:p w14:paraId="54BDB8A3" w14:textId="77777777" w:rsidR="00A2491C" w:rsidRDefault="00A2491C" w:rsidP="00A2491C">
      <w:pPr>
        <w:pStyle w:val="ListBullet"/>
        <w:numPr>
          <w:ilvl w:val="0"/>
          <w:numId w:val="0"/>
        </w:numPr>
        <w:spacing w:before="240"/>
      </w:pPr>
    </w:p>
    <w:p w14:paraId="2306FD9E" w14:textId="59678E73" w:rsidR="00473750" w:rsidRPr="000B6A4B" w:rsidRDefault="00473750" w:rsidP="00473750">
      <w:pPr>
        <w:pStyle w:val="Heading1"/>
      </w:pPr>
      <w:bookmarkStart w:id="55" w:name="_Appendix_C:_List"/>
      <w:bookmarkStart w:id="56" w:name="_Toc89250846"/>
      <w:bookmarkEnd w:id="55"/>
      <w:r w:rsidRPr="000B6A4B">
        <w:lastRenderedPageBreak/>
        <w:t xml:space="preserve">Appendix </w:t>
      </w:r>
      <w:r w:rsidR="00A2491C">
        <w:t>C</w:t>
      </w:r>
      <w:r w:rsidRPr="000B6A4B">
        <w:t>:</w:t>
      </w:r>
      <w:r>
        <w:t xml:space="preserve"> List of </w:t>
      </w:r>
      <w:r w:rsidR="00B77D03">
        <w:t xml:space="preserve">consultation </w:t>
      </w:r>
      <w:r w:rsidR="008C2E00">
        <w:t>respondents</w:t>
      </w:r>
      <w:bookmarkEnd w:id="56"/>
      <w:r w:rsidRPr="000B6A4B">
        <w:t xml:space="preserve"> </w:t>
      </w:r>
    </w:p>
    <w:p w14:paraId="19389649" w14:textId="75DEBBD9" w:rsidR="00473750" w:rsidRPr="00A85D75" w:rsidRDefault="00473750" w:rsidP="00473750">
      <w:pPr>
        <w:pStyle w:val="CommentText"/>
        <w:spacing w:after="80"/>
      </w:pPr>
      <w:r w:rsidRPr="00A85D75">
        <w:t xml:space="preserve">The ACMA </w:t>
      </w:r>
      <w:r>
        <w:t>consulted</w:t>
      </w:r>
      <w:r w:rsidR="00D94DC9">
        <w:t xml:space="preserve"> on</w:t>
      </w:r>
      <w:r>
        <w:t xml:space="preserve"> </w:t>
      </w:r>
      <w:hyperlink r:id="rId72" w:history="1">
        <w:r w:rsidR="007E5A94" w:rsidRPr="007E5A94">
          <w:rPr>
            <w:rStyle w:val="Hyperlink"/>
            <w:rFonts w:cs="Arial"/>
            <w:i/>
            <w:iCs/>
          </w:rPr>
          <w:t>Planning for wireless broadb</w:t>
        </w:r>
        <w:r w:rsidR="007E5A94" w:rsidRPr="007E5A94">
          <w:rPr>
            <w:rStyle w:val="Hyperlink"/>
            <w:rFonts w:cs="Arial"/>
            <w:i/>
            <w:iCs/>
          </w:rPr>
          <w:t>a</w:t>
        </w:r>
        <w:r w:rsidR="007E5A94" w:rsidRPr="007E5A94">
          <w:rPr>
            <w:rStyle w:val="Hyperlink"/>
            <w:rFonts w:cs="Arial"/>
            <w:i/>
            <w:iCs/>
          </w:rPr>
          <w:t>nd use of urban areas in the 3400-3475 MHz band: Options paper</w:t>
        </w:r>
      </w:hyperlink>
      <w:r w:rsidRPr="00A85D75">
        <w:t xml:space="preserve"> from </w:t>
      </w:r>
      <w:r w:rsidR="002D5229">
        <w:t>27 August to 30 September 2021</w:t>
      </w:r>
      <w:r w:rsidRPr="00A85D75">
        <w:t xml:space="preserve">. </w:t>
      </w:r>
      <w:r w:rsidR="005F5E2E" w:rsidRPr="000B6A4B">
        <w:t>Fourteen submissions were received</w:t>
      </w:r>
      <w:r w:rsidR="000210DA">
        <w:t xml:space="preserve"> </w:t>
      </w:r>
      <w:r w:rsidR="000210DA" w:rsidRPr="000B6A4B">
        <w:t xml:space="preserve">to </w:t>
      </w:r>
      <w:r w:rsidR="000210DA">
        <w:t>this consultation</w:t>
      </w:r>
      <w:r w:rsidR="005F5E2E">
        <w:t>, including</w:t>
      </w:r>
      <w:r w:rsidR="005F5E2E" w:rsidRPr="000B6A4B">
        <w:t xml:space="preserve"> </w:t>
      </w:r>
      <w:r w:rsidR="005F5E2E">
        <w:t>o</w:t>
      </w:r>
      <w:r w:rsidR="005F5E2E" w:rsidRPr="000B6A4B">
        <w:t xml:space="preserve">ne provided by a member of the public </w:t>
      </w:r>
      <w:r w:rsidR="005F5E2E">
        <w:t xml:space="preserve">who requested anonymity and that it </w:t>
      </w:r>
      <w:r w:rsidR="005F5E2E" w:rsidRPr="000B6A4B">
        <w:t>not be published.</w:t>
      </w:r>
      <w:r w:rsidR="005F5E2E">
        <w:t xml:space="preserve"> Submissions </w:t>
      </w:r>
      <w:r w:rsidR="008C2E00">
        <w:t xml:space="preserve">that did not seek anonymity </w:t>
      </w:r>
      <w:r w:rsidR="005F5E2E">
        <w:t>were received from</w:t>
      </w:r>
      <w:r w:rsidRPr="00A85D75">
        <w:t>:</w:t>
      </w:r>
    </w:p>
    <w:p w14:paraId="0BBE47FB" w14:textId="77777777" w:rsidR="000A24A8" w:rsidRPr="008C2E00" w:rsidRDefault="000A24A8" w:rsidP="004453CF">
      <w:pPr>
        <w:pStyle w:val="Bulletlevel1"/>
      </w:pPr>
      <w:r w:rsidRPr="000B6A4B">
        <w:t>Aqura</w:t>
      </w:r>
      <w:r>
        <w:t xml:space="preserve"> Technologies</w:t>
      </w:r>
      <w:r w:rsidRPr="000B6A4B">
        <w:t xml:space="preserve"> </w:t>
      </w:r>
    </w:p>
    <w:p w14:paraId="7A94C97D" w14:textId="3D562C55" w:rsidR="008C2E00" w:rsidRPr="008C2E00" w:rsidRDefault="002D5229" w:rsidP="004453CF">
      <w:pPr>
        <w:pStyle w:val="Bulletlevel1"/>
      </w:pPr>
      <w:r>
        <w:t>T</w:t>
      </w:r>
      <w:r w:rsidR="008C2E00" w:rsidRPr="000B6A4B">
        <w:t xml:space="preserve">he </w:t>
      </w:r>
      <w:r w:rsidR="008C2E00">
        <w:t>Australian Critical Communications Forum (ACCF)</w:t>
      </w:r>
    </w:p>
    <w:p w14:paraId="693742D2" w14:textId="2DEF82FC" w:rsidR="008C2E00" w:rsidRPr="008C2E00" w:rsidRDefault="002D5229" w:rsidP="004453CF">
      <w:pPr>
        <w:pStyle w:val="Bulletlevel1"/>
      </w:pPr>
      <w:r>
        <w:t>T</w:t>
      </w:r>
      <w:r w:rsidR="008C2E00">
        <w:t xml:space="preserve">he Australian </w:t>
      </w:r>
      <w:r w:rsidR="008C2E00" w:rsidRPr="008C2E00">
        <w:t>Mobile Telecommunications Association (AMTA)</w:t>
      </w:r>
    </w:p>
    <w:p w14:paraId="1BD2EB42" w14:textId="5880C9AC" w:rsidR="008C2E00" w:rsidRPr="008C2E00" w:rsidRDefault="002D5229" w:rsidP="004453CF">
      <w:pPr>
        <w:pStyle w:val="Bulletlevel1"/>
      </w:pPr>
      <w:r>
        <w:t>T</w:t>
      </w:r>
      <w:r w:rsidR="008C2E00" w:rsidRPr="003542B3">
        <w:t>he Australian Radio Communications Industry Association (ARCIA)</w:t>
      </w:r>
    </w:p>
    <w:p w14:paraId="492BAFF7" w14:textId="45CC0E18" w:rsidR="008C2E00" w:rsidRPr="008C2E00" w:rsidRDefault="008C2E00" w:rsidP="004453CF">
      <w:pPr>
        <w:pStyle w:val="Bulletlevel1"/>
      </w:pPr>
      <w:r w:rsidRPr="000B6A4B">
        <w:t>Cambium Networks</w:t>
      </w:r>
    </w:p>
    <w:p w14:paraId="74FA3687" w14:textId="6D49E29B" w:rsidR="008C2E00" w:rsidRPr="008C2E00" w:rsidRDefault="008C2E00" w:rsidP="004453CF">
      <w:pPr>
        <w:pStyle w:val="Bulletlevel1"/>
      </w:pPr>
      <w:r w:rsidRPr="000B6A4B">
        <w:t>DAMM</w:t>
      </w:r>
      <w:r>
        <w:t xml:space="preserve"> Australia</w:t>
      </w:r>
    </w:p>
    <w:p w14:paraId="32B6561C" w14:textId="3F301612" w:rsidR="008C2E00" w:rsidRPr="008C2E00" w:rsidRDefault="008C2E00" w:rsidP="004453CF">
      <w:pPr>
        <w:pStyle w:val="Bulletlevel1"/>
      </w:pPr>
      <w:r w:rsidRPr="000B6A4B">
        <w:t>DB Telecommunications</w:t>
      </w:r>
    </w:p>
    <w:p w14:paraId="7ED3D327" w14:textId="77777777" w:rsidR="00D32635" w:rsidRDefault="00D32635" w:rsidP="004453CF">
      <w:pPr>
        <w:pStyle w:val="Bulletlevel1"/>
      </w:pPr>
      <w:r>
        <w:t>Lockheed Martin – Australia Pty Ltd (LMA)</w:t>
      </w:r>
    </w:p>
    <w:p w14:paraId="211A6E5D" w14:textId="56EBAE33" w:rsidR="008C2E00" w:rsidRDefault="008C2E00" w:rsidP="004453CF">
      <w:pPr>
        <w:pStyle w:val="Bulletlevel1"/>
      </w:pPr>
      <w:r w:rsidRPr="000B6A4B">
        <w:t>NBN Co</w:t>
      </w:r>
    </w:p>
    <w:p w14:paraId="4DF7BE4E" w14:textId="0AA4DED4" w:rsidR="008C2E00" w:rsidRDefault="008C2E00" w:rsidP="004453CF">
      <w:pPr>
        <w:pStyle w:val="Bulletlevel1"/>
      </w:pPr>
      <w:r>
        <w:t>Optus</w:t>
      </w:r>
    </w:p>
    <w:p w14:paraId="59EB9C3B" w14:textId="5A99B086" w:rsidR="008C2E00" w:rsidRPr="008C2E00" w:rsidRDefault="008C2E00" w:rsidP="004453CF">
      <w:pPr>
        <w:pStyle w:val="Bulletlevel1"/>
      </w:pPr>
      <w:r>
        <w:t>RF Industries Pty Ltd (</w:t>
      </w:r>
      <w:r w:rsidRPr="000B6A4B">
        <w:t>RFI</w:t>
      </w:r>
      <w:r>
        <w:t>)</w:t>
      </w:r>
      <w:r w:rsidRPr="000B6A4B">
        <w:t xml:space="preserve"> </w:t>
      </w:r>
    </w:p>
    <w:p w14:paraId="3AD662AE" w14:textId="4D090BD9" w:rsidR="008C2E00" w:rsidRPr="008C2E00" w:rsidRDefault="008C2E00" w:rsidP="004453CF">
      <w:pPr>
        <w:pStyle w:val="Bulletlevel1"/>
      </w:pPr>
      <w:r>
        <w:t>Simoco Wireless Solutions (</w:t>
      </w:r>
      <w:r w:rsidRPr="000B6A4B">
        <w:t>SWS</w:t>
      </w:r>
      <w:r>
        <w:t>)</w:t>
      </w:r>
    </w:p>
    <w:p w14:paraId="3E3571B6" w14:textId="33D40DB8" w:rsidR="008C2E00" w:rsidRDefault="008C2E00" w:rsidP="004453CF">
      <w:pPr>
        <w:pStyle w:val="Bulletlevel1last"/>
      </w:pPr>
      <w:r>
        <w:t>Telstra</w:t>
      </w:r>
      <w:r w:rsidR="004F0D41">
        <w:t>.</w:t>
      </w:r>
    </w:p>
    <w:p w14:paraId="032D5A29" w14:textId="54949F9A" w:rsidR="00FF3C69" w:rsidRDefault="008C2E00" w:rsidP="002D5229">
      <w:pPr>
        <w:pStyle w:val="ListBullet"/>
        <w:numPr>
          <w:ilvl w:val="0"/>
          <w:numId w:val="0"/>
        </w:numPr>
        <w:spacing w:before="240"/>
      </w:pPr>
      <w:r>
        <w:t>Public s</w:t>
      </w:r>
      <w:r w:rsidRPr="00A85D75">
        <w:t xml:space="preserve">ubmissions </w:t>
      </w:r>
      <w:r w:rsidR="004F0D41">
        <w:t xml:space="preserve">can be accessed </w:t>
      </w:r>
      <w:r w:rsidRPr="00A85D75">
        <w:t>at the ACMA’s</w:t>
      </w:r>
      <w:r>
        <w:t xml:space="preserve"> </w:t>
      </w:r>
      <w:hyperlink r:id="rId73" w:history="1">
        <w:r w:rsidRPr="0069265C">
          <w:rPr>
            <w:rStyle w:val="Hyperlink"/>
            <w:i/>
            <w:iCs/>
          </w:rPr>
          <w:t>Planning for wireless broadband use of urban areas in the 3400–3475 MHz band</w:t>
        </w:r>
      </w:hyperlink>
      <w:r>
        <w:t xml:space="preserve"> webpage</w:t>
      </w:r>
      <w:r w:rsidRPr="00A85D75">
        <w:t>.</w:t>
      </w:r>
    </w:p>
    <w:p w14:paraId="52F5213F" w14:textId="77777777" w:rsidR="00223A4A" w:rsidRPr="000B6A4B" w:rsidRDefault="00223A4A" w:rsidP="000F7E13">
      <w:pPr>
        <w:pStyle w:val="ListBullet"/>
        <w:numPr>
          <w:ilvl w:val="0"/>
          <w:numId w:val="0"/>
        </w:numPr>
        <w:spacing w:before="240"/>
      </w:pPr>
    </w:p>
    <w:sectPr w:rsidR="00223A4A" w:rsidRPr="000B6A4B" w:rsidSect="00C77380">
      <w:headerReference w:type="even" r:id="rId74"/>
      <w:headerReference w:type="default" r:id="rId75"/>
      <w:footerReference w:type="even" r:id="rId76"/>
      <w:footerReference w:type="default" r:id="rId77"/>
      <w:pgSz w:w="11906" w:h="16838" w:code="9"/>
      <w:pgMar w:top="1945" w:right="3101" w:bottom="1134" w:left="1134" w:header="709" w:footer="11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D28F4" w14:textId="77777777" w:rsidR="000C1B75" w:rsidRDefault="000C1B75">
      <w:r>
        <w:separator/>
      </w:r>
    </w:p>
  </w:endnote>
  <w:endnote w:type="continuationSeparator" w:id="0">
    <w:p w14:paraId="50E78DCA" w14:textId="77777777" w:rsidR="000C1B75" w:rsidRDefault="000C1B75">
      <w:r>
        <w:continuationSeparator/>
      </w:r>
    </w:p>
  </w:endnote>
  <w:endnote w:type="continuationNotice" w:id="1">
    <w:p w14:paraId="0EAD3873" w14:textId="77777777" w:rsidR="003F0C10" w:rsidRDefault="003F0C1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HelveticaNeueLT Std Lt">
    <w:altName w:val="Arial"/>
    <w:panose1 w:val="020B0403020202020204"/>
    <w:charset w:val="00"/>
    <w:family w:val="swiss"/>
    <w:notTrueType/>
    <w:pitch w:val="variable"/>
    <w:sig w:usb0="800000AF" w:usb1="4000204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NeueLT Std">
    <w:panose1 w:val="020B0604020202020204"/>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FFF57" w14:textId="77777777" w:rsidR="005E250B" w:rsidRDefault="005E250B" w:rsidP="005E250B">
    <w:pPr>
      <w:pStyle w:val="Footer"/>
      <w:jc w:val="right"/>
    </w:pPr>
    <w:r w:rsidRPr="005E250B">
      <w:rPr>
        <w:noProof/>
        <w:vertAlign w:val="subscript"/>
      </w:rPr>
      <w:drawing>
        <wp:inline distT="0" distB="0" distL="0" distR="0" wp14:anchorId="2EA9BA0E" wp14:editId="405379FD">
          <wp:extent cx="1066800" cy="277368"/>
          <wp:effectExtent l="0" t="0" r="0" b="0"/>
          <wp:docPr id="15" name="Picture 15"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cma.gov.au">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A3C99" w14:textId="77777777" w:rsidR="00C053A1" w:rsidRDefault="00C053A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D2207C" w14:textId="77777777" w:rsidR="00C053A1" w:rsidRDefault="00C053A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0EAB3B" w14:textId="77777777" w:rsidR="00971914" w:rsidRPr="00622A3B" w:rsidRDefault="00971914"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iv</w:t>
    </w:r>
    <w:r w:rsidRPr="002E4DDC">
      <w:rPr>
        <w:color w:val="505050"/>
      </w:rPr>
      <w:fldChar w:fldCharType="end"/>
    </w:r>
  </w:p>
  <w:p w14:paraId="30CBDD89" w14:textId="77777777" w:rsidR="00C053A1" w:rsidRPr="00A5474E" w:rsidRDefault="00C053A1"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7F87C" w14:textId="77777777" w:rsidR="00971914" w:rsidRPr="00622A3B" w:rsidRDefault="00971914"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v</w:t>
    </w:r>
    <w:r w:rsidRPr="002E4DDC">
      <w:rPr>
        <w:color w:val="505050"/>
      </w:rPr>
      <w:fldChar w:fldCharType="end"/>
    </w:r>
  </w:p>
  <w:p w14:paraId="3E5470DB" w14:textId="77777777" w:rsidR="00C053A1" w:rsidRPr="00A5474E" w:rsidRDefault="00C053A1"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77040" w14:textId="77777777" w:rsidR="00C053A1" w:rsidRPr="00622A3B" w:rsidRDefault="00C053A1"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DD1A43">
      <w:rPr>
        <w:noProof/>
        <w:color w:val="505050"/>
      </w:rPr>
      <w:t>iii</w:t>
    </w:r>
    <w:r w:rsidRPr="002E4DDC">
      <w:rPr>
        <w:color w:val="505050"/>
      </w:rPr>
      <w:fldChar w:fldCharType="end"/>
    </w:r>
  </w:p>
  <w:p w14:paraId="1EAA1A6C" w14:textId="77777777" w:rsidR="00C053A1" w:rsidRPr="00A5474E" w:rsidRDefault="00C053A1"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F25BF" w14:textId="77777777" w:rsidR="00C053A1" w:rsidRPr="00622A3B" w:rsidRDefault="00C053A1"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sidR="00DD1A43">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0027DF24" w14:textId="77777777" w:rsidR="00C053A1" w:rsidRPr="00A5474E" w:rsidRDefault="00C053A1"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90E99" w14:textId="77777777" w:rsidR="00C053A1" w:rsidRPr="00622A3B" w:rsidRDefault="00C053A1"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DD1A43">
      <w:rPr>
        <w:noProof/>
        <w:color w:val="505050"/>
      </w:rPr>
      <w:t>1</w:t>
    </w:r>
    <w:r w:rsidRPr="00575AC5">
      <w:rPr>
        <w:color w:val="505050"/>
      </w:rPr>
      <w:fldChar w:fldCharType="end"/>
    </w:r>
  </w:p>
  <w:p w14:paraId="63A1CF17" w14:textId="77777777" w:rsidR="00C053A1" w:rsidRPr="00A5474E" w:rsidRDefault="00C053A1"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C04DF4" w14:textId="77777777" w:rsidR="000C1B75" w:rsidRDefault="000C1B75" w:rsidP="00EA0969">
      <w:pPr>
        <w:spacing w:after="0"/>
      </w:pPr>
      <w:r>
        <w:separator/>
      </w:r>
    </w:p>
  </w:footnote>
  <w:footnote w:type="continuationSeparator" w:id="0">
    <w:p w14:paraId="045643D5" w14:textId="77777777" w:rsidR="000C1B75" w:rsidRDefault="000C1B75">
      <w:r>
        <w:continuationSeparator/>
      </w:r>
    </w:p>
  </w:footnote>
  <w:footnote w:type="continuationNotice" w:id="1">
    <w:p w14:paraId="2CB5737E" w14:textId="77777777" w:rsidR="003F0C10" w:rsidRDefault="003F0C10">
      <w:pPr>
        <w:spacing w:after="0" w:line="240" w:lineRule="auto"/>
      </w:pPr>
    </w:p>
  </w:footnote>
  <w:footnote w:id="2">
    <w:p w14:paraId="5FD91AD8" w14:textId="06BB64EA" w:rsidR="00F53DDA" w:rsidRDefault="00F53DDA" w:rsidP="00F53DDA">
      <w:pPr>
        <w:pStyle w:val="FootnoteText"/>
      </w:pPr>
      <w:r>
        <w:rPr>
          <w:rStyle w:val="FootnoteReference"/>
        </w:rPr>
        <w:footnoteRef/>
      </w:r>
      <w:r>
        <w:t xml:space="preserve"> </w:t>
      </w:r>
      <w:r w:rsidR="002C41A2">
        <w:t>A</w:t>
      </w:r>
      <w:r>
        <w:t xml:space="preserve"> macro-cell refer</w:t>
      </w:r>
      <w:r w:rsidR="00CA2698">
        <w:t>s</w:t>
      </w:r>
      <w:r>
        <w:t xml:space="preserve"> to a base station within a mobile network that provides radio coverage to user terminals over a large area. They are characterised by transmitters with high power and high gain antennas with antennas mounted on towers, masts, roof-tops and other existing structures to support wide-area coverage</w:t>
      </w:r>
      <w:r w:rsidR="002B5D8C">
        <w:t>.</w:t>
      </w:r>
    </w:p>
  </w:footnote>
  <w:footnote w:id="3">
    <w:p w14:paraId="26E7CB94" w14:textId="5E1B2419" w:rsidR="00F53DDA" w:rsidRDefault="00F53DDA" w:rsidP="00F53DDA">
      <w:pPr>
        <w:pStyle w:val="FootnoteText"/>
      </w:pPr>
      <w:r>
        <w:rPr>
          <w:rStyle w:val="FootnoteReference"/>
        </w:rPr>
        <w:footnoteRef/>
      </w:r>
      <w:r>
        <w:t xml:space="preserve"> </w:t>
      </w:r>
      <w:r w:rsidR="002C41A2">
        <w:t>A</w:t>
      </w:r>
      <w:r>
        <w:t xml:space="preserve"> restricted cell is considered to be a base station that has some form of restrictions on its operation that limits or reduces the size of the radio coverage to user terminals (e.g.</w:t>
      </w:r>
      <w:r w:rsidR="00CA2698">
        <w:t>,</w:t>
      </w:r>
      <w:r>
        <w:t xml:space="preserve"> limits on radiated power and antenna heights). It encompasses terms such as micro-cells, small cells, femtocells, etc. </w:t>
      </w:r>
    </w:p>
  </w:footnote>
  <w:footnote w:id="4">
    <w:p w14:paraId="77B0B969" w14:textId="5244AAAC" w:rsidR="00F53DDA" w:rsidRDefault="00F53DDA" w:rsidP="00F53DDA">
      <w:pPr>
        <w:pStyle w:val="FootnoteText"/>
      </w:pPr>
      <w:r>
        <w:rPr>
          <w:rStyle w:val="FootnoteReference"/>
        </w:rPr>
        <w:footnoteRef/>
      </w:r>
      <w:r>
        <w:t xml:space="preserve"> </w:t>
      </w:r>
      <w:r w:rsidR="00CA2698">
        <w:t>The</w:t>
      </w:r>
      <w:r>
        <w:t xml:space="preserve"> options for use of urban excise areas presented in the options paper have been reproduced at </w:t>
      </w:r>
      <w:hyperlink w:anchor="_Appendix_B:_Options" w:history="1">
        <w:r w:rsidRPr="00CA2698">
          <w:rPr>
            <w:rStyle w:val="Hyperlink"/>
          </w:rPr>
          <w:t>Appendix B</w:t>
        </w:r>
      </w:hyperlink>
      <w:r>
        <w:t>.</w:t>
      </w:r>
    </w:p>
  </w:footnote>
  <w:footnote w:id="5">
    <w:p w14:paraId="054A381C" w14:textId="17D02426" w:rsidR="00CA0EA3" w:rsidRDefault="00CA0EA3">
      <w:pPr>
        <w:pStyle w:val="FootnoteText"/>
      </w:pPr>
      <w:r>
        <w:rPr>
          <w:rStyle w:val="FootnoteReference"/>
        </w:rPr>
        <w:footnoteRef/>
      </w:r>
      <w:r>
        <w:t xml:space="preserve"> </w:t>
      </w:r>
      <w:r w:rsidRPr="000B6A4B">
        <w:t xml:space="preserve">The associated urban excise areas are defined in </w:t>
      </w:r>
      <w:hyperlink w:anchor="_Appendix_A:_Geographical" w:history="1">
        <w:r w:rsidR="00181EF3" w:rsidRPr="00181EF3">
          <w:rPr>
            <w:rStyle w:val="Hyperlink"/>
          </w:rPr>
          <w:t>Appendix A</w:t>
        </w:r>
      </w:hyperlink>
      <w:r w:rsidRPr="000B6A4B">
        <w:t>.</w:t>
      </w:r>
    </w:p>
  </w:footnote>
  <w:footnote w:id="6">
    <w:p w14:paraId="3C89B8C8" w14:textId="77777777" w:rsidR="002F5B9C" w:rsidRDefault="002F5B9C" w:rsidP="002F5B9C">
      <w:pPr>
        <w:pStyle w:val="FootnoteText"/>
      </w:pPr>
      <w:r>
        <w:rPr>
          <w:rStyle w:val="FootnoteReference"/>
        </w:rPr>
        <w:footnoteRef/>
      </w:r>
      <w:r>
        <w:t xml:space="preserve"> ACMA </w:t>
      </w:r>
      <w:hyperlink r:id="rId1" w:history="1">
        <w:r>
          <w:rPr>
            <w:rStyle w:val="Hyperlink"/>
            <w:i/>
          </w:rPr>
          <w:t>Corporate plan 2020–21</w:t>
        </w:r>
      </w:hyperlink>
      <w:r w:rsidRPr="00925D1B">
        <w:rPr>
          <w:rStyle w:val="Hyperlink"/>
          <w:iCs/>
          <w:color w:val="auto"/>
          <w:u w:val="none"/>
        </w:rPr>
        <w:t>.</w:t>
      </w:r>
    </w:p>
  </w:footnote>
  <w:footnote w:id="7">
    <w:p w14:paraId="0A82AA0D" w14:textId="77777777" w:rsidR="002F5B9C" w:rsidRDefault="002F5B9C" w:rsidP="002F5B9C">
      <w:pPr>
        <w:pStyle w:val="FootnoteText"/>
      </w:pPr>
      <w:r>
        <w:rPr>
          <w:rStyle w:val="FootnoteReference"/>
        </w:rPr>
        <w:footnoteRef/>
      </w:r>
      <w:r>
        <w:t xml:space="preserve"> </w:t>
      </w:r>
      <w:hyperlink r:id="rId2" w:history="1">
        <w:r>
          <w:rPr>
            <w:rStyle w:val="Hyperlink"/>
          </w:rPr>
          <w:t>Radiocommunications (Spectrum Designation—3.4 GHz Band) Notice 2020</w:t>
        </w:r>
      </w:hyperlink>
      <w:r w:rsidRPr="00925D1B">
        <w:rPr>
          <w:rStyle w:val="Hyperlink"/>
          <w:color w:val="auto"/>
          <w:u w:val="none"/>
        </w:rPr>
        <w:t>.</w:t>
      </w:r>
    </w:p>
  </w:footnote>
  <w:footnote w:id="8">
    <w:p w14:paraId="51C25C95" w14:textId="77777777" w:rsidR="002F5B9C" w:rsidRDefault="002F5B9C" w:rsidP="002F5B9C">
      <w:pPr>
        <w:pStyle w:val="FootnoteText"/>
        <w:ind w:right="16"/>
      </w:pPr>
      <w:r>
        <w:rPr>
          <w:rStyle w:val="FootnoteReference"/>
        </w:rPr>
        <w:footnoteRef/>
      </w:r>
      <w:r>
        <w:t xml:space="preserve"> Technical conditions include maximum power, frequency range, out-of-band emissions limits, geographical licence area, and out-of-area emission limits. </w:t>
      </w:r>
    </w:p>
  </w:footnote>
  <w:footnote w:id="9">
    <w:p w14:paraId="332CF72C" w14:textId="2F546F4A" w:rsidR="00CB35C4" w:rsidRDefault="00CB35C4" w:rsidP="00CB35C4">
      <w:pPr>
        <w:pStyle w:val="FootnoteText"/>
      </w:pPr>
      <w:r>
        <w:rPr>
          <w:rStyle w:val="FootnoteReference"/>
        </w:rPr>
        <w:footnoteRef/>
      </w:r>
      <w:r>
        <w:t xml:space="preserve"> </w:t>
      </w:r>
      <w:r w:rsidRPr="00CF535D">
        <w:t>In</w:t>
      </w:r>
      <w:r>
        <w:t xml:space="preserve"> the</w:t>
      </w:r>
      <w:r w:rsidRPr="00CF535D">
        <w:t xml:space="preserve"> context </w:t>
      </w:r>
      <w:r>
        <w:t xml:space="preserve">of this paper, </w:t>
      </w:r>
      <w:r w:rsidRPr="00CF535D">
        <w:t>a restricted use band refers to a defined frequency range w</w:t>
      </w:r>
      <w:r>
        <w:t>h</w:t>
      </w:r>
      <w:r w:rsidRPr="00CF535D">
        <w:t>ere either no operation is permitted, or operation is only permitted under certain conditions (e.g</w:t>
      </w:r>
      <w:r w:rsidR="00656713">
        <w:t>.,</w:t>
      </w:r>
      <w:r w:rsidRPr="00CF535D">
        <w:t xml:space="preserve"> agreement between operators)</w:t>
      </w:r>
      <w:r>
        <w:t>.</w:t>
      </w:r>
    </w:p>
  </w:footnote>
  <w:footnote w:id="10">
    <w:p w14:paraId="71C031CA" w14:textId="6A277193" w:rsidR="00E834FD" w:rsidRDefault="00E834FD">
      <w:pPr>
        <w:pStyle w:val="FootnoteText"/>
      </w:pPr>
      <w:r>
        <w:rPr>
          <w:rStyle w:val="FootnoteReference"/>
        </w:rPr>
        <w:footnoteRef/>
      </w:r>
      <w:r>
        <w:t xml:space="preserve"> </w:t>
      </w:r>
      <w:r w:rsidR="001A33C9">
        <w:t xml:space="preserve">Existing </w:t>
      </w:r>
      <w:r w:rsidR="00F574D2">
        <w:t>sub</w:t>
      </w:r>
      <w:r w:rsidR="001A33C9">
        <w:t xml:space="preserve">section 9(2) states that device boundary criteria (DBC) failures that do not cross another spectrum licence and fall outside the Australian Spectrum Map Grid, are not deemed to </w:t>
      </w:r>
      <w:r w:rsidR="00876ECC">
        <w:t>cause</w:t>
      </w:r>
      <w:r w:rsidR="001A33C9">
        <w:t xml:space="preserve"> unacceptable </w:t>
      </w:r>
      <w:r w:rsidR="00876ECC">
        <w:t xml:space="preserve">levels of </w:t>
      </w:r>
      <w:r w:rsidR="001A33C9">
        <w:t xml:space="preserve">interference. </w:t>
      </w:r>
    </w:p>
  </w:footnote>
  <w:footnote w:id="11">
    <w:p w14:paraId="24C383DF" w14:textId="553E2573" w:rsidR="001A33C9" w:rsidRDefault="001A33C9">
      <w:pPr>
        <w:pStyle w:val="FootnoteText"/>
      </w:pPr>
      <w:r>
        <w:rPr>
          <w:rStyle w:val="FootnoteReference"/>
        </w:rPr>
        <w:footnoteRef/>
      </w:r>
      <w:r>
        <w:t xml:space="preserve"> Existing </w:t>
      </w:r>
      <w:r w:rsidR="00F574D2">
        <w:t>sub</w:t>
      </w:r>
      <w:r>
        <w:t xml:space="preserve">section 9(4) states that DBC failures that </w:t>
      </w:r>
      <w:r w:rsidR="00E449C3">
        <w:t xml:space="preserve">only occur </w:t>
      </w:r>
      <w:r w:rsidR="00876ECC">
        <w:t>over</w:t>
      </w:r>
      <w:r w:rsidR="00E449C3">
        <w:t xml:space="preserve"> ocean </w:t>
      </w:r>
      <w:r w:rsidR="00876ECC">
        <w:t xml:space="preserve">paths </w:t>
      </w:r>
      <w:r>
        <w:t>(</w:t>
      </w:r>
      <w:r w:rsidR="00E449C3">
        <w:t xml:space="preserve">except specific parts of Bass Strait and St Vincent Gulf) are not deemed to </w:t>
      </w:r>
      <w:r w:rsidR="00876ECC">
        <w:t xml:space="preserve">cause </w:t>
      </w:r>
      <w:r w:rsidR="00E449C3">
        <w:t>unacceptable</w:t>
      </w:r>
      <w:r w:rsidR="00876ECC">
        <w:t xml:space="preserve"> levels of</w:t>
      </w:r>
      <w:r w:rsidR="00E449C3">
        <w:t xml:space="preserve"> interference.</w:t>
      </w:r>
    </w:p>
  </w:footnote>
  <w:footnote w:id="12">
    <w:p w14:paraId="56DEBEEF" w14:textId="589F324C" w:rsidR="004E5FCD" w:rsidRDefault="004E5FCD">
      <w:pPr>
        <w:pStyle w:val="FootnoteText"/>
      </w:pPr>
      <w:r>
        <w:rPr>
          <w:rStyle w:val="FootnoteReference"/>
        </w:rPr>
        <w:footnoteRef/>
      </w:r>
      <w:r>
        <w:t xml:space="preserve"> </w:t>
      </w:r>
      <w:r w:rsidR="00673258">
        <w:t xml:space="preserve">The grandfathering clause </w:t>
      </w:r>
      <w:r>
        <w:t xml:space="preserve">states that device registrations are required to meet the </w:t>
      </w:r>
      <w:r w:rsidR="00673258">
        <w:t xml:space="preserve">requirements of the s.145(4) </w:t>
      </w:r>
      <w:r w:rsidR="007F6D4E">
        <w:t>D</w:t>
      </w:r>
      <w:r w:rsidR="00673258">
        <w:t xml:space="preserve">etermination that applied at the time of registration. It </w:t>
      </w:r>
      <w:r>
        <w:t xml:space="preserve">ensures existing device registrations are not affected by any </w:t>
      </w:r>
      <w:r w:rsidR="00673258">
        <w:t xml:space="preserve">future </w:t>
      </w:r>
      <w:r>
        <w:t>changes to</w:t>
      </w:r>
      <w:r w:rsidR="00673258">
        <w:t xml:space="preserve"> </w:t>
      </w:r>
      <w:r w:rsidR="00F574D2">
        <w:t xml:space="preserve">the </w:t>
      </w:r>
      <w:r w:rsidR="00673258">
        <w:t xml:space="preserve">s.145(4) </w:t>
      </w:r>
      <w:r w:rsidR="007F6D4E">
        <w:t>D</w:t>
      </w:r>
      <w:r w:rsidR="00673258">
        <w:t>etermination</w:t>
      </w:r>
      <w:r>
        <w:t xml:space="preserve">. </w:t>
      </w:r>
    </w:p>
  </w:footnote>
  <w:footnote w:id="13">
    <w:p w14:paraId="461D8363" w14:textId="2894F5B1" w:rsidR="0043065A" w:rsidRDefault="0043065A">
      <w:pPr>
        <w:pStyle w:val="FootnoteText"/>
      </w:pPr>
      <w:r>
        <w:rPr>
          <w:rStyle w:val="FootnoteReference"/>
        </w:rPr>
        <w:footnoteRef/>
      </w:r>
      <w:r>
        <w:t xml:space="preserve"> Submissions grouped under the term ‘private WBB </w:t>
      </w:r>
      <w:r w:rsidR="007F082B">
        <w:t>submissions</w:t>
      </w:r>
      <w:r>
        <w:t xml:space="preserve">’ include: </w:t>
      </w:r>
      <w:r w:rsidRPr="000B6A4B">
        <w:rPr>
          <w:szCs w:val="20"/>
        </w:rPr>
        <w:t xml:space="preserve">the </w:t>
      </w:r>
      <w:r>
        <w:rPr>
          <w:szCs w:val="20"/>
        </w:rPr>
        <w:t>Australian Critical Communications Forum (ACCF),</w:t>
      </w:r>
      <w:r w:rsidRPr="000B6A4B">
        <w:rPr>
          <w:szCs w:val="20"/>
        </w:rPr>
        <w:t xml:space="preserve"> Aqura</w:t>
      </w:r>
      <w:r>
        <w:rPr>
          <w:szCs w:val="20"/>
        </w:rPr>
        <w:t xml:space="preserve"> Technologies</w:t>
      </w:r>
      <w:r w:rsidRPr="000B6A4B">
        <w:rPr>
          <w:szCs w:val="20"/>
        </w:rPr>
        <w:t xml:space="preserve">, </w:t>
      </w:r>
      <w:r w:rsidR="003542B3">
        <w:rPr>
          <w:szCs w:val="20"/>
        </w:rPr>
        <w:t>t</w:t>
      </w:r>
      <w:r w:rsidR="003542B3" w:rsidRPr="003542B3">
        <w:rPr>
          <w:szCs w:val="20"/>
        </w:rPr>
        <w:t>he Australian Radio Communications Industry Association (ARCIA)</w:t>
      </w:r>
      <w:r w:rsidRPr="000B6A4B">
        <w:rPr>
          <w:szCs w:val="20"/>
        </w:rPr>
        <w:t>, Cambium Networks, DAMM</w:t>
      </w:r>
      <w:r w:rsidR="003542B3">
        <w:rPr>
          <w:szCs w:val="20"/>
        </w:rPr>
        <w:t xml:space="preserve"> Australia</w:t>
      </w:r>
      <w:r w:rsidRPr="000B6A4B">
        <w:rPr>
          <w:szCs w:val="20"/>
        </w:rPr>
        <w:t xml:space="preserve">, DB Telecommunications, </w:t>
      </w:r>
      <w:r w:rsidR="003542B3">
        <w:rPr>
          <w:szCs w:val="20"/>
        </w:rPr>
        <w:t>RF Industries P</w:t>
      </w:r>
      <w:r w:rsidR="008B4FFB">
        <w:rPr>
          <w:szCs w:val="20"/>
        </w:rPr>
        <w:t>ty</w:t>
      </w:r>
      <w:r w:rsidR="003542B3">
        <w:rPr>
          <w:szCs w:val="20"/>
        </w:rPr>
        <w:t xml:space="preserve"> Ltd (</w:t>
      </w:r>
      <w:r w:rsidRPr="000B6A4B">
        <w:rPr>
          <w:szCs w:val="20"/>
        </w:rPr>
        <w:t>RFI</w:t>
      </w:r>
      <w:r w:rsidR="003542B3">
        <w:rPr>
          <w:szCs w:val="20"/>
        </w:rPr>
        <w:t>)</w:t>
      </w:r>
      <w:r w:rsidRPr="000B6A4B">
        <w:rPr>
          <w:szCs w:val="20"/>
        </w:rPr>
        <w:t xml:space="preserve"> and </w:t>
      </w:r>
      <w:r>
        <w:t>Simoco Wireless Solutions (</w:t>
      </w:r>
      <w:r w:rsidRPr="000B6A4B">
        <w:rPr>
          <w:szCs w:val="20"/>
        </w:rPr>
        <w:t>SWS</w:t>
      </w:r>
      <w:r>
        <w:rPr>
          <w:szCs w:val="20"/>
        </w:rPr>
        <w:t>)</w:t>
      </w:r>
      <w:r w:rsidR="00A04D6A">
        <w:rPr>
          <w:szCs w:val="20"/>
        </w:rPr>
        <w:t>.</w:t>
      </w:r>
    </w:p>
  </w:footnote>
  <w:footnote w:id="14">
    <w:p w14:paraId="162E4557" w14:textId="05FE376A" w:rsidR="001B2D2A" w:rsidRDefault="001B2D2A">
      <w:pPr>
        <w:pStyle w:val="FootnoteText"/>
      </w:pPr>
      <w:r>
        <w:rPr>
          <w:rStyle w:val="FootnoteReference"/>
        </w:rPr>
        <w:footnoteRef/>
      </w:r>
      <w:r>
        <w:t xml:space="preserve"> Industry 4.0 or the fourth industrial revolution refers to the </w:t>
      </w:r>
      <w:r w:rsidRPr="001B2D2A">
        <w:t>transform</w:t>
      </w:r>
      <w:r>
        <w:t>ation of</w:t>
      </w:r>
      <w:r w:rsidRPr="001B2D2A">
        <w:t xml:space="preserve"> how businesses operate by connecting the physical with the digital world. Artificial intelligence, advanced automation and robotics are examples of Industry 4.0 technologies.</w:t>
      </w:r>
      <w:r>
        <w:t xml:space="preserve"> </w:t>
      </w:r>
    </w:p>
  </w:footnote>
  <w:footnote w:id="15">
    <w:p w14:paraId="74CE51A9" w14:textId="6DA4CCDF" w:rsidR="00A90DD2" w:rsidRDefault="00A90DD2">
      <w:pPr>
        <w:pStyle w:val="FootnoteText"/>
      </w:pPr>
      <w:r>
        <w:rPr>
          <w:rStyle w:val="FootnoteReference"/>
        </w:rPr>
        <w:footnoteRef/>
      </w:r>
      <w:r>
        <w:t xml:space="preserve"> Carrier to noise plus interference ratio. </w:t>
      </w:r>
    </w:p>
  </w:footnote>
  <w:footnote w:id="16">
    <w:p w14:paraId="6263934E" w14:textId="4B8EDCD4" w:rsidR="00A87F2C" w:rsidRDefault="00A87F2C">
      <w:pPr>
        <w:pStyle w:val="FootnoteText"/>
      </w:pPr>
      <w:r>
        <w:rPr>
          <w:rStyle w:val="FootnoteReference"/>
        </w:rPr>
        <w:footnoteRef/>
      </w:r>
      <w:r>
        <w:t xml:space="preserve"> For convenience, the options for use of urban excise areas presented in the options paper have been reproduced at </w:t>
      </w:r>
      <w:hyperlink w:anchor="_Appendix_B:_Options" w:history="1">
        <w:r w:rsidRPr="003361D5">
          <w:rPr>
            <w:rStyle w:val="Hyperlink"/>
          </w:rPr>
          <w:t>Appendix B</w:t>
        </w:r>
      </w:hyperlink>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C123A" w14:textId="77777777" w:rsidR="00C053A1" w:rsidRPr="00A5474E" w:rsidRDefault="0021426C" w:rsidP="00A5474E">
    <w:pPr>
      <w:pStyle w:val="Header"/>
    </w:pPr>
    <w:r>
      <w:rPr>
        <w:noProof/>
      </w:rPr>
      <w:drawing>
        <wp:inline distT="0" distB="0" distL="0" distR="0" wp14:anchorId="3694BBE6" wp14:editId="02F93D1A">
          <wp:extent cx="6210300" cy="571134"/>
          <wp:effectExtent l="0" t="0" r="0" b="0"/>
          <wp:docPr id="14" name="Picture 14"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10300" cy="57113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96FBB" w14:textId="77777777" w:rsidR="00C053A1" w:rsidRPr="00A5474E" w:rsidRDefault="00C053A1"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5620E" w14:textId="77777777" w:rsidR="00C053A1" w:rsidRDefault="00C053A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2D4DD2" w14:textId="77777777" w:rsidR="00C053A1" w:rsidRDefault="00C053A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3C7D398D" w14:textId="77777777" w:rsidTr="003B0421">
      <w:trPr>
        <w:trHeight w:hRule="exact" w:val="988"/>
      </w:trPr>
      <w:tc>
        <w:tcPr>
          <w:tcW w:w="7678" w:type="dxa"/>
          <w:shd w:val="clear" w:color="auto" w:fill="auto"/>
        </w:tcPr>
        <w:p w14:paraId="4E70125C" w14:textId="77777777" w:rsidR="00971914" w:rsidRDefault="00971914" w:rsidP="00971914">
          <w:pPr>
            <w:pStyle w:val="Header"/>
          </w:pPr>
        </w:p>
      </w:tc>
    </w:tr>
    <w:tr w:rsidR="00971914" w14:paraId="77A0638C" w14:textId="77777777" w:rsidTr="003B0421">
      <w:tc>
        <w:tcPr>
          <w:tcW w:w="7678" w:type="dxa"/>
          <w:shd w:val="clear" w:color="auto" w:fill="auto"/>
        </w:tcPr>
        <w:p w14:paraId="2B159FCE" w14:textId="77777777" w:rsidR="00971914" w:rsidRDefault="00971914" w:rsidP="00971914">
          <w:pPr>
            <w:pStyle w:val="GridTable31"/>
          </w:pPr>
          <w:r>
            <w:t xml:space="preserve">Contents </w:t>
          </w:r>
          <w:r w:rsidRPr="00915B1C">
            <w:rPr>
              <w:b w:val="0"/>
              <w:spacing w:val="0"/>
              <w:sz w:val="28"/>
              <w:szCs w:val="28"/>
            </w:rPr>
            <w:t>(Continued)</w:t>
          </w:r>
        </w:p>
      </w:tc>
    </w:tr>
    <w:tr w:rsidR="00971914" w14:paraId="30A62FEA" w14:textId="77777777" w:rsidTr="003B0421">
      <w:trPr>
        <w:trHeight w:val="1220"/>
      </w:trPr>
      <w:tc>
        <w:tcPr>
          <w:tcW w:w="7678" w:type="dxa"/>
          <w:shd w:val="clear" w:color="auto" w:fill="auto"/>
        </w:tcPr>
        <w:p w14:paraId="5F17D729" w14:textId="77777777" w:rsidR="00971914" w:rsidRDefault="00971914" w:rsidP="00971914"/>
      </w:tc>
    </w:tr>
  </w:tbl>
  <w:p w14:paraId="7288ECAF" w14:textId="77777777" w:rsidR="00971914" w:rsidRDefault="00971914"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0BC5DA47" w14:textId="77777777" w:rsidTr="003B0421">
      <w:trPr>
        <w:trHeight w:hRule="exact" w:val="988"/>
      </w:trPr>
      <w:tc>
        <w:tcPr>
          <w:tcW w:w="7678" w:type="dxa"/>
          <w:shd w:val="clear" w:color="auto" w:fill="auto"/>
        </w:tcPr>
        <w:p w14:paraId="63B7585D" w14:textId="77777777" w:rsidR="00971914" w:rsidRDefault="00971914" w:rsidP="00971914">
          <w:pPr>
            <w:pStyle w:val="Header"/>
          </w:pPr>
        </w:p>
      </w:tc>
    </w:tr>
    <w:tr w:rsidR="00971914" w14:paraId="62EAC986" w14:textId="77777777" w:rsidTr="003B0421">
      <w:tc>
        <w:tcPr>
          <w:tcW w:w="7678" w:type="dxa"/>
          <w:shd w:val="clear" w:color="auto" w:fill="auto"/>
        </w:tcPr>
        <w:p w14:paraId="40539E40" w14:textId="77777777" w:rsidR="00971914" w:rsidRDefault="00971914" w:rsidP="00971914">
          <w:pPr>
            <w:pStyle w:val="GridTable31"/>
          </w:pPr>
          <w:r>
            <w:t xml:space="preserve">Contents </w:t>
          </w:r>
          <w:r w:rsidRPr="00915B1C">
            <w:rPr>
              <w:b w:val="0"/>
              <w:spacing w:val="0"/>
              <w:sz w:val="28"/>
              <w:szCs w:val="28"/>
            </w:rPr>
            <w:t>(Continued)</w:t>
          </w:r>
        </w:p>
      </w:tc>
    </w:tr>
    <w:tr w:rsidR="00971914" w14:paraId="56638AB9" w14:textId="77777777" w:rsidTr="003B0421">
      <w:trPr>
        <w:trHeight w:val="1220"/>
      </w:trPr>
      <w:tc>
        <w:tcPr>
          <w:tcW w:w="7678" w:type="dxa"/>
          <w:shd w:val="clear" w:color="auto" w:fill="auto"/>
        </w:tcPr>
        <w:p w14:paraId="6442166F" w14:textId="77777777" w:rsidR="00971914" w:rsidRDefault="00971914" w:rsidP="00971914"/>
      </w:tc>
    </w:tr>
  </w:tbl>
  <w:p w14:paraId="43CDB259" w14:textId="77777777" w:rsidR="00C053A1" w:rsidRPr="00A5474E" w:rsidRDefault="00C053A1"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4B2AA" w14:textId="77777777" w:rsidR="00C053A1" w:rsidRDefault="00C053A1">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FEB3A3" w14:textId="77777777" w:rsidR="00C053A1" w:rsidRDefault="00C053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75F22F60"/>
    <w:lvl w:ilvl="0">
      <w:start w:val="1"/>
      <w:numFmt w:val="lowerRoman"/>
      <w:pStyle w:val="ListNumber2"/>
      <w:lvlText w:val="%1."/>
      <w:lvlJc w:val="right"/>
      <w:pPr>
        <w:ind w:left="717" w:hanging="360"/>
      </w:pPr>
      <w:rPr>
        <w:rFonts w:hint="default"/>
      </w:rPr>
    </w:lvl>
  </w:abstractNum>
  <w:abstractNum w:abstractNumId="1" w15:restartNumberingAfterBreak="0">
    <w:nsid w:val="FFFFFF83"/>
    <w:multiLevelType w:val="singleLevel"/>
    <w:tmpl w:val="909E78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51B60EB2"/>
    <w:lvl w:ilvl="0">
      <w:start w:val="1"/>
      <w:numFmt w:val="decimal"/>
      <w:pStyle w:val="ListNumber"/>
      <w:lvlText w:val="%1."/>
      <w:lvlJc w:val="left"/>
      <w:pPr>
        <w:ind w:left="360" w:hanging="360"/>
      </w:pPr>
      <w:rPr>
        <w:rFonts w:hint="default"/>
        <w:b w:val="0"/>
        <w:bCs/>
        <w:caps/>
        <w:sz w:val="20"/>
      </w:rPr>
    </w:lvl>
  </w:abstractNum>
  <w:abstractNum w:abstractNumId="3" w15:restartNumberingAfterBreak="0">
    <w:nsid w:val="FFFFFF89"/>
    <w:multiLevelType w:val="singleLevel"/>
    <w:tmpl w:val="BE08F468"/>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15:restartNumberingAfterBreak="0">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9DE49CB"/>
    <w:multiLevelType w:val="hybridMultilevel"/>
    <w:tmpl w:val="4DC02258"/>
    <w:lvl w:ilvl="0" w:tplc="121044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15:restartNumberingAfterBreak="0">
    <w:nsid w:val="128941A8"/>
    <w:multiLevelType w:val="hybridMultilevel"/>
    <w:tmpl w:val="0574A826"/>
    <w:lvl w:ilvl="0" w:tplc="3E303AD8">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19D12CD3"/>
    <w:multiLevelType w:val="hybridMultilevel"/>
    <w:tmpl w:val="A936F820"/>
    <w:lvl w:ilvl="0" w:tplc="44EEC084">
      <w:start w:val="1"/>
      <w:numFmt w:val="bullet"/>
      <w:lvlText w:val="&gt;"/>
      <w:lvlJc w:val="left"/>
      <w:pPr>
        <w:ind w:left="360" w:hanging="360"/>
      </w:pPr>
      <w:rPr>
        <w:rFonts w:ascii="HelveticaNeueLT Std" w:hAnsi="HelveticaNeueLT Std"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0" w15:restartNumberingAfterBreak="0">
    <w:nsid w:val="2F21316A"/>
    <w:multiLevelType w:val="hybridMultilevel"/>
    <w:tmpl w:val="C78838EE"/>
    <w:lvl w:ilvl="0" w:tplc="3E303AD8">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2F5A5080"/>
    <w:multiLevelType w:val="hybridMultilevel"/>
    <w:tmpl w:val="BE2AF6CE"/>
    <w:lvl w:ilvl="0" w:tplc="D05E2434">
      <w:start w:val="1"/>
      <w:numFmt w:val="bullet"/>
      <w:lvlText w:val="●"/>
      <w:lvlJc w:val="left"/>
      <w:pPr>
        <w:ind w:left="357" w:hanging="357"/>
      </w:pPr>
      <w:rPr>
        <w:rFonts w:ascii="Arial" w:hAnsi="Arial" w:cs="Arial" w:hint="default"/>
        <w:sz w:val="20"/>
        <w:szCs w:val="20"/>
      </w:rPr>
    </w:lvl>
    <w:lvl w:ilvl="1" w:tplc="04090003">
      <w:start w:val="1"/>
      <w:numFmt w:val="bullet"/>
      <w:lvlText w:val="o"/>
      <w:lvlJc w:val="left"/>
      <w:pPr>
        <w:tabs>
          <w:tab w:val="num" w:pos="1728"/>
        </w:tabs>
        <w:ind w:left="1728" w:hanging="360"/>
      </w:pPr>
      <w:rPr>
        <w:rFonts w:ascii="Courier New" w:hAnsi="Courier New" w:cs="Times New Roman" w:hint="default"/>
      </w:rPr>
    </w:lvl>
    <w:lvl w:ilvl="2" w:tplc="04090005">
      <w:start w:val="1"/>
      <w:numFmt w:val="bullet"/>
      <w:lvlText w:val=""/>
      <w:lvlJc w:val="left"/>
      <w:pPr>
        <w:tabs>
          <w:tab w:val="num" w:pos="2448"/>
        </w:tabs>
        <w:ind w:left="2448" w:hanging="360"/>
      </w:pPr>
      <w:rPr>
        <w:rFonts w:ascii="Wingdings" w:hAnsi="Wingdings" w:hint="default"/>
      </w:rPr>
    </w:lvl>
    <w:lvl w:ilvl="3" w:tplc="04090001">
      <w:start w:val="1"/>
      <w:numFmt w:val="bullet"/>
      <w:lvlText w:val=""/>
      <w:lvlJc w:val="left"/>
      <w:pPr>
        <w:tabs>
          <w:tab w:val="num" w:pos="3168"/>
        </w:tabs>
        <w:ind w:left="3168" w:hanging="360"/>
      </w:pPr>
      <w:rPr>
        <w:rFonts w:ascii="Symbol" w:hAnsi="Symbol" w:hint="default"/>
      </w:rPr>
    </w:lvl>
    <w:lvl w:ilvl="4" w:tplc="04090003">
      <w:start w:val="1"/>
      <w:numFmt w:val="bullet"/>
      <w:lvlText w:val="o"/>
      <w:lvlJc w:val="left"/>
      <w:pPr>
        <w:tabs>
          <w:tab w:val="num" w:pos="3888"/>
        </w:tabs>
        <w:ind w:left="3888" w:hanging="360"/>
      </w:pPr>
      <w:rPr>
        <w:rFonts w:ascii="Courier New" w:hAnsi="Courier New" w:cs="Times New Roman" w:hint="default"/>
      </w:rPr>
    </w:lvl>
    <w:lvl w:ilvl="5" w:tplc="04090005">
      <w:start w:val="1"/>
      <w:numFmt w:val="bullet"/>
      <w:lvlText w:val=""/>
      <w:lvlJc w:val="left"/>
      <w:pPr>
        <w:tabs>
          <w:tab w:val="num" w:pos="4608"/>
        </w:tabs>
        <w:ind w:left="4608" w:hanging="360"/>
      </w:pPr>
      <w:rPr>
        <w:rFonts w:ascii="Wingdings" w:hAnsi="Wingdings" w:hint="default"/>
      </w:rPr>
    </w:lvl>
    <w:lvl w:ilvl="6" w:tplc="04090001">
      <w:start w:val="1"/>
      <w:numFmt w:val="bullet"/>
      <w:lvlText w:val=""/>
      <w:lvlJc w:val="left"/>
      <w:pPr>
        <w:tabs>
          <w:tab w:val="num" w:pos="5328"/>
        </w:tabs>
        <w:ind w:left="5328" w:hanging="360"/>
      </w:pPr>
      <w:rPr>
        <w:rFonts w:ascii="Symbol" w:hAnsi="Symbol" w:hint="default"/>
      </w:rPr>
    </w:lvl>
    <w:lvl w:ilvl="7" w:tplc="04090003">
      <w:start w:val="1"/>
      <w:numFmt w:val="bullet"/>
      <w:lvlText w:val="o"/>
      <w:lvlJc w:val="left"/>
      <w:pPr>
        <w:tabs>
          <w:tab w:val="num" w:pos="6048"/>
        </w:tabs>
        <w:ind w:left="6048" w:hanging="360"/>
      </w:pPr>
      <w:rPr>
        <w:rFonts w:ascii="Courier New" w:hAnsi="Courier New" w:cs="Times New Roman" w:hint="default"/>
      </w:rPr>
    </w:lvl>
    <w:lvl w:ilvl="8" w:tplc="04090005">
      <w:start w:val="1"/>
      <w:numFmt w:val="bullet"/>
      <w:lvlText w:val=""/>
      <w:lvlJc w:val="left"/>
      <w:pPr>
        <w:tabs>
          <w:tab w:val="num" w:pos="6768"/>
        </w:tabs>
        <w:ind w:left="6768" w:hanging="360"/>
      </w:pPr>
      <w:rPr>
        <w:rFonts w:ascii="Wingdings" w:hAnsi="Wingdings" w:hint="default"/>
      </w:rPr>
    </w:lvl>
  </w:abstractNum>
  <w:abstractNum w:abstractNumId="12" w15:restartNumberingAfterBreak="0">
    <w:nsid w:val="34473358"/>
    <w:multiLevelType w:val="hybridMultilevel"/>
    <w:tmpl w:val="E6B8D442"/>
    <w:lvl w:ilvl="0" w:tplc="3E303AD8">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3E080BB6"/>
    <w:multiLevelType w:val="hybridMultilevel"/>
    <w:tmpl w:val="11FC44F2"/>
    <w:lvl w:ilvl="0" w:tplc="3E303AD8">
      <w:start w:val="1"/>
      <w:numFmt w:val="bullet"/>
      <w:lvlText w:val="&gt;"/>
      <w:lvlJc w:val="left"/>
      <w:pPr>
        <w:ind w:left="538" w:hanging="360"/>
      </w:pPr>
      <w:rPr>
        <w:rFonts w:ascii="HelveticaNeueLT Std Lt" w:hAnsi="HelveticaNeueLT Std Lt" w:hint="default"/>
        <w:sz w:val="20"/>
      </w:rPr>
    </w:lvl>
    <w:lvl w:ilvl="1" w:tplc="0C090003">
      <w:start w:val="1"/>
      <w:numFmt w:val="bullet"/>
      <w:lvlText w:val="o"/>
      <w:lvlJc w:val="left"/>
      <w:pPr>
        <w:ind w:left="1258" w:hanging="360"/>
      </w:pPr>
      <w:rPr>
        <w:rFonts w:ascii="Courier New" w:hAnsi="Courier New" w:cs="Courier New" w:hint="default"/>
      </w:rPr>
    </w:lvl>
    <w:lvl w:ilvl="2" w:tplc="0C090005" w:tentative="1">
      <w:start w:val="1"/>
      <w:numFmt w:val="bullet"/>
      <w:lvlText w:val=""/>
      <w:lvlJc w:val="left"/>
      <w:pPr>
        <w:ind w:left="1978" w:hanging="360"/>
      </w:pPr>
      <w:rPr>
        <w:rFonts w:ascii="Wingdings" w:hAnsi="Wingdings" w:hint="default"/>
      </w:rPr>
    </w:lvl>
    <w:lvl w:ilvl="3" w:tplc="0C090001" w:tentative="1">
      <w:start w:val="1"/>
      <w:numFmt w:val="bullet"/>
      <w:lvlText w:val=""/>
      <w:lvlJc w:val="left"/>
      <w:pPr>
        <w:ind w:left="2698" w:hanging="360"/>
      </w:pPr>
      <w:rPr>
        <w:rFonts w:ascii="Symbol" w:hAnsi="Symbol" w:hint="default"/>
      </w:rPr>
    </w:lvl>
    <w:lvl w:ilvl="4" w:tplc="0C090003" w:tentative="1">
      <w:start w:val="1"/>
      <w:numFmt w:val="bullet"/>
      <w:lvlText w:val="o"/>
      <w:lvlJc w:val="left"/>
      <w:pPr>
        <w:ind w:left="3418" w:hanging="360"/>
      </w:pPr>
      <w:rPr>
        <w:rFonts w:ascii="Courier New" w:hAnsi="Courier New" w:cs="Courier New" w:hint="default"/>
      </w:rPr>
    </w:lvl>
    <w:lvl w:ilvl="5" w:tplc="0C090005" w:tentative="1">
      <w:start w:val="1"/>
      <w:numFmt w:val="bullet"/>
      <w:lvlText w:val=""/>
      <w:lvlJc w:val="left"/>
      <w:pPr>
        <w:ind w:left="4138" w:hanging="360"/>
      </w:pPr>
      <w:rPr>
        <w:rFonts w:ascii="Wingdings" w:hAnsi="Wingdings" w:hint="default"/>
      </w:rPr>
    </w:lvl>
    <w:lvl w:ilvl="6" w:tplc="0C090001" w:tentative="1">
      <w:start w:val="1"/>
      <w:numFmt w:val="bullet"/>
      <w:lvlText w:val=""/>
      <w:lvlJc w:val="left"/>
      <w:pPr>
        <w:ind w:left="4858" w:hanging="360"/>
      </w:pPr>
      <w:rPr>
        <w:rFonts w:ascii="Symbol" w:hAnsi="Symbol" w:hint="default"/>
      </w:rPr>
    </w:lvl>
    <w:lvl w:ilvl="7" w:tplc="0C090003" w:tentative="1">
      <w:start w:val="1"/>
      <w:numFmt w:val="bullet"/>
      <w:lvlText w:val="o"/>
      <w:lvlJc w:val="left"/>
      <w:pPr>
        <w:ind w:left="5578" w:hanging="360"/>
      </w:pPr>
      <w:rPr>
        <w:rFonts w:ascii="Courier New" w:hAnsi="Courier New" w:cs="Courier New" w:hint="default"/>
      </w:rPr>
    </w:lvl>
    <w:lvl w:ilvl="8" w:tplc="0C090005" w:tentative="1">
      <w:start w:val="1"/>
      <w:numFmt w:val="bullet"/>
      <w:lvlText w:val=""/>
      <w:lvlJc w:val="left"/>
      <w:pPr>
        <w:ind w:left="6298" w:hanging="360"/>
      </w:pPr>
      <w:rPr>
        <w:rFonts w:ascii="Wingdings" w:hAnsi="Wingdings" w:hint="default"/>
      </w:rPr>
    </w:lvl>
  </w:abstractNum>
  <w:abstractNum w:abstractNumId="14" w15:restartNumberingAfterBreak="0">
    <w:nsid w:val="4AD46603"/>
    <w:multiLevelType w:val="hybridMultilevel"/>
    <w:tmpl w:val="B96278A8"/>
    <w:lvl w:ilvl="0" w:tplc="3E303AD8">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15:restartNumberingAfterBreak="0">
    <w:nsid w:val="4B8F63B5"/>
    <w:multiLevelType w:val="hybridMultilevel"/>
    <w:tmpl w:val="EC90EC82"/>
    <w:lvl w:ilvl="0" w:tplc="0C09000F">
      <w:start w:val="1"/>
      <w:numFmt w:val="decimal"/>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4C7D2A75"/>
    <w:multiLevelType w:val="hybridMultilevel"/>
    <w:tmpl w:val="1CE869E2"/>
    <w:lvl w:ilvl="0" w:tplc="3E303AD8">
      <w:start w:val="1"/>
      <w:numFmt w:val="bullet"/>
      <w:lvlText w:val="&gt;"/>
      <w:lvlJc w:val="left"/>
      <w:pPr>
        <w:ind w:left="360" w:hanging="360"/>
      </w:pPr>
      <w:rPr>
        <w:rFonts w:ascii="HelveticaNeueLT Std Lt" w:hAnsi="HelveticaNeueLT Std Lt" w:hint="default"/>
        <w:sz w:val="20"/>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15:restartNumberingAfterBreak="0">
    <w:nsid w:val="51724D8B"/>
    <w:multiLevelType w:val="hybridMultilevel"/>
    <w:tmpl w:val="76AC0F5E"/>
    <w:lvl w:ilvl="0" w:tplc="121044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18" w15:restartNumberingAfterBreak="0">
    <w:nsid w:val="530826FB"/>
    <w:multiLevelType w:val="hybridMultilevel"/>
    <w:tmpl w:val="4EAEDAF0"/>
    <w:lvl w:ilvl="0" w:tplc="3E303AD8">
      <w:start w:val="1"/>
      <w:numFmt w:val="bullet"/>
      <w:lvlText w:val="&gt;"/>
      <w:lvlJc w:val="left"/>
      <w:pPr>
        <w:ind w:left="360" w:hanging="360"/>
      </w:pPr>
      <w:rPr>
        <w:rFonts w:ascii="HelveticaNeueLT Std Lt" w:hAnsi="HelveticaNeueLT Std Lt" w:hint="default"/>
        <w:sz w:val="20"/>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15:restartNumberingAfterBreak="0">
    <w:nsid w:val="554D3E9E"/>
    <w:multiLevelType w:val="hybridMultilevel"/>
    <w:tmpl w:val="0700E7E8"/>
    <w:lvl w:ilvl="0" w:tplc="3E303AD8">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15:restartNumberingAfterBreak="0">
    <w:nsid w:val="55AA21F0"/>
    <w:multiLevelType w:val="hybridMultilevel"/>
    <w:tmpl w:val="9B5CB936"/>
    <w:lvl w:ilvl="0" w:tplc="CCA08FFA">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A954D2D"/>
    <w:multiLevelType w:val="hybridMultilevel"/>
    <w:tmpl w:val="DD50C584"/>
    <w:lvl w:ilvl="0" w:tplc="0C090017">
      <w:start w:val="1"/>
      <w:numFmt w:val="lowerLetter"/>
      <w:lvlText w:val="%1)"/>
      <w:lvlJc w:val="left"/>
      <w:pPr>
        <w:ind w:left="360" w:hanging="360"/>
      </w:pPr>
    </w:lvl>
    <w:lvl w:ilvl="1" w:tplc="E444AD82">
      <w:start w:val="1"/>
      <w:numFmt w:val="lowerRoman"/>
      <w:lvlText w:val="(%2)"/>
      <w:lvlJc w:val="left"/>
      <w:pPr>
        <w:ind w:left="1080" w:hanging="360"/>
      </w:pPr>
      <w:rPr>
        <w:rFonts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2" w15:restartNumberingAfterBreak="0">
    <w:nsid w:val="5BFD377F"/>
    <w:multiLevelType w:val="hybridMultilevel"/>
    <w:tmpl w:val="EC90EC82"/>
    <w:lvl w:ilvl="0" w:tplc="0C09000F">
      <w:start w:val="1"/>
      <w:numFmt w:val="decimal"/>
      <w:lvlText w:val="%1."/>
      <w:lvlJc w:val="left"/>
      <w:pPr>
        <w:ind w:left="-54" w:hanging="360"/>
      </w:pPr>
      <w:rPr>
        <w:rFonts w:hint="default"/>
      </w:rPr>
    </w:lvl>
    <w:lvl w:ilvl="1" w:tplc="0C090003" w:tentative="1">
      <w:start w:val="1"/>
      <w:numFmt w:val="bullet"/>
      <w:lvlText w:val="o"/>
      <w:lvlJc w:val="left"/>
      <w:pPr>
        <w:ind w:left="666" w:hanging="360"/>
      </w:pPr>
      <w:rPr>
        <w:rFonts w:ascii="Courier New" w:hAnsi="Courier New" w:cs="Courier New" w:hint="default"/>
      </w:rPr>
    </w:lvl>
    <w:lvl w:ilvl="2" w:tplc="0C090005" w:tentative="1">
      <w:start w:val="1"/>
      <w:numFmt w:val="bullet"/>
      <w:lvlText w:val=""/>
      <w:lvlJc w:val="left"/>
      <w:pPr>
        <w:ind w:left="1386" w:hanging="360"/>
      </w:pPr>
      <w:rPr>
        <w:rFonts w:ascii="Wingdings" w:hAnsi="Wingdings" w:hint="default"/>
      </w:rPr>
    </w:lvl>
    <w:lvl w:ilvl="3" w:tplc="0C090001" w:tentative="1">
      <w:start w:val="1"/>
      <w:numFmt w:val="bullet"/>
      <w:lvlText w:val=""/>
      <w:lvlJc w:val="left"/>
      <w:pPr>
        <w:ind w:left="2106" w:hanging="360"/>
      </w:pPr>
      <w:rPr>
        <w:rFonts w:ascii="Symbol" w:hAnsi="Symbol" w:hint="default"/>
      </w:rPr>
    </w:lvl>
    <w:lvl w:ilvl="4" w:tplc="0C090003" w:tentative="1">
      <w:start w:val="1"/>
      <w:numFmt w:val="bullet"/>
      <w:lvlText w:val="o"/>
      <w:lvlJc w:val="left"/>
      <w:pPr>
        <w:ind w:left="2826" w:hanging="360"/>
      </w:pPr>
      <w:rPr>
        <w:rFonts w:ascii="Courier New" w:hAnsi="Courier New" w:cs="Courier New" w:hint="default"/>
      </w:rPr>
    </w:lvl>
    <w:lvl w:ilvl="5" w:tplc="0C090005" w:tentative="1">
      <w:start w:val="1"/>
      <w:numFmt w:val="bullet"/>
      <w:lvlText w:val=""/>
      <w:lvlJc w:val="left"/>
      <w:pPr>
        <w:ind w:left="3546" w:hanging="360"/>
      </w:pPr>
      <w:rPr>
        <w:rFonts w:ascii="Wingdings" w:hAnsi="Wingdings" w:hint="default"/>
      </w:rPr>
    </w:lvl>
    <w:lvl w:ilvl="6" w:tplc="0C090001" w:tentative="1">
      <w:start w:val="1"/>
      <w:numFmt w:val="bullet"/>
      <w:lvlText w:val=""/>
      <w:lvlJc w:val="left"/>
      <w:pPr>
        <w:ind w:left="4266" w:hanging="360"/>
      </w:pPr>
      <w:rPr>
        <w:rFonts w:ascii="Symbol" w:hAnsi="Symbol" w:hint="default"/>
      </w:rPr>
    </w:lvl>
    <w:lvl w:ilvl="7" w:tplc="0C090003" w:tentative="1">
      <w:start w:val="1"/>
      <w:numFmt w:val="bullet"/>
      <w:lvlText w:val="o"/>
      <w:lvlJc w:val="left"/>
      <w:pPr>
        <w:ind w:left="4986" w:hanging="360"/>
      </w:pPr>
      <w:rPr>
        <w:rFonts w:ascii="Courier New" w:hAnsi="Courier New" w:cs="Courier New" w:hint="default"/>
      </w:rPr>
    </w:lvl>
    <w:lvl w:ilvl="8" w:tplc="0C090005" w:tentative="1">
      <w:start w:val="1"/>
      <w:numFmt w:val="bullet"/>
      <w:lvlText w:val=""/>
      <w:lvlJc w:val="left"/>
      <w:pPr>
        <w:ind w:left="5706" w:hanging="360"/>
      </w:pPr>
      <w:rPr>
        <w:rFonts w:ascii="Wingdings" w:hAnsi="Wingdings" w:hint="default"/>
      </w:rPr>
    </w:lvl>
  </w:abstractNum>
  <w:abstractNum w:abstractNumId="23"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4F83FB0"/>
    <w:multiLevelType w:val="hybridMultilevel"/>
    <w:tmpl w:val="FA6C88D4"/>
    <w:lvl w:ilvl="0" w:tplc="3E303AD8">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 w15:restartNumberingAfterBreak="0">
    <w:nsid w:val="65071478"/>
    <w:multiLevelType w:val="hybridMultilevel"/>
    <w:tmpl w:val="16D2B96E"/>
    <w:lvl w:ilvl="0" w:tplc="3A9CF91A">
      <w:start w:val="1"/>
      <w:numFmt w:val="decimal"/>
      <w:pStyle w:val="ACMAFigureHeader"/>
      <w:lvlText w:val="Figure %1: "/>
      <w:lvlJc w:val="left"/>
      <w:pPr>
        <w:tabs>
          <w:tab w:val="num" w:pos="2581"/>
        </w:tabs>
        <w:ind w:left="2581" w:hanging="1021"/>
      </w:pPr>
      <w:rPr>
        <w:rFonts w:hint="default"/>
      </w:rPr>
    </w:lvl>
    <w:lvl w:ilvl="1" w:tplc="04090019" w:tentative="1">
      <w:start w:val="1"/>
      <w:numFmt w:val="lowerLetter"/>
      <w:lvlText w:val="%2."/>
      <w:lvlJc w:val="left"/>
      <w:pPr>
        <w:ind w:left="306" w:hanging="360"/>
      </w:pPr>
    </w:lvl>
    <w:lvl w:ilvl="2" w:tplc="0409001B" w:tentative="1">
      <w:start w:val="1"/>
      <w:numFmt w:val="lowerRoman"/>
      <w:lvlText w:val="%3."/>
      <w:lvlJc w:val="right"/>
      <w:pPr>
        <w:ind w:left="1026" w:hanging="180"/>
      </w:pPr>
    </w:lvl>
    <w:lvl w:ilvl="3" w:tplc="0409000F" w:tentative="1">
      <w:start w:val="1"/>
      <w:numFmt w:val="decimal"/>
      <w:lvlText w:val="%4."/>
      <w:lvlJc w:val="left"/>
      <w:pPr>
        <w:ind w:left="1746" w:hanging="360"/>
      </w:pPr>
    </w:lvl>
    <w:lvl w:ilvl="4" w:tplc="04090019" w:tentative="1">
      <w:start w:val="1"/>
      <w:numFmt w:val="lowerLetter"/>
      <w:lvlText w:val="%5."/>
      <w:lvlJc w:val="left"/>
      <w:pPr>
        <w:ind w:left="2466" w:hanging="360"/>
      </w:pPr>
    </w:lvl>
    <w:lvl w:ilvl="5" w:tplc="0409001B" w:tentative="1">
      <w:start w:val="1"/>
      <w:numFmt w:val="lowerRoman"/>
      <w:lvlText w:val="%6."/>
      <w:lvlJc w:val="right"/>
      <w:pPr>
        <w:ind w:left="3186" w:hanging="180"/>
      </w:pPr>
    </w:lvl>
    <w:lvl w:ilvl="6" w:tplc="0409000F" w:tentative="1">
      <w:start w:val="1"/>
      <w:numFmt w:val="decimal"/>
      <w:lvlText w:val="%7."/>
      <w:lvlJc w:val="left"/>
      <w:pPr>
        <w:ind w:left="3906" w:hanging="360"/>
      </w:pPr>
    </w:lvl>
    <w:lvl w:ilvl="7" w:tplc="04090019" w:tentative="1">
      <w:start w:val="1"/>
      <w:numFmt w:val="lowerLetter"/>
      <w:lvlText w:val="%8."/>
      <w:lvlJc w:val="left"/>
      <w:pPr>
        <w:ind w:left="4626" w:hanging="360"/>
      </w:pPr>
    </w:lvl>
    <w:lvl w:ilvl="8" w:tplc="0409001B" w:tentative="1">
      <w:start w:val="1"/>
      <w:numFmt w:val="lowerRoman"/>
      <w:lvlText w:val="%9."/>
      <w:lvlJc w:val="right"/>
      <w:pPr>
        <w:ind w:left="5346" w:hanging="180"/>
      </w:pPr>
    </w:lvl>
  </w:abstractNum>
  <w:abstractNum w:abstractNumId="26" w15:restartNumberingAfterBreak="0">
    <w:nsid w:val="6C861597"/>
    <w:multiLevelType w:val="hybridMultilevel"/>
    <w:tmpl w:val="EC90EC82"/>
    <w:lvl w:ilvl="0" w:tplc="0C09000F">
      <w:start w:val="1"/>
      <w:numFmt w:val="decimal"/>
      <w:lvlText w:val="%1."/>
      <w:lvlJc w:val="left"/>
      <w:pPr>
        <w:ind w:left="-54" w:hanging="360"/>
      </w:pPr>
      <w:rPr>
        <w:rFonts w:hint="default"/>
      </w:rPr>
    </w:lvl>
    <w:lvl w:ilvl="1" w:tplc="0C090003" w:tentative="1">
      <w:start w:val="1"/>
      <w:numFmt w:val="bullet"/>
      <w:lvlText w:val="o"/>
      <w:lvlJc w:val="left"/>
      <w:pPr>
        <w:ind w:left="666" w:hanging="360"/>
      </w:pPr>
      <w:rPr>
        <w:rFonts w:ascii="Courier New" w:hAnsi="Courier New" w:cs="Courier New" w:hint="default"/>
      </w:rPr>
    </w:lvl>
    <w:lvl w:ilvl="2" w:tplc="0C090005" w:tentative="1">
      <w:start w:val="1"/>
      <w:numFmt w:val="bullet"/>
      <w:lvlText w:val=""/>
      <w:lvlJc w:val="left"/>
      <w:pPr>
        <w:ind w:left="1386" w:hanging="360"/>
      </w:pPr>
      <w:rPr>
        <w:rFonts w:ascii="Wingdings" w:hAnsi="Wingdings" w:hint="default"/>
      </w:rPr>
    </w:lvl>
    <w:lvl w:ilvl="3" w:tplc="0C090001" w:tentative="1">
      <w:start w:val="1"/>
      <w:numFmt w:val="bullet"/>
      <w:lvlText w:val=""/>
      <w:lvlJc w:val="left"/>
      <w:pPr>
        <w:ind w:left="2106" w:hanging="360"/>
      </w:pPr>
      <w:rPr>
        <w:rFonts w:ascii="Symbol" w:hAnsi="Symbol" w:hint="default"/>
      </w:rPr>
    </w:lvl>
    <w:lvl w:ilvl="4" w:tplc="0C090003" w:tentative="1">
      <w:start w:val="1"/>
      <w:numFmt w:val="bullet"/>
      <w:lvlText w:val="o"/>
      <w:lvlJc w:val="left"/>
      <w:pPr>
        <w:ind w:left="2826" w:hanging="360"/>
      </w:pPr>
      <w:rPr>
        <w:rFonts w:ascii="Courier New" w:hAnsi="Courier New" w:cs="Courier New" w:hint="default"/>
      </w:rPr>
    </w:lvl>
    <w:lvl w:ilvl="5" w:tplc="0C090005" w:tentative="1">
      <w:start w:val="1"/>
      <w:numFmt w:val="bullet"/>
      <w:lvlText w:val=""/>
      <w:lvlJc w:val="left"/>
      <w:pPr>
        <w:ind w:left="3546" w:hanging="360"/>
      </w:pPr>
      <w:rPr>
        <w:rFonts w:ascii="Wingdings" w:hAnsi="Wingdings" w:hint="default"/>
      </w:rPr>
    </w:lvl>
    <w:lvl w:ilvl="6" w:tplc="0C090001" w:tentative="1">
      <w:start w:val="1"/>
      <w:numFmt w:val="bullet"/>
      <w:lvlText w:val=""/>
      <w:lvlJc w:val="left"/>
      <w:pPr>
        <w:ind w:left="4266" w:hanging="360"/>
      </w:pPr>
      <w:rPr>
        <w:rFonts w:ascii="Symbol" w:hAnsi="Symbol" w:hint="default"/>
      </w:rPr>
    </w:lvl>
    <w:lvl w:ilvl="7" w:tplc="0C090003" w:tentative="1">
      <w:start w:val="1"/>
      <w:numFmt w:val="bullet"/>
      <w:lvlText w:val="o"/>
      <w:lvlJc w:val="left"/>
      <w:pPr>
        <w:ind w:left="4986" w:hanging="360"/>
      </w:pPr>
      <w:rPr>
        <w:rFonts w:ascii="Courier New" w:hAnsi="Courier New" w:cs="Courier New" w:hint="default"/>
      </w:rPr>
    </w:lvl>
    <w:lvl w:ilvl="8" w:tplc="0C090005" w:tentative="1">
      <w:start w:val="1"/>
      <w:numFmt w:val="bullet"/>
      <w:lvlText w:val=""/>
      <w:lvlJc w:val="left"/>
      <w:pPr>
        <w:ind w:left="5706" w:hanging="360"/>
      </w:pPr>
      <w:rPr>
        <w:rFonts w:ascii="Wingdings" w:hAnsi="Wingdings" w:hint="default"/>
      </w:rPr>
    </w:lvl>
  </w:abstractNum>
  <w:abstractNum w:abstractNumId="27"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E027592"/>
    <w:multiLevelType w:val="hybridMultilevel"/>
    <w:tmpl w:val="597A2230"/>
    <w:lvl w:ilvl="0" w:tplc="0C090017">
      <w:start w:val="1"/>
      <w:numFmt w:val="lowerLetter"/>
      <w:lvlText w:val="%1)"/>
      <w:lvlJc w:val="left"/>
      <w:pPr>
        <w:ind w:left="360" w:hanging="360"/>
      </w:p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9" w15:restartNumberingAfterBreak="0">
    <w:nsid w:val="7EBF2AE4"/>
    <w:multiLevelType w:val="hybridMultilevel"/>
    <w:tmpl w:val="2E1E9D10"/>
    <w:lvl w:ilvl="0" w:tplc="3E303AD8">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0" w15:restartNumberingAfterBreak="0">
    <w:nsid w:val="7FA368E6"/>
    <w:multiLevelType w:val="hybridMultilevel"/>
    <w:tmpl w:val="FDC4F92A"/>
    <w:lvl w:ilvl="0" w:tplc="3E303AD8">
      <w:start w:val="1"/>
      <w:numFmt w:val="bullet"/>
      <w:lvlText w:val="&gt;"/>
      <w:lvlJc w:val="left"/>
      <w:pPr>
        <w:ind w:left="360" w:hanging="360"/>
      </w:pPr>
      <w:rPr>
        <w:rFonts w:ascii="HelveticaNeueLT Std Lt" w:hAnsi="HelveticaNeueLT Std Lt" w:hint="default"/>
        <w:sz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9"/>
  </w:num>
  <w:num w:numId="6">
    <w:abstractNumId w:val="25"/>
  </w:num>
  <w:num w:numId="7">
    <w:abstractNumId w:val="20"/>
  </w:num>
  <w:num w:numId="8">
    <w:abstractNumId w:val="23"/>
  </w:num>
  <w:num w:numId="9">
    <w:abstractNumId w:val="27"/>
  </w:num>
  <w:num w:numId="10">
    <w:abstractNumId w:val="5"/>
  </w:num>
  <w:num w:numId="11">
    <w:abstractNumId w:val="4"/>
  </w:num>
  <w:num w:numId="12">
    <w:abstractNumId w:val="3"/>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1"/>
  </w:num>
  <w:num w:numId="17">
    <w:abstractNumId w:val="2"/>
    <w:lvlOverride w:ilvl="0">
      <w:startOverride w:val="1"/>
    </w:lvlOverride>
  </w:num>
  <w:num w:numId="18">
    <w:abstractNumId w:val="15"/>
  </w:num>
  <w:num w:numId="19">
    <w:abstractNumId w:val="17"/>
  </w:num>
  <w:num w:numId="20">
    <w:abstractNumId w:val="25"/>
    <w:lvlOverride w:ilvl="0">
      <w:startOverride w:val="5"/>
    </w:lvlOverride>
  </w:num>
  <w:num w:numId="21">
    <w:abstractNumId w:val="28"/>
  </w:num>
  <w:num w:numId="22">
    <w:abstractNumId w:val="21"/>
  </w:num>
  <w:num w:numId="23">
    <w:abstractNumId w:val="13"/>
  </w:num>
  <w:num w:numId="24">
    <w:abstractNumId w:val="26"/>
  </w:num>
  <w:num w:numId="25">
    <w:abstractNumId w:val="16"/>
  </w:num>
  <w:num w:numId="26">
    <w:abstractNumId w:val="1"/>
  </w:num>
  <w:num w:numId="27">
    <w:abstractNumId w:val="24"/>
  </w:num>
  <w:num w:numId="28">
    <w:abstractNumId w:val="25"/>
  </w:num>
  <w:num w:numId="29">
    <w:abstractNumId w:val="10"/>
  </w:num>
  <w:num w:numId="30">
    <w:abstractNumId w:val="7"/>
  </w:num>
  <w:num w:numId="31">
    <w:abstractNumId w:val="14"/>
  </w:num>
  <w:num w:numId="32">
    <w:abstractNumId w:val="18"/>
  </w:num>
  <w:num w:numId="33">
    <w:abstractNumId w:val="1"/>
  </w:num>
  <w:num w:numId="34">
    <w:abstractNumId w:val="6"/>
  </w:num>
  <w:num w:numId="35">
    <w:abstractNumId w:val="1"/>
  </w:num>
  <w:num w:numId="36">
    <w:abstractNumId w:val="1"/>
  </w:num>
  <w:num w:numId="37">
    <w:abstractNumId w:val="30"/>
  </w:num>
  <w:num w:numId="38">
    <w:abstractNumId w:val="19"/>
  </w:num>
  <w:num w:numId="39">
    <w:abstractNumId w:val="3"/>
  </w:num>
  <w:num w:numId="40">
    <w:abstractNumId w:val="29"/>
  </w:num>
  <w:num w:numId="41">
    <w:abstractNumId w:val="3"/>
  </w:num>
  <w:num w:numId="42">
    <w:abstractNumId w:val="3"/>
  </w:num>
  <w:num w:numId="43">
    <w:abstractNumId w:val="12"/>
  </w:num>
  <w:num w:numId="44">
    <w:abstractNumId w:val="22"/>
  </w:num>
  <w:num w:numId="45">
    <w:abstractNumId w:val="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removePersonalInformation/>
  <w:removeDateAndTime/>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284"/>
  <w:evenAndOddHeaders/>
  <w:drawingGridHorizontalSpacing w:val="100"/>
  <w:displayHorizontalDrawingGridEvery w:val="2"/>
  <w:characterSpacingControl w:val="doNotCompress"/>
  <w:hdrShapeDefaults>
    <o:shapedefaults v:ext="edit" spidmax="2050">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1B75"/>
    <w:rsid w:val="00001D23"/>
    <w:rsid w:val="00010667"/>
    <w:rsid w:val="000129D5"/>
    <w:rsid w:val="00015AE7"/>
    <w:rsid w:val="00016E21"/>
    <w:rsid w:val="0001719C"/>
    <w:rsid w:val="00017445"/>
    <w:rsid w:val="000210DA"/>
    <w:rsid w:val="0002224E"/>
    <w:rsid w:val="00022DF8"/>
    <w:rsid w:val="00023A36"/>
    <w:rsid w:val="00023C84"/>
    <w:rsid w:val="000245E5"/>
    <w:rsid w:val="000255AF"/>
    <w:rsid w:val="0002592E"/>
    <w:rsid w:val="00026889"/>
    <w:rsid w:val="00026F91"/>
    <w:rsid w:val="000319F9"/>
    <w:rsid w:val="000323AD"/>
    <w:rsid w:val="00032621"/>
    <w:rsid w:val="000417A6"/>
    <w:rsid w:val="00043060"/>
    <w:rsid w:val="00044B4B"/>
    <w:rsid w:val="0004764C"/>
    <w:rsid w:val="0005011A"/>
    <w:rsid w:val="0005045A"/>
    <w:rsid w:val="000506D0"/>
    <w:rsid w:val="00050E43"/>
    <w:rsid w:val="00051C1E"/>
    <w:rsid w:val="000539F9"/>
    <w:rsid w:val="00054BEF"/>
    <w:rsid w:val="00054C27"/>
    <w:rsid w:val="00055EC3"/>
    <w:rsid w:val="000563CE"/>
    <w:rsid w:val="000659B6"/>
    <w:rsid w:val="0006686F"/>
    <w:rsid w:val="0006709F"/>
    <w:rsid w:val="0006722A"/>
    <w:rsid w:val="00071781"/>
    <w:rsid w:val="00071F49"/>
    <w:rsid w:val="00071F5A"/>
    <w:rsid w:val="000721E9"/>
    <w:rsid w:val="000732CF"/>
    <w:rsid w:val="00074E3A"/>
    <w:rsid w:val="00075033"/>
    <w:rsid w:val="00075B96"/>
    <w:rsid w:val="000770A0"/>
    <w:rsid w:val="0008196A"/>
    <w:rsid w:val="00082F16"/>
    <w:rsid w:val="000859C5"/>
    <w:rsid w:val="00087F30"/>
    <w:rsid w:val="00090CE7"/>
    <w:rsid w:val="00090ECE"/>
    <w:rsid w:val="000915ED"/>
    <w:rsid w:val="0009209D"/>
    <w:rsid w:val="000924F3"/>
    <w:rsid w:val="00093A05"/>
    <w:rsid w:val="0009463C"/>
    <w:rsid w:val="00094EF2"/>
    <w:rsid w:val="000957BA"/>
    <w:rsid w:val="000969BD"/>
    <w:rsid w:val="000969BF"/>
    <w:rsid w:val="000A062C"/>
    <w:rsid w:val="000A0C22"/>
    <w:rsid w:val="000A1400"/>
    <w:rsid w:val="000A24A8"/>
    <w:rsid w:val="000A3C43"/>
    <w:rsid w:val="000A49AB"/>
    <w:rsid w:val="000A4A51"/>
    <w:rsid w:val="000A5D2B"/>
    <w:rsid w:val="000A607C"/>
    <w:rsid w:val="000B4664"/>
    <w:rsid w:val="000B5DE3"/>
    <w:rsid w:val="000B6A4B"/>
    <w:rsid w:val="000C0A57"/>
    <w:rsid w:val="000C1B75"/>
    <w:rsid w:val="000C203D"/>
    <w:rsid w:val="000C230C"/>
    <w:rsid w:val="000C3AE6"/>
    <w:rsid w:val="000C3D7D"/>
    <w:rsid w:val="000C6AB4"/>
    <w:rsid w:val="000D3DE1"/>
    <w:rsid w:val="000D52BE"/>
    <w:rsid w:val="000D71D9"/>
    <w:rsid w:val="000D76E0"/>
    <w:rsid w:val="000D7E8B"/>
    <w:rsid w:val="000E0579"/>
    <w:rsid w:val="000E198A"/>
    <w:rsid w:val="000E393C"/>
    <w:rsid w:val="000E40FE"/>
    <w:rsid w:val="000E4449"/>
    <w:rsid w:val="000E6097"/>
    <w:rsid w:val="000F7E13"/>
    <w:rsid w:val="000F7F85"/>
    <w:rsid w:val="001004CF"/>
    <w:rsid w:val="00103829"/>
    <w:rsid w:val="00106667"/>
    <w:rsid w:val="00110059"/>
    <w:rsid w:val="001104DC"/>
    <w:rsid w:val="00111768"/>
    <w:rsid w:val="00111FCE"/>
    <w:rsid w:val="0011378B"/>
    <w:rsid w:val="001170A3"/>
    <w:rsid w:val="001229A5"/>
    <w:rsid w:val="00123FE8"/>
    <w:rsid w:val="0012489B"/>
    <w:rsid w:val="00127636"/>
    <w:rsid w:val="00130017"/>
    <w:rsid w:val="00130F91"/>
    <w:rsid w:val="001342E5"/>
    <w:rsid w:val="001349ED"/>
    <w:rsid w:val="00137424"/>
    <w:rsid w:val="001379C3"/>
    <w:rsid w:val="0014009D"/>
    <w:rsid w:val="00140318"/>
    <w:rsid w:val="00140504"/>
    <w:rsid w:val="00141AD9"/>
    <w:rsid w:val="001425A1"/>
    <w:rsid w:val="00146CE6"/>
    <w:rsid w:val="00147565"/>
    <w:rsid w:val="0015203B"/>
    <w:rsid w:val="001528A7"/>
    <w:rsid w:val="00152903"/>
    <w:rsid w:val="00153FD5"/>
    <w:rsid w:val="00154AB2"/>
    <w:rsid w:val="0015614F"/>
    <w:rsid w:val="001562BE"/>
    <w:rsid w:val="001577C2"/>
    <w:rsid w:val="001633C4"/>
    <w:rsid w:val="00163B72"/>
    <w:rsid w:val="001644E2"/>
    <w:rsid w:val="001704D5"/>
    <w:rsid w:val="00171591"/>
    <w:rsid w:val="0017212E"/>
    <w:rsid w:val="001731DB"/>
    <w:rsid w:val="00173981"/>
    <w:rsid w:val="00176EA1"/>
    <w:rsid w:val="0017719D"/>
    <w:rsid w:val="001817BC"/>
    <w:rsid w:val="00181E02"/>
    <w:rsid w:val="00181EF3"/>
    <w:rsid w:val="00183FD7"/>
    <w:rsid w:val="00184CBD"/>
    <w:rsid w:val="00185CAB"/>
    <w:rsid w:val="001875B7"/>
    <w:rsid w:val="00187CB3"/>
    <w:rsid w:val="0019050A"/>
    <w:rsid w:val="001910D4"/>
    <w:rsid w:val="00195BEF"/>
    <w:rsid w:val="0019748E"/>
    <w:rsid w:val="001976E3"/>
    <w:rsid w:val="00197CB3"/>
    <w:rsid w:val="001A33C9"/>
    <w:rsid w:val="001A44EC"/>
    <w:rsid w:val="001B041F"/>
    <w:rsid w:val="001B2D2A"/>
    <w:rsid w:val="001B49CF"/>
    <w:rsid w:val="001B552D"/>
    <w:rsid w:val="001B58AA"/>
    <w:rsid w:val="001B7E48"/>
    <w:rsid w:val="001C0B6E"/>
    <w:rsid w:val="001C17CE"/>
    <w:rsid w:val="001C36CA"/>
    <w:rsid w:val="001C44D1"/>
    <w:rsid w:val="001C4E26"/>
    <w:rsid w:val="001C65FA"/>
    <w:rsid w:val="001C6A85"/>
    <w:rsid w:val="001C6AEE"/>
    <w:rsid w:val="001C7630"/>
    <w:rsid w:val="001D0F82"/>
    <w:rsid w:val="001D2F09"/>
    <w:rsid w:val="001D4406"/>
    <w:rsid w:val="001D4E31"/>
    <w:rsid w:val="001D520D"/>
    <w:rsid w:val="001D6D15"/>
    <w:rsid w:val="001D779B"/>
    <w:rsid w:val="001E4110"/>
    <w:rsid w:val="001F3C5D"/>
    <w:rsid w:val="001F50F7"/>
    <w:rsid w:val="001F56E6"/>
    <w:rsid w:val="001F7200"/>
    <w:rsid w:val="001F7558"/>
    <w:rsid w:val="002009BE"/>
    <w:rsid w:val="00200F1C"/>
    <w:rsid w:val="00201EE2"/>
    <w:rsid w:val="00205B57"/>
    <w:rsid w:val="00212507"/>
    <w:rsid w:val="0021426C"/>
    <w:rsid w:val="002157E0"/>
    <w:rsid w:val="00216344"/>
    <w:rsid w:val="00216A57"/>
    <w:rsid w:val="00217448"/>
    <w:rsid w:val="00220FA0"/>
    <w:rsid w:val="0022334F"/>
    <w:rsid w:val="00223A4A"/>
    <w:rsid w:val="00224979"/>
    <w:rsid w:val="00226819"/>
    <w:rsid w:val="0022789C"/>
    <w:rsid w:val="00230853"/>
    <w:rsid w:val="00230E24"/>
    <w:rsid w:val="00232D33"/>
    <w:rsid w:val="00233101"/>
    <w:rsid w:val="00233817"/>
    <w:rsid w:val="00235D8D"/>
    <w:rsid w:val="002367FF"/>
    <w:rsid w:val="00240CE9"/>
    <w:rsid w:val="002421AC"/>
    <w:rsid w:val="00242D85"/>
    <w:rsid w:val="002434BA"/>
    <w:rsid w:val="0024491D"/>
    <w:rsid w:val="00245317"/>
    <w:rsid w:val="00246089"/>
    <w:rsid w:val="00246093"/>
    <w:rsid w:val="00246702"/>
    <w:rsid w:val="0024712F"/>
    <w:rsid w:val="00247C59"/>
    <w:rsid w:val="00247F2E"/>
    <w:rsid w:val="00250ADC"/>
    <w:rsid w:val="00250B07"/>
    <w:rsid w:val="00250FAF"/>
    <w:rsid w:val="00252557"/>
    <w:rsid w:val="0025335C"/>
    <w:rsid w:val="00253EA8"/>
    <w:rsid w:val="002545EB"/>
    <w:rsid w:val="00257553"/>
    <w:rsid w:val="00260B09"/>
    <w:rsid w:val="00260FB2"/>
    <w:rsid w:val="00262128"/>
    <w:rsid w:val="00262547"/>
    <w:rsid w:val="00264C7C"/>
    <w:rsid w:val="00265A35"/>
    <w:rsid w:val="0027165D"/>
    <w:rsid w:val="002721AA"/>
    <w:rsid w:val="00273CEB"/>
    <w:rsid w:val="00275CE7"/>
    <w:rsid w:val="00277B28"/>
    <w:rsid w:val="00281C89"/>
    <w:rsid w:val="00281DF9"/>
    <w:rsid w:val="0028282F"/>
    <w:rsid w:val="00290DB7"/>
    <w:rsid w:val="00290E26"/>
    <w:rsid w:val="002916BD"/>
    <w:rsid w:val="00292B87"/>
    <w:rsid w:val="00292D81"/>
    <w:rsid w:val="00295830"/>
    <w:rsid w:val="0029593B"/>
    <w:rsid w:val="00295A48"/>
    <w:rsid w:val="00297FC5"/>
    <w:rsid w:val="002A0417"/>
    <w:rsid w:val="002A16D8"/>
    <w:rsid w:val="002A1BC8"/>
    <w:rsid w:val="002A391E"/>
    <w:rsid w:val="002A3EF2"/>
    <w:rsid w:val="002A4EFA"/>
    <w:rsid w:val="002A70D5"/>
    <w:rsid w:val="002B0779"/>
    <w:rsid w:val="002B092A"/>
    <w:rsid w:val="002B0DED"/>
    <w:rsid w:val="002B19A2"/>
    <w:rsid w:val="002B381A"/>
    <w:rsid w:val="002B4FCC"/>
    <w:rsid w:val="002B5D8C"/>
    <w:rsid w:val="002B61BB"/>
    <w:rsid w:val="002B7408"/>
    <w:rsid w:val="002B75EA"/>
    <w:rsid w:val="002B7CFD"/>
    <w:rsid w:val="002C0530"/>
    <w:rsid w:val="002C0BD7"/>
    <w:rsid w:val="002C181D"/>
    <w:rsid w:val="002C210F"/>
    <w:rsid w:val="002C41A2"/>
    <w:rsid w:val="002D296F"/>
    <w:rsid w:val="002D2F33"/>
    <w:rsid w:val="002D3600"/>
    <w:rsid w:val="002D5229"/>
    <w:rsid w:val="002D72B9"/>
    <w:rsid w:val="002E4DDC"/>
    <w:rsid w:val="002F15C7"/>
    <w:rsid w:val="002F3BCA"/>
    <w:rsid w:val="002F5B9C"/>
    <w:rsid w:val="00300577"/>
    <w:rsid w:val="00302480"/>
    <w:rsid w:val="00302758"/>
    <w:rsid w:val="00302E89"/>
    <w:rsid w:val="00305B75"/>
    <w:rsid w:val="00311B61"/>
    <w:rsid w:val="003164E7"/>
    <w:rsid w:val="003165E6"/>
    <w:rsid w:val="0031685A"/>
    <w:rsid w:val="00317E9A"/>
    <w:rsid w:val="003215B5"/>
    <w:rsid w:val="003221CF"/>
    <w:rsid w:val="003233ED"/>
    <w:rsid w:val="00324D9F"/>
    <w:rsid w:val="003253EE"/>
    <w:rsid w:val="00325A68"/>
    <w:rsid w:val="00327948"/>
    <w:rsid w:val="0033000F"/>
    <w:rsid w:val="00332011"/>
    <w:rsid w:val="003323EF"/>
    <w:rsid w:val="00332518"/>
    <w:rsid w:val="00332925"/>
    <w:rsid w:val="00332E3F"/>
    <w:rsid w:val="003332ED"/>
    <w:rsid w:val="00333448"/>
    <w:rsid w:val="003361D5"/>
    <w:rsid w:val="0033646E"/>
    <w:rsid w:val="003368DC"/>
    <w:rsid w:val="00337336"/>
    <w:rsid w:val="003428DE"/>
    <w:rsid w:val="00342BBE"/>
    <w:rsid w:val="00343EA9"/>
    <w:rsid w:val="00344287"/>
    <w:rsid w:val="003443C5"/>
    <w:rsid w:val="0034490B"/>
    <w:rsid w:val="00345927"/>
    <w:rsid w:val="00346B31"/>
    <w:rsid w:val="00350584"/>
    <w:rsid w:val="00351857"/>
    <w:rsid w:val="003524D8"/>
    <w:rsid w:val="003542B3"/>
    <w:rsid w:val="003545E8"/>
    <w:rsid w:val="00357792"/>
    <w:rsid w:val="003610E1"/>
    <w:rsid w:val="003622A1"/>
    <w:rsid w:val="00363C59"/>
    <w:rsid w:val="00366B07"/>
    <w:rsid w:val="003671BE"/>
    <w:rsid w:val="00371F97"/>
    <w:rsid w:val="00372485"/>
    <w:rsid w:val="003726A1"/>
    <w:rsid w:val="00373200"/>
    <w:rsid w:val="00375EF5"/>
    <w:rsid w:val="00376206"/>
    <w:rsid w:val="0037635C"/>
    <w:rsid w:val="003767A5"/>
    <w:rsid w:val="00381D15"/>
    <w:rsid w:val="00385254"/>
    <w:rsid w:val="00390D91"/>
    <w:rsid w:val="00391DBB"/>
    <w:rsid w:val="00392A96"/>
    <w:rsid w:val="0039322F"/>
    <w:rsid w:val="003933E8"/>
    <w:rsid w:val="00394031"/>
    <w:rsid w:val="003964F7"/>
    <w:rsid w:val="00396DC2"/>
    <w:rsid w:val="003A04DB"/>
    <w:rsid w:val="003A1D65"/>
    <w:rsid w:val="003A2913"/>
    <w:rsid w:val="003A2CBA"/>
    <w:rsid w:val="003A4CAB"/>
    <w:rsid w:val="003A5F5B"/>
    <w:rsid w:val="003A703F"/>
    <w:rsid w:val="003A789A"/>
    <w:rsid w:val="003B10CF"/>
    <w:rsid w:val="003B11D3"/>
    <w:rsid w:val="003B12EC"/>
    <w:rsid w:val="003B1644"/>
    <w:rsid w:val="003B4083"/>
    <w:rsid w:val="003B519D"/>
    <w:rsid w:val="003B5D00"/>
    <w:rsid w:val="003B6FC3"/>
    <w:rsid w:val="003C03B8"/>
    <w:rsid w:val="003C4842"/>
    <w:rsid w:val="003C77E0"/>
    <w:rsid w:val="003D17D7"/>
    <w:rsid w:val="003D24E9"/>
    <w:rsid w:val="003D2678"/>
    <w:rsid w:val="003D3245"/>
    <w:rsid w:val="003D4516"/>
    <w:rsid w:val="003D71A3"/>
    <w:rsid w:val="003D78FD"/>
    <w:rsid w:val="003E1962"/>
    <w:rsid w:val="003E2B8A"/>
    <w:rsid w:val="003E311F"/>
    <w:rsid w:val="003F0191"/>
    <w:rsid w:val="003F0C10"/>
    <w:rsid w:val="003F10EE"/>
    <w:rsid w:val="003F16F6"/>
    <w:rsid w:val="003F4DC7"/>
    <w:rsid w:val="003F5235"/>
    <w:rsid w:val="003F6B73"/>
    <w:rsid w:val="0040113D"/>
    <w:rsid w:val="004027E4"/>
    <w:rsid w:val="00403AF2"/>
    <w:rsid w:val="00403DE7"/>
    <w:rsid w:val="004053A5"/>
    <w:rsid w:val="0041071D"/>
    <w:rsid w:val="00413E55"/>
    <w:rsid w:val="00414AFC"/>
    <w:rsid w:val="004151A7"/>
    <w:rsid w:val="00415310"/>
    <w:rsid w:val="004164AB"/>
    <w:rsid w:val="00416E27"/>
    <w:rsid w:val="00416F55"/>
    <w:rsid w:val="00421709"/>
    <w:rsid w:val="00423763"/>
    <w:rsid w:val="0042762F"/>
    <w:rsid w:val="00427DC7"/>
    <w:rsid w:val="0043065A"/>
    <w:rsid w:val="00431613"/>
    <w:rsid w:val="00431792"/>
    <w:rsid w:val="0043297A"/>
    <w:rsid w:val="00432EB2"/>
    <w:rsid w:val="00434AE8"/>
    <w:rsid w:val="0043714F"/>
    <w:rsid w:val="004438B5"/>
    <w:rsid w:val="004453CF"/>
    <w:rsid w:val="00447037"/>
    <w:rsid w:val="0045124D"/>
    <w:rsid w:val="00453202"/>
    <w:rsid w:val="00454596"/>
    <w:rsid w:val="0045605D"/>
    <w:rsid w:val="004607F2"/>
    <w:rsid w:val="0046135B"/>
    <w:rsid w:val="00461622"/>
    <w:rsid w:val="00461D47"/>
    <w:rsid w:val="0046264F"/>
    <w:rsid w:val="004661D8"/>
    <w:rsid w:val="004672B4"/>
    <w:rsid w:val="00470E6E"/>
    <w:rsid w:val="004718CC"/>
    <w:rsid w:val="00472889"/>
    <w:rsid w:val="00473750"/>
    <w:rsid w:val="004747AB"/>
    <w:rsid w:val="00475586"/>
    <w:rsid w:val="00477010"/>
    <w:rsid w:val="00480944"/>
    <w:rsid w:val="00481695"/>
    <w:rsid w:val="00483339"/>
    <w:rsid w:val="0048373F"/>
    <w:rsid w:val="00487C62"/>
    <w:rsid w:val="00490498"/>
    <w:rsid w:val="0049095E"/>
    <w:rsid w:val="00495A96"/>
    <w:rsid w:val="00495BB3"/>
    <w:rsid w:val="00497B48"/>
    <w:rsid w:val="004A41BC"/>
    <w:rsid w:val="004A48BE"/>
    <w:rsid w:val="004A5593"/>
    <w:rsid w:val="004A56BB"/>
    <w:rsid w:val="004A6926"/>
    <w:rsid w:val="004A70D6"/>
    <w:rsid w:val="004B0F44"/>
    <w:rsid w:val="004B133D"/>
    <w:rsid w:val="004B1751"/>
    <w:rsid w:val="004C0253"/>
    <w:rsid w:val="004C0C6D"/>
    <w:rsid w:val="004C26AF"/>
    <w:rsid w:val="004C5000"/>
    <w:rsid w:val="004C6567"/>
    <w:rsid w:val="004D4F6C"/>
    <w:rsid w:val="004D56FF"/>
    <w:rsid w:val="004D79EB"/>
    <w:rsid w:val="004E00D7"/>
    <w:rsid w:val="004E076D"/>
    <w:rsid w:val="004E2EF7"/>
    <w:rsid w:val="004E39D3"/>
    <w:rsid w:val="004E4296"/>
    <w:rsid w:val="004E508A"/>
    <w:rsid w:val="004E5BB2"/>
    <w:rsid w:val="004E5FCD"/>
    <w:rsid w:val="004E6107"/>
    <w:rsid w:val="004E616D"/>
    <w:rsid w:val="004E6BAD"/>
    <w:rsid w:val="004F0D41"/>
    <w:rsid w:val="004F0E6F"/>
    <w:rsid w:val="004F1A49"/>
    <w:rsid w:val="004F1BDE"/>
    <w:rsid w:val="004F1D06"/>
    <w:rsid w:val="004F20A4"/>
    <w:rsid w:val="004F291F"/>
    <w:rsid w:val="004F2CEE"/>
    <w:rsid w:val="004F556E"/>
    <w:rsid w:val="004F591C"/>
    <w:rsid w:val="004F6F62"/>
    <w:rsid w:val="004F7F44"/>
    <w:rsid w:val="0050164A"/>
    <w:rsid w:val="00501E23"/>
    <w:rsid w:val="005037B4"/>
    <w:rsid w:val="00506211"/>
    <w:rsid w:val="005079BF"/>
    <w:rsid w:val="005115E2"/>
    <w:rsid w:val="0051269A"/>
    <w:rsid w:val="00513DBB"/>
    <w:rsid w:val="00514A45"/>
    <w:rsid w:val="00516D2A"/>
    <w:rsid w:val="005219E7"/>
    <w:rsid w:val="00524D42"/>
    <w:rsid w:val="005250BA"/>
    <w:rsid w:val="00525292"/>
    <w:rsid w:val="0053110E"/>
    <w:rsid w:val="00531B9A"/>
    <w:rsid w:val="00531D15"/>
    <w:rsid w:val="005357BE"/>
    <w:rsid w:val="00537604"/>
    <w:rsid w:val="0054097C"/>
    <w:rsid w:val="00540D3F"/>
    <w:rsid w:val="00541FCB"/>
    <w:rsid w:val="00542377"/>
    <w:rsid w:val="005473BA"/>
    <w:rsid w:val="005476EB"/>
    <w:rsid w:val="00551782"/>
    <w:rsid w:val="00551EE3"/>
    <w:rsid w:val="00553D91"/>
    <w:rsid w:val="005549A1"/>
    <w:rsid w:val="005569B0"/>
    <w:rsid w:val="005631CC"/>
    <w:rsid w:val="00563EF1"/>
    <w:rsid w:val="005640F7"/>
    <w:rsid w:val="00566000"/>
    <w:rsid w:val="00566A76"/>
    <w:rsid w:val="00566AB4"/>
    <w:rsid w:val="00570D08"/>
    <w:rsid w:val="005729E0"/>
    <w:rsid w:val="00573812"/>
    <w:rsid w:val="00575AC5"/>
    <w:rsid w:val="0057605D"/>
    <w:rsid w:val="00577074"/>
    <w:rsid w:val="005808E5"/>
    <w:rsid w:val="00580A60"/>
    <w:rsid w:val="00581347"/>
    <w:rsid w:val="00581AC9"/>
    <w:rsid w:val="00581C17"/>
    <w:rsid w:val="005849F8"/>
    <w:rsid w:val="0058521A"/>
    <w:rsid w:val="00585C2A"/>
    <w:rsid w:val="005938DF"/>
    <w:rsid w:val="00594E9C"/>
    <w:rsid w:val="00596F93"/>
    <w:rsid w:val="005972BC"/>
    <w:rsid w:val="005A099B"/>
    <w:rsid w:val="005A2D9C"/>
    <w:rsid w:val="005A4E13"/>
    <w:rsid w:val="005A55FE"/>
    <w:rsid w:val="005A6A11"/>
    <w:rsid w:val="005A73D1"/>
    <w:rsid w:val="005B2B7F"/>
    <w:rsid w:val="005B2F0D"/>
    <w:rsid w:val="005B3498"/>
    <w:rsid w:val="005B4AED"/>
    <w:rsid w:val="005C29D6"/>
    <w:rsid w:val="005C34EF"/>
    <w:rsid w:val="005C3965"/>
    <w:rsid w:val="005C3B17"/>
    <w:rsid w:val="005C51AD"/>
    <w:rsid w:val="005C5E42"/>
    <w:rsid w:val="005D2502"/>
    <w:rsid w:val="005D30AE"/>
    <w:rsid w:val="005D40BB"/>
    <w:rsid w:val="005D47F3"/>
    <w:rsid w:val="005D49BF"/>
    <w:rsid w:val="005D4AA5"/>
    <w:rsid w:val="005D5F82"/>
    <w:rsid w:val="005D65D1"/>
    <w:rsid w:val="005D6C6B"/>
    <w:rsid w:val="005D6F4E"/>
    <w:rsid w:val="005D7C73"/>
    <w:rsid w:val="005E250B"/>
    <w:rsid w:val="005E26A4"/>
    <w:rsid w:val="005E3ACD"/>
    <w:rsid w:val="005E3BF5"/>
    <w:rsid w:val="005E4A6C"/>
    <w:rsid w:val="005E5DBF"/>
    <w:rsid w:val="005E7226"/>
    <w:rsid w:val="005E7A57"/>
    <w:rsid w:val="005F24B0"/>
    <w:rsid w:val="005F3676"/>
    <w:rsid w:val="005F5E2E"/>
    <w:rsid w:val="005F63A1"/>
    <w:rsid w:val="0060150C"/>
    <w:rsid w:val="00602616"/>
    <w:rsid w:val="00604315"/>
    <w:rsid w:val="00604E26"/>
    <w:rsid w:val="006051B7"/>
    <w:rsid w:val="0060523F"/>
    <w:rsid w:val="006052C5"/>
    <w:rsid w:val="006052CF"/>
    <w:rsid w:val="00605C02"/>
    <w:rsid w:val="0060604C"/>
    <w:rsid w:val="00607B8D"/>
    <w:rsid w:val="00607C13"/>
    <w:rsid w:val="00611F5C"/>
    <w:rsid w:val="0061526B"/>
    <w:rsid w:val="00616E09"/>
    <w:rsid w:val="006218A0"/>
    <w:rsid w:val="00622A3B"/>
    <w:rsid w:val="00622EEA"/>
    <w:rsid w:val="0062396C"/>
    <w:rsid w:val="00623FF9"/>
    <w:rsid w:val="0062437D"/>
    <w:rsid w:val="00627C6E"/>
    <w:rsid w:val="00627D4E"/>
    <w:rsid w:val="0063012E"/>
    <w:rsid w:val="00630803"/>
    <w:rsid w:val="00632B89"/>
    <w:rsid w:val="0063346D"/>
    <w:rsid w:val="00633957"/>
    <w:rsid w:val="00633AB2"/>
    <w:rsid w:val="00634478"/>
    <w:rsid w:val="0063493D"/>
    <w:rsid w:val="00635232"/>
    <w:rsid w:val="00635DFA"/>
    <w:rsid w:val="0064081B"/>
    <w:rsid w:val="00643256"/>
    <w:rsid w:val="00644373"/>
    <w:rsid w:val="00644BA8"/>
    <w:rsid w:val="00645915"/>
    <w:rsid w:val="00646CC4"/>
    <w:rsid w:val="006519C3"/>
    <w:rsid w:val="00652B30"/>
    <w:rsid w:val="0065397E"/>
    <w:rsid w:val="00656345"/>
    <w:rsid w:val="00656713"/>
    <w:rsid w:val="00656DC6"/>
    <w:rsid w:val="00657A1C"/>
    <w:rsid w:val="00660EC6"/>
    <w:rsid w:val="00664110"/>
    <w:rsid w:val="00664402"/>
    <w:rsid w:val="00664D17"/>
    <w:rsid w:val="006660BD"/>
    <w:rsid w:val="00666520"/>
    <w:rsid w:val="00667C5B"/>
    <w:rsid w:val="00667D24"/>
    <w:rsid w:val="00671370"/>
    <w:rsid w:val="00671D9F"/>
    <w:rsid w:val="00671FD4"/>
    <w:rsid w:val="00673258"/>
    <w:rsid w:val="00673DC0"/>
    <w:rsid w:val="00691EB8"/>
    <w:rsid w:val="00692CDE"/>
    <w:rsid w:val="00693073"/>
    <w:rsid w:val="0069444A"/>
    <w:rsid w:val="00696161"/>
    <w:rsid w:val="006977FF"/>
    <w:rsid w:val="006A00EF"/>
    <w:rsid w:val="006A01FA"/>
    <w:rsid w:val="006A0E9E"/>
    <w:rsid w:val="006A25C7"/>
    <w:rsid w:val="006A33E5"/>
    <w:rsid w:val="006A341C"/>
    <w:rsid w:val="006A3ECF"/>
    <w:rsid w:val="006A4AAD"/>
    <w:rsid w:val="006A4CCA"/>
    <w:rsid w:val="006A5BB8"/>
    <w:rsid w:val="006A6DA2"/>
    <w:rsid w:val="006A7AB2"/>
    <w:rsid w:val="006B0765"/>
    <w:rsid w:val="006B0A35"/>
    <w:rsid w:val="006B1744"/>
    <w:rsid w:val="006B52DE"/>
    <w:rsid w:val="006B5717"/>
    <w:rsid w:val="006B582F"/>
    <w:rsid w:val="006B5D75"/>
    <w:rsid w:val="006B5EB2"/>
    <w:rsid w:val="006B6B3D"/>
    <w:rsid w:val="006B770D"/>
    <w:rsid w:val="006B77F1"/>
    <w:rsid w:val="006C0CEB"/>
    <w:rsid w:val="006C1631"/>
    <w:rsid w:val="006C307B"/>
    <w:rsid w:val="006C3B1E"/>
    <w:rsid w:val="006C47FD"/>
    <w:rsid w:val="006C534F"/>
    <w:rsid w:val="006C5C19"/>
    <w:rsid w:val="006C5FD4"/>
    <w:rsid w:val="006C6981"/>
    <w:rsid w:val="006C70A0"/>
    <w:rsid w:val="006D07D7"/>
    <w:rsid w:val="006D0D7A"/>
    <w:rsid w:val="006D0E14"/>
    <w:rsid w:val="006D27CB"/>
    <w:rsid w:val="006D2F08"/>
    <w:rsid w:val="006D37C9"/>
    <w:rsid w:val="006D38CE"/>
    <w:rsid w:val="006D576C"/>
    <w:rsid w:val="006D5865"/>
    <w:rsid w:val="006D5969"/>
    <w:rsid w:val="006D79BC"/>
    <w:rsid w:val="006E260E"/>
    <w:rsid w:val="006E4B1B"/>
    <w:rsid w:val="006E5445"/>
    <w:rsid w:val="006E7D93"/>
    <w:rsid w:val="006F25C7"/>
    <w:rsid w:val="006F6274"/>
    <w:rsid w:val="0070133D"/>
    <w:rsid w:val="007029A3"/>
    <w:rsid w:val="00706E4E"/>
    <w:rsid w:val="007075B1"/>
    <w:rsid w:val="0070791C"/>
    <w:rsid w:val="00710F17"/>
    <w:rsid w:val="00711BBE"/>
    <w:rsid w:val="00712625"/>
    <w:rsid w:val="00713578"/>
    <w:rsid w:val="0071383C"/>
    <w:rsid w:val="007141A7"/>
    <w:rsid w:val="007145E2"/>
    <w:rsid w:val="0071481E"/>
    <w:rsid w:val="00715233"/>
    <w:rsid w:val="00715722"/>
    <w:rsid w:val="00715BAF"/>
    <w:rsid w:val="00715F63"/>
    <w:rsid w:val="00716593"/>
    <w:rsid w:val="00721032"/>
    <w:rsid w:val="00721B55"/>
    <w:rsid w:val="00722495"/>
    <w:rsid w:val="00722836"/>
    <w:rsid w:val="00723507"/>
    <w:rsid w:val="00723784"/>
    <w:rsid w:val="007248F0"/>
    <w:rsid w:val="00726CE4"/>
    <w:rsid w:val="00730C2E"/>
    <w:rsid w:val="00731A56"/>
    <w:rsid w:val="0073252B"/>
    <w:rsid w:val="00732848"/>
    <w:rsid w:val="00733219"/>
    <w:rsid w:val="00734143"/>
    <w:rsid w:val="00736736"/>
    <w:rsid w:val="00737E47"/>
    <w:rsid w:val="00740C6A"/>
    <w:rsid w:val="00740EAC"/>
    <w:rsid w:val="007412FC"/>
    <w:rsid w:val="00743293"/>
    <w:rsid w:val="00744956"/>
    <w:rsid w:val="00744E7C"/>
    <w:rsid w:val="00745A5C"/>
    <w:rsid w:val="0074605F"/>
    <w:rsid w:val="00747E94"/>
    <w:rsid w:val="00750285"/>
    <w:rsid w:val="00754C83"/>
    <w:rsid w:val="00755ED2"/>
    <w:rsid w:val="00761279"/>
    <w:rsid w:val="0076143A"/>
    <w:rsid w:val="00761E5C"/>
    <w:rsid w:val="00762CE0"/>
    <w:rsid w:val="00765DF8"/>
    <w:rsid w:val="00766152"/>
    <w:rsid w:val="00766749"/>
    <w:rsid w:val="00767527"/>
    <w:rsid w:val="00767C1B"/>
    <w:rsid w:val="00770B3F"/>
    <w:rsid w:val="007714A9"/>
    <w:rsid w:val="00772437"/>
    <w:rsid w:val="007726B8"/>
    <w:rsid w:val="00773143"/>
    <w:rsid w:val="00774F88"/>
    <w:rsid w:val="00774FDB"/>
    <w:rsid w:val="0077538E"/>
    <w:rsid w:val="00777BA2"/>
    <w:rsid w:val="007807C4"/>
    <w:rsid w:val="00781408"/>
    <w:rsid w:val="00784F7F"/>
    <w:rsid w:val="007854E7"/>
    <w:rsid w:val="007863A7"/>
    <w:rsid w:val="007878BD"/>
    <w:rsid w:val="007903E4"/>
    <w:rsid w:val="007928C9"/>
    <w:rsid w:val="00793411"/>
    <w:rsid w:val="00795584"/>
    <w:rsid w:val="00796F25"/>
    <w:rsid w:val="007A1F7F"/>
    <w:rsid w:val="007A2E98"/>
    <w:rsid w:val="007A3BA3"/>
    <w:rsid w:val="007A4A4E"/>
    <w:rsid w:val="007A6CC0"/>
    <w:rsid w:val="007A7FEC"/>
    <w:rsid w:val="007B0B2B"/>
    <w:rsid w:val="007B0E2B"/>
    <w:rsid w:val="007B1499"/>
    <w:rsid w:val="007B1BBF"/>
    <w:rsid w:val="007B2891"/>
    <w:rsid w:val="007B2960"/>
    <w:rsid w:val="007B3265"/>
    <w:rsid w:val="007B32B5"/>
    <w:rsid w:val="007B355D"/>
    <w:rsid w:val="007B7980"/>
    <w:rsid w:val="007C0DEF"/>
    <w:rsid w:val="007C1531"/>
    <w:rsid w:val="007C415C"/>
    <w:rsid w:val="007C4FFD"/>
    <w:rsid w:val="007C5D5A"/>
    <w:rsid w:val="007C607F"/>
    <w:rsid w:val="007C79DD"/>
    <w:rsid w:val="007D049F"/>
    <w:rsid w:val="007D1A97"/>
    <w:rsid w:val="007D2CD6"/>
    <w:rsid w:val="007D3063"/>
    <w:rsid w:val="007D3CEB"/>
    <w:rsid w:val="007E2000"/>
    <w:rsid w:val="007E2A97"/>
    <w:rsid w:val="007E5A94"/>
    <w:rsid w:val="007E5FF1"/>
    <w:rsid w:val="007E7683"/>
    <w:rsid w:val="007F082B"/>
    <w:rsid w:val="007F2191"/>
    <w:rsid w:val="007F49FA"/>
    <w:rsid w:val="007F54C4"/>
    <w:rsid w:val="007F5876"/>
    <w:rsid w:val="007F6D4E"/>
    <w:rsid w:val="007F6E9A"/>
    <w:rsid w:val="00800CCD"/>
    <w:rsid w:val="008010B5"/>
    <w:rsid w:val="00801FEB"/>
    <w:rsid w:val="00802479"/>
    <w:rsid w:val="008044D4"/>
    <w:rsid w:val="00810AB4"/>
    <w:rsid w:val="00811B2A"/>
    <w:rsid w:val="00812251"/>
    <w:rsid w:val="00815170"/>
    <w:rsid w:val="00817B56"/>
    <w:rsid w:val="008213BF"/>
    <w:rsid w:val="00821A88"/>
    <w:rsid w:val="0082322E"/>
    <w:rsid w:val="00823814"/>
    <w:rsid w:val="00823CE6"/>
    <w:rsid w:val="0082495D"/>
    <w:rsid w:val="0083139C"/>
    <w:rsid w:val="00831AC3"/>
    <w:rsid w:val="00831E6E"/>
    <w:rsid w:val="00834802"/>
    <w:rsid w:val="00834E44"/>
    <w:rsid w:val="00836FCE"/>
    <w:rsid w:val="008408FF"/>
    <w:rsid w:val="00843926"/>
    <w:rsid w:val="00847EC9"/>
    <w:rsid w:val="00851672"/>
    <w:rsid w:val="00851E1C"/>
    <w:rsid w:val="00851F3F"/>
    <w:rsid w:val="00854CB8"/>
    <w:rsid w:val="00856658"/>
    <w:rsid w:val="00856EDC"/>
    <w:rsid w:val="00861D42"/>
    <w:rsid w:val="00861F23"/>
    <w:rsid w:val="008623B5"/>
    <w:rsid w:val="00864CA2"/>
    <w:rsid w:val="00865C31"/>
    <w:rsid w:val="00866E34"/>
    <w:rsid w:val="00870ABA"/>
    <w:rsid w:val="008710E1"/>
    <w:rsid w:val="008716E5"/>
    <w:rsid w:val="00872661"/>
    <w:rsid w:val="008735BD"/>
    <w:rsid w:val="00873E75"/>
    <w:rsid w:val="00874812"/>
    <w:rsid w:val="00876ECC"/>
    <w:rsid w:val="00881023"/>
    <w:rsid w:val="008812FF"/>
    <w:rsid w:val="00881CA9"/>
    <w:rsid w:val="008820B9"/>
    <w:rsid w:val="00883628"/>
    <w:rsid w:val="0088544B"/>
    <w:rsid w:val="00885544"/>
    <w:rsid w:val="0088634E"/>
    <w:rsid w:val="008912BA"/>
    <w:rsid w:val="0089187A"/>
    <w:rsid w:val="0089352B"/>
    <w:rsid w:val="00893AB8"/>
    <w:rsid w:val="00895237"/>
    <w:rsid w:val="00895877"/>
    <w:rsid w:val="008962B6"/>
    <w:rsid w:val="00896A7C"/>
    <w:rsid w:val="008971D9"/>
    <w:rsid w:val="008975E2"/>
    <w:rsid w:val="008A04C8"/>
    <w:rsid w:val="008A167D"/>
    <w:rsid w:val="008A4066"/>
    <w:rsid w:val="008A665B"/>
    <w:rsid w:val="008A6913"/>
    <w:rsid w:val="008B0128"/>
    <w:rsid w:val="008B1C47"/>
    <w:rsid w:val="008B4FFB"/>
    <w:rsid w:val="008B70F3"/>
    <w:rsid w:val="008B71C4"/>
    <w:rsid w:val="008B76DF"/>
    <w:rsid w:val="008C10F4"/>
    <w:rsid w:val="008C162D"/>
    <w:rsid w:val="008C2E00"/>
    <w:rsid w:val="008C65F7"/>
    <w:rsid w:val="008D3299"/>
    <w:rsid w:val="008D542D"/>
    <w:rsid w:val="008D5BAD"/>
    <w:rsid w:val="008D663B"/>
    <w:rsid w:val="008E0428"/>
    <w:rsid w:val="008E1A98"/>
    <w:rsid w:val="008E2A3A"/>
    <w:rsid w:val="008E3043"/>
    <w:rsid w:val="008E426F"/>
    <w:rsid w:val="008E4767"/>
    <w:rsid w:val="008E5730"/>
    <w:rsid w:val="008E5E0E"/>
    <w:rsid w:val="008E7A8C"/>
    <w:rsid w:val="008F272B"/>
    <w:rsid w:val="00900B7D"/>
    <w:rsid w:val="0090203B"/>
    <w:rsid w:val="0090241A"/>
    <w:rsid w:val="00903285"/>
    <w:rsid w:val="00906F40"/>
    <w:rsid w:val="0090731E"/>
    <w:rsid w:val="00907768"/>
    <w:rsid w:val="00907B95"/>
    <w:rsid w:val="009138E2"/>
    <w:rsid w:val="00915AE2"/>
    <w:rsid w:val="00915B1C"/>
    <w:rsid w:val="009166D2"/>
    <w:rsid w:val="009174F3"/>
    <w:rsid w:val="0091797D"/>
    <w:rsid w:val="00921884"/>
    <w:rsid w:val="00923C5E"/>
    <w:rsid w:val="00923CBA"/>
    <w:rsid w:val="00926703"/>
    <w:rsid w:val="00927691"/>
    <w:rsid w:val="009279CB"/>
    <w:rsid w:val="00927A5F"/>
    <w:rsid w:val="00930510"/>
    <w:rsid w:val="00932318"/>
    <w:rsid w:val="00932AAB"/>
    <w:rsid w:val="0093507D"/>
    <w:rsid w:val="00935B63"/>
    <w:rsid w:val="00936E95"/>
    <w:rsid w:val="0094078F"/>
    <w:rsid w:val="00940FA3"/>
    <w:rsid w:val="00941FB0"/>
    <w:rsid w:val="009426D4"/>
    <w:rsid w:val="009478C6"/>
    <w:rsid w:val="00947F25"/>
    <w:rsid w:val="00950159"/>
    <w:rsid w:val="0095490B"/>
    <w:rsid w:val="00955A0B"/>
    <w:rsid w:val="00955FDE"/>
    <w:rsid w:val="00960A33"/>
    <w:rsid w:val="00961DE5"/>
    <w:rsid w:val="00964273"/>
    <w:rsid w:val="00967FCE"/>
    <w:rsid w:val="0097146A"/>
    <w:rsid w:val="0097187A"/>
    <w:rsid w:val="00971914"/>
    <w:rsid w:val="00973124"/>
    <w:rsid w:val="00974363"/>
    <w:rsid w:val="009768A5"/>
    <w:rsid w:val="00976D2F"/>
    <w:rsid w:val="00980312"/>
    <w:rsid w:val="009812B0"/>
    <w:rsid w:val="00981898"/>
    <w:rsid w:val="00981E32"/>
    <w:rsid w:val="0098750A"/>
    <w:rsid w:val="00990B8C"/>
    <w:rsid w:val="009911B7"/>
    <w:rsid w:val="00992159"/>
    <w:rsid w:val="00992A41"/>
    <w:rsid w:val="00993140"/>
    <w:rsid w:val="0099577C"/>
    <w:rsid w:val="009A021C"/>
    <w:rsid w:val="009A1642"/>
    <w:rsid w:val="009A25CC"/>
    <w:rsid w:val="009A2C66"/>
    <w:rsid w:val="009A39A2"/>
    <w:rsid w:val="009A5802"/>
    <w:rsid w:val="009B24A5"/>
    <w:rsid w:val="009B2601"/>
    <w:rsid w:val="009B4E9E"/>
    <w:rsid w:val="009C0920"/>
    <w:rsid w:val="009C1690"/>
    <w:rsid w:val="009C3525"/>
    <w:rsid w:val="009C5BBF"/>
    <w:rsid w:val="009C6881"/>
    <w:rsid w:val="009C7759"/>
    <w:rsid w:val="009D043D"/>
    <w:rsid w:val="009D07C8"/>
    <w:rsid w:val="009D4C85"/>
    <w:rsid w:val="009D6C71"/>
    <w:rsid w:val="009E0399"/>
    <w:rsid w:val="009E0631"/>
    <w:rsid w:val="009E16D0"/>
    <w:rsid w:val="009E2051"/>
    <w:rsid w:val="009E20D3"/>
    <w:rsid w:val="009E2457"/>
    <w:rsid w:val="009E2C66"/>
    <w:rsid w:val="009E38FD"/>
    <w:rsid w:val="009E761D"/>
    <w:rsid w:val="009F047B"/>
    <w:rsid w:val="009F13D6"/>
    <w:rsid w:val="009F47FB"/>
    <w:rsid w:val="009F4C6B"/>
    <w:rsid w:val="009F6976"/>
    <w:rsid w:val="009F78A8"/>
    <w:rsid w:val="00A01748"/>
    <w:rsid w:val="00A017E0"/>
    <w:rsid w:val="00A02AD6"/>
    <w:rsid w:val="00A03D30"/>
    <w:rsid w:val="00A04A0B"/>
    <w:rsid w:val="00A04D6A"/>
    <w:rsid w:val="00A052C2"/>
    <w:rsid w:val="00A07096"/>
    <w:rsid w:val="00A07318"/>
    <w:rsid w:val="00A10898"/>
    <w:rsid w:val="00A10D61"/>
    <w:rsid w:val="00A11370"/>
    <w:rsid w:val="00A15712"/>
    <w:rsid w:val="00A17036"/>
    <w:rsid w:val="00A2186E"/>
    <w:rsid w:val="00A224CE"/>
    <w:rsid w:val="00A22522"/>
    <w:rsid w:val="00A23307"/>
    <w:rsid w:val="00A2491C"/>
    <w:rsid w:val="00A24AFD"/>
    <w:rsid w:val="00A24F5C"/>
    <w:rsid w:val="00A26A8A"/>
    <w:rsid w:val="00A304CD"/>
    <w:rsid w:val="00A32F96"/>
    <w:rsid w:val="00A3793D"/>
    <w:rsid w:val="00A37ACA"/>
    <w:rsid w:val="00A40871"/>
    <w:rsid w:val="00A412AB"/>
    <w:rsid w:val="00A4193E"/>
    <w:rsid w:val="00A436ED"/>
    <w:rsid w:val="00A440E0"/>
    <w:rsid w:val="00A442EF"/>
    <w:rsid w:val="00A47C0D"/>
    <w:rsid w:val="00A51D1A"/>
    <w:rsid w:val="00A52A27"/>
    <w:rsid w:val="00A5418D"/>
    <w:rsid w:val="00A5474E"/>
    <w:rsid w:val="00A54F83"/>
    <w:rsid w:val="00A62EC9"/>
    <w:rsid w:val="00A63E0C"/>
    <w:rsid w:val="00A64234"/>
    <w:rsid w:val="00A6603A"/>
    <w:rsid w:val="00A662EF"/>
    <w:rsid w:val="00A67134"/>
    <w:rsid w:val="00A70ADF"/>
    <w:rsid w:val="00A71466"/>
    <w:rsid w:val="00A741F7"/>
    <w:rsid w:val="00A74B5E"/>
    <w:rsid w:val="00A81BED"/>
    <w:rsid w:val="00A81EC4"/>
    <w:rsid w:val="00A824E8"/>
    <w:rsid w:val="00A82661"/>
    <w:rsid w:val="00A87F08"/>
    <w:rsid w:val="00A87F2C"/>
    <w:rsid w:val="00A90DD2"/>
    <w:rsid w:val="00A90ED3"/>
    <w:rsid w:val="00A914BF"/>
    <w:rsid w:val="00A96480"/>
    <w:rsid w:val="00A967FD"/>
    <w:rsid w:val="00A971F0"/>
    <w:rsid w:val="00AA2B1D"/>
    <w:rsid w:val="00AA2DE5"/>
    <w:rsid w:val="00AA55CE"/>
    <w:rsid w:val="00AB00ED"/>
    <w:rsid w:val="00AB0B48"/>
    <w:rsid w:val="00AB1158"/>
    <w:rsid w:val="00AB156C"/>
    <w:rsid w:val="00AB28A0"/>
    <w:rsid w:val="00AB42B5"/>
    <w:rsid w:val="00AB4389"/>
    <w:rsid w:val="00AB6814"/>
    <w:rsid w:val="00AB687B"/>
    <w:rsid w:val="00AB6EBA"/>
    <w:rsid w:val="00AC0082"/>
    <w:rsid w:val="00AC04BA"/>
    <w:rsid w:val="00AC0E39"/>
    <w:rsid w:val="00AC1F54"/>
    <w:rsid w:val="00AC459E"/>
    <w:rsid w:val="00AC4BCD"/>
    <w:rsid w:val="00AC50FC"/>
    <w:rsid w:val="00AC7FC5"/>
    <w:rsid w:val="00AD0843"/>
    <w:rsid w:val="00AD3082"/>
    <w:rsid w:val="00AD32B4"/>
    <w:rsid w:val="00AD39CD"/>
    <w:rsid w:val="00AD419E"/>
    <w:rsid w:val="00AD4AD0"/>
    <w:rsid w:val="00AD5436"/>
    <w:rsid w:val="00AD60CD"/>
    <w:rsid w:val="00AD6C8C"/>
    <w:rsid w:val="00AE091D"/>
    <w:rsid w:val="00AE1A97"/>
    <w:rsid w:val="00AE2568"/>
    <w:rsid w:val="00AE312E"/>
    <w:rsid w:val="00AE3B60"/>
    <w:rsid w:val="00AE53A1"/>
    <w:rsid w:val="00AF1A0F"/>
    <w:rsid w:val="00AF2484"/>
    <w:rsid w:val="00AF456B"/>
    <w:rsid w:val="00AF51FC"/>
    <w:rsid w:val="00AF5DFE"/>
    <w:rsid w:val="00AF63E7"/>
    <w:rsid w:val="00AF6E17"/>
    <w:rsid w:val="00B0165D"/>
    <w:rsid w:val="00B01B60"/>
    <w:rsid w:val="00B02390"/>
    <w:rsid w:val="00B031F3"/>
    <w:rsid w:val="00B03503"/>
    <w:rsid w:val="00B04FF0"/>
    <w:rsid w:val="00B052A4"/>
    <w:rsid w:val="00B06BF8"/>
    <w:rsid w:val="00B0742D"/>
    <w:rsid w:val="00B1036F"/>
    <w:rsid w:val="00B118F4"/>
    <w:rsid w:val="00B125DE"/>
    <w:rsid w:val="00B13FDD"/>
    <w:rsid w:val="00B147B0"/>
    <w:rsid w:val="00B213D9"/>
    <w:rsid w:val="00B22598"/>
    <w:rsid w:val="00B22EB2"/>
    <w:rsid w:val="00B234AC"/>
    <w:rsid w:val="00B2603B"/>
    <w:rsid w:val="00B267C2"/>
    <w:rsid w:val="00B27442"/>
    <w:rsid w:val="00B31167"/>
    <w:rsid w:val="00B329D8"/>
    <w:rsid w:val="00B32BB9"/>
    <w:rsid w:val="00B33AE1"/>
    <w:rsid w:val="00B37C38"/>
    <w:rsid w:val="00B4288C"/>
    <w:rsid w:val="00B43262"/>
    <w:rsid w:val="00B44100"/>
    <w:rsid w:val="00B4419A"/>
    <w:rsid w:val="00B46CBA"/>
    <w:rsid w:val="00B46F94"/>
    <w:rsid w:val="00B4706E"/>
    <w:rsid w:val="00B509A8"/>
    <w:rsid w:val="00B52365"/>
    <w:rsid w:val="00B6003C"/>
    <w:rsid w:val="00B61F03"/>
    <w:rsid w:val="00B626E4"/>
    <w:rsid w:val="00B65B6A"/>
    <w:rsid w:val="00B72F4A"/>
    <w:rsid w:val="00B77D03"/>
    <w:rsid w:val="00B81E09"/>
    <w:rsid w:val="00B83C27"/>
    <w:rsid w:val="00B84BC3"/>
    <w:rsid w:val="00B84BDD"/>
    <w:rsid w:val="00B8765D"/>
    <w:rsid w:val="00B92812"/>
    <w:rsid w:val="00B933CF"/>
    <w:rsid w:val="00BA6C7B"/>
    <w:rsid w:val="00BB026A"/>
    <w:rsid w:val="00BB45A1"/>
    <w:rsid w:val="00BB6335"/>
    <w:rsid w:val="00BB7686"/>
    <w:rsid w:val="00BB7802"/>
    <w:rsid w:val="00BC1BAC"/>
    <w:rsid w:val="00BC23F9"/>
    <w:rsid w:val="00BC26A7"/>
    <w:rsid w:val="00BC3421"/>
    <w:rsid w:val="00BC5067"/>
    <w:rsid w:val="00BC55F4"/>
    <w:rsid w:val="00BC732C"/>
    <w:rsid w:val="00BD1353"/>
    <w:rsid w:val="00BD1D68"/>
    <w:rsid w:val="00BD3264"/>
    <w:rsid w:val="00BD4421"/>
    <w:rsid w:val="00BD6E36"/>
    <w:rsid w:val="00BE2580"/>
    <w:rsid w:val="00BE266D"/>
    <w:rsid w:val="00BE3938"/>
    <w:rsid w:val="00BE4254"/>
    <w:rsid w:val="00BE4C11"/>
    <w:rsid w:val="00BE71C0"/>
    <w:rsid w:val="00BF167B"/>
    <w:rsid w:val="00BF610C"/>
    <w:rsid w:val="00BF768B"/>
    <w:rsid w:val="00C0060B"/>
    <w:rsid w:val="00C01A6C"/>
    <w:rsid w:val="00C01E3A"/>
    <w:rsid w:val="00C02295"/>
    <w:rsid w:val="00C0277D"/>
    <w:rsid w:val="00C02F26"/>
    <w:rsid w:val="00C053A1"/>
    <w:rsid w:val="00C106BB"/>
    <w:rsid w:val="00C16198"/>
    <w:rsid w:val="00C2083D"/>
    <w:rsid w:val="00C21279"/>
    <w:rsid w:val="00C2219A"/>
    <w:rsid w:val="00C22419"/>
    <w:rsid w:val="00C24A53"/>
    <w:rsid w:val="00C259EF"/>
    <w:rsid w:val="00C27BD8"/>
    <w:rsid w:val="00C31185"/>
    <w:rsid w:val="00C34A05"/>
    <w:rsid w:val="00C35CCE"/>
    <w:rsid w:val="00C37EC1"/>
    <w:rsid w:val="00C4032F"/>
    <w:rsid w:val="00C41F21"/>
    <w:rsid w:val="00C428D8"/>
    <w:rsid w:val="00C43E7E"/>
    <w:rsid w:val="00C44047"/>
    <w:rsid w:val="00C4410F"/>
    <w:rsid w:val="00C45155"/>
    <w:rsid w:val="00C45787"/>
    <w:rsid w:val="00C464D7"/>
    <w:rsid w:val="00C468F0"/>
    <w:rsid w:val="00C51A0E"/>
    <w:rsid w:val="00C53054"/>
    <w:rsid w:val="00C533BD"/>
    <w:rsid w:val="00C5498F"/>
    <w:rsid w:val="00C54D95"/>
    <w:rsid w:val="00C5501F"/>
    <w:rsid w:val="00C55235"/>
    <w:rsid w:val="00C608C7"/>
    <w:rsid w:val="00C628D7"/>
    <w:rsid w:val="00C64CD0"/>
    <w:rsid w:val="00C659E2"/>
    <w:rsid w:val="00C65F61"/>
    <w:rsid w:val="00C6684F"/>
    <w:rsid w:val="00C70E70"/>
    <w:rsid w:val="00C74F54"/>
    <w:rsid w:val="00C755E8"/>
    <w:rsid w:val="00C75F8D"/>
    <w:rsid w:val="00C77380"/>
    <w:rsid w:val="00C7750D"/>
    <w:rsid w:val="00C77E25"/>
    <w:rsid w:val="00C821D6"/>
    <w:rsid w:val="00C833C5"/>
    <w:rsid w:val="00C84FF9"/>
    <w:rsid w:val="00C87E8A"/>
    <w:rsid w:val="00C913D6"/>
    <w:rsid w:val="00C9195C"/>
    <w:rsid w:val="00C91963"/>
    <w:rsid w:val="00C97736"/>
    <w:rsid w:val="00CA0EA3"/>
    <w:rsid w:val="00CA2258"/>
    <w:rsid w:val="00CA2698"/>
    <w:rsid w:val="00CA2BFA"/>
    <w:rsid w:val="00CA345A"/>
    <w:rsid w:val="00CA6E7E"/>
    <w:rsid w:val="00CA788F"/>
    <w:rsid w:val="00CB1095"/>
    <w:rsid w:val="00CB1481"/>
    <w:rsid w:val="00CB1E82"/>
    <w:rsid w:val="00CB26B8"/>
    <w:rsid w:val="00CB35C4"/>
    <w:rsid w:val="00CB4BA8"/>
    <w:rsid w:val="00CB52D7"/>
    <w:rsid w:val="00CC3BB2"/>
    <w:rsid w:val="00CC480C"/>
    <w:rsid w:val="00CC4815"/>
    <w:rsid w:val="00CC5CE8"/>
    <w:rsid w:val="00CC6732"/>
    <w:rsid w:val="00CC7159"/>
    <w:rsid w:val="00CD44DA"/>
    <w:rsid w:val="00CD6ACF"/>
    <w:rsid w:val="00CE1F9E"/>
    <w:rsid w:val="00CE24AD"/>
    <w:rsid w:val="00CE3077"/>
    <w:rsid w:val="00CE3C96"/>
    <w:rsid w:val="00CE4CE7"/>
    <w:rsid w:val="00CE51A8"/>
    <w:rsid w:val="00CF03CF"/>
    <w:rsid w:val="00CF0BFE"/>
    <w:rsid w:val="00CF30D4"/>
    <w:rsid w:val="00CF369B"/>
    <w:rsid w:val="00CF6BF7"/>
    <w:rsid w:val="00CF71CE"/>
    <w:rsid w:val="00D00E28"/>
    <w:rsid w:val="00D0157A"/>
    <w:rsid w:val="00D0269E"/>
    <w:rsid w:val="00D037A5"/>
    <w:rsid w:val="00D03D5E"/>
    <w:rsid w:val="00D041DD"/>
    <w:rsid w:val="00D05D6C"/>
    <w:rsid w:val="00D060AE"/>
    <w:rsid w:val="00D11BA8"/>
    <w:rsid w:val="00D12089"/>
    <w:rsid w:val="00D15810"/>
    <w:rsid w:val="00D1593A"/>
    <w:rsid w:val="00D16D4E"/>
    <w:rsid w:val="00D16FE3"/>
    <w:rsid w:val="00D1728E"/>
    <w:rsid w:val="00D175C6"/>
    <w:rsid w:val="00D20294"/>
    <w:rsid w:val="00D212C5"/>
    <w:rsid w:val="00D243D2"/>
    <w:rsid w:val="00D24F87"/>
    <w:rsid w:val="00D27F41"/>
    <w:rsid w:val="00D307C2"/>
    <w:rsid w:val="00D32635"/>
    <w:rsid w:val="00D36441"/>
    <w:rsid w:val="00D4064E"/>
    <w:rsid w:val="00D40C79"/>
    <w:rsid w:val="00D41C2A"/>
    <w:rsid w:val="00D43B47"/>
    <w:rsid w:val="00D44E9B"/>
    <w:rsid w:val="00D47AEB"/>
    <w:rsid w:val="00D47E02"/>
    <w:rsid w:val="00D50DB9"/>
    <w:rsid w:val="00D51302"/>
    <w:rsid w:val="00D5243D"/>
    <w:rsid w:val="00D52C43"/>
    <w:rsid w:val="00D61243"/>
    <w:rsid w:val="00D61485"/>
    <w:rsid w:val="00D62D9D"/>
    <w:rsid w:val="00D6317C"/>
    <w:rsid w:val="00D64423"/>
    <w:rsid w:val="00D64A44"/>
    <w:rsid w:val="00D6507F"/>
    <w:rsid w:val="00D655CF"/>
    <w:rsid w:val="00D72734"/>
    <w:rsid w:val="00D730BC"/>
    <w:rsid w:val="00D73912"/>
    <w:rsid w:val="00D73CC9"/>
    <w:rsid w:val="00D75C44"/>
    <w:rsid w:val="00D775A4"/>
    <w:rsid w:val="00D82401"/>
    <w:rsid w:val="00D82A94"/>
    <w:rsid w:val="00D84CBE"/>
    <w:rsid w:val="00D85226"/>
    <w:rsid w:val="00D87B94"/>
    <w:rsid w:val="00D92D49"/>
    <w:rsid w:val="00D92DA6"/>
    <w:rsid w:val="00D92EC1"/>
    <w:rsid w:val="00D94DC9"/>
    <w:rsid w:val="00D96DEA"/>
    <w:rsid w:val="00D97D8E"/>
    <w:rsid w:val="00DA4E41"/>
    <w:rsid w:val="00DB0592"/>
    <w:rsid w:val="00DB117A"/>
    <w:rsid w:val="00DB1479"/>
    <w:rsid w:val="00DB40F5"/>
    <w:rsid w:val="00DB5173"/>
    <w:rsid w:val="00DB729A"/>
    <w:rsid w:val="00DB7873"/>
    <w:rsid w:val="00DB7BE4"/>
    <w:rsid w:val="00DC187B"/>
    <w:rsid w:val="00DC56F0"/>
    <w:rsid w:val="00DC6D28"/>
    <w:rsid w:val="00DC7C22"/>
    <w:rsid w:val="00DD0F74"/>
    <w:rsid w:val="00DD1A43"/>
    <w:rsid w:val="00DD1C6A"/>
    <w:rsid w:val="00DD368D"/>
    <w:rsid w:val="00DD4AFD"/>
    <w:rsid w:val="00DD6A8C"/>
    <w:rsid w:val="00DD6D1D"/>
    <w:rsid w:val="00DD73C2"/>
    <w:rsid w:val="00DE1299"/>
    <w:rsid w:val="00DE319B"/>
    <w:rsid w:val="00DE49AB"/>
    <w:rsid w:val="00DE4F2D"/>
    <w:rsid w:val="00DE6531"/>
    <w:rsid w:val="00DE6C6F"/>
    <w:rsid w:val="00DF1B7B"/>
    <w:rsid w:val="00DF1C7D"/>
    <w:rsid w:val="00DF26F9"/>
    <w:rsid w:val="00DF2B24"/>
    <w:rsid w:val="00DF34FE"/>
    <w:rsid w:val="00DF56AA"/>
    <w:rsid w:val="00DF56AF"/>
    <w:rsid w:val="00DF78E7"/>
    <w:rsid w:val="00DF7B17"/>
    <w:rsid w:val="00DF7CDB"/>
    <w:rsid w:val="00E034ED"/>
    <w:rsid w:val="00E04B56"/>
    <w:rsid w:val="00E1107C"/>
    <w:rsid w:val="00E110E0"/>
    <w:rsid w:val="00E1306E"/>
    <w:rsid w:val="00E13DE9"/>
    <w:rsid w:val="00E15371"/>
    <w:rsid w:val="00E17774"/>
    <w:rsid w:val="00E21056"/>
    <w:rsid w:val="00E21783"/>
    <w:rsid w:val="00E219B9"/>
    <w:rsid w:val="00E23010"/>
    <w:rsid w:val="00E24104"/>
    <w:rsid w:val="00E25563"/>
    <w:rsid w:val="00E27CD8"/>
    <w:rsid w:val="00E27D3C"/>
    <w:rsid w:val="00E302D0"/>
    <w:rsid w:val="00E31963"/>
    <w:rsid w:val="00E35707"/>
    <w:rsid w:val="00E36AA1"/>
    <w:rsid w:val="00E415E5"/>
    <w:rsid w:val="00E41ECB"/>
    <w:rsid w:val="00E42676"/>
    <w:rsid w:val="00E43589"/>
    <w:rsid w:val="00E449C3"/>
    <w:rsid w:val="00E45CD1"/>
    <w:rsid w:val="00E46331"/>
    <w:rsid w:val="00E549E5"/>
    <w:rsid w:val="00E54FDB"/>
    <w:rsid w:val="00E5536D"/>
    <w:rsid w:val="00E55CEE"/>
    <w:rsid w:val="00E5617D"/>
    <w:rsid w:val="00E563D7"/>
    <w:rsid w:val="00E571E0"/>
    <w:rsid w:val="00E65042"/>
    <w:rsid w:val="00E663F4"/>
    <w:rsid w:val="00E666F2"/>
    <w:rsid w:val="00E66DD4"/>
    <w:rsid w:val="00E6717E"/>
    <w:rsid w:val="00E672AE"/>
    <w:rsid w:val="00E70A06"/>
    <w:rsid w:val="00E71872"/>
    <w:rsid w:val="00E74163"/>
    <w:rsid w:val="00E74391"/>
    <w:rsid w:val="00E748CC"/>
    <w:rsid w:val="00E7498E"/>
    <w:rsid w:val="00E74CC2"/>
    <w:rsid w:val="00E74F15"/>
    <w:rsid w:val="00E75415"/>
    <w:rsid w:val="00E775B1"/>
    <w:rsid w:val="00E776E3"/>
    <w:rsid w:val="00E810A7"/>
    <w:rsid w:val="00E8152A"/>
    <w:rsid w:val="00E834FD"/>
    <w:rsid w:val="00E86F18"/>
    <w:rsid w:val="00E9074A"/>
    <w:rsid w:val="00E93629"/>
    <w:rsid w:val="00E93B5C"/>
    <w:rsid w:val="00E94CEC"/>
    <w:rsid w:val="00E952E6"/>
    <w:rsid w:val="00E95AC8"/>
    <w:rsid w:val="00E96234"/>
    <w:rsid w:val="00E97B4F"/>
    <w:rsid w:val="00EA04EF"/>
    <w:rsid w:val="00EA0969"/>
    <w:rsid w:val="00EA6C79"/>
    <w:rsid w:val="00EA6F19"/>
    <w:rsid w:val="00EB340E"/>
    <w:rsid w:val="00EB7090"/>
    <w:rsid w:val="00EB7649"/>
    <w:rsid w:val="00EB7987"/>
    <w:rsid w:val="00EB7A37"/>
    <w:rsid w:val="00EC0551"/>
    <w:rsid w:val="00EC1BBE"/>
    <w:rsid w:val="00EC2B68"/>
    <w:rsid w:val="00EC3AEF"/>
    <w:rsid w:val="00EC5CD7"/>
    <w:rsid w:val="00EC6834"/>
    <w:rsid w:val="00EC7158"/>
    <w:rsid w:val="00ED05F9"/>
    <w:rsid w:val="00ED2821"/>
    <w:rsid w:val="00ED6718"/>
    <w:rsid w:val="00EE5FB3"/>
    <w:rsid w:val="00EE7909"/>
    <w:rsid w:val="00EE7F79"/>
    <w:rsid w:val="00EF0951"/>
    <w:rsid w:val="00EF0D73"/>
    <w:rsid w:val="00EF715A"/>
    <w:rsid w:val="00F00274"/>
    <w:rsid w:val="00F01B06"/>
    <w:rsid w:val="00F04893"/>
    <w:rsid w:val="00F066E2"/>
    <w:rsid w:val="00F06975"/>
    <w:rsid w:val="00F06E14"/>
    <w:rsid w:val="00F06FFE"/>
    <w:rsid w:val="00F07162"/>
    <w:rsid w:val="00F12D34"/>
    <w:rsid w:val="00F17177"/>
    <w:rsid w:val="00F179D4"/>
    <w:rsid w:val="00F22177"/>
    <w:rsid w:val="00F22A23"/>
    <w:rsid w:val="00F2337A"/>
    <w:rsid w:val="00F245C9"/>
    <w:rsid w:val="00F2724B"/>
    <w:rsid w:val="00F30537"/>
    <w:rsid w:val="00F30E9D"/>
    <w:rsid w:val="00F31007"/>
    <w:rsid w:val="00F3260B"/>
    <w:rsid w:val="00F33C56"/>
    <w:rsid w:val="00F347C7"/>
    <w:rsid w:val="00F34848"/>
    <w:rsid w:val="00F361D7"/>
    <w:rsid w:val="00F361FE"/>
    <w:rsid w:val="00F40327"/>
    <w:rsid w:val="00F411BD"/>
    <w:rsid w:val="00F42D41"/>
    <w:rsid w:val="00F42D46"/>
    <w:rsid w:val="00F43966"/>
    <w:rsid w:val="00F4496C"/>
    <w:rsid w:val="00F44F3A"/>
    <w:rsid w:val="00F45977"/>
    <w:rsid w:val="00F460D2"/>
    <w:rsid w:val="00F46868"/>
    <w:rsid w:val="00F46B21"/>
    <w:rsid w:val="00F5051A"/>
    <w:rsid w:val="00F51F10"/>
    <w:rsid w:val="00F529A5"/>
    <w:rsid w:val="00F52F14"/>
    <w:rsid w:val="00F5310D"/>
    <w:rsid w:val="00F53DDA"/>
    <w:rsid w:val="00F574D2"/>
    <w:rsid w:val="00F57543"/>
    <w:rsid w:val="00F60F00"/>
    <w:rsid w:val="00F614C0"/>
    <w:rsid w:val="00F7039B"/>
    <w:rsid w:val="00F71D9A"/>
    <w:rsid w:val="00F721F1"/>
    <w:rsid w:val="00F738C3"/>
    <w:rsid w:val="00F73AAA"/>
    <w:rsid w:val="00F816DE"/>
    <w:rsid w:val="00F81BB4"/>
    <w:rsid w:val="00F83848"/>
    <w:rsid w:val="00F84E01"/>
    <w:rsid w:val="00F86134"/>
    <w:rsid w:val="00F90F4D"/>
    <w:rsid w:val="00F92DDB"/>
    <w:rsid w:val="00F93CD6"/>
    <w:rsid w:val="00F94F42"/>
    <w:rsid w:val="00F975E9"/>
    <w:rsid w:val="00FA006F"/>
    <w:rsid w:val="00FA04CE"/>
    <w:rsid w:val="00FA1B7D"/>
    <w:rsid w:val="00FA2334"/>
    <w:rsid w:val="00FB26DF"/>
    <w:rsid w:val="00FB5F33"/>
    <w:rsid w:val="00FC07B9"/>
    <w:rsid w:val="00FC3813"/>
    <w:rsid w:val="00FC4E21"/>
    <w:rsid w:val="00FC5F6D"/>
    <w:rsid w:val="00FD0107"/>
    <w:rsid w:val="00FD0803"/>
    <w:rsid w:val="00FD0F48"/>
    <w:rsid w:val="00FD1D7B"/>
    <w:rsid w:val="00FD2C16"/>
    <w:rsid w:val="00FD2C2F"/>
    <w:rsid w:val="00FD3B31"/>
    <w:rsid w:val="00FD6195"/>
    <w:rsid w:val="00FE027D"/>
    <w:rsid w:val="00FE1823"/>
    <w:rsid w:val="00FE38AE"/>
    <w:rsid w:val="00FE3969"/>
    <w:rsid w:val="00FE47DF"/>
    <w:rsid w:val="00FE487A"/>
    <w:rsid w:val="00FE5AEE"/>
    <w:rsid w:val="00FF0569"/>
    <w:rsid w:val="00FF206E"/>
    <w:rsid w:val="00FF3A4E"/>
    <w:rsid w:val="00FF3C69"/>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red,#4d4d4f"/>
    </o:shapedefaults>
    <o:shapelayout v:ext="edit">
      <o:idmap v:ext="edit" data="2"/>
    </o:shapelayout>
  </w:shapeDefaults>
  <w:decimalSymbol w:val="."/>
  <w:listSeparator w:val=","/>
  <w14:docId w14:val="37E889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index 1" w:semiHidden="1" w:unhideWhenUsed="1"/>
    <w:lsdException w:name="index 2" w:semiHidden="1"/>
    <w:lsdException w:name="index 3" w:semiHidden="1"/>
    <w:lsdException w:name="index 4" w:semiHidden="1"/>
    <w:lsdException w:name="index 5" w:semiHidden="1"/>
    <w:lsdException w:name="index 6" w:semiHidden="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qFormat="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lsdException w:name="Block Text" w:semiHidden="1"/>
    <w:lsdException w:name="Hyperlink" w:uiPriority="99" w:qFormat="1"/>
    <w:lsdException w:name="Strong" w:semiHidden="1"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qFormat="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390D91"/>
    <w:pPr>
      <w:spacing w:after="240" w:line="240" w:lineRule="atLeast"/>
    </w:pPr>
    <w:rPr>
      <w:rFonts w:ascii="Arial" w:hAnsi="Arial"/>
      <w:sz w:val="20"/>
    </w:rPr>
  </w:style>
  <w:style w:type="paragraph" w:styleId="Heading1">
    <w:name w:val="heading 1"/>
    <w:basedOn w:val="Normal"/>
    <w:next w:val="Normal"/>
    <w:link w:val="Heading1Char"/>
    <w:uiPriority w:val="1"/>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Paragraph"/>
    <w:link w:val="Heading2Char"/>
    <w:uiPriority w:val="1"/>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uiPriority w:val="2"/>
    <w:qFormat/>
    <w:rsid w:val="00C55235"/>
    <w:pPr>
      <w:keepNext/>
      <w:spacing w:before="60" w:after="60"/>
      <w:outlineLvl w:val="2"/>
    </w:pPr>
    <w:rPr>
      <w:rFonts w:cs="Arial"/>
      <w:b/>
      <w:bCs/>
      <w:szCs w:val="26"/>
    </w:rPr>
  </w:style>
  <w:style w:type="paragraph" w:styleId="Heading4">
    <w:name w:val="heading 4"/>
    <w:basedOn w:val="BodySubHeader"/>
    <w:next w:val="Normal"/>
    <w:uiPriority w:val="3"/>
    <w:qFormat/>
    <w:rsid w:val="005B2F0D"/>
    <w:pPr>
      <w:outlineLvl w:val="3"/>
    </w:pPr>
    <w:rPr>
      <w:rFonts w:cs="Arial"/>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semiHidden/>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semiHidden/>
    <w:rsid w:val="00EC2B68"/>
    <w:rPr>
      <w:rFonts w:ascii="Arial" w:hAnsi="Arial"/>
      <w:color w:val="323232"/>
      <w:sz w:val="16"/>
    </w:rPr>
  </w:style>
  <w:style w:type="paragraph" w:customStyle="1" w:styleId="Reporttitle">
    <w:name w:val="Report title"/>
    <w:basedOn w:val="Normal"/>
    <w:uiPriority w:val="19"/>
    <w:qFormat/>
    <w:rsid w:val="00A51D1A"/>
    <w:pPr>
      <w:spacing w:after="0" w:line="560" w:lineRule="exact"/>
    </w:pPr>
    <w:rPr>
      <w:b/>
      <w:spacing w:val="-28"/>
      <w:sz w:val="53"/>
    </w:rPr>
  </w:style>
  <w:style w:type="paragraph" w:customStyle="1" w:styleId="Reportsubtitle">
    <w:name w:val="Report subtitle"/>
    <w:basedOn w:val="Normal"/>
    <w:uiPriority w:val="20"/>
    <w:qFormat/>
    <w:rsid w:val="00950159"/>
    <w:pPr>
      <w:spacing w:after="200" w:line="560" w:lineRule="exact"/>
    </w:pPr>
    <w:rPr>
      <w:color w:val="323232"/>
      <w:spacing w:val="-28"/>
      <w:sz w:val="53"/>
    </w:rPr>
  </w:style>
  <w:style w:type="table" w:styleId="TableGrid">
    <w:name w:val="Table Grid"/>
    <w:basedOn w:val="TableNormal"/>
    <w:uiPriority w:val="5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950159"/>
    <w:pPr>
      <w:spacing w:after="1200" w:line="240" w:lineRule="auto"/>
    </w:pPr>
    <w:rPr>
      <w:caps/>
      <w:spacing w:val="-10"/>
      <w:sz w:val="20"/>
    </w:rPr>
  </w:style>
  <w:style w:type="paragraph" w:customStyle="1" w:styleId="Tableheaderrow">
    <w:name w:val="Table header row"/>
    <w:basedOn w:val="Normal"/>
    <w:uiPriority w:val="14"/>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semiHidden/>
    <w:qFormat/>
    <w:rsid w:val="00950159"/>
    <w:pPr>
      <w:spacing w:before="1200" w:line="240" w:lineRule="auto"/>
    </w:pPr>
    <w:rPr>
      <w:b/>
      <w:color w:val="323232"/>
      <w:spacing w:val="-28"/>
      <w:sz w:val="53"/>
    </w:rPr>
  </w:style>
  <w:style w:type="paragraph" w:styleId="Caption">
    <w:name w:val="caption"/>
    <w:aliases w:val="Caption table"/>
    <w:basedOn w:val="Normal"/>
    <w:next w:val="Normal"/>
    <w:semiHidden/>
    <w:qFormat/>
    <w:rsid w:val="00E8152A"/>
    <w:pPr>
      <w:numPr>
        <w:numId w:val="9"/>
      </w:numPr>
      <w:spacing w:after="0"/>
    </w:pPr>
    <w:rPr>
      <w:b/>
      <w:bCs/>
      <w:color w:val="323232"/>
      <w:szCs w:val="20"/>
    </w:rPr>
  </w:style>
  <w:style w:type="paragraph" w:customStyle="1" w:styleId="BodySubHeader">
    <w:name w:val="BodySubHeader"/>
    <w:basedOn w:val="Normal"/>
    <w:next w:val="Normal"/>
    <w:semiHidden/>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semiHidden/>
    <w:qFormat/>
    <w:rsid w:val="001C6AEE"/>
    <w:pPr>
      <w:numPr>
        <w:numId w:val="2"/>
      </w:numPr>
      <w:spacing w:after="80"/>
    </w:pPr>
  </w:style>
  <w:style w:type="paragraph" w:styleId="ListNumber">
    <w:name w:val="List Number"/>
    <w:basedOn w:val="Normal"/>
    <w:semiHidden/>
    <w:qFormat/>
    <w:rsid w:val="00C24A53"/>
    <w:pPr>
      <w:numPr>
        <w:numId w:val="3"/>
      </w:numPr>
      <w:spacing w:after="80"/>
    </w:pPr>
  </w:style>
  <w:style w:type="paragraph" w:styleId="ListNumber2">
    <w:name w:val="List Number 2"/>
    <w:basedOn w:val="Normal"/>
    <w:semiHidden/>
    <w:qFormat/>
    <w:rsid w:val="004A70D6"/>
    <w:pPr>
      <w:numPr>
        <w:numId w:val="4"/>
      </w:numPr>
      <w:spacing w:after="80"/>
      <w:ind w:left="828" w:hanging="357"/>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uiPriority w:val="22"/>
    <w:qFormat/>
    <w:rsid w:val="006B52DE"/>
    <w:pPr>
      <w:pageBreakBefore/>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ListContinue5">
    <w:name w:val="List Continue 5"/>
    <w:basedOn w:val="Normal"/>
    <w:semiHidden/>
    <w:rsid w:val="00EC2B68"/>
    <w:pPr>
      <w:spacing w:after="120"/>
      <w:ind w:left="1415"/>
      <w:contextualSpacing/>
    </w:pPr>
  </w:style>
  <w:style w:type="paragraph" w:customStyle="1" w:styleId="Paragraphbeforelist">
    <w:name w:val="Paragraph before list"/>
    <w:basedOn w:val="Paragraph"/>
    <w:uiPriority w:val="4"/>
    <w:qFormat/>
    <w:rsid w:val="00C87E8A"/>
    <w:pPr>
      <w:spacing w:after="80"/>
    </w:p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C35CCE"/>
    <w:rPr>
      <w:color w:val="0000FF"/>
      <w:u w:val="single" w:color="0000FF"/>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Style 13,FR"/>
    <w:basedOn w:val="DefaultParagraphFont"/>
    <w:uiPriority w:val="99"/>
    <w:qFormat/>
    <w:rsid w:val="00566AB4"/>
    <w:rPr>
      <w:rFonts w:ascii="Arial" w:hAnsi="Arial"/>
      <w:vertAlign w:val="superscript"/>
    </w:rPr>
  </w:style>
  <w:style w:type="paragraph" w:styleId="FootnoteText">
    <w:name w:val="footnote text"/>
    <w:aliases w:val="Footnote text,ACMA Footnote Text,ABA Footnote Text,footnote text,Footnote Text Char1,Footnote Text Char Char,Footnote Text Char1 Char Char,Footnote Text Char Char Char Char,Footnote Text Char1 Char Char Char Char,f,fn,ALTS FOOTNOTE"/>
    <w:basedOn w:val="Normal"/>
    <w:link w:val="FootnoteTextChar"/>
    <w:uiPriority w:val="99"/>
    <w:qFormat/>
    <w:rsid w:val="00D61243"/>
    <w:pPr>
      <w:spacing w:after="0"/>
    </w:pPr>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uiPriority w:val="99"/>
    <w:qFormat/>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semiHidden/>
    <w:unhideWhenUsed/>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paragraph" w:customStyle="1" w:styleId="Bulletlevel1">
    <w:name w:val="Bullet level 1"/>
    <w:basedOn w:val="ListBullet"/>
    <w:uiPriority w:val="5"/>
    <w:qFormat/>
    <w:rsid w:val="00A824E8"/>
    <w:rPr>
      <w:rFonts w:cs="Arial"/>
    </w:rPr>
  </w:style>
  <w:style w:type="paragraph" w:customStyle="1" w:styleId="ACMACorporateAddressHeader">
    <w:name w:val="ACMA_CorporateAddressHeader"/>
    <w:basedOn w:val="Normal"/>
    <w:next w:val="ACMACorporateAddresses"/>
    <w:semiHidden/>
    <w:unhideWhenUsed/>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C07B9"/>
    <w:pPr>
      <w:spacing w:before="0" w:after="120"/>
    </w:pPr>
    <w:rPr>
      <w:b w:val="0"/>
    </w:rPr>
  </w:style>
  <w:style w:type="paragraph" w:customStyle="1" w:styleId="ACMACopyrightHeader">
    <w:name w:val="ACMA_CopyrightHeader"/>
    <w:basedOn w:val="ACMACorporateAddressHeader"/>
    <w:semiHidden/>
    <w:unhideWhenUsed/>
    <w:qFormat/>
    <w:rsid w:val="00950159"/>
    <w:pPr>
      <w:spacing w:before="3000"/>
    </w:pPr>
  </w:style>
  <w:style w:type="paragraph" w:customStyle="1" w:styleId="ACMACClogo">
    <w:name w:val="ACMA_CClogo"/>
    <w:semiHidden/>
    <w:unhideWhenUsed/>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semiHidden/>
    <w:qFormat/>
    <w:rsid w:val="00C16198"/>
    <w:pPr>
      <w:spacing w:after="240"/>
      <w:ind w:left="357" w:hanging="357"/>
    </w:pPr>
    <w:rPr>
      <w:rFonts w:cs="Arial"/>
    </w:rPr>
  </w:style>
  <w:style w:type="paragraph" w:customStyle="1" w:styleId="ACMATableHeader">
    <w:name w:val="ACMA_TableHeader"/>
    <w:qFormat/>
    <w:rsid w:val="003F10EE"/>
    <w:pPr>
      <w:numPr>
        <w:numId w:val="7"/>
      </w:numPr>
      <w:spacing w:after="160"/>
    </w:pPr>
    <w:rPr>
      <w:rFonts w:ascii="Arial" w:hAnsi="Arial"/>
      <w:b/>
      <w:bCs/>
      <w:color w:val="323232"/>
      <w:sz w:val="20"/>
      <w:szCs w:val="20"/>
    </w:rPr>
  </w:style>
  <w:style w:type="paragraph" w:customStyle="1" w:styleId="ACMANotes">
    <w:name w:val="ACMA_Notes"/>
    <w:semiHidden/>
    <w:rsid w:val="00FF206E"/>
    <w:pPr>
      <w:spacing w:before="80"/>
    </w:pPr>
    <w:rPr>
      <w:rFonts w:ascii="Arial" w:hAnsi="Arial" w:cs="Arial"/>
      <w:i/>
      <w:sz w:val="16"/>
    </w:rPr>
  </w:style>
  <w:style w:type="paragraph" w:customStyle="1" w:styleId="Numberlistlevel1">
    <w:name w:val="Number list level 1"/>
    <w:basedOn w:val="ListNumber"/>
    <w:uiPriority w:val="9"/>
    <w:qFormat/>
    <w:rsid w:val="004A70D6"/>
  </w:style>
  <w:style w:type="character" w:styleId="Emphasis">
    <w:name w:val="Emphasis"/>
    <w:basedOn w:val="DefaultParagraphFont"/>
    <w:semiHidden/>
    <w:qFormat/>
    <w:rsid w:val="006D576C"/>
    <w:rPr>
      <w:i/>
      <w:iCs/>
    </w:rPr>
  </w:style>
  <w:style w:type="paragraph" w:customStyle="1" w:styleId="ListNumber2Last">
    <w:name w:val="List Number 2 Last"/>
    <w:basedOn w:val="ListNumber2"/>
    <w:semiHidden/>
    <w:qFormat/>
    <w:rsid w:val="00E35707"/>
    <w:pPr>
      <w:spacing w:after="240"/>
      <w:ind w:left="907"/>
    </w:pPr>
    <w:rPr>
      <w:rFonts w:cs="Arial"/>
    </w:rPr>
  </w:style>
  <w:style w:type="paragraph" w:customStyle="1" w:styleId="Spaceaftertable">
    <w:name w:val="Space after table"/>
    <w:basedOn w:val="Normal"/>
    <w:uiPriority w:val="99"/>
    <w:qFormat/>
    <w:rsid w:val="00C2083D"/>
    <w:rPr>
      <w:rFonts w:cs="Arial"/>
    </w:rPr>
  </w:style>
  <w:style w:type="paragraph" w:customStyle="1" w:styleId="FooterLeft">
    <w:name w:val="Footer Left"/>
    <w:basedOn w:val="Footer"/>
    <w:semiHidden/>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tabs>
        <w:tab w:val="num" w:pos="1021"/>
      </w:tabs>
      <w:spacing w:after="160"/>
      <w:ind w:left="1021"/>
    </w:pPr>
    <w:rPr>
      <w:rFonts w:ascii="Arial" w:hAnsi="Arial"/>
      <w:b/>
      <w:bCs/>
      <w:color w:val="323232"/>
      <w:sz w:val="20"/>
      <w:szCs w:val="20"/>
    </w:rPr>
  </w:style>
  <w:style w:type="paragraph" w:customStyle="1" w:styleId="Captionfigure">
    <w:name w:val="Caption figure"/>
    <w:basedOn w:val="Caption"/>
    <w:semiHidden/>
    <w:qFormat/>
    <w:rsid w:val="00E8152A"/>
    <w:pPr>
      <w:keepNext/>
      <w:numPr>
        <w:numId w:val="8"/>
      </w:numPr>
    </w:pPr>
    <w:rPr>
      <w:rFonts w:cs="Arial"/>
    </w:rPr>
  </w:style>
  <w:style w:type="paragraph" w:customStyle="1" w:styleId="GridTable31">
    <w:name w:val="Grid Table 31"/>
    <w:basedOn w:val="Normal"/>
    <w:semiHidden/>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1Char">
    <w:name w:val="Heading 1 Char"/>
    <w:basedOn w:val="DefaultParagraphFont"/>
    <w:link w:val="Heading1"/>
    <w:uiPriority w:val="1"/>
    <w:rsid w:val="00F5310D"/>
    <w:rPr>
      <w:rFonts w:ascii="Arial" w:hAnsi="Arial" w:cs="Arial"/>
      <w:bCs/>
      <w:color w:val="323232"/>
      <w:kern w:val="32"/>
      <w:sz w:val="53"/>
      <w:szCs w:val="32"/>
    </w:rPr>
  </w:style>
  <w:style w:type="character" w:customStyle="1" w:styleId="Heading2Char">
    <w:name w:val="Heading 2 Char"/>
    <w:aliases w:val="RIS Heading 2 Char"/>
    <w:basedOn w:val="DefaultParagraphFont"/>
    <w:link w:val="Heading2"/>
    <w:uiPriority w:val="1"/>
    <w:rsid w:val="00800CCD"/>
    <w:rPr>
      <w:rFonts w:ascii="Arial" w:hAnsi="Arial" w:cs="Arial"/>
      <w:b/>
      <w:bCs/>
      <w:iCs/>
      <w:sz w:val="28"/>
      <w:szCs w:val="28"/>
    </w:rPr>
  </w:style>
  <w:style w:type="character" w:styleId="UnresolvedMention">
    <w:name w:val="Unresolved Mention"/>
    <w:basedOn w:val="DefaultParagraphFont"/>
    <w:uiPriority w:val="99"/>
    <w:semiHidden/>
    <w:unhideWhenUsed/>
    <w:rsid w:val="006B52DE"/>
    <w:rPr>
      <w:color w:val="605E5C"/>
      <w:shd w:val="clear" w:color="auto" w:fill="E1DFDD"/>
    </w:rPr>
  </w:style>
  <w:style w:type="character" w:customStyle="1" w:styleId="Heading3Char">
    <w:name w:val="Heading 3 Char"/>
    <w:basedOn w:val="DefaultParagraphFont"/>
    <w:link w:val="Heading3"/>
    <w:uiPriority w:val="2"/>
    <w:rsid w:val="00390D91"/>
    <w:rPr>
      <w:rFonts w:ascii="Arial" w:hAnsi="Arial" w:cs="Arial"/>
      <w:b/>
      <w:bCs/>
      <w:sz w:val="20"/>
      <w:szCs w:val="26"/>
    </w:rPr>
  </w:style>
  <w:style w:type="paragraph" w:customStyle="1" w:styleId="Paragraph">
    <w:name w:val="Paragraph"/>
    <w:basedOn w:val="Normal"/>
    <w:qFormat/>
    <w:rsid w:val="00A824E8"/>
    <w:rPr>
      <w:rFonts w:cs="Arial"/>
    </w:rPr>
  </w:style>
  <w:style w:type="paragraph" w:customStyle="1" w:styleId="Bulletlevel2">
    <w:name w:val="Bullet level 2"/>
    <w:basedOn w:val="ListBullet2"/>
    <w:uiPriority w:val="7"/>
    <w:qFormat/>
    <w:rsid w:val="00D43B47"/>
    <w:rPr>
      <w:rFonts w:cs="Arial"/>
    </w:rPr>
  </w:style>
  <w:style w:type="paragraph" w:customStyle="1" w:styleId="Bulletlevel1last">
    <w:name w:val="Bullet level 1 last"/>
    <w:basedOn w:val="ListBulletLast"/>
    <w:uiPriority w:val="6"/>
    <w:qFormat/>
    <w:rsid w:val="00A824E8"/>
  </w:style>
  <w:style w:type="paragraph" w:customStyle="1" w:styleId="Numberlistlevel2">
    <w:name w:val="Number list level 2"/>
    <w:basedOn w:val="ListNumber2"/>
    <w:uiPriority w:val="11"/>
    <w:qFormat/>
    <w:rsid w:val="00801FEB"/>
    <w:pPr>
      <w:ind w:left="766" w:hanging="295"/>
    </w:pPr>
  </w:style>
  <w:style w:type="paragraph" w:customStyle="1" w:styleId="Numberlistlast">
    <w:name w:val="Number list last"/>
    <w:basedOn w:val="ListNumberLast"/>
    <w:uiPriority w:val="10"/>
    <w:qFormat/>
    <w:rsid w:val="004A70D6"/>
  </w:style>
  <w:style w:type="paragraph" w:customStyle="1" w:styleId="Numberlistlevel2last">
    <w:name w:val="Number list level 2 last"/>
    <w:basedOn w:val="Numberlistlevel2"/>
    <w:uiPriority w:val="12"/>
    <w:qFormat/>
    <w:rsid w:val="004A70D6"/>
    <w:pPr>
      <w:spacing w:after="240"/>
    </w:pPr>
  </w:style>
  <w:style w:type="paragraph" w:customStyle="1" w:styleId="Bulletlevel2last">
    <w:name w:val="Bullet level 2 last"/>
    <w:basedOn w:val="Bulletlevel2"/>
    <w:uiPriority w:val="8"/>
    <w:qFormat/>
    <w:rsid w:val="004A70D6"/>
    <w:pPr>
      <w:spacing w:after="240"/>
    </w:pPr>
  </w:style>
  <w:style w:type="table" w:customStyle="1" w:styleId="ACMAtablestyle">
    <w:name w:val="ACMA table style"/>
    <w:basedOn w:val="TableNormal"/>
    <w:uiPriority w:val="99"/>
    <w:rsid w:val="00F361D7"/>
    <w:rPr>
      <w:rFonts w:ascii="Arial" w:hAnsi="Arial"/>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57" w:type="dxa"/>
        <w:bottom w:w="85" w:type="dxa"/>
        <w:right w:w="57"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Pr/>
      <w:tcPr>
        <w:shd w:val="clear" w:color="auto" w:fill="F2F2F2" w:themeFill="background1" w:themeFillShade="F2"/>
      </w:tcPr>
    </w:tblStylePr>
    <w:tblStylePr w:type="band2Horz">
      <w:rPr>
        <w:rFonts w:ascii="Arial" w:hAnsi="Arial"/>
        <w:sz w:val="20"/>
      </w:rPr>
    </w:tblStylePr>
  </w:style>
  <w:style w:type="paragraph" w:customStyle="1" w:styleId="Tableheading">
    <w:name w:val="Table heading"/>
    <w:basedOn w:val="ACMATableHeader"/>
    <w:next w:val="Paragraph"/>
    <w:uiPriority w:val="13"/>
    <w:qFormat/>
    <w:rsid w:val="0063346D"/>
    <w:pPr>
      <w:keepNext/>
      <w:spacing w:line="240" w:lineRule="atLeast"/>
    </w:pPr>
  </w:style>
  <w:style w:type="paragraph" w:customStyle="1" w:styleId="Tableorfigurenote">
    <w:name w:val="Table or figure note"/>
    <w:basedOn w:val="ACMANotes"/>
    <w:uiPriority w:val="17"/>
    <w:qFormat/>
    <w:rsid w:val="00930510"/>
    <w:pPr>
      <w:spacing w:after="240"/>
    </w:pPr>
  </w:style>
  <w:style w:type="paragraph" w:customStyle="1" w:styleId="Figureheading">
    <w:name w:val="Figure heading"/>
    <w:basedOn w:val="ACMAFigureHeader"/>
    <w:next w:val="Paragraph"/>
    <w:uiPriority w:val="16"/>
    <w:qFormat/>
    <w:rsid w:val="0063346D"/>
    <w:pPr>
      <w:keepNext/>
      <w:spacing w:line="240" w:lineRule="atLeast"/>
    </w:pPr>
  </w:style>
  <w:style w:type="paragraph" w:customStyle="1" w:styleId="Tableorfigurenotemultiple">
    <w:name w:val="Table or figure note multiple"/>
    <w:basedOn w:val="Tableorfigurenote"/>
    <w:uiPriority w:val="18"/>
    <w:qFormat/>
    <w:rsid w:val="00930510"/>
    <w:pPr>
      <w:spacing w:after="80"/>
    </w:pPr>
  </w:style>
  <w:style w:type="paragraph" w:styleId="BalloonText">
    <w:name w:val="Balloon Text"/>
    <w:basedOn w:val="Normal"/>
    <w:link w:val="BalloonTextChar"/>
    <w:semiHidden/>
    <w:unhideWhenUsed/>
    <w:rsid w:val="003933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3933E8"/>
    <w:rPr>
      <w:rFonts w:ascii="Segoe UI" w:hAnsi="Segoe UI" w:cs="Segoe UI"/>
      <w:sz w:val="18"/>
      <w:szCs w:val="18"/>
    </w:rPr>
  </w:style>
  <w:style w:type="paragraph" w:customStyle="1" w:styleId="Note">
    <w:name w:val="Note"/>
    <w:basedOn w:val="ACMANotes"/>
    <w:uiPriority w:val="23"/>
    <w:semiHidden/>
    <w:qFormat/>
    <w:rsid w:val="00D61243"/>
  </w:style>
  <w:style w:type="paragraph" w:customStyle="1" w:styleId="Protectivemarking">
    <w:name w:val="Protective marking"/>
    <w:basedOn w:val="Normal"/>
    <w:uiPriority w:val="99"/>
    <w:qFormat/>
    <w:rsid w:val="00390D91"/>
    <w:pPr>
      <w:tabs>
        <w:tab w:val="left" w:pos="720"/>
      </w:tabs>
      <w:spacing w:after="0" w:line="240" w:lineRule="auto"/>
      <w:jc w:val="center"/>
    </w:pPr>
    <w:rPr>
      <w:rFonts w:cs="Arial"/>
      <w:b/>
      <w:bCs/>
      <w:color w:val="FF0000"/>
      <w:sz w:val="32"/>
      <w:lang w:eastAsia="en-US"/>
    </w:rPr>
  </w:style>
  <w:style w:type="paragraph" w:styleId="Revision">
    <w:name w:val="Revision"/>
    <w:hidden/>
    <w:semiHidden/>
    <w:rsid w:val="00023A36"/>
    <w:rPr>
      <w:rFonts w:ascii="Arial" w:hAnsi="Arial"/>
      <w:sz w:val="20"/>
    </w:rPr>
  </w:style>
  <w:style w:type="paragraph" w:styleId="ListParagraph">
    <w:name w:val="List Paragraph"/>
    <w:aliases w:val="List Paragraph1,Recommendation"/>
    <w:basedOn w:val="Normal"/>
    <w:link w:val="ListParagraphChar"/>
    <w:uiPriority w:val="34"/>
    <w:qFormat/>
    <w:rsid w:val="006D0E14"/>
    <w:pPr>
      <w:spacing w:after="200" w:line="276" w:lineRule="auto"/>
      <w:ind w:left="720"/>
      <w:contextualSpacing/>
    </w:pPr>
    <w:rPr>
      <w:rFonts w:ascii="Calibri" w:eastAsia="Calibri" w:hAnsi="Calibri"/>
      <w:sz w:val="22"/>
      <w:szCs w:val="22"/>
      <w:lang w:eastAsia="en-US"/>
    </w:rPr>
  </w:style>
  <w:style w:type="character" w:customStyle="1" w:styleId="ListParagraphChar">
    <w:name w:val="List Paragraph Char"/>
    <w:aliases w:val="List Paragraph1 Char,Recommendation Char"/>
    <w:basedOn w:val="DefaultParagraphFont"/>
    <w:link w:val="ListParagraph"/>
    <w:uiPriority w:val="34"/>
    <w:locked/>
    <w:rsid w:val="006D0E14"/>
    <w:rPr>
      <w:rFonts w:ascii="Calibri" w:eastAsia="Calibri" w:hAnsi="Calibri"/>
      <w:sz w:val="22"/>
      <w:szCs w:val="22"/>
      <w:lang w:eastAsia="en-US"/>
    </w:rPr>
  </w:style>
  <w:style w:type="paragraph" w:customStyle="1" w:styleId="TableHeading0">
    <w:name w:val="Table Heading"/>
    <w:basedOn w:val="Normal"/>
    <w:qFormat/>
    <w:rsid w:val="006D0E14"/>
    <w:pPr>
      <w:spacing w:after="0"/>
    </w:pPr>
    <w:rPr>
      <w:b/>
    </w:rPr>
  </w:style>
  <w:style w:type="character" w:customStyle="1" w:styleId="FootnoteTextChar">
    <w:name w:val="Footnote Text Char"/>
    <w:aliases w:val="Footnote text Char,ACMA Footnote Text Char,ABA Footnote Text Char,footnote text Char,Footnote Text Char1 Char,Footnote Text Char Char Char,Footnote Text Char1 Char Char Char,Footnote Text Char Char Char Char Char,f Char,fn Char"/>
    <w:basedOn w:val="DefaultParagraphFont"/>
    <w:link w:val="FootnoteText"/>
    <w:uiPriority w:val="99"/>
    <w:qFormat/>
    <w:rsid w:val="002F5B9C"/>
    <w:rPr>
      <w:rFonts w:ascii="Arial" w:hAnsi="Arial"/>
      <w:sz w:val="16"/>
      <w:szCs w:val="16"/>
    </w:rPr>
  </w:style>
  <w:style w:type="paragraph" w:customStyle="1" w:styleId="ACMASpaceaftertable">
    <w:name w:val="ACMA_Space after table"/>
    <w:basedOn w:val="Normal"/>
    <w:qFormat/>
    <w:rsid w:val="002F5B9C"/>
    <w:pPr>
      <w:keepLines/>
      <w:spacing w:after="120"/>
    </w:pPr>
    <w:rPr>
      <w:rFonts w:cs="Arial"/>
    </w:rPr>
  </w:style>
  <w:style w:type="character" w:customStyle="1" w:styleId="normaltextrun">
    <w:name w:val="normaltextrun"/>
    <w:basedOn w:val="DefaultParagraphFont"/>
    <w:rsid w:val="00392A96"/>
  </w:style>
  <w:style w:type="character" w:customStyle="1" w:styleId="ListBulletChar">
    <w:name w:val="List Bullet Char"/>
    <w:aliases w:val="List Bullet 1 Char"/>
    <w:basedOn w:val="DefaultParagraphFont"/>
    <w:link w:val="ListBullet"/>
    <w:rsid w:val="009E20D3"/>
    <w:rPr>
      <w:rFonts w:ascii="Arial" w:hAnsi="Arial"/>
      <w:sz w:val="20"/>
    </w:rPr>
  </w:style>
  <w:style w:type="paragraph" w:customStyle="1" w:styleId="Default">
    <w:name w:val="Default"/>
    <w:rsid w:val="000C3AE6"/>
    <w:pPr>
      <w:autoSpaceDE w:val="0"/>
      <w:autoSpaceDN w:val="0"/>
      <w:adjustRightInd w:val="0"/>
    </w:pPr>
    <w:rPr>
      <w:rFonts w:ascii="Arial" w:hAnsi="Arial" w:cs="Arial"/>
      <w:color w:val="000000"/>
    </w:rPr>
  </w:style>
  <w:style w:type="paragraph" w:customStyle="1" w:styleId="pf0">
    <w:name w:val="pf0"/>
    <w:basedOn w:val="Normal"/>
    <w:rsid w:val="0037635C"/>
    <w:pPr>
      <w:spacing w:before="100" w:beforeAutospacing="1" w:after="100" w:afterAutospacing="1" w:line="240" w:lineRule="auto"/>
    </w:pPr>
    <w:rPr>
      <w:rFonts w:ascii="Times New Roman" w:hAnsi="Times New Roman"/>
      <w:sz w:val="24"/>
    </w:rPr>
  </w:style>
  <w:style w:type="character" w:customStyle="1" w:styleId="cf01">
    <w:name w:val="cf01"/>
    <w:basedOn w:val="DefaultParagraphFont"/>
    <w:rsid w:val="0037635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81948">
      <w:bodyDiv w:val="1"/>
      <w:marLeft w:val="0"/>
      <w:marRight w:val="0"/>
      <w:marTop w:val="0"/>
      <w:marBottom w:val="0"/>
      <w:divBdr>
        <w:top w:val="none" w:sz="0" w:space="0" w:color="auto"/>
        <w:left w:val="none" w:sz="0" w:space="0" w:color="auto"/>
        <w:bottom w:val="none" w:sz="0" w:space="0" w:color="auto"/>
        <w:right w:val="none" w:sz="0" w:space="0" w:color="auto"/>
      </w:divBdr>
    </w:div>
    <w:div w:id="282813674">
      <w:bodyDiv w:val="1"/>
      <w:marLeft w:val="0"/>
      <w:marRight w:val="0"/>
      <w:marTop w:val="0"/>
      <w:marBottom w:val="0"/>
      <w:divBdr>
        <w:top w:val="none" w:sz="0" w:space="0" w:color="auto"/>
        <w:left w:val="none" w:sz="0" w:space="0" w:color="auto"/>
        <w:bottom w:val="none" w:sz="0" w:space="0" w:color="auto"/>
        <w:right w:val="none" w:sz="0" w:space="0" w:color="auto"/>
      </w:divBdr>
    </w:div>
    <w:div w:id="432363201">
      <w:bodyDiv w:val="1"/>
      <w:marLeft w:val="0"/>
      <w:marRight w:val="0"/>
      <w:marTop w:val="0"/>
      <w:marBottom w:val="0"/>
      <w:divBdr>
        <w:top w:val="none" w:sz="0" w:space="0" w:color="auto"/>
        <w:left w:val="none" w:sz="0" w:space="0" w:color="auto"/>
        <w:bottom w:val="none" w:sz="0" w:space="0" w:color="auto"/>
        <w:right w:val="none" w:sz="0" w:space="0" w:color="auto"/>
      </w:divBdr>
    </w:div>
    <w:div w:id="454832622">
      <w:bodyDiv w:val="1"/>
      <w:marLeft w:val="0"/>
      <w:marRight w:val="0"/>
      <w:marTop w:val="0"/>
      <w:marBottom w:val="0"/>
      <w:divBdr>
        <w:top w:val="none" w:sz="0" w:space="0" w:color="auto"/>
        <w:left w:val="none" w:sz="0" w:space="0" w:color="auto"/>
        <w:bottom w:val="none" w:sz="0" w:space="0" w:color="auto"/>
        <w:right w:val="none" w:sz="0" w:space="0" w:color="auto"/>
      </w:divBdr>
    </w:div>
    <w:div w:id="489256407">
      <w:bodyDiv w:val="1"/>
      <w:marLeft w:val="0"/>
      <w:marRight w:val="0"/>
      <w:marTop w:val="0"/>
      <w:marBottom w:val="0"/>
      <w:divBdr>
        <w:top w:val="none" w:sz="0" w:space="0" w:color="auto"/>
        <w:left w:val="none" w:sz="0" w:space="0" w:color="auto"/>
        <w:bottom w:val="none" w:sz="0" w:space="0" w:color="auto"/>
        <w:right w:val="none" w:sz="0" w:space="0" w:color="auto"/>
      </w:divBdr>
    </w:div>
    <w:div w:id="491868453">
      <w:bodyDiv w:val="1"/>
      <w:marLeft w:val="0"/>
      <w:marRight w:val="0"/>
      <w:marTop w:val="0"/>
      <w:marBottom w:val="0"/>
      <w:divBdr>
        <w:top w:val="none" w:sz="0" w:space="0" w:color="auto"/>
        <w:left w:val="none" w:sz="0" w:space="0" w:color="auto"/>
        <w:bottom w:val="none" w:sz="0" w:space="0" w:color="auto"/>
        <w:right w:val="none" w:sz="0" w:space="0" w:color="auto"/>
      </w:divBdr>
    </w:div>
    <w:div w:id="576784553">
      <w:bodyDiv w:val="1"/>
      <w:marLeft w:val="0"/>
      <w:marRight w:val="0"/>
      <w:marTop w:val="0"/>
      <w:marBottom w:val="0"/>
      <w:divBdr>
        <w:top w:val="none" w:sz="0" w:space="0" w:color="auto"/>
        <w:left w:val="none" w:sz="0" w:space="0" w:color="auto"/>
        <w:bottom w:val="none" w:sz="0" w:space="0" w:color="auto"/>
        <w:right w:val="none" w:sz="0" w:space="0" w:color="auto"/>
      </w:divBdr>
    </w:div>
    <w:div w:id="636763300">
      <w:bodyDiv w:val="1"/>
      <w:marLeft w:val="0"/>
      <w:marRight w:val="0"/>
      <w:marTop w:val="0"/>
      <w:marBottom w:val="0"/>
      <w:divBdr>
        <w:top w:val="none" w:sz="0" w:space="0" w:color="auto"/>
        <w:left w:val="none" w:sz="0" w:space="0" w:color="auto"/>
        <w:bottom w:val="none" w:sz="0" w:space="0" w:color="auto"/>
        <w:right w:val="none" w:sz="0" w:space="0" w:color="auto"/>
      </w:divBdr>
    </w:div>
    <w:div w:id="768353407">
      <w:bodyDiv w:val="1"/>
      <w:marLeft w:val="0"/>
      <w:marRight w:val="0"/>
      <w:marTop w:val="0"/>
      <w:marBottom w:val="0"/>
      <w:divBdr>
        <w:top w:val="none" w:sz="0" w:space="0" w:color="auto"/>
        <w:left w:val="none" w:sz="0" w:space="0" w:color="auto"/>
        <w:bottom w:val="none" w:sz="0" w:space="0" w:color="auto"/>
        <w:right w:val="none" w:sz="0" w:space="0" w:color="auto"/>
      </w:divBdr>
    </w:div>
    <w:div w:id="860363216">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416593103">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628703993">
      <w:bodyDiv w:val="1"/>
      <w:marLeft w:val="0"/>
      <w:marRight w:val="0"/>
      <w:marTop w:val="0"/>
      <w:marBottom w:val="0"/>
      <w:divBdr>
        <w:top w:val="none" w:sz="0" w:space="0" w:color="auto"/>
        <w:left w:val="none" w:sz="0" w:space="0" w:color="auto"/>
        <w:bottom w:val="none" w:sz="0" w:space="0" w:color="auto"/>
        <w:right w:val="none" w:sz="0" w:space="0" w:color="auto"/>
      </w:divBdr>
    </w:div>
    <w:div w:id="1925912315">
      <w:bodyDiv w:val="1"/>
      <w:marLeft w:val="0"/>
      <w:marRight w:val="0"/>
      <w:marTop w:val="0"/>
      <w:marBottom w:val="0"/>
      <w:divBdr>
        <w:top w:val="none" w:sz="0" w:space="0" w:color="auto"/>
        <w:left w:val="none" w:sz="0" w:space="0" w:color="auto"/>
        <w:bottom w:val="none" w:sz="0" w:space="0" w:color="auto"/>
        <w:right w:val="none" w:sz="0" w:space="0" w:color="auto"/>
      </w:divBdr>
    </w:div>
    <w:div w:id="2031101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creativecommons.org/licenses/by/4.0/" TargetMode="External"/><Relationship Id="rId18" Type="http://schemas.openxmlformats.org/officeDocument/2006/relationships/footer" Target="footer3.xml"/><Relationship Id="rId26" Type="http://schemas.openxmlformats.org/officeDocument/2006/relationships/hyperlink" Target="https://www.acma.gov.au/publications/2019-08/instruction/frequency-coordination-procedures-earth-station-protection-zones" TargetMode="External"/><Relationship Id="rId39" Type="http://schemas.openxmlformats.org/officeDocument/2006/relationships/hyperlink" Target="https://www.aph.gov.au/Parliamentary_Business/Committees/House/Communications/5G/Report" TargetMode="External"/><Relationship Id="rId21" Type="http://schemas.openxmlformats.org/officeDocument/2006/relationships/footer" Target="footer4.xml"/><Relationship Id="rId34" Type="http://schemas.openxmlformats.org/officeDocument/2006/relationships/hyperlink" Target="https://digitaleconomy.pmc.gov.au/sites/default/files/2021-07/digital-economy-strategy.pdf" TargetMode="External"/><Relationship Id="rId42" Type="http://schemas.openxmlformats.org/officeDocument/2006/relationships/hyperlink" Target="https://www.acma.gov.au/fees-apparatus-licences" TargetMode="External"/><Relationship Id="rId47" Type="http://schemas.openxmlformats.org/officeDocument/2006/relationships/hyperlink" Target="https://www.acma.gov.au/publications/2019-08/instruction/frequency-coordination-procedures-earth-station-protection-zones" TargetMode="External"/><Relationship Id="rId50" Type="http://schemas.openxmlformats.org/officeDocument/2006/relationships/hyperlink" Target="https://www.acma.gov.au/consultations/2021-08/planning-wireless-broadband-use-urban-areas-3400-3475-mhz-band-consultation-312021" TargetMode="External"/><Relationship Id="rId55" Type="http://schemas.openxmlformats.org/officeDocument/2006/relationships/hyperlink" Target="https://www.acma.gov.au/licences/intelligent-transport-systems-class-licence" TargetMode="External"/><Relationship Id="rId63" Type="http://schemas.openxmlformats.org/officeDocument/2006/relationships/hyperlink" Target="https://www.acma.gov.au/consultations/2020-07/planning-options-3700-4200-mhz-band-consultation-222020" TargetMode="External"/><Relationship Id="rId68" Type="http://schemas.openxmlformats.org/officeDocument/2006/relationships/image" Target="media/image9.jpeg"/><Relationship Id="rId76" Type="http://schemas.openxmlformats.org/officeDocument/2006/relationships/footer" Target="footer7.xml"/><Relationship Id="rId7" Type="http://schemas.openxmlformats.org/officeDocument/2006/relationships/endnotes" Target="endnotes.xml"/><Relationship Id="rId71"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https://www.acma.gov.au/consultations/2020-07/planning-options-3700-4200-mhz-band-consultation-222020" TargetMode="External"/><Relationship Id="rId11" Type="http://schemas.openxmlformats.org/officeDocument/2006/relationships/hyperlink" Target="http://i.creativecommons.org/l/by/3.0/88x31.png" TargetMode="External"/><Relationship Id="rId24" Type="http://schemas.openxmlformats.org/officeDocument/2006/relationships/hyperlink" Target="https://www.acma.gov.au/consultations/2021-08/planning-wireless-broadband-use-urban-areas-3400-3475-mhz-band-consultation-312021" TargetMode="External"/><Relationship Id="rId32" Type="http://schemas.openxmlformats.org/officeDocument/2006/relationships/hyperlink" Target="https://www.acma.gov.au/consultations/2021-08/planning-wireless-broadband-use-urban-areas-3400-3475-mhz-band-consultation-312021" TargetMode="External"/><Relationship Id="rId37" Type="http://schemas.openxmlformats.org/officeDocument/2006/relationships/hyperlink" Target="https://www.pmc.gov.au/resource-centre/domestic-policy/action-plan-critical-technologies" TargetMode="External"/><Relationship Id="rId40" Type="http://schemas.openxmlformats.org/officeDocument/2006/relationships/hyperlink" Target="https://www.acma.gov.au/radcomms-licensing-and-allocation-reform" TargetMode="External"/><Relationship Id="rId45" Type="http://schemas.openxmlformats.org/officeDocument/2006/relationships/hyperlink" Target="https://www.legislation.gov.au/Series/F2015L00727" TargetMode="External"/><Relationship Id="rId53" Type="http://schemas.openxmlformats.org/officeDocument/2006/relationships/hyperlink" Target="https://www.legislation.gov.au/Series/F2015L01438" TargetMode="External"/><Relationship Id="rId58" Type="http://schemas.openxmlformats.org/officeDocument/2006/relationships/hyperlink" Target="https://www.acma.gov.au/local-area-wireless-broadband-services" TargetMode="External"/><Relationship Id="rId66" Type="http://schemas.openxmlformats.org/officeDocument/2006/relationships/image" Target="media/image7.jpeg"/><Relationship Id="rId74" Type="http://schemas.openxmlformats.org/officeDocument/2006/relationships/header" Target="header7.xm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www.acma.gov.au/consultations/2019-08/optimising-3400-3575-mhz-band-consultation-122019" TargetMode="External"/><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hyperlink" Target="https://www.acma.gov.au/publications/2019-08/instruction/frequency-coordination-procedures-earth-station-protection-zones" TargetMode="External"/><Relationship Id="rId44" Type="http://schemas.openxmlformats.org/officeDocument/2006/relationships/image" Target="media/image4.png"/><Relationship Id="rId52" Type="http://schemas.openxmlformats.org/officeDocument/2006/relationships/hyperlink" Target="https://www.acma.gov.au/local-area-wireless-broadband-services" TargetMode="External"/><Relationship Id="rId60" Type="http://schemas.openxmlformats.org/officeDocument/2006/relationships/image" Target="media/image6.emf"/><Relationship Id="rId65" Type="http://schemas.openxmlformats.org/officeDocument/2006/relationships/hyperlink" Target="https://acma.gov.au/convert-hcis-area-description-placemark-0" TargetMode="External"/><Relationship Id="rId73" Type="http://schemas.openxmlformats.org/officeDocument/2006/relationships/hyperlink" Target="https://www.acma.gov.au/consultations/2021-08/planning-wireless-broadband-use-urban-areas-3400-3475-mhz-band-consultation-312021"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footer" Target="footer5.xml"/><Relationship Id="rId27" Type="http://schemas.openxmlformats.org/officeDocument/2006/relationships/hyperlink" Target="https://www.acma.gov.au/consultations/2019-08/optimising-3400-3575-mhz-band-consultation-122019" TargetMode="External"/><Relationship Id="rId30" Type="http://schemas.openxmlformats.org/officeDocument/2006/relationships/hyperlink" Target="https://www.acma.gov.au/consultations/2019-08/optimising-3400-3575-mhz-band-consultation-122019" TargetMode="External"/><Relationship Id="rId35" Type="http://schemas.openxmlformats.org/officeDocument/2006/relationships/hyperlink" Target="https://www.infrastructure.gov.au/media-centre/5g-enabling-future-economy" TargetMode="External"/><Relationship Id="rId43" Type="http://schemas.openxmlformats.org/officeDocument/2006/relationships/hyperlink" Target="https://www.acma.gov.au/area-wide-apparatus-licence" TargetMode="External"/><Relationship Id="rId48" Type="http://schemas.openxmlformats.org/officeDocument/2006/relationships/image" Target="media/image5.png"/><Relationship Id="rId56" Type="http://schemas.openxmlformats.org/officeDocument/2006/relationships/hyperlink" Target="https://www.acma.gov.au/consultations/2021-10/radio-local-area-networks-rlans-6-ghz-band-consultation-372021" TargetMode="External"/><Relationship Id="rId64" Type="http://schemas.openxmlformats.org/officeDocument/2006/relationships/hyperlink" Target="https://www.acma.gov.au/publications/2019-08/instruction/frequency-coordination-procedures-earth-station-protection-zones" TargetMode="External"/><Relationship Id="rId69" Type="http://schemas.openxmlformats.org/officeDocument/2006/relationships/image" Target="media/image10.jpeg"/><Relationship Id="rId77" Type="http://schemas.openxmlformats.org/officeDocument/2006/relationships/footer" Target="footer8.xml"/><Relationship Id="rId8" Type="http://schemas.openxmlformats.org/officeDocument/2006/relationships/header" Target="header1.xml"/><Relationship Id="rId51" Type="http://schemas.openxmlformats.org/officeDocument/2006/relationships/hyperlink" Target="https://www.acma.gov.au/publications/2019-08/instruction/frequency-coordination-procedures-earth-station-protection-zones" TargetMode="External"/><Relationship Id="rId72" Type="http://schemas.openxmlformats.org/officeDocument/2006/relationships/hyperlink" Target="https://www.acma.gov.au/consultations/2021-08/planning-wireless-broadband-use-urban-areas-3400-3475-mhz-band-consultation-312021"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legislation.gov.au/Series/F2015L00727" TargetMode="External"/><Relationship Id="rId33" Type="http://schemas.openxmlformats.org/officeDocument/2006/relationships/hyperlink" Target="https://www.legislation.gov.au/Series/F2015L00727" TargetMode="External"/><Relationship Id="rId38" Type="http://schemas.openxmlformats.org/officeDocument/2006/relationships/hyperlink" Target="https://www.infrastructure.gov.au/department/ips/government_responses/government-response-next-gen-future.aspx" TargetMode="External"/><Relationship Id="rId46" Type="http://schemas.openxmlformats.org/officeDocument/2006/relationships/hyperlink" Target="https://www.acma.gov.au/consultations/2020-12/review-23-ghz-spectrum-licencing-technical-framework-consultation-372020" TargetMode="External"/><Relationship Id="rId59" Type="http://schemas.openxmlformats.org/officeDocument/2006/relationships/hyperlink" Target="https://www.acma.gov.au/consultations/2019-08/optimising-3400-3575-mhz-band-consultation-122019" TargetMode="External"/><Relationship Id="rId67" Type="http://schemas.openxmlformats.org/officeDocument/2006/relationships/image" Target="media/image8.png"/><Relationship Id="rId20" Type="http://schemas.openxmlformats.org/officeDocument/2006/relationships/header" Target="header6.xml"/><Relationship Id="rId41" Type="http://schemas.openxmlformats.org/officeDocument/2006/relationships/hyperlink" Target="https://www.acma.gov.au/publications/2021-03/rules/our-approach-radcomms-licensing-and-allocation" TargetMode="External"/><Relationship Id="rId54" Type="http://schemas.openxmlformats.org/officeDocument/2006/relationships/hyperlink" Target="https://www.acma.gov.au/local-area-wireless-broadband-services" TargetMode="External"/><Relationship Id="rId62" Type="http://schemas.openxmlformats.org/officeDocument/2006/relationships/hyperlink" Target="https://www.acma.gov.au/spectrum-tune-ups" TargetMode="External"/><Relationship Id="rId70" Type="http://schemas.openxmlformats.org/officeDocument/2006/relationships/image" Target="media/image11.jpeg"/><Relationship Id="rId75"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hyperlink" Target="https://www.acma.gov.au/spectrum-tune-ups" TargetMode="External"/><Relationship Id="rId36" Type="http://schemas.openxmlformats.org/officeDocument/2006/relationships/hyperlink" Target="https://www.industry.gov.au/news-media/australias-tech-future" TargetMode="External"/><Relationship Id="rId49" Type="http://schemas.openxmlformats.org/officeDocument/2006/relationships/hyperlink" Target="https://www.acma.gov.au/consultations/2020-07/planning-options-3700-4200-mhz-band-consultation-222020" TargetMode="External"/><Relationship Id="rId57" Type="http://schemas.openxmlformats.org/officeDocument/2006/relationships/hyperlink" Target="https://www.acma.gov.au/local-area-wireless-broadband-services"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www.legislation.gov.au/Details/F2020L01661" TargetMode="External"/><Relationship Id="rId1" Type="http://schemas.openxmlformats.org/officeDocument/2006/relationships/hyperlink" Target="https://www.acma.gov.au/publications/2020-08/report/corporate-plan-2020-21"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F8262-1C21-46BC-9DE5-9254E2ABE8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12289</Words>
  <Characters>70049</Characters>
  <Application>Microsoft Office Word</Application>
  <DocSecurity>0</DocSecurity>
  <Lines>583</Lines>
  <Paragraphs>164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82174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2021-12-16T01:01:00Z</dcterms:created>
  <dcterms:modified xsi:type="dcterms:W3CDTF">2021-12-16T01:01:00Z</dcterms:modified>
  <cp:category/>
</cp:coreProperties>
</file>