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1AA" w:rsidRPr="0066445A" w:rsidRDefault="007A71AA">
      <w:pPr>
        <w:rPr>
          <w:lang w:val="en-AU"/>
        </w:rPr>
      </w:pPr>
    </w:p>
    <w:p w:rsidR="00DF1CF4" w:rsidRPr="0066445A" w:rsidRDefault="00F5222C" w:rsidP="00DF1CF4">
      <w:pPr>
        <w:jc w:val="right"/>
        <w:rPr>
          <w:lang w:val="en-AU"/>
        </w:rPr>
      </w:pPr>
      <w:r>
        <w:rPr>
          <w:lang w:val="en-AU"/>
        </w:rPr>
        <w:t>September 13</w:t>
      </w:r>
      <w:r w:rsidR="00046A23" w:rsidRPr="00046A23">
        <w:rPr>
          <w:vertAlign w:val="superscript"/>
          <w:lang w:val="en-AU"/>
        </w:rPr>
        <w:t>th</w:t>
      </w:r>
      <w:r w:rsidR="00046A23">
        <w:rPr>
          <w:lang w:val="en-AU"/>
        </w:rPr>
        <w:t>, 2019</w:t>
      </w:r>
    </w:p>
    <w:p w:rsidR="00DF1CF4" w:rsidRPr="0066445A" w:rsidRDefault="00DF1CF4" w:rsidP="00DF1CF4">
      <w:pPr>
        <w:pStyle w:val="ACMANormalTabbed"/>
        <w:tabs>
          <w:tab w:val="num" w:pos="295"/>
        </w:tabs>
        <w:spacing w:after="0"/>
        <w:ind w:left="295"/>
        <w:rPr>
          <w:rFonts w:asciiTheme="minorHAnsi" w:hAnsiTheme="minorHAnsi"/>
          <w:sz w:val="22"/>
          <w:szCs w:val="22"/>
        </w:rPr>
      </w:pP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The Manager</w:t>
      </w: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Spectrum Engineering and Space Section</w:t>
      </w: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Australian Communications and Media Authority</w:t>
      </w: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PO Box 78</w:t>
      </w: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Belconnen ACT 2616</w:t>
      </w:r>
    </w:p>
    <w:p w:rsidR="00DF1CF4" w:rsidRPr="0066445A" w:rsidRDefault="00DF1CF4" w:rsidP="00A8125B">
      <w:pPr>
        <w:pStyle w:val="ACMANormalTabbed"/>
        <w:tabs>
          <w:tab w:val="num" w:pos="295"/>
        </w:tabs>
        <w:spacing w:after="0"/>
        <w:rPr>
          <w:rFonts w:asciiTheme="minorHAnsi" w:hAnsiTheme="minorHAnsi"/>
          <w:sz w:val="22"/>
          <w:szCs w:val="22"/>
        </w:rPr>
      </w:pPr>
      <w:r w:rsidRPr="0066445A">
        <w:rPr>
          <w:rFonts w:asciiTheme="minorHAnsi" w:hAnsiTheme="minorHAnsi"/>
          <w:sz w:val="22"/>
          <w:szCs w:val="22"/>
        </w:rPr>
        <w:t>AUSTRALIA</w:t>
      </w:r>
    </w:p>
    <w:p w:rsidR="00DF1CF4" w:rsidRPr="0066445A" w:rsidRDefault="00DF1CF4">
      <w:pPr>
        <w:rPr>
          <w:lang w:val="en-AU"/>
        </w:rPr>
      </w:pPr>
    </w:p>
    <w:p w:rsidR="00DF1CF4" w:rsidRPr="00034AAA" w:rsidRDefault="00034AAA">
      <w:pPr>
        <w:rPr>
          <w:b/>
          <w:lang w:val="en-AU"/>
        </w:rPr>
      </w:pPr>
      <w:r w:rsidRPr="00034AAA">
        <w:rPr>
          <w:b/>
          <w:lang w:val="en-AU"/>
        </w:rPr>
        <w:t>RE</w:t>
      </w:r>
      <w:r w:rsidR="00046A23">
        <w:rPr>
          <w:b/>
          <w:lang w:val="en-AU"/>
        </w:rPr>
        <w:t>:</w:t>
      </w:r>
      <w:r w:rsidR="00046A23">
        <w:rPr>
          <w:b/>
          <w:lang w:val="en-AU"/>
        </w:rPr>
        <w:tab/>
      </w:r>
      <w:r w:rsidR="00F5222C">
        <w:rPr>
          <w:b/>
          <w:lang w:val="en-AU"/>
        </w:rPr>
        <w:t>Planning of the 3700-4200 MHz band</w:t>
      </w:r>
    </w:p>
    <w:p w:rsidR="00DF1CF4" w:rsidRPr="0066445A" w:rsidRDefault="00DF1CF4">
      <w:pPr>
        <w:rPr>
          <w:lang w:val="en-AU"/>
        </w:rPr>
      </w:pPr>
      <w:r w:rsidRPr="0066445A">
        <w:rPr>
          <w:lang w:val="en-AU"/>
        </w:rPr>
        <w:t>Dear Sir/Madam,</w:t>
      </w:r>
    </w:p>
    <w:p w:rsidR="00DF1CF4" w:rsidRPr="0066445A" w:rsidRDefault="00DF1CF4" w:rsidP="00CC6B4A">
      <w:pPr>
        <w:rPr>
          <w:lang w:val="en-AU"/>
        </w:rPr>
      </w:pPr>
      <w:r w:rsidRPr="0066445A">
        <w:rPr>
          <w:lang w:val="en-AU"/>
        </w:rPr>
        <w:t xml:space="preserve">Eutelsat Group, here represented by its affiliate </w:t>
      </w:r>
      <w:r w:rsidRPr="00034AAA">
        <w:rPr>
          <w:lang w:val="en-AU"/>
        </w:rPr>
        <w:t xml:space="preserve">Eutelsat </w:t>
      </w:r>
      <w:r w:rsidR="00034AAA" w:rsidRPr="00034AAA">
        <w:rPr>
          <w:lang w:val="en-AU"/>
        </w:rPr>
        <w:t>Asia</w:t>
      </w:r>
      <w:r w:rsidRPr="00034AAA">
        <w:rPr>
          <w:lang w:val="en-AU"/>
        </w:rPr>
        <w:t xml:space="preserve"> based in </w:t>
      </w:r>
      <w:r w:rsidR="00034AAA" w:rsidRPr="00034AAA">
        <w:rPr>
          <w:lang w:val="en-AU"/>
        </w:rPr>
        <w:t>Singapore</w:t>
      </w:r>
      <w:r w:rsidR="00CC6B4A" w:rsidRPr="0066445A">
        <w:rPr>
          <w:lang w:val="en-AU"/>
        </w:rPr>
        <w:t xml:space="preserve"> (together, </w:t>
      </w:r>
      <w:r w:rsidR="00CC6B4A" w:rsidRPr="0066445A">
        <w:rPr>
          <w:i/>
          <w:lang w:val="en-AU"/>
        </w:rPr>
        <w:t>Eutelsat</w:t>
      </w:r>
      <w:r w:rsidR="00CC6B4A" w:rsidRPr="0066445A">
        <w:rPr>
          <w:lang w:val="en-AU"/>
        </w:rPr>
        <w:t>)</w:t>
      </w:r>
      <w:r w:rsidRPr="0066445A">
        <w:rPr>
          <w:lang w:val="en-AU"/>
        </w:rPr>
        <w:t xml:space="preserve">, hereby submits its comments to the </w:t>
      </w:r>
      <w:r w:rsidR="00F5222C">
        <w:rPr>
          <w:i/>
          <w:lang w:val="en-AU"/>
        </w:rPr>
        <w:t>Planning of the 3700-4200 MHz band</w:t>
      </w:r>
      <w:r w:rsidR="00CC6B4A" w:rsidRPr="0066445A">
        <w:rPr>
          <w:lang w:val="en-AU"/>
        </w:rPr>
        <w:t xml:space="preserve"> discussion paper</w:t>
      </w:r>
      <w:r w:rsidR="0005493B" w:rsidRPr="0066445A">
        <w:rPr>
          <w:lang w:val="en-AU"/>
        </w:rPr>
        <w:t>,</w:t>
      </w:r>
      <w:r w:rsidR="00CC6B4A" w:rsidRPr="0066445A">
        <w:rPr>
          <w:lang w:val="en-AU"/>
        </w:rPr>
        <w:t xml:space="preserve"> </w:t>
      </w:r>
      <w:r w:rsidR="00F5222C">
        <w:rPr>
          <w:lang w:val="en-AU"/>
        </w:rPr>
        <w:t>August</w:t>
      </w:r>
      <w:r w:rsidR="00CC6B4A" w:rsidRPr="0066445A">
        <w:rPr>
          <w:lang w:val="en-AU"/>
        </w:rPr>
        <w:t xml:space="preserve"> 2019</w:t>
      </w:r>
      <w:r w:rsidR="0005493B" w:rsidRPr="0066445A">
        <w:rPr>
          <w:lang w:val="en-AU"/>
        </w:rPr>
        <w:t xml:space="preserve"> (the Paper</w:t>
      </w:r>
      <w:r w:rsidR="00CC6B4A" w:rsidRPr="0066445A">
        <w:rPr>
          <w:lang w:val="en-AU"/>
        </w:rPr>
        <w:t>), issued by the Australian Communications and Media Authority (the ACMA).</w:t>
      </w:r>
    </w:p>
    <w:p w:rsidR="0005493B" w:rsidRPr="0066445A" w:rsidRDefault="0005493B" w:rsidP="0005493B">
      <w:pPr>
        <w:rPr>
          <w:lang w:val="en-AU"/>
        </w:rPr>
      </w:pPr>
      <w:r w:rsidRPr="0066445A">
        <w:rPr>
          <w:lang w:val="en-AU"/>
        </w:rPr>
        <w:t xml:space="preserve">Eutelsat would like to thank the ACMA for </w:t>
      </w:r>
      <w:r w:rsidR="000E3F9A">
        <w:rPr>
          <w:lang w:val="en-AU"/>
        </w:rPr>
        <w:t xml:space="preserve">raising questions and </w:t>
      </w:r>
      <w:r w:rsidRPr="0066445A">
        <w:rPr>
          <w:lang w:val="en-AU"/>
        </w:rPr>
        <w:t xml:space="preserve">asking </w:t>
      </w:r>
      <w:r w:rsidR="000E3F9A">
        <w:rPr>
          <w:lang w:val="en-AU"/>
        </w:rPr>
        <w:t xml:space="preserve">for </w:t>
      </w:r>
      <w:r w:rsidRPr="0066445A">
        <w:rPr>
          <w:lang w:val="en-AU"/>
        </w:rPr>
        <w:t xml:space="preserve">comments to this Paper, and to give the opportunity to contribute to the national </w:t>
      </w:r>
      <w:r w:rsidR="000E3F9A">
        <w:rPr>
          <w:lang w:val="en-AU"/>
        </w:rPr>
        <w:t>consultation</w:t>
      </w:r>
      <w:r w:rsidRPr="0066445A">
        <w:rPr>
          <w:lang w:val="en-AU"/>
        </w:rPr>
        <w:t xml:space="preserve"> for </w:t>
      </w:r>
      <w:r w:rsidR="000E3F9A">
        <w:rPr>
          <w:lang w:val="en-AU"/>
        </w:rPr>
        <w:t>potential evolution</w:t>
      </w:r>
      <w:r w:rsidRPr="0066445A">
        <w:rPr>
          <w:lang w:val="en-AU"/>
        </w:rPr>
        <w:t xml:space="preserve"> </w:t>
      </w:r>
      <w:r w:rsidR="00F5222C">
        <w:rPr>
          <w:lang w:val="en-AU"/>
        </w:rPr>
        <w:t xml:space="preserve">of the </w:t>
      </w:r>
      <w:r w:rsidR="000E3F9A">
        <w:rPr>
          <w:lang w:val="en-AU"/>
        </w:rPr>
        <w:t>3700-4200 MHz band</w:t>
      </w:r>
      <w:r w:rsidR="00F5222C">
        <w:rPr>
          <w:lang w:val="en-AU"/>
        </w:rPr>
        <w:t xml:space="preserve"> i</w:t>
      </w:r>
      <w:r w:rsidR="000E3F9A">
        <w:rPr>
          <w:lang w:val="en-AU"/>
        </w:rPr>
        <w:t>n Australia</w:t>
      </w:r>
      <w:r w:rsidRPr="0066445A">
        <w:rPr>
          <w:lang w:val="en-AU"/>
        </w:rPr>
        <w:t>.</w:t>
      </w:r>
    </w:p>
    <w:p w:rsidR="00CC6B4A" w:rsidRPr="0066445A" w:rsidRDefault="0086541A" w:rsidP="00CC6B4A">
      <w:pPr>
        <w:rPr>
          <w:b/>
          <w:lang w:val="en-AU"/>
        </w:rPr>
      </w:pPr>
      <w:r w:rsidRPr="0066445A">
        <w:rPr>
          <w:b/>
          <w:lang w:val="en-AU"/>
        </w:rPr>
        <w:t>About Eutelsat</w:t>
      </w:r>
    </w:p>
    <w:p w:rsidR="0086541A" w:rsidRPr="0066445A" w:rsidRDefault="0086541A" w:rsidP="0086541A">
      <w:pPr>
        <w:rPr>
          <w:lang w:val="en-AU"/>
        </w:rPr>
      </w:pPr>
      <w:r w:rsidRPr="0066445A">
        <w:rPr>
          <w:lang w:val="en-AU"/>
        </w:rPr>
        <w:t xml:space="preserve">Eutelsat Communications is one of the world's leading operators in the commercial satellite business. The company provides capacity on a fleet of 37 satellites in geostationary orbit serving broadcasters, video service providers, telecom operators, ISPs and government agencies operating in more than 150 countries across Europe, Africa, Asia and the Americas. Eutelsat’s focus is on delivering the highest quality of service through technological performance, market expertise and innovation. With head offices in Paris, Eutelsat has a workforce of 1,000 commercial, technical and operational professionals of 46 nationalities, and sales offices in key markets around the world. </w:t>
      </w:r>
    </w:p>
    <w:p w:rsidR="0086541A" w:rsidRPr="0066445A" w:rsidRDefault="0086541A" w:rsidP="0086541A">
      <w:pPr>
        <w:rPr>
          <w:lang w:val="en-AU"/>
        </w:rPr>
      </w:pPr>
      <w:r w:rsidRPr="00034AAA">
        <w:rPr>
          <w:lang w:val="en-AU"/>
        </w:rPr>
        <w:t>Based in Singapore, Eutelsat Asia Pte Ltd embodies Eutelsat long-term commitment to the Asia-Pacific region. Our commitment is to help our clients to grow their business in the Asia Pacific region and to connect them to the rest of the world.</w:t>
      </w:r>
      <w:r w:rsidRPr="0066445A">
        <w:rPr>
          <w:lang w:val="en-AU"/>
        </w:rPr>
        <w:t xml:space="preserve"> </w:t>
      </w:r>
    </w:p>
    <w:p w:rsidR="0086541A" w:rsidRPr="0066445A" w:rsidRDefault="0086541A" w:rsidP="0086541A">
      <w:pPr>
        <w:rPr>
          <w:lang w:val="en-AU"/>
        </w:rPr>
      </w:pPr>
      <w:r w:rsidRPr="0066445A">
        <w:rPr>
          <w:lang w:val="en-AU"/>
        </w:rPr>
        <w:t xml:space="preserve">The recent years have witnessed the rapid expansion of Eutelsat in Asia-Pacific. In September 2012, Eutelsat bought the GE-23 satellite from GE Capital operating under orbital rights at 172 degrees </w:t>
      </w:r>
      <w:proofErr w:type="gramStart"/>
      <w:r w:rsidRPr="0066445A">
        <w:rPr>
          <w:lang w:val="en-AU"/>
        </w:rPr>
        <w:t>East</w:t>
      </w:r>
      <w:proofErr w:type="gramEnd"/>
      <w:r w:rsidRPr="0066445A">
        <w:rPr>
          <w:lang w:val="en-AU"/>
        </w:rPr>
        <w:t>. The satellite was later renamed EUTELSAT 172A and integrated into Eutelsat’s global fleet. EUTELSAT 172A offered until 2017 a unique coverage spanning the Pacific Ocean from Los Angeles to Beijing and from Anchorage to Perth in C-band and Ku-band and as an exceptional platform to serve the dynamic markets in Asia-Pacific. EUTELSAT 172A was then replaced in 2017 by EUTELSAT 172B satellite, which on top of continuity mission  in C and Ku bands added an innovative HTS payload in Ku/</w:t>
      </w:r>
      <w:proofErr w:type="spellStart"/>
      <w:r w:rsidRPr="0066445A">
        <w:rPr>
          <w:lang w:val="en-AU"/>
        </w:rPr>
        <w:t>Ka</w:t>
      </w:r>
      <w:proofErr w:type="spellEnd"/>
      <w:r w:rsidRPr="0066445A">
        <w:rPr>
          <w:lang w:val="en-AU"/>
        </w:rPr>
        <w:t xml:space="preserve"> bands focusing </w:t>
      </w:r>
      <w:r w:rsidRPr="0066445A">
        <w:rPr>
          <w:lang w:val="en-AU"/>
        </w:rPr>
        <w:lastRenderedPageBreak/>
        <w:t xml:space="preserve">on mobility market. EUTELSAT 172A was then relocated at 174 degrees East and renamed EUTELSAT 174A and ensure growth of activity in the Asia-Pacific region. Eutelsat’s development in Asia was also reinforced by the launch of EUTELSAT 70B satellite at 70.5 degrees East with a dedicated Asian Ku-band coverage and cross straps capabilities between Europe, Africa and Asia. The combination of the three satellites’ footprints provides a complete coverage of Asia-Pacific and those satellites are particularly solicited for data and mobility applications. Eutelsat is also exploring axis of further development in Asia-Pacific region and for this reason is highly attentive to and interested in </w:t>
      </w:r>
      <w:r w:rsidR="00AB1E63" w:rsidRPr="0066445A">
        <w:rPr>
          <w:lang w:val="en-AU"/>
        </w:rPr>
        <w:t>regional</w:t>
      </w:r>
      <w:r w:rsidRPr="0066445A">
        <w:rPr>
          <w:lang w:val="en-AU"/>
        </w:rPr>
        <w:t xml:space="preserve"> spectrum policy evolution.</w:t>
      </w:r>
    </w:p>
    <w:p w:rsidR="0086541A" w:rsidRPr="00E606E6" w:rsidRDefault="0086541A" w:rsidP="0086541A">
      <w:pPr>
        <w:pStyle w:val="Heading7"/>
        <w:numPr>
          <w:ilvl w:val="0"/>
          <w:numId w:val="0"/>
        </w:numPr>
        <w:rPr>
          <w:rFonts w:asciiTheme="minorHAnsi" w:hAnsiTheme="minorHAnsi"/>
          <w:b/>
          <w:lang w:val="en-AU"/>
        </w:rPr>
      </w:pPr>
      <w:r w:rsidRPr="00E606E6">
        <w:rPr>
          <w:rFonts w:asciiTheme="minorHAnsi" w:hAnsiTheme="minorHAnsi"/>
          <w:b/>
          <w:lang w:val="en-AU"/>
        </w:rPr>
        <w:t>Replies to the issues for comment</w:t>
      </w:r>
    </w:p>
    <w:p w:rsidR="00AB1E63" w:rsidRPr="0066445A" w:rsidRDefault="00AB1E63" w:rsidP="00AB1E63">
      <w:pPr>
        <w:rPr>
          <w:lang w:val="en-AU"/>
        </w:rPr>
      </w:pPr>
      <w:r w:rsidRPr="0066445A">
        <w:rPr>
          <w:lang w:val="en-AU"/>
        </w:rPr>
        <w:t xml:space="preserve">Eutelsat has noted with great interest and attention the ACMA discussion Paper on </w:t>
      </w:r>
      <w:r w:rsidR="000E3F9A">
        <w:rPr>
          <w:i/>
          <w:lang w:val="en-AU"/>
        </w:rPr>
        <w:t>Planning of the 3700-4200 MHz band</w:t>
      </w:r>
      <w:r w:rsidRPr="0066445A">
        <w:rPr>
          <w:lang w:val="en-AU"/>
        </w:rPr>
        <w:t>, as the frequency band considered is currently used on our operational satellites and will be used in our future satellite</w:t>
      </w:r>
      <w:r w:rsidR="00AD473F" w:rsidRPr="0066445A">
        <w:rPr>
          <w:lang w:val="en-AU"/>
        </w:rPr>
        <w:t>s</w:t>
      </w:r>
      <w:r w:rsidRPr="0066445A">
        <w:rPr>
          <w:lang w:val="en-AU"/>
        </w:rPr>
        <w:t xml:space="preserve">. Eutelsat is convinced that satellite will continue to play a key role in the future telecommunications ecosystem. As such Eutelsat is </w:t>
      </w:r>
      <w:r w:rsidR="00AD473F" w:rsidRPr="0066445A">
        <w:rPr>
          <w:lang w:val="en-AU"/>
        </w:rPr>
        <w:t xml:space="preserve">welcoming initiative from </w:t>
      </w:r>
      <w:r w:rsidRPr="0066445A">
        <w:rPr>
          <w:lang w:val="en-AU"/>
        </w:rPr>
        <w:t xml:space="preserve">the ACMA </w:t>
      </w:r>
      <w:r w:rsidR="00AD473F" w:rsidRPr="0066445A">
        <w:rPr>
          <w:lang w:val="en-AU"/>
        </w:rPr>
        <w:t xml:space="preserve">to </w:t>
      </w:r>
      <w:r w:rsidR="008E4BE4">
        <w:rPr>
          <w:lang w:val="en-AU"/>
        </w:rPr>
        <w:t xml:space="preserve">consult with all interested actors before making a decision on a frequency band </w:t>
      </w:r>
      <w:r w:rsidR="00F67FBB">
        <w:rPr>
          <w:lang w:val="en-AU"/>
        </w:rPr>
        <w:t>of primary importance for satellite ecosystem</w:t>
      </w:r>
      <w:r w:rsidRPr="0066445A">
        <w:rPr>
          <w:lang w:val="en-AU"/>
        </w:rPr>
        <w:t>.</w:t>
      </w:r>
    </w:p>
    <w:p w:rsidR="00AB1E63" w:rsidRPr="0066445A" w:rsidRDefault="00C63CA5" w:rsidP="00C63CA5">
      <w:pPr>
        <w:rPr>
          <w:lang w:val="en-AU"/>
        </w:rPr>
      </w:pPr>
      <w:r w:rsidRPr="0066445A">
        <w:rPr>
          <w:lang w:val="en-AU"/>
        </w:rPr>
        <w:t>Eutelsat would</w:t>
      </w:r>
      <w:r w:rsidR="00FA70ED">
        <w:rPr>
          <w:lang w:val="en-AU"/>
        </w:rPr>
        <w:t xml:space="preserve"> like to</w:t>
      </w:r>
      <w:r w:rsidRPr="0066445A">
        <w:rPr>
          <w:lang w:val="en-AU"/>
        </w:rPr>
        <w:t xml:space="preserve"> bring the following elements for the consideration by the ACMA, in response to </w:t>
      </w:r>
      <w:r w:rsidR="00F67FBB">
        <w:rPr>
          <w:lang w:val="en-AU"/>
        </w:rPr>
        <w:t>some questions</w:t>
      </w:r>
      <w:r w:rsidRPr="0066445A">
        <w:rPr>
          <w:lang w:val="en-AU"/>
        </w:rPr>
        <w:t xml:space="preserve"> raised in the Paper.</w:t>
      </w:r>
      <w:r w:rsidR="00F67FBB">
        <w:rPr>
          <w:lang w:val="en-AU"/>
        </w:rPr>
        <w:t xml:space="preserve"> Questions where Eutelsat has no elements to bring to the</w:t>
      </w:r>
      <w:r w:rsidR="00AD22CF">
        <w:rPr>
          <w:lang w:val="en-AU"/>
        </w:rPr>
        <w:t xml:space="preserve"> attention of the</w:t>
      </w:r>
      <w:r w:rsidR="00F67FBB">
        <w:rPr>
          <w:lang w:val="en-AU"/>
        </w:rPr>
        <w:t xml:space="preserve"> ACMA are not covered </w:t>
      </w:r>
      <w:proofErr w:type="spellStart"/>
      <w:r w:rsidR="00F67FBB">
        <w:rPr>
          <w:lang w:val="en-AU"/>
        </w:rPr>
        <w:t>herebelow</w:t>
      </w:r>
      <w:proofErr w:type="spellEnd"/>
      <w:r w:rsidR="00F67FBB">
        <w:rPr>
          <w:lang w:val="en-AU"/>
        </w:rPr>
        <w:t>.</w:t>
      </w:r>
    </w:p>
    <w:p w:rsidR="00EC47A1" w:rsidRPr="007C4626" w:rsidRDefault="00EC47A1" w:rsidP="00EC47A1">
      <w:pPr>
        <w:pStyle w:val="questionstyle"/>
      </w:pPr>
      <w:bookmarkStart w:id="0" w:name="_Toc15973839"/>
      <w:r w:rsidRPr="007C4626">
        <w:t>Are there any other international developments in the 3700</w:t>
      </w:r>
      <w:r w:rsidRPr="0059006D">
        <w:rPr>
          <w:highlight w:val="lightGray"/>
        </w:rPr>
        <w:t>–</w:t>
      </w:r>
      <w:r w:rsidRPr="007C4626">
        <w:t>4200 MHz band that the ACMA should be aware of?</w:t>
      </w:r>
      <w:bookmarkEnd w:id="0"/>
    </w:p>
    <w:p w:rsidR="009673E0" w:rsidRDefault="00AD22CF" w:rsidP="00BF7F9B">
      <w:pPr>
        <w:pStyle w:val="ListNumber"/>
        <w:numPr>
          <w:ilvl w:val="0"/>
          <w:numId w:val="0"/>
        </w:numPr>
        <w:rPr>
          <w:rFonts w:asciiTheme="minorHAnsi" w:hAnsiTheme="minorHAnsi"/>
          <w:sz w:val="22"/>
          <w:szCs w:val="22"/>
        </w:rPr>
      </w:pPr>
      <w:r>
        <w:rPr>
          <w:rFonts w:asciiTheme="minorHAnsi" w:hAnsiTheme="minorHAnsi"/>
          <w:sz w:val="22"/>
          <w:szCs w:val="22"/>
        </w:rPr>
        <w:t>Eutelsat appreciates the approach of the ACMA to refer to international situation and developments at national and regional level before making a decision on Australian regulations.</w:t>
      </w:r>
    </w:p>
    <w:p w:rsidR="008C3DFF" w:rsidRDefault="008B6BF0" w:rsidP="00BF7F9B">
      <w:pPr>
        <w:pStyle w:val="ListNumber"/>
        <w:numPr>
          <w:ilvl w:val="0"/>
          <w:numId w:val="0"/>
        </w:numPr>
        <w:rPr>
          <w:rFonts w:asciiTheme="minorHAnsi" w:hAnsiTheme="minorHAnsi"/>
          <w:sz w:val="22"/>
          <w:szCs w:val="22"/>
        </w:rPr>
      </w:pPr>
      <w:r>
        <w:rPr>
          <w:rFonts w:asciiTheme="minorHAnsi" w:hAnsiTheme="minorHAnsi"/>
          <w:sz w:val="22"/>
          <w:szCs w:val="22"/>
        </w:rPr>
        <w:t>Beyond the references listed in the Paper, we would like to raise attention of the ACMA to some recent developments regarding adjacent bands compatibility. After having reviewed the planning of the 3400-4200MHz band to permit deployment of WBB systems to the detriment of FSS systems</w:t>
      </w:r>
      <w:r w:rsidR="00B71D2E">
        <w:rPr>
          <w:rFonts w:asciiTheme="minorHAnsi" w:hAnsiTheme="minorHAnsi"/>
          <w:sz w:val="22"/>
          <w:szCs w:val="22"/>
        </w:rPr>
        <w:t xml:space="preserve"> in some parts of the band</w:t>
      </w:r>
      <w:r>
        <w:rPr>
          <w:rFonts w:asciiTheme="minorHAnsi" w:hAnsiTheme="minorHAnsi"/>
          <w:sz w:val="22"/>
          <w:szCs w:val="22"/>
        </w:rPr>
        <w:t xml:space="preserve">, the question of </w:t>
      </w:r>
      <w:r w:rsidR="00CD1BEA">
        <w:rPr>
          <w:rFonts w:asciiTheme="minorHAnsi" w:hAnsiTheme="minorHAnsi"/>
          <w:sz w:val="22"/>
          <w:szCs w:val="22"/>
        </w:rPr>
        <w:t>coexistence of both types of systems in adjacent bands (limit being commonly at 3700 or 3800 MHz) has recently appeared. And this topic is addressed differently among the countries, with different solutions envisaged. Therefore, as this compatibility topic may have consequence on the planning of 3700-4200 MHz band, we request the ACMA to address this case of adjacent band compatibility in the framework of this Paper</w:t>
      </w:r>
      <w:r w:rsidR="00FC46A1">
        <w:rPr>
          <w:rFonts w:asciiTheme="minorHAnsi" w:hAnsiTheme="minorHAnsi"/>
          <w:sz w:val="22"/>
          <w:szCs w:val="22"/>
        </w:rPr>
        <w:t xml:space="preserve"> to get the global picture before making a decision</w:t>
      </w:r>
      <w:r w:rsidR="00CD1BEA">
        <w:rPr>
          <w:rFonts w:asciiTheme="minorHAnsi" w:hAnsiTheme="minorHAnsi"/>
          <w:sz w:val="22"/>
          <w:szCs w:val="22"/>
        </w:rPr>
        <w:t xml:space="preserve">. </w:t>
      </w:r>
    </w:p>
    <w:p w:rsidR="00865ED2" w:rsidRDefault="00865ED2" w:rsidP="001B48FA">
      <w:pPr>
        <w:pStyle w:val="ListNumber"/>
        <w:numPr>
          <w:ilvl w:val="0"/>
          <w:numId w:val="0"/>
        </w:numPr>
        <w:ind w:left="360" w:hanging="360"/>
        <w:rPr>
          <w:rFonts w:asciiTheme="minorHAnsi" w:hAnsiTheme="minorHAnsi"/>
          <w:sz w:val="22"/>
          <w:szCs w:val="22"/>
        </w:rPr>
      </w:pPr>
    </w:p>
    <w:p w:rsidR="00200F7A" w:rsidRDefault="00200F7A" w:rsidP="001B48FA">
      <w:pPr>
        <w:pStyle w:val="ListNumber"/>
        <w:numPr>
          <w:ilvl w:val="0"/>
          <w:numId w:val="0"/>
        </w:numPr>
        <w:ind w:left="360" w:hanging="360"/>
        <w:rPr>
          <w:rFonts w:asciiTheme="minorHAnsi" w:hAnsiTheme="minorHAnsi"/>
          <w:sz w:val="22"/>
          <w:szCs w:val="22"/>
        </w:rPr>
      </w:pPr>
    </w:p>
    <w:p w:rsidR="00200F7A" w:rsidRDefault="00200F7A" w:rsidP="001B48FA">
      <w:pPr>
        <w:pStyle w:val="ListNumber"/>
        <w:numPr>
          <w:ilvl w:val="0"/>
          <w:numId w:val="0"/>
        </w:numPr>
        <w:ind w:left="360" w:hanging="360"/>
        <w:rPr>
          <w:rFonts w:asciiTheme="minorHAnsi" w:hAnsiTheme="minorHAnsi"/>
          <w:sz w:val="22"/>
          <w:szCs w:val="22"/>
        </w:rPr>
      </w:pPr>
    </w:p>
    <w:p w:rsidR="00200F7A" w:rsidRDefault="00200F7A" w:rsidP="001B48FA">
      <w:pPr>
        <w:pStyle w:val="ListNumber"/>
        <w:numPr>
          <w:ilvl w:val="0"/>
          <w:numId w:val="0"/>
        </w:numPr>
        <w:ind w:left="360" w:hanging="360"/>
        <w:rPr>
          <w:rFonts w:asciiTheme="minorHAnsi" w:hAnsiTheme="minorHAnsi"/>
          <w:sz w:val="22"/>
          <w:szCs w:val="22"/>
        </w:rPr>
      </w:pPr>
    </w:p>
    <w:p w:rsidR="00200F7A" w:rsidRPr="0066445A" w:rsidRDefault="00200F7A" w:rsidP="001B48FA">
      <w:pPr>
        <w:pStyle w:val="ListNumber"/>
        <w:numPr>
          <w:ilvl w:val="0"/>
          <w:numId w:val="0"/>
        </w:numPr>
        <w:ind w:left="360" w:hanging="360"/>
        <w:rPr>
          <w:rFonts w:asciiTheme="minorHAnsi" w:hAnsiTheme="minorHAnsi"/>
          <w:sz w:val="22"/>
          <w:szCs w:val="22"/>
        </w:rPr>
      </w:pPr>
    </w:p>
    <w:p w:rsidR="008C3DFF" w:rsidRPr="008C3DFF" w:rsidRDefault="008C3DFF" w:rsidP="008C3DFF">
      <w:pPr>
        <w:pStyle w:val="ListNumber"/>
        <w:numPr>
          <w:ilvl w:val="0"/>
          <w:numId w:val="0"/>
        </w:numPr>
        <w:rPr>
          <w:rFonts w:asciiTheme="minorHAnsi" w:hAnsiTheme="minorHAnsi"/>
          <w:sz w:val="22"/>
          <w:szCs w:val="22"/>
        </w:rPr>
      </w:pPr>
      <w:r>
        <w:rPr>
          <w:rFonts w:asciiTheme="minorHAnsi" w:hAnsiTheme="minorHAnsi"/>
          <w:sz w:val="22"/>
          <w:szCs w:val="22"/>
        </w:rPr>
        <w:t xml:space="preserve"> </w:t>
      </w:r>
    </w:p>
    <w:p w:rsidR="00EC47A1" w:rsidRPr="00585A42" w:rsidRDefault="00EC47A1" w:rsidP="00EC47A1">
      <w:pPr>
        <w:pStyle w:val="questionstyle"/>
        <w:rPr>
          <w:rFonts w:asciiTheme="minorHAnsi" w:hAnsiTheme="minorHAnsi" w:cstheme="minorHAnsi"/>
          <w:szCs w:val="22"/>
        </w:rPr>
      </w:pPr>
      <w:bookmarkStart w:id="1" w:name="_Toc15973840"/>
      <w:r w:rsidRPr="00585A42">
        <w:rPr>
          <w:rFonts w:asciiTheme="minorHAnsi" w:hAnsiTheme="minorHAnsi" w:cstheme="minorHAnsi"/>
          <w:szCs w:val="22"/>
        </w:rPr>
        <w:lastRenderedPageBreak/>
        <w:t>What are the future requirements of point-to-point links and FSS earth stations in the 3700–4200 MHz band? Does this differ by geographical area and/or segment of the band?</w:t>
      </w:r>
      <w:bookmarkEnd w:id="1"/>
    </w:p>
    <w:p w:rsidR="00EC47A1" w:rsidRPr="00585A42" w:rsidRDefault="00EC47A1" w:rsidP="00EC47A1">
      <w:pPr>
        <w:pStyle w:val="questionstyle"/>
        <w:rPr>
          <w:rFonts w:asciiTheme="minorHAnsi" w:hAnsiTheme="minorHAnsi" w:cstheme="minorHAnsi"/>
          <w:szCs w:val="22"/>
        </w:rPr>
      </w:pPr>
      <w:bookmarkStart w:id="2" w:name="_Toc15973841"/>
      <w:r w:rsidRPr="00585A42">
        <w:rPr>
          <w:rFonts w:asciiTheme="minorHAnsi" w:hAnsiTheme="minorHAnsi" w:cstheme="minorHAnsi"/>
          <w:szCs w:val="22"/>
        </w:rPr>
        <w:t>If licensed point-to-point links and FSS earth stations are affected by replanning activities in the 3700–4200 MHz band, what alternative deployment options could be considered?</w:t>
      </w:r>
      <w:bookmarkEnd w:id="2"/>
    </w:p>
    <w:p w:rsidR="00B71D2E" w:rsidRDefault="00FC46A1" w:rsidP="008C3DFF">
      <w:pPr>
        <w:pStyle w:val="ListNumber"/>
        <w:numPr>
          <w:ilvl w:val="0"/>
          <w:numId w:val="0"/>
        </w:numPr>
        <w:rPr>
          <w:rFonts w:asciiTheme="minorHAnsi" w:hAnsiTheme="minorHAnsi"/>
          <w:sz w:val="22"/>
          <w:szCs w:val="22"/>
        </w:rPr>
      </w:pPr>
      <w:r>
        <w:rPr>
          <w:rFonts w:asciiTheme="minorHAnsi" w:hAnsiTheme="minorHAnsi"/>
          <w:sz w:val="22"/>
          <w:szCs w:val="22"/>
        </w:rPr>
        <w:t xml:space="preserve">From Eutelsat point of view and experience, the 3700-4200MHz band is </w:t>
      </w:r>
      <w:r w:rsidR="00F4303B">
        <w:rPr>
          <w:rFonts w:asciiTheme="minorHAnsi" w:hAnsiTheme="minorHAnsi"/>
          <w:sz w:val="22"/>
          <w:szCs w:val="22"/>
        </w:rPr>
        <w:t xml:space="preserve">in usage in Australia </w:t>
      </w:r>
      <w:r w:rsidR="00BA05A3">
        <w:rPr>
          <w:rFonts w:asciiTheme="minorHAnsi" w:hAnsiTheme="minorHAnsi"/>
          <w:sz w:val="22"/>
          <w:szCs w:val="22"/>
        </w:rPr>
        <w:t>for</w:t>
      </w:r>
      <w:r w:rsidR="00F4303B">
        <w:rPr>
          <w:rFonts w:asciiTheme="minorHAnsi" w:hAnsiTheme="minorHAnsi"/>
          <w:sz w:val="22"/>
          <w:szCs w:val="22"/>
        </w:rPr>
        <w:t xml:space="preserve"> </w:t>
      </w:r>
      <w:r w:rsidR="00F22860">
        <w:rPr>
          <w:rFonts w:asciiTheme="minorHAnsi" w:hAnsiTheme="minorHAnsi"/>
          <w:sz w:val="22"/>
          <w:szCs w:val="22"/>
        </w:rPr>
        <w:t xml:space="preserve">reception of signals from remote stations located outside Australia into gateways located in </w:t>
      </w:r>
      <w:r w:rsidR="00BA05A3">
        <w:rPr>
          <w:rFonts w:asciiTheme="minorHAnsi" w:hAnsiTheme="minorHAnsi"/>
          <w:sz w:val="22"/>
          <w:szCs w:val="22"/>
        </w:rPr>
        <w:t xml:space="preserve">teleports in </w:t>
      </w:r>
      <w:r w:rsidR="00F22860">
        <w:rPr>
          <w:rFonts w:asciiTheme="minorHAnsi" w:hAnsiTheme="minorHAnsi"/>
          <w:sz w:val="22"/>
          <w:szCs w:val="22"/>
        </w:rPr>
        <w:t xml:space="preserve">Australia. And to a lesser extent this </w:t>
      </w:r>
      <w:r w:rsidR="00BA05A3">
        <w:rPr>
          <w:rFonts w:asciiTheme="minorHAnsi" w:hAnsiTheme="minorHAnsi"/>
          <w:sz w:val="22"/>
          <w:szCs w:val="22"/>
        </w:rPr>
        <w:t xml:space="preserve">receive </w:t>
      </w:r>
      <w:r w:rsidR="00F22860">
        <w:rPr>
          <w:rFonts w:asciiTheme="minorHAnsi" w:hAnsiTheme="minorHAnsi"/>
          <w:sz w:val="22"/>
          <w:szCs w:val="22"/>
        </w:rPr>
        <w:t xml:space="preserve">band is also used by </w:t>
      </w:r>
      <w:r w:rsidR="005B2911">
        <w:rPr>
          <w:rFonts w:asciiTheme="minorHAnsi" w:hAnsiTheme="minorHAnsi"/>
          <w:sz w:val="22"/>
          <w:szCs w:val="22"/>
        </w:rPr>
        <w:t xml:space="preserve">some </w:t>
      </w:r>
      <w:r w:rsidR="00F22860">
        <w:rPr>
          <w:rFonts w:asciiTheme="minorHAnsi" w:hAnsiTheme="minorHAnsi"/>
          <w:sz w:val="22"/>
          <w:szCs w:val="22"/>
        </w:rPr>
        <w:t>remote sites located within Australia.</w:t>
      </w:r>
      <w:r w:rsidR="00BA05A3">
        <w:rPr>
          <w:rFonts w:asciiTheme="minorHAnsi" w:hAnsiTheme="minorHAnsi"/>
          <w:sz w:val="22"/>
          <w:szCs w:val="22"/>
        </w:rPr>
        <w:t xml:space="preserve"> This band is also used for satellite operations matters</w:t>
      </w:r>
      <w:r w:rsidR="00B71D2E">
        <w:rPr>
          <w:rFonts w:asciiTheme="minorHAnsi" w:hAnsiTheme="minorHAnsi"/>
          <w:sz w:val="22"/>
          <w:szCs w:val="22"/>
        </w:rPr>
        <w:t xml:space="preserve"> such as telemetry and ranging.</w:t>
      </w:r>
    </w:p>
    <w:p w:rsidR="00C25D61" w:rsidRDefault="00BA05A3" w:rsidP="008C3DFF">
      <w:pPr>
        <w:pStyle w:val="ListNumber"/>
        <w:numPr>
          <w:ilvl w:val="0"/>
          <w:numId w:val="0"/>
        </w:numPr>
        <w:rPr>
          <w:rFonts w:asciiTheme="minorHAnsi" w:hAnsiTheme="minorHAnsi"/>
          <w:sz w:val="22"/>
          <w:szCs w:val="22"/>
        </w:rPr>
      </w:pPr>
      <w:r>
        <w:rPr>
          <w:rFonts w:asciiTheme="minorHAnsi" w:hAnsiTheme="minorHAnsi"/>
          <w:sz w:val="22"/>
          <w:szCs w:val="22"/>
        </w:rPr>
        <w:t xml:space="preserve">We do not anticipate significant change in the current situation, as usage of this band in Australia is deeply linked with its usage in the rest of Asia-Pacific region. And this band is vital in many countries where in particular climate conditions </w:t>
      </w:r>
      <w:r w:rsidR="005B2911">
        <w:rPr>
          <w:rFonts w:asciiTheme="minorHAnsi" w:hAnsiTheme="minorHAnsi"/>
          <w:sz w:val="22"/>
          <w:szCs w:val="22"/>
        </w:rPr>
        <w:t>require resilient links.</w:t>
      </w:r>
    </w:p>
    <w:p w:rsidR="00D13B6A" w:rsidRDefault="00D13B6A" w:rsidP="008C3DFF">
      <w:pPr>
        <w:pStyle w:val="ListNumber"/>
        <w:numPr>
          <w:ilvl w:val="0"/>
          <w:numId w:val="0"/>
        </w:numPr>
        <w:rPr>
          <w:rFonts w:asciiTheme="minorHAnsi" w:hAnsiTheme="minorHAnsi"/>
          <w:sz w:val="22"/>
          <w:szCs w:val="22"/>
        </w:rPr>
      </w:pPr>
      <w:r>
        <w:rPr>
          <w:rFonts w:asciiTheme="minorHAnsi" w:hAnsiTheme="minorHAnsi"/>
          <w:sz w:val="22"/>
          <w:szCs w:val="22"/>
        </w:rPr>
        <w:t>The ACMA suggests some possible planning options for FSS at page 21 of the Paper</w:t>
      </w:r>
      <w:r w:rsidR="00ED7067">
        <w:rPr>
          <w:rFonts w:asciiTheme="minorHAnsi" w:hAnsiTheme="minorHAnsi"/>
          <w:sz w:val="22"/>
          <w:szCs w:val="22"/>
        </w:rPr>
        <w:t xml:space="preserve">. </w:t>
      </w:r>
      <w:r w:rsidR="00DB452C">
        <w:rPr>
          <w:rFonts w:asciiTheme="minorHAnsi" w:hAnsiTheme="minorHAnsi"/>
          <w:sz w:val="22"/>
          <w:szCs w:val="22"/>
        </w:rPr>
        <w:t>And we would like to raise the following comments:</w:t>
      </w:r>
    </w:p>
    <w:p w:rsidR="00DB452C" w:rsidRDefault="00DB452C" w:rsidP="00DB452C">
      <w:pPr>
        <w:pStyle w:val="ListNumber"/>
        <w:numPr>
          <w:ilvl w:val="0"/>
          <w:numId w:val="10"/>
        </w:numPr>
        <w:rPr>
          <w:rFonts w:asciiTheme="minorHAnsi" w:hAnsiTheme="minorHAnsi"/>
          <w:sz w:val="22"/>
          <w:szCs w:val="22"/>
        </w:rPr>
      </w:pPr>
      <w:r>
        <w:rPr>
          <w:rFonts w:asciiTheme="minorHAnsi" w:hAnsiTheme="minorHAnsi"/>
          <w:sz w:val="22"/>
          <w:szCs w:val="22"/>
        </w:rPr>
        <w:t>Restacking earth stations into some limited segments of the 3700-4200 MHz band</w:t>
      </w:r>
      <w:r w:rsidR="00D904D7">
        <w:rPr>
          <w:rFonts w:asciiTheme="minorHAnsi" w:hAnsiTheme="minorHAnsi"/>
          <w:sz w:val="22"/>
          <w:szCs w:val="22"/>
        </w:rPr>
        <w:t>: this</w:t>
      </w:r>
      <w:r w:rsidR="00053B6E">
        <w:rPr>
          <w:rFonts w:asciiTheme="minorHAnsi" w:hAnsiTheme="minorHAnsi"/>
          <w:sz w:val="22"/>
          <w:szCs w:val="22"/>
        </w:rPr>
        <w:t xml:space="preserve"> appears complex, and in particular in the case of international links. Such restacking would </w:t>
      </w:r>
      <w:r w:rsidR="004D44DF">
        <w:rPr>
          <w:rFonts w:asciiTheme="minorHAnsi" w:hAnsiTheme="minorHAnsi"/>
          <w:sz w:val="22"/>
          <w:szCs w:val="22"/>
        </w:rPr>
        <w:t xml:space="preserve">require frequency change and constraint on range accessible </w:t>
      </w:r>
      <w:r w:rsidR="00053B6E">
        <w:rPr>
          <w:rFonts w:asciiTheme="minorHAnsi" w:hAnsiTheme="minorHAnsi"/>
          <w:sz w:val="22"/>
          <w:szCs w:val="22"/>
        </w:rPr>
        <w:t>on the uplink part from the associated earth stations</w:t>
      </w:r>
      <w:r w:rsidR="004D44DF">
        <w:rPr>
          <w:rFonts w:asciiTheme="minorHAnsi" w:hAnsiTheme="minorHAnsi"/>
          <w:sz w:val="22"/>
          <w:szCs w:val="22"/>
        </w:rPr>
        <w:t xml:space="preserve">. Such conditions may constitute a serious burden for existing links already licensed </w:t>
      </w:r>
      <w:r w:rsidR="00C40133">
        <w:rPr>
          <w:rFonts w:asciiTheme="minorHAnsi" w:hAnsiTheme="minorHAnsi"/>
          <w:sz w:val="22"/>
          <w:szCs w:val="22"/>
        </w:rPr>
        <w:t>for transmission from</w:t>
      </w:r>
      <w:r w:rsidR="004D44DF">
        <w:rPr>
          <w:rFonts w:asciiTheme="minorHAnsi" w:hAnsiTheme="minorHAnsi"/>
          <w:sz w:val="22"/>
          <w:szCs w:val="22"/>
        </w:rPr>
        <w:t xml:space="preserve"> their respective countries, and even potentially impossible</w:t>
      </w:r>
      <w:r w:rsidR="00053B6E">
        <w:rPr>
          <w:rFonts w:asciiTheme="minorHAnsi" w:hAnsiTheme="minorHAnsi"/>
          <w:sz w:val="22"/>
          <w:szCs w:val="22"/>
        </w:rPr>
        <w:t xml:space="preserve"> </w:t>
      </w:r>
      <w:r w:rsidR="004D44DF">
        <w:rPr>
          <w:rFonts w:asciiTheme="minorHAnsi" w:hAnsiTheme="minorHAnsi"/>
          <w:sz w:val="22"/>
          <w:szCs w:val="22"/>
        </w:rPr>
        <w:t>if the frequency range is not accessible</w:t>
      </w:r>
      <w:r w:rsidR="00C40133">
        <w:rPr>
          <w:rFonts w:asciiTheme="minorHAnsi" w:hAnsiTheme="minorHAnsi"/>
          <w:sz w:val="22"/>
          <w:szCs w:val="22"/>
        </w:rPr>
        <w:t xml:space="preserve"> for these stations in these countries.</w:t>
      </w:r>
    </w:p>
    <w:p w:rsidR="004D44DF" w:rsidRDefault="004D44DF" w:rsidP="00DB452C">
      <w:pPr>
        <w:pStyle w:val="ListNumber"/>
        <w:numPr>
          <w:ilvl w:val="0"/>
          <w:numId w:val="10"/>
        </w:numPr>
        <w:rPr>
          <w:rFonts w:asciiTheme="minorHAnsi" w:hAnsiTheme="minorHAnsi"/>
          <w:sz w:val="22"/>
          <w:szCs w:val="22"/>
        </w:rPr>
      </w:pPr>
      <w:r>
        <w:rPr>
          <w:rFonts w:asciiTheme="minorHAnsi" w:hAnsiTheme="minorHAnsi"/>
          <w:sz w:val="22"/>
          <w:szCs w:val="22"/>
        </w:rPr>
        <w:t>Relocating existing earth stations to defined geographical areas</w:t>
      </w:r>
      <w:r w:rsidR="00D904D7">
        <w:rPr>
          <w:rFonts w:asciiTheme="minorHAnsi" w:hAnsiTheme="minorHAnsi"/>
          <w:sz w:val="22"/>
          <w:szCs w:val="22"/>
        </w:rPr>
        <w:t>: i</w:t>
      </w:r>
      <w:r w:rsidR="00593FB9">
        <w:rPr>
          <w:rFonts w:asciiTheme="minorHAnsi" w:hAnsiTheme="minorHAnsi"/>
          <w:sz w:val="22"/>
          <w:szCs w:val="22"/>
        </w:rPr>
        <w:t>n the case of teleports, such relocation</w:t>
      </w:r>
      <w:r w:rsidR="00461367">
        <w:rPr>
          <w:rFonts w:asciiTheme="minorHAnsi" w:hAnsiTheme="minorHAnsi"/>
          <w:sz w:val="22"/>
          <w:szCs w:val="22"/>
        </w:rPr>
        <w:t xml:space="preserve"> does not seem practical. In the case of individual remote sites, they are usually installed at locations where the content received is directly used. Therefore moving these stations would at least add complexity to the ov</w:t>
      </w:r>
      <w:r w:rsidR="003E7549">
        <w:rPr>
          <w:rFonts w:asciiTheme="minorHAnsi" w:hAnsiTheme="minorHAnsi"/>
          <w:sz w:val="22"/>
          <w:szCs w:val="22"/>
        </w:rPr>
        <w:t xml:space="preserve">erall link with addition of a terrestrial part </w:t>
      </w:r>
      <w:r w:rsidR="00461367">
        <w:rPr>
          <w:rFonts w:asciiTheme="minorHAnsi" w:hAnsiTheme="minorHAnsi"/>
          <w:sz w:val="22"/>
          <w:szCs w:val="22"/>
        </w:rPr>
        <w:t>between the earth station and the location where content is to be used. And</w:t>
      </w:r>
      <w:r w:rsidR="003E7549">
        <w:rPr>
          <w:rFonts w:asciiTheme="minorHAnsi" w:hAnsiTheme="minorHAnsi"/>
          <w:sz w:val="22"/>
          <w:szCs w:val="22"/>
        </w:rPr>
        <w:t xml:space="preserve"> earth stations are usually located directly where content is used because such terrestrial part is simply not available.</w:t>
      </w:r>
    </w:p>
    <w:p w:rsidR="003E7549" w:rsidRDefault="003E7549" w:rsidP="00DB452C">
      <w:pPr>
        <w:pStyle w:val="ListNumber"/>
        <w:numPr>
          <w:ilvl w:val="0"/>
          <w:numId w:val="10"/>
        </w:numPr>
        <w:rPr>
          <w:rFonts w:asciiTheme="minorHAnsi" w:hAnsiTheme="minorHAnsi"/>
          <w:sz w:val="22"/>
          <w:szCs w:val="22"/>
        </w:rPr>
      </w:pPr>
      <w:r>
        <w:rPr>
          <w:rFonts w:asciiTheme="minorHAnsi" w:hAnsiTheme="minorHAnsi"/>
          <w:sz w:val="22"/>
          <w:szCs w:val="22"/>
        </w:rPr>
        <w:t xml:space="preserve">Relocating services to a different band: </w:t>
      </w:r>
      <w:r w:rsidR="002E1BC4">
        <w:rPr>
          <w:rFonts w:asciiTheme="minorHAnsi" w:hAnsiTheme="minorHAnsi"/>
          <w:sz w:val="22"/>
          <w:szCs w:val="22"/>
        </w:rPr>
        <w:t xml:space="preserve">the downlink part in C-band of a satellite link is commonly associated to an uplink part in C-band also. Particularly in the case where the uplink station is located in a country with harsh climate conditions, there is no equivalent alternative to the C-band for this uplink. Therefore, </w:t>
      </w:r>
      <w:r w:rsidR="00B9023F">
        <w:rPr>
          <w:rFonts w:asciiTheme="minorHAnsi" w:hAnsiTheme="minorHAnsi"/>
          <w:sz w:val="22"/>
          <w:szCs w:val="22"/>
        </w:rPr>
        <w:t>changing the frequency band to Ku-band for instance would not be possible in these cases.</w:t>
      </w:r>
    </w:p>
    <w:p w:rsidR="00DB452C" w:rsidRDefault="00DB452C" w:rsidP="008C3DFF">
      <w:pPr>
        <w:pStyle w:val="ListNumber"/>
        <w:numPr>
          <w:ilvl w:val="0"/>
          <w:numId w:val="0"/>
        </w:numPr>
        <w:rPr>
          <w:rFonts w:asciiTheme="minorHAnsi" w:hAnsiTheme="minorHAnsi"/>
          <w:sz w:val="22"/>
          <w:szCs w:val="22"/>
        </w:rPr>
      </w:pPr>
    </w:p>
    <w:p w:rsidR="008C3DFF" w:rsidRDefault="00CD718C" w:rsidP="008C3DFF">
      <w:pPr>
        <w:pStyle w:val="ListNumber"/>
        <w:numPr>
          <w:ilvl w:val="0"/>
          <w:numId w:val="0"/>
        </w:numPr>
        <w:rPr>
          <w:rFonts w:asciiTheme="minorHAnsi" w:hAnsiTheme="minorHAnsi"/>
          <w:sz w:val="22"/>
          <w:szCs w:val="22"/>
        </w:rPr>
      </w:pPr>
      <w:r>
        <w:rPr>
          <w:rFonts w:asciiTheme="minorHAnsi" w:hAnsiTheme="minorHAnsi"/>
          <w:sz w:val="22"/>
          <w:szCs w:val="22"/>
        </w:rPr>
        <w:t>Telemetry and ranging carriers are</w:t>
      </w:r>
      <w:r w:rsidR="00EC47A1">
        <w:rPr>
          <w:rFonts w:asciiTheme="minorHAnsi" w:hAnsiTheme="minorHAnsi"/>
          <w:sz w:val="22"/>
          <w:szCs w:val="22"/>
        </w:rPr>
        <w:t xml:space="preserve"> usually at </w:t>
      </w:r>
      <w:r>
        <w:rPr>
          <w:rFonts w:asciiTheme="minorHAnsi" w:hAnsiTheme="minorHAnsi"/>
          <w:sz w:val="22"/>
          <w:szCs w:val="22"/>
        </w:rPr>
        <w:t xml:space="preserve">both </w:t>
      </w:r>
      <w:r w:rsidR="00EC47A1">
        <w:rPr>
          <w:rFonts w:asciiTheme="minorHAnsi" w:hAnsiTheme="minorHAnsi"/>
          <w:sz w:val="22"/>
          <w:szCs w:val="22"/>
        </w:rPr>
        <w:t>edge</w:t>
      </w:r>
      <w:r w:rsidR="006E0DE9">
        <w:rPr>
          <w:rFonts w:asciiTheme="minorHAnsi" w:hAnsiTheme="minorHAnsi"/>
          <w:sz w:val="22"/>
          <w:szCs w:val="22"/>
        </w:rPr>
        <w:t>s</w:t>
      </w:r>
      <w:r w:rsidR="00EC47A1">
        <w:rPr>
          <w:rFonts w:asciiTheme="minorHAnsi" w:hAnsiTheme="minorHAnsi"/>
          <w:sz w:val="22"/>
          <w:szCs w:val="22"/>
        </w:rPr>
        <w:t xml:space="preserve"> of spectrum</w:t>
      </w:r>
      <w:r>
        <w:rPr>
          <w:rFonts w:asciiTheme="minorHAnsi" w:hAnsiTheme="minorHAnsi"/>
          <w:sz w:val="22"/>
          <w:szCs w:val="22"/>
        </w:rPr>
        <w:t xml:space="preserve"> range</w:t>
      </w:r>
      <w:r w:rsidR="00EC47A1">
        <w:rPr>
          <w:rFonts w:asciiTheme="minorHAnsi" w:hAnsiTheme="minorHAnsi"/>
          <w:sz w:val="22"/>
          <w:szCs w:val="22"/>
        </w:rPr>
        <w:t xml:space="preserve">, </w:t>
      </w:r>
      <w:r>
        <w:rPr>
          <w:rFonts w:asciiTheme="minorHAnsi" w:hAnsiTheme="minorHAnsi"/>
          <w:sz w:val="22"/>
          <w:szCs w:val="22"/>
        </w:rPr>
        <w:t xml:space="preserve">for redundancy and </w:t>
      </w:r>
      <w:r w:rsidR="00EC47A1">
        <w:rPr>
          <w:rFonts w:asciiTheme="minorHAnsi" w:hAnsiTheme="minorHAnsi"/>
          <w:sz w:val="22"/>
          <w:szCs w:val="22"/>
        </w:rPr>
        <w:t xml:space="preserve">to not overlap with </w:t>
      </w:r>
      <w:r w:rsidR="00B71D2E">
        <w:rPr>
          <w:rFonts w:asciiTheme="minorHAnsi" w:hAnsiTheme="minorHAnsi"/>
          <w:sz w:val="22"/>
          <w:szCs w:val="22"/>
        </w:rPr>
        <w:t>traffic transponders</w:t>
      </w:r>
      <w:r w:rsidR="00EC47A1">
        <w:rPr>
          <w:rFonts w:asciiTheme="minorHAnsi" w:hAnsiTheme="minorHAnsi"/>
          <w:sz w:val="22"/>
          <w:szCs w:val="22"/>
        </w:rPr>
        <w:t xml:space="preserve"> of the satellite and </w:t>
      </w:r>
      <w:r>
        <w:rPr>
          <w:rFonts w:asciiTheme="minorHAnsi" w:hAnsiTheme="minorHAnsi"/>
          <w:sz w:val="22"/>
          <w:szCs w:val="22"/>
        </w:rPr>
        <w:t xml:space="preserve">of </w:t>
      </w:r>
      <w:r w:rsidR="00EC47A1">
        <w:rPr>
          <w:rFonts w:asciiTheme="minorHAnsi" w:hAnsiTheme="minorHAnsi"/>
          <w:sz w:val="22"/>
          <w:szCs w:val="22"/>
        </w:rPr>
        <w:t>neighbouring satellites.</w:t>
      </w:r>
      <w:r w:rsidR="006E0DE9">
        <w:rPr>
          <w:rFonts w:asciiTheme="minorHAnsi" w:hAnsiTheme="minorHAnsi"/>
          <w:sz w:val="22"/>
          <w:szCs w:val="22"/>
        </w:rPr>
        <w:t xml:space="preserve"> </w:t>
      </w:r>
      <w:r>
        <w:rPr>
          <w:rFonts w:asciiTheme="minorHAnsi" w:hAnsiTheme="minorHAnsi"/>
          <w:sz w:val="22"/>
          <w:szCs w:val="22"/>
        </w:rPr>
        <w:t>Therefore, any replanning in Australia that would reduce the spectrum accessible to satellite networks would create difficulties for operations</w:t>
      </w:r>
      <w:r w:rsidR="00ED7067">
        <w:rPr>
          <w:rFonts w:asciiTheme="minorHAnsi" w:hAnsiTheme="minorHAnsi"/>
          <w:sz w:val="22"/>
          <w:szCs w:val="22"/>
        </w:rPr>
        <w:t xml:space="preserve"> of satellites currently in orbit but also to be launched</w:t>
      </w:r>
      <w:r w:rsidR="006E0DE9">
        <w:rPr>
          <w:rFonts w:asciiTheme="minorHAnsi" w:hAnsiTheme="minorHAnsi"/>
          <w:sz w:val="22"/>
          <w:szCs w:val="22"/>
        </w:rPr>
        <w:t>.</w:t>
      </w:r>
    </w:p>
    <w:p w:rsidR="00E95099" w:rsidRDefault="00E95099" w:rsidP="008C3DFF">
      <w:pPr>
        <w:pStyle w:val="ListNumber"/>
        <w:numPr>
          <w:ilvl w:val="0"/>
          <w:numId w:val="0"/>
        </w:numPr>
        <w:rPr>
          <w:rFonts w:asciiTheme="minorHAnsi" w:hAnsiTheme="minorHAnsi"/>
          <w:sz w:val="22"/>
          <w:szCs w:val="22"/>
        </w:rPr>
      </w:pPr>
    </w:p>
    <w:p w:rsidR="00200F7A" w:rsidRDefault="00200F7A" w:rsidP="008C3DFF">
      <w:pPr>
        <w:pStyle w:val="ListNumber"/>
        <w:numPr>
          <w:ilvl w:val="0"/>
          <w:numId w:val="0"/>
        </w:numPr>
        <w:rPr>
          <w:rFonts w:asciiTheme="minorHAnsi" w:hAnsiTheme="minorHAnsi"/>
          <w:sz w:val="22"/>
          <w:szCs w:val="22"/>
        </w:rPr>
      </w:pPr>
    </w:p>
    <w:p w:rsidR="00200F7A" w:rsidRDefault="00200F7A" w:rsidP="008C3DFF">
      <w:pPr>
        <w:pStyle w:val="ListNumber"/>
        <w:numPr>
          <w:ilvl w:val="0"/>
          <w:numId w:val="0"/>
        </w:numPr>
        <w:rPr>
          <w:rFonts w:asciiTheme="minorHAnsi" w:hAnsiTheme="minorHAnsi"/>
          <w:sz w:val="22"/>
          <w:szCs w:val="22"/>
        </w:rPr>
      </w:pPr>
    </w:p>
    <w:p w:rsidR="00200F7A" w:rsidRDefault="00200F7A" w:rsidP="008C3DFF">
      <w:pPr>
        <w:pStyle w:val="ListNumber"/>
        <w:numPr>
          <w:ilvl w:val="0"/>
          <w:numId w:val="0"/>
        </w:numPr>
        <w:rPr>
          <w:rFonts w:asciiTheme="minorHAnsi" w:hAnsiTheme="minorHAnsi"/>
          <w:sz w:val="22"/>
          <w:szCs w:val="22"/>
        </w:rPr>
      </w:pPr>
    </w:p>
    <w:p w:rsidR="00200F7A" w:rsidRDefault="00200F7A" w:rsidP="008C3DFF">
      <w:pPr>
        <w:pStyle w:val="ListNumber"/>
        <w:numPr>
          <w:ilvl w:val="0"/>
          <w:numId w:val="0"/>
        </w:numPr>
        <w:rPr>
          <w:rFonts w:asciiTheme="minorHAnsi" w:hAnsiTheme="minorHAnsi"/>
          <w:sz w:val="22"/>
          <w:szCs w:val="22"/>
        </w:rPr>
      </w:pPr>
    </w:p>
    <w:p w:rsidR="00200F7A" w:rsidRDefault="00200F7A" w:rsidP="008C3DFF">
      <w:pPr>
        <w:pStyle w:val="ListNumber"/>
        <w:numPr>
          <w:ilvl w:val="0"/>
          <w:numId w:val="0"/>
        </w:numPr>
        <w:rPr>
          <w:rFonts w:asciiTheme="minorHAnsi" w:hAnsiTheme="minorHAnsi"/>
          <w:sz w:val="22"/>
          <w:szCs w:val="22"/>
        </w:rPr>
      </w:pPr>
    </w:p>
    <w:p w:rsidR="00E95099" w:rsidRDefault="00E95099" w:rsidP="008C3DFF">
      <w:pPr>
        <w:pStyle w:val="ListNumber"/>
        <w:numPr>
          <w:ilvl w:val="0"/>
          <w:numId w:val="0"/>
        </w:numPr>
        <w:rPr>
          <w:rFonts w:asciiTheme="minorHAnsi" w:hAnsiTheme="minorHAnsi"/>
          <w:sz w:val="22"/>
          <w:szCs w:val="22"/>
        </w:rPr>
      </w:pPr>
    </w:p>
    <w:p w:rsidR="00E95099" w:rsidRPr="00AD2273" w:rsidRDefault="00E95099" w:rsidP="00E95099">
      <w:pPr>
        <w:pStyle w:val="questionstyle"/>
        <w:numPr>
          <w:ilvl w:val="0"/>
          <w:numId w:val="9"/>
        </w:numPr>
      </w:pPr>
      <w:bookmarkStart w:id="3" w:name="_Toc15973847"/>
      <w:r w:rsidRPr="00DC680D">
        <w:lastRenderedPageBreak/>
        <w:t xml:space="preserve">What services/applications should be accommodated in the 3700–4200 MHz </w:t>
      </w:r>
      <w:r w:rsidRPr="00AD2273">
        <w:t>band?</w:t>
      </w:r>
      <w:bookmarkEnd w:id="3"/>
    </w:p>
    <w:p w:rsidR="00E95099" w:rsidRPr="00AD2273" w:rsidRDefault="00E95099" w:rsidP="00E95099">
      <w:pPr>
        <w:pStyle w:val="questionstyle"/>
      </w:pPr>
      <w:bookmarkStart w:id="4" w:name="_Toc15973848"/>
      <w:r w:rsidRPr="00AD2273">
        <w:t>Which frequencies ranges should be made available for these services/applications?</w:t>
      </w:r>
      <w:bookmarkEnd w:id="4"/>
    </w:p>
    <w:p w:rsidR="00E95099" w:rsidRPr="00AD2273" w:rsidRDefault="00E95099" w:rsidP="00E95099">
      <w:pPr>
        <w:pStyle w:val="questionstyle"/>
      </w:pPr>
      <w:bookmarkStart w:id="5" w:name="_Toc15973849"/>
      <w:r w:rsidRPr="00AD2273">
        <w:t>Which geographic areas should be made available for these services/applications?</w:t>
      </w:r>
      <w:bookmarkEnd w:id="5"/>
    </w:p>
    <w:p w:rsidR="00E95099" w:rsidRPr="00AD2273" w:rsidRDefault="00E95099" w:rsidP="00E95099">
      <w:pPr>
        <w:pStyle w:val="questionstyle"/>
      </w:pPr>
      <w:bookmarkStart w:id="6" w:name="_Toc15973850"/>
      <w:r w:rsidRPr="00AD2273">
        <w:t>On what basis should access be provided? Should access be granted on an exclusive or shared basis, on a coordinated or uncoordinated basis, et cetera?</w:t>
      </w:r>
      <w:bookmarkEnd w:id="6"/>
      <w:r w:rsidRPr="00AD2273">
        <w:t xml:space="preserve"> </w:t>
      </w:r>
    </w:p>
    <w:p w:rsidR="00E95099" w:rsidRDefault="00E95099" w:rsidP="00E95099">
      <w:pPr>
        <w:pStyle w:val="questionstyle"/>
      </w:pPr>
      <w:bookmarkStart w:id="7" w:name="_Toc15973851"/>
      <w:r w:rsidRPr="0029551E">
        <w:t>What licensing mechanisms are appropriate</w:t>
      </w:r>
      <w:r w:rsidRPr="00361F77">
        <w:t xml:space="preserve"> (spectrum, apparatus or class licensing)?</w:t>
      </w:r>
      <w:bookmarkEnd w:id="7"/>
      <w:r w:rsidRPr="00361F77">
        <w:t xml:space="preserve"> </w:t>
      </w:r>
    </w:p>
    <w:p w:rsidR="00E95099" w:rsidRDefault="00E95099" w:rsidP="008C3DFF">
      <w:pPr>
        <w:pStyle w:val="ListNumber"/>
        <w:numPr>
          <w:ilvl w:val="0"/>
          <w:numId w:val="0"/>
        </w:numPr>
        <w:rPr>
          <w:rFonts w:asciiTheme="minorHAnsi" w:hAnsiTheme="minorHAnsi"/>
          <w:sz w:val="22"/>
          <w:szCs w:val="22"/>
        </w:rPr>
      </w:pPr>
    </w:p>
    <w:p w:rsidR="00827C06" w:rsidRDefault="00B9023F" w:rsidP="008C3DFF">
      <w:pPr>
        <w:pStyle w:val="ListNumber"/>
        <w:numPr>
          <w:ilvl w:val="0"/>
          <w:numId w:val="0"/>
        </w:numPr>
        <w:rPr>
          <w:rFonts w:asciiTheme="minorHAnsi" w:hAnsiTheme="minorHAnsi"/>
          <w:sz w:val="22"/>
          <w:szCs w:val="22"/>
        </w:rPr>
      </w:pPr>
      <w:r>
        <w:rPr>
          <w:rFonts w:asciiTheme="minorHAnsi" w:hAnsiTheme="minorHAnsi"/>
          <w:sz w:val="22"/>
          <w:szCs w:val="22"/>
        </w:rPr>
        <w:t>Eutelsat is of the view that t</w:t>
      </w:r>
      <w:r w:rsidR="00827C06">
        <w:rPr>
          <w:rFonts w:asciiTheme="minorHAnsi" w:hAnsiTheme="minorHAnsi"/>
          <w:sz w:val="22"/>
          <w:szCs w:val="22"/>
        </w:rPr>
        <w:t>he whole 3700-4200</w:t>
      </w:r>
      <w:r>
        <w:rPr>
          <w:rFonts w:asciiTheme="minorHAnsi" w:hAnsiTheme="minorHAnsi"/>
          <w:sz w:val="22"/>
          <w:szCs w:val="22"/>
        </w:rPr>
        <w:t xml:space="preserve"> </w:t>
      </w:r>
      <w:r w:rsidR="00827C06">
        <w:rPr>
          <w:rFonts w:asciiTheme="minorHAnsi" w:hAnsiTheme="minorHAnsi"/>
          <w:sz w:val="22"/>
          <w:szCs w:val="22"/>
        </w:rPr>
        <w:t>MHz band should remain allocated and accessible by FSS</w:t>
      </w:r>
      <w:r>
        <w:rPr>
          <w:rFonts w:asciiTheme="minorHAnsi" w:hAnsiTheme="minorHAnsi"/>
          <w:sz w:val="22"/>
          <w:szCs w:val="22"/>
        </w:rPr>
        <w:t xml:space="preserve"> in Australia</w:t>
      </w:r>
      <w:r w:rsidR="00827C06">
        <w:rPr>
          <w:rFonts w:asciiTheme="minorHAnsi" w:hAnsiTheme="minorHAnsi"/>
          <w:sz w:val="22"/>
          <w:szCs w:val="22"/>
        </w:rPr>
        <w:t xml:space="preserve">. Australia is </w:t>
      </w:r>
      <w:r>
        <w:rPr>
          <w:rFonts w:asciiTheme="minorHAnsi" w:hAnsiTheme="minorHAnsi"/>
          <w:sz w:val="22"/>
          <w:szCs w:val="22"/>
        </w:rPr>
        <w:t xml:space="preserve">widely </w:t>
      </w:r>
      <w:r w:rsidR="00827C06">
        <w:rPr>
          <w:rFonts w:asciiTheme="minorHAnsi" w:hAnsiTheme="minorHAnsi"/>
          <w:sz w:val="22"/>
          <w:szCs w:val="22"/>
        </w:rPr>
        <w:t>used as a gateway for Asia-Pacific</w:t>
      </w:r>
      <w:r>
        <w:rPr>
          <w:rFonts w:asciiTheme="minorHAnsi" w:hAnsiTheme="minorHAnsi"/>
          <w:sz w:val="22"/>
          <w:szCs w:val="22"/>
        </w:rPr>
        <w:t xml:space="preserve"> region</w:t>
      </w:r>
      <w:r w:rsidR="00827C06">
        <w:rPr>
          <w:rFonts w:asciiTheme="minorHAnsi" w:hAnsiTheme="minorHAnsi"/>
          <w:sz w:val="22"/>
          <w:szCs w:val="22"/>
        </w:rPr>
        <w:t>, where the 3700-4200MHz band is deeply used.</w:t>
      </w:r>
      <w:r>
        <w:rPr>
          <w:rFonts w:asciiTheme="minorHAnsi" w:hAnsiTheme="minorHAnsi"/>
          <w:sz w:val="22"/>
          <w:szCs w:val="22"/>
        </w:rPr>
        <w:t xml:space="preserve"> Therefore, any restriction on the 3700-4200 MHz band in Australia may impact satellite activities in other countries, and consequently satellite operators and space industry</w:t>
      </w:r>
      <w:r w:rsidR="0051787B">
        <w:rPr>
          <w:rFonts w:asciiTheme="minorHAnsi" w:hAnsiTheme="minorHAnsi"/>
          <w:sz w:val="22"/>
          <w:szCs w:val="22"/>
        </w:rPr>
        <w:t>.</w:t>
      </w:r>
      <w:r>
        <w:rPr>
          <w:rFonts w:asciiTheme="minorHAnsi" w:hAnsiTheme="minorHAnsi"/>
          <w:sz w:val="22"/>
          <w:szCs w:val="22"/>
        </w:rPr>
        <w:t xml:space="preserve"> </w:t>
      </w:r>
    </w:p>
    <w:p w:rsidR="00827C06" w:rsidRDefault="0051787B" w:rsidP="008C3DFF">
      <w:pPr>
        <w:pStyle w:val="ListNumber"/>
        <w:numPr>
          <w:ilvl w:val="0"/>
          <w:numId w:val="0"/>
        </w:numPr>
        <w:rPr>
          <w:rFonts w:asciiTheme="minorHAnsi" w:hAnsiTheme="minorHAnsi"/>
          <w:sz w:val="22"/>
          <w:szCs w:val="22"/>
        </w:rPr>
      </w:pPr>
      <w:r>
        <w:rPr>
          <w:rFonts w:asciiTheme="minorHAnsi" w:hAnsiTheme="minorHAnsi"/>
          <w:sz w:val="22"/>
          <w:szCs w:val="22"/>
        </w:rPr>
        <w:t>For what concerns</w:t>
      </w:r>
      <w:r w:rsidR="00827C06">
        <w:rPr>
          <w:rFonts w:asciiTheme="minorHAnsi" w:hAnsiTheme="minorHAnsi"/>
          <w:sz w:val="22"/>
          <w:szCs w:val="22"/>
        </w:rPr>
        <w:t xml:space="preserve"> teleports</w:t>
      </w:r>
      <w:r>
        <w:rPr>
          <w:rFonts w:asciiTheme="minorHAnsi" w:hAnsiTheme="minorHAnsi"/>
          <w:sz w:val="22"/>
          <w:szCs w:val="22"/>
        </w:rPr>
        <w:t>, the outcome of this consultation should ensure on the long-term the protection from external interference of their operations in the 3700-4200 MHz</w:t>
      </w:r>
      <w:r w:rsidR="00827C06">
        <w:rPr>
          <w:rFonts w:asciiTheme="minorHAnsi" w:hAnsiTheme="minorHAnsi"/>
          <w:sz w:val="22"/>
          <w:szCs w:val="22"/>
        </w:rPr>
        <w:t xml:space="preserve">, </w:t>
      </w:r>
      <w:r>
        <w:rPr>
          <w:rFonts w:asciiTheme="minorHAnsi" w:hAnsiTheme="minorHAnsi"/>
          <w:sz w:val="22"/>
          <w:szCs w:val="22"/>
        </w:rPr>
        <w:t>as well as</w:t>
      </w:r>
      <w:r w:rsidR="00827C06">
        <w:rPr>
          <w:rFonts w:asciiTheme="minorHAnsi" w:hAnsiTheme="minorHAnsi"/>
          <w:sz w:val="22"/>
          <w:szCs w:val="22"/>
        </w:rPr>
        <w:t xml:space="preserve"> no constraint </w:t>
      </w:r>
      <w:r>
        <w:rPr>
          <w:rFonts w:asciiTheme="minorHAnsi" w:hAnsiTheme="minorHAnsi"/>
          <w:sz w:val="22"/>
          <w:szCs w:val="22"/>
        </w:rPr>
        <w:t xml:space="preserve">to be added </w:t>
      </w:r>
      <w:r w:rsidR="00827C06">
        <w:rPr>
          <w:rFonts w:asciiTheme="minorHAnsi" w:hAnsiTheme="minorHAnsi"/>
          <w:sz w:val="22"/>
          <w:szCs w:val="22"/>
        </w:rPr>
        <w:t>on</w:t>
      </w:r>
      <w:r>
        <w:rPr>
          <w:rFonts w:asciiTheme="minorHAnsi" w:hAnsiTheme="minorHAnsi"/>
          <w:sz w:val="22"/>
          <w:szCs w:val="22"/>
        </w:rPr>
        <w:t xml:space="preserve"> the</w:t>
      </w:r>
      <w:r w:rsidR="00827C06">
        <w:rPr>
          <w:rFonts w:asciiTheme="minorHAnsi" w:hAnsiTheme="minorHAnsi"/>
          <w:sz w:val="22"/>
          <w:szCs w:val="22"/>
        </w:rPr>
        <w:t xml:space="preserve"> deployment of future links at new frequencies in the 3700-4200 MHz range.</w:t>
      </w:r>
    </w:p>
    <w:p w:rsidR="00827C06" w:rsidRDefault="00827C06" w:rsidP="008C3DFF">
      <w:pPr>
        <w:pStyle w:val="ListNumber"/>
        <w:numPr>
          <w:ilvl w:val="0"/>
          <w:numId w:val="0"/>
        </w:numPr>
        <w:rPr>
          <w:rFonts w:asciiTheme="minorHAnsi" w:hAnsiTheme="minorHAnsi"/>
          <w:sz w:val="22"/>
          <w:szCs w:val="22"/>
        </w:rPr>
      </w:pPr>
      <w:r>
        <w:rPr>
          <w:rFonts w:asciiTheme="minorHAnsi" w:hAnsiTheme="minorHAnsi"/>
          <w:sz w:val="22"/>
          <w:szCs w:val="22"/>
        </w:rPr>
        <w:t xml:space="preserve">As indicated by </w:t>
      </w:r>
      <w:r w:rsidR="0051787B">
        <w:rPr>
          <w:rFonts w:asciiTheme="minorHAnsi" w:hAnsiTheme="minorHAnsi"/>
          <w:sz w:val="22"/>
          <w:szCs w:val="22"/>
        </w:rPr>
        <w:t xml:space="preserve">the </w:t>
      </w:r>
      <w:r>
        <w:rPr>
          <w:rFonts w:asciiTheme="minorHAnsi" w:hAnsiTheme="minorHAnsi"/>
          <w:sz w:val="22"/>
          <w:szCs w:val="22"/>
        </w:rPr>
        <w:t>ACMA</w:t>
      </w:r>
      <w:r w:rsidR="0051787B">
        <w:rPr>
          <w:rFonts w:asciiTheme="minorHAnsi" w:hAnsiTheme="minorHAnsi"/>
          <w:sz w:val="22"/>
          <w:szCs w:val="22"/>
        </w:rPr>
        <w:t xml:space="preserve"> on page 22 of the Paper, “</w:t>
      </w:r>
      <w:r w:rsidR="0051787B" w:rsidRPr="0051787B">
        <w:rPr>
          <w:i/>
        </w:rPr>
        <w:t>Several submissions to the draft FYSO indicated interest in accelerating consideration of the 3700–3800 MHz frequency range for use by fixed and mobile WBB services.</w:t>
      </w:r>
      <w:proofErr w:type="gramStart"/>
      <w:r w:rsidR="0051787B">
        <w:rPr>
          <w:rFonts w:asciiTheme="minorHAnsi" w:hAnsiTheme="minorHAnsi"/>
          <w:sz w:val="22"/>
          <w:szCs w:val="22"/>
        </w:rPr>
        <w:t>”.</w:t>
      </w:r>
      <w:proofErr w:type="gramEnd"/>
      <w:r w:rsidR="0051787B">
        <w:rPr>
          <w:rFonts w:asciiTheme="minorHAnsi" w:hAnsiTheme="minorHAnsi"/>
          <w:sz w:val="22"/>
          <w:szCs w:val="22"/>
        </w:rPr>
        <w:t xml:space="preserve"> </w:t>
      </w:r>
      <w:r w:rsidR="00B71D2E">
        <w:rPr>
          <w:rFonts w:asciiTheme="minorHAnsi" w:hAnsiTheme="minorHAnsi"/>
          <w:sz w:val="22"/>
          <w:szCs w:val="22"/>
        </w:rPr>
        <w:t>On this basis</w:t>
      </w:r>
      <w:r w:rsidR="0051787B">
        <w:rPr>
          <w:rFonts w:asciiTheme="minorHAnsi" w:hAnsiTheme="minorHAnsi"/>
          <w:sz w:val="22"/>
          <w:szCs w:val="22"/>
        </w:rPr>
        <w:t xml:space="preserve">, </w:t>
      </w:r>
      <w:r w:rsidR="00B71D2E">
        <w:rPr>
          <w:rFonts w:asciiTheme="minorHAnsi" w:hAnsiTheme="minorHAnsi"/>
          <w:sz w:val="22"/>
          <w:szCs w:val="22"/>
        </w:rPr>
        <w:t xml:space="preserve">we understand no interest was raised for the 3800-4200 MHz band. Therefore </w:t>
      </w:r>
      <w:r w:rsidR="0051787B">
        <w:rPr>
          <w:rFonts w:asciiTheme="minorHAnsi" w:hAnsiTheme="minorHAnsi"/>
          <w:sz w:val="22"/>
          <w:szCs w:val="22"/>
        </w:rPr>
        <w:t>we invite the ACMA to ensure there is a requirement</w:t>
      </w:r>
      <w:r w:rsidR="005C7EE9">
        <w:rPr>
          <w:rFonts w:asciiTheme="minorHAnsi" w:hAnsiTheme="minorHAnsi"/>
          <w:sz w:val="22"/>
          <w:szCs w:val="22"/>
        </w:rPr>
        <w:t xml:space="preserve"> to address the 3800-4200 MHz band before taking any decision on this band.</w:t>
      </w:r>
    </w:p>
    <w:p w:rsidR="00470CAA" w:rsidRDefault="005C7EE9" w:rsidP="008C3DFF">
      <w:pPr>
        <w:pStyle w:val="ListNumber"/>
        <w:numPr>
          <w:ilvl w:val="0"/>
          <w:numId w:val="0"/>
        </w:numPr>
        <w:rPr>
          <w:rFonts w:asciiTheme="minorHAnsi" w:hAnsiTheme="minorHAnsi"/>
          <w:sz w:val="22"/>
          <w:szCs w:val="22"/>
        </w:rPr>
      </w:pPr>
      <w:r>
        <w:rPr>
          <w:rFonts w:asciiTheme="minorHAnsi" w:hAnsiTheme="minorHAnsi"/>
          <w:sz w:val="22"/>
          <w:szCs w:val="22"/>
        </w:rPr>
        <w:t>As highlighted above, and although not identified in the “</w:t>
      </w:r>
      <w:r w:rsidRPr="005C7EE9">
        <w:rPr>
          <w:rFonts w:asciiTheme="minorHAnsi" w:hAnsiTheme="minorHAnsi"/>
          <w:i/>
          <w:sz w:val="22"/>
          <w:szCs w:val="22"/>
        </w:rPr>
        <w:t>Compatibility with adjacent band services</w:t>
      </w:r>
      <w:r>
        <w:rPr>
          <w:rFonts w:asciiTheme="minorHAnsi" w:hAnsiTheme="minorHAnsi"/>
          <w:sz w:val="22"/>
          <w:szCs w:val="22"/>
        </w:rPr>
        <w:t>” section on page</w:t>
      </w:r>
      <w:r w:rsidR="00B71D2E">
        <w:rPr>
          <w:rFonts w:asciiTheme="minorHAnsi" w:hAnsiTheme="minorHAnsi"/>
          <w:sz w:val="22"/>
          <w:szCs w:val="22"/>
        </w:rPr>
        <w:t>s</w:t>
      </w:r>
      <w:r>
        <w:rPr>
          <w:rFonts w:asciiTheme="minorHAnsi" w:hAnsiTheme="minorHAnsi"/>
          <w:sz w:val="22"/>
          <w:szCs w:val="22"/>
        </w:rPr>
        <w:t xml:space="preserve"> 31 and after in the Paper, the compatibility between WBB and FSS systems in adjacent bands should be addressed in the context of this Paper before making any decision. Should specific conditions be required to permit this compatibility (such as </w:t>
      </w:r>
      <w:r w:rsidR="00B71D2E">
        <w:rPr>
          <w:rFonts w:asciiTheme="minorHAnsi" w:hAnsiTheme="minorHAnsi"/>
          <w:sz w:val="22"/>
          <w:szCs w:val="22"/>
        </w:rPr>
        <w:t xml:space="preserve">a </w:t>
      </w:r>
      <w:r>
        <w:rPr>
          <w:rFonts w:asciiTheme="minorHAnsi" w:hAnsiTheme="minorHAnsi"/>
          <w:sz w:val="22"/>
          <w:szCs w:val="22"/>
        </w:rPr>
        <w:t xml:space="preserve">guard band), we encourage the ACMA to make these conditions applicable only to the new allocation being at their origin. For instance, should some additional spectrum be allocated to WBB in a band adjacent to FSS allocation, the potential guard band should be defined only within the WBB </w:t>
      </w:r>
      <w:r w:rsidR="00B71D2E">
        <w:rPr>
          <w:rFonts w:asciiTheme="minorHAnsi" w:hAnsiTheme="minorHAnsi"/>
          <w:sz w:val="22"/>
          <w:szCs w:val="22"/>
        </w:rPr>
        <w:t xml:space="preserve">newly </w:t>
      </w:r>
      <w:r>
        <w:rPr>
          <w:rFonts w:asciiTheme="minorHAnsi" w:hAnsiTheme="minorHAnsi"/>
          <w:sz w:val="22"/>
          <w:szCs w:val="22"/>
        </w:rPr>
        <w:t>allocated spectrum.</w:t>
      </w:r>
    </w:p>
    <w:p w:rsidR="00FF577F" w:rsidRPr="008C3DFF" w:rsidRDefault="00FF577F" w:rsidP="008C3DFF">
      <w:pPr>
        <w:pStyle w:val="ListNumber"/>
        <w:numPr>
          <w:ilvl w:val="0"/>
          <w:numId w:val="0"/>
        </w:numPr>
        <w:rPr>
          <w:rFonts w:asciiTheme="minorHAnsi" w:hAnsiTheme="minorHAnsi"/>
          <w:sz w:val="22"/>
          <w:szCs w:val="22"/>
        </w:rPr>
      </w:pPr>
    </w:p>
    <w:p w:rsidR="0086541A" w:rsidRPr="0066445A" w:rsidRDefault="0086541A" w:rsidP="0086541A">
      <w:pPr>
        <w:pStyle w:val="Body"/>
        <w:keepNext/>
        <w:suppressAutoHyphens/>
        <w:spacing w:line="240" w:lineRule="auto"/>
        <w:jc w:val="both"/>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If you have any questions, please contact:</w:t>
      </w:r>
    </w:p>
    <w:p w:rsidR="0086541A" w:rsidRPr="0066445A" w:rsidRDefault="0086541A" w:rsidP="0086541A">
      <w:pPr>
        <w:pStyle w:val="Body"/>
        <w:keepNext/>
        <w:suppressAutoHyphens/>
        <w:spacing w:line="240" w:lineRule="auto"/>
        <w:jc w:val="both"/>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Fabrice Barbedette</w:t>
      </w:r>
    </w:p>
    <w:p w:rsidR="0086541A" w:rsidRPr="0066445A" w:rsidRDefault="0086541A" w:rsidP="0086541A">
      <w:pPr>
        <w:pStyle w:val="Body"/>
        <w:keepNext/>
        <w:suppressAutoHyphens/>
        <w:spacing w:line="240" w:lineRule="auto"/>
        <w:jc w:val="both"/>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Director, Regulatory Market Access</w:t>
      </w:r>
    </w:p>
    <w:p w:rsidR="0086541A" w:rsidRPr="0066445A" w:rsidRDefault="0086541A" w:rsidP="0086541A">
      <w:pPr>
        <w:pStyle w:val="Body"/>
        <w:keepNext/>
        <w:suppressAutoHyphens/>
        <w:spacing w:line="240" w:lineRule="auto"/>
        <w:jc w:val="both"/>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fbarbedette@eutelsat.com</w:t>
      </w:r>
    </w:p>
    <w:p w:rsidR="0086541A" w:rsidRPr="0066445A" w:rsidRDefault="0086541A" w:rsidP="0086541A">
      <w:pPr>
        <w:pStyle w:val="LHClosing"/>
        <w:keepNext/>
        <w:suppressAutoHyphens/>
        <w:spacing w:line="240" w:lineRule="auto"/>
        <w:rPr>
          <w:rFonts w:asciiTheme="minorHAnsi" w:eastAsiaTheme="minorHAnsi" w:hAnsiTheme="minorHAnsi" w:cstheme="minorBidi"/>
          <w:kern w:val="0"/>
          <w:sz w:val="22"/>
          <w:szCs w:val="22"/>
          <w:lang w:val="en-AU" w:eastAsia="en-US"/>
        </w:rPr>
      </w:pPr>
    </w:p>
    <w:p w:rsidR="0086541A" w:rsidRPr="0066445A" w:rsidRDefault="0086541A" w:rsidP="0086541A">
      <w:pPr>
        <w:pStyle w:val="LHClosing"/>
        <w:keepNext/>
        <w:suppressAutoHyphens/>
        <w:spacing w:line="240" w:lineRule="auto"/>
        <w:rPr>
          <w:rFonts w:asciiTheme="minorHAnsi" w:eastAsiaTheme="minorHAnsi" w:hAnsiTheme="minorHAnsi" w:cstheme="minorBidi"/>
          <w:kern w:val="0"/>
          <w:sz w:val="22"/>
          <w:szCs w:val="22"/>
          <w:lang w:val="en-AU" w:eastAsia="en-US"/>
        </w:rPr>
      </w:pPr>
    </w:p>
    <w:p w:rsidR="0086541A" w:rsidRPr="00046A23" w:rsidRDefault="00046A23" w:rsidP="0086541A">
      <w:pPr>
        <w:pStyle w:val="LHClosing"/>
        <w:keepNext/>
        <w:suppressAutoHyphens/>
        <w:spacing w:line="240" w:lineRule="auto"/>
        <w:rPr>
          <w:rFonts w:asciiTheme="minorHAnsi" w:hAnsiTheme="minorHAnsi"/>
          <w:kern w:val="0"/>
          <w:sz w:val="22"/>
          <w:szCs w:val="22"/>
          <w:lang w:val="en-AU" w:eastAsia="en-AU"/>
        </w:rPr>
      </w:pPr>
      <w:r w:rsidRPr="00046A23">
        <w:rPr>
          <w:rFonts w:asciiTheme="minorHAnsi" w:hAnsiTheme="minorHAnsi"/>
          <w:kern w:val="0"/>
          <w:sz w:val="22"/>
          <w:szCs w:val="22"/>
          <w:lang w:val="en-AU" w:eastAsia="en-AU"/>
        </w:rPr>
        <w:t>Respectfully submitted</w:t>
      </w:r>
      <w:r w:rsidR="0086541A" w:rsidRPr="00046A23">
        <w:rPr>
          <w:rFonts w:asciiTheme="minorHAnsi" w:hAnsiTheme="minorHAnsi"/>
          <w:kern w:val="0"/>
          <w:sz w:val="22"/>
          <w:szCs w:val="22"/>
          <w:lang w:val="en-AU" w:eastAsia="en-AU"/>
        </w:rPr>
        <w:t xml:space="preserve">, </w:t>
      </w:r>
    </w:p>
    <w:p w:rsidR="0086541A" w:rsidRPr="00D61BB5" w:rsidRDefault="0086541A" w:rsidP="0086541A">
      <w:pPr>
        <w:pStyle w:val="LHClosing"/>
        <w:suppressAutoHyphens/>
        <w:spacing w:line="240" w:lineRule="auto"/>
        <w:rPr>
          <w:rFonts w:asciiTheme="minorHAnsi" w:eastAsiaTheme="minorHAnsi" w:hAnsiTheme="minorHAnsi" w:cstheme="minorBidi"/>
          <w:kern w:val="0"/>
          <w:sz w:val="22"/>
          <w:szCs w:val="22"/>
          <w:u w:val="single"/>
          <w:lang w:val="en-AU" w:eastAsia="en-US"/>
        </w:rPr>
      </w:pPr>
      <w:r w:rsidRPr="00D61BB5">
        <w:rPr>
          <w:rFonts w:asciiTheme="minorHAnsi" w:eastAsiaTheme="minorHAnsi" w:hAnsiTheme="minorHAnsi" w:cstheme="minorBidi"/>
          <w:kern w:val="0"/>
          <w:sz w:val="22"/>
          <w:szCs w:val="22"/>
          <w:u w:val="single"/>
          <w:lang w:val="en-AU" w:eastAsia="en-US"/>
        </w:rPr>
        <w:t>/s/</w:t>
      </w:r>
      <w:r w:rsidR="00034AAA" w:rsidRPr="00D61BB5">
        <w:rPr>
          <w:rFonts w:asciiTheme="minorHAnsi" w:eastAsiaTheme="minorHAnsi" w:hAnsiTheme="minorHAnsi" w:cstheme="minorBidi"/>
          <w:kern w:val="0"/>
          <w:sz w:val="22"/>
          <w:szCs w:val="22"/>
          <w:u w:val="single"/>
          <w:lang w:val="en-AU" w:eastAsia="en-US"/>
        </w:rPr>
        <w:t xml:space="preserve"> </w:t>
      </w:r>
      <w:r w:rsidRPr="00D61BB5">
        <w:rPr>
          <w:rFonts w:asciiTheme="minorHAnsi" w:eastAsiaTheme="minorHAnsi" w:hAnsiTheme="minorHAnsi" w:cstheme="minorBidi"/>
          <w:kern w:val="0"/>
          <w:sz w:val="22"/>
          <w:szCs w:val="22"/>
          <w:u w:val="single"/>
          <w:lang w:val="en-AU" w:eastAsia="en-US"/>
        </w:rPr>
        <w:t>Christophe Cazes</w:t>
      </w:r>
    </w:p>
    <w:p w:rsidR="00D61BB5" w:rsidRDefault="00D61BB5" w:rsidP="0086541A">
      <w:pPr>
        <w:pStyle w:val="LHClosing"/>
        <w:suppressAutoHyphens/>
        <w:spacing w:line="240" w:lineRule="auto"/>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Christophe Cazes</w:t>
      </w:r>
    </w:p>
    <w:p w:rsidR="004D35E9" w:rsidRPr="0066445A" w:rsidRDefault="004D35E9" w:rsidP="0086541A">
      <w:pPr>
        <w:pStyle w:val="LHClosing"/>
        <w:suppressAutoHyphens/>
        <w:spacing w:line="240" w:lineRule="auto"/>
        <w:rPr>
          <w:rFonts w:asciiTheme="minorHAnsi" w:eastAsiaTheme="minorHAnsi" w:hAnsiTheme="minorHAnsi" w:cstheme="minorBidi"/>
          <w:kern w:val="0"/>
          <w:sz w:val="22"/>
          <w:szCs w:val="22"/>
          <w:lang w:val="en-AU" w:eastAsia="en-US"/>
        </w:rPr>
      </w:pPr>
      <w:r w:rsidRPr="0066445A">
        <w:rPr>
          <w:rFonts w:asciiTheme="minorHAnsi" w:eastAsiaTheme="minorHAnsi" w:hAnsiTheme="minorHAnsi" w:cstheme="minorBidi"/>
          <w:kern w:val="0"/>
          <w:sz w:val="22"/>
          <w:szCs w:val="22"/>
          <w:lang w:val="en-AU" w:eastAsia="en-US"/>
        </w:rPr>
        <w:t>CEO</w:t>
      </w:r>
    </w:p>
    <w:p w:rsidR="004D35E9" w:rsidRPr="0066445A" w:rsidRDefault="004D35E9" w:rsidP="0086541A">
      <w:pPr>
        <w:pStyle w:val="LHClosing"/>
        <w:suppressAutoHyphens/>
        <w:spacing w:line="240" w:lineRule="auto"/>
        <w:rPr>
          <w:rFonts w:asciiTheme="minorHAnsi" w:eastAsiaTheme="minorHAnsi" w:hAnsiTheme="minorHAnsi" w:cstheme="minorBidi"/>
          <w:kern w:val="0"/>
          <w:sz w:val="22"/>
          <w:szCs w:val="22"/>
          <w:lang w:val="en-AU" w:eastAsia="en-US"/>
        </w:rPr>
      </w:pPr>
      <w:r w:rsidRPr="00034AAA">
        <w:rPr>
          <w:rFonts w:asciiTheme="minorHAnsi" w:eastAsiaTheme="minorHAnsi" w:hAnsiTheme="minorHAnsi" w:cstheme="minorBidi"/>
          <w:kern w:val="0"/>
          <w:sz w:val="22"/>
          <w:szCs w:val="22"/>
          <w:lang w:val="en-AU" w:eastAsia="en-US"/>
        </w:rPr>
        <w:t>Eutelsat Asia</w:t>
      </w:r>
    </w:p>
    <w:p w:rsidR="0086541A" w:rsidRPr="0066445A" w:rsidRDefault="0086541A" w:rsidP="00CC6B4A">
      <w:pPr>
        <w:rPr>
          <w:lang w:val="en-AU"/>
        </w:rPr>
      </w:pPr>
      <w:bookmarkStart w:id="8" w:name="_GoBack"/>
      <w:bookmarkEnd w:id="8"/>
    </w:p>
    <w:sectPr w:rsidR="0086541A" w:rsidRPr="0066445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45A" w:rsidRDefault="0066445A" w:rsidP="0066445A">
      <w:pPr>
        <w:spacing w:after="0" w:line="240" w:lineRule="auto"/>
      </w:pPr>
      <w:r>
        <w:separator/>
      </w:r>
    </w:p>
  </w:endnote>
  <w:endnote w:type="continuationSeparator" w:id="0">
    <w:p w:rsidR="0066445A" w:rsidRDefault="0066445A" w:rsidP="00664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482424"/>
      <w:docPartObj>
        <w:docPartGallery w:val="Page Numbers (Bottom of Page)"/>
        <w:docPartUnique/>
      </w:docPartObj>
    </w:sdtPr>
    <w:sdtEndPr/>
    <w:sdtContent>
      <w:sdt>
        <w:sdtPr>
          <w:id w:val="-1669238322"/>
          <w:docPartObj>
            <w:docPartGallery w:val="Page Numbers (Top of Page)"/>
            <w:docPartUnique/>
          </w:docPartObj>
        </w:sdtPr>
        <w:sdtEndPr/>
        <w:sdtContent>
          <w:p w:rsidR="0066445A" w:rsidRDefault="0066445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00F7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00F7A">
              <w:rPr>
                <w:b/>
                <w:bCs/>
                <w:noProof/>
              </w:rPr>
              <w:t>4</w:t>
            </w:r>
            <w:r>
              <w:rPr>
                <w:b/>
                <w:bCs/>
                <w:sz w:val="24"/>
                <w:szCs w:val="24"/>
              </w:rPr>
              <w:fldChar w:fldCharType="end"/>
            </w:r>
          </w:p>
        </w:sdtContent>
      </w:sdt>
    </w:sdtContent>
  </w:sdt>
  <w:p w:rsidR="0066445A" w:rsidRDefault="006644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45A" w:rsidRDefault="0066445A" w:rsidP="0066445A">
      <w:pPr>
        <w:spacing w:after="0" w:line="240" w:lineRule="auto"/>
      </w:pPr>
      <w:r>
        <w:separator/>
      </w:r>
    </w:p>
  </w:footnote>
  <w:footnote w:type="continuationSeparator" w:id="0">
    <w:p w:rsidR="0066445A" w:rsidRDefault="0066445A" w:rsidP="006644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A23" w:rsidRPr="00046A23" w:rsidRDefault="00046A23" w:rsidP="00046A23">
    <w:pPr>
      <w:pStyle w:val="Header"/>
    </w:pPr>
    <w:r>
      <w:rPr>
        <w:noProof/>
      </w:rPr>
      <w:drawing>
        <wp:inline distT="0" distB="0" distL="0" distR="0">
          <wp:extent cx="1582420" cy="397510"/>
          <wp:effectExtent l="0" t="0" r="0" b="0"/>
          <wp:docPr id="2" name="Picture 2" descr="https://services-cas.eutelsat.fr/cas/themes/default/images/eutelsat-extrane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rvices-cas.eutelsat.fr/cas/themes/default/images/eutelsat-extrane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3975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D8FD24"/>
    <w:lvl w:ilvl="0">
      <w:start w:val="1"/>
      <w:numFmt w:val="decimal"/>
      <w:pStyle w:val="ListNumber"/>
      <w:lvlText w:val="%1."/>
      <w:lvlJc w:val="left"/>
      <w:pPr>
        <w:ind w:left="360" w:hanging="360"/>
      </w:pPr>
      <w:rPr>
        <w:caps/>
        <w:sz w:val="20"/>
      </w:rPr>
    </w:lvl>
  </w:abstractNum>
  <w:abstractNum w:abstractNumId="1">
    <w:nsid w:val="FFFFFF89"/>
    <w:multiLevelType w:val="singleLevel"/>
    <w:tmpl w:val="DC22C0BE"/>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2">
    <w:nsid w:val="250D224B"/>
    <w:multiLevelType w:val="multilevel"/>
    <w:tmpl w:val="02748B1E"/>
    <w:lvl w:ilvl="0">
      <w:start w:val="1"/>
      <w:numFmt w:val="upperRoman"/>
      <w:pStyle w:val="Heading1"/>
      <w:lvlText w:val="%1."/>
      <w:lvlJc w:val="left"/>
      <w:pPr>
        <w:tabs>
          <w:tab w:val="num" w:pos="2970"/>
        </w:tabs>
        <w:ind w:left="2970" w:hanging="720"/>
      </w:pPr>
      <w:rPr>
        <w:b/>
        <w:i w:val="0"/>
        <w:caps/>
        <w:smallCaps w:val="0"/>
        <w:strike w:val="0"/>
        <w:dstrike w:val="0"/>
        <w:vanish w:val="0"/>
        <w:webHidden w:val="0"/>
        <w:color w:val="010000"/>
        <w:u w:val="none"/>
        <w:effect w:val="none"/>
        <w:specVanish w:val="0"/>
      </w:rPr>
    </w:lvl>
    <w:lvl w:ilvl="1">
      <w:start w:val="1"/>
      <w:numFmt w:val="upperLetter"/>
      <w:pStyle w:val="Heading2"/>
      <w:lvlText w:val="%2."/>
      <w:lvlJc w:val="left"/>
      <w:pPr>
        <w:tabs>
          <w:tab w:val="num" w:pos="7380"/>
        </w:tabs>
        <w:ind w:left="7380" w:hanging="720"/>
      </w:pPr>
      <w:rPr>
        <w:b/>
        <w:i w:val="0"/>
        <w:caps w:val="0"/>
        <w:strike w:val="0"/>
        <w:dstrike w:val="0"/>
        <w:vanish w:val="0"/>
        <w:webHidden w:val="0"/>
        <w:color w:val="010000"/>
        <w:u w:val="none"/>
        <w:effect w:val="none"/>
        <w:specVanish w:val="0"/>
      </w:rPr>
    </w:lvl>
    <w:lvl w:ilvl="2">
      <w:start w:val="1"/>
      <w:numFmt w:val="decimal"/>
      <w:lvlText w:val="%3."/>
      <w:lvlJc w:val="left"/>
      <w:pPr>
        <w:tabs>
          <w:tab w:val="num" w:pos="1440"/>
        </w:tabs>
        <w:ind w:left="2160" w:hanging="720"/>
      </w:pPr>
      <w:rPr>
        <w:b w:val="0"/>
        <w:caps w:val="0"/>
        <w:strike w:val="0"/>
        <w:dstrike w:val="0"/>
        <w:vanish w:val="0"/>
        <w:webHidden w:val="0"/>
        <w:color w:val="010000"/>
        <w:u w:val="none"/>
        <w:effect w:val="none"/>
        <w:specVanish w:val="0"/>
      </w:rPr>
    </w:lvl>
    <w:lvl w:ilvl="3">
      <w:start w:val="1"/>
      <w:numFmt w:val="lowerLetter"/>
      <w:lvlText w:val="%4)"/>
      <w:lvlJc w:val="left"/>
      <w:pPr>
        <w:tabs>
          <w:tab w:val="num" w:pos="2880"/>
        </w:tabs>
        <w:ind w:left="2880" w:hanging="720"/>
      </w:pPr>
      <w:rPr>
        <w:b w:val="0"/>
        <w:caps w:val="0"/>
        <w:strike w:val="0"/>
        <w:dstrike w:val="0"/>
        <w:vanish w:val="0"/>
        <w:webHidden w:val="0"/>
        <w:color w:val="010000"/>
        <w:u w:val="none"/>
        <w:effect w:val="none"/>
        <w:specVanish w:val="0"/>
      </w:rPr>
    </w:lvl>
    <w:lvl w:ilvl="4">
      <w:start w:val="1"/>
      <w:numFmt w:val="lowerRoman"/>
      <w:pStyle w:val="Heading5"/>
      <w:lvlText w:val="%5."/>
      <w:lvlJc w:val="left"/>
      <w:pPr>
        <w:tabs>
          <w:tab w:val="num" w:pos="3600"/>
        </w:tabs>
        <w:ind w:left="3600" w:hanging="720"/>
      </w:pPr>
      <w:rPr>
        <w:caps w:val="0"/>
        <w:strike w:val="0"/>
        <w:dstrike w:val="0"/>
        <w:vanish w:val="0"/>
        <w:webHidden w:val="0"/>
        <w:color w:val="010000"/>
        <w:u w:val="none"/>
        <w:effect w:val="none"/>
        <w:specVanish w:val="0"/>
      </w:rPr>
    </w:lvl>
    <w:lvl w:ilvl="5">
      <w:start w:val="1"/>
      <w:numFmt w:val="lowerRoman"/>
      <w:pStyle w:val="Heading6"/>
      <w:lvlText w:val="%6"/>
      <w:lvlJc w:val="left"/>
      <w:pPr>
        <w:ind w:left="3600" w:hanging="720"/>
      </w:pPr>
      <w:rPr>
        <w:b/>
        <w:caps w:val="0"/>
        <w:strike w:val="0"/>
        <w:dstrike w:val="0"/>
        <w:vanish w:val="0"/>
        <w:webHidden w:val="0"/>
        <w:color w:val="010000"/>
        <w:u w:val="none"/>
        <w:effect w:val="none"/>
        <w:specVanish w:val="0"/>
      </w:rPr>
    </w:lvl>
    <w:lvl w:ilvl="6">
      <w:start w:val="1"/>
      <w:numFmt w:val="decimal"/>
      <w:lvlRestart w:val="0"/>
      <w:pStyle w:val="Heading7"/>
      <w:lvlText w:val="%7"/>
      <w:lvlJc w:val="left"/>
      <w:pPr>
        <w:ind w:left="0" w:firstLine="0"/>
      </w:pPr>
      <w:rPr>
        <w:b w:val="0"/>
        <w:caps w:val="0"/>
        <w:strike w:val="0"/>
        <w:dstrike w:val="0"/>
        <w:vanish w:val="0"/>
        <w:webHidden w:val="0"/>
        <w:color w:val="010000"/>
        <w:u w:val="none"/>
        <w:effect w:val="none"/>
        <w:specVanish w:val="0"/>
      </w:rPr>
    </w:lvl>
    <w:lvl w:ilvl="7">
      <w:start w:val="1"/>
      <w:numFmt w:val="none"/>
      <w:pStyle w:val="Heading8"/>
      <w:suff w:val="nothing"/>
      <w:lvlText w:val=""/>
      <w:lvlJc w:val="left"/>
      <w:pPr>
        <w:ind w:left="0" w:firstLine="0"/>
      </w:pPr>
      <w:rPr>
        <w:caps w:val="0"/>
        <w:smallCaps w:val="0"/>
        <w:strike w:val="0"/>
        <w:dstrike w:val="0"/>
        <w:vanish w:val="0"/>
        <w:webHidden w:val="0"/>
        <w:color w:val="010000"/>
        <w:u w:val="none"/>
        <w:effect w:val="none"/>
        <w:specVanish w:val="0"/>
      </w:rPr>
    </w:lvl>
    <w:lvl w:ilvl="8">
      <w:start w:val="1"/>
      <w:numFmt w:val="none"/>
      <w:pStyle w:val="Heading9"/>
      <w:lvlText w:val=""/>
      <w:lvlJc w:val="left"/>
      <w:pPr>
        <w:tabs>
          <w:tab w:val="num" w:pos="720"/>
        </w:tabs>
        <w:ind w:left="0" w:firstLine="0"/>
      </w:pPr>
      <w:rPr>
        <w:caps w:val="0"/>
        <w:smallCaps w:val="0"/>
        <w:strike w:val="0"/>
        <w:dstrike w:val="0"/>
        <w:vanish w:val="0"/>
        <w:webHidden w:val="0"/>
        <w:color w:val="010000"/>
        <w:u w:val="none"/>
        <w:effect w:val="none"/>
        <w:specVanish w:val="0"/>
      </w:rPr>
    </w:lvl>
  </w:abstractNum>
  <w:abstractNum w:abstractNumId="3">
    <w:nsid w:val="283C2D0D"/>
    <w:multiLevelType w:val="hybridMultilevel"/>
    <w:tmpl w:val="CA2C867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9377FE"/>
    <w:multiLevelType w:val="hybridMultilevel"/>
    <w:tmpl w:val="3B6E41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8658BB"/>
    <w:multiLevelType w:val="hybridMultilevel"/>
    <w:tmpl w:val="212A8ED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B9753D"/>
    <w:multiLevelType w:val="hybridMultilevel"/>
    <w:tmpl w:val="F5CE7820"/>
    <w:lvl w:ilvl="0" w:tplc="ECF29CBA">
      <w:start w:val="1"/>
      <w:numFmt w:val="decimal"/>
      <w:pStyle w:val="questionstyle"/>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
  </w:num>
  <w:num w:numId="4">
    <w:abstractNumId w:val="5"/>
  </w:num>
  <w:num w:numId="5">
    <w:abstractNumId w:val="4"/>
  </w:num>
  <w:num w:numId="6">
    <w:abstractNumId w:val="0"/>
    <w:lvlOverride w:ilvl="0">
      <w:startOverride w:val="1"/>
    </w:lvlOverride>
  </w:num>
  <w:num w:numId="7">
    <w:abstractNumId w:val="0"/>
    <w:lvlOverride w:ilvl="0">
      <w:startOverride w:val="1"/>
    </w:lvlOverride>
  </w:num>
  <w:num w:numId="8">
    <w:abstractNumId w:val="6"/>
  </w:num>
  <w:num w:numId="9">
    <w:abstractNumId w:val="6"/>
    <w:lvlOverride w:ilvl="0">
      <w:startOverride w:val="9"/>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CF4"/>
    <w:rsid w:val="00034AAA"/>
    <w:rsid w:val="000456B4"/>
    <w:rsid w:val="00046A23"/>
    <w:rsid w:val="00050987"/>
    <w:rsid w:val="00053B6E"/>
    <w:rsid w:val="0005493B"/>
    <w:rsid w:val="000E3F9A"/>
    <w:rsid w:val="001532CA"/>
    <w:rsid w:val="00175FD1"/>
    <w:rsid w:val="001A38BA"/>
    <w:rsid w:val="001B48FA"/>
    <w:rsid w:val="00200F7A"/>
    <w:rsid w:val="002A7A28"/>
    <w:rsid w:val="002E1BC4"/>
    <w:rsid w:val="003004EE"/>
    <w:rsid w:val="003D05FF"/>
    <w:rsid w:val="003D4D18"/>
    <w:rsid w:val="003E7549"/>
    <w:rsid w:val="00461367"/>
    <w:rsid w:val="00463821"/>
    <w:rsid w:val="00470CAA"/>
    <w:rsid w:val="004D35E9"/>
    <w:rsid w:val="004D44DF"/>
    <w:rsid w:val="004F3F63"/>
    <w:rsid w:val="00515E40"/>
    <w:rsid w:val="0051787B"/>
    <w:rsid w:val="005504E2"/>
    <w:rsid w:val="00593FB9"/>
    <w:rsid w:val="005B2911"/>
    <w:rsid w:val="005B72E9"/>
    <w:rsid w:val="005C7EE9"/>
    <w:rsid w:val="0066445A"/>
    <w:rsid w:val="0067076C"/>
    <w:rsid w:val="006E0DE9"/>
    <w:rsid w:val="007A71AA"/>
    <w:rsid w:val="007F3457"/>
    <w:rsid w:val="00827C06"/>
    <w:rsid w:val="00842FA1"/>
    <w:rsid w:val="0086541A"/>
    <w:rsid w:val="00865ED2"/>
    <w:rsid w:val="008B6BF0"/>
    <w:rsid w:val="008C3DFF"/>
    <w:rsid w:val="008E4BE4"/>
    <w:rsid w:val="009328B0"/>
    <w:rsid w:val="009673E0"/>
    <w:rsid w:val="009B4B57"/>
    <w:rsid w:val="00A240B4"/>
    <w:rsid w:val="00A307EE"/>
    <w:rsid w:val="00A8125B"/>
    <w:rsid w:val="00AA7E07"/>
    <w:rsid w:val="00AB1E63"/>
    <w:rsid w:val="00AD22CF"/>
    <w:rsid w:val="00AD473F"/>
    <w:rsid w:val="00B14162"/>
    <w:rsid w:val="00B71D2E"/>
    <w:rsid w:val="00B9023F"/>
    <w:rsid w:val="00BA05A3"/>
    <w:rsid w:val="00BA5DD2"/>
    <w:rsid w:val="00BE69CF"/>
    <w:rsid w:val="00BF7F9B"/>
    <w:rsid w:val="00C25D61"/>
    <w:rsid w:val="00C40133"/>
    <w:rsid w:val="00C63CA5"/>
    <w:rsid w:val="00CC6B4A"/>
    <w:rsid w:val="00CD1BEA"/>
    <w:rsid w:val="00CD718C"/>
    <w:rsid w:val="00D13B6A"/>
    <w:rsid w:val="00D25E4D"/>
    <w:rsid w:val="00D61BB5"/>
    <w:rsid w:val="00D904D7"/>
    <w:rsid w:val="00D92EA3"/>
    <w:rsid w:val="00DB452C"/>
    <w:rsid w:val="00DE7126"/>
    <w:rsid w:val="00DF1CF4"/>
    <w:rsid w:val="00E3721B"/>
    <w:rsid w:val="00E606E6"/>
    <w:rsid w:val="00E95099"/>
    <w:rsid w:val="00EB7453"/>
    <w:rsid w:val="00EC47A1"/>
    <w:rsid w:val="00ED7067"/>
    <w:rsid w:val="00F22860"/>
    <w:rsid w:val="00F4303B"/>
    <w:rsid w:val="00F46889"/>
    <w:rsid w:val="00F5222C"/>
    <w:rsid w:val="00F67FBB"/>
    <w:rsid w:val="00F76695"/>
    <w:rsid w:val="00FA1750"/>
    <w:rsid w:val="00FA70ED"/>
    <w:rsid w:val="00FC1686"/>
    <w:rsid w:val="00FC46A1"/>
    <w:rsid w:val="00FF5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86541A"/>
    <w:pPr>
      <w:keepNext/>
      <w:keepLines/>
      <w:numPr>
        <w:numId w:val="1"/>
      </w:numPr>
      <w:tabs>
        <w:tab w:val="num" w:pos="720"/>
      </w:tabs>
      <w:spacing w:after="240" w:line="240" w:lineRule="auto"/>
      <w:ind w:left="720"/>
      <w:jc w:val="both"/>
      <w:outlineLvl w:val="0"/>
    </w:pPr>
    <w:rPr>
      <w:rFonts w:ascii="Times New Roman" w:eastAsia="Times New Roman" w:hAnsi="Times New Roman" w:cs="Times New Roman"/>
      <w:b/>
      <w:bCs/>
      <w:caps/>
      <w:color w:val="000000"/>
      <w:sz w:val="24"/>
      <w:szCs w:val="32"/>
      <w:lang w:eastAsia="ja-JP"/>
    </w:rPr>
  </w:style>
  <w:style w:type="paragraph" w:styleId="Heading2">
    <w:name w:val="heading 2"/>
    <w:basedOn w:val="Normal"/>
    <w:link w:val="Heading2Char"/>
    <w:semiHidden/>
    <w:unhideWhenUsed/>
    <w:qFormat/>
    <w:rsid w:val="0086541A"/>
    <w:pPr>
      <w:keepNext/>
      <w:keepLines/>
      <w:numPr>
        <w:ilvl w:val="1"/>
        <w:numId w:val="1"/>
      </w:numPr>
      <w:spacing w:after="240" w:line="240" w:lineRule="auto"/>
      <w:outlineLvl w:val="1"/>
    </w:pPr>
    <w:rPr>
      <w:rFonts w:ascii="Times New Roman" w:eastAsia="Times New Roman" w:hAnsi="Times New Roman" w:cs="Times New Roman"/>
      <w:b/>
      <w:bCs/>
      <w:iCs/>
      <w:smallCaps/>
      <w:color w:val="000000"/>
      <w:sz w:val="24"/>
      <w:szCs w:val="28"/>
      <w:lang w:eastAsia="ja-JP"/>
    </w:rPr>
  </w:style>
  <w:style w:type="paragraph" w:styleId="Heading5">
    <w:name w:val="heading 5"/>
    <w:basedOn w:val="Normal"/>
    <w:link w:val="Heading5Char"/>
    <w:semiHidden/>
    <w:unhideWhenUsed/>
    <w:qFormat/>
    <w:rsid w:val="0086541A"/>
    <w:pPr>
      <w:numPr>
        <w:ilvl w:val="4"/>
        <w:numId w:val="1"/>
      </w:numPr>
      <w:spacing w:after="240" w:line="240" w:lineRule="auto"/>
      <w:ind w:left="2160"/>
      <w:jc w:val="both"/>
      <w:outlineLvl w:val="4"/>
    </w:pPr>
    <w:rPr>
      <w:rFonts w:ascii="Times New Roman Bold" w:eastAsia="Times New Roman" w:hAnsi="Times New Roman Bold" w:cs="Times New Roman"/>
      <w:b/>
      <w:bCs/>
      <w:iCs/>
      <w:color w:val="000000"/>
      <w:sz w:val="24"/>
      <w:szCs w:val="26"/>
      <w:lang w:eastAsia="ja-JP"/>
    </w:rPr>
  </w:style>
  <w:style w:type="paragraph" w:styleId="Heading6">
    <w:name w:val="heading 6"/>
    <w:basedOn w:val="Normal"/>
    <w:link w:val="Heading6Char"/>
    <w:semiHidden/>
    <w:unhideWhenUsed/>
    <w:qFormat/>
    <w:rsid w:val="0086541A"/>
    <w:pPr>
      <w:numPr>
        <w:ilvl w:val="5"/>
        <w:numId w:val="1"/>
      </w:numPr>
      <w:spacing w:after="240" w:line="240" w:lineRule="auto"/>
      <w:ind w:left="2880"/>
      <w:jc w:val="both"/>
      <w:outlineLvl w:val="5"/>
    </w:pPr>
    <w:rPr>
      <w:rFonts w:ascii="Times New Roman" w:eastAsia="Times New Roman" w:hAnsi="Times New Roman" w:cs="Times New Roman"/>
      <w:b/>
      <w:bCs/>
      <w:color w:val="000000"/>
      <w:sz w:val="24"/>
      <w:lang w:eastAsia="ja-JP"/>
    </w:rPr>
  </w:style>
  <w:style w:type="paragraph" w:styleId="Heading7">
    <w:name w:val="heading 7"/>
    <w:basedOn w:val="BodyText"/>
    <w:link w:val="Heading7Char"/>
    <w:semiHidden/>
    <w:unhideWhenUsed/>
    <w:qFormat/>
    <w:rsid w:val="0086541A"/>
    <w:pPr>
      <w:numPr>
        <w:ilvl w:val="6"/>
        <w:numId w:val="1"/>
      </w:numPr>
      <w:spacing w:after="240" w:line="480" w:lineRule="auto"/>
      <w:outlineLvl w:val="6"/>
    </w:pPr>
    <w:rPr>
      <w:rFonts w:ascii="Times New Roman" w:eastAsia="MS Mincho" w:hAnsi="Times New Roman" w:cs="Times New Roman"/>
      <w:sz w:val="24"/>
      <w:szCs w:val="24"/>
      <w:lang w:eastAsia="ja-JP"/>
    </w:rPr>
  </w:style>
  <w:style w:type="paragraph" w:styleId="Heading8">
    <w:name w:val="heading 8"/>
    <w:basedOn w:val="Normal"/>
    <w:link w:val="Heading8Char"/>
    <w:semiHidden/>
    <w:unhideWhenUsed/>
    <w:qFormat/>
    <w:rsid w:val="0086541A"/>
    <w:pPr>
      <w:numPr>
        <w:ilvl w:val="7"/>
        <w:numId w:val="1"/>
      </w:numPr>
      <w:spacing w:after="240" w:line="240" w:lineRule="auto"/>
      <w:jc w:val="both"/>
      <w:outlineLvl w:val="7"/>
    </w:pPr>
    <w:rPr>
      <w:rFonts w:ascii="Times New Roman" w:eastAsia="MS Mincho" w:hAnsi="Times New Roman" w:cs="Times New Roman"/>
      <w:iCs/>
      <w:color w:val="000000"/>
      <w:sz w:val="24"/>
      <w:szCs w:val="24"/>
      <w:lang w:eastAsia="ja-JP"/>
    </w:rPr>
  </w:style>
  <w:style w:type="paragraph" w:styleId="Heading9">
    <w:name w:val="heading 9"/>
    <w:basedOn w:val="Normal"/>
    <w:link w:val="Heading9Char"/>
    <w:semiHidden/>
    <w:unhideWhenUsed/>
    <w:qFormat/>
    <w:rsid w:val="0086541A"/>
    <w:pPr>
      <w:numPr>
        <w:ilvl w:val="8"/>
        <w:numId w:val="1"/>
      </w:numPr>
      <w:spacing w:after="240" w:line="240" w:lineRule="auto"/>
      <w:jc w:val="both"/>
      <w:outlineLvl w:val="8"/>
    </w:pPr>
    <w:rPr>
      <w:rFonts w:ascii="Times New Roman" w:eastAsia="MS Mincho" w:hAnsi="Times New Roman" w:cs="Times New Roman"/>
      <w:color w:val="000000"/>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NormalTabbed">
    <w:name w:val="ACMA_NormalTabbed"/>
    <w:basedOn w:val="Normal"/>
    <w:qFormat/>
    <w:rsid w:val="00DF1CF4"/>
    <w:pPr>
      <w:tabs>
        <w:tab w:val="left" w:pos="1134"/>
      </w:tabs>
      <w:spacing w:after="240" w:line="240" w:lineRule="atLeast"/>
    </w:pPr>
    <w:rPr>
      <w:rFonts w:ascii="Arial" w:eastAsia="Times New Roman" w:hAnsi="Arial" w:cs="Times New Roman"/>
      <w:sz w:val="20"/>
      <w:szCs w:val="24"/>
      <w:lang w:val="en-AU" w:eastAsia="en-AU"/>
    </w:rPr>
  </w:style>
  <w:style w:type="paragraph" w:customStyle="1" w:styleId="ACMAReportTitle">
    <w:name w:val="ACMA_ReportTitle"/>
    <w:basedOn w:val="Normal"/>
    <w:qFormat/>
    <w:rsid w:val="00CC6B4A"/>
    <w:pPr>
      <w:spacing w:after="0" w:line="560" w:lineRule="exact"/>
    </w:pPr>
    <w:rPr>
      <w:rFonts w:ascii="Arial" w:eastAsia="Times New Roman" w:hAnsi="Arial" w:cs="Times New Roman"/>
      <w:b/>
      <w:spacing w:val="-28"/>
      <w:sz w:val="53"/>
      <w:szCs w:val="24"/>
      <w:lang w:val="en-AU" w:eastAsia="en-AU"/>
    </w:rPr>
  </w:style>
  <w:style w:type="character" w:styleId="Hyperlink">
    <w:name w:val="Hyperlink"/>
    <w:aliases w:val="CEO_Hyperlink"/>
    <w:basedOn w:val="DefaultParagraphFont"/>
    <w:uiPriority w:val="99"/>
    <w:unhideWhenUsed/>
    <w:qFormat/>
    <w:rsid w:val="0086541A"/>
    <w:rPr>
      <w:color w:val="0000FF"/>
      <w:u w:val="single"/>
    </w:rPr>
  </w:style>
  <w:style w:type="paragraph" w:customStyle="1" w:styleId="Body">
    <w:name w:val=".Body"/>
    <w:basedOn w:val="Normal"/>
    <w:qFormat/>
    <w:rsid w:val="0086541A"/>
    <w:pPr>
      <w:spacing w:after="0" w:line="260" w:lineRule="atLeast"/>
    </w:pPr>
    <w:rPr>
      <w:rFonts w:ascii="Arial" w:eastAsia="Times New Roman" w:hAnsi="Arial" w:cs="Times New Roman"/>
      <w:kern w:val="8"/>
      <w:sz w:val="20"/>
      <w:szCs w:val="24"/>
      <w:lang w:val="en-GB" w:eastAsia="de-DE"/>
    </w:rPr>
  </w:style>
  <w:style w:type="paragraph" w:customStyle="1" w:styleId="LHClosing">
    <w:name w:val=".LH Closing"/>
    <w:basedOn w:val="Normal"/>
    <w:qFormat/>
    <w:rsid w:val="0086541A"/>
    <w:pPr>
      <w:spacing w:before="180" w:after="180" w:line="260" w:lineRule="atLeast"/>
    </w:pPr>
    <w:rPr>
      <w:rFonts w:ascii="Arial" w:eastAsia="Times New Roman" w:hAnsi="Arial" w:cs="Times New Roman"/>
      <w:kern w:val="8"/>
      <w:sz w:val="20"/>
      <w:szCs w:val="24"/>
      <w:lang w:val="en-GB" w:eastAsia="de-DE"/>
    </w:rPr>
  </w:style>
  <w:style w:type="character" w:customStyle="1" w:styleId="Heading1Char">
    <w:name w:val="Heading 1 Char"/>
    <w:basedOn w:val="DefaultParagraphFont"/>
    <w:link w:val="Heading1"/>
    <w:rsid w:val="0086541A"/>
    <w:rPr>
      <w:rFonts w:ascii="Times New Roman" w:eastAsia="Times New Roman" w:hAnsi="Times New Roman" w:cs="Times New Roman"/>
      <w:b/>
      <w:bCs/>
      <w:caps/>
      <w:color w:val="000000"/>
      <w:sz w:val="24"/>
      <w:szCs w:val="32"/>
      <w:lang w:eastAsia="ja-JP"/>
    </w:rPr>
  </w:style>
  <w:style w:type="character" w:customStyle="1" w:styleId="Heading2Char">
    <w:name w:val="Heading 2 Char"/>
    <w:basedOn w:val="DefaultParagraphFont"/>
    <w:link w:val="Heading2"/>
    <w:semiHidden/>
    <w:rsid w:val="0086541A"/>
    <w:rPr>
      <w:rFonts w:ascii="Times New Roman" w:eastAsia="Times New Roman" w:hAnsi="Times New Roman" w:cs="Times New Roman"/>
      <w:b/>
      <w:bCs/>
      <w:iCs/>
      <w:smallCaps/>
      <w:color w:val="000000"/>
      <w:sz w:val="24"/>
      <w:szCs w:val="28"/>
      <w:lang w:eastAsia="ja-JP"/>
    </w:rPr>
  </w:style>
  <w:style w:type="character" w:customStyle="1" w:styleId="Heading5Char">
    <w:name w:val="Heading 5 Char"/>
    <w:basedOn w:val="DefaultParagraphFont"/>
    <w:link w:val="Heading5"/>
    <w:semiHidden/>
    <w:rsid w:val="0086541A"/>
    <w:rPr>
      <w:rFonts w:ascii="Times New Roman Bold" w:eastAsia="Times New Roman" w:hAnsi="Times New Roman Bold" w:cs="Times New Roman"/>
      <w:b/>
      <w:bCs/>
      <w:iCs/>
      <w:color w:val="000000"/>
      <w:sz w:val="24"/>
      <w:szCs w:val="26"/>
      <w:lang w:eastAsia="ja-JP"/>
    </w:rPr>
  </w:style>
  <w:style w:type="character" w:customStyle="1" w:styleId="Heading6Char">
    <w:name w:val="Heading 6 Char"/>
    <w:basedOn w:val="DefaultParagraphFont"/>
    <w:link w:val="Heading6"/>
    <w:semiHidden/>
    <w:rsid w:val="0086541A"/>
    <w:rPr>
      <w:rFonts w:ascii="Times New Roman" w:eastAsia="Times New Roman" w:hAnsi="Times New Roman" w:cs="Times New Roman"/>
      <w:b/>
      <w:bCs/>
      <w:color w:val="000000"/>
      <w:sz w:val="24"/>
      <w:lang w:eastAsia="ja-JP"/>
    </w:rPr>
  </w:style>
  <w:style w:type="character" w:customStyle="1" w:styleId="Heading7Char">
    <w:name w:val="Heading 7 Char"/>
    <w:basedOn w:val="DefaultParagraphFont"/>
    <w:link w:val="Heading7"/>
    <w:semiHidden/>
    <w:rsid w:val="0086541A"/>
    <w:rPr>
      <w:rFonts w:ascii="Times New Roman" w:eastAsia="MS Mincho" w:hAnsi="Times New Roman" w:cs="Times New Roman"/>
      <w:sz w:val="24"/>
      <w:szCs w:val="24"/>
      <w:lang w:eastAsia="ja-JP"/>
    </w:rPr>
  </w:style>
  <w:style w:type="character" w:customStyle="1" w:styleId="Heading8Char">
    <w:name w:val="Heading 8 Char"/>
    <w:basedOn w:val="DefaultParagraphFont"/>
    <w:link w:val="Heading8"/>
    <w:semiHidden/>
    <w:rsid w:val="0086541A"/>
    <w:rPr>
      <w:rFonts w:ascii="Times New Roman" w:eastAsia="MS Mincho" w:hAnsi="Times New Roman" w:cs="Times New Roman"/>
      <w:iCs/>
      <w:color w:val="000000"/>
      <w:sz w:val="24"/>
      <w:szCs w:val="24"/>
      <w:lang w:eastAsia="ja-JP"/>
    </w:rPr>
  </w:style>
  <w:style w:type="character" w:customStyle="1" w:styleId="Heading9Char">
    <w:name w:val="Heading 9 Char"/>
    <w:basedOn w:val="DefaultParagraphFont"/>
    <w:link w:val="Heading9"/>
    <w:semiHidden/>
    <w:rsid w:val="0086541A"/>
    <w:rPr>
      <w:rFonts w:ascii="Times New Roman" w:eastAsia="MS Mincho" w:hAnsi="Times New Roman" w:cs="Times New Roman"/>
      <w:color w:val="000000"/>
      <w:sz w:val="24"/>
      <w:lang w:eastAsia="ja-JP"/>
    </w:rPr>
  </w:style>
  <w:style w:type="paragraph" w:styleId="BodyText">
    <w:name w:val="Body Text"/>
    <w:basedOn w:val="Normal"/>
    <w:link w:val="BodyTextChar"/>
    <w:uiPriority w:val="99"/>
    <w:semiHidden/>
    <w:unhideWhenUsed/>
    <w:rsid w:val="0086541A"/>
    <w:pPr>
      <w:spacing w:after="120"/>
    </w:pPr>
  </w:style>
  <w:style w:type="character" w:customStyle="1" w:styleId="BodyTextChar">
    <w:name w:val="Body Text Char"/>
    <w:basedOn w:val="DefaultParagraphFont"/>
    <w:link w:val="BodyText"/>
    <w:uiPriority w:val="99"/>
    <w:semiHidden/>
    <w:rsid w:val="0086541A"/>
  </w:style>
  <w:style w:type="paragraph" w:styleId="ListNumber">
    <w:name w:val="List Number"/>
    <w:basedOn w:val="Normal"/>
    <w:unhideWhenUsed/>
    <w:qFormat/>
    <w:rsid w:val="0086541A"/>
    <w:pPr>
      <w:numPr>
        <w:numId w:val="2"/>
      </w:numPr>
      <w:spacing w:after="80" w:line="240" w:lineRule="atLeast"/>
    </w:pPr>
    <w:rPr>
      <w:rFonts w:ascii="Arial" w:eastAsia="Times New Roman" w:hAnsi="Arial" w:cs="Times New Roman"/>
      <w:sz w:val="20"/>
      <w:szCs w:val="24"/>
      <w:lang w:val="en-AU" w:eastAsia="en-AU"/>
    </w:rPr>
  </w:style>
  <w:style w:type="paragraph" w:styleId="ListParagraph">
    <w:name w:val="List Paragraph"/>
    <w:basedOn w:val="Normal"/>
    <w:uiPriority w:val="34"/>
    <w:qFormat/>
    <w:rsid w:val="001B48FA"/>
    <w:pPr>
      <w:ind w:left="720"/>
      <w:contextualSpacing/>
    </w:pPr>
  </w:style>
  <w:style w:type="paragraph" w:styleId="ListBullet">
    <w:name w:val="List Bullet"/>
    <w:basedOn w:val="Normal"/>
    <w:unhideWhenUsed/>
    <w:qFormat/>
    <w:rsid w:val="00865ED2"/>
    <w:pPr>
      <w:numPr>
        <w:numId w:val="3"/>
      </w:numPr>
      <w:spacing w:after="80" w:line="240" w:lineRule="atLeast"/>
    </w:pPr>
    <w:rPr>
      <w:rFonts w:ascii="Arial" w:eastAsia="Times New Roman" w:hAnsi="Arial" w:cs="Times New Roman"/>
      <w:sz w:val="20"/>
      <w:szCs w:val="24"/>
      <w:lang w:val="en-AU" w:eastAsia="en-AU"/>
    </w:rPr>
  </w:style>
  <w:style w:type="paragraph" w:styleId="Header">
    <w:name w:val="header"/>
    <w:basedOn w:val="Normal"/>
    <w:link w:val="HeaderChar"/>
    <w:uiPriority w:val="99"/>
    <w:unhideWhenUsed/>
    <w:rsid w:val="006644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45A"/>
  </w:style>
  <w:style w:type="paragraph" w:styleId="Footer">
    <w:name w:val="footer"/>
    <w:basedOn w:val="Normal"/>
    <w:link w:val="FooterChar"/>
    <w:uiPriority w:val="99"/>
    <w:unhideWhenUsed/>
    <w:rsid w:val="006644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45A"/>
  </w:style>
  <w:style w:type="paragraph" w:styleId="BalloonText">
    <w:name w:val="Balloon Text"/>
    <w:basedOn w:val="Normal"/>
    <w:link w:val="BalloonTextChar"/>
    <w:uiPriority w:val="99"/>
    <w:semiHidden/>
    <w:unhideWhenUsed/>
    <w:rsid w:val="00046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A23"/>
    <w:rPr>
      <w:rFonts w:ascii="Tahoma" w:hAnsi="Tahoma" w:cs="Tahoma"/>
      <w:sz w:val="16"/>
      <w:szCs w:val="16"/>
    </w:rPr>
  </w:style>
  <w:style w:type="paragraph" w:customStyle="1" w:styleId="questionstyle">
    <w:name w:val="question style"/>
    <w:basedOn w:val="ListParagraph"/>
    <w:qFormat/>
    <w:rsid w:val="00EC47A1"/>
    <w:pPr>
      <w:numPr>
        <w:numId w:val="8"/>
      </w:numPr>
      <w:shd w:val="clear" w:color="auto" w:fill="D9D9D9" w:themeFill="background1" w:themeFillShade="D9"/>
      <w:spacing w:after="240" w:line="240" w:lineRule="atLeast"/>
    </w:pPr>
    <w:rPr>
      <w:rFonts w:ascii="Calibri" w:eastAsia="Times New Roman" w:hAnsi="Calibri" w:cs="Arial"/>
      <w:b/>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86541A"/>
    <w:pPr>
      <w:keepNext/>
      <w:keepLines/>
      <w:numPr>
        <w:numId w:val="1"/>
      </w:numPr>
      <w:tabs>
        <w:tab w:val="num" w:pos="720"/>
      </w:tabs>
      <w:spacing w:after="240" w:line="240" w:lineRule="auto"/>
      <w:ind w:left="720"/>
      <w:jc w:val="both"/>
      <w:outlineLvl w:val="0"/>
    </w:pPr>
    <w:rPr>
      <w:rFonts w:ascii="Times New Roman" w:eastAsia="Times New Roman" w:hAnsi="Times New Roman" w:cs="Times New Roman"/>
      <w:b/>
      <w:bCs/>
      <w:caps/>
      <w:color w:val="000000"/>
      <w:sz w:val="24"/>
      <w:szCs w:val="32"/>
      <w:lang w:eastAsia="ja-JP"/>
    </w:rPr>
  </w:style>
  <w:style w:type="paragraph" w:styleId="Heading2">
    <w:name w:val="heading 2"/>
    <w:basedOn w:val="Normal"/>
    <w:link w:val="Heading2Char"/>
    <w:semiHidden/>
    <w:unhideWhenUsed/>
    <w:qFormat/>
    <w:rsid w:val="0086541A"/>
    <w:pPr>
      <w:keepNext/>
      <w:keepLines/>
      <w:numPr>
        <w:ilvl w:val="1"/>
        <w:numId w:val="1"/>
      </w:numPr>
      <w:spacing w:after="240" w:line="240" w:lineRule="auto"/>
      <w:outlineLvl w:val="1"/>
    </w:pPr>
    <w:rPr>
      <w:rFonts w:ascii="Times New Roman" w:eastAsia="Times New Roman" w:hAnsi="Times New Roman" w:cs="Times New Roman"/>
      <w:b/>
      <w:bCs/>
      <w:iCs/>
      <w:smallCaps/>
      <w:color w:val="000000"/>
      <w:sz w:val="24"/>
      <w:szCs w:val="28"/>
      <w:lang w:eastAsia="ja-JP"/>
    </w:rPr>
  </w:style>
  <w:style w:type="paragraph" w:styleId="Heading5">
    <w:name w:val="heading 5"/>
    <w:basedOn w:val="Normal"/>
    <w:link w:val="Heading5Char"/>
    <w:semiHidden/>
    <w:unhideWhenUsed/>
    <w:qFormat/>
    <w:rsid w:val="0086541A"/>
    <w:pPr>
      <w:numPr>
        <w:ilvl w:val="4"/>
        <w:numId w:val="1"/>
      </w:numPr>
      <w:spacing w:after="240" w:line="240" w:lineRule="auto"/>
      <w:ind w:left="2160"/>
      <w:jc w:val="both"/>
      <w:outlineLvl w:val="4"/>
    </w:pPr>
    <w:rPr>
      <w:rFonts w:ascii="Times New Roman Bold" w:eastAsia="Times New Roman" w:hAnsi="Times New Roman Bold" w:cs="Times New Roman"/>
      <w:b/>
      <w:bCs/>
      <w:iCs/>
      <w:color w:val="000000"/>
      <w:sz w:val="24"/>
      <w:szCs w:val="26"/>
      <w:lang w:eastAsia="ja-JP"/>
    </w:rPr>
  </w:style>
  <w:style w:type="paragraph" w:styleId="Heading6">
    <w:name w:val="heading 6"/>
    <w:basedOn w:val="Normal"/>
    <w:link w:val="Heading6Char"/>
    <w:semiHidden/>
    <w:unhideWhenUsed/>
    <w:qFormat/>
    <w:rsid w:val="0086541A"/>
    <w:pPr>
      <w:numPr>
        <w:ilvl w:val="5"/>
        <w:numId w:val="1"/>
      </w:numPr>
      <w:spacing w:after="240" w:line="240" w:lineRule="auto"/>
      <w:ind w:left="2880"/>
      <w:jc w:val="both"/>
      <w:outlineLvl w:val="5"/>
    </w:pPr>
    <w:rPr>
      <w:rFonts w:ascii="Times New Roman" w:eastAsia="Times New Roman" w:hAnsi="Times New Roman" w:cs="Times New Roman"/>
      <w:b/>
      <w:bCs/>
      <w:color w:val="000000"/>
      <w:sz w:val="24"/>
      <w:lang w:eastAsia="ja-JP"/>
    </w:rPr>
  </w:style>
  <w:style w:type="paragraph" w:styleId="Heading7">
    <w:name w:val="heading 7"/>
    <w:basedOn w:val="BodyText"/>
    <w:link w:val="Heading7Char"/>
    <w:semiHidden/>
    <w:unhideWhenUsed/>
    <w:qFormat/>
    <w:rsid w:val="0086541A"/>
    <w:pPr>
      <w:numPr>
        <w:ilvl w:val="6"/>
        <w:numId w:val="1"/>
      </w:numPr>
      <w:spacing w:after="240" w:line="480" w:lineRule="auto"/>
      <w:outlineLvl w:val="6"/>
    </w:pPr>
    <w:rPr>
      <w:rFonts w:ascii="Times New Roman" w:eastAsia="MS Mincho" w:hAnsi="Times New Roman" w:cs="Times New Roman"/>
      <w:sz w:val="24"/>
      <w:szCs w:val="24"/>
      <w:lang w:eastAsia="ja-JP"/>
    </w:rPr>
  </w:style>
  <w:style w:type="paragraph" w:styleId="Heading8">
    <w:name w:val="heading 8"/>
    <w:basedOn w:val="Normal"/>
    <w:link w:val="Heading8Char"/>
    <w:semiHidden/>
    <w:unhideWhenUsed/>
    <w:qFormat/>
    <w:rsid w:val="0086541A"/>
    <w:pPr>
      <w:numPr>
        <w:ilvl w:val="7"/>
        <w:numId w:val="1"/>
      </w:numPr>
      <w:spacing w:after="240" w:line="240" w:lineRule="auto"/>
      <w:jc w:val="both"/>
      <w:outlineLvl w:val="7"/>
    </w:pPr>
    <w:rPr>
      <w:rFonts w:ascii="Times New Roman" w:eastAsia="MS Mincho" w:hAnsi="Times New Roman" w:cs="Times New Roman"/>
      <w:iCs/>
      <w:color w:val="000000"/>
      <w:sz w:val="24"/>
      <w:szCs w:val="24"/>
      <w:lang w:eastAsia="ja-JP"/>
    </w:rPr>
  </w:style>
  <w:style w:type="paragraph" w:styleId="Heading9">
    <w:name w:val="heading 9"/>
    <w:basedOn w:val="Normal"/>
    <w:link w:val="Heading9Char"/>
    <w:semiHidden/>
    <w:unhideWhenUsed/>
    <w:qFormat/>
    <w:rsid w:val="0086541A"/>
    <w:pPr>
      <w:numPr>
        <w:ilvl w:val="8"/>
        <w:numId w:val="1"/>
      </w:numPr>
      <w:spacing w:after="240" w:line="240" w:lineRule="auto"/>
      <w:jc w:val="both"/>
      <w:outlineLvl w:val="8"/>
    </w:pPr>
    <w:rPr>
      <w:rFonts w:ascii="Times New Roman" w:eastAsia="MS Mincho" w:hAnsi="Times New Roman" w:cs="Times New Roman"/>
      <w:color w:val="000000"/>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NormalTabbed">
    <w:name w:val="ACMA_NormalTabbed"/>
    <w:basedOn w:val="Normal"/>
    <w:qFormat/>
    <w:rsid w:val="00DF1CF4"/>
    <w:pPr>
      <w:tabs>
        <w:tab w:val="left" w:pos="1134"/>
      </w:tabs>
      <w:spacing w:after="240" w:line="240" w:lineRule="atLeast"/>
    </w:pPr>
    <w:rPr>
      <w:rFonts w:ascii="Arial" w:eastAsia="Times New Roman" w:hAnsi="Arial" w:cs="Times New Roman"/>
      <w:sz w:val="20"/>
      <w:szCs w:val="24"/>
      <w:lang w:val="en-AU" w:eastAsia="en-AU"/>
    </w:rPr>
  </w:style>
  <w:style w:type="paragraph" w:customStyle="1" w:styleId="ACMAReportTitle">
    <w:name w:val="ACMA_ReportTitle"/>
    <w:basedOn w:val="Normal"/>
    <w:qFormat/>
    <w:rsid w:val="00CC6B4A"/>
    <w:pPr>
      <w:spacing w:after="0" w:line="560" w:lineRule="exact"/>
    </w:pPr>
    <w:rPr>
      <w:rFonts w:ascii="Arial" w:eastAsia="Times New Roman" w:hAnsi="Arial" w:cs="Times New Roman"/>
      <w:b/>
      <w:spacing w:val="-28"/>
      <w:sz w:val="53"/>
      <w:szCs w:val="24"/>
      <w:lang w:val="en-AU" w:eastAsia="en-AU"/>
    </w:rPr>
  </w:style>
  <w:style w:type="character" w:styleId="Hyperlink">
    <w:name w:val="Hyperlink"/>
    <w:aliases w:val="CEO_Hyperlink"/>
    <w:basedOn w:val="DefaultParagraphFont"/>
    <w:uiPriority w:val="99"/>
    <w:unhideWhenUsed/>
    <w:qFormat/>
    <w:rsid w:val="0086541A"/>
    <w:rPr>
      <w:color w:val="0000FF"/>
      <w:u w:val="single"/>
    </w:rPr>
  </w:style>
  <w:style w:type="paragraph" w:customStyle="1" w:styleId="Body">
    <w:name w:val=".Body"/>
    <w:basedOn w:val="Normal"/>
    <w:qFormat/>
    <w:rsid w:val="0086541A"/>
    <w:pPr>
      <w:spacing w:after="0" w:line="260" w:lineRule="atLeast"/>
    </w:pPr>
    <w:rPr>
      <w:rFonts w:ascii="Arial" w:eastAsia="Times New Roman" w:hAnsi="Arial" w:cs="Times New Roman"/>
      <w:kern w:val="8"/>
      <w:sz w:val="20"/>
      <w:szCs w:val="24"/>
      <w:lang w:val="en-GB" w:eastAsia="de-DE"/>
    </w:rPr>
  </w:style>
  <w:style w:type="paragraph" w:customStyle="1" w:styleId="LHClosing">
    <w:name w:val=".LH Closing"/>
    <w:basedOn w:val="Normal"/>
    <w:qFormat/>
    <w:rsid w:val="0086541A"/>
    <w:pPr>
      <w:spacing w:before="180" w:after="180" w:line="260" w:lineRule="atLeast"/>
    </w:pPr>
    <w:rPr>
      <w:rFonts w:ascii="Arial" w:eastAsia="Times New Roman" w:hAnsi="Arial" w:cs="Times New Roman"/>
      <w:kern w:val="8"/>
      <w:sz w:val="20"/>
      <w:szCs w:val="24"/>
      <w:lang w:val="en-GB" w:eastAsia="de-DE"/>
    </w:rPr>
  </w:style>
  <w:style w:type="character" w:customStyle="1" w:styleId="Heading1Char">
    <w:name w:val="Heading 1 Char"/>
    <w:basedOn w:val="DefaultParagraphFont"/>
    <w:link w:val="Heading1"/>
    <w:rsid w:val="0086541A"/>
    <w:rPr>
      <w:rFonts w:ascii="Times New Roman" w:eastAsia="Times New Roman" w:hAnsi="Times New Roman" w:cs="Times New Roman"/>
      <w:b/>
      <w:bCs/>
      <w:caps/>
      <w:color w:val="000000"/>
      <w:sz w:val="24"/>
      <w:szCs w:val="32"/>
      <w:lang w:eastAsia="ja-JP"/>
    </w:rPr>
  </w:style>
  <w:style w:type="character" w:customStyle="1" w:styleId="Heading2Char">
    <w:name w:val="Heading 2 Char"/>
    <w:basedOn w:val="DefaultParagraphFont"/>
    <w:link w:val="Heading2"/>
    <w:semiHidden/>
    <w:rsid w:val="0086541A"/>
    <w:rPr>
      <w:rFonts w:ascii="Times New Roman" w:eastAsia="Times New Roman" w:hAnsi="Times New Roman" w:cs="Times New Roman"/>
      <w:b/>
      <w:bCs/>
      <w:iCs/>
      <w:smallCaps/>
      <w:color w:val="000000"/>
      <w:sz w:val="24"/>
      <w:szCs w:val="28"/>
      <w:lang w:eastAsia="ja-JP"/>
    </w:rPr>
  </w:style>
  <w:style w:type="character" w:customStyle="1" w:styleId="Heading5Char">
    <w:name w:val="Heading 5 Char"/>
    <w:basedOn w:val="DefaultParagraphFont"/>
    <w:link w:val="Heading5"/>
    <w:semiHidden/>
    <w:rsid w:val="0086541A"/>
    <w:rPr>
      <w:rFonts w:ascii="Times New Roman Bold" w:eastAsia="Times New Roman" w:hAnsi="Times New Roman Bold" w:cs="Times New Roman"/>
      <w:b/>
      <w:bCs/>
      <w:iCs/>
      <w:color w:val="000000"/>
      <w:sz w:val="24"/>
      <w:szCs w:val="26"/>
      <w:lang w:eastAsia="ja-JP"/>
    </w:rPr>
  </w:style>
  <w:style w:type="character" w:customStyle="1" w:styleId="Heading6Char">
    <w:name w:val="Heading 6 Char"/>
    <w:basedOn w:val="DefaultParagraphFont"/>
    <w:link w:val="Heading6"/>
    <w:semiHidden/>
    <w:rsid w:val="0086541A"/>
    <w:rPr>
      <w:rFonts w:ascii="Times New Roman" w:eastAsia="Times New Roman" w:hAnsi="Times New Roman" w:cs="Times New Roman"/>
      <w:b/>
      <w:bCs/>
      <w:color w:val="000000"/>
      <w:sz w:val="24"/>
      <w:lang w:eastAsia="ja-JP"/>
    </w:rPr>
  </w:style>
  <w:style w:type="character" w:customStyle="1" w:styleId="Heading7Char">
    <w:name w:val="Heading 7 Char"/>
    <w:basedOn w:val="DefaultParagraphFont"/>
    <w:link w:val="Heading7"/>
    <w:semiHidden/>
    <w:rsid w:val="0086541A"/>
    <w:rPr>
      <w:rFonts w:ascii="Times New Roman" w:eastAsia="MS Mincho" w:hAnsi="Times New Roman" w:cs="Times New Roman"/>
      <w:sz w:val="24"/>
      <w:szCs w:val="24"/>
      <w:lang w:eastAsia="ja-JP"/>
    </w:rPr>
  </w:style>
  <w:style w:type="character" w:customStyle="1" w:styleId="Heading8Char">
    <w:name w:val="Heading 8 Char"/>
    <w:basedOn w:val="DefaultParagraphFont"/>
    <w:link w:val="Heading8"/>
    <w:semiHidden/>
    <w:rsid w:val="0086541A"/>
    <w:rPr>
      <w:rFonts w:ascii="Times New Roman" w:eastAsia="MS Mincho" w:hAnsi="Times New Roman" w:cs="Times New Roman"/>
      <w:iCs/>
      <w:color w:val="000000"/>
      <w:sz w:val="24"/>
      <w:szCs w:val="24"/>
      <w:lang w:eastAsia="ja-JP"/>
    </w:rPr>
  </w:style>
  <w:style w:type="character" w:customStyle="1" w:styleId="Heading9Char">
    <w:name w:val="Heading 9 Char"/>
    <w:basedOn w:val="DefaultParagraphFont"/>
    <w:link w:val="Heading9"/>
    <w:semiHidden/>
    <w:rsid w:val="0086541A"/>
    <w:rPr>
      <w:rFonts w:ascii="Times New Roman" w:eastAsia="MS Mincho" w:hAnsi="Times New Roman" w:cs="Times New Roman"/>
      <w:color w:val="000000"/>
      <w:sz w:val="24"/>
      <w:lang w:eastAsia="ja-JP"/>
    </w:rPr>
  </w:style>
  <w:style w:type="paragraph" w:styleId="BodyText">
    <w:name w:val="Body Text"/>
    <w:basedOn w:val="Normal"/>
    <w:link w:val="BodyTextChar"/>
    <w:uiPriority w:val="99"/>
    <w:semiHidden/>
    <w:unhideWhenUsed/>
    <w:rsid w:val="0086541A"/>
    <w:pPr>
      <w:spacing w:after="120"/>
    </w:pPr>
  </w:style>
  <w:style w:type="character" w:customStyle="1" w:styleId="BodyTextChar">
    <w:name w:val="Body Text Char"/>
    <w:basedOn w:val="DefaultParagraphFont"/>
    <w:link w:val="BodyText"/>
    <w:uiPriority w:val="99"/>
    <w:semiHidden/>
    <w:rsid w:val="0086541A"/>
  </w:style>
  <w:style w:type="paragraph" w:styleId="ListNumber">
    <w:name w:val="List Number"/>
    <w:basedOn w:val="Normal"/>
    <w:unhideWhenUsed/>
    <w:qFormat/>
    <w:rsid w:val="0086541A"/>
    <w:pPr>
      <w:numPr>
        <w:numId w:val="2"/>
      </w:numPr>
      <w:spacing w:after="80" w:line="240" w:lineRule="atLeast"/>
    </w:pPr>
    <w:rPr>
      <w:rFonts w:ascii="Arial" w:eastAsia="Times New Roman" w:hAnsi="Arial" w:cs="Times New Roman"/>
      <w:sz w:val="20"/>
      <w:szCs w:val="24"/>
      <w:lang w:val="en-AU" w:eastAsia="en-AU"/>
    </w:rPr>
  </w:style>
  <w:style w:type="paragraph" w:styleId="ListParagraph">
    <w:name w:val="List Paragraph"/>
    <w:basedOn w:val="Normal"/>
    <w:uiPriority w:val="34"/>
    <w:qFormat/>
    <w:rsid w:val="001B48FA"/>
    <w:pPr>
      <w:ind w:left="720"/>
      <w:contextualSpacing/>
    </w:pPr>
  </w:style>
  <w:style w:type="paragraph" w:styleId="ListBullet">
    <w:name w:val="List Bullet"/>
    <w:basedOn w:val="Normal"/>
    <w:unhideWhenUsed/>
    <w:qFormat/>
    <w:rsid w:val="00865ED2"/>
    <w:pPr>
      <w:numPr>
        <w:numId w:val="3"/>
      </w:numPr>
      <w:spacing w:after="80" w:line="240" w:lineRule="atLeast"/>
    </w:pPr>
    <w:rPr>
      <w:rFonts w:ascii="Arial" w:eastAsia="Times New Roman" w:hAnsi="Arial" w:cs="Times New Roman"/>
      <w:sz w:val="20"/>
      <w:szCs w:val="24"/>
      <w:lang w:val="en-AU" w:eastAsia="en-AU"/>
    </w:rPr>
  </w:style>
  <w:style w:type="paragraph" w:styleId="Header">
    <w:name w:val="header"/>
    <w:basedOn w:val="Normal"/>
    <w:link w:val="HeaderChar"/>
    <w:uiPriority w:val="99"/>
    <w:unhideWhenUsed/>
    <w:rsid w:val="006644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45A"/>
  </w:style>
  <w:style w:type="paragraph" w:styleId="Footer">
    <w:name w:val="footer"/>
    <w:basedOn w:val="Normal"/>
    <w:link w:val="FooterChar"/>
    <w:uiPriority w:val="99"/>
    <w:unhideWhenUsed/>
    <w:rsid w:val="006644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45A"/>
  </w:style>
  <w:style w:type="paragraph" w:styleId="BalloonText">
    <w:name w:val="Balloon Text"/>
    <w:basedOn w:val="Normal"/>
    <w:link w:val="BalloonTextChar"/>
    <w:uiPriority w:val="99"/>
    <w:semiHidden/>
    <w:unhideWhenUsed/>
    <w:rsid w:val="00046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A23"/>
    <w:rPr>
      <w:rFonts w:ascii="Tahoma" w:hAnsi="Tahoma" w:cs="Tahoma"/>
      <w:sz w:val="16"/>
      <w:szCs w:val="16"/>
    </w:rPr>
  </w:style>
  <w:style w:type="paragraph" w:customStyle="1" w:styleId="questionstyle">
    <w:name w:val="question style"/>
    <w:basedOn w:val="ListParagraph"/>
    <w:qFormat/>
    <w:rsid w:val="00EC47A1"/>
    <w:pPr>
      <w:numPr>
        <w:numId w:val="8"/>
      </w:numPr>
      <w:shd w:val="clear" w:color="auto" w:fill="D9D9D9" w:themeFill="background1" w:themeFillShade="D9"/>
      <w:spacing w:after="240" w:line="240" w:lineRule="atLeast"/>
    </w:pPr>
    <w:rPr>
      <w:rFonts w:ascii="Calibri" w:eastAsia="Times New Roman" w:hAnsi="Calibri" w:cs="Arial"/>
      <w:b/>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49370">
      <w:bodyDiv w:val="1"/>
      <w:marLeft w:val="0"/>
      <w:marRight w:val="0"/>
      <w:marTop w:val="0"/>
      <w:marBottom w:val="0"/>
      <w:divBdr>
        <w:top w:val="none" w:sz="0" w:space="0" w:color="auto"/>
        <w:left w:val="none" w:sz="0" w:space="0" w:color="auto"/>
        <w:bottom w:val="none" w:sz="0" w:space="0" w:color="auto"/>
        <w:right w:val="none" w:sz="0" w:space="0" w:color="auto"/>
      </w:divBdr>
    </w:div>
    <w:div w:id="1072854993">
      <w:bodyDiv w:val="1"/>
      <w:marLeft w:val="0"/>
      <w:marRight w:val="0"/>
      <w:marTop w:val="0"/>
      <w:marBottom w:val="0"/>
      <w:divBdr>
        <w:top w:val="none" w:sz="0" w:space="0" w:color="auto"/>
        <w:left w:val="none" w:sz="0" w:space="0" w:color="auto"/>
        <w:bottom w:val="none" w:sz="0" w:space="0" w:color="auto"/>
        <w:right w:val="none" w:sz="0" w:space="0" w:color="auto"/>
      </w:divBdr>
    </w:div>
    <w:div w:id="1306205887">
      <w:bodyDiv w:val="1"/>
      <w:marLeft w:val="0"/>
      <w:marRight w:val="0"/>
      <w:marTop w:val="0"/>
      <w:marBottom w:val="0"/>
      <w:divBdr>
        <w:top w:val="none" w:sz="0" w:space="0" w:color="auto"/>
        <w:left w:val="none" w:sz="0" w:space="0" w:color="auto"/>
        <w:bottom w:val="none" w:sz="0" w:space="0" w:color="auto"/>
        <w:right w:val="none" w:sz="0" w:space="0" w:color="auto"/>
      </w:divBdr>
    </w:div>
    <w:div w:id="1413433469">
      <w:bodyDiv w:val="1"/>
      <w:marLeft w:val="0"/>
      <w:marRight w:val="0"/>
      <w:marTop w:val="0"/>
      <w:marBottom w:val="0"/>
      <w:divBdr>
        <w:top w:val="none" w:sz="0" w:space="0" w:color="auto"/>
        <w:left w:val="none" w:sz="0" w:space="0" w:color="auto"/>
        <w:bottom w:val="none" w:sz="0" w:space="0" w:color="auto"/>
        <w:right w:val="none" w:sz="0" w:space="0" w:color="auto"/>
      </w:divBdr>
    </w:div>
    <w:div w:id="1464158314">
      <w:bodyDiv w:val="1"/>
      <w:marLeft w:val="0"/>
      <w:marRight w:val="0"/>
      <w:marTop w:val="0"/>
      <w:marBottom w:val="0"/>
      <w:divBdr>
        <w:top w:val="none" w:sz="0" w:space="0" w:color="auto"/>
        <w:left w:val="none" w:sz="0" w:space="0" w:color="auto"/>
        <w:bottom w:val="none" w:sz="0" w:space="0" w:color="auto"/>
        <w:right w:val="none" w:sz="0" w:space="0" w:color="auto"/>
      </w:divBdr>
    </w:div>
    <w:div w:id="1791433976">
      <w:bodyDiv w:val="1"/>
      <w:marLeft w:val="0"/>
      <w:marRight w:val="0"/>
      <w:marTop w:val="0"/>
      <w:marBottom w:val="0"/>
      <w:divBdr>
        <w:top w:val="none" w:sz="0" w:space="0" w:color="auto"/>
        <w:left w:val="none" w:sz="0" w:space="0" w:color="auto"/>
        <w:bottom w:val="none" w:sz="0" w:space="0" w:color="auto"/>
        <w:right w:val="none" w:sz="0" w:space="0" w:color="auto"/>
      </w:divBdr>
    </w:div>
    <w:div w:id="1859729723">
      <w:bodyDiv w:val="1"/>
      <w:marLeft w:val="0"/>
      <w:marRight w:val="0"/>
      <w:marTop w:val="0"/>
      <w:marBottom w:val="0"/>
      <w:divBdr>
        <w:top w:val="none" w:sz="0" w:space="0" w:color="auto"/>
        <w:left w:val="none" w:sz="0" w:space="0" w:color="auto"/>
        <w:bottom w:val="none" w:sz="0" w:space="0" w:color="auto"/>
        <w:right w:val="none" w:sz="0" w:space="0" w:color="auto"/>
      </w:divBdr>
    </w:div>
    <w:div w:id="202802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3NE2HDV7HD6D-128-3136</_dlc_DocId>
    <_dlc_DocIdUrl xmlns="1d983eb4-33f7-44b0-aea1-cbdcf0c55136">
      <Url>http://collaboration/organisation/cid/speb/sp/_layouts/15/DocIdRedir.aspx?ID=3NE2HDV7HD6D-128-3136</Url>
      <Description>3NE2HDV7HD6D-128-3136</Description>
    </_dlc_DocIdUrl>
  </documentManagement>
</p:properties>
</file>

<file path=customXml/itemProps1.xml><?xml version="1.0" encoding="utf-8"?>
<ds:datastoreItem xmlns:ds="http://schemas.openxmlformats.org/officeDocument/2006/customXml" ds:itemID="{0E6C5CC0-5EEB-47F4-93D9-BB2F6C2CCCFF}"/>
</file>

<file path=customXml/itemProps2.xml><?xml version="1.0" encoding="utf-8"?>
<ds:datastoreItem xmlns:ds="http://schemas.openxmlformats.org/officeDocument/2006/customXml" ds:itemID="{B642A55E-D1D4-4F72-A7DF-6E21B6E642F5}"/>
</file>

<file path=customXml/itemProps3.xml><?xml version="1.0" encoding="utf-8"?>
<ds:datastoreItem xmlns:ds="http://schemas.openxmlformats.org/officeDocument/2006/customXml" ds:itemID="{DB662C35-064E-4445-B23F-3BE47E7F054E}"/>
</file>

<file path=customXml/itemProps4.xml><?xml version="1.0" encoding="utf-8"?>
<ds:datastoreItem xmlns:ds="http://schemas.openxmlformats.org/officeDocument/2006/customXml" ds:itemID="{623D8D43-7EEF-43F2-A784-5D4869F38AE1}"/>
</file>

<file path=docProps/app.xml><?xml version="1.0" encoding="utf-8"?>
<Properties xmlns="http://schemas.openxmlformats.org/officeDocument/2006/extended-properties" xmlns:vt="http://schemas.openxmlformats.org/officeDocument/2006/docPropsVTypes">
  <Template>Normal.dotm</Template>
  <TotalTime>4274</TotalTime>
  <Pages>4</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Eutelsat</Company>
  <LinksUpToDate>false</LinksUpToDate>
  <CharactersWithSpaces>10587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barbedette fabrice</dc:creator>
  <cp:lastModifiedBy> </cp:lastModifiedBy>
  <cp:revision>37</cp:revision>
  <dcterms:created xsi:type="dcterms:W3CDTF">2019-08-05T14:48:00Z</dcterms:created>
  <dcterms:modified xsi:type="dcterms:W3CDTF">2019-09-13T08:06:00Z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abbcbe5c-e6ee-4d7d-9c0e-6ecd94dbe0b1</vt:lpwstr>
  </property>
</Properties>
</file>