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A0467" w14:textId="77777777" w:rsidR="00C72501" w:rsidRPr="00A51D1A" w:rsidRDefault="00C72501" w:rsidP="00C72501">
      <w:pPr>
        <w:pStyle w:val="ACMAReportTitle"/>
      </w:pPr>
      <w:bookmarkStart w:id="0" w:name="_Hlk14763365"/>
      <w:r>
        <w:t>Planning of the 3700–4200 MHz band</w:t>
      </w:r>
    </w:p>
    <w:bookmarkEnd w:id="0"/>
    <w:p w14:paraId="73D66F5F" w14:textId="77777777" w:rsidR="00C72501" w:rsidRDefault="00C72501" w:rsidP="00C72501">
      <w:pPr>
        <w:pStyle w:val="ACMAReportSubTitle"/>
      </w:pPr>
      <w:r>
        <w:t>Discussion paper</w:t>
      </w:r>
    </w:p>
    <w:p w14:paraId="46C7B82A" w14:textId="4C9D0A0B" w:rsidR="00F06E14" w:rsidRDefault="00EF5C4B" w:rsidP="00D47AEB">
      <w:pPr>
        <w:pStyle w:val="ACMAReportDate"/>
        <w:spacing w:after="720"/>
      </w:pPr>
      <w:r w:rsidRPr="0059006D">
        <w:t xml:space="preserve">AUGUST </w:t>
      </w:r>
      <w:r w:rsidR="00C72501" w:rsidRPr="0059006D">
        <w:t>2019</w:t>
      </w:r>
    </w:p>
    <w:p w14:paraId="011F6CBD" w14:textId="77777777" w:rsidR="00C97736" w:rsidRPr="000D76E0" w:rsidRDefault="00C97736" w:rsidP="0041071D">
      <w:pPr>
        <w:rPr>
          <w:rFonts w:cs="Arial"/>
        </w:rPr>
      </w:pPr>
    </w:p>
    <w:p w14:paraId="2D9B376C" w14:textId="77777777" w:rsidR="00C97736" w:rsidRPr="000D76E0" w:rsidRDefault="00C97736" w:rsidP="0041071D">
      <w:pPr>
        <w:rPr>
          <w:rFonts w:cs="Arial"/>
        </w:rPr>
        <w:sectPr w:rsidR="00C97736" w:rsidRPr="000D76E0" w:rsidSect="004F556E">
          <w:headerReference w:type="default" r:id="rId8"/>
          <w:footerReference w:type="default" r:id="rId9"/>
          <w:headerReference w:type="first" r:id="rId10"/>
          <w:pgSz w:w="11906" w:h="16838" w:code="9"/>
          <w:pgMar w:top="3924" w:right="1797" w:bottom="1440" w:left="1134" w:header="709" w:footer="454" w:gutter="0"/>
          <w:cols w:space="708"/>
          <w:docGrid w:linePitch="360"/>
        </w:sectPr>
      </w:pPr>
    </w:p>
    <w:p w14:paraId="36A9FCE2" w14:textId="77777777" w:rsidR="0005011A" w:rsidRPr="00F44F3A" w:rsidRDefault="0005011A" w:rsidP="00FC07B9">
      <w:pPr>
        <w:pStyle w:val="ACMACorporateAddressHeader"/>
      </w:pPr>
      <w:r w:rsidRPr="00F44F3A">
        <w:lastRenderedPageBreak/>
        <w:t>Canberra</w:t>
      </w:r>
    </w:p>
    <w:p w14:paraId="3257367E"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6D24D66" w14:textId="77777777" w:rsidR="0005011A" w:rsidRPr="00FC07B9" w:rsidRDefault="0005011A" w:rsidP="00FC07B9">
      <w:pPr>
        <w:pStyle w:val="ACMACorporateAddresses"/>
      </w:pPr>
      <w:r w:rsidRPr="00FC07B9">
        <w:t>PO Box 78</w:t>
      </w:r>
      <w:r w:rsidRPr="00FC07B9">
        <w:br/>
        <w:t>Belconnen ACT 2616</w:t>
      </w:r>
    </w:p>
    <w:p w14:paraId="5CF022C9"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037365F8" w14:textId="77777777" w:rsidR="0005011A" w:rsidRPr="00F44F3A" w:rsidRDefault="0005011A" w:rsidP="00FC07B9">
      <w:pPr>
        <w:pStyle w:val="ACMACorporateAddressHeader"/>
      </w:pPr>
      <w:r w:rsidRPr="00F44F3A">
        <w:t>Melbourne</w:t>
      </w:r>
    </w:p>
    <w:p w14:paraId="7D1B929D"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25D481BB"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64819D9A"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5B87FF66" w14:textId="77777777" w:rsidR="0005011A" w:rsidRPr="00F44F3A" w:rsidRDefault="0005011A" w:rsidP="00FC07B9">
      <w:pPr>
        <w:pStyle w:val="ACMACorporateAddressHeader"/>
      </w:pPr>
      <w:r w:rsidRPr="00F44F3A">
        <w:t>Sydney</w:t>
      </w:r>
    </w:p>
    <w:p w14:paraId="0B5DDFD3"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2B60471E"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27951CD9"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1E80673B" w14:textId="77777777" w:rsidR="00140318" w:rsidRPr="006D46E5" w:rsidRDefault="00140318" w:rsidP="00FC07B9">
      <w:pPr>
        <w:pStyle w:val="ACMACopyrightHeader"/>
      </w:pPr>
      <w:r w:rsidRPr="00140318">
        <w:t>Copyright notice</w:t>
      </w:r>
    </w:p>
    <w:p w14:paraId="3F051754" w14:textId="77777777" w:rsidR="00140318" w:rsidRPr="006D46E5" w:rsidRDefault="00623FF9" w:rsidP="00623FF9">
      <w:pPr>
        <w:pStyle w:val="ACMACClogo"/>
      </w:pPr>
      <w:r w:rsidRPr="00623FF9">
        <w:rPr>
          <w:noProof/>
        </w:rPr>
        <w:drawing>
          <wp:inline distT="0" distB="0" distL="0" distR="0" wp14:anchorId="1B1C733A" wp14:editId="2D7D3B35">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415CC3A3" w14:textId="1BCA1F2B" w:rsidR="00AA2DE5" w:rsidRDefault="005F3F45" w:rsidP="00AA2DE5">
      <w:pPr>
        <w:pStyle w:val="ACMACorporateAddresses"/>
        <w:rPr>
          <w:rStyle w:val="Hyperlink"/>
        </w:rPr>
      </w:pPr>
      <w:hyperlink r:id="rId13" w:history="1">
        <w:r w:rsidR="00AA2DE5">
          <w:rPr>
            <w:rStyle w:val="Hyperlink"/>
          </w:rPr>
          <w:t>https://creativecommons.org/licenses/by/4.0/</w:t>
        </w:r>
      </w:hyperlink>
    </w:p>
    <w:p w14:paraId="1ECA210E" w14:textId="77777777" w:rsidR="00AA2DE5" w:rsidRDefault="00AA2DE5" w:rsidP="00AA2DE5">
      <w:pPr>
        <w:pStyle w:val="ACMACorporateAddresses"/>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4B62CB96" w14:textId="77777777" w:rsidR="00AA2DE5" w:rsidRDefault="00AA2DE5" w:rsidP="00AA2DE5">
      <w:pPr>
        <w:pStyle w:val="ACMACorporateAddresses"/>
      </w:pPr>
      <w:r>
        <w:t>We request attribution as © Commonwealth of Australia (Australian Communications and Media Authority) 201</w:t>
      </w:r>
      <w:r w:rsidR="000245E5">
        <w:t>9</w:t>
      </w:r>
      <w:r>
        <w:t>.</w:t>
      </w:r>
    </w:p>
    <w:p w14:paraId="2829077F" w14:textId="77777777" w:rsidR="00AA2DE5" w:rsidRDefault="00AA2DE5" w:rsidP="00AA2DE5">
      <w:pPr>
        <w:pStyle w:val="ACMACorporateAddresses"/>
      </w:pPr>
      <w:r>
        <w:t>All other rights are reserved.</w:t>
      </w:r>
    </w:p>
    <w:p w14:paraId="491149FC"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75020E3" w14:textId="77777777" w:rsidR="00AA2DE5" w:rsidRDefault="00AA2DE5" w:rsidP="00AA2DE5">
      <w:pPr>
        <w:pStyle w:val="ACMACorporateAddresses"/>
      </w:pPr>
      <w:r>
        <w:t>Written enquiries may be sent to:</w:t>
      </w:r>
    </w:p>
    <w:p w14:paraId="180A843A" w14:textId="341A7FA0"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67F5DCA" w14:textId="77777777" w:rsidR="00D16FE3" w:rsidRDefault="00D16FE3" w:rsidP="00D16FE3">
      <w:pPr>
        <w:pStyle w:val="ACMACorporateAddresses"/>
        <w:rPr>
          <w:rStyle w:val="Hyperlink"/>
        </w:rPr>
      </w:pPr>
    </w:p>
    <w:p w14:paraId="3F3DFB7B"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3C15689" w14:textId="14EE6D01" w:rsidR="009F29DF" w:rsidRDefault="007A6CC0">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"1-3" \t "ACMA_ExecSummaryHeading,1" </w:instrText>
      </w:r>
      <w:r>
        <w:rPr>
          <w:rFonts w:cs="Arial"/>
          <w:b w:val="0"/>
        </w:rPr>
        <w:fldChar w:fldCharType="separate"/>
      </w:r>
      <w:r w:rsidR="009F29DF">
        <w:t>Executive summary</w:t>
      </w:r>
      <w:r w:rsidR="009F29DF">
        <w:tab/>
      </w:r>
      <w:r w:rsidR="009F29DF">
        <w:fldChar w:fldCharType="begin"/>
      </w:r>
      <w:r w:rsidR="009F29DF">
        <w:instrText xml:space="preserve"> PAGEREF _Toc16064476 \h </w:instrText>
      </w:r>
      <w:r w:rsidR="009F29DF">
        <w:fldChar w:fldCharType="separate"/>
      </w:r>
      <w:r w:rsidR="009F29DF">
        <w:t>1</w:t>
      </w:r>
      <w:r w:rsidR="009F29DF">
        <w:fldChar w:fldCharType="end"/>
      </w:r>
    </w:p>
    <w:p w14:paraId="5B21B0FE" w14:textId="102A1EEE" w:rsidR="009F29DF" w:rsidRDefault="009F29DF">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_Toc16064477 \h </w:instrText>
      </w:r>
      <w:r>
        <w:fldChar w:fldCharType="separate"/>
      </w:r>
      <w:r>
        <w:t>3</w:t>
      </w:r>
      <w:r>
        <w:fldChar w:fldCharType="end"/>
      </w:r>
    </w:p>
    <w:p w14:paraId="368FD76A" w14:textId="3778E487" w:rsidR="009F29DF" w:rsidRDefault="009F29DF">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_Toc16064478 \h </w:instrText>
      </w:r>
      <w:r>
        <w:fldChar w:fldCharType="separate"/>
      </w:r>
      <w:r>
        <w:t>4</w:t>
      </w:r>
      <w:r>
        <w:fldChar w:fldCharType="end"/>
      </w:r>
    </w:p>
    <w:p w14:paraId="4747E0DD" w14:textId="409AF70F" w:rsidR="009F29DF" w:rsidRDefault="009F29DF">
      <w:pPr>
        <w:pStyle w:val="TOC2"/>
        <w:rPr>
          <w:rFonts w:asciiTheme="minorHAnsi" w:eastAsiaTheme="minorEastAsia" w:hAnsiTheme="minorHAnsi" w:cstheme="minorBidi"/>
          <w:spacing w:val="0"/>
          <w:sz w:val="22"/>
          <w:szCs w:val="22"/>
        </w:rPr>
      </w:pPr>
      <w:r>
        <w:t>Purpose</w:t>
      </w:r>
      <w:r>
        <w:tab/>
      </w:r>
      <w:r>
        <w:tab/>
      </w:r>
      <w:r>
        <w:fldChar w:fldCharType="begin"/>
      </w:r>
      <w:r>
        <w:instrText xml:space="preserve"> PAGEREF _Toc16064479 \h </w:instrText>
      </w:r>
      <w:r>
        <w:fldChar w:fldCharType="separate"/>
      </w:r>
      <w:r>
        <w:t>4</w:t>
      </w:r>
      <w:r>
        <w:fldChar w:fldCharType="end"/>
      </w:r>
    </w:p>
    <w:p w14:paraId="2B8A5295" w14:textId="1404C89B" w:rsidR="009F29DF" w:rsidRDefault="009F29DF">
      <w:pPr>
        <w:pStyle w:val="TOC2"/>
        <w:rPr>
          <w:rFonts w:asciiTheme="minorHAnsi" w:eastAsiaTheme="minorEastAsia" w:hAnsiTheme="minorHAnsi" w:cstheme="minorBidi"/>
          <w:spacing w:val="0"/>
          <w:sz w:val="22"/>
          <w:szCs w:val="22"/>
        </w:rPr>
      </w:pPr>
      <w:r>
        <w:t>Scope</w:t>
      </w:r>
      <w:r>
        <w:tab/>
      </w:r>
      <w:r>
        <w:tab/>
      </w:r>
      <w:r>
        <w:fldChar w:fldCharType="begin"/>
      </w:r>
      <w:r>
        <w:instrText xml:space="preserve"> PAGEREF _Toc16064480 \h </w:instrText>
      </w:r>
      <w:r>
        <w:fldChar w:fldCharType="separate"/>
      </w:r>
      <w:r>
        <w:t>4</w:t>
      </w:r>
      <w:r>
        <w:fldChar w:fldCharType="end"/>
      </w:r>
    </w:p>
    <w:p w14:paraId="748EDEDD" w14:textId="4C75DC13" w:rsidR="009F29DF" w:rsidRDefault="009F29DF">
      <w:pPr>
        <w:pStyle w:val="TOC2"/>
        <w:rPr>
          <w:rFonts w:asciiTheme="minorHAnsi" w:eastAsiaTheme="minorEastAsia" w:hAnsiTheme="minorHAnsi" w:cstheme="minorBidi"/>
          <w:spacing w:val="0"/>
          <w:sz w:val="22"/>
          <w:szCs w:val="22"/>
        </w:rPr>
      </w:pPr>
      <w:r>
        <w:t>Legislative and policy environment</w:t>
      </w:r>
      <w:r>
        <w:tab/>
      </w:r>
      <w:r>
        <w:fldChar w:fldCharType="begin"/>
      </w:r>
      <w:r>
        <w:instrText xml:space="preserve"> PAGEREF _Toc16064481 \h </w:instrText>
      </w:r>
      <w:r>
        <w:fldChar w:fldCharType="separate"/>
      </w:r>
      <w:r>
        <w:t>5</w:t>
      </w:r>
      <w:r>
        <w:fldChar w:fldCharType="end"/>
      </w:r>
    </w:p>
    <w:p w14:paraId="2808C217" w14:textId="2DED41B2" w:rsidR="009F29DF" w:rsidRDefault="009F29DF">
      <w:pPr>
        <w:pStyle w:val="TOC3"/>
        <w:rPr>
          <w:rFonts w:asciiTheme="minorHAnsi" w:eastAsiaTheme="minorEastAsia" w:hAnsiTheme="minorHAnsi" w:cstheme="minorBidi"/>
        </w:rPr>
      </w:pPr>
      <w:r>
        <w:t>Guiding legislation</w:t>
      </w:r>
      <w:r>
        <w:tab/>
      </w:r>
      <w:r>
        <w:fldChar w:fldCharType="begin"/>
      </w:r>
      <w:r>
        <w:instrText xml:space="preserve"> PAGEREF _Toc16064482 \h </w:instrText>
      </w:r>
      <w:r>
        <w:fldChar w:fldCharType="separate"/>
      </w:r>
      <w:r>
        <w:t>5</w:t>
      </w:r>
      <w:r>
        <w:fldChar w:fldCharType="end"/>
      </w:r>
    </w:p>
    <w:p w14:paraId="730AC54B" w14:textId="521D5B17" w:rsidR="009F29DF" w:rsidRDefault="009F29DF">
      <w:pPr>
        <w:pStyle w:val="TOC3"/>
        <w:rPr>
          <w:rFonts w:asciiTheme="minorHAnsi" w:eastAsiaTheme="minorEastAsia" w:hAnsiTheme="minorHAnsi" w:cstheme="minorBidi"/>
        </w:rPr>
      </w:pPr>
      <w:r>
        <w:t>Principles for spectrum management</w:t>
      </w:r>
      <w:r>
        <w:tab/>
      </w:r>
      <w:r>
        <w:fldChar w:fldCharType="begin"/>
      </w:r>
      <w:r>
        <w:instrText xml:space="preserve"> PAGEREF _Toc16064483 \h </w:instrText>
      </w:r>
      <w:r>
        <w:fldChar w:fldCharType="separate"/>
      </w:r>
      <w:r>
        <w:t>5</w:t>
      </w:r>
      <w:r>
        <w:fldChar w:fldCharType="end"/>
      </w:r>
    </w:p>
    <w:p w14:paraId="7F3FBF62" w14:textId="6FF71401" w:rsidR="009F29DF" w:rsidRDefault="009F29DF">
      <w:pPr>
        <w:pStyle w:val="TOC3"/>
        <w:rPr>
          <w:rFonts w:asciiTheme="minorHAnsi" w:eastAsiaTheme="minorEastAsia" w:hAnsiTheme="minorHAnsi" w:cstheme="minorBidi"/>
        </w:rPr>
      </w:pPr>
      <w:r>
        <w:t>Existing licensing regimes</w:t>
      </w:r>
      <w:r>
        <w:tab/>
      </w:r>
      <w:r>
        <w:fldChar w:fldCharType="begin"/>
      </w:r>
      <w:r>
        <w:instrText xml:space="preserve"> PAGEREF _Toc16064484 \h </w:instrText>
      </w:r>
      <w:r>
        <w:fldChar w:fldCharType="separate"/>
      </w:r>
      <w:r>
        <w:t>7</w:t>
      </w:r>
      <w:r>
        <w:fldChar w:fldCharType="end"/>
      </w:r>
    </w:p>
    <w:p w14:paraId="4B9E1D98" w14:textId="680969DF" w:rsidR="009F29DF" w:rsidRDefault="009F29DF">
      <w:pPr>
        <w:pStyle w:val="TOC2"/>
        <w:rPr>
          <w:rFonts w:asciiTheme="minorHAnsi" w:eastAsiaTheme="minorEastAsia" w:hAnsiTheme="minorHAnsi" w:cstheme="minorBidi"/>
          <w:spacing w:val="0"/>
          <w:sz w:val="22"/>
          <w:szCs w:val="22"/>
        </w:rPr>
      </w:pPr>
      <w:r>
        <w:t>Next steps</w:t>
      </w:r>
      <w:r>
        <w:tab/>
      </w:r>
      <w:r>
        <w:fldChar w:fldCharType="begin"/>
      </w:r>
      <w:r>
        <w:instrText xml:space="preserve"> PAGEREF _Toc16064485 \h </w:instrText>
      </w:r>
      <w:r>
        <w:fldChar w:fldCharType="separate"/>
      </w:r>
      <w:r>
        <w:t>7</w:t>
      </w:r>
      <w:r>
        <w:fldChar w:fldCharType="end"/>
      </w:r>
    </w:p>
    <w:p w14:paraId="0BE227F7" w14:textId="4F7F7239" w:rsidR="009F29DF" w:rsidRDefault="009F29DF">
      <w:pPr>
        <w:pStyle w:val="TOC1"/>
        <w:rPr>
          <w:rFonts w:asciiTheme="minorHAnsi" w:eastAsiaTheme="minorEastAsia" w:hAnsiTheme="minorHAnsi" w:cstheme="minorBidi"/>
          <w:b w:val="0"/>
          <w:spacing w:val="0"/>
          <w:sz w:val="22"/>
          <w:szCs w:val="22"/>
        </w:rPr>
      </w:pPr>
      <w:r>
        <w:t>Current use and arrangements</w:t>
      </w:r>
      <w:r>
        <w:tab/>
      </w:r>
      <w:r>
        <w:fldChar w:fldCharType="begin"/>
      </w:r>
      <w:r>
        <w:instrText xml:space="preserve"> PAGEREF _Toc16064486 \h </w:instrText>
      </w:r>
      <w:r>
        <w:fldChar w:fldCharType="separate"/>
      </w:r>
      <w:r>
        <w:t>9</w:t>
      </w:r>
      <w:r>
        <w:fldChar w:fldCharType="end"/>
      </w:r>
    </w:p>
    <w:p w14:paraId="7E23D6BD" w14:textId="68F7D39C" w:rsidR="009F29DF" w:rsidRDefault="009F29DF">
      <w:pPr>
        <w:pStyle w:val="TOC2"/>
        <w:rPr>
          <w:rFonts w:asciiTheme="minorHAnsi" w:eastAsiaTheme="minorEastAsia" w:hAnsiTheme="minorHAnsi" w:cstheme="minorBidi"/>
          <w:spacing w:val="0"/>
          <w:sz w:val="22"/>
          <w:szCs w:val="22"/>
        </w:rPr>
      </w:pPr>
      <w:r>
        <w:t>Current planning arrangements and use</w:t>
      </w:r>
      <w:r>
        <w:tab/>
      </w:r>
      <w:r>
        <w:fldChar w:fldCharType="begin"/>
      </w:r>
      <w:r>
        <w:instrText xml:space="preserve"> PAGEREF _Toc16064487 \h </w:instrText>
      </w:r>
      <w:r>
        <w:fldChar w:fldCharType="separate"/>
      </w:r>
      <w:r>
        <w:t>9</w:t>
      </w:r>
      <w:r>
        <w:fldChar w:fldCharType="end"/>
      </w:r>
    </w:p>
    <w:p w14:paraId="3FF210B7" w14:textId="54C8F0C1" w:rsidR="009F29DF" w:rsidRDefault="009F29DF">
      <w:pPr>
        <w:pStyle w:val="TOC3"/>
        <w:rPr>
          <w:rFonts w:asciiTheme="minorHAnsi" w:eastAsiaTheme="minorEastAsia" w:hAnsiTheme="minorHAnsi" w:cstheme="minorBidi"/>
        </w:rPr>
      </w:pPr>
      <w:r>
        <w:t>Fixed service (point-to-point links)</w:t>
      </w:r>
      <w:r>
        <w:tab/>
      </w:r>
      <w:r>
        <w:fldChar w:fldCharType="begin"/>
      </w:r>
      <w:r>
        <w:instrText xml:space="preserve"> PAGEREF _Toc16064488 \h </w:instrText>
      </w:r>
      <w:r>
        <w:fldChar w:fldCharType="separate"/>
      </w:r>
      <w:r>
        <w:t>10</w:t>
      </w:r>
      <w:r>
        <w:fldChar w:fldCharType="end"/>
      </w:r>
    </w:p>
    <w:p w14:paraId="4478004A" w14:textId="4D67317D" w:rsidR="009F29DF" w:rsidRDefault="009F29DF">
      <w:pPr>
        <w:pStyle w:val="TOC3"/>
        <w:rPr>
          <w:rFonts w:asciiTheme="minorHAnsi" w:eastAsiaTheme="minorEastAsia" w:hAnsiTheme="minorHAnsi" w:cstheme="minorBidi"/>
        </w:rPr>
      </w:pPr>
      <w:r>
        <w:t>Fixed-satellite service (FSS)</w:t>
      </w:r>
      <w:r>
        <w:tab/>
      </w:r>
      <w:r>
        <w:fldChar w:fldCharType="begin"/>
      </w:r>
      <w:r>
        <w:instrText xml:space="preserve"> PAGEREF _Toc16064489 \h </w:instrText>
      </w:r>
      <w:r>
        <w:fldChar w:fldCharType="separate"/>
      </w:r>
      <w:r>
        <w:t>11</w:t>
      </w:r>
      <w:r>
        <w:fldChar w:fldCharType="end"/>
      </w:r>
    </w:p>
    <w:p w14:paraId="4AAFFF7B" w14:textId="3531003D" w:rsidR="009F29DF" w:rsidRDefault="009F29DF">
      <w:pPr>
        <w:pStyle w:val="TOC3"/>
        <w:rPr>
          <w:rFonts w:asciiTheme="minorHAnsi" w:eastAsiaTheme="minorEastAsia" w:hAnsiTheme="minorHAnsi" w:cstheme="minorBidi"/>
        </w:rPr>
      </w:pPr>
      <w:r>
        <w:t>Radiodetermination</w:t>
      </w:r>
      <w:r>
        <w:tab/>
      </w:r>
      <w:r>
        <w:fldChar w:fldCharType="begin"/>
      </w:r>
      <w:r>
        <w:instrText xml:space="preserve"> PAGEREF _Toc16064490 \h </w:instrText>
      </w:r>
      <w:r>
        <w:fldChar w:fldCharType="separate"/>
      </w:r>
      <w:r>
        <w:t>12</w:t>
      </w:r>
      <w:r>
        <w:fldChar w:fldCharType="end"/>
      </w:r>
    </w:p>
    <w:p w14:paraId="5CE90166" w14:textId="09C2615D" w:rsidR="009F29DF" w:rsidRDefault="009F29DF">
      <w:pPr>
        <w:pStyle w:val="TOC3"/>
        <w:rPr>
          <w:rFonts w:asciiTheme="minorHAnsi" w:eastAsiaTheme="minorEastAsia" w:hAnsiTheme="minorHAnsi" w:cstheme="minorBidi"/>
        </w:rPr>
      </w:pPr>
      <w:r>
        <w:t>Low interference potential devices</w:t>
      </w:r>
      <w:r>
        <w:tab/>
      </w:r>
      <w:r>
        <w:fldChar w:fldCharType="begin"/>
      </w:r>
      <w:r>
        <w:instrText xml:space="preserve"> PAGEREF _Toc16064491 \h </w:instrText>
      </w:r>
      <w:r>
        <w:fldChar w:fldCharType="separate"/>
      </w:r>
      <w:r>
        <w:t>12</w:t>
      </w:r>
      <w:r>
        <w:fldChar w:fldCharType="end"/>
      </w:r>
    </w:p>
    <w:p w14:paraId="71E79F96" w14:textId="306D1BF1" w:rsidR="009F29DF" w:rsidRDefault="009F29DF">
      <w:pPr>
        <w:pStyle w:val="TOC3"/>
        <w:rPr>
          <w:rFonts w:asciiTheme="minorHAnsi" w:eastAsiaTheme="minorEastAsia" w:hAnsiTheme="minorHAnsi" w:cstheme="minorBidi"/>
        </w:rPr>
      </w:pPr>
      <w:r>
        <w:t>Embargoes</w:t>
      </w:r>
      <w:r>
        <w:tab/>
      </w:r>
      <w:r>
        <w:fldChar w:fldCharType="begin"/>
      </w:r>
      <w:r>
        <w:instrText xml:space="preserve"> PAGEREF _Toc16064492 \h </w:instrText>
      </w:r>
      <w:r>
        <w:fldChar w:fldCharType="separate"/>
      </w:r>
      <w:r>
        <w:t>12</w:t>
      </w:r>
      <w:r>
        <w:fldChar w:fldCharType="end"/>
      </w:r>
    </w:p>
    <w:p w14:paraId="5DE22F28" w14:textId="3ABC3CC0" w:rsidR="009F29DF" w:rsidRDefault="009F29DF">
      <w:pPr>
        <w:pStyle w:val="TOC2"/>
        <w:rPr>
          <w:rFonts w:asciiTheme="minorHAnsi" w:eastAsiaTheme="minorEastAsia" w:hAnsiTheme="minorHAnsi" w:cstheme="minorBidi"/>
          <w:spacing w:val="0"/>
          <w:sz w:val="22"/>
          <w:szCs w:val="22"/>
        </w:rPr>
      </w:pPr>
      <w:r>
        <w:t>Details of licences in the 3700–4200 MHz band</w:t>
      </w:r>
      <w:r>
        <w:tab/>
      </w:r>
      <w:r>
        <w:fldChar w:fldCharType="begin"/>
      </w:r>
      <w:r>
        <w:instrText xml:space="preserve"> PAGEREF _Toc16064493 \h </w:instrText>
      </w:r>
      <w:r>
        <w:fldChar w:fldCharType="separate"/>
      </w:r>
      <w:r>
        <w:t>12</w:t>
      </w:r>
      <w:r>
        <w:fldChar w:fldCharType="end"/>
      </w:r>
    </w:p>
    <w:p w14:paraId="49380080" w14:textId="0F666328" w:rsidR="009F29DF" w:rsidRDefault="009F29DF">
      <w:pPr>
        <w:pStyle w:val="TOC1"/>
        <w:rPr>
          <w:rFonts w:asciiTheme="minorHAnsi" w:eastAsiaTheme="minorEastAsia" w:hAnsiTheme="minorHAnsi" w:cstheme="minorBidi"/>
          <w:b w:val="0"/>
          <w:spacing w:val="0"/>
          <w:sz w:val="22"/>
          <w:szCs w:val="22"/>
        </w:rPr>
      </w:pPr>
      <w:r>
        <w:t>International developments</w:t>
      </w:r>
      <w:r>
        <w:tab/>
      </w:r>
      <w:r>
        <w:fldChar w:fldCharType="begin"/>
      </w:r>
      <w:r>
        <w:instrText xml:space="preserve"> PAGEREF _Toc16064494 \h </w:instrText>
      </w:r>
      <w:r>
        <w:fldChar w:fldCharType="separate"/>
      </w:r>
      <w:r>
        <w:t>16</w:t>
      </w:r>
      <w:r>
        <w:fldChar w:fldCharType="end"/>
      </w:r>
    </w:p>
    <w:p w14:paraId="047808B8" w14:textId="55DA7D4D" w:rsidR="009F29DF" w:rsidRDefault="009F29DF">
      <w:pPr>
        <w:pStyle w:val="TOC2"/>
        <w:rPr>
          <w:rFonts w:asciiTheme="minorHAnsi" w:eastAsiaTheme="minorEastAsia" w:hAnsiTheme="minorHAnsi" w:cstheme="minorBidi"/>
          <w:spacing w:val="0"/>
          <w:sz w:val="22"/>
          <w:szCs w:val="22"/>
        </w:rPr>
      </w:pPr>
      <w:r>
        <w:t>International organisations</w:t>
      </w:r>
      <w:r>
        <w:tab/>
      </w:r>
      <w:r>
        <w:fldChar w:fldCharType="begin"/>
      </w:r>
      <w:r>
        <w:instrText xml:space="preserve"> PAGEREF _Toc16064495 \h </w:instrText>
      </w:r>
      <w:r>
        <w:fldChar w:fldCharType="separate"/>
      </w:r>
      <w:r>
        <w:t>16</w:t>
      </w:r>
      <w:r>
        <w:fldChar w:fldCharType="end"/>
      </w:r>
    </w:p>
    <w:p w14:paraId="0BF322A2" w14:textId="50E67DAA" w:rsidR="009F29DF" w:rsidRDefault="009F29DF">
      <w:pPr>
        <w:pStyle w:val="TOC3"/>
        <w:rPr>
          <w:rFonts w:asciiTheme="minorHAnsi" w:eastAsiaTheme="minorEastAsia" w:hAnsiTheme="minorHAnsi" w:cstheme="minorBidi"/>
        </w:rPr>
      </w:pPr>
      <w:r>
        <w:t>Third Generation Partnership Project (3GPP)</w:t>
      </w:r>
      <w:r>
        <w:tab/>
      </w:r>
      <w:r>
        <w:fldChar w:fldCharType="begin"/>
      </w:r>
      <w:r>
        <w:instrText xml:space="preserve"> PAGEREF _Toc16064496 \h </w:instrText>
      </w:r>
      <w:r>
        <w:fldChar w:fldCharType="separate"/>
      </w:r>
      <w:r>
        <w:t>16</w:t>
      </w:r>
      <w:r>
        <w:fldChar w:fldCharType="end"/>
      </w:r>
    </w:p>
    <w:p w14:paraId="098465A4" w14:textId="2A91E064" w:rsidR="009F29DF" w:rsidRDefault="009F29DF">
      <w:pPr>
        <w:pStyle w:val="TOC3"/>
        <w:rPr>
          <w:rFonts w:asciiTheme="minorHAnsi" w:eastAsiaTheme="minorEastAsia" w:hAnsiTheme="minorHAnsi" w:cstheme="minorBidi"/>
        </w:rPr>
      </w:pPr>
      <w:r>
        <w:t>Global mobile Suppliers Association (GSA)</w:t>
      </w:r>
      <w:r>
        <w:tab/>
      </w:r>
      <w:r>
        <w:fldChar w:fldCharType="begin"/>
      </w:r>
      <w:r>
        <w:instrText xml:space="preserve"> PAGEREF _Toc16064497 \h </w:instrText>
      </w:r>
      <w:r>
        <w:fldChar w:fldCharType="separate"/>
      </w:r>
      <w:r>
        <w:t>16</w:t>
      </w:r>
      <w:r>
        <w:fldChar w:fldCharType="end"/>
      </w:r>
    </w:p>
    <w:p w14:paraId="373BEE50" w14:textId="36B5D277" w:rsidR="009F29DF" w:rsidRDefault="009F29DF">
      <w:pPr>
        <w:pStyle w:val="TOC2"/>
        <w:rPr>
          <w:rFonts w:asciiTheme="minorHAnsi" w:eastAsiaTheme="minorEastAsia" w:hAnsiTheme="minorHAnsi" w:cstheme="minorBidi"/>
          <w:spacing w:val="0"/>
          <w:sz w:val="22"/>
          <w:szCs w:val="22"/>
        </w:rPr>
      </w:pPr>
      <w:r>
        <w:t>Country-specific developments</w:t>
      </w:r>
      <w:r>
        <w:tab/>
      </w:r>
      <w:r>
        <w:fldChar w:fldCharType="begin"/>
      </w:r>
      <w:r>
        <w:instrText xml:space="preserve"> PAGEREF _Toc16064498 \h </w:instrText>
      </w:r>
      <w:r>
        <w:fldChar w:fldCharType="separate"/>
      </w:r>
      <w:r>
        <w:t>17</w:t>
      </w:r>
      <w:r>
        <w:fldChar w:fldCharType="end"/>
      </w:r>
    </w:p>
    <w:p w14:paraId="11325393" w14:textId="2577431A" w:rsidR="009F29DF" w:rsidRDefault="009F29DF">
      <w:pPr>
        <w:pStyle w:val="TOC3"/>
        <w:rPr>
          <w:rFonts w:asciiTheme="minorHAnsi" w:eastAsiaTheme="minorEastAsia" w:hAnsiTheme="minorHAnsi" w:cstheme="minorBidi"/>
        </w:rPr>
      </w:pPr>
      <w:r>
        <w:t>Europe</w:t>
      </w:r>
      <w:r>
        <w:tab/>
      </w:r>
      <w:r>
        <w:fldChar w:fldCharType="begin"/>
      </w:r>
      <w:r>
        <w:instrText xml:space="preserve"> PAGEREF _Toc16064499 \h </w:instrText>
      </w:r>
      <w:r>
        <w:fldChar w:fldCharType="separate"/>
      </w:r>
      <w:r>
        <w:t>17</w:t>
      </w:r>
      <w:r>
        <w:fldChar w:fldCharType="end"/>
      </w:r>
    </w:p>
    <w:p w14:paraId="52BCE014" w14:textId="69F425AD" w:rsidR="009F29DF" w:rsidRDefault="009F29DF">
      <w:pPr>
        <w:pStyle w:val="TOC3"/>
        <w:rPr>
          <w:rFonts w:asciiTheme="minorHAnsi" w:eastAsiaTheme="minorEastAsia" w:hAnsiTheme="minorHAnsi" w:cstheme="minorBidi"/>
        </w:rPr>
      </w:pPr>
      <w:r>
        <w:t>Middle East</w:t>
      </w:r>
      <w:r>
        <w:tab/>
      </w:r>
      <w:r>
        <w:fldChar w:fldCharType="begin"/>
      </w:r>
      <w:r>
        <w:instrText xml:space="preserve"> PAGEREF _Toc16064500 \h </w:instrText>
      </w:r>
      <w:r>
        <w:fldChar w:fldCharType="separate"/>
      </w:r>
      <w:r>
        <w:t>18</w:t>
      </w:r>
      <w:r>
        <w:fldChar w:fldCharType="end"/>
      </w:r>
    </w:p>
    <w:p w14:paraId="32ED4984" w14:textId="2C72EEF8" w:rsidR="009F29DF" w:rsidRDefault="009F29DF">
      <w:pPr>
        <w:pStyle w:val="TOC3"/>
        <w:rPr>
          <w:rFonts w:asciiTheme="minorHAnsi" w:eastAsiaTheme="minorEastAsia" w:hAnsiTheme="minorHAnsi" w:cstheme="minorBidi"/>
        </w:rPr>
      </w:pPr>
      <w:r>
        <w:t>Asia-Pacific</w:t>
      </w:r>
      <w:r>
        <w:tab/>
      </w:r>
      <w:r>
        <w:fldChar w:fldCharType="begin"/>
      </w:r>
      <w:r>
        <w:instrText xml:space="preserve"> PAGEREF _Toc16064501 \h </w:instrText>
      </w:r>
      <w:r>
        <w:fldChar w:fldCharType="separate"/>
      </w:r>
      <w:r>
        <w:t>18</w:t>
      </w:r>
      <w:r>
        <w:fldChar w:fldCharType="end"/>
      </w:r>
    </w:p>
    <w:p w14:paraId="542A1628" w14:textId="210E1BF0" w:rsidR="009F29DF" w:rsidRDefault="009F29DF">
      <w:pPr>
        <w:pStyle w:val="TOC3"/>
        <w:rPr>
          <w:rFonts w:asciiTheme="minorHAnsi" w:eastAsiaTheme="minorEastAsia" w:hAnsiTheme="minorHAnsi" w:cstheme="minorBidi"/>
        </w:rPr>
      </w:pPr>
      <w:r>
        <w:t>Americas</w:t>
      </w:r>
      <w:r>
        <w:tab/>
      </w:r>
      <w:r>
        <w:fldChar w:fldCharType="begin"/>
      </w:r>
      <w:r>
        <w:instrText xml:space="preserve"> PAGEREF _Toc16064502 \h </w:instrText>
      </w:r>
      <w:r>
        <w:fldChar w:fldCharType="separate"/>
      </w:r>
      <w:r>
        <w:t>18</w:t>
      </w:r>
      <w:r>
        <w:fldChar w:fldCharType="end"/>
      </w:r>
    </w:p>
    <w:p w14:paraId="6DA0E820" w14:textId="605F5556" w:rsidR="009F29DF" w:rsidRDefault="009F29DF">
      <w:pPr>
        <w:pStyle w:val="TOC3"/>
        <w:rPr>
          <w:rFonts w:asciiTheme="minorHAnsi" w:eastAsiaTheme="minorEastAsia" w:hAnsiTheme="minorHAnsi" w:cstheme="minorBidi"/>
        </w:rPr>
      </w:pPr>
      <w:r>
        <w:t>International Context</w:t>
      </w:r>
      <w:r>
        <w:tab/>
      </w:r>
      <w:r>
        <w:fldChar w:fldCharType="begin"/>
      </w:r>
      <w:r>
        <w:instrText xml:space="preserve"> PAGEREF _Toc16064503 \h </w:instrText>
      </w:r>
      <w:r>
        <w:fldChar w:fldCharType="separate"/>
      </w:r>
      <w:r>
        <w:t>19</w:t>
      </w:r>
      <w:r>
        <w:fldChar w:fldCharType="end"/>
      </w:r>
    </w:p>
    <w:p w14:paraId="50F60D88" w14:textId="3593CF3E" w:rsidR="009F29DF" w:rsidRDefault="009F29DF">
      <w:pPr>
        <w:pStyle w:val="TOC1"/>
        <w:rPr>
          <w:rFonts w:asciiTheme="minorHAnsi" w:eastAsiaTheme="minorEastAsia" w:hAnsiTheme="minorHAnsi" w:cstheme="minorBidi"/>
          <w:b w:val="0"/>
          <w:spacing w:val="0"/>
          <w:sz w:val="22"/>
          <w:szCs w:val="22"/>
        </w:rPr>
      </w:pPr>
      <w:r>
        <w:t>Domestic considerations</w:t>
      </w:r>
      <w:r>
        <w:tab/>
      </w:r>
      <w:r>
        <w:fldChar w:fldCharType="begin"/>
      </w:r>
      <w:r>
        <w:instrText xml:space="preserve"> PAGEREF _Toc16064504 \h </w:instrText>
      </w:r>
      <w:r>
        <w:fldChar w:fldCharType="separate"/>
      </w:r>
      <w:r>
        <w:t>20</w:t>
      </w:r>
      <w:r>
        <w:fldChar w:fldCharType="end"/>
      </w:r>
    </w:p>
    <w:p w14:paraId="0A7208A1" w14:textId="2BA01739" w:rsidR="009F29DF" w:rsidRDefault="009F29DF">
      <w:pPr>
        <w:pStyle w:val="TOC2"/>
        <w:rPr>
          <w:rFonts w:asciiTheme="minorHAnsi" w:eastAsiaTheme="minorEastAsia" w:hAnsiTheme="minorHAnsi" w:cstheme="minorBidi"/>
          <w:spacing w:val="0"/>
          <w:sz w:val="22"/>
          <w:szCs w:val="22"/>
        </w:rPr>
      </w:pPr>
      <w:r>
        <w:t>Fixed service (point-to-point links)</w:t>
      </w:r>
      <w:r>
        <w:tab/>
      </w:r>
      <w:r>
        <w:fldChar w:fldCharType="begin"/>
      </w:r>
      <w:r>
        <w:instrText xml:space="preserve"> PAGEREF _Toc16064505 \h </w:instrText>
      </w:r>
      <w:r>
        <w:fldChar w:fldCharType="separate"/>
      </w:r>
      <w:r>
        <w:t>20</w:t>
      </w:r>
      <w:r>
        <w:fldChar w:fldCharType="end"/>
      </w:r>
    </w:p>
    <w:p w14:paraId="53C1C362" w14:textId="169097BC" w:rsidR="009F29DF" w:rsidRDefault="009F29DF">
      <w:pPr>
        <w:pStyle w:val="TOC2"/>
        <w:rPr>
          <w:rFonts w:asciiTheme="minorHAnsi" w:eastAsiaTheme="minorEastAsia" w:hAnsiTheme="minorHAnsi" w:cstheme="minorBidi"/>
          <w:spacing w:val="0"/>
          <w:sz w:val="22"/>
          <w:szCs w:val="22"/>
        </w:rPr>
      </w:pPr>
      <w:r>
        <w:lastRenderedPageBreak/>
        <w:t>FSS</w:t>
      </w:r>
      <w:r>
        <w:tab/>
      </w:r>
      <w:r>
        <w:tab/>
      </w:r>
      <w:r>
        <w:fldChar w:fldCharType="begin"/>
      </w:r>
      <w:r>
        <w:instrText xml:space="preserve"> PAGEREF _Toc16064506 \h </w:instrText>
      </w:r>
      <w:r>
        <w:fldChar w:fldCharType="separate"/>
      </w:r>
      <w:r>
        <w:t>21</w:t>
      </w:r>
      <w:r>
        <w:fldChar w:fldCharType="end"/>
      </w:r>
    </w:p>
    <w:p w14:paraId="4B715799" w14:textId="106145BD" w:rsidR="009F29DF" w:rsidRDefault="009F29DF">
      <w:pPr>
        <w:pStyle w:val="TOC2"/>
        <w:rPr>
          <w:rFonts w:asciiTheme="minorHAnsi" w:eastAsiaTheme="minorEastAsia" w:hAnsiTheme="minorHAnsi" w:cstheme="minorBidi"/>
          <w:spacing w:val="0"/>
          <w:sz w:val="22"/>
          <w:szCs w:val="22"/>
        </w:rPr>
      </w:pPr>
      <w:r>
        <w:t>TVRO systems</w:t>
      </w:r>
      <w:r>
        <w:tab/>
      </w:r>
      <w:r>
        <w:fldChar w:fldCharType="begin"/>
      </w:r>
      <w:r>
        <w:instrText xml:space="preserve"> PAGEREF _Toc16064507 \h </w:instrText>
      </w:r>
      <w:r>
        <w:fldChar w:fldCharType="separate"/>
      </w:r>
      <w:r>
        <w:t>22</w:t>
      </w:r>
      <w:r>
        <w:fldChar w:fldCharType="end"/>
      </w:r>
    </w:p>
    <w:p w14:paraId="563A6FFB" w14:textId="196C168C" w:rsidR="009F29DF" w:rsidRDefault="009F29DF">
      <w:pPr>
        <w:pStyle w:val="TOC2"/>
        <w:rPr>
          <w:rFonts w:asciiTheme="minorHAnsi" w:eastAsiaTheme="minorEastAsia" w:hAnsiTheme="minorHAnsi" w:cstheme="minorBidi"/>
          <w:spacing w:val="0"/>
          <w:sz w:val="22"/>
          <w:szCs w:val="22"/>
        </w:rPr>
      </w:pPr>
      <w:r>
        <w:t>Radiodetermination</w:t>
      </w:r>
      <w:r>
        <w:tab/>
      </w:r>
      <w:r>
        <w:fldChar w:fldCharType="begin"/>
      </w:r>
      <w:r>
        <w:instrText xml:space="preserve"> PAGEREF _Toc16064508 \h </w:instrText>
      </w:r>
      <w:r>
        <w:fldChar w:fldCharType="separate"/>
      </w:r>
      <w:r>
        <w:t>22</w:t>
      </w:r>
      <w:r>
        <w:fldChar w:fldCharType="end"/>
      </w:r>
    </w:p>
    <w:p w14:paraId="1AE6E380" w14:textId="1A3995BB" w:rsidR="009F29DF" w:rsidRDefault="009F29DF">
      <w:pPr>
        <w:pStyle w:val="TOC2"/>
        <w:rPr>
          <w:rFonts w:asciiTheme="minorHAnsi" w:eastAsiaTheme="minorEastAsia" w:hAnsiTheme="minorHAnsi" w:cstheme="minorBidi"/>
          <w:spacing w:val="0"/>
          <w:sz w:val="22"/>
          <w:szCs w:val="22"/>
        </w:rPr>
      </w:pPr>
      <w:r>
        <w:t>Low interference potential devices</w:t>
      </w:r>
      <w:r>
        <w:tab/>
      </w:r>
      <w:r>
        <w:fldChar w:fldCharType="begin"/>
      </w:r>
      <w:r>
        <w:instrText xml:space="preserve"> PAGEREF _Toc16064509 \h </w:instrText>
      </w:r>
      <w:r>
        <w:fldChar w:fldCharType="separate"/>
      </w:r>
      <w:r>
        <w:t>22</w:t>
      </w:r>
      <w:r>
        <w:fldChar w:fldCharType="end"/>
      </w:r>
    </w:p>
    <w:p w14:paraId="26B26DE2" w14:textId="07D199EB" w:rsidR="009F29DF" w:rsidRDefault="009F29DF">
      <w:pPr>
        <w:pStyle w:val="TOC2"/>
        <w:rPr>
          <w:rFonts w:asciiTheme="minorHAnsi" w:eastAsiaTheme="minorEastAsia" w:hAnsiTheme="minorHAnsi" w:cstheme="minorBidi"/>
          <w:spacing w:val="0"/>
          <w:sz w:val="22"/>
          <w:szCs w:val="22"/>
        </w:rPr>
      </w:pPr>
      <w:r>
        <w:t>WBB services</w:t>
      </w:r>
      <w:r>
        <w:tab/>
      </w:r>
      <w:r>
        <w:fldChar w:fldCharType="begin"/>
      </w:r>
      <w:r>
        <w:instrText xml:space="preserve"> PAGEREF _Toc16064510 \h </w:instrText>
      </w:r>
      <w:r>
        <w:fldChar w:fldCharType="separate"/>
      </w:r>
      <w:r>
        <w:t>22</w:t>
      </w:r>
      <w:r>
        <w:fldChar w:fldCharType="end"/>
      </w:r>
    </w:p>
    <w:p w14:paraId="262E3C6A" w14:textId="4631782D" w:rsidR="009F29DF" w:rsidRDefault="009F29DF">
      <w:pPr>
        <w:pStyle w:val="TOC1"/>
        <w:rPr>
          <w:rFonts w:asciiTheme="minorHAnsi" w:eastAsiaTheme="minorEastAsia" w:hAnsiTheme="minorHAnsi" w:cstheme="minorBidi"/>
          <w:b w:val="0"/>
          <w:spacing w:val="0"/>
          <w:sz w:val="22"/>
          <w:szCs w:val="22"/>
        </w:rPr>
      </w:pPr>
      <w:r>
        <w:t>Band planning considerations</w:t>
      </w:r>
      <w:r>
        <w:tab/>
      </w:r>
      <w:r>
        <w:fldChar w:fldCharType="begin"/>
      </w:r>
      <w:r>
        <w:instrText xml:space="preserve"> PAGEREF _Toc16064511 \h </w:instrText>
      </w:r>
      <w:r>
        <w:fldChar w:fldCharType="separate"/>
      </w:r>
      <w:r>
        <w:t>25</w:t>
      </w:r>
      <w:r>
        <w:fldChar w:fldCharType="end"/>
      </w:r>
    </w:p>
    <w:p w14:paraId="56D062A8" w14:textId="779D5E48" w:rsidR="009F29DF" w:rsidRDefault="009F29DF">
      <w:pPr>
        <w:pStyle w:val="TOC2"/>
        <w:rPr>
          <w:rFonts w:asciiTheme="minorHAnsi" w:eastAsiaTheme="minorEastAsia" w:hAnsiTheme="minorHAnsi" w:cstheme="minorBidi"/>
          <w:spacing w:val="0"/>
          <w:sz w:val="22"/>
          <w:szCs w:val="22"/>
        </w:rPr>
      </w:pPr>
      <w:r>
        <w:t>Spectrum scenarios</w:t>
      </w:r>
      <w:r>
        <w:tab/>
      </w:r>
      <w:r>
        <w:fldChar w:fldCharType="begin"/>
      </w:r>
      <w:r>
        <w:instrText xml:space="preserve"> PAGEREF _Toc16064512 \h </w:instrText>
      </w:r>
      <w:r>
        <w:fldChar w:fldCharType="separate"/>
      </w:r>
      <w:r>
        <w:t>25</w:t>
      </w:r>
      <w:r>
        <w:fldChar w:fldCharType="end"/>
      </w:r>
    </w:p>
    <w:p w14:paraId="1365B10F" w14:textId="65B22556" w:rsidR="009F29DF" w:rsidRDefault="009F29DF">
      <w:pPr>
        <w:pStyle w:val="TOC2"/>
        <w:rPr>
          <w:rFonts w:asciiTheme="minorHAnsi" w:eastAsiaTheme="minorEastAsia" w:hAnsiTheme="minorHAnsi" w:cstheme="minorBidi"/>
          <w:spacing w:val="0"/>
          <w:sz w:val="22"/>
          <w:szCs w:val="22"/>
        </w:rPr>
      </w:pPr>
      <w:r>
        <w:t>Geographic scenarios</w:t>
      </w:r>
      <w:r>
        <w:tab/>
      </w:r>
      <w:r>
        <w:fldChar w:fldCharType="begin"/>
      </w:r>
      <w:r>
        <w:instrText xml:space="preserve"> PAGEREF _Toc16064513 \h </w:instrText>
      </w:r>
      <w:r>
        <w:fldChar w:fldCharType="separate"/>
      </w:r>
      <w:r>
        <w:t>27</w:t>
      </w:r>
      <w:r>
        <w:fldChar w:fldCharType="end"/>
      </w:r>
    </w:p>
    <w:p w14:paraId="3F4640C0" w14:textId="48EE755F" w:rsidR="009F29DF" w:rsidRDefault="009F29DF">
      <w:pPr>
        <w:pStyle w:val="TOC2"/>
        <w:rPr>
          <w:rFonts w:asciiTheme="minorHAnsi" w:eastAsiaTheme="minorEastAsia" w:hAnsiTheme="minorHAnsi" w:cstheme="minorBidi"/>
          <w:spacing w:val="0"/>
          <w:sz w:val="22"/>
          <w:szCs w:val="22"/>
        </w:rPr>
      </w:pPr>
      <w:r>
        <w:t>Spectrum access scenarios</w:t>
      </w:r>
      <w:r>
        <w:tab/>
      </w:r>
      <w:r>
        <w:fldChar w:fldCharType="begin"/>
      </w:r>
      <w:r>
        <w:instrText xml:space="preserve"> PAGEREF _Toc16064514 \h </w:instrText>
      </w:r>
      <w:r>
        <w:fldChar w:fldCharType="separate"/>
      </w:r>
      <w:r>
        <w:t>29</w:t>
      </w:r>
      <w:r>
        <w:fldChar w:fldCharType="end"/>
      </w:r>
    </w:p>
    <w:p w14:paraId="052ED75A" w14:textId="7C7DF401" w:rsidR="009F29DF" w:rsidRDefault="009F29DF">
      <w:pPr>
        <w:pStyle w:val="TOC3"/>
        <w:rPr>
          <w:rFonts w:asciiTheme="minorHAnsi" w:eastAsiaTheme="minorEastAsia" w:hAnsiTheme="minorHAnsi" w:cstheme="minorBidi"/>
        </w:rPr>
      </w:pPr>
      <w:r>
        <w:t>Access models for band planning</w:t>
      </w:r>
      <w:r>
        <w:tab/>
      </w:r>
      <w:r>
        <w:fldChar w:fldCharType="begin"/>
      </w:r>
      <w:r>
        <w:instrText xml:space="preserve"> PAGEREF _Toc16064515 \h </w:instrText>
      </w:r>
      <w:r>
        <w:fldChar w:fldCharType="separate"/>
      </w:r>
      <w:r>
        <w:t>30</w:t>
      </w:r>
      <w:r>
        <w:fldChar w:fldCharType="end"/>
      </w:r>
    </w:p>
    <w:p w14:paraId="710843C0" w14:textId="7E709531" w:rsidR="009F29DF" w:rsidRDefault="009F29DF">
      <w:pPr>
        <w:pStyle w:val="TOC2"/>
        <w:rPr>
          <w:rFonts w:asciiTheme="minorHAnsi" w:eastAsiaTheme="minorEastAsia" w:hAnsiTheme="minorHAnsi" w:cstheme="minorBidi"/>
          <w:spacing w:val="0"/>
          <w:sz w:val="22"/>
          <w:szCs w:val="22"/>
        </w:rPr>
      </w:pPr>
      <w:r>
        <w:t>Compatibility with adjacent band services</w:t>
      </w:r>
      <w:r>
        <w:tab/>
      </w:r>
      <w:r>
        <w:fldChar w:fldCharType="begin"/>
      </w:r>
      <w:r>
        <w:instrText xml:space="preserve"> PAGEREF _Toc16064516 \h </w:instrText>
      </w:r>
      <w:r>
        <w:fldChar w:fldCharType="separate"/>
      </w:r>
      <w:r>
        <w:t>31</w:t>
      </w:r>
      <w:r>
        <w:fldChar w:fldCharType="end"/>
      </w:r>
    </w:p>
    <w:p w14:paraId="651C1575" w14:textId="3CAD452E" w:rsidR="009F29DF" w:rsidRDefault="009F29DF">
      <w:pPr>
        <w:pStyle w:val="TOC3"/>
        <w:rPr>
          <w:rFonts w:asciiTheme="minorHAnsi" w:eastAsiaTheme="minorEastAsia" w:hAnsiTheme="minorHAnsi" w:cstheme="minorBidi"/>
        </w:rPr>
      </w:pPr>
      <w:r>
        <w:t>3575–3700 MHz band</w:t>
      </w:r>
      <w:r>
        <w:tab/>
      </w:r>
      <w:r>
        <w:fldChar w:fldCharType="begin"/>
      </w:r>
      <w:r>
        <w:instrText xml:space="preserve"> PAGEREF _Toc16064517 \h </w:instrText>
      </w:r>
      <w:r>
        <w:fldChar w:fldCharType="separate"/>
      </w:r>
      <w:r>
        <w:t>31</w:t>
      </w:r>
      <w:r>
        <w:fldChar w:fldCharType="end"/>
      </w:r>
    </w:p>
    <w:p w14:paraId="01701B53" w14:textId="3417CED3" w:rsidR="009F29DF" w:rsidRDefault="009F29DF">
      <w:pPr>
        <w:pStyle w:val="TOC3"/>
        <w:rPr>
          <w:rFonts w:asciiTheme="minorHAnsi" w:eastAsiaTheme="minorEastAsia" w:hAnsiTheme="minorHAnsi" w:cstheme="minorBidi"/>
        </w:rPr>
      </w:pPr>
      <w:r>
        <w:t>Metropolitan and regional areas</w:t>
      </w:r>
      <w:r>
        <w:tab/>
      </w:r>
      <w:r>
        <w:fldChar w:fldCharType="begin"/>
      </w:r>
      <w:r>
        <w:instrText xml:space="preserve"> PAGEREF _Toc16064518 \h </w:instrText>
      </w:r>
      <w:r>
        <w:fldChar w:fldCharType="separate"/>
      </w:r>
      <w:r>
        <w:t>32</w:t>
      </w:r>
      <w:r>
        <w:fldChar w:fldCharType="end"/>
      </w:r>
    </w:p>
    <w:p w14:paraId="44D4EF42" w14:textId="0716A703" w:rsidR="009F29DF" w:rsidRDefault="009F29DF">
      <w:pPr>
        <w:pStyle w:val="TOC3"/>
        <w:rPr>
          <w:rFonts w:asciiTheme="minorHAnsi" w:eastAsiaTheme="minorEastAsia" w:hAnsiTheme="minorHAnsi" w:cstheme="minorBidi"/>
        </w:rPr>
      </w:pPr>
      <w:r>
        <w:t>4200–4400 MHz band</w:t>
      </w:r>
      <w:r>
        <w:tab/>
      </w:r>
      <w:r>
        <w:fldChar w:fldCharType="begin"/>
      </w:r>
      <w:r>
        <w:instrText xml:space="preserve"> PAGEREF _Toc16064519 \h </w:instrText>
      </w:r>
      <w:r>
        <w:fldChar w:fldCharType="separate"/>
      </w:r>
      <w:r>
        <w:t>33</w:t>
      </w:r>
      <w:r>
        <w:fldChar w:fldCharType="end"/>
      </w:r>
    </w:p>
    <w:p w14:paraId="37EB81FB" w14:textId="68F647AE" w:rsidR="009F29DF" w:rsidRDefault="009F29DF">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_Toc16064520 \h </w:instrText>
      </w:r>
      <w:r>
        <w:fldChar w:fldCharType="separate"/>
      </w:r>
      <w:r>
        <w:t>35</w:t>
      </w:r>
      <w:r>
        <w:fldChar w:fldCharType="end"/>
      </w:r>
    </w:p>
    <w:p w14:paraId="60E658AB" w14:textId="106C91E5" w:rsidR="009F29DF" w:rsidRDefault="009F29DF">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_Toc16064521 \h </w:instrText>
      </w:r>
      <w:r>
        <w:fldChar w:fldCharType="separate"/>
      </w:r>
      <w:r>
        <w:t>35</w:t>
      </w:r>
      <w:r>
        <w:fldChar w:fldCharType="end"/>
      </w:r>
    </w:p>
    <w:p w14:paraId="7FE473D4" w14:textId="5B466712" w:rsidR="009F29DF" w:rsidRDefault="009F29DF">
      <w:pPr>
        <w:pStyle w:val="TOC1"/>
        <w:rPr>
          <w:rFonts w:asciiTheme="minorHAnsi" w:eastAsiaTheme="minorEastAsia" w:hAnsiTheme="minorHAnsi" w:cstheme="minorBidi"/>
          <w:b w:val="0"/>
          <w:spacing w:val="0"/>
          <w:sz w:val="22"/>
          <w:szCs w:val="22"/>
        </w:rPr>
      </w:pPr>
      <w:r>
        <w:t>Glossary</w:t>
      </w:r>
      <w:r>
        <w:tab/>
      </w:r>
      <w:r>
        <w:fldChar w:fldCharType="begin"/>
      </w:r>
      <w:r>
        <w:instrText xml:space="preserve"> PAGEREF _Toc16064522 \h </w:instrText>
      </w:r>
      <w:r>
        <w:fldChar w:fldCharType="separate"/>
      </w:r>
      <w:r>
        <w:t>36</w:t>
      </w:r>
      <w:r>
        <w:fldChar w:fldCharType="end"/>
      </w:r>
    </w:p>
    <w:p w14:paraId="7A3C98CD" w14:textId="1D939BAF" w:rsidR="009F29DF" w:rsidRDefault="009F29DF">
      <w:pPr>
        <w:pStyle w:val="TOC1"/>
        <w:rPr>
          <w:rFonts w:asciiTheme="minorHAnsi" w:eastAsiaTheme="minorEastAsia" w:hAnsiTheme="minorHAnsi" w:cstheme="minorBidi"/>
          <w:b w:val="0"/>
          <w:spacing w:val="0"/>
          <w:sz w:val="22"/>
          <w:szCs w:val="22"/>
        </w:rPr>
      </w:pPr>
      <w:r>
        <w:t>Appendix 1: Geographical area descriptions</w:t>
      </w:r>
      <w:r>
        <w:tab/>
      </w:r>
      <w:r>
        <w:fldChar w:fldCharType="begin"/>
      </w:r>
      <w:r>
        <w:instrText xml:space="preserve"> PAGEREF _Toc16064523 \h </w:instrText>
      </w:r>
      <w:r>
        <w:fldChar w:fldCharType="separate"/>
      </w:r>
      <w:r>
        <w:t>38</w:t>
      </w:r>
      <w:r>
        <w:fldChar w:fldCharType="end"/>
      </w:r>
    </w:p>
    <w:p w14:paraId="01BEFC5E" w14:textId="100A7840" w:rsidR="009F29DF" w:rsidRDefault="009F29DF">
      <w:pPr>
        <w:pStyle w:val="TOC1"/>
        <w:rPr>
          <w:rFonts w:asciiTheme="minorHAnsi" w:eastAsiaTheme="minorEastAsia" w:hAnsiTheme="minorHAnsi" w:cstheme="minorBidi"/>
          <w:b w:val="0"/>
          <w:spacing w:val="0"/>
          <w:sz w:val="22"/>
          <w:szCs w:val="22"/>
        </w:rPr>
      </w:pPr>
      <w:r>
        <w:t>Appendix 2: Spectral occupancy of incumbent services</w:t>
      </w:r>
      <w:r>
        <w:tab/>
      </w:r>
      <w:r>
        <w:fldChar w:fldCharType="begin"/>
      </w:r>
      <w:r>
        <w:instrText xml:space="preserve"> PAGEREF _Toc16064524 \h </w:instrText>
      </w:r>
      <w:r>
        <w:fldChar w:fldCharType="separate"/>
      </w:r>
      <w:r>
        <w:t>44</w:t>
      </w:r>
      <w:r>
        <w:fldChar w:fldCharType="end"/>
      </w:r>
    </w:p>
    <w:p w14:paraId="16E45A6C" w14:textId="01C012B9" w:rsidR="009F29DF" w:rsidRDefault="009F29DF">
      <w:pPr>
        <w:pStyle w:val="TOC1"/>
        <w:rPr>
          <w:rFonts w:asciiTheme="minorHAnsi" w:eastAsiaTheme="minorEastAsia" w:hAnsiTheme="minorHAnsi" w:cstheme="minorBidi"/>
          <w:b w:val="0"/>
          <w:spacing w:val="0"/>
          <w:sz w:val="22"/>
          <w:szCs w:val="22"/>
        </w:rPr>
      </w:pPr>
      <w:r>
        <w:t>Appendix 3: Synchronisation requirement</w:t>
      </w:r>
      <w:r>
        <w:tab/>
      </w:r>
      <w:r>
        <w:fldChar w:fldCharType="begin"/>
      </w:r>
      <w:r>
        <w:instrText xml:space="preserve"> PAGEREF _Toc16064525 \h </w:instrText>
      </w:r>
      <w:r>
        <w:fldChar w:fldCharType="separate"/>
      </w:r>
      <w:r>
        <w:t>49</w:t>
      </w:r>
      <w:r>
        <w:fldChar w:fldCharType="end"/>
      </w:r>
    </w:p>
    <w:p w14:paraId="4536F120" w14:textId="59B0EEAD" w:rsidR="000A4A51" w:rsidRPr="000D76E0" w:rsidRDefault="007A6CC0">
      <w:pPr>
        <w:rPr>
          <w:rFonts w:cs="Arial"/>
        </w:rPr>
      </w:pPr>
      <w:r>
        <w:rPr>
          <w:rFonts w:cs="Arial"/>
          <w:b/>
          <w:noProof/>
          <w:spacing w:val="-14"/>
          <w:sz w:val="28"/>
        </w:rPr>
        <w:fldChar w:fldCharType="end"/>
      </w:r>
    </w:p>
    <w:p w14:paraId="67CD456B" w14:textId="77777777" w:rsidR="004D56FF" w:rsidRPr="000D76E0" w:rsidRDefault="004D56F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p>
    <w:p w14:paraId="48ED102F" w14:textId="7EF445B9" w:rsidR="009D6C71" w:rsidRPr="009174F3" w:rsidRDefault="009D6C71" w:rsidP="009174F3">
      <w:pPr>
        <w:pStyle w:val="ACMAExecSummaryHeading"/>
      </w:pPr>
      <w:bookmarkStart w:id="1" w:name="_Toc16064476"/>
      <w:r w:rsidRPr="009174F3">
        <w:lastRenderedPageBreak/>
        <w:t>Executive summary</w:t>
      </w:r>
      <w:bookmarkEnd w:id="1"/>
    </w:p>
    <w:p w14:paraId="35C0F030" w14:textId="0929374A" w:rsidR="00C72501" w:rsidRDefault="00C72501" w:rsidP="00C72501">
      <w:pPr>
        <w:rPr>
          <w:rFonts w:cs="Arial"/>
        </w:rPr>
      </w:pPr>
      <w:bookmarkStart w:id="2" w:name="_Hlk14760390"/>
      <w:bookmarkStart w:id="3" w:name="_Hlk14760406"/>
      <w:r>
        <w:rPr>
          <w:rFonts w:cs="Arial"/>
        </w:rPr>
        <w:t xml:space="preserve">In Australia, the 3700–4200 MHz band is currently used by a mixture of services and applications including point-to-point links, </w:t>
      </w:r>
      <w:r w:rsidR="00225EA7">
        <w:rPr>
          <w:rFonts w:cs="Arial"/>
        </w:rPr>
        <w:t xml:space="preserve">coordinated </w:t>
      </w:r>
      <w:r>
        <w:rPr>
          <w:rFonts w:cs="Arial"/>
        </w:rPr>
        <w:t xml:space="preserve">fixed satellite service (FSS) earth stations, radiodetermination and various low power class licensed devices. </w:t>
      </w:r>
    </w:p>
    <w:p w14:paraId="45CB36EE" w14:textId="334BBF37" w:rsidR="00C72501" w:rsidRDefault="00C72501" w:rsidP="00C72501">
      <w:pPr>
        <w:rPr>
          <w:rFonts w:cs="Arial"/>
        </w:rPr>
      </w:pPr>
      <w:r>
        <w:rPr>
          <w:rFonts w:cs="Arial"/>
        </w:rPr>
        <w:t>Internationally, there has been growing interest in investigating options to make all or part of the 3700–4200 MHz band available for use by wireless broadband (WBB) services including 5G</w:t>
      </w:r>
      <w:r w:rsidR="00807313">
        <w:rPr>
          <w:rFonts w:cs="Arial"/>
        </w:rPr>
        <w:t>.</w:t>
      </w:r>
      <w:r>
        <w:rPr>
          <w:rFonts w:cs="Arial"/>
        </w:rPr>
        <w:t xml:space="preserve"> </w:t>
      </w:r>
      <w:r w:rsidR="00445357">
        <w:rPr>
          <w:rFonts w:cs="Arial"/>
        </w:rPr>
        <w:t>These investigations have all carefully considered l</w:t>
      </w:r>
      <w:r w:rsidR="009C03AA">
        <w:rPr>
          <w:rFonts w:cs="Arial"/>
        </w:rPr>
        <w:t xml:space="preserve">egacy uses of the band, especially </w:t>
      </w:r>
      <w:r w:rsidR="00445357">
        <w:rPr>
          <w:rFonts w:cs="Arial"/>
        </w:rPr>
        <w:t>by</w:t>
      </w:r>
      <w:r w:rsidR="009C03AA">
        <w:rPr>
          <w:rFonts w:cs="Arial"/>
        </w:rPr>
        <w:t xml:space="preserve"> the FSS </w:t>
      </w:r>
      <w:r w:rsidR="00445357">
        <w:rPr>
          <w:rFonts w:cs="Arial"/>
        </w:rPr>
        <w:t>for ‘C</w:t>
      </w:r>
      <w:r w:rsidR="00852F42">
        <w:rPr>
          <w:rFonts w:cs="Arial"/>
        </w:rPr>
        <w:t>-</w:t>
      </w:r>
      <w:r w:rsidR="00445357">
        <w:rPr>
          <w:rFonts w:cs="Arial"/>
        </w:rPr>
        <w:t xml:space="preserve">band’ satellite services </w:t>
      </w:r>
      <w:r w:rsidR="007F224A">
        <w:rPr>
          <w:rFonts w:cs="Arial"/>
        </w:rPr>
        <w:t xml:space="preserve">that </w:t>
      </w:r>
      <w:r w:rsidR="00445357">
        <w:rPr>
          <w:rFonts w:cs="Arial"/>
        </w:rPr>
        <w:t xml:space="preserve">offer a range of unique characteristics important to the satellite operators and users.  </w:t>
      </w:r>
      <w:r w:rsidR="009C03AA">
        <w:rPr>
          <w:rFonts w:cs="Arial"/>
        </w:rPr>
        <w:t xml:space="preserve"> </w:t>
      </w:r>
      <w:r>
        <w:rPr>
          <w:rFonts w:cs="Arial"/>
        </w:rPr>
        <w:t xml:space="preserve"> </w:t>
      </w:r>
    </w:p>
    <w:p w14:paraId="20072BF8" w14:textId="7BF36995" w:rsidR="00C72501" w:rsidRDefault="00807313" w:rsidP="00C72501">
      <w:pPr>
        <w:rPr>
          <w:rFonts w:cs="Arial"/>
        </w:rPr>
      </w:pPr>
      <w:r>
        <w:rPr>
          <w:rFonts w:cs="Arial"/>
        </w:rPr>
        <w:t>Several</w:t>
      </w:r>
      <w:r w:rsidR="00C72501">
        <w:rPr>
          <w:rFonts w:cs="Arial"/>
        </w:rPr>
        <w:t xml:space="preserve"> countries have </w:t>
      </w:r>
      <w:r w:rsidR="004F2EB1">
        <w:rPr>
          <w:rFonts w:cs="Arial"/>
        </w:rPr>
        <w:t>allocated or</w:t>
      </w:r>
      <w:r w:rsidR="00C72501">
        <w:rPr>
          <w:rFonts w:cs="Arial"/>
        </w:rPr>
        <w:t xml:space="preserve"> are in the process of examining options for the use of all or part of the 3700–4200 MHz band for WBB services. Most, including European and Middle Eastern countries, are focussing on the 3</w:t>
      </w:r>
      <w:r w:rsidR="008D52F6">
        <w:rPr>
          <w:rFonts w:cs="Arial"/>
        </w:rPr>
        <w:t>4</w:t>
      </w:r>
      <w:r w:rsidR="00C72501">
        <w:rPr>
          <w:rFonts w:cs="Arial"/>
        </w:rPr>
        <w:t>00–3800 MHz</w:t>
      </w:r>
      <w:r w:rsidR="008D52F6">
        <w:rPr>
          <w:rFonts w:cs="Arial"/>
        </w:rPr>
        <w:t xml:space="preserve"> frequency range for initial 5G deployments</w:t>
      </w:r>
      <w:r w:rsidR="00C72501">
        <w:rPr>
          <w:rFonts w:cs="Arial"/>
        </w:rPr>
        <w:t xml:space="preserve">. However, Japan recently </w:t>
      </w:r>
      <w:r w:rsidR="00C72501" w:rsidRPr="00FD420D">
        <w:rPr>
          <w:rFonts w:cs="Arial"/>
        </w:rPr>
        <w:t>awarded spectrum in the 3600</w:t>
      </w:r>
      <w:r w:rsidR="00C72501">
        <w:rPr>
          <w:rFonts w:cs="Arial"/>
        </w:rPr>
        <w:t>–</w:t>
      </w:r>
      <w:r w:rsidR="00C72501" w:rsidRPr="00FD420D">
        <w:rPr>
          <w:rFonts w:cs="Arial"/>
        </w:rPr>
        <w:t>4100</w:t>
      </w:r>
      <w:r w:rsidR="00C72501">
        <w:rPr>
          <w:rFonts w:cs="Arial"/>
        </w:rPr>
        <w:t> </w:t>
      </w:r>
      <w:r w:rsidR="00C72501" w:rsidRPr="00FD420D">
        <w:rPr>
          <w:rFonts w:cs="Arial"/>
        </w:rPr>
        <w:t xml:space="preserve">MHz band </w:t>
      </w:r>
      <w:r w:rsidR="008D52F6">
        <w:rPr>
          <w:rFonts w:cs="Arial"/>
        </w:rPr>
        <w:t>and United Kingdom announced arrangements for shared access in the 3800</w:t>
      </w:r>
      <w:r w:rsidR="00852F42">
        <w:rPr>
          <w:rFonts w:cs="Arial"/>
        </w:rPr>
        <w:t>–</w:t>
      </w:r>
      <w:r w:rsidR="008D52F6">
        <w:rPr>
          <w:rFonts w:cs="Arial"/>
        </w:rPr>
        <w:t xml:space="preserve">4200 MHz band. </w:t>
      </w:r>
      <w:r w:rsidR="00C72501">
        <w:rPr>
          <w:rFonts w:cs="Arial"/>
        </w:rPr>
        <w:t xml:space="preserve">Canada and the United States of America are </w:t>
      </w:r>
      <w:r w:rsidR="008D52F6">
        <w:rPr>
          <w:rFonts w:cs="Arial"/>
        </w:rPr>
        <w:t xml:space="preserve">also </w:t>
      </w:r>
      <w:r w:rsidR="00C72501">
        <w:rPr>
          <w:rFonts w:cs="Arial"/>
        </w:rPr>
        <w:t xml:space="preserve">looking at options to make all or part of the band available for </w:t>
      </w:r>
      <w:r w:rsidR="008D52F6">
        <w:rPr>
          <w:rFonts w:cs="Arial"/>
        </w:rPr>
        <w:t>WBB</w:t>
      </w:r>
      <w:r w:rsidR="00C72501">
        <w:rPr>
          <w:rFonts w:cs="Arial"/>
        </w:rPr>
        <w:t xml:space="preserve">. This includes options for shared access with incumbent services. </w:t>
      </w:r>
    </w:p>
    <w:p w14:paraId="4E2E84F6" w14:textId="442679B5" w:rsidR="00C72501" w:rsidRDefault="00C72501" w:rsidP="00C72501">
      <w:pPr>
        <w:rPr>
          <w:rFonts w:cs="Arial"/>
        </w:rPr>
      </w:pPr>
      <w:r>
        <w:rPr>
          <w:rFonts w:cs="Arial"/>
        </w:rPr>
        <w:t xml:space="preserve">In Australia, these international developments have increased interest from several competing services, including incumbent and WBB services, for access to the band. </w:t>
      </w:r>
      <w:r w:rsidR="008A608B">
        <w:rPr>
          <w:rFonts w:cs="Arial"/>
        </w:rPr>
        <w:t xml:space="preserve">In contrast, elements of the satellite community have clearly articulated their concerns </w:t>
      </w:r>
      <w:r w:rsidR="007F242A">
        <w:rPr>
          <w:rFonts w:cs="Arial"/>
        </w:rPr>
        <w:t xml:space="preserve">about </w:t>
      </w:r>
      <w:r w:rsidR="008D52F6">
        <w:rPr>
          <w:rFonts w:cs="Arial"/>
        </w:rPr>
        <w:t>any</w:t>
      </w:r>
      <w:r w:rsidR="0058565E">
        <w:rPr>
          <w:rFonts w:cs="Arial"/>
        </w:rPr>
        <w:t xml:space="preserve"> possible changes </w:t>
      </w:r>
      <w:r w:rsidR="007F242A">
        <w:rPr>
          <w:rFonts w:cs="Arial"/>
        </w:rPr>
        <w:t xml:space="preserve">that would impact </w:t>
      </w:r>
      <w:r w:rsidR="0058565E">
        <w:rPr>
          <w:rFonts w:cs="Arial"/>
        </w:rPr>
        <w:t>C</w:t>
      </w:r>
      <w:r w:rsidR="00852F42">
        <w:rPr>
          <w:rFonts w:cs="Arial"/>
        </w:rPr>
        <w:t>-</w:t>
      </w:r>
      <w:r w:rsidR="0058565E">
        <w:rPr>
          <w:rFonts w:cs="Arial"/>
        </w:rPr>
        <w:t xml:space="preserve">band satellite services.  </w:t>
      </w:r>
    </w:p>
    <w:p w14:paraId="16203E16" w14:textId="1668A311" w:rsidR="0058565E" w:rsidRDefault="0058565E" w:rsidP="0058565E">
      <w:pPr>
        <w:rPr>
          <w:rFonts w:cs="Arial"/>
        </w:rPr>
      </w:pPr>
      <w:r>
        <w:t>The ACMA is alert to the needs of existing FSS and point-to-point uses of the band, as well as the potential for both wide</w:t>
      </w:r>
      <w:r w:rsidR="00852F42">
        <w:t>-</w:t>
      </w:r>
      <w:r>
        <w:t>area and site</w:t>
      </w:r>
      <w:r w:rsidR="00852F42">
        <w:t>-</w:t>
      </w:r>
      <w:r>
        <w:t xml:space="preserve">based (for </w:t>
      </w:r>
      <w:r w:rsidRPr="005E1578">
        <w:t xml:space="preserve">example, </w:t>
      </w:r>
      <w:r w:rsidR="00FD1316">
        <w:t xml:space="preserve">Fixed Wireless Access or </w:t>
      </w:r>
      <w:r>
        <w:t>FWA</w:t>
      </w:r>
      <w:r w:rsidRPr="005E1578">
        <w:t>)</w:t>
      </w:r>
      <w:r>
        <w:t xml:space="preserve"> wireless broadband. </w:t>
      </w:r>
    </w:p>
    <w:p w14:paraId="69AFB039" w14:textId="1E65870E" w:rsidR="00C72501" w:rsidRDefault="00C72501" w:rsidP="00C72501">
      <w:pPr>
        <w:rPr>
          <w:rFonts w:cs="Arial"/>
        </w:rPr>
      </w:pPr>
      <w:r>
        <w:rPr>
          <w:rFonts w:cs="Arial"/>
        </w:rPr>
        <w:t xml:space="preserve">In response to </w:t>
      </w:r>
      <w:r w:rsidR="008D52F6">
        <w:rPr>
          <w:rFonts w:cs="Arial"/>
        </w:rPr>
        <w:t xml:space="preserve">these </w:t>
      </w:r>
      <w:r w:rsidR="007F242A">
        <w:rPr>
          <w:rFonts w:cs="Arial"/>
        </w:rPr>
        <w:t xml:space="preserve">international and domestic </w:t>
      </w:r>
      <w:r w:rsidR="008D52F6">
        <w:rPr>
          <w:rFonts w:cs="Arial"/>
        </w:rPr>
        <w:t>developments</w:t>
      </w:r>
      <w:r>
        <w:rPr>
          <w:rFonts w:cs="Arial"/>
        </w:rPr>
        <w:t xml:space="preserve">, the 3700–4200 MHz band has been moved to </w:t>
      </w:r>
      <w:r w:rsidRPr="00DB315C">
        <w:rPr>
          <w:rFonts w:cs="Arial"/>
        </w:rPr>
        <w:t xml:space="preserve">the </w:t>
      </w:r>
      <w:r w:rsidRPr="00585A42">
        <w:rPr>
          <w:rFonts w:cs="Arial"/>
        </w:rPr>
        <w:t>initial investigation</w:t>
      </w:r>
      <w:r w:rsidRPr="00DB315C">
        <w:rPr>
          <w:rFonts w:cs="Arial"/>
        </w:rPr>
        <w:t xml:space="preserve"> </w:t>
      </w:r>
      <w:r>
        <w:rPr>
          <w:rFonts w:cs="Arial"/>
        </w:rPr>
        <w:t xml:space="preserve">stage of the ACMA’s </w:t>
      </w:r>
      <w:r>
        <w:t xml:space="preserve">work program for major band replanning activities, as outlined in the </w:t>
      </w:r>
      <w:hyperlink r:id="rId24" w:history="1">
        <w:r w:rsidRPr="00585A42">
          <w:rPr>
            <w:rStyle w:val="Hyperlink"/>
            <w:i/>
            <w:iCs/>
          </w:rPr>
          <w:t>Draft five-year spectrum outlook 2019–23</w:t>
        </w:r>
      </w:hyperlink>
      <w:r>
        <w:rPr>
          <w:rFonts w:cs="Arial"/>
        </w:rPr>
        <w:t xml:space="preserve"> (draft FYSO).</w:t>
      </w:r>
      <w:r w:rsidR="0058565E" w:rsidRPr="0058565E">
        <w:t xml:space="preserve"> </w:t>
      </w:r>
      <w:r w:rsidR="0058565E">
        <w:t xml:space="preserve">Considering the whole band </w:t>
      </w:r>
      <w:r w:rsidR="00E137AA">
        <w:t xml:space="preserve">will </w:t>
      </w:r>
      <w:r w:rsidR="0058565E">
        <w:t xml:space="preserve">simultaneously maximise the opportunity for </w:t>
      </w:r>
      <w:r w:rsidR="008D52F6">
        <w:t xml:space="preserve">a </w:t>
      </w:r>
      <w:r w:rsidR="0058565E">
        <w:t>balanced approach that take</w:t>
      </w:r>
      <w:r w:rsidR="008D52F6">
        <w:t>s</w:t>
      </w:r>
      <w:r w:rsidR="0058565E">
        <w:t xml:space="preserve"> appropriate account of all interests</w:t>
      </w:r>
      <w:r w:rsidR="000C72F2">
        <w:t xml:space="preserve">. </w:t>
      </w:r>
      <w:r w:rsidR="008D52F6">
        <w:t>It is intended that u</w:t>
      </w:r>
      <w:r w:rsidR="000C72F2">
        <w:t>ndertaking a review of the band and affirming or otherwise changing domestic planning arrangements will</w:t>
      </w:r>
      <w:r w:rsidR="0058565E">
        <w:t xml:space="preserve"> provide </w:t>
      </w:r>
      <w:r w:rsidR="000C72F2">
        <w:t>increased</w:t>
      </w:r>
      <w:r w:rsidR="0058565E">
        <w:t xml:space="preserve"> certainty for all </w:t>
      </w:r>
      <w:r w:rsidR="000C72F2">
        <w:t>parties</w:t>
      </w:r>
      <w:r w:rsidR="0058565E">
        <w:t>.</w:t>
      </w:r>
    </w:p>
    <w:p w14:paraId="14087944" w14:textId="24EF947E" w:rsidR="00C72501" w:rsidRPr="00B82BED" w:rsidRDefault="00C72501" w:rsidP="00C72501">
      <w:r w:rsidRPr="00BB5629">
        <w:t>This paper</w:t>
      </w:r>
      <w:r>
        <w:t xml:space="preserve"> </w:t>
      </w:r>
      <w:r w:rsidRPr="00BB5629">
        <w:t>identifies current use</w:t>
      </w:r>
      <w:r>
        <w:t>s</w:t>
      </w:r>
      <w:r w:rsidRPr="00BB5629">
        <w:t xml:space="preserve"> </w:t>
      </w:r>
      <w:r>
        <w:t xml:space="preserve">and interests in </w:t>
      </w:r>
      <w:r w:rsidRPr="00BB5629">
        <w:t>the band</w:t>
      </w:r>
      <w:r>
        <w:t>—</w:t>
      </w:r>
      <w:r w:rsidRPr="00BB5629">
        <w:t>domestically</w:t>
      </w:r>
      <w:r>
        <w:t>,</w:t>
      </w:r>
      <w:r w:rsidRPr="00BB5629">
        <w:t xml:space="preserve"> a</w:t>
      </w:r>
      <w:r>
        <w:t>s well as</w:t>
      </w:r>
      <w:r w:rsidRPr="00BB5629">
        <w:t xml:space="preserve"> emerging international trends. </w:t>
      </w:r>
      <w:r>
        <w:t xml:space="preserve">It </w:t>
      </w:r>
      <w:r>
        <w:rPr>
          <w:rFonts w:cs="Arial"/>
        </w:rPr>
        <w:t xml:space="preserve">seeks evidence on a range of issues to better understand the future needs of incumbent and prospective new services in the band. </w:t>
      </w:r>
      <w:r w:rsidRPr="00BB5629">
        <w:t xml:space="preserve">The aim is to </w:t>
      </w:r>
      <w:r>
        <w:t>identify</w:t>
      </w:r>
      <w:r w:rsidRPr="00BB5629">
        <w:t xml:space="preserve"> </w:t>
      </w:r>
      <w:r>
        <w:t>what, if any, changes to arrangements in the band should be considered to ensure its use maximises the overall public benefit into the future.</w:t>
      </w:r>
    </w:p>
    <w:p w14:paraId="2420D12A" w14:textId="77777777" w:rsidR="00C72501" w:rsidRPr="00185D3F" w:rsidRDefault="00C72501" w:rsidP="00585A42">
      <w:pPr>
        <w:spacing w:after="80"/>
        <w:rPr>
          <w:rFonts w:cs="Arial"/>
        </w:rPr>
      </w:pPr>
      <w:bookmarkStart w:id="4" w:name="_Hlk14257908"/>
      <w:r w:rsidRPr="00185D3F">
        <w:rPr>
          <w:rFonts w:cs="Arial"/>
        </w:rPr>
        <w:t xml:space="preserve">To aid discussion, </w:t>
      </w:r>
      <w:proofErr w:type="gramStart"/>
      <w:r w:rsidRPr="00185D3F">
        <w:rPr>
          <w:rFonts w:cs="Arial"/>
        </w:rPr>
        <w:t>a number of</w:t>
      </w:r>
      <w:proofErr w:type="gramEnd"/>
      <w:r w:rsidRPr="00185D3F">
        <w:rPr>
          <w:rFonts w:cs="Arial"/>
        </w:rPr>
        <w:t xml:space="preserve"> possible planning scenarios for the band are presented</w:t>
      </w:r>
      <w:bookmarkEnd w:id="4"/>
      <w:r w:rsidRPr="00185D3F">
        <w:rPr>
          <w:rFonts w:cs="Arial"/>
        </w:rPr>
        <w:t xml:space="preserve">: </w:t>
      </w:r>
    </w:p>
    <w:p w14:paraId="1A04F939" w14:textId="50778E15" w:rsidR="00C72501" w:rsidRPr="00185D3F" w:rsidRDefault="00C72501" w:rsidP="00C72501">
      <w:pPr>
        <w:pStyle w:val="ListBullet"/>
        <w:rPr>
          <w:lang w:eastAsia="en-US" w:bidi="he-IL"/>
        </w:rPr>
      </w:pPr>
      <w:r>
        <w:rPr>
          <w:lang w:eastAsia="en-US" w:bidi="he-IL"/>
        </w:rPr>
        <w:t xml:space="preserve">Provide </w:t>
      </w:r>
      <w:r w:rsidRPr="00185D3F">
        <w:rPr>
          <w:lang w:eastAsia="en-US" w:bidi="he-IL"/>
        </w:rPr>
        <w:t xml:space="preserve">access to the entire band </w:t>
      </w:r>
      <w:r>
        <w:rPr>
          <w:lang w:eastAsia="en-US" w:bidi="he-IL"/>
        </w:rPr>
        <w:t xml:space="preserve">for new services </w:t>
      </w:r>
      <w:r w:rsidRPr="00185D3F">
        <w:rPr>
          <w:lang w:eastAsia="en-US" w:bidi="he-IL"/>
        </w:rPr>
        <w:t>on either an exclusive or shared basis</w:t>
      </w:r>
      <w:r w:rsidR="00227158">
        <w:rPr>
          <w:lang w:eastAsia="en-US" w:bidi="he-IL"/>
        </w:rPr>
        <w:t>.</w:t>
      </w:r>
    </w:p>
    <w:p w14:paraId="4BD9C5B1" w14:textId="15929BEA" w:rsidR="00C72501" w:rsidRPr="00185D3F" w:rsidRDefault="00C72501" w:rsidP="00C72501">
      <w:pPr>
        <w:pStyle w:val="ListBullet"/>
        <w:rPr>
          <w:lang w:eastAsia="en-US" w:bidi="he-IL"/>
        </w:rPr>
      </w:pPr>
      <w:r>
        <w:rPr>
          <w:lang w:eastAsia="en-US" w:bidi="he-IL"/>
        </w:rPr>
        <w:lastRenderedPageBreak/>
        <w:t xml:space="preserve">Provide </w:t>
      </w:r>
      <w:r>
        <w:t>access to one or more segments of the band for new services on either an exclusive or shared basis. Maintain existing arrangements for incumbent services in the rest of the band</w:t>
      </w:r>
      <w:r w:rsidR="00227158">
        <w:t>.</w:t>
      </w:r>
    </w:p>
    <w:p w14:paraId="7C81E3CD" w14:textId="34742325" w:rsidR="00C72501" w:rsidRPr="00185D3F" w:rsidRDefault="00C72501" w:rsidP="00C72501">
      <w:pPr>
        <w:pStyle w:val="ListBullet"/>
        <w:rPr>
          <w:lang w:eastAsia="en-US" w:bidi="he-IL"/>
        </w:rPr>
      </w:pPr>
      <w:r>
        <w:rPr>
          <w:lang w:eastAsia="en-US" w:bidi="he-IL"/>
        </w:rPr>
        <w:t xml:space="preserve">Provide </w:t>
      </w:r>
      <w:r>
        <w:t>access to one segment of the band</w:t>
      </w:r>
      <w:r w:rsidRPr="00ED69C0">
        <w:t xml:space="preserve"> </w:t>
      </w:r>
      <w:r>
        <w:t>on an exclusive basis to new services. Provide access for new services to another segment of the band on a shared basis. Maintain existing arrangements for incumbent services in the rest of the band</w:t>
      </w:r>
      <w:r w:rsidR="00227158">
        <w:t>.</w:t>
      </w:r>
    </w:p>
    <w:p w14:paraId="1E0D1AC6" w14:textId="16207619" w:rsidR="00C72501" w:rsidRPr="003E0085" w:rsidRDefault="00C72501" w:rsidP="00C72501">
      <w:pPr>
        <w:pStyle w:val="ListBulletLast"/>
      </w:pPr>
      <w:r>
        <w:rPr>
          <w:lang w:eastAsia="en-US" w:bidi="he-IL"/>
        </w:rPr>
        <w:t>M</w:t>
      </w:r>
      <w:r w:rsidRPr="003E0085">
        <w:rPr>
          <w:lang w:eastAsia="en-US" w:bidi="he-IL"/>
        </w:rPr>
        <w:t>aintain existing arrangements.</w:t>
      </w:r>
    </w:p>
    <w:bookmarkEnd w:id="2"/>
    <w:p w14:paraId="77C8D599" w14:textId="77777777" w:rsidR="00C72501" w:rsidRDefault="00C72501" w:rsidP="00585A42">
      <w:pPr>
        <w:spacing w:after="80"/>
        <w:rPr>
          <w:rFonts w:cs="Arial"/>
        </w:rPr>
      </w:pPr>
      <w:r>
        <w:rPr>
          <w:rFonts w:cs="Arial"/>
        </w:rPr>
        <w:t>While the ACMA has yet to form any views on preferred long-term arrangements, these scenarios provide a means for examination of the follow issues:</w:t>
      </w:r>
    </w:p>
    <w:p w14:paraId="6EB74D35" w14:textId="77777777" w:rsidR="00C72501" w:rsidRPr="007D0E2E" w:rsidRDefault="00C72501" w:rsidP="00C72501">
      <w:pPr>
        <w:pStyle w:val="ListBullet"/>
      </w:pPr>
      <w:r w:rsidRPr="007D0E2E">
        <w:t>What services/applications should be accommodated in the band?</w:t>
      </w:r>
    </w:p>
    <w:p w14:paraId="0919E990" w14:textId="77777777" w:rsidR="00C72501" w:rsidRPr="007D0E2E" w:rsidRDefault="00C72501" w:rsidP="00C72501">
      <w:pPr>
        <w:pStyle w:val="ListBullet"/>
      </w:pPr>
      <w:r w:rsidRPr="007D0E2E">
        <w:t xml:space="preserve">Which frequencies </w:t>
      </w:r>
      <w:r>
        <w:t xml:space="preserve">ranges </w:t>
      </w:r>
      <w:r w:rsidRPr="007D0E2E">
        <w:t xml:space="preserve">should be </w:t>
      </w:r>
      <w:r>
        <w:t>made available</w:t>
      </w:r>
      <w:r w:rsidRPr="007D0E2E">
        <w:t xml:space="preserve"> for these services/applications?</w:t>
      </w:r>
    </w:p>
    <w:p w14:paraId="4221DDCE" w14:textId="77777777" w:rsidR="00C72501" w:rsidRPr="007D0E2E" w:rsidRDefault="00C72501" w:rsidP="00C72501">
      <w:pPr>
        <w:pStyle w:val="ListBullet"/>
      </w:pPr>
      <w:r>
        <w:t>Which</w:t>
      </w:r>
      <w:r w:rsidRPr="007D0E2E">
        <w:t xml:space="preserve"> geographic areas should </w:t>
      </w:r>
      <w:r>
        <w:t>be made available for</w:t>
      </w:r>
      <w:r w:rsidRPr="007D0E2E">
        <w:t xml:space="preserve"> these services/applications?</w:t>
      </w:r>
    </w:p>
    <w:p w14:paraId="2846ECEC" w14:textId="77777777" w:rsidR="00C72501" w:rsidRDefault="00C72501" w:rsidP="00C72501">
      <w:pPr>
        <w:pStyle w:val="ListBullet"/>
      </w:pPr>
      <w:r w:rsidRPr="007D0E2E">
        <w:t xml:space="preserve">On what basis should access be provided? </w:t>
      </w:r>
      <w:r>
        <w:t>Should</w:t>
      </w:r>
      <w:r w:rsidRPr="007D0E2E">
        <w:t xml:space="preserve"> access be granted on an exclusive or shared basis, </w:t>
      </w:r>
      <w:r>
        <w:t xml:space="preserve">on a </w:t>
      </w:r>
      <w:r w:rsidRPr="007D0E2E">
        <w:t>coordinated or uncoordinated</w:t>
      </w:r>
      <w:r>
        <w:t xml:space="preserve"> basis</w:t>
      </w:r>
      <w:r w:rsidRPr="007D0E2E">
        <w:t xml:space="preserve">? </w:t>
      </w:r>
    </w:p>
    <w:p w14:paraId="43FBDF58" w14:textId="77777777" w:rsidR="00C72501" w:rsidRPr="007D0E2E" w:rsidRDefault="00C72501" w:rsidP="00C72501">
      <w:pPr>
        <w:pStyle w:val="ListBulletLast"/>
      </w:pPr>
      <w:r>
        <w:t xml:space="preserve">What licensing mechanisms are appropriate? </w:t>
      </w:r>
    </w:p>
    <w:p w14:paraId="30B402FE" w14:textId="7C96EBD3" w:rsidR="00C72501" w:rsidRDefault="00C72501" w:rsidP="00C72501">
      <w:pPr>
        <w:rPr>
          <w:rFonts w:cs="Arial"/>
        </w:rPr>
      </w:pPr>
      <w:r>
        <w:rPr>
          <w:rFonts w:cs="Arial"/>
        </w:rPr>
        <w:t>The paper also examines compatibility issues with adjacent band services, as well as the potential benefits of aligning arrangements in all or part of the 3700–4200 MHz band with the lower adjacent 3.6 GHz band.</w:t>
      </w:r>
    </w:p>
    <w:p w14:paraId="2DCBC12F" w14:textId="2CDA033B" w:rsidR="004955A4" w:rsidRDefault="004955A4" w:rsidP="00C72501">
      <w:pPr>
        <w:rPr>
          <w:rFonts w:cs="Arial"/>
        </w:rPr>
      </w:pPr>
      <w:r>
        <w:rPr>
          <w:rFonts w:cs="Arial"/>
        </w:rPr>
        <w:t xml:space="preserve">It is important to note that while this paper includes substantial discussion on possible wireless broadband use of the band, this does not indicate a predisposition on behalf of the ACMA regarding possible changes to the band. </w:t>
      </w:r>
      <w:r w:rsidR="007F242A">
        <w:rPr>
          <w:rFonts w:cs="Arial"/>
        </w:rPr>
        <w:t>Rather</w:t>
      </w:r>
      <w:r w:rsidR="00E137AA">
        <w:rPr>
          <w:rFonts w:cs="Arial"/>
        </w:rPr>
        <w:t>,</w:t>
      </w:r>
      <w:r w:rsidR="007F242A">
        <w:rPr>
          <w:rFonts w:cs="Arial"/>
        </w:rPr>
        <w:t xml:space="preserve"> it reflects </w:t>
      </w:r>
      <w:r w:rsidR="00B145E7">
        <w:rPr>
          <w:rFonts w:cs="Arial"/>
        </w:rPr>
        <w:t>the current international and national focus o</w:t>
      </w:r>
      <w:r w:rsidR="007F242A">
        <w:rPr>
          <w:rFonts w:cs="Arial"/>
        </w:rPr>
        <w:t xml:space="preserve">f WBB as one of </w:t>
      </w:r>
      <w:proofErr w:type="gramStart"/>
      <w:r w:rsidR="007F242A">
        <w:rPr>
          <w:rFonts w:cs="Arial"/>
        </w:rPr>
        <w:t>a number of</w:t>
      </w:r>
      <w:proofErr w:type="gramEnd"/>
      <w:r w:rsidR="007F242A">
        <w:rPr>
          <w:rFonts w:cs="Arial"/>
        </w:rPr>
        <w:t xml:space="preserve"> possible uses </w:t>
      </w:r>
      <w:r w:rsidR="00B145E7">
        <w:rPr>
          <w:rFonts w:cs="Arial"/>
        </w:rPr>
        <w:t xml:space="preserve">of the band. The ACMA therefore considers it important to gain as much information as possible on this potential use of the band as </w:t>
      </w:r>
      <w:r w:rsidR="00E15F01">
        <w:rPr>
          <w:rFonts w:cs="Arial"/>
        </w:rPr>
        <w:t>an addition</w:t>
      </w:r>
      <w:r w:rsidR="00B145E7">
        <w:rPr>
          <w:rFonts w:cs="Arial"/>
        </w:rPr>
        <w:t xml:space="preserve"> to further information on existing supported uses.</w:t>
      </w:r>
    </w:p>
    <w:p w14:paraId="04E3A3D1" w14:textId="44E2044C" w:rsidR="00C72501" w:rsidRPr="00CD7204" w:rsidRDefault="00C72501" w:rsidP="00C72501">
      <w:pPr>
        <w:rPr>
          <w:rFonts w:cs="Arial"/>
          <w:highlight w:val="yellow"/>
        </w:rPr>
      </w:pPr>
      <w:r>
        <w:rPr>
          <w:rFonts w:cs="Arial"/>
        </w:rPr>
        <w:t xml:space="preserve">Submissions in response to this discussion paper will help the ACMA assess whether there is a case for further consideration of arrangements in the 3700–4200 MHz band, including </w:t>
      </w:r>
      <w:proofErr w:type="gramStart"/>
      <w:r>
        <w:rPr>
          <w:rFonts w:cs="Arial"/>
        </w:rPr>
        <w:t>whether or not</w:t>
      </w:r>
      <w:proofErr w:type="gramEnd"/>
      <w:r>
        <w:rPr>
          <w:rFonts w:cs="Arial"/>
        </w:rPr>
        <w:t xml:space="preserve"> to progress the band to the </w:t>
      </w:r>
      <w:r w:rsidRPr="00585A42">
        <w:rPr>
          <w:rFonts w:cs="Arial"/>
        </w:rPr>
        <w:t>preliminary replanning</w:t>
      </w:r>
      <w:r>
        <w:rPr>
          <w:rFonts w:cs="Arial"/>
        </w:rPr>
        <w:t xml:space="preserve"> stage of the ACMA replanning process. If progressed, there will be an additional public consultation that will canvas detailed planning options for the band before any regulatory decisions are made.</w:t>
      </w:r>
    </w:p>
    <w:p w14:paraId="4992ADA5" w14:textId="58C25D21" w:rsidR="00FF3C69" w:rsidRDefault="00C72501" w:rsidP="00C72501">
      <w:pPr>
        <w:pStyle w:val="Heading1"/>
      </w:pPr>
      <w:bookmarkStart w:id="5" w:name="_Toc16064477"/>
      <w:bookmarkEnd w:id="3"/>
      <w:r>
        <w:lastRenderedPageBreak/>
        <w:t>Issues for comment</w:t>
      </w:r>
      <w:bookmarkEnd w:id="5"/>
    </w:p>
    <w:p w14:paraId="07A2AA33" w14:textId="77777777" w:rsidR="00C72501" w:rsidRPr="00190673" w:rsidRDefault="00C72501" w:rsidP="00C72501">
      <w:pPr>
        <w:spacing w:after="80"/>
        <w:rPr>
          <w:rFonts w:cs="Arial"/>
        </w:rPr>
      </w:pPr>
      <w:bookmarkStart w:id="6" w:name="_Hlk14760438"/>
      <w:r w:rsidRPr="00190673">
        <w:rPr>
          <w:rFonts w:cs="Arial"/>
        </w:rPr>
        <w:t>The ACMA invites comments on the issues set out in this discussion paper:</w:t>
      </w:r>
    </w:p>
    <w:bookmarkStart w:id="7" w:name="_Ref10195278"/>
    <w:p w14:paraId="26FD3A81" w14:textId="77777777" w:rsidR="007C4626" w:rsidRDefault="00C72501" w:rsidP="009F29DF">
      <w:pPr>
        <w:pStyle w:val="TOC4"/>
        <w:ind w:left="284" w:hanging="284"/>
        <w:rPr>
          <w:rFonts w:asciiTheme="minorHAnsi" w:eastAsiaTheme="minorEastAsia" w:hAnsiTheme="minorHAnsi" w:cstheme="minorBidi"/>
          <w:noProof/>
          <w:sz w:val="22"/>
          <w:szCs w:val="22"/>
        </w:rPr>
      </w:pPr>
      <w:r>
        <w:fldChar w:fldCharType="begin"/>
      </w:r>
      <w:r>
        <w:instrText xml:space="preserve"> TOC \n \h \z \t "question style,4" </w:instrText>
      </w:r>
      <w:r>
        <w:fldChar w:fldCharType="separate"/>
      </w:r>
      <w:hyperlink w:anchor="_Toc15973839" w:history="1">
        <w:r w:rsidR="007C4626" w:rsidRPr="007C4626">
          <w:rPr>
            <w:rStyle w:val="Hyperlink"/>
            <w:noProof/>
          </w:rPr>
          <w:t>1.</w:t>
        </w:r>
        <w:r w:rsidR="007C4626" w:rsidRPr="007C4626">
          <w:rPr>
            <w:rFonts w:asciiTheme="minorHAnsi" w:eastAsiaTheme="minorEastAsia" w:hAnsiTheme="minorHAnsi" w:cstheme="minorBidi"/>
            <w:noProof/>
            <w:sz w:val="22"/>
            <w:szCs w:val="22"/>
          </w:rPr>
          <w:tab/>
        </w:r>
        <w:r w:rsidR="007C4626" w:rsidRPr="007C4626">
          <w:rPr>
            <w:rStyle w:val="Hyperlink"/>
            <w:noProof/>
          </w:rPr>
          <w:t>Are there any other international developments in the 3700</w:t>
        </w:r>
        <w:r w:rsidR="007C4626" w:rsidRPr="0059006D">
          <w:rPr>
            <w:rStyle w:val="Hyperlink"/>
            <w:noProof/>
          </w:rPr>
          <w:t>–</w:t>
        </w:r>
        <w:r w:rsidR="007C4626" w:rsidRPr="007C4626">
          <w:rPr>
            <w:rStyle w:val="Hyperlink"/>
            <w:noProof/>
          </w:rPr>
          <w:t>4200 MHz band that the ACMA should be aware of?</w:t>
        </w:r>
      </w:hyperlink>
    </w:p>
    <w:p w14:paraId="5BBA1C49" w14:textId="21CBAFD0" w:rsidR="007C4626" w:rsidRDefault="005F3F45" w:rsidP="009F29DF">
      <w:pPr>
        <w:pStyle w:val="TOC4"/>
        <w:ind w:left="284" w:hanging="284"/>
        <w:rPr>
          <w:rFonts w:asciiTheme="minorHAnsi" w:eastAsiaTheme="minorEastAsia" w:hAnsiTheme="minorHAnsi" w:cstheme="minorBidi"/>
          <w:noProof/>
          <w:sz w:val="22"/>
          <w:szCs w:val="22"/>
        </w:rPr>
      </w:pPr>
      <w:hyperlink w:anchor="_Toc15973840" w:history="1">
        <w:r w:rsidR="007C4626" w:rsidRPr="00895C6C">
          <w:rPr>
            <w:rStyle w:val="Hyperlink"/>
            <w:rFonts w:cstheme="minorHAnsi"/>
            <w:noProof/>
          </w:rPr>
          <w:t>2.</w:t>
        </w:r>
        <w:r w:rsidR="007C4626">
          <w:rPr>
            <w:rFonts w:asciiTheme="minorHAnsi" w:eastAsiaTheme="minorEastAsia" w:hAnsiTheme="minorHAnsi" w:cstheme="minorBidi"/>
            <w:noProof/>
            <w:sz w:val="22"/>
            <w:szCs w:val="22"/>
          </w:rPr>
          <w:tab/>
        </w:r>
        <w:r w:rsidR="007C4626" w:rsidRPr="00895C6C">
          <w:rPr>
            <w:rStyle w:val="Hyperlink"/>
            <w:rFonts w:cstheme="minorHAnsi"/>
            <w:noProof/>
          </w:rPr>
          <w:t>What are the future requirements of point-to-point links and FSS earth stations in the 3700–4200 MHz band? Does this differ by geographical area and/or segment of the band?</w:t>
        </w:r>
      </w:hyperlink>
    </w:p>
    <w:p w14:paraId="0DDC09EB"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1" w:history="1">
        <w:r w:rsidR="007C4626" w:rsidRPr="00895C6C">
          <w:rPr>
            <w:rStyle w:val="Hyperlink"/>
            <w:rFonts w:cstheme="minorHAnsi"/>
            <w:noProof/>
          </w:rPr>
          <w:t>3.</w:t>
        </w:r>
        <w:r w:rsidR="007C4626">
          <w:rPr>
            <w:rFonts w:asciiTheme="minorHAnsi" w:eastAsiaTheme="minorEastAsia" w:hAnsiTheme="minorHAnsi" w:cstheme="minorBidi"/>
            <w:noProof/>
            <w:sz w:val="22"/>
            <w:szCs w:val="22"/>
          </w:rPr>
          <w:tab/>
        </w:r>
        <w:r w:rsidR="007C4626" w:rsidRPr="00895C6C">
          <w:rPr>
            <w:rStyle w:val="Hyperlink"/>
            <w:rFonts w:cstheme="minorHAnsi"/>
            <w:noProof/>
          </w:rPr>
          <w:t>If licensed point-to-point links and FSS earth stations are affected by replanning activities in the 3700–4200 MHz band, what alternative deployment options could be considered?</w:t>
        </w:r>
      </w:hyperlink>
    </w:p>
    <w:p w14:paraId="4D753757"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2" w:history="1">
        <w:r w:rsidR="007C4626" w:rsidRPr="00895C6C">
          <w:rPr>
            <w:rStyle w:val="Hyperlink"/>
            <w:noProof/>
          </w:rPr>
          <w:t>4.</w:t>
        </w:r>
        <w:r w:rsidR="007C4626">
          <w:rPr>
            <w:rFonts w:asciiTheme="minorHAnsi" w:eastAsiaTheme="minorEastAsia" w:hAnsiTheme="minorHAnsi" w:cstheme="minorBidi"/>
            <w:noProof/>
            <w:sz w:val="22"/>
            <w:szCs w:val="22"/>
          </w:rPr>
          <w:tab/>
        </w:r>
        <w:r w:rsidR="007C4626" w:rsidRPr="00895C6C">
          <w:rPr>
            <w:rStyle w:val="Hyperlink"/>
            <w:noProof/>
          </w:rPr>
          <w:t>In the event arrangements are made for new services in the 3700–4200 MHz band, do stakeholders have any comments on the ACMA’s proposal to maintain the existing arrangements for Radiodetermination and LIPD devices, and the existing policy around TVRO systems?</w:t>
        </w:r>
      </w:hyperlink>
    </w:p>
    <w:p w14:paraId="24D8DC93"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3" w:history="1">
        <w:r w:rsidR="007C4626" w:rsidRPr="00895C6C">
          <w:rPr>
            <w:rStyle w:val="Hyperlink"/>
            <w:noProof/>
          </w:rPr>
          <w:t>5.</w:t>
        </w:r>
        <w:r w:rsidR="007C4626">
          <w:rPr>
            <w:rFonts w:asciiTheme="minorHAnsi" w:eastAsiaTheme="minorEastAsia" w:hAnsiTheme="minorHAnsi" w:cstheme="minorBidi"/>
            <w:noProof/>
            <w:sz w:val="22"/>
            <w:szCs w:val="22"/>
          </w:rPr>
          <w:tab/>
        </w:r>
        <w:r w:rsidR="007C4626" w:rsidRPr="00895C6C">
          <w:rPr>
            <w:rStyle w:val="Hyperlink"/>
            <w:noProof/>
          </w:rPr>
          <w:t>What are the future requirements for WBB services in the 3700–4200 MHz band and what arrangements should be considered? Does this differ by geographical area and/or segment of the band?</w:t>
        </w:r>
      </w:hyperlink>
    </w:p>
    <w:p w14:paraId="2E92B052"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4" w:history="1">
        <w:r w:rsidR="007C4626" w:rsidRPr="00895C6C">
          <w:rPr>
            <w:rStyle w:val="Hyperlink"/>
            <w:noProof/>
          </w:rPr>
          <w:t>6.</w:t>
        </w:r>
        <w:r w:rsidR="007C4626">
          <w:rPr>
            <w:rFonts w:asciiTheme="minorHAnsi" w:eastAsiaTheme="minorEastAsia" w:hAnsiTheme="minorHAnsi" w:cstheme="minorBidi"/>
            <w:noProof/>
            <w:sz w:val="22"/>
            <w:szCs w:val="22"/>
          </w:rPr>
          <w:tab/>
        </w:r>
        <w:r w:rsidR="007C4626" w:rsidRPr="00895C6C">
          <w:rPr>
            <w:rStyle w:val="Hyperlink"/>
            <w:noProof/>
          </w:rPr>
          <w:t>What WBB deployment scenarios should be considered for the 3700–4200 MHz band? Should use be limited to one scenario or should more flexible arrangements be implemented?</w:t>
        </w:r>
      </w:hyperlink>
    </w:p>
    <w:p w14:paraId="4C83071D"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5" w:history="1">
        <w:r w:rsidR="007C4626" w:rsidRPr="00895C6C">
          <w:rPr>
            <w:rStyle w:val="Hyperlink"/>
            <w:noProof/>
          </w:rPr>
          <w:t>7.</w:t>
        </w:r>
        <w:r w:rsidR="007C4626">
          <w:rPr>
            <w:rFonts w:asciiTheme="minorHAnsi" w:eastAsiaTheme="minorEastAsia" w:hAnsiTheme="minorHAnsi" w:cstheme="minorBidi"/>
            <w:noProof/>
            <w:sz w:val="22"/>
            <w:szCs w:val="22"/>
          </w:rPr>
          <w:tab/>
        </w:r>
        <w:r w:rsidR="007C4626" w:rsidRPr="00895C6C">
          <w:rPr>
            <w:rStyle w:val="Hyperlink"/>
            <w:noProof/>
          </w:rPr>
          <w:t>What is the current and planned availability of fixed and mobile WBB equipment in the 3700–4200 MHz band?</w:t>
        </w:r>
      </w:hyperlink>
    </w:p>
    <w:p w14:paraId="59B4CEC2"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6" w:history="1">
        <w:r w:rsidR="007C4626" w:rsidRPr="00895C6C">
          <w:rPr>
            <w:rStyle w:val="Hyperlink"/>
            <w:noProof/>
          </w:rPr>
          <w:t>8.</w:t>
        </w:r>
        <w:r w:rsidR="007C4626">
          <w:rPr>
            <w:rFonts w:asciiTheme="minorHAnsi" w:eastAsiaTheme="minorEastAsia" w:hAnsiTheme="minorHAnsi" w:cstheme="minorBidi"/>
            <w:noProof/>
            <w:sz w:val="22"/>
            <w:szCs w:val="22"/>
          </w:rPr>
          <w:tab/>
        </w:r>
        <w:r w:rsidR="007C4626" w:rsidRPr="00895C6C">
          <w:rPr>
            <w:rStyle w:val="Hyperlink"/>
            <w:noProof/>
          </w:rPr>
          <w:t>Is there interest in the use of other new service types in the 3700–4200 MHz band?</w:t>
        </w:r>
      </w:hyperlink>
    </w:p>
    <w:p w14:paraId="086CBF8C"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7" w:history="1">
        <w:r w:rsidR="007C4626" w:rsidRPr="00895C6C">
          <w:rPr>
            <w:rStyle w:val="Hyperlink"/>
            <w:noProof/>
          </w:rPr>
          <w:t>9.</w:t>
        </w:r>
        <w:r w:rsidR="007C4626">
          <w:rPr>
            <w:rFonts w:asciiTheme="minorHAnsi" w:eastAsiaTheme="minorEastAsia" w:hAnsiTheme="minorHAnsi" w:cstheme="minorBidi"/>
            <w:noProof/>
            <w:sz w:val="22"/>
            <w:szCs w:val="22"/>
          </w:rPr>
          <w:tab/>
        </w:r>
        <w:r w:rsidR="007C4626" w:rsidRPr="00895C6C">
          <w:rPr>
            <w:rStyle w:val="Hyperlink"/>
            <w:noProof/>
          </w:rPr>
          <w:t>What services/applications should be accommodated in the 3700–4200 MHz band?</w:t>
        </w:r>
      </w:hyperlink>
    </w:p>
    <w:p w14:paraId="4EFD13E2"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8" w:history="1">
        <w:r w:rsidR="007C4626" w:rsidRPr="00895C6C">
          <w:rPr>
            <w:rStyle w:val="Hyperlink"/>
            <w:noProof/>
          </w:rPr>
          <w:t>10.</w:t>
        </w:r>
        <w:r w:rsidR="007C4626">
          <w:rPr>
            <w:rFonts w:asciiTheme="minorHAnsi" w:eastAsiaTheme="minorEastAsia" w:hAnsiTheme="minorHAnsi" w:cstheme="minorBidi"/>
            <w:noProof/>
            <w:sz w:val="22"/>
            <w:szCs w:val="22"/>
          </w:rPr>
          <w:tab/>
        </w:r>
        <w:r w:rsidR="007C4626" w:rsidRPr="00895C6C">
          <w:rPr>
            <w:rStyle w:val="Hyperlink"/>
            <w:noProof/>
          </w:rPr>
          <w:t>Which frequencies ranges should be made available for these services/applications?</w:t>
        </w:r>
      </w:hyperlink>
    </w:p>
    <w:p w14:paraId="5DF09D84"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49" w:history="1">
        <w:r w:rsidR="007C4626" w:rsidRPr="00895C6C">
          <w:rPr>
            <w:rStyle w:val="Hyperlink"/>
            <w:noProof/>
          </w:rPr>
          <w:t>11.</w:t>
        </w:r>
        <w:r w:rsidR="007C4626">
          <w:rPr>
            <w:rFonts w:asciiTheme="minorHAnsi" w:eastAsiaTheme="minorEastAsia" w:hAnsiTheme="minorHAnsi" w:cstheme="minorBidi"/>
            <w:noProof/>
            <w:sz w:val="22"/>
            <w:szCs w:val="22"/>
          </w:rPr>
          <w:tab/>
        </w:r>
        <w:r w:rsidR="007C4626" w:rsidRPr="00895C6C">
          <w:rPr>
            <w:rStyle w:val="Hyperlink"/>
            <w:noProof/>
          </w:rPr>
          <w:t>Which geographic areas should be made available for these services/applications?</w:t>
        </w:r>
      </w:hyperlink>
    </w:p>
    <w:p w14:paraId="72D7B7AD"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50" w:history="1">
        <w:r w:rsidR="007C4626" w:rsidRPr="00895C6C">
          <w:rPr>
            <w:rStyle w:val="Hyperlink"/>
            <w:noProof/>
          </w:rPr>
          <w:t>12.</w:t>
        </w:r>
        <w:r w:rsidR="007C4626">
          <w:rPr>
            <w:rFonts w:asciiTheme="minorHAnsi" w:eastAsiaTheme="minorEastAsia" w:hAnsiTheme="minorHAnsi" w:cstheme="minorBidi"/>
            <w:noProof/>
            <w:sz w:val="22"/>
            <w:szCs w:val="22"/>
          </w:rPr>
          <w:tab/>
        </w:r>
        <w:r w:rsidR="007C4626" w:rsidRPr="00895C6C">
          <w:rPr>
            <w:rStyle w:val="Hyperlink"/>
            <w:noProof/>
          </w:rPr>
          <w:t>On what basis should access be provided? Should access be granted on an exclusive or shared basis, on a coordinated or uncoordinated basis, et cetera?</w:t>
        </w:r>
      </w:hyperlink>
    </w:p>
    <w:p w14:paraId="58AE692C"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51" w:history="1">
        <w:r w:rsidR="007C4626" w:rsidRPr="00895C6C">
          <w:rPr>
            <w:rStyle w:val="Hyperlink"/>
            <w:noProof/>
          </w:rPr>
          <w:t>13.</w:t>
        </w:r>
        <w:r w:rsidR="007C4626">
          <w:rPr>
            <w:rFonts w:asciiTheme="minorHAnsi" w:eastAsiaTheme="minorEastAsia" w:hAnsiTheme="minorHAnsi" w:cstheme="minorBidi"/>
            <w:noProof/>
            <w:sz w:val="22"/>
            <w:szCs w:val="22"/>
          </w:rPr>
          <w:tab/>
        </w:r>
        <w:r w:rsidR="007C4626" w:rsidRPr="00895C6C">
          <w:rPr>
            <w:rStyle w:val="Hyperlink"/>
            <w:noProof/>
          </w:rPr>
          <w:t>What licensing mechanisms are appropriate (spectrum, apparatus or class licensing)?</w:t>
        </w:r>
      </w:hyperlink>
    </w:p>
    <w:p w14:paraId="3605AA9B"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52" w:history="1">
        <w:r w:rsidR="007C4626" w:rsidRPr="00895C6C">
          <w:rPr>
            <w:rStyle w:val="Hyperlink"/>
            <w:noProof/>
          </w:rPr>
          <w:t>14.</w:t>
        </w:r>
        <w:r w:rsidR="007C4626">
          <w:rPr>
            <w:rFonts w:asciiTheme="minorHAnsi" w:eastAsiaTheme="minorEastAsia" w:hAnsiTheme="minorHAnsi" w:cstheme="minorBidi"/>
            <w:noProof/>
            <w:sz w:val="22"/>
            <w:szCs w:val="22"/>
          </w:rPr>
          <w:tab/>
        </w:r>
        <w:r w:rsidR="007C4626" w:rsidRPr="00895C6C">
          <w:rPr>
            <w:rStyle w:val="Hyperlink"/>
            <w:noProof/>
          </w:rPr>
          <w:t>If arrangements for WBB specifically are implemented in the 3700–4200 MHz band, are the proposed interference management techniques with services in the 3.6 GHz band suitable? Are any other techniques proposed? Are there any other compatibility issues with the 3.6 GHz band the ACMA should consider?</w:t>
        </w:r>
      </w:hyperlink>
    </w:p>
    <w:p w14:paraId="126ECC2F"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53" w:history="1">
        <w:r w:rsidR="007C4626" w:rsidRPr="00895C6C">
          <w:rPr>
            <w:rStyle w:val="Hyperlink"/>
            <w:noProof/>
          </w:rPr>
          <w:t>15.</w:t>
        </w:r>
        <w:r w:rsidR="007C4626">
          <w:rPr>
            <w:rFonts w:asciiTheme="minorHAnsi" w:eastAsiaTheme="minorEastAsia" w:hAnsiTheme="minorHAnsi" w:cstheme="minorBidi"/>
            <w:noProof/>
            <w:sz w:val="22"/>
            <w:szCs w:val="22"/>
          </w:rPr>
          <w:tab/>
        </w:r>
        <w:r w:rsidR="007C4626" w:rsidRPr="00895C6C">
          <w:rPr>
            <w:rStyle w:val="Hyperlink"/>
            <w:noProof/>
          </w:rPr>
          <w:t>Should the ACMA consider extending existing apparatus and spectrum licence arrangements in the 3.6 GHz band into the 3700–3800 MHz band or another segment of the 3700–4200 MHz band?</w:t>
        </w:r>
      </w:hyperlink>
    </w:p>
    <w:p w14:paraId="3F9BF2AD" w14:textId="77777777" w:rsidR="007C4626" w:rsidRDefault="005F3F45" w:rsidP="009F29DF">
      <w:pPr>
        <w:pStyle w:val="TOC4"/>
        <w:ind w:left="284" w:hanging="284"/>
        <w:rPr>
          <w:rFonts w:asciiTheme="minorHAnsi" w:eastAsiaTheme="minorEastAsia" w:hAnsiTheme="minorHAnsi" w:cstheme="minorBidi"/>
          <w:noProof/>
          <w:sz w:val="22"/>
          <w:szCs w:val="22"/>
        </w:rPr>
      </w:pPr>
      <w:hyperlink w:anchor="_Toc15973854" w:history="1">
        <w:r w:rsidR="007C4626" w:rsidRPr="00895C6C">
          <w:rPr>
            <w:rStyle w:val="Hyperlink"/>
            <w:noProof/>
          </w:rPr>
          <w:t>16.</w:t>
        </w:r>
        <w:r w:rsidR="007C4626">
          <w:rPr>
            <w:rFonts w:asciiTheme="minorHAnsi" w:eastAsiaTheme="minorEastAsia" w:hAnsiTheme="minorHAnsi" w:cstheme="minorBidi"/>
            <w:noProof/>
            <w:sz w:val="22"/>
            <w:szCs w:val="22"/>
          </w:rPr>
          <w:tab/>
        </w:r>
        <w:r w:rsidR="007C4626" w:rsidRPr="00895C6C">
          <w:rPr>
            <w:rStyle w:val="Hyperlink"/>
            <w:noProof/>
          </w:rPr>
          <w:t>Is there any additional information available that would assist the ACMA in assessing compatibly of potential new WBB services in the 3700–4200 MHz band with WAIC and radio altimeter systems in the 4200–4400 MHz band?</w:t>
        </w:r>
      </w:hyperlink>
    </w:p>
    <w:p w14:paraId="2B5A3FE1" w14:textId="77777777" w:rsidR="00C72501" w:rsidRPr="00730E4D" w:rsidRDefault="00C72501" w:rsidP="00585A42">
      <w:pPr>
        <w:pStyle w:val="ListNumber"/>
        <w:numPr>
          <w:ilvl w:val="0"/>
          <w:numId w:val="0"/>
        </w:numPr>
      </w:pPr>
      <w:r>
        <w:fldChar w:fldCharType="end"/>
      </w:r>
      <w:bookmarkStart w:id="8" w:name="_Ref12001484"/>
      <w:bookmarkStart w:id="9" w:name="_GoBack"/>
      <w:bookmarkEnd w:id="7"/>
      <w:bookmarkEnd w:id="9"/>
    </w:p>
    <w:p w14:paraId="337B99B3" w14:textId="2E59B521" w:rsidR="00C72501" w:rsidRDefault="00C72501" w:rsidP="00C72501">
      <w:pPr>
        <w:pStyle w:val="Heading1"/>
      </w:pPr>
      <w:bookmarkStart w:id="10" w:name="_Toc16064478"/>
      <w:bookmarkEnd w:id="6"/>
      <w:bookmarkEnd w:id="8"/>
      <w:r>
        <w:lastRenderedPageBreak/>
        <w:t>Introduction</w:t>
      </w:r>
      <w:bookmarkEnd w:id="10"/>
    </w:p>
    <w:p w14:paraId="42867945" w14:textId="52E2E7CF" w:rsidR="00C72501" w:rsidRDefault="00C72501" w:rsidP="00C72501">
      <w:pPr>
        <w:pStyle w:val="Heading2"/>
      </w:pPr>
      <w:bookmarkStart w:id="11" w:name="_Toc16064479"/>
      <w:r>
        <w:t>Purpose</w:t>
      </w:r>
      <w:bookmarkEnd w:id="11"/>
    </w:p>
    <w:p w14:paraId="204F7B20" w14:textId="4C31922A" w:rsidR="00C72501" w:rsidRDefault="00C72501" w:rsidP="00C72501">
      <w:pPr>
        <w:rPr>
          <w:rFonts w:cs="Arial"/>
        </w:rPr>
      </w:pPr>
      <w:bookmarkStart w:id="12" w:name="_Hlk14760478"/>
      <w:r>
        <w:rPr>
          <w:rFonts w:cs="Arial"/>
        </w:rPr>
        <w:t>In Australia, the 3700–4200 MHz band is currently used by a mixture of services and applications</w:t>
      </w:r>
      <w:r w:rsidR="00E137AA">
        <w:rPr>
          <w:rFonts w:cs="Arial"/>
        </w:rPr>
        <w:t>,</w:t>
      </w:r>
      <w:r>
        <w:rPr>
          <w:rFonts w:cs="Arial"/>
        </w:rPr>
        <w:t xml:space="preserve"> </w:t>
      </w:r>
      <w:r w:rsidR="004150AC">
        <w:rPr>
          <w:rFonts w:cs="Arial"/>
        </w:rPr>
        <w:t xml:space="preserve">being </w:t>
      </w:r>
      <w:r>
        <w:rPr>
          <w:rFonts w:cs="Arial"/>
        </w:rPr>
        <w:t>point-to-point links, FSS earth stations, radiodetermination and various low power class licensed devices.</w:t>
      </w:r>
    </w:p>
    <w:p w14:paraId="24333A52" w14:textId="7DF02B02" w:rsidR="00C72501" w:rsidRDefault="00C72501" w:rsidP="00C72501">
      <w:pPr>
        <w:rPr>
          <w:rFonts w:cs="Arial"/>
        </w:rPr>
      </w:pPr>
      <w:r>
        <w:rPr>
          <w:rFonts w:cs="Arial"/>
        </w:rPr>
        <w:t xml:space="preserve">Internationally, there has been growing interest in investigating options to make all or part of the 3700–4200 MHz band available for use by WBB services. </w:t>
      </w:r>
      <w:proofErr w:type="gramStart"/>
      <w:r>
        <w:rPr>
          <w:rFonts w:cs="Arial"/>
        </w:rPr>
        <w:t>A number of</w:t>
      </w:r>
      <w:proofErr w:type="gramEnd"/>
      <w:r>
        <w:rPr>
          <w:rFonts w:cs="Arial"/>
        </w:rPr>
        <w:t xml:space="preserve"> countries have or are in the process of making spectrum in this band available for such use, with much of the focus currently on the 3700–3800 MHz segment. </w:t>
      </w:r>
    </w:p>
    <w:p w14:paraId="5C510F0A" w14:textId="637568FC" w:rsidR="00C72501" w:rsidRDefault="00C72501" w:rsidP="00C72501">
      <w:pPr>
        <w:rPr>
          <w:rFonts w:cs="Arial"/>
        </w:rPr>
      </w:pPr>
      <w:r>
        <w:rPr>
          <w:rFonts w:cs="Arial"/>
        </w:rPr>
        <w:t xml:space="preserve">Simultaneously, there remains varying degrees of interest in continuing use of the band for </w:t>
      </w:r>
      <w:r w:rsidR="00E37BBB">
        <w:rPr>
          <w:rFonts w:cs="Arial"/>
        </w:rPr>
        <w:t>C</w:t>
      </w:r>
      <w:r w:rsidR="00852F42">
        <w:rPr>
          <w:rFonts w:cs="Arial"/>
        </w:rPr>
        <w:t>-</w:t>
      </w:r>
      <w:r w:rsidR="00E37BBB">
        <w:rPr>
          <w:rFonts w:cs="Arial"/>
        </w:rPr>
        <w:t xml:space="preserve">band </w:t>
      </w:r>
      <w:r>
        <w:rPr>
          <w:rFonts w:cs="Arial"/>
        </w:rPr>
        <w:t>FSS purposes</w:t>
      </w:r>
      <w:r w:rsidR="00304566">
        <w:rPr>
          <w:rFonts w:cs="Arial"/>
        </w:rPr>
        <w:t>,</w:t>
      </w:r>
      <w:r w:rsidR="00E37BBB">
        <w:rPr>
          <w:rFonts w:cs="Arial"/>
        </w:rPr>
        <w:t xml:space="preserve"> which offer some unique capabilities</w:t>
      </w:r>
      <w:r>
        <w:rPr>
          <w:rFonts w:cs="Arial"/>
        </w:rPr>
        <w:t xml:space="preserve">. Some of the interested countries are also investigating the possible use of new </w:t>
      </w:r>
      <w:r w:rsidR="00E37BBB">
        <w:rPr>
          <w:rFonts w:cs="Arial"/>
        </w:rPr>
        <w:t xml:space="preserve">or increased </w:t>
      </w:r>
      <w:r>
        <w:rPr>
          <w:rFonts w:cs="Arial"/>
        </w:rPr>
        <w:t xml:space="preserve">sharing </w:t>
      </w:r>
      <w:r w:rsidR="00E37BBB">
        <w:rPr>
          <w:rFonts w:cs="Arial"/>
        </w:rPr>
        <w:t>approaches. This includes in some cases</w:t>
      </w:r>
      <w:r>
        <w:rPr>
          <w:rFonts w:cs="Arial"/>
        </w:rPr>
        <w:t xml:space="preserve"> Dynamic Spectrum Access (DSA), which can actively allow temporary access to spectrum </w:t>
      </w:r>
      <w:proofErr w:type="gramStart"/>
      <w:r>
        <w:rPr>
          <w:rFonts w:cs="Arial"/>
        </w:rPr>
        <w:t>through the use of</w:t>
      </w:r>
      <w:proofErr w:type="gramEnd"/>
      <w:r>
        <w:rPr>
          <w:rFonts w:cs="Arial"/>
        </w:rPr>
        <w:t xml:space="preserve"> spectrum monitoring or querying databases.</w:t>
      </w:r>
    </w:p>
    <w:p w14:paraId="2CBAD5C4" w14:textId="057CF210" w:rsidR="00C72501" w:rsidRDefault="00C72501" w:rsidP="00C72501">
      <w:pPr>
        <w:rPr>
          <w:rFonts w:cs="Arial"/>
        </w:rPr>
      </w:pPr>
      <w:bookmarkStart w:id="13" w:name="_Hlk13646838"/>
      <w:proofErr w:type="gramStart"/>
      <w:r>
        <w:rPr>
          <w:rFonts w:cs="Arial"/>
        </w:rPr>
        <w:t>As a consequence of</w:t>
      </w:r>
      <w:proofErr w:type="gramEnd"/>
      <w:r>
        <w:rPr>
          <w:rFonts w:cs="Arial"/>
        </w:rPr>
        <w:t xml:space="preserve"> these international developments, in the </w:t>
      </w:r>
      <w:r w:rsidRPr="00585A42">
        <w:rPr>
          <w:rFonts w:cs="Arial"/>
          <w:i/>
          <w:iCs/>
        </w:rPr>
        <w:t>Five-year spectrum outlook 2018</w:t>
      </w:r>
      <w:r w:rsidRPr="00585A42">
        <w:t>–</w:t>
      </w:r>
      <w:r w:rsidRPr="00585A42">
        <w:rPr>
          <w:rFonts w:cs="Arial"/>
          <w:i/>
          <w:iCs/>
        </w:rPr>
        <w:t>22</w:t>
      </w:r>
      <w:r>
        <w:rPr>
          <w:rFonts w:cs="Arial"/>
          <w:i/>
          <w:iCs/>
        </w:rPr>
        <w:t xml:space="preserve"> </w:t>
      </w:r>
      <w:r w:rsidRPr="00585A42">
        <w:rPr>
          <w:rFonts w:cs="Arial"/>
        </w:rPr>
        <w:t>(FYSO 2018–22)</w:t>
      </w:r>
      <w:r>
        <w:rPr>
          <w:rStyle w:val="FootnoteReference"/>
          <w:rFonts w:cs="Arial"/>
        </w:rPr>
        <w:footnoteReference w:id="2"/>
      </w:r>
      <w:r>
        <w:rPr>
          <w:rFonts w:cs="Arial"/>
        </w:rPr>
        <w:t>, the 3700–4200 MHz band was moved to the</w:t>
      </w:r>
      <w:r w:rsidRPr="00EC32BA">
        <w:rPr>
          <w:rFonts w:cs="Arial"/>
          <w:iCs/>
        </w:rPr>
        <w:t xml:space="preserve"> </w:t>
      </w:r>
      <w:r w:rsidRPr="00585A42">
        <w:rPr>
          <w:rFonts w:cs="Arial"/>
          <w:iCs/>
        </w:rPr>
        <w:t>initial investigation</w:t>
      </w:r>
      <w:r w:rsidRPr="00EC32BA">
        <w:rPr>
          <w:rFonts w:cs="Arial"/>
          <w:iCs/>
        </w:rPr>
        <w:t xml:space="preserve"> </w:t>
      </w:r>
      <w:r>
        <w:rPr>
          <w:rFonts w:cs="Arial"/>
        </w:rPr>
        <w:t>stage. Submissions to the draft FYSO</w:t>
      </w:r>
      <w:r>
        <w:rPr>
          <w:rStyle w:val="FootnoteReference"/>
          <w:rFonts w:cs="Arial"/>
        </w:rPr>
        <w:footnoteReference w:id="3"/>
      </w:r>
      <w:r>
        <w:rPr>
          <w:rFonts w:cs="Arial"/>
        </w:rPr>
        <w:t xml:space="preserve"> indicated that there is interest domestically in the ACMA investigating possible arrangements for fixed and mobile WBB in the band. This included local area (i.e. site-based) deployments under apparatus licence arrangements, typically of interest to wireless internet service providers (WISPs), local governments, utility companies and miners, as well as wide-area deployments, often supported by spectrum licence arrangements, which are of primary interest to mobile network operators (MNOs) and NBN Co. Submissions also indicated there is interest for continued FSS use of the band.  </w:t>
      </w:r>
    </w:p>
    <w:p w14:paraId="16A77F98" w14:textId="77777777" w:rsidR="00C72501" w:rsidRPr="0098195A" w:rsidRDefault="00C72501" w:rsidP="00C72501">
      <w:pPr>
        <w:rPr>
          <w:rFonts w:cs="Arial"/>
        </w:rPr>
      </w:pPr>
      <w:r w:rsidRPr="003A0EB5">
        <w:t xml:space="preserve">The ACMA </w:t>
      </w:r>
      <w:r>
        <w:t>is now seeking evidence and views on the development of future arrangements in</w:t>
      </w:r>
      <w:r w:rsidRPr="00BB5629">
        <w:t xml:space="preserve"> the </w:t>
      </w:r>
      <w:r>
        <w:t>3700–4200 MHz band by incumbent and new services.</w:t>
      </w:r>
      <w:r w:rsidRPr="00BB5629">
        <w:t xml:space="preserve"> </w:t>
      </w:r>
    </w:p>
    <w:p w14:paraId="65E3E2D6" w14:textId="1679BC62" w:rsidR="00C72501" w:rsidRDefault="00C72501" w:rsidP="00C72501">
      <w:pPr>
        <w:pStyle w:val="Heading2"/>
      </w:pPr>
      <w:bookmarkStart w:id="14" w:name="_Toc16064480"/>
      <w:bookmarkEnd w:id="12"/>
      <w:bookmarkEnd w:id="13"/>
      <w:r>
        <w:t>Scope</w:t>
      </w:r>
      <w:bookmarkEnd w:id="14"/>
    </w:p>
    <w:p w14:paraId="7CF07AE5" w14:textId="77777777" w:rsidR="00C72501" w:rsidRPr="006D46E5" w:rsidRDefault="00C72501" w:rsidP="00C72501">
      <w:pPr>
        <w:rPr>
          <w:rFonts w:cs="Arial"/>
        </w:rPr>
      </w:pPr>
      <w:bookmarkStart w:id="15" w:name="_Hlk14760515"/>
      <w:r>
        <w:rPr>
          <w:rFonts w:cs="Arial"/>
        </w:rPr>
        <w:t>The scope is limited to discussion of use of the 3700–4200 MHz band, and appropriate relationships with adjacent bands.</w:t>
      </w:r>
    </w:p>
    <w:p w14:paraId="30A7A87D" w14:textId="77777777" w:rsidR="00C72501" w:rsidRDefault="00C72501" w:rsidP="00C72501">
      <w:r>
        <w:t>The paper canvasses a range of issues related to a potential replanning of the 3700–4200 MHz band. Depending on the feedback received on this paper, the ACMA may consider that arrangements in the band warrant further consideration. If so, the ACMA will engage further with industry to consult fully on possible replanning options before any changes are made to planning and access arrangements in the band.</w:t>
      </w:r>
    </w:p>
    <w:p w14:paraId="573CC242" w14:textId="1F3DE010" w:rsidR="00C72501" w:rsidRDefault="00C72501" w:rsidP="00C72501">
      <w:pPr>
        <w:pStyle w:val="Heading2"/>
      </w:pPr>
      <w:bookmarkStart w:id="16" w:name="_Toc16064481"/>
      <w:bookmarkEnd w:id="15"/>
      <w:r>
        <w:lastRenderedPageBreak/>
        <w:t>Legislative and policy environment</w:t>
      </w:r>
      <w:bookmarkEnd w:id="16"/>
    </w:p>
    <w:p w14:paraId="0632DB8C" w14:textId="4FE34A92" w:rsidR="00C72501" w:rsidRDefault="00C72501" w:rsidP="00C72501">
      <w:bookmarkStart w:id="17" w:name="_Hlk14760533"/>
      <w:r>
        <w:t xml:space="preserve">Managing spectrum efficiently and effectively for the benefit of all Australians is a key </w:t>
      </w:r>
      <w:r w:rsidR="00C14CD7">
        <w:t>legislative require</w:t>
      </w:r>
      <w:r w:rsidR="00576A14">
        <w:t>ment</w:t>
      </w:r>
      <w:r w:rsidR="00C14CD7">
        <w:t xml:space="preserve"> and </w:t>
      </w:r>
      <w:r>
        <w:t>priority for the ACMA</w:t>
      </w:r>
      <w:r w:rsidR="00304566">
        <w:t>.</w:t>
      </w:r>
      <w:r>
        <w:rPr>
          <w:vertAlign w:val="superscript"/>
        </w:rPr>
        <w:footnoteReference w:id="4"/>
      </w:r>
      <w:r>
        <w:t xml:space="preserve"> The ACMA draws on a range of legislative and administrative tools in executing these functions. </w:t>
      </w:r>
    </w:p>
    <w:p w14:paraId="23C98CFF" w14:textId="436662D3" w:rsidR="00C72501" w:rsidRDefault="00C72501" w:rsidP="00C72501">
      <w:pPr>
        <w:pStyle w:val="Heading3"/>
      </w:pPr>
      <w:bookmarkStart w:id="18" w:name="_Toc16064482"/>
      <w:bookmarkEnd w:id="17"/>
      <w:r>
        <w:t>Guiding legislation</w:t>
      </w:r>
      <w:bookmarkEnd w:id="18"/>
    </w:p>
    <w:p w14:paraId="52C98963" w14:textId="77777777" w:rsidR="00C72501" w:rsidRDefault="00C72501" w:rsidP="00C72501">
      <w:pPr>
        <w:spacing w:after="80"/>
      </w:pPr>
      <w:r>
        <w:t xml:space="preserve">Section 9 of the </w:t>
      </w:r>
      <w:r>
        <w:rPr>
          <w:i/>
        </w:rPr>
        <w:t>Australian Communications and Media Authority Act 2005</w:t>
      </w:r>
      <w:r>
        <w:t xml:space="preserve"> (ACMA Act) sets out the spectrum management functions of the ACMA, including to:</w:t>
      </w:r>
    </w:p>
    <w:p w14:paraId="18A888AA" w14:textId="77777777" w:rsidR="00C72501" w:rsidRDefault="00C72501" w:rsidP="00585A42">
      <w:pPr>
        <w:pStyle w:val="ListBullet"/>
      </w:pPr>
      <w:r>
        <w:t xml:space="preserve">manage the radiofrequency spectrum in accordance with the </w:t>
      </w:r>
      <w:r>
        <w:rPr>
          <w:i/>
        </w:rPr>
        <w:t>Radiocommunications Act 1992</w:t>
      </w:r>
      <w:r>
        <w:t xml:space="preserve"> (the Act)</w:t>
      </w:r>
    </w:p>
    <w:p w14:paraId="148F923D" w14:textId="77777777" w:rsidR="00C72501" w:rsidRDefault="00C72501" w:rsidP="00585A42">
      <w:pPr>
        <w:pStyle w:val="ListBulletLast"/>
      </w:pPr>
      <w:r>
        <w:t>advise and assist the radiocommunications community.</w:t>
      </w:r>
    </w:p>
    <w:p w14:paraId="62E9F5A4" w14:textId="77777777" w:rsidR="00C72501" w:rsidRDefault="00C72501" w:rsidP="00C72501">
      <w:pPr>
        <w:spacing w:after="80"/>
      </w:pPr>
      <w:r>
        <w:t>Consistent with the spectrum management functions set out in the ACMA Act, the object of the Act is to provide for management of the radiofrequency spectrum in order to (among other goals):</w:t>
      </w:r>
    </w:p>
    <w:p w14:paraId="4481795B" w14:textId="77777777" w:rsidR="00C72501" w:rsidRDefault="00C72501" w:rsidP="00C72501">
      <w:pPr>
        <w:pStyle w:val="ListBullet"/>
        <w:spacing w:line="240" w:lineRule="auto"/>
      </w:pPr>
      <w:r>
        <w:t>maximise, by ensuring the efficient allocation and use of the spectrum, the overall public benefit derived from using the radiofrequency spectrum</w:t>
      </w:r>
    </w:p>
    <w:p w14:paraId="36197DAA" w14:textId="77777777" w:rsidR="00C72501" w:rsidRDefault="00C72501" w:rsidP="00C72501">
      <w:pPr>
        <w:pStyle w:val="ListBullet"/>
        <w:spacing w:line="240" w:lineRule="auto"/>
      </w:pPr>
      <w:r>
        <w:t>provide a responsive and flexible approach to meeting the needs of users of the spectrum</w:t>
      </w:r>
    </w:p>
    <w:p w14:paraId="0AF6A1ED" w14:textId="77777777" w:rsidR="00C72501" w:rsidRDefault="00C72501" w:rsidP="00C72501">
      <w:pPr>
        <w:pStyle w:val="ListBulletLast"/>
        <w:spacing w:after="120" w:line="240" w:lineRule="auto"/>
      </w:pPr>
      <w:r>
        <w:t>encourage the use of efficient radiocommunication technologies so that a wide range of services of an adequate quality can be provided</w:t>
      </w:r>
    </w:p>
    <w:p w14:paraId="32AEB94C" w14:textId="77777777" w:rsidR="00C72501" w:rsidRPr="00A37173" w:rsidRDefault="00C72501" w:rsidP="00C72501">
      <w:pPr>
        <w:pStyle w:val="ListBulletLast"/>
        <w:spacing w:line="240" w:lineRule="auto"/>
      </w:pPr>
      <w:r w:rsidRPr="00A37173">
        <w:t>support</w:t>
      </w:r>
      <w:r>
        <w:t xml:space="preserve"> </w:t>
      </w:r>
      <w:r w:rsidRPr="00A37173">
        <w:t xml:space="preserve">the communications policy objectives of the </w:t>
      </w:r>
      <w:r>
        <w:t>Australian</w:t>
      </w:r>
      <w:r w:rsidRPr="00A37173">
        <w:t xml:space="preserve"> Government.</w:t>
      </w:r>
    </w:p>
    <w:p w14:paraId="740754EC" w14:textId="0AD4427C" w:rsidR="00C72501" w:rsidRDefault="00C72501" w:rsidP="00585A42">
      <w:pPr>
        <w:spacing w:after="80"/>
      </w:pPr>
      <w:r w:rsidRPr="00A37173">
        <w:t xml:space="preserve">The </w:t>
      </w:r>
      <w:r>
        <w:t>planning options</w:t>
      </w:r>
      <w:r w:rsidRPr="00A37173">
        <w:t xml:space="preserve"> set out in this paper are consistent with these goals. Specifically, </w:t>
      </w:r>
      <w:r>
        <w:t>improving access and use of the 3700–4200 MHz</w:t>
      </w:r>
      <w:r w:rsidRPr="00A37173">
        <w:t xml:space="preserve"> band </w:t>
      </w:r>
      <w:r>
        <w:t xml:space="preserve">for </w:t>
      </w:r>
      <w:r w:rsidR="00A943A3">
        <w:t xml:space="preserve">new services </w:t>
      </w:r>
      <w:r>
        <w:t>aligns</w:t>
      </w:r>
      <w:r w:rsidRPr="00A37173">
        <w:t xml:space="preserve"> with </w:t>
      </w:r>
      <w:proofErr w:type="gramStart"/>
      <w:r w:rsidRPr="00A37173">
        <w:t>a number of</w:t>
      </w:r>
      <w:proofErr w:type="gramEnd"/>
      <w:r w:rsidRPr="00A37173">
        <w:t xml:space="preserve"> key policy objectives, </w:t>
      </w:r>
      <w:r>
        <w:t>including</w:t>
      </w:r>
      <w:r w:rsidR="00304566">
        <w:t>:</w:t>
      </w:r>
    </w:p>
    <w:p w14:paraId="5851EA67" w14:textId="0C07344A" w:rsidR="00C72501" w:rsidRDefault="00C72501" w:rsidP="00C72501">
      <w:pPr>
        <w:pStyle w:val="ListBullet"/>
      </w:pPr>
      <w:bookmarkStart w:id="19" w:name="_Hlk4497305"/>
      <w:bookmarkStart w:id="20" w:name="_Hlk5111156"/>
      <w:r w:rsidRPr="00A37173">
        <w:t>promoting</w:t>
      </w:r>
      <w:r w:rsidR="00304566">
        <w:t>,</w:t>
      </w:r>
      <w:r w:rsidRPr="00A37173">
        <w:t xml:space="preserve"> sharing</w:t>
      </w:r>
      <w:r>
        <w:t xml:space="preserve"> and enabling trading of spectrum</w:t>
      </w:r>
    </w:p>
    <w:p w14:paraId="599A573F" w14:textId="30A98994" w:rsidR="00C72501" w:rsidRDefault="00C72501" w:rsidP="00C72501">
      <w:pPr>
        <w:pStyle w:val="ListBullet"/>
      </w:pPr>
      <w:r w:rsidRPr="00A37173">
        <w:t>enhancing delivery of fast broadband services</w:t>
      </w:r>
    </w:p>
    <w:p w14:paraId="1111DFF6" w14:textId="730FCDA7" w:rsidR="00C72501" w:rsidRDefault="00C72501" w:rsidP="00C72501">
      <w:pPr>
        <w:pStyle w:val="ListBullet"/>
      </w:pPr>
      <w:r w:rsidRPr="00A37173">
        <w:t>promoting the efficient use of spectrum through optimising its use</w:t>
      </w:r>
    </w:p>
    <w:p w14:paraId="75C98C33" w14:textId="0342B578" w:rsidR="00C72501" w:rsidRDefault="00C72501" w:rsidP="00585A42">
      <w:pPr>
        <w:pStyle w:val="ListBulletLast"/>
      </w:pPr>
      <w:r w:rsidRPr="00A37173">
        <w:t xml:space="preserve">fostering competitive telecommunications markets by providing </w:t>
      </w:r>
      <w:r w:rsidR="00C14CD7">
        <w:t>potential new</w:t>
      </w:r>
      <w:r w:rsidR="00C14CD7" w:rsidRPr="00A37173">
        <w:t xml:space="preserve"> </w:t>
      </w:r>
      <w:r w:rsidRPr="00A37173">
        <w:t>delivery mechanisms for ultra-fast broadband</w:t>
      </w:r>
      <w:bookmarkEnd w:id="19"/>
      <w:r w:rsidRPr="00A37173">
        <w:t>.</w:t>
      </w:r>
    </w:p>
    <w:p w14:paraId="50146455" w14:textId="77777777" w:rsidR="00C72501" w:rsidRDefault="00C72501" w:rsidP="00C72501">
      <w:pPr>
        <w:pStyle w:val="Heading3"/>
      </w:pPr>
      <w:bookmarkStart w:id="21" w:name="_Ref517344978"/>
      <w:bookmarkStart w:id="22" w:name="_Toc6923097"/>
      <w:bookmarkStart w:id="23" w:name="_Toc12016446"/>
      <w:bookmarkStart w:id="24" w:name="_Toc14762808"/>
      <w:bookmarkStart w:id="25" w:name="_Toc16064483"/>
      <w:bookmarkEnd w:id="20"/>
      <w:r>
        <w:t>Principles for spectrum management</w:t>
      </w:r>
      <w:bookmarkEnd w:id="21"/>
      <w:bookmarkEnd w:id="22"/>
      <w:bookmarkEnd w:id="23"/>
      <w:bookmarkEnd w:id="24"/>
      <w:bookmarkEnd w:id="25"/>
    </w:p>
    <w:p w14:paraId="3959E89F" w14:textId="1A403CB7" w:rsidR="00C72501" w:rsidRDefault="00C72501" w:rsidP="00585A42">
      <w:pPr>
        <w:spacing w:after="80"/>
        <w:rPr>
          <w:rFonts w:cs="Arial"/>
        </w:rPr>
      </w:pPr>
      <w:r>
        <w:rPr>
          <w:rFonts w:cs="Arial"/>
        </w:rPr>
        <w:t xml:space="preserve">The ACMA is also guided by the </w:t>
      </w:r>
      <w:hyperlink r:id="rId25" w:history="1">
        <w:r w:rsidRPr="00FE0707">
          <w:rPr>
            <w:rStyle w:val="Hyperlink"/>
            <w:rFonts w:cs="Arial"/>
          </w:rPr>
          <w:t>Princip</w:t>
        </w:r>
        <w:r w:rsidR="00AD60BE">
          <w:rPr>
            <w:rStyle w:val="Hyperlink"/>
            <w:rFonts w:cs="Arial"/>
          </w:rPr>
          <w:t>le</w:t>
        </w:r>
        <w:r w:rsidRPr="00FE0707">
          <w:rPr>
            <w:rStyle w:val="Hyperlink"/>
            <w:rFonts w:cs="Arial"/>
          </w:rPr>
          <w:t xml:space="preserve">s for </w:t>
        </w:r>
        <w:r>
          <w:rPr>
            <w:rStyle w:val="Hyperlink"/>
            <w:rFonts w:cs="Arial"/>
          </w:rPr>
          <w:t>s</w:t>
        </w:r>
        <w:r w:rsidRPr="00FE0707">
          <w:rPr>
            <w:rStyle w:val="Hyperlink"/>
            <w:rFonts w:cs="Arial"/>
          </w:rPr>
          <w:t xml:space="preserve">pectrum </w:t>
        </w:r>
        <w:r>
          <w:rPr>
            <w:rStyle w:val="Hyperlink"/>
            <w:rFonts w:cs="Arial"/>
          </w:rPr>
          <w:t>m</w:t>
        </w:r>
        <w:r w:rsidRPr="00FE0707">
          <w:rPr>
            <w:rStyle w:val="Hyperlink"/>
            <w:rFonts w:cs="Arial"/>
          </w:rPr>
          <w:t>anagement</w:t>
        </w:r>
      </w:hyperlink>
      <w:r>
        <w:rPr>
          <w:rFonts w:cs="Arial"/>
        </w:rPr>
        <w:t xml:space="preserve"> (the Principles), which are:</w:t>
      </w:r>
    </w:p>
    <w:p w14:paraId="493DEA23" w14:textId="1770A477" w:rsidR="00C72501" w:rsidRPr="0017484B" w:rsidRDefault="00C72501" w:rsidP="00585A42">
      <w:pPr>
        <w:pStyle w:val="ListNumber"/>
        <w:numPr>
          <w:ilvl w:val="0"/>
          <w:numId w:val="49"/>
        </w:numPr>
      </w:pPr>
      <w:r>
        <w:t>a</w:t>
      </w:r>
      <w:r w:rsidRPr="0017484B">
        <w:t>llocate spectrum to the highest value use (HVU) or uses</w:t>
      </w:r>
    </w:p>
    <w:p w14:paraId="674C1A67" w14:textId="6DCB3132" w:rsidR="00C72501" w:rsidRPr="0017484B" w:rsidRDefault="00C72501" w:rsidP="00585A42">
      <w:pPr>
        <w:pStyle w:val="ListNumber"/>
      </w:pPr>
      <w:r>
        <w:t>e</w:t>
      </w:r>
      <w:r w:rsidRPr="0017484B">
        <w:t>nable and encourage spectrum to move to its HVU</w:t>
      </w:r>
    </w:p>
    <w:p w14:paraId="6D9DCB84" w14:textId="3EA7588F" w:rsidR="00C72501" w:rsidRPr="0017484B" w:rsidRDefault="00C72501" w:rsidP="00585A42">
      <w:pPr>
        <w:pStyle w:val="ListNumber"/>
      </w:pPr>
      <w:r>
        <w:t>u</w:t>
      </w:r>
      <w:r w:rsidRPr="0017484B">
        <w:t>se the least cost and least restrictive approach to achieving policy objectives</w:t>
      </w:r>
    </w:p>
    <w:p w14:paraId="59956895" w14:textId="6F2F4076" w:rsidR="00C72501" w:rsidRPr="0017484B" w:rsidRDefault="00C72501" w:rsidP="00585A42">
      <w:pPr>
        <w:pStyle w:val="ListNumber"/>
      </w:pPr>
      <w:r>
        <w:t>t</w:t>
      </w:r>
      <w:r w:rsidRPr="0017484B">
        <w:t>o the extent possible, promote both certainty and flexibility</w:t>
      </w:r>
    </w:p>
    <w:p w14:paraId="53DA100B" w14:textId="02C8EAF4" w:rsidR="00C72501" w:rsidRDefault="00C72501" w:rsidP="00AD2273">
      <w:pPr>
        <w:pStyle w:val="ListNumber"/>
      </w:pPr>
      <w:r>
        <w:t>b</w:t>
      </w:r>
      <w:r w:rsidRPr="0017484B">
        <w:t>alance the cost of interference and the benefits of greater spectrum utilisation</w:t>
      </w:r>
      <w:r>
        <w:t>.</w:t>
      </w:r>
    </w:p>
    <w:p w14:paraId="199DAE5D" w14:textId="77777777" w:rsidR="00361F77" w:rsidRDefault="00361F77" w:rsidP="00D25EB9">
      <w:pPr>
        <w:pStyle w:val="ListNumber"/>
        <w:numPr>
          <w:ilvl w:val="0"/>
          <w:numId w:val="0"/>
        </w:numPr>
        <w:sectPr w:rsidR="00361F77" w:rsidSect="00C77380">
          <w:headerReference w:type="even" r:id="rId26"/>
          <w:headerReference w:type="default" r:id="rId27"/>
          <w:footerReference w:type="even" r:id="rId28"/>
          <w:footerReference w:type="default" r:id="rId29"/>
          <w:pgSz w:w="11906" w:h="16838" w:code="9"/>
          <w:pgMar w:top="1945" w:right="3101" w:bottom="1134" w:left="1134" w:header="709" w:footer="119" w:gutter="0"/>
          <w:pgNumType w:start="1"/>
          <w:cols w:space="708"/>
          <w:docGrid w:linePitch="360"/>
        </w:sectPr>
      </w:pPr>
    </w:p>
    <w:p w14:paraId="41A8CB5C" w14:textId="03858D46" w:rsidR="00C72501" w:rsidRDefault="00C72501" w:rsidP="00C72501">
      <w:pPr>
        <w:pStyle w:val="ACMAFigureHeader"/>
        <w:tabs>
          <w:tab w:val="clear" w:pos="1021"/>
          <w:tab w:val="num" w:pos="0"/>
        </w:tabs>
        <w:ind w:left="0" w:firstLine="0"/>
      </w:pPr>
      <w:bookmarkStart w:id="26" w:name="_Hlk14760637"/>
      <w:r w:rsidRPr="00FF449E">
        <w:lastRenderedPageBreak/>
        <w:t xml:space="preserve">Spectrum </w:t>
      </w:r>
      <w:r w:rsidRPr="00301163">
        <w:t>management decision framework</w:t>
      </w:r>
      <w:r w:rsidRPr="0018778A">
        <w:rPr>
          <w:noProof/>
        </w:rPr>
        <w:drawing>
          <wp:inline distT="0" distB="0" distL="0" distR="0" wp14:anchorId="038E59F3" wp14:editId="435A4795">
            <wp:extent cx="7324725" cy="4150198"/>
            <wp:effectExtent l="0" t="0" r="0" b="0"/>
            <wp:docPr id="3" name="Picture 3" descr="Spectrum management decision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0">
                      <a:extLst>
                        <a:ext uri="{28A0092B-C50C-407E-A947-70E740481C1C}">
                          <a14:useLocalDpi xmlns:a14="http://schemas.microsoft.com/office/drawing/2010/main" val="0"/>
                        </a:ext>
                      </a:extLst>
                    </a:blip>
                    <a:srcRect l="8746" t="6660" r="7675"/>
                    <a:stretch/>
                  </pic:blipFill>
                  <pic:spPr bwMode="auto">
                    <a:xfrm>
                      <a:off x="0" y="0"/>
                      <a:ext cx="7330289" cy="4153350"/>
                    </a:xfrm>
                    <a:prstGeom prst="rect">
                      <a:avLst/>
                    </a:prstGeom>
                    <a:noFill/>
                    <a:ln>
                      <a:noFill/>
                    </a:ln>
                    <a:extLst>
                      <a:ext uri="{53640926-AAD7-44D8-BBD7-CCE9431645EC}">
                        <a14:shadowObscured xmlns:a14="http://schemas.microsoft.com/office/drawing/2010/main"/>
                      </a:ext>
                    </a:extLst>
                  </pic:spPr>
                </pic:pic>
              </a:graphicData>
            </a:graphic>
          </wp:inline>
        </w:drawing>
      </w:r>
    </w:p>
    <w:p w14:paraId="1EEDF439" w14:textId="77777777" w:rsidR="008356C5" w:rsidRDefault="00C72501" w:rsidP="008356C5">
      <w:pPr>
        <w:pStyle w:val="ACMANotes"/>
        <w:sectPr w:rsidR="008356C5" w:rsidSect="004C4413">
          <w:pgSz w:w="16838" w:h="11906" w:orient="landscape" w:code="9"/>
          <w:pgMar w:top="1134" w:right="1945" w:bottom="3101" w:left="1134" w:header="709" w:footer="119" w:gutter="0"/>
          <w:cols w:space="708"/>
          <w:docGrid w:linePitch="360"/>
        </w:sectPr>
      </w:pPr>
      <w:bookmarkStart w:id="27" w:name="_Hlk14760681"/>
      <w:bookmarkEnd w:id="26"/>
      <w:r>
        <w:t xml:space="preserve">Figure 1 describes the ACMA’s general approach to spectrum management decision-making. </w:t>
      </w:r>
    </w:p>
    <w:p w14:paraId="714E2140" w14:textId="77777777" w:rsidR="00C72501" w:rsidRDefault="00C72501" w:rsidP="00C72501">
      <w:pPr>
        <w:pStyle w:val="Heading3"/>
      </w:pPr>
      <w:bookmarkStart w:id="28" w:name="_Ref517340300"/>
      <w:bookmarkStart w:id="29" w:name="_Toc468705312"/>
      <w:bookmarkStart w:id="30" w:name="_Toc468438957"/>
      <w:bookmarkStart w:id="31" w:name="_Toc466017062"/>
      <w:bookmarkStart w:id="32" w:name="_Toc6923098"/>
      <w:bookmarkStart w:id="33" w:name="_Toc12016447"/>
      <w:bookmarkStart w:id="34" w:name="_Toc14762809"/>
      <w:bookmarkStart w:id="35" w:name="_Hlk14760745"/>
      <w:bookmarkStart w:id="36" w:name="_Toc16064484"/>
      <w:bookmarkEnd w:id="27"/>
      <w:r>
        <w:lastRenderedPageBreak/>
        <w:t>Existing licensing regimes</w:t>
      </w:r>
      <w:bookmarkEnd w:id="28"/>
      <w:bookmarkEnd w:id="29"/>
      <w:bookmarkEnd w:id="30"/>
      <w:bookmarkEnd w:id="31"/>
      <w:bookmarkEnd w:id="32"/>
      <w:bookmarkEnd w:id="33"/>
      <w:bookmarkEnd w:id="34"/>
      <w:bookmarkEnd w:id="36"/>
    </w:p>
    <w:p w14:paraId="5D5E87CA" w14:textId="77777777" w:rsidR="00C72501" w:rsidRDefault="00C72501" w:rsidP="00C72501">
      <w:r>
        <w:t xml:space="preserve">There are three licence types available to authorise access to spectrum—spectrum, apparatus and class licences. </w:t>
      </w:r>
    </w:p>
    <w:p w14:paraId="0E8C2DD2" w14:textId="77777777" w:rsidR="00C72501" w:rsidRDefault="00C72501" w:rsidP="00C72501">
      <w:r>
        <w:t xml:space="preserve">An apparatus licence authorises the use of a radiocommunications device (or group of devices) operating under a </w:t>
      </w:r>
      <w:proofErr w:type="gramStart"/>
      <w:r>
        <w:t>particular radiocommunications</w:t>
      </w:r>
      <w:proofErr w:type="gramEnd"/>
      <w:r>
        <w:t xml:space="preserve"> service type. Authorisation can be local area </w:t>
      </w:r>
      <w:r w:rsidRPr="00CC1789">
        <w:t>(</w:t>
      </w:r>
      <w:r>
        <w:t xml:space="preserve">i.e. </w:t>
      </w:r>
      <w:r w:rsidRPr="00CC1789">
        <w:t xml:space="preserve">site-based licence) or for a defined </w:t>
      </w:r>
      <w:r>
        <w:t xml:space="preserve">larger </w:t>
      </w:r>
      <w:r w:rsidRPr="00CC1789">
        <w:t xml:space="preserve">area (area-wide licence), </w:t>
      </w:r>
      <w:r>
        <w:t xml:space="preserve">across </w:t>
      </w:r>
      <w:r w:rsidRPr="00CC1789">
        <w:t xml:space="preserve">a </w:t>
      </w:r>
      <w:proofErr w:type="gramStart"/>
      <w:r w:rsidRPr="00CC1789">
        <w:t>particular frequency</w:t>
      </w:r>
      <w:proofErr w:type="gramEnd"/>
      <w:r w:rsidRPr="00CC1789">
        <w:t xml:space="preserve"> range</w:t>
      </w:r>
      <w:r>
        <w:t xml:space="preserve"> for a period of up to five years. Local area (site-based) apparatus licences are typically issued on a first-in-time basis ‘over-the-counter’ in accordance with coordination rules developed by the ACMA. For an area-based apparatus licence, the licensee typically has sole or primary access to a defined frequency and area for the deployment of services. Services deployed under an area-based licence still need to coordinate with other services, though this is often limited to services in adjacent bands and areas.</w:t>
      </w:r>
    </w:p>
    <w:p w14:paraId="32C6982C" w14:textId="77777777" w:rsidR="00C72501" w:rsidRDefault="00C72501" w:rsidP="00C72501">
      <w:r>
        <w:t xml:space="preserve">A spectrum licence authorises the use of a </w:t>
      </w:r>
      <w:proofErr w:type="gramStart"/>
      <w:r>
        <w:t>particular frequency</w:t>
      </w:r>
      <w:proofErr w:type="gramEnd"/>
      <w:r>
        <w:t xml:space="preserve"> band within a particular geographic area for a period of up to 15 years. The geographic area can vary in size up to Australia-wide. Spectrum licences have historically been utilised to facilitate the rollout of wide-area wireless broadband networks. </w:t>
      </w:r>
    </w:p>
    <w:p w14:paraId="07C8A362" w14:textId="77777777" w:rsidR="00C72501" w:rsidRDefault="00C72501" w:rsidP="00C72501">
      <w:r>
        <w:t>An inherent feature of spectrum licensing is technological flexibility—that is, the licensing rules, while usually optimised for an expected technology, generally specify only generic technical details and limitations</w:t>
      </w:r>
      <w:r>
        <w:rPr>
          <w:vertAlign w:val="superscript"/>
        </w:rPr>
        <w:footnoteReference w:id="5"/>
      </w:r>
      <w:r>
        <w:t xml:space="preserve">, while not expressly mandating a </w:t>
      </w:r>
      <w:proofErr w:type="gramStart"/>
      <w:r>
        <w:t>particular type of technology</w:t>
      </w:r>
      <w:proofErr w:type="gramEnd"/>
      <w:r>
        <w:t xml:space="preserve"> or service. This allows a licensee to deploy any technology </w:t>
      </w:r>
      <w:proofErr w:type="gramStart"/>
      <w:r>
        <w:t>as long as</w:t>
      </w:r>
      <w:proofErr w:type="gramEnd"/>
      <w:r>
        <w:t xml:space="preserve"> it complies with the terms and conditions of the licence, without intervention from the regulator. It is up to the licensee to manage interference between radiocommunications devices, although this can be mitigated by the adoption of international standards. Spectrum licences are also more conducive to spectrum trading than apparatus licences, due to their intended longer tenure, ability to be sub-divided and technological flexibility.</w:t>
      </w:r>
    </w:p>
    <w:p w14:paraId="3730A072" w14:textId="77777777" w:rsidR="00C72501" w:rsidRDefault="00C72501" w:rsidP="00C72501">
      <w:r>
        <w:t xml:space="preserve">Class licences are a standing authorisation to use spectrum without the need to apply to the ACMA for access, so long as the conditions of the class licence are met. These conditions can be technical, geographic and/or pertain to the type of use or class of user. </w:t>
      </w:r>
    </w:p>
    <w:p w14:paraId="5F8817F1" w14:textId="77777777" w:rsidR="00C72501" w:rsidRDefault="00C72501" w:rsidP="00C72501">
      <w:r>
        <w:t>Both class and local area apparatus licensing arrangements are in place to support existing uses of the 3700–4200 MHz band.</w:t>
      </w:r>
    </w:p>
    <w:p w14:paraId="59E5BE0B" w14:textId="307819D1" w:rsidR="00C72501" w:rsidRDefault="00F815D4" w:rsidP="00F815D4">
      <w:pPr>
        <w:pStyle w:val="Heading2"/>
      </w:pPr>
      <w:bookmarkStart w:id="37" w:name="_Toc16064485"/>
      <w:bookmarkEnd w:id="35"/>
      <w:r>
        <w:t>Next steps</w:t>
      </w:r>
      <w:bookmarkEnd w:id="37"/>
    </w:p>
    <w:p w14:paraId="6C27F7A2" w14:textId="1542563E" w:rsidR="004F7586" w:rsidRPr="00EC65B3" w:rsidRDefault="00F815D4" w:rsidP="00F815D4">
      <w:bookmarkStart w:id="38" w:name="_Hlk14760764"/>
      <w:bookmarkStart w:id="39" w:name="_Hlk14764113"/>
      <w:r w:rsidRPr="00EC65B3">
        <w:t xml:space="preserve">Table 1 provides a notional timeline for the next steps of the </w:t>
      </w:r>
      <w:r>
        <w:t>review of arrangements in the 3700–4200 MHz band</w:t>
      </w:r>
      <w:r w:rsidRPr="00EC65B3">
        <w:t xml:space="preserve">.    </w:t>
      </w:r>
      <w:bookmarkEnd w:id="38"/>
    </w:p>
    <w:p w14:paraId="382F54AB" w14:textId="77777777" w:rsidR="00F815D4" w:rsidRDefault="00F815D4" w:rsidP="00585A42">
      <w:pPr>
        <w:pStyle w:val="ACMATableHeader"/>
        <w:keepNext/>
        <w:numPr>
          <w:ilvl w:val="0"/>
          <w:numId w:val="51"/>
        </w:numPr>
      </w:pPr>
      <w:bookmarkStart w:id="40" w:name="_Ref9945951"/>
      <w:r w:rsidRPr="00EC65B3">
        <w:lastRenderedPageBreak/>
        <w:t xml:space="preserve">Indicative timeline for </w:t>
      </w:r>
      <w:r>
        <w:t>3700–4200</w:t>
      </w:r>
      <w:r w:rsidRPr="00EC65B3">
        <w:t xml:space="preserve"> MHz band review process</w:t>
      </w:r>
      <w:bookmarkEnd w:id="40"/>
    </w:p>
    <w:tbl>
      <w:tblPr>
        <w:tblW w:w="5529"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3686"/>
        <w:gridCol w:w="1843"/>
      </w:tblGrid>
      <w:tr w:rsidR="00F815D4" w:rsidRPr="006D46E5" w14:paraId="14A432CA" w14:textId="77777777" w:rsidTr="00585A42">
        <w:tc>
          <w:tcPr>
            <w:tcW w:w="3686" w:type="dxa"/>
            <w:shd w:val="clear" w:color="auto" w:fill="404040" w:themeFill="text1" w:themeFillTint="BF"/>
          </w:tcPr>
          <w:p w14:paraId="0ACFF8A5" w14:textId="77777777" w:rsidR="00F815D4" w:rsidRPr="006D46E5" w:rsidRDefault="00F815D4" w:rsidP="00585A42">
            <w:pPr>
              <w:pStyle w:val="TableHeading"/>
              <w:keepNext/>
              <w:rPr>
                <w:rFonts w:cs="Arial"/>
                <w:color w:val="FFFFFF" w:themeColor="background1"/>
              </w:rPr>
            </w:pPr>
            <w:r>
              <w:rPr>
                <w:rFonts w:cs="Arial"/>
                <w:color w:val="FFFFFF" w:themeColor="background1"/>
              </w:rPr>
              <w:t>Milestone</w:t>
            </w:r>
          </w:p>
        </w:tc>
        <w:tc>
          <w:tcPr>
            <w:tcW w:w="1843" w:type="dxa"/>
            <w:shd w:val="clear" w:color="auto" w:fill="404040" w:themeFill="text1" w:themeFillTint="BF"/>
          </w:tcPr>
          <w:p w14:paraId="67828138" w14:textId="77777777" w:rsidR="00F815D4" w:rsidRPr="006D46E5" w:rsidRDefault="00F815D4" w:rsidP="00585A42">
            <w:pPr>
              <w:pStyle w:val="TableHeading"/>
              <w:keepNext/>
              <w:rPr>
                <w:rFonts w:cs="Arial"/>
                <w:color w:val="FFFFFF" w:themeColor="background1"/>
              </w:rPr>
            </w:pPr>
            <w:r>
              <w:rPr>
                <w:rFonts w:cs="Arial"/>
                <w:color w:val="FFFFFF" w:themeColor="background1"/>
              </w:rPr>
              <w:t>Date</w:t>
            </w:r>
          </w:p>
        </w:tc>
      </w:tr>
      <w:tr w:rsidR="00F815D4" w:rsidRPr="006D46E5" w14:paraId="1D422B64" w14:textId="77777777" w:rsidTr="00585A42">
        <w:tc>
          <w:tcPr>
            <w:tcW w:w="3686" w:type="dxa"/>
            <w:tcBorders>
              <w:bottom w:val="single" w:sz="4" w:space="0" w:color="auto"/>
            </w:tcBorders>
          </w:tcPr>
          <w:p w14:paraId="7A3D2301" w14:textId="77777777" w:rsidR="00F815D4" w:rsidRPr="006D46E5" w:rsidRDefault="00F815D4" w:rsidP="00585A42">
            <w:pPr>
              <w:pStyle w:val="TableBody"/>
              <w:keepNext/>
              <w:rPr>
                <w:rFonts w:cs="Arial"/>
              </w:rPr>
            </w:pPr>
            <w:r w:rsidRPr="00EC65B3">
              <w:rPr>
                <w:rFonts w:cs="Arial"/>
                <w:sz w:val="18"/>
                <w:szCs w:val="18"/>
              </w:rPr>
              <w:t xml:space="preserve">Release: </w:t>
            </w:r>
            <w:r>
              <w:rPr>
                <w:rFonts w:cs="Arial"/>
                <w:i/>
                <w:sz w:val="18"/>
                <w:szCs w:val="18"/>
              </w:rPr>
              <w:t xml:space="preserve">Future use of the 3700–4200 MHz band </w:t>
            </w:r>
            <w:r w:rsidRPr="00585A42">
              <w:rPr>
                <w:rFonts w:cs="Arial"/>
                <w:iCs/>
                <w:sz w:val="18"/>
                <w:szCs w:val="18"/>
              </w:rPr>
              <w:t>(initial investigation paper</w:t>
            </w:r>
            <w:r>
              <w:rPr>
                <w:rFonts w:cs="Arial"/>
                <w:iCs/>
                <w:sz w:val="18"/>
                <w:szCs w:val="18"/>
              </w:rPr>
              <w:t>)</w:t>
            </w:r>
          </w:p>
        </w:tc>
        <w:tc>
          <w:tcPr>
            <w:tcW w:w="1843" w:type="dxa"/>
            <w:tcBorders>
              <w:bottom w:val="single" w:sz="4" w:space="0" w:color="auto"/>
            </w:tcBorders>
          </w:tcPr>
          <w:p w14:paraId="1674E357" w14:textId="4705C6C8" w:rsidR="00F815D4" w:rsidRPr="006D46E5" w:rsidRDefault="008471C7" w:rsidP="00585A42">
            <w:pPr>
              <w:pStyle w:val="TableBody"/>
              <w:keepNext/>
              <w:rPr>
                <w:rFonts w:cs="Arial"/>
              </w:rPr>
            </w:pPr>
            <w:r>
              <w:rPr>
                <w:rFonts w:cs="Arial"/>
                <w:sz w:val="18"/>
                <w:szCs w:val="18"/>
              </w:rPr>
              <w:t xml:space="preserve">7 </w:t>
            </w:r>
            <w:r w:rsidR="00C14CD7">
              <w:rPr>
                <w:rFonts w:cs="Arial"/>
                <w:sz w:val="18"/>
                <w:szCs w:val="18"/>
              </w:rPr>
              <w:t>August 2019</w:t>
            </w:r>
          </w:p>
        </w:tc>
      </w:tr>
      <w:tr w:rsidR="00F815D4" w:rsidRPr="006D46E5" w14:paraId="0BE3507E" w14:textId="77777777" w:rsidTr="00585A42">
        <w:tc>
          <w:tcPr>
            <w:tcW w:w="3686" w:type="dxa"/>
            <w:shd w:val="clear" w:color="auto" w:fill="F2F2F2" w:themeFill="background1" w:themeFillShade="F2"/>
          </w:tcPr>
          <w:p w14:paraId="0E876A4E" w14:textId="77777777" w:rsidR="00F815D4" w:rsidRPr="006D46E5" w:rsidRDefault="00F815D4" w:rsidP="00585A42">
            <w:pPr>
              <w:pStyle w:val="TableBody"/>
              <w:keepNext/>
              <w:rPr>
                <w:rFonts w:cs="Arial"/>
              </w:rPr>
            </w:pPr>
            <w:r w:rsidRPr="00EC65B3">
              <w:rPr>
                <w:rFonts w:cs="Arial"/>
                <w:sz w:val="18"/>
                <w:szCs w:val="18"/>
              </w:rPr>
              <w:t>Submissions due to options paper</w:t>
            </w:r>
          </w:p>
        </w:tc>
        <w:tc>
          <w:tcPr>
            <w:tcW w:w="1843" w:type="dxa"/>
            <w:shd w:val="clear" w:color="auto" w:fill="F2F2F2" w:themeFill="background1" w:themeFillShade="F2"/>
          </w:tcPr>
          <w:p w14:paraId="7C05F70B" w14:textId="46663709" w:rsidR="00F815D4" w:rsidRPr="006D46E5" w:rsidRDefault="00C14CD7" w:rsidP="00585A42">
            <w:pPr>
              <w:pStyle w:val="TableBody"/>
              <w:keepNext/>
              <w:rPr>
                <w:rFonts w:cs="Arial"/>
              </w:rPr>
            </w:pPr>
            <w:r>
              <w:rPr>
                <w:rFonts w:cs="Arial"/>
                <w:sz w:val="18"/>
                <w:szCs w:val="18"/>
              </w:rPr>
              <w:t>13 September 2019</w:t>
            </w:r>
          </w:p>
        </w:tc>
      </w:tr>
      <w:tr w:rsidR="00F815D4" w:rsidRPr="006D46E5" w14:paraId="571D1C61" w14:textId="77777777" w:rsidTr="00585A42">
        <w:tc>
          <w:tcPr>
            <w:tcW w:w="3686" w:type="dxa"/>
            <w:tcBorders>
              <w:bottom w:val="single" w:sz="4" w:space="0" w:color="auto"/>
            </w:tcBorders>
          </w:tcPr>
          <w:p w14:paraId="2A93B00A" w14:textId="77777777" w:rsidR="00F815D4" w:rsidRPr="006D46E5" w:rsidRDefault="00F815D4" w:rsidP="00585A42">
            <w:pPr>
              <w:pStyle w:val="TableBody"/>
              <w:keepNext/>
              <w:rPr>
                <w:rFonts w:cs="Arial"/>
              </w:rPr>
            </w:pPr>
            <w:r w:rsidRPr="00EC65B3">
              <w:rPr>
                <w:rFonts w:cs="Arial"/>
                <w:sz w:val="18"/>
                <w:szCs w:val="18"/>
              </w:rPr>
              <w:t xml:space="preserve">Release: </w:t>
            </w:r>
            <w:r>
              <w:rPr>
                <w:rFonts w:cs="Arial"/>
                <w:i/>
                <w:sz w:val="18"/>
                <w:szCs w:val="18"/>
              </w:rPr>
              <w:t xml:space="preserve">Future use of the 3700–4200 MHz band </w:t>
            </w:r>
            <w:r w:rsidRPr="00585A42">
              <w:rPr>
                <w:rFonts w:cs="Arial"/>
                <w:iCs/>
                <w:sz w:val="18"/>
                <w:szCs w:val="18"/>
              </w:rPr>
              <w:t>(options paper)</w:t>
            </w:r>
          </w:p>
        </w:tc>
        <w:tc>
          <w:tcPr>
            <w:tcW w:w="1843" w:type="dxa"/>
            <w:tcBorders>
              <w:bottom w:val="single" w:sz="4" w:space="0" w:color="auto"/>
            </w:tcBorders>
          </w:tcPr>
          <w:p w14:paraId="7ED5474C" w14:textId="77777777" w:rsidR="00F815D4" w:rsidRPr="006D46E5" w:rsidRDefault="00F815D4" w:rsidP="00585A42">
            <w:pPr>
              <w:pStyle w:val="TableBody"/>
              <w:keepNext/>
              <w:rPr>
                <w:rFonts w:cs="Arial"/>
              </w:rPr>
            </w:pPr>
            <w:r>
              <w:rPr>
                <w:rFonts w:cs="Arial"/>
                <w:sz w:val="18"/>
                <w:szCs w:val="18"/>
              </w:rPr>
              <w:t xml:space="preserve">Q1 </w:t>
            </w:r>
            <w:r w:rsidRPr="00EC65B3">
              <w:rPr>
                <w:rFonts w:cs="Arial"/>
                <w:sz w:val="18"/>
                <w:szCs w:val="18"/>
              </w:rPr>
              <w:t>20</w:t>
            </w:r>
            <w:r>
              <w:rPr>
                <w:rFonts w:cs="Arial"/>
                <w:sz w:val="18"/>
                <w:szCs w:val="18"/>
              </w:rPr>
              <w:t>20</w:t>
            </w:r>
          </w:p>
        </w:tc>
      </w:tr>
      <w:tr w:rsidR="00F815D4" w:rsidRPr="006D46E5" w14:paraId="6EB2FDAC" w14:textId="77777777" w:rsidTr="00585A42">
        <w:tc>
          <w:tcPr>
            <w:tcW w:w="3686" w:type="dxa"/>
            <w:shd w:val="clear" w:color="auto" w:fill="F2F2F2" w:themeFill="background1" w:themeFillShade="F2"/>
          </w:tcPr>
          <w:p w14:paraId="12D69320" w14:textId="77777777" w:rsidR="00F815D4" w:rsidRPr="006D46E5" w:rsidRDefault="00F815D4" w:rsidP="00585A42">
            <w:pPr>
              <w:pStyle w:val="TableBody"/>
              <w:keepNext/>
              <w:rPr>
                <w:rFonts w:cs="Arial"/>
              </w:rPr>
            </w:pPr>
            <w:r>
              <w:rPr>
                <w:rFonts w:cs="Arial"/>
                <w:sz w:val="18"/>
                <w:szCs w:val="18"/>
              </w:rPr>
              <w:t xml:space="preserve">Release: </w:t>
            </w:r>
            <w:r>
              <w:rPr>
                <w:rFonts w:cs="Arial"/>
                <w:i/>
                <w:sz w:val="18"/>
                <w:szCs w:val="18"/>
              </w:rPr>
              <w:t xml:space="preserve">Future use of the 3700–4200 MHz band </w:t>
            </w:r>
            <w:r w:rsidRPr="00585A42">
              <w:rPr>
                <w:rFonts w:cs="Arial"/>
                <w:iCs/>
                <w:sz w:val="18"/>
                <w:szCs w:val="18"/>
              </w:rPr>
              <w:t>(planning decisions and preliminary views)</w:t>
            </w:r>
          </w:p>
        </w:tc>
        <w:tc>
          <w:tcPr>
            <w:tcW w:w="1843" w:type="dxa"/>
            <w:shd w:val="clear" w:color="auto" w:fill="F2F2F2" w:themeFill="background1" w:themeFillShade="F2"/>
          </w:tcPr>
          <w:p w14:paraId="4CD6FCF4" w14:textId="77777777" w:rsidR="00F815D4" w:rsidRPr="006D46E5" w:rsidRDefault="00F815D4" w:rsidP="00585A42">
            <w:pPr>
              <w:pStyle w:val="TableBody"/>
              <w:keepNext/>
              <w:rPr>
                <w:rFonts w:cs="Arial"/>
              </w:rPr>
            </w:pPr>
            <w:r w:rsidRPr="007674D2">
              <w:rPr>
                <w:rFonts w:cs="Arial"/>
                <w:sz w:val="18"/>
                <w:szCs w:val="18"/>
              </w:rPr>
              <w:t xml:space="preserve">Q2 </w:t>
            </w:r>
            <w:r w:rsidRPr="0008054B">
              <w:rPr>
                <w:rFonts w:cs="Arial"/>
                <w:sz w:val="18"/>
                <w:szCs w:val="18"/>
              </w:rPr>
              <w:t>2020</w:t>
            </w:r>
          </w:p>
        </w:tc>
      </w:tr>
      <w:tr w:rsidR="00F815D4" w:rsidRPr="006D46E5" w14:paraId="7840F735" w14:textId="77777777" w:rsidTr="00585A42">
        <w:tc>
          <w:tcPr>
            <w:tcW w:w="3686" w:type="dxa"/>
            <w:tcBorders>
              <w:bottom w:val="single" w:sz="4" w:space="0" w:color="auto"/>
            </w:tcBorders>
          </w:tcPr>
          <w:p w14:paraId="63BA91F0" w14:textId="77777777" w:rsidR="00F815D4" w:rsidRPr="006D46E5" w:rsidRDefault="00F815D4" w:rsidP="00585A42">
            <w:pPr>
              <w:pStyle w:val="TableBody"/>
              <w:keepNext/>
              <w:rPr>
                <w:rFonts w:cs="Arial"/>
              </w:rPr>
            </w:pPr>
            <w:r>
              <w:rPr>
                <w:rFonts w:cs="Arial"/>
                <w:sz w:val="18"/>
                <w:szCs w:val="18"/>
              </w:rPr>
              <w:t>Pending planning decisions made (implementation of review outcomes)</w:t>
            </w:r>
          </w:p>
        </w:tc>
        <w:tc>
          <w:tcPr>
            <w:tcW w:w="1843" w:type="dxa"/>
            <w:tcBorders>
              <w:bottom w:val="single" w:sz="4" w:space="0" w:color="auto"/>
            </w:tcBorders>
          </w:tcPr>
          <w:p w14:paraId="077D981B" w14:textId="77777777" w:rsidR="00F815D4" w:rsidRPr="006D46E5" w:rsidRDefault="00F815D4" w:rsidP="00585A42">
            <w:pPr>
              <w:pStyle w:val="TableBody"/>
              <w:keepNext/>
              <w:rPr>
                <w:rFonts w:cs="Arial"/>
              </w:rPr>
            </w:pPr>
            <w:r w:rsidRPr="000B5B9C">
              <w:rPr>
                <w:rFonts w:cs="Arial"/>
                <w:sz w:val="18"/>
                <w:szCs w:val="18"/>
              </w:rPr>
              <w:t>Q2 2020 onwards</w:t>
            </w:r>
          </w:p>
        </w:tc>
      </w:tr>
    </w:tbl>
    <w:p w14:paraId="0A8342DE" w14:textId="37B6CCA5" w:rsidR="00F815D4" w:rsidRDefault="00F815D4" w:rsidP="00F815D4">
      <w:pPr>
        <w:pStyle w:val="Heading1"/>
      </w:pPr>
      <w:bookmarkStart w:id="41" w:name="_Toc16064486"/>
      <w:bookmarkEnd w:id="39"/>
      <w:r>
        <w:lastRenderedPageBreak/>
        <w:t>Current use and arrangements</w:t>
      </w:r>
      <w:bookmarkEnd w:id="41"/>
    </w:p>
    <w:p w14:paraId="7AD5B5EC" w14:textId="23674CB0" w:rsidR="00F815D4" w:rsidRDefault="00F815D4" w:rsidP="00F815D4">
      <w:pPr>
        <w:pStyle w:val="Heading2"/>
      </w:pPr>
      <w:bookmarkStart w:id="42" w:name="_Toc16064487"/>
      <w:r>
        <w:t>Current planning arrangements and use</w:t>
      </w:r>
      <w:bookmarkEnd w:id="42"/>
    </w:p>
    <w:p w14:paraId="4F758047" w14:textId="77777777" w:rsidR="00F815D4" w:rsidRPr="0033749D" w:rsidRDefault="00F815D4" w:rsidP="00F815D4">
      <w:pPr>
        <w:pStyle w:val="ACMASpaceaftertable"/>
      </w:pPr>
      <w:r w:rsidRPr="000F6577">
        <w:t>Historically</w:t>
      </w:r>
      <w:r>
        <w:t>,</w:t>
      </w:r>
      <w:r w:rsidRPr="000F6577">
        <w:t xml:space="preserve"> the </w:t>
      </w:r>
      <w:r>
        <w:t>3700–4200 MHz</w:t>
      </w:r>
      <w:r w:rsidRPr="000F6577">
        <w:t xml:space="preserve"> band </w:t>
      </w:r>
      <w:r>
        <w:t>h</w:t>
      </w:r>
      <w:r w:rsidRPr="000F6577">
        <w:t xml:space="preserve">as been used by </w:t>
      </w:r>
      <w:r>
        <w:t xml:space="preserve">apparatus licensed </w:t>
      </w:r>
      <w:r w:rsidRPr="000F6577">
        <w:t xml:space="preserve">FSS </w:t>
      </w:r>
      <w:r>
        <w:t xml:space="preserve">earth stations (space-to-Earth) (i.e. earth receive) </w:t>
      </w:r>
      <w:r w:rsidRPr="000F6577">
        <w:t xml:space="preserve">and </w:t>
      </w:r>
      <w:r>
        <w:t xml:space="preserve">the fixed service (i.e. </w:t>
      </w:r>
      <w:r w:rsidRPr="000F6577">
        <w:t>point-to-point links</w:t>
      </w:r>
      <w:r>
        <w:t>)</w:t>
      </w:r>
      <w:r w:rsidRPr="000F6577">
        <w:t>.</w:t>
      </w:r>
    </w:p>
    <w:p w14:paraId="69C70965" w14:textId="0B5C1EDD" w:rsidR="00F815D4" w:rsidRPr="00985A03" w:rsidRDefault="00F815D4" w:rsidP="00F815D4">
      <w:r>
        <w:rPr>
          <w:szCs w:val="20"/>
        </w:rPr>
        <w:t xml:space="preserve">Figure 2 </w:t>
      </w:r>
      <w:r w:rsidRPr="00525ADC">
        <w:rPr>
          <w:szCs w:val="20"/>
        </w:rPr>
        <w:t xml:space="preserve">provides the current arrangements in the </w:t>
      </w:r>
      <w:r>
        <w:t>3700–4200 MHz</w:t>
      </w:r>
      <w:r w:rsidRPr="000F6577">
        <w:t xml:space="preserve"> </w:t>
      </w:r>
      <w:r w:rsidRPr="00525ADC">
        <w:rPr>
          <w:szCs w:val="20"/>
        </w:rPr>
        <w:t>band (shown by the shaded area)</w:t>
      </w:r>
      <w:r w:rsidRPr="00985A03">
        <w:t xml:space="preserve"> </w:t>
      </w:r>
      <w:r w:rsidRPr="00766E36">
        <w:t>and adjacent bands</w:t>
      </w:r>
      <w:r>
        <w:t xml:space="preserve">. </w:t>
      </w:r>
      <w:r w:rsidR="005E6B3F">
        <w:t xml:space="preserve">Table 2 </w:t>
      </w:r>
      <w:r>
        <w:t>shows a summary of the current number of licences in the band.</w:t>
      </w:r>
    </w:p>
    <w:p w14:paraId="13C04D39" w14:textId="5762E6BA" w:rsidR="00F815D4" w:rsidRPr="00985A03" w:rsidRDefault="00F815D4" w:rsidP="00585A42">
      <w:pPr>
        <w:pStyle w:val="ACMAFigureHeader"/>
      </w:pPr>
      <w:r>
        <w:t>3700–4200</w:t>
      </w:r>
      <w:r w:rsidRPr="00985A03">
        <w:t xml:space="preserve"> </w:t>
      </w:r>
      <w:r>
        <w:t>M</w:t>
      </w:r>
      <w:r w:rsidRPr="00985A03">
        <w:t>Hz band arrangements</w:t>
      </w:r>
    </w:p>
    <w:p w14:paraId="535F3BE7" w14:textId="77777777" w:rsidR="00F815D4" w:rsidRDefault="00F815D4" w:rsidP="00F815D4">
      <w:pPr>
        <w:rPr>
          <w:rFonts w:cs="Arial"/>
        </w:rPr>
      </w:pPr>
      <w:r>
        <w:rPr>
          <w:noProof/>
        </w:rPr>
        <w:drawing>
          <wp:inline distT="0" distB="0" distL="0" distR="0" wp14:anchorId="0A97A57F" wp14:editId="76B4AE55">
            <wp:extent cx="5812468" cy="4991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819721" cy="4997328"/>
                    </a:xfrm>
                    <a:prstGeom prst="rect">
                      <a:avLst/>
                    </a:prstGeom>
                  </pic:spPr>
                </pic:pic>
              </a:graphicData>
            </a:graphic>
          </wp:inline>
        </w:drawing>
      </w:r>
    </w:p>
    <w:p w14:paraId="0789EF9A" w14:textId="77777777" w:rsidR="00F815D4" w:rsidRDefault="00F815D4" w:rsidP="00F815D4">
      <w:pPr>
        <w:spacing w:after="160" w:line="259" w:lineRule="auto"/>
        <w:rPr>
          <w:b/>
          <w:bCs/>
          <w:iCs/>
          <w:color w:val="323232"/>
          <w:szCs w:val="20"/>
        </w:rPr>
      </w:pPr>
      <w:bookmarkStart w:id="43" w:name="_Ref459817782"/>
      <w:bookmarkStart w:id="44" w:name="_Ref458581852"/>
      <w:r>
        <w:rPr>
          <w:b/>
          <w:bCs/>
          <w:color w:val="323232"/>
          <w:szCs w:val="20"/>
        </w:rPr>
        <w:br w:type="page"/>
      </w:r>
    </w:p>
    <w:p w14:paraId="51B9A2E3" w14:textId="7CA47F27" w:rsidR="00F815D4" w:rsidRDefault="00F815D4" w:rsidP="00F815D4">
      <w:pPr>
        <w:pStyle w:val="ACMATableHeader"/>
      </w:pPr>
      <w:r w:rsidRPr="00046CAB">
        <w:lastRenderedPageBreak/>
        <w:t>Breakdown of licen</w:t>
      </w:r>
      <w:r>
        <w:t>c</w:t>
      </w:r>
      <w:r w:rsidRPr="00046CAB">
        <w:t>e</w:t>
      </w:r>
      <w:r>
        <w:t xml:space="preserve"> numbers</w:t>
      </w:r>
      <w:r w:rsidRPr="00046CAB">
        <w:t xml:space="preserve"> in the </w:t>
      </w:r>
      <w:r>
        <w:t>3700–4200</w:t>
      </w:r>
      <w:r w:rsidRPr="00046CAB">
        <w:t xml:space="preserve"> </w:t>
      </w:r>
      <w:r>
        <w:t>M</w:t>
      </w:r>
      <w:r w:rsidRPr="00046CAB">
        <w:t>Hz band (RRL extract, 1 May 2019)</w:t>
      </w:r>
    </w:p>
    <w:tbl>
      <w:tblPr>
        <w:tblW w:w="9050"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2190"/>
        <w:gridCol w:w="2063"/>
        <w:gridCol w:w="1984"/>
        <w:gridCol w:w="2813"/>
      </w:tblGrid>
      <w:tr w:rsidR="00F815D4" w:rsidRPr="006D46E5" w14:paraId="2A22C36B" w14:textId="77777777" w:rsidTr="00585A42">
        <w:trPr>
          <w:trHeight w:val="502"/>
        </w:trPr>
        <w:tc>
          <w:tcPr>
            <w:tcW w:w="2190" w:type="dxa"/>
            <w:shd w:val="clear" w:color="auto" w:fill="404040" w:themeFill="text1" w:themeFillTint="BF"/>
          </w:tcPr>
          <w:p w14:paraId="59AAC44B" w14:textId="77777777" w:rsidR="00F815D4" w:rsidRPr="006D46E5" w:rsidRDefault="00F815D4" w:rsidP="00C14CD7">
            <w:pPr>
              <w:pStyle w:val="TableHeading"/>
              <w:rPr>
                <w:rFonts w:cs="Arial"/>
                <w:color w:val="FFFFFF" w:themeColor="background1"/>
              </w:rPr>
            </w:pPr>
            <w:r>
              <w:rPr>
                <w:rFonts w:cs="Arial"/>
                <w:color w:val="FFFFFF" w:themeColor="background1"/>
              </w:rPr>
              <w:t>Licence type</w:t>
            </w:r>
          </w:p>
        </w:tc>
        <w:tc>
          <w:tcPr>
            <w:tcW w:w="2063" w:type="dxa"/>
            <w:shd w:val="clear" w:color="auto" w:fill="404040" w:themeFill="text1" w:themeFillTint="BF"/>
          </w:tcPr>
          <w:p w14:paraId="07394552" w14:textId="5FEC7E62" w:rsidR="00F815D4" w:rsidRPr="006D46E5" w:rsidRDefault="00F815D4" w:rsidP="00C14CD7">
            <w:pPr>
              <w:pStyle w:val="TableHeading"/>
              <w:rPr>
                <w:rFonts w:cs="Arial"/>
                <w:color w:val="FFFFFF" w:themeColor="background1"/>
              </w:rPr>
            </w:pPr>
            <w:r w:rsidRPr="00A67371">
              <w:rPr>
                <w:rFonts w:cs="Arial"/>
                <w:color w:val="FFFFFF" w:themeColor="background1"/>
              </w:rPr>
              <w:t>N</w:t>
            </w:r>
            <w:r>
              <w:rPr>
                <w:rFonts w:cs="Arial"/>
                <w:color w:val="FFFFFF" w:themeColor="background1"/>
              </w:rPr>
              <w:t>o.</w:t>
            </w:r>
            <w:r w:rsidRPr="00A67371">
              <w:rPr>
                <w:rFonts w:cs="Arial"/>
                <w:color w:val="FFFFFF" w:themeColor="background1"/>
              </w:rPr>
              <w:t xml:space="preserve"> of licences</w:t>
            </w:r>
            <w:r>
              <w:rPr>
                <w:rFonts w:cs="Arial"/>
                <w:color w:val="FFFFFF" w:themeColor="background1"/>
              </w:rPr>
              <w:t xml:space="preserve"> (devices</w:t>
            </w:r>
            <w:r w:rsidR="005E6B3F">
              <w:rPr>
                <w:rStyle w:val="FootnoteReference"/>
                <w:rFonts w:cs="Arial"/>
                <w:color w:val="FFFFFF" w:themeColor="background1"/>
              </w:rPr>
              <w:footnoteReference w:id="6"/>
            </w:r>
            <w:r>
              <w:rPr>
                <w:color w:val="FFFFFF" w:themeColor="background1"/>
              </w:rPr>
              <w:t>)</w:t>
            </w:r>
          </w:p>
        </w:tc>
        <w:tc>
          <w:tcPr>
            <w:tcW w:w="1984" w:type="dxa"/>
            <w:shd w:val="clear" w:color="auto" w:fill="404040" w:themeFill="text1" w:themeFillTint="BF"/>
          </w:tcPr>
          <w:p w14:paraId="3B25069F" w14:textId="77777777" w:rsidR="00F815D4" w:rsidRPr="006D46E5" w:rsidRDefault="00F815D4" w:rsidP="00C14CD7">
            <w:pPr>
              <w:pStyle w:val="TableHeading"/>
              <w:rPr>
                <w:rFonts w:cs="Arial"/>
                <w:color w:val="FFFFFF" w:themeColor="background1"/>
              </w:rPr>
            </w:pPr>
            <w:r w:rsidRPr="00A67371">
              <w:rPr>
                <w:rFonts w:cs="Arial"/>
                <w:color w:val="FFFFFF" w:themeColor="background1"/>
              </w:rPr>
              <w:t>N</w:t>
            </w:r>
            <w:r>
              <w:rPr>
                <w:rFonts w:cs="Arial"/>
                <w:color w:val="FFFFFF" w:themeColor="background1"/>
              </w:rPr>
              <w:t xml:space="preserve">o. </w:t>
            </w:r>
            <w:r w:rsidRPr="00A67371">
              <w:rPr>
                <w:rFonts w:cs="Arial"/>
                <w:color w:val="FFFFFF" w:themeColor="background1"/>
              </w:rPr>
              <w:t xml:space="preserve">of </w:t>
            </w:r>
            <w:r>
              <w:rPr>
                <w:rFonts w:cs="Arial"/>
                <w:color w:val="FFFFFF" w:themeColor="background1"/>
              </w:rPr>
              <w:t>licensees</w:t>
            </w:r>
          </w:p>
        </w:tc>
        <w:tc>
          <w:tcPr>
            <w:tcW w:w="2813" w:type="dxa"/>
            <w:shd w:val="clear" w:color="auto" w:fill="404040" w:themeFill="text1" w:themeFillTint="BF"/>
          </w:tcPr>
          <w:p w14:paraId="167BE592" w14:textId="77777777" w:rsidR="00F815D4" w:rsidRPr="00A67371" w:rsidRDefault="00F815D4" w:rsidP="00C14CD7">
            <w:pPr>
              <w:pStyle w:val="TableHeading"/>
              <w:rPr>
                <w:rFonts w:cs="Arial"/>
                <w:color w:val="FFFFFF" w:themeColor="background1"/>
              </w:rPr>
            </w:pPr>
            <w:r w:rsidRPr="00A67371">
              <w:rPr>
                <w:rFonts w:cs="Arial"/>
                <w:color w:val="FFFFFF" w:themeColor="background1"/>
              </w:rPr>
              <w:t>Major licensees</w:t>
            </w:r>
            <w:r>
              <w:rPr>
                <w:rFonts w:cs="Arial"/>
                <w:color w:val="FFFFFF" w:themeColor="background1"/>
              </w:rPr>
              <w:t xml:space="preserve"> </w:t>
            </w:r>
            <w:r w:rsidRPr="00A67371">
              <w:rPr>
                <w:rFonts w:cs="Arial"/>
                <w:color w:val="FFFFFF" w:themeColor="background1"/>
              </w:rPr>
              <w:t xml:space="preserve">(number of </w:t>
            </w:r>
            <w:r>
              <w:rPr>
                <w:rFonts w:cs="Arial"/>
                <w:color w:val="FFFFFF" w:themeColor="background1"/>
              </w:rPr>
              <w:t>devices</w:t>
            </w:r>
            <w:r w:rsidRPr="00A67371">
              <w:rPr>
                <w:rFonts w:cs="Arial"/>
                <w:color w:val="FFFFFF" w:themeColor="background1"/>
              </w:rPr>
              <w:t>)</w:t>
            </w:r>
          </w:p>
        </w:tc>
      </w:tr>
      <w:tr w:rsidR="00F815D4" w:rsidRPr="006D46E5" w14:paraId="284D9D48" w14:textId="77777777" w:rsidTr="00585A42">
        <w:trPr>
          <w:trHeight w:val="1443"/>
        </w:trPr>
        <w:tc>
          <w:tcPr>
            <w:tcW w:w="2190" w:type="dxa"/>
            <w:tcBorders>
              <w:bottom w:val="single" w:sz="4" w:space="0" w:color="auto"/>
            </w:tcBorders>
          </w:tcPr>
          <w:p w14:paraId="12AFAE40" w14:textId="77777777" w:rsidR="00F815D4" w:rsidRPr="006D46E5" w:rsidRDefault="00F815D4" w:rsidP="00C14CD7">
            <w:pPr>
              <w:pStyle w:val="TableBody"/>
              <w:rPr>
                <w:rFonts w:cs="Arial"/>
              </w:rPr>
            </w:pPr>
            <w:r w:rsidRPr="00A67371">
              <w:rPr>
                <w:rFonts w:cs="Arial"/>
              </w:rPr>
              <w:t>Earth receive</w:t>
            </w:r>
          </w:p>
        </w:tc>
        <w:tc>
          <w:tcPr>
            <w:tcW w:w="2063" w:type="dxa"/>
            <w:tcBorders>
              <w:bottom w:val="single" w:sz="4" w:space="0" w:color="auto"/>
            </w:tcBorders>
          </w:tcPr>
          <w:p w14:paraId="78BC8093" w14:textId="77777777" w:rsidR="00F815D4" w:rsidRDefault="00F815D4" w:rsidP="00585A42">
            <w:pPr>
              <w:pStyle w:val="TableBody"/>
            </w:pPr>
            <w:r>
              <w:t>255 (328)</w:t>
            </w:r>
          </w:p>
          <w:p w14:paraId="729D717F" w14:textId="77777777" w:rsidR="00F815D4" w:rsidRDefault="00F815D4" w:rsidP="00C14CD7">
            <w:pPr>
              <w:pStyle w:val="TableBody"/>
              <w:jc w:val="center"/>
            </w:pPr>
          </w:p>
          <w:p w14:paraId="1D181D22" w14:textId="77777777" w:rsidR="00F815D4" w:rsidRPr="006D46E5" w:rsidRDefault="00F815D4" w:rsidP="00C14CD7">
            <w:pPr>
              <w:pStyle w:val="TableBody"/>
              <w:rPr>
                <w:rFonts w:cs="Arial"/>
              </w:rPr>
            </w:pPr>
            <w:r>
              <w:t>(58 discrete site locations)</w:t>
            </w:r>
          </w:p>
        </w:tc>
        <w:tc>
          <w:tcPr>
            <w:tcW w:w="1984" w:type="dxa"/>
            <w:tcBorders>
              <w:bottom w:val="single" w:sz="4" w:space="0" w:color="auto"/>
            </w:tcBorders>
          </w:tcPr>
          <w:p w14:paraId="41226EE7" w14:textId="77777777" w:rsidR="00F815D4" w:rsidRPr="006D46E5" w:rsidRDefault="00F815D4" w:rsidP="00C14CD7">
            <w:pPr>
              <w:pStyle w:val="TableBody"/>
              <w:rPr>
                <w:rFonts w:cs="Arial"/>
              </w:rPr>
            </w:pPr>
            <w:r>
              <w:rPr>
                <w:rFonts w:cs="Arial"/>
              </w:rPr>
              <w:t>25</w:t>
            </w:r>
          </w:p>
        </w:tc>
        <w:tc>
          <w:tcPr>
            <w:tcW w:w="2813" w:type="dxa"/>
            <w:tcBorders>
              <w:bottom w:val="single" w:sz="4" w:space="0" w:color="auto"/>
            </w:tcBorders>
          </w:tcPr>
          <w:p w14:paraId="61056DAE" w14:textId="25E1617B" w:rsidR="00F815D4" w:rsidRDefault="00F815D4" w:rsidP="00C14CD7">
            <w:pPr>
              <w:pStyle w:val="TableBody"/>
              <w:rPr>
                <w:rFonts w:cs="Arial"/>
              </w:rPr>
            </w:pPr>
            <w:r>
              <w:t xml:space="preserve">Telstra Corporation Limited (83), Optus </w:t>
            </w:r>
            <w:r w:rsidRPr="003C37D8">
              <w:t>(</w:t>
            </w:r>
            <w:r>
              <w:t>54</w:t>
            </w:r>
            <w:r w:rsidRPr="003C37D8">
              <w:t xml:space="preserve">), </w:t>
            </w:r>
            <w:r>
              <w:t xml:space="preserve">Intelsat (42), Inmarsat (27), Foxtel (27), </w:t>
            </w:r>
            <w:r w:rsidRPr="000B4FC7">
              <w:t>Preparatory Commission for the CTBTO</w:t>
            </w:r>
            <w:r w:rsidR="005E6B3F">
              <w:rPr>
                <w:rStyle w:val="FootnoteReference"/>
              </w:rPr>
              <w:footnoteReference w:id="7"/>
            </w:r>
            <w:r>
              <w:t xml:space="preserve"> (26)</w:t>
            </w:r>
          </w:p>
        </w:tc>
      </w:tr>
      <w:tr w:rsidR="00F815D4" w:rsidRPr="006D46E5" w14:paraId="313DA00A" w14:textId="77777777" w:rsidTr="00585A42">
        <w:trPr>
          <w:trHeight w:val="479"/>
        </w:trPr>
        <w:tc>
          <w:tcPr>
            <w:tcW w:w="2190" w:type="dxa"/>
            <w:shd w:val="clear" w:color="auto" w:fill="F2F2F2" w:themeFill="background1" w:themeFillShade="F2"/>
          </w:tcPr>
          <w:p w14:paraId="44978A4E" w14:textId="77777777" w:rsidR="00F815D4" w:rsidRPr="006D46E5" w:rsidRDefault="00F815D4" w:rsidP="00C14CD7">
            <w:pPr>
              <w:pStyle w:val="TableBody"/>
              <w:rPr>
                <w:rFonts w:cs="Arial"/>
              </w:rPr>
            </w:pPr>
            <w:r w:rsidRPr="00A67371">
              <w:rPr>
                <w:rFonts w:cs="Arial"/>
              </w:rPr>
              <w:t>Point-to-point</w:t>
            </w:r>
          </w:p>
        </w:tc>
        <w:tc>
          <w:tcPr>
            <w:tcW w:w="2063" w:type="dxa"/>
            <w:shd w:val="clear" w:color="auto" w:fill="F2F2F2" w:themeFill="background1" w:themeFillShade="F2"/>
          </w:tcPr>
          <w:p w14:paraId="04A1A031" w14:textId="77777777" w:rsidR="00F815D4" w:rsidRPr="006D46E5" w:rsidRDefault="00F815D4" w:rsidP="00C14CD7">
            <w:pPr>
              <w:pStyle w:val="TableBody"/>
              <w:rPr>
                <w:rFonts w:cs="Arial"/>
              </w:rPr>
            </w:pPr>
            <w:r>
              <w:rPr>
                <w:rFonts w:cs="Arial"/>
              </w:rPr>
              <w:t>103 (384)</w:t>
            </w:r>
          </w:p>
        </w:tc>
        <w:tc>
          <w:tcPr>
            <w:tcW w:w="1984" w:type="dxa"/>
            <w:shd w:val="clear" w:color="auto" w:fill="F2F2F2" w:themeFill="background1" w:themeFillShade="F2"/>
          </w:tcPr>
          <w:p w14:paraId="478B20B6" w14:textId="77777777" w:rsidR="00F815D4" w:rsidRPr="006D46E5" w:rsidRDefault="00F815D4" w:rsidP="00C14CD7">
            <w:pPr>
              <w:pStyle w:val="TableBody"/>
              <w:rPr>
                <w:rFonts w:cs="Arial"/>
              </w:rPr>
            </w:pPr>
            <w:r>
              <w:rPr>
                <w:rFonts w:cs="Arial"/>
              </w:rPr>
              <w:t>4</w:t>
            </w:r>
            <w:r w:rsidRPr="006D46E5">
              <w:rPr>
                <w:rFonts w:cs="Arial"/>
              </w:rPr>
              <w:t xml:space="preserve"> </w:t>
            </w:r>
          </w:p>
        </w:tc>
        <w:tc>
          <w:tcPr>
            <w:tcW w:w="2813" w:type="dxa"/>
            <w:shd w:val="clear" w:color="auto" w:fill="F2F2F2" w:themeFill="background1" w:themeFillShade="F2"/>
          </w:tcPr>
          <w:p w14:paraId="3F72C6B3" w14:textId="77777777" w:rsidR="00F815D4" w:rsidRDefault="00F815D4" w:rsidP="00C14CD7">
            <w:pPr>
              <w:pStyle w:val="TableBody"/>
              <w:rPr>
                <w:rFonts w:cs="Arial"/>
              </w:rPr>
            </w:pPr>
            <w:r w:rsidRPr="003C37D8">
              <w:t>Digital Distributions Australia (</w:t>
            </w:r>
            <w:r>
              <w:t>232</w:t>
            </w:r>
            <w:r w:rsidRPr="003C37D8">
              <w:t>), Telstra (</w:t>
            </w:r>
            <w:r>
              <w:t>130</w:t>
            </w:r>
            <w:r w:rsidRPr="003C37D8">
              <w:t>)</w:t>
            </w:r>
          </w:p>
        </w:tc>
      </w:tr>
      <w:tr w:rsidR="00F815D4" w:rsidRPr="006D46E5" w14:paraId="55936512" w14:textId="77777777" w:rsidTr="00585A42">
        <w:trPr>
          <w:trHeight w:val="235"/>
        </w:trPr>
        <w:tc>
          <w:tcPr>
            <w:tcW w:w="2190" w:type="dxa"/>
            <w:tcBorders>
              <w:bottom w:val="single" w:sz="4" w:space="0" w:color="auto"/>
            </w:tcBorders>
          </w:tcPr>
          <w:p w14:paraId="24315F66" w14:textId="77777777" w:rsidR="00F815D4" w:rsidRPr="006D46E5" w:rsidRDefault="00F815D4" w:rsidP="00C14CD7">
            <w:pPr>
              <w:pStyle w:val="TableBody"/>
              <w:rPr>
                <w:rFonts w:cs="Arial"/>
              </w:rPr>
            </w:pPr>
            <w:r>
              <w:rPr>
                <w:rFonts w:cs="Arial"/>
              </w:rPr>
              <w:t>Radiodetermination</w:t>
            </w:r>
          </w:p>
        </w:tc>
        <w:tc>
          <w:tcPr>
            <w:tcW w:w="2063" w:type="dxa"/>
            <w:tcBorders>
              <w:bottom w:val="single" w:sz="4" w:space="0" w:color="auto"/>
            </w:tcBorders>
          </w:tcPr>
          <w:p w14:paraId="152595A3" w14:textId="77777777" w:rsidR="00F815D4" w:rsidRPr="006D46E5" w:rsidRDefault="00F815D4" w:rsidP="00C14CD7">
            <w:pPr>
              <w:pStyle w:val="TableBody"/>
              <w:rPr>
                <w:rFonts w:cs="Arial"/>
              </w:rPr>
            </w:pPr>
            <w:r>
              <w:rPr>
                <w:rFonts w:cs="Arial"/>
              </w:rPr>
              <w:t>1 (3)</w:t>
            </w:r>
          </w:p>
        </w:tc>
        <w:tc>
          <w:tcPr>
            <w:tcW w:w="1984" w:type="dxa"/>
            <w:tcBorders>
              <w:bottom w:val="single" w:sz="4" w:space="0" w:color="auto"/>
            </w:tcBorders>
          </w:tcPr>
          <w:p w14:paraId="5DEA4FED" w14:textId="77777777" w:rsidR="00F815D4" w:rsidRPr="006D46E5" w:rsidRDefault="00F815D4" w:rsidP="00C14CD7">
            <w:pPr>
              <w:pStyle w:val="TableBody"/>
              <w:rPr>
                <w:rFonts w:cs="Arial"/>
              </w:rPr>
            </w:pPr>
            <w:r>
              <w:rPr>
                <w:rFonts w:cs="Arial"/>
              </w:rPr>
              <w:t>1</w:t>
            </w:r>
            <w:r w:rsidRPr="00CB7174">
              <w:rPr>
                <w:rFonts w:cs="Arial"/>
              </w:rPr>
              <w:t xml:space="preserve"> </w:t>
            </w:r>
          </w:p>
        </w:tc>
        <w:tc>
          <w:tcPr>
            <w:tcW w:w="2813" w:type="dxa"/>
            <w:tcBorders>
              <w:bottom w:val="single" w:sz="4" w:space="0" w:color="auto"/>
            </w:tcBorders>
          </w:tcPr>
          <w:p w14:paraId="01091C68" w14:textId="77777777" w:rsidR="00F815D4" w:rsidRPr="00CB7174" w:rsidRDefault="00F815D4" w:rsidP="00C14CD7">
            <w:pPr>
              <w:pStyle w:val="TableBody"/>
              <w:rPr>
                <w:rFonts w:cs="Arial"/>
              </w:rPr>
            </w:pPr>
            <w:r>
              <w:t xml:space="preserve">Department of Defence </w:t>
            </w:r>
            <w:r w:rsidRPr="003C37D8">
              <w:t>(</w:t>
            </w:r>
            <w:r>
              <w:t>3</w:t>
            </w:r>
            <w:r w:rsidRPr="003C37D8">
              <w:t>)</w:t>
            </w:r>
          </w:p>
        </w:tc>
      </w:tr>
    </w:tbl>
    <w:p w14:paraId="3755C55B" w14:textId="77777777" w:rsidR="00F815D4" w:rsidRPr="00825C27" w:rsidRDefault="00F815D4" w:rsidP="00F815D4">
      <w:pPr>
        <w:pStyle w:val="Heading3"/>
        <w:spacing w:before="240"/>
      </w:pPr>
      <w:bookmarkStart w:id="45" w:name="_Toc12016451"/>
      <w:bookmarkStart w:id="46" w:name="_Toc14762813"/>
      <w:bookmarkStart w:id="47" w:name="_Toc16064488"/>
      <w:bookmarkEnd w:id="43"/>
      <w:bookmarkEnd w:id="44"/>
      <w:r w:rsidRPr="00825C27">
        <w:t xml:space="preserve">Fixed </w:t>
      </w:r>
      <w:r>
        <w:t>s</w:t>
      </w:r>
      <w:r w:rsidRPr="00825C27">
        <w:t>ervice</w:t>
      </w:r>
      <w:r>
        <w:t xml:space="preserve"> (point-to-point links)</w:t>
      </w:r>
      <w:bookmarkEnd w:id="45"/>
      <w:bookmarkEnd w:id="46"/>
      <w:bookmarkEnd w:id="47"/>
    </w:p>
    <w:p w14:paraId="7080F94B" w14:textId="4B82E6B7" w:rsidR="00F815D4" w:rsidRDefault="00F815D4" w:rsidP="00F815D4">
      <w:r>
        <w:t xml:space="preserve">Frequency assignment instructions for point-to-point links operating in the 3700–4200 MHz band are defined in </w:t>
      </w:r>
      <w:hyperlink r:id="rId32" w:history="1">
        <w:r w:rsidRPr="00ED3637">
          <w:rPr>
            <w:rStyle w:val="Hyperlink"/>
          </w:rPr>
          <w:t xml:space="preserve">RALI FX3 </w:t>
        </w:r>
        <w:r w:rsidRPr="006F44DB">
          <w:rPr>
            <w:rStyle w:val="Hyperlink"/>
            <w:i/>
            <w:iCs/>
          </w:rPr>
          <w:t>Microwave fixed services frequency coordination</w:t>
        </w:r>
      </w:hyperlink>
      <w:r>
        <w:t xml:space="preserve">. RALI FX3 restricts any new point-to-point link assignments being issued in the 3590–3710 MHz frequency range (this is also covered by </w:t>
      </w:r>
      <w:hyperlink r:id="rId33" w:history="1">
        <w:r w:rsidRPr="006B1584">
          <w:rPr>
            <w:rStyle w:val="Hyperlink"/>
          </w:rPr>
          <w:t>Embargo 42</w:t>
        </w:r>
      </w:hyperlink>
      <w:r>
        <w:t xml:space="preserve">). In 2017 as part of the ACMA’s </w:t>
      </w:r>
      <w:r w:rsidRPr="009666C9">
        <w:t xml:space="preserve">s </w:t>
      </w:r>
      <w:r>
        <w:t>review of arrangements in the adjacent 3575–3700 MHz (3.6 GHz) band,</w:t>
      </w:r>
      <w:r w:rsidRPr="00C52424">
        <w:t xml:space="preserve"> </w:t>
      </w:r>
      <w:hyperlink r:id="rId34" w:history="1">
        <w:r>
          <w:rPr>
            <w:rStyle w:val="Hyperlink"/>
          </w:rPr>
          <w:t>Embargo 73</w:t>
        </w:r>
      </w:hyperlink>
      <w:r>
        <w:t xml:space="preserve"> was placed on the 3710–3790 MHz band in defined metropolitan and regional areas. This was done to limit the potential for spectrum denial caused by point-to-point links to adjacent 3.6 GHz band WBB deployments. </w:t>
      </w:r>
    </w:p>
    <w:p w14:paraId="1EE89CCC" w14:textId="1665AFFD" w:rsidR="00F815D4" w:rsidRDefault="00F815D4" w:rsidP="00F815D4">
      <w:r w:rsidRPr="00B4679B">
        <w:t xml:space="preserve">Use of the band by </w:t>
      </w:r>
      <w:r>
        <w:t>point-to-point</w:t>
      </w:r>
      <w:r w:rsidRPr="00B4679B">
        <w:t xml:space="preserve"> links has steadily declined over the last </w:t>
      </w:r>
      <w:r w:rsidRPr="00046CAB">
        <w:t>20 years</w:t>
      </w:r>
      <w:r w:rsidRPr="00B4679B">
        <w:t xml:space="preserve">, as </w:t>
      </w:r>
      <w:r w:rsidR="005E6B3F">
        <w:t xml:space="preserve">Table </w:t>
      </w:r>
      <w:r>
        <w:t>3</w:t>
      </w:r>
      <w:r w:rsidRPr="00B4679B">
        <w:t xml:space="preserve"> demonstrates.</w:t>
      </w:r>
      <w:r>
        <w:t xml:space="preserve"> </w:t>
      </w:r>
    </w:p>
    <w:p w14:paraId="5CD3FCF9" w14:textId="0B91062D" w:rsidR="00F815D4" w:rsidRDefault="00F815D4" w:rsidP="00F815D4">
      <w:pPr>
        <w:pStyle w:val="ACMATableHeader"/>
      </w:pPr>
      <w:r>
        <w:t>Point-to-point licences over time</w:t>
      </w:r>
    </w:p>
    <w:tbl>
      <w:tblPr>
        <w:tblW w:w="449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2100"/>
        <w:gridCol w:w="2392"/>
      </w:tblGrid>
      <w:tr w:rsidR="00F815D4" w:rsidRPr="006D46E5" w14:paraId="56FFC259" w14:textId="77777777" w:rsidTr="00585A42">
        <w:trPr>
          <w:trHeight w:val="494"/>
        </w:trPr>
        <w:tc>
          <w:tcPr>
            <w:tcW w:w="2100" w:type="dxa"/>
            <w:shd w:val="clear" w:color="auto" w:fill="404040" w:themeFill="text1" w:themeFillTint="BF"/>
          </w:tcPr>
          <w:p w14:paraId="4B9CC582" w14:textId="77777777" w:rsidR="00F815D4" w:rsidRPr="006D46E5" w:rsidRDefault="00F815D4" w:rsidP="00C14CD7">
            <w:pPr>
              <w:pStyle w:val="TableHeading"/>
              <w:rPr>
                <w:rFonts w:cs="Arial"/>
                <w:color w:val="FFFFFF" w:themeColor="background1"/>
              </w:rPr>
            </w:pPr>
            <w:r>
              <w:rPr>
                <w:rFonts w:cs="Arial"/>
                <w:color w:val="FFFFFF" w:themeColor="background1"/>
              </w:rPr>
              <w:t>Date</w:t>
            </w:r>
          </w:p>
        </w:tc>
        <w:tc>
          <w:tcPr>
            <w:tcW w:w="2392" w:type="dxa"/>
            <w:shd w:val="clear" w:color="auto" w:fill="404040" w:themeFill="text1" w:themeFillTint="BF"/>
          </w:tcPr>
          <w:p w14:paraId="5851D907" w14:textId="77777777" w:rsidR="00F815D4" w:rsidRPr="006D46E5" w:rsidRDefault="00F815D4" w:rsidP="00C14CD7">
            <w:pPr>
              <w:pStyle w:val="TableHeading"/>
              <w:rPr>
                <w:rFonts w:cs="Arial"/>
                <w:color w:val="FFFFFF" w:themeColor="background1"/>
              </w:rPr>
            </w:pPr>
            <w:r>
              <w:rPr>
                <w:rFonts w:cs="Arial"/>
                <w:color w:val="FFFFFF" w:themeColor="background1"/>
              </w:rPr>
              <w:t>P</w:t>
            </w:r>
            <w:r w:rsidRPr="00B35EB7">
              <w:rPr>
                <w:rFonts w:cs="Arial"/>
                <w:color w:val="FFFFFF" w:themeColor="background1"/>
              </w:rPr>
              <w:t>oint-to-point</w:t>
            </w:r>
            <w:r>
              <w:rPr>
                <w:rFonts w:cs="Arial"/>
                <w:color w:val="FFFFFF" w:themeColor="background1"/>
              </w:rPr>
              <w:t xml:space="preserve"> licenses (devices)</w:t>
            </w:r>
          </w:p>
        </w:tc>
      </w:tr>
      <w:tr w:rsidR="00F815D4" w:rsidRPr="006D46E5" w14:paraId="100F9760" w14:textId="77777777" w:rsidTr="00585A42">
        <w:trPr>
          <w:trHeight w:val="240"/>
        </w:trPr>
        <w:tc>
          <w:tcPr>
            <w:tcW w:w="2100" w:type="dxa"/>
            <w:tcBorders>
              <w:bottom w:val="single" w:sz="4" w:space="0" w:color="auto"/>
            </w:tcBorders>
          </w:tcPr>
          <w:p w14:paraId="2CCFC43F" w14:textId="77777777" w:rsidR="00F815D4" w:rsidRPr="006D46E5" w:rsidRDefault="00F815D4" w:rsidP="00C14CD7">
            <w:pPr>
              <w:pStyle w:val="TableBody"/>
              <w:rPr>
                <w:rFonts w:cs="Arial"/>
              </w:rPr>
            </w:pPr>
            <w:r>
              <w:rPr>
                <w:rFonts w:cs="Arial"/>
              </w:rPr>
              <w:t>June 2000</w:t>
            </w:r>
          </w:p>
        </w:tc>
        <w:tc>
          <w:tcPr>
            <w:tcW w:w="2392" w:type="dxa"/>
            <w:tcBorders>
              <w:bottom w:val="single" w:sz="4" w:space="0" w:color="auto"/>
            </w:tcBorders>
          </w:tcPr>
          <w:p w14:paraId="39A87EA7" w14:textId="77777777" w:rsidR="00F815D4" w:rsidRPr="006D46E5" w:rsidRDefault="00F815D4" w:rsidP="00C14CD7">
            <w:pPr>
              <w:pStyle w:val="TableBody"/>
              <w:rPr>
                <w:rFonts w:cs="Arial"/>
              </w:rPr>
            </w:pPr>
            <w:r>
              <w:rPr>
                <w:rFonts w:cs="Arial"/>
              </w:rPr>
              <w:t>1090 (4008)</w:t>
            </w:r>
          </w:p>
        </w:tc>
      </w:tr>
      <w:tr w:rsidR="00F815D4" w:rsidRPr="006D46E5" w14:paraId="1B7FC32F" w14:textId="77777777" w:rsidTr="00585A42">
        <w:trPr>
          <w:trHeight w:val="231"/>
        </w:trPr>
        <w:tc>
          <w:tcPr>
            <w:tcW w:w="2100" w:type="dxa"/>
            <w:shd w:val="clear" w:color="auto" w:fill="F2F2F2" w:themeFill="background1" w:themeFillShade="F2"/>
          </w:tcPr>
          <w:p w14:paraId="412EF506" w14:textId="77777777" w:rsidR="00F815D4" w:rsidRPr="006D46E5" w:rsidRDefault="00F815D4" w:rsidP="00C14CD7">
            <w:pPr>
              <w:pStyle w:val="TableBody"/>
              <w:rPr>
                <w:rFonts w:cs="Arial"/>
              </w:rPr>
            </w:pPr>
            <w:r>
              <w:rPr>
                <w:rFonts w:cs="Arial"/>
              </w:rPr>
              <w:t>June 2005</w:t>
            </w:r>
          </w:p>
        </w:tc>
        <w:tc>
          <w:tcPr>
            <w:tcW w:w="2392" w:type="dxa"/>
            <w:shd w:val="clear" w:color="auto" w:fill="F2F2F2" w:themeFill="background1" w:themeFillShade="F2"/>
          </w:tcPr>
          <w:p w14:paraId="417AB508" w14:textId="77777777" w:rsidR="00F815D4" w:rsidRPr="006D46E5" w:rsidRDefault="00F815D4" w:rsidP="00C14CD7">
            <w:pPr>
              <w:pStyle w:val="TableBody"/>
              <w:rPr>
                <w:rFonts w:cs="Arial"/>
              </w:rPr>
            </w:pPr>
            <w:r>
              <w:rPr>
                <w:rFonts w:cs="Arial"/>
              </w:rPr>
              <w:t>714 (2588)</w:t>
            </w:r>
          </w:p>
        </w:tc>
      </w:tr>
      <w:tr w:rsidR="00F815D4" w:rsidRPr="006D46E5" w14:paraId="6FCE4BBD" w14:textId="77777777" w:rsidTr="00585A42">
        <w:trPr>
          <w:trHeight w:val="240"/>
        </w:trPr>
        <w:tc>
          <w:tcPr>
            <w:tcW w:w="2100" w:type="dxa"/>
            <w:tcBorders>
              <w:bottom w:val="single" w:sz="4" w:space="0" w:color="auto"/>
            </w:tcBorders>
          </w:tcPr>
          <w:p w14:paraId="0F6F9C4C" w14:textId="77777777" w:rsidR="00F815D4" w:rsidRPr="006D46E5" w:rsidRDefault="00F815D4" w:rsidP="00C14CD7">
            <w:pPr>
              <w:pStyle w:val="TableBody"/>
              <w:rPr>
                <w:rFonts w:cs="Arial"/>
              </w:rPr>
            </w:pPr>
            <w:r>
              <w:rPr>
                <w:rFonts w:cs="Arial"/>
              </w:rPr>
              <w:t>June 2010</w:t>
            </w:r>
          </w:p>
        </w:tc>
        <w:tc>
          <w:tcPr>
            <w:tcW w:w="2392" w:type="dxa"/>
            <w:tcBorders>
              <w:bottom w:val="single" w:sz="4" w:space="0" w:color="auto"/>
            </w:tcBorders>
          </w:tcPr>
          <w:p w14:paraId="47CBC841" w14:textId="77777777" w:rsidR="00F815D4" w:rsidRPr="006D46E5" w:rsidRDefault="00F815D4" w:rsidP="00C14CD7">
            <w:pPr>
              <w:pStyle w:val="TableBody"/>
              <w:rPr>
                <w:rFonts w:cs="Arial"/>
              </w:rPr>
            </w:pPr>
            <w:r>
              <w:rPr>
                <w:rFonts w:cs="Arial"/>
              </w:rPr>
              <w:t>302 (1032)</w:t>
            </w:r>
          </w:p>
        </w:tc>
      </w:tr>
      <w:tr w:rsidR="00F815D4" w:rsidRPr="006D46E5" w14:paraId="004C39DD" w14:textId="77777777" w:rsidTr="00585A42">
        <w:trPr>
          <w:trHeight w:val="240"/>
        </w:trPr>
        <w:tc>
          <w:tcPr>
            <w:tcW w:w="2100" w:type="dxa"/>
            <w:shd w:val="clear" w:color="auto" w:fill="F2F2F2" w:themeFill="background1" w:themeFillShade="F2"/>
          </w:tcPr>
          <w:p w14:paraId="583C819A" w14:textId="77777777" w:rsidR="00F815D4" w:rsidRPr="006D46E5" w:rsidRDefault="00F815D4" w:rsidP="00C14CD7">
            <w:pPr>
              <w:pStyle w:val="TableBody"/>
              <w:rPr>
                <w:rFonts w:cs="Arial"/>
              </w:rPr>
            </w:pPr>
            <w:r>
              <w:rPr>
                <w:rFonts w:cs="Arial"/>
              </w:rPr>
              <w:t>June 2015</w:t>
            </w:r>
          </w:p>
        </w:tc>
        <w:tc>
          <w:tcPr>
            <w:tcW w:w="2392" w:type="dxa"/>
            <w:shd w:val="clear" w:color="auto" w:fill="F2F2F2" w:themeFill="background1" w:themeFillShade="F2"/>
          </w:tcPr>
          <w:p w14:paraId="2444D92C" w14:textId="77777777" w:rsidR="00F815D4" w:rsidRPr="006D46E5" w:rsidRDefault="00F815D4" w:rsidP="00C14CD7">
            <w:pPr>
              <w:pStyle w:val="TableBody"/>
              <w:rPr>
                <w:rFonts w:cs="Arial"/>
              </w:rPr>
            </w:pPr>
            <w:r>
              <w:rPr>
                <w:rFonts w:cs="Arial"/>
              </w:rPr>
              <w:t>190 (616)</w:t>
            </w:r>
          </w:p>
        </w:tc>
      </w:tr>
      <w:tr w:rsidR="00F815D4" w:rsidRPr="006D46E5" w14:paraId="78565104" w14:textId="77777777" w:rsidTr="00585A42">
        <w:trPr>
          <w:trHeight w:val="231"/>
        </w:trPr>
        <w:tc>
          <w:tcPr>
            <w:tcW w:w="2100" w:type="dxa"/>
            <w:tcBorders>
              <w:bottom w:val="single" w:sz="4" w:space="0" w:color="auto"/>
            </w:tcBorders>
          </w:tcPr>
          <w:p w14:paraId="075494B4" w14:textId="77777777" w:rsidR="00F815D4" w:rsidRPr="006D46E5" w:rsidRDefault="00F815D4" w:rsidP="00C14CD7">
            <w:pPr>
              <w:pStyle w:val="TableBody"/>
              <w:rPr>
                <w:rFonts w:cs="Arial"/>
              </w:rPr>
            </w:pPr>
            <w:r>
              <w:rPr>
                <w:rFonts w:cs="Arial"/>
              </w:rPr>
              <w:t>May 2019</w:t>
            </w:r>
          </w:p>
        </w:tc>
        <w:tc>
          <w:tcPr>
            <w:tcW w:w="2392" w:type="dxa"/>
            <w:tcBorders>
              <w:bottom w:val="single" w:sz="4" w:space="0" w:color="auto"/>
            </w:tcBorders>
          </w:tcPr>
          <w:p w14:paraId="52D96075" w14:textId="77777777" w:rsidR="00F815D4" w:rsidRPr="006D46E5" w:rsidRDefault="00F815D4" w:rsidP="00C14CD7">
            <w:pPr>
              <w:pStyle w:val="TableBody"/>
              <w:rPr>
                <w:rFonts w:cs="Arial"/>
              </w:rPr>
            </w:pPr>
            <w:r>
              <w:rPr>
                <w:rFonts w:cs="Arial"/>
              </w:rPr>
              <w:t>103 (384)</w:t>
            </w:r>
          </w:p>
        </w:tc>
      </w:tr>
    </w:tbl>
    <w:p w14:paraId="226F0648" w14:textId="77777777" w:rsidR="00F815D4" w:rsidRDefault="00F815D4" w:rsidP="00585A42">
      <w:pPr>
        <w:pStyle w:val="ACMATableHeader"/>
        <w:numPr>
          <w:ilvl w:val="0"/>
          <w:numId w:val="0"/>
        </w:numPr>
      </w:pPr>
    </w:p>
    <w:p w14:paraId="10E4E93B" w14:textId="77777777" w:rsidR="00F815D4" w:rsidRPr="00825C27" w:rsidRDefault="00F815D4" w:rsidP="00F815D4">
      <w:pPr>
        <w:pStyle w:val="Heading3"/>
        <w:spacing w:before="240"/>
      </w:pPr>
      <w:bookmarkStart w:id="48" w:name="_Toc12016452"/>
      <w:bookmarkStart w:id="49" w:name="_Toc14762814"/>
      <w:bookmarkStart w:id="50" w:name="_Toc16064489"/>
      <w:r w:rsidRPr="00825C27">
        <w:lastRenderedPageBreak/>
        <w:t>Fixed</w:t>
      </w:r>
      <w:r>
        <w:t>-s</w:t>
      </w:r>
      <w:r w:rsidRPr="00825C27">
        <w:t xml:space="preserve">atellite </w:t>
      </w:r>
      <w:r>
        <w:t>s</w:t>
      </w:r>
      <w:r w:rsidRPr="00825C27">
        <w:t>ervice (FSS)</w:t>
      </w:r>
      <w:bookmarkEnd w:id="48"/>
      <w:bookmarkEnd w:id="49"/>
      <w:bookmarkEnd w:id="50"/>
    </w:p>
    <w:p w14:paraId="38D44198" w14:textId="531B1AF9" w:rsidR="00F815D4" w:rsidRDefault="00F815D4" w:rsidP="00F815D4">
      <w:r>
        <w:t>In Australia, FSS earth stations are used for the reception of satellite transmissions in the broader 3400–4200 MHz band. Licensed FSS earth station are individually coordinated to protect them from interference.</w:t>
      </w:r>
    </w:p>
    <w:p w14:paraId="41E530CC" w14:textId="77777777" w:rsidR="00F815D4" w:rsidRDefault="00F815D4" w:rsidP="00F815D4">
      <w:r>
        <w:t>Traditionally, a majority of FSS use has been in the 3700–4200 MHz band (also known as the standard C-band). Of note, due to their concentration of licences, are the services located in the Belrose/Oxford Falls area in Sydney, and Landsdale and Lockridge in Perth operated by Telstra and Optus. There are, however, a range of other users and geographic locations for FSS earth stations in the band.</w:t>
      </w:r>
    </w:p>
    <w:p w14:paraId="108DCE04" w14:textId="2E63675B" w:rsidR="00F815D4" w:rsidRDefault="00F815D4" w:rsidP="00F815D4">
      <w:r>
        <w:t>Based on feedback received to previous consultation processes, the ACMA is aware that there are unlicensed FSS earth stations operating in Australia. This includes Television Receive Only (TVRO) systems operating in the 3400–4200 MHz band. These are typically used to obtain fortuitous reception of satellite television services licensed for operation in other countries. In response to previous consultations, satellite industry representatives have suggested there may be in the order of 200,000 TVRO systems operating in Australia. It is important to note that FSS earth stations are only afforded protection if they are licensed.</w:t>
      </w:r>
      <w:r w:rsidRPr="009A0990">
        <w:t xml:space="preserve"> </w:t>
      </w:r>
      <w:r>
        <w:t>The ACMA does not propose any change to this policy as part of the review of arrangements in the 3700–4200 MHz</w:t>
      </w:r>
      <w:r w:rsidR="00837536">
        <w:t xml:space="preserve"> band</w:t>
      </w:r>
      <w:r>
        <w:t xml:space="preserve">.  </w:t>
      </w:r>
    </w:p>
    <w:p w14:paraId="2B252301" w14:textId="77777777" w:rsidR="00F815D4" w:rsidRDefault="00F815D4" w:rsidP="00F815D4">
      <w:r>
        <w:t xml:space="preserve">The ACMA has identified several locations as prospective Earth Station Protection Zones (ESPZ) to provide long term options and certainty for FSS use of numerous satellite bands, including the 3700–4200 MHz band. An additional aim of these ESPZs is to promote, where practical, the siting of earth stations outside of major population centres. In this way satellite services can continue operating, while freeing up spectrum in populated areas for other uses. </w:t>
      </w:r>
    </w:p>
    <w:p w14:paraId="4ABCB601" w14:textId="77D9C927" w:rsidR="00F815D4" w:rsidRPr="00CC6CCA" w:rsidRDefault="00F815D4" w:rsidP="00F815D4">
      <w:r>
        <w:t>Details of current ESPZs are contained in</w:t>
      </w:r>
      <w:r w:rsidRPr="00CC6CCA">
        <w:t xml:space="preserve"> </w:t>
      </w:r>
      <w:hyperlink r:id="rId35" w:history="1">
        <w:r w:rsidRPr="00CC6CCA">
          <w:rPr>
            <w:rStyle w:val="Hyperlink"/>
          </w:rPr>
          <w:t>RALI MS44</w:t>
        </w:r>
        <w:r w:rsidRPr="00917829">
          <w:rPr>
            <w:rStyle w:val="Hyperlink"/>
          </w:rPr>
          <w:t xml:space="preserve"> </w:t>
        </w:r>
        <w:r w:rsidRPr="00CC6CCA">
          <w:rPr>
            <w:rStyle w:val="Hyperlink"/>
            <w:i/>
          </w:rPr>
          <w:t>Frequency coordination procedures for the Earth Station Protection Zones</w:t>
        </w:r>
      </w:hyperlink>
      <w:r w:rsidRPr="00CC6CCA">
        <w:t xml:space="preserve">. </w:t>
      </w:r>
      <w:r>
        <w:t>While the ESPZ in western Australia has been long established, the ACMA is still investigating the viability of the ESPZ’s in eastern Australia, with a view to identifying one or two of these as long term ESPZ’s.</w:t>
      </w:r>
      <w:r w:rsidRPr="00CC6CCA">
        <w:t xml:space="preserve"> </w:t>
      </w:r>
    </w:p>
    <w:p w14:paraId="449F19A2" w14:textId="561D4AD6" w:rsidR="00F815D4" w:rsidRDefault="00F815D4" w:rsidP="00F815D4">
      <w:r>
        <w:t xml:space="preserve">Use of the 3700–4200 MHz band by FSS earth stations steadily increased from the year 2000 until 2015, but has declined in recent years, as </w:t>
      </w:r>
      <w:r w:rsidR="005E6B3F">
        <w:t>Table 4</w:t>
      </w:r>
      <w:r>
        <w:t xml:space="preserve"> demonstrates.</w:t>
      </w:r>
    </w:p>
    <w:p w14:paraId="26A72A74" w14:textId="7907D6AE" w:rsidR="00F815D4" w:rsidRDefault="00F815D4" w:rsidP="00F815D4">
      <w:pPr>
        <w:pStyle w:val="ACMATableHeader"/>
      </w:pPr>
      <w:r>
        <w:t>Earth Receive licences over time</w:t>
      </w:r>
    </w:p>
    <w:tbl>
      <w:tblPr>
        <w:tblW w:w="7655"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1991"/>
        <w:gridCol w:w="2268"/>
        <w:gridCol w:w="3396"/>
      </w:tblGrid>
      <w:tr w:rsidR="00F815D4" w:rsidRPr="006D46E5" w14:paraId="39D609B9" w14:textId="77777777" w:rsidTr="00585A42">
        <w:tc>
          <w:tcPr>
            <w:tcW w:w="1991" w:type="dxa"/>
            <w:shd w:val="clear" w:color="auto" w:fill="404040" w:themeFill="text1" w:themeFillTint="BF"/>
          </w:tcPr>
          <w:p w14:paraId="76146C5E" w14:textId="77777777" w:rsidR="00F815D4" w:rsidRPr="006D46E5" w:rsidRDefault="00F815D4" w:rsidP="00C14CD7">
            <w:pPr>
              <w:pStyle w:val="TableHeading"/>
              <w:rPr>
                <w:rFonts w:cs="Arial"/>
                <w:color w:val="FFFFFF" w:themeColor="background1"/>
              </w:rPr>
            </w:pPr>
            <w:r>
              <w:rPr>
                <w:rFonts w:cs="Arial"/>
                <w:color w:val="FFFFFF" w:themeColor="background1"/>
              </w:rPr>
              <w:t>Date</w:t>
            </w:r>
          </w:p>
        </w:tc>
        <w:tc>
          <w:tcPr>
            <w:tcW w:w="2268" w:type="dxa"/>
            <w:shd w:val="clear" w:color="auto" w:fill="404040" w:themeFill="text1" w:themeFillTint="BF"/>
          </w:tcPr>
          <w:p w14:paraId="088E5640" w14:textId="77777777" w:rsidR="00F815D4" w:rsidRPr="006D46E5" w:rsidRDefault="00F815D4" w:rsidP="00C14CD7">
            <w:pPr>
              <w:pStyle w:val="TableHeading"/>
              <w:rPr>
                <w:rFonts w:cs="Arial"/>
                <w:color w:val="FFFFFF" w:themeColor="background1"/>
              </w:rPr>
            </w:pPr>
            <w:r>
              <w:rPr>
                <w:rFonts w:cs="Arial"/>
                <w:color w:val="FFFFFF" w:themeColor="background1"/>
              </w:rPr>
              <w:t>Earth Receive licenses (devices)</w:t>
            </w:r>
          </w:p>
        </w:tc>
        <w:tc>
          <w:tcPr>
            <w:tcW w:w="3396" w:type="dxa"/>
            <w:shd w:val="clear" w:color="auto" w:fill="404040" w:themeFill="text1" w:themeFillTint="BF"/>
          </w:tcPr>
          <w:p w14:paraId="578F91B7" w14:textId="77777777" w:rsidR="00F815D4" w:rsidRPr="006D46E5" w:rsidRDefault="00F815D4" w:rsidP="00C14CD7">
            <w:pPr>
              <w:pStyle w:val="TableHeading"/>
              <w:rPr>
                <w:rFonts w:cs="Arial"/>
                <w:color w:val="FFFFFF" w:themeColor="background1"/>
              </w:rPr>
            </w:pPr>
            <w:r>
              <w:rPr>
                <w:rFonts w:cs="Arial"/>
                <w:color w:val="FFFFFF" w:themeColor="background1"/>
              </w:rPr>
              <w:t>Total licenced receiver bandwidth for devices (GHz)</w:t>
            </w:r>
          </w:p>
        </w:tc>
      </w:tr>
      <w:tr w:rsidR="00F815D4" w:rsidRPr="006D46E5" w14:paraId="6E017DF8" w14:textId="77777777" w:rsidTr="00585A42">
        <w:tc>
          <w:tcPr>
            <w:tcW w:w="1991" w:type="dxa"/>
            <w:tcBorders>
              <w:bottom w:val="single" w:sz="4" w:space="0" w:color="auto"/>
            </w:tcBorders>
          </w:tcPr>
          <w:p w14:paraId="633FDBCA" w14:textId="77777777" w:rsidR="00F815D4" w:rsidRPr="006D46E5" w:rsidRDefault="00F815D4" w:rsidP="00C14CD7">
            <w:pPr>
              <w:pStyle w:val="TableBody"/>
              <w:rPr>
                <w:rFonts w:cs="Arial"/>
              </w:rPr>
            </w:pPr>
            <w:r>
              <w:rPr>
                <w:rFonts w:cs="Arial"/>
              </w:rPr>
              <w:t>June 2000</w:t>
            </w:r>
          </w:p>
        </w:tc>
        <w:tc>
          <w:tcPr>
            <w:tcW w:w="2268" w:type="dxa"/>
            <w:tcBorders>
              <w:bottom w:val="single" w:sz="4" w:space="0" w:color="auto"/>
            </w:tcBorders>
          </w:tcPr>
          <w:p w14:paraId="23DFCF91" w14:textId="77777777" w:rsidR="00F815D4" w:rsidRPr="006D46E5" w:rsidRDefault="00F815D4" w:rsidP="00C14CD7">
            <w:pPr>
              <w:pStyle w:val="TableBody"/>
              <w:rPr>
                <w:rFonts w:cs="Arial"/>
              </w:rPr>
            </w:pPr>
            <w:r>
              <w:rPr>
                <w:rFonts w:cs="Arial"/>
              </w:rPr>
              <w:t>40 (67)</w:t>
            </w:r>
          </w:p>
        </w:tc>
        <w:tc>
          <w:tcPr>
            <w:tcW w:w="3396" w:type="dxa"/>
            <w:tcBorders>
              <w:bottom w:val="single" w:sz="4" w:space="0" w:color="auto"/>
            </w:tcBorders>
          </w:tcPr>
          <w:p w14:paraId="5C2AB8D4" w14:textId="77777777" w:rsidR="00F815D4" w:rsidRPr="006D46E5" w:rsidRDefault="00F815D4" w:rsidP="00C14CD7">
            <w:pPr>
              <w:pStyle w:val="TableBody"/>
              <w:rPr>
                <w:rFonts w:cs="Arial"/>
              </w:rPr>
            </w:pPr>
            <w:r>
              <w:rPr>
                <w:rFonts w:cs="Arial"/>
              </w:rPr>
              <w:t>2.15</w:t>
            </w:r>
            <w:r>
              <w:rPr>
                <w:rStyle w:val="FootnoteReference"/>
                <w:rFonts w:cs="Arial"/>
              </w:rPr>
              <w:footnoteReference w:id="8"/>
            </w:r>
          </w:p>
        </w:tc>
      </w:tr>
      <w:tr w:rsidR="00F815D4" w:rsidRPr="006D46E5" w14:paraId="3B2ECA70" w14:textId="77777777" w:rsidTr="00585A42">
        <w:tc>
          <w:tcPr>
            <w:tcW w:w="1991" w:type="dxa"/>
            <w:shd w:val="clear" w:color="auto" w:fill="F2F2F2" w:themeFill="background1" w:themeFillShade="F2"/>
          </w:tcPr>
          <w:p w14:paraId="4A4A94F2" w14:textId="77777777" w:rsidR="00F815D4" w:rsidRPr="006D46E5" w:rsidRDefault="00F815D4" w:rsidP="00C14CD7">
            <w:pPr>
              <w:pStyle w:val="TableBody"/>
              <w:rPr>
                <w:rFonts w:cs="Arial"/>
              </w:rPr>
            </w:pPr>
            <w:r>
              <w:rPr>
                <w:rFonts w:cs="Arial"/>
              </w:rPr>
              <w:t>June 2005</w:t>
            </w:r>
          </w:p>
        </w:tc>
        <w:tc>
          <w:tcPr>
            <w:tcW w:w="2268" w:type="dxa"/>
            <w:shd w:val="clear" w:color="auto" w:fill="F2F2F2" w:themeFill="background1" w:themeFillShade="F2"/>
          </w:tcPr>
          <w:p w14:paraId="2A40D983" w14:textId="77777777" w:rsidR="00F815D4" w:rsidRPr="006D46E5" w:rsidRDefault="00F815D4" w:rsidP="00C14CD7">
            <w:pPr>
              <w:pStyle w:val="TableBody"/>
              <w:rPr>
                <w:rFonts w:cs="Arial"/>
              </w:rPr>
            </w:pPr>
            <w:r>
              <w:rPr>
                <w:rFonts w:cs="Arial"/>
              </w:rPr>
              <w:t>99 (136)</w:t>
            </w:r>
          </w:p>
        </w:tc>
        <w:tc>
          <w:tcPr>
            <w:tcW w:w="3396" w:type="dxa"/>
            <w:shd w:val="clear" w:color="auto" w:fill="F2F2F2" w:themeFill="background1" w:themeFillShade="F2"/>
          </w:tcPr>
          <w:p w14:paraId="14E54904" w14:textId="77777777" w:rsidR="00F815D4" w:rsidRPr="006D46E5" w:rsidRDefault="00F815D4" w:rsidP="00C14CD7">
            <w:pPr>
              <w:pStyle w:val="TableBody"/>
              <w:rPr>
                <w:rFonts w:cs="Arial"/>
              </w:rPr>
            </w:pPr>
            <w:r>
              <w:rPr>
                <w:rFonts w:cs="Arial"/>
              </w:rPr>
              <w:t>0.83</w:t>
            </w:r>
          </w:p>
        </w:tc>
      </w:tr>
      <w:tr w:rsidR="00F815D4" w:rsidRPr="006D46E5" w14:paraId="35F0531B" w14:textId="77777777" w:rsidTr="00585A42">
        <w:tc>
          <w:tcPr>
            <w:tcW w:w="1991" w:type="dxa"/>
            <w:tcBorders>
              <w:bottom w:val="single" w:sz="4" w:space="0" w:color="auto"/>
            </w:tcBorders>
          </w:tcPr>
          <w:p w14:paraId="0D18F612" w14:textId="77777777" w:rsidR="00F815D4" w:rsidRPr="006D46E5" w:rsidRDefault="00F815D4" w:rsidP="00C14CD7">
            <w:pPr>
              <w:pStyle w:val="TableBody"/>
              <w:rPr>
                <w:rFonts w:cs="Arial"/>
              </w:rPr>
            </w:pPr>
            <w:r>
              <w:rPr>
                <w:rFonts w:cs="Arial"/>
              </w:rPr>
              <w:t>June 2010</w:t>
            </w:r>
          </w:p>
        </w:tc>
        <w:tc>
          <w:tcPr>
            <w:tcW w:w="2268" w:type="dxa"/>
            <w:tcBorders>
              <w:bottom w:val="single" w:sz="4" w:space="0" w:color="auto"/>
            </w:tcBorders>
          </w:tcPr>
          <w:p w14:paraId="11A4B9AE" w14:textId="77777777" w:rsidR="00F815D4" w:rsidRPr="006D46E5" w:rsidRDefault="00F815D4" w:rsidP="00C14CD7">
            <w:pPr>
              <w:pStyle w:val="TableBody"/>
              <w:rPr>
                <w:rFonts w:cs="Arial"/>
              </w:rPr>
            </w:pPr>
            <w:r>
              <w:rPr>
                <w:rFonts w:cs="Arial"/>
              </w:rPr>
              <w:t>279 (340)</w:t>
            </w:r>
          </w:p>
        </w:tc>
        <w:tc>
          <w:tcPr>
            <w:tcW w:w="3396" w:type="dxa"/>
            <w:tcBorders>
              <w:bottom w:val="single" w:sz="4" w:space="0" w:color="auto"/>
            </w:tcBorders>
          </w:tcPr>
          <w:p w14:paraId="7773F0F8" w14:textId="77777777" w:rsidR="00F815D4" w:rsidRPr="006D46E5" w:rsidRDefault="00F815D4" w:rsidP="00C14CD7">
            <w:pPr>
              <w:pStyle w:val="TableBody"/>
              <w:rPr>
                <w:rFonts w:cs="Arial"/>
              </w:rPr>
            </w:pPr>
            <w:r>
              <w:rPr>
                <w:rFonts w:cs="Arial"/>
              </w:rPr>
              <w:t>2.20</w:t>
            </w:r>
          </w:p>
        </w:tc>
      </w:tr>
      <w:tr w:rsidR="00F815D4" w:rsidRPr="006D46E5" w14:paraId="745E2785" w14:textId="77777777" w:rsidTr="00585A42">
        <w:tc>
          <w:tcPr>
            <w:tcW w:w="1991" w:type="dxa"/>
            <w:shd w:val="clear" w:color="auto" w:fill="F2F2F2" w:themeFill="background1" w:themeFillShade="F2"/>
          </w:tcPr>
          <w:p w14:paraId="5FB0F3C5" w14:textId="77777777" w:rsidR="00F815D4" w:rsidRPr="006D46E5" w:rsidRDefault="00F815D4" w:rsidP="00C14CD7">
            <w:pPr>
              <w:pStyle w:val="TableBody"/>
              <w:rPr>
                <w:rFonts w:cs="Arial"/>
              </w:rPr>
            </w:pPr>
            <w:r>
              <w:rPr>
                <w:rFonts w:cs="Arial"/>
              </w:rPr>
              <w:t>June 2015</w:t>
            </w:r>
          </w:p>
        </w:tc>
        <w:tc>
          <w:tcPr>
            <w:tcW w:w="2268" w:type="dxa"/>
            <w:shd w:val="clear" w:color="auto" w:fill="F2F2F2" w:themeFill="background1" w:themeFillShade="F2"/>
          </w:tcPr>
          <w:p w14:paraId="2284B8EA" w14:textId="77777777" w:rsidR="00F815D4" w:rsidRPr="006D46E5" w:rsidRDefault="00F815D4" w:rsidP="00C14CD7">
            <w:pPr>
              <w:pStyle w:val="TableBody"/>
              <w:rPr>
                <w:rFonts w:cs="Arial"/>
              </w:rPr>
            </w:pPr>
            <w:r>
              <w:rPr>
                <w:rFonts w:cs="Arial"/>
              </w:rPr>
              <w:t>347 (433)</w:t>
            </w:r>
          </w:p>
        </w:tc>
        <w:tc>
          <w:tcPr>
            <w:tcW w:w="3396" w:type="dxa"/>
            <w:shd w:val="clear" w:color="auto" w:fill="F2F2F2" w:themeFill="background1" w:themeFillShade="F2"/>
          </w:tcPr>
          <w:p w14:paraId="58B6B582" w14:textId="77777777" w:rsidR="00F815D4" w:rsidRPr="006D46E5" w:rsidRDefault="00F815D4" w:rsidP="00C14CD7">
            <w:pPr>
              <w:pStyle w:val="TableBody"/>
              <w:rPr>
                <w:rFonts w:cs="Arial"/>
              </w:rPr>
            </w:pPr>
            <w:r>
              <w:rPr>
                <w:rFonts w:cs="Arial"/>
              </w:rPr>
              <w:t>1.51</w:t>
            </w:r>
          </w:p>
        </w:tc>
      </w:tr>
      <w:tr w:rsidR="00F815D4" w:rsidRPr="006D46E5" w14:paraId="554F9871" w14:textId="77777777" w:rsidTr="00585A42">
        <w:tc>
          <w:tcPr>
            <w:tcW w:w="1991" w:type="dxa"/>
            <w:tcBorders>
              <w:bottom w:val="single" w:sz="4" w:space="0" w:color="auto"/>
            </w:tcBorders>
          </w:tcPr>
          <w:p w14:paraId="5B1F1DB7" w14:textId="77777777" w:rsidR="00F815D4" w:rsidRPr="006D46E5" w:rsidRDefault="00F815D4" w:rsidP="00C14CD7">
            <w:pPr>
              <w:pStyle w:val="TableBody"/>
              <w:rPr>
                <w:rFonts w:cs="Arial"/>
              </w:rPr>
            </w:pPr>
            <w:r>
              <w:rPr>
                <w:rFonts w:cs="Arial"/>
              </w:rPr>
              <w:t>May 2019</w:t>
            </w:r>
          </w:p>
        </w:tc>
        <w:tc>
          <w:tcPr>
            <w:tcW w:w="2268" w:type="dxa"/>
            <w:tcBorders>
              <w:bottom w:val="single" w:sz="4" w:space="0" w:color="auto"/>
            </w:tcBorders>
          </w:tcPr>
          <w:p w14:paraId="53C3CDD2" w14:textId="77777777" w:rsidR="00F815D4" w:rsidRPr="006D46E5" w:rsidRDefault="00F815D4" w:rsidP="00C14CD7">
            <w:pPr>
              <w:pStyle w:val="TableBody"/>
              <w:rPr>
                <w:rFonts w:cs="Arial"/>
              </w:rPr>
            </w:pPr>
            <w:r>
              <w:rPr>
                <w:rFonts w:cs="Arial"/>
              </w:rPr>
              <w:t>255 (328)</w:t>
            </w:r>
          </w:p>
        </w:tc>
        <w:tc>
          <w:tcPr>
            <w:tcW w:w="3396" w:type="dxa"/>
            <w:tcBorders>
              <w:bottom w:val="single" w:sz="4" w:space="0" w:color="auto"/>
            </w:tcBorders>
          </w:tcPr>
          <w:p w14:paraId="19BBD10D" w14:textId="77777777" w:rsidR="00F815D4" w:rsidRPr="006D46E5" w:rsidRDefault="00F815D4" w:rsidP="00C14CD7">
            <w:pPr>
              <w:pStyle w:val="TableBody"/>
              <w:rPr>
                <w:rFonts w:cs="Arial"/>
              </w:rPr>
            </w:pPr>
            <w:r>
              <w:rPr>
                <w:rFonts w:cs="Arial"/>
              </w:rPr>
              <w:t>0.92</w:t>
            </w:r>
          </w:p>
        </w:tc>
      </w:tr>
    </w:tbl>
    <w:p w14:paraId="4F68BEE6" w14:textId="77777777" w:rsidR="00F815D4" w:rsidRPr="00825C27" w:rsidRDefault="00F815D4" w:rsidP="00F815D4">
      <w:pPr>
        <w:pStyle w:val="Heading3"/>
        <w:spacing w:before="360"/>
      </w:pPr>
      <w:bookmarkStart w:id="51" w:name="_Toc12016453"/>
      <w:bookmarkStart w:id="52" w:name="_Toc14762815"/>
      <w:bookmarkStart w:id="53" w:name="_Toc16064490"/>
      <w:r w:rsidRPr="00825C27">
        <w:lastRenderedPageBreak/>
        <w:t>Radio</w:t>
      </w:r>
      <w:r>
        <w:t>determination</w:t>
      </w:r>
      <w:bookmarkEnd w:id="51"/>
      <w:bookmarkEnd w:id="52"/>
      <w:bookmarkEnd w:id="53"/>
    </w:p>
    <w:p w14:paraId="00705334" w14:textId="77777777" w:rsidR="00F815D4" w:rsidRDefault="00F815D4" w:rsidP="00F815D4">
      <w:pPr>
        <w:keepNext/>
        <w:keepLines/>
        <w:spacing w:after="120"/>
        <w:rPr>
          <w:rFonts w:cs="Arial"/>
        </w:rPr>
      </w:pPr>
      <w:r w:rsidRPr="00D65665">
        <w:rPr>
          <w:rFonts w:cs="Arial"/>
        </w:rPr>
        <w:t>Radiodetermination does</w:t>
      </w:r>
      <w:r>
        <w:rPr>
          <w:rFonts w:cs="Arial"/>
        </w:rPr>
        <w:t xml:space="preserve"> not</w:t>
      </w:r>
      <w:r w:rsidRPr="00D65665">
        <w:rPr>
          <w:rFonts w:cs="Arial"/>
        </w:rPr>
        <w:t xml:space="preserve"> have any allocation based on </w:t>
      </w:r>
      <w:r>
        <w:rPr>
          <w:rFonts w:cs="Arial"/>
        </w:rPr>
        <w:t xml:space="preserve">the </w:t>
      </w:r>
      <w:r w:rsidRPr="00D65665">
        <w:rPr>
          <w:rFonts w:cs="Arial"/>
        </w:rPr>
        <w:t>national spectrum plan, but three assignments are registered</w:t>
      </w:r>
      <w:r>
        <w:rPr>
          <w:rFonts w:cs="Arial"/>
        </w:rPr>
        <w:t xml:space="preserve"> in the remote Northern Territory</w:t>
      </w:r>
      <w:r w:rsidRPr="00DC2A7D">
        <w:rPr>
          <w:rFonts w:cs="Arial"/>
        </w:rPr>
        <w:t>.</w:t>
      </w:r>
      <w:r>
        <w:rPr>
          <w:rFonts w:cs="Arial"/>
        </w:rPr>
        <w:t xml:space="preserve"> These have been licensed under section 10(7) of the Australian Radiofrequency Spectrum Plan 2017.</w:t>
      </w:r>
    </w:p>
    <w:p w14:paraId="7034969A" w14:textId="77777777" w:rsidR="00F815D4" w:rsidRPr="00825C27" w:rsidRDefault="00F815D4" w:rsidP="00F815D4">
      <w:pPr>
        <w:pStyle w:val="Heading3"/>
        <w:spacing w:before="240"/>
      </w:pPr>
      <w:bookmarkStart w:id="54" w:name="_Toc12016454"/>
      <w:bookmarkStart w:id="55" w:name="_Toc14762816"/>
      <w:bookmarkStart w:id="56" w:name="_Toc16064491"/>
      <w:r w:rsidRPr="00825C27">
        <w:t xml:space="preserve">Low </w:t>
      </w:r>
      <w:r>
        <w:t>i</w:t>
      </w:r>
      <w:r w:rsidRPr="00825C27">
        <w:t xml:space="preserve">nterference </w:t>
      </w:r>
      <w:r>
        <w:t>p</w:t>
      </w:r>
      <w:r w:rsidRPr="00825C27">
        <w:t xml:space="preserve">otential </w:t>
      </w:r>
      <w:r>
        <w:t>d</w:t>
      </w:r>
      <w:r w:rsidRPr="00825C27">
        <w:t>evices</w:t>
      </w:r>
      <w:bookmarkEnd w:id="54"/>
      <w:bookmarkEnd w:id="55"/>
      <w:bookmarkEnd w:id="56"/>
    </w:p>
    <w:p w14:paraId="2C82924D" w14:textId="7906D2BA" w:rsidR="00F815D4" w:rsidRDefault="00F815D4" w:rsidP="00F815D4">
      <w:pPr>
        <w:keepNext/>
        <w:keepLines/>
        <w:spacing w:after="80"/>
      </w:pPr>
      <w:r w:rsidRPr="004045F8">
        <w:t xml:space="preserve">The </w:t>
      </w:r>
      <w:hyperlink r:id="rId36" w:history="1">
        <w:r w:rsidRPr="00585A42">
          <w:rPr>
            <w:rStyle w:val="Hyperlink"/>
          </w:rPr>
          <w:t>Radiocommunications (Low Interference Potential Devices) Class Licence 2015</w:t>
        </w:r>
      </w:hyperlink>
      <w:r w:rsidRPr="00492CF6">
        <w:t xml:space="preserve"> </w:t>
      </w:r>
      <w:r>
        <w:t xml:space="preserve">(the LIPD) </w:t>
      </w:r>
      <w:r w:rsidRPr="00492CF6">
        <w:t xml:space="preserve">defines arrangements for the following devices to operate across the </w:t>
      </w:r>
      <w:r>
        <w:t>3700–4200 MHz</w:t>
      </w:r>
      <w:r w:rsidRPr="00492CF6">
        <w:t xml:space="preserve"> band:</w:t>
      </w:r>
    </w:p>
    <w:p w14:paraId="283358D5" w14:textId="77777777" w:rsidR="00F815D4" w:rsidRDefault="00F815D4" w:rsidP="00F815D4">
      <w:pPr>
        <w:pStyle w:val="ListBullet"/>
        <w:numPr>
          <w:ilvl w:val="0"/>
          <w:numId w:val="2"/>
        </w:numPr>
        <w:tabs>
          <w:tab w:val="clear" w:pos="845"/>
          <w:tab w:val="num" w:pos="295"/>
        </w:tabs>
        <w:ind w:left="295" w:hanging="295"/>
      </w:pPr>
      <w:r>
        <w:t>b</w:t>
      </w:r>
      <w:r w:rsidRPr="004045F8">
        <w:t>uilding material analysis transmitters</w:t>
      </w:r>
      <w:r>
        <w:t xml:space="preserve"> operating</w:t>
      </w:r>
      <w:r w:rsidRPr="004045F8">
        <w:t xml:space="preserve"> </w:t>
      </w:r>
      <w:r>
        <w:t xml:space="preserve">in the </w:t>
      </w:r>
      <w:r w:rsidRPr="004045F8">
        <w:t>2200</w:t>
      </w:r>
      <w:r>
        <w:t>–</w:t>
      </w:r>
      <w:r w:rsidRPr="004045F8">
        <w:t>8500</w:t>
      </w:r>
      <w:r>
        <w:t> MHz band</w:t>
      </w:r>
      <w:r w:rsidRPr="004045F8">
        <w:t xml:space="preserve"> </w:t>
      </w:r>
    </w:p>
    <w:p w14:paraId="54E3BA72" w14:textId="77777777" w:rsidR="00F815D4" w:rsidRDefault="00F815D4" w:rsidP="00F815D4">
      <w:pPr>
        <w:pStyle w:val="ListBulletLast"/>
      </w:pPr>
      <w:r>
        <w:t>u</w:t>
      </w:r>
      <w:r w:rsidRPr="00492CF6">
        <w:t xml:space="preserve">ltra-wideband transmitters </w:t>
      </w:r>
      <w:r>
        <w:t xml:space="preserve">operating in the </w:t>
      </w:r>
      <w:r w:rsidRPr="00492CF6">
        <w:t>3400</w:t>
      </w:r>
      <w:r>
        <w:t>–</w:t>
      </w:r>
      <w:r w:rsidRPr="00492CF6">
        <w:t>4800</w:t>
      </w:r>
      <w:r>
        <w:t> MHz band.</w:t>
      </w:r>
    </w:p>
    <w:p w14:paraId="3F7483CD" w14:textId="77777777" w:rsidR="00F815D4" w:rsidRDefault="00F815D4" w:rsidP="00F815D4">
      <w:pPr>
        <w:pStyle w:val="ListBulletLast"/>
        <w:numPr>
          <w:ilvl w:val="0"/>
          <w:numId w:val="0"/>
        </w:numPr>
      </w:pPr>
      <w:r>
        <w:t>Operation of devices under the LIPD is on a ‘no interference and no protection’ basis with other licensed services.</w:t>
      </w:r>
    </w:p>
    <w:p w14:paraId="73F127E3" w14:textId="77777777" w:rsidR="00F815D4" w:rsidRPr="002B06BF" w:rsidRDefault="00F815D4" w:rsidP="00F815D4">
      <w:pPr>
        <w:pStyle w:val="Heading3"/>
      </w:pPr>
      <w:bookmarkStart w:id="57" w:name="_Toc479846995"/>
      <w:bookmarkStart w:id="58" w:name="_Toc482872343"/>
      <w:bookmarkStart w:id="59" w:name="_Toc482886637"/>
      <w:bookmarkStart w:id="60" w:name="_Toc482888978"/>
      <w:bookmarkStart w:id="61" w:name="_Toc482891249"/>
      <w:bookmarkStart w:id="62" w:name="_Toc482891316"/>
      <w:bookmarkStart w:id="63" w:name="_Toc12016455"/>
      <w:bookmarkStart w:id="64" w:name="_Toc14762817"/>
      <w:bookmarkStart w:id="65" w:name="_Toc16064492"/>
      <w:r w:rsidRPr="00A67371">
        <w:t>Embargo</w:t>
      </w:r>
      <w:r w:rsidRPr="002B06BF">
        <w:t>es</w:t>
      </w:r>
      <w:bookmarkEnd w:id="57"/>
      <w:bookmarkEnd w:id="58"/>
      <w:bookmarkEnd w:id="59"/>
      <w:bookmarkEnd w:id="60"/>
      <w:bookmarkEnd w:id="61"/>
      <w:bookmarkEnd w:id="62"/>
      <w:bookmarkEnd w:id="63"/>
      <w:bookmarkEnd w:id="64"/>
      <w:bookmarkEnd w:id="65"/>
    </w:p>
    <w:p w14:paraId="05941632" w14:textId="77777777" w:rsidR="00F815D4" w:rsidRPr="00A67371" w:rsidRDefault="00F815D4" w:rsidP="00F815D4">
      <w:pPr>
        <w:spacing w:after="80"/>
        <w:rPr>
          <w:rFonts w:cs="Arial"/>
        </w:rPr>
      </w:pPr>
      <w:r w:rsidRPr="00A67371">
        <w:rPr>
          <w:rFonts w:cs="Arial"/>
        </w:rPr>
        <w:t xml:space="preserve">There are </w:t>
      </w:r>
      <w:r>
        <w:rPr>
          <w:rFonts w:cs="Arial"/>
        </w:rPr>
        <w:t>four</w:t>
      </w:r>
      <w:r w:rsidRPr="00A67371">
        <w:rPr>
          <w:rFonts w:cs="Arial"/>
        </w:rPr>
        <w:t xml:space="preserve"> embargoes currently in </w:t>
      </w:r>
      <w:r>
        <w:rPr>
          <w:rFonts w:cs="Arial"/>
        </w:rPr>
        <w:t>place</w:t>
      </w:r>
      <w:r w:rsidRPr="00A67371">
        <w:rPr>
          <w:rFonts w:cs="Arial"/>
        </w:rPr>
        <w:t xml:space="preserve"> that cover all or part of the </w:t>
      </w:r>
      <w:r>
        <w:rPr>
          <w:rFonts w:cs="Arial"/>
        </w:rPr>
        <w:t>3700–4200 MHz</w:t>
      </w:r>
      <w:r w:rsidRPr="00A67371">
        <w:rPr>
          <w:rFonts w:cs="Arial"/>
        </w:rPr>
        <w:t xml:space="preserve"> band</w:t>
      </w:r>
      <w:r>
        <w:rPr>
          <w:rFonts w:cs="Arial"/>
        </w:rPr>
        <w:t xml:space="preserve"> in specified areas</w:t>
      </w:r>
      <w:r w:rsidRPr="00A67371">
        <w:rPr>
          <w:rFonts w:cs="Arial"/>
        </w:rPr>
        <w:t>:</w:t>
      </w:r>
    </w:p>
    <w:p w14:paraId="1D2430D7" w14:textId="15CF29A0" w:rsidR="00F815D4" w:rsidRPr="00A67371" w:rsidRDefault="005F3F45" w:rsidP="00F815D4">
      <w:pPr>
        <w:pStyle w:val="ListBullet"/>
        <w:numPr>
          <w:ilvl w:val="0"/>
          <w:numId w:val="2"/>
        </w:numPr>
        <w:tabs>
          <w:tab w:val="clear" w:pos="845"/>
          <w:tab w:val="num" w:pos="295"/>
        </w:tabs>
        <w:ind w:left="295" w:hanging="295"/>
      </w:pPr>
      <w:hyperlink r:id="rId37" w:history="1">
        <w:r w:rsidR="00F815D4" w:rsidRPr="00A67371">
          <w:rPr>
            <w:rStyle w:val="Hyperlink"/>
          </w:rPr>
          <w:t>Embargo 41</w:t>
        </w:r>
      </w:hyperlink>
      <w:r w:rsidR="00837536">
        <w:t>—</w:t>
      </w:r>
      <w:r w:rsidR="00F815D4" w:rsidRPr="00A67371">
        <w:t>covers the 70</w:t>
      </w:r>
      <w:r w:rsidR="00F815D4">
        <w:t> MHz–</w:t>
      </w:r>
      <w:r w:rsidR="00F815D4" w:rsidRPr="00A67371">
        <w:t>25.25</w:t>
      </w:r>
      <w:r w:rsidR="00F815D4">
        <w:t> GHz</w:t>
      </w:r>
      <w:r w:rsidR="00F815D4" w:rsidRPr="00A67371">
        <w:t xml:space="preserve"> </w:t>
      </w:r>
      <w:r w:rsidR="00F815D4">
        <w:t>band</w:t>
      </w:r>
      <w:r w:rsidR="00F815D4" w:rsidRPr="00A67371">
        <w:t xml:space="preserve">. It was established to create a radio quiet zone </w:t>
      </w:r>
      <w:r w:rsidR="00F815D4">
        <w:t xml:space="preserve">(RQZ) </w:t>
      </w:r>
      <w:r w:rsidR="00F815D4" w:rsidRPr="00A67371">
        <w:t>near Boolardy Station in Western Australia to facilitate the development and use of new radio astronomy technologies.</w:t>
      </w:r>
      <w:r w:rsidR="00F815D4">
        <w:t xml:space="preserve"> This RQZ is centred on the CSIRO Murchison Radio astronomy Observatory (MRO), built for the future Square Kilometre Array (SKA) and other radio astronomy projects.</w:t>
      </w:r>
    </w:p>
    <w:p w14:paraId="1072762F" w14:textId="39BB85F4" w:rsidR="00F815D4" w:rsidRPr="00A67371" w:rsidRDefault="005F3F45" w:rsidP="00F815D4">
      <w:pPr>
        <w:pStyle w:val="ListBullet"/>
        <w:numPr>
          <w:ilvl w:val="0"/>
          <w:numId w:val="2"/>
        </w:numPr>
        <w:tabs>
          <w:tab w:val="clear" w:pos="845"/>
          <w:tab w:val="num" w:pos="295"/>
        </w:tabs>
        <w:ind w:left="295" w:hanging="295"/>
      </w:pPr>
      <w:hyperlink r:id="rId38" w:history="1">
        <w:r w:rsidR="00F815D4" w:rsidRPr="00A67371">
          <w:rPr>
            <w:rStyle w:val="Hyperlink"/>
          </w:rPr>
          <w:t>Embargo 42</w:t>
        </w:r>
      </w:hyperlink>
      <w:r w:rsidR="00F815D4">
        <w:t>—</w:t>
      </w:r>
      <w:r w:rsidR="00F815D4" w:rsidRPr="00A67371">
        <w:t>covers the 3575–3710</w:t>
      </w:r>
      <w:r w:rsidR="00F815D4">
        <w:t> MHz</w:t>
      </w:r>
      <w:r w:rsidR="00F815D4" w:rsidRPr="00A67371">
        <w:t xml:space="preserve"> </w:t>
      </w:r>
      <w:r w:rsidR="00F815D4">
        <w:t>band</w:t>
      </w:r>
      <w:r w:rsidR="00F815D4" w:rsidRPr="00A67371">
        <w:t xml:space="preserve">. It was put in place in September 2005 while future planning options for the band were being considered under the ACMA’s </w:t>
      </w:r>
      <w:hyperlink r:id="rId39" w:history="1">
        <w:r w:rsidR="00F815D4" w:rsidRPr="009718CC">
          <w:rPr>
            <w:rStyle w:val="Hyperlink"/>
            <w:i/>
          </w:rPr>
          <w:t xml:space="preserve">Strategies for </w:t>
        </w:r>
        <w:r w:rsidR="00F815D4">
          <w:rPr>
            <w:rStyle w:val="Hyperlink"/>
            <w:i/>
          </w:rPr>
          <w:t>w</w:t>
        </w:r>
        <w:r w:rsidR="00F815D4" w:rsidRPr="009718CC">
          <w:rPr>
            <w:rStyle w:val="Hyperlink"/>
            <w:i/>
          </w:rPr>
          <w:t xml:space="preserve">ireless </w:t>
        </w:r>
        <w:r w:rsidR="00F815D4">
          <w:rPr>
            <w:rStyle w:val="Hyperlink"/>
            <w:i/>
          </w:rPr>
          <w:t>a</w:t>
        </w:r>
        <w:r w:rsidR="00F815D4" w:rsidRPr="009718CC">
          <w:rPr>
            <w:rStyle w:val="Hyperlink"/>
            <w:i/>
          </w:rPr>
          <w:t xml:space="preserve">ccess </w:t>
        </w:r>
        <w:r w:rsidR="00F815D4">
          <w:rPr>
            <w:rStyle w:val="Hyperlink"/>
            <w:i/>
          </w:rPr>
          <w:t>s</w:t>
        </w:r>
        <w:r w:rsidR="00F815D4" w:rsidRPr="009718CC">
          <w:rPr>
            <w:rStyle w:val="Hyperlink"/>
            <w:i/>
          </w:rPr>
          <w:t>ervices</w:t>
        </w:r>
      </w:hyperlink>
      <w:r w:rsidR="00F815D4" w:rsidRPr="00A67371">
        <w:t xml:space="preserve"> consultation process. </w:t>
      </w:r>
      <w:hyperlink r:id="rId40" w:history="1">
        <w:r w:rsidR="00F815D4" w:rsidRPr="0033749D">
          <w:rPr>
            <w:rStyle w:val="Hyperlink"/>
          </w:rPr>
          <w:t>Embargo 42</w:t>
        </w:r>
      </w:hyperlink>
      <w:r w:rsidR="00F815D4">
        <w:t xml:space="preserve"> was revised in November 2016 t</w:t>
      </w:r>
      <w:r w:rsidR="00F815D4" w:rsidRPr="0033749D">
        <w:t xml:space="preserve">o </w:t>
      </w:r>
      <w:r w:rsidR="00F815D4" w:rsidRPr="00E472E9">
        <w:rPr>
          <w:rFonts w:cs="Arial"/>
          <w:szCs w:val="20"/>
        </w:rPr>
        <w:t>restrict access to the 3575–3710 MHz band for point-to-multipoint services in metropolitan and regional areas</w:t>
      </w:r>
      <w:r w:rsidR="00F815D4" w:rsidRPr="0033749D">
        <w:t>.</w:t>
      </w:r>
      <w:r w:rsidR="00F815D4">
        <w:t xml:space="preserve"> R</w:t>
      </w:r>
      <w:r w:rsidR="00F815D4" w:rsidRPr="00A67371">
        <w:t>estrictions still apply Australia-wide to the issue of new licences for point-to-point links and FSS earth stations.</w:t>
      </w:r>
    </w:p>
    <w:p w14:paraId="560B4D0C" w14:textId="6A0EB4CF" w:rsidR="00F815D4" w:rsidRDefault="005F3F45" w:rsidP="00F815D4">
      <w:pPr>
        <w:pStyle w:val="ListBullet"/>
      </w:pPr>
      <w:hyperlink r:id="rId41" w:history="1">
        <w:r w:rsidR="00F815D4" w:rsidRPr="00F235A4">
          <w:rPr>
            <w:rStyle w:val="Hyperlink"/>
          </w:rPr>
          <w:t>Embargo 73</w:t>
        </w:r>
      </w:hyperlink>
      <w:r w:rsidR="00F815D4">
        <w:t>—this embargo was developed to support wireless broadband use in 3575</w:t>
      </w:r>
      <w:r w:rsidR="00F815D4" w:rsidRPr="00A67371">
        <w:t>–</w:t>
      </w:r>
      <w:r w:rsidR="00F815D4">
        <w:t>3700 MHz by restricting new point-to-point licensing being issued in the band 3710</w:t>
      </w:r>
      <w:r w:rsidR="00F815D4" w:rsidRPr="00A67371">
        <w:t>–</w:t>
      </w:r>
      <w:r w:rsidR="00F815D4">
        <w:t>3790 MHz in metropolitan and regional areas of Australia,</w:t>
      </w:r>
      <w:r w:rsidR="00F815D4" w:rsidRPr="002F7322">
        <w:t xml:space="preserve"> </w:t>
      </w:r>
      <w:r w:rsidR="00F815D4">
        <w:t xml:space="preserve">to </w:t>
      </w:r>
      <w:r w:rsidR="00F815D4" w:rsidRPr="002F7322">
        <w:t>minimise spectrum denial to adjacent band wireless broadband services</w:t>
      </w:r>
      <w:r w:rsidR="00F815D4">
        <w:t>. It was put in place in 2017.</w:t>
      </w:r>
    </w:p>
    <w:p w14:paraId="4CF5C0B9" w14:textId="7F07E1A1" w:rsidR="00F815D4" w:rsidRDefault="00F815D4" w:rsidP="00F815D4">
      <w:pPr>
        <w:pStyle w:val="Heading2"/>
      </w:pPr>
      <w:bookmarkStart w:id="66" w:name="_Toc16064493"/>
      <w:r>
        <w:t>Details of licences in the 3700–4200 MHz band</w:t>
      </w:r>
      <w:bookmarkEnd w:id="66"/>
    </w:p>
    <w:p w14:paraId="2CF84AC8" w14:textId="64601D1C" w:rsidR="00F815D4" w:rsidRDefault="005E6B3F" w:rsidP="00F815D4">
      <w:pPr>
        <w:keepLines/>
        <w:rPr>
          <w:b/>
          <w:bCs/>
          <w:color w:val="323232"/>
          <w:szCs w:val="20"/>
        </w:rPr>
      </w:pPr>
      <w:r>
        <w:t xml:space="preserve">Figure </w:t>
      </w:r>
      <w:r w:rsidR="00F815D4">
        <w:t xml:space="preserve">3 shows the location of existing licensed devices in the 3700–4200 MHz band as of 1 May 2019. </w:t>
      </w:r>
      <w:r>
        <w:t xml:space="preserve">Tables 5 and 6 </w:t>
      </w:r>
      <w:r w:rsidR="00F815D4">
        <w:t>show a breakdown of existing licensed devices by area and frequency range.</w:t>
      </w:r>
      <w:bookmarkStart w:id="67" w:name="_Ref9599982"/>
      <w:r w:rsidR="00F815D4">
        <w:t xml:space="preserve"> Appendix 2 also provides an assessment of the spectral occupancy of apparatus licensed services by geographical area. </w:t>
      </w:r>
    </w:p>
    <w:bookmarkEnd w:id="67"/>
    <w:p w14:paraId="4C59B578" w14:textId="3080898B" w:rsidR="00F815D4" w:rsidRPr="00525ADC" w:rsidRDefault="00F815D4" w:rsidP="00585A42">
      <w:pPr>
        <w:pStyle w:val="ACMAFigureHeader"/>
        <w:keepNext/>
      </w:pPr>
      <w:r w:rsidRPr="00525ADC">
        <w:lastRenderedPageBreak/>
        <w:t xml:space="preserve">Location of embargoed areas and licensed </w:t>
      </w:r>
      <w:r>
        <w:t>devices</w:t>
      </w:r>
      <w:r w:rsidRPr="00525ADC">
        <w:t xml:space="preserve"> in the </w:t>
      </w:r>
      <w:r>
        <w:t>3700–4200 MHz</w:t>
      </w:r>
      <w:r w:rsidRPr="00525ADC">
        <w:t xml:space="preserve"> band (RRL extract, 1 May 2019)</w:t>
      </w:r>
    </w:p>
    <w:p w14:paraId="28939C21" w14:textId="143B588B" w:rsidR="00F815D4" w:rsidRPr="00A67371" w:rsidRDefault="00A34F31" w:rsidP="00F815D4">
      <w:pPr>
        <w:jc w:val="center"/>
        <w:rPr>
          <w:rFonts w:cs="Arial"/>
        </w:rPr>
      </w:pPr>
      <w:r>
        <w:rPr>
          <w:noProof/>
        </w:rPr>
        <w:drawing>
          <wp:inline distT="0" distB="0" distL="0" distR="0" wp14:anchorId="25AAE951" wp14:editId="496E38C1">
            <wp:extent cx="4871085" cy="4487545"/>
            <wp:effectExtent l="0" t="0" r="571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871085" cy="4487545"/>
                    </a:xfrm>
                    <a:prstGeom prst="rect">
                      <a:avLst/>
                    </a:prstGeom>
                  </pic:spPr>
                </pic:pic>
              </a:graphicData>
            </a:graphic>
          </wp:inline>
        </w:drawing>
      </w:r>
    </w:p>
    <w:p w14:paraId="41D9682B" w14:textId="37BF1BF4" w:rsidR="00F815D4" w:rsidRDefault="00F815D4" w:rsidP="00585A42">
      <w:pPr>
        <w:pStyle w:val="ACMATableHeader"/>
        <w:keepNext/>
      </w:pPr>
      <w:r w:rsidRPr="00BD5CD1">
        <w:lastRenderedPageBreak/>
        <w:t xml:space="preserve">Breakdown of </w:t>
      </w:r>
      <w:r>
        <w:t>point-to-point devices</w:t>
      </w:r>
      <w:r w:rsidRPr="00BD5CD1">
        <w:t xml:space="preserve"> in the </w:t>
      </w:r>
      <w:r>
        <w:t>3700–4200 MHz</w:t>
      </w:r>
      <w:r w:rsidRPr="00BD5CD1">
        <w:t xml:space="preserve"> band by </w:t>
      </w:r>
      <w:r>
        <w:t>a</w:t>
      </w:r>
      <w:r w:rsidRPr="00BD5CD1">
        <w:t>rea</w:t>
      </w:r>
      <w:r>
        <w:t xml:space="preserve"> and frequency range</w:t>
      </w:r>
      <w:r w:rsidRPr="00BD5CD1">
        <w:t xml:space="preserve"> (RRL extract, </w:t>
      </w:r>
      <w:r>
        <w:t>1</w:t>
      </w:r>
      <w:r w:rsidRPr="00BD5CD1">
        <w:t xml:space="preserve"> May 2019)</w:t>
      </w:r>
    </w:p>
    <w:tbl>
      <w:tblPr>
        <w:tblStyle w:val="TableGrid"/>
        <w:tblW w:w="7512" w:type="dxa"/>
        <w:jc w:val="center"/>
        <w:tblLayout w:type="fixed"/>
        <w:tblLook w:val="04A0" w:firstRow="1" w:lastRow="0" w:firstColumn="1" w:lastColumn="0" w:noHBand="0" w:noVBand="1"/>
        <w:tblCaption w:val="Breakdown of licences in the 3.6 GHz band by Area "/>
        <w:tblDescription w:val="Details on the licence types and their number in each re-farming area option"/>
      </w:tblPr>
      <w:tblGrid>
        <w:gridCol w:w="463"/>
        <w:gridCol w:w="2232"/>
        <w:gridCol w:w="1057"/>
        <w:gridCol w:w="926"/>
        <w:gridCol w:w="909"/>
        <w:gridCol w:w="606"/>
        <w:gridCol w:w="660"/>
        <w:gridCol w:w="659"/>
      </w:tblGrid>
      <w:tr w:rsidR="00F815D4" w:rsidRPr="00A67371" w14:paraId="0778B85E" w14:textId="77777777" w:rsidTr="00585A42">
        <w:trPr>
          <w:cantSplit/>
          <w:trHeight w:val="350"/>
          <w:tblHeader/>
          <w:jc w:val="center"/>
        </w:trPr>
        <w:tc>
          <w:tcPr>
            <w:tcW w:w="2695" w:type="dxa"/>
            <w:gridSpan w:val="2"/>
            <w:tcBorders>
              <w:top w:val="nil"/>
              <w:left w:val="nil"/>
            </w:tcBorders>
            <w:shd w:val="clear" w:color="auto" w:fill="auto"/>
            <w:vAlign w:val="bottom"/>
          </w:tcPr>
          <w:p w14:paraId="4C7E0CB7" w14:textId="77777777" w:rsidR="00F815D4" w:rsidRPr="00A67371" w:rsidRDefault="00F815D4" w:rsidP="00585A42">
            <w:pPr>
              <w:pStyle w:val="TableHeading"/>
              <w:keepNext/>
              <w:rPr>
                <w:color w:val="FFFFFF" w:themeColor="background1"/>
              </w:rPr>
            </w:pPr>
          </w:p>
        </w:tc>
        <w:tc>
          <w:tcPr>
            <w:tcW w:w="4817" w:type="dxa"/>
            <w:gridSpan w:val="6"/>
            <w:tcBorders>
              <w:right w:val="nil"/>
            </w:tcBorders>
            <w:shd w:val="clear" w:color="auto" w:fill="404040" w:themeFill="text1" w:themeFillTint="BF"/>
            <w:vAlign w:val="center"/>
          </w:tcPr>
          <w:p w14:paraId="1ABAB32E" w14:textId="77777777" w:rsidR="00F815D4" w:rsidRDefault="00F815D4" w:rsidP="00585A42">
            <w:pPr>
              <w:pStyle w:val="TableHeading"/>
              <w:keepNext/>
              <w:jc w:val="center"/>
              <w:rPr>
                <w:color w:val="FFFFFF" w:themeColor="background1"/>
              </w:rPr>
            </w:pPr>
            <w:r>
              <w:rPr>
                <w:color w:val="FFFFFF" w:themeColor="background1"/>
              </w:rPr>
              <w:t>Number of devices by frequency range</w:t>
            </w:r>
            <w:r>
              <w:rPr>
                <w:rStyle w:val="FootnoteReference"/>
                <w:color w:val="FFFFFF" w:themeColor="background1"/>
              </w:rPr>
              <w:footnoteReference w:id="9"/>
            </w:r>
          </w:p>
        </w:tc>
      </w:tr>
      <w:tr w:rsidR="00F815D4" w:rsidRPr="00A67371" w14:paraId="5F30B0D8" w14:textId="77777777" w:rsidTr="00585A42">
        <w:trPr>
          <w:cantSplit/>
          <w:trHeight w:val="2285"/>
          <w:tblHeader/>
          <w:jc w:val="center"/>
        </w:trPr>
        <w:tc>
          <w:tcPr>
            <w:tcW w:w="2695" w:type="dxa"/>
            <w:gridSpan w:val="2"/>
            <w:tcBorders>
              <w:left w:val="nil"/>
            </w:tcBorders>
            <w:shd w:val="clear" w:color="auto" w:fill="404040" w:themeFill="text1" w:themeFillTint="BF"/>
            <w:vAlign w:val="center"/>
          </w:tcPr>
          <w:p w14:paraId="3D459AA8" w14:textId="77777777" w:rsidR="00F815D4" w:rsidRPr="00A67371" w:rsidRDefault="00F815D4" w:rsidP="00585A42">
            <w:pPr>
              <w:pStyle w:val="TableHeading"/>
              <w:keepNext/>
              <w:jc w:val="center"/>
              <w:rPr>
                <w:color w:val="FFFFFF" w:themeColor="background1"/>
              </w:rPr>
            </w:pPr>
            <w:r w:rsidRPr="00A67371">
              <w:rPr>
                <w:color w:val="FFFFFF" w:themeColor="background1"/>
              </w:rPr>
              <w:t>Area</w:t>
            </w:r>
            <w:r>
              <w:rPr>
                <w:rStyle w:val="FootnoteReference"/>
                <w:color w:val="FFFFFF" w:themeColor="background1"/>
              </w:rPr>
              <w:footnoteReference w:id="10"/>
            </w:r>
          </w:p>
        </w:tc>
        <w:tc>
          <w:tcPr>
            <w:tcW w:w="1057" w:type="dxa"/>
            <w:shd w:val="clear" w:color="auto" w:fill="404040" w:themeFill="text1" w:themeFillTint="BF"/>
            <w:textDirection w:val="btLr"/>
            <w:vAlign w:val="center"/>
          </w:tcPr>
          <w:p w14:paraId="324AF4D3" w14:textId="77777777" w:rsidR="00F815D4" w:rsidRPr="00A67371" w:rsidRDefault="00F815D4" w:rsidP="00585A42">
            <w:pPr>
              <w:pStyle w:val="TableHeading"/>
              <w:keepNext/>
              <w:rPr>
                <w:color w:val="FFFFFF" w:themeColor="background1"/>
              </w:rPr>
            </w:pPr>
            <w:r>
              <w:rPr>
                <w:color w:val="FFFFFF" w:themeColor="background1"/>
              </w:rPr>
              <w:t>Entire 3700–4200 MHz</w:t>
            </w:r>
          </w:p>
        </w:tc>
        <w:tc>
          <w:tcPr>
            <w:tcW w:w="926" w:type="dxa"/>
            <w:shd w:val="clear" w:color="auto" w:fill="404040" w:themeFill="text1" w:themeFillTint="BF"/>
            <w:textDirection w:val="btLr"/>
            <w:vAlign w:val="center"/>
          </w:tcPr>
          <w:p w14:paraId="009F1BAC" w14:textId="77777777" w:rsidR="00F815D4" w:rsidRPr="00A67371" w:rsidRDefault="00F815D4" w:rsidP="00585A42">
            <w:pPr>
              <w:pStyle w:val="TableHeading"/>
              <w:keepNext/>
              <w:rPr>
                <w:color w:val="FFFFFF" w:themeColor="background1"/>
              </w:rPr>
            </w:pPr>
            <w:r>
              <w:rPr>
                <w:color w:val="FFFFFF" w:themeColor="background1"/>
              </w:rPr>
              <w:t>3700–3800 MHz</w:t>
            </w:r>
          </w:p>
        </w:tc>
        <w:tc>
          <w:tcPr>
            <w:tcW w:w="909" w:type="dxa"/>
            <w:shd w:val="clear" w:color="auto" w:fill="404040" w:themeFill="text1" w:themeFillTint="BF"/>
            <w:textDirection w:val="btLr"/>
            <w:vAlign w:val="center"/>
          </w:tcPr>
          <w:p w14:paraId="72F540DD" w14:textId="77777777" w:rsidR="00F815D4" w:rsidRPr="00A67371" w:rsidRDefault="00F815D4" w:rsidP="00585A42">
            <w:pPr>
              <w:pStyle w:val="TableHeading"/>
              <w:keepNext/>
              <w:rPr>
                <w:color w:val="FFFFFF" w:themeColor="background1"/>
              </w:rPr>
            </w:pPr>
            <w:r>
              <w:rPr>
                <w:color w:val="FFFFFF" w:themeColor="background1"/>
              </w:rPr>
              <w:t>3800–3900 MHz</w:t>
            </w:r>
          </w:p>
        </w:tc>
        <w:tc>
          <w:tcPr>
            <w:tcW w:w="606" w:type="dxa"/>
            <w:shd w:val="clear" w:color="auto" w:fill="404040" w:themeFill="text1" w:themeFillTint="BF"/>
            <w:textDirection w:val="btLr"/>
            <w:vAlign w:val="center"/>
          </w:tcPr>
          <w:p w14:paraId="45C66502" w14:textId="77777777" w:rsidR="00F815D4" w:rsidRPr="00A67371" w:rsidRDefault="00F815D4" w:rsidP="00585A42">
            <w:pPr>
              <w:pStyle w:val="TableHeading"/>
              <w:keepNext/>
              <w:rPr>
                <w:color w:val="FFFFFF" w:themeColor="background1"/>
              </w:rPr>
            </w:pPr>
            <w:r>
              <w:rPr>
                <w:color w:val="FFFFFF" w:themeColor="background1"/>
              </w:rPr>
              <w:t>3900–4000 MHz</w:t>
            </w:r>
          </w:p>
        </w:tc>
        <w:tc>
          <w:tcPr>
            <w:tcW w:w="660" w:type="dxa"/>
            <w:shd w:val="clear" w:color="auto" w:fill="404040" w:themeFill="text1" w:themeFillTint="BF"/>
            <w:textDirection w:val="btLr"/>
            <w:vAlign w:val="center"/>
          </w:tcPr>
          <w:p w14:paraId="671DD35E" w14:textId="77777777" w:rsidR="00F815D4" w:rsidRPr="00A67371" w:rsidRDefault="00F815D4" w:rsidP="00585A42">
            <w:pPr>
              <w:pStyle w:val="TableHeading"/>
              <w:keepNext/>
              <w:rPr>
                <w:color w:val="FFFFFF" w:themeColor="background1"/>
              </w:rPr>
            </w:pPr>
            <w:r>
              <w:rPr>
                <w:color w:val="FFFFFF" w:themeColor="background1"/>
              </w:rPr>
              <w:t>4000–4100 MHz</w:t>
            </w:r>
          </w:p>
        </w:tc>
        <w:tc>
          <w:tcPr>
            <w:tcW w:w="659" w:type="dxa"/>
            <w:tcBorders>
              <w:right w:val="nil"/>
            </w:tcBorders>
            <w:shd w:val="clear" w:color="auto" w:fill="404040" w:themeFill="text1" w:themeFillTint="BF"/>
            <w:textDirection w:val="btLr"/>
          </w:tcPr>
          <w:p w14:paraId="7E42AE96" w14:textId="77777777" w:rsidR="00F815D4" w:rsidRPr="00A67371" w:rsidDel="00053637" w:rsidRDefault="00F815D4" w:rsidP="00585A42">
            <w:pPr>
              <w:pStyle w:val="TableHeading"/>
              <w:keepNext/>
              <w:rPr>
                <w:color w:val="FFFFFF" w:themeColor="background1"/>
              </w:rPr>
            </w:pPr>
            <w:r>
              <w:rPr>
                <w:color w:val="FFFFFF" w:themeColor="background1"/>
              </w:rPr>
              <w:t>4100–4200 MHz</w:t>
            </w:r>
          </w:p>
        </w:tc>
      </w:tr>
      <w:tr w:rsidR="00F815D4" w:rsidRPr="00A67371" w14:paraId="3108CA57" w14:textId="77777777" w:rsidTr="00585A42">
        <w:trPr>
          <w:trHeight w:val="20"/>
          <w:tblHeader/>
          <w:jc w:val="center"/>
        </w:trPr>
        <w:tc>
          <w:tcPr>
            <w:tcW w:w="463" w:type="dxa"/>
            <w:vMerge w:val="restart"/>
            <w:tcBorders>
              <w:left w:val="nil"/>
            </w:tcBorders>
            <w:textDirection w:val="btLr"/>
          </w:tcPr>
          <w:p w14:paraId="69FD2E26" w14:textId="77777777" w:rsidR="00F815D4" w:rsidRPr="00A67371" w:rsidRDefault="00F815D4" w:rsidP="00C14CD7">
            <w:pPr>
              <w:spacing w:after="0"/>
              <w:jc w:val="center"/>
              <w:rPr>
                <w:rFonts w:cs="Arial"/>
                <w:b/>
                <w:szCs w:val="20"/>
              </w:rPr>
            </w:pPr>
            <w:r>
              <w:rPr>
                <w:rFonts w:cs="Arial"/>
                <w:b/>
                <w:szCs w:val="20"/>
              </w:rPr>
              <w:t>Metropolitan</w:t>
            </w:r>
          </w:p>
        </w:tc>
        <w:tc>
          <w:tcPr>
            <w:tcW w:w="2232" w:type="dxa"/>
            <w:vAlign w:val="bottom"/>
          </w:tcPr>
          <w:p w14:paraId="30E06649" w14:textId="77777777" w:rsidR="00F815D4" w:rsidRPr="00A67371" w:rsidRDefault="00F815D4" w:rsidP="00C14CD7">
            <w:pPr>
              <w:spacing w:after="0"/>
              <w:rPr>
                <w:rFonts w:cs="Arial"/>
                <w:szCs w:val="20"/>
              </w:rPr>
            </w:pPr>
            <w:r w:rsidRPr="00A67371">
              <w:rPr>
                <w:rFonts w:cs="Arial"/>
                <w:color w:val="000000"/>
                <w:szCs w:val="20"/>
              </w:rPr>
              <w:t>Adelaide</w:t>
            </w:r>
          </w:p>
        </w:tc>
        <w:tc>
          <w:tcPr>
            <w:tcW w:w="1057" w:type="dxa"/>
            <w:vAlign w:val="center"/>
          </w:tcPr>
          <w:p w14:paraId="2BC0C960" w14:textId="77777777" w:rsidR="00F815D4" w:rsidRPr="00A67371" w:rsidRDefault="00F815D4" w:rsidP="00C14CD7">
            <w:pPr>
              <w:spacing w:after="0"/>
              <w:jc w:val="center"/>
              <w:rPr>
                <w:rFonts w:cs="Arial"/>
                <w:szCs w:val="20"/>
              </w:rPr>
            </w:pPr>
            <w:r>
              <w:t>0</w:t>
            </w:r>
          </w:p>
        </w:tc>
        <w:tc>
          <w:tcPr>
            <w:tcW w:w="926" w:type="dxa"/>
            <w:vAlign w:val="center"/>
          </w:tcPr>
          <w:p w14:paraId="1DFA2CF6" w14:textId="77777777" w:rsidR="00F815D4" w:rsidRPr="00A67371" w:rsidRDefault="00F815D4" w:rsidP="00C14CD7">
            <w:pPr>
              <w:spacing w:after="0"/>
              <w:jc w:val="center"/>
              <w:rPr>
                <w:rFonts w:cs="Arial"/>
                <w:szCs w:val="20"/>
              </w:rPr>
            </w:pPr>
            <w:r>
              <w:t>0</w:t>
            </w:r>
          </w:p>
        </w:tc>
        <w:tc>
          <w:tcPr>
            <w:tcW w:w="909" w:type="dxa"/>
            <w:vAlign w:val="center"/>
          </w:tcPr>
          <w:p w14:paraId="219B9EFA" w14:textId="77777777" w:rsidR="00F815D4" w:rsidRPr="00A67371" w:rsidRDefault="00F815D4" w:rsidP="00C14CD7">
            <w:pPr>
              <w:spacing w:after="0"/>
              <w:jc w:val="center"/>
              <w:rPr>
                <w:rFonts w:cs="Arial"/>
                <w:szCs w:val="20"/>
              </w:rPr>
            </w:pPr>
            <w:r>
              <w:t>0</w:t>
            </w:r>
          </w:p>
        </w:tc>
        <w:tc>
          <w:tcPr>
            <w:tcW w:w="606" w:type="dxa"/>
            <w:vAlign w:val="center"/>
          </w:tcPr>
          <w:p w14:paraId="6A2EACD7" w14:textId="77777777" w:rsidR="00F815D4" w:rsidRPr="00A67371" w:rsidRDefault="00F815D4" w:rsidP="00C14CD7">
            <w:pPr>
              <w:spacing w:after="0"/>
              <w:jc w:val="center"/>
              <w:rPr>
                <w:rFonts w:cs="Arial"/>
                <w:szCs w:val="20"/>
              </w:rPr>
            </w:pPr>
            <w:r>
              <w:t>0</w:t>
            </w:r>
          </w:p>
        </w:tc>
        <w:tc>
          <w:tcPr>
            <w:tcW w:w="660" w:type="dxa"/>
            <w:vAlign w:val="center"/>
          </w:tcPr>
          <w:p w14:paraId="1BA9B403" w14:textId="77777777" w:rsidR="00F815D4" w:rsidRPr="00A67371" w:rsidRDefault="00F815D4" w:rsidP="00C14CD7">
            <w:pPr>
              <w:spacing w:after="0"/>
              <w:jc w:val="center"/>
              <w:rPr>
                <w:rFonts w:cs="Arial"/>
                <w:szCs w:val="20"/>
              </w:rPr>
            </w:pPr>
            <w:r>
              <w:t>0</w:t>
            </w:r>
          </w:p>
        </w:tc>
        <w:tc>
          <w:tcPr>
            <w:tcW w:w="659" w:type="dxa"/>
            <w:tcBorders>
              <w:right w:val="nil"/>
            </w:tcBorders>
          </w:tcPr>
          <w:p w14:paraId="586B8CE3" w14:textId="77777777" w:rsidR="00F815D4" w:rsidRPr="00423A27" w:rsidRDefault="00F815D4" w:rsidP="00C14CD7">
            <w:pPr>
              <w:spacing w:after="0"/>
              <w:jc w:val="center"/>
            </w:pPr>
            <w:r>
              <w:t>0</w:t>
            </w:r>
          </w:p>
        </w:tc>
      </w:tr>
      <w:tr w:rsidR="00F815D4" w:rsidRPr="00A67371" w14:paraId="78FBB0CA" w14:textId="77777777" w:rsidTr="00585A42">
        <w:trPr>
          <w:trHeight w:val="20"/>
          <w:tblHeader/>
          <w:jc w:val="center"/>
        </w:trPr>
        <w:tc>
          <w:tcPr>
            <w:tcW w:w="463" w:type="dxa"/>
            <w:vMerge/>
            <w:tcBorders>
              <w:left w:val="nil"/>
            </w:tcBorders>
            <w:textDirection w:val="btLr"/>
          </w:tcPr>
          <w:p w14:paraId="39473855" w14:textId="77777777" w:rsidR="00F815D4" w:rsidRPr="00A67371" w:rsidRDefault="00F815D4" w:rsidP="00C14CD7">
            <w:pPr>
              <w:spacing w:after="0"/>
              <w:rPr>
                <w:rFonts w:cs="Arial"/>
                <w:b/>
                <w:szCs w:val="20"/>
              </w:rPr>
            </w:pPr>
          </w:p>
        </w:tc>
        <w:tc>
          <w:tcPr>
            <w:tcW w:w="2232" w:type="dxa"/>
            <w:vAlign w:val="bottom"/>
          </w:tcPr>
          <w:p w14:paraId="7C48EEB7" w14:textId="77777777" w:rsidR="00F815D4" w:rsidRPr="00A67371" w:rsidRDefault="00F815D4" w:rsidP="00C14CD7">
            <w:pPr>
              <w:spacing w:after="0"/>
              <w:rPr>
                <w:rFonts w:cs="Arial"/>
                <w:szCs w:val="20"/>
              </w:rPr>
            </w:pPr>
            <w:r w:rsidRPr="00A67371">
              <w:rPr>
                <w:rFonts w:cs="Arial"/>
                <w:color w:val="000000"/>
                <w:szCs w:val="20"/>
              </w:rPr>
              <w:t>Brisbane</w:t>
            </w:r>
          </w:p>
        </w:tc>
        <w:tc>
          <w:tcPr>
            <w:tcW w:w="1057" w:type="dxa"/>
            <w:vAlign w:val="center"/>
          </w:tcPr>
          <w:p w14:paraId="14FADA85" w14:textId="77777777" w:rsidR="00F815D4" w:rsidRPr="00A67371" w:rsidRDefault="00F815D4" w:rsidP="00C14CD7">
            <w:pPr>
              <w:spacing w:after="0"/>
              <w:jc w:val="center"/>
              <w:rPr>
                <w:rFonts w:cs="Arial"/>
                <w:szCs w:val="20"/>
              </w:rPr>
            </w:pPr>
            <w:r>
              <w:t>12</w:t>
            </w:r>
          </w:p>
        </w:tc>
        <w:tc>
          <w:tcPr>
            <w:tcW w:w="926" w:type="dxa"/>
            <w:vAlign w:val="center"/>
          </w:tcPr>
          <w:p w14:paraId="769DD37D" w14:textId="77777777" w:rsidR="00F815D4" w:rsidRPr="00A67371" w:rsidRDefault="00F815D4" w:rsidP="00C14CD7">
            <w:pPr>
              <w:spacing w:after="0"/>
              <w:jc w:val="center"/>
              <w:rPr>
                <w:rFonts w:cs="Arial"/>
                <w:szCs w:val="20"/>
              </w:rPr>
            </w:pPr>
            <w:r>
              <w:t>2</w:t>
            </w:r>
          </w:p>
        </w:tc>
        <w:tc>
          <w:tcPr>
            <w:tcW w:w="909" w:type="dxa"/>
            <w:vAlign w:val="center"/>
          </w:tcPr>
          <w:p w14:paraId="1FC764F0" w14:textId="77777777" w:rsidR="00F815D4" w:rsidRPr="00A67371" w:rsidRDefault="00F815D4" w:rsidP="00C14CD7">
            <w:pPr>
              <w:spacing w:after="0"/>
              <w:jc w:val="center"/>
              <w:rPr>
                <w:rFonts w:cs="Arial"/>
                <w:szCs w:val="20"/>
              </w:rPr>
            </w:pPr>
            <w:r>
              <w:t>2</w:t>
            </w:r>
          </w:p>
        </w:tc>
        <w:tc>
          <w:tcPr>
            <w:tcW w:w="606" w:type="dxa"/>
            <w:vAlign w:val="center"/>
          </w:tcPr>
          <w:p w14:paraId="3F780ED9" w14:textId="77777777" w:rsidR="00F815D4" w:rsidRPr="00A67371" w:rsidRDefault="00F815D4" w:rsidP="00C14CD7">
            <w:pPr>
              <w:spacing w:after="0"/>
              <w:jc w:val="center"/>
              <w:rPr>
                <w:rFonts w:cs="Arial"/>
                <w:szCs w:val="20"/>
              </w:rPr>
            </w:pPr>
            <w:r>
              <w:t>6</w:t>
            </w:r>
          </w:p>
        </w:tc>
        <w:tc>
          <w:tcPr>
            <w:tcW w:w="660" w:type="dxa"/>
            <w:vAlign w:val="center"/>
          </w:tcPr>
          <w:p w14:paraId="7BDE757E" w14:textId="77777777" w:rsidR="00F815D4" w:rsidRPr="00A67371" w:rsidRDefault="00F815D4" w:rsidP="00C14CD7">
            <w:pPr>
              <w:spacing w:after="0"/>
              <w:jc w:val="center"/>
              <w:rPr>
                <w:rFonts w:cs="Arial"/>
                <w:szCs w:val="20"/>
              </w:rPr>
            </w:pPr>
            <w:r>
              <w:t>2</w:t>
            </w:r>
          </w:p>
        </w:tc>
        <w:tc>
          <w:tcPr>
            <w:tcW w:w="659" w:type="dxa"/>
            <w:tcBorders>
              <w:right w:val="nil"/>
            </w:tcBorders>
          </w:tcPr>
          <w:p w14:paraId="204E5ABC" w14:textId="77777777" w:rsidR="00F815D4" w:rsidRPr="00423A27" w:rsidRDefault="00F815D4" w:rsidP="00C14CD7">
            <w:pPr>
              <w:spacing w:after="0"/>
              <w:jc w:val="center"/>
            </w:pPr>
            <w:r>
              <w:t>2</w:t>
            </w:r>
          </w:p>
        </w:tc>
      </w:tr>
      <w:tr w:rsidR="00F815D4" w:rsidRPr="00A67371" w14:paraId="54980ADC" w14:textId="77777777" w:rsidTr="00585A42">
        <w:trPr>
          <w:trHeight w:val="20"/>
          <w:tblHeader/>
          <w:jc w:val="center"/>
        </w:trPr>
        <w:tc>
          <w:tcPr>
            <w:tcW w:w="463" w:type="dxa"/>
            <w:vMerge/>
            <w:tcBorders>
              <w:left w:val="nil"/>
            </w:tcBorders>
            <w:textDirection w:val="btLr"/>
          </w:tcPr>
          <w:p w14:paraId="6ABA350F" w14:textId="77777777" w:rsidR="00F815D4" w:rsidRPr="00A67371" w:rsidRDefault="00F815D4" w:rsidP="00C14CD7">
            <w:pPr>
              <w:spacing w:after="0"/>
              <w:rPr>
                <w:rFonts w:cs="Arial"/>
                <w:b/>
                <w:szCs w:val="20"/>
              </w:rPr>
            </w:pPr>
          </w:p>
        </w:tc>
        <w:tc>
          <w:tcPr>
            <w:tcW w:w="2232" w:type="dxa"/>
            <w:vAlign w:val="bottom"/>
          </w:tcPr>
          <w:p w14:paraId="04926E13" w14:textId="77777777" w:rsidR="00F815D4" w:rsidRPr="00A67371" w:rsidRDefault="00F815D4" w:rsidP="00C14CD7">
            <w:pPr>
              <w:spacing w:after="0"/>
              <w:rPr>
                <w:rFonts w:cs="Arial"/>
                <w:szCs w:val="20"/>
              </w:rPr>
            </w:pPr>
            <w:r w:rsidRPr="00A67371">
              <w:rPr>
                <w:rFonts w:cs="Arial"/>
                <w:color w:val="000000"/>
                <w:szCs w:val="20"/>
              </w:rPr>
              <w:t>Canberra</w:t>
            </w:r>
          </w:p>
        </w:tc>
        <w:tc>
          <w:tcPr>
            <w:tcW w:w="1057" w:type="dxa"/>
            <w:vAlign w:val="center"/>
          </w:tcPr>
          <w:p w14:paraId="0095786B" w14:textId="77777777" w:rsidR="00F815D4" w:rsidRPr="00A67371" w:rsidRDefault="00F815D4" w:rsidP="00C14CD7">
            <w:pPr>
              <w:spacing w:after="0"/>
              <w:jc w:val="center"/>
              <w:rPr>
                <w:rFonts w:cs="Arial"/>
                <w:szCs w:val="20"/>
              </w:rPr>
            </w:pPr>
            <w:r>
              <w:t>0</w:t>
            </w:r>
          </w:p>
        </w:tc>
        <w:tc>
          <w:tcPr>
            <w:tcW w:w="926" w:type="dxa"/>
            <w:vAlign w:val="center"/>
          </w:tcPr>
          <w:p w14:paraId="0139461D" w14:textId="77777777" w:rsidR="00F815D4" w:rsidRPr="00A67371" w:rsidRDefault="00F815D4" w:rsidP="00C14CD7">
            <w:pPr>
              <w:spacing w:after="0"/>
              <w:jc w:val="center"/>
              <w:rPr>
                <w:rFonts w:cs="Arial"/>
                <w:szCs w:val="20"/>
              </w:rPr>
            </w:pPr>
            <w:r>
              <w:t>0</w:t>
            </w:r>
          </w:p>
        </w:tc>
        <w:tc>
          <w:tcPr>
            <w:tcW w:w="909" w:type="dxa"/>
            <w:vAlign w:val="center"/>
          </w:tcPr>
          <w:p w14:paraId="0D438495" w14:textId="77777777" w:rsidR="00F815D4" w:rsidRPr="00A67371" w:rsidRDefault="00F815D4" w:rsidP="00C14CD7">
            <w:pPr>
              <w:spacing w:after="0"/>
              <w:jc w:val="center"/>
              <w:rPr>
                <w:rFonts w:cs="Arial"/>
                <w:szCs w:val="20"/>
              </w:rPr>
            </w:pPr>
            <w:r>
              <w:t>0</w:t>
            </w:r>
          </w:p>
        </w:tc>
        <w:tc>
          <w:tcPr>
            <w:tcW w:w="606" w:type="dxa"/>
            <w:vAlign w:val="center"/>
          </w:tcPr>
          <w:p w14:paraId="7241F006" w14:textId="77777777" w:rsidR="00F815D4" w:rsidRPr="00A67371" w:rsidRDefault="00F815D4" w:rsidP="00C14CD7">
            <w:pPr>
              <w:spacing w:after="0"/>
              <w:jc w:val="center"/>
              <w:rPr>
                <w:rFonts w:cs="Arial"/>
                <w:szCs w:val="20"/>
              </w:rPr>
            </w:pPr>
            <w:r>
              <w:t>0</w:t>
            </w:r>
          </w:p>
        </w:tc>
        <w:tc>
          <w:tcPr>
            <w:tcW w:w="660" w:type="dxa"/>
            <w:vAlign w:val="center"/>
          </w:tcPr>
          <w:p w14:paraId="66A207F7" w14:textId="77777777" w:rsidR="00F815D4" w:rsidRPr="00A67371" w:rsidRDefault="00F815D4" w:rsidP="00C14CD7">
            <w:pPr>
              <w:spacing w:after="0"/>
              <w:jc w:val="center"/>
              <w:rPr>
                <w:rFonts w:cs="Arial"/>
                <w:szCs w:val="20"/>
              </w:rPr>
            </w:pPr>
            <w:r>
              <w:t>0</w:t>
            </w:r>
          </w:p>
        </w:tc>
        <w:tc>
          <w:tcPr>
            <w:tcW w:w="659" w:type="dxa"/>
            <w:tcBorders>
              <w:right w:val="nil"/>
            </w:tcBorders>
          </w:tcPr>
          <w:p w14:paraId="7118844A" w14:textId="77777777" w:rsidR="00F815D4" w:rsidRPr="00423A27" w:rsidRDefault="00F815D4" w:rsidP="00C14CD7">
            <w:pPr>
              <w:spacing w:after="0"/>
              <w:jc w:val="center"/>
            </w:pPr>
            <w:r>
              <w:t>0</w:t>
            </w:r>
          </w:p>
        </w:tc>
      </w:tr>
      <w:tr w:rsidR="00F815D4" w:rsidRPr="00A67371" w14:paraId="07CF68FF" w14:textId="77777777" w:rsidTr="00585A42">
        <w:trPr>
          <w:trHeight w:val="20"/>
          <w:tblHeader/>
          <w:jc w:val="center"/>
        </w:trPr>
        <w:tc>
          <w:tcPr>
            <w:tcW w:w="463" w:type="dxa"/>
            <w:vMerge/>
            <w:tcBorders>
              <w:left w:val="nil"/>
            </w:tcBorders>
            <w:textDirection w:val="btLr"/>
          </w:tcPr>
          <w:p w14:paraId="67E57D0D" w14:textId="77777777" w:rsidR="00F815D4" w:rsidRPr="00A67371" w:rsidRDefault="00F815D4" w:rsidP="00C14CD7">
            <w:pPr>
              <w:spacing w:after="0"/>
              <w:rPr>
                <w:rFonts w:cs="Arial"/>
                <w:b/>
                <w:szCs w:val="20"/>
              </w:rPr>
            </w:pPr>
          </w:p>
        </w:tc>
        <w:tc>
          <w:tcPr>
            <w:tcW w:w="2232" w:type="dxa"/>
            <w:vAlign w:val="bottom"/>
          </w:tcPr>
          <w:p w14:paraId="69FB4179" w14:textId="77777777" w:rsidR="00F815D4" w:rsidRPr="00A67371" w:rsidRDefault="00F815D4" w:rsidP="00C14CD7">
            <w:pPr>
              <w:spacing w:after="0"/>
              <w:rPr>
                <w:rFonts w:cs="Arial"/>
                <w:szCs w:val="20"/>
              </w:rPr>
            </w:pPr>
            <w:r w:rsidRPr="00A67371">
              <w:rPr>
                <w:rFonts w:cs="Arial"/>
                <w:color w:val="000000"/>
                <w:szCs w:val="20"/>
              </w:rPr>
              <w:t>Melbourne</w:t>
            </w:r>
          </w:p>
        </w:tc>
        <w:tc>
          <w:tcPr>
            <w:tcW w:w="1057" w:type="dxa"/>
            <w:vAlign w:val="center"/>
          </w:tcPr>
          <w:p w14:paraId="670BB26B" w14:textId="77777777" w:rsidR="00F815D4" w:rsidRPr="00A67371" w:rsidRDefault="00F815D4" w:rsidP="00C14CD7">
            <w:pPr>
              <w:spacing w:after="0"/>
              <w:jc w:val="center"/>
              <w:rPr>
                <w:rFonts w:cs="Arial"/>
                <w:szCs w:val="20"/>
              </w:rPr>
            </w:pPr>
            <w:r>
              <w:t>0</w:t>
            </w:r>
          </w:p>
        </w:tc>
        <w:tc>
          <w:tcPr>
            <w:tcW w:w="926" w:type="dxa"/>
            <w:vAlign w:val="center"/>
          </w:tcPr>
          <w:p w14:paraId="46C8AF8D" w14:textId="77777777" w:rsidR="00F815D4" w:rsidRPr="00A67371" w:rsidRDefault="00F815D4" w:rsidP="00C14CD7">
            <w:pPr>
              <w:spacing w:after="0"/>
              <w:jc w:val="center"/>
              <w:rPr>
                <w:rFonts w:cs="Arial"/>
                <w:szCs w:val="20"/>
              </w:rPr>
            </w:pPr>
            <w:r>
              <w:t>0</w:t>
            </w:r>
          </w:p>
        </w:tc>
        <w:tc>
          <w:tcPr>
            <w:tcW w:w="909" w:type="dxa"/>
            <w:vAlign w:val="center"/>
          </w:tcPr>
          <w:p w14:paraId="1C0397A8" w14:textId="77777777" w:rsidR="00F815D4" w:rsidRPr="00A67371" w:rsidRDefault="00F815D4" w:rsidP="00C14CD7">
            <w:pPr>
              <w:spacing w:after="0"/>
              <w:jc w:val="center"/>
              <w:rPr>
                <w:rFonts w:cs="Arial"/>
                <w:szCs w:val="20"/>
              </w:rPr>
            </w:pPr>
            <w:r>
              <w:t>0</w:t>
            </w:r>
          </w:p>
        </w:tc>
        <w:tc>
          <w:tcPr>
            <w:tcW w:w="606" w:type="dxa"/>
            <w:vAlign w:val="center"/>
          </w:tcPr>
          <w:p w14:paraId="50DDBCEE" w14:textId="77777777" w:rsidR="00F815D4" w:rsidRPr="00A67371" w:rsidRDefault="00F815D4" w:rsidP="00C14CD7">
            <w:pPr>
              <w:spacing w:after="0"/>
              <w:jc w:val="center"/>
              <w:rPr>
                <w:rFonts w:cs="Arial"/>
                <w:szCs w:val="20"/>
              </w:rPr>
            </w:pPr>
            <w:r>
              <w:t>0</w:t>
            </w:r>
          </w:p>
        </w:tc>
        <w:tc>
          <w:tcPr>
            <w:tcW w:w="660" w:type="dxa"/>
            <w:vAlign w:val="center"/>
          </w:tcPr>
          <w:p w14:paraId="65A5D970" w14:textId="77777777" w:rsidR="00F815D4" w:rsidRPr="00A67371" w:rsidRDefault="00F815D4" w:rsidP="00C14CD7">
            <w:pPr>
              <w:spacing w:after="0"/>
              <w:jc w:val="center"/>
              <w:rPr>
                <w:rFonts w:cs="Arial"/>
                <w:szCs w:val="20"/>
              </w:rPr>
            </w:pPr>
            <w:r>
              <w:t>0</w:t>
            </w:r>
          </w:p>
        </w:tc>
        <w:tc>
          <w:tcPr>
            <w:tcW w:w="659" w:type="dxa"/>
            <w:tcBorders>
              <w:right w:val="nil"/>
            </w:tcBorders>
          </w:tcPr>
          <w:p w14:paraId="26939BDE" w14:textId="77777777" w:rsidR="00F815D4" w:rsidRPr="00423A27" w:rsidRDefault="00F815D4" w:rsidP="00C14CD7">
            <w:pPr>
              <w:spacing w:after="0"/>
              <w:jc w:val="center"/>
            </w:pPr>
            <w:r>
              <w:t>0</w:t>
            </w:r>
          </w:p>
        </w:tc>
      </w:tr>
      <w:tr w:rsidR="00F815D4" w:rsidRPr="00A67371" w14:paraId="6704162F" w14:textId="77777777" w:rsidTr="00585A42">
        <w:trPr>
          <w:trHeight w:val="20"/>
          <w:tblHeader/>
          <w:jc w:val="center"/>
        </w:trPr>
        <w:tc>
          <w:tcPr>
            <w:tcW w:w="463" w:type="dxa"/>
            <w:vMerge/>
            <w:tcBorders>
              <w:left w:val="nil"/>
            </w:tcBorders>
            <w:textDirection w:val="btLr"/>
          </w:tcPr>
          <w:p w14:paraId="3AFBADD8" w14:textId="77777777" w:rsidR="00F815D4" w:rsidRPr="00A67371" w:rsidRDefault="00F815D4" w:rsidP="00C14CD7">
            <w:pPr>
              <w:spacing w:after="0"/>
              <w:rPr>
                <w:rFonts w:cs="Arial"/>
                <w:b/>
                <w:szCs w:val="20"/>
              </w:rPr>
            </w:pPr>
          </w:p>
        </w:tc>
        <w:tc>
          <w:tcPr>
            <w:tcW w:w="2232" w:type="dxa"/>
            <w:vAlign w:val="bottom"/>
          </w:tcPr>
          <w:p w14:paraId="6448FB94" w14:textId="77777777" w:rsidR="00F815D4" w:rsidRPr="00A67371" w:rsidRDefault="00F815D4" w:rsidP="00C14CD7">
            <w:pPr>
              <w:spacing w:after="0"/>
              <w:rPr>
                <w:rFonts w:cs="Arial"/>
                <w:szCs w:val="20"/>
              </w:rPr>
            </w:pPr>
            <w:r w:rsidRPr="00A67371">
              <w:rPr>
                <w:rFonts w:cs="Arial"/>
                <w:color w:val="000000"/>
                <w:szCs w:val="20"/>
              </w:rPr>
              <w:t>Perth</w:t>
            </w:r>
          </w:p>
        </w:tc>
        <w:tc>
          <w:tcPr>
            <w:tcW w:w="1057" w:type="dxa"/>
            <w:vAlign w:val="center"/>
          </w:tcPr>
          <w:p w14:paraId="5EE83AE0" w14:textId="77777777" w:rsidR="00F815D4" w:rsidRPr="00A67371" w:rsidRDefault="00F815D4" w:rsidP="00C14CD7">
            <w:pPr>
              <w:spacing w:after="0"/>
              <w:jc w:val="center"/>
              <w:rPr>
                <w:rFonts w:cs="Arial"/>
                <w:szCs w:val="20"/>
              </w:rPr>
            </w:pPr>
            <w:r>
              <w:t>0</w:t>
            </w:r>
          </w:p>
        </w:tc>
        <w:tc>
          <w:tcPr>
            <w:tcW w:w="926" w:type="dxa"/>
            <w:vAlign w:val="center"/>
          </w:tcPr>
          <w:p w14:paraId="0E27829D" w14:textId="77777777" w:rsidR="00F815D4" w:rsidRPr="00A67371" w:rsidRDefault="00F815D4" w:rsidP="00C14CD7">
            <w:pPr>
              <w:spacing w:after="0"/>
              <w:jc w:val="center"/>
              <w:rPr>
                <w:rFonts w:cs="Arial"/>
                <w:szCs w:val="20"/>
              </w:rPr>
            </w:pPr>
            <w:r>
              <w:t>0</w:t>
            </w:r>
          </w:p>
        </w:tc>
        <w:tc>
          <w:tcPr>
            <w:tcW w:w="909" w:type="dxa"/>
            <w:vAlign w:val="center"/>
          </w:tcPr>
          <w:p w14:paraId="1CCA6F58" w14:textId="77777777" w:rsidR="00F815D4" w:rsidRPr="00A67371" w:rsidRDefault="00F815D4" w:rsidP="00C14CD7">
            <w:pPr>
              <w:spacing w:after="0"/>
              <w:jc w:val="center"/>
              <w:rPr>
                <w:rFonts w:cs="Arial"/>
                <w:szCs w:val="20"/>
              </w:rPr>
            </w:pPr>
            <w:r>
              <w:t>0</w:t>
            </w:r>
          </w:p>
        </w:tc>
        <w:tc>
          <w:tcPr>
            <w:tcW w:w="606" w:type="dxa"/>
            <w:vAlign w:val="center"/>
          </w:tcPr>
          <w:p w14:paraId="1D1E4030" w14:textId="77777777" w:rsidR="00F815D4" w:rsidRPr="00A67371" w:rsidRDefault="00F815D4" w:rsidP="00C14CD7">
            <w:pPr>
              <w:spacing w:after="0"/>
              <w:jc w:val="center"/>
              <w:rPr>
                <w:rFonts w:cs="Arial"/>
                <w:szCs w:val="20"/>
              </w:rPr>
            </w:pPr>
            <w:r>
              <w:t>0</w:t>
            </w:r>
          </w:p>
        </w:tc>
        <w:tc>
          <w:tcPr>
            <w:tcW w:w="660" w:type="dxa"/>
            <w:vAlign w:val="center"/>
          </w:tcPr>
          <w:p w14:paraId="2C913446" w14:textId="77777777" w:rsidR="00F815D4" w:rsidRPr="00A67371" w:rsidRDefault="00F815D4" w:rsidP="00C14CD7">
            <w:pPr>
              <w:spacing w:after="0"/>
              <w:jc w:val="center"/>
              <w:rPr>
                <w:rFonts w:cs="Arial"/>
                <w:szCs w:val="20"/>
              </w:rPr>
            </w:pPr>
            <w:r>
              <w:t>0</w:t>
            </w:r>
          </w:p>
        </w:tc>
        <w:tc>
          <w:tcPr>
            <w:tcW w:w="659" w:type="dxa"/>
            <w:tcBorders>
              <w:right w:val="nil"/>
            </w:tcBorders>
          </w:tcPr>
          <w:p w14:paraId="598F3C2B" w14:textId="77777777" w:rsidR="00F815D4" w:rsidRPr="00423A27" w:rsidRDefault="00F815D4" w:rsidP="00C14CD7">
            <w:pPr>
              <w:spacing w:after="0"/>
              <w:jc w:val="center"/>
            </w:pPr>
            <w:r>
              <w:t>0</w:t>
            </w:r>
          </w:p>
        </w:tc>
      </w:tr>
      <w:tr w:rsidR="00F815D4" w:rsidRPr="00A67371" w14:paraId="68054535" w14:textId="77777777" w:rsidTr="00585A42">
        <w:trPr>
          <w:trHeight w:val="20"/>
          <w:tblHeader/>
          <w:jc w:val="center"/>
        </w:trPr>
        <w:tc>
          <w:tcPr>
            <w:tcW w:w="463" w:type="dxa"/>
            <w:vMerge/>
            <w:tcBorders>
              <w:left w:val="nil"/>
            </w:tcBorders>
            <w:textDirection w:val="btLr"/>
          </w:tcPr>
          <w:p w14:paraId="22D3FDBD" w14:textId="77777777" w:rsidR="00F815D4" w:rsidRPr="00A67371" w:rsidRDefault="00F815D4" w:rsidP="00C14CD7">
            <w:pPr>
              <w:spacing w:after="0"/>
              <w:rPr>
                <w:rFonts w:cs="Arial"/>
                <w:b/>
                <w:szCs w:val="20"/>
              </w:rPr>
            </w:pPr>
          </w:p>
        </w:tc>
        <w:tc>
          <w:tcPr>
            <w:tcW w:w="2232" w:type="dxa"/>
            <w:vAlign w:val="bottom"/>
          </w:tcPr>
          <w:p w14:paraId="39BA0E62" w14:textId="77777777" w:rsidR="00F815D4" w:rsidRPr="00A67371" w:rsidRDefault="00F815D4" w:rsidP="00C14CD7">
            <w:pPr>
              <w:spacing w:after="0"/>
              <w:rPr>
                <w:rFonts w:cs="Arial"/>
                <w:szCs w:val="20"/>
              </w:rPr>
            </w:pPr>
            <w:r w:rsidRPr="00A67371">
              <w:rPr>
                <w:rFonts w:cs="Arial"/>
                <w:color w:val="000000"/>
                <w:szCs w:val="20"/>
              </w:rPr>
              <w:t>Sydney</w:t>
            </w:r>
          </w:p>
        </w:tc>
        <w:tc>
          <w:tcPr>
            <w:tcW w:w="1057" w:type="dxa"/>
            <w:vAlign w:val="center"/>
          </w:tcPr>
          <w:p w14:paraId="31C68D76" w14:textId="77777777" w:rsidR="00F815D4" w:rsidRPr="00A67371" w:rsidRDefault="00F815D4" w:rsidP="00C14CD7">
            <w:pPr>
              <w:spacing w:after="0"/>
              <w:jc w:val="center"/>
              <w:rPr>
                <w:rFonts w:cs="Arial"/>
                <w:szCs w:val="20"/>
              </w:rPr>
            </w:pPr>
            <w:r>
              <w:t>40</w:t>
            </w:r>
          </w:p>
        </w:tc>
        <w:tc>
          <w:tcPr>
            <w:tcW w:w="926" w:type="dxa"/>
            <w:vAlign w:val="center"/>
          </w:tcPr>
          <w:p w14:paraId="292DA2C3" w14:textId="77777777" w:rsidR="00F815D4" w:rsidRPr="00A67371" w:rsidRDefault="00F815D4" w:rsidP="00C14CD7">
            <w:pPr>
              <w:spacing w:after="0"/>
              <w:jc w:val="center"/>
              <w:rPr>
                <w:rFonts w:cs="Arial"/>
                <w:szCs w:val="20"/>
              </w:rPr>
            </w:pPr>
            <w:r>
              <w:t>16</w:t>
            </w:r>
          </w:p>
        </w:tc>
        <w:tc>
          <w:tcPr>
            <w:tcW w:w="909" w:type="dxa"/>
            <w:vAlign w:val="center"/>
          </w:tcPr>
          <w:p w14:paraId="56C9E3D6" w14:textId="77777777" w:rsidR="00F815D4" w:rsidRPr="00A67371" w:rsidRDefault="00F815D4" w:rsidP="00C14CD7">
            <w:pPr>
              <w:spacing w:after="0"/>
              <w:jc w:val="center"/>
              <w:rPr>
                <w:rFonts w:cs="Arial"/>
                <w:szCs w:val="20"/>
              </w:rPr>
            </w:pPr>
            <w:r>
              <w:t>4</w:t>
            </w:r>
          </w:p>
        </w:tc>
        <w:tc>
          <w:tcPr>
            <w:tcW w:w="606" w:type="dxa"/>
            <w:vAlign w:val="center"/>
          </w:tcPr>
          <w:p w14:paraId="1A367025" w14:textId="77777777" w:rsidR="00F815D4" w:rsidRPr="00A67371" w:rsidRDefault="00F815D4" w:rsidP="00C14CD7">
            <w:pPr>
              <w:spacing w:after="0"/>
              <w:jc w:val="center"/>
              <w:rPr>
                <w:rFonts w:cs="Arial"/>
                <w:szCs w:val="20"/>
              </w:rPr>
            </w:pPr>
            <w:r>
              <w:t>12</w:t>
            </w:r>
          </w:p>
        </w:tc>
        <w:tc>
          <w:tcPr>
            <w:tcW w:w="660" w:type="dxa"/>
            <w:vAlign w:val="center"/>
          </w:tcPr>
          <w:p w14:paraId="35790865" w14:textId="77777777" w:rsidR="00F815D4" w:rsidRPr="00A67371" w:rsidRDefault="00F815D4" w:rsidP="00C14CD7">
            <w:pPr>
              <w:spacing w:after="0"/>
              <w:jc w:val="center"/>
              <w:rPr>
                <w:rFonts w:cs="Arial"/>
                <w:szCs w:val="20"/>
              </w:rPr>
            </w:pPr>
            <w:r>
              <w:t>12</w:t>
            </w:r>
          </w:p>
        </w:tc>
        <w:tc>
          <w:tcPr>
            <w:tcW w:w="659" w:type="dxa"/>
            <w:tcBorders>
              <w:right w:val="nil"/>
            </w:tcBorders>
          </w:tcPr>
          <w:p w14:paraId="7F43D312" w14:textId="77777777" w:rsidR="00F815D4" w:rsidRPr="00423A27" w:rsidRDefault="00F815D4" w:rsidP="00C14CD7">
            <w:pPr>
              <w:spacing w:after="0"/>
              <w:jc w:val="center"/>
            </w:pPr>
            <w:r>
              <w:t>8</w:t>
            </w:r>
          </w:p>
        </w:tc>
      </w:tr>
      <w:tr w:rsidR="00F815D4" w:rsidRPr="00A67371" w14:paraId="54CA0222" w14:textId="77777777" w:rsidTr="00585A42">
        <w:trPr>
          <w:trHeight w:val="20"/>
          <w:tblHeader/>
          <w:jc w:val="center"/>
        </w:trPr>
        <w:tc>
          <w:tcPr>
            <w:tcW w:w="463" w:type="dxa"/>
            <w:vMerge/>
            <w:tcBorders>
              <w:left w:val="nil"/>
            </w:tcBorders>
            <w:textDirection w:val="btLr"/>
          </w:tcPr>
          <w:p w14:paraId="2D3D0335" w14:textId="77777777" w:rsidR="00F815D4" w:rsidRPr="00A67371" w:rsidRDefault="00F815D4" w:rsidP="00C14CD7">
            <w:pPr>
              <w:spacing w:after="0"/>
              <w:rPr>
                <w:rFonts w:cs="Arial"/>
                <w:b/>
                <w:szCs w:val="20"/>
              </w:rPr>
            </w:pPr>
          </w:p>
        </w:tc>
        <w:tc>
          <w:tcPr>
            <w:tcW w:w="2232" w:type="dxa"/>
            <w:vAlign w:val="bottom"/>
          </w:tcPr>
          <w:p w14:paraId="18B0D2E3" w14:textId="77777777" w:rsidR="00F815D4" w:rsidRPr="00A67371" w:rsidRDefault="00F815D4" w:rsidP="00C14CD7">
            <w:pPr>
              <w:spacing w:after="0"/>
              <w:rPr>
                <w:rFonts w:cs="Arial"/>
                <w:szCs w:val="20"/>
              </w:rPr>
            </w:pPr>
            <w:r w:rsidRPr="00A67371">
              <w:rPr>
                <w:rFonts w:cs="Arial"/>
                <w:color w:val="000000"/>
                <w:szCs w:val="20"/>
              </w:rPr>
              <w:t>Total</w:t>
            </w:r>
          </w:p>
        </w:tc>
        <w:tc>
          <w:tcPr>
            <w:tcW w:w="1057" w:type="dxa"/>
            <w:vAlign w:val="center"/>
          </w:tcPr>
          <w:p w14:paraId="5296FEA5" w14:textId="77777777" w:rsidR="00F815D4" w:rsidRPr="00A67371" w:rsidRDefault="00F815D4" w:rsidP="00C14CD7">
            <w:pPr>
              <w:spacing w:after="0"/>
              <w:jc w:val="center"/>
              <w:rPr>
                <w:rFonts w:cs="Arial"/>
                <w:szCs w:val="20"/>
              </w:rPr>
            </w:pPr>
            <w:r>
              <w:t>52</w:t>
            </w:r>
          </w:p>
        </w:tc>
        <w:tc>
          <w:tcPr>
            <w:tcW w:w="926" w:type="dxa"/>
            <w:vAlign w:val="center"/>
          </w:tcPr>
          <w:p w14:paraId="05B3D1EB" w14:textId="77777777" w:rsidR="00F815D4" w:rsidRPr="00A67371" w:rsidRDefault="00F815D4" w:rsidP="00C14CD7">
            <w:pPr>
              <w:spacing w:after="0"/>
              <w:jc w:val="center"/>
              <w:rPr>
                <w:rFonts w:cs="Arial"/>
                <w:szCs w:val="20"/>
              </w:rPr>
            </w:pPr>
            <w:r>
              <w:t>18</w:t>
            </w:r>
          </w:p>
        </w:tc>
        <w:tc>
          <w:tcPr>
            <w:tcW w:w="909" w:type="dxa"/>
            <w:vAlign w:val="center"/>
          </w:tcPr>
          <w:p w14:paraId="5E88CCE8" w14:textId="77777777" w:rsidR="00F815D4" w:rsidRPr="00A67371" w:rsidRDefault="00F815D4" w:rsidP="00C14CD7">
            <w:pPr>
              <w:spacing w:after="0"/>
              <w:jc w:val="center"/>
              <w:rPr>
                <w:rFonts w:cs="Arial"/>
                <w:szCs w:val="20"/>
              </w:rPr>
            </w:pPr>
            <w:r>
              <w:t>6</w:t>
            </w:r>
          </w:p>
        </w:tc>
        <w:tc>
          <w:tcPr>
            <w:tcW w:w="606" w:type="dxa"/>
            <w:vAlign w:val="center"/>
          </w:tcPr>
          <w:p w14:paraId="4129C463" w14:textId="77777777" w:rsidR="00F815D4" w:rsidRPr="00A67371" w:rsidRDefault="00F815D4" w:rsidP="00C14CD7">
            <w:pPr>
              <w:spacing w:after="0"/>
              <w:jc w:val="center"/>
              <w:rPr>
                <w:rFonts w:cs="Arial"/>
                <w:szCs w:val="20"/>
              </w:rPr>
            </w:pPr>
            <w:r>
              <w:t>18</w:t>
            </w:r>
          </w:p>
        </w:tc>
        <w:tc>
          <w:tcPr>
            <w:tcW w:w="660" w:type="dxa"/>
            <w:vAlign w:val="center"/>
          </w:tcPr>
          <w:p w14:paraId="7A5FD736" w14:textId="77777777" w:rsidR="00F815D4" w:rsidRPr="00A67371" w:rsidRDefault="00F815D4" w:rsidP="00C14CD7">
            <w:pPr>
              <w:spacing w:after="0"/>
              <w:jc w:val="center"/>
              <w:rPr>
                <w:rFonts w:cs="Arial"/>
                <w:szCs w:val="20"/>
              </w:rPr>
            </w:pPr>
            <w:r>
              <w:t>14</w:t>
            </w:r>
          </w:p>
        </w:tc>
        <w:tc>
          <w:tcPr>
            <w:tcW w:w="659" w:type="dxa"/>
            <w:tcBorders>
              <w:right w:val="nil"/>
            </w:tcBorders>
          </w:tcPr>
          <w:p w14:paraId="49D03D3C" w14:textId="77777777" w:rsidR="00F815D4" w:rsidRPr="00423A27" w:rsidRDefault="00F815D4" w:rsidP="00C14CD7">
            <w:pPr>
              <w:spacing w:after="0"/>
              <w:jc w:val="center"/>
            </w:pPr>
            <w:r>
              <w:t>10</w:t>
            </w:r>
          </w:p>
        </w:tc>
      </w:tr>
      <w:tr w:rsidR="00F815D4" w:rsidRPr="00A67371" w14:paraId="1E8E65DA" w14:textId="77777777" w:rsidTr="00585A42">
        <w:trPr>
          <w:trHeight w:val="762"/>
          <w:tblHeader/>
          <w:jc w:val="center"/>
        </w:trPr>
        <w:tc>
          <w:tcPr>
            <w:tcW w:w="463" w:type="dxa"/>
            <w:vMerge w:val="restart"/>
            <w:tcBorders>
              <w:left w:val="nil"/>
            </w:tcBorders>
            <w:shd w:val="clear" w:color="auto" w:fill="F2F2F2" w:themeFill="background1" w:themeFillShade="F2"/>
            <w:textDirection w:val="btLr"/>
          </w:tcPr>
          <w:p w14:paraId="64C0BC4C" w14:textId="77777777" w:rsidR="00F815D4" w:rsidRPr="00A67371" w:rsidRDefault="00F815D4" w:rsidP="00C14CD7">
            <w:pPr>
              <w:spacing w:after="0"/>
              <w:jc w:val="center"/>
              <w:rPr>
                <w:rFonts w:cs="Arial"/>
                <w:b/>
                <w:szCs w:val="20"/>
              </w:rPr>
            </w:pPr>
            <w:r>
              <w:rPr>
                <w:rFonts w:cs="Arial"/>
                <w:b/>
                <w:szCs w:val="20"/>
              </w:rPr>
              <w:t>Regional</w:t>
            </w:r>
          </w:p>
        </w:tc>
        <w:tc>
          <w:tcPr>
            <w:tcW w:w="2232" w:type="dxa"/>
            <w:shd w:val="clear" w:color="auto" w:fill="F2F2F2" w:themeFill="background1" w:themeFillShade="F2"/>
            <w:vAlign w:val="center"/>
          </w:tcPr>
          <w:p w14:paraId="5104A9AB" w14:textId="77777777" w:rsidR="00F815D4" w:rsidRPr="00A67371" w:rsidRDefault="00F815D4" w:rsidP="00C14CD7">
            <w:pPr>
              <w:spacing w:after="0"/>
              <w:rPr>
                <w:rFonts w:cs="Arial"/>
                <w:color w:val="000000"/>
                <w:szCs w:val="20"/>
              </w:rPr>
            </w:pPr>
            <w:r w:rsidRPr="00A67371">
              <w:rPr>
                <w:rFonts w:cs="Arial"/>
                <w:color w:val="000000"/>
                <w:szCs w:val="20"/>
              </w:rPr>
              <w:t xml:space="preserve">Regional </w:t>
            </w:r>
          </w:p>
        </w:tc>
        <w:tc>
          <w:tcPr>
            <w:tcW w:w="1057" w:type="dxa"/>
            <w:shd w:val="clear" w:color="auto" w:fill="F2F2F2" w:themeFill="background1" w:themeFillShade="F2"/>
            <w:vAlign w:val="center"/>
          </w:tcPr>
          <w:p w14:paraId="3AEDDAD7" w14:textId="77777777" w:rsidR="00F815D4" w:rsidRPr="00A67371" w:rsidRDefault="00F815D4" w:rsidP="00C14CD7">
            <w:pPr>
              <w:spacing w:after="0"/>
              <w:jc w:val="center"/>
              <w:rPr>
                <w:rFonts w:cs="Arial"/>
                <w:color w:val="000000"/>
                <w:szCs w:val="20"/>
              </w:rPr>
            </w:pPr>
            <w:r>
              <w:t>288</w:t>
            </w:r>
          </w:p>
        </w:tc>
        <w:tc>
          <w:tcPr>
            <w:tcW w:w="926" w:type="dxa"/>
            <w:shd w:val="clear" w:color="auto" w:fill="F2F2F2" w:themeFill="background1" w:themeFillShade="F2"/>
            <w:vAlign w:val="center"/>
          </w:tcPr>
          <w:p w14:paraId="51F13C27" w14:textId="77777777" w:rsidR="00F815D4" w:rsidRPr="00A67371" w:rsidRDefault="00F815D4" w:rsidP="00C14CD7">
            <w:pPr>
              <w:spacing w:after="0"/>
              <w:jc w:val="center"/>
              <w:rPr>
                <w:rFonts w:cs="Arial"/>
                <w:color w:val="000000"/>
                <w:szCs w:val="20"/>
              </w:rPr>
            </w:pPr>
            <w:r>
              <w:t>94</w:t>
            </w:r>
          </w:p>
        </w:tc>
        <w:tc>
          <w:tcPr>
            <w:tcW w:w="909" w:type="dxa"/>
            <w:shd w:val="clear" w:color="auto" w:fill="F2F2F2" w:themeFill="background1" w:themeFillShade="F2"/>
            <w:vAlign w:val="center"/>
          </w:tcPr>
          <w:p w14:paraId="2E9D7A0A" w14:textId="77777777" w:rsidR="00F815D4" w:rsidRPr="00A67371" w:rsidRDefault="00F815D4" w:rsidP="00C14CD7">
            <w:pPr>
              <w:spacing w:after="0"/>
              <w:jc w:val="center"/>
              <w:rPr>
                <w:rFonts w:cs="Arial"/>
                <w:color w:val="000000"/>
                <w:szCs w:val="20"/>
              </w:rPr>
            </w:pPr>
            <w:r>
              <w:t>72</w:t>
            </w:r>
          </w:p>
        </w:tc>
        <w:tc>
          <w:tcPr>
            <w:tcW w:w="606" w:type="dxa"/>
            <w:shd w:val="clear" w:color="auto" w:fill="F2F2F2" w:themeFill="background1" w:themeFillShade="F2"/>
            <w:vAlign w:val="center"/>
          </w:tcPr>
          <w:p w14:paraId="6A5F8B40" w14:textId="77777777" w:rsidR="00F815D4" w:rsidRPr="00A67371" w:rsidRDefault="00F815D4" w:rsidP="00C14CD7">
            <w:pPr>
              <w:spacing w:after="0"/>
              <w:jc w:val="center"/>
              <w:rPr>
                <w:rFonts w:cs="Arial"/>
                <w:color w:val="000000"/>
                <w:szCs w:val="20"/>
              </w:rPr>
            </w:pPr>
            <w:r>
              <w:t>22</w:t>
            </w:r>
          </w:p>
        </w:tc>
        <w:tc>
          <w:tcPr>
            <w:tcW w:w="660" w:type="dxa"/>
            <w:shd w:val="clear" w:color="auto" w:fill="F2F2F2" w:themeFill="background1" w:themeFillShade="F2"/>
            <w:vAlign w:val="center"/>
          </w:tcPr>
          <w:p w14:paraId="6E6E0A3D" w14:textId="77777777" w:rsidR="00F815D4" w:rsidRPr="00A67371" w:rsidRDefault="00F815D4" w:rsidP="00C14CD7">
            <w:pPr>
              <w:spacing w:after="0"/>
              <w:jc w:val="center"/>
              <w:rPr>
                <w:rFonts w:cs="Arial"/>
                <w:color w:val="000000"/>
                <w:szCs w:val="20"/>
              </w:rPr>
            </w:pPr>
            <w:r>
              <w:t>64</w:t>
            </w:r>
          </w:p>
        </w:tc>
        <w:tc>
          <w:tcPr>
            <w:tcW w:w="659" w:type="dxa"/>
            <w:tcBorders>
              <w:right w:val="nil"/>
            </w:tcBorders>
            <w:shd w:val="clear" w:color="auto" w:fill="F2F2F2" w:themeFill="background1" w:themeFillShade="F2"/>
            <w:vAlign w:val="center"/>
          </w:tcPr>
          <w:p w14:paraId="0E8BA6E5" w14:textId="77777777" w:rsidR="00F815D4" w:rsidRPr="00423A27" w:rsidRDefault="00F815D4" w:rsidP="00C14CD7">
            <w:pPr>
              <w:spacing w:after="0"/>
              <w:jc w:val="center"/>
            </w:pPr>
            <w:r>
              <w:t>108</w:t>
            </w:r>
          </w:p>
        </w:tc>
      </w:tr>
      <w:tr w:rsidR="00F815D4" w:rsidRPr="00A67371" w14:paraId="1717B3E1" w14:textId="77777777" w:rsidTr="00585A42">
        <w:trPr>
          <w:cantSplit/>
          <w:trHeight w:val="924"/>
          <w:tblHeader/>
          <w:jc w:val="center"/>
        </w:trPr>
        <w:tc>
          <w:tcPr>
            <w:tcW w:w="463" w:type="dxa"/>
            <w:vMerge/>
            <w:tcBorders>
              <w:left w:val="nil"/>
            </w:tcBorders>
            <w:shd w:val="clear" w:color="auto" w:fill="F2F2F2" w:themeFill="background1" w:themeFillShade="F2"/>
            <w:textDirection w:val="btLr"/>
          </w:tcPr>
          <w:p w14:paraId="57E61AAF" w14:textId="77777777" w:rsidR="00F815D4" w:rsidRPr="00A67371" w:rsidRDefault="00F815D4" w:rsidP="00C14CD7">
            <w:pPr>
              <w:spacing w:after="0"/>
              <w:jc w:val="center"/>
              <w:rPr>
                <w:rFonts w:cs="Arial"/>
                <w:b/>
                <w:szCs w:val="20"/>
              </w:rPr>
            </w:pPr>
          </w:p>
        </w:tc>
        <w:tc>
          <w:tcPr>
            <w:tcW w:w="2232" w:type="dxa"/>
            <w:shd w:val="clear" w:color="auto" w:fill="F2F2F2" w:themeFill="background1" w:themeFillShade="F2"/>
            <w:vAlign w:val="center"/>
          </w:tcPr>
          <w:p w14:paraId="319A9826" w14:textId="77777777" w:rsidR="00F815D4" w:rsidRPr="00A67371" w:rsidRDefault="00F815D4" w:rsidP="00C14CD7">
            <w:pPr>
              <w:spacing w:after="0"/>
              <w:rPr>
                <w:rFonts w:cs="Arial"/>
                <w:szCs w:val="20"/>
              </w:rPr>
            </w:pPr>
            <w:r w:rsidRPr="00A67371">
              <w:rPr>
                <w:rFonts w:cs="Arial"/>
                <w:color w:val="000000"/>
                <w:szCs w:val="20"/>
              </w:rPr>
              <w:t xml:space="preserve">Regional </w:t>
            </w:r>
            <w:r>
              <w:rPr>
                <w:rFonts w:cs="Arial"/>
                <w:color w:val="000000"/>
                <w:szCs w:val="20"/>
              </w:rPr>
              <w:t>plus Metropolitan</w:t>
            </w:r>
          </w:p>
        </w:tc>
        <w:tc>
          <w:tcPr>
            <w:tcW w:w="1057" w:type="dxa"/>
            <w:shd w:val="clear" w:color="auto" w:fill="F2F2F2" w:themeFill="background1" w:themeFillShade="F2"/>
            <w:vAlign w:val="center"/>
          </w:tcPr>
          <w:p w14:paraId="12CBA4DA" w14:textId="77777777" w:rsidR="00F815D4" w:rsidRPr="00A67371" w:rsidRDefault="00F815D4" w:rsidP="00C14CD7">
            <w:pPr>
              <w:spacing w:after="0"/>
              <w:jc w:val="center"/>
              <w:rPr>
                <w:rFonts w:cs="Arial"/>
                <w:color w:val="000000"/>
                <w:szCs w:val="20"/>
              </w:rPr>
            </w:pPr>
            <w:r>
              <w:t>340</w:t>
            </w:r>
          </w:p>
        </w:tc>
        <w:tc>
          <w:tcPr>
            <w:tcW w:w="926" w:type="dxa"/>
            <w:shd w:val="clear" w:color="auto" w:fill="F2F2F2" w:themeFill="background1" w:themeFillShade="F2"/>
            <w:vAlign w:val="center"/>
          </w:tcPr>
          <w:p w14:paraId="297FF7C5" w14:textId="77777777" w:rsidR="00F815D4" w:rsidRPr="00A67371" w:rsidRDefault="00F815D4" w:rsidP="00C14CD7">
            <w:pPr>
              <w:spacing w:after="0"/>
              <w:jc w:val="center"/>
              <w:rPr>
                <w:rFonts w:cs="Arial"/>
                <w:color w:val="000000"/>
                <w:szCs w:val="20"/>
              </w:rPr>
            </w:pPr>
            <w:r>
              <w:t>112</w:t>
            </w:r>
          </w:p>
        </w:tc>
        <w:tc>
          <w:tcPr>
            <w:tcW w:w="909" w:type="dxa"/>
            <w:shd w:val="clear" w:color="auto" w:fill="F2F2F2" w:themeFill="background1" w:themeFillShade="F2"/>
            <w:vAlign w:val="center"/>
          </w:tcPr>
          <w:p w14:paraId="2D50F95D" w14:textId="77777777" w:rsidR="00F815D4" w:rsidRPr="00A67371" w:rsidRDefault="00F815D4" w:rsidP="00C14CD7">
            <w:pPr>
              <w:spacing w:after="0"/>
              <w:jc w:val="center"/>
              <w:rPr>
                <w:rFonts w:cs="Arial"/>
                <w:color w:val="000000"/>
                <w:szCs w:val="20"/>
              </w:rPr>
            </w:pPr>
            <w:r>
              <w:t>78</w:t>
            </w:r>
          </w:p>
        </w:tc>
        <w:tc>
          <w:tcPr>
            <w:tcW w:w="606" w:type="dxa"/>
            <w:shd w:val="clear" w:color="auto" w:fill="F2F2F2" w:themeFill="background1" w:themeFillShade="F2"/>
            <w:vAlign w:val="center"/>
          </w:tcPr>
          <w:p w14:paraId="167B327D" w14:textId="77777777" w:rsidR="00F815D4" w:rsidRPr="00A67371" w:rsidRDefault="00F815D4" w:rsidP="00C14CD7">
            <w:pPr>
              <w:spacing w:after="0"/>
              <w:jc w:val="center"/>
              <w:rPr>
                <w:rFonts w:cs="Arial"/>
                <w:color w:val="000000"/>
                <w:szCs w:val="20"/>
              </w:rPr>
            </w:pPr>
            <w:r>
              <w:t>40</w:t>
            </w:r>
          </w:p>
        </w:tc>
        <w:tc>
          <w:tcPr>
            <w:tcW w:w="660" w:type="dxa"/>
            <w:shd w:val="clear" w:color="auto" w:fill="F2F2F2" w:themeFill="background1" w:themeFillShade="F2"/>
            <w:vAlign w:val="center"/>
          </w:tcPr>
          <w:p w14:paraId="0F4CA6C0" w14:textId="77777777" w:rsidR="00F815D4" w:rsidRPr="00A67371" w:rsidRDefault="00F815D4" w:rsidP="00C14CD7">
            <w:pPr>
              <w:spacing w:after="0"/>
              <w:jc w:val="center"/>
              <w:rPr>
                <w:rFonts w:cs="Arial"/>
                <w:color w:val="000000"/>
                <w:szCs w:val="20"/>
              </w:rPr>
            </w:pPr>
            <w:r>
              <w:t>78</w:t>
            </w:r>
          </w:p>
        </w:tc>
        <w:tc>
          <w:tcPr>
            <w:tcW w:w="659" w:type="dxa"/>
            <w:tcBorders>
              <w:right w:val="nil"/>
            </w:tcBorders>
            <w:shd w:val="clear" w:color="auto" w:fill="F2F2F2" w:themeFill="background1" w:themeFillShade="F2"/>
            <w:vAlign w:val="center"/>
          </w:tcPr>
          <w:p w14:paraId="0AA5D637" w14:textId="77777777" w:rsidR="00F815D4" w:rsidRPr="00423A27" w:rsidRDefault="00F815D4" w:rsidP="00C14CD7">
            <w:pPr>
              <w:spacing w:after="0"/>
              <w:jc w:val="center"/>
            </w:pPr>
            <w:r>
              <w:t>118</w:t>
            </w:r>
          </w:p>
        </w:tc>
      </w:tr>
      <w:tr w:rsidR="00F815D4" w:rsidRPr="00A67371" w14:paraId="774E78B9" w14:textId="77777777" w:rsidTr="00585A42">
        <w:trPr>
          <w:cantSplit/>
          <w:trHeight w:val="915"/>
          <w:tblHeader/>
          <w:jc w:val="center"/>
        </w:trPr>
        <w:tc>
          <w:tcPr>
            <w:tcW w:w="463" w:type="dxa"/>
            <w:vMerge w:val="restart"/>
            <w:tcBorders>
              <w:left w:val="nil"/>
            </w:tcBorders>
            <w:shd w:val="clear" w:color="auto" w:fill="auto"/>
            <w:textDirection w:val="btLr"/>
          </w:tcPr>
          <w:p w14:paraId="035C858D" w14:textId="77777777" w:rsidR="00F815D4" w:rsidRPr="00A67371" w:rsidRDefault="00F815D4" w:rsidP="00C14CD7">
            <w:pPr>
              <w:spacing w:after="0"/>
              <w:jc w:val="center"/>
              <w:rPr>
                <w:rFonts w:cs="Arial"/>
                <w:b/>
                <w:szCs w:val="20"/>
              </w:rPr>
            </w:pPr>
            <w:r>
              <w:rPr>
                <w:rFonts w:cs="Arial"/>
                <w:b/>
                <w:szCs w:val="20"/>
              </w:rPr>
              <w:t>Australia-wide</w:t>
            </w:r>
          </w:p>
        </w:tc>
        <w:tc>
          <w:tcPr>
            <w:tcW w:w="2232" w:type="dxa"/>
            <w:shd w:val="clear" w:color="auto" w:fill="auto"/>
            <w:vAlign w:val="center"/>
          </w:tcPr>
          <w:p w14:paraId="0F7C184A" w14:textId="77777777" w:rsidR="00F815D4" w:rsidRPr="00A67371" w:rsidRDefault="00F815D4" w:rsidP="00C14CD7">
            <w:pPr>
              <w:spacing w:after="0"/>
              <w:rPr>
                <w:rFonts w:cs="Arial"/>
                <w:color w:val="000000"/>
                <w:szCs w:val="20"/>
              </w:rPr>
            </w:pPr>
            <w:r w:rsidRPr="00A67371">
              <w:rPr>
                <w:rFonts w:cs="Arial"/>
                <w:color w:val="000000"/>
                <w:szCs w:val="20"/>
              </w:rPr>
              <w:t xml:space="preserve">Remote </w:t>
            </w:r>
            <w:r>
              <w:rPr>
                <w:rFonts w:cs="Arial"/>
                <w:color w:val="000000"/>
                <w:szCs w:val="20"/>
              </w:rPr>
              <w:t>(Australia-wide minus Regional minus Metropolitan)</w:t>
            </w:r>
          </w:p>
        </w:tc>
        <w:tc>
          <w:tcPr>
            <w:tcW w:w="1057" w:type="dxa"/>
            <w:shd w:val="clear" w:color="auto" w:fill="auto"/>
            <w:vAlign w:val="center"/>
          </w:tcPr>
          <w:p w14:paraId="26BC8CDA" w14:textId="77777777" w:rsidR="00F815D4" w:rsidRPr="00A67371" w:rsidRDefault="00F815D4" w:rsidP="00C14CD7">
            <w:pPr>
              <w:spacing w:after="0"/>
              <w:jc w:val="center"/>
              <w:rPr>
                <w:rFonts w:cs="Arial"/>
                <w:color w:val="000000"/>
                <w:szCs w:val="20"/>
              </w:rPr>
            </w:pPr>
            <w:r>
              <w:t>44</w:t>
            </w:r>
          </w:p>
        </w:tc>
        <w:tc>
          <w:tcPr>
            <w:tcW w:w="926" w:type="dxa"/>
            <w:shd w:val="clear" w:color="auto" w:fill="auto"/>
            <w:vAlign w:val="center"/>
          </w:tcPr>
          <w:p w14:paraId="2A7442FD" w14:textId="77777777" w:rsidR="00F815D4" w:rsidRPr="00A67371" w:rsidRDefault="00F815D4" w:rsidP="00C14CD7">
            <w:pPr>
              <w:spacing w:after="0"/>
              <w:jc w:val="center"/>
              <w:rPr>
                <w:rFonts w:cs="Arial"/>
                <w:color w:val="000000"/>
                <w:szCs w:val="20"/>
              </w:rPr>
            </w:pPr>
            <w:r>
              <w:t>18</w:t>
            </w:r>
          </w:p>
        </w:tc>
        <w:tc>
          <w:tcPr>
            <w:tcW w:w="909" w:type="dxa"/>
            <w:shd w:val="clear" w:color="auto" w:fill="auto"/>
            <w:vAlign w:val="center"/>
          </w:tcPr>
          <w:p w14:paraId="493ABBCD" w14:textId="77777777" w:rsidR="00F815D4" w:rsidRPr="00A67371" w:rsidRDefault="00F815D4" w:rsidP="00C14CD7">
            <w:pPr>
              <w:spacing w:after="0"/>
              <w:jc w:val="center"/>
              <w:rPr>
                <w:rFonts w:cs="Arial"/>
                <w:color w:val="000000"/>
                <w:szCs w:val="20"/>
              </w:rPr>
            </w:pPr>
            <w:r>
              <w:t>10</w:t>
            </w:r>
          </w:p>
        </w:tc>
        <w:tc>
          <w:tcPr>
            <w:tcW w:w="606" w:type="dxa"/>
            <w:shd w:val="clear" w:color="auto" w:fill="auto"/>
            <w:vAlign w:val="center"/>
          </w:tcPr>
          <w:p w14:paraId="6D4383C8" w14:textId="77777777" w:rsidR="00F815D4" w:rsidRPr="00A67371" w:rsidRDefault="00F815D4" w:rsidP="00C14CD7">
            <w:pPr>
              <w:spacing w:after="0"/>
              <w:jc w:val="center"/>
              <w:rPr>
                <w:rFonts w:cs="Arial"/>
                <w:color w:val="000000"/>
                <w:szCs w:val="20"/>
              </w:rPr>
            </w:pPr>
            <w:r>
              <w:t>0</w:t>
            </w:r>
          </w:p>
        </w:tc>
        <w:tc>
          <w:tcPr>
            <w:tcW w:w="660" w:type="dxa"/>
            <w:shd w:val="clear" w:color="auto" w:fill="auto"/>
            <w:vAlign w:val="center"/>
          </w:tcPr>
          <w:p w14:paraId="52238777" w14:textId="77777777" w:rsidR="00F815D4" w:rsidRPr="00A67371" w:rsidRDefault="00F815D4" w:rsidP="00C14CD7">
            <w:pPr>
              <w:spacing w:after="0"/>
              <w:jc w:val="center"/>
              <w:rPr>
                <w:rFonts w:cs="Arial"/>
                <w:color w:val="000000"/>
                <w:szCs w:val="20"/>
              </w:rPr>
            </w:pPr>
            <w:r>
              <w:t>12</w:t>
            </w:r>
          </w:p>
        </w:tc>
        <w:tc>
          <w:tcPr>
            <w:tcW w:w="659" w:type="dxa"/>
            <w:tcBorders>
              <w:right w:val="nil"/>
            </w:tcBorders>
            <w:shd w:val="clear" w:color="auto" w:fill="auto"/>
            <w:vAlign w:val="center"/>
          </w:tcPr>
          <w:p w14:paraId="3810CB27" w14:textId="77777777" w:rsidR="00F815D4" w:rsidRPr="00423A27" w:rsidRDefault="00F815D4" w:rsidP="00C14CD7">
            <w:pPr>
              <w:spacing w:after="0"/>
              <w:jc w:val="center"/>
            </w:pPr>
            <w:r>
              <w:t>14</w:t>
            </w:r>
          </w:p>
        </w:tc>
      </w:tr>
      <w:tr w:rsidR="00F815D4" w:rsidRPr="00A67371" w14:paraId="31AEEDD1" w14:textId="77777777" w:rsidTr="00585A42">
        <w:trPr>
          <w:cantSplit/>
          <w:trHeight w:val="1063"/>
          <w:tblHeader/>
          <w:jc w:val="center"/>
        </w:trPr>
        <w:tc>
          <w:tcPr>
            <w:tcW w:w="463" w:type="dxa"/>
            <w:vMerge/>
            <w:tcBorders>
              <w:left w:val="nil"/>
            </w:tcBorders>
            <w:shd w:val="clear" w:color="auto" w:fill="auto"/>
            <w:textDirection w:val="btLr"/>
          </w:tcPr>
          <w:p w14:paraId="187A3E15" w14:textId="77777777" w:rsidR="00F815D4" w:rsidRPr="00A67371" w:rsidRDefault="00F815D4" w:rsidP="00C14CD7">
            <w:pPr>
              <w:spacing w:after="0"/>
              <w:jc w:val="center"/>
              <w:rPr>
                <w:rFonts w:cs="Arial"/>
                <w:b/>
                <w:szCs w:val="20"/>
              </w:rPr>
            </w:pPr>
          </w:p>
        </w:tc>
        <w:tc>
          <w:tcPr>
            <w:tcW w:w="2232" w:type="dxa"/>
            <w:shd w:val="clear" w:color="auto" w:fill="auto"/>
            <w:vAlign w:val="center"/>
          </w:tcPr>
          <w:p w14:paraId="24AC5C42" w14:textId="77777777" w:rsidR="00F815D4" w:rsidRPr="00A67371" w:rsidRDefault="00F815D4" w:rsidP="00C14CD7">
            <w:pPr>
              <w:spacing w:after="0"/>
              <w:rPr>
                <w:rFonts w:cs="Arial"/>
                <w:szCs w:val="20"/>
              </w:rPr>
            </w:pPr>
            <w:r w:rsidRPr="00A67371">
              <w:rPr>
                <w:rFonts w:cs="Arial"/>
                <w:color w:val="000000"/>
                <w:szCs w:val="20"/>
              </w:rPr>
              <w:t>Australia-wide</w:t>
            </w:r>
            <w:r>
              <w:rPr>
                <w:rFonts w:cs="Arial"/>
                <w:color w:val="000000"/>
                <w:szCs w:val="20"/>
              </w:rPr>
              <w:t xml:space="preserve"> </w:t>
            </w:r>
          </w:p>
        </w:tc>
        <w:tc>
          <w:tcPr>
            <w:tcW w:w="1057" w:type="dxa"/>
            <w:shd w:val="clear" w:color="auto" w:fill="auto"/>
            <w:vAlign w:val="center"/>
          </w:tcPr>
          <w:p w14:paraId="035C2566" w14:textId="77777777" w:rsidR="00F815D4" w:rsidRPr="00A67371" w:rsidRDefault="00F815D4" w:rsidP="00C14CD7">
            <w:pPr>
              <w:spacing w:after="0"/>
              <w:jc w:val="center"/>
              <w:rPr>
                <w:rFonts w:cs="Arial"/>
                <w:color w:val="000000"/>
                <w:szCs w:val="20"/>
              </w:rPr>
            </w:pPr>
            <w:r>
              <w:t>384</w:t>
            </w:r>
          </w:p>
        </w:tc>
        <w:tc>
          <w:tcPr>
            <w:tcW w:w="926" w:type="dxa"/>
            <w:shd w:val="clear" w:color="auto" w:fill="auto"/>
            <w:vAlign w:val="center"/>
          </w:tcPr>
          <w:p w14:paraId="0113703B" w14:textId="77777777" w:rsidR="00F815D4" w:rsidRPr="00A67371" w:rsidRDefault="00F815D4" w:rsidP="00C14CD7">
            <w:pPr>
              <w:spacing w:after="0"/>
              <w:jc w:val="center"/>
              <w:rPr>
                <w:rFonts w:cs="Arial"/>
                <w:color w:val="000000"/>
                <w:szCs w:val="20"/>
              </w:rPr>
            </w:pPr>
            <w:r>
              <w:t>130</w:t>
            </w:r>
          </w:p>
        </w:tc>
        <w:tc>
          <w:tcPr>
            <w:tcW w:w="909" w:type="dxa"/>
            <w:shd w:val="clear" w:color="auto" w:fill="auto"/>
            <w:vAlign w:val="center"/>
          </w:tcPr>
          <w:p w14:paraId="61C5476C" w14:textId="77777777" w:rsidR="00F815D4" w:rsidRPr="00A67371" w:rsidRDefault="00F815D4" w:rsidP="00C14CD7">
            <w:pPr>
              <w:spacing w:after="0"/>
              <w:jc w:val="center"/>
              <w:rPr>
                <w:rFonts w:cs="Arial"/>
                <w:color w:val="000000"/>
                <w:szCs w:val="20"/>
              </w:rPr>
            </w:pPr>
            <w:r>
              <w:t>88</w:t>
            </w:r>
          </w:p>
        </w:tc>
        <w:tc>
          <w:tcPr>
            <w:tcW w:w="606" w:type="dxa"/>
            <w:shd w:val="clear" w:color="auto" w:fill="auto"/>
            <w:vAlign w:val="center"/>
          </w:tcPr>
          <w:p w14:paraId="6851D8B8" w14:textId="77777777" w:rsidR="00F815D4" w:rsidRPr="00A67371" w:rsidRDefault="00F815D4" w:rsidP="00C14CD7">
            <w:pPr>
              <w:spacing w:after="0"/>
              <w:jc w:val="center"/>
              <w:rPr>
                <w:rFonts w:cs="Arial"/>
                <w:color w:val="000000"/>
                <w:szCs w:val="20"/>
              </w:rPr>
            </w:pPr>
            <w:r>
              <w:t>40</w:t>
            </w:r>
          </w:p>
        </w:tc>
        <w:tc>
          <w:tcPr>
            <w:tcW w:w="660" w:type="dxa"/>
            <w:shd w:val="clear" w:color="auto" w:fill="auto"/>
            <w:vAlign w:val="center"/>
          </w:tcPr>
          <w:p w14:paraId="26F3F206" w14:textId="77777777" w:rsidR="00F815D4" w:rsidRPr="00A67371" w:rsidRDefault="00F815D4" w:rsidP="00C14CD7">
            <w:pPr>
              <w:spacing w:after="0"/>
              <w:jc w:val="center"/>
              <w:rPr>
                <w:rFonts w:cs="Arial"/>
                <w:color w:val="000000"/>
                <w:szCs w:val="20"/>
              </w:rPr>
            </w:pPr>
            <w:r>
              <w:t>90</w:t>
            </w:r>
          </w:p>
        </w:tc>
        <w:tc>
          <w:tcPr>
            <w:tcW w:w="659" w:type="dxa"/>
            <w:tcBorders>
              <w:right w:val="nil"/>
            </w:tcBorders>
            <w:shd w:val="clear" w:color="auto" w:fill="auto"/>
            <w:vAlign w:val="center"/>
          </w:tcPr>
          <w:p w14:paraId="77988839" w14:textId="77777777" w:rsidR="00F815D4" w:rsidRPr="00423A27" w:rsidRDefault="00F815D4" w:rsidP="00C14CD7">
            <w:pPr>
              <w:spacing w:after="0"/>
              <w:jc w:val="center"/>
            </w:pPr>
            <w:r>
              <w:t>132</w:t>
            </w:r>
          </w:p>
        </w:tc>
      </w:tr>
    </w:tbl>
    <w:p w14:paraId="1EE62F30" w14:textId="77777777" w:rsidR="00F815D4" w:rsidRDefault="00F815D4" w:rsidP="00F815D4">
      <w:pPr>
        <w:pStyle w:val="ACMASpaceaftertable"/>
      </w:pPr>
    </w:p>
    <w:p w14:paraId="7FAD0A1E" w14:textId="2B4B55C4" w:rsidR="00F815D4" w:rsidRDefault="00F815D4" w:rsidP="00585A42">
      <w:pPr>
        <w:pStyle w:val="ACMATableHeader"/>
        <w:keepNext/>
      </w:pPr>
      <w:r w:rsidRPr="00613D80">
        <w:lastRenderedPageBreak/>
        <w:t>Breakdown of Earth Receive licen</w:t>
      </w:r>
      <w:r>
        <w:t>s</w:t>
      </w:r>
      <w:r w:rsidRPr="00613D80">
        <w:t>e</w:t>
      </w:r>
      <w:r>
        <w:t>d devices</w:t>
      </w:r>
      <w:r w:rsidRPr="00613D80">
        <w:t xml:space="preserve"> </w:t>
      </w:r>
      <w:r>
        <w:t>and locations</w:t>
      </w:r>
      <w:r w:rsidRPr="00613D80">
        <w:t xml:space="preserve"> in the </w:t>
      </w:r>
      <w:r>
        <w:t>3700–4200 MHz</w:t>
      </w:r>
      <w:r w:rsidRPr="00613D80">
        <w:t xml:space="preserve"> band by </w:t>
      </w:r>
      <w:r>
        <w:t>a</w:t>
      </w:r>
      <w:r w:rsidRPr="00613D80">
        <w:t xml:space="preserve">rea </w:t>
      </w:r>
      <w:r>
        <w:t xml:space="preserve">and frequency range </w:t>
      </w:r>
      <w:r w:rsidRPr="00613D80">
        <w:t xml:space="preserve">(RRL extract, </w:t>
      </w:r>
      <w:r>
        <w:t>1</w:t>
      </w:r>
      <w:r w:rsidRPr="00613D80">
        <w:t xml:space="preserve"> May 2019)</w:t>
      </w:r>
    </w:p>
    <w:tbl>
      <w:tblPr>
        <w:tblStyle w:val="TableGrid"/>
        <w:tblW w:w="7938" w:type="dxa"/>
        <w:jc w:val="center"/>
        <w:tblLook w:val="04A0" w:firstRow="1" w:lastRow="0" w:firstColumn="1" w:lastColumn="0" w:noHBand="0" w:noVBand="1"/>
        <w:tblCaption w:val="Breakdown of licences in the 3.6 GHz band by Area "/>
        <w:tblDescription w:val="Details on the licence types and their number in each re-farming area option"/>
      </w:tblPr>
      <w:tblGrid>
        <w:gridCol w:w="462"/>
        <w:gridCol w:w="2090"/>
        <w:gridCol w:w="1133"/>
        <w:gridCol w:w="850"/>
        <w:gridCol w:w="850"/>
        <w:gridCol w:w="850"/>
        <w:gridCol w:w="850"/>
        <w:gridCol w:w="853"/>
      </w:tblGrid>
      <w:tr w:rsidR="00F815D4" w:rsidRPr="00A67371" w14:paraId="658DE450" w14:textId="77777777" w:rsidTr="00585A42">
        <w:trPr>
          <w:cantSplit/>
          <w:trHeight w:val="334"/>
          <w:tblHeader/>
          <w:jc w:val="center"/>
        </w:trPr>
        <w:tc>
          <w:tcPr>
            <w:tcW w:w="2552" w:type="dxa"/>
            <w:gridSpan w:val="2"/>
            <w:tcBorders>
              <w:top w:val="nil"/>
              <w:left w:val="nil"/>
            </w:tcBorders>
            <w:shd w:val="clear" w:color="auto" w:fill="auto"/>
            <w:vAlign w:val="bottom"/>
          </w:tcPr>
          <w:p w14:paraId="2C6A1E41" w14:textId="77777777" w:rsidR="00F815D4" w:rsidRPr="00A67371" w:rsidRDefault="00F815D4" w:rsidP="00585A42">
            <w:pPr>
              <w:pStyle w:val="TableHeading"/>
              <w:keepNext/>
              <w:rPr>
                <w:color w:val="FFFFFF" w:themeColor="background1"/>
              </w:rPr>
            </w:pPr>
          </w:p>
        </w:tc>
        <w:tc>
          <w:tcPr>
            <w:tcW w:w="5386" w:type="dxa"/>
            <w:gridSpan w:val="6"/>
            <w:tcBorders>
              <w:right w:val="nil"/>
            </w:tcBorders>
            <w:shd w:val="clear" w:color="auto" w:fill="404040" w:themeFill="text1" w:themeFillTint="BF"/>
            <w:vAlign w:val="center"/>
          </w:tcPr>
          <w:p w14:paraId="7E17791A" w14:textId="77777777" w:rsidR="00F815D4" w:rsidRDefault="00F815D4" w:rsidP="00585A42">
            <w:pPr>
              <w:pStyle w:val="TableHeading"/>
              <w:keepNext/>
              <w:rPr>
                <w:color w:val="FFFFFF" w:themeColor="background1"/>
              </w:rPr>
            </w:pPr>
            <w:r>
              <w:rPr>
                <w:color w:val="FFFFFF" w:themeColor="background1"/>
              </w:rPr>
              <w:t>Number of devices (number of locations</w:t>
            </w:r>
            <w:r>
              <w:rPr>
                <w:rStyle w:val="FootnoteReference"/>
                <w:color w:val="FFFFFF" w:themeColor="background1"/>
              </w:rPr>
              <w:footnoteReference w:id="11"/>
            </w:r>
            <w:r>
              <w:rPr>
                <w:color w:val="FFFFFF" w:themeColor="background1"/>
              </w:rPr>
              <w:t>) by frequency range</w:t>
            </w:r>
            <w:r>
              <w:rPr>
                <w:rStyle w:val="FootnoteReference"/>
                <w:color w:val="FFFFFF" w:themeColor="background1"/>
              </w:rPr>
              <w:footnoteReference w:id="12"/>
            </w:r>
          </w:p>
        </w:tc>
      </w:tr>
      <w:tr w:rsidR="00F815D4" w:rsidRPr="00A67371" w14:paraId="614322BE" w14:textId="77777777" w:rsidTr="00585A42">
        <w:trPr>
          <w:cantSplit/>
          <w:trHeight w:val="2145"/>
          <w:tblHeader/>
          <w:jc w:val="center"/>
        </w:trPr>
        <w:tc>
          <w:tcPr>
            <w:tcW w:w="2552" w:type="dxa"/>
            <w:gridSpan w:val="2"/>
            <w:tcBorders>
              <w:left w:val="nil"/>
            </w:tcBorders>
            <w:shd w:val="clear" w:color="auto" w:fill="404040" w:themeFill="text1" w:themeFillTint="BF"/>
            <w:vAlign w:val="center"/>
          </w:tcPr>
          <w:p w14:paraId="0F7CB34C" w14:textId="77777777" w:rsidR="00F815D4" w:rsidRPr="00A67371" w:rsidRDefault="00F815D4" w:rsidP="00585A42">
            <w:pPr>
              <w:pStyle w:val="TableHeading"/>
              <w:keepNext/>
              <w:jc w:val="center"/>
              <w:rPr>
                <w:color w:val="FFFFFF" w:themeColor="background1"/>
              </w:rPr>
            </w:pPr>
            <w:r w:rsidRPr="00A67371">
              <w:rPr>
                <w:color w:val="FFFFFF" w:themeColor="background1"/>
              </w:rPr>
              <w:t>Area</w:t>
            </w:r>
            <w:r>
              <w:rPr>
                <w:rStyle w:val="FootnoteReference"/>
                <w:color w:val="FFFFFF" w:themeColor="background1"/>
              </w:rPr>
              <w:footnoteReference w:id="13"/>
            </w:r>
          </w:p>
        </w:tc>
        <w:tc>
          <w:tcPr>
            <w:tcW w:w="1133" w:type="dxa"/>
            <w:shd w:val="clear" w:color="auto" w:fill="404040" w:themeFill="text1" w:themeFillTint="BF"/>
            <w:textDirection w:val="btLr"/>
            <w:vAlign w:val="center"/>
          </w:tcPr>
          <w:p w14:paraId="3DF7231B" w14:textId="77777777" w:rsidR="00F815D4" w:rsidRPr="00A67371" w:rsidRDefault="00F815D4" w:rsidP="00585A42">
            <w:pPr>
              <w:pStyle w:val="TableHeading"/>
              <w:keepNext/>
              <w:rPr>
                <w:color w:val="FFFFFF" w:themeColor="background1"/>
              </w:rPr>
            </w:pPr>
            <w:r>
              <w:rPr>
                <w:color w:val="FFFFFF" w:themeColor="background1"/>
              </w:rPr>
              <w:t>Entire 3700–4200 MHz</w:t>
            </w:r>
          </w:p>
        </w:tc>
        <w:tc>
          <w:tcPr>
            <w:tcW w:w="850" w:type="dxa"/>
            <w:shd w:val="clear" w:color="auto" w:fill="404040" w:themeFill="text1" w:themeFillTint="BF"/>
            <w:textDirection w:val="btLr"/>
            <w:vAlign w:val="center"/>
          </w:tcPr>
          <w:p w14:paraId="4D0A9B00" w14:textId="77777777" w:rsidR="00F815D4" w:rsidRPr="00A67371" w:rsidRDefault="00F815D4" w:rsidP="00585A42">
            <w:pPr>
              <w:pStyle w:val="TableHeading"/>
              <w:keepNext/>
              <w:rPr>
                <w:color w:val="FFFFFF" w:themeColor="background1"/>
              </w:rPr>
            </w:pPr>
            <w:r>
              <w:rPr>
                <w:color w:val="FFFFFF" w:themeColor="background1"/>
              </w:rPr>
              <w:t>3700–3800 MHz</w:t>
            </w:r>
          </w:p>
        </w:tc>
        <w:tc>
          <w:tcPr>
            <w:tcW w:w="850" w:type="dxa"/>
            <w:shd w:val="clear" w:color="auto" w:fill="404040" w:themeFill="text1" w:themeFillTint="BF"/>
            <w:textDirection w:val="btLr"/>
            <w:vAlign w:val="center"/>
          </w:tcPr>
          <w:p w14:paraId="2AE920D3" w14:textId="77777777" w:rsidR="00F815D4" w:rsidRPr="00A67371" w:rsidRDefault="00F815D4" w:rsidP="00585A42">
            <w:pPr>
              <w:pStyle w:val="TableHeading"/>
              <w:keepNext/>
              <w:rPr>
                <w:color w:val="FFFFFF" w:themeColor="background1"/>
              </w:rPr>
            </w:pPr>
            <w:r>
              <w:rPr>
                <w:color w:val="FFFFFF" w:themeColor="background1"/>
              </w:rPr>
              <w:t>3800–3900 MHz</w:t>
            </w:r>
          </w:p>
        </w:tc>
        <w:tc>
          <w:tcPr>
            <w:tcW w:w="850" w:type="dxa"/>
            <w:shd w:val="clear" w:color="auto" w:fill="404040" w:themeFill="text1" w:themeFillTint="BF"/>
            <w:textDirection w:val="btLr"/>
            <w:vAlign w:val="center"/>
          </w:tcPr>
          <w:p w14:paraId="4C9CFF9D" w14:textId="77777777" w:rsidR="00F815D4" w:rsidRPr="00A67371" w:rsidRDefault="00F815D4" w:rsidP="00585A42">
            <w:pPr>
              <w:pStyle w:val="TableHeading"/>
              <w:keepNext/>
              <w:rPr>
                <w:color w:val="FFFFFF" w:themeColor="background1"/>
              </w:rPr>
            </w:pPr>
            <w:r>
              <w:rPr>
                <w:color w:val="FFFFFF" w:themeColor="background1"/>
              </w:rPr>
              <w:t>3900–4000 MHz</w:t>
            </w:r>
          </w:p>
        </w:tc>
        <w:tc>
          <w:tcPr>
            <w:tcW w:w="850" w:type="dxa"/>
            <w:shd w:val="clear" w:color="auto" w:fill="404040" w:themeFill="text1" w:themeFillTint="BF"/>
            <w:textDirection w:val="btLr"/>
            <w:vAlign w:val="center"/>
          </w:tcPr>
          <w:p w14:paraId="3E071662" w14:textId="77777777" w:rsidR="00F815D4" w:rsidRPr="00A67371" w:rsidRDefault="00F815D4" w:rsidP="00585A42">
            <w:pPr>
              <w:pStyle w:val="TableHeading"/>
              <w:keepNext/>
              <w:rPr>
                <w:color w:val="FFFFFF" w:themeColor="background1"/>
              </w:rPr>
            </w:pPr>
            <w:r>
              <w:rPr>
                <w:color w:val="FFFFFF" w:themeColor="background1"/>
              </w:rPr>
              <w:t>4000–4100 MHz</w:t>
            </w:r>
          </w:p>
        </w:tc>
        <w:tc>
          <w:tcPr>
            <w:tcW w:w="853" w:type="dxa"/>
            <w:tcBorders>
              <w:right w:val="nil"/>
            </w:tcBorders>
            <w:shd w:val="clear" w:color="auto" w:fill="404040" w:themeFill="text1" w:themeFillTint="BF"/>
            <w:textDirection w:val="btLr"/>
          </w:tcPr>
          <w:p w14:paraId="30F27A1B" w14:textId="77777777" w:rsidR="00F815D4" w:rsidRPr="00A67371" w:rsidDel="00053637" w:rsidRDefault="00F815D4" w:rsidP="00585A42">
            <w:pPr>
              <w:pStyle w:val="TableHeading"/>
              <w:keepNext/>
              <w:rPr>
                <w:color w:val="FFFFFF" w:themeColor="background1"/>
              </w:rPr>
            </w:pPr>
            <w:r>
              <w:rPr>
                <w:color w:val="FFFFFF" w:themeColor="background1"/>
              </w:rPr>
              <w:t>4100–4200 MHz</w:t>
            </w:r>
          </w:p>
        </w:tc>
      </w:tr>
      <w:tr w:rsidR="00F815D4" w:rsidRPr="00A67371" w14:paraId="17113818" w14:textId="77777777" w:rsidTr="00585A42">
        <w:trPr>
          <w:trHeight w:val="20"/>
          <w:tblHeader/>
          <w:jc w:val="center"/>
        </w:trPr>
        <w:tc>
          <w:tcPr>
            <w:tcW w:w="462" w:type="dxa"/>
            <w:vMerge w:val="restart"/>
            <w:tcBorders>
              <w:left w:val="nil"/>
            </w:tcBorders>
            <w:textDirection w:val="btLr"/>
          </w:tcPr>
          <w:p w14:paraId="6798B10E" w14:textId="77777777" w:rsidR="00F815D4" w:rsidRPr="00A67371" w:rsidRDefault="00F815D4" w:rsidP="00C14CD7">
            <w:pPr>
              <w:spacing w:after="0"/>
              <w:jc w:val="center"/>
              <w:rPr>
                <w:rFonts w:cs="Arial"/>
                <w:b/>
                <w:szCs w:val="20"/>
              </w:rPr>
            </w:pPr>
            <w:r>
              <w:rPr>
                <w:rFonts w:cs="Arial"/>
                <w:b/>
                <w:szCs w:val="20"/>
              </w:rPr>
              <w:t>Metropolitan</w:t>
            </w:r>
          </w:p>
        </w:tc>
        <w:tc>
          <w:tcPr>
            <w:tcW w:w="2090" w:type="dxa"/>
            <w:vAlign w:val="bottom"/>
          </w:tcPr>
          <w:p w14:paraId="67CD64B6" w14:textId="77777777" w:rsidR="00F815D4" w:rsidRPr="00A67371" w:rsidRDefault="00F815D4" w:rsidP="00C14CD7">
            <w:pPr>
              <w:spacing w:after="0"/>
              <w:rPr>
                <w:rFonts w:cs="Arial"/>
                <w:szCs w:val="20"/>
              </w:rPr>
            </w:pPr>
            <w:r w:rsidRPr="00A67371">
              <w:rPr>
                <w:rFonts w:cs="Arial"/>
                <w:color w:val="000000"/>
                <w:szCs w:val="20"/>
              </w:rPr>
              <w:t>Adelaide</w:t>
            </w:r>
          </w:p>
        </w:tc>
        <w:tc>
          <w:tcPr>
            <w:tcW w:w="1133" w:type="dxa"/>
            <w:vAlign w:val="center"/>
          </w:tcPr>
          <w:p w14:paraId="4D9D9945" w14:textId="77777777" w:rsidR="00F815D4" w:rsidRPr="00A67371" w:rsidRDefault="00F815D4" w:rsidP="00C14CD7">
            <w:pPr>
              <w:spacing w:after="0"/>
              <w:jc w:val="center"/>
              <w:rPr>
                <w:rFonts w:cs="Arial"/>
                <w:szCs w:val="20"/>
              </w:rPr>
            </w:pPr>
            <w:r>
              <w:rPr>
                <w:rFonts w:cs="Arial"/>
                <w:szCs w:val="20"/>
              </w:rPr>
              <w:t>2 (1)</w:t>
            </w:r>
          </w:p>
        </w:tc>
        <w:tc>
          <w:tcPr>
            <w:tcW w:w="850" w:type="dxa"/>
            <w:vAlign w:val="center"/>
          </w:tcPr>
          <w:p w14:paraId="320DCF46"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56D576C9"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563AEC5D" w14:textId="77777777" w:rsidR="00F815D4" w:rsidRPr="00A67371" w:rsidRDefault="00F815D4" w:rsidP="00C14CD7">
            <w:pPr>
              <w:spacing w:after="0"/>
              <w:jc w:val="center"/>
              <w:rPr>
                <w:rFonts w:cs="Arial"/>
                <w:szCs w:val="20"/>
              </w:rPr>
            </w:pPr>
            <w:r>
              <w:rPr>
                <w:rFonts w:cs="Arial"/>
                <w:szCs w:val="20"/>
              </w:rPr>
              <w:t>1 (1)</w:t>
            </w:r>
          </w:p>
        </w:tc>
        <w:tc>
          <w:tcPr>
            <w:tcW w:w="850" w:type="dxa"/>
            <w:vAlign w:val="center"/>
          </w:tcPr>
          <w:p w14:paraId="2D8A827B" w14:textId="77777777" w:rsidR="00F815D4" w:rsidRPr="00A67371" w:rsidRDefault="00F815D4" w:rsidP="00C14CD7">
            <w:pPr>
              <w:spacing w:after="0"/>
              <w:jc w:val="center"/>
              <w:rPr>
                <w:rFonts w:cs="Arial"/>
                <w:szCs w:val="20"/>
              </w:rPr>
            </w:pPr>
            <w:r>
              <w:rPr>
                <w:rFonts w:cs="Arial"/>
                <w:szCs w:val="20"/>
              </w:rPr>
              <w:t>0 (0)</w:t>
            </w:r>
          </w:p>
        </w:tc>
        <w:tc>
          <w:tcPr>
            <w:tcW w:w="853" w:type="dxa"/>
            <w:tcBorders>
              <w:right w:val="nil"/>
            </w:tcBorders>
          </w:tcPr>
          <w:p w14:paraId="35BC623B" w14:textId="77777777" w:rsidR="00F815D4" w:rsidRPr="00423A27" w:rsidRDefault="00F815D4" w:rsidP="00C14CD7">
            <w:pPr>
              <w:spacing w:after="0"/>
              <w:jc w:val="center"/>
            </w:pPr>
            <w:r>
              <w:t>1 (1)</w:t>
            </w:r>
          </w:p>
        </w:tc>
      </w:tr>
      <w:tr w:rsidR="00F815D4" w:rsidRPr="00A67371" w14:paraId="0F3D960B" w14:textId="77777777" w:rsidTr="00585A42">
        <w:trPr>
          <w:trHeight w:val="20"/>
          <w:tblHeader/>
          <w:jc w:val="center"/>
        </w:trPr>
        <w:tc>
          <w:tcPr>
            <w:tcW w:w="462" w:type="dxa"/>
            <w:vMerge/>
            <w:tcBorders>
              <w:left w:val="nil"/>
            </w:tcBorders>
            <w:textDirection w:val="btLr"/>
          </w:tcPr>
          <w:p w14:paraId="0AA1AF36" w14:textId="77777777" w:rsidR="00F815D4" w:rsidRPr="00A67371" w:rsidRDefault="00F815D4" w:rsidP="00C14CD7">
            <w:pPr>
              <w:spacing w:after="0"/>
              <w:rPr>
                <w:rFonts w:cs="Arial"/>
                <w:b/>
                <w:szCs w:val="20"/>
              </w:rPr>
            </w:pPr>
          </w:p>
        </w:tc>
        <w:tc>
          <w:tcPr>
            <w:tcW w:w="2090" w:type="dxa"/>
            <w:vAlign w:val="bottom"/>
          </w:tcPr>
          <w:p w14:paraId="77CB70D2" w14:textId="77777777" w:rsidR="00F815D4" w:rsidRPr="00A67371" w:rsidRDefault="00F815D4" w:rsidP="00C14CD7">
            <w:pPr>
              <w:spacing w:after="0"/>
              <w:rPr>
                <w:rFonts w:cs="Arial"/>
                <w:szCs w:val="20"/>
              </w:rPr>
            </w:pPr>
            <w:r w:rsidRPr="00A67371">
              <w:rPr>
                <w:rFonts w:cs="Arial"/>
                <w:color w:val="000000"/>
                <w:szCs w:val="20"/>
              </w:rPr>
              <w:t>Brisbane</w:t>
            </w:r>
          </w:p>
        </w:tc>
        <w:tc>
          <w:tcPr>
            <w:tcW w:w="1133" w:type="dxa"/>
            <w:vAlign w:val="center"/>
          </w:tcPr>
          <w:p w14:paraId="52B4300F"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65A48E62"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74F724C2"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484A1A8A"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5DE907E8" w14:textId="77777777" w:rsidR="00F815D4" w:rsidRPr="00A67371" w:rsidRDefault="00F815D4" w:rsidP="00C14CD7">
            <w:pPr>
              <w:spacing w:after="0"/>
              <w:jc w:val="center"/>
              <w:rPr>
                <w:rFonts w:cs="Arial"/>
                <w:szCs w:val="20"/>
              </w:rPr>
            </w:pPr>
            <w:r>
              <w:rPr>
                <w:rFonts w:cs="Arial"/>
                <w:szCs w:val="20"/>
              </w:rPr>
              <w:t>0 (0)</w:t>
            </w:r>
          </w:p>
        </w:tc>
        <w:tc>
          <w:tcPr>
            <w:tcW w:w="853" w:type="dxa"/>
            <w:tcBorders>
              <w:right w:val="nil"/>
            </w:tcBorders>
          </w:tcPr>
          <w:p w14:paraId="4FE13F13" w14:textId="77777777" w:rsidR="00F815D4" w:rsidRPr="00423A27" w:rsidRDefault="00F815D4" w:rsidP="00C14CD7">
            <w:pPr>
              <w:spacing w:after="0"/>
              <w:jc w:val="center"/>
            </w:pPr>
            <w:r>
              <w:t>0 (0)</w:t>
            </w:r>
          </w:p>
        </w:tc>
      </w:tr>
      <w:tr w:rsidR="00F815D4" w:rsidRPr="00A67371" w14:paraId="4B32745A" w14:textId="77777777" w:rsidTr="00585A42">
        <w:trPr>
          <w:trHeight w:val="20"/>
          <w:tblHeader/>
          <w:jc w:val="center"/>
        </w:trPr>
        <w:tc>
          <w:tcPr>
            <w:tcW w:w="462" w:type="dxa"/>
            <w:vMerge/>
            <w:tcBorders>
              <w:left w:val="nil"/>
            </w:tcBorders>
            <w:textDirection w:val="btLr"/>
          </w:tcPr>
          <w:p w14:paraId="48B1EB2E" w14:textId="77777777" w:rsidR="00F815D4" w:rsidRPr="00A67371" w:rsidRDefault="00F815D4" w:rsidP="00C14CD7">
            <w:pPr>
              <w:spacing w:after="0"/>
              <w:rPr>
                <w:rFonts w:cs="Arial"/>
                <w:b/>
                <w:szCs w:val="20"/>
              </w:rPr>
            </w:pPr>
          </w:p>
        </w:tc>
        <w:tc>
          <w:tcPr>
            <w:tcW w:w="2090" w:type="dxa"/>
            <w:vAlign w:val="bottom"/>
          </w:tcPr>
          <w:p w14:paraId="6C980C9D" w14:textId="77777777" w:rsidR="00F815D4" w:rsidRPr="00A67371" w:rsidRDefault="00F815D4" w:rsidP="00C14CD7">
            <w:pPr>
              <w:spacing w:after="0"/>
              <w:rPr>
                <w:rFonts w:cs="Arial"/>
                <w:szCs w:val="20"/>
              </w:rPr>
            </w:pPr>
            <w:r w:rsidRPr="00A67371">
              <w:rPr>
                <w:rFonts w:cs="Arial"/>
                <w:color w:val="000000"/>
                <w:szCs w:val="20"/>
              </w:rPr>
              <w:t>Canberra</w:t>
            </w:r>
          </w:p>
        </w:tc>
        <w:tc>
          <w:tcPr>
            <w:tcW w:w="1133" w:type="dxa"/>
            <w:vAlign w:val="center"/>
          </w:tcPr>
          <w:p w14:paraId="2028D920" w14:textId="77777777" w:rsidR="00F815D4" w:rsidRPr="00A67371" w:rsidRDefault="00F815D4" w:rsidP="00C14CD7">
            <w:pPr>
              <w:spacing w:after="0"/>
              <w:jc w:val="center"/>
              <w:rPr>
                <w:rFonts w:cs="Arial"/>
                <w:szCs w:val="20"/>
              </w:rPr>
            </w:pPr>
            <w:r>
              <w:rPr>
                <w:rFonts w:cs="Arial"/>
                <w:szCs w:val="20"/>
              </w:rPr>
              <w:t>5 (3)</w:t>
            </w:r>
          </w:p>
        </w:tc>
        <w:tc>
          <w:tcPr>
            <w:tcW w:w="850" w:type="dxa"/>
            <w:vAlign w:val="center"/>
          </w:tcPr>
          <w:p w14:paraId="5A1E5E4A" w14:textId="77777777" w:rsidR="00F815D4" w:rsidRPr="00A67371" w:rsidRDefault="00F815D4" w:rsidP="00C14CD7">
            <w:pPr>
              <w:spacing w:after="0"/>
              <w:jc w:val="center"/>
              <w:rPr>
                <w:rFonts w:cs="Arial"/>
                <w:szCs w:val="20"/>
              </w:rPr>
            </w:pPr>
            <w:r>
              <w:rPr>
                <w:rFonts w:cs="Arial"/>
                <w:szCs w:val="20"/>
              </w:rPr>
              <w:t>2 (2)</w:t>
            </w:r>
          </w:p>
        </w:tc>
        <w:tc>
          <w:tcPr>
            <w:tcW w:w="850" w:type="dxa"/>
            <w:vAlign w:val="center"/>
          </w:tcPr>
          <w:p w14:paraId="5A142987"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528A086B"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1471CBB0" w14:textId="77777777" w:rsidR="00F815D4" w:rsidRPr="00A67371" w:rsidRDefault="00F815D4" w:rsidP="00C14CD7">
            <w:pPr>
              <w:spacing w:after="0"/>
              <w:jc w:val="center"/>
              <w:rPr>
                <w:rFonts w:cs="Arial"/>
                <w:szCs w:val="20"/>
              </w:rPr>
            </w:pPr>
            <w:r>
              <w:rPr>
                <w:rFonts w:cs="Arial"/>
                <w:szCs w:val="20"/>
              </w:rPr>
              <w:t>0 (0)</w:t>
            </w:r>
          </w:p>
        </w:tc>
        <w:tc>
          <w:tcPr>
            <w:tcW w:w="853" w:type="dxa"/>
            <w:tcBorders>
              <w:right w:val="nil"/>
            </w:tcBorders>
          </w:tcPr>
          <w:p w14:paraId="6C9FD81B" w14:textId="77777777" w:rsidR="00F815D4" w:rsidRPr="00423A27" w:rsidRDefault="00F815D4" w:rsidP="00C14CD7">
            <w:pPr>
              <w:spacing w:after="0"/>
              <w:jc w:val="center"/>
            </w:pPr>
            <w:r>
              <w:t>3 (2)</w:t>
            </w:r>
          </w:p>
        </w:tc>
      </w:tr>
      <w:tr w:rsidR="00F815D4" w:rsidRPr="00A67371" w14:paraId="2B45E6AD" w14:textId="77777777" w:rsidTr="00585A42">
        <w:trPr>
          <w:trHeight w:val="20"/>
          <w:tblHeader/>
          <w:jc w:val="center"/>
        </w:trPr>
        <w:tc>
          <w:tcPr>
            <w:tcW w:w="462" w:type="dxa"/>
            <w:vMerge/>
            <w:tcBorders>
              <w:left w:val="nil"/>
            </w:tcBorders>
            <w:textDirection w:val="btLr"/>
          </w:tcPr>
          <w:p w14:paraId="69A673F0" w14:textId="77777777" w:rsidR="00F815D4" w:rsidRPr="00A67371" w:rsidRDefault="00F815D4" w:rsidP="00C14CD7">
            <w:pPr>
              <w:spacing w:after="0"/>
              <w:rPr>
                <w:rFonts w:cs="Arial"/>
                <w:b/>
                <w:szCs w:val="20"/>
              </w:rPr>
            </w:pPr>
          </w:p>
        </w:tc>
        <w:tc>
          <w:tcPr>
            <w:tcW w:w="2090" w:type="dxa"/>
            <w:vAlign w:val="bottom"/>
          </w:tcPr>
          <w:p w14:paraId="31BAB6D3" w14:textId="77777777" w:rsidR="00F815D4" w:rsidRPr="00A67371" w:rsidRDefault="00F815D4" w:rsidP="00C14CD7">
            <w:pPr>
              <w:spacing w:after="0"/>
              <w:rPr>
                <w:rFonts w:cs="Arial"/>
                <w:szCs w:val="20"/>
              </w:rPr>
            </w:pPr>
            <w:r w:rsidRPr="00A67371">
              <w:rPr>
                <w:rFonts w:cs="Arial"/>
                <w:color w:val="000000"/>
                <w:szCs w:val="20"/>
              </w:rPr>
              <w:t>Melbourne</w:t>
            </w:r>
          </w:p>
        </w:tc>
        <w:tc>
          <w:tcPr>
            <w:tcW w:w="1133" w:type="dxa"/>
            <w:vAlign w:val="center"/>
          </w:tcPr>
          <w:p w14:paraId="6304810F" w14:textId="77777777" w:rsidR="00F815D4" w:rsidRPr="00A67371" w:rsidRDefault="00F815D4" w:rsidP="00C14CD7">
            <w:pPr>
              <w:spacing w:after="0"/>
              <w:jc w:val="center"/>
              <w:rPr>
                <w:rFonts w:cs="Arial"/>
                <w:szCs w:val="20"/>
              </w:rPr>
            </w:pPr>
            <w:r>
              <w:rPr>
                <w:rFonts w:cs="Arial"/>
                <w:szCs w:val="20"/>
              </w:rPr>
              <w:t>5 (3)</w:t>
            </w:r>
          </w:p>
        </w:tc>
        <w:tc>
          <w:tcPr>
            <w:tcW w:w="850" w:type="dxa"/>
            <w:vAlign w:val="center"/>
          </w:tcPr>
          <w:p w14:paraId="3ED8166F" w14:textId="77777777" w:rsidR="00F815D4" w:rsidRPr="00A67371" w:rsidRDefault="00F815D4" w:rsidP="00C14CD7">
            <w:pPr>
              <w:spacing w:after="0"/>
              <w:jc w:val="center"/>
              <w:rPr>
                <w:rFonts w:cs="Arial"/>
                <w:szCs w:val="20"/>
              </w:rPr>
            </w:pPr>
            <w:r>
              <w:rPr>
                <w:rFonts w:cs="Arial"/>
                <w:szCs w:val="20"/>
              </w:rPr>
              <w:t>1 (1)</w:t>
            </w:r>
          </w:p>
        </w:tc>
        <w:tc>
          <w:tcPr>
            <w:tcW w:w="850" w:type="dxa"/>
            <w:vAlign w:val="center"/>
          </w:tcPr>
          <w:p w14:paraId="02E16F14" w14:textId="77777777" w:rsidR="00F815D4" w:rsidRPr="00A67371" w:rsidRDefault="00F815D4" w:rsidP="00C14CD7">
            <w:pPr>
              <w:spacing w:after="0"/>
              <w:jc w:val="center"/>
              <w:rPr>
                <w:rFonts w:cs="Arial"/>
                <w:szCs w:val="20"/>
              </w:rPr>
            </w:pPr>
            <w:r>
              <w:rPr>
                <w:rFonts w:cs="Arial"/>
                <w:szCs w:val="20"/>
              </w:rPr>
              <w:t>1 (1)</w:t>
            </w:r>
          </w:p>
        </w:tc>
        <w:tc>
          <w:tcPr>
            <w:tcW w:w="850" w:type="dxa"/>
            <w:vAlign w:val="center"/>
          </w:tcPr>
          <w:p w14:paraId="1D6F0213" w14:textId="77777777" w:rsidR="00F815D4" w:rsidRPr="00A67371" w:rsidRDefault="00F815D4" w:rsidP="00C14CD7">
            <w:pPr>
              <w:spacing w:after="0"/>
              <w:jc w:val="center"/>
              <w:rPr>
                <w:rFonts w:cs="Arial"/>
                <w:szCs w:val="20"/>
              </w:rPr>
            </w:pPr>
            <w:r>
              <w:rPr>
                <w:rFonts w:cs="Arial"/>
                <w:szCs w:val="20"/>
              </w:rPr>
              <w:t>0 (0)</w:t>
            </w:r>
          </w:p>
        </w:tc>
        <w:tc>
          <w:tcPr>
            <w:tcW w:w="850" w:type="dxa"/>
            <w:vAlign w:val="center"/>
          </w:tcPr>
          <w:p w14:paraId="46AF4209" w14:textId="77777777" w:rsidR="00F815D4" w:rsidRPr="00A67371" w:rsidRDefault="00F815D4" w:rsidP="00C14CD7">
            <w:pPr>
              <w:spacing w:after="0"/>
              <w:jc w:val="center"/>
              <w:rPr>
                <w:rFonts w:cs="Arial"/>
                <w:szCs w:val="20"/>
              </w:rPr>
            </w:pPr>
            <w:r>
              <w:rPr>
                <w:rFonts w:cs="Arial"/>
                <w:szCs w:val="20"/>
              </w:rPr>
              <w:t>0 (0)</w:t>
            </w:r>
          </w:p>
        </w:tc>
        <w:tc>
          <w:tcPr>
            <w:tcW w:w="853" w:type="dxa"/>
            <w:tcBorders>
              <w:right w:val="nil"/>
            </w:tcBorders>
          </w:tcPr>
          <w:p w14:paraId="4C85276A" w14:textId="77777777" w:rsidR="00F815D4" w:rsidRPr="00423A27" w:rsidRDefault="00F815D4" w:rsidP="00C14CD7">
            <w:pPr>
              <w:spacing w:after="0"/>
              <w:jc w:val="center"/>
            </w:pPr>
            <w:r>
              <w:t>3 (2)</w:t>
            </w:r>
          </w:p>
        </w:tc>
      </w:tr>
      <w:tr w:rsidR="00F815D4" w:rsidRPr="00A67371" w14:paraId="5278D2B9" w14:textId="77777777" w:rsidTr="00585A42">
        <w:trPr>
          <w:trHeight w:val="20"/>
          <w:tblHeader/>
          <w:jc w:val="center"/>
        </w:trPr>
        <w:tc>
          <w:tcPr>
            <w:tcW w:w="462" w:type="dxa"/>
            <w:vMerge/>
            <w:tcBorders>
              <w:left w:val="nil"/>
            </w:tcBorders>
            <w:textDirection w:val="btLr"/>
          </w:tcPr>
          <w:p w14:paraId="33AF342B" w14:textId="77777777" w:rsidR="00F815D4" w:rsidRPr="00A67371" w:rsidRDefault="00F815D4" w:rsidP="00C14CD7">
            <w:pPr>
              <w:spacing w:after="0"/>
              <w:rPr>
                <w:rFonts w:cs="Arial"/>
                <w:b/>
                <w:szCs w:val="20"/>
              </w:rPr>
            </w:pPr>
          </w:p>
        </w:tc>
        <w:tc>
          <w:tcPr>
            <w:tcW w:w="2090" w:type="dxa"/>
            <w:vAlign w:val="bottom"/>
          </w:tcPr>
          <w:p w14:paraId="63712DBC" w14:textId="77777777" w:rsidR="00F815D4" w:rsidRPr="00A67371" w:rsidRDefault="00F815D4" w:rsidP="00C14CD7">
            <w:pPr>
              <w:spacing w:after="0"/>
              <w:rPr>
                <w:rFonts w:cs="Arial"/>
                <w:szCs w:val="20"/>
              </w:rPr>
            </w:pPr>
            <w:r w:rsidRPr="00A67371">
              <w:rPr>
                <w:rFonts w:cs="Arial"/>
                <w:color w:val="000000"/>
                <w:szCs w:val="20"/>
              </w:rPr>
              <w:t>Perth</w:t>
            </w:r>
          </w:p>
        </w:tc>
        <w:tc>
          <w:tcPr>
            <w:tcW w:w="1133" w:type="dxa"/>
            <w:vAlign w:val="center"/>
          </w:tcPr>
          <w:p w14:paraId="07F47684" w14:textId="77777777" w:rsidR="00F815D4" w:rsidRPr="00A67371" w:rsidRDefault="00F815D4" w:rsidP="00C14CD7">
            <w:pPr>
              <w:spacing w:after="0"/>
              <w:jc w:val="center"/>
              <w:rPr>
                <w:rFonts w:cs="Arial"/>
                <w:szCs w:val="20"/>
              </w:rPr>
            </w:pPr>
            <w:r>
              <w:rPr>
                <w:rFonts w:cs="Arial"/>
                <w:szCs w:val="20"/>
              </w:rPr>
              <w:t>70 (5)</w:t>
            </w:r>
          </w:p>
        </w:tc>
        <w:tc>
          <w:tcPr>
            <w:tcW w:w="850" w:type="dxa"/>
            <w:vAlign w:val="center"/>
          </w:tcPr>
          <w:p w14:paraId="48736B09" w14:textId="77777777" w:rsidR="00F815D4" w:rsidRPr="00A67371" w:rsidRDefault="00F815D4" w:rsidP="00C14CD7">
            <w:pPr>
              <w:spacing w:after="0"/>
              <w:jc w:val="center"/>
              <w:rPr>
                <w:rFonts w:cs="Arial"/>
                <w:szCs w:val="20"/>
              </w:rPr>
            </w:pPr>
            <w:r>
              <w:rPr>
                <w:rFonts w:cs="Arial"/>
                <w:szCs w:val="20"/>
              </w:rPr>
              <w:t>18 (3)</w:t>
            </w:r>
          </w:p>
        </w:tc>
        <w:tc>
          <w:tcPr>
            <w:tcW w:w="850" w:type="dxa"/>
            <w:vAlign w:val="center"/>
          </w:tcPr>
          <w:p w14:paraId="0EDE243F" w14:textId="77777777" w:rsidR="00F815D4" w:rsidRPr="00A67371" w:rsidRDefault="00F815D4" w:rsidP="00C14CD7">
            <w:pPr>
              <w:spacing w:after="0"/>
              <w:jc w:val="center"/>
              <w:rPr>
                <w:rFonts w:cs="Arial"/>
                <w:szCs w:val="20"/>
              </w:rPr>
            </w:pPr>
            <w:r>
              <w:rPr>
                <w:rFonts w:cs="Arial"/>
                <w:szCs w:val="20"/>
              </w:rPr>
              <w:t>9 (1)</w:t>
            </w:r>
          </w:p>
        </w:tc>
        <w:tc>
          <w:tcPr>
            <w:tcW w:w="850" w:type="dxa"/>
            <w:vAlign w:val="center"/>
          </w:tcPr>
          <w:p w14:paraId="7B212E8B" w14:textId="77777777" w:rsidR="00F815D4" w:rsidRPr="00A67371" w:rsidRDefault="00F815D4" w:rsidP="00C14CD7">
            <w:pPr>
              <w:spacing w:after="0"/>
              <w:jc w:val="center"/>
              <w:rPr>
                <w:rFonts w:cs="Arial"/>
                <w:szCs w:val="20"/>
              </w:rPr>
            </w:pPr>
            <w:r>
              <w:rPr>
                <w:rFonts w:cs="Arial"/>
                <w:szCs w:val="20"/>
              </w:rPr>
              <w:t>19 (3)</w:t>
            </w:r>
          </w:p>
        </w:tc>
        <w:tc>
          <w:tcPr>
            <w:tcW w:w="850" w:type="dxa"/>
            <w:vAlign w:val="center"/>
          </w:tcPr>
          <w:p w14:paraId="43038A66" w14:textId="77777777" w:rsidR="00F815D4" w:rsidRPr="00A67371" w:rsidRDefault="00F815D4" w:rsidP="00C14CD7">
            <w:pPr>
              <w:spacing w:after="0"/>
              <w:jc w:val="center"/>
              <w:rPr>
                <w:rFonts w:cs="Arial"/>
                <w:szCs w:val="20"/>
              </w:rPr>
            </w:pPr>
            <w:r>
              <w:rPr>
                <w:rFonts w:cs="Arial"/>
                <w:szCs w:val="20"/>
              </w:rPr>
              <w:t>13 (2)</w:t>
            </w:r>
          </w:p>
        </w:tc>
        <w:tc>
          <w:tcPr>
            <w:tcW w:w="853" w:type="dxa"/>
            <w:tcBorders>
              <w:right w:val="nil"/>
            </w:tcBorders>
          </w:tcPr>
          <w:p w14:paraId="79E1474A" w14:textId="77777777" w:rsidR="00F815D4" w:rsidRPr="00423A27" w:rsidRDefault="00F815D4" w:rsidP="00C14CD7">
            <w:pPr>
              <w:spacing w:after="0"/>
              <w:jc w:val="center"/>
            </w:pPr>
            <w:r>
              <w:t>12 (2)</w:t>
            </w:r>
          </w:p>
        </w:tc>
      </w:tr>
      <w:tr w:rsidR="00F815D4" w:rsidRPr="00A67371" w14:paraId="2D3D0598" w14:textId="77777777" w:rsidTr="00585A42">
        <w:trPr>
          <w:trHeight w:val="20"/>
          <w:tblHeader/>
          <w:jc w:val="center"/>
        </w:trPr>
        <w:tc>
          <w:tcPr>
            <w:tcW w:w="462" w:type="dxa"/>
            <w:vMerge/>
            <w:tcBorders>
              <w:left w:val="nil"/>
            </w:tcBorders>
            <w:textDirection w:val="btLr"/>
          </w:tcPr>
          <w:p w14:paraId="0038F254" w14:textId="77777777" w:rsidR="00F815D4" w:rsidRPr="00A67371" w:rsidRDefault="00F815D4" w:rsidP="00C14CD7">
            <w:pPr>
              <w:spacing w:after="0"/>
              <w:rPr>
                <w:rFonts w:cs="Arial"/>
                <w:b/>
                <w:szCs w:val="20"/>
              </w:rPr>
            </w:pPr>
          </w:p>
        </w:tc>
        <w:tc>
          <w:tcPr>
            <w:tcW w:w="2090" w:type="dxa"/>
            <w:vAlign w:val="bottom"/>
          </w:tcPr>
          <w:p w14:paraId="23B5424E" w14:textId="77777777" w:rsidR="00F815D4" w:rsidRPr="00A67371" w:rsidRDefault="00F815D4" w:rsidP="00C14CD7">
            <w:pPr>
              <w:spacing w:after="0"/>
              <w:rPr>
                <w:rFonts w:cs="Arial"/>
                <w:szCs w:val="20"/>
              </w:rPr>
            </w:pPr>
            <w:r w:rsidRPr="00A67371">
              <w:rPr>
                <w:rFonts w:cs="Arial"/>
                <w:color w:val="000000"/>
                <w:szCs w:val="20"/>
              </w:rPr>
              <w:t>Sydney</w:t>
            </w:r>
          </w:p>
        </w:tc>
        <w:tc>
          <w:tcPr>
            <w:tcW w:w="1133" w:type="dxa"/>
            <w:vAlign w:val="center"/>
          </w:tcPr>
          <w:p w14:paraId="7BBD703E" w14:textId="77777777" w:rsidR="00F815D4" w:rsidRPr="00A67371" w:rsidRDefault="00F815D4" w:rsidP="00C14CD7">
            <w:pPr>
              <w:spacing w:after="0"/>
              <w:jc w:val="center"/>
              <w:rPr>
                <w:rFonts w:cs="Arial"/>
                <w:szCs w:val="20"/>
              </w:rPr>
            </w:pPr>
            <w:r>
              <w:rPr>
                <w:rFonts w:cs="Arial"/>
                <w:szCs w:val="20"/>
              </w:rPr>
              <w:t>134 (5)</w:t>
            </w:r>
          </w:p>
        </w:tc>
        <w:tc>
          <w:tcPr>
            <w:tcW w:w="850" w:type="dxa"/>
            <w:vAlign w:val="center"/>
          </w:tcPr>
          <w:p w14:paraId="2D87F4CF" w14:textId="77777777" w:rsidR="00F815D4" w:rsidRPr="00A67371" w:rsidRDefault="00F815D4" w:rsidP="00C14CD7">
            <w:pPr>
              <w:spacing w:after="0"/>
              <w:jc w:val="center"/>
              <w:rPr>
                <w:rFonts w:cs="Arial"/>
                <w:szCs w:val="20"/>
              </w:rPr>
            </w:pPr>
            <w:r>
              <w:rPr>
                <w:rFonts w:cs="Arial"/>
                <w:szCs w:val="20"/>
              </w:rPr>
              <w:t>38 (5)</w:t>
            </w:r>
          </w:p>
        </w:tc>
        <w:tc>
          <w:tcPr>
            <w:tcW w:w="850" w:type="dxa"/>
            <w:vAlign w:val="center"/>
          </w:tcPr>
          <w:p w14:paraId="53C76D75" w14:textId="77777777" w:rsidR="00F815D4" w:rsidRPr="00A67371" w:rsidRDefault="00F815D4" w:rsidP="00C14CD7">
            <w:pPr>
              <w:spacing w:after="0"/>
              <w:jc w:val="center"/>
              <w:rPr>
                <w:rFonts w:cs="Arial"/>
                <w:szCs w:val="20"/>
              </w:rPr>
            </w:pPr>
            <w:r>
              <w:rPr>
                <w:rFonts w:cs="Arial"/>
                <w:szCs w:val="20"/>
              </w:rPr>
              <w:t>47 (7)</w:t>
            </w:r>
          </w:p>
        </w:tc>
        <w:tc>
          <w:tcPr>
            <w:tcW w:w="850" w:type="dxa"/>
            <w:vAlign w:val="center"/>
          </w:tcPr>
          <w:p w14:paraId="24BF0D8D" w14:textId="77777777" w:rsidR="00F815D4" w:rsidRPr="00A67371" w:rsidRDefault="00F815D4" w:rsidP="00C14CD7">
            <w:pPr>
              <w:spacing w:after="0"/>
              <w:jc w:val="center"/>
              <w:rPr>
                <w:rFonts w:cs="Arial"/>
                <w:szCs w:val="20"/>
              </w:rPr>
            </w:pPr>
            <w:r>
              <w:rPr>
                <w:rFonts w:cs="Arial"/>
                <w:szCs w:val="20"/>
              </w:rPr>
              <w:t>35 (4)</w:t>
            </w:r>
          </w:p>
        </w:tc>
        <w:tc>
          <w:tcPr>
            <w:tcW w:w="850" w:type="dxa"/>
            <w:vAlign w:val="center"/>
          </w:tcPr>
          <w:p w14:paraId="5077B137" w14:textId="77777777" w:rsidR="00F815D4" w:rsidRPr="00A67371" w:rsidRDefault="00F815D4" w:rsidP="00C14CD7">
            <w:pPr>
              <w:spacing w:after="0"/>
              <w:jc w:val="center"/>
              <w:rPr>
                <w:rFonts w:cs="Arial"/>
                <w:szCs w:val="20"/>
              </w:rPr>
            </w:pPr>
            <w:r>
              <w:rPr>
                <w:rFonts w:cs="Arial"/>
                <w:szCs w:val="20"/>
              </w:rPr>
              <w:t>15 (4)</w:t>
            </w:r>
          </w:p>
        </w:tc>
        <w:tc>
          <w:tcPr>
            <w:tcW w:w="853" w:type="dxa"/>
            <w:tcBorders>
              <w:right w:val="nil"/>
            </w:tcBorders>
          </w:tcPr>
          <w:p w14:paraId="1AD66067" w14:textId="77777777" w:rsidR="00F815D4" w:rsidRPr="00423A27" w:rsidRDefault="00F815D4" w:rsidP="00C14CD7">
            <w:pPr>
              <w:spacing w:after="0"/>
              <w:jc w:val="center"/>
            </w:pPr>
            <w:r>
              <w:t>8 (2)</w:t>
            </w:r>
          </w:p>
        </w:tc>
      </w:tr>
      <w:tr w:rsidR="00F815D4" w:rsidRPr="00A67371" w14:paraId="58C42EEC" w14:textId="77777777" w:rsidTr="00585A42">
        <w:trPr>
          <w:trHeight w:val="20"/>
          <w:tblHeader/>
          <w:jc w:val="center"/>
        </w:trPr>
        <w:tc>
          <w:tcPr>
            <w:tcW w:w="462" w:type="dxa"/>
            <w:vMerge/>
            <w:tcBorders>
              <w:left w:val="nil"/>
            </w:tcBorders>
            <w:textDirection w:val="btLr"/>
          </w:tcPr>
          <w:p w14:paraId="190C5836" w14:textId="77777777" w:rsidR="00F815D4" w:rsidRPr="00A67371" w:rsidRDefault="00F815D4" w:rsidP="00C14CD7">
            <w:pPr>
              <w:spacing w:after="0"/>
              <w:rPr>
                <w:rFonts w:cs="Arial"/>
                <w:b/>
                <w:szCs w:val="20"/>
              </w:rPr>
            </w:pPr>
          </w:p>
        </w:tc>
        <w:tc>
          <w:tcPr>
            <w:tcW w:w="2090" w:type="dxa"/>
            <w:vAlign w:val="bottom"/>
          </w:tcPr>
          <w:p w14:paraId="09A0C7BE" w14:textId="77777777" w:rsidR="00F815D4" w:rsidRPr="00A67371" w:rsidRDefault="00F815D4" w:rsidP="00C14CD7">
            <w:pPr>
              <w:spacing w:after="0"/>
              <w:rPr>
                <w:rFonts w:cs="Arial"/>
                <w:szCs w:val="20"/>
              </w:rPr>
            </w:pPr>
            <w:r w:rsidRPr="00A67371">
              <w:rPr>
                <w:rFonts w:cs="Arial"/>
                <w:color w:val="000000"/>
                <w:szCs w:val="20"/>
              </w:rPr>
              <w:t>Total</w:t>
            </w:r>
          </w:p>
        </w:tc>
        <w:tc>
          <w:tcPr>
            <w:tcW w:w="1133" w:type="dxa"/>
            <w:vAlign w:val="center"/>
          </w:tcPr>
          <w:p w14:paraId="781B795F" w14:textId="77777777" w:rsidR="00F815D4" w:rsidRPr="00A67371" w:rsidRDefault="00F815D4" w:rsidP="00C14CD7">
            <w:pPr>
              <w:spacing w:after="0"/>
              <w:jc w:val="center"/>
              <w:rPr>
                <w:rFonts w:cs="Arial"/>
                <w:szCs w:val="20"/>
              </w:rPr>
            </w:pPr>
            <w:r>
              <w:rPr>
                <w:rFonts w:cs="Arial"/>
                <w:szCs w:val="20"/>
              </w:rPr>
              <w:t>216 (20)</w:t>
            </w:r>
          </w:p>
        </w:tc>
        <w:tc>
          <w:tcPr>
            <w:tcW w:w="850" w:type="dxa"/>
            <w:vAlign w:val="center"/>
          </w:tcPr>
          <w:p w14:paraId="510C17F0" w14:textId="77777777" w:rsidR="00F815D4" w:rsidRPr="00A67371" w:rsidRDefault="00F815D4" w:rsidP="00C14CD7">
            <w:pPr>
              <w:spacing w:after="0"/>
              <w:jc w:val="center"/>
              <w:rPr>
                <w:rFonts w:cs="Arial"/>
                <w:szCs w:val="20"/>
              </w:rPr>
            </w:pPr>
            <w:r>
              <w:rPr>
                <w:rFonts w:cs="Arial"/>
                <w:szCs w:val="20"/>
              </w:rPr>
              <w:t>59 (11)</w:t>
            </w:r>
          </w:p>
        </w:tc>
        <w:tc>
          <w:tcPr>
            <w:tcW w:w="850" w:type="dxa"/>
            <w:vAlign w:val="center"/>
          </w:tcPr>
          <w:p w14:paraId="57FF37B7" w14:textId="77777777" w:rsidR="00F815D4" w:rsidRPr="00A67371" w:rsidRDefault="00F815D4" w:rsidP="00C14CD7">
            <w:pPr>
              <w:spacing w:after="0"/>
              <w:jc w:val="center"/>
              <w:rPr>
                <w:rFonts w:cs="Arial"/>
                <w:szCs w:val="20"/>
              </w:rPr>
            </w:pPr>
            <w:r>
              <w:rPr>
                <w:rFonts w:cs="Arial"/>
                <w:szCs w:val="20"/>
              </w:rPr>
              <w:t>57 (9)</w:t>
            </w:r>
          </w:p>
        </w:tc>
        <w:tc>
          <w:tcPr>
            <w:tcW w:w="850" w:type="dxa"/>
            <w:vAlign w:val="center"/>
          </w:tcPr>
          <w:p w14:paraId="75094609" w14:textId="77777777" w:rsidR="00F815D4" w:rsidRPr="00A67371" w:rsidRDefault="00F815D4" w:rsidP="00C14CD7">
            <w:pPr>
              <w:spacing w:after="0"/>
              <w:jc w:val="center"/>
              <w:rPr>
                <w:rFonts w:cs="Arial"/>
                <w:szCs w:val="20"/>
              </w:rPr>
            </w:pPr>
            <w:r>
              <w:rPr>
                <w:rFonts w:cs="Arial"/>
                <w:szCs w:val="20"/>
              </w:rPr>
              <w:t>55 (8)</w:t>
            </w:r>
          </w:p>
        </w:tc>
        <w:tc>
          <w:tcPr>
            <w:tcW w:w="850" w:type="dxa"/>
            <w:vAlign w:val="center"/>
          </w:tcPr>
          <w:p w14:paraId="7FD0D04F" w14:textId="77777777" w:rsidR="00F815D4" w:rsidRPr="00A67371" w:rsidRDefault="00F815D4" w:rsidP="00C14CD7">
            <w:pPr>
              <w:spacing w:after="0"/>
              <w:jc w:val="center"/>
              <w:rPr>
                <w:rFonts w:cs="Arial"/>
                <w:szCs w:val="20"/>
              </w:rPr>
            </w:pPr>
            <w:r>
              <w:rPr>
                <w:rFonts w:cs="Arial"/>
                <w:szCs w:val="20"/>
              </w:rPr>
              <w:t>28 (6)</w:t>
            </w:r>
          </w:p>
        </w:tc>
        <w:tc>
          <w:tcPr>
            <w:tcW w:w="853" w:type="dxa"/>
            <w:tcBorders>
              <w:right w:val="nil"/>
            </w:tcBorders>
          </w:tcPr>
          <w:p w14:paraId="08D46F72" w14:textId="77777777" w:rsidR="00F815D4" w:rsidRPr="00423A27" w:rsidRDefault="00F815D4" w:rsidP="00C14CD7">
            <w:pPr>
              <w:spacing w:after="0"/>
              <w:jc w:val="center"/>
            </w:pPr>
            <w:r>
              <w:t>27 (9)</w:t>
            </w:r>
          </w:p>
        </w:tc>
      </w:tr>
      <w:tr w:rsidR="00F815D4" w:rsidRPr="00A67371" w14:paraId="2FCB36D2" w14:textId="77777777" w:rsidTr="00585A42">
        <w:trPr>
          <w:trHeight w:val="621"/>
          <w:tblHeader/>
          <w:jc w:val="center"/>
        </w:trPr>
        <w:tc>
          <w:tcPr>
            <w:tcW w:w="462" w:type="dxa"/>
            <w:vMerge w:val="restart"/>
            <w:tcBorders>
              <w:left w:val="nil"/>
            </w:tcBorders>
            <w:shd w:val="clear" w:color="auto" w:fill="F2F2F2" w:themeFill="background1" w:themeFillShade="F2"/>
            <w:textDirection w:val="btLr"/>
          </w:tcPr>
          <w:p w14:paraId="7948EAA6" w14:textId="77777777" w:rsidR="00F815D4" w:rsidRPr="00A67371" w:rsidRDefault="00F815D4" w:rsidP="00C14CD7">
            <w:pPr>
              <w:spacing w:after="0"/>
              <w:jc w:val="center"/>
              <w:rPr>
                <w:rFonts w:cs="Arial"/>
                <w:b/>
                <w:szCs w:val="20"/>
              </w:rPr>
            </w:pPr>
            <w:r>
              <w:rPr>
                <w:rFonts w:cs="Arial"/>
                <w:b/>
                <w:szCs w:val="20"/>
              </w:rPr>
              <w:t>Regional</w:t>
            </w:r>
          </w:p>
        </w:tc>
        <w:tc>
          <w:tcPr>
            <w:tcW w:w="2090" w:type="dxa"/>
            <w:shd w:val="clear" w:color="auto" w:fill="F2F2F2" w:themeFill="background1" w:themeFillShade="F2"/>
            <w:vAlign w:val="center"/>
          </w:tcPr>
          <w:p w14:paraId="7D5ED71D" w14:textId="77777777" w:rsidR="00F815D4" w:rsidRPr="00A67371" w:rsidRDefault="00F815D4" w:rsidP="00C14CD7">
            <w:pPr>
              <w:spacing w:after="0"/>
              <w:rPr>
                <w:rFonts w:cs="Arial"/>
                <w:color w:val="000000"/>
                <w:szCs w:val="20"/>
              </w:rPr>
            </w:pPr>
            <w:r w:rsidRPr="00A67371">
              <w:rPr>
                <w:rFonts w:cs="Arial"/>
                <w:color w:val="000000"/>
                <w:szCs w:val="20"/>
              </w:rPr>
              <w:t xml:space="preserve">Regional </w:t>
            </w:r>
          </w:p>
        </w:tc>
        <w:tc>
          <w:tcPr>
            <w:tcW w:w="1133" w:type="dxa"/>
            <w:shd w:val="clear" w:color="auto" w:fill="F2F2F2" w:themeFill="background1" w:themeFillShade="F2"/>
            <w:vAlign w:val="center"/>
          </w:tcPr>
          <w:p w14:paraId="3A6F7AA2" w14:textId="77777777" w:rsidR="00F815D4" w:rsidRPr="00A67371" w:rsidRDefault="00F815D4" w:rsidP="00C14CD7">
            <w:pPr>
              <w:spacing w:after="0"/>
              <w:jc w:val="center"/>
              <w:rPr>
                <w:rFonts w:cs="Arial"/>
                <w:color w:val="000000"/>
                <w:szCs w:val="20"/>
              </w:rPr>
            </w:pPr>
            <w:r>
              <w:rPr>
                <w:rFonts w:cs="Arial"/>
                <w:color w:val="000000"/>
                <w:szCs w:val="20"/>
              </w:rPr>
              <w:t>18 (9)</w:t>
            </w:r>
          </w:p>
        </w:tc>
        <w:tc>
          <w:tcPr>
            <w:tcW w:w="850" w:type="dxa"/>
            <w:shd w:val="clear" w:color="auto" w:fill="F2F2F2" w:themeFill="background1" w:themeFillShade="F2"/>
            <w:vAlign w:val="center"/>
          </w:tcPr>
          <w:p w14:paraId="61C05F82" w14:textId="77777777" w:rsidR="00F815D4" w:rsidRPr="00A67371" w:rsidRDefault="00F815D4" w:rsidP="00C14CD7">
            <w:pPr>
              <w:spacing w:after="0"/>
              <w:jc w:val="center"/>
              <w:rPr>
                <w:rFonts w:cs="Arial"/>
                <w:color w:val="000000"/>
                <w:szCs w:val="20"/>
              </w:rPr>
            </w:pPr>
            <w:r>
              <w:rPr>
                <w:rFonts w:cs="Arial"/>
                <w:color w:val="000000"/>
                <w:szCs w:val="20"/>
              </w:rPr>
              <w:t>4 (3)</w:t>
            </w:r>
          </w:p>
        </w:tc>
        <w:tc>
          <w:tcPr>
            <w:tcW w:w="850" w:type="dxa"/>
            <w:shd w:val="clear" w:color="auto" w:fill="F2F2F2" w:themeFill="background1" w:themeFillShade="F2"/>
            <w:vAlign w:val="center"/>
          </w:tcPr>
          <w:p w14:paraId="2C1CE315" w14:textId="77777777" w:rsidR="00F815D4" w:rsidRPr="00A67371" w:rsidRDefault="00F815D4" w:rsidP="00C14CD7">
            <w:pPr>
              <w:spacing w:after="0"/>
              <w:jc w:val="center"/>
              <w:rPr>
                <w:rFonts w:cs="Arial"/>
                <w:color w:val="000000"/>
                <w:szCs w:val="20"/>
              </w:rPr>
            </w:pPr>
            <w:r>
              <w:rPr>
                <w:rFonts w:cs="Arial"/>
                <w:color w:val="000000"/>
                <w:szCs w:val="20"/>
              </w:rPr>
              <w:t>0 (0)</w:t>
            </w:r>
          </w:p>
        </w:tc>
        <w:tc>
          <w:tcPr>
            <w:tcW w:w="850" w:type="dxa"/>
            <w:shd w:val="clear" w:color="auto" w:fill="F2F2F2" w:themeFill="background1" w:themeFillShade="F2"/>
            <w:vAlign w:val="center"/>
          </w:tcPr>
          <w:p w14:paraId="6B4062D6" w14:textId="77777777" w:rsidR="00F815D4" w:rsidRPr="00A67371" w:rsidRDefault="00F815D4" w:rsidP="00C14CD7">
            <w:pPr>
              <w:spacing w:after="0"/>
              <w:jc w:val="center"/>
              <w:rPr>
                <w:rFonts w:cs="Arial"/>
                <w:color w:val="000000"/>
                <w:szCs w:val="20"/>
              </w:rPr>
            </w:pPr>
            <w:r>
              <w:rPr>
                <w:rFonts w:cs="Arial"/>
                <w:color w:val="000000"/>
                <w:szCs w:val="20"/>
              </w:rPr>
              <w:t>0 (0)</w:t>
            </w:r>
          </w:p>
        </w:tc>
        <w:tc>
          <w:tcPr>
            <w:tcW w:w="850" w:type="dxa"/>
            <w:shd w:val="clear" w:color="auto" w:fill="F2F2F2" w:themeFill="background1" w:themeFillShade="F2"/>
            <w:vAlign w:val="center"/>
          </w:tcPr>
          <w:p w14:paraId="201C8D27" w14:textId="77777777" w:rsidR="00F815D4" w:rsidRPr="00A67371" w:rsidRDefault="00F815D4" w:rsidP="00C14CD7">
            <w:pPr>
              <w:spacing w:after="0"/>
              <w:jc w:val="center"/>
              <w:rPr>
                <w:rFonts w:cs="Arial"/>
                <w:color w:val="000000"/>
                <w:szCs w:val="20"/>
              </w:rPr>
            </w:pPr>
            <w:r>
              <w:rPr>
                <w:rFonts w:cs="Arial"/>
                <w:color w:val="000000"/>
                <w:szCs w:val="20"/>
              </w:rPr>
              <w:t>1 (1)</w:t>
            </w:r>
          </w:p>
        </w:tc>
        <w:tc>
          <w:tcPr>
            <w:tcW w:w="853" w:type="dxa"/>
            <w:tcBorders>
              <w:right w:val="nil"/>
            </w:tcBorders>
            <w:shd w:val="clear" w:color="auto" w:fill="F2F2F2" w:themeFill="background1" w:themeFillShade="F2"/>
            <w:vAlign w:val="center"/>
          </w:tcPr>
          <w:p w14:paraId="025FC9BE" w14:textId="77777777" w:rsidR="00F815D4" w:rsidRPr="00046CAB" w:rsidRDefault="00F815D4" w:rsidP="00C14CD7">
            <w:pPr>
              <w:spacing w:after="0"/>
              <w:jc w:val="center"/>
              <w:rPr>
                <w:rFonts w:cs="Arial"/>
                <w:color w:val="000000"/>
                <w:szCs w:val="20"/>
              </w:rPr>
            </w:pPr>
            <w:r w:rsidRPr="00046CAB">
              <w:rPr>
                <w:rFonts w:cs="Arial"/>
                <w:color w:val="000000"/>
                <w:szCs w:val="20"/>
              </w:rPr>
              <w:t>13</w:t>
            </w:r>
            <w:r>
              <w:rPr>
                <w:rFonts w:cs="Arial"/>
                <w:color w:val="000000"/>
                <w:szCs w:val="20"/>
              </w:rPr>
              <w:t xml:space="preserve"> (6)</w:t>
            </w:r>
          </w:p>
        </w:tc>
      </w:tr>
      <w:tr w:rsidR="00F815D4" w:rsidRPr="00A67371" w14:paraId="636E0D9E" w14:textId="77777777" w:rsidTr="00585A42">
        <w:trPr>
          <w:cantSplit/>
          <w:trHeight w:val="783"/>
          <w:tblHeader/>
          <w:jc w:val="center"/>
        </w:trPr>
        <w:tc>
          <w:tcPr>
            <w:tcW w:w="462" w:type="dxa"/>
            <w:vMerge/>
            <w:tcBorders>
              <w:left w:val="nil"/>
            </w:tcBorders>
            <w:shd w:val="clear" w:color="auto" w:fill="F2F2F2" w:themeFill="background1" w:themeFillShade="F2"/>
            <w:textDirection w:val="btLr"/>
          </w:tcPr>
          <w:p w14:paraId="2202E3FF" w14:textId="77777777" w:rsidR="00F815D4" w:rsidRPr="00A67371" w:rsidRDefault="00F815D4" w:rsidP="00C14CD7">
            <w:pPr>
              <w:spacing w:after="0"/>
              <w:jc w:val="center"/>
              <w:rPr>
                <w:rFonts w:cs="Arial"/>
                <w:b/>
                <w:szCs w:val="20"/>
              </w:rPr>
            </w:pPr>
          </w:p>
        </w:tc>
        <w:tc>
          <w:tcPr>
            <w:tcW w:w="2090" w:type="dxa"/>
            <w:shd w:val="clear" w:color="auto" w:fill="F2F2F2" w:themeFill="background1" w:themeFillShade="F2"/>
            <w:vAlign w:val="center"/>
          </w:tcPr>
          <w:p w14:paraId="63F15F9D" w14:textId="77777777" w:rsidR="00F815D4" w:rsidRPr="00A67371" w:rsidRDefault="00F815D4" w:rsidP="00C14CD7">
            <w:pPr>
              <w:spacing w:after="0"/>
              <w:rPr>
                <w:rFonts w:cs="Arial"/>
                <w:szCs w:val="20"/>
              </w:rPr>
            </w:pPr>
            <w:r w:rsidRPr="00A67371">
              <w:rPr>
                <w:rFonts w:cs="Arial"/>
                <w:color w:val="000000"/>
                <w:szCs w:val="20"/>
              </w:rPr>
              <w:t xml:space="preserve">Regional </w:t>
            </w:r>
            <w:r>
              <w:rPr>
                <w:rFonts w:cs="Arial"/>
                <w:color w:val="000000"/>
                <w:szCs w:val="20"/>
              </w:rPr>
              <w:t>plus Metropolitan</w:t>
            </w:r>
          </w:p>
        </w:tc>
        <w:tc>
          <w:tcPr>
            <w:tcW w:w="1133" w:type="dxa"/>
            <w:shd w:val="clear" w:color="auto" w:fill="F2F2F2" w:themeFill="background1" w:themeFillShade="F2"/>
            <w:vAlign w:val="center"/>
          </w:tcPr>
          <w:p w14:paraId="3DEDE9CB" w14:textId="77777777" w:rsidR="00F815D4" w:rsidRPr="00A67371" w:rsidRDefault="00F815D4" w:rsidP="00C14CD7">
            <w:pPr>
              <w:spacing w:after="0"/>
              <w:jc w:val="center"/>
              <w:rPr>
                <w:rFonts w:cs="Arial"/>
                <w:color w:val="000000"/>
                <w:szCs w:val="20"/>
              </w:rPr>
            </w:pPr>
            <w:r>
              <w:rPr>
                <w:rFonts w:cs="Arial"/>
                <w:color w:val="000000"/>
                <w:szCs w:val="20"/>
              </w:rPr>
              <w:t>234 (29)</w:t>
            </w:r>
          </w:p>
        </w:tc>
        <w:tc>
          <w:tcPr>
            <w:tcW w:w="850" w:type="dxa"/>
            <w:shd w:val="clear" w:color="auto" w:fill="F2F2F2" w:themeFill="background1" w:themeFillShade="F2"/>
            <w:vAlign w:val="center"/>
          </w:tcPr>
          <w:p w14:paraId="6B2EEFD4" w14:textId="77777777" w:rsidR="00F815D4" w:rsidRPr="00A67371" w:rsidRDefault="00F815D4" w:rsidP="00C14CD7">
            <w:pPr>
              <w:spacing w:after="0"/>
              <w:jc w:val="center"/>
              <w:rPr>
                <w:rFonts w:cs="Arial"/>
                <w:color w:val="000000"/>
                <w:szCs w:val="20"/>
              </w:rPr>
            </w:pPr>
            <w:r>
              <w:rPr>
                <w:rFonts w:cs="Arial"/>
                <w:color w:val="000000"/>
                <w:szCs w:val="20"/>
              </w:rPr>
              <w:t>63 (14)</w:t>
            </w:r>
          </w:p>
        </w:tc>
        <w:tc>
          <w:tcPr>
            <w:tcW w:w="850" w:type="dxa"/>
            <w:shd w:val="clear" w:color="auto" w:fill="F2F2F2" w:themeFill="background1" w:themeFillShade="F2"/>
            <w:vAlign w:val="center"/>
          </w:tcPr>
          <w:p w14:paraId="02B3851E" w14:textId="77777777" w:rsidR="00F815D4" w:rsidRPr="00A67371" w:rsidRDefault="00F815D4" w:rsidP="00C14CD7">
            <w:pPr>
              <w:spacing w:after="0"/>
              <w:jc w:val="center"/>
              <w:rPr>
                <w:rFonts w:cs="Arial"/>
                <w:color w:val="000000"/>
                <w:szCs w:val="20"/>
              </w:rPr>
            </w:pPr>
            <w:r>
              <w:rPr>
                <w:rFonts w:cs="Arial"/>
                <w:color w:val="000000"/>
                <w:szCs w:val="20"/>
              </w:rPr>
              <w:t>57 (9)</w:t>
            </w:r>
          </w:p>
        </w:tc>
        <w:tc>
          <w:tcPr>
            <w:tcW w:w="850" w:type="dxa"/>
            <w:shd w:val="clear" w:color="auto" w:fill="F2F2F2" w:themeFill="background1" w:themeFillShade="F2"/>
            <w:vAlign w:val="center"/>
          </w:tcPr>
          <w:p w14:paraId="3C066EFF" w14:textId="77777777" w:rsidR="00F815D4" w:rsidRPr="00A67371" w:rsidRDefault="00F815D4" w:rsidP="00C14CD7">
            <w:pPr>
              <w:spacing w:after="0"/>
              <w:jc w:val="center"/>
              <w:rPr>
                <w:rFonts w:cs="Arial"/>
                <w:color w:val="000000"/>
                <w:szCs w:val="20"/>
              </w:rPr>
            </w:pPr>
            <w:r>
              <w:rPr>
                <w:rFonts w:cs="Arial"/>
                <w:color w:val="000000"/>
                <w:szCs w:val="20"/>
              </w:rPr>
              <w:t>55 (8)</w:t>
            </w:r>
          </w:p>
        </w:tc>
        <w:tc>
          <w:tcPr>
            <w:tcW w:w="850" w:type="dxa"/>
            <w:shd w:val="clear" w:color="auto" w:fill="F2F2F2" w:themeFill="background1" w:themeFillShade="F2"/>
            <w:vAlign w:val="center"/>
          </w:tcPr>
          <w:p w14:paraId="5DDCEEB9" w14:textId="77777777" w:rsidR="00F815D4" w:rsidRPr="00A67371" w:rsidRDefault="00F815D4" w:rsidP="00C14CD7">
            <w:pPr>
              <w:spacing w:after="0"/>
              <w:jc w:val="center"/>
              <w:rPr>
                <w:rFonts w:cs="Arial"/>
                <w:color w:val="000000"/>
                <w:szCs w:val="20"/>
              </w:rPr>
            </w:pPr>
            <w:r>
              <w:rPr>
                <w:rFonts w:cs="Arial"/>
                <w:color w:val="000000"/>
                <w:szCs w:val="20"/>
              </w:rPr>
              <w:t>29 (7)</w:t>
            </w:r>
          </w:p>
        </w:tc>
        <w:tc>
          <w:tcPr>
            <w:tcW w:w="853" w:type="dxa"/>
            <w:tcBorders>
              <w:right w:val="nil"/>
            </w:tcBorders>
            <w:shd w:val="clear" w:color="auto" w:fill="F2F2F2" w:themeFill="background1" w:themeFillShade="F2"/>
            <w:vAlign w:val="center"/>
          </w:tcPr>
          <w:p w14:paraId="7FBF27FD" w14:textId="77777777" w:rsidR="00F815D4" w:rsidRPr="00423A27" w:rsidRDefault="00F815D4" w:rsidP="00C14CD7">
            <w:pPr>
              <w:spacing w:after="0"/>
              <w:jc w:val="center"/>
            </w:pPr>
            <w:r>
              <w:t>40 (15)</w:t>
            </w:r>
          </w:p>
        </w:tc>
      </w:tr>
      <w:tr w:rsidR="00F815D4" w:rsidRPr="009916E9" w14:paraId="294E2500" w14:textId="77777777" w:rsidTr="00585A42">
        <w:trPr>
          <w:cantSplit/>
          <w:trHeight w:val="896"/>
          <w:tblHeader/>
          <w:jc w:val="center"/>
        </w:trPr>
        <w:tc>
          <w:tcPr>
            <w:tcW w:w="462" w:type="dxa"/>
            <w:vMerge w:val="restart"/>
            <w:tcBorders>
              <w:left w:val="nil"/>
            </w:tcBorders>
            <w:shd w:val="clear" w:color="auto" w:fill="auto"/>
            <w:textDirection w:val="btLr"/>
          </w:tcPr>
          <w:p w14:paraId="100D5838" w14:textId="77777777" w:rsidR="00F815D4" w:rsidRPr="009916E9" w:rsidRDefault="00F815D4" w:rsidP="00C14CD7">
            <w:pPr>
              <w:spacing w:after="0"/>
              <w:jc w:val="center"/>
              <w:rPr>
                <w:rFonts w:cs="Arial"/>
                <w:b/>
                <w:szCs w:val="20"/>
              </w:rPr>
            </w:pPr>
            <w:r w:rsidRPr="009916E9">
              <w:rPr>
                <w:rFonts w:cs="Arial"/>
                <w:b/>
                <w:szCs w:val="20"/>
              </w:rPr>
              <w:t>Australia-wide</w:t>
            </w:r>
          </w:p>
        </w:tc>
        <w:tc>
          <w:tcPr>
            <w:tcW w:w="2090" w:type="dxa"/>
            <w:shd w:val="clear" w:color="auto" w:fill="auto"/>
            <w:vAlign w:val="center"/>
          </w:tcPr>
          <w:p w14:paraId="6AFE0C72" w14:textId="77777777" w:rsidR="00F815D4" w:rsidRPr="009916E9" w:rsidRDefault="00F815D4" w:rsidP="00C14CD7">
            <w:pPr>
              <w:spacing w:after="0"/>
              <w:rPr>
                <w:rFonts w:cs="Arial"/>
                <w:color w:val="000000"/>
                <w:szCs w:val="20"/>
              </w:rPr>
            </w:pPr>
            <w:r w:rsidRPr="00A67371">
              <w:rPr>
                <w:rFonts w:cs="Arial"/>
                <w:color w:val="000000"/>
                <w:szCs w:val="20"/>
              </w:rPr>
              <w:t xml:space="preserve">Remote </w:t>
            </w:r>
            <w:r>
              <w:rPr>
                <w:rFonts w:cs="Arial"/>
                <w:color w:val="000000"/>
                <w:szCs w:val="20"/>
              </w:rPr>
              <w:t>(Australia-wide minus Regional minus Metropolitan)</w:t>
            </w:r>
          </w:p>
        </w:tc>
        <w:tc>
          <w:tcPr>
            <w:tcW w:w="1133" w:type="dxa"/>
            <w:shd w:val="clear" w:color="auto" w:fill="auto"/>
            <w:vAlign w:val="center"/>
          </w:tcPr>
          <w:p w14:paraId="2F3062C8" w14:textId="77777777" w:rsidR="00F815D4" w:rsidRPr="009916E9" w:rsidRDefault="00F815D4" w:rsidP="00C14CD7">
            <w:pPr>
              <w:spacing w:after="0"/>
              <w:jc w:val="center"/>
              <w:rPr>
                <w:rFonts w:cs="Arial"/>
                <w:color w:val="000000"/>
                <w:szCs w:val="20"/>
              </w:rPr>
            </w:pPr>
            <w:r w:rsidRPr="009916E9">
              <w:rPr>
                <w:rFonts w:cs="Arial"/>
                <w:color w:val="000000"/>
                <w:szCs w:val="20"/>
              </w:rPr>
              <w:t>94</w:t>
            </w:r>
            <w:r>
              <w:rPr>
                <w:rFonts w:cs="Arial"/>
                <w:color w:val="000000"/>
                <w:szCs w:val="20"/>
              </w:rPr>
              <w:t xml:space="preserve"> (29)</w:t>
            </w:r>
          </w:p>
        </w:tc>
        <w:tc>
          <w:tcPr>
            <w:tcW w:w="850" w:type="dxa"/>
            <w:shd w:val="clear" w:color="auto" w:fill="auto"/>
            <w:vAlign w:val="center"/>
          </w:tcPr>
          <w:p w14:paraId="6E4A65C0" w14:textId="77777777" w:rsidR="00F815D4" w:rsidRPr="009916E9" w:rsidRDefault="00F815D4" w:rsidP="00C14CD7">
            <w:pPr>
              <w:spacing w:after="0"/>
              <w:jc w:val="center"/>
              <w:rPr>
                <w:rFonts w:cs="Arial"/>
                <w:color w:val="000000"/>
                <w:szCs w:val="20"/>
              </w:rPr>
            </w:pPr>
            <w:r w:rsidRPr="009916E9">
              <w:rPr>
                <w:rFonts w:cs="Arial"/>
                <w:color w:val="000000"/>
                <w:szCs w:val="20"/>
              </w:rPr>
              <w:t>13</w:t>
            </w:r>
            <w:r>
              <w:rPr>
                <w:rFonts w:cs="Arial"/>
                <w:color w:val="000000"/>
                <w:szCs w:val="20"/>
              </w:rPr>
              <w:t xml:space="preserve"> (7)</w:t>
            </w:r>
          </w:p>
        </w:tc>
        <w:tc>
          <w:tcPr>
            <w:tcW w:w="850" w:type="dxa"/>
            <w:shd w:val="clear" w:color="auto" w:fill="auto"/>
            <w:vAlign w:val="center"/>
          </w:tcPr>
          <w:p w14:paraId="372E6173" w14:textId="77777777" w:rsidR="00F815D4" w:rsidRPr="009916E9" w:rsidRDefault="00F815D4" w:rsidP="00C14CD7">
            <w:pPr>
              <w:spacing w:after="0"/>
              <w:jc w:val="center"/>
              <w:rPr>
                <w:rFonts w:cs="Arial"/>
                <w:color w:val="000000"/>
                <w:szCs w:val="20"/>
              </w:rPr>
            </w:pPr>
            <w:r w:rsidRPr="009916E9">
              <w:rPr>
                <w:rFonts w:cs="Arial"/>
                <w:color w:val="000000"/>
                <w:szCs w:val="20"/>
              </w:rPr>
              <w:t>9</w:t>
            </w:r>
            <w:r>
              <w:rPr>
                <w:rFonts w:cs="Arial"/>
                <w:color w:val="000000"/>
                <w:szCs w:val="20"/>
              </w:rPr>
              <w:t xml:space="preserve"> (5)</w:t>
            </w:r>
          </w:p>
        </w:tc>
        <w:tc>
          <w:tcPr>
            <w:tcW w:w="850" w:type="dxa"/>
            <w:shd w:val="clear" w:color="auto" w:fill="auto"/>
            <w:vAlign w:val="center"/>
          </w:tcPr>
          <w:p w14:paraId="095D456F" w14:textId="77777777" w:rsidR="00F815D4" w:rsidRPr="009916E9" w:rsidRDefault="00F815D4" w:rsidP="00C14CD7">
            <w:pPr>
              <w:spacing w:after="0"/>
              <w:jc w:val="center"/>
              <w:rPr>
                <w:rFonts w:cs="Arial"/>
                <w:color w:val="000000"/>
                <w:szCs w:val="20"/>
              </w:rPr>
            </w:pPr>
            <w:r w:rsidRPr="009916E9">
              <w:rPr>
                <w:rFonts w:cs="Arial"/>
                <w:color w:val="000000"/>
                <w:szCs w:val="20"/>
              </w:rPr>
              <w:t>32</w:t>
            </w:r>
            <w:r>
              <w:rPr>
                <w:rFonts w:cs="Arial"/>
                <w:color w:val="000000"/>
                <w:szCs w:val="20"/>
              </w:rPr>
              <w:t xml:space="preserve"> (6)</w:t>
            </w:r>
          </w:p>
        </w:tc>
        <w:tc>
          <w:tcPr>
            <w:tcW w:w="850" w:type="dxa"/>
            <w:shd w:val="clear" w:color="auto" w:fill="auto"/>
            <w:vAlign w:val="center"/>
          </w:tcPr>
          <w:p w14:paraId="5A3D5FD5" w14:textId="77777777" w:rsidR="00F815D4" w:rsidRPr="009916E9" w:rsidRDefault="00F815D4" w:rsidP="00C14CD7">
            <w:pPr>
              <w:spacing w:after="0"/>
              <w:jc w:val="center"/>
              <w:rPr>
                <w:rFonts w:cs="Arial"/>
                <w:color w:val="000000"/>
                <w:szCs w:val="20"/>
              </w:rPr>
            </w:pPr>
            <w:r w:rsidRPr="009916E9">
              <w:rPr>
                <w:rFonts w:cs="Arial"/>
                <w:color w:val="000000"/>
                <w:szCs w:val="20"/>
              </w:rPr>
              <w:t>4</w:t>
            </w:r>
            <w:r>
              <w:rPr>
                <w:rFonts w:cs="Arial"/>
                <w:color w:val="000000"/>
                <w:szCs w:val="20"/>
              </w:rPr>
              <w:t xml:space="preserve"> (3)</w:t>
            </w:r>
          </w:p>
        </w:tc>
        <w:tc>
          <w:tcPr>
            <w:tcW w:w="853" w:type="dxa"/>
            <w:tcBorders>
              <w:right w:val="nil"/>
            </w:tcBorders>
            <w:shd w:val="clear" w:color="auto" w:fill="auto"/>
            <w:vAlign w:val="center"/>
          </w:tcPr>
          <w:p w14:paraId="7F92442B" w14:textId="77777777" w:rsidR="00F815D4" w:rsidRPr="009916E9" w:rsidRDefault="00F815D4" w:rsidP="00C14CD7">
            <w:pPr>
              <w:spacing w:after="0"/>
              <w:jc w:val="center"/>
            </w:pPr>
            <w:r w:rsidRPr="009916E9">
              <w:t>35</w:t>
            </w:r>
            <w:r>
              <w:t xml:space="preserve"> (15)</w:t>
            </w:r>
          </w:p>
        </w:tc>
      </w:tr>
      <w:tr w:rsidR="00F815D4" w:rsidRPr="00A67371" w14:paraId="31E79BAD" w14:textId="77777777" w:rsidTr="00585A42">
        <w:trPr>
          <w:cantSplit/>
          <w:trHeight w:val="1043"/>
          <w:tblHeader/>
          <w:jc w:val="center"/>
        </w:trPr>
        <w:tc>
          <w:tcPr>
            <w:tcW w:w="462" w:type="dxa"/>
            <w:vMerge/>
            <w:tcBorders>
              <w:left w:val="nil"/>
            </w:tcBorders>
            <w:shd w:val="clear" w:color="auto" w:fill="auto"/>
            <w:textDirection w:val="btLr"/>
          </w:tcPr>
          <w:p w14:paraId="35EE42BF" w14:textId="77777777" w:rsidR="00F815D4" w:rsidRPr="009916E9" w:rsidRDefault="00F815D4" w:rsidP="00C14CD7">
            <w:pPr>
              <w:spacing w:after="0"/>
              <w:jc w:val="center"/>
              <w:rPr>
                <w:rFonts w:cs="Arial"/>
                <w:b/>
                <w:szCs w:val="20"/>
              </w:rPr>
            </w:pPr>
          </w:p>
        </w:tc>
        <w:tc>
          <w:tcPr>
            <w:tcW w:w="2090" w:type="dxa"/>
            <w:shd w:val="clear" w:color="auto" w:fill="auto"/>
            <w:vAlign w:val="center"/>
          </w:tcPr>
          <w:p w14:paraId="108379BF" w14:textId="77777777" w:rsidR="00F815D4" w:rsidRPr="009916E9" w:rsidRDefault="00F815D4" w:rsidP="00C14CD7">
            <w:pPr>
              <w:spacing w:after="0"/>
              <w:rPr>
                <w:rFonts w:cs="Arial"/>
                <w:szCs w:val="20"/>
              </w:rPr>
            </w:pPr>
            <w:r w:rsidRPr="00A67371">
              <w:rPr>
                <w:rFonts w:cs="Arial"/>
                <w:color w:val="000000"/>
                <w:szCs w:val="20"/>
              </w:rPr>
              <w:t>Australia-wide</w:t>
            </w:r>
            <w:r>
              <w:rPr>
                <w:rStyle w:val="FootnoteReference"/>
                <w:rFonts w:cs="Arial"/>
                <w:color w:val="000000"/>
                <w:szCs w:val="20"/>
              </w:rPr>
              <w:footnoteReference w:id="14"/>
            </w:r>
            <w:r>
              <w:rPr>
                <w:rFonts w:cs="Arial"/>
                <w:color w:val="000000"/>
                <w:szCs w:val="20"/>
              </w:rPr>
              <w:t xml:space="preserve"> </w:t>
            </w:r>
          </w:p>
        </w:tc>
        <w:tc>
          <w:tcPr>
            <w:tcW w:w="1133" w:type="dxa"/>
            <w:shd w:val="clear" w:color="auto" w:fill="auto"/>
            <w:vAlign w:val="center"/>
          </w:tcPr>
          <w:p w14:paraId="1EE25E7E" w14:textId="77777777" w:rsidR="00F815D4" w:rsidRPr="009916E9" w:rsidRDefault="00F815D4" w:rsidP="00C14CD7">
            <w:pPr>
              <w:spacing w:after="0"/>
              <w:jc w:val="center"/>
              <w:rPr>
                <w:rFonts w:cs="Arial"/>
                <w:color w:val="000000"/>
                <w:szCs w:val="20"/>
              </w:rPr>
            </w:pPr>
            <w:r w:rsidRPr="009916E9">
              <w:rPr>
                <w:rFonts w:cs="Arial"/>
                <w:color w:val="000000"/>
                <w:szCs w:val="20"/>
              </w:rPr>
              <w:t>328</w:t>
            </w:r>
            <w:r>
              <w:rPr>
                <w:rFonts w:cs="Arial"/>
                <w:color w:val="000000"/>
                <w:szCs w:val="20"/>
              </w:rPr>
              <w:t xml:space="preserve"> (58)</w:t>
            </w:r>
          </w:p>
        </w:tc>
        <w:tc>
          <w:tcPr>
            <w:tcW w:w="850" w:type="dxa"/>
            <w:shd w:val="clear" w:color="auto" w:fill="auto"/>
            <w:vAlign w:val="center"/>
          </w:tcPr>
          <w:p w14:paraId="6D4FD3E6" w14:textId="77777777" w:rsidR="00F815D4" w:rsidRPr="009916E9" w:rsidRDefault="00F815D4" w:rsidP="00C14CD7">
            <w:pPr>
              <w:spacing w:after="0"/>
              <w:jc w:val="center"/>
              <w:rPr>
                <w:rFonts w:cs="Arial"/>
                <w:color w:val="000000"/>
                <w:szCs w:val="20"/>
              </w:rPr>
            </w:pPr>
            <w:r w:rsidRPr="009916E9">
              <w:rPr>
                <w:rFonts w:cs="Arial"/>
                <w:color w:val="000000"/>
                <w:szCs w:val="20"/>
              </w:rPr>
              <w:t>76</w:t>
            </w:r>
            <w:r>
              <w:rPr>
                <w:rFonts w:cs="Arial"/>
                <w:color w:val="000000"/>
                <w:szCs w:val="20"/>
              </w:rPr>
              <w:t xml:space="preserve"> (21)</w:t>
            </w:r>
          </w:p>
        </w:tc>
        <w:tc>
          <w:tcPr>
            <w:tcW w:w="850" w:type="dxa"/>
            <w:shd w:val="clear" w:color="auto" w:fill="auto"/>
            <w:vAlign w:val="center"/>
          </w:tcPr>
          <w:p w14:paraId="2A810D60" w14:textId="77777777" w:rsidR="00F815D4" w:rsidRPr="009916E9" w:rsidRDefault="00F815D4" w:rsidP="00C14CD7">
            <w:pPr>
              <w:spacing w:after="0"/>
              <w:jc w:val="center"/>
              <w:rPr>
                <w:rFonts w:cs="Arial"/>
                <w:color w:val="000000"/>
                <w:szCs w:val="20"/>
              </w:rPr>
            </w:pPr>
            <w:r w:rsidRPr="009916E9">
              <w:rPr>
                <w:rFonts w:cs="Arial"/>
                <w:color w:val="000000"/>
                <w:szCs w:val="20"/>
              </w:rPr>
              <w:t>66</w:t>
            </w:r>
            <w:r>
              <w:rPr>
                <w:rFonts w:cs="Arial"/>
                <w:color w:val="000000"/>
                <w:szCs w:val="20"/>
              </w:rPr>
              <w:t xml:space="preserve"> (14)</w:t>
            </w:r>
          </w:p>
        </w:tc>
        <w:tc>
          <w:tcPr>
            <w:tcW w:w="850" w:type="dxa"/>
            <w:shd w:val="clear" w:color="auto" w:fill="auto"/>
            <w:vAlign w:val="center"/>
          </w:tcPr>
          <w:p w14:paraId="33EAE83A" w14:textId="77777777" w:rsidR="00F815D4" w:rsidRPr="009916E9" w:rsidRDefault="00F815D4" w:rsidP="00C14CD7">
            <w:pPr>
              <w:spacing w:after="0"/>
              <w:jc w:val="center"/>
              <w:rPr>
                <w:rFonts w:cs="Arial"/>
                <w:color w:val="000000"/>
                <w:szCs w:val="20"/>
              </w:rPr>
            </w:pPr>
            <w:r w:rsidRPr="009916E9">
              <w:rPr>
                <w:rFonts w:cs="Arial"/>
                <w:color w:val="000000"/>
                <w:szCs w:val="20"/>
              </w:rPr>
              <w:t>88</w:t>
            </w:r>
            <w:r>
              <w:rPr>
                <w:rFonts w:cs="Arial"/>
                <w:color w:val="000000"/>
                <w:szCs w:val="20"/>
              </w:rPr>
              <w:t xml:space="preserve"> (14)</w:t>
            </w:r>
          </w:p>
        </w:tc>
        <w:tc>
          <w:tcPr>
            <w:tcW w:w="850" w:type="dxa"/>
            <w:shd w:val="clear" w:color="auto" w:fill="auto"/>
            <w:vAlign w:val="center"/>
          </w:tcPr>
          <w:p w14:paraId="55DBD66E" w14:textId="77777777" w:rsidR="00F815D4" w:rsidRPr="009916E9" w:rsidRDefault="00F815D4" w:rsidP="00C14CD7">
            <w:pPr>
              <w:spacing w:after="0"/>
              <w:jc w:val="center"/>
              <w:rPr>
                <w:rFonts w:cs="Arial"/>
                <w:color w:val="000000"/>
                <w:szCs w:val="20"/>
              </w:rPr>
            </w:pPr>
            <w:r w:rsidRPr="009916E9">
              <w:rPr>
                <w:rFonts w:cs="Arial"/>
                <w:color w:val="000000"/>
                <w:szCs w:val="20"/>
              </w:rPr>
              <w:t>33</w:t>
            </w:r>
            <w:r>
              <w:rPr>
                <w:rFonts w:cs="Arial"/>
                <w:color w:val="000000"/>
                <w:szCs w:val="20"/>
              </w:rPr>
              <w:t xml:space="preserve"> (10)</w:t>
            </w:r>
          </w:p>
        </w:tc>
        <w:tc>
          <w:tcPr>
            <w:tcW w:w="853" w:type="dxa"/>
            <w:tcBorders>
              <w:right w:val="nil"/>
            </w:tcBorders>
            <w:shd w:val="clear" w:color="auto" w:fill="auto"/>
            <w:vAlign w:val="center"/>
          </w:tcPr>
          <w:p w14:paraId="6DBE203C" w14:textId="77777777" w:rsidR="00F815D4" w:rsidRPr="00423A27" w:rsidRDefault="00F815D4" w:rsidP="00C14CD7">
            <w:pPr>
              <w:spacing w:after="0"/>
              <w:jc w:val="center"/>
            </w:pPr>
            <w:r w:rsidRPr="009916E9">
              <w:t>75</w:t>
            </w:r>
            <w:r>
              <w:t xml:space="preserve"> (30)</w:t>
            </w:r>
          </w:p>
        </w:tc>
      </w:tr>
    </w:tbl>
    <w:p w14:paraId="1D4C1BAF" w14:textId="77777777" w:rsidR="00F815D4" w:rsidRPr="00A67371" w:rsidRDefault="00F815D4" w:rsidP="00F815D4">
      <w:pPr>
        <w:pStyle w:val="ACMASpaceaftertable"/>
      </w:pPr>
    </w:p>
    <w:p w14:paraId="0BCEC844" w14:textId="77777777" w:rsidR="00F815D4" w:rsidRDefault="00F815D4" w:rsidP="00F815D4">
      <w:pPr>
        <w:spacing w:after="160" w:line="259" w:lineRule="auto"/>
      </w:pPr>
    </w:p>
    <w:p w14:paraId="6C67EACD" w14:textId="0FC19033" w:rsidR="00F815D4" w:rsidRDefault="00F815D4" w:rsidP="00F815D4">
      <w:pPr>
        <w:pStyle w:val="Heading1"/>
      </w:pPr>
      <w:bookmarkStart w:id="68" w:name="_Toc16064494"/>
      <w:r>
        <w:lastRenderedPageBreak/>
        <w:t>International developments</w:t>
      </w:r>
      <w:bookmarkEnd w:id="68"/>
    </w:p>
    <w:p w14:paraId="0987892B" w14:textId="77777777" w:rsidR="00F815D4" w:rsidRDefault="00F815D4" w:rsidP="00F815D4">
      <w:pPr>
        <w:spacing w:after="80"/>
      </w:pPr>
      <w:r>
        <w:t xml:space="preserve">This section provides an overview of international arrangements and developments in the 3700–4200 MHz band, examining: </w:t>
      </w:r>
    </w:p>
    <w:p w14:paraId="2FA5FF9A" w14:textId="77777777" w:rsidR="00F815D4" w:rsidRDefault="00F815D4" w:rsidP="00F815D4">
      <w:pPr>
        <w:pStyle w:val="ListBullet"/>
      </w:pPr>
      <w:r>
        <w:t>arrangements and developments within international organisations</w:t>
      </w:r>
    </w:p>
    <w:p w14:paraId="0E4B8DA4" w14:textId="77777777" w:rsidR="00F815D4" w:rsidRDefault="00F815D4" w:rsidP="00F815D4">
      <w:pPr>
        <w:pStyle w:val="ListBullet"/>
      </w:pPr>
      <w:r>
        <w:t>country-specific arrangements and developments.</w:t>
      </w:r>
    </w:p>
    <w:p w14:paraId="0FC5A4DC" w14:textId="277F1D50" w:rsidR="00F815D4" w:rsidRDefault="00F815D4" w:rsidP="00F815D4">
      <w:pPr>
        <w:pStyle w:val="Heading2"/>
      </w:pPr>
      <w:bookmarkStart w:id="69" w:name="_Toc16064495"/>
      <w:r>
        <w:t>International organisations</w:t>
      </w:r>
      <w:bookmarkEnd w:id="69"/>
    </w:p>
    <w:p w14:paraId="00D9D903" w14:textId="7472E371" w:rsidR="00F815D4" w:rsidRDefault="00F815D4" w:rsidP="00F815D4">
      <w:bookmarkStart w:id="70" w:name="_Toc12016459"/>
      <w:r>
        <w:t xml:space="preserve">International Telecommunications Union (ITU) </w:t>
      </w:r>
      <w:bookmarkEnd w:id="70"/>
      <w:r>
        <w:t>Article 5 of the ITU Radio Regulations defines the current service allocations for the 3700–4200 MHz frequency range for all regions of the world (refer to Table 7</w:t>
      </w:r>
      <w:r w:rsidR="00FD1316">
        <w:t>)</w:t>
      </w:r>
      <w:r w:rsidR="00707CF8">
        <w:fldChar w:fldCharType="begin"/>
      </w:r>
      <w:r w:rsidR="00707CF8">
        <w:instrText xml:space="preserve"> REF _Ref9946106 \h </w:instrText>
      </w:r>
      <w:r w:rsidR="00707CF8">
        <w:fldChar w:fldCharType="separate"/>
      </w:r>
      <w:r w:rsidR="00707CF8">
        <w:fldChar w:fldCharType="end"/>
      </w:r>
      <w:r>
        <w:t>, which includes an extract from the Australian Table of Allocations).</w:t>
      </w:r>
    </w:p>
    <w:p w14:paraId="4791B516" w14:textId="0260EC37" w:rsidR="00F815D4" w:rsidRPr="006F44DB" w:rsidRDefault="00F815D4" w:rsidP="00585A42">
      <w:pPr>
        <w:pStyle w:val="ACMATableHeader"/>
        <w:rPr>
          <w:rFonts w:cs="Arial"/>
        </w:rPr>
      </w:pPr>
      <w:bookmarkStart w:id="71" w:name="_Ref9946101"/>
      <w:r>
        <w:t>ITU-R and Australian Table of Allocations</w:t>
      </w:r>
      <w:bookmarkEnd w:id="71"/>
      <w:r>
        <w:t xml:space="preserve"> for the 3700–4200 MHz band</w:t>
      </w:r>
    </w:p>
    <w:p w14:paraId="3BDCD9F2" w14:textId="096B7232" w:rsidR="00F815D4" w:rsidRDefault="00F815D4" w:rsidP="00F815D4">
      <w:pPr>
        <w:rPr>
          <w:rFonts w:cs="Arial"/>
        </w:rPr>
      </w:pPr>
      <w:r>
        <w:rPr>
          <w:noProof/>
        </w:rPr>
        <w:drawing>
          <wp:inline distT="0" distB="0" distL="0" distR="0" wp14:anchorId="724320E8" wp14:editId="14525A25">
            <wp:extent cx="4871085" cy="1067472"/>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871085" cy="1067472"/>
                    </a:xfrm>
                    <a:prstGeom prst="rect">
                      <a:avLst/>
                    </a:prstGeom>
                  </pic:spPr>
                </pic:pic>
              </a:graphicData>
            </a:graphic>
          </wp:inline>
        </w:drawing>
      </w:r>
    </w:p>
    <w:p w14:paraId="7A08A407" w14:textId="1EBD9952" w:rsidR="000D5A39" w:rsidRDefault="000D5A39" w:rsidP="00F815D4">
      <w:pPr>
        <w:rPr>
          <w:rFonts w:cs="Arial"/>
        </w:rPr>
      </w:pPr>
      <w:r>
        <w:rPr>
          <w:rFonts w:cs="Arial"/>
        </w:rPr>
        <w:t>Note that this band does not have a footnote in the Radio Regulations identifying its use for the implementation of International Mobile Telecommunications (IMT)</w:t>
      </w:r>
      <w:r w:rsidR="004B1E82">
        <w:rPr>
          <w:rFonts w:cs="Arial"/>
        </w:rPr>
        <w:t xml:space="preserve">. Although not required to use </w:t>
      </w:r>
      <w:r w:rsidR="004F2EB1">
        <w:rPr>
          <w:rFonts w:cs="Arial"/>
        </w:rPr>
        <w:t xml:space="preserve">a </w:t>
      </w:r>
      <w:r w:rsidR="004B1E82">
        <w:rPr>
          <w:rFonts w:cs="Arial"/>
        </w:rPr>
        <w:t>band for wireless broadband service</w:t>
      </w:r>
      <w:r w:rsidR="00304566">
        <w:rPr>
          <w:rFonts w:cs="Arial"/>
        </w:rPr>
        <w:t>s</w:t>
      </w:r>
      <w:r w:rsidR="004B1E82">
        <w:rPr>
          <w:rFonts w:cs="Arial"/>
        </w:rPr>
        <w:t xml:space="preserve">, it </w:t>
      </w:r>
      <w:r>
        <w:rPr>
          <w:rFonts w:cs="Arial"/>
        </w:rPr>
        <w:t>can assist in global or regional harmonisation</w:t>
      </w:r>
      <w:r w:rsidR="00304566">
        <w:rPr>
          <w:rFonts w:cs="Arial"/>
        </w:rPr>
        <w:t>,</w:t>
      </w:r>
      <w:r w:rsidR="004B1E82">
        <w:rPr>
          <w:rFonts w:cs="Arial"/>
        </w:rPr>
        <w:t xml:space="preserve"> including the development of economies of scale for equipment</w:t>
      </w:r>
      <w:r>
        <w:rPr>
          <w:rFonts w:cs="Arial"/>
        </w:rPr>
        <w:t>.</w:t>
      </w:r>
    </w:p>
    <w:p w14:paraId="22A1E14C" w14:textId="77777777" w:rsidR="00F815D4" w:rsidRDefault="00F815D4" w:rsidP="00F815D4">
      <w:pPr>
        <w:pStyle w:val="Heading3"/>
      </w:pPr>
      <w:bookmarkStart w:id="72" w:name="_Toc12016460"/>
      <w:bookmarkStart w:id="73" w:name="_Toc14762821"/>
      <w:bookmarkStart w:id="74" w:name="_Toc16064496"/>
      <w:r>
        <w:t>Third Generation Partnership Project (3GPP</w:t>
      </w:r>
      <w:bookmarkEnd w:id="72"/>
      <w:r>
        <w:t>)</w:t>
      </w:r>
      <w:bookmarkEnd w:id="73"/>
      <w:bookmarkEnd w:id="74"/>
    </w:p>
    <w:p w14:paraId="374CE5EB" w14:textId="5BBD7712" w:rsidR="00F815D4" w:rsidRDefault="00F815D4" w:rsidP="00585A42">
      <w:pPr>
        <w:spacing w:after="80"/>
      </w:pPr>
      <w:r>
        <w:t xml:space="preserve">The 3700–4200 MHz band forms part of the profile bands for 4G and 5G internationally and has been included in standards developed by the </w:t>
      </w:r>
      <w:hyperlink r:id="rId44" w:history="1">
        <w:r w:rsidRPr="00CA60AD">
          <w:rPr>
            <w:rStyle w:val="Hyperlink"/>
          </w:rPr>
          <w:t>3GPP</w:t>
        </w:r>
      </w:hyperlink>
      <w:r>
        <w:t>. This includes:</w:t>
      </w:r>
    </w:p>
    <w:p w14:paraId="1C1D42E3" w14:textId="09956EC9" w:rsidR="00F815D4" w:rsidRDefault="00F815D4" w:rsidP="00F815D4">
      <w:pPr>
        <w:pStyle w:val="ListBullet"/>
      </w:pPr>
      <w:r>
        <w:t>5G (referred to as New Radio by the 3GPP) bands n77 and n78</w:t>
      </w:r>
      <w:r w:rsidRPr="008F7AE1">
        <w:rPr>
          <w:vertAlign w:val="superscript"/>
        </w:rPr>
        <w:footnoteReference w:id="15"/>
      </w:r>
      <w:r>
        <w:t>, defined for TDD technologies with bandwidths between 10–100 MHz over the 3300–4200 MHz and 3300–3800 MHz bands respectively</w:t>
      </w:r>
    </w:p>
    <w:p w14:paraId="299BC220" w14:textId="44C7BDA1" w:rsidR="00F815D4" w:rsidRDefault="00F815D4" w:rsidP="00F815D4">
      <w:pPr>
        <w:pStyle w:val="ListBullet"/>
        <w:spacing w:after="120"/>
      </w:pPr>
      <w:r>
        <w:t>4G (referred to as E-UTRA or LTE by the 3GPP) band 43</w:t>
      </w:r>
      <w:r w:rsidRPr="008F7AE1">
        <w:rPr>
          <w:vertAlign w:val="superscript"/>
        </w:rPr>
        <w:footnoteReference w:id="16"/>
      </w:r>
      <w:r>
        <w:t xml:space="preserve">, for TDD use in the band 3600–3800 MHz. Channel bandwidths up to 20 MHz are defined. The aggregation of multiple channels within the band (and with other bands) is also supported. </w:t>
      </w:r>
    </w:p>
    <w:p w14:paraId="5773204A" w14:textId="77777777" w:rsidR="00F815D4" w:rsidRDefault="00F815D4" w:rsidP="00F815D4">
      <w:pPr>
        <w:pStyle w:val="Heading3"/>
        <w:spacing w:before="240"/>
      </w:pPr>
      <w:bookmarkStart w:id="75" w:name="_Toc12016461"/>
      <w:bookmarkStart w:id="76" w:name="_Toc14762822"/>
      <w:bookmarkStart w:id="77" w:name="_Toc16064497"/>
      <w:r>
        <w:t>Global mobile Suppliers Association (GSA)</w:t>
      </w:r>
      <w:bookmarkEnd w:id="75"/>
      <w:bookmarkEnd w:id="76"/>
      <w:bookmarkEnd w:id="77"/>
    </w:p>
    <w:p w14:paraId="76AA887A" w14:textId="3DC2B490" w:rsidR="00F815D4" w:rsidRDefault="00F815D4" w:rsidP="00F815D4">
      <w:pPr>
        <w:pStyle w:val="Default"/>
        <w:rPr>
          <w:rFonts w:ascii="Arial" w:hAnsi="Arial" w:cs="Times New Roman"/>
          <w:color w:val="auto"/>
          <w:sz w:val="20"/>
        </w:rPr>
      </w:pPr>
      <w:r w:rsidRPr="005C0A5E">
        <w:rPr>
          <w:rFonts w:ascii="Arial" w:hAnsi="Arial" w:cs="Times New Roman"/>
          <w:color w:val="auto"/>
          <w:sz w:val="20"/>
        </w:rPr>
        <w:t xml:space="preserve">GSA’s online database of mobile broadband devices (GAMBoD) reports that on 20 June 2019 there were 198 LTE devices (routers, femtocells, phones, tablets, outdoor </w:t>
      </w:r>
      <w:r w:rsidRPr="005C0A5E">
        <w:rPr>
          <w:rFonts w:ascii="Arial" w:hAnsi="Arial" w:cs="Times New Roman"/>
          <w:color w:val="auto"/>
          <w:sz w:val="20"/>
        </w:rPr>
        <w:lastRenderedPageBreak/>
        <w:t>customer premise equipment) that operate in the 3600</w:t>
      </w:r>
      <w:r>
        <w:rPr>
          <w:rFonts w:ascii="Arial" w:hAnsi="Arial" w:cs="Times New Roman"/>
          <w:color w:val="auto"/>
          <w:sz w:val="20"/>
        </w:rPr>
        <w:t>–</w:t>
      </w:r>
      <w:r w:rsidRPr="005C0A5E">
        <w:rPr>
          <w:rFonts w:ascii="Arial" w:hAnsi="Arial" w:cs="Times New Roman"/>
          <w:color w:val="auto"/>
          <w:sz w:val="20"/>
        </w:rPr>
        <w:t xml:space="preserve">3800 MHz band. </w:t>
      </w:r>
      <w:r>
        <w:rPr>
          <w:rFonts w:ascii="Arial" w:hAnsi="Arial" w:cs="Times New Roman"/>
          <w:color w:val="auto"/>
          <w:sz w:val="20"/>
        </w:rPr>
        <w:t>This suggests that a viable equipment ecosystem has already developed in the band.</w:t>
      </w:r>
      <w:r>
        <w:rPr>
          <w:rStyle w:val="FootnoteReference"/>
          <w:rFonts w:cs="Times New Roman"/>
          <w:color w:val="auto"/>
          <w:sz w:val="20"/>
        </w:rPr>
        <w:footnoteReference w:id="17"/>
      </w:r>
      <w:r>
        <w:rPr>
          <w:rFonts w:ascii="Arial" w:hAnsi="Arial" w:cs="Times New Roman"/>
          <w:color w:val="auto"/>
          <w:sz w:val="20"/>
        </w:rPr>
        <w:t xml:space="preserve">  </w:t>
      </w:r>
    </w:p>
    <w:p w14:paraId="0742A91C" w14:textId="77777777" w:rsidR="00F815D4" w:rsidRDefault="00F815D4" w:rsidP="00F815D4">
      <w:pPr>
        <w:pStyle w:val="Default"/>
        <w:rPr>
          <w:rFonts w:ascii="Arial" w:hAnsi="Arial" w:cs="Times New Roman"/>
          <w:color w:val="auto"/>
          <w:sz w:val="20"/>
        </w:rPr>
      </w:pPr>
    </w:p>
    <w:p w14:paraId="235E4328" w14:textId="192AF0AF" w:rsidR="00F815D4" w:rsidRDefault="00F815D4" w:rsidP="00F815D4">
      <w:pPr>
        <w:pStyle w:val="Default"/>
        <w:rPr>
          <w:rFonts w:ascii="Arial" w:hAnsi="Arial" w:cs="Times New Roman"/>
          <w:color w:val="auto"/>
          <w:sz w:val="20"/>
        </w:rPr>
      </w:pPr>
      <w:r>
        <w:rPr>
          <w:rFonts w:ascii="Arial" w:hAnsi="Arial" w:cs="Times New Roman"/>
          <w:color w:val="auto"/>
          <w:sz w:val="20"/>
        </w:rPr>
        <w:t>GSA has also reported that an ecosystem for 5G devices is starting to emerge. This includes devices supporting the 3300–3800 MHz or 3300–4200 MHz bands. In June 2019, thirty-nine vendors had announced available or forthcoming 5G devices and chipsets were available from four vendors.</w:t>
      </w:r>
      <w:r>
        <w:rPr>
          <w:rStyle w:val="FootnoteReference"/>
          <w:rFonts w:cs="Times New Roman"/>
          <w:color w:val="auto"/>
          <w:sz w:val="20"/>
        </w:rPr>
        <w:footnoteReference w:id="18"/>
      </w:r>
      <w:r>
        <w:rPr>
          <w:rFonts w:ascii="Arial" w:hAnsi="Arial" w:cs="Times New Roman"/>
          <w:color w:val="auto"/>
          <w:sz w:val="20"/>
        </w:rPr>
        <w:t xml:space="preserve">  </w:t>
      </w:r>
    </w:p>
    <w:p w14:paraId="52945DBA" w14:textId="1817E43A" w:rsidR="00F815D4" w:rsidRDefault="00F815D4" w:rsidP="00F815D4">
      <w:pPr>
        <w:pStyle w:val="Heading2"/>
      </w:pPr>
      <w:bookmarkStart w:id="78" w:name="_Toc16064498"/>
      <w:r>
        <w:t>Country-specific developments</w:t>
      </w:r>
      <w:bookmarkEnd w:id="78"/>
    </w:p>
    <w:p w14:paraId="234090DB" w14:textId="77777777" w:rsidR="00F815D4" w:rsidRPr="00D1282E" w:rsidRDefault="00F815D4" w:rsidP="00585A42">
      <w:pPr>
        <w:pStyle w:val="Heading3"/>
      </w:pPr>
      <w:bookmarkStart w:id="79" w:name="_Toc12016463"/>
      <w:bookmarkStart w:id="80" w:name="_Toc14762824"/>
      <w:bookmarkStart w:id="81" w:name="_Toc16064499"/>
      <w:r w:rsidRPr="00D1282E">
        <w:t>Europe</w:t>
      </w:r>
      <w:bookmarkEnd w:id="79"/>
      <w:bookmarkEnd w:id="80"/>
      <w:bookmarkEnd w:id="81"/>
    </w:p>
    <w:p w14:paraId="7F01DD46" w14:textId="77777777" w:rsidR="00F815D4" w:rsidRPr="00264673" w:rsidRDefault="00F815D4" w:rsidP="00F815D4">
      <w:pPr>
        <w:rPr>
          <w:szCs w:val="20"/>
        </w:rPr>
      </w:pPr>
      <w:r>
        <w:rPr>
          <w:rFonts w:cs="Arial"/>
        </w:rPr>
        <w:t xml:space="preserve">In January 2019 </w:t>
      </w:r>
      <w:r>
        <w:rPr>
          <w:szCs w:val="20"/>
        </w:rPr>
        <w:t>t</w:t>
      </w:r>
      <w:r w:rsidRPr="00264673">
        <w:rPr>
          <w:szCs w:val="20"/>
        </w:rPr>
        <w:t>he European Commission (EC) announced</w:t>
      </w:r>
      <w:r w:rsidRPr="00264673">
        <w:rPr>
          <w:rStyle w:val="FootnoteReference"/>
          <w:szCs w:val="20"/>
        </w:rPr>
        <w:footnoteReference w:id="19"/>
      </w:r>
      <w:r>
        <w:rPr>
          <w:szCs w:val="20"/>
        </w:rPr>
        <w:t xml:space="preserve"> its </w:t>
      </w:r>
      <w:r w:rsidRPr="00264673">
        <w:rPr>
          <w:szCs w:val="20"/>
        </w:rPr>
        <w:t xml:space="preserve">decision to harmonise the </w:t>
      </w:r>
      <w:r>
        <w:rPr>
          <w:szCs w:val="20"/>
        </w:rPr>
        <w:t xml:space="preserve">3400–3800 MHz frequency range as a </w:t>
      </w:r>
      <w:r w:rsidRPr="00264673">
        <w:rPr>
          <w:szCs w:val="20"/>
        </w:rPr>
        <w:t xml:space="preserve">pioneer band </w:t>
      </w:r>
      <w:r>
        <w:rPr>
          <w:szCs w:val="20"/>
        </w:rPr>
        <w:t xml:space="preserve">for 5G </w:t>
      </w:r>
      <w:r w:rsidRPr="00264673">
        <w:rPr>
          <w:szCs w:val="20"/>
        </w:rPr>
        <w:t xml:space="preserve">use within the </w:t>
      </w:r>
      <w:r>
        <w:rPr>
          <w:szCs w:val="20"/>
        </w:rPr>
        <w:t>European Union</w:t>
      </w:r>
      <w:r w:rsidRPr="00264673">
        <w:rPr>
          <w:szCs w:val="20"/>
        </w:rPr>
        <w:t xml:space="preserve">. </w:t>
      </w:r>
      <w:r>
        <w:rPr>
          <w:szCs w:val="20"/>
        </w:rPr>
        <w:t>Many European countries either have or are in the process of investigating or allocating the band for 5G use</w:t>
      </w:r>
      <w:r>
        <w:rPr>
          <w:rFonts w:cs="Arial"/>
        </w:rPr>
        <w:t>.</w:t>
      </w:r>
      <w:r>
        <w:rPr>
          <w:szCs w:val="20"/>
        </w:rPr>
        <w:t xml:space="preserve"> Germany and Lithuania are also developing plans to make the 3700–3800 MHz band available for </w:t>
      </w:r>
      <w:r>
        <w:t xml:space="preserve">local area </w:t>
      </w:r>
      <w:r>
        <w:rPr>
          <w:szCs w:val="20"/>
        </w:rPr>
        <w:t>5G use rather than wide-area deployments.</w:t>
      </w:r>
      <w:bookmarkStart w:id="82" w:name="_Ref10188965"/>
      <w:r>
        <w:rPr>
          <w:rStyle w:val="FootnoteReference"/>
          <w:rFonts w:cs="Arial"/>
        </w:rPr>
        <w:footnoteReference w:id="20"/>
      </w:r>
      <w:bookmarkEnd w:id="82"/>
    </w:p>
    <w:p w14:paraId="0592BDB8" w14:textId="6DA5E80F" w:rsidR="00F815D4" w:rsidRDefault="00384E3E" w:rsidP="00F815D4">
      <w:pPr>
        <w:rPr>
          <w:rFonts w:cs="Arial"/>
          <w:szCs w:val="20"/>
        </w:rPr>
      </w:pPr>
      <w:r w:rsidRPr="00AB1A2C">
        <w:rPr>
          <w:rFonts w:cs="Arial"/>
          <w:szCs w:val="20"/>
        </w:rPr>
        <w:t xml:space="preserve">Ofcom </w:t>
      </w:r>
      <w:r>
        <w:rPr>
          <w:rFonts w:cs="Arial"/>
          <w:szCs w:val="20"/>
        </w:rPr>
        <w:t xml:space="preserve">(United Kingdom) has </w:t>
      </w:r>
      <w:r w:rsidRPr="00AB1A2C">
        <w:rPr>
          <w:rFonts w:cs="Arial"/>
          <w:szCs w:val="20"/>
        </w:rPr>
        <w:t>announced their intention to award spectrum in the 3600</w:t>
      </w:r>
      <w:r>
        <w:rPr>
          <w:szCs w:val="20"/>
        </w:rPr>
        <w:t>–</w:t>
      </w:r>
      <w:r w:rsidRPr="00AB1A2C">
        <w:rPr>
          <w:rFonts w:cs="Arial"/>
          <w:szCs w:val="20"/>
        </w:rPr>
        <w:t>3800 MHz band.</w:t>
      </w:r>
      <w:r>
        <w:rPr>
          <w:rFonts w:cs="Arial"/>
          <w:szCs w:val="20"/>
        </w:rPr>
        <w:t xml:space="preserve"> This is in addition to spectrum already allocated in the 3400</w:t>
      </w:r>
      <w:r w:rsidR="00304566">
        <w:rPr>
          <w:rFonts w:cs="Arial"/>
          <w:szCs w:val="20"/>
        </w:rPr>
        <w:t>–</w:t>
      </w:r>
      <w:r>
        <w:rPr>
          <w:rFonts w:cs="Arial"/>
          <w:szCs w:val="20"/>
        </w:rPr>
        <w:t>3600 MHz band</w:t>
      </w:r>
      <w:r w:rsidR="00304566">
        <w:rPr>
          <w:rFonts w:cs="Arial"/>
          <w:szCs w:val="20"/>
        </w:rPr>
        <w:t>.</w:t>
      </w:r>
      <w:r w:rsidRPr="00AB1A2C">
        <w:rPr>
          <w:rStyle w:val="FootnoteReference"/>
          <w:rFonts w:cs="Arial"/>
          <w:szCs w:val="20"/>
        </w:rPr>
        <w:footnoteReference w:id="21"/>
      </w:r>
      <w:r>
        <w:rPr>
          <w:rFonts w:cs="Arial"/>
          <w:szCs w:val="20"/>
        </w:rPr>
        <w:t xml:space="preserve"> </w:t>
      </w:r>
      <w:r w:rsidR="005D1FDF">
        <w:rPr>
          <w:rFonts w:cs="Arial"/>
          <w:szCs w:val="20"/>
        </w:rPr>
        <w:t xml:space="preserve">On 25 July 2019, </w:t>
      </w:r>
      <w:r w:rsidR="004F2EB1">
        <w:rPr>
          <w:rFonts w:cs="Arial"/>
          <w:szCs w:val="20"/>
        </w:rPr>
        <w:t>Ofcom also</w:t>
      </w:r>
      <w:r>
        <w:rPr>
          <w:rFonts w:cs="Arial"/>
          <w:szCs w:val="20"/>
        </w:rPr>
        <w:t xml:space="preserve"> </w:t>
      </w:r>
      <w:r w:rsidR="005D1FDF">
        <w:rPr>
          <w:rFonts w:cs="Arial"/>
          <w:szCs w:val="20"/>
        </w:rPr>
        <w:t xml:space="preserve">announced </w:t>
      </w:r>
      <w:r>
        <w:rPr>
          <w:rFonts w:cs="Arial"/>
          <w:szCs w:val="20"/>
        </w:rPr>
        <w:t>its</w:t>
      </w:r>
      <w:r w:rsidR="005D1FDF">
        <w:rPr>
          <w:rFonts w:cs="Arial"/>
          <w:szCs w:val="20"/>
        </w:rPr>
        <w:t xml:space="preserve"> decision to allow use of the 3</w:t>
      </w:r>
      <w:r w:rsidR="004B1E82">
        <w:rPr>
          <w:rFonts w:cs="Arial"/>
          <w:szCs w:val="20"/>
        </w:rPr>
        <w:t>8</w:t>
      </w:r>
      <w:r w:rsidR="005D1FDF">
        <w:rPr>
          <w:rFonts w:cs="Arial"/>
          <w:szCs w:val="20"/>
        </w:rPr>
        <w:t>00–4200 MHz band for WBB through a shared local licensing arrangement</w:t>
      </w:r>
      <w:bookmarkStart w:id="83" w:name="_Ref15023435"/>
      <w:r w:rsidR="005D1FDF">
        <w:rPr>
          <w:rStyle w:val="FootnoteReference"/>
          <w:rFonts w:cs="Arial"/>
          <w:szCs w:val="20"/>
        </w:rPr>
        <w:footnoteReference w:id="22"/>
      </w:r>
      <w:bookmarkEnd w:id="83"/>
      <w:r w:rsidR="005D1FDF">
        <w:rPr>
          <w:rFonts w:cs="Arial"/>
          <w:szCs w:val="20"/>
        </w:rPr>
        <w:t xml:space="preserve"> </w:t>
      </w:r>
      <w:r>
        <w:rPr>
          <w:rFonts w:cs="Arial"/>
          <w:szCs w:val="20"/>
        </w:rPr>
        <w:t xml:space="preserve">on a </w:t>
      </w:r>
      <w:r w:rsidR="005D1FDF">
        <w:rPr>
          <w:rFonts w:cs="Arial"/>
          <w:szCs w:val="20"/>
        </w:rPr>
        <w:t>first</w:t>
      </w:r>
      <w:r w:rsidR="00304566">
        <w:rPr>
          <w:rFonts w:cs="Arial"/>
          <w:szCs w:val="20"/>
        </w:rPr>
        <w:t>-</w:t>
      </w:r>
      <w:r>
        <w:rPr>
          <w:rFonts w:cs="Arial"/>
          <w:szCs w:val="20"/>
        </w:rPr>
        <w:t>in</w:t>
      </w:r>
      <w:r w:rsidR="00304566">
        <w:rPr>
          <w:rFonts w:cs="Arial"/>
          <w:szCs w:val="20"/>
        </w:rPr>
        <w:t>-</w:t>
      </w:r>
      <w:r>
        <w:rPr>
          <w:rFonts w:cs="Arial"/>
          <w:szCs w:val="20"/>
        </w:rPr>
        <w:t>time</w:t>
      </w:r>
      <w:r w:rsidR="005D1FDF">
        <w:rPr>
          <w:rFonts w:cs="Arial"/>
          <w:szCs w:val="20"/>
        </w:rPr>
        <w:t xml:space="preserve"> coordinat</w:t>
      </w:r>
      <w:r>
        <w:rPr>
          <w:rFonts w:cs="Arial"/>
          <w:szCs w:val="20"/>
        </w:rPr>
        <w:t>ed basis</w:t>
      </w:r>
      <w:r w:rsidR="00F815D4">
        <w:rPr>
          <w:rFonts w:cs="Arial"/>
          <w:szCs w:val="20"/>
        </w:rPr>
        <w:t xml:space="preserve">. </w:t>
      </w:r>
      <w:r w:rsidR="005D1FDF">
        <w:rPr>
          <w:rFonts w:cs="Arial"/>
          <w:szCs w:val="20"/>
        </w:rPr>
        <w:t xml:space="preserve">Low power small area licences and medium power rural area base station licences will be available. Private network and fixed wireless access (FWA) are some of the potential uses Ofcom </w:t>
      </w:r>
      <w:r w:rsidR="004B1E82">
        <w:rPr>
          <w:rFonts w:cs="Arial"/>
          <w:szCs w:val="20"/>
        </w:rPr>
        <w:t>envisage</w:t>
      </w:r>
      <w:r w:rsidR="005D1FDF">
        <w:rPr>
          <w:rFonts w:cs="Arial"/>
          <w:szCs w:val="20"/>
        </w:rPr>
        <w:t xml:space="preserve"> through this arrangement.</w:t>
      </w:r>
      <w:r w:rsidR="00F815D4">
        <w:rPr>
          <w:rFonts w:cs="Arial"/>
          <w:szCs w:val="20"/>
        </w:rPr>
        <w:t xml:space="preserve"> </w:t>
      </w:r>
      <w:r w:rsidR="00284EED">
        <w:rPr>
          <w:rFonts w:cs="Arial"/>
          <w:szCs w:val="20"/>
        </w:rPr>
        <w:t>Ofcom also indicated that this is an interim approach</w:t>
      </w:r>
      <w:r w:rsidR="00F815D4" w:rsidRPr="007674D2">
        <w:rPr>
          <w:rFonts w:cs="Arial"/>
          <w:szCs w:val="20"/>
        </w:rPr>
        <w:t xml:space="preserve"> to enable the quickest route for new users to access the </w:t>
      </w:r>
      <w:r w:rsidR="003F4034" w:rsidRPr="00AB1A2C">
        <w:rPr>
          <w:rFonts w:cs="Arial"/>
          <w:szCs w:val="20"/>
        </w:rPr>
        <w:t>band but</w:t>
      </w:r>
      <w:r w:rsidR="00F815D4" w:rsidRPr="00AB1A2C">
        <w:rPr>
          <w:rFonts w:cs="Arial"/>
          <w:szCs w:val="20"/>
        </w:rPr>
        <w:t xml:space="preserve"> </w:t>
      </w:r>
      <w:r>
        <w:rPr>
          <w:rFonts w:cs="Arial"/>
          <w:szCs w:val="20"/>
        </w:rPr>
        <w:t xml:space="preserve">flagged </w:t>
      </w:r>
      <w:r w:rsidR="00304566">
        <w:rPr>
          <w:rFonts w:cs="Arial"/>
          <w:szCs w:val="20"/>
        </w:rPr>
        <w:t>its</w:t>
      </w:r>
      <w:r w:rsidR="00304566" w:rsidRPr="007674D2">
        <w:rPr>
          <w:rFonts w:cs="Arial"/>
          <w:szCs w:val="20"/>
        </w:rPr>
        <w:t xml:space="preserve"> </w:t>
      </w:r>
      <w:r w:rsidR="00F815D4" w:rsidRPr="007674D2">
        <w:rPr>
          <w:rFonts w:cs="Arial"/>
          <w:szCs w:val="20"/>
        </w:rPr>
        <w:t>intention to explore the potential for introducing</w:t>
      </w:r>
      <w:r w:rsidR="00F815D4" w:rsidRPr="00AB1A2C">
        <w:rPr>
          <w:rFonts w:cs="Arial"/>
          <w:szCs w:val="20"/>
        </w:rPr>
        <w:t xml:space="preserve"> Dynamic Spectrum Access (DSA)</w:t>
      </w:r>
      <w:r>
        <w:rPr>
          <w:rFonts w:cs="Arial"/>
          <w:szCs w:val="20"/>
        </w:rPr>
        <w:t xml:space="preserve"> </w:t>
      </w:r>
      <w:r w:rsidR="004F2EB1">
        <w:rPr>
          <w:rFonts w:cs="Arial"/>
          <w:szCs w:val="20"/>
        </w:rPr>
        <w:t>arrangements.</w:t>
      </w:r>
      <w:r w:rsidR="00F815D4" w:rsidRPr="00AB1A2C">
        <w:rPr>
          <w:rFonts w:cs="Arial"/>
          <w:szCs w:val="20"/>
        </w:rPr>
        <w:t xml:space="preserve"> </w:t>
      </w:r>
    </w:p>
    <w:p w14:paraId="6984F5E9" w14:textId="2324C014" w:rsidR="00F815D4" w:rsidRDefault="00F815D4" w:rsidP="00F815D4">
      <w:pPr>
        <w:spacing w:after="120"/>
        <w:rPr>
          <w:rFonts w:cs="Arial"/>
          <w:szCs w:val="20"/>
        </w:rPr>
      </w:pPr>
      <w:r w:rsidRPr="007674D2">
        <w:rPr>
          <w:rFonts w:cs="Arial"/>
          <w:szCs w:val="20"/>
        </w:rPr>
        <w:t xml:space="preserve">In June 2019, the Post and </w:t>
      </w:r>
      <w:r>
        <w:rPr>
          <w:rFonts w:cs="Arial"/>
          <w:szCs w:val="20"/>
        </w:rPr>
        <w:t>T</w:t>
      </w:r>
      <w:r w:rsidRPr="007674D2">
        <w:rPr>
          <w:rFonts w:cs="Arial"/>
          <w:szCs w:val="20"/>
        </w:rPr>
        <w:t>elecom Authority in Sweden released a consultation of a preliminary study report</w:t>
      </w:r>
      <w:r w:rsidRPr="007674D2">
        <w:rPr>
          <w:rStyle w:val="FootnoteReference"/>
          <w:rFonts w:cs="Arial"/>
          <w:szCs w:val="20"/>
        </w:rPr>
        <w:footnoteReference w:id="23"/>
      </w:r>
      <w:r w:rsidRPr="007674D2">
        <w:rPr>
          <w:rFonts w:cs="Arial"/>
          <w:szCs w:val="20"/>
        </w:rPr>
        <w:t xml:space="preserve"> into the future use of the 3800</w:t>
      </w:r>
      <w:r>
        <w:rPr>
          <w:szCs w:val="20"/>
        </w:rPr>
        <w:t>–</w:t>
      </w:r>
      <w:r w:rsidRPr="007674D2">
        <w:rPr>
          <w:rFonts w:cs="Arial"/>
          <w:szCs w:val="20"/>
        </w:rPr>
        <w:t>4200 MHz band, noting its current use by Defence for radio links and satellite reception, and by video Program Makers and Special Events (PMSE)</w:t>
      </w:r>
      <w:r w:rsidRPr="00344FA6">
        <w:rPr>
          <w:rFonts w:cs="Arial"/>
          <w:szCs w:val="20"/>
        </w:rPr>
        <w:t>.</w:t>
      </w:r>
    </w:p>
    <w:p w14:paraId="2CDAE315" w14:textId="77777777" w:rsidR="00F815D4" w:rsidRDefault="00F815D4" w:rsidP="00F815D4">
      <w:pPr>
        <w:spacing w:after="120"/>
        <w:rPr>
          <w:b/>
          <w:i/>
        </w:rPr>
      </w:pPr>
      <w:r>
        <w:rPr>
          <w:rFonts w:cs="Arial"/>
          <w:szCs w:val="20"/>
        </w:rPr>
        <w:t>In July 2019, the Ministry of Communications in Israel released a tender</w:t>
      </w:r>
      <w:r>
        <w:rPr>
          <w:rStyle w:val="FootnoteReference"/>
          <w:rFonts w:cs="Arial"/>
          <w:szCs w:val="20"/>
        </w:rPr>
        <w:footnoteReference w:id="24"/>
      </w:r>
      <w:r>
        <w:rPr>
          <w:rFonts w:cs="Arial"/>
          <w:szCs w:val="20"/>
        </w:rPr>
        <w:t xml:space="preserve"> for 5G spectrum bands, including the 3600–3800 MHz frequency range.</w:t>
      </w:r>
    </w:p>
    <w:p w14:paraId="644664A2" w14:textId="77777777" w:rsidR="00F815D4" w:rsidRPr="00D1282E" w:rsidRDefault="00F815D4" w:rsidP="00384E3E">
      <w:pPr>
        <w:pStyle w:val="Heading3"/>
        <w:spacing w:before="240"/>
      </w:pPr>
      <w:bookmarkStart w:id="84" w:name="_Toc12016464"/>
      <w:bookmarkStart w:id="85" w:name="_Toc14762825"/>
      <w:bookmarkStart w:id="86" w:name="_Toc16064500"/>
      <w:r w:rsidRPr="00D1282E">
        <w:lastRenderedPageBreak/>
        <w:t>Middle East</w:t>
      </w:r>
      <w:bookmarkEnd w:id="84"/>
      <w:bookmarkEnd w:id="85"/>
      <w:bookmarkEnd w:id="86"/>
    </w:p>
    <w:p w14:paraId="7B8F8A0B" w14:textId="79DCF0C8" w:rsidR="00F815D4" w:rsidRPr="001C0B6E" w:rsidRDefault="00F815D4" w:rsidP="00F815D4">
      <w:r w:rsidRPr="00CC6CCA">
        <w:t>O</w:t>
      </w:r>
      <w:r w:rsidRPr="001C0B6E">
        <w:t xml:space="preserve">n 2 January 2019, Qatar’s Ministry of Communications announced that it had granted licences </w:t>
      </w:r>
      <w:r w:rsidRPr="00CC6CCA">
        <w:t>for</w:t>
      </w:r>
      <w:r w:rsidRPr="001C0B6E">
        <w:t xml:space="preserve"> 5G networks </w:t>
      </w:r>
      <w:r w:rsidRPr="00CC6CCA">
        <w:t>in the 3500</w:t>
      </w:r>
      <w:r>
        <w:rPr>
          <w:szCs w:val="20"/>
        </w:rPr>
        <w:t>–</w:t>
      </w:r>
      <w:r w:rsidRPr="00CC6CCA">
        <w:t xml:space="preserve">3800 MHz band. </w:t>
      </w:r>
      <w:r>
        <w:t>O</w:t>
      </w:r>
      <w:r w:rsidRPr="00CC6CCA">
        <w:t>perator</w:t>
      </w:r>
      <w:r>
        <w:t>s</w:t>
      </w:r>
      <w:r w:rsidRPr="00CC6CCA">
        <w:t xml:space="preserve"> w</w:t>
      </w:r>
      <w:r>
        <w:t>ere</w:t>
      </w:r>
      <w:r w:rsidRPr="00CC6CCA">
        <w:t xml:space="preserve"> granted</w:t>
      </w:r>
      <w:r w:rsidRPr="001C0B6E">
        <w:t xml:space="preserve"> 100 MHz of spectrum</w:t>
      </w:r>
      <w:r>
        <w:t xml:space="preserve"> each</w:t>
      </w:r>
      <w:r w:rsidRPr="001C0B6E">
        <w:t>.</w:t>
      </w:r>
      <w:r>
        <w:fldChar w:fldCharType="begin"/>
      </w:r>
      <w:r>
        <w:instrText xml:space="preserve"> NOTEREF _Ref10188965 \h  \* MERGEFORMAT </w:instrText>
      </w:r>
      <w:r>
        <w:fldChar w:fldCharType="separate"/>
      </w:r>
      <w:r w:rsidR="007C4626" w:rsidRPr="0059006D">
        <w:rPr>
          <w:vertAlign w:val="superscript"/>
        </w:rPr>
        <w:t>19</w:t>
      </w:r>
      <w:r>
        <w:fldChar w:fldCharType="end"/>
      </w:r>
    </w:p>
    <w:p w14:paraId="4CAFB71D" w14:textId="7E4E1038" w:rsidR="00F815D4" w:rsidRPr="00AF12E8" w:rsidRDefault="00F815D4" w:rsidP="00F815D4">
      <w:r w:rsidRPr="00AF12E8">
        <w:t>Saudi Arabia</w:t>
      </w:r>
      <w:r w:rsidRPr="00CC6CCA">
        <w:t xml:space="preserve"> </w:t>
      </w:r>
      <w:r>
        <w:t xml:space="preserve">has </w:t>
      </w:r>
      <w:r w:rsidRPr="00CC6CCA">
        <w:t>issued trial licences for 5G services in the 3600</w:t>
      </w:r>
      <w:r>
        <w:rPr>
          <w:szCs w:val="20"/>
        </w:rPr>
        <w:t>–</w:t>
      </w:r>
      <w:r w:rsidRPr="00CC6CCA">
        <w:t>3800 MHz band. These are expected to be converted to full licences in 2019. In</w:t>
      </w:r>
      <w:r w:rsidRPr="00AF12E8">
        <w:t xml:space="preserve"> March 2019 </w:t>
      </w:r>
      <w:r w:rsidRPr="00CC6CCA">
        <w:t xml:space="preserve">Saudi Arabia announced it had </w:t>
      </w:r>
      <w:r w:rsidRPr="00AF12E8">
        <w:t>allocat</w:t>
      </w:r>
      <w:r w:rsidRPr="00CC6CCA">
        <w:t>e</w:t>
      </w:r>
      <w:r w:rsidR="00304566">
        <w:t>d</w:t>
      </w:r>
      <w:r w:rsidRPr="00AF12E8">
        <w:t xml:space="preserve"> 400 MHz of spectrum in the 3.5 GHz band.</w:t>
      </w:r>
      <w:r w:rsidRPr="00AF12E8">
        <w:rPr>
          <w:rStyle w:val="FootnoteReference"/>
        </w:rPr>
        <w:t xml:space="preserve"> </w:t>
      </w:r>
      <w:r w:rsidRPr="00730E4D">
        <w:rPr>
          <w:rStyle w:val="FootnoteReference"/>
        </w:rPr>
        <w:fldChar w:fldCharType="begin"/>
      </w:r>
      <w:r w:rsidRPr="00344FA6">
        <w:rPr>
          <w:rStyle w:val="FootnoteReference"/>
        </w:rPr>
        <w:instrText xml:space="preserve"> NOTEREF _Ref10188965 \h  \* MERGEFORMAT </w:instrText>
      </w:r>
      <w:r w:rsidRPr="00730E4D">
        <w:rPr>
          <w:rStyle w:val="FootnoteReference"/>
        </w:rPr>
      </w:r>
      <w:r w:rsidRPr="00730E4D">
        <w:rPr>
          <w:rStyle w:val="FootnoteReference"/>
        </w:rPr>
        <w:fldChar w:fldCharType="separate"/>
      </w:r>
      <w:r w:rsidR="007C4626">
        <w:rPr>
          <w:rStyle w:val="FootnoteReference"/>
        </w:rPr>
        <w:t>19</w:t>
      </w:r>
      <w:r w:rsidRPr="00730E4D">
        <w:rPr>
          <w:rStyle w:val="FootnoteReference"/>
        </w:rPr>
        <w:fldChar w:fldCharType="end"/>
      </w:r>
      <w:r w:rsidRPr="007674D2">
        <w:rPr>
          <w:vertAlign w:val="superscript"/>
        </w:rPr>
        <w:t>,</w:t>
      </w:r>
      <w:r w:rsidRPr="00344FA6">
        <w:rPr>
          <w:rStyle w:val="FootnoteReference"/>
        </w:rPr>
        <w:footnoteReference w:id="25"/>
      </w:r>
      <w:r w:rsidRPr="00AF12E8">
        <w:t xml:space="preserve"> </w:t>
      </w:r>
    </w:p>
    <w:p w14:paraId="0C10BBC4" w14:textId="5D04A328" w:rsidR="00F815D4" w:rsidRPr="00AF12E8" w:rsidRDefault="00F815D4" w:rsidP="00F815D4">
      <w:r w:rsidRPr="00CC6CCA">
        <w:t>The United Arab Emirates are considering the deployment of 5G in the 3300</w:t>
      </w:r>
      <w:r>
        <w:rPr>
          <w:szCs w:val="20"/>
        </w:rPr>
        <w:t>–</w:t>
      </w:r>
      <w:r w:rsidRPr="00CC6CCA">
        <w:t>3800 MHz band. 5G FWA trial licences have been issued</w:t>
      </w:r>
      <w:r>
        <w:t xml:space="preserve"> in the band</w:t>
      </w:r>
      <w:r w:rsidRPr="00CC6CCA">
        <w:t>.</w:t>
      </w:r>
      <w:r w:rsidRPr="00AF12E8">
        <w:rPr>
          <w:rStyle w:val="FootnoteReference"/>
        </w:rPr>
        <w:fldChar w:fldCharType="begin"/>
      </w:r>
      <w:r w:rsidRPr="00AF12E8">
        <w:rPr>
          <w:rStyle w:val="FootnoteReference"/>
        </w:rPr>
        <w:instrText xml:space="preserve"> NOTEREF _Ref10188965 \h </w:instrText>
      </w:r>
      <w:r>
        <w:rPr>
          <w:rStyle w:val="FootnoteReference"/>
        </w:rPr>
        <w:instrText xml:space="preserve"> \* MERGEFORMAT </w:instrText>
      </w:r>
      <w:r w:rsidRPr="00AF12E8">
        <w:rPr>
          <w:rStyle w:val="FootnoteReference"/>
        </w:rPr>
      </w:r>
      <w:r w:rsidRPr="00AF12E8">
        <w:rPr>
          <w:rStyle w:val="FootnoteReference"/>
        </w:rPr>
        <w:fldChar w:fldCharType="separate"/>
      </w:r>
      <w:r w:rsidR="007C4626">
        <w:rPr>
          <w:rStyle w:val="FootnoteReference"/>
        </w:rPr>
        <w:t>19</w:t>
      </w:r>
      <w:r w:rsidRPr="00AF12E8">
        <w:rPr>
          <w:rStyle w:val="FootnoteReference"/>
        </w:rPr>
        <w:fldChar w:fldCharType="end"/>
      </w:r>
    </w:p>
    <w:p w14:paraId="78FFF4B7" w14:textId="77777777" w:rsidR="00F815D4" w:rsidRPr="00AF12E8" w:rsidRDefault="00F815D4" w:rsidP="00F815D4">
      <w:pPr>
        <w:pStyle w:val="Heading3"/>
        <w:spacing w:before="240"/>
      </w:pPr>
      <w:bookmarkStart w:id="87" w:name="_Toc12016465"/>
      <w:bookmarkStart w:id="88" w:name="_Toc14762826"/>
      <w:bookmarkStart w:id="89" w:name="_Toc16064501"/>
      <w:r w:rsidRPr="00AF12E8">
        <w:t>Asia</w:t>
      </w:r>
      <w:r>
        <w:t>-</w:t>
      </w:r>
      <w:r w:rsidRPr="00AF12E8">
        <w:t>Pacific</w:t>
      </w:r>
      <w:bookmarkEnd w:id="87"/>
      <w:bookmarkEnd w:id="88"/>
      <w:bookmarkEnd w:id="89"/>
    </w:p>
    <w:p w14:paraId="0E5BF842" w14:textId="01B6B82E" w:rsidR="00F815D4" w:rsidRPr="002B450F" w:rsidRDefault="00F815D4" w:rsidP="00F815D4">
      <w:r w:rsidRPr="002B450F">
        <w:t xml:space="preserve">In </w:t>
      </w:r>
      <w:r w:rsidRPr="00CC6CCA">
        <w:t xml:space="preserve">February </w:t>
      </w:r>
      <w:r w:rsidRPr="002B450F">
        <w:t>2019, New Zealand announced the 3410</w:t>
      </w:r>
      <w:r>
        <w:rPr>
          <w:szCs w:val="20"/>
        </w:rPr>
        <w:t>–</w:t>
      </w:r>
      <w:r w:rsidRPr="002B450F">
        <w:t xml:space="preserve">3800 MHz band </w:t>
      </w:r>
      <w:r w:rsidRPr="00CC6CCA">
        <w:t>would be allocated for 5G. The spectrum will be auctioned in 2020 and ready for use in November 2022.</w:t>
      </w:r>
      <w:r w:rsidRPr="00CC6CCA">
        <w:rPr>
          <w:rStyle w:val="FootnoteReference"/>
        </w:rPr>
        <w:footnoteReference w:id="26"/>
      </w:r>
      <w:r w:rsidRPr="00CC6CCA">
        <w:t xml:space="preserve"> </w:t>
      </w:r>
    </w:p>
    <w:p w14:paraId="794FC57A" w14:textId="4EFBA150" w:rsidR="00F815D4" w:rsidRPr="002B450F" w:rsidRDefault="00F815D4" w:rsidP="00F815D4">
      <w:r w:rsidRPr="002B450F">
        <w:t xml:space="preserve">In April 2019, the Ministry of Internal Affairs and Communications (Japan) </w:t>
      </w:r>
      <w:r w:rsidRPr="00CC6CCA">
        <w:t>awarded spectrum in the 3600</w:t>
      </w:r>
      <w:r>
        <w:rPr>
          <w:szCs w:val="20"/>
        </w:rPr>
        <w:t>–</w:t>
      </w:r>
      <w:r w:rsidRPr="00CC6CCA">
        <w:t>4100 MHz band for 5G.</w:t>
      </w:r>
      <w:r w:rsidRPr="002B450F">
        <w:t xml:space="preserve"> Mobile operators must </w:t>
      </w:r>
      <w:r>
        <w:t>commence</w:t>
      </w:r>
      <w:r w:rsidRPr="002B450F">
        <w:t xml:space="preserve"> services within two years and must each meet defined coverage targets</w:t>
      </w:r>
      <w:r>
        <w:t>.</w:t>
      </w:r>
      <w:r>
        <w:fldChar w:fldCharType="begin"/>
      </w:r>
      <w:r>
        <w:rPr>
          <w:rStyle w:val="FootnoteReference"/>
          <w:rFonts w:cs="Arial"/>
        </w:rPr>
        <w:instrText xml:space="preserve"> NOTEREF _Ref10188965 \h </w:instrText>
      </w:r>
      <w:r>
        <w:fldChar w:fldCharType="separate"/>
      </w:r>
      <w:r w:rsidR="007C4626">
        <w:rPr>
          <w:rStyle w:val="FootnoteReference"/>
          <w:rFonts w:cs="Arial"/>
        </w:rPr>
        <w:t>19</w:t>
      </w:r>
      <w:r>
        <w:fldChar w:fldCharType="end"/>
      </w:r>
      <w:r w:rsidRPr="002B450F">
        <w:t xml:space="preserve"> </w:t>
      </w:r>
    </w:p>
    <w:p w14:paraId="0457E0CB" w14:textId="77777777" w:rsidR="00F815D4" w:rsidRPr="00DB1808" w:rsidRDefault="00F815D4" w:rsidP="00F815D4">
      <w:pPr>
        <w:pStyle w:val="Heading3"/>
        <w:spacing w:before="240"/>
      </w:pPr>
      <w:bookmarkStart w:id="90" w:name="_Toc12016466"/>
      <w:bookmarkStart w:id="91" w:name="_Toc14762827"/>
      <w:bookmarkStart w:id="92" w:name="_Toc16064502"/>
      <w:r w:rsidRPr="00DB1808">
        <w:t>Americas</w:t>
      </w:r>
      <w:bookmarkEnd w:id="90"/>
      <w:bookmarkEnd w:id="91"/>
      <w:bookmarkEnd w:id="92"/>
    </w:p>
    <w:p w14:paraId="3A578ECF" w14:textId="14A218B4" w:rsidR="00F815D4" w:rsidRPr="00631262" w:rsidRDefault="00F815D4" w:rsidP="00F815D4">
      <w:pPr>
        <w:rPr>
          <w:szCs w:val="20"/>
        </w:rPr>
      </w:pPr>
      <w:r w:rsidRPr="00CC6CCA">
        <w:t xml:space="preserve">In 2018, </w:t>
      </w:r>
      <w:r w:rsidRPr="00CC6CCA">
        <w:rPr>
          <w:szCs w:val="20"/>
        </w:rPr>
        <w:t>Innovation, Science and Economic Development Canada (ISED)</w:t>
      </w:r>
      <w:r w:rsidRPr="00631262">
        <w:rPr>
          <w:szCs w:val="20"/>
        </w:rPr>
        <w:t xml:space="preserve"> </w:t>
      </w:r>
      <w:r w:rsidRPr="00631262">
        <w:rPr>
          <w:rFonts w:cs="Open Sans"/>
          <w:color w:val="000000"/>
          <w:szCs w:val="20"/>
        </w:rPr>
        <w:t xml:space="preserve">launched a </w:t>
      </w:r>
      <w:r w:rsidRPr="00CC6CCA">
        <w:rPr>
          <w:rFonts w:cs="Open Sans"/>
          <w:color w:val="000000"/>
          <w:szCs w:val="20"/>
        </w:rPr>
        <w:t>preliminary</w:t>
      </w:r>
      <w:r w:rsidRPr="00631262">
        <w:rPr>
          <w:rFonts w:cs="Open Sans"/>
          <w:color w:val="000000"/>
          <w:szCs w:val="20"/>
        </w:rPr>
        <w:t xml:space="preserve"> consultation on </w:t>
      </w:r>
      <w:r w:rsidRPr="00CC6CCA">
        <w:rPr>
          <w:rFonts w:cs="Open Sans"/>
          <w:color w:val="000000"/>
          <w:szCs w:val="20"/>
        </w:rPr>
        <w:t xml:space="preserve">changes to the </w:t>
      </w:r>
      <w:r>
        <w:rPr>
          <w:rFonts w:cs="Open Sans"/>
          <w:color w:val="000000"/>
          <w:szCs w:val="20"/>
        </w:rPr>
        <w:t>3700–4200</w:t>
      </w:r>
      <w:r w:rsidRPr="00CC6CCA">
        <w:rPr>
          <w:rFonts w:cs="Open Sans"/>
          <w:color w:val="000000"/>
          <w:szCs w:val="20"/>
        </w:rPr>
        <w:t xml:space="preserve"> MHz band to accommodate wireless broadband use.</w:t>
      </w:r>
      <w:r w:rsidRPr="00631262">
        <w:rPr>
          <w:rStyle w:val="FootnoteReference"/>
          <w:rFonts w:cs="Open Sans"/>
          <w:color w:val="000000"/>
          <w:szCs w:val="20"/>
        </w:rPr>
        <w:footnoteReference w:id="27"/>
      </w:r>
      <w:r w:rsidRPr="00631262">
        <w:rPr>
          <w:rFonts w:cs="Open Sans"/>
          <w:color w:val="000000"/>
          <w:szCs w:val="20"/>
        </w:rPr>
        <w:t xml:space="preserve"> </w:t>
      </w:r>
      <w:r>
        <w:rPr>
          <w:rFonts w:cs="Open Sans"/>
          <w:color w:val="000000"/>
          <w:szCs w:val="20"/>
        </w:rPr>
        <w:t>The outcomes of the consultation were announced in June 2019. Submissions indicated that equipment for the 3300</w:t>
      </w:r>
      <w:r>
        <w:rPr>
          <w:szCs w:val="20"/>
        </w:rPr>
        <w:t>–</w:t>
      </w:r>
      <w:r>
        <w:rPr>
          <w:rFonts w:cs="Open Sans"/>
          <w:color w:val="000000"/>
          <w:szCs w:val="20"/>
        </w:rPr>
        <w:t>3800 MHz band is expected to be available in 2019, while equipment for the 3300</w:t>
      </w:r>
      <w:r>
        <w:rPr>
          <w:szCs w:val="20"/>
        </w:rPr>
        <w:t>–</w:t>
      </w:r>
      <w:r>
        <w:rPr>
          <w:rFonts w:cs="Open Sans"/>
          <w:color w:val="000000"/>
          <w:szCs w:val="20"/>
        </w:rPr>
        <w:t>4200 MHz band would likely be available in 2020. ISED also announced its decision to undertake further study and review of the 3700–4200 MHz band through a future consultation. This will consider the potential for implementing a spectrum access system or similar database approach in to order to optimise use.</w:t>
      </w:r>
      <w:r>
        <w:rPr>
          <w:rStyle w:val="FootnoteReference"/>
          <w:rFonts w:cs="Open Sans"/>
          <w:color w:val="000000"/>
          <w:szCs w:val="20"/>
        </w:rPr>
        <w:footnoteReference w:id="28"/>
      </w:r>
      <w:r>
        <w:rPr>
          <w:rFonts w:cs="Open Sans"/>
          <w:color w:val="000000"/>
          <w:szCs w:val="20"/>
        </w:rPr>
        <w:t xml:space="preserve"> </w:t>
      </w:r>
      <w:r w:rsidRPr="00AE226E">
        <w:rPr>
          <w:rFonts w:cs="Open Sans"/>
          <w:color w:val="000000"/>
          <w:szCs w:val="20"/>
        </w:rPr>
        <w:t>Such a database would have the capacity to analyse interference situations and instruct base stations to reduce power or move to a different channel in order to minimi</w:t>
      </w:r>
      <w:r>
        <w:rPr>
          <w:rFonts w:cs="Open Sans"/>
          <w:color w:val="000000"/>
          <w:szCs w:val="20"/>
        </w:rPr>
        <w:t>s</w:t>
      </w:r>
      <w:r w:rsidRPr="00AE226E">
        <w:rPr>
          <w:rFonts w:cs="Open Sans"/>
          <w:color w:val="000000"/>
          <w:szCs w:val="20"/>
        </w:rPr>
        <w:t>e interference.</w:t>
      </w:r>
      <w:r>
        <w:rPr>
          <w:rFonts w:cs="Open Sans"/>
          <w:color w:val="000000"/>
          <w:szCs w:val="20"/>
        </w:rPr>
        <w:t xml:space="preserve"> </w:t>
      </w:r>
    </w:p>
    <w:p w14:paraId="4C0E647B" w14:textId="77777777" w:rsidR="00F815D4" w:rsidRDefault="00F815D4" w:rsidP="00585A42">
      <w:pPr>
        <w:spacing w:after="80"/>
      </w:pPr>
      <w:r w:rsidRPr="00CC6CCA">
        <w:t xml:space="preserve">In 2018 the Federal Communications Commission (United States) consulted on </w:t>
      </w:r>
      <w:r w:rsidRPr="00B3703F">
        <w:t xml:space="preserve">transitioning all </w:t>
      </w:r>
      <w:r>
        <w:t xml:space="preserve">or part of </w:t>
      </w:r>
      <w:r w:rsidRPr="00B3703F">
        <w:t xml:space="preserve">the </w:t>
      </w:r>
      <w:r>
        <w:t>3700–4200</w:t>
      </w:r>
      <w:r w:rsidRPr="00B3703F">
        <w:t xml:space="preserve"> MHz band for terrestrial wireless broadband use. This included exploring </w:t>
      </w:r>
      <w:r>
        <w:t xml:space="preserve">sharing options and </w:t>
      </w:r>
      <w:r w:rsidRPr="00B3703F">
        <w:t>market-based mechanisms</w:t>
      </w:r>
      <w:r>
        <w:t xml:space="preserve"> to facilitate such use</w:t>
      </w:r>
      <w:r w:rsidRPr="00B3703F">
        <w:t>.</w:t>
      </w:r>
      <w:r>
        <w:t xml:space="preserve"> Regarding incumbent services:</w:t>
      </w:r>
    </w:p>
    <w:p w14:paraId="5F318EE2" w14:textId="68E346BD" w:rsidR="00F815D4" w:rsidRPr="000B3A7B" w:rsidRDefault="00F815D4" w:rsidP="00F815D4">
      <w:pPr>
        <w:pStyle w:val="ListBullet"/>
      </w:pPr>
      <w:r>
        <w:t>The FCC proposed to protect FSS earth stations that were licensed before 17 October 2018 and limit new licences being issued beyond this date. Unlicensed FSS earth stations could continue operating in the band without protection. To help evaluate the potential for flexible use of the 3700–4200 MHz band the FCC have also requested further information on satellite usage of the band</w:t>
      </w:r>
      <w:r w:rsidR="00304566">
        <w:t>.</w:t>
      </w:r>
      <w:r w:rsidRPr="007674D2">
        <w:rPr>
          <w:vertAlign w:val="superscript"/>
        </w:rPr>
        <w:footnoteReference w:id="29"/>
      </w:r>
    </w:p>
    <w:p w14:paraId="0B4369E4" w14:textId="721D9FAB" w:rsidR="00F815D4" w:rsidRPr="00B3703F" w:rsidRDefault="00F815D4" w:rsidP="00F815D4">
      <w:pPr>
        <w:pStyle w:val="ListBullet"/>
      </w:pPr>
      <w:r>
        <w:lastRenderedPageBreak/>
        <w:t xml:space="preserve">On 3 June 2019 the FCC invited additional comments on </w:t>
      </w:r>
      <w:r w:rsidRPr="00B82BBB">
        <w:t xml:space="preserve">proposals for enabling additional terrestrial use of the </w:t>
      </w:r>
      <w:r>
        <w:t>3700–4200</w:t>
      </w:r>
      <w:r w:rsidRPr="00B82BBB">
        <w:t xml:space="preserve"> </w:t>
      </w:r>
      <w:r>
        <w:t>M</w:t>
      </w:r>
      <w:r w:rsidRPr="00B82BBB">
        <w:t>Hz band (C-band)</w:t>
      </w:r>
      <w:r w:rsidR="00304566">
        <w:t>.</w:t>
      </w:r>
      <w:r>
        <w:rPr>
          <w:rStyle w:val="FootnoteReference"/>
        </w:rPr>
        <w:footnoteReference w:id="30"/>
      </w:r>
    </w:p>
    <w:p w14:paraId="344217FC" w14:textId="77777777" w:rsidR="00F815D4" w:rsidRDefault="00F815D4" w:rsidP="00F815D4">
      <w:pPr>
        <w:pStyle w:val="ListBullet"/>
      </w:pPr>
      <w:r>
        <w:t>Due to the decline in fixed link use of the band over the past 20 years as well as the availability of other spectrum options, the FCC proposed to sunset fixed link arrangements in the 3700–4200 MHz band. The FCC sought further comment on whether existing links should be grandfathered or transitioned out of the band over a defined period.</w:t>
      </w:r>
    </w:p>
    <w:p w14:paraId="60D6C603" w14:textId="5B5908A9" w:rsidR="00847342" w:rsidRDefault="00F815D4" w:rsidP="00F815D4">
      <w:pPr>
        <w:pStyle w:val="ListBullet"/>
      </w:pPr>
      <w:r>
        <w:t>Satellite Industry group the C-band Alliance proposed the 3700–3900 MHz band to be used for 5G services and to be compensated for clearing that spectrum</w:t>
      </w:r>
      <w:r w:rsidR="00E62BAD">
        <w:t>.</w:t>
      </w:r>
      <w:r>
        <w:rPr>
          <w:rStyle w:val="FootnoteReference"/>
        </w:rPr>
        <w:footnoteReference w:id="31"/>
      </w:r>
    </w:p>
    <w:p w14:paraId="669EF550" w14:textId="3DA1CDC8" w:rsidR="00F815D4" w:rsidRDefault="00847342" w:rsidP="00F815D4">
      <w:pPr>
        <w:pStyle w:val="ListBullet"/>
      </w:pPr>
      <w:r>
        <w:t>Communications industry group “ACA Connects” proposed 370 MHz of the 3700–4200 MHz band to be used for 5G services including compensation for incumbents and conversion of specific satellite services to fibre.</w:t>
      </w:r>
      <w:r>
        <w:rPr>
          <w:rStyle w:val="FootnoteReference"/>
        </w:rPr>
        <w:footnoteReference w:id="32"/>
      </w:r>
      <w:r>
        <w:t xml:space="preserve"> </w:t>
      </w:r>
      <w:r w:rsidR="00F815D4">
        <w:t xml:space="preserve"> </w:t>
      </w:r>
    </w:p>
    <w:p w14:paraId="06734EB8" w14:textId="7583493F" w:rsidR="006969D8" w:rsidRPr="00DB1808" w:rsidRDefault="006969D8" w:rsidP="006969D8">
      <w:pPr>
        <w:pStyle w:val="Heading3"/>
        <w:spacing w:before="240"/>
      </w:pPr>
      <w:bookmarkStart w:id="93" w:name="_Toc16064503"/>
      <w:r>
        <w:t xml:space="preserve">International </w:t>
      </w:r>
      <w:r w:rsidR="00684E47">
        <w:t>Context</w:t>
      </w:r>
      <w:bookmarkEnd w:id="93"/>
    </w:p>
    <w:p w14:paraId="362EC91C" w14:textId="621544F8" w:rsidR="006969D8" w:rsidRDefault="003F4034" w:rsidP="006969D8">
      <w:r>
        <w:t xml:space="preserve">It is important </w:t>
      </w:r>
      <w:r w:rsidR="0087637D">
        <w:t xml:space="preserve">to keep in mind the broader national context </w:t>
      </w:r>
      <w:r>
        <w:t>when considering information on international developments</w:t>
      </w:r>
      <w:r w:rsidR="0087637D">
        <w:t xml:space="preserve">. </w:t>
      </w:r>
      <w:r w:rsidR="006969D8">
        <w:t xml:space="preserve">For </w:t>
      </w:r>
      <w:r>
        <w:t xml:space="preserve">example, for some of </w:t>
      </w:r>
      <w:r w:rsidR="006969D8">
        <w:t xml:space="preserve">the countries examined the announced or expected allocations are </w:t>
      </w:r>
      <w:r w:rsidR="0087637D">
        <w:t xml:space="preserve">for </w:t>
      </w:r>
      <w:r w:rsidR="006969D8">
        <w:t xml:space="preserve">their first </w:t>
      </w:r>
      <w:r w:rsidR="00684E47">
        <w:t xml:space="preserve">mid-band </w:t>
      </w:r>
      <w:r w:rsidR="00E62BAD">
        <w:t>‘</w:t>
      </w:r>
      <w:r w:rsidR="006969D8">
        <w:t>5G</w:t>
      </w:r>
      <w:r w:rsidR="00E62BAD">
        <w:t>’</w:t>
      </w:r>
      <w:r w:rsidR="006969D8">
        <w:t xml:space="preserve"> allocations </w:t>
      </w:r>
      <w:r w:rsidR="006835DA">
        <w:t>in</w:t>
      </w:r>
      <w:r w:rsidR="006969D8">
        <w:t xml:space="preserve"> the 3</w:t>
      </w:r>
      <w:r w:rsidR="00384E3E">
        <w:t>.3</w:t>
      </w:r>
      <w:r w:rsidR="006969D8">
        <w:t>–4</w:t>
      </w:r>
      <w:r w:rsidR="00384E3E">
        <w:t>.2</w:t>
      </w:r>
      <w:r w:rsidR="006969D8">
        <w:t xml:space="preserve"> GHz </w:t>
      </w:r>
      <w:r w:rsidR="002F3EE7">
        <w:t xml:space="preserve">frequency </w:t>
      </w:r>
      <w:r w:rsidR="006969D8">
        <w:t xml:space="preserve">range. </w:t>
      </w:r>
      <w:r w:rsidR="0087637D">
        <w:t>In contrast</w:t>
      </w:r>
      <w:r w:rsidR="00E62BAD">
        <w:t>,</w:t>
      </w:r>
      <w:r w:rsidR="0087637D">
        <w:t xml:space="preserve"> s</w:t>
      </w:r>
      <w:r w:rsidR="006969D8">
        <w:t xml:space="preserve">ome countries are </w:t>
      </w:r>
      <w:r w:rsidR="00384E3E">
        <w:t xml:space="preserve">investigating </w:t>
      </w:r>
      <w:r w:rsidR="0087637D">
        <w:t>additional allocations for 5G in this range and/or have made available other bands for ‘mid</w:t>
      </w:r>
      <w:r w:rsidR="00E62BAD">
        <w:t>-</w:t>
      </w:r>
      <w:r w:rsidR="0087637D">
        <w:t>band’ 5G</w:t>
      </w:r>
      <w:r w:rsidR="00E62BAD">
        <w:t>,</w:t>
      </w:r>
      <w:r w:rsidR="0087637D">
        <w:t xml:space="preserve"> for example</w:t>
      </w:r>
      <w:r w:rsidR="00E62BAD">
        <w:t>,</w:t>
      </w:r>
      <w:r w:rsidR="00384E3E">
        <w:t xml:space="preserve"> </w:t>
      </w:r>
      <w:r w:rsidR="0087637D">
        <w:t xml:space="preserve">in the </w:t>
      </w:r>
      <w:r w:rsidR="00384E3E">
        <w:t>4.4</w:t>
      </w:r>
      <w:r w:rsidR="00E62BAD">
        <w:t>–</w:t>
      </w:r>
      <w:r w:rsidR="00384E3E">
        <w:t xml:space="preserve">5 GHz </w:t>
      </w:r>
      <w:r w:rsidR="0087637D">
        <w:t>range</w:t>
      </w:r>
      <w:r w:rsidR="006969D8">
        <w:t>.</w:t>
      </w:r>
      <w:r w:rsidR="00684E47">
        <w:t xml:space="preserve"> Similarly, some countries have focussed their initial 5G releases in the higher mmWave bands. </w:t>
      </w:r>
    </w:p>
    <w:p w14:paraId="31A39E59" w14:textId="3A4F09D7" w:rsidR="006969D8" w:rsidRDefault="00384E3E" w:rsidP="006969D8">
      <w:r>
        <w:t>In Australia, t</w:t>
      </w:r>
      <w:r w:rsidR="006969D8">
        <w:t xml:space="preserve">he ACMA has already allocated the 3400–3700 MHz </w:t>
      </w:r>
      <w:r w:rsidR="003F4034">
        <w:t>for WBB</w:t>
      </w:r>
      <w:r>
        <w:t xml:space="preserve"> use. </w:t>
      </w:r>
      <w:r w:rsidR="0087637D">
        <w:t xml:space="preserve">This is in addition </w:t>
      </w:r>
      <w:r w:rsidR="00684E47">
        <w:t xml:space="preserve">to spectrum in many other bands such as </w:t>
      </w:r>
      <w:r w:rsidR="006969D8">
        <w:t>700 MHz, 850 MHz, 900 MHz, 2</w:t>
      </w:r>
      <w:r w:rsidR="000606E4">
        <w:t>.</w:t>
      </w:r>
      <w:r w:rsidR="006969D8">
        <w:t xml:space="preserve">1 </w:t>
      </w:r>
      <w:r w:rsidR="000606E4">
        <w:t>G</w:t>
      </w:r>
      <w:r w:rsidR="006969D8">
        <w:t>Hz, 2</w:t>
      </w:r>
      <w:r w:rsidR="006835DA">
        <w:t>.3 GHz and 2.5 GHz bands.</w:t>
      </w:r>
      <w:r w:rsidR="000606E4">
        <w:t xml:space="preserve"> Due to the </w:t>
      </w:r>
      <w:r w:rsidR="00FD1316">
        <w:t xml:space="preserve">technologically </w:t>
      </w:r>
      <w:r w:rsidR="000606E4">
        <w:t>flexible nature of licences issued, provided licensees comply with the relevant licence conditions, the licences issued in these bands can also be used to deploy 5G services. While this would be dependent on equipment availability, it is purely a commercial decision for licensees to make.</w:t>
      </w:r>
    </w:p>
    <w:p w14:paraId="423EC08C" w14:textId="2C0E2989" w:rsidR="00F815D4" w:rsidRPr="007C4626" w:rsidRDefault="00F815D4">
      <w:pPr>
        <w:pStyle w:val="questionstyle"/>
      </w:pPr>
      <w:bookmarkStart w:id="94" w:name="_Toc15973839"/>
      <w:r w:rsidRPr="007C4626">
        <w:t>Are there any other international developments in the 3700</w:t>
      </w:r>
      <w:r w:rsidR="007C4626" w:rsidRPr="0059006D">
        <w:rPr>
          <w:highlight w:val="lightGray"/>
        </w:rPr>
        <w:t>–</w:t>
      </w:r>
      <w:r w:rsidRPr="007C4626">
        <w:t>4200 MHz band that the ACMA should be aware of?</w:t>
      </w:r>
      <w:bookmarkEnd w:id="94"/>
    </w:p>
    <w:p w14:paraId="38BD4EF8" w14:textId="518B488C" w:rsidR="00F815D4" w:rsidRDefault="00F815D4" w:rsidP="00F815D4">
      <w:pPr>
        <w:pStyle w:val="ListNumber"/>
        <w:numPr>
          <w:ilvl w:val="0"/>
          <w:numId w:val="0"/>
        </w:numPr>
      </w:pPr>
    </w:p>
    <w:p w14:paraId="676B157F" w14:textId="0D71DF03" w:rsidR="00F815D4" w:rsidRDefault="00F815D4" w:rsidP="00F815D4">
      <w:pPr>
        <w:pStyle w:val="Heading1"/>
      </w:pPr>
      <w:bookmarkStart w:id="95" w:name="_Toc16064504"/>
      <w:r>
        <w:lastRenderedPageBreak/>
        <w:t>Domestic considerations</w:t>
      </w:r>
      <w:bookmarkEnd w:id="95"/>
    </w:p>
    <w:p w14:paraId="07AAA77A" w14:textId="205F214C" w:rsidR="00F815D4" w:rsidRDefault="00F815D4" w:rsidP="00585A42">
      <w:pPr>
        <w:spacing w:after="80"/>
        <w:rPr>
          <w:rFonts w:cs="Arial"/>
        </w:rPr>
      </w:pPr>
      <w:bookmarkStart w:id="96" w:name="_Hlk13643382"/>
      <w:r>
        <w:rPr>
          <w:rFonts w:cs="Arial"/>
        </w:rPr>
        <w:t xml:space="preserve">There is interest in accessing the 3700–4200 MHz band by </w:t>
      </w:r>
      <w:r w:rsidR="00F52990">
        <w:rPr>
          <w:rFonts w:cs="Arial"/>
        </w:rPr>
        <w:t>several</w:t>
      </w:r>
      <w:r>
        <w:rPr>
          <w:rFonts w:cs="Arial"/>
        </w:rPr>
        <w:t xml:space="preserve"> different, and potentially competing, uses. These interests include:</w:t>
      </w:r>
    </w:p>
    <w:p w14:paraId="38E7950A" w14:textId="77777777" w:rsidR="00F815D4" w:rsidRPr="00B22DC9" w:rsidRDefault="00F815D4" w:rsidP="00F815D4">
      <w:pPr>
        <w:pStyle w:val="ListBullet"/>
        <w:rPr>
          <w:rFonts w:cs="Arial"/>
        </w:rPr>
      </w:pPr>
      <w:r>
        <w:rPr>
          <w:rFonts w:cs="Arial"/>
        </w:rPr>
        <w:t>incumbent services in the band (</w:t>
      </w:r>
      <w:r>
        <w:t xml:space="preserve">point-to-point links, FSS earth stations, radiodetermination and LIPD devices) </w:t>
      </w:r>
    </w:p>
    <w:p w14:paraId="274D706F" w14:textId="3FCC6E45" w:rsidR="00F815D4" w:rsidRDefault="00F815D4" w:rsidP="00F815D4">
      <w:pPr>
        <w:pStyle w:val="ListBulletLast"/>
      </w:pPr>
      <w:r>
        <w:t xml:space="preserve">prospective new WBB services. </w:t>
      </w:r>
    </w:p>
    <w:p w14:paraId="60DF16F5" w14:textId="77777777" w:rsidR="00F815D4" w:rsidRDefault="00F815D4" w:rsidP="00F815D4">
      <w:pPr>
        <w:rPr>
          <w:rFonts w:cs="Arial"/>
        </w:rPr>
      </w:pPr>
      <w:r>
        <w:t>This section provides an overview of the interest each of these services has in the 3700–4200 MHz band.</w:t>
      </w:r>
    </w:p>
    <w:p w14:paraId="69809D87" w14:textId="1F5D0D47" w:rsidR="00F815D4" w:rsidRDefault="00F815D4" w:rsidP="00F815D4">
      <w:pPr>
        <w:rPr>
          <w:rFonts w:cs="Arial"/>
        </w:rPr>
      </w:pPr>
      <w:r>
        <w:rPr>
          <w:rFonts w:cs="Arial"/>
        </w:rPr>
        <w:t xml:space="preserve">The ACMA is seeking feedback from stakeholders to better understand the future needs of </w:t>
      </w:r>
      <w:r w:rsidR="00C14CD7">
        <w:rPr>
          <w:rFonts w:cs="Arial"/>
        </w:rPr>
        <w:t xml:space="preserve">incumbent </w:t>
      </w:r>
      <w:r>
        <w:rPr>
          <w:rFonts w:cs="Arial"/>
        </w:rPr>
        <w:t>services in the 3700–4200 MHz band</w:t>
      </w:r>
      <w:r w:rsidR="00C14CD7">
        <w:rPr>
          <w:rFonts w:cs="Arial"/>
        </w:rPr>
        <w:t xml:space="preserve">, potential </w:t>
      </w:r>
      <w:r>
        <w:rPr>
          <w:rFonts w:cs="Arial"/>
        </w:rPr>
        <w:t>viable alternative options for incumbent services</w:t>
      </w:r>
      <w:r w:rsidR="00C14CD7">
        <w:rPr>
          <w:rFonts w:cs="Arial"/>
        </w:rPr>
        <w:t xml:space="preserve"> and interest in using the 3700–4200 MHz for new services</w:t>
      </w:r>
      <w:r>
        <w:rPr>
          <w:rFonts w:cs="Arial"/>
        </w:rPr>
        <w:t>. This information will help inform the ACMA’s thinking on whether arrangements in the band should be reviewed and, if so, what the major factors to consider are.</w:t>
      </w:r>
    </w:p>
    <w:p w14:paraId="64854044" w14:textId="34FC04DE" w:rsidR="00F815D4" w:rsidRDefault="00F815D4" w:rsidP="00F815D4">
      <w:pPr>
        <w:pStyle w:val="Heading2"/>
      </w:pPr>
      <w:bookmarkStart w:id="97" w:name="_Toc16064505"/>
      <w:bookmarkEnd w:id="96"/>
      <w:r>
        <w:t>Fixed service (point-to-point links)</w:t>
      </w:r>
      <w:bookmarkEnd w:id="97"/>
    </w:p>
    <w:p w14:paraId="4719D401" w14:textId="220FDDB4" w:rsidR="00F815D4" w:rsidRDefault="00F815D4" w:rsidP="00F815D4">
      <w:r>
        <w:t xml:space="preserve">Point-to-point links are currently licensed for operation across the 3700–4200 MHz band areas Australia-wide. However, historical RRL data shows that the number of licences has been in decline for the last 20 years (refer to </w:t>
      </w:r>
      <w:r w:rsidR="007D3B91">
        <w:t xml:space="preserve">Table 3 </w:t>
      </w:r>
      <w:r>
        <w:t>in th</w:t>
      </w:r>
      <w:r w:rsidRPr="00C44C5A">
        <w:t xml:space="preserve">e </w:t>
      </w:r>
      <w:r w:rsidR="00246554">
        <w:rPr>
          <w:i/>
          <w:iCs/>
        </w:rPr>
        <w:t xml:space="preserve">Current use and arrangements </w:t>
      </w:r>
      <w:r w:rsidR="00246554">
        <w:t>section)</w:t>
      </w:r>
      <w:r>
        <w:t xml:space="preserve">. The ACMA is interested in understanding the future requirements of point-to-point links in the 3700–4200 MHz band. </w:t>
      </w:r>
    </w:p>
    <w:p w14:paraId="44E70ED8" w14:textId="77777777" w:rsidR="00F815D4" w:rsidRDefault="00F815D4" w:rsidP="00585A42">
      <w:pPr>
        <w:spacing w:after="80"/>
      </w:pPr>
      <w:r>
        <w:t>The ACMA has identified the following alternative planning options for point-to-point links in the 3700–4200 MHz band that could be investigated:</w:t>
      </w:r>
    </w:p>
    <w:p w14:paraId="6F313E32" w14:textId="77777777" w:rsidR="00F815D4" w:rsidRPr="009A0990" w:rsidRDefault="00F815D4" w:rsidP="00F815D4">
      <w:pPr>
        <w:pStyle w:val="ListBullet"/>
      </w:pPr>
      <w:r w:rsidRPr="009A0990">
        <w:t xml:space="preserve">Develop arrangements to support access to the entire 3700–4200 MHz band for both point-to-point links and other services. This could be on a first-in-time coordinated basis. </w:t>
      </w:r>
    </w:p>
    <w:p w14:paraId="4F2BFA2D" w14:textId="77777777" w:rsidR="00F815D4" w:rsidRPr="009A0990" w:rsidRDefault="00F815D4" w:rsidP="00F815D4">
      <w:pPr>
        <w:pStyle w:val="ListBullet"/>
      </w:pPr>
      <w:r w:rsidRPr="009A0990">
        <w:t xml:space="preserve">Restack some or all point-to-point licences into one or more segments of the 3700–4200 MHz band. The other part or parts of the band could be considered for use by other services. </w:t>
      </w:r>
    </w:p>
    <w:p w14:paraId="65296D7B" w14:textId="3522CFD8" w:rsidR="00F815D4" w:rsidRPr="00FA3B39" w:rsidRDefault="00F815D4" w:rsidP="00F815D4">
      <w:pPr>
        <w:pStyle w:val="ListBulletLast"/>
      </w:pPr>
      <w:r w:rsidRPr="00FA3B39">
        <w:t>Relocate some or all point-to-point licences from the band. This could be implemented either by moving to a different band (</w:t>
      </w:r>
      <w:hyperlink r:id="rId45" w:history="1">
        <w:r w:rsidRPr="009A0990">
          <w:t>RALI FX3</w:t>
        </w:r>
      </w:hyperlink>
      <w:r w:rsidRPr="009A0990">
        <w:t xml:space="preserve"> defines arrangements for point-to-point links in various bands above 6 GHz) or adopting alternative delivery methods (e.g. fibre). </w:t>
      </w:r>
    </w:p>
    <w:p w14:paraId="0159FF6C" w14:textId="77777777" w:rsidR="00F815D4" w:rsidRDefault="00F815D4" w:rsidP="00F815D4">
      <w:r>
        <w:t xml:space="preserve">Various combinations of the above planning options could also be investigated based on different frequency and geographical considerations. </w:t>
      </w:r>
    </w:p>
    <w:p w14:paraId="74A88FBF" w14:textId="77777777" w:rsidR="00F815D4" w:rsidRDefault="00F815D4" w:rsidP="00F815D4">
      <w:r>
        <w:t xml:space="preserve">It is noted that some point-to-point licences in the 3700–4200 MHz band provide service over water paths, use all available channels on a path and/or </w:t>
      </w:r>
      <w:proofErr w:type="gramStart"/>
      <w:r>
        <w:t>are located in</w:t>
      </w:r>
      <w:proofErr w:type="gramEnd"/>
      <w:r>
        <w:t xml:space="preserve"> relatively remote areas. Due to these factors, the ACMA acknowledges there may be some links that cannot practically be restacked or re-located to higher frequencies and other options such as fibre may not be available or would be too costly to reasonably implement. The ACMA seeks feedback from licensees to help identify licensed services potentially affected by these issues. </w:t>
      </w:r>
    </w:p>
    <w:p w14:paraId="4353939D" w14:textId="5C84B3C4" w:rsidR="00F815D4" w:rsidRDefault="00F815D4" w:rsidP="00F815D4">
      <w:pPr>
        <w:pStyle w:val="Heading2"/>
      </w:pPr>
      <w:bookmarkStart w:id="98" w:name="_Toc16064506"/>
      <w:r>
        <w:lastRenderedPageBreak/>
        <w:t>FSS</w:t>
      </w:r>
      <w:bookmarkEnd w:id="98"/>
    </w:p>
    <w:p w14:paraId="2F30505F" w14:textId="2C5ECD00" w:rsidR="00F815D4" w:rsidRDefault="007D3B91" w:rsidP="00585A42">
      <w:pPr>
        <w:spacing w:after="80"/>
      </w:pPr>
      <w:r>
        <w:t xml:space="preserve">Individual </w:t>
      </w:r>
      <w:r w:rsidR="00F815D4">
        <w:t xml:space="preserve">FSS earth station receivers are currently apparatus licensed for operation </w:t>
      </w:r>
      <w:r>
        <w:t xml:space="preserve">on across a specified frequency range </w:t>
      </w:r>
      <w:r w:rsidR="00F815D4">
        <w:t>within the 3700–4200 MHz band at a specific location within Australia. The ACMA understands that existing uses include:</w:t>
      </w:r>
    </w:p>
    <w:p w14:paraId="6B88121E" w14:textId="77777777" w:rsidR="00F815D4" w:rsidRPr="009A0990" w:rsidRDefault="00F815D4" w:rsidP="00F815D4">
      <w:pPr>
        <w:pStyle w:val="ListBullet"/>
      </w:pPr>
      <w:r w:rsidRPr="009A0990">
        <w:t>receive only systems for the reception of broadcasting and related program interchange</w:t>
      </w:r>
    </w:p>
    <w:p w14:paraId="5E2BFF49" w14:textId="77777777" w:rsidR="00F815D4" w:rsidRPr="009A0990" w:rsidRDefault="00F815D4" w:rsidP="00F815D4">
      <w:pPr>
        <w:pStyle w:val="ListBullet"/>
      </w:pPr>
      <w:r w:rsidRPr="009A0990">
        <w:t>satellite gateways or teleports involving the reception of large amounts of data traffic (with corresponding uplink transmissions in the 5925–6425 MHz band)</w:t>
      </w:r>
    </w:p>
    <w:p w14:paraId="58ED6D0F" w14:textId="77777777" w:rsidR="00F815D4" w:rsidRPr="009A0990" w:rsidRDefault="00F815D4" w:rsidP="00F815D4">
      <w:pPr>
        <w:pStyle w:val="ListBullet"/>
      </w:pPr>
      <w:r w:rsidRPr="009A0990">
        <w:t>standalone earth station receivers (with corresponding uplink transmissions in the 5925–6425 MHz band) providing data backhaul for businesses where fibre is not a practical option</w:t>
      </w:r>
    </w:p>
    <w:p w14:paraId="277DB49D" w14:textId="77777777" w:rsidR="00F815D4" w:rsidRPr="00F207DF" w:rsidRDefault="00F815D4" w:rsidP="00F815D4">
      <w:pPr>
        <w:pStyle w:val="ListBulletLast"/>
      </w:pPr>
      <w:r w:rsidRPr="00FA3B39">
        <w:t>transfer orbit satellite services (TOSS), in-orbit testing as well as telemetry, tracking and control (TT&amp;C) information for</w:t>
      </w:r>
      <w:r w:rsidRPr="00F207DF">
        <w:t xml:space="preserve"> satellites.</w:t>
      </w:r>
    </w:p>
    <w:p w14:paraId="1C86AE8C" w14:textId="77777777" w:rsidR="00F815D4" w:rsidRDefault="00F815D4" w:rsidP="00F815D4">
      <w:pPr>
        <w:pStyle w:val="ListBullet"/>
        <w:numPr>
          <w:ilvl w:val="0"/>
          <w:numId w:val="0"/>
        </w:numPr>
      </w:pPr>
      <w:r>
        <w:t xml:space="preserve">In the last few years RRL data shows that the number of FSS earth station apparatus licences, including the average total licensed bandwidth of these licences, has decreased. The ACMA is interested in understanding the current and future requirements of the FSS in the 3700–4200 MHz band. This will help inform the development of future options for the service in the band in the event arrangements for WBB are considered. </w:t>
      </w:r>
    </w:p>
    <w:p w14:paraId="75E2FD95" w14:textId="77777777" w:rsidR="00F815D4" w:rsidRDefault="00F815D4" w:rsidP="00585A42">
      <w:pPr>
        <w:spacing w:after="80"/>
      </w:pPr>
      <w:r>
        <w:t>The ACMA has identified the following alternative planning options for licensed FSS services in the 3700–4200 MHz band that could be investigated:</w:t>
      </w:r>
    </w:p>
    <w:p w14:paraId="20273D55" w14:textId="77777777" w:rsidR="00F815D4" w:rsidRPr="009A0990" w:rsidRDefault="00F815D4" w:rsidP="00F815D4">
      <w:pPr>
        <w:pStyle w:val="ListBullet"/>
      </w:pPr>
      <w:r w:rsidRPr="009A0990">
        <w:t xml:space="preserve">Development of arrangements to support access to the entire 3700–4200 MHz band for both FSS earth stations and other services. This could be on a first-in-time coordinated basis or via the implementation of dynamic sharing techniques. </w:t>
      </w:r>
    </w:p>
    <w:p w14:paraId="1C68B7A1" w14:textId="77777777" w:rsidR="00F815D4" w:rsidRPr="009A0990" w:rsidRDefault="00F815D4" w:rsidP="00F815D4">
      <w:pPr>
        <w:pStyle w:val="ListBullet"/>
      </w:pPr>
      <w:r w:rsidRPr="009A0990">
        <w:t xml:space="preserve">Restacking some or all licenced FSS earth stations into one or more segments of the 3700–4200 MHz band in defined areas (such as significant population centres). The other part or parts of the band could be considered for use by other services. </w:t>
      </w:r>
    </w:p>
    <w:p w14:paraId="7859557B" w14:textId="138C659E" w:rsidR="00F815D4" w:rsidRPr="009A0990" w:rsidRDefault="00F815D4" w:rsidP="00F815D4">
      <w:pPr>
        <w:pStyle w:val="ListBullet"/>
      </w:pPr>
      <w:r w:rsidRPr="009A0990">
        <w:t xml:space="preserve">Relocating some or all licensed FSS earth stations in defined geographical areas (such as significant population centres) to one of the ESPZs defined in </w:t>
      </w:r>
      <w:hyperlink r:id="rId46" w:history="1">
        <w:r w:rsidRPr="000B5B9C">
          <w:rPr>
            <w:rStyle w:val="Hyperlink"/>
            <w:color w:val="auto"/>
            <w:u w:val="none"/>
          </w:rPr>
          <w:t>RALI MS44</w:t>
        </w:r>
      </w:hyperlink>
      <w:r w:rsidRPr="009A0990">
        <w:t>.</w:t>
      </w:r>
    </w:p>
    <w:p w14:paraId="16314027" w14:textId="77777777" w:rsidR="00F815D4" w:rsidRPr="00FA3B39" w:rsidRDefault="00F815D4" w:rsidP="00F815D4">
      <w:pPr>
        <w:pStyle w:val="ListBulletLast"/>
      </w:pPr>
      <w:r w:rsidRPr="009A0990">
        <w:t xml:space="preserve">Relocating services to a different band, such as Ku band where possible, or moving </w:t>
      </w:r>
      <w:r w:rsidRPr="00FA3B39">
        <w:t>to an alternate delivery technology</w:t>
      </w:r>
      <w:r>
        <w:t>,</w:t>
      </w:r>
      <w:r w:rsidRPr="00FA3B39">
        <w:t xml:space="preserve"> such as fibre. </w:t>
      </w:r>
    </w:p>
    <w:p w14:paraId="7A76E45E" w14:textId="77777777" w:rsidR="00F815D4" w:rsidRDefault="00F815D4" w:rsidP="00F815D4">
      <w:r>
        <w:t xml:space="preserve">Various combinations of the above planning options could also be investigated based on different frequency and geographical considerations. </w:t>
      </w:r>
    </w:p>
    <w:p w14:paraId="5A1EA6A5" w14:textId="715F3194" w:rsidR="00AD2273" w:rsidRDefault="00F815D4" w:rsidP="00AD2273">
      <w:r>
        <w:t xml:space="preserve">The ACMA also understands that FSS earth stations will have varying degrees of ability to implement these options and, in some cases, it may not be practical for a service to implement any. The ACMA seeks feedback from current and prospective FSS earth station licensees to help identify licensed services potentially affected by such issues. </w:t>
      </w:r>
    </w:p>
    <w:p w14:paraId="64EBE6CC" w14:textId="77777777" w:rsidR="00AD2273" w:rsidRPr="00585A42" w:rsidRDefault="00AD2273" w:rsidP="00AD2273">
      <w:pPr>
        <w:pStyle w:val="questionstyle"/>
        <w:rPr>
          <w:rFonts w:asciiTheme="minorHAnsi" w:hAnsiTheme="minorHAnsi" w:cstheme="minorHAnsi"/>
          <w:szCs w:val="22"/>
        </w:rPr>
      </w:pPr>
      <w:bookmarkStart w:id="99" w:name="_Toc15973840"/>
      <w:r w:rsidRPr="00585A42">
        <w:rPr>
          <w:rFonts w:asciiTheme="minorHAnsi" w:hAnsiTheme="minorHAnsi" w:cstheme="minorHAnsi"/>
          <w:szCs w:val="22"/>
        </w:rPr>
        <w:t>What are the future requirements of point-to-point links and FSS earth stations in the 3700–4200 MHz band? Does this differ by geographical area and/or segment of the band?</w:t>
      </w:r>
      <w:bookmarkEnd w:id="99"/>
    </w:p>
    <w:p w14:paraId="49021EAA" w14:textId="77777777" w:rsidR="00AD2273" w:rsidRPr="00585A42" w:rsidRDefault="00AD2273" w:rsidP="00AD2273">
      <w:pPr>
        <w:pStyle w:val="questionstyle"/>
        <w:rPr>
          <w:rFonts w:asciiTheme="minorHAnsi" w:hAnsiTheme="minorHAnsi" w:cstheme="minorHAnsi"/>
          <w:szCs w:val="22"/>
        </w:rPr>
      </w:pPr>
      <w:bookmarkStart w:id="100" w:name="_Toc15973841"/>
      <w:r w:rsidRPr="00585A42">
        <w:rPr>
          <w:rFonts w:asciiTheme="minorHAnsi" w:hAnsiTheme="minorHAnsi" w:cstheme="minorHAnsi"/>
          <w:szCs w:val="22"/>
        </w:rPr>
        <w:t>If licensed point-to-point links and FSS earth stations are affected by replanning activities in the 3700–4200 MHz band, what alternative deployment options could be considered?</w:t>
      </w:r>
      <w:bookmarkEnd w:id="100"/>
    </w:p>
    <w:p w14:paraId="31BA7B73" w14:textId="77777777" w:rsidR="00AD2273" w:rsidRDefault="00AD2273" w:rsidP="00AD2273"/>
    <w:p w14:paraId="340DC0BB" w14:textId="36413DD7" w:rsidR="00AD2273" w:rsidRDefault="00AD2273" w:rsidP="00AD2273">
      <w:pPr>
        <w:pStyle w:val="Heading2"/>
      </w:pPr>
      <w:bookmarkStart w:id="101" w:name="_Toc16064507"/>
      <w:r>
        <w:lastRenderedPageBreak/>
        <w:t>TVRO systems</w:t>
      </w:r>
      <w:bookmarkEnd w:id="101"/>
    </w:p>
    <w:p w14:paraId="6EA366C0" w14:textId="77777777" w:rsidR="00AD2273" w:rsidRDefault="00AD2273" w:rsidP="00AD2273">
      <w:r>
        <w:t>TVRO systems operate in the broader 3400–4200 MHz band on an opportunistic basis in Australia. T</w:t>
      </w:r>
      <w:r w:rsidRPr="00EF7934">
        <w:t xml:space="preserve">hey are </w:t>
      </w:r>
      <w:r>
        <w:t xml:space="preserve">not afforded protection from interference unless they take out an apparatus licence. The ACMA does not propose any change to this policy as part of the review of arrangements in the 3700–4200 MHz.  </w:t>
      </w:r>
    </w:p>
    <w:p w14:paraId="0DA9CF4F" w14:textId="0C231134" w:rsidR="00AD2273" w:rsidRDefault="00AD2273" w:rsidP="00AD2273">
      <w:r>
        <w:t xml:space="preserve">In the event interference does occur, the owner of the TVRO system may consider mitigation techniques such as RF filtering and/or site shielding where practicable. Further information on the rights of TVRO users and possible mitigation measures is available on the </w:t>
      </w:r>
      <w:hyperlink r:id="rId47" w:history="1">
        <w:r w:rsidRPr="00CF3A1A">
          <w:rPr>
            <w:rStyle w:val="Hyperlink"/>
          </w:rPr>
          <w:t>ACMA website</w:t>
        </w:r>
      </w:hyperlink>
      <w:r>
        <w:t xml:space="preserve">. </w:t>
      </w:r>
    </w:p>
    <w:p w14:paraId="7FEE28E2" w14:textId="34D1F8D7" w:rsidR="00AD2273" w:rsidRDefault="00AD2273" w:rsidP="00AD2273">
      <w:pPr>
        <w:pStyle w:val="Heading2"/>
      </w:pPr>
      <w:bookmarkStart w:id="102" w:name="_Toc16064508"/>
      <w:r>
        <w:t>Radiodetermination</w:t>
      </w:r>
      <w:bookmarkEnd w:id="102"/>
    </w:p>
    <w:p w14:paraId="2B4C5102" w14:textId="23250CAB" w:rsidR="00AD2273" w:rsidRDefault="00AD2273" w:rsidP="00AD2273">
      <w:r>
        <w:t xml:space="preserve">Existing licensed radiodetermination services are only authorised to operate at one remote location in the NT. The ACMA does not propose to modify these licenses or place additional restrictions on them as part of any replanning process. Any new arrangements would take this into account and operate on a ‘no interference and no protection’ basis with existing radiodetermination licences. Given </w:t>
      </w:r>
      <w:r w:rsidR="00BB66EA">
        <w:t xml:space="preserve">the </w:t>
      </w:r>
      <w:r>
        <w:t>radiodetermination licences are in remote areas and use is typically on an intermittent basis, this is not expected to have a significant impact on other services</w:t>
      </w:r>
      <w:r w:rsidR="000606E4">
        <w:t>. This is due to the quanta of spectrum being considered and the expected</w:t>
      </w:r>
      <w:r w:rsidR="00BB66EA">
        <w:t xml:space="preserve"> </w:t>
      </w:r>
      <w:r w:rsidR="000606E4">
        <w:t xml:space="preserve">low </w:t>
      </w:r>
      <w:r w:rsidR="00BB66EA">
        <w:t>demand for new services in th</w:t>
      </w:r>
      <w:r w:rsidR="000606E4">
        <w:t>e</w:t>
      </w:r>
      <w:r w:rsidR="00BB66EA">
        <w:t xml:space="preserve"> area.</w:t>
      </w:r>
    </w:p>
    <w:p w14:paraId="76442BF7" w14:textId="5E9DA928" w:rsidR="00AD2273" w:rsidRDefault="00AD2273" w:rsidP="00AD2273">
      <w:pPr>
        <w:pStyle w:val="Heading2"/>
      </w:pPr>
      <w:bookmarkStart w:id="103" w:name="_Toc16064509"/>
      <w:r>
        <w:t>Low interference potential devices</w:t>
      </w:r>
      <w:bookmarkEnd w:id="103"/>
    </w:p>
    <w:p w14:paraId="098F09D7" w14:textId="77777777" w:rsidR="00AD2273" w:rsidRDefault="00AD2273" w:rsidP="00585A42">
      <w:pPr>
        <w:spacing w:after="80"/>
      </w:pPr>
      <w:r>
        <w:t>Devices authorised to operate in the 3700–4200 MHz band in accordance with the LIPD (UWB,</w:t>
      </w:r>
      <w:r w:rsidRPr="00156CBB">
        <w:t xml:space="preserve"> </w:t>
      </w:r>
      <w:r>
        <w:t>b</w:t>
      </w:r>
      <w:r w:rsidRPr="00156CBB">
        <w:t>uilding material analysis transmitters</w:t>
      </w:r>
      <w:r>
        <w:t>) are considered to have low interference potential to other services. They are also subject to the following:</w:t>
      </w:r>
    </w:p>
    <w:p w14:paraId="4F793D52" w14:textId="5F63D00A" w:rsidR="00AD2273" w:rsidRPr="009A0990" w:rsidRDefault="00AD2273" w:rsidP="00AD2273">
      <w:pPr>
        <w:pStyle w:val="ListBullet"/>
      </w:pPr>
      <w:r w:rsidRPr="009A0990">
        <w:t>transmitter</w:t>
      </w:r>
      <w:r>
        <w:t>s</w:t>
      </w:r>
      <w:r w:rsidRPr="009A0990">
        <w:t>, whether on their own or in operation with one or more other transmitters, must not cause interference to the operation of other radiocommunications services</w:t>
      </w:r>
    </w:p>
    <w:p w14:paraId="79323FD0" w14:textId="77777777" w:rsidR="00AD2273" w:rsidRPr="008A3AA4" w:rsidRDefault="00AD2273" w:rsidP="00AD2273">
      <w:pPr>
        <w:pStyle w:val="ListBulletLast"/>
      </w:pPr>
      <w:r w:rsidRPr="00FA3B39">
        <w:t xml:space="preserve">receivers </w:t>
      </w:r>
      <w:r w:rsidRPr="00F207DF">
        <w:t>are not afforded protection from interference caused by other radiocommunications devices.</w:t>
      </w:r>
    </w:p>
    <w:p w14:paraId="17C70447" w14:textId="7F200BE8" w:rsidR="00AD2273" w:rsidRDefault="00AD2273" w:rsidP="00AD2273">
      <w:r>
        <w:t>Interference to or from other services in the 3700–4200 MHz band from LIPD devices is not expected to be significant. LIPD devices currently coexist with point-to-point links and FSS earth stations. The ACMA has also previously consulted on and implemented arrangements that enable WBB and LIPD devices to share the directly adjacent 3400–3700 MHz band. Consequently, the ACMA does not propose to change the existing LIPD arrangements to remove or further limit use of the 3700–4200</w:t>
      </w:r>
      <w:r w:rsidRPr="00730E4D">
        <w:t xml:space="preserve"> MHz band by UWB and building material analysis devices.  </w:t>
      </w:r>
    </w:p>
    <w:p w14:paraId="0B75AEE2" w14:textId="604022CA" w:rsidR="00AD2273" w:rsidRPr="00730E4D" w:rsidRDefault="00AD2273" w:rsidP="00AD2273">
      <w:pPr>
        <w:pStyle w:val="questionstyle"/>
      </w:pPr>
      <w:bookmarkStart w:id="104" w:name="_Toc15973842"/>
      <w:r>
        <w:t>In the event arrangements are made for new services in the 3700–4200 MHz band, do stakeholders have any comments on the ACMA’s proposal to maintain the existing arrangements for Radiodetermination and LIPD devices, and the existing policy around TVRO systems?</w:t>
      </w:r>
      <w:bookmarkEnd w:id="104"/>
    </w:p>
    <w:p w14:paraId="616F40AA" w14:textId="71E116E5" w:rsidR="00AD2273" w:rsidRDefault="00AD2273" w:rsidP="00AD2273">
      <w:pPr>
        <w:pStyle w:val="Heading2"/>
      </w:pPr>
      <w:bookmarkStart w:id="105" w:name="_Toc16064510"/>
      <w:r>
        <w:t>WBB services</w:t>
      </w:r>
      <w:bookmarkEnd w:id="105"/>
    </w:p>
    <w:p w14:paraId="15C634C9" w14:textId="3857B136" w:rsidR="00AD2273" w:rsidRDefault="00AD2273" w:rsidP="00AD2273">
      <w:r>
        <w:t xml:space="preserve">Several submissions to the </w:t>
      </w:r>
      <w:hyperlink r:id="rId48" w:history="1">
        <w:r w:rsidRPr="00B90D3B">
          <w:rPr>
            <w:rStyle w:val="Hyperlink"/>
          </w:rPr>
          <w:t>draft FYSO</w:t>
        </w:r>
      </w:hyperlink>
      <w:r>
        <w:t xml:space="preserve"> indicated interest in accelerating consideration of the 3700–3800 MHz frequency range for use by fixed and mobile WBB services.</w:t>
      </w:r>
    </w:p>
    <w:p w14:paraId="6FE3B60B" w14:textId="77777777" w:rsidR="00AD2273" w:rsidRDefault="00AD2273" w:rsidP="00AD2273">
      <w:r>
        <w:t xml:space="preserve">Interest was also expressed in the development of arrangements for both local area apparatus licensed and wide-area WBB (often implemented via spectrum licensing) use. Typically, arrangements for local area use has been of interest to WISPs, local </w:t>
      </w:r>
      <w:r>
        <w:lastRenderedPageBreak/>
        <w:t xml:space="preserve">councils, utility companies and miners, while interest from wide-area use has come from Mobile Network Operators (MNOs) and companies such as NBN Co that deploy services covering numerous towns, cities and roads. </w:t>
      </w:r>
    </w:p>
    <w:p w14:paraId="63383A43" w14:textId="4FD18111" w:rsidR="00AD2273" w:rsidRDefault="00AD2273" w:rsidP="00AD2273">
      <w:pPr>
        <w:pStyle w:val="questionstyle"/>
      </w:pPr>
      <w:bookmarkStart w:id="106" w:name="_Toc15973843"/>
      <w:r w:rsidRPr="00DC680D">
        <w:t xml:space="preserve">What </w:t>
      </w:r>
      <w:r w:rsidR="00F94576">
        <w:t xml:space="preserve">are the future requirements </w:t>
      </w:r>
      <w:r w:rsidRPr="00DC680D">
        <w:t>for</w:t>
      </w:r>
      <w:r w:rsidRPr="00AD2273">
        <w:t xml:space="preserve"> WBB </w:t>
      </w:r>
      <w:r w:rsidR="00F94576">
        <w:t xml:space="preserve">services </w:t>
      </w:r>
      <w:r w:rsidRPr="00AD2273">
        <w:t>in the 3700–4200 MHz band</w:t>
      </w:r>
      <w:r w:rsidR="00F94576">
        <w:t xml:space="preserve"> and what arrangements should be considered</w:t>
      </w:r>
      <w:r w:rsidRPr="00AD2273">
        <w:t>? Does this differ by geographical area and/or segment of the band?</w:t>
      </w:r>
      <w:bookmarkEnd w:id="106"/>
    </w:p>
    <w:p w14:paraId="23877DEB" w14:textId="64FD5D4C" w:rsidR="00E15E3A" w:rsidRDefault="00E15E3A" w:rsidP="00E15E3A">
      <w:pPr>
        <w:rPr>
          <w:szCs w:val="20"/>
        </w:rPr>
      </w:pPr>
      <w:r>
        <w:rPr>
          <w:rFonts w:cs="Open Sans"/>
          <w:color w:val="000000"/>
          <w:szCs w:val="20"/>
        </w:rPr>
        <w:t>The ecosystem for mobile WBB equipment in the 3700–4200 MHz band is still evolving. GSA’s online database of mobile broadband devices (GAMBoD) reports that as of 20 June 2019 there were 198 LTE devices (routers, femtocells, phones, tablets, outdoor customer premise equipment) that operate in the 3600–3800 MHz band. As of 2019, 5G user terminals that operate in the 3300–3800 MHz band are becoming more available and the number of devices is expected to increase in the coming years. 5G equipment that operates over the 3300–4200 MHz band is likely to become more prevalent from 2020.</w:t>
      </w:r>
      <w:r>
        <w:rPr>
          <w:rStyle w:val="FootnoteReference"/>
          <w:rFonts w:cs="Open Sans"/>
          <w:color w:val="000000"/>
          <w:szCs w:val="20"/>
        </w:rPr>
        <w:footnoteReference w:id="33"/>
      </w:r>
      <w:r>
        <w:rPr>
          <w:rFonts w:cs="Open Sans"/>
          <w:color w:val="000000"/>
          <w:szCs w:val="20"/>
        </w:rPr>
        <w:t xml:space="preserve"> </w:t>
      </w:r>
    </w:p>
    <w:p w14:paraId="623B048C" w14:textId="1D2832BC" w:rsidR="00E15E3A" w:rsidRDefault="00E15E3A" w:rsidP="00AC3A25">
      <w:r>
        <w:t xml:space="preserve">While 3GPP (LTE and 5G) compliant equipment can be used to provide fixed wireless services, there are </w:t>
      </w:r>
      <w:proofErr w:type="gramStart"/>
      <w:r>
        <w:t>a number of</w:t>
      </w:r>
      <w:proofErr w:type="gramEnd"/>
      <w:r>
        <w:t xml:space="preserve"> manufacturers that provide dedicated equipment optimised for such use. Much of this equipment is capable of operating over the 3300–3800 MHz frequency range. However, as evidenced in submissions to the draft FYSO 2018-19, there is at least one manufacturer with equipment capable of operating up to 3900 MHz. </w:t>
      </w:r>
    </w:p>
    <w:p w14:paraId="5DEDBD7E" w14:textId="7476F222" w:rsidR="003E4804" w:rsidRDefault="003E4804" w:rsidP="00585A42">
      <w:pPr>
        <w:pStyle w:val="questionstyle"/>
      </w:pPr>
      <w:bookmarkStart w:id="107" w:name="_Toc15973844"/>
      <w:r>
        <w:t>What WBB deployment scenarios should be considered for the 3700–4200 MHz band? Should use be limited to one scenario or should more flexible arrangements be implemented?</w:t>
      </w:r>
      <w:bookmarkEnd w:id="107"/>
    </w:p>
    <w:p w14:paraId="7E68EFDB" w14:textId="0DF19743" w:rsidR="00AD2273" w:rsidRPr="007674D2" w:rsidRDefault="00AD2273" w:rsidP="00585A42">
      <w:pPr>
        <w:spacing w:after="80"/>
      </w:pPr>
      <w:r w:rsidRPr="007674D2">
        <w:t xml:space="preserve">The ACMA has identified the following possible WBB deployment scenarios for the </w:t>
      </w:r>
      <w:r>
        <w:t>3700–4200</w:t>
      </w:r>
      <w:r w:rsidRPr="007674D2">
        <w:t xml:space="preserve"> MHz band:</w:t>
      </w:r>
    </w:p>
    <w:p w14:paraId="1AC68D76" w14:textId="77777777" w:rsidR="00AD2273" w:rsidRPr="00A74360" w:rsidRDefault="00AD2273" w:rsidP="00AD2273">
      <w:pPr>
        <w:pStyle w:val="ListBullet"/>
      </w:pPr>
      <w:r w:rsidRPr="00A74360">
        <w:t>large cell fixed wireless broadband deployments for wide-area coverage</w:t>
      </w:r>
    </w:p>
    <w:p w14:paraId="4E2DA6BB" w14:textId="77777777" w:rsidR="00AD2273" w:rsidRPr="00A74360" w:rsidRDefault="00AD2273" w:rsidP="00AD2273">
      <w:pPr>
        <w:pStyle w:val="ListBullet"/>
      </w:pPr>
      <w:r w:rsidRPr="00A74360">
        <w:t>local area fixed mobile broadband deployments for small communities, local councils, mines, campuses and other uses</w:t>
      </w:r>
    </w:p>
    <w:p w14:paraId="48623CFC" w14:textId="77777777" w:rsidR="00AD2273" w:rsidRPr="00A74360" w:rsidRDefault="00AD2273" w:rsidP="00AD2273">
      <w:pPr>
        <w:pStyle w:val="ListBullet"/>
      </w:pPr>
      <w:r w:rsidRPr="00A74360">
        <w:t>macro cell mobile wireless broadband deployments for local area or wide-area coverage</w:t>
      </w:r>
    </w:p>
    <w:p w14:paraId="7BCA5C58" w14:textId="77777777" w:rsidR="00AD2273" w:rsidRPr="00807933" w:rsidRDefault="00AD2273" w:rsidP="00AD2273">
      <w:pPr>
        <w:pStyle w:val="ListBulletLast"/>
      </w:pPr>
      <w:r w:rsidRPr="00FA3B39">
        <w:t>small cell mobile broadband deployments, typically used for highly popul</w:t>
      </w:r>
      <w:r w:rsidRPr="00F207DF">
        <w:t>ated, indoor and other high-density applications as well as providing m</w:t>
      </w:r>
      <w:r w:rsidRPr="00807933">
        <w:t>acro-cellular coverage infill.</w:t>
      </w:r>
    </w:p>
    <w:p w14:paraId="1D45A324" w14:textId="17363CBC" w:rsidR="00AD2273" w:rsidRPr="007674D2" w:rsidRDefault="00AD2273" w:rsidP="00AD2273">
      <w:pPr>
        <w:pStyle w:val="ListBullet"/>
        <w:numPr>
          <w:ilvl w:val="0"/>
          <w:numId w:val="0"/>
        </w:numPr>
        <w:spacing w:after="240"/>
      </w:pPr>
      <w:r>
        <w:t>It is</w:t>
      </w:r>
      <w:r w:rsidRPr="007674D2">
        <w:t xml:space="preserve"> recognise</w:t>
      </w:r>
      <w:r>
        <w:t>d</w:t>
      </w:r>
      <w:r w:rsidRPr="007674D2">
        <w:t xml:space="preserve"> that different WBB deployment scenarios may have different interference management considerations. An example of this is in the study contained at Appendix 4 of the </w:t>
      </w:r>
      <w:hyperlink r:id="rId49" w:history="1">
        <w:r w:rsidRPr="00585A42">
          <w:rPr>
            <w:rStyle w:val="Hyperlink"/>
            <w:i/>
            <w:iCs/>
          </w:rPr>
          <w:t>Future approach to the 3.6 GHz band</w:t>
        </w:r>
      </w:hyperlink>
      <w:r>
        <w:t xml:space="preserve"> options paper.</w:t>
      </w:r>
      <w:r w:rsidRPr="007674D2">
        <w:t xml:space="preserve"> This study investigated the compatibility of FSS earth stations with macro and small cell WBB deployments, both fixed and mobile, in Sydney and Perth. The results of this study are considered to also apply to the </w:t>
      </w:r>
      <w:r>
        <w:t>3700–4200</w:t>
      </w:r>
      <w:r w:rsidRPr="007674D2">
        <w:t xml:space="preserve"> MHz band.</w:t>
      </w:r>
    </w:p>
    <w:p w14:paraId="139069A2" w14:textId="77777777" w:rsidR="00AD2273" w:rsidRDefault="00AD2273" w:rsidP="00AD2273">
      <w:pPr>
        <w:pStyle w:val="ListBullet"/>
        <w:numPr>
          <w:ilvl w:val="0"/>
          <w:numId w:val="0"/>
        </w:numPr>
        <w:spacing w:after="240"/>
      </w:pPr>
      <w:r w:rsidRPr="007674D2">
        <w:t>In short, the study showed it is impractical for fixed or mobile WBB macro cell deployments to share the same spectrum with licensed FSS earth stations within a large population centre. However, it could be possible for WBB small cell deployments to coexist with FSS earth stations in the same or nearby geographical area.</w:t>
      </w:r>
      <w:r w:rsidRPr="00CC7BD0">
        <w:t xml:space="preserve">   </w:t>
      </w:r>
    </w:p>
    <w:p w14:paraId="36482A05" w14:textId="457FF36F" w:rsidR="00AD2273" w:rsidRDefault="00AD2273" w:rsidP="00AD2273">
      <w:pPr>
        <w:pStyle w:val="questionstyle"/>
      </w:pPr>
      <w:bookmarkStart w:id="108" w:name="_Toc15973845"/>
      <w:r w:rsidRPr="00DC680D">
        <w:lastRenderedPageBreak/>
        <w:t>What</w:t>
      </w:r>
      <w:r w:rsidR="00A44F1A">
        <w:t xml:space="preserve"> is</w:t>
      </w:r>
      <w:r w:rsidRPr="00DC680D">
        <w:t xml:space="preserve"> </w:t>
      </w:r>
      <w:r w:rsidR="00A44F1A">
        <w:t>the current and planned availability of fixed and mobile WBB equipment in the 3700–4200 MHz band?</w:t>
      </w:r>
      <w:bookmarkEnd w:id="108"/>
    </w:p>
    <w:p w14:paraId="374ADE2A" w14:textId="7E7F5262" w:rsidR="008D5A98" w:rsidRPr="00DC680D" w:rsidRDefault="008D5A98" w:rsidP="008D5A98">
      <w:pPr>
        <w:pStyle w:val="questionstyle"/>
      </w:pPr>
      <w:bookmarkStart w:id="109" w:name="_Toc15973846"/>
      <w:r>
        <w:t>Is there interest in the use of other new service types in the 3700–4200 MHz band?</w:t>
      </w:r>
      <w:bookmarkEnd w:id="109"/>
    </w:p>
    <w:p w14:paraId="4B7BDC58" w14:textId="10D02D0E" w:rsidR="00AD2273" w:rsidRDefault="00AD2273" w:rsidP="00AD2273">
      <w:pPr>
        <w:pStyle w:val="Heading1"/>
      </w:pPr>
      <w:bookmarkStart w:id="110" w:name="_Toc16064511"/>
      <w:r>
        <w:lastRenderedPageBreak/>
        <w:t>Band planning considerations</w:t>
      </w:r>
      <w:bookmarkEnd w:id="110"/>
    </w:p>
    <w:p w14:paraId="710D7CD0" w14:textId="2CBEE815" w:rsidR="00AD2273" w:rsidRDefault="00AD2273" w:rsidP="00AD2273">
      <w:pPr>
        <w:rPr>
          <w:rFonts w:cs="Arial"/>
        </w:rPr>
      </w:pPr>
      <w:r>
        <w:rPr>
          <w:rFonts w:cs="Arial"/>
        </w:rPr>
        <w:t>A series of potential future planning scenarios for the 3700–4200 MHz band are presented here to promote discussion to inform the ACMA’s consideration of planning options for the band. The scenarios do not represent a preliminary ACMA view regarding the future of the band.</w:t>
      </w:r>
    </w:p>
    <w:p w14:paraId="2D7A2901" w14:textId="77777777" w:rsidR="00AD2273" w:rsidRPr="006649D4" w:rsidRDefault="00AD2273" w:rsidP="00AD2273">
      <w:pPr>
        <w:rPr>
          <w:rFonts w:cs="Arial"/>
        </w:rPr>
      </w:pPr>
      <w:r>
        <w:rPr>
          <w:rFonts w:cs="Arial"/>
        </w:rPr>
        <w:t>T</w:t>
      </w:r>
      <w:r w:rsidRPr="007674D2">
        <w:rPr>
          <w:rFonts w:cs="Arial"/>
        </w:rPr>
        <w:t xml:space="preserve">he scenarios share the common assumption that existing arrangements </w:t>
      </w:r>
      <w:r>
        <w:rPr>
          <w:rFonts w:cs="Arial"/>
        </w:rPr>
        <w:t>and policies</w:t>
      </w:r>
      <w:r w:rsidRPr="007674D2">
        <w:rPr>
          <w:rFonts w:cs="Arial"/>
        </w:rPr>
        <w:t xml:space="preserve"> for</w:t>
      </w:r>
      <w:r>
        <w:rPr>
          <w:rFonts w:cs="Arial"/>
        </w:rPr>
        <w:t xml:space="preserve"> radiodetermination services, class licence arrangements for LIPD devices and policy around TVRO devices, remain in place.</w:t>
      </w:r>
    </w:p>
    <w:p w14:paraId="581C9EB9" w14:textId="1723D4CD" w:rsidR="00FF7A1A" w:rsidRPr="007D0E2E" w:rsidRDefault="00AD2273" w:rsidP="00AD2273">
      <w:pPr>
        <w:rPr>
          <w:rFonts w:cs="Arial"/>
        </w:rPr>
      </w:pPr>
      <w:r w:rsidRPr="007D0E2E">
        <w:rPr>
          <w:rFonts w:cs="Arial"/>
        </w:rPr>
        <w:t xml:space="preserve">In </w:t>
      </w:r>
      <w:r>
        <w:rPr>
          <w:rFonts w:cs="Arial"/>
        </w:rPr>
        <w:t xml:space="preserve">considering the band planning scenarios presented in this section, </w:t>
      </w:r>
      <w:proofErr w:type="gramStart"/>
      <w:r w:rsidRPr="007D0E2E">
        <w:rPr>
          <w:rFonts w:cs="Arial"/>
        </w:rPr>
        <w:t>a number of</w:t>
      </w:r>
      <w:proofErr w:type="gramEnd"/>
      <w:r w:rsidRPr="007D0E2E">
        <w:rPr>
          <w:rFonts w:cs="Arial"/>
        </w:rPr>
        <w:t xml:space="preserve"> questions have been identified:</w:t>
      </w:r>
    </w:p>
    <w:p w14:paraId="1658EA59" w14:textId="23BBF46A" w:rsidR="00AD2273" w:rsidRPr="00AD2273" w:rsidRDefault="00AD2273" w:rsidP="00AD2273">
      <w:pPr>
        <w:pStyle w:val="questionstyle"/>
      </w:pPr>
      <w:bookmarkStart w:id="111" w:name="_Toc15973847"/>
      <w:r w:rsidRPr="00DC680D">
        <w:t xml:space="preserve">What services/applications should be accommodated in the 3700–4200 MHz </w:t>
      </w:r>
      <w:r w:rsidRPr="00AD2273">
        <w:t>band?</w:t>
      </w:r>
      <w:bookmarkEnd w:id="111"/>
    </w:p>
    <w:p w14:paraId="6C23134C" w14:textId="77777777" w:rsidR="00AD2273" w:rsidRPr="00AD2273" w:rsidRDefault="00AD2273" w:rsidP="00AD2273">
      <w:pPr>
        <w:pStyle w:val="questionstyle"/>
      </w:pPr>
      <w:bookmarkStart w:id="112" w:name="_Toc15973848"/>
      <w:r w:rsidRPr="00AD2273">
        <w:t>Which frequencies ranges should be made available for these services/applications?</w:t>
      </w:r>
      <w:bookmarkEnd w:id="112"/>
    </w:p>
    <w:p w14:paraId="18A848F1" w14:textId="77777777" w:rsidR="00AD2273" w:rsidRPr="00AD2273" w:rsidRDefault="00AD2273" w:rsidP="00AD2273">
      <w:pPr>
        <w:pStyle w:val="questionstyle"/>
      </w:pPr>
      <w:bookmarkStart w:id="113" w:name="_Toc15973849"/>
      <w:r w:rsidRPr="00AD2273">
        <w:t>Which geographic areas should be made available for these services/applications?</w:t>
      </w:r>
      <w:bookmarkEnd w:id="113"/>
    </w:p>
    <w:p w14:paraId="0B03029F" w14:textId="77777777" w:rsidR="00AD2273" w:rsidRPr="00AD2273" w:rsidRDefault="00AD2273" w:rsidP="00AD2273">
      <w:pPr>
        <w:pStyle w:val="questionstyle"/>
      </w:pPr>
      <w:bookmarkStart w:id="114" w:name="_Toc15973850"/>
      <w:r w:rsidRPr="00AD2273">
        <w:t>On what basis should access be provided? Should access be granted on an exclusive or shared basis, on a coordinated or uncoordinated basis, et cetera?</w:t>
      </w:r>
      <w:bookmarkEnd w:id="114"/>
      <w:r w:rsidRPr="00AD2273">
        <w:t xml:space="preserve"> </w:t>
      </w:r>
    </w:p>
    <w:p w14:paraId="1D5D3DD7" w14:textId="08A3E418" w:rsidR="00AD2273" w:rsidRDefault="00AD2273" w:rsidP="00AD2273">
      <w:pPr>
        <w:pStyle w:val="questionstyle"/>
      </w:pPr>
      <w:bookmarkStart w:id="115" w:name="_Toc15973851"/>
      <w:r w:rsidRPr="0029551E">
        <w:t>What licensing mechanisms are appropriate</w:t>
      </w:r>
      <w:r w:rsidRPr="00361F77">
        <w:t xml:space="preserve"> (spectrum, apparatus or class licensing)?</w:t>
      </w:r>
      <w:bookmarkEnd w:id="115"/>
      <w:r w:rsidRPr="00361F77">
        <w:t xml:space="preserve"> </w:t>
      </w:r>
    </w:p>
    <w:p w14:paraId="5DCEA760" w14:textId="1189AA79" w:rsidR="00AD2273" w:rsidRDefault="00AD2273" w:rsidP="00AD2273">
      <w:r>
        <w:t xml:space="preserve">The 3700–4200 MHz band is currently in the </w:t>
      </w:r>
      <w:r w:rsidRPr="00585A42">
        <w:rPr>
          <w:iCs/>
        </w:rPr>
        <w:t>initial investigation</w:t>
      </w:r>
      <w:r>
        <w:rPr>
          <w:i/>
        </w:rPr>
        <w:t xml:space="preserve"> </w:t>
      </w:r>
      <w:r>
        <w:t>stage of the ACMA’s planning process</w:t>
      </w:r>
      <w:r w:rsidRPr="00337B1E">
        <w:t>. As part of the work conducted at this</w:t>
      </w:r>
      <w:r w:rsidRPr="00337B1E">
        <w:rPr>
          <w:i/>
        </w:rPr>
        <w:t xml:space="preserve"> </w:t>
      </w:r>
      <w:r w:rsidRPr="00337B1E">
        <w:t>stage, the ACMA</w:t>
      </w:r>
      <w:r>
        <w:t xml:space="preserve"> scopes </w:t>
      </w:r>
      <w:r w:rsidRPr="00D60BD6">
        <w:t xml:space="preserve">potential </w:t>
      </w:r>
      <w:r>
        <w:t xml:space="preserve">planning </w:t>
      </w:r>
      <w:r>
        <w:rPr>
          <w:bCs/>
        </w:rPr>
        <w:t>scenarios</w:t>
      </w:r>
      <w:r w:rsidRPr="00D60BD6">
        <w:t xml:space="preserve"> for</w:t>
      </w:r>
      <w:r>
        <w:t xml:space="preserve"> future use</w:t>
      </w:r>
      <w:r w:rsidRPr="00D60BD6">
        <w:t xml:space="preserve"> of a band</w:t>
      </w:r>
      <w:r>
        <w:t xml:space="preserve">. Any additional development </w:t>
      </w:r>
      <w:r w:rsidRPr="00CC7BD0">
        <w:t>of</w:t>
      </w:r>
      <w:r>
        <w:t xml:space="preserve"> detailed planning options will be subject to further consultation.</w:t>
      </w:r>
    </w:p>
    <w:p w14:paraId="5BF7E730" w14:textId="77777777" w:rsidR="00AD2273" w:rsidRDefault="00AD2273" w:rsidP="00585A42">
      <w:pPr>
        <w:spacing w:after="80"/>
      </w:pPr>
      <w:r>
        <w:t>The scenarios identified for the future of the band have been developed in the context of:</w:t>
      </w:r>
    </w:p>
    <w:p w14:paraId="4487A90A" w14:textId="236CB003" w:rsidR="00F94576" w:rsidRDefault="00F94576" w:rsidP="00AD2273">
      <w:pPr>
        <w:pStyle w:val="ListBullet"/>
      </w:pPr>
      <w:r w:rsidRPr="00DE5336">
        <w:t>the impact any changes may have on incumbent services</w:t>
      </w:r>
    </w:p>
    <w:p w14:paraId="506D0A0F" w14:textId="54A7793D" w:rsidR="00AD2273" w:rsidRPr="00C44C5A" w:rsidRDefault="00AD2273" w:rsidP="00AD2273">
      <w:pPr>
        <w:pStyle w:val="ListBullet"/>
      </w:pPr>
      <w:r w:rsidRPr="00C44C5A">
        <w:t>varying potential new service deployment scenarios</w:t>
      </w:r>
    </w:p>
    <w:p w14:paraId="0227B154" w14:textId="37E2FEEA" w:rsidR="00AD2273" w:rsidRPr="00C44C5A" w:rsidRDefault="00AD2273" w:rsidP="00AD2273">
      <w:pPr>
        <w:pStyle w:val="ListBullet"/>
      </w:pPr>
      <w:r w:rsidRPr="00C44C5A">
        <w:t>future requirements of incumbent services</w:t>
      </w:r>
    </w:p>
    <w:p w14:paraId="47CA88C1" w14:textId="0F281C7E" w:rsidR="00AD2273" w:rsidRDefault="00AD2273" w:rsidP="00585A42">
      <w:pPr>
        <w:pStyle w:val="ListBulletLast"/>
      </w:pPr>
      <w:r w:rsidRPr="006F44DB">
        <w:t xml:space="preserve">the </w:t>
      </w:r>
      <w:r w:rsidRPr="005634D4">
        <w:t>compatibility</w:t>
      </w:r>
      <w:r>
        <w:t xml:space="preserve"> of new services with adjacent band services. </w:t>
      </w:r>
    </w:p>
    <w:p w14:paraId="3FED3885" w14:textId="77777777" w:rsidR="00AD2273" w:rsidRDefault="00AD2273" w:rsidP="00AD2273">
      <w:pPr>
        <w:spacing w:before="240"/>
      </w:pPr>
      <w:r>
        <w:t xml:space="preserve">The ACMA is requesting further information from stakeholders on all these points to help inform its decision making.  </w:t>
      </w:r>
    </w:p>
    <w:p w14:paraId="4A8DBADC" w14:textId="1397BD4F" w:rsidR="00AD2273" w:rsidRDefault="00AD2273" w:rsidP="00AD2273">
      <w:pPr>
        <w:pStyle w:val="Heading2"/>
      </w:pPr>
      <w:bookmarkStart w:id="116" w:name="_Toc16064512"/>
      <w:r>
        <w:t>Spectrum scenarios</w:t>
      </w:r>
      <w:bookmarkEnd w:id="116"/>
    </w:p>
    <w:p w14:paraId="3346A686" w14:textId="10D9CAD8" w:rsidR="00AD2273" w:rsidRDefault="00AD2273" w:rsidP="00585A42">
      <w:pPr>
        <w:spacing w:after="80"/>
      </w:pPr>
      <w:bookmarkStart w:id="117" w:name="_Hlk11833895"/>
      <w:r>
        <w:t xml:space="preserve">The ACMA has identified </w:t>
      </w:r>
      <w:proofErr w:type="gramStart"/>
      <w:r>
        <w:t>a number of</w:t>
      </w:r>
      <w:proofErr w:type="gramEnd"/>
      <w:r>
        <w:t xml:space="preserve"> spectrum scenarios as part of any change in use in the 3700–4200 MHz band. Factors to be considered include:</w:t>
      </w:r>
    </w:p>
    <w:p w14:paraId="386F4057" w14:textId="77777777" w:rsidR="00AD2273" w:rsidRDefault="00AD2273" w:rsidP="00AD2273">
      <w:pPr>
        <w:pStyle w:val="ListBullet"/>
      </w:pPr>
      <w:r>
        <w:t>current use of the spectrum by incumbent services</w:t>
      </w:r>
    </w:p>
    <w:p w14:paraId="1F042565" w14:textId="77777777" w:rsidR="00AD2273" w:rsidRDefault="00AD2273" w:rsidP="00AD2273">
      <w:pPr>
        <w:pStyle w:val="ListBullet"/>
      </w:pPr>
      <w:r>
        <w:t>future requirements of incumbent services in the band</w:t>
      </w:r>
    </w:p>
    <w:p w14:paraId="7D1B5AB8" w14:textId="77777777" w:rsidR="00AD2273" w:rsidRDefault="00AD2273" w:rsidP="00AD2273">
      <w:pPr>
        <w:pStyle w:val="ListBullet"/>
      </w:pPr>
      <w:r>
        <w:t>determining whether viable alternatives exist for incumbent services</w:t>
      </w:r>
    </w:p>
    <w:p w14:paraId="1D744C8B" w14:textId="0E47755F" w:rsidR="00AD2273" w:rsidRDefault="00AD2273" w:rsidP="00AD2273">
      <w:pPr>
        <w:pStyle w:val="ListBullet"/>
      </w:pPr>
      <w:r>
        <w:t xml:space="preserve">identifying segments of the band where there is demand for new services </w:t>
      </w:r>
    </w:p>
    <w:p w14:paraId="11A9222D" w14:textId="77777777" w:rsidR="00AD2273" w:rsidRDefault="00AD2273" w:rsidP="00AD2273">
      <w:pPr>
        <w:pStyle w:val="ListBulletLast"/>
      </w:pPr>
      <w:r>
        <w:t>ensuring that a large enough portion of spectrum could be made available to be of practical use to incumbent and/or new services.</w:t>
      </w:r>
    </w:p>
    <w:p w14:paraId="2090DC3C" w14:textId="77777777" w:rsidR="00AD2273" w:rsidRDefault="00AD2273" w:rsidP="00AD2273">
      <w:pPr>
        <w:pStyle w:val="ACMASpaceaftertable"/>
        <w:spacing w:after="120"/>
      </w:pPr>
      <w:r>
        <w:lastRenderedPageBreak/>
        <w:t>Taking the above issues into account, the following spectrum scenarios could be considered in the 3700–4200 MHz band:</w:t>
      </w:r>
    </w:p>
    <w:p w14:paraId="705DB300" w14:textId="77777777" w:rsidR="00AD2273" w:rsidRDefault="00AD2273" w:rsidP="00AD2273">
      <w:pPr>
        <w:pStyle w:val="ListParagraph"/>
        <w:numPr>
          <w:ilvl w:val="0"/>
          <w:numId w:val="54"/>
        </w:numPr>
      </w:pPr>
      <w:r>
        <w:t xml:space="preserve">Provide access to the entire band for new services, on either an exclusive or shared basis </w:t>
      </w:r>
    </w:p>
    <w:p w14:paraId="55A8F299" w14:textId="1747832F" w:rsidR="00AD2273" w:rsidRDefault="00AD2273" w:rsidP="00585A42">
      <w:pPr>
        <w:pStyle w:val="ACMAFigureHeader"/>
      </w:pPr>
      <w:r>
        <w:t>Spectrum scenario a1, exclusive use of the whole band by new services.</w:t>
      </w:r>
    </w:p>
    <w:p w14:paraId="4D6FAB20" w14:textId="77777777" w:rsidR="00AD2273" w:rsidRDefault="00AD2273" w:rsidP="00AD2273">
      <w:r w:rsidRPr="00816811">
        <w:rPr>
          <w:noProof/>
        </w:rPr>
        <w:drawing>
          <wp:inline distT="0" distB="0" distL="0" distR="0" wp14:anchorId="5E67F3BC" wp14:editId="54FE54ED">
            <wp:extent cx="4871085" cy="314325"/>
            <wp:effectExtent l="0" t="0" r="571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71085" cy="314325"/>
                    </a:xfrm>
                    <a:prstGeom prst="rect">
                      <a:avLst/>
                    </a:prstGeom>
                    <a:noFill/>
                    <a:ln>
                      <a:noFill/>
                    </a:ln>
                  </pic:spPr>
                </pic:pic>
              </a:graphicData>
            </a:graphic>
          </wp:inline>
        </w:drawing>
      </w:r>
      <w:r w:rsidRPr="00816811" w:rsidDel="00816811">
        <w:t xml:space="preserve"> </w:t>
      </w:r>
    </w:p>
    <w:p w14:paraId="5004D8C5" w14:textId="56463DD0" w:rsidR="00AD2273" w:rsidRDefault="00AD2273" w:rsidP="00585A42">
      <w:pPr>
        <w:pStyle w:val="ACMAFigureHeader"/>
      </w:pPr>
      <w:r>
        <w:t xml:space="preserve">Spectrum scenario a2, shared used of the whole band by incumbent and new services. </w:t>
      </w:r>
    </w:p>
    <w:p w14:paraId="64FCD7DA" w14:textId="77777777" w:rsidR="00AD2273" w:rsidRDefault="00AD2273" w:rsidP="00AD2273">
      <w:r w:rsidRPr="00816811">
        <w:rPr>
          <w:noProof/>
        </w:rPr>
        <w:drawing>
          <wp:inline distT="0" distB="0" distL="0" distR="0" wp14:anchorId="3C0CFBF0" wp14:editId="5929F8FB">
            <wp:extent cx="4871085" cy="931545"/>
            <wp:effectExtent l="0" t="0" r="571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71085" cy="931545"/>
                    </a:xfrm>
                    <a:prstGeom prst="rect">
                      <a:avLst/>
                    </a:prstGeom>
                    <a:noFill/>
                    <a:ln>
                      <a:noFill/>
                    </a:ln>
                  </pic:spPr>
                </pic:pic>
              </a:graphicData>
            </a:graphic>
          </wp:inline>
        </w:drawing>
      </w:r>
      <w:r w:rsidRPr="00816811" w:rsidDel="00816811">
        <w:t xml:space="preserve"> </w:t>
      </w:r>
    </w:p>
    <w:p w14:paraId="52F1C1AD" w14:textId="77777777" w:rsidR="00AD2273" w:rsidRDefault="00AD2273" w:rsidP="00AD2273">
      <w:pPr>
        <w:pStyle w:val="ListParagraph"/>
        <w:numPr>
          <w:ilvl w:val="0"/>
          <w:numId w:val="54"/>
        </w:numPr>
      </w:pPr>
      <w:r>
        <w:t xml:space="preserve">Provide access to one or more segments of the band for new services on either an exclusive or shared basis. </w:t>
      </w:r>
      <w:bookmarkStart w:id="118" w:name="_Hlk14083900"/>
      <w:r>
        <w:t>Maintain existing arrangements for incumbent services in the rest of the band</w:t>
      </w:r>
      <w:bookmarkEnd w:id="118"/>
    </w:p>
    <w:p w14:paraId="1F9FF0E0" w14:textId="100FCEE0" w:rsidR="00AD2273" w:rsidRDefault="00AD2273" w:rsidP="00585A42">
      <w:pPr>
        <w:pStyle w:val="ACMAFigureHeader"/>
      </w:pPr>
      <w:r>
        <w:t>Spectrum scenario b1, exclusive use of a band segment by new services. Incumbent use only in the rest of the band.</w:t>
      </w:r>
    </w:p>
    <w:p w14:paraId="55E891D9" w14:textId="77777777" w:rsidR="00AD2273" w:rsidRDefault="00AD2273" w:rsidP="00AD2273">
      <w:r w:rsidRPr="00816811">
        <w:rPr>
          <w:noProof/>
        </w:rPr>
        <w:drawing>
          <wp:inline distT="0" distB="0" distL="0" distR="0" wp14:anchorId="3A41AA5F" wp14:editId="0431DBA7">
            <wp:extent cx="4871085" cy="925830"/>
            <wp:effectExtent l="0" t="0" r="5715"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871085" cy="925830"/>
                    </a:xfrm>
                    <a:prstGeom prst="rect">
                      <a:avLst/>
                    </a:prstGeom>
                    <a:noFill/>
                    <a:ln>
                      <a:noFill/>
                    </a:ln>
                  </pic:spPr>
                </pic:pic>
              </a:graphicData>
            </a:graphic>
          </wp:inline>
        </w:drawing>
      </w:r>
      <w:r w:rsidRPr="00816811" w:rsidDel="00816811">
        <w:t xml:space="preserve"> </w:t>
      </w:r>
    </w:p>
    <w:p w14:paraId="56300ED1" w14:textId="38455FA0" w:rsidR="00AD2273" w:rsidRDefault="00AD2273" w:rsidP="00585A42">
      <w:pPr>
        <w:pStyle w:val="ACMAFigureHeader"/>
      </w:pPr>
      <w:r>
        <w:t>Spectrum scenario b2, shared used of a band segment by new services and incumbents. Incumbent use only in the rest of the band.</w:t>
      </w:r>
    </w:p>
    <w:p w14:paraId="0CB551BA" w14:textId="77777777" w:rsidR="00AD2273" w:rsidRDefault="00AD2273" w:rsidP="00AD2273">
      <w:r w:rsidRPr="00816811">
        <w:rPr>
          <w:noProof/>
        </w:rPr>
        <w:drawing>
          <wp:inline distT="0" distB="0" distL="0" distR="0" wp14:anchorId="07C440AE" wp14:editId="0EF210BB">
            <wp:extent cx="4871085" cy="1186815"/>
            <wp:effectExtent l="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71085" cy="1186815"/>
                    </a:xfrm>
                    <a:prstGeom prst="rect">
                      <a:avLst/>
                    </a:prstGeom>
                    <a:noFill/>
                    <a:ln>
                      <a:noFill/>
                    </a:ln>
                  </pic:spPr>
                </pic:pic>
              </a:graphicData>
            </a:graphic>
          </wp:inline>
        </w:drawing>
      </w:r>
      <w:r w:rsidRPr="00816811" w:rsidDel="00816811">
        <w:t xml:space="preserve"> </w:t>
      </w:r>
    </w:p>
    <w:p w14:paraId="230D1255" w14:textId="77777777" w:rsidR="00AD2273" w:rsidRDefault="00AD2273" w:rsidP="00AD2273">
      <w:pPr>
        <w:pStyle w:val="ListParagraph"/>
        <w:numPr>
          <w:ilvl w:val="0"/>
          <w:numId w:val="54"/>
        </w:numPr>
      </w:pPr>
      <w:r>
        <w:t>Provide access to one segment of the band</w:t>
      </w:r>
      <w:r w:rsidRPr="00ED69C0">
        <w:t xml:space="preserve"> </w:t>
      </w:r>
      <w:r>
        <w:t>on an exclusive basis to new services. Provide access for new services to another segment of the band on a shared basis. Maintain existing arrangements for incumbent services in the rest of the band</w:t>
      </w:r>
    </w:p>
    <w:p w14:paraId="4784FE7A" w14:textId="10BC7CA6" w:rsidR="00AD2273" w:rsidRDefault="00AD2273" w:rsidP="00585A42">
      <w:pPr>
        <w:pStyle w:val="ACMAFigureHeader"/>
        <w:keepNext/>
      </w:pPr>
      <w:r>
        <w:lastRenderedPageBreak/>
        <w:t>Spectrum scenario c, exclusive use in one band segment by new services. Shared use in another segment by new services and incumbent services. Incumbent use only in the rest of the band</w:t>
      </w:r>
    </w:p>
    <w:p w14:paraId="54235F9E" w14:textId="77777777" w:rsidR="00AD2273" w:rsidRDefault="00AD2273" w:rsidP="00AD2273">
      <w:r w:rsidRPr="00816811">
        <w:rPr>
          <w:noProof/>
        </w:rPr>
        <w:drawing>
          <wp:inline distT="0" distB="0" distL="0" distR="0" wp14:anchorId="77788E47" wp14:editId="66F72A68">
            <wp:extent cx="4871085" cy="1032510"/>
            <wp:effectExtent l="0" t="0" r="571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871085" cy="1032510"/>
                    </a:xfrm>
                    <a:prstGeom prst="rect">
                      <a:avLst/>
                    </a:prstGeom>
                    <a:noFill/>
                    <a:ln>
                      <a:noFill/>
                    </a:ln>
                  </pic:spPr>
                </pic:pic>
              </a:graphicData>
            </a:graphic>
          </wp:inline>
        </w:drawing>
      </w:r>
      <w:r w:rsidRPr="00816811" w:rsidDel="00816811">
        <w:t xml:space="preserve"> </w:t>
      </w:r>
    </w:p>
    <w:p w14:paraId="6C180D4F" w14:textId="2A06A733" w:rsidR="00AD2273" w:rsidRDefault="00AD2273" w:rsidP="00AD2273">
      <w:pPr>
        <w:pStyle w:val="ListParagraph"/>
        <w:numPr>
          <w:ilvl w:val="0"/>
          <w:numId w:val="54"/>
        </w:numPr>
      </w:pPr>
      <w:r>
        <w:t xml:space="preserve">No change to current arrangements—incumbent use only </w:t>
      </w:r>
    </w:p>
    <w:p w14:paraId="71C37287" w14:textId="2D7D9E95" w:rsidR="00AD2273" w:rsidRDefault="00AD2273" w:rsidP="00585A42">
      <w:pPr>
        <w:pStyle w:val="ACMAFigureHeader"/>
      </w:pPr>
      <w:r>
        <w:t>Spectrum scenario d, incumbent use only</w:t>
      </w:r>
    </w:p>
    <w:p w14:paraId="720D955C" w14:textId="77777777" w:rsidR="00AD2273" w:rsidRDefault="00AD2273" w:rsidP="00AD2273">
      <w:r w:rsidRPr="00816811">
        <w:rPr>
          <w:noProof/>
        </w:rPr>
        <w:drawing>
          <wp:inline distT="0" distB="0" distL="0" distR="0" wp14:anchorId="3322D849" wp14:editId="5AD02FB3">
            <wp:extent cx="4871085" cy="622935"/>
            <wp:effectExtent l="0" t="0" r="5715"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871085" cy="622935"/>
                    </a:xfrm>
                    <a:prstGeom prst="rect">
                      <a:avLst/>
                    </a:prstGeom>
                    <a:noFill/>
                    <a:ln>
                      <a:noFill/>
                    </a:ln>
                  </pic:spPr>
                </pic:pic>
              </a:graphicData>
            </a:graphic>
          </wp:inline>
        </w:drawing>
      </w:r>
      <w:r w:rsidRPr="00816811" w:rsidDel="00816811">
        <w:t xml:space="preserve"> </w:t>
      </w:r>
    </w:p>
    <w:p w14:paraId="0E27CF0E" w14:textId="77777777" w:rsidR="00AD2273" w:rsidRDefault="00AD2273" w:rsidP="00585A42">
      <w:pPr>
        <w:spacing w:after="80"/>
      </w:pPr>
      <w:r>
        <w:t xml:space="preserve">In addition to the above scenarios it may be possible to: </w:t>
      </w:r>
    </w:p>
    <w:p w14:paraId="283EFD77" w14:textId="47398296" w:rsidR="00AD2273" w:rsidRDefault="00AD2273" w:rsidP="00AD2273">
      <w:pPr>
        <w:pStyle w:val="ListBullet"/>
      </w:pPr>
      <w:r>
        <w:t xml:space="preserve">Limit arrangements for new services to those parts of the band where there is demand and no (or few) licensed incumbent services. This approach could facilitate access to the band by new services while minimising the impact upon incumbent services. It affectively applies </w:t>
      </w:r>
      <w:r>
        <w:rPr>
          <w:rFonts w:cs="Arial"/>
        </w:rPr>
        <w:t>spectrum scenarios b or c in some geographic areas and spectrum scenario d in others.</w:t>
      </w:r>
      <w:r>
        <w:t xml:space="preserve"> Inspection of the spectral occupancy charts in Appendix 2 suggest that this could be done in all or part of the band in </w:t>
      </w:r>
      <w:r>
        <w:rPr>
          <w:rFonts w:cs="Arial"/>
        </w:rPr>
        <w:t>Adelaide, Brisbane, Canberra and Melbourne. There would also be a significant amount of spectrum available for use</w:t>
      </w:r>
      <w:r w:rsidR="00F94576">
        <w:rPr>
          <w:rFonts w:cs="Arial"/>
        </w:rPr>
        <w:t xml:space="preserve"> by new services</w:t>
      </w:r>
      <w:r>
        <w:rPr>
          <w:rFonts w:cs="Arial"/>
        </w:rPr>
        <w:t xml:space="preserve"> in various regional and remote areas.</w:t>
      </w:r>
    </w:p>
    <w:p w14:paraId="138E8C9C" w14:textId="045380C6" w:rsidR="00AD2273" w:rsidRDefault="00AD2273" w:rsidP="00AD2273">
      <w:pPr>
        <w:pStyle w:val="ListBulletLast"/>
      </w:pPr>
      <w:r>
        <w:t>Progressively make different segments of the band available for new services. For example, given the current focus internationally and domestically appears to be on the 3700–3800 MHz segment, it may be possible to prioritise consideration of this frequency range initially. Arrangements in other segments of the band could then be progressed at a defined future point. This could provide additional time for incumbent services, if they are affected by a change in arrangements, to relocate services or investigate and implement alternative delivery mechanisms. In other words, consider spectrum scenario b initially and progress to spectrum scenario c or spectrum scenario b with more segments for new services.</w:t>
      </w:r>
    </w:p>
    <w:p w14:paraId="5EB4EFFF" w14:textId="77777777" w:rsidR="00AD2273" w:rsidRDefault="00AD2273" w:rsidP="00AD2273">
      <w:pPr>
        <w:pStyle w:val="ListBullet"/>
        <w:numPr>
          <w:ilvl w:val="0"/>
          <w:numId w:val="0"/>
        </w:numPr>
        <w:spacing w:after="240"/>
      </w:pPr>
      <w:r>
        <w:t>Other spectrum scenarios could also be considered based on information provided by stakeholders.</w:t>
      </w:r>
    </w:p>
    <w:p w14:paraId="3F4634AD" w14:textId="52403927" w:rsidR="00AD2273" w:rsidRDefault="00AD2273" w:rsidP="00AD2273">
      <w:pPr>
        <w:pStyle w:val="Heading2"/>
      </w:pPr>
      <w:bookmarkStart w:id="119" w:name="_Toc16064513"/>
      <w:bookmarkEnd w:id="117"/>
      <w:r>
        <w:t>Geographic scenarios</w:t>
      </w:r>
      <w:bookmarkEnd w:id="119"/>
    </w:p>
    <w:p w14:paraId="01AAFAFB" w14:textId="77777777" w:rsidR="00AD2273" w:rsidRDefault="00AD2273" w:rsidP="00AD2273">
      <w:bookmarkStart w:id="120" w:name="_Hlk11759232"/>
      <w:r>
        <w:t xml:space="preserve">The ACMA has identified </w:t>
      </w:r>
      <w:proofErr w:type="gramStart"/>
      <w:r>
        <w:t>a number of</w:t>
      </w:r>
      <w:proofErr w:type="gramEnd"/>
      <w:r>
        <w:t xml:space="preserve"> geographical area planning scenarios that could be considered as part of any change in use in the 3700–4200 MHz band. These scenarios relate to the total area that could be made available for different services. </w:t>
      </w:r>
    </w:p>
    <w:p w14:paraId="176B304D" w14:textId="50199BBF" w:rsidR="00AD2273" w:rsidRDefault="00AD2273" w:rsidP="00AD2273">
      <w:pPr>
        <w:spacing w:after="120"/>
      </w:pPr>
      <w:r>
        <w:t xml:space="preserve">The ACMA has developed some geographical area </w:t>
      </w:r>
      <w:r w:rsidR="00103C49">
        <w:t>scenarios</w:t>
      </w:r>
      <w:r w:rsidR="00103C49" w:rsidDel="00F239FF">
        <w:t xml:space="preserve"> </w:t>
      </w:r>
      <w:r w:rsidR="00103C49">
        <w:t>for</w:t>
      </w:r>
      <w:r>
        <w:t xml:space="preserve"> new services in the 3700–4200 MHz band. </w:t>
      </w:r>
      <w:r w:rsidRPr="00F60A09">
        <w:t xml:space="preserve">These areas are defined and illustrated in </w:t>
      </w:r>
      <w:r w:rsidRPr="007674D2">
        <w:t xml:space="preserve">Appendix </w:t>
      </w:r>
      <w:r w:rsidRPr="00F60A09">
        <w:t xml:space="preserve">1 and reproduced in </w:t>
      </w:r>
      <w:r w:rsidR="002674AD">
        <w:t>Figure</w:t>
      </w:r>
      <w:r>
        <w:t>10 below. They are based on the areas identified for spectrum and apparatus licensing in the adjacent 3.6 GHz band. Other areas could also be considered based on information provided by stakeholders.</w:t>
      </w:r>
    </w:p>
    <w:p w14:paraId="0628A789" w14:textId="77777777" w:rsidR="00AD2273" w:rsidRDefault="00AD2273" w:rsidP="00585A42">
      <w:pPr>
        <w:spacing w:after="80"/>
      </w:pPr>
      <w:r>
        <w:t>Potential geographic scenarios for any new services introduced into the 3700–4200 MHz band could include:</w:t>
      </w:r>
    </w:p>
    <w:p w14:paraId="60AFE7AB" w14:textId="77777777" w:rsidR="00AD2273" w:rsidRDefault="00AD2273" w:rsidP="00AD2273">
      <w:pPr>
        <w:pStyle w:val="ListParagraph"/>
        <w:numPr>
          <w:ilvl w:val="0"/>
          <w:numId w:val="55"/>
        </w:numPr>
      </w:pPr>
      <w:r>
        <w:lastRenderedPageBreak/>
        <w:t>Australia-wide access, on either an exclusive or shared basis</w:t>
      </w:r>
    </w:p>
    <w:p w14:paraId="57576E1A" w14:textId="1A0729BC" w:rsidR="00AD2273" w:rsidRDefault="00AD2273" w:rsidP="00AD2273">
      <w:pPr>
        <w:pStyle w:val="ListParagraph"/>
        <w:numPr>
          <w:ilvl w:val="0"/>
          <w:numId w:val="55"/>
        </w:numPr>
      </w:pPr>
      <w:r>
        <w:t>provide access to defined metropolitan and regional areas, on either an exclusive or shared basis</w:t>
      </w:r>
    </w:p>
    <w:p w14:paraId="5027B343" w14:textId="1FD8CC1E" w:rsidR="00AD2273" w:rsidRDefault="00AD2273" w:rsidP="00AD2273">
      <w:pPr>
        <w:pStyle w:val="ListParagraph"/>
        <w:numPr>
          <w:ilvl w:val="0"/>
          <w:numId w:val="55"/>
        </w:numPr>
      </w:pPr>
      <w:r>
        <w:t>provide access to defined metropolitan and regional areas on an exclusive basis, and all other areas on a shared basis</w:t>
      </w:r>
    </w:p>
    <w:p w14:paraId="1E14E6B0" w14:textId="5B1B64ED" w:rsidR="00AD2273" w:rsidRDefault="00AD2273" w:rsidP="00AD2273">
      <w:pPr>
        <w:pStyle w:val="ListParagraph"/>
        <w:numPr>
          <w:ilvl w:val="0"/>
          <w:numId w:val="55"/>
        </w:numPr>
      </w:pPr>
      <w:r>
        <w:t>provide to defined metropolitan areas on an exclusive basis, and all other areas on a shared basis</w:t>
      </w:r>
    </w:p>
    <w:p w14:paraId="22E29D25" w14:textId="44FBC39F" w:rsidR="00AD2273" w:rsidRDefault="00AD2273" w:rsidP="00AD2273">
      <w:pPr>
        <w:pStyle w:val="ListParagraph"/>
        <w:numPr>
          <w:ilvl w:val="0"/>
          <w:numId w:val="55"/>
        </w:numPr>
      </w:pPr>
      <w:r>
        <w:t xml:space="preserve">no access provided to any areas. </w:t>
      </w:r>
    </w:p>
    <w:p w14:paraId="6AB3588D" w14:textId="77777777" w:rsidR="00AD2273" w:rsidRDefault="00AD2273" w:rsidP="00AD2273">
      <w:pPr>
        <w:rPr>
          <w:rFonts w:cs="Arial"/>
        </w:rPr>
      </w:pPr>
      <w:r>
        <w:t xml:space="preserve">One possible alternative scenario to consider would be to limit arrangements for new services to those areas that there is demand and no (or few) licensed incumbent services. This approach would facilitate access to the band by new services while minimising the impact upon incumbent services. Inspection of the spectral occupancy charts in Appendix 2 suggest that this could be done in all or part of the band in </w:t>
      </w:r>
      <w:r>
        <w:rPr>
          <w:rFonts w:cs="Arial"/>
        </w:rPr>
        <w:t xml:space="preserve">Adelaide, Brisbane, Canberra and Melbourne, i.e. consider geographical scenarios b, c or d in those areas only. There would also be a significant amount of spectrum available in regional and remote areas. It could be possible to further refine this approach and focus on making a segment of the band, such as the 3700–3800 MHz segment, available in metropolitan, regional and remote areas where there is little or no current use. </w:t>
      </w:r>
    </w:p>
    <w:p w14:paraId="7D58F754" w14:textId="77777777" w:rsidR="00AD2273" w:rsidRDefault="00AD2273" w:rsidP="00AD2273">
      <w:r>
        <w:rPr>
          <w:rFonts w:cs="Arial"/>
        </w:rPr>
        <w:t>The ACMA is also interested in whether it should investigate the implementation of arrangements for new services in different areas over different timeframes. These timeframes could be developed based on consideration of both demand and incumbency issues. Such an approach would facilitate access to the band by new services and provide time for a possible relocation of incumbent services. As an example, the focus could be on implementing arrangements in some or all metropolitan areas initially, and then progressively work out to regional and remote areas. In other words, consider geographical scenario b, c or d initially but expand the defined geographical areas over time.</w:t>
      </w:r>
    </w:p>
    <w:p w14:paraId="5915571D" w14:textId="45452524" w:rsidR="00AD2273" w:rsidRDefault="00AD2273" w:rsidP="00585A42">
      <w:pPr>
        <w:pStyle w:val="ACMAFigureHeader"/>
        <w:keepNext/>
      </w:pPr>
      <w:r>
        <w:lastRenderedPageBreak/>
        <w:t>Geographical areas defined for 3700–4200 MHz band analysis</w:t>
      </w:r>
    </w:p>
    <w:p w14:paraId="22BBC848" w14:textId="77777777" w:rsidR="00AD2273" w:rsidRDefault="00AD2273" w:rsidP="00AD2273">
      <w:r>
        <w:rPr>
          <w:noProof/>
        </w:rPr>
        <w:drawing>
          <wp:inline distT="0" distB="0" distL="0" distR="0" wp14:anchorId="2225F0B0" wp14:editId="248F64FC">
            <wp:extent cx="4871085" cy="4146305"/>
            <wp:effectExtent l="0" t="0" r="5715" b="6985"/>
            <wp:docPr id="9" name="Picture 9" descr="Geographical areas defined for 3700–4200 MHz band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4871085" cy="4146305"/>
                    </a:xfrm>
                    <a:prstGeom prst="rect">
                      <a:avLst/>
                    </a:prstGeom>
                  </pic:spPr>
                </pic:pic>
              </a:graphicData>
            </a:graphic>
          </wp:inline>
        </w:drawing>
      </w:r>
    </w:p>
    <w:bookmarkEnd w:id="120"/>
    <w:p w14:paraId="11D48CB0" w14:textId="77777777" w:rsidR="00AD2273" w:rsidRDefault="00AD2273" w:rsidP="00AD2273">
      <w:pPr>
        <w:rPr>
          <w:rFonts w:cs="Arial"/>
          <w:b/>
          <w:bCs/>
          <w:iCs/>
          <w:sz w:val="28"/>
          <w:szCs w:val="28"/>
        </w:rPr>
      </w:pPr>
      <w:r w:rsidRPr="00CC6CCA">
        <w:t xml:space="preserve">Note, as stated in numerous RALIs developed by the ACMA, additional considerations apply to any proposal for an apparatus licence in the </w:t>
      </w:r>
      <w:r>
        <w:t>3700–4200</w:t>
      </w:r>
      <w:r w:rsidRPr="00CC6CCA">
        <w:t xml:space="preserve"> MHz band that is within 150 km the GPOs of Darwin (NT) or Geraldton (WA). The</w:t>
      </w:r>
      <w:r>
        <w:t>se</w:t>
      </w:r>
      <w:r w:rsidRPr="00CC6CCA">
        <w:t xml:space="preserve"> RALI</w:t>
      </w:r>
      <w:r>
        <w:t>s</w:t>
      </w:r>
      <w:r w:rsidRPr="00CC6CCA">
        <w:t xml:space="preserve"> state that any request for assignments within this zone must be referred to the ACMA for assessment. </w:t>
      </w:r>
    </w:p>
    <w:p w14:paraId="04DD68A9" w14:textId="2A5125A4" w:rsidR="00AD2273" w:rsidRDefault="00AD2273" w:rsidP="00AD2273">
      <w:pPr>
        <w:pStyle w:val="Heading2"/>
      </w:pPr>
      <w:bookmarkStart w:id="121" w:name="_Toc16064514"/>
      <w:r>
        <w:t>Spectrum access scenarios</w:t>
      </w:r>
      <w:bookmarkEnd w:id="121"/>
    </w:p>
    <w:p w14:paraId="74AFE164" w14:textId="77777777" w:rsidR="00AD2273" w:rsidRPr="007674D2" w:rsidRDefault="00AD2273" w:rsidP="00585A42">
      <w:pPr>
        <w:spacing w:after="80"/>
      </w:pPr>
      <w:r w:rsidRPr="007674D2">
        <w:t xml:space="preserve">If arrangements are developed for </w:t>
      </w:r>
      <w:r>
        <w:t>new service</w:t>
      </w:r>
      <w:r w:rsidRPr="007674D2">
        <w:t xml:space="preserve"> use in the </w:t>
      </w:r>
      <w:r>
        <w:t>3700–4200</w:t>
      </w:r>
      <w:r w:rsidRPr="007674D2">
        <w:t xml:space="preserve"> MHz band further consideration is required to determine:</w:t>
      </w:r>
    </w:p>
    <w:p w14:paraId="1A66C260" w14:textId="17FCDB92" w:rsidR="00AD2273" w:rsidRPr="00D52E0E" w:rsidRDefault="00AD2273" w:rsidP="00AD2273">
      <w:pPr>
        <w:pStyle w:val="ListBullet"/>
      </w:pPr>
      <w:r w:rsidRPr="00D52E0E">
        <w:t>On what basis should access for new services be provided</w:t>
      </w:r>
      <w:r>
        <w:t>—</w:t>
      </w:r>
      <w:r w:rsidRPr="00D52E0E">
        <w:t xml:space="preserve">shared or exclusive (i.e. arrangements for one service/application type only)? </w:t>
      </w:r>
    </w:p>
    <w:p w14:paraId="733B98E4" w14:textId="5A803ECA" w:rsidR="00AD2273" w:rsidRPr="00D52E0E" w:rsidRDefault="00AD2273" w:rsidP="00AD2273">
      <w:pPr>
        <w:pStyle w:val="ListBulletLast"/>
      </w:pPr>
      <w:r w:rsidRPr="00D52E0E">
        <w:t>What licensing mechanism(s) are appropriate</w:t>
      </w:r>
      <w:r>
        <w:t>—</w:t>
      </w:r>
      <w:r w:rsidRPr="00D52E0E">
        <w:t>spectrum, apparatus or class licensing?</w:t>
      </w:r>
    </w:p>
    <w:p w14:paraId="50654FA0" w14:textId="04F5A18E" w:rsidR="00AD2273" w:rsidRDefault="00AD2273" w:rsidP="00AD2273">
      <w:r>
        <w:t xml:space="preserve">Various combinations of the above access scenarios and licensing mechanisms can be considered for implementation in the 3700–4200 MHz band. However, some combinations are better suited than others to achieve </w:t>
      </w:r>
      <w:r w:rsidR="00AD3D15">
        <w:t xml:space="preserve">a </w:t>
      </w:r>
      <w:proofErr w:type="gramStart"/>
      <w:r w:rsidR="00AD3D15">
        <w:t>particular</w:t>
      </w:r>
      <w:r>
        <w:t xml:space="preserve"> objective</w:t>
      </w:r>
      <w:proofErr w:type="gramEnd"/>
      <w:r>
        <w:t xml:space="preserve">. For example, spectrum licensing is not typically suited to the development of shared access arrangements, nor is class licensing the best choice for exclusive access arrangements for defined users. While apparatus licensing can be adjusted to suite either exclusive or shared access arrangements it cannot be issued for the same duration as a spectrum licence. </w:t>
      </w:r>
    </w:p>
    <w:p w14:paraId="59AC7D12" w14:textId="77777777" w:rsidR="00AD2273" w:rsidRDefault="00AD2273" w:rsidP="00AD2273">
      <w:r>
        <w:t>The identified access scenarios are discussed further below.</w:t>
      </w:r>
    </w:p>
    <w:p w14:paraId="49471479" w14:textId="77777777" w:rsidR="00AD2273" w:rsidRPr="00725C80" w:rsidRDefault="00AD2273" w:rsidP="00585A42">
      <w:pPr>
        <w:pStyle w:val="Heading3"/>
      </w:pPr>
      <w:bookmarkStart w:id="122" w:name="_Toc12016478"/>
      <w:bookmarkStart w:id="123" w:name="_Toc14762839"/>
      <w:bookmarkStart w:id="124" w:name="_Toc16064515"/>
      <w:r w:rsidRPr="00725C80">
        <w:lastRenderedPageBreak/>
        <w:t>Access models</w:t>
      </w:r>
      <w:bookmarkEnd w:id="122"/>
      <w:r w:rsidRPr="00725C80">
        <w:t xml:space="preserve"> for band planning</w:t>
      </w:r>
      <w:bookmarkEnd w:id="123"/>
      <w:bookmarkEnd w:id="124"/>
    </w:p>
    <w:p w14:paraId="46E9463D" w14:textId="77777777" w:rsidR="00AD2273" w:rsidRPr="002F6F8E" w:rsidRDefault="00AD2273" w:rsidP="00AD2273">
      <w:pPr>
        <w:pStyle w:val="BodySubHeader"/>
        <w:spacing w:before="0"/>
        <w:rPr>
          <w:rFonts w:cs="Arial"/>
        </w:rPr>
      </w:pPr>
      <w:r>
        <w:rPr>
          <w:rFonts w:cs="Arial"/>
        </w:rPr>
        <w:t xml:space="preserve">Exclusive access </w:t>
      </w:r>
    </w:p>
    <w:p w14:paraId="7E387BA8" w14:textId="0178CE73" w:rsidR="00AD2273" w:rsidRDefault="00AD2273" w:rsidP="00AD2273">
      <w:r w:rsidRPr="007674D2">
        <w:t xml:space="preserve">In the context of this paper, exclusive access refers to </w:t>
      </w:r>
      <w:r>
        <w:t xml:space="preserve">planning </w:t>
      </w:r>
      <w:r w:rsidRPr="007674D2">
        <w:t>arrangements that support a single service</w:t>
      </w:r>
      <w:r>
        <w:t xml:space="preserve"> or application</w:t>
      </w:r>
      <w:r w:rsidRPr="007674D2">
        <w:t xml:space="preserve"> type</w:t>
      </w:r>
      <w:r>
        <w:t xml:space="preserve"> </w:t>
      </w:r>
      <w:r w:rsidRPr="007674D2">
        <w:t xml:space="preserve">in a defined area and frequency range. </w:t>
      </w:r>
      <w:r w:rsidR="00246554" w:rsidRPr="007674D2">
        <w:t>Typically,</w:t>
      </w:r>
      <w:r w:rsidRPr="007674D2">
        <w:t xml:space="preserve"> exclusive access arrangements for </w:t>
      </w:r>
      <w:r>
        <w:t>a service</w:t>
      </w:r>
      <w:r w:rsidRPr="007674D2">
        <w:t xml:space="preserve"> are implemented via either the development of a </w:t>
      </w:r>
      <w:r>
        <w:t xml:space="preserve">local area </w:t>
      </w:r>
      <w:r w:rsidRPr="007674D2">
        <w:t>apparatus licensing model or a spectrum licen</w:t>
      </w:r>
      <w:r>
        <w:t>s</w:t>
      </w:r>
      <w:r w:rsidRPr="007674D2">
        <w:t>ing model</w:t>
      </w:r>
      <w:r>
        <w:t xml:space="preserve"> in a clearly defined interference management environment</w:t>
      </w:r>
      <w:r w:rsidRPr="007674D2">
        <w:t>. An exclusive access model requires the clearing of incumbent services in affected spectrum and geographic areas.</w:t>
      </w:r>
      <w:r>
        <w:t xml:space="preserve"> </w:t>
      </w:r>
    </w:p>
    <w:p w14:paraId="57ECD2A4" w14:textId="77777777" w:rsidR="00AD2273" w:rsidRPr="002F6F8E" w:rsidRDefault="00AD2273" w:rsidP="00AD2273">
      <w:pPr>
        <w:pStyle w:val="BodySubHeader"/>
      </w:pPr>
      <w:r>
        <w:rPr>
          <w:rFonts w:cs="Arial"/>
        </w:rPr>
        <w:t>Shared access</w:t>
      </w:r>
    </w:p>
    <w:p w14:paraId="3359CC19" w14:textId="77777777" w:rsidR="00AD2273" w:rsidRDefault="00AD2273" w:rsidP="00AD2273">
      <w:r>
        <w:t xml:space="preserve">The ACMA acknowledges there could be continued interest and demand from numerous incumbent services to continue operating in the 3700–4200 MHz band into the future. It may also not be practical for some incumbent services to relocate to new spectrum, areas or alternative means of delivery. One scenario to enable such services to continue operating and support the introduction of new services is to develop shared access planning arrangements in the band. </w:t>
      </w:r>
    </w:p>
    <w:p w14:paraId="16F7B1DA" w14:textId="77777777" w:rsidR="00AD2273" w:rsidRDefault="00AD2273" w:rsidP="00AD2273">
      <w:r>
        <w:t>As with all forms of resource sharing, spectrum sharing requires some degree of compromise between multiple spectrum uses (that is, services or applications) and users (individual licensees) accessing the shared spectrum.</w:t>
      </w:r>
    </w:p>
    <w:p w14:paraId="376EB8B6" w14:textId="77777777" w:rsidR="00AD2273" w:rsidRDefault="00AD2273" w:rsidP="00AD2273">
      <w:pPr>
        <w:spacing w:after="80"/>
      </w:pPr>
      <w:r>
        <w:t>Sharing can take many different forms. At its most basic level, it could allow certain services or licences to continue operating in the 3700–4200 MHz band after new services have been introduced. Such operation may be on a primary or secondary basis, or alternatively a multi-tiered access sharing arrangement could be developed:</w:t>
      </w:r>
    </w:p>
    <w:p w14:paraId="2DB0E0A8" w14:textId="77777777" w:rsidR="00AD2273" w:rsidRPr="00C121D0" w:rsidRDefault="00AD2273" w:rsidP="00AD2273">
      <w:pPr>
        <w:pStyle w:val="ListBullet"/>
      </w:pPr>
      <w:r w:rsidRPr="00C121D0">
        <w:t>If a service type or specified licence(s) continue</w:t>
      </w:r>
      <w:r>
        <w:t>s</w:t>
      </w:r>
      <w:r w:rsidRPr="00C121D0">
        <w:t xml:space="preserve"> to operate on a primary basis, any new services would need </w:t>
      </w:r>
      <w:r>
        <w:t xml:space="preserve">to </w:t>
      </w:r>
      <w:r w:rsidRPr="00C121D0">
        <w:t>ensure they do not cause unacceptable interference to them.</w:t>
      </w:r>
      <w:r>
        <w:t xml:space="preserve"> This w</w:t>
      </w:r>
      <w:r w:rsidRPr="00C121D0">
        <w:t xml:space="preserve">ould allow incumbent licensees to continue operating </w:t>
      </w:r>
      <w:r>
        <w:t xml:space="preserve">in the 3700–4200 MHz band </w:t>
      </w:r>
      <w:r w:rsidRPr="00C121D0">
        <w:t xml:space="preserve">unaffected by any re-farming activities. </w:t>
      </w:r>
    </w:p>
    <w:p w14:paraId="75A74BE5" w14:textId="77777777" w:rsidR="00AD2273" w:rsidRPr="00C121D0" w:rsidRDefault="00AD2273" w:rsidP="00AD2273">
      <w:pPr>
        <w:pStyle w:val="ListBullet"/>
      </w:pPr>
      <w:r w:rsidRPr="00C121D0">
        <w:t>If a service type or specified licence(s) continue</w:t>
      </w:r>
      <w:r>
        <w:t>s</w:t>
      </w:r>
      <w:r w:rsidRPr="00C121D0">
        <w:t xml:space="preserve"> to operate on a secondary basis, they must not cause unacceptable interfer</w:t>
      </w:r>
      <w:r>
        <w:t>ence to, nor claim protection from, primary services. This w</w:t>
      </w:r>
      <w:r w:rsidRPr="00C121D0">
        <w:t>ould allow incumbent licensees to continue operating in the band</w:t>
      </w:r>
      <w:r>
        <w:t>,</w:t>
      </w:r>
      <w:r w:rsidRPr="00C121D0">
        <w:t xml:space="preserve"> until </w:t>
      </w:r>
      <w:r>
        <w:t>a primary user</w:t>
      </w:r>
      <w:r w:rsidRPr="00C121D0">
        <w:t xml:space="preserve"> </w:t>
      </w:r>
      <w:r>
        <w:t xml:space="preserve">deployed </w:t>
      </w:r>
      <w:r w:rsidRPr="00C121D0">
        <w:t xml:space="preserve">services in the same (or potentially nearby) area. </w:t>
      </w:r>
    </w:p>
    <w:p w14:paraId="2E17793E" w14:textId="5CBB16FC" w:rsidR="00AD2273" w:rsidRPr="00C121D0" w:rsidRDefault="00AD2273" w:rsidP="00AD2273">
      <w:pPr>
        <w:pStyle w:val="ListBulletLast"/>
      </w:pPr>
      <w:r w:rsidRPr="00C121D0">
        <w:t>In a multi-tiered approach</w:t>
      </w:r>
      <w:r>
        <w:t>,</w:t>
      </w:r>
      <w:r w:rsidRPr="00C121D0">
        <w:t xml:space="preserve"> primary, secondary, tertiary and potentially more levels are defined for different services types or specified licences.</w:t>
      </w:r>
      <w:r>
        <w:t xml:space="preserve">  For example, such an approach was adopted</w:t>
      </w:r>
      <w:r>
        <w:rPr>
          <w:rStyle w:val="FootnoteReference"/>
        </w:rPr>
        <w:footnoteReference w:id="34"/>
      </w:r>
      <w:r>
        <w:t xml:space="preserve"> by the FCC in relation to the 3.5 GHz band Citizens Broadband Radio Service (CBRS). Incumbent Access Users are protected from interference from lower tier Priority Access and General Authorised Access (GAA) tiers. </w:t>
      </w:r>
      <w:r w:rsidRPr="00950EE4">
        <w:t>GAA users are permitted to use any portion of the 3.5 GHz band not assigned to a higher tier user</w:t>
      </w:r>
      <w:r>
        <w:t xml:space="preserve"> and</w:t>
      </w:r>
      <w:r w:rsidRPr="00950EE4">
        <w:t xml:space="preserve"> may also operate opportunistically on unused Priority Access channels.</w:t>
      </w:r>
    </w:p>
    <w:p w14:paraId="55930C79" w14:textId="77777777" w:rsidR="00AD2273" w:rsidRPr="00C121D0" w:rsidRDefault="00AD2273" w:rsidP="00AD2273">
      <w:pPr>
        <w:pStyle w:val="ListBulletLast"/>
        <w:numPr>
          <w:ilvl w:val="0"/>
          <w:numId w:val="0"/>
        </w:numPr>
      </w:pPr>
      <w:r>
        <w:t xml:space="preserve">A future, dynamic shared access, regime may also be possible in the 3700–4200 MHz band. The FCC decision in relation to CBRS use of the 3.5 GHz band was based on a dynamic spectrum access model which uses an automated frequency coordinator and </w:t>
      </w:r>
      <w:r>
        <w:lastRenderedPageBreak/>
        <w:t>a sensor network that detects certain transmissions</w:t>
      </w:r>
      <w:r>
        <w:rPr>
          <w:rStyle w:val="FootnoteReference"/>
        </w:rPr>
        <w:footnoteReference w:id="35"/>
      </w:r>
      <w:r>
        <w:t xml:space="preserve">. It may be possible to make use of the concepts developed for CBRS and equipment developed to support it, to implement a dynamic sharing model that is optimised for Australia’s specific circumstances in the 3700–4200 MHz band. </w:t>
      </w:r>
    </w:p>
    <w:p w14:paraId="05526CB4" w14:textId="6239955A" w:rsidR="00AD2273" w:rsidRDefault="00AD2273" w:rsidP="00AD2273">
      <w:r>
        <w:t xml:space="preserve">Other approaches to sharing include coordination of new and incumbent services by providing adequate geographical and frequency separation between stations, which is the traditional method used for sharing. This facilitates exclusive access for services in specific frequency ranges and geographic areas by reducing interference to an acceptable level. This could allow an incumbent service to continue operating in the band by ensuring </w:t>
      </w:r>
      <w:proofErr w:type="gramStart"/>
      <w:r>
        <w:t>sufficient</w:t>
      </w:r>
      <w:proofErr w:type="gramEnd"/>
      <w:r>
        <w:t xml:space="preserve"> geographical/spectral separation from new services, or by moving it to a different location. The latter approach may not be a practical solution in many cases, particularly for those services that are area/location specific. This approach mirrors the existing apparatus licence arrangements in the band for licensing earth stations and point-to-point links in the 3700–4200 MHz band. It is also the approach taken in the 1800 MHz, 2.1 GHz and 3.6 GHz (remote areas only) bands to support WBB use. </w:t>
      </w:r>
    </w:p>
    <w:p w14:paraId="56238F10" w14:textId="6A1A1102" w:rsidR="00561D1F" w:rsidRDefault="00561D1F" w:rsidP="00585A42">
      <w:pPr>
        <w:spacing w:after="120"/>
      </w:pPr>
      <w:r>
        <w:t>The approach taken by Ofcom in the 3</w:t>
      </w:r>
      <w:r w:rsidR="000606E4">
        <w:t>8</w:t>
      </w:r>
      <w:r>
        <w:t>00–4200 MHz band</w:t>
      </w:r>
      <w:r>
        <w:fldChar w:fldCharType="begin"/>
      </w:r>
      <w:r>
        <w:instrText xml:space="preserve"> NOTEREF _Ref15023435 \f \h </w:instrText>
      </w:r>
      <w:r>
        <w:fldChar w:fldCharType="separate"/>
      </w:r>
      <w:r w:rsidR="007C4626" w:rsidRPr="0059006D">
        <w:rPr>
          <w:rStyle w:val="FootnoteReference"/>
        </w:rPr>
        <w:t>21</w:t>
      </w:r>
      <w:r>
        <w:fldChar w:fldCharType="end"/>
      </w:r>
      <w:r>
        <w:t xml:space="preserve"> enables sharing through the introduction of two licence types coordinated by a first come first served arrangement</w:t>
      </w:r>
      <w:r w:rsidR="00367A4D">
        <w:t xml:space="preserve"> with incumbent services</w:t>
      </w:r>
      <w:r>
        <w:t>:</w:t>
      </w:r>
    </w:p>
    <w:p w14:paraId="07B6405D" w14:textId="442EE0BB" w:rsidR="00561D1F" w:rsidRPr="00C121D0" w:rsidRDefault="00561D1F" w:rsidP="00561D1F">
      <w:pPr>
        <w:pStyle w:val="ListBullet"/>
      </w:pPr>
      <w:r>
        <w:t>A low power area license authorising any number of base stations within 50m of a specified location</w:t>
      </w:r>
      <w:r w:rsidRPr="00C121D0">
        <w:t xml:space="preserve">. </w:t>
      </w:r>
    </w:p>
    <w:p w14:paraId="7E2C6967" w14:textId="418466B3" w:rsidR="00367A4D" w:rsidRDefault="00561D1F" w:rsidP="00561D1F">
      <w:pPr>
        <w:pStyle w:val="ListBullet"/>
      </w:pPr>
      <w:r>
        <w:t xml:space="preserve">A medium power per base station licence in rural areas only, </w:t>
      </w:r>
      <w:r w:rsidR="00367A4D">
        <w:t>where mobile terminal locations must be recorded by the licensee.</w:t>
      </w:r>
    </w:p>
    <w:p w14:paraId="75CFD76B" w14:textId="4E630F27" w:rsidR="00561D1F" w:rsidRPr="00C121D0" w:rsidRDefault="00367A4D" w:rsidP="00585A42">
      <w:pPr>
        <w:pStyle w:val="ListBullet"/>
        <w:spacing w:after="240"/>
      </w:pPr>
      <w:r>
        <w:t>Synchronisation between users, and between WBB services in adjacent bands was not made mandatory.</w:t>
      </w:r>
      <w:r w:rsidR="00561D1F" w:rsidRPr="00C121D0">
        <w:t xml:space="preserve"> </w:t>
      </w:r>
    </w:p>
    <w:p w14:paraId="4620FAB3" w14:textId="77777777" w:rsidR="00AD2273" w:rsidRDefault="00AD2273" w:rsidP="00AD2273">
      <w:r>
        <w:t xml:space="preserve">When considering if and how to implement sharing arrangements, the best solution may be different for different services/applications and/or licence types. The ACMA is open to hearing about all practical solutions. </w:t>
      </w:r>
    </w:p>
    <w:p w14:paraId="061DD774" w14:textId="5329F509" w:rsidR="00AD2273" w:rsidRDefault="00AD2273" w:rsidP="00AD2273">
      <w:pPr>
        <w:pStyle w:val="Heading2"/>
      </w:pPr>
      <w:bookmarkStart w:id="125" w:name="_Toc16064516"/>
      <w:r>
        <w:t>Compatibility with adjacent band services</w:t>
      </w:r>
      <w:bookmarkEnd w:id="125"/>
    </w:p>
    <w:p w14:paraId="366FA6F9" w14:textId="71B2B33E" w:rsidR="00AD2273" w:rsidRPr="00F067D1" w:rsidRDefault="00AD2273" w:rsidP="00585A42">
      <w:pPr>
        <w:pStyle w:val="Heading3"/>
      </w:pPr>
      <w:bookmarkStart w:id="126" w:name="_Toc12016480"/>
      <w:bookmarkStart w:id="127" w:name="_Toc14762841"/>
      <w:bookmarkStart w:id="128" w:name="_Toc16064517"/>
      <w:r w:rsidRPr="00F067D1">
        <w:t>3575–3700 MHz band</w:t>
      </w:r>
      <w:bookmarkEnd w:id="126"/>
      <w:bookmarkEnd w:id="127"/>
      <w:bookmarkEnd w:id="128"/>
    </w:p>
    <w:p w14:paraId="74656BEE" w14:textId="6F9338D9" w:rsidR="00AD2273" w:rsidRPr="007674D2" w:rsidRDefault="00AD2273" w:rsidP="00AD2273">
      <w:pPr>
        <w:spacing w:after="80"/>
      </w:pPr>
      <w:r w:rsidRPr="007674D2">
        <w:t>The following arrangements are in place in the 3575</w:t>
      </w:r>
      <w:r>
        <w:t>–</w:t>
      </w:r>
      <w:r w:rsidRPr="007674D2">
        <w:t>3700 MHz (3.6 GHz) band:</w:t>
      </w:r>
    </w:p>
    <w:p w14:paraId="71EA829E" w14:textId="77777777" w:rsidR="00AD2273" w:rsidRPr="007674D2" w:rsidRDefault="00AD2273" w:rsidP="00AD2273">
      <w:pPr>
        <w:pStyle w:val="ListBullet"/>
      </w:pPr>
      <w:r w:rsidRPr="007674D2">
        <w:t>In metro</w:t>
      </w:r>
      <w:r>
        <w:t>politan</w:t>
      </w:r>
      <w:r w:rsidRPr="007674D2">
        <w:t xml:space="preserve"> and regional areas, the band has been re-allocated for spectrum licensing. Licences were auctioned in 2018 and will commence on 30 March 2020. </w:t>
      </w:r>
      <w:r>
        <w:t xml:space="preserve"> The spectrum licence technical framework was optimised to support Time Division Duplex (TDD) WBB services including 5G. </w:t>
      </w:r>
      <w:r w:rsidDel="00DA6714">
        <w:t xml:space="preserve">The ACMA has implemented arrangements for early access to the band by successful bidders via the issue of apparatus licences. </w:t>
      </w:r>
      <w:r>
        <w:t xml:space="preserve">A condition is that service deployment must be consistent with the spectrum licence technical framework and incumbent apparatus licensed services (including FSS earth stations and point-to-multipoint (PMP) licensees) must be protected. Incumbent apparatus licences will not be renewed beyond the re-allocation period defined by the Minister for Communications. This period ends on 30 March 2020 for major metropolitan areas (excluding Perth), 30 March 2023 for Perth and 30 March 2025 for regional areas. </w:t>
      </w:r>
    </w:p>
    <w:p w14:paraId="4CA1DCA9" w14:textId="1294C003" w:rsidR="00AD2273" w:rsidRDefault="00AD2273" w:rsidP="00585A42">
      <w:pPr>
        <w:pStyle w:val="ListBulletLast"/>
      </w:pPr>
      <w:r w:rsidRPr="007674D2">
        <w:lastRenderedPageBreak/>
        <w:t xml:space="preserve">In remote areas </w:t>
      </w:r>
      <w:r>
        <w:t xml:space="preserve">there are arrangements for PMP apparatus licensing in place. These are used to provide fixed and mobile WBB services. There are also arrangements for FSS earth stations and the ACMA has defined </w:t>
      </w:r>
      <w:r w:rsidR="007F56FE">
        <w:t>several</w:t>
      </w:r>
      <w:r>
        <w:t xml:space="preserve"> earth station protection zones that are reserved for satellite service use only. Amateur services operate in the 3575–3600 MHz band on a secondary basis. This means they operate on the basis that they cannot cause interference to or claim protection from interference from primary services, including PMP licences. </w:t>
      </w:r>
    </w:p>
    <w:p w14:paraId="789B2392" w14:textId="77777777" w:rsidR="00AD2273" w:rsidRPr="007674D2" w:rsidRDefault="00AD2273" w:rsidP="00585A42">
      <w:pPr>
        <w:pStyle w:val="Heading3"/>
      </w:pPr>
      <w:bookmarkStart w:id="129" w:name="_Toc14762842"/>
      <w:bookmarkStart w:id="130" w:name="_Toc16064518"/>
      <w:r w:rsidRPr="007674D2">
        <w:t>Metro</w:t>
      </w:r>
      <w:r>
        <w:t>politan</w:t>
      </w:r>
      <w:r w:rsidRPr="007674D2">
        <w:t xml:space="preserve"> and regional areas</w:t>
      </w:r>
      <w:bookmarkEnd w:id="129"/>
      <w:bookmarkEnd w:id="130"/>
    </w:p>
    <w:p w14:paraId="72B0929E" w14:textId="77777777" w:rsidR="00AD2273" w:rsidRDefault="00AD2273" w:rsidP="00AD2273">
      <w:pPr>
        <w:pStyle w:val="ListBullet"/>
        <w:numPr>
          <w:ilvl w:val="0"/>
          <w:numId w:val="0"/>
        </w:numPr>
        <w:spacing w:after="240"/>
      </w:pPr>
      <w:r>
        <w:t xml:space="preserve">Interference between 3.6 GHz band spectrum licensees is managed via a synchronisation condition on their licences. This condition requires licensees, in the event they cause interference to another licensee and agreement cannot be reached on how to manage it, to synchronise the operation of the affected services (referred to as the synchronisation requirement). For convenience this condition is reproduced at Appendix 3. </w:t>
      </w:r>
    </w:p>
    <w:p w14:paraId="7AF5BDE4" w14:textId="77777777" w:rsidR="00AD2273" w:rsidRDefault="00AD2273" w:rsidP="00AD2273">
      <w:pPr>
        <w:pStyle w:val="ListBullet"/>
        <w:numPr>
          <w:ilvl w:val="0"/>
          <w:numId w:val="0"/>
        </w:numPr>
      </w:pPr>
      <w:r>
        <w:t xml:space="preserve">If arrangements for WBB specifically are implemented in the 3700–4200 MHz band, the ACMA considers that: </w:t>
      </w:r>
    </w:p>
    <w:p w14:paraId="4082D5D4" w14:textId="58D88633" w:rsidR="00AD2273" w:rsidRDefault="00AD2273" w:rsidP="00AD2273">
      <w:pPr>
        <w:pStyle w:val="ListBullet"/>
        <w:spacing w:before="80"/>
      </w:pPr>
      <w:r>
        <w:t xml:space="preserve">Applying the synchronisation requirement to any WBB use in the 3700–4200 MHz band will be </w:t>
      </w:r>
      <w:proofErr w:type="gramStart"/>
      <w:r>
        <w:t>sufficient</w:t>
      </w:r>
      <w:proofErr w:type="gramEnd"/>
      <w:r>
        <w:t xml:space="preserve"> to manage interference between 3.6 GHz band spectrum licences. This also avoids the need for large guard bands and/or the fitting of filters to systems to manage interference. This can be complicated and costly to incorporate into new active antenna systems.</w:t>
      </w:r>
    </w:p>
    <w:p w14:paraId="7652058C" w14:textId="157F7441" w:rsidR="00AD2273" w:rsidRDefault="00AD2273" w:rsidP="00AD2273">
      <w:pPr>
        <w:pStyle w:val="ListBullet"/>
        <w:spacing w:after="240"/>
      </w:pPr>
      <w:r>
        <w:t xml:space="preserve">Interference to incumbent FSS earth station and PMP apparatus licences could be managed via the same mechanisms used by 3.6 GHz band spectrum licensees. These are defined in the </w:t>
      </w:r>
      <w:hyperlink r:id="rId57" w:history="1">
        <w:r w:rsidRPr="007674D2">
          <w:rPr>
            <w:rStyle w:val="Hyperlink"/>
            <w:i/>
          </w:rPr>
          <w:t>Radiocommunications Advisory Guidelines (Managing Interference from Spectrum Licensed Transmitters—3.4 GHz Band) 2015</w:t>
        </w:r>
      </w:hyperlink>
      <w:r>
        <w:t xml:space="preserve">. It is noted that, pending identification of the frequencies made available for WBB use, the assumed filter performance of FSS earth stations in these guidelines may need to be reviewed. </w:t>
      </w:r>
    </w:p>
    <w:p w14:paraId="43ABBC67" w14:textId="77777777" w:rsidR="00AD2273" w:rsidRPr="007674D2" w:rsidRDefault="00AD2273" w:rsidP="00585A42">
      <w:pPr>
        <w:pStyle w:val="BodySubHeader"/>
      </w:pPr>
      <w:r w:rsidRPr="007674D2">
        <w:t>Remote areas</w:t>
      </w:r>
    </w:p>
    <w:p w14:paraId="2E678EAA" w14:textId="4F6B05BB" w:rsidR="00AD2273" w:rsidRDefault="00AD2273" w:rsidP="00AD2273">
      <w:r w:rsidRPr="007674D2">
        <w:t xml:space="preserve">Frequency assignment requirements for PMP apparatus licences are contained in </w:t>
      </w:r>
      <w:r w:rsidRPr="00342867">
        <w:t>RALI FX19</w:t>
      </w:r>
      <w:r w:rsidRPr="00342867">
        <w:rPr>
          <w:rFonts w:cs="Arial"/>
        </w:rPr>
        <w:t>—</w:t>
      </w:r>
      <w:hyperlink r:id="rId58" w:history="1">
        <w:r w:rsidRPr="007674D2">
          <w:rPr>
            <w:rStyle w:val="Hyperlink"/>
            <w:i/>
          </w:rPr>
          <w:t>Frequency Coordination and Licensing Procedures for apparatus licensed Broadband Wireless Access Services in the 1900–1920 and 3575–3700 MHz band</w:t>
        </w:r>
      </w:hyperlink>
      <w:r>
        <w:t xml:space="preserve">. Adjacent channel interference between PMP apparatus licences is managed by clause 11T of the </w:t>
      </w:r>
      <w:hyperlink r:id="rId59" w:history="1">
        <w:r w:rsidRPr="00585A42">
          <w:rPr>
            <w:rStyle w:val="Hyperlink"/>
          </w:rPr>
          <w:t>Radiocommunications Licence Conditions (Fixed Licence) Determination 2015</w:t>
        </w:r>
      </w:hyperlink>
      <w:r>
        <w:t xml:space="preserve">. This condition states that it is up to licensees to manage interference between TDD WBB systems. There are various mechanisms to achieve this, including synchronising the operation of devices. </w:t>
      </w:r>
    </w:p>
    <w:p w14:paraId="55D8E207" w14:textId="77777777" w:rsidR="00AD2273" w:rsidRDefault="00AD2273" w:rsidP="00AD2273">
      <w:r>
        <w:t xml:space="preserve">The ACMA recognises this typically requires negotiation between licensees that deploy services in the same or nearby area. Due to the low density of deployments it is considered an effective and flexible means of managing interference. If arrangements for WBB are implemented in the 3700–4200 MHz band, the ACMA considers that adopting this technique would be suitable for managing adjacent band interference. </w:t>
      </w:r>
    </w:p>
    <w:p w14:paraId="7C641150" w14:textId="57C7B079" w:rsidR="00AD2273" w:rsidRDefault="00AD2273" w:rsidP="00AD2273">
      <w:r>
        <w:t xml:space="preserve">Interference to FSS earth stations can be managed by same approach used by 3.6 GHz band spectrum licences in metropolitan and regional areas. The relevant protection criteria is defined in the </w:t>
      </w:r>
      <w:hyperlink r:id="rId60" w:history="1">
        <w:r w:rsidRPr="00CC7BD0">
          <w:rPr>
            <w:rStyle w:val="Hyperlink"/>
            <w:i/>
          </w:rPr>
          <w:t>Radiocommunications Advisory Guidelines (Managing Interference from Spectrum Licensed Transmitters—3.4 GHz Band) 2015</w:t>
        </w:r>
      </w:hyperlink>
      <w:r>
        <w:t xml:space="preserve">.  </w:t>
      </w:r>
    </w:p>
    <w:p w14:paraId="0BAA2CB2" w14:textId="349685D4" w:rsidR="00AD2273" w:rsidRDefault="00AD2273" w:rsidP="00AD2273">
      <w:pPr>
        <w:pStyle w:val="questionstyle"/>
      </w:pPr>
      <w:bookmarkStart w:id="131" w:name="_Ref12002632"/>
      <w:bookmarkStart w:id="132" w:name="_Toc12278961"/>
      <w:bookmarkStart w:id="133" w:name="_Toc15973852"/>
      <w:r w:rsidRPr="00DC680D">
        <w:t xml:space="preserve">If arrangements for WBB specifically </w:t>
      </w:r>
      <w:r w:rsidRPr="00AD2273">
        <w:t xml:space="preserve">are implemented in the 3700–4200 MHz band, are the proposed interference management techniques with services in the 3.6 GHz band suitable? Are any other techniques </w:t>
      </w:r>
      <w:r w:rsidRPr="00AD2273">
        <w:lastRenderedPageBreak/>
        <w:t>proposed? Are there any other compatibility issues with the 3.6 GHz band the ACMA should consider?</w:t>
      </w:r>
      <w:bookmarkEnd w:id="131"/>
      <w:bookmarkEnd w:id="132"/>
      <w:bookmarkEnd w:id="133"/>
    </w:p>
    <w:p w14:paraId="19C3136F" w14:textId="77777777" w:rsidR="00AD2273" w:rsidRPr="00DE5336" w:rsidRDefault="00AD2273" w:rsidP="00AD2273">
      <w:pPr>
        <w:pStyle w:val="BodySubHeader"/>
        <w:rPr>
          <w:highlight w:val="yellow"/>
        </w:rPr>
      </w:pPr>
      <w:r w:rsidRPr="00DE5336">
        <w:t>Aligning use across the 3400–3800 MHz band</w:t>
      </w:r>
    </w:p>
    <w:p w14:paraId="6BCD499C" w14:textId="0ACCB7DB" w:rsidR="00AD2273" w:rsidRDefault="00AD2273" w:rsidP="00AD2273">
      <w:r>
        <w:t>In submissions to the draft FYSO 2019–20, MNO’s indicated an interest in making the 3700–3800 MHz band available for spectrum licensing in the same areas identified for 3.6 GHz band spectrum licences. It was argued that doing so would facilitate licensees gaining access to 100 MHz of contiguous spectrum holdings</w:t>
      </w:r>
      <w:r>
        <w:rPr>
          <w:rStyle w:val="FootnoteReference"/>
        </w:rPr>
        <w:footnoteReference w:id="36"/>
      </w:r>
      <w:r>
        <w:t xml:space="preserve"> across the broader 3400–3800 MHz band, which is within the tuneable frequency range of most existing 5G equipment. Of course, this could only be achieved by trading and re-arranging spectrum holdings via the agreement of licensees. </w:t>
      </w:r>
    </w:p>
    <w:p w14:paraId="3D8DE008" w14:textId="50E92BC4" w:rsidR="00AD2273" w:rsidRDefault="00AD2273" w:rsidP="00AD2273">
      <w:r w:rsidRPr="00A53D71">
        <w:t>There is also the potential to extend the existing 3.6 GHz band PMP arrangements in remote areas above 3700 MHz as well. This would provide access to more spectrum for PMP use for multiple operators and/or higher capacity services.</w:t>
      </w:r>
    </w:p>
    <w:p w14:paraId="1C40E1B6" w14:textId="3A33ECCB" w:rsidR="00AD2273" w:rsidRDefault="00AD2273" w:rsidP="00AD2273">
      <w:pPr>
        <w:pStyle w:val="questionstyle"/>
      </w:pPr>
      <w:bookmarkStart w:id="134" w:name="_Ref12003058"/>
      <w:bookmarkStart w:id="135" w:name="_Toc12278962"/>
      <w:bookmarkStart w:id="136" w:name="_Toc15973853"/>
      <w:r w:rsidRPr="00DC680D">
        <w:t xml:space="preserve">Should the ACMA consider extending existing apparatus and spectrum licence arrangements in the 3.6 GHz band into the </w:t>
      </w:r>
      <w:r w:rsidRPr="00AD2273">
        <w:t>3700–3800 MHz band or another segment of the 3700–4200 MHz band?</w:t>
      </w:r>
      <w:bookmarkEnd w:id="134"/>
      <w:bookmarkEnd w:id="135"/>
      <w:bookmarkEnd w:id="136"/>
    </w:p>
    <w:p w14:paraId="63329F7A" w14:textId="6AB60DD2" w:rsidR="00AD2273" w:rsidRPr="00CC6CCA" w:rsidRDefault="00AD2273" w:rsidP="00AD2273">
      <w:pPr>
        <w:pStyle w:val="Heading3"/>
        <w:spacing w:before="240"/>
      </w:pPr>
      <w:bookmarkStart w:id="137" w:name="_Toc12016481"/>
      <w:bookmarkStart w:id="138" w:name="_Toc14762843"/>
      <w:bookmarkStart w:id="139" w:name="_Toc16064519"/>
      <w:r w:rsidRPr="00CC6CCA">
        <w:t>4200</w:t>
      </w:r>
      <w:r>
        <w:t>–</w:t>
      </w:r>
      <w:r w:rsidRPr="00CC6CCA">
        <w:t>4400 MHz</w:t>
      </w:r>
      <w:bookmarkEnd w:id="137"/>
      <w:r>
        <w:t xml:space="preserve"> band</w:t>
      </w:r>
      <w:bookmarkEnd w:id="138"/>
      <w:bookmarkEnd w:id="139"/>
    </w:p>
    <w:p w14:paraId="281CF7F8" w14:textId="6B065D02" w:rsidR="00AD2273" w:rsidRPr="007674D2" w:rsidRDefault="00AD2273" w:rsidP="00AD2273">
      <w:r w:rsidRPr="007674D2">
        <w:t>The ARSP allocates the 4200</w:t>
      </w:r>
      <w:r>
        <w:t>–</w:t>
      </w:r>
      <w:r w:rsidRPr="007674D2">
        <w:t>4400 MHz band to aeronautical radionavigation and aeronautical mobile receive services.</w:t>
      </w:r>
      <w:r w:rsidRPr="00EB0DB3">
        <w:t xml:space="preserve"> </w:t>
      </w:r>
      <w:r>
        <w:t>Aircraft currently operate r</w:t>
      </w:r>
      <w:r>
        <w:rPr>
          <w:rFonts w:cs="Arial"/>
        </w:rPr>
        <w:t xml:space="preserve">adio altimeter systems in the band in order to determine their altitude. </w:t>
      </w:r>
    </w:p>
    <w:p w14:paraId="7A61A71A" w14:textId="6E2AFCE6" w:rsidR="00AD2273" w:rsidRPr="002C06BC" w:rsidRDefault="00AD2273" w:rsidP="00AD2273">
      <w:r w:rsidRPr="002C06BC">
        <w:t>At WRC-15, footnote 436 was added to the aeronautical mobile allocation to state that the 4200</w:t>
      </w:r>
      <w:r>
        <w:t>–</w:t>
      </w:r>
      <w:r w:rsidRPr="002C06BC">
        <w:t>4400 MHz aeronautical mobile service was exclusively for the use of wireless avionics intra-communications (WAIC) to allow for the heavy and expensive wiring used in aircraft to be replaced by wireless systems.</w:t>
      </w:r>
    </w:p>
    <w:p w14:paraId="0F5491A0" w14:textId="77777777" w:rsidR="00AD2273" w:rsidRPr="002C06BC" w:rsidRDefault="00AD2273" w:rsidP="00AD2273">
      <w:r w:rsidRPr="002C06BC">
        <w:t>WRC-15</w:t>
      </w:r>
      <w:r>
        <w:t xml:space="preserve"> also added</w:t>
      </w:r>
      <w:r w:rsidRPr="002C06BC">
        <w:t xml:space="preserve"> footnote 438 to </w:t>
      </w:r>
      <w:r>
        <w:t xml:space="preserve">the </w:t>
      </w:r>
      <w:r w:rsidRPr="002C06BC">
        <w:t>aeronautical radio-navigation</w:t>
      </w:r>
      <w:r w:rsidRPr="003311C0">
        <w:t xml:space="preserve"> allocation</w:t>
      </w:r>
      <w:r>
        <w:t>. This</w:t>
      </w:r>
      <w:r w:rsidRPr="003311C0">
        <w:t xml:space="preserve"> state</w:t>
      </w:r>
      <w:r>
        <w:t>d</w:t>
      </w:r>
      <w:r w:rsidRPr="003311C0">
        <w:t xml:space="preserve"> that the u</w:t>
      </w:r>
      <w:r w:rsidRPr="002C06BC">
        <w:t xml:space="preserve">se of the frequency band 4200–4400 MHz by the aeronautical radionavigation service is reserved exclusively for radio altimeters installed on board aircraft and for the associated transponders on the ground.  </w:t>
      </w:r>
    </w:p>
    <w:p w14:paraId="3A63604C" w14:textId="47903334" w:rsidR="00AD2273" w:rsidRDefault="00AD2273" w:rsidP="00AD2273">
      <w:pPr>
        <w:spacing w:after="120"/>
      </w:pPr>
      <w:r>
        <w:t>T</w:t>
      </w:r>
      <w:r w:rsidRPr="002C06BC">
        <w:t>he ACMA has no</w:t>
      </w:r>
      <w:r>
        <w:t>t yet conducted</w:t>
      </w:r>
      <w:r w:rsidRPr="002C06BC">
        <w:t xml:space="preserve"> </w:t>
      </w:r>
      <w:r>
        <w:t xml:space="preserve">sharing and </w:t>
      </w:r>
      <w:r w:rsidRPr="002C06BC">
        <w:t xml:space="preserve">compatibility </w:t>
      </w:r>
      <w:r>
        <w:t xml:space="preserve">studies between </w:t>
      </w:r>
      <w:r w:rsidRPr="002C06BC">
        <w:t xml:space="preserve">possible WBB use in the </w:t>
      </w:r>
      <w:r>
        <w:t>3700–4200</w:t>
      </w:r>
      <w:r w:rsidRPr="002C06BC">
        <w:t xml:space="preserve"> MHz band </w:t>
      </w:r>
      <w:r>
        <w:t>with WAIC and radio altimeter systems</w:t>
      </w:r>
      <w:r w:rsidRPr="002C06BC">
        <w:t xml:space="preserve"> in the 4200</w:t>
      </w:r>
      <w:r>
        <w:t>–</w:t>
      </w:r>
      <w:r w:rsidRPr="002C06BC">
        <w:t>4400 MHz band.</w:t>
      </w:r>
      <w:r>
        <w:t xml:space="preserve"> However, the ACMA is aware of numerous ITU-R reports and recommendations that provide characteristics of WAIC and radio altimeter systems in the 4200–4400 MHz band. These include:</w:t>
      </w:r>
    </w:p>
    <w:p w14:paraId="11720DCB" w14:textId="02093F4B" w:rsidR="00AD2273" w:rsidRDefault="00AD2273" w:rsidP="00585A42">
      <w:pPr>
        <w:pStyle w:val="ListBullet"/>
      </w:pPr>
      <w:r>
        <w:t>ITU-R reports:</w:t>
      </w:r>
    </w:p>
    <w:p w14:paraId="5F87D17A" w14:textId="22C9EE1F" w:rsidR="00AD2273" w:rsidRDefault="00AD2273" w:rsidP="00585A42">
      <w:pPr>
        <w:pStyle w:val="ListBullet2"/>
      </w:pPr>
      <w:r>
        <w:t xml:space="preserve">M.1186 </w:t>
      </w:r>
      <w:hyperlink r:id="rId61" w:history="1">
        <w:r w:rsidRPr="00295258">
          <w:rPr>
            <w:rStyle w:val="Hyperlink"/>
            <w:rFonts w:cs="Segoe UI"/>
            <w:i/>
          </w:rPr>
          <w:t>Use of frequency band 4 200 MHz to 4 400 MHz by radio altimeters</w:t>
        </w:r>
      </w:hyperlink>
    </w:p>
    <w:p w14:paraId="787C2004" w14:textId="37C0DEC6" w:rsidR="00AD2273" w:rsidRDefault="00AD2273" w:rsidP="00585A42">
      <w:pPr>
        <w:pStyle w:val="ListBullet2"/>
      </w:pPr>
      <w:r>
        <w:t xml:space="preserve">M.2197 </w:t>
      </w:r>
      <w:hyperlink r:id="rId62" w:history="1">
        <w:r w:rsidRPr="00295258">
          <w:rPr>
            <w:rStyle w:val="Hyperlink"/>
            <w:i/>
          </w:rPr>
          <w:t>Technical characteristics and operational objectives for Wireless avionics intra-communications (WAIC)</w:t>
        </w:r>
      </w:hyperlink>
    </w:p>
    <w:p w14:paraId="4CE52C78" w14:textId="7D2F1EA7" w:rsidR="00AD2273" w:rsidRDefault="00AD2273" w:rsidP="00585A42">
      <w:pPr>
        <w:pStyle w:val="ListBullet2"/>
      </w:pPr>
      <w:r>
        <w:t xml:space="preserve">M.2283 </w:t>
      </w:r>
      <w:hyperlink r:id="rId63" w:history="1">
        <w:r w:rsidRPr="00295258">
          <w:rPr>
            <w:rStyle w:val="Hyperlink"/>
            <w:rFonts w:cs="Segoe UI"/>
            <w:i/>
          </w:rPr>
          <w:t>Technical characteristics and spectrum requirements of Wireless Avionics Intra-Communications systems to support their safe operation</w:t>
        </w:r>
      </w:hyperlink>
    </w:p>
    <w:p w14:paraId="0EE7CA8B" w14:textId="13B7ECE0" w:rsidR="00AD2273" w:rsidRDefault="00AD2273" w:rsidP="00585A42">
      <w:pPr>
        <w:pStyle w:val="ListBullet2"/>
        <w:spacing w:after="240"/>
      </w:pPr>
      <w:r>
        <w:t xml:space="preserve">M.2319 </w:t>
      </w:r>
      <w:hyperlink r:id="rId64" w:history="1">
        <w:r w:rsidRPr="00EF2825">
          <w:rPr>
            <w:rStyle w:val="Hyperlink"/>
            <w:rFonts w:cs="Segoe UI"/>
            <w:i/>
          </w:rPr>
          <w:t>Compatibility analysis between wireless avionics intra-communication systems and systems in the existing services in the frequency band 4 200-4 400 MHz</w:t>
        </w:r>
      </w:hyperlink>
    </w:p>
    <w:p w14:paraId="6D51ECE4" w14:textId="31A91E5E" w:rsidR="00AD2273" w:rsidRDefault="00AD2273" w:rsidP="00585A42">
      <w:pPr>
        <w:pStyle w:val="ListBullet"/>
      </w:pPr>
      <w:r>
        <w:lastRenderedPageBreak/>
        <w:t xml:space="preserve">ITU-R recommendations: </w:t>
      </w:r>
    </w:p>
    <w:p w14:paraId="7AF9E215" w14:textId="1206F8C3" w:rsidR="00AD2273" w:rsidRDefault="00AD2273" w:rsidP="00585A42">
      <w:pPr>
        <w:pStyle w:val="ListBullet2"/>
      </w:pPr>
      <w:r>
        <w:t xml:space="preserve">M.2059 </w:t>
      </w:r>
      <w:hyperlink r:id="rId65" w:history="1">
        <w:r w:rsidRPr="00EF2825">
          <w:rPr>
            <w:rStyle w:val="Hyperlink"/>
            <w:i/>
          </w:rPr>
          <w:t>Operational and technical characteristics and protection criteria of radio altimeters utilizing the band 4 200-4 400 MHz</w:t>
        </w:r>
      </w:hyperlink>
    </w:p>
    <w:p w14:paraId="5F633830" w14:textId="30820AD6" w:rsidR="00AD2273" w:rsidRDefault="00AD2273" w:rsidP="00585A42">
      <w:pPr>
        <w:pStyle w:val="ListBullet2"/>
      </w:pPr>
      <w:r>
        <w:t xml:space="preserve">M.2067 </w:t>
      </w:r>
      <w:hyperlink r:id="rId66" w:history="1">
        <w:r w:rsidRPr="00585A42">
          <w:rPr>
            <w:rStyle w:val="Hyperlink"/>
            <w:i/>
            <w:iCs/>
          </w:rPr>
          <w:t>Technical characteristics and protection criteria for Wireless Avionics Intra-Communication systems</w:t>
        </w:r>
      </w:hyperlink>
    </w:p>
    <w:p w14:paraId="7C6F6D50" w14:textId="07E67DDA" w:rsidR="00AD2273" w:rsidRDefault="00AD2273" w:rsidP="00585A42">
      <w:pPr>
        <w:pStyle w:val="ListBullet2"/>
        <w:spacing w:after="240"/>
      </w:pPr>
      <w:r>
        <w:t xml:space="preserve">M.2085 </w:t>
      </w:r>
      <w:hyperlink r:id="rId67" w:history="1">
        <w:r w:rsidRPr="00EF2825">
          <w:rPr>
            <w:rStyle w:val="Hyperlink"/>
            <w:i/>
          </w:rPr>
          <w:t>Technical conditions for the use of wireless avionics intra-communication systems operating in the aeronautical mobile (R) service in the frequency band 4 200- 4 400 MHz</w:t>
        </w:r>
      </w:hyperlink>
      <w:r>
        <w:t xml:space="preserve">. </w:t>
      </w:r>
    </w:p>
    <w:p w14:paraId="5CEEA868" w14:textId="7E5C5315" w:rsidR="00AD2273" w:rsidRDefault="00AD2273" w:rsidP="00AD2273">
      <w:r>
        <w:t>Ofcom also provided the results of their initial compatibility studies between radio altimeters and WBB</w:t>
      </w:r>
      <w:r>
        <w:rPr>
          <w:rStyle w:val="FootnoteReference"/>
        </w:rPr>
        <w:footnoteReference w:id="37"/>
      </w:r>
      <w:r>
        <w:t>. An ICAO study</w:t>
      </w:r>
      <w:r>
        <w:rPr>
          <w:rStyle w:val="FootnoteReference"/>
        </w:rPr>
        <w:footnoteReference w:id="38"/>
      </w:r>
      <w:r>
        <w:t xml:space="preserve"> is also available, as well as a Japanese language study from the SOUMU</w:t>
      </w:r>
      <w:r>
        <w:rPr>
          <w:rStyle w:val="FootnoteReference"/>
        </w:rPr>
        <w:footnoteReference w:id="39"/>
      </w:r>
      <w:r>
        <w:t>. The reports come to different conclusions, consequently the ACMA has commenced an initial compatibility study. Further information is sought from stakeholders to better understand the characteristics and requirements of these systems, as well as potential WBB systems in the 3700–4200 MHz band. This includes any sharing studies that may have been performed. This will assist in determining what spectrum scenarios could be considered for WBB and, if required, the development of appropriate interference management criteria.</w:t>
      </w:r>
    </w:p>
    <w:p w14:paraId="40A165B9" w14:textId="36EC3EBF" w:rsidR="00AD2273" w:rsidRDefault="00AD2273" w:rsidP="00AD2273">
      <w:pPr>
        <w:pStyle w:val="questionstyle"/>
      </w:pPr>
      <w:bookmarkStart w:id="140" w:name="_Ref12002777"/>
      <w:bookmarkStart w:id="141" w:name="_Toc12278964"/>
      <w:bookmarkStart w:id="142" w:name="_Toc15973854"/>
      <w:r w:rsidRPr="00DC680D">
        <w:t>Is there any additional information available that would assist the ACMA in</w:t>
      </w:r>
      <w:r w:rsidRPr="00AD2273">
        <w:t xml:space="preserve"> assessing compatibly of potential new WBB services in the 3700–4200 MHz band with WAIC and radio altimeter systems in the 4200–4400 MHz band?</w:t>
      </w:r>
      <w:bookmarkEnd w:id="140"/>
      <w:bookmarkEnd w:id="141"/>
      <w:bookmarkEnd w:id="142"/>
    </w:p>
    <w:p w14:paraId="418DDF05" w14:textId="7AB1A438" w:rsidR="00AD2273" w:rsidRDefault="00AD2273" w:rsidP="00AD2273"/>
    <w:p w14:paraId="0BF5FDA5" w14:textId="77777777" w:rsidR="00AD2273" w:rsidRDefault="00AD2273" w:rsidP="00AD2273"/>
    <w:p w14:paraId="3879AC81" w14:textId="696926A6" w:rsidR="00AD2273" w:rsidRDefault="00AD2273" w:rsidP="00AD2273">
      <w:pPr>
        <w:pStyle w:val="Heading1"/>
      </w:pPr>
      <w:bookmarkStart w:id="143" w:name="_Toc16064520"/>
      <w:r>
        <w:lastRenderedPageBreak/>
        <w:t>Invitation to comment</w:t>
      </w:r>
      <w:bookmarkEnd w:id="143"/>
    </w:p>
    <w:p w14:paraId="5DC4B121" w14:textId="77777777" w:rsidR="00AD2273" w:rsidRDefault="00AD2273" w:rsidP="00AD2273">
      <w:pPr>
        <w:pStyle w:val="Heading2"/>
      </w:pPr>
      <w:bookmarkStart w:id="144" w:name="_Toc433122131"/>
      <w:bookmarkStart w:id="145" w:name="_Toc348105637"/>
      <w:bookmarkStart w:id="146" w:name="_Toc300909556"/>
      <w:bookmarkStart w:id="147" w:name="_Toc298924673"/>
      <w:bookmarkStart w:id="148" w:name="_Toc12016483"/>
      <w:bookmarkStart w:id="149" w:name="_Toc14762845"/>
      <w:bookmarkStart w:id="150" w:name="_Toc348105638"/>
      <w:bookmarkStart w:id="151" w:name="_Toc300909557"/>
      <w:bookmarkStart w:id="152" w:name="_Toc298924674"/>
      <w:bookmarkStart w:id="153" w:name="_Toc274296357"/>
      <w:bookmarkStart w:id="154" w:name="_Toc16064521"/>
      <w:r>
        <w:t>Making a submission</w:t>
      </w:r>
      <w:bookmarkEnd w:id="144"/>
      <w:bookmarkEnd w:id="145"/>
      <w:bookmarkEnd w:id="146"/>
      <w:bookmarkEnd w:id="147"/>
      <w:bookmarkEnd w:id="148"/>
      <w:bookmarkEnd w:id="149"/>
      <w:bookmarkEnd w:id="154"/>
    </w:p>
    <w:p w14:paraId="5DCC196D" w14:textId="77777777" w:rsidR="00AD2273" w:rsidRDefault="00AD2273" w:rsidP="00585A42">
      <w:pPr>
        <w:spacing w:after="80"/>
      </w:pPr>
      <w:r>
        <w:t xml:space="preserve">The ACMA invites comments on the issues set out in this discussion paper. </w:t>
      </w:r>
    </w:p>
    <w:p w14:paraId="79F84DA6" w14:textId="3076B9F6" w:rsidR="00AD2273" w:rsidRDefault="005F3F45" w:rsidP="00AD2273">
      <w:pPr>
        <w:pStyle w:val="ListBullet"/>
      </w:pPr>
      <w:hyperlink r:id="rId68" w:history="1">
        <w:r w:rsidR="00AD2273">
          <w:rPr>
            <w:rStyle w:val="Hyperlink"/>
          </w:rPr>
          <w:t>Online submissions</w:t>
        </w:r>
      </w:hyperlink>
      <w:r w:rsidR="00AD2273">
        <w:t xml:space="preserve"> can be made via the comment function or by uploading a document. Submissions in Microsoft Word or Rich Text Format are preferred.</w:t>
      </w:r>
    </w:p>
    <w:p w14:paraId="45C7DE74" w14:textId="77777777" w:rsidR="00AD2273" w:rsidRDefault="00AD2273" w:rsidP="00AD2273">
      <w:pPr>
        <w:pStyle w:val="ListBullet"/>
      </w:pPr>
      <w:r>
        <w:t xml:space="preserve">Submissions by post can be sent to: </w:t>
      </w:r>
    </w:p>
    <w:p w14:paraId="1FADD971" w14:textId="77777777" w:rsidR="00AD2273" w:rsidRDefault="00AD2273" w:rsidP="00AD2273">
      <w:pPr>
        <w:pStyle w:val="ACMANormalTabbed"/>
        <w:tabs>
          <w:tab w:val="num" w:pos="295"/>
        </w:tabs>
        <w:spacing w:after="0"/>
        <w:ind w:left="295"/>
      </w:pPr>
      <w:r>
        <w:t>The Manager</w:t>
      </w:r>
    </w:p>
    <w:p w14:paraId="6B7B7A99" w14:textId="77777777" w:rsidR="00AD2273" w:rsidRDefault="00AD2273" w:rsidP="00AD2273">
      <w:pPr>
        <w:pStyle w:val="ACMANormalTabbed"/>
        <w:spacing w:after="0"/>
        <w:ind w:left="295"/>
      </w:pPr>
      <w:r>
        <w:t>Spectrum Planning Section</w:t>
      </w:r>
    </w:p>
    <w:p w14:paraId="7B1B2269" w14:textId="77777777" w:rsidR="00AD2273" w:rsidRDefault="00AD2273" w:rsidP="00AD2273">
      <w:pPr>
        <w:pStyle w:val="ACMANormalTabbed"/>
        <w:spacing w:after="0"/>
        <w:ind w:left="295"/>
      </w:pPr>
      <w:r>
        <w:t>Spectrum Infrastructure Branch</w:t>
      </w:r>
    </w:p>
    <w:p w14:paraId="5B040676" w14:textId="77777777" w:rsidR="00AD2273" w:rsidRDefault="00AD2273" w:rsidP="00AD2273">
      <w:pPr>
        <w:pStyle w:val="ACMANormalTabbed"/>
        <w:spacing w:after="0"/>
        <w:ind w:left="295"/>
      </w:pPr>
      <w:r>
        <w:t>Australian Communications and Media Authority</w:t>
      </w:r>
    </w:p>
    <w:p w14:paraId="4478C17F" w14:textId="77777777" w:rsidR="00AD2273" w:rsidRDefault="00AD2273" w:rsidP="00AD2273">
      <w:pPr>
        <w:pStyle w:val="ACMANormalTabbed"/>
        <w:spacing w:after="0"/>
        <w:ind w:left="295"/>
      </w:pPr>
      <w:r>
        <w:t>PO Box 78</w:t>
      </w:r>
    </w:p>
    <w:p w14:paraId="67A3FCCD" w14:textId="77777777" w:rsidR="00AD2273" w:rsidRDefault="00AD2273" w:rsidP="00AD2273">
      <w:pPr>
        <w:pStyle w:val="ACMANormalTabbed"/>
        <w:ind w:left="295"/>
      </w:pPr>
      <w:r>
        <w:t>Belconnen ACT 2616</w:t>
      </w:r>
    </w:p>
    <w:p w14:paraId="1926323F" w14:textId="56F40899" w:rsidR="00AD2273" w:rsidRDefault="00AD2273" w:rsidP="00AD2273">
      <w:pPr>
        <w:rPr>
          <w:rStyle w:val="Strong"/>
        </w:rPr>
      </w:pPr>
      <w:r>
        <w:rPr>
          <w:rStyle w:val="Strong"/>
        </w:rPr>
        <w:t xml:space="preserve">The closing date for submissions is COB, </w:t>
      </w:r>
      <w:r w:rsidR="00B80679">
        <w:rPr>
          <w:rStyle w:val="Strong"/>
        </w:rPr>
        <w:t>13 September</w:t>
      </w:r>
      <w:r w:rsidRPr="00B56EE1">
        <w:rPr>
          <w:rStyle w:val="Strong"/>
        </w:rPr>
        <w:t xml:space="preserve"> 2019.</w:t>
      </w:r>
    </w:p>
    <w:p w14:paraId="69625255" w14:textId="55C8DAD2" w:rsidR="00AD2273" w:rsidRDefault="00AD2273" w:rsidP="00AD2273">
      <w:pPr>
        <w:rPr>
          <w:szCs w:val="20"/>
        </w:rPr>
      </w:pPr>
      <w:bookmarkStart w:id="155" w:name="_Toc348105639"/>
      <w:bookmarkStart w:id="156" w:name="_Toc300909558"/>
      <w:bookmarkEnd w:id="150"/>
      <w:bookmarkEnd w:id="151"/>
      <w:r>
        <w:t xml:space="preserve">Consultation enquiries can be emailed </w:t>
      </w:r>
      <w:r>
        <w:rPr>
          <w:szCs w:val="20"/>
        </w:rPr>
        <w:t xml:space="preserve">to </w:t>
      </w:r>
      <w:hyperlink r:id="rId69" w:history="1">
        <w:r w:rsidRPr="00585A42">
          <w:rPr>
            <w:rStyle w:val="Hyperlink"/>
          </w:rPr>
          <w:t>freqplan</w:t>
        </w:r>
        <w:r w:rsidRPr="00585A42">
          <w:rPr>
            <w:rStyle w:val="Hyperlink"/>
            <w:szCs w:val="20"/>
          </w:rPr>
          <w:t>@acma.gov.au</w:t>
        </w:r>
        <w:r w:rsidRPr="00585A42">
          <w:rPr>
            <w:rStyle w:val="Hyperlink"/>
          </w:rPr>
          <w:t>.</w:t>
        </w:r>
      </w:hyperlink>
    </w:p>
    <w:p w14:paraId="58D97AEC" w14:textId="77777777" w:rsidR="00AD2273" w:rsidRDefault="00AD2273" w:rsidP="00AD2273">
      <w:pPr>
        <w:pStyle w:val="BodySubHeader"/>
      </w:pPr>
      <w:r>
        <w:t>Publication of submissions</w:t>
      </w:r>
      <w:bookmarkEnd w:id="152"/>
      <w:bookmarkEnd w:id="153"/>
      <w:bookmarkEnd w:id="155"/>
      <w:bookmarkEnd w:id="156"/>
    </w:p>
    <w:p w14:paraId="2A4DA7EC" w14:textId="77777777" w:rsidR="00AD2273" w:rsidRDefault="00AD2273" w:rsidP="00AD2273">
      <w:bookmarkStart w:id="157" w:name="_Toc348105640"/>
      <w:bookmarkStart w:id="158" w:name="_Toc300909559"/>
      <w:bookmarkStart w:id="159" w:name="_Toc265246234"/>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002FC9B4" w14:textId="77777777" w:rsidR="00AD2273" w:rsidRDefault="00AD2273" w:rsidP="00AD2273">
      <w:r>
        <w:t>Confidential information will not be published or otherwise released unless required or authorised by law.</w:t>
      </w:r>
    </w:p>
    <w:p w14:paraId="1C508B8B" w14:textId="77777777" w:rsidR="00AD2273" w:rsidRDefault="00AD2273" w:rsidP="00AD2273">
      <w:pPr>
        <w:pStyle w:val="BodySubHeader"/>
      </w:pPr>
      <w:r>
        <w:t>Privacy</w:t>
      </w:r>
    </w:p>
    <w:p w14:paraId="5906065F" w14:textId="157F9CEF" w:rsidR="00AD2273" w:rsidRDefault="005F3F45" w:rsidP="00AD2273">
      <w:pPr>
        <w:spacing w:after="0"/>
      </w:pPr>
      <w:hyperlink r:id="rId70" w:history="1">
        <w:r w:rsidR="00AD2273">
          <w:rPr>
            <w:rStyle w:val="Hyperlink"/>
            <w:i/>
          </w:rPr>
          <w:t>Privacy and consultation</w:t>
        </w:r>
      </w:hyperlink>
      <w:r w:rsidR="00AD2273">
        <w:t xml:space="preserve"> </w:t>
      </w:r>
      <w:proofErr w:type="gramStart"/>
      <w:r w:rsidR="00AD2273">
        <w:t>provides</w:t>
      </w:r>
      <w:proofErr w:type="gramEnd"/>
      <w:r w:rsidR="00AD2273">
        <w:t xml:space="preserve"> information about the ACMA’s collection of personal information during consultation and how we handle that information.  </w:t>
      </w:r>
    </w:p>
    <w:p w14:paraId="572F512A" w14:textId="77777777" w:rsidR="00AD2273" w:rsidRDefault="00AD2273" w:rsidP="00AD2273">
      <w:pPr>
        <w:spacing w:after="0"/>
      </w:pPr>
    </w:p>
    <w:p w14:paraId="4D498C40" w14:textId="5BB42CDA" w:rsidR="00AD2273" w:rsidRPr="0041233F" w:rsidRDefault="00AD2273" w:rsidP="00AD2273">
      <w:r>
        <w:t xml:space="preserve">Information on the </w:t>
      </w:r>
      <w:r>
        <w:rPr>
          <w:i/>
        </w:rPr>
        <w:t xml:space="preserve">Privacy Act 1988 </w:t>
      </w:r>
      <w:r>
        <w:t xml:space="preserve">and the ACMA’s privacy policy (including how to access or correct personal information, how to make a privacy complaint and how we will deal with the complaint) is available at </w:t>
      </w:r>
      <w:hyperlink r:id="rId71" w:tooltip="ACMA Privacy Policy" w:history="1">
        <w:r>
          <w:rPr>
            <w:rStyle w:val="Hyperlink"/>
          </w:rPr>
          <w:t>acma.gov.au/privacypolicy</w:t>
        </w:r>
      </w:hyperlink>
      <w:r>
        <w:t xml:space="preserve">. </w:t>
      </w:r>
    </w:p>
    <w:p w14:paraId="01FCAED0" w14:textId="30F500EE" w:rsidR="00AD2273" w:rsidRDefault="00AD2273" w:rsidP="00AD2273">
      <w:pPr>
        <w:pStyle w:val="Heading1"/>
      </w:pPr>
      <w:bookmarkStart w:id="160" w:name="_Toc16064522"/>
      <w:bookmarkEnd w:id="157"/>
      <w:bookmarkEnd w:id="158"/>
      <w:bookmarkEnd w:id="159"/>
      <w:r>
        <w:lastRenderedPageBreak/>
        <w:t>Glossary</w:t>
      </w:r>
      <w:bookmarkEnd w:id="160"/>
    </w:p>
    <w:tbl>
      <w:tblPr>
        <w:tblW w:w="0" w:type="auto"/>
        <w:tblBorders>
          <w:top w:val="single" w:sz="2" w:space="0" w:color="auto"/>
          <w:bottom w:val="single" w:sz="2" w:space="0" w:color="auto"/>
          <w:insideH w:val="single" w:sz="2" w:space="0" w:color="auto"/>
          <w:insideV w:val="single" w:sz="2" w:space="0" w:color="auto"/>
        </w:tblBorders>
        <w:tblLayout w:type="fixed"/>
        <w:tblCellMar>
          <w:top w:w="57" w:type="dxa"/>
          <w:left w:w="57" w:type="dxa"/>
          <w:bottom w:w="57" w:type="dxa"/>
          <w:right w:w="57" w:type="dxa"/>
        </w:tblCellMar>
        <w:tblLook w:val="04A0" w:firstRow="1" w:lastRow="0" w:firstColumn="1" w:lastColumn="0" w:noHBand="0" w:noVBand="1"/>
        <w:tblCaption w:val="Terms and definitions used in this document."/>
      </w:tblPr>
      <w:tblGrid>
        <w:gridCol w:w="2405"/>
        <w:gridCol w:w="5256"/>
      </w:tblGrid>
      <w:tr w:rsidR="00AD2273" w:rsidRPr="00A05EC9" w14:paraId="664C388E" w14:textId="77777777" w:rsidTr="00585A42">
        <w:trPr>
          <w:cantSplit/>
          <w:tblHeader/>
        </w:trPr>
        <w:tc>
          <w:tcPr>
            <w:tcW w:w="2405" w:type="dxa"/>
            <w:shd w:val="clear" w:color="auto" w:fill="404040" w:themeFill="text1" w:themeFillTint="BF"/>
          </w:tcPr>
          <w:p w14:paraId="0CE2D23B" w14:textId="77777777" w:rsidR="00AD2273" w:rsidRPr="00A05EC9" w:rsidRDefault="00AD2273" w:rsidP="00C14CD7">
            <w:pPr>
              <w:pStyle w:val="TableHeading"/>
              <w:spacing w:line="240" w:lineRule="auto"/>
              <w:rPr>
                <w:color w:val="FFFFFF" w:themeColor="background1"/>
              </w:rPr>
            </w:pPr>
            <w:r w:rsidRPr="00A748BB">
              <w:rPr>
                <w:b w:val="0"/>
                <w:color w:val="FFFFFF" w:themeColor="background1"/>
              </w:rPr>
              <w:t>Term</w:t>
            </w:r>
          </w:p>
        </w:tc>
        <w:tc>
          <w:tcPr>
            <w:tcW w:w="5256" w:type="dxa"/>
            <w:shd w:val="clear" w:color="auto" w:fill="404040" w:themeFill="text1" w:themeFillTint="BF"/>
          </w:tcPr>
          <w:p w14:paraId="74A7D967" w14:textId="77777777" w:rsidR="00AD2273" w:rsidRPr="00A05EC9" w:rsidRDefault="00AD2273" w:rsidP="00C14CD7">
            <w:pPr>
              <w:pStyle w:val="TableHeading"/>
              <w:spacing w:line="240" w:lineRule="auto"/>
              <w:rPr>
                <w:color w:val="FFFFFF" w:themeColor="background1"/>
              </w:rPr>
            </w:pPr>
            <w:r w:rsidRPr="00A748BB">
              <w:rPr>
                <w:b w:val="0"/>
                <w:color w:val="FFFFFF" w:themeColor="background1"/>
              </w:rPr>
              <w:t>Definition</w:t>
            </w:r>
          </w:p>
        </w:tc>
      </w:tr>
      <w:tr w:rsidR="00AD2273" w:rsidRPr="00A05EC9" w14:paraId="37E22DD8" w14:textId="77777777" w:rsidTr="00585A42">
        <w:trPr>
          <w:cantSplit/>
        </w:trPr>
        <w:tc>
          <w:tcPr>
            <w:tcW w:w="2405" w:type="dxa"/>
            <w:shd w:val="clear" w:color="auto" w:fill="F2F2F2" w:themeFill="background1" w:themeFillShade="F2"/>
          </w:tcPr>
          <w:p w14:paraId="15228E68" w14:textId="77777777" w:rsidR="00AD2273" w:rsidRPr="00AD2273" w:rsidRDefault="00AD2273" w:rsidP="00C14CD7">
            <w:pPr>
              <w:spacing w:after="0" w:line="240" w:lineRule="auto"/>
              <w:rPr>
                <w:b/>
                <w:bCs/>
              </w:rPr>
            </w:pPr>
            <w:r w:rsidRPr="00AD2273">
              <w:rPr>
                <w:b/>
                <w:bCs/>
              </w:rPr>
              <w:t>3.6 GHz band</w:t>
            </w:r>
          </w:p>
        </w:tc>
        <w:tc>
          <w:tcPr>
            <w:tcW w:w="5256" w:type="dxa"/>
            <w:shd w:val="clear" w:color="auto" w:fill="F2F2F2" w:themeFill="background1" w:themeFillShade="F2"/>
          </w:tcPr>
          <w:p w14:paraId="69BDF80E" w14:textId="77777777" w:rsidR="00AD2273" w:rsidRPr="00A05EC9" w:rsidRDefault="00AD2273" w:rsidP="00C14CD7">
            <w:pPr>
              <w:spacing w:after="0" w:line="240" w:lineRule="auto"/>
            </w:pPr>
            <w:r w:rsidRPr="00A05EC9">
              <w:t xml:space="preserve">Refers to the </w:t>
            </w:r>
            <w:r>
              <w:t>3575–3700</w:t>
            </w:r>
            <w:r w:rsidRPr="00A05EC9">
              <w:t xml:space="preserve"> </w:t>
            </w:r>
            <w:r>
              <w:t>M</w:t>
            </w:r>
            <w:r w:rsidRPr="00A05EC9">
              <w:t>Hz frequency range</w:t>
            </w:r>
          </w:p>
        </w:tc>
      </w:tr>
      <w:tr w:rsidR="00AD2273" w:rsidRPr="00A05EC9" w14:paraId="6C2852B4" w14:textId="77777777" w:rsidTr="00585A42">
        <w:trPr>
          <w:cantSplit/>
        </w:trPr>
        <w:tc>
          <w:tcPr>
            <w:tcW w:w="2405" w:type="dxa"/>
          </w:tcPr>
          <w:p w14:paraId="7B057B80" w14:textId="77777777" w:rsidR="00AD2273" w:rsidRPr="00AD2273" w:rsidRDefault="00AD2273" w:rsidP="00C14CD7">
            <w:pPr>
              <w:spacing w:after="0" w:line="240" w:lineRule="auto"/>
              <w:rPr>
                <w:b/>
                <w:bCs/>
              </w:rPr>
            </w:pPr>
            <w:r w:rsidRPr="00AD2273">
              <w:rPr>
                <w:b/>
                <w:bCs/>
              </w:rPr>
              <w:t>3GPP</w:t>
            </w:r>
          </w:p>
          <w:p w14:paraId="1C5FDB02" w14:textId="77777777" w:rsidR="00AD2273" w:rsidRPr="00AD2273" w:rsidRDefault="00AD2273" w:rsidP="00C14CD7">
            <w:pPr>
              <w:spacing w:after="0" w:line="240" w:lineRule="auto"/>
              <w:rPr>
                <w:b/>
                <w:bCs/>
              </w:rPr>
            </w:pPr>
          </w:p>
        </w:tc>
        <w:tc>
          <w:tcPr>
            <w:tcW w:w="5256" w:type="dxa"/>
          </w:tcPr>
          <w:p w14:paraId="246198CC" w14:textId="77777777" w:rsidR="00AD2273" w:rsidRPr="00ED4E26" w:rsidRDefault="00AD2273" w:rsidP="00C14CD7">
            <w:pPr>
              <w:spacing w:after="80" w:line="240" w:lineRule="auto"/>
            </w:pPr>
            <w:r w:rsidRPr="00ED4E26">
              <w:t>3</w:t>
            </w:r>
            <w:r w:rsidRPr="00ED4E26">
              <w:rPr>
                <w:vertAlign w:val="superscript"/>
              </w:rPr>
              <w:t>rd</w:t>
            </w:r>
            <w:r w:rsidRPr="00ED4E26">
              <w:t xml:space="preserve"> Generation Partnership Project</w:t>
            </w:r>
          </w:p>
          <w:p w14:paraId="4F2F7F02" w14:textId="77777777" w:rsidR="00AD2273" w:rsidRPr="00A05EC9" w:rsidRDefault="00AD2273" w:rsidP="00C14CD7">
            <w:pPr>
              <w:spacing w:after="0" w:line="240" w:lineRule="auto"/>
            </w:pPr>
            <w:r w:rsidRPr="00A05EC9">
              <w:t>An international body responsible for the standardisation of (cellular) mobile (including broadband) telecommunications, including the 2G, 3G, 4G and (soon) 5G technology standards.</w:t>
            </w:r>
          </w:p>
        </w:tc>
      </w:tr>
      <w:tr w:rsidR="00AD2273" w:rsidRPr="00A05EC9" w14:paraId="6D512C2B" w14:textId="77777777" w:rsidTr="00585A42">
        <w:trPr>
          <w:cantSplit/>
        </w:trPr>
        <w:tc>
          <w:tcPr>
            <w:tcW w:w="2405" w:type="dxa"/>
            <w:shd w:val="clear" w:color="auto" w:fill="F2F2F2" w:themeFill="background1" w:themeFillShade="F2"/>
          </w:tcPr>
          <w:p w14:paraId="61F9C191" w14:textId="77777777" w:rsidR="00AD2273" w:rsidRPr="00AD2273" w:rsidRDefault="00AD2273" w:rsidP="00C14CD7">
            <w:pPr>
              <w:spacing w:after="0" w:line="240" w:lineRule="auto"/>
              <w:rPr>
                <w:b/>
                <w:bCs/>
              </w:rPr>
            </w:pPr>
            <w:r w:rsidRPr="00AD2273">
              <w:rPr>
                <w:rFonts w:cs="Arial"/>
                <w:b/>
                <w:bCs/>
              </w:rPr>
              <w:t>Apparatus licence</w:t>
            </w:r>
          </w:p>
        </w:tc>
        <w:tc>
          <w:tcPr>
            <w:tcW w:w="5256" w:type="dxa"/>
            <w:shd w:val="clear" w:color="auto" w:fill="F2F2F2" w:themeFill="background1" w:themeFillShade="F2"/>
          </w:tcPr>
          <w:p w14:paraId="4583D362" w14:textId="77777777" w:rsidR="00AD2273" w:rsidRPr="00A05EC9" w:rsidRDefault="00AD2273" w:rsidP="00C14CD7">
            <w:pPr>
              <w:spacing w:after="0" w:line="240" w:lineRule="auto"/>
            </w:pPr>
            <w:r w:rsidRPr="00A05EC9">
              <w:t xml:space="preserve">An apparatus licence authorises, under the </w:t>
            </w:r>
            <w:r w:rsidRPr="00A05EC9">
              <w:rPr>
                <w:i/>
              </w:rPr>
              <w:t>Radiocommunications Act 1992</w:t>
            </w:r>
            <w:r w:rsidRPr="00A05EC9">
              <w:t xml:space="preserve">, the use of a radiocommunications device under a </w:t>
            </w:r>
            <w:proofErr w:type="gramStart"/>
            <w:r w:rsidRPr="00A05EC9">
              <w:t>particular service</w:t>
            </w:r>
            <w:proofErr w:type="gramEnd"/>
            <w:r w:rsidRPr="00A05EC9">
              <w:t xml:space="preserve"> type, in a particular frequency range and at a particular geographic location for a period of up to five years. </w:t>
            </w:r>
          </w:p>
        </w:tc>
      </w:tr>
      <w:tr w:rsidR="00AD2273" w:rsidRPr="00A05EC9" w14:paraId="25D3A1D9" w14:textId="77777777" w:rsidTr="00585A42">
        <w:trPr>
          <w:cantSplit/>
        </w:trPr>
        <w:tc>
          <w:tcPr>
            <w:tcW w:w="2405" w:type="dxa"/>
          </w:tcPr>
          <w:p w14:paraId="5E185818" w14:textId="77777777" w:rsidR="00AD2273" w:rsidRPr="00AD2273" w:rsidRDefault="00AD2273" w:rsidP="00C14CD7">
            <w:pPr>
              <w:spacing w:after="0" w:line="240" w:lineRule="auto"/>
              <w:rPr>
                <w:b/>
                <w:bCs/>
              </w:rPr>
            </w:pPr>
            <w:r w:rsidRPr="00AD2273">
              <w:rPr>
                <w:b/>
                <w:bCs/>
              </w:rPr>
              <w:t>ASMG</w:t>
            </w:r>
          </w:p>
        </w:tc>
        <w:tc>
          <w:tcPr>
            <w:tcW w:w="5256" w:type="dxa"/>
          </w:tcPr>
          <w:p w14:paraId="66F86EE7" w14:textId="77777777" w:rsidR="00AD2273" w:rsidRPr="00ED4E26" w:rsidRDefault="00AD2273" w:rsidP="00C14CD7">
            <w:pPr>
              <w:spacing w:after="80" w:line="240" w:lineRule="auto"/>
              <w:rPr>
                <w:rFonts w:cs="Arial"/>
              </w:rPr>
            </w:pPr>
            <w:r w:rsidRPr="00ED4E26">
              <w:rPr>
                <w:rFonts w:cs="Arial"/>
              </w:rPr>
              <w:t xml:space="preserve">Australian </w:t>
            </w:r>
            <w:r w:rsidRPr="005F1860">
              <w:t>Spectrum</w:t>
            </w:r>
            <w:r w:rsidRPr="00ED4E26">
              <w:rPr>
                <w:rFonts w:cs="Arial"/>
              </w:rPr>
              <w:t xml:space="preserve"> Map Grid</w:t>
            </w:r>
          </w:p>
          <w:p w14:paraId="63C37A1E" w14:textId="2A299198" w:rsidR="00AD2273" w:rsidRPr="00A05EC9" w:rsidRDefault="00AD2273" w:rsidP="00C14CD7">
            <w:pPr>
              <w:spacing w:after="0" w:line="240" w:lineRule="auto"/>
              <w:rPr>
                <w:rFonts w:cs="Arial"/>
              </w:rPr>
            </w:pPr>
            <w:r w:rsidRPr="00A05EC9">
              <w:rPr>
                <w:rFonts w:cs="Arial"/>
              </w:rPr>
              <w:t>Used to define geographical areas over which spectrum licences are issued. The HCIS is used to define the cells that make up the ASMG. The ASMG is described in detail in the document</w:t>
            </w:r>
            <w:r>
              <w:rPr>
                <w:rFonts w:cs="Arial"/>
              </w:rPr>
              <w:t>:</w:t>
            </w:r>
            <w:r w:rsidRPr="00A05EC9">
              <w:rPr>
                <w:rFonts w:cs="Arial"/>
              </w:rPr>
              <w:t xml:space="preserve"> </w:t>
            </w:r>
            <w:hyperlink r:id="rId72" w:history="1">
              <w:r w:rsidRPr="00CF2904">
                <w:rPr>
                  <w:rStyle w:val="Hyperlink"/>
                  <w:rFonts w:cs="Arial"/>
                </w:rPr>
                <w:t>The Australian spectrum map grid 2012</w:t>
              </w:r>
            </w:hyperlink>
            <w:r w:rsidRPr="00777FBD">
              <w:rPr>
                <w:rFonts w:cs="Arial"/>
              </w:rPr>
              <w:t>.</w:t>
            </w:r>
          </w:p>
          <w:p w14:paraId="5D30C7CF" w14:textId="77777777" w:rsidR="00AD2273" w:rsidRDefault="00AD2273" w:rsidP="00C14CD7">
            <w:pPr>
              <w:spacing w:after="0" w:line="240" w:lineRule="auto"/>
              <w:rPr>
                <w:rFonts w:cs="Arial"/>
                <w:i/>
              </w:rPr>
            </w:pPr>
          </w:p>
          <w:p w14:paraId="336E3428" w14:textId="77777777" w:rsidR="00AD2273" w:rsidRPr="00A05EC9" w:rsidRDefault="00AD2273" w:rsidP="00C14CD7">
            <w:pPr>
              <w:spacing w:after="0" w:line="240" w:lineRule="auto"/>
            </w:pPr>
            <w:r w:rsidRPr="005E6D37">
              <w:rPr>
                <w:rFonts w:cs="Arial"/>
                <w:i/>
              </w:rPr>
              <w:t>See also</w:t>
            </w:r>
            <w:r w:rsidRPr="00895DFC">
              <w:rPr>
                <w:rFonts w:cs="Arial"/>
              </w:rPr>
              <w:t xml:space="preserve"> HCIS.</w:t>
            </w:r>
          </w:p>
        </w:tc>
      </w:tr>
      <w:tr w:rsidR="00AD2273" w:rsidRPr="00A05EC9" w14:paraId="254039AE" w14:textId="77777777" w:rsidTr="00585A42">
        <w:trPr>
          <w:cantSplit/>
        </w:trPr>
        <w:tc>
          <w:tcPr>
            <w:tcW w:w="2405" w:type="dxa"/>
            <w:shd w:val="clear" w:color="auto" w:fill="F2F2F2" w:themeFill="background1" w:themeFillShade="F2"/>
          </w:tcPr>
          <w:p w14:paraId="42F4C7F7" w14:textId="77777777" w:rsidR="00AD2273" w:rsidRPr="00AD2273" w:rsidRDefault="00AD2273" w:rsidP="00C14CD7">
            <w:pPr>
              <w:spacing w:after="0" w:line="240" w:lineRule="auto"/>
              <w:rPr>
                <w:b/>
                <w:bCs/>
              </w:rPr>
            </w:pPr>
            <w:r w:rsidRPr="00AD2273">
              <w:rPr>
                <w:b/>
                <w:bCs/>
              </w:rPr>
              <w:t>Class licence</w:t>
            </w:r>
          </w:p>
        </w:tc>
        <w:tc>
          <w:tcPr>
            <w:tcW w:w="5256" w:type="dxa"/>
            <w:shd w:val="clear" w:color="auto" w:fill="F2F2F2" w:themeFill="background1" w:themeFillShade="F2"/>
          </w:tcPr>
          <w:p w14:paraId="43A8292B" w14:textId="77777777" w:rsidR="00AD2273" w:rsidRPr="00A05EC9" w:rsidRDefault="00AD2273" w:rsidP="00C14CD7">
            <w:pPr>
              <w:spacing w:after="0" w:line="240" w:lineRule="auto"/>
            </w:pPr>
            <w:r w:rsidRPr="00A05EC9">
              <w:t xml:space="preserve">A standing authorisation for the operation of an unlimited number of </w:t>
            </w:r>
            <w:r>
              <w:t xml:space="preserve">radiocommunications </w:t>
            </w:r>
            <w:r w:rsidRPr="00A05EC9">
              <w:t>devices operating within a set of conditions specified within</w:t>
            </w:r>
            <w:r>
              <w:t xml:space="preserve"> the authorisation</w:t>
            </w:r>
            <w:r w:rsidRPr="00A05EC9">
              <w:t>.</w:t>
            </w:r>
          </w:p>
        </w:tc>
      </w:tr>
      <w:tr w:rsidR="00AD2273" w:rsidRPr="00A05EC9" w14:paraId="4536E6D8" w14:textId="77777777" w:rsidTr="00585A42">
        <w:trPr>
          <w:cantSplit/>
        </w:trPr>
        <w:tc>
          <w:tcPr>
            <w:tcW w:w="2405" w:type="dxa"/>
          </w:tcPr>
          <w:p w14:paraId="2BF180A2" w14:textId="77777777" w:rsidR="00AD2273" w:rsidRPr="00AD2273" w:rsidRDefault="00AD2273" w:rsidP="00C14CD7">
            <w:pPr>
              <w:spacing w:after="0" w:line="240" w:lineRule="auto"/>
              <w:rPr>
                <w:b/>
                <w:bCs/>
              </w:rPr>
            </w:pPr>
            <w:r w:rsidRPr="00AD2273">
              <w:rPr>
                <w:b/>
                <w:bCs/>
              </w:rPr>
              <w:t>Coordination</w:t>
            </w:r>
          </w:p>
        </w:tc>
        <w:tc>
          <w:tcPr>
            <w:tcW w:w="5256" w:type="dxa"/>
          </w:tcPr>
          <w:p w14:paraId="6AE09812" w14:textId="77777777" w:rsidR="00AD2273" w:rsidRPr="00A05EC9" w:rsidRDefault="00AD2273" w:rsidP="00C14CD7">
            <w:pPr>
              <w:spacing w:after="0" w:line="240" w:lineRule="auto"/>
            </w:pPr>
            <w:r w:rsidRPr="00A05EC9">
              <w:t xml:space="preserve">The process of assessing the interference potential existing licensed services and a proposed new service will have on each other. Coordination is deemed to fail if the level of interference exceeds the specified protection criteria for the services involved. </w:t>
            </w:r>
          </w:p>
        </w:tc>
      </w:tr>
      <w:tr w:rsidR="00AD2273" w:rsidRPr="00A05EC9" w14:paraId="3D0460A9" w14:textId="77777777" w:rsidTr="00585A42">
        <w:trPr>
          <w:cantSplit/>
        </w:trPr>
        <w:tc>
          <w:tcPr>
            <w:tcW w:w="2405" w:type="dxa"/>
            <w:shd w:val="clear" w:color="auto" w:fill="F2F2F2" w:themeFill="background1" w:themeFillShade="F2"/>
          </w:tcPr>
          <w:p w14:paraId="6642D37E" w14:textId="77777777" w:rsidR="00AD2273" w:rsidRPr="00AD2273" w:rsidRDefault="00AD2273" w:rsidP="00C14CD7">
            <w:pPr>
              <w:spacing w:after="0" w:line="240" w:lineRule="auto"/>
              <w:rPr>
                <w:b/>
                <w:bCs/>
              </w:rPr>
            </w:pPr>
            <w:r w:rsidRPr="00AD2273">
              <w:rPr>
                <w:b/>
                <w:bCs/>
              </w:rPr>
              <w:t>DSA</w:t>
            </w:r>
          </w:p>
        </w:tc>
        <w:tc>
          <w:tcPr>
            <w:tcW w:w="5256" w:type="dxa"/>
            <w:shd w:val="clear" w:color="auto" w:fill="F2F2F2" w:themeFill="background1" w:themeFillShade="F2"/>
          </w:tcPr>
          <w:p w14:paraId="2CB87F9C" w14:textId="77777777" w:rsidR="00AD2273" w:rsidRPr="00A05EC9" w:rsidRDefault="00AD2273" w:rsidP="00C14CD7">
            <w:pPr>
              <w:spacing w:after="0" w:line="240" w:lineRule="auto"/>
            </w:pPr>
            <w:r>
              <w:t>Dynamic spectrum access</w:t>
            </w:r>
          </w:p>
        </w:tc>
      </w:tr>
      <w:tr w:rsidR="00AD2273" w:rsidRPr="00A05EC9" w14:paraId="31CF8FC0" w14:textId="77777777" w:rsidTr="00585A42">
        <w:trPr>
          <w:cantSplit/>
        </w:trPr>
        <w:tc>
          <w:tcPr>
            <w:tcW w:w="2405" w:type="dxa"/>
          </w:tcPr>
          <w:p w14:paraId="6BFCF6D4" w14:textId="77777777" w:rsidR="00AD2273" w:rsidRPr="00AD2273" w:rsidRDefault="00AD2273" w:rsidP="00C14CD7">
            <w:pPr>
              <w:spacing w:after="0" w:line="240" w:lineRule="auto"/>
              <w:rPr>
                <w:b/>
                <w:bCs/>
              </w:rPr>
            </w:pPr>
            <w:r w:rsidRPr="00AD2273">
              <w:rPr>
                <w:b/>
                <w:bCs/>
              </w:rPr>
              <w:t>Embargo</w:t>
            </w:r>
          </w:p>
        </w:tc>
        <w:tc>
          <w:tcPr>
            <w:tcW w:w="5256" w:type="dxa"/>
          </w:tcPr>
          <w:p w14:paraId="62960F23" w14:textId="77777777" w:rsidR="00AD2273" w:rsidRPr="00A05EC9" w:rsidRDefault="00AD2273" w:rsidP="00C14CD7">
            <w:pPr>
              <w:spacing w:after="0" w:line="240" w:lineRule="auto"/>
            </w:pPr>
            <w:r w:rsidRPr="00A05EC9">
              <w:t xml:space="preserve">A spectrum embargo is a policy notice of intent by the ACMA to restrict the allocation of new licences in a </w:t>
            </w:r>
            <w:proofErr w:type="gramStart"/>
            <w:r w:rsidRPr="00A05EC9">
              <w:t>particular frequency</w:t>
            </w:r>
            <w:proofErr w:type="gramEnd"/>
            <w:r w:rsidRPr="00A05EC9">
              <w:t xml:space="preserve"> range to support replanning of that frequency range. Spectrum may still be able to be accessed on an exception</w:t>
            </w:r>
            <w:r>
              <w:t>al</w:t>
            </w:r>
            <w:r w:rsidRPr="00A05EC9">
              <w:t xml:space="preserve"> basis through an application for an exemption to the embargo.</w:t>
            </w:r>
          </w:p>
        </w:tc>
      </w:tr>
      <w:tr w:rsidR="00AD2273" w:rsidRPr="00A05EC9" w14:paraId="27518A86" w14:textId="77777777" w:rsidTr="00585A42">
        <w:trPr>
          <w:cantSplit/>
        </w:trPr>
        <w:tc>
          <w:tcPr>
            <w:tcW w:w="2405" w:type="dxa"/>
            <w:shd w:val="clear" w:color="auto" w:fill="F2F2F2" w:themeFill="background1" w:themeFillShade="F2"/>
          </w:tcPr>
          <w:p w14:paraId="02CA9105" w14:textId="77777777" w:rsidR="00AD2273" w:rsidRPr="00AD2273" w:rsidRDefault="00AD2273" w:rsidP="00C14CD7">
            <w:pPr>
              <w:spacing w:after="0" w:line="240" w:lineRule="auto"/>
              <w:rPr>
                <w:b/>
                <w:bCs/>
              </w:rPr>
            </w:pPr>
            <w:r w:rsidRPr="00AD2273">
              <w:rPr>
                <w:b/>
                <w:bCs/>
              </w:rPr>
              <w:t>HCIS</w:t>
            </w:r>
          </w:p>
        </w:tc>
        <w:tc>
          <w:tcPr>
            <w:tcW w:w="5256" w:type="dxa"/>
            <w:shd w:val="clear" w:color="auto" w:fill="F2F2F2" w:themeFill="background1" w:themeFillShade="F2"/>
          </w:tcPr>
          <w:p w14:paraId="302A1F3F" w14:textId="77777777" w:rsidR="00AD2273" w:rsidRPr="003C5923" w:rsidRDefault="00AD2273" w:rsidP="00C14CD7">
            <w:pPr>
              <w:spacing w:after="120" w:line="240" w:lineRule="auto"/>
            </w:pPr>
            <w:r w:rsidRPr="003C5923">
              <w:t>Hierarchical Cell Identification Scheme</w:t>
            </w:r>
          </w:p>
          <w:p w14:paraId="5AFD70BB" w14:textId="17C34B5D" w:rsidR="00AD2273" w:rsidRDefault="00AD2273" w:rsidP="00C14CD7">
            <w:pPr>
              <w:spacing w:after="120" w:line="240" w:lineRule="auto"/>
              <w:rPr>
                <w:rFonts w:cs="Arial"/>
                <w:color w:val="000000"/>
              </w:rPr>
            </w:pPr>
            <w:r>
              <w:rPr>
                <w:rFonts w:cs="Arial"/>
                <w:color w:val="000000"/>
              </w:rPr>
              <w:t xml:space="preserve">A naming convention developed by the ACMA that applies unique ‘names’ to each of the cells of the ASMG. Each </w:t>
            </w:r>
            <w:r>
              <w:t>five</w:t>
            </w:r>
            <w:r>
              <w:rPr>
                <w:rFonts w:cs="Arial"/>
                <w:color w:val="000000"/>
              </w:rPr>
              <w:t xml:space="preserve">-minute of arc square cell in the ASMG is assigned a unique identifier, derived from the cell’s position in a hierarchically arranged grouping of cells. The </w:t>
            </w:r>
            <w:r>
              <w:t>hierarchy</w:t>
            </w:r>
            <w:r>
              <w:rPr>
                <w:rFonts w:cs="Arial"/>
                <w:color w:val="000000"/>
              </w:rPr>
              <w:t xml:space="preserve"> has four levels. A detailed description of the HCIS is available on the </w:t>
            </w:r>
            <w:hyperlink r:id="rId73" w:history="1">
              <w:r w:rsidRPr="00864CBE">
                <w:rPr>
                  <w:rStyle w:val="Hyperlink"/>
                  <w:rFonts w:cs="Arial"/>
                </w:rPr>
                <w:t>ACMA website</w:t>
              </w:r>
            </w:hyperlink>
            <w:r>
              <w:rPr>
                <w:rFonts w:cs="Arial"/>
                <w:color w:val="000000"/>
              </w:rPr>
              <w:t>.</w:t>
            </w:r>
          </w:p>
          <w:p w14:paraId="47DA934B" w14:textId="77777777" w:rsidR="00AD2273" w:rsidRPr="00A05EC9" w:rsidRDefault="00AD2273" w:rsidP="00C14CD7">
            <w:pPr>
              <w:spacing w:after="0" w:line="240" w:lineRule="auto"/>
            </w:pPr>
            <w:r>
              <w:rPr>
                <w:rFonts w:cs="Arial"/>
                <w:i/>
              </w:rPr>
              <w:t xml:space="preserve">See also </w:t>
            </w:r>
            <w:r>
              <w:rPr>
                <w:rFonts w:cs="Arial"/>
              </w:rPr>
              <w:t>ASMG</w:t>
            </w:r>
            <w:r>
              <w:rPr>
                <w:rFonts w:cs="Arial"/>
                <w:i/>
              </w:rPr>
              <w:t>.</w:t>
            </w:r>
          </w:p>
        </w:tc>
      </w:tr>
      <w:tr w:rsidR="00AD2273" w:rsidRPr="00A05EC9" w14:paraId="5CE3E3C3" w14:textId="77777777" w:rsidTr="00585A42">
        <w:trPr>
          <w:cantSplit/>
        </w:trPr>
        <w:tc>
          <w:tcPr>
            <w:tcW w:w="2405" w:type="dxa"/>
          </w:tcPr>
          <w:p w14:paraId="7E3C0E31" w14:textId="77777777" w:rsidR="00AD2273" w:rsidRPr="00AD2273" w:rsidRDefault="00AD2273" w:rsidP="00C14CD7">
            <w:pPr>
              <w:spacing w:after="0" w:line="240" w:lineRule="auto"/>
              <w:rPr>
                <w:b/>
                <w:bCs/>
              </w:rPr>
            </w:pPr>
            <w:r w:rsidRPr="00AD2273">
              <w:rPr>
                <w:b/>
                <w:bCs/>
              </w:rPr>
              <w:t>FSS</w:t>
            </w:r>
          </w:p>
        </w:tc>
        <w:tc>
          <w:tcPr>
            <w:tcW w:w="5256" w:type="dxa"/>
          </w:tcPr>
          <w:p w14:paraId="60F973FF" w14:textId="77777777" w:rsidR="00AD2273" w:rsidRPr="00A05EC9" w:rsidRDefault="00AD2273" w:rsidP="00C14CD7">
            <w:pPr>
              <w:spacing w:after="0" w:line="240" w:lineRule="auto"/>
            </w:pPr>
            <w:r w:rsidRPr="00A05EC9">
              <w:t>Fixed satellite service</w:t>
            </w:r>
          </w:p>
        </w:tc>
      </w:tr>
      <w:tr w:rsidR="00AD2273" w:rsidRPr="00A05EC9" w14:paraId="1569223D" w14:textId="77777777" w:rsidTr="00585A42">
        <w:trPr>
          <w:cantSplit/>
        </w:trPr>
        <w:tc>
          <w:tcPr>
            <w:tcW w:w="2405" w:type="dxa"/>
            <w:shd w:val="clear" w:color="auto" w:fill="F2F2F2" w:themeFill="background1" w:themeFillShade="F2"/>
          </w:tcPr>
          <w:p w14:paraId="2DA59FC9" w14:textId="77777777" w:rsidR="00AD2273" w:rsidRPr="00AD2273" w:rsidRDefault="00AD2273" w:rsidP="00C14CD7">
            <w:pPr>
              <w:spacing w:after="0" w:line="240" w:lineRule="auto"/>
              <w:rPr>
                <w:b/>
                <w:bCs/>
              </w:rPr>
            </w:pPr>
            <w:r w:rsidRPr="00AD2273">
              <w:rPr>
                <w:b/>
                <w:bCs/>
              </w:rPr>
              <w:t>FWA</w:t>
            </w:r>
          </w:p>
        </w:tc>
        <w:tc>
          <w:tcPr>
            <w:tcW w:w="5256" w:type="dxa"/>
            <w:shd w:val="clear" w:color="auto" w:fill="F2F2F2" w:themeFill="background1" w:themeFillShade="F2"/>
          </w:tcPr>
          <w:p w14:paraId="45EFA3BB" w14:textId="77777777" w:rsidR="00AD2273" w:rsidRPr="00A05EC9" w:rsidRDefault="00AD2273" w:rsidP="00C14CD7">
            <w:pPr>
              <w:spacing w:after="0" w:line="240" w:lineRule="auto"/>
            </w:pPr>
            <w:r>
              <w:t>Fixed wireless access</w:t>
            </w:r>
          </w:p>
        </w:tc>
      </w:tr>
      <w:tr w:rsidR="00AD2273" w:rsidRPr="00A05EC9" w14:paraId="60D34CA4" w14:textId="77777777" w:rsidTr="00585A42">
        <w:trPr>
          <w:cantSplit/>
        </w:trPr>
        <w:tc>
          <w:tcPr>
            <w:tcW w:w="2405" w:type="dxa"/>
          </w:tcPr>
          <w:p w14:paraId="7D5347D0" w14:textId="77777777" w:rsidR="00AD2273" w:rsidRPr="00AD2273" w:rsidRDefault="00AD2273" w:rsidP="00C14CD7">
            <w:pPr>
              <w:spacing w:after="0" w:line="240" w:lineRule="auto"/>
              <w:rPr>
                <w:b/>
                <w:bCs/>
              </w:rPr>
            </w:pPr>
            <w:r w:rsidRPr="00AD2273">
              <w:rPr>
                <w:b/>
                <w:bCs/>
              </w:rPr>
              <w:t>MBB</w:t>
            </w:r>
          </w:p>
        </w:tc>
        <w:tc>
          <w:tcPr>
            <w:tcW w:w="5256" w:type="dxa"/>
          </w:tcPr>
          <w:p w14:paraId="7EF6E59A" w14:textId="77777777" w:rsidR="00AD2273" w:rsidRPr="00ED4E26" w:rsidRDefault="00AD2273" w:rsidP="00C14CD7">
            <w:pPr>
              <w:spacing w:after="80" w:line="240" w:lineRule="auto"/>
            </w:pPr>
            <w:r>
              <w:t>Mobile broadband</w:t>
            </w:r>
          </w:p>
        </w:tc>
      </w:tr>
      <w:tr w:rsidR="00AD2273" w:rsidRPr="00A05EC9" w14:paraId="0F827DD4" w14:textId="77777777" w:rsidTr="00585A42">
        <w:trPr>
          <w:cantSplit/>
        </w:trPr>
        <w:tc>
          <w:tcPr>
            <w:tcW w:w="2405" w:type="dxa"/>
            <w:shd w:val="clear" w:color="auto" w:fill="F2F2F2" w:themeFill="background1" w:themeFillShade="F2"/>
          </w:tcPr>
          <w:p w14:paraId="2530079F" w14:textId="77777777" w:rsidR="00AD2273" w:rsidRPr="00AD2273" w:rsidRDefault="00AD2273" w:rsidP="00C14CD7">
            <w:pPr>
              <w:spacing w:after="0" w:line="240" w:lineRule="auto"/>
              <w:rPr>
                <w:b/>
                <w:bCs/>
              </w:rPr>
            </w:pPr>
            <w:r w:rsidRPr="00AD2273">
              <w:rPr>
                <w:b/>
                <w:bCs/>
              </w:rPr>
              <w:lastRenderedPageBreak/>
              <w:t>HVU</w:t>
            </w:r>
          </w:p>
        </w:tc>
        <w:tc>
          <w:tcPr>
            <w:tcW w:w="5256" w:type="dxa"/>
            <w:shd w:val="clear" w:color="auto" w:fill="F2F2F2" w:themeFill="background1" w:themeFillShade="F2"/>
          </w:tcPr>
          <w:p w14:paraId="3EA122A6" w14:textId="77777777" w:rsidR="00AD2273" w:rsidRPr="00ED4E26" w:rsidRDefault="00AD2273" w:rsidP="00C14CD7">
            <w:pPr>
              <w:spacing w:after="80" w:line="240" w:lineRule="auto"/>
            </w:pPr>
            <w:r w:rsidRPr="00ED4E26">
              <w:t>Highest value use</w:t>
            </w:r>
          </w:p>
          <w:p w14:paraId="46BB0382" w14:textId="77777777" w:rsidR="00AD2273" w:rsidRPr="00A05EC9" w:rsidRDefault="00AD2273" w:rsidP="00C14CD7">
            <w:pPr>
              <w:autoSpaceDE w:val="0"/>
              <w:autoSpaceDN w:val="0"/>
              <w:spacing w:after="0" w:line="240" w:lineRule="auto"/>
              <w:rPr>
                <w:rFonts w:ascii="Calibri" w:hAnsi="Calibri"/>
              </w:rPr>
            </w:pPr>
            <w:r w:rsidRPr="00A05EC9">
              <w:t xml:space="preserve">When applied to spectrum, is the use for which spectrum can provide the greatest incremental value to economic welfare. The value provided to the economy by spectrum is typically due to reduced costs for spectrum users to provide services, or the ability to provide new services that would not be possible without the use of </w:t>
            </w:r>
            <w:proofErr w:type="gramStart"/>
            <w:r w:rsidRPr="00A05EC9">
              <w:t>particular spectrum</w:t>
            </w:r>
            <w:proofErr w:type="gramEnd"/>
            <w:r w:rsidRPr="00A05EC9">
              <w:t>.</w:t>
            </w:r>
          </w:p>
        </w:tc>
      </w:tr>
      <w:tr w:rsidR="00AD2273" w:rsidRPr="00A05EC9" w14:paraId="73CFDFFC" w14:textId="77777777" w:rsidTr="00585A42">
        <w:trPr>
          <w:cantSplit/>
        </w:trPr>
        <w:tc>
          <w:tcPr>
            <w:tcW w:w="2405" w:type="dxa"/>
          </w:tcPr>
          <w:p w14:paraId="1C21DB33" w14:textId="77777777" w:rsidR="00AD2273" w:rsidRPr="00AD2273" w:rsidRDefault="00AD2273" w:rsidP="00C14CD7">
            <w:pPr>
              <w:spacing w:after="0" w:line="240" w:lineRule="auto"/>
              <w:rPr>
                <w:b/>
                <w:bCs/>
              </w:rPr>
            </w:pPr>
            <w:r w:rsidRPr="00AD2273">
              <w:rPr>
                <w:b/>
                <w:bCs/>
              </w:rPr>
              <w:t>Principles for spectrum management</w:t>
            </w:r>
          </w:p>
        </w:tc>
        <w:tc>
          <w:tcPr>
            <w:tcW w:w="5256" w:type="dxa"/>
          </w:tcPr>
          <w:p w14:paraId="59E2FB4F" w14:textId="3A2EEBC7" w:rsidR="00AD2273" w:rsidRPr="00A05EC9" w:rsidRDefault="00AD2273" w:rsidP="00C14CD7">
            <w:pPr>
              <w:spacing w:after="0" w:line="240" w:lineRule="auto"/>
            </w:pPr>
            <w:r>
              <w:t>A set of principles d</w:t>
            </w:r>
            <w:r w:rsidRPr="00A05EC9">
              <w:t xml:space="preserve">eveloped by the ACMA to guide its approach to spectrum management. The key theme of the principles is that maximising the overall public benefit from use of the radiofrequency spectrum requires balanced application of both regulatory and market mechanisms. Details of the principles are available on the </w:t>
            </w:r>
            <w:hyperlink r:id="rId74" w:history="1">
              <w:r w:rsidRPr="00A05EC9">
                <w:rPr>
                  <w:rStyle w:val="Hyperlink"/>
                </w:rPr>
                <w:t>ACMA website</w:t>
              </w:r>
            </w:hyperlink>
            <w:r w:rsidRPr="001E5818">
              <w:t>.</w:t>
            </w:r>
          </w:p>
        </w:tc>
      </w:tr>
      <w:tr w:rsidR="00AD2273" w:rsidRPr="00A05EC9" w14:paraId="4A684A83" w14:textId="77777777" w:rsidTr="00585A42">
        <w:trPr>
          <w:cantSplit/>
        </w:trPr>
        <w:tc>
          <w:tcPr>
            <w:tcW w:w="2405" w:type="dxa"/>
            <w:shd w:val="clear" w:color="auto" w:fill="F2F2F2" w:themeFill="background1" w:themeFillShade="F2"/>
          </w:tcPr>
          <w:p w14:paraId="08D0C208" w14:textId="77777777" w:rsidR="00AD2273" w:rsidRPr="00AD2273" w:rsidRDefault="00AD2273" w:rsidP="00C14CD7">
            <w:pPr>
              <w:spacing w:after="0" w:line="240" w:lineRule="auto"/>
              <w:rPr>
                <w:b/>
                <w:bCs/>
              </w:rPr>
            </w:pPr>
            <w:r w:rsidRPr="00AD2273">
              <w:rPr>
                <w:b/>
                <w:bCs/>
              </w:rPr>
              <w:t>PMP</w:t>
            </w:r>
          </w:p>
        </w:tc>
        <w:tc>
          <w:tcPr>
            <w:tcW w:w="5256" w:type="dxa"/>
            <w:shd w:val="clear" w:color="auto" w:fill="F2F2F2" w:themeFill="background1" w:themeFillShade="F2"/>
          </w:tcPr>
          <w:p w14:paraId="4BB06D92" w14:textId="77777777" w:rsidR="00AD2273" w:rsidRPr="00A05EC9" w:rsidRDefault="00AD2273" w:rsidP="00C14CD7">
            <w:pPr>
              <w:spacing w:after="0" w:line="240" w:lineRule="auto"/>
            </w:pPr>
            <w:r>
              <w:t>Point-to-multipoint</w:t>
            </w:r>
          </w:p>
        </w:tc>
      </w:tr>
      <w:tr w:rsidR="00AD2273" w:rsidRPr="00A05EC9" w14:paraId="5DEE7DA6" w14:textId="77777777" w:rsidTr="00585A42">
        <w:trPr>
          <w:cantSplit/>
        </w:trPr>
        <w:tc>
          <w:tcPr>
            <w:tcW w:w="2405" w:type="dxa"/>
          </w:tcPr>
          <w:p w14:paraId="1DFF6094" w14:textId="77777777" w:rsidR="00AD2273" w:rsidRPr="00AD2273" w:rsidRDefault="00AD2273" w:rsidP="00C14CD7">
            <w:pPr>
              <w:spacing w:after="0" w:line="240" w:lineRule="auto"/>
              <w:rPr>
                <w:b/>
                <w:bCs/>
              </w:rPr>
            </w:pPr>
            <w:r w:rsidRPr="00AD2273">
              <w:rPr>
                <w:b/>
                <w:bCs/>
              </w:rPr>
              <w:t>PTS</w:t>
            </w:r>
          </w:p>
        </w:tc>
        <w:tc>
          <w:tcPr>
            <w:tcW w:w="5256" w:type="dxa"/>
          </w:tcPr>
          <w:p w14:paraId="6928D133" w14:textId="77777777" w:rsidR="00AD2273" w:rsidRPr="00A05EC9" w:rsidRDefault="00AD2273" w:rsidP="00C14CD7">
            <w:pPr>
              <w:spacing w:after="0" w:line="240" w:lineRule="auto"/>
            </w:pPr>
            <w:r>
              <w:t>Public telecommunications service</w:t>
            </w:r>
          </w:p>
        </w:tc>
      </w:tr>
      <w:tr w:rsidR="00AD2273" w:rsidRPr="00A05EC9" w14:paraId="7AED35E8" w14:textId="77777777" w:rsidTr="00585A42">
        <w:trPr>
          <w:cantSplit/>
        </w:trPr>
        <w:tc>
          <w:tcPr>
            <w:tcW w:w="2405" w:type="dxa"/>
            <w:shd w:val="clear" w:color="auto" w:fill="F2F2F2" w:themeFill="background1" w:themeFillShade="F2"/>
          </w:tcPr>
          <w:p w14:paraId="21572744" w14:textId="77777777" w:rsidR="00AD2273" w:rsidRPr="00AD2273" w:rsidRDefault="00AD2273" w:rsidP="00C14CD7">
            <w:pPr>
              <w:spacing w:after="0" w:line="240" w:lineRule="auto"/>
              <w:rPr>
                <w:b/>
                <w:bCs/>
              </w:rPr>
            </w:pPr>
            <w:r w:rsidRPr="00AD2273">
              <w:rPr>
                <w:b/>
                <w:bCs/>
              </w:rPr>
              <w:t xml:space="preserve">Re-allocation of spectrum </w:t>
            </w:r>
          </w:p>
        </w:tc>
        <w:tc>
          <w:tcPr>
            <w:tcW w:w="5256" w:type="dxa"/>
            <w:shd w:val="clear" w:color="auto" w:fill="F2F2F2" w:themeFill="background1" w:themeFillShade="F2"/>
          </w:tcPr>
          <w:p w14:paraId="278A2D01" w14:textId="77777777" w:rsidR="00AD2273" w:rsidRPr="00A05EC9" w:rsidRDefault="00AD2273" w:rsidP="00C14CD7">
            <w:pPr>
              <w:spacing w:after="0" w:line="240" w:lineRule="auto"/>
            </w:pPr>
            <w:r>
              <w:t xml:space="preserve">Under </w:t>
            </w:r>
            <w:r>
              <w:rPr>
                <w:rFonts w:cs="Arial"/>
              </w:rPr>
              <w:t xml:space="preserve">section 153B of the </w:t>
            </w:r>
            <w:r>
              <w:rPr>
                <w:rFonts w:cs="Arial"/>
                <w:i/>
              </w:rPr>
              <w:t>Radiocommunications Act 1992</w:t>
            </w:r>
            <w:r>
              <w:rPr>
                <w:rFonts w:cs="Arial"/>
              </w:rPr>
              <w:t>, the minster can re-allocate specific frequencies and areas for the issue of spectrum (or apparatus) licences. A result of this process is the cancellation of incumbent apparatus licences in the identified areas at the end of a defined timeframe known as the re</w:t>
            </w:r>
            <w:r>
              <w:rPr>
                <w:rFonts w:cs="Arial"/>
              </w:rPr>
              <w:noBreakHyphen/>
              <w:t>allocation period.</w:t>
            </w:r>
          </w:p>
        </w:tc>
      </w:tr>
      <w:tr w:rsidR="00AD2273" w:rsidRPr="00A05EC9" w14:paraId="0EF7EA10" w14:textId="77777777" w:rsidTr="00585A42">
        <w:trPr>
          <w:cantSplit/>
        </w:trPr>
        <w:tc>
          <w:tcPr>
            <w:tcW w:w="2405" w:type="dxa"/>
          </w:tcPr>
          <w:p w14:paraId="793A0E79" w14:textId="77777777" w:rsidR="00AD2273" w:rsidRPr="00AD2273" w:rsidRDefault="00AD2273" w:rsidP="00C14CD7">
            <w:pPr>
              <w:spacing w:after="0" w:line="240" w:lineRule="auto"/>
              <w:rPr>
                <w:b/>
                <w:bCs/>
              </w:rPr>
            </w:pPr>
            <w:r w:rsidRPr="00AD2273">
              <w:rPr>
                <w:b/>
                <w:bCs/>
              </w:rPr>
              <w:t>Re-allocation period</w:t>
            </w:r>
          </w:p>
        </w:tc>
        <w:tc>
          <w:tcPr>
            <w:tcW w:w="5256" w:type="dxa"/>
          </w:tcPr>
          <w:p w14:paraId="434A2846" w14:textId="77777777" w:rsidR="00AD2273" w:rsidRPr="00A05EC9" w:rsidRDefault="00AD2273" w:rsidP="00C14CD7">
            <w:pPr>
              <w:spacing w:after="0" w:line="240" w:lineRule="auto"/>
            </w:pPr>
            <w:r>
              <w:t xml:space="preserve">The </w:t>
            </w:r>
            <w:proofErr w:type="gramStart"/>
            <w:r>
              <w:t>period of time</w:t>
            </w:r>
            <w:proofErr w:type="gramEnd"/>
            <w:r>
              <w:t xml:space="preserve"> before </w:t>
            </w:r>
            <w:r>
              <w:rPr>
                <w:rFonts w:cs="Arial"/>
              </w:rPr>
              <w:t xml:space="preserve">incumbent apparatus licenses that fall wholly or partially within the frequencies and areas to be re-allocated under section 153B of the </w:t>
            </w:r>
            <w:r>
              <w:rPr>
                <w:rFonts w:cs="Arial"/>
                <w:i/>
              </w:rPr>
              <w:t>Radiocommunications Act 1992</w:t>
            </w:r>
            <w:r>
              <w:rPr>
                <w:rFonts w:cs="Arial"/>
              </w:rPr>
              <w:t xml:space="preserve"> will be cancelled. The re</w:t>
            </w:r>
            <w:r>
              <w:rPr>
                <w:rFonts w:cs="Arial"/>
              </w:rPr>
              <w:noBreakHyphen/>
              <w:t>allocation period is required to be a minimum of two years.</w:t>
            </w:r>
          </w:p>
        </w:tc>
      </w:tr>
      <w:tr w:rsidR="00AD2273" w:rsidRPr="00A05EC9" w14:paraId="643E9D25" w14:textId="77777777" w:rsidTr="00585A42">
        <w:trPr>
          <w:cantSplit/>
        </w:trPr>
        <w:tc>
          <w:tcPr>
            <w:tcW w:w="2405" w:type="dxa"/>
            <w:shd w:val="clear" w:color="auto" w:fill="F2F2F2" w:themeFill="background1" w:themeFillShade="F2"/>
          </w:tcPr>
          <w:p w14:paraId="57DB191D" w14:textId="77777777" w:rsidR="00AD2273" w:rsidRPr="00AD2273" w:rsidRDefault="00AD2273" w:rsidP="00C14CD7">
            <w:pPr>
              <w:spacing w:after="0" w:line="240" w:lineRule="auto"/>
              <w:rPr>
                <w:b/>
                <w:bCs/>
              </w:rPr>
            </w:pPr>
            <w:r w:rsidRPr="00AD2273">
              <w:rPr>
                <w:b/>
                <w:bCs/>
              </w:rPr>
              <w:t>Spectrum licence</w:t>
            </w:r>
          </w:p>
        </w:tc>
        <w:tc>
          <w:tcPr>
            <w:tcW w:w="5256" w:type="dxa"/>
            <w:shd w:val="clear" w:color="auto" w:fill="F2F2F2" w:themeFill="background1" w:themeFillShade="F2"/>
          </w:tcPr>
          <w:p w14:paraId="0B5F5B4F" w14:textId="77777777" w:rsidR="00AD2273" w:rsidRPr="00A05EC9" w:rsidRDefault="00AD2273" w:rsidP="00C14CD7">
            <w:pPr>
              <w:spacing w:after="0" w:line="240" w:lineRule="auto"/>
            </w:pPr>
            <w:r w:rsidRPr="00A05EC9">
              <w:t xml:space="preserve">Issued under the </w:t>
            </w:r>
            <w:r w:rsidRPr="00A05EC9">
              <w:rPr>
                <w:i/>
              </w:rPr>
              <w:t>Radiocommunications Act 1992</w:t>
            </w:r>
            <w:r w:rsidRPr="00A05EC9">
              <w:t xml:space="preserve"> and authorises the use of a </w:t>
            </w:r>
            <w:proofErr w:type="gramStart"/>
            <w:r w:rsidRPr="00A05EC9">
              <w:t>particular frequency</w:t>
            </w:r>
            <w:proofErr w:type="gramEnd"/>
            <w:r w:rsidRPr="00A05EC9">
              <w:t xml:space="preserve"> band within a particular geographic area for a period of up to 15 years. The geographic area can vary in size, up to and including the entire country.</w:t>
            </w:r>
          </w:p>
        </w:tc>
      </w:tr>
      <w:tr w:rsidR="00AD2273" w:rsidRPr="00A05EC9" w14:paraId="7A7D0DFD" w14:textId="77777777" w:rsidTr="00585A42">
        <w:trPr>
          <w:cantSplit/>
        </w:trPr>
        <w:tc>
          <w:tcPr>
            <w:tcW w:w="2405" w:type="dxa"/>
          </w:tcPr>
          <w:p w14:paraId="511F7E2A" w14:textId="77777777" w:rsidR="00AD2273" w:rsidRPr="00AD2273" w:rsidRDefault="00AD2273" w:rsidP="00C14CD7">
            <w:pPr>
              <w:spacing w:after="0" w:line="240" w:lineRule="auto"/>
              <w:rPr>
                <w:b/>
                <w:bCs/>
              </w:rPr>
            </w:pPr>
            <w:r w:rsidRPr="00AD2273">
              <w:rPr>
                <w:b/>
                <w:bCs/>
              </w:rPr>
              <w:t>TDD</w:t>
            </w:r>
          </w:p>
        </w:tc>
        <w:tc>
          <w:tcPr>
            <w:tcW w:w="5256" w:type="dxa"/>
          </w:tcPr>
          <w:p w14:paraId="4037F669" w14:textId="77777777" w:rsidR="00AD2273" w:rsidRDefault="00AD2273" w:rsidP="00C14CD7">
            <w:pPr>
              <w:spacing w:after="120" w:line="240" w:lineRule="auto"/>
            </w:pPr>
            <w:r>
              <w:t>Time Division Duplex</w:t>
            </w:r>
          </w:p>
          <w:p w14:paraId="3DF4FC3A" w14:textId="77777777" w:rsidR="00AD2273" w:rsidRPr="00A05EC9" w:rsidRDefault="00AD2273" w:rsidP="00C14CD7">
            <w:pPr>
              <w:spacing w:after="0" w:line="240" w:lineRule="auto"/>
            </w:pPr>
            <w:r>
              <w:t>A technique where downlink and uplink communications use the same frequency but are separated by the allocation of different slots. This means uplink and downlink communications cannot occur at the same time.</w:t>
            </w:r>
          </w:p>
        </w:tc>
      </w:tr>
      <w:tr w:rsidR="00AD2273" w:rsidRPr="00A05EC9" w14:paraId="3A194DE5" w14:textId="77777777" w:rsidTr="00585A42">
        <w:trPr>
          <w:cantSplit/>
        </w:trPr>
        <w:tc>
          <w:tcPr>
            <w:tcW w:w="2405" w:type="dxa"/>
            <w:shd w:val="clear" w:color="auto" w:fill="F2F2F2" w:themeFill="background1" w:themeFillShade="F2"/>
          </w:tcPr>
          <w:p w14:paraId="2A8EA9B5" w14:textId="77777777" w:rsidR="00AD2273" w:rsidRPr="00AD2273" w:rsidRDefault="00AD2273" w:rsidP="00C14CD7">
            <w:pPr>
              <w:spacing w:after="0" w:line="240" w:lineRule="auto"/>
              <w:rPr>
                <w:b/>
                <w:bCs/>
              </w:rPr>
            </w:pPr>
            <w:r w:rsidRPr="00AD2273">
              <w:rPr>
                <w:b/>
                <w:bCs/>
              </w:rPr>
              <w:t>WBB</w:t>
            </w:r>
          </w:p>
        </w:tc>
        <w:tc>
          <w:tcPr>
            <w:tcW w:w="5256" w:type="dxa"/>
            <w:shd w:val="clear" w:color="auto" w:fill="F2F2F2" w:themeFill="background1" w:themeFillShade="F2"/>
          </w:tcPr>
          <w:p w14:paraId="3E1155E7" w14:textId="77777777" w:rsidR="00AD2273" w:rsidRPr="00A05EC9" w:rsidRDefault="00AD2273" w:rsidP="00C14CD7">
            <w:pPr>
              <w:spacing w:after="0" w:line="240" w:lineRule="auto"/>
            </w:pPr>
            <w:r>
              <w:t>Wireless broadband</w:t>
            </w:r>
          </w:p>
        </w:tc>
      </w:tr>
      <w:tr w:rsidR="00AD2273" w:rsidRPr="00A05EC9" w14:paraId="27B019FD" w14:textId="77777777" w:rsidTr="00585A42">
        <w:trPr>
          <w:cantSplit/>
        </w:trPr>
        <w:tc>
          <w:tcPr>
            <w:tcW w:w="2405" w:type="dxa"/>
          </w:tcPr>
          <w:p w14:paraId="77CE0EE6" w14:textId="77777777" w:rsidR="00AD2273" w:rsidRPr="00AD2273" w:rsidRDefault="00AD2273" w:rsidP="00C14CD7">
            <w:pPr>
              <w:spacing w:after="0" w:line="240" w:lineRule="auto"/>
              <w:rPr>
                <w:b/>
                <w:bCs/>
              </w:rPr>
            </w:pPr>
            <w:r w:rsidRPr="00AD2273">
              <w:rPr>
                <w:b/>
                <w:bCs/>
              </w:rPr>
              <w:t>WISP</w:t>
            </w:r>
          </w:p>
        </w:tc>
        <w:tc>
          <w:tcPr>
            <w:tcW w:w="5256" w:type="dxa"/>
          </w:tcPr>
          <w:p w14:paraId="371E7D0D" w14:textId="77777777" w:rsidR="00AD2273" w:rsidRPr="00A05EC9" w:rsidRDefault="00AD2273" w:rsidP="00C14CD7">
            <w:pPr>
              <w:spacing w:after="0" w:line="240" w:lineRule="auto"/>
            </w:pPr>
            <w:r w:rsidRPr="00A05EC9">
              <w:t>Wireless Internet Service Provider</w:t>
            </w:r>
          </w:p>
        </w:tc>
      </w:tr>
    </w:tbl>
    <w:p w14:paraId="42317DDB" w14:textId="311B44C1" w:rsidR="00AD2273" w:rsidRDefault="00AD2273" w:rsidP="00AD2273">
      <w:pPr>
        <w:pStyle w:val="Heading1"/>
      </w:pPr>
      <w:bookmarkStart w:id="161" w:name="_Toc16064523"/>
      <w:r>
        <w:lastRenderedPageBreak/>
        <w:t>Appendix 1: Geographical area descriptions</w:t>
      </w:r>
      <w:bookmarkEnd w:id="161"/>
    </w:p>
    <w:p w14:paraId="047EE1E6" w14:textId="6F96E956" w:rsidR="00AD2273" w:rsidRDefault="00AD2273" w:rsidP="00AD2273">
      <w:pPr>
        <w:spacing w:after="80"/>
      </w:pPr>
      <w:r>
        <w:t xml:space="preserve">The ACMA has defined geographical areas to assist in the analysis of use of, and potential future use scenarios for, the 3700–4200 MHz band. These areas are displayed in </w:t>
      </w:r>
      <w:r w:rsidR="00246554">
        <w:t>Figure 11</w:t>
      </w:r>
      <w:r>
        <w:t>. A brief description of each follows:</w:t>
      </w:r>
    </w:p>
    <w:p w14:paraId="12ACF213" w14:textId="759B3297" w:rsidR="00AD2273" w:rsidRDefault="00AD2273" w:rsidP="00AD2273">
      <w:pPr>
        <w:pStyle w:val="ListBullet"/>
      </w:pPr>
      <w:r>
        <w:t xml:space="preserve">Metropolitan—covers all capital cities (except Darwin and Hobart). It mirrors the metro areas defined in the </w:t>
      </w:r>
      <w:hyperlink r:id="rId75" w:history="1">
        <w:r w:rsidRPr="00585A42">
          <w:rPr>
            <w:rStyle w:val="Hyperlink"/>
            <w:rFonts w:ascii="Helvetica Neue" w:hAnsi="Helvetica Neue"/>
          </w:rPr>
          <w:t>Radiocommunications (Spectrum Re-allocation</w:t>
        </w:r>
        <w:r w:rsidRPr="00585A42">
          <w:rPr>
            <w:rStyle w:val="Hyperlink"/>
            <w:rFonts w:ascii="Helvetica Neue" w:hAnsi="Helvetica Neue" w:hint="eastAsia"/>
          </w:rPr>
          <w:t>—</w:t>
        </w:r>
        <w:r w:rsidRPr="00585A42">
          <w:rPr>
            <w:rStyle w:val="Hyperlink"/>
            <w:rFonts w:ascii="Helvetica Neue" w:hAnsi="Helvetica Neue"/>
          </w:rPr>
          <w:t>3.6 GHz Band for Adelaide and Eastern Metropolitan Australia) Declaration 2018</w:t>
        </w:r>
      </w:hyperlink>
      <w:r>
        <w:t xml:space="preserve"> and the </w:t>
      </w:r>
      <w:hyperlink r:id="rId76" w:history="1">
        <w:r w:rsidRPr="00585A42">
          <w:rPr>
            <w:rStyle w:val="Hyperlink"/>
            <w:rFonts w:ascii="Helvetica Neue" w:hAnsi="Helvetica Neue"/>
            <w:bCs/>
          </w:rPr>
          <w:t>Radiocommunications (Spectrum Re-allocation</w:t>
        </w:r>
        <w:r w:rsidRPr="00585A42">
          <w:rPr>
            <w:rStyle w:val="Hyperlink"/>
            <w:rFonts w:ascii="Helvetica Neue" w:hAnsi="Helvetica Neue" w:hint="eastAsia"/>
            <w:bCs/>
          </w:rPr>
          <w:t>—</w:t>
        </w:r>
        <w:r w:rsidRPr="00585A42">
          <w:rPr>
            <w:rStyle w:val="Hyperlink"/>
            <w:rFonts w:ascii="Helvetica Neue" w:hAnsi="Helvetica Neue"/>
            <w:bCs/>
          </w:rPr>
          <w:t>3.6 GHz Band for Perth) Declaration 2018</w:t>
        </w:r>
      </w:hyperlink>
      <w:r w:rsidRPr="00046CAB">
        <w:rPr>
          <w:i/>
        </w:rPr>
        <w:t>.</w:t>
      </w:r>
    </w:p>
    <w:p w14:paraId="0FCF7B40" w14:textId="5DF0C8A9" w:rsidR="00AD2273" w:rsidRDefault="00AD2273" w:rsidP="00AD2273">
      <w:pPr>
        <w:pStyle w:val="ListBullet"/>
      </w:pPr>
      <w:r>
        <w:t>Regional—mirrors the regional areas subject to spectrum licensing in the 3.6 GHz band as defined in</w:t>
      </w:r>
      <w:r>
        <w:rPr>
          <w:szCs w:val="20"/>
        </w:rPr>
        <w:t xml:space="preserve"> the </w:t>
      </w:r>
      <w:hyperlink r:id="rId77" w:history="1">
        <w:r w:rsidRPr="00585A42">
          <w:rPr>
            <w:rStyle w:val="Hyperlink"/>
            <w:rFonts w:cs="Arial"/>
          </w:rPr>
          <w:t>Radiocommunications (Spectrum Re-allocation—Regional 1800 MHz Band) Declaration 2015</w:t>
        </w:r>
      </w:hyperlink>
      <w:r>
        <w:t>.</w:t>
      </w:r>
    </w:p>
    <w:p w14:paraId="25B81082" w14:textId="77777777" w:rsidR="00AD2273" w:rsidRDefault="00AD2273" w:rsidP="00AD2273">
      <w:pPr>
        <w:pStyle w:val="ListBullet"/>
      </w:pPr>
      <w:r>
        <w:t xml:space="preserve">Remote—includes those areas of Australia not covered by metropolitan and Regional areas. </w:t>
      </w:r>
    </w:p>
    <w:p w14:paraId="215DFEEE" w14:textId="77777777" w:rsidR="00AD2273" w:rsidRDefault="00AD2273" w:rsidP="00AD2273">
      <w:pPr>
        <w:pStyle w:val="ListBulletLast"/>
      </w:pPr>
      <w:r>
        <w:t>Australia-wide—covers all of Australia but excludes Australian external territories.</w:t>
      </w:r>
    </w:p>
    <w:p w14:paraId="2E09B0AD" w14:textId="794ED455" w:rsidR="00AD2273" w:rsidRPr="00776DBC" w:rsidRDefault="00AD2273" w:rsidP="00AD2273">
      <w:pPr>
        <w:spacing w:before="240"/>
        <w:rPr>
          <w:rFonts w:cs="Arial"/>
          <w:szCs w:val="20"/>
        </w:rPr>
      </w:pPr>
      <w:r>
        <w:rPr>
          <w:rFonts w:cs="Arial"/>
        </w:rPr>
        <w:t>The Australian Spectrum Map Grid (</w:t>
      </w:r>
      <w:r w:rsidRPr="00577B3E">
        <w:rPr>
          <w:rFonts w:cs="Arial"/>
        </w:rPr>
        <w:t>ASMG</w:t>
      </w:r>
      <w:r>
        <w:rPr>
          <w:rFonts w:cs="Arial"/>
        </w:rPr>
        <w:t xml:space="preserve">) is used to define geographical areas over which spectrum licences are issued. </w:t>
      </w:r>
      <w:r w:rsidRPr="00577B3E">
        <w:rPr>
          <w:rFonts w:cs="Arial"/>
        </w:rPr>
        <w:t xml:space="preserve">The Hierarchical Cell Identification Scheme (HCIS) is a naming convention developed by the ACMA that applies unique ‘names’ to each of the cells </w:t>
      </w:r>
      <w:r>
        <w:rPr>
          <w:rFonts w:cs="Arial"/>
        </w:rPr>
        <w:t>that make up</w:t>
      </w:r>
      <w:r w:rsidRPr="00577B3E">
        <w:rPr>
          <w:rFonts w:cs="Arial"/>
        </w:rPr>
        <w:t xml:space="preserve"> the</w:t>
      </w:r>
      <w:r>
        <w:rPr>
          <w:rFonts w:cs="Arial"/>
        </w:rPr>
        <w:t xml:space="preserve"> ASMG</w:t>
      </w:r>
      <w:r w:rsidRPr="00577B3E">
        <w:rPr>
          <w:rFonts w:cs="Arial"/>
        </w:rPr>
        <w:t>.</w:t>
      </w:r>
      <w:r>
        <w:rPr>
          <w:rFonts w:cs="Arial"/>
        </w:rPr>
        <w:t xml:space="preserve"> The ASMG and HCIS are described in detail in the document </w:t>
      </w:r>
      <w:hyperlink r:id="rId78" w:history="1">
        <w:r w:rsidRPr="00776DBC">
          <w:rPr>
            <w:rStyle w:val="Hyperlink"/>
            <w:rFonts w:cs="Arial"/>
            <w:i/>
          </w:rPr>
          <w:t>The Australia</w:t>
        </w:r>
        <w:r>
          <w:rPr>
            <w:rStyle w:val="Hyperlink"/>
            <w:rFonts w:cs="Arial"/>
            <w:i/>
          </w:rPr>
          <w:t>n</w:t>
        </w:r>
        <w:r w:rsidRPr="00776DBC">
          <w:rPr>
            <w:rStyle w:val="Hyperlink"/>
            <w:rFonts w:cs="Arial"/>
            <w:i/>
          </w:rPr>
          <w:t xml:space="preserve"> spectrum map grid 2012</w:t>
        </w:r>
      </w:hyperlink>
      <w:r>
        <w:rPr>
          <w:rFonts w:cs="Arial"/>
        </w:rPr>
        <w:t>.</w:t>
      </w:r>
    </w:p>
    <w:p w14:paraId="44CBA9E0" w14:textId="526BF85E" w:rsidR="00AD2273" w:rsidRDefault="00AD2273" w:rsidP="00AD2273">
      <w:pPr>
        <w:rPr>
          <w:rStyle w:val="Hyperlink"/>
        </w:rPr>
      </w:pPr>
      <w:r w:rsidRPr="006006B1">
        <w:t xml:space="preserve">The HCIS coordinates </w:t>
      </w:r>
      <w:r>
        <w:t xml:space="preserve">in </w:t>
      </w:r>
      <w:r>
        <w:fldChar w:fldCharType="begin"/>
      </w:r>
      <w:r>
        <w:instrText xml:space="preserve"> REF _Ref10191996 \h </w:instrText>
      </w:r>
      <w:r>
        <w:fldChar w:fldCharType="separate"/>
      </w:r>
      <w:r w:rsidR="007C4626">
        <w:t>HCIS description of areas</w:t>
      </w:r>
      <w:r>
        <w:fldChar w:fldCharType="end"/>
      </w:r>
      <w:r>
        <w:t xml:space="preserve"> </w:t>
      </w:r>
      <w:r w:rsidRPr="006006B1">
        <w:t xml:space="preserve">can be converted into a </w:t>
      </w:r>
      <w:r w:rsidRPr="00C650D6">
        <w:t>Placemark</w:t>
      </w:r>
      <w:r>
        <w:t xml:space="preserve"> file (viewable in Google Earth)</w:t>
      </w:r>
      <w:r w:rsidRPr="00C650D6">
        <w:t xml:space="preserve"> </w:t>
      </w:r>
      <w:r w:rsidRPr="006006B1">
        <w:t xml:space="preserve">through a facility on the </w:t>
      </w:r>
      <w:hyperlink r:id="rId79" w:history="1">
        <w:r w:rsidRPr="00DB6F54">
          <w:rPr>
            <w:rStyle w:val="Hyperlink"/>
          </w:rPr>
          <w:t>ACMA website</w:t>
        </w:r>
      </w:hyperlink>
      <w:r>
        <w:t>.</w:t>
      </w:r>
      <w:r w:rsidRPr="00C650D6">
        <w:t xml:space="preserve"> </w:t>
      </w:r>
    </w:p>
    <w:p w14:paraId="5440C5B9" w14:textId="2457B70F" w:rsidR="00AD2273" w:rsidRDefault="00AD2273" w:rsidP="00585A42">
      <w:pPr>
        <w:pStyle w:val="ACMAFigureHeader"/>
        <w:keepNext/>
      </w:pPr>
      <w:r>
        <w:lastRenderedPageBreak/>
        <w:t>3700–4200</w:t>
      </w:r>
      <w:r w:rsidRPr="0074333B">
        <w:t xml:space="preserve"> MHz band geographical area descriptions</w:t>
      </w:r>
    </w:p>
    <w:p w14:paraId="53EE31C2" w14:textId="77777777" w:rsidR="00AD2273" w:rsidRDefault="00AD2273" w:rsidP="00585A42">
      <w:pPr>
        <w:rPr>
          <w:rFonts w:cs="Arial"/>
          <w:szCs w:val="20"/>
        </w:rPr>
      </w:pPr>
      <w:r w:rsidRPr="006D66EB">
        <w:rPr>
          <w:noProof/>
        </w:rPr>
        <w:t xml:space="preserve"> </w:t>
      </w:r>
      <w:r>
        <w:rPr>
          <w:noProof/>
        </w:rPr>
        <w:drawing>
          <wp:inline distT="0" distB="0" distL="0" distR="0" wp14:anchorId="306AE6C9" wp14:editId="10248331">
            <wp:extent cx="5731510" cy="4878705"/>
            <wp:effectExtent l="0" t="0" r="2540" b="0"/>
            <wp:docPr id="7" name="Picture 7" descr="Figure 10: 3700–4200 MHz band geographical area descri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5731510" cy="4878705"/>
                    </a:xfrm>
                    <a:prstGeom prst="rect">
                      <a:avLst/>
                    </a:prstGeom>
                  </pic:spPr>
                </pic:pic>
              </a:graphicData>
            </a:graphic>
          </wp:inline>
        </w:drawing>
      </w:r>
    </w:p>
    <w:p w14:paraId="73F7BA5D" w14:textId="0EB0FA3F" w:rsidR="00AD2273" w:rsidRDefault="00AD2273" w:rsidP="00585A42">
      <w:pPr>
        <w:pStyle w:val="ACMATableHeader"/>
      </w:pPr>
      <w:bookmarkStart w:id="162" w:name="_Ref10191996"/>
      <w:r>
        <w:t>HCIS description of areas</w:t>
      </w:r>
      <w:bookmarkEnd w:id="162"/>
    </w:p>
    <w:tbl>
      <w:tblPr>
        <w:tblStyle w:val="TableGrid"/>
        <w:tblW w:w="9495" w:type="dxa"/>
        <w:tblLayout w:type="fixed"/>
        <w:tblLook w:val="04A0" w:firstRow="1" w:lastRow="0" w:firstColumn="1" w:lastColumn="0" w:noHBand="0" w:noVBand="1"/>
      </w:tblPr>
      <w:tblGrid>
        <w:gridCol w:w="1130"/>
        <w:gridCol w:w="1460"/>
        <w:gridCol w:w="6905"/>
      </w:tblGrid>
      <w:tr w:rsidR="00BB1CA0" w14:paraId="7E6C4D4F" w14:textId="77777777" w:rsidTr="001D2C14">
        <w:trPr>
          <w:cantSplit/>
          <w:tblHeader/>
        </w:trPr>
        <w:tc>
          <w:tcPr>
            <w:tcW w:w="113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0AE46029" w14:textId="77777777" w:rsidR="00BB1CA0" w:rsidRDefault="00BB1CA0">
            <w:pPr>
              <w:pStyle w:val="TableHeading"/>
              <w:rPr>
                <w:color w:val="FFFFFF" w:themeColor="background1"/>
              </w:rPr>
            </w:pPr>
            <w:r>
              <w:rPr>
                <w:color w:val="FFFFFF" w:themeColor="background1"/>
              </w:rPr>
              <w:t>Area</w:t>
            </w:r>
          </w:p>
        </w:tc>
        <w:tc>
          <w:tcPr>
            <w:tcW w:w="146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649CC73" w14:textId="77777777" w:rsidR="00BB1CA0" w:rsidRDefault="00BB1CA0">
            <w:pPr>
              <w:pStyle w:val="TableHeading"/>
              <w:rPr>
                <w:color w:val="FFFFFF" w:themeColor="background1"/>
              </w:rPr>
            </w:pPr>
            <w:r>
              <w:rPr>
                <w:color w:val="FFFFFF" w:themeColor="background1"/>
              </w:rPr>
              <w:t>Sub-area name</w:t>
            </w:r>
          </w:p>
        </w:tc>
        <w:tc>
          <w:tcPr>
            <w:tcW w:w="6905"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08354387" w14:textId="77777777" w:rsidR="00BB1CA0" w:rsidRDefault="00BB1CA0">
            <w:pPr>
              <w:pStyle w:val="TableHeading"/>
              <w:rPr>
                <w:color w:val="FFFFFF" w:themeColor="background1"/>
              </w:rPr>
            </w:pPr>
            <w:r>
              <w:rPr>
                <w:color w:val="FFFFFF" w:themeColor="background1"/>
              </w:rPr>
              <w:t>HCIS</w:t>
            </w:r>
          </w:p>
        </w:tc>
      </w:tr>
      <w:tr w:rsidR="00BB1CA0" w14:paraId="5FB5E56F" w14:textId="77777777" w:rsidTr="001D2C14">
        <w:trPr>
          <w:cantSplit/>
        </w:trPr>
        <w:tc>
          <w:tcPr>
            <w:tcW w:w="1130"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14:paraId="1BDEC38A" w14:textId="77777777" w:rsidR="00BB1CA0" w:rsidRDefault="00BB1CA0">
            <w:pPr>
              <w:pStyle w:val="TableBody"/>
              <w:spacing w:line="240" w:lineRule="atLeast"/>
            </w:pPr>
            <w:r>
              <w:t>Metropolitan</w:t>
            </w:r>
          </w:p>
        </w:tc>
        <w:tc>
          <w:tcPr>
            <w:tcW w:w="1460" w:type="dxa"/>
            <w:tcBorders>
              <w:top w:val="single" w:sz="4" w:space="0" w:color="auto"/>
              <w:left w:val="single" w:sz="4" w:space="0" w:color="auto"/>
              <w:bottom w:val="single" w:sz="4" w:space="0" w:color="auto"/>
              <w:right w:val="single" w:sz="4" w:space="0" w:color="auto"/>
            </w:tcBorders>
            <w:hideMark/>
          </w:tcPr>
          <w:p w14:paraId="4C005814" w14:textId="77777777" w:rsidR="00BB1CA0" w:rsidRDefault="00BB1CA0">
            <w:pPr>
              <w:pStyle w:val="TableBody"/>
              <w:spacing w:line="240" w:lineRule="atLeast"/>
            </w:pPr>
            <w:r>
              <w:t xml:space="preserve">Adelaide </w:t>
            </w:r>
          </w:p>
        </w:tc>
        <w:tc>
          <w:tcPr>
            <w:tcW w:w="6905" w:type="dxa"/>
            <w:tcBorders>
              <w:top w:val="single" w:sz="4" w:space="0" w:color="auto"/>
              <w:left w:val="single" w:sz="4" w:space="0" w:color="auto"/>
              <w:bottom w:val="single" w:sz="4" w:space="0" w:color="auto"/>
              <w:right w:val="single" w:sz="4" w:space="0" w:color="auto"/>
            </w:tcBorders>
            <w:vAlign w:val="center"/>
            <w:hideMark/>
          </w:tcPr>
          <w:p w14:paraId="443FD407" w14:textId="77777777" w:rsidR="00BB1CA0" w:rsidRDefault="00BB1CA0">
            <w:pPr>
              <w:pStyle w:val="TableBody"/>
              <w:spacing w:line="240" w:lineRule="atLeast"/>
            </w:pPr>
            <w:r>
              <w:t>IW3J,IW3K,IW3L,IW3N,IW3O,IW3P,IW6B,IW6C,IW6D,IW6F,IW6G,IW6H,IW3E5,IW3E6,IW3E8,IW3E9,IW3F4,IW3F5,IW3F6,IW3F7,IW3F8,IW3F9,IW3G4,IW3G5,IW3G6,IW3G7,IW3G8,IW3G9,IW3H4,IW3H5,IW3H6,IW3H7,IW3H8,IW3H9,IW3I2,IW3I3,IW3I5,IW3I6,IW3I8,IW3I9,IW3M2,IW3M3,IW3M5,IW3M6,IW3M8,IW3M9,IW6A2,IW6A3,IW6A5,IW6A6,IW6A8,IW6A9,IW6E2,IW6E3,IW6E5,IW6E6,IW6E8,IW6E9,JW1E4,JW1E7,JW1I1,JW1I4,JW1I7,JW1M1,JW1M4</w:t>
            </w:r>
          </w:p>
        </w:tc>
      </w:tr>
      <w:tr w:rsidR="00BB1CA0" w14:paraId="6CEE9059" w14:textId="77777777" w:rsidTr="001D2C14">
        <w:trPr>
          <w:cantSplit/>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602FCBCF" w14:textId="77777777" w:rsidR="00BB1CA0" w:rsidRDefault="00BB1CA0">
            <w:pPr>
              <w:spacing w:after="0"/>
            </w:pPr>
          </w:p>
        </w:tc>
        <w:tc>
          <w:tcPr>
            <w:tcW w:w="1460" w:type="dxa"/>
            <w:tcBorders>
              <w:top w:val="single" w:sz="4" w:space="0" w:color="auto"/>
              <w:left w:val="single" w:sz="4" w:space="0" w:color="auto"/>
              <w:bottom w:val="single" w:sz="4" w:space="0" w:color="auto"/>
              <w:right w:val="single" w:sz="4" w:space="0" w:color="auto"/>
            </w:tcBorders>
            <w:hideMark/>
          </w:tcPr>
          <w:p w14:paraId="24AAA10A" w14:textId="77777777" w:rsidR="00BB1CA0" w:rsidRDefault="00BB1CA0">
            <w:pPr>
              <w:pStyle w:val="TableBody"/>
              <w:spacing w:line="240" w:lineRule="atLeast"/>
            </w:pPr>
            <w:r>
              <w:t xml:space="preserve">Brisbane </w:t>
            </w:r>
          </w:p>
        </w:tc>
        <w:tc>
          <w:tcPr>
            <w:tcW w:w="6905" w:type="dxa"/>
            <w:tcBorders>
              <w:top w:val="single" w:sz="4" w:space="0" w:color="auto"/>
              <w:left w:val="single" w:sz="4" w:space="0" w:color="auto"/>
              <w:bottom w:val="single" w:sz="4" w:space="0" w:color="auto"/>
              <w:right w:val="single" w:sz="4" w:space="0" w:color="auto"/>
            </w:tcBorders>
            <w:vAlign w:val="center"/>
            <w:hideMark/>
          </w:tcPr>
          <w:p w14:paraId="40F0B222" w14:textId="77777777" w:rsidR="00BB1CA0" w:rsidRDefault="00BB1CA0">
            <w:pPr>
              <w:pStyle w:val="TableBody"/>
              <w:spacing w:line="240" w:lineRule="atLeast"/>
            </w:pPr>
            <w:r>
              <w:t>NT9,NT8C,NT8D,NT8G,NT8H,NT8K,NT8L,NT8O,NT8P,NU3A,NU3B,NU3C,NU3D,NU3F,NU3G,NU3H,NT5O4,NT5O5,NT5O6,NT5O7,NT5O8,NT5O9,NT5P4,NT5P5,NT5P6,NT5P7,NT5P8,NT5P9,NT6M4,NT6M5,NT6M6,NT6M7,NT6M8,NT6M9,NT6N4,NT6N5,NT6N6,NT6N7,NT6N8,NT6N9,NT6O4,NT6O5,NT6O6,NT6O7,NT6O8,NT6O9,NT6P4,NT6P5,NT6P6,NT6P7,NT6P8,NT6P9,NU2C1,NU2C2,NU2C3,NU2D1,NU2D2,NU2D3,NU2D5,NU2D6,NU2D8,NU2D9,NU2H2,NU2H3,NU3E1,NU3E2,NU3E3,NU3E5,NU3E6,NU3E8,NU3E9,NU3I2,NU3I3,NU3J1,NU3J2,NU3J3,NU3K1,NU3K2,NU3K3,NU3L1,NU3L2,NU3L3</w:t>
            </w:r>
          </w:p>
        </w:tc>
      </w:tr>
      <w:tr w:rsidR="00BB1CA0" w14:paraId="2F549D8D" w14:textId="77777777" w:rsidTr="001D2C14">
        <w:trPr>
          <w:cantSplit/>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1724A9E9" w14:textId="77777777" w:rsidR="00BB1CA0" w:rsidRDefault="00BB1CA0">
            <w:pPr>
              <w:spacing w:after="0"/>
            </w:pPr>
          </w:p>
        </w:tc>
        <w:tc>
          <w:tcPr>
            <w:tcW w:w="1460" w:type="dxa"/>
            <w:tcBorders>
              <w:top w:val="single" w:sz="4" w:space="0" w:color="auto"/>
              <w:left w:val="single" w:sz="4" w:space="0" w:color="auto"/>
              <w:bottom w:val="single" w:sz="4" w:space="0" w:color="auto"/>
              <w:right w:val="single" w:sz="4" w:space="0" w:color="auto"/>
            </w:tcBorders>
            <w:hideMark/>
          </w:tcPr>
          <w:p w14:paraId="7497019E" w14:textId="77777777" w:rsidR="00BB1CA0" w:rsidRDefault="00BB1CA0">
            <w:pPr>
              <w:pStyle w:val="TableBody"/>
              <w:spacing w:line="240" w:lineRule="atLeast"/>
            </w:pPr>
            <w:r>
              <w:t>Canberra</w:t>
            </w:r>
          </w:p>
        </w:tc>
        <w:tc>
          <w:tcPr>
            <w:tcW w:w="6905" w:type="dxa"/>
            <w:tcBorders>
              <w:top w:val="single" w:sz="4" w:space="0" w:color="auto"/>
              <w:left w:val="single" w:sz="4" w:space="0" w:color="auto"/>
              <w:bottom w:val="single" w:sz="4" w:space="0" w:color="auto"/>
              <w:right w:val="single" w:sz="4" w:space="0" w:color="auto"/>
            </w:tcBorders>
            <w:vAlign w:val="bottom"/>
            <w:hideMark/>
          </w:tcPr>
          <w:p w14:paraId="60261085" w14:textId="77777777" w:rsidR="00BB1CA0" w:rsidRDefault="00BB1CA0">
            <w:pPr>
              <w:pStyle w:val="TableBody"/>
              <w:spacing w:line="240" w:lineRule="atLeast"/>
            </w:pPr>
            <w:r>
              <w:t>MW4D,MW4H,MW4L,MW5A,MW5B,MW5E,MW5F,MW5I,MW5J,MW1P4,MW1P5,MW1P6,MW1P7,MW1P8,MW1P9,MW2M4,MW2M5,MW2M6,MW2M7,MW2M8,MW2M9,MW2N4,MW2N5,MW2N6,MW2N7,MW2N8,MW2N9,MW4P1,MW4P2,MW4P3,MW5M1,MW5M2,MW5M3,MW5N1,MW5N2,MW5N3</w:t>
            </w:r>
          </w:p>
        </w:tc>
      </w:tr>
      <w:tr w:rsidR="00BB1CA0" w14:paraId="03D931ED" w14:textId="77777777" w:rsidTr="001D2C14">
        <w:trPr>
          <w:cantSplit/>
          <w:trHeight w:val="1772"/>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5C2CFEE4" w14:textId="77777777" w:rsidR="00BB1CA0" w:rsidRDefault="00BB1CA0">
            <w:pPr>
              <w:spacing w:after="0"/>
            </w:pPr>
          </w:p>
        </w:tc>
        <w:tc>
          <w:tcPr>
            <w:tcW w:w="1460" w:type="dxa"/>
            <w:tcBorders>
              <w:top w:val="single" w:sz="4" w:space="0" w:color="auto"/>
              <w:left w:val="single" w:sz="4" w:space="0" w:color="auto"/>
              <w:bottom w:val="single" w:sz="4" w:space="0" w:color="auto"/>
              <w:right w:val="single" w:sz="4" w:space="0" w:color="auto"/>
            </w:tcBorders>
            <w:hideMark/>
          </w:tcPr>
          <w:p w14:paraId="453B5468" w14:textId="77777777" w:rsidR="00BB1CA0" w:rsidRDefault="00BB1CA0">
            <w:pPr>
              <w:pStyle w:val="TableBody"/>
              <w:spacing w:line="240" w:lineRule="atLeast"/>
            </w:pPr>
            <w:r>
              <w:t xml:space="preserve">Melbourne </w:t>
            </w:r>
          </w:p>
        </w:tc>
        <w:tc>
          <w:tcPr>
            <w:tcW w:w="6905" w:type="dxa"/>
            <w:tcBorders>
              <w:top w:val="single" w:sz="4" w:space="0" w:color="auto"/>
              <w:left w:val="single" w:sz="4" w:space="0" w:color="auto"/>
              <w:bottom w:val="single" w:sz="4" w:space="0" w:color="auto"/>
              <w:right w:val="single" w:sz="4" w:space="0" w:color="auto"/>
            </w:tcBorders>
            <w:hideMark/>
          </w:tcPr>
          <w:p w14:paraId="102202FC" w14:textId="77777777" w:rsidR="00BB1CA0" w:rsidRDefault="00BB1CA0">
            <w:pPr>
              <w:pStyle w:val="TableBody"/>
              <w:spacing w:line="240" w:lineRule="atLeast"/>
            </w:pPr>
            <w:r>
              <w:t>KX3J,KX3K,KX3L,KX3N,KX3O,KX3P,KX6A,KX6B,KX6C,KX6D,KX6E,KX6F,KX6G,KX6H,KX6I,KX6J,KX6K,KX6L,LX1I,LX1M,LX1N,LX1O,LX4A,LX4B,LX4C,LX4E,LX4I,KX3E9,KX3F5,KX3F6,KX3F7,KX3F8,KX3F9,KX3G1,KX3G2,KX3G4,KX3G5,KX3G6,KX3G7,KX3G8,KX3G9,KX3H4,KX3H5,KX3H6,KX3H7,KX3H8,KX3H9,KX3I3,KX3I6,KX3I8,KX3I9,KX3M2,KX3M3,KX3M4,KX3M5,KX3M6,KX3M7,KX3M8,KX3M9,LX1E4,LX1E7,LX1E8,LX1E9,LX1J1,LX1J4,LX1J5,LX1J6,LX1J7,LX1J8,LX1J9,LX1K4,LX1K7,LX4F1,LX4F2,LX4F4,LX4F5,LX4F7,LX4F8,LX4J1,LX4J2,LX4J4,LX4J5,LX4J7,LX4J8</w:t>
            </w:r>
          </w:p>
        </w:tc>
      </w:tr>
      <w:tr w:rsidR="00BB1CA0" w14:paraId="2AA8D707" w14:textId="77777777" w:rsidTr="001D2C14">
        <w:trPr>
          <w:cantSplit/>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3E5D034D" w14:textId="77777777" w:rsidR="00BB1CA0" w:rsidRDefault="00BB1CA0">
            <w:pPr>
              <w:spacing w:after="0"/>
            </w:pPr>
          </w:p>
        </w:tc>
        <w:tc>
          <w:tcPr>
            <w:tcW w:w="1460" w:type="dxa"/>
            <w:tcBorders>
              <w:top w:val="single" w:sz="4" w:space="0" w:color="auto"/>
              <w:left w:val="single" w:sz="4" w:space="0" w:color="auto"/>
              <w:bottom w:val="single" w:sz="4" w:space="0" w:color="auto"/>
              <w:right w:val="single" w:sz="4" w:space="0" w:color="auto"/>
            </w:tcBorders>
            <w:hideMark/>
          </w:tcPr>
          <w:p w14:paraId="11546F47" w14:textId="77777777" w:rsidR="00BB1CA0" w:rsidRDefault="00BB1CA0">
            <w:pPr>
              <w:pStyle w:val="TableBody"/>
              <w:spacing w:line="240" w:lineRule="atLeast"/>
            </w:pPr>
            <w:r>
              <w:t xml:space="preserve">Perth </w:t>
            </w:r>
          </w:p>
        </w:tc>
        <w:tc>
          <w:tcPr>
            <w:tcW w:w="6905" w:type="dxa"/>
            <w:tcBorders>
              <w:top w:val="single" w:sz="4" w:space="0" w:color="auto"/>
              <w:left w:val="single" w:sz="4" w:space="0" w:color="auto"/>
              <w:bottom w:val="single" w:sz="4" w:space="0" w:color="auto"/>
              <w:right w:val="single" w:sz="4" w:space="0" w:color="auto"/>
            </w:tcBorders>
            <w:vAlign w:val="center"/>
            <w:hideMark/>
          </w:tcPr>
          <w:p w14:paraId="6F3DA326" w14:textId="77777777" w:rsidR="00BB1CA0" w:rsidRDefault="00BB1CA0">
            <w:pPr>
              <w:pStyle w:val="TableBody"/>
              <w:spacing w:line="240" w:lineRule="atLeast"/>
            </w:pPr>
            <w:r>
              <w:t>BV1I,BV1J,BV1K,BV1L,BV1M,BV1N,BV1O,BV1P,BV2I,BV2J,BV2M,BV2N,BV4A,BV4B,BV4C,BV4D,BV4E,BV4F,BV4G,BV4H,BV4I,BV4J,BV4K,BV4L,BV5A,BV5B,BV5E,BV5F,BV5I,BV5J,BV1E7,BV1E8,BV1E9,BV1F7,BV1F8,BV1F9,BV1G7,BV1G8,BV1G9,BV1H7,BV1H8,BV1H9,BV2E7,BV2E8,BV2E9,BV2F7,BV2F8,BV2F9,BV4M1,BV4M2,BV4M3,BV4N1,BV4N2,BV4N3,BV4O1,BV4O2,BV4O3,BV4P1,BV4P2,BV4P3,BV5M1,BV5M2,BV5M3,BV5N1,BV5N2,BV5N3</w:t>
            </w:r>
          </w:p>
        </w:tc>
      </w:tr>
      <w:tr w:rsidR="00BB1CA0" w14:paraId="07BCBEFA" w14:textId="77777777" w:rsidTr="001D2C14">
        <w:trPr>
          <w:cantSplit/>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2A4DE283" w14:textId="77777777" w:rsidR="00BB1CA0" w:rsidRDefault="00BB1CA0">
            <w:pPr>
              <w:spacing w:after="0"/>
            </w:pPr>
          </w:p>
        </w:tc>
        <w:tc>
          <w:tcPr>
            <w:tcW w:w="1460" w:type="dxa"/>
            <w:tcBorders>
              <w:top w:val="single" w:sz="4" w:space="0" w:color="auto"/>
              <w:left w:val="single" w:sz="4" w:space="0" w:color="auto"/>
              <w:bottom w:val="single" w:sz="4" w:space="0" w:color="auto"/>
              <w:right w:val="single" w:sz="4" w:space="0" w:color="auto"/>
            </w:tcBorders>
            <w:hideMark/>
          </w:tcPr>
          <w:p w14:paraId="08F7938F" w14:textId="77777777" w:rsidR="00BB1CA0" w:rsidRDefault="00BB1CA0">
            <w:pPr>
              <w:pStyle w:val="TableBody"/>
              <w:spacing w:line="240" w:lineRule="atLeast"/>
            </w:pPr>
            <w:r>
              <w:t xml:space="preserve">Sydney </w:t>
            </w:r>
          </w:p>
        </w:tc>
        <w:tc>
          <w:tcPr>
            <w:tcW w:w="6905" w:type="dxa"/>
            <w:tcBorders>
              <w:top w:val="single" w:sz="4" w:space="0" w:color="auto"/>
              <w:left w:val="single" w:sz="4" w:space="0" w:color="auto"/>
              <w:bottom w:val="single" w:sz="4" w:space="0" w:color="auto"/>
              <w:right w:val="single" w:sz="4" w:space="0" w:color="auto"/>
            </w:tcBorders>
            <w:vAlign w:val="center"/>
            <w:hideMark/>
          </w:tcPr>
          <w:p w14:paraId="1CE491DE" w14:textId="77777777" w:rsidR="00BB1CA0" w:rsidRDefault="00BB1CA0">
            <w:pPr>
              <w:pStyle w:val="TableBody"/>
              <w:spacing w:line="240" w:lineRule="atLeast"/>
            </w:pPr>
            <w:r>
              <w:t>MV9I,MV9J,MV9K,MV9L,MV9M,MV9N,MV9O,MV9P,MW3C,MW3D,MW3G,MW3H,MW3K,MW3L,NV4N,NV4O,NV4P,NV5M,NV5N,NV5O,NV5P,NV7B,NV7C,NV7D,NV7E,NV7F,NV7G,NV7H,NV7I,NV7J,NV7K,NV7L,NV7M,NV7N,NV7O,NV7P,NW1A,NW1B,NW1C,NW1D,NW1E,NW1F,NW1G,NW1H,NW1I,NW1J,NW1K,NW1L,MV9D6,MV9D9,MV9E4,MV9E5,MV9E6,MV9E7,MV9E8,MV9E9,MV9F4,MV9F5,MV9F6,MV9F7,MV9F8,MV9F9,MV9G4,MV9G5,MV9G6,MV9G7,MV9G8,MV9G9,MV9H3,MV9H4,MV9H5,MV9H6,MV9H7,MV9H8,MV9H9,MW3B2,MW3B3,MW3B5,MW3B6,MW3B8,MW3B9,MW3F2,MW3F3,MW3F5,MW3F6,MW3F8,MW3F9,MW3J2,MW3J3,MW3O1,MW3O2,MW3O3,MW3P1,MW3P2,MW3P3,NV4I5,NV4I6,NV4I8,NV4I9,NV4J4,NV4J5,NV4J6,NV4J7,NV4J8,NV4J9,NV4K4,NV4K5,NV4K6,NV4K7,NV4K8,NV4K9,NV4L4,NV4L5,NV4L6,NV4L7,NV4L8,NV4L9,NV4M2,NV4M3,NV4M5,NV4M6,NV4M8,NV4M9,NV5I4,NV5I5,NV5I6,NV5I7,NV5I8,NV5I9,NV5J4,NV5J5,NV5J6,NV5J7,NV5J8,NV5J9,NV5K4,NV5K5,NV5K6,NV5K7,NV5K8,NV5K9,NV5L4,NV5L5,NV5L6,NV5L7,NV5L8,NV5L9,NV7A2,NV7A3,NV7A4,NV7A5,NV7A6,NV7A7,NV7A8,NV7A9,NW1M1,NW1M2,NW1M3,NW1N1,NW1N2,NW1N3,NW1O1,NW1O2,NW1O3,NW1P1,NW1P2,NW1P3</w:t>
            </w:r>
          </w:p>
        </w:tc>
      </w:tr>
      <w:tr w:rsidR="001D2C14" w14:paraId="1B1DE186" w14:textId="77777777" w:rsidTr="001D2C14">
        <w:tc>
          <w:tcPr>
            <w:tcW w:w="1130" w:type="dxa"/>
            <w:hideMark/>
          </w:tcPr>
          <w:p w14:paraId="2F80F751" w14:textId="77777777" w:rsidR="001D2C14" w:rsidRDefault="001D2C14">
            <w:pPr>
              <w:pStyle w:val="TableBody"/>
              <w:spacing w:line="240" w:lineRule="atLeast"/>
            </w:pPr>
            <w:r>
              <w:t>Regional</w:t>
            </w:r>
          </w:p>
        </w:tc>
        <w:tc>
          <w:tcPr>
            <w:tcW w:w="1460" w:type="dxa"/>
            <w:hideMark/>
          </w:tcPr>
          <w:p w14:paraId="019CA6F6" w14:textId="77777777" w:rsidR="001D2C14" w:rsidRDefault="001D2C14">
            <w:pPr>
              <w:pStyle w:val="TableBody"/>
              <w:spacing w:line="240" w:lineRule="atLeast"/>
            </w:pPr>
            <w:r>
              <w:t>-</w:t>
            </w:r>
          </w:p>
        </w:tc>
        <w:tc>
          <w:tcPr>
            <w:tcW w:w="6905" w:type="dxa"/>
            <w:hideMark/>
          </w:tcPr>
          <w:p w14:paraId="71BDD83F" w14:textId="77777777" w:rsidR="001D2C14" w:rsidRDefault="001D2C14">
            <w:pPr>
              <w:pStyle w:val="TableBody"/>
              <w:spacing w:line="240" w:lineRule="atLeast"/>
            </w:pPr>
            <w:r>
              <w:t>CV,DV,IV,JV,KQ,KV,KW,LR,LV,LW,LY,MS,MT,MU,AU9,AV9,AW3,BU7,BU8,BV3,BV6,BV7,BV8,BV9,BW1,BW2,BW3,BW5,BW6,CW1,CW2,CW3,CW4,DW1,DW2,DW3,EV1,EV2,EV3,EV4,EV5,EV6,EV7,FV1,FV2,FV3,FV4,FV5,GV1,GV2,GV3,GV6,HV1,HV2,HV3,HV4,HV5,HV6,HV8,HV9,HW3,HW6,IW1,IW2,IW4,IW5,IW7,IW8,IW9,JW2,JW3,JW4,JW5,JW6,JW7,JW8,JW9,JX1,JX2,JX3,JX5,JX6,KO1,KO4,KO5,KO7,KO8,KP1,KP2,KP4,KP5,KP6,KP7,KP8,KP9,KX1,KX2,KX4,KX5,KX8,KX9,KY2,KY3,KY6,LP4,LP7,LQ1,LQ2,LQ4,LQ5,LQ7,LQ8,LX2,LX3,LX5,LX6,LX7,LX8,LX9,LZ1,LZ2,LZ3,MR1,MR4,MR5,MR7,MR8,MR9,MV1,MV2,MV3,MV4,MV5,MV6,MV7,MV8,MW6,MW7,MW8,MW9,MX1,MX2,MX3,MX4,MX7,MY1,MY4,MY7,MZ1,NS4,NS7,NS8,NS9,NT1,NT2,NT3,NT4,NT7,NU1,NU4,NU5,NU6,NU7,NU8,NU9,NV1,NV2,NV3,AU6I,AU6J,AU6K,AU6L,AU6M,AU6N,AU6O,AU6P,BU4H,BU4I,BU4J,BU4K,BU4L,BU4M,BU4N,BU4O,BU4P,BU5E,BU5F,BU5G,BU5H,BU5I,BU5J,BU5K,BU5L,BU5M,BU5N,BU5O,BU5P,BU9A,BU9B,BU9E,BU9F,BU9I,BU9J,BU9M,BU9N,BV1A,BV1B,BV1C,BV1D,BV2A,BV2B,BV2C,BV2D,BV2G,BV2H,BV2K,BV2L,BV2O,BV2P,BV5C,BV5D,BV5G,BV5H,BV5K,BV5L,BV5O,BV5P,IW3A,IW3B,IW3C,IW3D,IW6I,IW6J,IW6K,IW6L,IW6M,IW6</w:t>
            </w:r>
            <w:r>
              <w:lastRenderedPageBreak/>
              <w:t>N,IW6O,IW6P,JW1A,JW1B,JW1C,JW1D,JW1F,JW1G,JW1H,JW1J,JW1K,JW1L,JW1N,JW1O,JW1P,KX3A,KX3B,KX3C,KX3D,KX6M,KX6N,KX6O,KX6P,LX1A,LX1B,LX1C,LX1D,LX1F,LX1G,LX1H,LX1L,LX1P,LX4D,LX4G,LX4H,LX4K,LX4L,LX4M,LX4N,LX4O,LX4P,MV9A,MV9B,MV9C,MW1A,MW1B,MW1C,MW1D,MW1E,MW1F,MW1G,MW1H,MW1I,MW1J,MW1K,MW1L,MW1M,MW1N,MW1O,MW2A,MW2B,MW2C,MW2D,MW2E,MW2F,MW2G,MW2H,MW2I,MW2J,MW2K,MW2L,MW2O,MW2P,MW3A,MW3E,MW3I,MW3M,MW3N,MW4A,MW4B,MW4C,MW4E,MW4F,MW4G,MW4I,MW4J,MW4K,MW4M,MW4N,MW4O,MW5C,MW5D,MW5G,MW5H,MW5K,MW5L,MW5O,MW5P,NT5A,NT5B,NT5C,NT5D,NT5E,NT5F,NT5G,NT5H,NT5I,NT5J,NT5K,NT5L,NT5M,NT5N,NT6A,NT6B,NT6C,NT6D,NT6E,NT6F,NT6G,NT6H,NT6I,NT6J,NT6K,NT6L,NT8A,NT8B,NT8E,NT8F,NT8I,NT8J,NT8M,NT8N,NU2A,NU2B,NU2E,NU2F,NU2G,NU2I,NU2J,NU2K,NU2L,NU2M,NU2N,NU2O,NU2P,NU3M,NU3N,NU3O,NU3P,NV4A,NV4B,NV4C,NV4D,NV4E,NV4F,NV4G,NV4H,NV5A,NV5B,NV5C,NV5D,NV5E,NV5F,NV5G,NV5H,BV1E1,BV1E2,BV1E3,BV1E4,BV1E5,BV1E6,BV1F1,BV1F2,BV1F3,BV1F4,BV1F5,BV1F6,BV1G1,BV1G2,BV1G3,BV1G4,BV1G5,BV1G6,BV1H1,BV1H2,BV1H3,BV1H4,BV1H5,BV1H6,BV2E1,BV2E2,BV2E3,BV2E4,BV2E5,BV2E6,BV2F1,BV2F2,BV2F3,BV2F4,BV2F5,BV2F6,BV4M4,BV4M5,BV4M6,BV4M7,BV4M8,BV4M9,BV4N4,BV4N5,BV4N6,BV4N7,BV4N8,BV4N9,BV4O4,BV4O5,BV4O6,BV4O7,BV4O8,BV4O9,BV4P4,BV4P5,BV4P6,BV4P7,BV4P8,BV4P9,BV5M4,BV5M5,BV5M6,BV5M7,BV5M8,BV5M9,BV5N4,BV5N5,BV5N6,BV5N7,BV5N8,BV5N9,IW3E1,IW3E2,IW3E3,IW3E4,IW3E7,IW3F1,IW3F2,IW3F3,IW3G1,IW3G2,IW3G3,IW3H1,IW3H2,IW3H3,IW3I1,IW3I4,IW3I7,IW3M1,IW3M4,IW3M7,IW6A1,IW6A4,IW6A7,IW6E1,IW6E4,IW6E7,JW1E1,JW1E2,JW1E3,JW1E5,JW1E6,JW1E8,JW1E9,JW1I2,JW1I3,JW1I5,JW1I6,JW1I8,JW1I9,JW1M2,JW1M3,JW1M5,JW1M6,JW1M7,JW1M8,JW1M9,KX3E1,KX3E2,KX3E3,KX3E4,KX3E5,KX3E6,KX3E7,KX3E8,KX3F1,KX3F2,KX3F3,KX3F4,KX3G3,KX3H1,KX3H2,KX3H3,KX3I1,KX3I2,KX3I4,KX3I5,KX3I7,KX3M1,LX1E1,LX1E2,LX1E3,LX1E5,LX1E6,LX1J2,LX1J3,LX1K1,LX1K2,LX1K3,LX1K5,LX1K6,LX1K8,LX1K9,LX4F3,LX4F6,LX4F9,LX4J3,LX4J6,LX4J9,MV9D1,MV9D2,MV9D3,MV9D4,MV9D5,MV9D7,MV9D8,MV9E1,MV9E2,MV9E3,MV9F1,MV9F2,MV9F3,MV9G1,MV9G2,MV9G3,MV9H1,MV9H2,MW1P1,MW1P2,MW1P3,MW2M1,MW2M2,MW2M3,MW2N1,MW2N2,MW2N3,MW3B1,MW3B4,MW3B7,MW3F1,MW3F4,MW3F7,MW3J1,MW3J4,MW3J5,MW3J6,MW3J7,MW3J8,MW3J9,MW3O4,MW3O5,MW3O6,MW3O7,MW3O8,MW3O9,MW3P4,MW3P5,MW3P6,MW3P7,MW3P8,MW3P9,MW4P4,MW4P5,MW4P6,MW4P7,MW4P8,MW4P9,MW5M4,MW5M5,MW5M6,MW5M7,MW5M8,MW5M9,MW5N4,MW5N5,MW5N6,MW5N7,MW5N8,MW5N9,NT5O1,NT5O2,NT5O3,NT5P1,NT5P2,NT5P3,NT6M1,NT6M2,NT6M3,NT6N1,NT6N2,NT6N3,NT6O1,NT6O2,NT6O3,NT6P1,NT6P2,NT6P3,NU2C4,NU2C5,NU2C6,NU2C7,NU2C8,NU2C9,NU2D4,NU2D7,NU2H1,NU2H4,NU2H5,NU2H6,NU2H7,NU2H8,NU2H9,NU3E4,NU3E7,NU3I1,NU3I4,NU3I5,NU3I6,NU3I7,NU3I8,NU3I9,NU3J4,NU3J5,NU3J6,NU3J7,NU3J8,NU3J9,NU3K4,NU3K5,NU3K6,NU3K7,NU3K8,NU3K9,NU3L4,NU3L5,NU3L6,NU3L7,NU3L8,NU3L9,NV4I1,NV4I2,NV4I3,NV4I4,NV4I7,NV4J1,NV4J2,NV4J3,NV4K1,NV4K2,NV4K3,NV4L1,NV4L2,NV4L3,NV4M1,NV4M4,NV4M7,NV5I1,NV5I2,NV5I3,NV5J1,NV5J2,NV5J3,NV5K1,NV5K2,NV5K3,NV5L1,NV5L2,NV5L3,NV7A1,NW1M4,NW1M5,NW1M6,NW1M7,NW1M8,NW1M9,NW1N4,NW1N5,NW1N6,NW1N7,NW1N8,NW1N9,NW1O4,NW1O5,NW1O6,NW1O7,NW1O8,NW1O9,NW1P4,NW1P5,NW1P6,NW1P7,NW1P8,NW1P9,MT4H,MT4K,MT4L,MU5G,MU5H,MU5L,MV3G,MV3H,MV3K,MV3L,MT4F9,MT4G2,MT4G3,MT4G4,MT4G5,MT4G6,MT4G7,MT4G8,MT4G9,MT4J3,MT4J6,MT4O1,MT4O2,MT4O3,MT4O6,MT4P1,MT4P2,MT4P3,MT4P4,MT4P5,MT5E4,MT5E7,MT5I1,MT5I2,MT5I4,MT5I5,MT5I7,</w:t>
            </w:r>
            <w:r>
              <w:lastRenderedPageBreak/>
              <w:t>MT5M1,MU5C8,MU5C9,MU5D7,MU5D8,MU5D9,MU5K1,MU5K2,MU5K3,MU5K4,MU5K5,MU5K6,MU5K8,MU5K9,MU6A7,MU6E1,MU6E2,MU6E4,MU6E5,MU6E7,MU6E8,MU6I1,MU6I2,MU6I4,MU6I5,MU6I7,MV3C8,MV3C9,MV3D7,MV3F3,MV3F5,MV3F6,MV3F8,MV3F9,MV3J2,MV3J3,MV3J5,MV3J6,MV3J9,MV3O1,MV3O2,MV3O3,MV3P1,NU7K4,CV,DV,IV,JV,KQ,KV,KW,LR,LV,LW,LY,MS,AU9,AV9,AW3,BU7,BU8,BV3,BV6,BV7,BV8,BV9,BW1,BW2,BW3,BW5,BW6,CW1,CW2,CW3,CW4,DW1,DW2,DW3,EV1,EV2,EV3,EV4,EV5,EV6,EV7,FV1,FV2,FV3,FV4,FV5,GV1,GV2,GV3,GV6,HV1,HV2,HV3,HV4,HV5,HV6,HV8,HV9,HW3,HW6,IW1,IW2,IW4,IW5,IW7,IW8,IW9,JW2,JW3,JW4,JW5,JW6,JW7,JW8,JW9,JX1,JX2,JX3,JX5,JX6,KO1,KO4,KO5,KO7,KO8,KP1,KP2,KP4,KP5,KP6,KP7,KP8,KP9,KX1,KX2,KX4,KX5,KX8,KX9,KY2,KY3,KY6,LP4,LP7,LQ1,LQ2,LQ4,LQ5,LQ7,LQ8,LX2,LX3,LX5,LX6,LX7,LX8,LX9,LZ1,LZ2,LZ3,MR1,MR4,MR5,MR7,MR8,MR9,MT1,MT2,MT3,MT6,MT7,MT8,MT9,MU1,MU2,MU3,MU4,MU7,MU8,MU9,MV1,MV2,MV4,MV5,MV6,MV7,MV8,MW6,MW7,MW8,MW9,MX1,MX2,MX3,MX4,MX7,MY1,MY4,MY7,MZ1,NS4,NS7,NS8,NS9,NT1,NT2,NT3,NT4,NT7,NU1,NU4,NU5,NU6,NU8,NU9,NV1,NV2,NV3,AU6I,AU6J,AU6K,AU6L,AU6M,AU6N,AU6O,AU6P,BU4H,BU4I,BU4J,BU4K,BU4L,BU4M,BU4N,BU4O,BU4P,BU5E,BU5F,BU5G,BU5H,BU5I,BU5J,BU5K,BU5L,BU5M,BU5N,BU5O,BU5P,BU9A,BU9B,BU9E,BU9F,BU9I,BU9J,BU9M,BU9N,BV1A,BV1B,BV1C,BV1D,BV2A,BV2B,BV2C,BV2D,BV2G,BV2H,BV2K,BV2L,BV2O,BV2P,BV5C,BV5D,BV5G,BV5H,BV5K,BV5L,BV5O,BV5P,IW3A,IW3B,IW3C,IW3D,IW6I,IW6J,IW6K,IW6L,IW6M,IW6N,IW6O,IW6P,JW1A,JW1B,JW1C,JW1D,JW1F,JW1G,JW1H,JW1J,JW1K,JW1L,JW1N,JW1O,JW1P,KX3A,KX3B,KX3C,KX3D,KX6M,KX6N,KX6O,KX6P,LX1A,LX1B,LX1C,LX1D,LX1F,LX1G,LX1H,LX1L,LX1P,LX4D,LX4G,LX4H,LX4K,LX4L,LX4M,LX4N,LX4O,LX4P,MT4A,MT4B,MT4C,MT4D,MT4E,MT4I,MT4M,MT4N,MT5A,MT5B,MT5C,MT5D,MT5F,MT5G,MT5H,MT5J,MT5K,MT5L,MT5N,MT5O,MT5P,MU5A,MU5B,MU5E,MU5F,MU5I,MU5J,MU5M,MU5N,MU5O,MU5P,MU6B,MU6C,MU6D,MU6F,MU6G,MU6H,MU6J,MU6K,MU6L,MU6M,MU6N,MU6O,MU6P,MV3A,MV3B,MV3E,MV3I,MV3M,MV3N,MV9A,MV9B,MV9C,MW1A,MW1B,MW1C,MW1D,MW1E,MW1F,MW1G,MW1H,MW1I,MW1J,MW1K,MW1L,MW1M,MW1N,MW1O,MW2A,MW2B,MW2C,MW2D,MW2E,MW2F,MW2G,MW2H,MW2I,MW2J,MW2K,MW2L,MW2O,MW2P,MW3A,MW3E,MW3I,MW3M,MW3N,MW4A,MW4B,MW4C,MW4E,MW4F,MW4G,MW4I,MW4J,MW4K,MW4M,MW4N,MW4O,MW5C,MW5D,MW5G,MW5H,MW5K,MW5L,MW5O,MW5P,NT5A,NT5B,NT5C,NT5D,NT5E,NT5F,NT5G,NT5H,NT5I,NT5J,NT5K,NT5L,NT5M,NT5N,NT6A,NT6B,NT6C,NT6D,NT6E,NT6F,NT6G,NT6H,NT6I,NT6J,NT6K,NT6L,NT8A,NT8B,NT8E,NT8F,NT8I,NT8J,NT8M,NT8N,NU2A,NU2B,NU2E,NU2F,NU2G,NU2I,NU2J,NU2K,NU2L,NU2M,NU2N,NU2O,NU2P,NU3M,NU3N,NU3O,NU3P,NU7A,NU7B,NU7C,NU7D,NU7E,NU7F,NU7G,NU7H,NU7I,NU7J,NU7L,NU7M,NU7N,NU7O,NU7P,NV4A,NV4B,NV4C,NV4D,NV4E,NV4F,NV4G,NV4H,NV5A,NV5B,NV5C,NV5D,NV5E,NV5F,NV5G,NV5H,BV1E1,BV1E2,BV1E3,BV1E4,BV1E5,BV1E6,BV1F1,BV1F2,BV1F3,BV1F4,BV1F5,BV1F6,BV1G1,BV1G2,BV1G3,BV1G4,BV1G5,BV1G6,BV1H1,BV1H2,BV1H3,BV1H4,BV1H5,BV1H6,BV2E1,BV2E2,BV2E3,BV2E4,BV2E5,BV2E6,BV2F1,BV2F2,BV2F3,BV2F4,BV2F5,BV2F6,BV4M4,BV4M5,BV4M6,BV4M7,BV4M8,BV4M9,BV4N4,BV4N5,BV4N6,BV4N7,BV4N8,BV4N9,BV4O4,BV4O5,BV4O6,BV4O7,BV4O8,BV4O9,BV4P4,BV4P5,BV4P6,BV4P7,BV4P8,BV4P9,BV5M4,BV5M5,BV5M6,BV5M7,BV5M8,BV5M9,BV5N4,BV5N5,BV5N6,BV5N7,BV5N8,BV5N9,IW3E1,IW3E2,IW3E3,IW3E4,IW3E7,IW3F1,IW3F2,IW3F3,IW3G1,IW3G2,IW3G3,IW3H1,IW3H2,IW3H3,IW3I1,IW3I4,IW3I7,IW3M1,IW3M4,IW3M7,IW6A1,IW6A4,IW6A7,IW6E1,IW6E4,IW6E7,JW1E1,JW1E2,JW1E3,JW1E5,JW1E6,JW1E8,JW1E9,JW1I2,JW1I3,JW1I5,JW1I6,JW1I8,JW1I9,JW1M2,JW1M3,JW1M5,JW</w:t>
            </w:r>
            <w:r>
              <w:lastRenderedPageBreak/>
              <w:t>1M6,JW1M7,JW1M8,JW1M9,KX3E1,KX3E2,KX3E3,KX3E4,KX3E5,KX3E6,KX3E7,KX3E8,KX3F1,KX3F2,KX3F3,KX3F4,KX3G3,KX3H1,KX3H2,KX3H3,KX3I1,KX3I2,KX3I4,KX3I5,KX3I7,KX3M1,LX1E1,LX1E2,LX1E3,LX1E5,LX1E6,LX1J2,LX1J3,LX1K1,LX1K2,LX1K3,LX1K5,LX1K6,LX1K8,LX1K9,LX4F3,LX4F6,LX4F9,LX4J3,LX4J6,LX4J9,MT4F1,MT4F2,MT4F3,MT4F4,MT4F5,MT4F6,MT4F7,MT4F8,MT4G1,MT4J1,MT4J2,MT4J4,MT4J5,MT4J7,MT4J8,MT4J9,MT4O4,MT4O5,MT4O7,MT4O8,MT4O9,MT4P6,MT4P7,MT4P8,MT4P9,MT5E1,MT5E2,MT5E3,MT5E5,MT5E6,MT5E8,MT5E9,MT5I3,MT5I6,MT5I8,MT5I9,MT5M2,MT5M3,MT5M4,MT5M5,MT5M6,MT5M7,MT5M8,MT5M9,MU5C1,MU5C2,MU5C3,MU5C4,MU5C5,MU5C6,MU5C7,MU5D1,MU5D2,MU5D3,MU5D4,MU5D5,MU5D6,MU5K7,MU6A1,MU6A2,MU6A3,MU6A4,MU6A5,MU6A6,MU6A8,MU6A9,MU6E3,MU6E6,MU6E9,MU6I3,MU6I6,MU6I8,MU6I9,MV3C1,MV3C2,MV3C3,MV3C4,MV3C5,MV3C6,MV3C7,MV3D1,MV3D2,MV3D3,MV3D4,MV3D5,MV3D6,MV3D8,MV3D9,MV3F1,MV3F2,MV3F4,MV3F7,MV3J1,MV3J4,MV3J7,MV3J8,MV3O4,MV3O5,MV3O6,MV3O7,MV3O8,MV3O9,MV3P2,MV3P3,MV3P4,MV3P5,MV3P6,MV3P7,MV3P8,MV3P9,MV9D1,MV9D2,MV9D3,MV9D4,MV9D5,MV9D7,MV9D8,MV9E1,MV9E2,MV9E3,MV9F1,MV9F2,MV9F3,MV9G1,MV9G2,MV9G3,MV9H1,MV9H2,MW1P1,MW1P2,MW1P3,MW2M1,MW2M2,MW2M3,MW2N1,MW2N2,MW2N3,MW3B1,MW3B4,MW3B7,MW3F1,MW3F4,MW3F7,MW3J1,MW3J4,MW3J5,MW3J6,MW3J7,MW3J8,MW3J9,MW3O4,MW3O5,MW3O6,MW3O7,MW3O8,MW3O9,MW3P4,MW3P5,MW3P6,MW3P7,MW3P8,MW3P9,MW4P4,MW4P5,MW4P6,MW4P7,MW4P8,MW4P9,MW5M4,MW5M5,MW5M6,MW5M7,MW5M8,MW5M9,MW5N4,MW5N5,MW5N6,MW5N7,MW5N8,MW5N9,NT5O1,NT5O2,NT5O3,NT5P1,NT5P2,NT5P3,NT6M1,NT6M2,NT6M3,NT6N1,NT6N2,NT6N3,NT6O1,NT6O2,NT6O3,NT6P1,NT6P2,NT6P3,NU2C4,NU2C5,NU2C6,NU2C7,NU2C8,NU2C9,NU2D4,NU2D7,NU2H1,NU2H4,NU2H5,NU2H6,NU2H7,NU2H8,NU2H9,NU3E4,NU3E7,NU3I1,NU3I4,NU3I5,NU3I6,NU3I7,NU3I8,NU3I9,NU3J4,NU3J5,NU3J6,NU3J7,NU3J8,NU3J9,NU3K4,NU3K5,NU3K6,NU3K7,NU3K8,NU3K9,NU3L4,NU3L5,NU3L6,NU3L7,NU3L8,NU3L9,NU7K1,NU7K2,NU7K3,NU7K5,NU7K6,NU7K7,NU7K8,NU7K9,NV4I1,NV4I2,NV4I3,NV4I4,NV4I7,NV4J1,NV4J2,NV4J3,NV4K1,NV4K2,NV4K3,NV4L1,NV4L2,NV4L3,NV4M1,NV4M4,NV4M7,NV5I1,NV5I2,NV5I3,NV5J1,NV5J2,NV5J3,NV5K1,NV5K2,NV5K3,NV5L1,NV5L2,NV5L3,NV7A1,NW1M4,NW1M5,NW1M6,NW1M7,NW1M8,NW1M9,NW1N4,NW1N5,NW1N6,NW1N7,NW1N8,NW1N9,NW1O4,NW1O5,NW1O6,NW1O7,NW1O8,NW1O9,NW1P4,NW1P5,NW1P6,NW1P7,NW1P8,NW1P9</w:t>
            </w:r>
          </w:p>
        </w:tc>
      </w:tr>
      <w:tr w:rsidR="001D2C14" w14:paraId="015B2270" w14:textId="77777777" w:rsidTr="001D2C14">
        <w:tc>
          <w:tcPr>
            <w:tcW w:w="1130" w:type="dxa"/>
            <w:hideMark/>
          </w:tcPr>
          <w:p w14:paraId="6461A1A0" w14:textId="77777777" w:rsidR="001D2C14" w:rsidRDefault="001D2C14">
            <w:pPr>
              <w:pStyle w:val="TableBody"/>
              <w:spacing w:line="240" w:lineRule="atLeast"/>
            </w:pPr>
            <w:r>
              <w:lastRenderedPageBreak/>
              <w:t>Australia-wide</w:t>
            </w:r>
          </w:p>
        </w:tc>
        <w:tc>
          <w:tcPr>
            <w:tcW w:w="1460" w:type="dxa"/>
            <w:hideMark/>
          </w:tcPr>
          <w:p w14:paraId="10827010" w14:textId="77777777" w:rsidR="001D2C14" w:rsidRDefault="001D2C14">
            <w:pPr>
              <w:pStyle w:val="TableBody"/>
              <w:spacing w:line="240" w:lineRule="atLeast"/>
            </w:pPr>
            <w:r>
              <w:t>–</w:t>
            </w:r>
          </w:p>
        </w:tc>
        <w:tc>
          <w:tcPr>
            <w:tcW w:w="6905" w:type="dxa"/>
            <w:hideMark/>
          </w:tcPr>
          <w:p w14:paraId="7711CFBB" w14:textId="77777777" w:rsidR="001D2C14" w:rsidRDefault="001D2C14">
            <w:pPr>
              <w:pStyle w:val="TableBody"/>
              <w:spacing w:line="240" w:lineRule="atLeast"/>
            </w:pPr>
            <w:r>
              <w:t>AR8, AR9, AS2, AS3, AS5, AS6, AS8, AS9, AT1, AT2, AT3, AT5, AT6, AT8, AT9, AU2, AU3, AU6, AU9, AV9, AW3, BR, BS, BT, BU, BV, BW1, BW2, BW3, BW5, BW6, CR, CS, CT, CU, CV, CW1, CW2, CW3, CW4, DQ, DR, DS, DT, DU, DV, DW1, DW2, DW3, EP, EQ, ER, ES, ET, EU, EV1, EV2, EV3, EV4, EV5, EV6, EV7, FP, FQ, FR, FS, FT, FU, FV1, FV2, FV3, FV4, FV5, GO3, GO4, GO5, GO6, GO7, GO8, GO9, GP, GQ, GR, GS, GT, GU, GV1, GV2, GV3, GV6, HO, HP, HQ, HR, HS, HT, HU, HV1, HV2, HV3, HV4, HV5, HV6, HV8, HV9, HW3, HW6, IO, IP, IQ, IR, IS, IT, IU, IV, IW, JO, JP, JQ, JR, JS, JT, JU, JV, JW, JX1, JX2, JX3, JX5, JX6, KO1, KO4, KO5, KO7, KO8, KP1, KP2, KP4, KP5, KP6, KP7, KP8, KP9, KQ, KR, KS, KT, KU, KV, KW, KX1, KX2, KX3, KX4, KX5, KX6, KX8, KX9, KY2, KY3, KY6, LP4, LP7, LQ1, LQ2, LQ4, LQ5, LQ7, LQ8, LR, LS, LT, LU, LV, LW, LX, LY, LZ1, LZ2, LZ3, MR1, MR4, MR5, MR7, MR8, MR9, MS, MT, MU, MV, MW, MX1, MX2, MX3, MX4, MX7, MY1, MY4, MY7, MZ1, NS4, NS7, NS8, NS9, NT, NU, NV1, NV2, NV3, NV4, NV5, NV7, NW1</w:t>
            </w:r>
          </w:p>
        </w:tc>
      </w:tr>
    </w:tbl>
    <w:p w14:paraId="38B5C59D" w14:textId="11B83D62" w:rsidR="00AD2273" w:rsidRDefault="00AD2273" w:rsidP="00AD2273">
      <w:pPr>
        <w:spacing w:after="0" w:line="240" w:lineRule="auto"/>
      </w:pPr>
    </w:p>
    <w:p w14:paraId="7E296C76" w14:textId="50862A8A" w:rsidR="00AD2273" w:rsidRDefault="00AD2273" w:rsidP="00AD2273">
      <w:pPr>
        <w:pStyle w:val="Heading1"/>
      </w:pPr>
      <w:bookmarkStart w:id="163" w:name="_Toc16064524"/>
      <w:r>
        <w:lastRenderedPageBreak/>
        <w:t>Appendix 2: Spectral occupancy of incumbent services</w:t>
      </w:r>
      <w:bookmarkEnd w:id="163"/>
    </w:p>
    <w:p w14:paraId="7F7B7D35" w14:textId="47EA2A45" w:rsidR="00AD2273" w:rsidRDefault="00246554" w:rsidP="00AD2273">
      <w:r>
        <w:t>Figures 12 to 19</w:t>
      </w:r>
      <w:r w:rsidR="00AD2273">
        <w:t xml:space="preserve"> show the current spectrum use of incumbent apparatus licensed services in the 3700–4200 MHz band in metropolitan, regional and remote areas (as defined in Appendix 1). The figures are based on RRL data from 1 May 2019. </w:t>
      </w:r>
    </w:p>
    <w:p w14:paraId="3F7F55E3" w14:textId="3BA965AF" w:rsidR="00AD2273" w:rsidRDefault="00AD2273" w:rsidP="00585A42">
      <w:pPr>
        <w:pStyle w:val="ACMAFigureHeader"/>
      </w:pPr>
      <w:r>
        <w:t>Spectral occupancy in Adelaide</w:t>
      </w:r>
    </w:p>
    <w:p w14:paraId="130EB438" w14:textId="77777777" w:rsidR="00AD2273" w:rsidRDefault="00AD2273" w:rsidP="00AD2273">
      <w:r>
        <w:rPr>
          <w:noProof/>
        </w:rPr>
        <w:drawing>
          <wp:inline distT="0" distB="0" distL="0" distR="0" wp14:anchorId="7795AD0F" wp14:editId="441D029F">
            <wp:extent cx="6148800" cy="4035600"/>
            <wp:effectExtent l="0" t="0" r="4445" b="3175"/>
            <wp:docPr id="12" name="Picture 12" descr="Spectral occupancy in Adel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6148800" cy="4035600"/>
                    </a:xfrm>
                    <a:prstGeom prst="rect">
                      <a:avLst/>
                    </a:prstGeom>
                  </pic:spPr>
                </pic:pic>
              </a:graphicData>
            </a:graphic>
          </wp:inline>
        </w:drawing>
      </w:r>
    </w:p>
    <w:p w14:paraId="36247826" w14:textId="77777777" w:rsidR="00AD2273" w:rsidRDefault="00AD2273" w:rsidP="00AD2273"/>
    <w:p w14:paraId="30221F4D" w14:textId="5ACC98B2" w:rsidR="00AD2273" w:rsidRDefault="00AD2273" w:rsidP="00585A42">
      <w:pPr>
        <w:pStyle w:val="ACMAFigureHeader"/>
        <w:keepNext/>
      </w:pPr>
      <w:r>
        <w:lastRenderedPageBreak/>
        <w:t>Spectral occupancy in Brisbane</w:t>
      </w:r>
    </w:p>
    <w:p w14:paraId="28178A1E" w14:textId="77777777" w:rsidR="00AD2273" w:rsidRDefault="00AD2273" w:rsidP="00AD2273">
      <w:r>
        <w:rPr>
          <w:noProof/>
        </w:rPr>
        <w:drawing>
          <wp:inline distT="0" distB="0" distL="0" distR="0" wp14:anchorId="27FA7670" wp14:editId="4E9E7703">
            <wp:extent cx="6148800" cy="4021200"/>
            <wp:effectExtent l="0" t="0" r="4445" b="0"/>
            <wp:docPr id="27" name="Picture 27" descr="Spectral occupancy in Brisb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148800" cy="4021200"/>
                    </a:xfrm>
                    <a:prstGeom prst="rect">
                      <a:avLst/>
                    </a:prstGeom>
                    <a:noFill/>
                  </pic:spPr>
                </pic:pic>
              </a:graphicData>
            </a:graphic>
          </wp:inline>
        </w:drawing>
      </w:r>
    </w:p>
    <w:p w14:paraId="2A1A5CC5" w14:textId="0FCC1D2B" w:rsidR="00AD2273" w:rsidRDefault="00AD2273" w:rsidP="00585A42">
      <w:pPr>
        <w:pStyle w:val="ACMAFigureHeader"/>
      </w:pPr>
      <w:r>
        <w:t>Spectral occupancy in Canberra</w:t>
      </w:r>
    </w:p>
    <w:p w14:paraId="5065AA10" w14:textId="77777777" w:rsidR="00AD2273" w:rsidRDefault="00AD2273" w:rsidP="00AD2273">
      <w:r>
        <w:rPr>
          <w:noProof/>
        </w:rPr>
        <w:drawing>
          <wp:inline distT="0" distB="0" distL="0" distR="0" wp14:anchorId="30487D24" wp14:editId="67F599C1">
            <wp:extent cx="6148800" cy="4017600"/>
            <wp:effectExtent l="0" t="0" r="4445" b="2540"/>
            <wp:docPr id="28" name="Picture 28" descr="Spectral occupancy in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148800" cy="4017600"/>
                    </a:xfrm>
                    <a:prstGeom prst="rect">
                      <a:avLst/>
                    </a:prstGeom>
                    <a:noFill/>
                  </pic:spPr>
                </pic:pic>
              </a:graphicData>
            </a:graphic>
          </wp:inline>
        </w:drawing>
      </w:r>
    </w:p>
    <w:p w14:paraId="673A0000" w14:textId="0F093DE8" w:rsidR="00AD2273" w:rsidRDefault="00AD2273" w:rsidP="00585A42">
      <w:pPr>
        <w:pStyle w:val="ACMAFigureHeader"/>
      </w:pPr>
      <w:r>
        <w:lastRenderedPageBreak/>
        <w:t>Spectral occupancy in Melbourne</w:t>
      </w:r>
    </w:p>
    <w:p w14:paraId="371EF830" w14:textId="77777777" w:rsidR="00AD2273" w:rsidRDefault="00AD2273" w:rsidP="00AD2273">
      <w:r>
        <w:rPr>
          <w:noProof/>
        </w:rPr>
        <w:drawing>
          <wp:inline distT="0" distB="0" distL="0" distR="0" wp14:anchorId="54186C7C" wp14:editId="4806B60D">
            <wp:extent cx="6148800" cy="4021200"/>
            <wp:effectExtent l="0" t="0" r="4445" b="0"/>
            <wp:docPr id="29" name="Picture 29" descr="Spectral occupancy in Melbou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148800" cy="4021200"/>
                    </a:xfrm>
                    <a:prstGeom prst="rect">
                      <a:avLst/>
                    </a:prstGeom>
                    <a:noFill/>
                  </pic:spPr>
                </pic:pic>
              </a:graphicData>
            </a:graphic>
          </wp:inline>
        </w:drawing>
      </w:r>
    </w:p>
    <w:p w14:paraId="3A240A67" w14:textId="3C42061C" w:rsidR="00AD2273" w:rsidRDefault="00AD2273" w:rsidP="00585A42">
      <w:pPr>
        <w:pStyle w:val="ACMAFigureHeader"/>
      </w:pPr>
      <w:r>
        <w:t>Spectral occupancy in Perth</w:t>
      </w:r>
    </w:p>
    <w:p w14:paraId="13AFD767" w14:textId="77777777" w:rsidR="00AD2273" w:rsidRDefault="00AD2273" w:rsidP="00AD2273">
      <w:r>
        <w:rPr>
          <w:noProof/>
        </w:rPr>
        <w:drawing>
          <wp:inline distT="0" distB="0" distL="0" distR="0" wp14:anchorId="4482E4DE" wp14:editId="6C92F1D0">
            <wp:extent cx="6148800" cy="4039200"/>
            <wp:effectExtent l="0" t="0" r="4445" b="0"/>
            <wp:docPr id="16" name="Picture 16" descr="Spectral occupancy in Pe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6148800" cy="4039200"/>
                    </a:xfrm>
                    <a:prstGeom prst="rect">
                      <a:avLst/>
                    </a:prstGeom>
                  </pic:spPr>
                </pic:pic>
              </a:graphicData>
            </a:graphic>
          </wp:inline>
        </w:drawing>
      </w:r>
    </w:p>
    <w:p w14:paraId="5BE756EB" w14:textId="70D4C5B7" w:rsidR="00AD2273" w:rsidRDefault="00AD2273" w:rsidP="00585A42">
      <w:pPr>
        <w:pStyle w:val="ACMAFigureHeader"/>
      </w:pPr>
      <w:r>
        <w:lastRenderedPageBreak/>
        <w:t>Spectral occupancy in Sydney</w:t>
      </w:r>
    </w:p>
    <w:p w14:paraId="54FE60AB" w14:textId="77777777" w:rsidR="00AD2273" w:rsidRDefault="00AD2273" w:rsidP="00AD2273">
      <w:r>
        <w:rPr>
          <w:noProof/>
        </w:rPr>
        <w:drawing>
          <wp:inline distT="0" distB="0" distL="0" distR="0" wp14:anchorId="5C53983F" wp14:editId="0E048115">
            <wp:extent cx="6148800" cy="4039200"/>
            <wp:effectExtent l="0" t="0" r="4445" b="0"/>
            <wp:docPr id="14" name="Picture 14" descr="Spectral occupancy in Syd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a:stretch>
                      <a:fillRect/>
                    </a:stretch>
                  </pic:blipFill>
                  <pic:spPr>
                    <a:xfrm>
                      <a:off x="0" y="0"/>
                      <a:ext cx="6148800" cy="4039200"/>
                    </a:xfrm>
                    <a:prstGeom prst="rect">
                      <a:avLst/>
                    </a:prstGeom>
                  </pic:spPr>
                </pic:pic>
              </a:graphicData>
            </a:graphic>
          </wp:inline>
        </w:drawing>
      </w:r>
    </w:p>
    <w:p w14:paraId="3DCF5E28" w14:textId="74C1764B" w:rsidR="00AD2273" w:rsidRDefault="00AD2273" w:rsidP="00585A42">
      <w:pPr>
        <w:pStyle w:val="ACMAFigureHeader"/>
      </w:pPr>
      <w:r>
        <w:t>Spectral occupancy in regional areas</w:t>
      </w:r>
    </w:p>
    <w:p w14:paraId="575BFCCC" w14:textId="77777777" w:rsidR="00AD2273" w:rsidRDefault="00AD2273" w:rsidP="00AD2273">
      <w:r>
        <w:rPr>
          <w:noProof/>
        </w:rPr>
        <w:drawing>
          <wp:inline distT="0" distB="0" distL="0" distR="0" wp14:anchorId="5DD8AE16" wp14:editId="5C9B6951">
            <wp:extent cx="6148800" cy="4039200"/>
            <wp:effectExtent l="0" t="0" r="4445" b="0"/>
            <wp:docPr id="15" name="Picture 15" descr="Spectral occupancy in regional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a:stretch>
                      <a:fillRect/>
                    </a:stretch>
                  </pic:blipFill>
                  <pic:spPr>
                    <a:xfrm>
                      <a:off x="0" y="0"/>
                      <a:ext cx="6148800" cy="4039200"/>
                    </a:xfrm>
                    <a:prstGeom prst="rect">
                      <a:avLst/>
                    </a:prstGeom>
                  </pic:spPr>
                </pic:pic>
              </a:graphicData>
            </a:graphic>
          </wp:inline>
        </w:drawing>
      </w:r>
    </w:p>
    <w:p w14:paraId="7EFDF6E5" w14:textId="6095289B" w:rsidR="00AD2273" w:rsidRDefault="00AD2273" w:rsidP="00585A42">
      <w:pPr>
        <w:pStyle w:val="ACMAFigureHeader"/>
      </w:pPr>
      <w:r>
        <w:lastRenderedPageBreak/>
        <w:t>Spectrum occupancy in remote areas</w:t>
      </w:r>
    </w:p>
    <w:p w14:paraId="6FF5B8C2" w14:textId="77777777" w:rsidR="00AD2273" w:rsidRDefault="00AD2273" w:rsidP="00AD2273">
      <w:pPr>
        <w:spacing w:after="0" w:line="240" w:lineRule="auto"/>
      </w:pPr>
      <w:r>
        <w:rPr>
          <w:noProof/>
        </w:rPr>
        <w:drawing>
          <wp:inline distT="0" distB="0" distL="0" distR="0" wp14:anchorId="512434C5" wp14:editId="75095C6E">
            <wp:extent cx="6148800" cy="4035600"/>
            <wp:effectExtent l="0" t="0" r="4445" b="3175"/>
            <wp:docPr id="17" name="Picture 17" descr="Spectrum occupancy in remot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6148800" cy="4035600"/>
                    </a:xfrm>
                    <a:prstGeom prst="rect">
                      <a:avLst/>
                    </a:prstGeom>
                  </pic:spPr>
                </pic:pic>
              </a:graphicData>
            </a:graphic>
          </wp:inline>
        </w:drawing>
      </w:r>
    </w:p>
    <w:p w14:paraId="40BDD733" w14:textId="5543AD3B" w:rsidR="00AD2273" w:rsidRPr="00A67371" w:rsidRDefault="00AD2273" w:rsidP="00AD2273">
      <w:pPr>
        <w:pStyle w:val="Heading1"/>
      </w:pPr>
      <w:bookmarkStart w:id="164" w:name="_Toc12016487"/>
      <w:bookmarkStart w:id="165" w:name="_Ref12620593"/>
      <w:bookmarkStart w:id="166" w:name="_Ref12620606"/>
      <w:bookmarkStart w:id="167" w:name="_Toc14762849"/>
      <w:bookmarkStart w:id="168" w:name="_Toc16064525"/>
      <w:r w:rsidRPr="00A67371">
        <w:lastRenderedPageBreak/>
        <w:t xml:space="preserve">Appendix </w:t>
      </w:r>
      <w:r>
        <w:t>3</w:t>
      </w:r>
      <w:r w:rsidRPr="00A67371">
        <w:t xml:space="preserve">: </w:t>
      </w:r>
      <w:r>
        <w:t>Synchronisation requirement</w:t>
      </w:r>
      <w:bookmarkEnd w:id="164"/>
      <w:bookmarkEnd w:id="165"/>
      <w:bookmarkEnd w:id="166"/>
      <w:bookmarkEnd w:id="167"/>
      <w:bookmarkEnd w:id="168"/>
    </w:p>
    <w:p w14:paraId="4DF58895" w14:textId="77777777" w:rsidR="00AD2273" w:rsidRDefault="00AD2273" w:rsidP="00AD2273">
      <w:r>
        <w:t>Each spectrum licence issued in the 3.6 GHz band will contain a ‘synchronisation requirement’ as a mandatory condition</w:t>
      </w:r>
      <w:r>
        <w:rPr>
          <w:rStyle w:val="FootnoteReference"/>
        </w:rPr>
        <w:footnoteReference w:id="40"/>
      </w:r>
      <w:r>
        <w:t>. This condition is reproduced below.</w:t>
      </w:r>
    </w:p>
    <w:p w14:paraId="5F8599CA" w14:textId="77777777" w:rsidR="00AD2273" w:rsidRDefault="00AD2273" w:rsidP="00AD2273"/>
    <w:p w14:paraId="2369B62C" w14:textId="77777777" w:rsidR="00AD2273" w:rsidRDefault="00AD2273" w:rsidP="00AD2273">
      <w:pPr>
        <w:keepNext/>
        <w:ind w:left="720" w:hanging="720"/>
        <w:rPr>
          <w:rFonts w:ascii="Times New Roman" w:hAnsi="Times New Roman"/>
          <w:b/>
        </w:rPr>
      </w:pPr>
      <w:r>
        <w:rPr>
          <w:rFonts w:ascii="Times New Roman" w:hAnsi="Times New Roman"/>
          <w:b/>
        </w:rPr>
        <w:t>Synchronisation requirement</w:t>
      </w:r>
    </w:p>
    <w:p w14:paraId="297E7D05" w14:textId="77777777" w:rsidR="00AD2273" w:rsidRPr="00AE3F84" w:rsidRDefault="00AD2273" w:rsidP="00AD2273">
      <w:pPr>
        <w:keepNext/>
        <w:ind w:left="720" w:hanging="436"/>
        <w:rPr>
          <w:rFonts w:ascii="Times New Roman" w:hAnsi="Times New Roman"/>
        </w:rPr>
      </w:pPr>
      <w:r w:rsidRPr="00AE3F84">
        <w:rPr>
          <w:rFonts w:ascii="Times New Roman" w:hAnsi="Times New Roman"/>
        </w:rPr>
        <w:t>If:</w:t>
      </w:r>
    </w:p>
    <w:p w14:paraId="748EE3C8" w14:textId="77777777" w:rsidR="00AD2273" w:rsidRPr="00AE3F84" w:rsidRDefault="00AD2273" w:rsidP="00AD2273">
      <w:pPr>
        <w:numPr>
          <w:ilvl w:val="0"/>
          <w:numId w:val="56"/>
        </w:numPr>
        <w:spacing w:after="120" w:line="240" w:lineRule="auto"/>
        <w:rPr>
          <w:rFonts w:ascii="Times New Roman" w:hAnsi="Times New Roman"/>
        </w:rPr>
      </w:pPr>
      <w:r w:rsidRPr="00AE3F84">
        <w:rPr>
          <w:rFonts w:ascii="Times New Roman" w:hAnsi="Times New Roman"/>
        </w:rPr>
        <w:t>interference occurs between:</w:t>
      </w:r>
    </w:p>
    <w:p w14:paraId="28C56DFD" w14:textId="77777777" w:rsidR="00AD2273" w:rsidRPr="007674D2" w:rsidRDefault="00AD2273" w:rsidP="00AD2273">
      <w:pPr>
        <w:pStyle w:val="BodyText"/>
        <w:tabs>
          <w:tab w:val="left" w:pos="594"/>
        </w:tabs>
        <w:spacing w:line="282" w:lineRule="auto"/>
        <w:ind w:left="1701" w:right="1504" w:hanging="425"/>
        <w:jc w:val="both"/>
        <w:rPr>
          <w:sz w:val="20"/>
          <w:szCs w:val="20"/>
          <w:lang w:val="en-AU"/>
        </w:rPr>
      </w:pPr>
      <w:r w:rsidRPr="007674D2">
        <w:rPr>
          <w:sz w:val="20"/>
          <w:szCs w:val="20"/>
          <w:lang w:val="en-AU"/>
        </w:rPr>
        <w:t>(i)</w:t>
      </w:r>
      <w:r w:rsidRPr="007674D2">
        <w:rPr>
          <w:sz w:val="20"/>
          <w:szCs w:val="20"/>
          <w:lang w:val="en-AU"/>
        </w:rPr>
        <w:tab/>
        <w:t xml:space="preserve">a radiocommunications device (the </w:t>
      </w:r>
      <w:r w:rsidRPr="007674D2">
        <w:rPr>
          <w:b/>
          <w:i/>
          <w:sz w:val="20"/>
          <w:szCs w:val="20"/>
          <w:lang w:val="en-AU"/>
        </w:rPr>
        <w:t>first device</w:t>
      </w:r>
      <w:r w:rsidRPr="007674D2">
        <w:rPr>
          <w:sz w:val="20"/>
          <w:szCs w:val="20"/>
          <w:lang w:val="en-AU"/>
        </w:rPr>
        <w:t>) operated under this licence; and</w:t>
      </w:r>
    </w:p>
    <w:p w14:paraId="39193FFA" w14:textId="77777777" w:rsidR="00AD2273" w:rsidRPr="007674D2" w:rsidRDefault="00AD2273" w:rsidP="00AD2273">
      <w:pPr>
        <w:pStyle w:val="BodyText"/>
        <w:tabs>
          <w:tab w:val="left" w:pos="594"/>
        </w:tabs>
        <w:spacing w:line="282" w:lineRule="auto"/>
        <w:ind w:left="1701" w:right="1504" w:hanging="425"/>
        <w:jc w:val="both"/>
        <w:rPr>
          <w:sz w:val="20"/>
          <w:szCs w:val="20"/>
          <w:lang w:val="en-AU"/>
        </w:rPr>
      </w:pPr>
      <w:r w:rsidRPr="007674D2">
        <w:rPr>
          <w:sz w:val="20"/>
          <w:szCs w:val="20"/>
        </w:rPr>
        <w:t>(ii)</w:t>
      </w:r>
      <w:r w:rsidRPr="007674D2">
        <w:rPr>
          <w:sz w:val="20"/>
          <w:szCs w:val="20"/>
        </w:rPr>
        <w:tab/>
        <w:t xml:space="preserve">a radiocommunications device (the </w:t>
      </w:r>
      <w:r w:rsidRPr="007674D2">
        <w:rPr>
          <w:b/>
          <w:i/>
          <w:sz w:val="20"/>
          <w:szCs w:val="20"/>
        </w:rPr>
        <w:t>other device</w:t>
      </w:r>
      <w:r w:rsidRPr="007674D2">
        <w:rPr>
          <w:sz w:val="20"/>
          <w:szCs w:val="20"/>
        </w:rPr>
        <w:t xml:space="preserve">) operated under another spectrum licence or PTS transmitter licence in the relevant band and within the relevant area (the </w:t>
      </w:r>
      <w:r w:rsidRPr="007674D2">
        <w:rPr>
          <w:b/>
          <w:i/>
          <w:sz w:val="20"/>
          <w:szCs w:val="20"/>
        </w:rPr>
        <w:t>other licence</w:t>
      </w:r>
      <w:r w:rsidRPr="007674D2">
        <w:rPr>
          <w:sz w:val="20"/>
          <w:szCs w:val="20"/>
        </w:rPr>
        <w:t>);</w:t>
      </w:r>
    </w:p>
    <w:p w14:paraId="18B83516" w14:textId="77777777" w:rsidR="00AD2273" w:rsidRPr="00730E4D" w:rsidRDefault="00AD2273" w:rsidP="00AD2273">
      <w:pPr>
        <w:numPr>
          <w:ilvl w:val="0"/>
          <w:numId w:val="56"/>
        </w:numPr>
        <w:spacing w:after="120" w:line="240" w:lineRule="auto"/>
        <w:rPr>
          <w:rFonts w:ascii="Times New Roman" w:hAnsi="Times New Roman"/>
          <w:szCs w:val="20"/>
        </w:rPr>
      </w:pPr>
      <w:r w:rsidRPr="00E6053C">
        <w:rPr>
          <w:rFonts w:ascii="Times New Roman" w:hAnsi="Times New Roman"/>
          <w:szCs w:val="20"/>
        </w:rPr>
        <w:t xml:space="preserve">the level of interference to the first device or to any other devices </w:t>
      </w:r>
      <w:r w:rsidRPr="00730E4D">
        <w:rPr>
          <w:rFonts w:ascii="Times New Roman" w:hAnsi="Times New Roman"/>
          <w:szCs w:val="20"/>
        </w:rPr>
        <w:t xml:space="preserve">exceeds the compatibility requirement set out in the </w:t>
      </w:r>
      <w:r w:rsidRPr="00730E4D">
        <w:rPr>
          <w:rFonts w:ascii="Times New Roman" w:hAnsi="Times New Roman"/>
          <w:i/>
          <w:szCs w:val="20"/>
        </w:rPr>
        <w:t>Radiocommunications Advisory Guidelines (Managing Interference to Spectrum Licensed Receivers — 3.4 GHz Band) 2015</w:t>
      </w:r>
      <w:r w:rsidRPr="00730E4D">
        <w:rPr>
          <w:rFonts w:ascii="Times New Roman" w:hAnsi="Times New Roman"/>
          <w:szCs w:val="20"/>
        </w:rPr>
        <w:t xml:space="preserve"> as in force from time to time;</w:t>
      </w:r>
    </w:p>
    <w:p w14:paraId="6DD9499B" w14:textId="77777777" w:rsidR="00AD2273" w:rsidRPr="00730E4D" w:rsidRDefault="00AD2273" w:rsidP="00AD2273">
      <w:pPr>
        <w:numPr>
          <w:ilvl w:val="0"/>
          <w:numId w:val="56"/>
        </w:numPr>
        <w:spacing w:after="120" w:line="240" w:lineRule="auto"/>
        <w:rPr>
          <w:rFonts w:ascii="Times New Roman" w:hAnsi="Times New Roman"/>
          <w:szCs w:val="20"/>
        </w:rPr>
      </w:pPr>
      <w:r w:rsidRPr="00730E4D">
        <w:rPr>
          <w:rFonts w:ascii="Times New Roman" w:hAnsi="Times New Roman"/>
          <w:szCs w:val="20"/>
        </w:rPr>
        <w:t>either the licensee or the holder (or authorised third party) of the other licence wishes to resolve the interference; and</w:t>
      </w:r>
    </w:p>
    <w:p w14:paraId="43E9BD7D" w14:textId="77777777" w:rsidR="00AD2273" w:rsidRPr="00730E4D" w:rsidRDefault="00AD2273" w:rsidP="00AD2273">
      <w:pPr>
        <w:numPr>
          <w:ilvl w:val="0"/>
          <w:numId w:val="56"/>
        </w:numPr>
        <w:spacing w:after="120" w:line="240" w:lineRule="auto"/>
        <w:rPr>
          <w:rFonts w:ascii="Times New Roman" w:hAnsi="Times New Roman"/>
          <w:szCs w:val="20"/>
        </w:rPr>
      </w:pPr>
      <w:r w:rsidRPr="00730E4D">
        <w:rPr>
          <w:rFonts w:ascii="Times New Roman" w:hAnsi="Times New Roman"/>
          <w:szCs w:val="20"/>
        </w:rPr>
        <w:t xml:space="preserve">no agreement between the licensee and each person operating one or more other devices can be reached on how to manage the interference; </w:t>
      </w:r>
    </w:p>
    <w:p w14:paraId="791739C0" w14:textId="77777777" w:rsidR="00AD2273" w:rsidRPr="007674D2" w:rsidRDefault="00AD2273" w:rsidP="00AD2273">
      <w:pPr>
        <w:pStyle w:val="Schedulepara"/>
        <w:keepLines/>
        <w:spacing w:after="120" w:line="240" w:lineRule="auto"/>
        <w:ind w:left="720" w:hanging="720"/>
        <w:rPr>
          <w:sz w:val="20"/>
          <w:szCs w:val="20"/>
        </w:rPr>
      </w:pPr>
      <w:r w:rsidRPr="007674D2">
        <w:rPr>
          <w:sz w:val="20"/>
          <w:szCs w:val="20"/>
        </w:rPr>
        <w:tab/>
        <w:t xml:space="preserve">   then the licensee is required to manage the interference by:</w:t>
      </w:r>
    </w:p>
    <w:p w14:paraId="0B0F76AF" w14:textId="77777777" w:rsidR="00AD2273" w:rsidRPr="00730E4D" w:rsidRDefault="00AD2273" w:rsidP="00AD2273">
      <w:pPr>
        <w:numPr>
          <w:ilvl w:val="0"/>
          <w:numId w:val="56"/>
        </w:numPr>
        <w:spacing w:after="120" w:line="240" w:lineRule="auto"/>
        <w:rPr>
          <w:rFonts w:ascii="Times New Roman" w:hAnsi="Times New Roman"/>
          <w:szCs w:val="20"/>
        </w:rPr>
      </w:pPr>
      <w:r w:rsidRPr="00E6053C">
        <w:rPr>
          <w:rFonts w:ascii="Times New Roman" w:hAnsi="Times New Roman"/>
          <w:szCs w:val="20"/>
        </w:rPr>
        <w:t xml:space="preserve"> either: </w:t>
      </w:r>
    </w:p>
    <w:p w14:paraId="6B48DBD5" w14:textId="77777777" w:rsidR="00AD2273" w:rsidRPr="007674D2" w:rsidRDefault="00AD2273" w:rsidP="00AD2273">
      <w:pPr>
        <w:pStyle w:val="BodyText"/>
        <w:tabs>
          <w:tab w:val="left" w:pos="594"/>
        </w:tabs>
        <w:spacing w:line="282" w:lineRule="auto"/>
        <w:ind w:left="1701" w:right="1504" w:hanging="425"/>
        <w:jc w:val="both"/>
        <w:rPr>
          <w:sz w:val="20"/>
          <w:szCs w:val="20"/>
          <w:lang w:val="en-AU"/>
        </w:rPr>
      </w:pPr>
      <w:r w:rsidRPr="007674D2">
        <w:rPr>
          <w:sz w:val="20"/>
          <w:szCs w:val="20"/>
          <w:lang w:val="en-AU"/>
        </w:rPr>
        <w:t>(i)</w:t>
      </w:r>
      <w:r w:rsidRPr="007674D2">
        <w:rPr>
          <w:sz w:val="20"/>
          <w:szCs w:val="20"/>
          <w:lang w:val="en-AU"/>
        </w:rPr>
        <w:tab/>
        <w:t>operating the first device with a frame structure that uses both uplink</w:t>
      </w:r>
      <w:r w:rsidRPr="007674D2">
        <w:rPr>
          <w:sz w:val="20"/>
          <w:szCs w:val="20"/>
          <w:lang w:val="en-AU"/>
        </w:rPr>
        <w:noBreakHyphen/>
        <w:t xml:space="preserve">downlink configuration 2 and special subframe configuration 6; or </w:t>
      </w:r>
    </w:p>
    <w:p w14:paraId="6526666C" w14:textId="77777777" w:rsidR="00AD2273" w:rsidRPr="007674D2" w:rsidRDefault="00AD2273" w:rsidP="00AD2273">
      <w:pPr>
        <w:pStyle w:val="BodyText"/>
        <w:tabs>
          <w:tab w:val="left" w:pos="594"/>
        </w:tabs>
        <w:spacing w:line="282" w:lineRule="auto"/>
        <w:ind w:left="1701" w:right="1504" w:hanging="425"/>
        <w:jc w:val="both"/>
        <w:rPr>
          <w:sz w:val="20"/>
          <w:szCs w:val="20"/>
          <w:lang w:val="en-AU"/>
        </w:rPr>
      </w:pPr>
      <w:r w:rsidRPr="007674D2">
        <w:rPr>
          <w:sz w:val="20"/>
          <w:szCs w:val="20"/>
          <w:lang w:val="en-AU"/>
        </w:rPr>
        <w:t>(ii)</w:t>
      </w:r>
      <w:r w:rsidRPr="007674D2">
        <w:rPr>
          <w:sz w:val="20"/>
          <w:szCs w:val="20"/>
          <w:lang w:val="en-AU"/>
        </w:rPr>
        <w:tab/>
        <w:t xml:space="preserve">operating the first device using a sequence and duration of radio emissions that is consistent with those configurations (disregarding any time at which the device is not making a radio emission); and </w:t>
      </w:r>
    </w:p>
    <w:p w14:paraId="0D343ABE" w14:textId="77777777" w:rsidR="00AD2273" w:rsidRPr="00AE3F84" w:rsidRDefault="00AD2273" w:rsidP="00AD2273">
      <w:pPr>
        <w:numPr>
          <w:ilvl w:val="0"/>
          <w:numId w:val="56"/>
        </w:numPr>
        <w:spacing w:after="120" w:line="240" w:lineRule="auto"/>
        <w:rPr>
          <w:rFonts w:ascii="Times New Roman" w:hAnsi="Times New Roman"/>
        </w:rPr>
      </w:pPr>
      <w:r w:rsidRPr="00AE3F84">
        <w:rPr>
          <w:rFonts w:ascii="Times New Roman" w:hAnsi="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BE4804" w14:textId="77777777" w:rsidR="00AD2273" w:rsidRPr="00AE3F84" w:rsidRDefault="00AD2273" w:rsidP="00AD2273">
      <w:pPr>
        <w:keepNext/>
        <w:spacing w:before="120" w:after="120"/>
        <w:ind w:left="1440" w:hanging="720"/>
        <w:rPr>
          <w:rFonts w:ascii="Times New Roman" w:hAnsi="Times New Roman"/>
          <w:sz w:val="18"/>
          <w:szCs w:val="18"/>
        </w:rPr>
      </w:pPr>
      <w:r w:rsidRPr="00AE3F84">
        <w:rPr>
          <w:rFonts w:ascii="Times New Roman" w:hAnsi="Times New Roman"/>
          <w:sz w:val="18"/>
          <w:szCs w:val="18"/>
        </w:rPr>
        <w:lastRenderedPageBreak/>
        <w:t xml:space="preserve">Note 1: </w:t>
      </w:r>
      <w:r w:rsidRPr="00AE3F84">
        <w:rPr>
          <w:rFonts w:ascii="Times New Roman" w:hAnsi="Times New Roman"/>
          <w:sz w:val="18"/>
          <w:szCs w:val="18"/>
        </w:rPr>
        <w:tab/>
        <w:t>A licensee may act in accordance with sub-condition 11(e)(ii) by operating a transmitter in a manner that complies with the specification made by 3</w:t>
      </w:r>
      <w:r w:rsidRPr="00AE3F84">
        <w:rPr>
          <w:rFonts w:ascii="Times New Roman" w:hAnsi="Times New Roman"/>
          <w:sz w:val="18"/>
          <w:szCs w:val="18"/>
          <w:vertAlign w:val="superscript"/>
        </w:rPr>
        <w:t>rd</w:t>
      </w:r>
      <w:r w:rsidRPr="00AE3F84">
        <w:rPr>
          <w:rFonts w:ascii="Times New Roman" w:hAnsi="Times New Roman"/>
          <w:sz w:val="18"/>
          <w:szCs w:val="18"/>
        </w:rPr>
        <w:t xml:space="preserve"> Generation Partnership Project numbered 3GPP TS 38.211 and published at www.3gpp.org  </w:t>
      </w:r>
    </w:p>
    <w:p w14:paraId="49DD95BF" w14:textId="77777777" w:rsidR="00AD2273" w:rsidRPr="00902E9F" w:rsidRDefault="00AD2273" w:rsidP="00AD2273">
      <w:pPr>
        <w:keepNext/>
        <w:spacing w:before="120" w:after="120"/>
        <w:ind w:left="1440" w:hanging="720"/>
        <w:rPr>
          <w:rFonts w:ascii="Times New Roman" w:hAnsi="Times New Roman"/>
          <w:sz w:val="18"/>
          <w:szCs w:val="18"/>
        </w:rPr>
      </w:pPr>
      <w:r w:rsidRPr="00AE3F84">
        <w:rPr>
          <w:rFonts w:ascii="Times New Roman" w:hAnsi="Times New Roman"/>
          <w:sz w:val="18"/>
          <w:szCs w:val="18"/>
        </w:rPr>
        <w:t xml:space="preserve">Note 2: </w:t>
      </w:r>
      <w:r w:rsidRPr="00AE3F84">
        <w:rPr>
          <w:rFonts w:ascii="Times New Roman" w:hAnsi="Times New Roman"/>
          <w:sz w:val="18"/>
          <w:szCs w:val="18"/>
        </w:rPr>
        <w:tab/>
        <w:t>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device or devices registered later-in-time will generally be required to accept any interference or cease causing interference during this time.</w:t>
      </w:r>
      <w:r w:rsidRPr="00902E9F">
        <w:rPr>
          <w:rFonts w:ascii="Times New Roman" w:hAnsi="Times New Roman"/>
          <w:sz w:val="18"/>
          <w:szCs w:val="18"/>
        </w:rPr>
        <w:t xml:space="preserve"> </w:t>
      </w:r>
    </w:p>
    <w:p w14:paraId="54C6A77D" w14:textId="77777777" w:rsidR="00AD2273" w:rsidRDefault="00AD2273" w:rsidP="00AD2273"/>
    <w:p w14:paraId="64143DD9" w14:textId="77777777" w:rsidR="00AD2273" w:rsidRDefault="00AD2273" w:rsidP="00AD2273"/>
    <w:p w14:paraId="461ACE18" w14:textId="3FA6A227" w:rsidR="00AD2273" w:rsidRPr="00AD2273" w:rsidRDefault="00AD2273" w:rsidP="00AD2273"/>
    <w:sectPr w:rsidR="00AD2273" w:rsidRPr="00AD2273" w:rsidSect="004E1EC7">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15BF3" w14:textId="77777777" w:rsidR="005F3F45" w:rsidRDefault="005F3F45">
      <w:r>
        <w:separator/>
      </w:r>
    </w:p>
  </w:endnote>
  <w:endnote w:type="continuationSeparator" w:id="0">
    <w:p w14:paraId="0FFB5323" w14:textId="77777777" w:rsidR="005F3F45" w:rsidRDefault="005F3F45">
      <w:r>
        <w:continuationSeparator/>
      </w:r>
    </w:p>
  </w:endnote>
  <w:endnote w:type="continuationNotice" w:id="1">
    <w:p w14:paraId="205F7BA1" w14:textId="77777777" w:rsidR="005F3F45" w:rsidRDefault="005F3F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8523B" w14:textId="77777777" w:rsidR="005F3F45" w:rsidRPr="00A5474E" w:rsidRDefault="005F3F45" w:rsidP="00A5474E">
    <w:pPr>
      <w:pStyle w:val="Footer"/>
    </w:pPr>
    <w:r>
      <w:rPr>
        <w:noProof/>
      </w:rPr>
      <w:drawing>
        <wp:inline distT="0" distB="0" distL="0" distR="0" wp14:anchorId="0155015B" wp14:editId="3521B8EE">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4DF38" w14:textId="77777777" w:rsidR="005F3F45" w:rsidRDefault="005F3F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122EB" w14:textId="77777777" w:rsidR="005F3F45" w:rsidRDefault="005F3F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A36B" w14:textId="77777777" w:rsidR="005F3F45" w:rsidRPr="00622A3B" w:rsidRDefault="005F3F45"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65423F9F" w14:textId="77777777" w:rsidR="005F3F45" w:rsidRPr="00A5474E" w:rsidRDefault="005F3F45"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4751" w14:textId="77777777" w:rsidR="005F3F45" w:rsidRPr="00622A3B" w:rsidRDefault="005F3F45"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0ACDCA6" w14:textId="77777777" w:rsidR="005F3F45" w:rsidRPr="00A5474E" w:rsidRDefault="005F3F45"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48086" w14:textId="77777777" w:rsidR="005F3F45" w:rsidRPr="00622A3B" w:rsidRDefault="005F3F45"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37237C15" w14:textId="77777777" w:rsidR="005F3F45" w:rsidRPr="00A5474E" w:rsidRDefault="005F3F45"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9BF31" w14:textId="77777777" w:rsidR="005F3F45" w:rsidRPr="00622A3B" w:rsidRDefault="005F3F45"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0888C66" w14:textId="77777777" w:rsidR="005F3F45" w:rsidRPr="00A5474E" w:rsidRDefault="005F3F45" w:rsidP="00A5474E">
    <w:pPr>
      <w:pStyle w:val="Footer"/>
    </w:pPr>
  </w:p>
  <w:p w14:paraId="2AC1199E" w14:textId="77777777" w:rsidR="005F3F45" w:rsidRDefault="005F3F4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4E0A" w14:textId="77777777" w:rsidR="005F3F45" w:rsidRPr="00622A3B" w:rsidRDefault="005F3F45" w:rsidP="00E27700">
    <w:pPr>
      <w:pStyle w:val="Footer"/>
      <w:framePr w:w="1440" w:h="357" w:hRule="exact" w:vSpace="425" w:wrap="around" w:vAnchor="page" w:hAnchor="page" w:x="9886" w:y="16081"/>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43CDA8CE" w14:textId="77777777" w:rsidR="005F3F45" w:rsidRPr="00A5474E" w:rsidRDefault="005F3F45" w:rsidP="00A5474E">
    <w:pPr>
      <w:pStyle w:val="Footer"/>
    </w:pPr>
  </w:p>
  <w:p w14:paraId="0C8D7197" w14:textId="77777777" w:rsidR="005F3F45" w:rsidRDefault="005F3F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BBCA9" w14:textId="77777777" w:rsidR="005F3F45" w:rsidRDefault="005F3F45">
      <w:r>
        <w:separator/>
      </w:r>
    </w:p>
  </w:footnote>
  <w:footnote w:type="continuationSeparator" w:id="0">
    <w:p w14:paraId="0B5FC793" w14:textId="77777777" w:rsidR="005F3F45" w:rsidRDefault="005F3F45">
      <w:r>
        <w:continuationSeparator/>
      </w:r>
    </w:p>
  </w:footnote>
  <w:footnote w:type="continuationNotice" w:id="1">
    <w:p w14:paraId="3ECDB4A6" w14:textId="77777777" w:rsidR="005F3F45" w:rsidRDefault="005F3F45">
      <w:pPr>
        <w:spacing w:after="0" w:line="240" w:lineRule="auto"/>
      </w:pPr>
    </w:p>
  </w:footnote>
  <w:footnote w:id="2">
    <w:p w14:paraId="32D6B752" w14:textId="205991FE" w:rsidR="005F3F45" w:rsidRDefault="005F3F45" w:rsidP="00C72501">
      <w:pPr>
        <w:pStyle w:val="FootnoteText"/>
        <w:spacing w:after="60"/>
      </w:pPr>
      <w:r>
        <w:rPr>
          <w:rStyle w:val="FootnoteReference"/>
        </w:rPr>
        <w:footnoteRef/>
      </w:r>
      <w:r>
        <w:t xml:space="preserve"> </w:t>
      </w:r>
      <w:hyperlink r:id="rId1" w:history="1">
        <w:r w:rsidRPr="008667B7">
          <w:rPr>
            <w:rStyle w:val="Hyperlink"/>
          </w:rPr>
          <w:t>FYSO 2018</w:t>
        </w:r>
        <w:r w:rsidRPr="008667B7">
          <w:rPr>
            <w:rStyle w:val="Hyperlink"/>
            <w:rFonts w:cs="Arial"/>
          </w:rPr>
          <w:t>–</w:t>
        </w:r>
        <w:r w:rsidRPr="008667B7">
          <w:rPr>
            <w:rStyle w:val="Hyperlink"/>
          </w:rPr>
          <w:t>2022</w:t>
        </w:r>
      </w:hyperlink>
      <w:r>
        <w:t xml:space="preserve">. </w:t>
      </w:r>
    </w:p>
  </w:footnote>
  <w:footnote w:id="3">
    <w:p w14:paraId="72439B1B" w14:textId="203B6967" w:rsidR="005F3F45" w:rsidRDefault="005F3F45" w:rsidP="00C72501">
      <w:pPr>
        <w:pStyle w:val="FootnoteText"/>
        <w:spacing w:after="0"/>
      </w:pPr>
      <w:r>
        <w:rPr>
          <w:rStyle w:val="FootnoteReference"/>
        </w:rPr>
        <w:footnoteRef/>
      </w:r>
      <w:r>
        <w:t xml:space="preserve"> </w:t>
      </w:r>
      <w:hyperlink r:id="rId2" w:history="1">
        <w:r>
          <w:rPr>
            <w:rStyle w:val="Hyperlink"/>
          </w:rPr>
          <w:t>Draft FYSO</w:t>
        </w:r>
      </w:hyperlink>
      <w:r>
        <w:t>.</w:t>
      </w:r>
    </w:p>
  </w:footnote>
  <w:footnote w:id="4">
    <w:p w14:paraId="681D3338" w14:textId="23A96D59" w:rsidR="005F3F45" w:rsidRDefault="005F3F45" w:rsidP="00C72501">
      <w:pPr>
        <w:pStyle w:val="FootnoteText"/>
        <w:spacing w:after="40"/>
      </w:pPr>
      <w:r>
        <w:rPr>
          <w:rStyle w:val="FootnoteReference"/>
        </w:rPr>
        <w:footnoteRef/>
      </w:r>
      <w:r>
        <w:t xml:space="preserve"> </w:t>
      </w:r>
      <w:hyperlink r:id="rId3" w:history="1">
        <w:r>
          <w:rPr>
            <w:rStyle w:val="Hyperlink"/>
            <w:i/>
          </w:rPr>
          <w:t>ACMA corporate plan 2018–19</w:t>
        </w:r>
      </w:hyperlink>
    </w:p>
  </w:footnote>
  <w:footnote w:id="5">
    <w:p w14:paraId="030B734A" w14:textId="77777777" w:rsidR="005F3F45" w:rsidRDefault="005F3F45" w:rsidP="00C72501">
      <w:pPr>
        <w:pStyle w:val="FootnoteText"/>
        <w:spacing w:after="0"/>
      </w:pPr>
      <w:r>
        <w:rPr>
          <w:rStyle w:val="FootnoteReference"/>
        </w:rPr>
        <w:footnoteRef/>
      </w:r>
      <w:r>
        <w:t xml:space="preserve"> Technical details and limitations include maximum in-band transmit power and unwanted emissions limits as well as the authorised frequency range and geographical area of the licence. </w:t>
      </w:r>
    </w:p>
  </w:footnote>
  <w:footnote w:id="6">
    <w:p w14:paraId="5513E57F" w14:textId="47B86C89" w:rsidR="005F3F45" w:rsidRDefault="005F3F45" w:rsidP="00585A42">
      <w:pPr>
        <w:pStyle w:val="FootnoteText"/>
        <w:spacing w:after="120"/>
      </w:pPr>
      <w:r>
        <w:rPr>
          <w:rStyle w:val="FootnoteReference"/>
        </w:rPr>
        <w:footnoteRef/>
      </w:r>
      <w:r>
        <w:t xml:space="preserve"> Individual transmitter or receiver</w:t>
      </w:r>
      <w:r w:rsidDel="005C0A5E">
        <w:t xml:space="preserve"> </w:t>
      </w:r>
      <w:r>
        <w:t>devices, so that impact on devices can be assessed</w:t>
      </w:r>
    </w:p>
  </w:footnote>
  <w:footnote w:id="7">
    <w:p w14:paraId="3872E88B" w14:textId="77777777" w:rsidR="005F3F45" w:rsidRDefault="005F3F45" w:rsidP="005E6B3F">
      <w:pPr>
        <w:pStyle w:val="FootnoteText"/>
      </w:pPr>
      <w:r>
        <w:rPr>
          <w:rStyle w:val="FootnoteReference"/>
        </w:rPr>
        <w:footnoteRef/>
      </w:r>
      <w:r>
        <w:t xml:space="preserve"> </w:t>
      </w:r>
      <w:r w:rsidRPr="00C3328A">
        <w:t>an international organization that is tasked with building up the verification regime of the Comprehensive Nuclear-Test-Ban Treaty Organization (CTBTO)</w:t>
      </w:r>
      <w:r>
        <w:t>, including a worldwide series of monitoring stations.</w:t>
      </w:r>
    </w:p>
    <w:p w14:paraId="1443139C" w14:textId="6FC7D097" w:rsidR="005F3F45" w:rsidRDefault="005F3F45">
      <w:pPr>
        <w:pStyle w:val="FootnoteText"/>
      </w:pPr>
    </w:p>
  </w:footnote>
  <w:footnote w:id="8">
    <w:p w14:paraId="5255956C" w14:textId="77777777" w:rsidR="005F3F45" w:rsidRDefault="005F3F45" w:rsidP="00F815D4">
      <w:pPr>
        <w:pStyle w:val="FootnoteText"/>
      </w:pPr>
      <w:r>
        <w:rPr>
          <w:rStyle w:val="FootnoteReference"/>
        </w:rPr>
        <w:footnoteRef/>
      </w:r>
      <w:r>
        <w:t xml:space="preserve"> Note: In the year 2000 there were 14 devices that were licensed to receive over a combined bandwidth of 1.77 GHz. It is possible this was done to simplify licensing of multiple earth stations across the band and could consequently be distorting the total bandwidth licensed to earth receivers at the time.</w:t>
      </w:r>
    </w:p>
  </w:footnote>
  <w:footnote w:id="9">
    <w:p w14:paraId="486F20E8" w14:textId="77777777" w:rsidR="005F3F45" w:rsidRDefault="005F3F45" w:rsidP="00F815D4">
      <w:pPr>
        <w:pStyle w:val="FootnoteText"/>
        <w:spacing w:after="60"/>
      </w:pPr>
      <w:r>
        <w:rPr>
          <w:rStyle w:val="FootnoteReference"/>
        </w:rPr>
        <w:footnoteRef/>
      </w:r>
      <w:r>
        <w:t xml:space="preserve"> A device, either transmitter or receiver, is deemed to be within a defined frequency range if any part of its licensed bandwidth falls within the defined frequency range, hence one licensed device may appear in two ranges.</w:t>
      </w:r>
    </w:p>
  </w:footnote>
  <w:footnote w:id="10">
    <w:p w14:paraId="6A4E3175" w14:textId="77777777" w:rsidR="005F3F45" w:rsidRDefault="005F3F45" w:rsidP="00F815D4">
      <w:pPr>
        <w:pStyle w:val="FootnoteText"/>
        <w:spacing w:after="60"/>
      </w:pPr>
      <w:r>
        <w:rPr>
          <w:rStyle w:val="FootnoteReference"/>
        </w:rPr>
        <w:footnoteRef/>
      </w:r>
      <w:r>
        <w:t xml:space="preserve"> Areas defined in Appendix 1.</w:t>
      </w:r>
      <w:r w:rsidDel="00366A68">
        <w:t xml:space="preserve"> </w:t>
      </w:r>
    </w:p>
  </w:footnote>
  <w:footnote w:id="11">
    <w:p w14:paraId="54CC3E41" w14:textId="77777777" w:rsidR="005F3F45" w:rsidRDefault="005F3F45" w:rsidP="00F815D4">
      <w:pPr>
        <w:pStyle w:val="FootnoteText"/>
        <w:spacing w:after="60"/>
      </w:pPr>
      <w:r>
        <w:rPr>
          <w:rStyle w:val="FootnoteReference"/>
        </w:rPr>
        <w:footnoteRef/>
      </w:r>
      <w:r>
        <w:t xml:space="preserve"> Approximate discrete locations, for example one satellite park, teleport or gateway.</w:t>
      </w:r>
    </w:p>
  </w:footnote>
  <w:footnote w:id="12">
    <w:p w14:paraId="3A7D1AE8" w14:textId="77777777" w:rsidR="005F3F45" w:rsidRDefault="005F3F45" w:rsidP="00F815D4">
      <w:pPr>
        <w:pStyle w:val="FootnoteText"/>
        <w:spacing w:after="60"/>
      </w:pPr>
      <w:r>
        <w:rPr>
          <w:rStyle w:val="FootnoteReference"/>
        </w:rPr>
        <w:footnoteRef/>
      </w:r>
      <w:r>
        <w:t xml:space="preserve"> A device, either transmitter or receiver, is deemed to be within a defined frequency range if any part of its licensed bandwidth falls within the defined frequency range, hence one licensed device may appear in two ranges.</w:t>
      </w:r>
    </w:p>
  </w:footnote>
  <w:footnote w:id="13">
    <w:p w14:paraId="6C7E0135" w14:textId="35D4B83D" w:rsidR="005F3F45" w:rsidRDefault="005F3F45" w:rsidP="00F815D4">
      <w:pPr>
        <w:pStyle w:val="FootnoteText"/>
        <w:spacing w:after="60"/>
      </w:pPr>
      <w:r>
        <w:rPr>
          <w:rStyle w:val="FootnoteReference"/>
        </w:rPr>
        <w:footnoteRef/>
      </w:r>
      <w:r>
        <w:t xml:space="preserve"> Areas defined in Appendix 1.</w:t>
      </w:r>
    </w:p>
  </w:footnote>
  <w:footnote w:id="14">
    <w:p w14:paraId="390140AC" w14:textId="77777777" w:rsidR="005F3F45" w:rsidRDefault="005F3F45" w:rsidP="00F815D4">
      <w:pPr>
        <w:pStyle w:val="FootnoteText"/>
        <w:spacing w:after="60"/>
      </w:pPr>
      <w:r>
        <w:rPr>
          <w:rStyle w:val="FootnoteReference"/>
        </w:rPr>
        <w:footnoteRef/>
      </w:r>
      <w:r>
        <w:t xml:space="preserve"> Including offshore and external territories.</w:t>
      </w:r>
    </w:p>
  </w:footnote>
  <w:footnote w:id="15">
    <w:p w14:paraId="1146C932" w14:textId="4C168121" w:rsidR="005F3F45" w:rsidRDefault="005F3F45" w:rsidP="00F815D4">
      <w:pPr>
        <w:pStyle w:val="FootnoteText"/>
        <w:spacing w:after="60"/>
      </w:pPr>
      <w:r>
        <w:rPr>
          <w:rStyle w:val="FootnoteReference"/>
        </w:rPr>
        <w:footnoteRef/>
      </w:r>
      <w:r>
        <w:t xml:space="preserve"> </w:t>
      </w:r>
      <w:hyperlink r:id="rId4" w:history="1">
        <w:r w:rsidRPr="008B365C">
          <w:rPr>
            <w:rStyle w:val="Hyperlink"/>
          </w:rPr>
          <w:t>3GPP TS 31.104</w:t>
        </w:r>
      </w:hyperlink>
      <w:r>
        <w:rPr>
          <w:rStyle w:val="Hyperlink"/>
        </w:rPr>
        <w:t>,</w:t>
      </w:r>
      <w:r>
        <w:t xml:space="preserve"> </w:t>
      </w:r>
      <w:r w:rsidRPr="00CC6CCA">
        <w:rPr>
          <w:i/>
        </w:rPr>
        <w:t>New radio: Base Station (BS) radio transmission and reception</w:t>
      </w:r>
      <w:r>
        <w:t xml:space="preserve">, Release 15. </w:t>
      </w:r>
    </w:p>
  </w:footnote>
  <w:footnote w:id="16">
    <w:p w14:paraId="63A13FEE" w14:textId="317F1E3A" w:rsidR="005F3F45" w:rsidRDefault="005F3F45" w:rsidP="00F815D4">
      <w:pPr>
        <w:pStyle w:val="FootnoteText"/>
        <w:spacing w:after="60"/>
      </w:pPr>
      <w:r>
        <w:rPr>
          <w:rStyle w:val="FootnoteReference"/>
        </w:rPr>
        <w:footnoteRef/>
      </w:r>
      <w:r>
        <w:t xml:space="preserve"> </w:t>
      </w:r>
      <w:hyperlink r:id="rId5" w:history="1">
        <w:r w:rsidRPr="003674E2">
          <w:rPr>
            <w:rStyle w:val="Hyperlink"/>
          </w:rPr>
          <w:t>3GPP TS 36.104</w:t>
        </w:r>
      </w:hyperlink>
      <w:r>
        <w:rPr>
          <w:rStyle w:val="Hyperlink"/>
        </w:rPr>
        <w:t>,</w:t>
      </w:r>
      <w:r>
        <w:t xml:space="preserve"> </w:t>
      </w:r>
      <w:r w:rsidRPr="00CC6CCA">
        <w:rPr>
          <w:i/>
        </w:rPr>
        <w:t>Evolved Universal Terrestrial Radio Access (E-UTRA); Base Station (BS) radio transmission and reception</w:t>
      </w:r>
      <w:r>
        <w:t>, Release 16.</w:t>
      </w:r>
    </w:p>
  </w:footnote>
  <w:footnote w:id="17">
    <w:p w14:paraId="3C1E7337" w14:textId="77777777" w:rsidR="005F3F45" w:rsidRDefault="005F3F45" w:rsidP="00585A42">
      <w:pPr>
        <w:pStyle w:val="FootnoteText"/>
        <w:spacing w:after="120"/>
      </w:pPr>
      <w:r>
        <w:rPr>
          <w:rStyle w:val="FootnoteReference"/>
        </w:rPr>
        <w:footnoteRef/>
      </w:r>
      <w:r>
        <w:t xml:space="preserve"> </w:t>
      </w:r>
      <w:r w:rsidRPr="00CC6CCA">
        <w:rPr>
          <w:i/>
        </w:rPr>
        <w:t>Global TD-LTE Snapshot</w:t>
      </w:r>
      <w:r>
        <w:t>, GSA, November 2018.</w:t>
      </w:r>
    </w:p>
  </w:footnote>
  <w:footnote w:id="18">
    <w:p w14:paraId="7736D214" w14:textId="77777777" w:rsidR="005F3F45" w:rsidRDefault="005F3F45" w:rsidP="00F815D4">
      <w:pPr>
        <w:pStyle w:val="FootnoteText"/>
        <w:spacing w:after="60"/>
      </w:pPr>
      <w:r>
        <w:rPr>
          <w:rStyle w:val="FootnoteReference"/>
        </w:rPr>
        <w:footnoteRef/>
      </w:r>
      <w:r>
        <w:t xml:space="preserve"> </w:t>
      </w:r>
      <w:r w:rsidRPr="00536A5C">
        <w:rPr>
          <w:i/>
        </w:rPr>
        <w:t xml:space="preserve">5G </w:t>
      </w:r>
      <w:r>
        <w:rPr>
          <w:i/>
        </w:rPr>
        <w:t>Device Ecosystem</w:t>
      </w:r>
      <w:r>
        <w:t>, GSA, June 2019.</w:t>
      </w:r>
    </w:p>
  </w:footnote>
  <w:footnote w:id="19">
    <w:p w14:paraId="7B35E4F0" w14:textId="77777777" w:rsidR="005F3F45" w:rsidRDefault="005F3F45" w:rsidP="00F815D4">
      <w:pPr>
        <w:pStyle w:val="FootnoteText"/>
        <w:spacing w:after="60"/>
      </w:pPr>
      <w:r>
        <w:rPr>
          <w:rStyle w:val="FootnoteReference"/>
        </w:rPr>
        <w:footnoteRef/>
      </w:r>
      <w:r>
        <w:t xml:space="preserve"> </w:t>
      </w:r>
      <w:hyperlink r:id="rId6" w:history="1">
        <w:r w:rsidRPr="00CC6CCA">
          <w:rPr>
            <w:rStyle w:val="Hyperlink"/>
            <w:i/>
          </w:rPr>
          <w:t>EC 5G decision announcement</w:t>
        </w:r>
      </w:hyperlink>
      <w:r w:rsidRPr="00CC6CCA">
        <w:rPr>
          <w:rStyle w:val="Hyperlink"/>
          <w:color w:val="000000" w:themeColor="text1"/>
          <w:u w:val="none"/>
        </w:rPr>
        <w:t>, 24 January 2019</w:t>
      </w:r>
      <w:r>
        <w:rPr>
          <w:rStyle w:val="Hyperlink"/>
          <w:color w:val="000000" w:themeColor="text1"/>
          <w:u w:val="none"/>
        </w:rPr>
        <w:t>.</w:t>
      </w:r>
    </w:p>
  </w:footnote>
  <w:footnote w:id="20">
    <w:p w14:paraId="5D9CB416" w14:textId="77777777" w:rsidR="005F3F45" w:rsidRDefault="005F3F45" w:rsidP="00F815D4">
      <w:pPr>
        <w:pStyle w:val="FootnoteText"/>
        <w:spacing w:after="60"/>
      </w:pPr>
      <w:r>
        <w:rPr>
          <w:rStyle w:val="FootnoteReference"/>
        </w:rPr>
        <w:footnoteRef/>
      </w:r>
      <w:r>
        <w:t xml:space="preserve"> </w:t>
      </w:r>
      <w:r w:rsidRPr="00CC6CCA">
        <w:rPr>
          <w:i/>
        </w:rPr>
        <w:t>Spectrum for Terrestrial 5G Networks: Licensing Developments Worldwide</w:t>
      </w:r>
      <w:r>
        <w:t>, GSA, 14 May 2019.</w:t>
      </w:r>
    </w:p>
  </w:footnote>
  <w:footnote w:id="21">
    <w:p w14:paraId="4AEA5C5C" w14:textId="77777777" w:rsidR="005F3F45" w:rsidRDefault="005F3F45" w:rsidP="00384E3E">
      <w:pPr>
        <w:pStyle w:val="FootnoteText"/>
        <w:spacing w:after="60"/>
      </w:pPr>
      <w:r>
        <w:rPr>
          <w:rStyle w:val="FootnoteReference"/>
        </w:rPr>
        <w:footnoteRef/>
      </w:r>
      <w:r>
        <w:t xml:space="preserve"> </w:t>
      </w:r>
      <w:hyperlink r:id="rId7" w:history="1">
        <w:r w:rsidRPr="00F81A10">
          <w:rPr>
            <w:rStyle w:val="Hyperlink"/>
          </w:rPr>
          <w:t>https://www.ofcom.org.uk/__data/assets/pdf_file/0019/130726/Award-of-the-700-MHz-and-3.6-3.8-GHz-spectrum-bands.pdf</w:t>
        </w:r>
      </w:hyperlink>
      <w:r>
        <w:t xml:space="preserve">, </w:t>
      </w:r>
      <w:proofErr w:type="spellStart"/>
      <w:r>
        <w:t>Ofcom</w:t>
      </w:r>
      <w:proofErr w:type="spellEnd"/>
      <w:r>
        <w:t xml:space="preserve"> 18 December 2018.</w:t>
      </w:r>
    </w:p>
  </w:footnote>
  <w:footnote w:id="22">
    <w:p w14:paraId="73E09B0C" w14:textId="49C5C9D7" w:rsidR="005F3F45" w:rsidRDefault="005F3F45" w:rsidP="00585A42">
      <w:pPr>
        <w:pStyle w:val="FootnoteText"/>
        <w:spacing w:after="120"/>
      </w:pPr>
      <w:r>
        <w:rPr>
          <w:rStyle w:val="FootnoteReference"/>
        </w:rPr>
        <w:footnoteRef/>
      </w:r>
      <w:r>
        <w:t xml:space="preserve"> </w:t>
      </w:r>
      <w:hyperlink r:id="rId8" w:history="1">
        <w:r>
          <w:rPr>
            <w:rStyle w:val="Hyperlink"/>
          </w:rPr>
          <w:t>enabling wireless innovation through local licensing</w:t>
        </w:r>
      </w:hyperlink>
      <w:r>
        <w:t xml:space="preserve"> </w:t>
      </w:r>
    </w:p>
  </w:footnote>
  <w:footnote w:id="23">
    <w:p w14:paraId="1445F395" w14:textId="74B771E1" w:rsidR="005F3F45" w:rsidRDefault="005F3F45" w:rsidP="00F815D4">
      <w:pPr>
        <w:pStyle w:val="FootnoteText"/>
        <w:spacing w:after="60"/>
      </w:pPr>
      <w:r>
        <w:rPr>
          <w:rStyle w:val="FootnoteReference"/>
        </w:rPr>
        <w:footnoteRef/>
      </w:r>
      <w:r>
        <w:t xml:space="preserve"> </w:t>
      </w:r>
      <w:hyperlink r:id="rId9" w:history="1">
        <w:r w:rsidRPr="00F81A10">
          <w:rPr>
            <w:rStyle w:val="Hyperlink"/>
          </w:rPr>
          <w:t>https://pts.se/sv/dokument/remisser/radio/2019/samrad-av-forstudierapport-38--42-ghz-3800--4200-mhz/</w:t>
        </w:r>
      </w:hyperlink>
      <w:r>
        <w:t>, PTS 12 June 2018.</w:t>
      </w:r>
    </w:p>
  </w:footnote>
  <w:footnote w:id="24">
    <w:p w14:paraId="5A9E68AE" w14:textId="3C98CAA3" w:rsidR="005F3F45" w:rsidRDefault="005F3F45" w:rsidP="00585A42">
      <w:pPr>
        <w:pStyle w:val="FootnoteText"/>
        <w:spacing w:after="120"/>
      </w:pPr>
      <w:r>
        <w:rPr>
          <w:rStyle w:val="FootnoteReference"/>
        </w:rPr>
        <w:footnoteRef/>
      </w:r>
      <w:r>
        <w:t xml:space="preserve"> </w:t>
      </w:r>
      <w:hyperlink r:id="rId10" w:history="1">
        <w:r w:rsidRPr="00D548C1">
          <w:rPr>
            <w:rStyle w:val="Hyperlink"/>
          </w:rPr>
          <w:t>https://www.gov.il/BlobFolder/news/14072019_01/he/5th%20Gen%20Tender%20-%20English.pdf</w:t>
        </w:r>
      </w:hyperlink>
      <w:r>
        <w:t>.</w:t>
      </w:r>
    </w:p>
  </w:footnote>
  <w:footnote w:id="25">
    <w:p w14:paraId="0A22B4FB" w14:textId="4CA29978" w:rsidR="005F3F45" w:rsidRDefault="005F3F45" w:rsidP="00F815D4">
      <w:pPr>
        <w:pStyle w:val="FootnoteText"/>
        <w:spacing w:after="60"/>
      </w:pPr>
      <w:r>
        <w:rPr>
          <w:rStyle w:val="FootnoteReference"/>
        </w:rPr>
        <w:footnoteRef/>
      </w:r>
      <w:r>
        <w:t xml:space="preserve"> </w:t>
      </w:r>
      <w:hyperlink r:id="rId11" w:history="1">
        <w:r w:rsidRPr="00CC6CCA">
          <w:rPr>
            <w:rStyle w:val="Hyperlink"/>
            <w:i/>
          </w:rPr>
          <w:t>Saudi Arabia Announces MENA’s Largest 5G Roll-Out</w:t>
        </w:r>
      </w:hyperlink>
      <w:r>
        <w:t>, media release, Ministry of Communications and Information Technology Saudi Arabia, 26 Feb 2019.</w:t>
      </w:r>
    </w:p>
  </w:footnote>
  <w:footnote w:id="26">
    <w:p w14:paraId="7085A585" w14:textId="77777777" w:rsidR="005F3F45" w:rsidRDefault="005F3F45" w:rsidP="00F815D4">
      <w:pPr>
        <w:pStyle w:val="FootnoteText"/>
        <w:spacing w:after="0"/>
      </w:pPr>
      <w:r>
        <w:rPr>
          <w:rStyle w:val="FootnoteReference"/>
        </w:rPr>
        <w:footnoteRef/>
      </w:r>
      <w:r>
        <w:t xml:space="preserve"> </w:t>
      </w:r>
      <w:hyperlink r:id="rId12" w:history="1">
        <w:r w:rsidRPr="00CC6CCA">
          <w:rPr>
            <w:rStyle w:val="Hyperlink"/>
            <w:i/>
          </w:rPr>
          <w:t>Preparing for 5G in New Zealand</w:t>
        </w:r>
      </w:hyperlink>
      <w:r>
        <w:t>, Radio Spectrum Management, New Zealand.</w:t>
      </w:r>
    </w:p>
  </w:footnote>
  <w:footnote w:id="27">
    <w:p w14:paraId="522BE330" w14:textId="77777777" w:rsidR="005F3F45" w:rsidRDefault="005F3F45" w:rsidP="00F815D4">
      <w:pPr>
        <w:pStyle w:val="FootnoteText"/>
        <w:spacing w:after="60"/>
      </w:pPr>
      <w:r>
        <w:rPr>
          <w:rStyle w:val="FootnoteReference"/>
        </w:rPr>
        <w:footnoteRef/>
      </w:r>
      <w:r>
        <w:t xml:space="preserve"> </w:t>
      </w:r>
      <w:hyperlink r:id="rId13" w:history="1">
        <w:r w:rsidRPr="00CC6CCA">
          <w:rPr>
            <w:rStyle w:val="Hyperlink"/>
            <w:rFonts w:cs="Arial"/>
            <w:i/>
            <w:lang w:val="en"/>
          </w:rPr>
          <w:t>Consultation on Revisions to the 3500 MHz Band to Accommodate Flexible Use and Preliminary Consultation on Changes to the 3800 MHz Band</w:t>
        </w:r>
      </w:hyperlink>
      <w:r>
        <w:rPr>
          <w:rFonts w:cs="Arial"/>
          <w:color w:val="333333"/>
          <w:lang w:val="en"/>
        </w:rPr>
        <w:t>, ISED.</w:t>
      </w:r>
      <w:hyperlink r:id="rId14" w:history="1"/>
    </w:p>
  </w:footnote>
  <w:footnote w:id="28">
    <w:p w14:paraId="78B79CA6" w14:textId="77777777" w:rsidR="005F3F45" w:rsidRDefault="005F3F45" w:rsidP="00F815D4">
      <w:pPr>
        <w:pStyle w:val="FootnoteText"/>
        <w:spacing w:after="60"/>
      </w:pPr>
      <w:r>
        <w:rPr>
          <w:rStyle w:val="FootnoteReference"/>
        </w:rPr>
        <w:footnoteRef/>
      </w:r>
      <w:r>
        <w:t xml:space="preserve"> </w:t>
      </w:r>
      <w:hyperlink r:id="rId15" w:anchor="s7.1" w:history="1">
        <w:r w:rsidRPr="007674D2">
          <w:rPr>
            <w:rStyle w:val="Hyperlink"/>
            <w:i/>
          </w:rPr>
          <w:t>Decision on Revisions to the 3500 MHz Band to Accommodate Flexible Use and Preliminary Decisions on Changes to the 3800 MHz Band</w:t>
        </w:r>
      </w:hyperlink>
      <w:r>
        <w:rPr>
          <w:rFonts w:cs="Arial"/>
          <w:color w:val="333333"/>
          <w:lang w:val="en"/>
        </w:rPr>
        <w:t>, ISED, June 2019.</w:t>
      </w:r>
    </w:p>
  </w:footnote>
  <w:footnote w:id="29">
    <w:p w14:paraId="370181F1" w14:textId="77777777" w:rsidR="005F3F45" w:rsidRDefault="005F3F45" w:rsidP="00F815D4">
      <w:pPr>
        <w:pStyle w:val="FootnoteText"/>
        <w:spacing w:after="60"/>
      </w:pPr>
      <w:r>
        <w:rPr>
          <w:rStyle w:val="FootnoteReference"/>
        </w:rPr>
        <w:footnoteRef/>
      </w:r>
      <w:r>
        <w:t xml:space="preserve"> </w:t>
      </w:r>
      <w:hyperlink r:id="rId16" w:history="1">
        <w:r w:rsidRPr="002363BC">
          <w:rPr>
            <w:rStyle w:val="Hyperlink"/>
          </w:rPr>
          <w:t>https://www.fcc.gov/document/fcc-expands-flexible-use-mid-band-spectrum</w:t>
        </w:r>
      </w:hyperlink>
      <w:r>
        <w:rPr>
          <w:rStyle w:val="Hyperlink"/>
        </w:rPr>
        <w:t>.</w:t>
      </w:r>
      <w:r>
        <w:t xml:space="preserve"> </w:t>
      </w:r>
    </w:p>
  </w:footnote>
  <w:footnote w:id="30">
    <w:p w14:paraId="4FE2DB48" w14:textId="77777777" w:rsidR="005F3F45" w:rsidRDefault="005F3F45" w:rsidP="00585A42">
      <w:pPr>
        <w:pStyle w:val="FootnoteText"/>
        <w:spacing w:after="120"/>
      </w:pPr>
      <w:r>
        <w:rPr>
          <w:rStyle w:val="FootnoteReference"/>
        </w:rPr>
        <w:footnoteRef/>
      </w:r>
      <w:r>
        <w:t xml:space="preserve"> </w:t>
      </w:r>
      <w:hyperlink r:id="rId17" w:history="1">
        <w:r w:rsidRPr="007C1A41">
          <w:rPr>
            <w:rStyle w:val="Hyperlink"/>
          </w:rPr>
          <w:t>https://www.federalregister.gov/documents/2019/06/03/2019-11448/international-bureau-and-wireless-telecommunications-bureau-seek-focused-additional-comment-in-37-42</w:t>
        </w:r>
      </w:hyperlink>
      <w:r>
        <w:rPr>
          <w:rStyle w:val="Hyperlink"/>
        </w:rPr>
        <w:t>.</w:t>
      </w:r>
      <w:r>
        <w:t xml:space="preserve"> </w:t>
      </w:r>
    </w:p>
  </w:footnote>
  <w:footnote w:id="31">
    <w:p w14:paraId="4D03461A" w14:textId="6696959B" w:rsidR="005F3F45" w:rsidRDefault="005F3F45" w:rsidP="00585A42">
      <w:pPr>
        <w:pStyle w:val="FootnoteText"/>
        <w:spacing w:after="120"/>
      </w:pPr>
      <w:r>
        <w:rPr>
          <w:rStyle w:val="FootnoteReference"/>
        </w:rPr>
        <w:footnoteRef/>
      </w:r>
      <w:r>
        <w:t xml:space="preserve"> </w:t>
      </w:r>
      <w:hyperlink r:id="rId18" w:history="1">
        <w:r w:rsidRPr="00F81A10">
          <w:rPr>
            <w:rStyle w:val="Hyperlink"/>
          </w:rPr>
          <w:t>https://c-bandalliance.com/documents/c-band-alliance-proposal-fact-sheet/</w:t>
        </w:r>
      </w:hyperlink>
      <w:r>
        <w:t>, CBA 8 May 2019.</w:t>
      </w:r>
    </w:p>
  </w:footnote>
  <w:footnote w:id="32">
    <w:p w14:paraId="0360341F" w14:textId="3985D901" w:rsidR="005F3F45" w:rsidRDefault="005F3F45">
      <w:pPr>
        <w:pStyle w:val="FootnoteText"/>
      </w:pPr>
      <w:r>
        <w:rPr>
          <w:rStyle w:val="FootnoteReference"/>
        </w:rPr>
        <w:footnoteRef/>
      </w:r>
      <w:r>
        <w:t xml:space="preserve"> </w:t>
      </w:r>
      <w:hyperlink r:id="rId19" w:history="1">
        <w:r>
          <w:rPr>
            <w:rStyle w:val="Hyperlink"/>
          </w:rPr>
          <w:t>ACA submission to the FCC</w:t>
        </w:r>
      </w:hyperlink>
      <w:r>
        <w:t xml:space="preserve"> </w:t>
      </w:r>
    </w:p>
  </w:footnote>
  <w:footnote w:id="33">
    <w:p w14:paraId="49D8A809" w14:textId="77777777" w:rsidR="005F3F45" w:rsidRDefault="005F3F45" w:rsidP="00E15E3A">
      <w:pPr>
        <w:pStyle w:val="FootnoteText"/>
        <w:spacing w:after="60"/>
      </w:pPr>
      <w:r>
        <w:rPr>
          <w:rStyle w:val="FootnoteReference"/>
        </w:rPr>
        <w:footnoteRef/>
      </w:r>
      <w:r>
        <w:t xml:space="preserve"> </w:t>
      </w:r>
      <w:hyperlink r:id="rId20" w:anchor="s7.1" w:history="1">
        <w:r>
          <w:rPr>
            <w:rStyle w:val="Hyperlink"/>
            <w:i/>
          </w:rPr>
          <w:t>Decision on Revisions to the 3500 MHz Band to Accommodate Flexible Use and Preliminary Decisions on Changes to the 3800 MHz Band</w:t>
        </w:r>
      </w:hyperlink>
      <w:r>
        <w:rPr>
          <w:rFonts w:cs="Arial"/>
          <w:color w:val="333333"/>
          <w:lang w:val="en"/>
        </w:rPr>
        <w:t>, ISED, June 2019</w:t>
      </w:r>
    </w:p>
  </w:footnote>
  <w:footnote w:id="34">
    <w:p w14:paraId="7A3E7F8A" w14:textId="39F64EB3" w:rsidR="005F3F45" w:rsidRDefault="005F3F45" w:rsidP="00AD2273">
      <w:pPr>
        <w:pStyle w:val="FootnoteText"/>
        <w:spacing w:after="120"/>
      </w:pPr>
      <w:r>
        <w:rPr>
          <w:rStyle w:val="FootnoteReference"/>
        </w:rPr>
        <w:footnoteRef/>
      </w:r>
      <w:r>
        <w:t xml:space="preserve"> </w:t>
      </w:r>
      <w:hyperlink r:id="rId21" w:history="1">
        <w:r w:rsidRPr="005B3DB0">
          <w:rPr>
            <w:rStyle w:val="Hyperlink"/>
          </w:rPr>
          <w:t>https://www.fcc.gov/wireless/bureau-divisions/mobility-division/35-ghz-band/35-ghz-band-citizens-broadband-radio-service</w:t>
        </w:r>
      </w:hyperlink>
      <w:r>
        <w:t>.</w:t>
      </w:r>
    </w:p>
  </w:footnote>
  <w:footnote w:id="35">
    <w:p w14:paraId="4AAFBB28" w14:textId="6686626D" w:rsidR="005F3F45" w:rsidRDefault="005F3F45" w:rsidP="00AD2273">
      <w:pPr>
        <w:pStyle w:val="FootnoteText"/>
      </w:pPr>
      <w:r>
        <w:rPr>
          <w:rStyle w:val="FootnoteReference"/>
        </w:rPr>
        <w:footnoteRef/>
      </w:r>
      <w:r>
        <w:t xml:space="preserve"> Noting that the specific transmissions in the US were from intermittent radar use that operate across the 3100–3700 MHz frequency range, while in Australia such use is currently limited to the 3100–3500 MHz frequency range. </w:t>
      </w:r>
    </w:p>
  </w:footnote>
  <w:footnote w:id="36">
    <w:p w14:paraId="06D85E37" w14:textId="77777777" w:rsidR="005F3F45" w:rsidRDefault="005F3F45" w:rsidP="00AD2273">
      <w:pPr>
        <w:pStyle w:val="FootnoteText"/>
      </w:pPr>
      <w:r>
        <w:rPr>
          <w:rStyle w:val="FootnoteReference"/>
        </w:rPr>
        <w:footnoteRef/>
      </w:r>
      <w:r>
        <w:t xml:space="preserve"> This is the largest channel size supported by 3GPP compliant 5G equipment.</w:t>
      </w:r>
    </w:p>
  </w:footnote>
  <w:footnote w:id="37">
    <w:p w14:paraId="736957F7" w14:textId="77777777" w:rsidR="005F3F45" w:rsidRPr="00063240" w:rsidRDefault="005F3F45" w:rsidP="00AD2273">
      <w:pPr>
        <w:pStyle w:val="FootnoteText"/>
        <w:spacing w:after="120"/>
      </w:pPr>
      <w:r>
        <w:rPr>
          <w:rStyle w:val="FootnoteReference"/>
        </w:rPr>
        <w:footnoteRef/>
      </w:r>
      <w:r>
        <w:t xml:space="preserve"> </w:t>
      </w:r>
      <w:hyperlink r:id="rId22" w:history="1">
        <w:r w:rsidRPr="00063240">
          <w:rPr>
            <w:rStyle w:val="Hyperlink"/>
            <w:i/>
          </w:rPr>
          <w:t>Enabling opportunities for innovation: Shared access to spectrum supporting mobile technology</w:t>
        </w:r>
      </w:hyperlink>
      <w:r>
        <w:t xml:space="preserve">, </w:t>
      </w:r>
      <w:proofErr w:type="spellStart"/>
      <w:r>
        <w:t>Ofcom</w:t>
      </w:r>
      <w:proofErr w:type="spellEnd"/>
      <w:r>
        <w:t>, 18 December 2018.</w:t>
      </w:r>
    </w:p>
  </w:footnote>
  <w:footnote w:id="38">
    <w:p w14:paraId="2B609F29" w14:textId="4C7ACA7C" w:rsidR="005F3F45" w:rsidRDefault="005F3F45" w:rsidP="00585A42">
      <w:pPr>
        <w:pStyle w:val="FootnoteText"/>
        <w:spacing w:after="120"/>
      </w:pPr>
      <w:r>
        <w:rPr>
          <w:rStyle w:val="FootnoteReference"/>
        </w:rPr>
        <w:footnoteRef/>
      </w:r>
      <w:r>
        <w:t xml:space="preserve"> </w:t>
      </w:r>
      <w:hyperlink r:id="rId23" w:history="1">
        <w:r>
          <w:rPr>
            <w:rStyle w:val="Hyperlink"/>
          </w:rPr>
          <w:t>ICAO preliminary study into Radio Altimeter Adjacent Band Compatibility</w:t>
        </w:r>
      </w:hyperlink>
      <w:r>
        <w:t>.</w:t>
      </w:r>
    </w:p>
  </w:footnote>
  <w:footnote w:id="39">
    <w:p w14:paraId="34C6A842" w14:textId="1DB6DD8D" w:rsidR="005F3F45" w:rsidRDefault="005F3F45" w:rsidP="00AD2273">
      <w:pPr>
        <w:pStyle w:val="FootnoteText"/>
      </w:pPr>
      <w:r>
        <w:rPr>
          <w:rStyle w:val="FootnoteReference"/>
        </w:rPr>
        <w:footnoteRef/>
      </w:r>
      <w:r>
        <w:t xml:space="preserve"> See pages 85-104 of </w:t>
      </w:r>
      <w:hyperlink r:id="rId24" w:history="1">
        <w:r>
          <w:rPr>
            <w:rStyle w:val="Hyperlink"/>
            <w:lang w:val="en-US" w:eastAsia="ja-JP"/>
          </w:rPr>
          <w:t>http://www.soumu.go.jp/main_content/000567504.pdf</w:t>
        </w:r>
      </w:hyperlink>
      <w:r>
        <w:rPr>
          <w:color w:val="1F497D"/>
          <w:lang w:val="en-US" w:eastAsia="ja-JP"/>
        </w:rPr>
        <w:t>.</w:t>
      </w:r>
    </w:p>
  </w:footnote>
  <w:footnote w:id="40">
    <w:p w14:paraId="032BD343" w14:textId="77777777" w:rsidR="005F3F45" w:rsidRDefault="005F3F45" w:rsidP="00AD2273">
      <w:pPr>
        <w:pStyle w:val="FootnoteText"/>
      </w:pPr>
      <w:r>
        <w:rPr>
          <w:rStyle w:val="FootnoteReference"/>
        </w:rPr>
        <w:footnoteRef/>
      </w:r>
      <w:r>
        <w:t xml:space="preserve"> A sample spectrum licence is available at Schedule 6 of the </w:t>
      </w:r>
      <w:hyperlink r:id="rId25" w:history="1">
        <w:r w:rsidRPr="007674D2">
          <w:rPr>
            <w:rStyle w:val="Hyperlink"/>
            <w:rFonts w:ascii="Helvetica Neue" w:hAnsi="Helvetica Neue"/>
            <w:i/>
          </w:rPr>
          <w:t>Radiocommunications Spectrum Marketing Plan (3.6 GHz Band) 2018</w:t>
        </w:r>
      </w:hyperlink>
      <w:r>
        <w:rPr>
          <w:rStyle w:val="Hyperlink"/>
          <w:rFonts w:ascii="Helvetica Neue" w:hAnsi="Helvetica Neue"/>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EB81F" w14:textId="77777777" w:rsidR="005F3F45" w:rsidRPr="00A5474E" w:rsidRDefault="005F3F45" w:rsidP="00A5474E">
    <w:pPr>
      <w:pStyle w:val="Header"/>
    </w:pPr>
    <w:r>
      <w:rPr>
        <w:noProof/>
      </w:rPr>
      <w:drawing>
        <wp:inline distT="0" distB="0" distL="0" distR="0" wp14:anchorId="017B4EEC" wp14:editId="728F5FA4">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0346" w14:textId="77777777" w:rsidR="005F3F45" w:rsidRPr="00A5474E" w:rsidRDefault="005F3F45"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6CBDC" w14:textId="77777777" w:rsidR="005F3F45" w:rsidRDefault="005F3F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088D" w14:textId="77777777" w:rsidR="005F3F45" w:rsidRDefault="005F3F4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5F3F45" w14:paraId="09C9173E" w14:textId="77777777" w:rsidTr="00C14CD7">
      <w:trPr>
        <w:trHeight w:hRule="exact" w:val="988"/>
      </w:trPr>
      <w:tc>
        <w:tcPr>
          <w:tcW w:w="7678" w:type="dxa"/>
          <w:shd w:val="clear" w:color="auto" w:fill="auto"/>
        </w:tcPr>
        <w:p w14:paraId="03E52BAC" w14:textId="77777777" w:rsidR="005F3F45" w:rsidRDefault="005F3F45" w:rsidP="00971914">
          <w:pPr>
            <w:pStyle w:val="Header"/>
          </w:pPr>
        </w:p>
      </w:tc>
    </w:tr>
    <w:tr w:rsidR="005F3F45" w14:paraId="015D408B" w14:textId="77777777" w:rsidTr="00C14CD7">
      <w:tc>
        <w:tcPr>
          <w:tcW w:w="7678" w:type="dxa"/>
          <w:shd w:val="clear" w:color="auto" w:fill="auto"/>
        </w:tcPr>
        <w:p w14:paraId="028D4A05" w14:textId="77777777" w:rsidR="005F3F45" w:rsidRDefault="005F3F45" w:rsidP="00971914">
          <w:pPr>
            <w:pStyle w:val="GridTable31"/>
          </w:pPr>
          <w:r>
            <w:t xml:space="preserve">Contents </w:t>
          </w:r>
          <w:r w:rsidRPr="00915B1C">
            <w:rPr>
              <w:b w:val="0"/>
              <w:spacing w:val="0"/>
              <w:sz w:val="28"/>
              <w:szCs w:val="28"/>
            </w:rPr>
            <w:t>(Continued)</w:t>
          </w:r>
        </w:p>
      </w:tc>
    </w:tr>
    <w:tr w:rsidR="005F3F45" w14:paraId="17D9670C" w14:textId="77777777" w:rsidTr="00C14CD7">
      <w:trPr>
        <w:trHeight w:val="1220"/>
      </w:trPr>
      <w:tc>
        <w:tcPr>
          <w:tcW w:w="7678" w:type="dxa"/>
          <w:shd w:val="clear" w:color="auto" w:fill="auto"/>
        </w:tcPr>
        <w:p w14:paraId="7181B3BE" w14:textId="77777777" w:rsidR="005F3F45" w:rsidRDefault="005F3F45" w:rsidP="00971914"/>
      </w:tc>
    </w:tr>
  </w:tbl>
  <w:p w14:paraId="0A52F4BB" w14:textId="77777777" w:rsidR="005F3F45" w:rsidRDefault="005F3F45"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5F3F45" w14:paraId="1AFE5C8C" w14:textId="77777777" w:rsidTr="00C14CD7">
      <w:trPr>
        <w:trHeight w:hRule="exact" w:val="988"/>
      </w:trPr>
      <w:tc>
        <w:tcPr>
          <w:tcW w:w="7678" w:type="dxa"/>
          <w:shd w:val="clear" w:color="auto" w:fill="auto"/>
        </w:tcPr>
        <w:p w14:paraId="68478676" w14:textId="77777777" w:rsidR="005F3F45" w:rsidRDefault="005F3F45" w:rsidP="00971914">
          <w:pPr>
            <w:pStyle w:val="Header"/>
          </w:pPr>
        </w:p>
      </w:tc>
    </w:tr>
    <w:tr w:rsidR="005F3F45" w14:paraId="18C304C6" w14:textId="77777777" w:rsidTr="00C14CD7">
      <w:tc>
        <w:tcPr>
          <w:tcW w:w="7678" w:type="dxa"/>
          <w:shd w:val="clear" w:color="auto" w:fill="auto"/>
        </w:tcPr>
        <w:p w14:paraId="2B312E1E" w14:textId="77777777" w:rsidR="005F3F45" w:rsidRDefault="005F3F45" w:rsidP="00971914">
          <w:pPr>
            <w:pStyle w:val="GridTable31"/>
          </w:pPr>
          <w:r>
            <w:t xml:space="preserve">Contents </w:t>
          </w:r>
          <w:r w:rsidRPr="00915B1C">
            <w:rPr>
              <w:b w:val="0"/>
              <w:spacing w:val="0"/>
              <w:sz w:val="28"/>
              <w:szCs w:val="28"/>
            </w:rPr>
            <w:t>(Continued)</w:t>
          </w:r>
        </w:p>
      </w:tc>
    </w:tr>
    <w:tr w:rsidR="005F3F45" w14:paraId="2E4AA4D0" w14:textId="77777777" w:rsidTr="00C14CD7">
      <w:trPr>
        <w:trHeight w:val="1220"/>
      </w:trPr>
      <w:tc>
        <w:tcPr>
          <w:tcW w:w="7678" w:type="dxa"/>
          <w:shd w:val="clear" w:color="auto" w:fill="auto"/>
        </w:tcPr>
        <w:p w14:paraId="0C9AEB89" w14:textId="77777777" w:rsidR="005F3F45" w:rsidRDefault="005F3F45" w:rsidP="00971914"/>
      </w:tc>
    </w:tr>
  </w:tbl>
  <w:p w14:paraId="00A18254" w14:textId="77777777" w:rsidR="005F3F45" w:rsidRPr="00A5474E" w:rsidRDefault="005F3F45"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26282" w14:textId="77777777" w:rsidR="005F3F45" w:rsidRDefault="005F3F45">
    <w:pPr>
      <w:pStyle w:val="Header"/>
    </w:pPr>
  </w:p>
  <w:p w14:paraId="7D457F8D" w14:textId="77777777" w:rsidR="005F3F45" w:rsidRDefault="005F3F4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5212" w14:textId="77777777" w:rsidR="005F3F45" w:rsidRDefault="005F3F45">
    <w:pPr>
      <w:pStyle w:val="Header"/>
    </w:pPr>
  </w:p>
  <w:p w14:paraId="12CCA3C3" w14:textId="77777777" w:rsidR="005F3F45" w:rsidRDefault="005F3F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51.75pt;height:32.25pt;visibility:visible;mso-wrap-style:square" o:bullet="t">
        <v:imagedata r:id="rId1" o:title="" croptop="15915f" cropbottom="20445f" cropleft="21717f" cropright="21898f"/>
      </v:shape>
    </w:pict>
  </w:numPicBullet>
  <w:abstractNum w:abstractNumId="0" w15:restartNumberingAfterBreak="0">
    <w:nsid w:val="FFFFFF1D"/>
    <w:multiLevelType w:val="multilevel"/>
    <w:tmpl w:val="26F28F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9ECE6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14A43A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12948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5" w15:restartNumberingAfterBreak="0">
    <w:nsid w:val="FFFFFF80"/>
    <w:multiLevelType w:val="singleLevel"/>
    <w:tmpl w:val="0FBE6B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9693F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BCA506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9"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10"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1" w15:restartNumberingAfterBreak="0">
    <w:nsid w:val="026504F6"/>
    <w:multiLevelType w:val="hybridMultilevel"/>
    <w:tmpl w:val="FC1C44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4B0EDC"/>
    <w:multiLevelType w:val="hybridMultilevel"/>
    <w:tmpl w:val="361E9DAA"/>
    <w:lvl w:ilvl="0" w:tplc="213C81A6">
      <w:start w:val="1"/>
      <w:numFmt w:val="bullet"/>
      <w:lvlText w:val="&gt;"/>
      <w:lvlJc w:val="left"/>
      <w:pPr>
        <w:ind w:left="720" w:hanging="360"/>
      </w:pPr>
      <w:rPr>
        <w:rFonts w:ascii="Arial" w:hAnsi="Arial" w:hint="default"/>
        <w:sz w:val="20"/>
        <w:szCs w:val="20"/>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086225"/>
    <w:multiLevelType w:val="multilevel"/>
    <w:tmpl w:val="6DA4AA8E"/>
    <w:lvl w:ilvl="0">
      <w:start w:val="1"/>
      <w:numFmt w:val="decimal"/>
      <w:lvlText w:val="Table %1:"/>
      <w:lvlJc w:val="left"/>
      <w:pPr>
        <w:tabs>
          <w:tab w:val="num" w:pos="1077"/>
        </w:tabs>
        <w:ind w:left="1077" w:hanging="107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1614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E4610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085A1216"/>
    <w:multiLevelType w:val="hybridMultilevel"/>
    <w:tmpl w:val="200A92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0B5A26DF"/>
    <w:multiLevelType w:val="multilevel"/>
    <w:tmpl w:val="CD886062"/>
    <w:lvl w:ilvl="0">
      <w:start w:val="1"/>
      <w:numFmt w:val="decimal"/>
      <w:lvlText w:val="Figure %1: "/>
      <w:lvlJc w:val="left"/>
      <w:pPr>
        <w:tabs>
          <w:tab w:val="num" w:pos="1077"/>
        </w:tabs>
        <w:ind w:left="1077" w:hanging="107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1255DAA"/>
    <w:multiLevelType w:val="multilevel"/>
    <w:tmpl w:val="71FE7796"/>
    <w:lvl w:ilvl="0">
      <w:start w:val="1"/>
      <w:numFmt w:val="decimal"/>
      <w:lvlText w:val="Figure %1:"/>
      <w:lvlJc w:val="left"/>
      <w:pPr>
        <w:tabs>
          <w:tab w:val="num" w:pos="720"/>
        </w:tabs>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3960800"/>
    <w:multiLevelType w:val="hybridMultilevel"/>
    <w:tmpl w:val="B43CDDBE"/>
    <w:lvl w:ilvl="0" w:tplc="691CE74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80360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BFB64A6"/>
    <w:multiLevelType w:val="multilevel"/>
    <w:tmpl w:val="926E14F2"/>
    <w:lvl w:ilvl="0">
      <w:start w:val="1"/>
      <w:numFmt w:val="decimal"/>
      <w:lvlText w:val="Figure %1:"/>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8" w15:restartNumberingAfterBreak="0">
    <w:nsid w:val="318748BA"/>
    <w:multiLevelType w:val="multilevel"/>
    <w:tmpl w:val="6FCC7C70"/>
    <w:lvl w:ilvl="0">
      <w:start w:val="1"/>
      <w:numFmt w:val="decimal"/>
      <w:lvlText w:val="Figure %1: "/>
      <w:lvlJc w:val="left"/>
      <w:pPr>
        <w:tabs>
          <w:tab w:val="num" w:pos="1134"/>
        </w:tabs>
        <w:ind w:left="1134" w:hanging="113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EA704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D2B31D5"/>
    <w:multiLevelType w:val="multilevel"/>
    <w:tmpl w:val="A4BA09CC"/>
    <w:lvl w:ilvl="0">
      <w:start w:val="1"/>
      <w:numFmt w:val="decimal"/>
      <w:lvlText w:val="Figur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8C3ECD"/>
    <w:multiLevelType w:val="multilevel"/>
    <w:tmpl w:val="9E92C28E"/>
    <w:lvl w:ilvl="0">
      <w:start w:val="1"/>
      <w:numFmt w:val="decimal"/>
      <w:lvlText w:val="Tabl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C2126C"/>
    <w:multiLevelType w:val="multilevel"/>
    <w:tmpl w:val="F1ACECC8"/>
    <w:lvl w:ilvl="0">
      <w:start w:val="1"/>
      <w:numFmt w:val="decimal"/>
      <w:lvlText w:val="Figure %1: "/>
      <w:lvlJc w:val="left"/>
      <w:pPr>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B9753D"/>
    <w:multiLevelType w:val="hybridMultilevel"/>
    <w:tmpl w:val="1DB02894"/>
    <w:lvl w:ilvl="0" w:tplc="D346C5E0">
      <w:start w:val="1"/>
      <w:numFmt w:val="decimal"/>
      <w:pStyle w:val="questionstyle"/>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1670A"/>
    <w:multiLevelType w:val="multilevel"/>
    <w:tmpl w:val="4FD29F6E"/>
    <w:lvl w:ilvl="0">
      <w:start w:val="1"/>
      <w:numFmt w:val="decimal"/>
      <w:lvlText w:val="Tabl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37138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34313C5"/>
    <w:multiLevelType w:val="multilevel"/>
    <w:tmpl w:val="03DA421E"/>
    <w:lvl w:ilvl="0">
      <w:start w:val="1"/>
      <w:numFmt w:val="decimal"/>
      <w:lvlText w:val="Table %1:"/>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7A716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7C935E7"/>
    <w:multiLevelType w:val="singleLevel"/>
    <w:tmpl w:val="07548C3C"/>
    <w:lvl w:ilvl="0">
      <w:start w:val="1"/>
      <w:numFmt w:val="lowerLetter"/>
      <w:lvlText w:val="(%1)"/>
      <w:lvlJc w:val="left"/>
      <w:pPr>
        <w:ind w:left="720" w:hanging="360"/>
      </w:pPr>
      <w:rPr>
        <w:rFonts w:hint="default"/>
      </w:rPr>
    </w:lvl>
  </w:abstractNum>
  <w:abstractNum w:abstractNumId="47" w15:restartNumberingAfterBreak="0">
    <w:nsid w:val="7D370812"/>
    <w:multiLevelType w:val="multilevel"/>
    <w:tmpl w:val="D3A27096"/>
    <w:lvl w:ilvl="0">
      <w:start w:val="1"/>
      <w:numFmt w:val="decimal"/>
      <w:lvlText w:val="Tab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EBB3307"/>
    <w:multiLevelType w:val="multilevel"/>
    <w:tmpl w:val="6EF41126"/>
    <w:lvl w:ilvl="0">
      <w:start w:val="1"/>
      <w:numFmt w:val="decimal"/>
      <w:lvlText w:val="Figure %1: "/>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7F7D24C2"/>
    <w:multiLevelType w:val="hybridMultilevel"/>
    <w:tmpl w:val="CCF6873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42"/>
  </w:num>
  <w:num w:numId="12">
    <w:abstractNumId w:val="25"/>
  </w:num>
  <w:num w:numId="13">
    <w:abstractNumId w:val="30"/>
  </w:num>
  <w:num w:numId="14">
    <w:abstractNumId w:val="20"/>
  </w:num>
  <w:num w:numId="15">
    <w:abstractNumId w:val="23"/>
  </w:num>
  <w:num w:numId="16">
    <w:abstractNumId w:val="49"/>
  </w:num>
  <w:num w:numId="17">
    <w:abstractNumId w:val="44"/>
  </w:num>
  <w:num w:numId="18">
    <w:abstractNumId w:val="33"/>
  </w:num>
  <w:num w:numId="19">
    <w:abstractNumId w:val="13"/>
  </w:num>
  <w:num w:numId="20">
    <w:abstractNumId w:val="0"/>
  </w:num>
  <w:num w:numId="21">
    <w:abstractNumId w:val="15"/>
  </w:num>
  <w:num w:numId="22">
    <w:abstractNumId w:val="27"/>
  </w:num>
  <w:num w:numId="23">
    <w:abstractNumId w:val="24"/>
  </w:num>
  <w:num w:numId="24">
    <w:abstractNumId w:val="38"/>
  </w:num>
  <w:num w:numId="25">
    <w:abstractNumId w:val="47"/>
  </w:num>
  <w:num w:numId="26">
    <w:abstractNumId w:val="32"/>
  </w:num>
  <w:num w:numId="27">
    <w:abstractNumId w:val="34"/>
  </w:num>
  <w:num w:numId="28">
    <w:abstractNumId w:val="31"/>
  </w:num>
  <w:num w:numId="29">
    <w:abstractNumId w:val="21"/>
  </w:num>
  <w:num w:numId="30">
    <w:abstractNumId w:val="26"/>
  </w:num>
  <w:num w:numId="31">
    <w:abstractNumId w:val="35"/>
  </w:num>
  <w:num w:numId="32">
    <w:abstractNumId w:val="48"/>
  </w:num>
  <w:num w:numId="33">
    <w:abstractNumId w:val="28"/>
  </w:num>
  <w:num w:numId="34">
    <w:abstractNumId w:val="40"/>
  </w:num>
  <w:num w:numId="35">
    <w:abstractNumId w:val="19"/>
  </w:num>
  <w:num w:numId="36">
    <w:abstractNumId w:val="14"/>
  </w:num>
  <w:num w:numId="37">
    <w:abstractNumId w:val="16"/>
  </w:num>
  <w:num w:numId="38">
    <w:abstractNumId w:val="41"/>
  </w:num>
  <w:num w:numId="39">
    <w:abstractNumId w:val="29"/>
  </w:num>
  <w:num w:numId="40">
    <w:abstractNumId w:val="37"/>
  </w:num>
  <w:num w:numId="41">
    <w:abstractNumId w:val="43"/>
  </w:num>
  <w:num w:numId="42">
    <w:abstractNumId w:val="45"/>
  </w:num>
  <w:num w:numId="43">
    <w:abstractNumId w:val="39"/>
  </w:num>
  <w:num w:numId="44">
    <w:abstractNumId w:val="18"/>
  </w:num>
  <w:num w:numId="45">
    <w:abstractNumId w:val="12"/>
  </w:num>
  <w:num w:numId="46">
    <w:abstractNumId w:val="11"/>
  </w:num>
  <w:num w:numId="47">
    <w:abstractNumId w:val="10"/>
  </w:num>
  <w:num w:numId="48">
    <w:abstractNumId w:val="10"/>
  </w:num>
  <w:num w:numId="49">
    <w:abstractNumId w:val="9"/>
    <w:lvlOverride w:ilvl="0">
      <w:startOverride w:val="1"/>
    </w:lvlOverride>
  </w:num>
  <w:num w:numId="50">
    <w:abstractNumId w:val="22"/>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 w:numId="53">
    <w:abstractNumId w:val="9"/>
    <w:lvlOverride w:ilvl="0">
      <w:startOverride w:val="1"/>
    </w:lvlOverride>
  </w:num>
  <w:num w:numId="54">
    <w:abstractNumId w:val="17"/>
  </w:num>
  <w:num w:numId="55">
    <w:abstractNumId w:val="50"/>
  </w:num>
  <w:num w:numId="5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01"/>
    <w:rsid w:val="00010667"/>
    <w:rsid w:val="000129D5"/>
    <w:rsid w:val="00015AE7"/>
    <w:rsid w:val="00016E21"/>
    <w:rsid w:val="0001719C"/>
    <w:rsid w:val="0002224E"/>
    <w:rsid w:val="000245E5"/>
    <w:rsid w:val="00026F91"/>
    <w:rsid w:val="0004764C"/>
    <w:rsid w:val="0005011A"/>
    <w:rsid w:val="0005045A"/>
    <w:rsid w:val="00051C1E"/>
    <w:rsid w:val="000539F9"/>
    <w:rsid w:val="00054C27"/>
    <w:rsid w:val="00055EC3"/>
    <w:rsid w:val="000563CE"/>
    <w:rsid w:val="000606E4"/>
    <w:rsid w:val="000610AE"/>
    <w:rsid w:val="000659B6"/>
    <w:rsid w:val="0006686F"/>
    <w:rsid w:val="0006722A"/>
    <w:rsid w:val="000732CF"/>
    <w:rsid w:val="00075B96"/>
    <w:rsid w:val="0008196A"/>
    <w:rsid w:val="000915ED"/>
    <w:rsid w:val="0009209D"/>
    <w:rsid w:val="000969BD"/>
    <w:rsid w:val="000969BF"/>
    <w:rsid w:val="000A0C22"/>
    <w:rsid w:val="000A1400"/>
    <w:rsid w:val="000A3C43"/>
    <w:rsid w:val="000A4A51"/>
    <w:rsid w:val="000A5D2B"/>
    <w:rsid w:val="000A60C3"/>
    <w:rsid w:val="000B5DE3"/>
    <w:rsid w:val="000C0A57"/>
    <w:rsid w:val="000C230C"/>
    <w:rsid w:val="000C6AB4"/>
    <w:rsid w:val="000C72F2"/>
    <w:rsid w:val="000D5A39"/>
    <w:rsid w:val="000D71D9"/>
    <w:rsid w:val="000D76E0"/>
    <w:rsid w:val="000D7E8B"/>
    <w:rsid w:val="000E4449"/>
    <w:rsid w:val="000E603B"/>
    <w:rsid w:val="000E6097"/>
    <w:rsid w:val="00103829"/>
    <w:rsid w:val="00103C49"/>
    <w:rsid w:val="00111FCE"/>
    <w:rsid w:val="001229A5"/>
    <w:rsid w:val="0012489B"/>
    <w:rsid w:val="00130017"/>
    <w:rsid w:val="00130F91"/>
    <w:rsid w:val="001349ED"/>
    <w:rsid w:val="00135F7E"/>
    <w:rsid w:val="00137424"/>
    <w:rsid w:val="00140318"/>
    <w:rsid w:val="00141AD9"/>
    <w:rsid w:val="00146CE6"/>
    <w:rsid w:val="00152903"/>
    <w:rsid w:val="00153FD5"/>
    <w:rsid w:val="0015614F"/>
    <w:rsid w:val="001577C2"/>
    <w:rsid w:val="00162F33"/>
    <w:rsid w:val="001633C4"/>
    <w:rsid w:val="00164CD9"/>
    <w:rsid w:val="001704D5"/>
    <w:rsid w:val="00171591"/>
    <w:rsid w:val="00173981"/>
    <w:rsid w:val="0017719D"/>
    <w:rsid w:val="00183FD7"/>
    <w:rsid w:val="00185CAB"/>
    <w:rsid w:val="001875B7"/>
    <w:rsid w:val="00187CB3"/>
    <w:rsid w:val="0019050A"/>
    <w:rsid w:val="001910D4"/>
    <w:rsid w:val="00192327"/>
    <w:rsid w:val="001976E3"/>
    <w:rsid w:val="001A44EC"/>
    <w:rsid w:val="001A5ABD"/>
    <w:rsid w:val="001A7612"/>
    <w:rsid w:val="001B58AA"/>
    <w:rsid w:val="001B7E48"/>
    <w:rsid w:val="001C17CE"/>
    <w:rsid w:val="001C36CA"/>
    <w:rsid w:val="001C44D1"/>
    <w:rsid w:val="001C6AEE"/>
    <w:rsid w:val="001C7630"/>
    <w:rsid w:val="001D2C14"/>
    <w:rsid w:val="001D6D15"/>
    <w:rsid w:val="001E2EA3"/>
    <w:rsid w:val="001F7558"/>
    <w:rsid w:val="00205B57"/>
    <w:rsid w:val="002157E0"/>
    <w:rsid w:val="00216A57"/>
    <w:rsid w:val="0022334F"/>
    <w:rsid w:val="00225EA7"/>
    <w:rsid w:val="00226819"/>
    <w:rsid w:val="00227158"/>
    <w:rsid w:val="00227511"/>
    <w:rsid w:val="00233101"/>
    <w:rsid w:val="00233817"/>
    <w:rsid w:val="002367FF"/>
    <w:rsid w:val="00240CE9"/>
    <w:rsid w:val="002434BA"/>
    <w:rsid w:val="00246089"/>
    <w:rsid w:val="00246093"/>
    <w:rsid w:val="00246554"/>
    <w:rsid w:val="00246702"/>
    <w:rsid w:val="00247C59"/>
    <w:rsid w:val="00247F2E"/>
    <w:rsid w:val="00250ADC"/>
    <w:rsid w:val="00250B07"/>
    <w:rsid w:val="00257553"/>
    <w:rsid w:val="00260FB2"/>
    <w:rsid w:val="00262128"/>
    <w:rsid w:val="002674AD"/>
    <w:rsid w:val="0027165D"/>
    <w:rsid w:val="00273CEB"/>
    <w:rsid w:val="00273DA6"/>
    <w:rsid w:val="00281C89"/>
    <w:rsid w:val="0028282F"/>
    <w:rsid w:val="00284EED"/>
    <w:rsid w:val="0029551E"/>
    <w:rsid w:val="0029593B"/>
    <w:rsid w:val="00297FC5"/>
    <w:rsid w:val="002A0417"/>
    <w:rsid w:val="002A10A7"/>
    <w:rsid w:val="002A16D8"/>
    <w:rsid w:val="002A1BC8"/>
    <w:rsid w:val="002A3EF2"/>
    <w:rsid w:val="002B0DED"/>
    <w:rsid w:val="002B19A2"/>
    <w:rsid w:val="002B381A"/>
    <w:rsid w:val="002B4FCC"/>
    <w:rsid w:val="002B7408"/>
    <w:rsid w:val="002B7CFD"/>
    <w:rsid w:val="002C210F"/>
    <w:rsid w:val="002D3600"/>
    <w:rsid w:val="002D4F6E"/>
    <w:rsid w:val="002E4DDC"/>
    <w:rsid w:val="002F3EE7"/>
    <w:rsid w:val="002F49D6"/>
    <w:rsid w:val="00302480"/>
    <w:rsid w:val="00304566"/>
    <w:rsid w:val="00314703"/>
    <w:rsid w:val="0031555C"/>
    <w:rsid w:val="003165E6"/>
    <w:rsid w:val="003215B5"/>
    <w:rsid w:val="003221CF"/>
    <w:rsid w:val="003233ED"/>
    <w:rsid w:val="00324D9F"/>
    <w:rsid w:val="00327948"/>
    <w:rsid w:val="0033000F"/>
    <w:rsid w:val="00332011"/>
    <w:rsid w:val="00332518"/>
    <w:rsid w:val="00332925"/>
    <w:rsid w:val="003332ED"/>
    <w:rsid w:val="003368DC"/>
    <w:rsid w:val="00345927"/>
    <w:rsid w:val="00350114"/>
    <w:rsid w:val="00350584"/>
    <w:rsid w:val="00351857"/>
    <w:rsid w:val="003545E8"/>
    <w:rsid w:val="003610E1"/>
    <w:rsid w:val="00361F77"/>
    <w:rsid w:val="00366155"/>
    <w:rsid w:val="003671BE"/>
    <w:rsid w:val="00367A4D"/>
    <w:rsid w:val="00372485"/>
    <w:rsid w:val="00373200"/>
    <w:rsid w:val="00375EF5"/>
    <w:rsid w:val="003767A5"/>
    <w:rsid w:val="00381D15"/>
    <w:rsid w:val="00384E3E"/>
    <w:rsid w:val="00385254"/>
    <w:rsid w:val="003A04DB"/>
    <w:rsid w:val="003A27EE"/>
    <w:rsid w:val="003A54BB"/>
    <w:rsid w:val="003A5F5B"/>
    <w:rsid w:val="003A721D"/>
    <w:rsid w:val="003A789A"/>
    <w:rsid w:val="003B12EC"/>
    <w:rsid w:val="003C77E0"/>
    <w:rsid w:val="003D17D7"/>
    <w:rsid w:val="003D2678"/>
    <w:rsid w:val="003D71A3"/>
    <w:rsid w:val="003E2B8A"/>
    <w:rsid w:val="003E4804"/>
    <w:rsid w:val="003F10EE"/>
    <w:rsid w:val="003F16F6"/>
    <w:rsid w:val="003F4034"/>
    <w:rsid w:val="003F4DC7"/>
    <w:rsid w:val="003F5235"/>
    <w:rsid w:val="004027E4"/>
    <w:rsid w:val="0041071D"/>
    <w:rsid w:val="00414AFC"/>
    <w:rsid w:val="004150AC"/>
    <w:rsid w:val="004151A7"/>
    <w:rsid w:val="00415310"/>
    <w:rsid w:val="00421709"/>
    <w:rsid w:val="00423763"/>
    <w:rsid w:val="0042618D"/>
    <w:rsid w:val="0042762F"/>
    <w:rsid w:val="00427DC7"/>
    <w:rsid w:val="00431613"/>
    <w:rsid w:val="00431792"/>
    <w:rsid w:val="0043297A"/>
    <w:rsid w:val="00432EB2"/>
    <w:rsid w:val="0043714F"/>
    <w:rsid w:val="004438B5"/>
    <w:rsid w:val="00445357"/>
    <w:rsid w:val="00447037"/>
    <w:rsid w:val="0045124D"/>
    <w:rsid w:val="00454596"/>
    <w:rsid w:val="0045605D"/>
    <w:rsid w:val="0046135B"/>
    <w:rsid w:val="00461D47"/>
    <w:rsid w:val="004718CC"/>
    <w:rsid w:val="00481695"/>
    <w:rsid w:val="00490D42"/>
    <w:rsid w:val="004955A4"/>
    <w:rsid w:val="00495A96"/>
    <w:rsid w:val="00495BB3"/>
    <w:rsid w:val="004A56BB"/>
    <w:rsid w:val="004B1751"/>
    <w:rsid w:val="004B1E82"/>
    <w:rsid w:val="004C0253"/>
    <w:rsid w:val="004C4413"/>
    <w:rsid w:val="004D56FF"/>
    <w:rsid w:val="004E1EC7"/>
    <w:rsid w:val="004E39D3"/>
    <w:rsid w:val="004E508A"/>
    <w:rsid w:val="004E616D"/>
    <w:rsid w:val="004F1BDE"/>
    <w:rsid w:val="004F2CEE"/>
    <w:rsid w:val="004F2EB1"/>
    <w:rsid w:val="004F556E"/>
    <w:rsid w:val="004F591C"/>
    <w:rsid w:val="004F7586"/>
    <w:rsid w:val="004F7F44"/>
    <w:rsid w:val="005037B4"/>
    <w:rsid w:val="005079BF"/>
    <w:rsid w:val="0051269A"/>
    <w:rsid w:val="005219E7"/>
    <w:rsid w:val="00531B9A"/>
    <w:rsid w:val="00531D15"/>
    <w:rsid w:val="00537604"/>
    <w:rsid w:val="00542377"/>
    <w:rsid w:val="005476EB"/>
    <w:rsid w:val="00551782"/>
    <w:rsid w:val="00561D1F"/>
    <w:rsid w:val="00563EF1"/>
    <w:rsid w:val="00566AB4"/>
    <w:rsid w:val="00575AC5"/>
    <w:rsid w:val="0057605D"/>
    <w:rsid w:val="00576A14"/>
    <w:rsid w:val="00581347"/>
    <w:rsid w:val="00581AC9"/>
    <w:rsid w:val="005849F8"/>
    <w:rsid w:val="0058565E"/>
    <w:rsid w:val="00585A42"/>
    <w:rsid w:val="0059006D"/>
    <w:rsid w:val="005938DF"/>
    <w:rsid w:val="00594E9C"/>
    <w:rsid w:val="005A099B"/>
    <w:rsid w:val="005A2D9C"/>
    <w:rsid w:val="005A55FE"/>
    <w:rsid w:val="005A6A11"/>
    <w:rsid w:val="005D1FDF"/>
    <w:rsid w:val="005D2502"/>
    <w:rsid w:val="005D40BB"/>
    <w:rsid w:val="005D47F3"/>
    <w:rsid w:val="005D49BF"/>
    <w:rsid w:val="005D4AA5"/>
    <w:rsid w:val="005D6F4E"/>
    <w:rsid w:val="005D7C73"/>
    <w:rsid w:val="005E3ACD"/>
    <w:rsid w:val="005E6B3F"/>
    <w:rsid w:val="005E7226"/>
    <w:rsid w:val="005E7A57"/>
    <w:rsid w:val="005F24B0"/>
    <w:rsid w:val="005F3F45"/>
    <w:rsid w:val="00604315"/>
    <w:rsid w:val="00604E26"/>
    <w:rsid w:val="006052CF"/>
    <w:rsid w:val="00607B8D"/>
    <w:rsid w:val="00611F5C"/>
    <w:rsid w:val="00616E09"/>
    <w:rsid w:val="00622A3B"/>
    <w:rsid w:val="00622EEA"/>
    <w:rsid w:val="0062396C"/>
    <w:rsid w:val="00623FF9"/>
    <w:rsid w:val="00627D4E"/>
    <w:rsid w:val="006310FA"/>
    <w:rsid w:val="00632B89"/>
    <w:rsid w:val="00634478"/>
    <w:rsid w:val="00644373"/>
    <w:rsid w:val="00645915"/>
    <w:rsid w:val="006500E0"/>
    <w:rsid w:val="006519C3"/>
    <w:rsid w:val="00652B30"/>
    <w:rsid w:val="00656345"/>
    <w:rsid w:val="00656DC6"/>
    <w:rsid w:val="00660EC6"/>
    <w:rsid w:val="00661F98"/>
    <w:rsid w:val="00664110"/>
    <w:rsid w:val="00664D17"/>
    <w:rsid w:val="00666520"/>
    <w:rsid w:val="00667C5B"/>
    <w:rsid w:val="006835DA"/>
    <w:rsid w:val="00684E47"/>
    <w:rsid w:val="00691EB8"/>
    <w:rsid w:val="00692CDE"/>
    <w:rsid w:val="00693073"/>
    <w:rsid w:val="006969D8"/>
    <w:rsid w:val="006977FF"/>
    <w:rsid w:val="006A01FA"/>
    <w:rsid w:val="006A0E9E"/>
    <w:rsid w:val="006A25C7"/>
    <w:rsid w:val="006A4AAD"/>
    <w:rsid w:val="006A6DA2"/>
    <w:rsid w:val="006A7AB2"/>
    <w:rsid w:val="006B5717"/>
    <w:rsid w:val="006B582F"/>
    <w:rsid w:val="006B5EB2"/>
    <w:rsid w:val="006C0CEB"/>
    <w:rsid w:val="006C1631"/>
    <w:rsid w:val="006C3B1E"/>
    <w:rsid w:val="006C47FD"/>
    <w:rsid w:val="006C5C19"/>
    <w:rsid w:val="006C70A0"/>
    <w:rsid w:val="006D27CB"/>
    <w:rsid w:val="006D2F08"/>
    <w:rsid w:val="006D576C"/>
    <w:rsid w:val="006D5865"/>
    <w:rsid w:val="006E4B1B"/>
    <w:rsid w:val="006E5445"/>
    <w:rsid w:val="006E7D93"/>
    <w:rsid w:val="007029A3"/>
    <w:rsid w:val="00706E4E"/>
    <w:rsid w:val="0070791C"/>
    <w:rsid w:val="00707CF8"/>
    <w:rsid w:val="0071383C"/>
    <w:rsid w:val="007141A7"/>
    <w:rsid w:val="00715722"/>
    <w:rsid w:val="00721032"/>
    <w:rsid w:val="00721B55"/>
    <w:rsid w:val="00726CE4"/>
    <w:rsid w:val="00730433"/>
    <w:rsid w:val="00734143"/>
    <w:rsid w:val="00737E47"/>
    <w:rsid w:val="00740EAC"/>
    <w:rsid w:val="00744956"/>
    <w:rsid w:val="00745A5C"/>
    <w:rsid w:val="0074605F"/>
    <w:rsid w:val="00747538"/>
    <w:rsid w:val="00747E94"/>
    <w:rsid w:val="00754C83"/>
    <w:rsid w:val="00761E5C"/>
    <w:rsid w:val="00765DF8"/>
    <w:rsid w:val="00766749"/>
    <w:rsid w:val="00767C1B"/>
    <w:rsid w:val="007714A9"/>
    <w:rsid w:val="00773A8F"/>
    <w:rsid w:val="00774F88"/>
    <w:rsid w:val="00774FDB"/>
    <w:rsid w:val="00777BA2"/>
    <w:rsid w:val="00781408"/>
    <w:rsid w:val="00784F7F"/>
    <w:rsid w:val="007878BD"/>
    <w:rsid w:val="00796F25"/>
    <w:rsid w:val="007A2E98"/>
    <w:rsid w:val="007A3BA3"/>
    <w:rsid w:val="007A5F73"/>
    <w:rsid w:val="007A6CC0"/>
    <w:rsid w:val="007A7FEC"/>
    <w:rsid w:val="007B1499"/>
    <w:rsid w:val="007B1BBF"/>
    <w:rsid w:val="007B2960"/>
    <w:rsid w:val="007B355D"/>
    <w:rsid w:val="007B7980"/>
    <w:rsid w:val="007C088F"/>
    <w:rsid w:val="007C0DEF"/>
    <w:rsid w:val="007C4626"/>
    <w:rsid w:val="007C5D5A"/>
    <w:rsid w:val="007C607F"/>
    <w:rsid w:val="007C79DD"/>
    <w:rsid w:val="007D1A97"/>
    <w:rsid w:val="007D2CD6"/>
    <w:rsid w:val="007D3063"/>
    <w:rsid w:val="007D3B91"/>
    <w:rsid w:val="007D3CEB"/>
    <w:rsid w:val="007E7683"/>
    <w:rsid w:val="007F224A"/>
    <w:rsid w:val="007F242A"/>
    <w:rsid w:val="007F49FA"/>
    <w:rsid w:val="007F54C4"/>
    <w:rsid w:val="007F56FE"/>
    <w:rsid w:val="007F6E9A"/>
    <w:rsid w:val="008044D4"/>
    <w:rsid w:val="00807313"/>
    <w:rsid w:val="00810AB4"/>
    <w:rsid w:val="00817B56"/>
    <w:rsid w:val="00821A88"/>
    <w:rsid w:val="0082495D"/>
    <w:rsid w:val="00831AC3"/>
    <w:rsid w:val="00835429"/>
    <w:rsid w:val="008356C5"/>
    <w:rsid w:val="00837536"/>
    <w:rsid w:val="008408FF"/>
    <w:rsid w:val="008471C7"/>
    <w:rsid w:val="00847342"/>
    <w:rsid w:val="00851F3F"/>
    <w:rsid w:val="00852F42"/>
    <w:rsid w:val="00856EDC"/>
    <w:rsid w:val="008623B5"/>
    <w:rsid w:val="00870ABA"/>
    <w:rsid w:val="008710E1"/>
    <w:rsid w:val="008716E5"/>
    <w:rsid w:val="0087637D"/>
    <w:rsid w:val="00881CA9"/>
    <w:rsid w:val="00883628"/>
    <w:rsid w:val="00885544"/>
    <w:rsid w:val="0088634E"/>
    <w:rsid w:val="00893AB8"/>
    <w:rsid w:val="008A04C8"/>
    <w:rsid w:val="008A2BAE"/>
    <w:rsid w:val="008A608B"/>
    <w:rsid w:val="008A6913"/>
    <w:rsid w:val="008B70F3"/>
    <w:rsid w:val="008B71C4"/>
    <w:rsid w:val="008B76DF"/>
    <w:rsid w:val="008C10F4"/>
    <w:rsid w:val="008C65F7"/>
    <w:rsid w:val="008D52F6"/>
    <w:rsid w:val="008D5A98"/>
    <w:rsid w:val="008E4767"/>
    <w:rsid w:val="008E7A8C"/>
    <w:rsid w:val="00903285"/>
    <w:rsid w:val="009040B5"/>
    <w:rsid w:val="00906F40"/>
    <w:rsid w:val="0090731E"/>
    <w:rsid w:val="00915B1C"/>
    <w:rsid w:val="009174F3"/>
    <w:rsid w:val="0091797D"/>
    <w:rsid w:val="00923CBA"/>
    <w:rsid w:val="00926703"/>
    <w:rsid w:val="00927691"/>
    <w:rsid w:val="00927A5F"/>
    <w:rsid w:val="00935B63"/>
    <w:rsid w:val="0094078F"/>
    <w:rsid w:val="00940FA3"/>
    <w:rsid w:val="00941FB0"/>
    <w:rsid w:val="009426D4"/>
    <w:rsid w:val="00945DE1"/>
    <w:rsid w:val="00947F25"/>
    <w:rsid w:val="00950159"/>
    <w:rsid w:val="0095490B"/>
    <w:rsid w:val="00960A33"/>
    <w:rsid w:val="00971914"/>
    <w:rsid w:val="00974363"/>
    <w:rsid w:val="00981898"/>
    <w:rsid w:val="0099577C"/>
    <w:rsid w:val="009B2601"/>
    <w:rsid w:val="009B4E9E"/>
    <w:rsid w:val="009C03AA"/>
    <w:rsid w:val="009C1690"/>
    <w:rsid w:val="009C6881"/>
    <w:rsid w:val="009C7759"/>
    <w:rsid w:val="009D043D"/>
    <w:rsid w:val="009D07C8"/>
    <w:rsid w:val="009D6C71"/>
    <w:rsid w:val="009E0631"/>
    <w:rsid w:val="009E16D0"/>
    <w:rsid w:val="009E38FD"/>
    <w:rsid w:val="009F13D6"/>
    <w:rsid w:val="009F29DF"/>
    <w:rsid w:val="009F4C6B"/>
    <w:rsid w:val="009F78A8"/>
    <w:rsid w:val="00A02AD6"/>
    <w:rsid w:val="00A07096"/>
    <w:rsid w:val="00A07318"/>
    <w:rsid w:val="00A11370"/>
    <w:rsid w:val="00A224CE"/>
    <w:rsid w:val="00A22522"/>
    <w:rsid w:val="00A24AFD"/>
    <w:rsid w:val="00A24F5C"/>
    <w:rsid w:val="00A32C59"/>
    <w:rsid w:val="00A32F96"/>
    <w:rsid w:val="00A34F31"/>
    <w:rsid w:val="00A40871"/>
    <w:rsid w:val="00A412AB"/>
    <w:rsid w:val="00A4193E"/>
    <w:rsid w:val="00A440E0"/>
    <w:rsid w:val="00A442EF"/>
    <w:rsid w:val="00A44F1A"/>
    <w:rsid w:val="00A51D1A"/>
    <w:rsid w:val="00A5418D"/>
    <w:rsid w:val="00A5474E"/>
    <w:rsid w:val="00A56F68"/>
    <w:rsid w:val="00A64234"/>
    <w:rsid w:val="00A70ADF"/>
    <w:rsid w:val="00A71466"/>
    <w:rsid w:val="00A74B5E"/>
    <w:rsid w:val="00A81BED"/>
    <w:rsid w:val="00A81EC4"/>
    <w:rsid w:val="00A943A3"/>
    <w:rsid w:val="00A967FD"/>
    <w:rsid w:val="00AA2DE5"/>
    <w:rsid w:val="00AB156C"/>
    <w:rsid w:val="00AB36E5"/>
    <w:rsid w:val="00AB6814"/>
    <w:rsid w:val="00AC04BA"/>
    <w:rsid w:val="00AC0E39"/>
    <w:rsid w:val="00AC3A25"/>
    <w:rsid w:val="00AD2273"/>
    <w:rsid w:val="00AD3082"/>
    <w:rsid w:val="00AD32B4"/>
    <w:rsid w:val="00AD37AC"/>
    <w:rsid w:val="00AD3D15"/>
    <w:rsid w:val="00AD4AD0"/>
    <w:rsid w:val="00AD5436"/>
    <w:rsid w:val="00AD60BE"/>
    <w:rsid w:val="00AD60CD"/>
    <w:rsid w:val="00AD6C8C"/>
    <w:rsid w:val="00AE091D"/>
    <w:rsid w:val="00AE3B60"/>
    <w:rsid w:val="00AE53A1"/>
    <w:rsid w:val="00AF2484"/>
    <w:rsid w:val="00AF63E7"/>
    <w:rsid w:val="00AF6E17"/>
    <w:rsid w:val="00B0165D"/>
    <w:rsid w:val="00B01B60"/>
    <w:rsid w:val="00B031F3"/>
    <w:rsid w:val="00B052A4"/>
    <w:rsid w:val="00B125DE"/>
    <w:rsid w:val="00B13FDD"/>
    <w:rsid w:val="00B145E7"/>
    <w:rsid w:val="00B22EB2"/>
    <w:rsid w:val="00B24E92"/>
    <w:rsid w:val="00B27442"/>
    <w:rsid w:val="00B31167"/>
    <w:rsid w:val="00B329D8"/>
    <w:rsid w:val="00B32BB9"/>
    <w:rsid w:val="00B33AE1"/>
    <w:rsid w:val="00B37C38"/>
    <w:rsid w:val="00B4288C"/>
    <w:rsid w:val="00B43262"/>
    <w:rsid w:val="00B44100"/>
    <w:rsid w:val="00B46CBA"/>
    <w:rsid w:val="00B46F94"/>
    <w:rsid w:val="00B6003C"/>
    <w:rsid w:val="00B61F03"/>
    <w:rsid w:val="00B626E4"/>
    <w:rsid w:val="00B7231D"/>
    <w:rsid w:val="00B72F4A"/>
    <w:rsid w:val="00B80679"/>
    <w:rsid w:val="00B83C27"/>
    <w:rsid w:val="00B84BC3"/>
    <w:rsid w:val="00B84BDD"/>
    <w:rsid w:val="00B92812"/>
    <w:rsid w:val="00BB1CA0"/>
    <w:rsid w:val="00BB45A1"/>
    <w:rsid w:val="00BB66EA"/>
    <w:rsid w:val="00BB7686"/>
    <w:rsid w:val="00BC23F9"/>
    <w:rsid w:val="00BC3421"/>
    <w:rsid w:val="00BC50F4"/>
    <w:rsid w:val="00BC732C"/>
    <w:rsid w:val="00BD060E"/>
    <w:rsid w:val="00BD6BC2"/>
    <w:rsid w:val="00BE2580"/>
    <w:rsid w:val="00BE266D"/>
    <w:rsid w:val="00BE3938"/>
    <w:rsid w:val="00BE4C11"/>
    <w:rsid w:val="00BE71C0"/>
    <w:rsid w:val="00BF610C"/>
    <w:rsid w:val="00C0060B"/>
    <w:rsid w:val="00C0277D"/>
    <w:rsid w:val="00C053A1"/>
    <w:rsid w:val="00C14CD7"/>
    <w:rsid w:val="00C16198"/>
    <w:rsid w:val="00C2083D"/>
    <w:rsid w:val="00C24A53"/>
    <w:rsid w:val="00C34A05"/>
    <w:rsid w:val="00C4032F"/>
    <w:rsid w:val="00C44047"/>
    <w:rsid w:val="00C45155"/>
    <w:rsid w:val="00C5498F"/>
    <w:rsid w:val="00C55235"/>
    <w:rsid w:val="00C64CD0"/>
    <w:rsid w:val="00C6684F"/>
    <w:rsid w:val="00C70E70"/>
    <w:rsid w:val="00C72501"/>
    <w:rsid w:val="00C75F8D"/>
    <w:rsid w:val="00C77380"/>
    <w:rsid w:val="00C97736"/>
    <w:rsid w:val="00CA345A"/>
    <w:rsid w:val="00CB1E82"/>
    <w:rsid w:val="00CB4BA8"/>
    <w:rsid w:val="00CB52D7"/>
    <w:rsid w:val="00CC6732"/>
    <w:rsid w:val="00CD25CF"/>
    <w:rsid w:val="00CE3C96"/>
    <w:rsid w:val="00CE51A8"/>
    <w:rsid w:val="00CF369B"/>
    <w:rsid w:val="00D00E28"/>
    <w:rsid w:val="00D0269E"/>
    <w:rsid w:val="00D05D6C"/>
    <w:rsid w:val="00D15810"/>
    <w:rsid w:val="00D16D4E"/>
    <w:rsid w:val="00D16FE3"/>
    <w:rsid w:val="00D22DEB"/>
    <w:rsid w:val="00D25EB9"/>
    <w:rsid w:val="00D27F41"/>
    <w:rsid w:val="00D36441"/>
    <w:rsid w:val="00D4064E"/>
    <w:rsid w:val="00D44E9B"/>
    <w:rsid w:val="00D4691B"/>
    <w:rsid w:val="00D47AEB"/>
    <w:rsid w:val="00D50DB9"/>
    <w:rsid w:val="00D51302"/>
    <w:rsid w:val="00D52C43"/>
    <w:rsid w:val="00D6507F"/>
    <w:rsid w:val="00D70E74"/>
    <w:rsid w:val="00D730BC"/>
    <w:rsid w:val="00D73912"/>
    <w:rsid w:val="00D8493C"/>
    <w:rsid w:val="00D85226"/>
    <w:rsid w:val="00D87B94"/>
    <w:rsid w:val="00D92D49"/>
    <w:rsid w:val="00D92EC1"/>
    <w:rsid w:val="00D96DEA"/>
    <w:rsid w:val="00DA4E41"/>
    <w:rsid w:val="00DB117A"/>
    <w:rsid w:val="00DB5173"/>
    <w:rsid w:val="00DB7873"/>
    <w:rsid w:val="00DC187B"/>
    <w:rsid w:val="00DD1A43"/>
    <w:rsid w:val="00DD6293"/>
    <w:rsid w:val="00DD73C2"/>
    <w:rsid w:val="00DE319B"/>
    <w:rsid w:val="00DF34FE"/>
    <w:rsid w:val="00DF56AA"/>
    <w:rsid w:val="00DF56AF"/>
    <w:rsid w:val="00DF78E7"/>
    <w:rsid w:val="00E110E0"/>
    <w:rsid w:val="00E137AA"/>
    <w:rsid w:val="00E15371"/>
    <w:rsid w:val="00E15E3A"/>
    <w:rsid w:val="00E15F01"/>
    <w:rsid w:val="00E2112F"/>
    <w:rsid w:val="00E24104"/>
    <w:rsid w:val="00E27700"/>
    <w:rsid w:val="00E302D0"/>
    <w:rsid w:val="00E35707"/>
    <w:rsid w:val="00E36AA1"/>
    <w:rsid w:val="00E37BBB"/>
    <w:rsid w:val="00E41ECB"/>
    <w:rsid w:val="00E54FDB"/>
    <w:rsid w:val="00E5617D"/>
    <w:rsid w:val="00E563D7"/>
    <w:rsid w:val="00E62BAD"/>
    <w:rsid w:val="00E663F4"/>
    <w:rsid w:val="00E666F2"/>
    <w:rsid w:val="00E66DD4"/>
    <w:rsid w:val="00E748CC"/>
    <w:rsid w:val="00E75415"/>
    <w:rsid w:val="00E775B1"/>
    <w:rsid w:val="00E8152A"/>
    <w:rsid w:val="00E864FD"/>
    <w:rsid w:val="00E93629"/>
    <w:rsid w:val="00E93B5C"/>
    <w:rsid w:val="00E94CEC"/>
    <w:rsid w:val="00EA04EF"/>
    <w:rsid w:val="00EA6F19"/>
    <w:rsid w:val="00EB7090"/>
    <w:rsid w:val="00EC08FB"/>
    <w:rsid w:val="00EC1BBE"/>
    <w:rsid w:val="00EC5CD7"/>
    <w:rsid w:val="00EE5FB3"/>
    <w:rsid w:val="00EE7F79"/>
    <w:rsid w:val="00EF5C4B"/>
    <w:rsid w:val="00EF715A"/>
    <w:rsid w:val="00F06E14"/>
    <w:rsid w:val="00F179D4"/>
    <w:rsid w:val="00F33C56"/>
    <w:rsid w:val="00F347C7"/>
    <w:rsid w:val="00F34848"/>
    <w:rsid w:val="00F42D46"/>
    <w:rsid w:val="00F4496C"/>
    <w:rsid w:val="00F44F3A"/>
    <w:rsid w:val="00F51F10"/>
    <w:rsid w:val="00F52990"/>
    <w:rsid w:val="00F529A5"/>
    <w:rsid w:val="00F60F00"/>
    <w:rsid w:val="00F614C0"/>
    <w:rsid w:val="00F815D4"/>
    <w:rsid w:val="00F83848"/>
    <w:rsid w:val="00F94576"/>
    <w:rsid w:val="00F975E9"/>
    <w:rsid w:val="00FA1B7D"/>
    <w:rsid w:val="00FC07B9"/>
    <w:rsid w:val="00FC4E21"/>
    <w:rsid w:val="00FC5F6D"/>
    <w:rsid w:val="00FD0107"/>
    <w:rsid w:val="00FD1316"/>
    <w:rsid w:val="00FD2C2F"/>
    <w:rsid w:val="00FD2D7D"/>
    <w:rsid w:val="00FD3B31"/>
    <w:rsid w:val="00FD5A3B"/>
    <w:rsid w:val="00FE1823"/>
    <w:rsid w:val="00FE487A"/>
    <w:rsid w:val="00FF0569"/>
    <w:rsid w:val="00FF206E"/>
    <w:rsid w:val="00FF3C69"/>
    <w:rsid w:val="00FF6E0A"/>
    <w:rsid w:val="00FF7A1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12DB7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22"/>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22"/>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22"/>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22"/>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22"/>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2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43"/>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6"/>
      </w:numPr>
      <w:spacing w:after="80"/>
    </w:pPr>
  </w:style>
  <w:style w:type="paragraph" w:styleId="ListNumber2">
    <w:name w:val="List Number 2"/>
    <w:basedOn w:val="Normal"/>
    <w:qFormat/>
    <w:rsid w:val="00247C59"/>
    <w:pPr>
      <w:numPr>
        <w:numId w:val="7"/>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Style 13,FR"/>
    <w:basedOn w:val="DefaultParagraphFont"/>
    <w:uiPriority w:val="99"/>
    <w:rsid w:val="00566AB4"/>
    <w:rPr>
      <w:rFonts w:ascii="Arial" w:hAnsi="Arial"/>
      <w:vertAlign w:val="superscript"/>
    </w:rPr>
  </w:style>
  <w:style w:type="paragraph" w:styleId="FootnoteText">
    <w:name w:val="footnote text"/>
    <w:aliases w:val="ACMA Footnote Text,footnote text,Footnote Text Char Char,Footnote Text Char1 Char Char,Footnote Text Char Char Char Char,Footnote Text Char1 Char Char Char Char,Footnote Text Char Char Char Char Char Char,f,fn,Footnote Text Char1"/>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2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24"/>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40"/>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rsid w:val="006C1631"/>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6C1631"/>
    <w:rPr>
      <w:rFonts w:ascii="Arial" w:hAnsi="Arial" w:cs="Arial"/>
      <w:b/>
      <w:bCs/>
      <w:iCs/>
      <w:sz w:val="28"/>
      <w:szCs w:val="28"/>
    </w:rPr>
  </w:style>
  <w:style w:type="paragraph" w:styleId="TOC4">
    <w:name w:val="toc 4"/>
    <w:basedOn w:val="Normal"/>
    <w:next w:val="Normal"/>
    <w:autoRedefine/>
    <w:uiPriority w:val="39"/>
    <w:unhideWhenUsed/>
    <w:rsid w:val="009F29DF"/>
    <w:pPr>
      <w:tabs>
        <w:tab w:val="left" w:pos="1100"/>
        <w:tab w:val="right" w:leader="dot" w:pos="7661"/>
      </w:tabs>
      <w:spacing w:after="100"/>
    </w:pPr>
  </w:style>
  <w:style w:type="character" w:customStyle="1" w:styleId="FootnoteTextChar">
    <w:name w:val="Footnote Text Char"/>
    <w:aliases w:val="ACMA Footnote Text Char,footnote text Char,Footnote Text Char Char Char,Footnote Text Char1 Char Char Char,Footnote Text Char Char Char Char Char,Footnote Text Char1 Char Char Char Char Char,f Char,fn Char,Footnote Text Char1 Char"/>
    <w:basedOn w:val="DefaultParagraphFont"/>
    <w:link w:val="FootnoteText"/>
    <w:locked/>
    <w:rsid w:val="00C72501"/>
    <w:rPr>
      <w:rFonts w:ascii="Arial" w:hAnsi="Arial"/>
      <w:sz w:val="16"/>
      <w:szCs w:val="16"/>
    </w:rPr>
  </w:style>
  <w:style w:type="character" w:customStyle="1" w:styleId="Heading3Char">
    <w:name w:val="Heading 3 Char"/>
    <w:basedOn w:val="DefaultParagraphFont"/>
    <w:link w:val="Heading3"/>
    <w:rsid w:val="00C72501"/>
    <w:rPr>
      <w:rFonts w:ascii="Arial" w:hAnsi="Arial" w:cs="Arial"/>
      <w:b/>
      <w:bCs/>
      <w:sz w:val="20"/>
      <w:szCs w:val="26"/>
    </w:rPr>
  </w:style>
  <w:style w:type="paragraph" w:customStyle="1" w:styleId="questionstyle">
    <w:name w:val="question style"/>
    <w:basedOn w:val="ListParagraph"/>
    <w:qFormat/>
    <w:rsid w:val="00F815D4"/>
    <w:pPr>
      <w:numPr>
        <w:numId w:val="52"/>
      </w:numPr>
      <w:shd w:val="clear" w:color="auto" w:fill="D9D9D9" w:themeFill="background1" w:themeFillShade="D9"/>
      <w:tabs>
        <w:tab w:val="num" w:pos="964"/>
      </w:tabs>
      <w:ind w:left="964" w:hanging="964"/>
    </w:pPr>
    <w:rPr>
      <w:rFonts w:ascii="Calibri" w:hAnsi="Calibri" w:cs="Arial"/>
      <w:b/>
      <w:sz w:val="22"/>
    </w:rPr>
  </w:style>
  <w:style w:type="paragraph" w:styleId="ListParagraph">
    <w:name w:val="List Paragraph"/>
    <w:aliases w:val="List Paragraph1,Recommendation"/>
    <w:basedOn w:val="Normal"/>
    <w:link w:val="ListParagraphChar"/>
    <w:uiPriority w:val="34"/>
    <w:qFormat/>
    <w:rsid w:val="00F815D4"/>
    <w:pPr>
      <w:ind w:left="720"/>
      <w:contextualSpacing/>
    </w:pPr>
  </w:style>
  <w:style w:type="paragraph" w:customStyle="1" w:styleId="Default">
    <w:name w:val="Default"/>
    <w:rsid w:val="00F815D4"/>
    <w:pPr>
      <w:autoSpaceDE w:val="0"/>
      <w:autoSpaceDN w:val="0"/>
      <w:adjustRightInd w:val="0"/>
    </w:pPr>
    <w:rPr>
      <w:rFonts w:ascii="Calibri" w:hAnsi="Calibri" w:cs="Calibri"/>
      <w:color w:val="000000"/>
    </w:rPr>
  </w:style>
  <w:style w:type="character" w:customStyle="1" w:styleId="ListParagraphChar">
    <w:name w:val="List Paragraph Char"/>
    <w:aliases w:val="List Paragraph1 Char,Recommendation Char"/>
    <w:basedOn w:val="DefaultParagraphFont"/>
    <w:link w:val="ListParagraph"/>
    <w:uiPriority w:val="34"/>
    <w:rsid w:val="00AD2273"/>
    <w:rPr>
      <w:rFonts w:ascii="Arial" w:hAnsi="Arial"/>
      <w:sz w:val="20"/>
    </w:rPr>
  </w:style>
  <w:style w:type="table" w:styleId="PlainTable1">
    <w:name w:val="Plain Table 1"/>
    <w:basedOn w:val="TableNormal"/>
    <w:uiPriority w:val="41"/>
    <w:rsid w:val="00AD2273"/>
    <w:rPr>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chedulepara">
    <w:name w:val="Schedule para"/>
    <w:basedOn w:val="Normal"/>
    <w:rsid w:val="00AD2273"/>
    <w:pPr>
      <w:tabs>
        <w:tab w:val="right" w:pos="567"/>
      </w:tabs>
      <w:spacing w:before="180" w:after="0" w:line="260" w:lineRule="exact"/>
      <w:ind w:left="964" w:hanging="964"/>
      <w:jc w:val="both"/>
    </w:pPr>
    <w:rPr>
      <w:rFonts w:ascii="Times New Roman" w:hAnsi="Times New Roman"/>
      <w:sz w:val="24"/>
    </w:rPr>
  </w:style>
  <w:style w:type="paragraph" w:styleId="BodyText">
    <w:name w:val="Body Text"/>
    <w:basedOn w:val="Normal"/>
    <w:link w:val="BodyTextChar"/>
    <w:uiPriority w:val="1"/>
    <w:qFormat/>
    <w:rsid w:val="00AD2273"/>
    <w:pPr>
      <w:widowControl w:val="0"/>
      <w:spacing w:after="0" w:line="240" w:lineRule="auto"/>
      <w:ind w:left="1008"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AD2273"/>
    <w:rPr>
      <w:rFonts w:cstheme="minorBidi"/>
      <w:sz w:val="21"/>
      <w:szCs w:val="21"/>
      <w:lang w:val="en-US" w:eastAsia="en-US"/>
    </w:rPr>
  </w:style>
  <w:style w:type="character" w:styleId="UnresolvedMention">
    <w:name w:val="Unresolved Mention"/>
    <w:basedOn w:val="DefaultParagraphFont"/>
    <w:uiPriority w:val="99"/>
    <w:semiHidden/>
    <w:unhideWhenUsed/>
    <w:rsid w:val="003A2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39736">
      <w:bodyDiv w:val="1"/>
      <w:marLeft w:val="0"/>
      <w:marRight w:val="0"/>
      <w:marTop w:val="0"/>
      <w:marBottom w:val="0"/>
      <w:divBdr>
        <w:top w:val="none" w:sz="0" w:space="0" w:color="auto"/>
        <w:left w:val="none" w:sz="0" w:space="0" w:color="auto"/>
        <w:bottom w:val="none" w:sz="0" w:space="0" w:color="auto"/>
        <w:right w:val="none" w:sz="0" w:space="0" w:color="auto"/>
      </w:divBdr>
    </w:div>
    <w:div w:id="393283970">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9822842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59669820">
      <w:bodyDiv w:val="1"/>
      <w:marLeft w:val="0"/>
      <w:marRight w:val="0"/>
      <w:marTop w:val="0"/>
      <w:marBottom w:val="0"/>
      <w:divBdr>
        <w:top w:val="none" w:sz="0" w:space="0" w:color="auto"/>
        <w:left w:val="none" w:sz="0" w:space="0" w:color="auto"/>
        <w:bottom w:val="none" w:sz="0" w:space="0" w:color="auto"/>
        <w:right w:val="none" w:sz="0" w:space="0" w:color="auto"/>
      </w:divBdr>
    </w:div>
    <w:div w:id="21182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yperlink" Target="http://www.acma.gov.au/Industry/Spectrum/Spectrum-planning/About-spectrum-planning/wireless-access-services-spectrum-planning-acma" TargetMode="External"/><Relationship Id="rId21" Type="http://schemas.openxmlformats.org/officeDocument/2006/relationships/footer" Target="footer4.xml"/><Relationship Id="rId34" Type="http://schemas.openxmlformats.org/officeDocument/2006/relationships/hyperlink" Target="https://www.acma.gov.au/-/media/Spectrum-Engineering/Regulation/pdf/Embargo-No-73-pdf.pdf?la=en" TargetMode="External"/><Relationship Id="rId42" Type="http://schemas.openxmlformats.org/officeDocument/2006/relationships/image" Target="media/image7.png"/><Relationship Id="rId47" Type="http://schemas.openxmlformats.org/officeDocument/2006/relationships/hyperlink" Target="https://www.acma.gov.au/Citizen/TV-Radio/Television/TV-reception/overseas-satellite-tv-interference" TargetMode="External"/><Relationship Id="rId50" Type="http://schemas.openxmlformats.org/officeDocument/2006/relationships/image" Target="media/image9.emf"/><Relationship Id="rId55" Type="http://schemas.openxmlformats.org/officeDocument/2006/relationships/image" Target="media/image14.emf"/><Relationship Id="rId63" Type="http://schemas.openxmlformats.org/officeDocument/2006/relationships/hyperlink" Target="https://www.itu.int/pub/R-REP-M/publications.aspx?lang=en&amp;parent=R-REP-M.2283" TargetMode="External"/><Relationship Id="rId68" Type="http://schemas.openxmlformats.org/officeDocument/2006/relationships/hyperlink" Target="http://www.acma.gov.au/theACMA/Consultations/Consultations" TargetMode="External"/><Relationship Id="rId76" Type="http://schemas.openxmlformats.org/officeDocument/2006/relationships/hyperlink" Target="https://www.legislation.gov.au/Details/F2018L00221" TargetMode="External"/><Relationship Id="rId84" Type="http://schemas.openxmlformats.org/officeDocument/2006/relationships/image" Target="media/image20.png"/><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acma.gov.au/privacypolicy"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8.xml"/><Relationship Id="rId11" Type="http://schemas.openxmlformats.org/officeDocument/2006/relationships/hyperlink" Target="http://i.creativecommons.org/l/by/3.0/88x31.png" TargetMode="External"/><Relationship Id="rId24" Type="http://schemas.openxmlformats.org/officeDocument/2006/relationships/hyperlink" Target="https://www.acma.gov.au/theACMA/draft-five-year-spectrum-outlook-2019-23" TargetMode="External"/><Relationship Id="rId32" Type="http://schemas.openxmlformats.org/officeDocument/2006/relationships/hyperlink" Target="http://www.acma.gov.au/theACMA/rali-fx3-microwave-fixed-services-frequency-coordination" TargetMode="External"/><Relationship Id="rId37" Type="http://schemas.openxmlformats.org/officeDocument/2006/relationships/hyperlink" Target="http://www.acma.gov.au/Industry/Spectrum/Radiocomms-licensing/Class-licences/spectrum-embargoes-spectrum-planning-acma" TargetMode="External"/><Relationship Id="rId40" Type="http://schemas.openxmlformats.org/officeDocument/2006/relationships/hyperlink" Target="http://www.acma.gov.au/Industry/Spectrum/Radiocomms-licensing/Class-licences/spectrum-embargoes-spectrum-planning-acma" TargetMode="External"/><Relationship Id="rId45" Type="http://schemas.openxmlformats.org/officeDocument/2006/relationships/hyperlink" Target="https://www.acma.gov.au/theACMA/rali-fx3-microwave-fixed-services-frequency-coordination" TargetMode="External"/><Relationship Id="rId53" Type="http://schemas.openxmlformats.org/officeDocument/2006/relationships/image" Target="media/image12.emf"/><Relationship Id="rId58" Type="http://schemas.openxmlformats.org/officeDocument/2006/relationships/hyperlink" Target="https://www.acma.gov.au/Industry/Spectrum/Spectrum-planning/Current-APs-info-and-resources/frequency-assignment-requirements-spectrum-planning-acma" TargetMode="External"/><Relationship Id="rId66" Type="http://schemas.openxmlformats.org/officeDocument/2006/relationships/hyperlink" Target="https://www.itu.int/rec/R-REC-M/recommendation.asp?lang=en&amp;parent=R-REC-M.2067" TargetMode="External"/><Relationship Id="rId74" Type="http://schemas.openxmlformats.org/officeDocument/2006/relationships/hyperlink" Target="https://www.acma.gov.au/Industry/Spectrum/Spectrum-planning/About-spectrum-planning/australian-spectrum-management-principles-spectrum-planning-acma" TargetMode="External"/><Relationship Id="rId79" Type="http://schemas.openxmlformats.org/officeDocument/2006/relationships/hyperlink" Target="http://www.acma.gov.au/theACMA/convert-hcis-area-description-to-a-placemark" TargetMode="External"/><Relationship Id="rId87" Type="http://schemas.openxmlformats.org/officeDocument/2006/relationships/image" Target="media/image23.png"/><Relationship Id="rId5" Type="http://schemas.openxmlformats.org/officeDocument/2006/relationships/webSettings" Target="webSettings.xml"/><Relationship Id="rId61" Type="http://schemas.openxmlformats.org/officeDocument/2006/relationships/hyperlink" Target="https://www.itu.int/pub/R-REP-M/publications.aspx?lang=en&amp;parent=R-REP-M.1186" TargetMode="External"/><Relationship Id="rId82" Type="http://schemas.openxmlformats.org/officeDocument/2006/relationships/image" Target="media/image18.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image" Target="media/image5.emf"/><Relationship Id="rId35" Type="http://schemas.openxmlformats.org/officeDocument/2006/relationships/hyperlink" Target="https://www.acma.gov.au/Industry/Spectrum/Spectrum-planning/Current-APs-info-and-resources/frequency-assignment-requirements-spectrum-planning-acma" TargetMode="External"/><Relationship Id="rId43" Type="http://schemas.openxmlformats.org/officeDocument/2006/relationships/image" Target="media/image8.png"/><Relationship Id="rId48" Type="http://schemas.openxmlformats.org/officeDocument/2006/relationships/hyperlink" Target="https://www.acma.gov.au/theACMA/draft-five-year-spectrum-outlook-2019-23" TargetMode="External"/><Relationship Id="rId56" Type="http://schemas.openxmlformats.org/officeDocument/2006/relationships/image" Target="media/image15.png"/><Relationship Id="rId64" Type="http://schemas.openxmlformats.org/officeDocument/2006/relationships/hyperlink" Target="https://www.itu.int/pub/R-REP-M/publications.aspx?lang=en&amp;parent=R-REP-M.2319" TargetMode="External"/><Relationship Id="rId69" Type="http://schemas.openxmlformats.org/officeDocument/2006/relationships/hyperlink" Target="mailto:freqplan@acma.gov.au" TargetMode="External"/><Relationship Id="rId77" Type="http://schemas.openxmlformats.org/officeDocument/2006/relationships/hyperlink" Target="https://www.legislation.gov.au/Details/F2015L00753" TargetMode="External"/><Relationship Id="rId8" Type="http://schemas.openxmlformats.org/officeDocument/2006/relationships/header" Target="header1.xml"/><Relationship Id="rId51" Type="http://schemas.openxmlformats.org/officeDocument/2006/relationships/image" Target="media/image10.emf"/><Relationship Id="rId72" Type="http://schemas.openxmlformats.org/officeDocument/2006/relationships/hyperlink" Target="https://www.acma.gov.au/-/media/Spectrum-Engineering/Information/Word-Document/australian_spectrum_map_grid_28feb2012-docx.docx?la=en" TargetMode="External"/><Relationship Id="rId80" Type="http://schemas.openxmlformats.org/officeDocument/2006/relationships/image" Target="media/image16.png"/><Relationship Id="rId85" Type="http://schemas.openxmlformats.org/officeDocument/2006/relationships/image" Target="media/image2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hyperlink" Target="https://www.acma.gov.au/Industry/Spectrum/Spectrum-planning/About-spectrum-planning/australian-spectrum-management-principles-spectrum-planning-acma" TargetMode="External"/><Relationship Id="rId33" Type="http://schemas.openxmlformats.org/officeDocument/2006/relationships/hyperlink" Target="https://www.acma.gov.au/-/media/Spectrum-Engineering/Regulation/pdf/Embargo-42-pdf.pdf?la=en" TargetMode="External"/><Relationship Id="rId38" Type="http://schemas.openxmlformats.org/officeDocument/2006/relationships/hyperlink" Target="http://www.acma.gov.au/Industry/Spectrum/Radiocomms-licensing/Class-licences/spectrum-embargoes-spectrum-planning-acma" TargetMode="External"/><Relationship Id="rId46" Type="http://schemas.openxmlformats.org/officeDocument/2006/relationships/hyperlink" Target="https://www.acma.gov.au/Industry/Spectrum/Spectrum-planning/Current-APs-info-and-resources/frequency-assignment-requirements-spectrum-planning-acma" TargetMode="External"/><Relationship Id="rId59" Type="http://schemas.openxmlformats.org/officeDocument/2006/relationships/hyperlink" Target="https://www.legislation.gov.au/Details/F2018C00890" TargetMode="External"/><Relationship Id="rId67" Type="http://schemas.openxmlformats.org/officeDocument/2006/relationships/hyperlink" Target="https://www.itu.int/rec/R-REC-M/recommendation.asp?lang=en&amp;parent=R-REC-M.2085" TargetMode="External"/><Relationship Id="rId20" Type="http://schemas.openxmlformats.org/officeDocument/2006/relationships/header" Target="header6.xml"/><Relationship Id="rId41" Type="http://schemas.openxmlformats.org/officeDocument/2006/relationships/hyperlink" Target="https://www.acma.gov.au/-/media/Spectrum-Engineering/Regulation/pdf/Embargo-No-73-pdf.pdf?la=en" TargetMode="External"/><Relationship Id="rId54" Type="http://schemas.openxmlformats.org/officeDocument/2006/relationships/image" Target="media/image13.emf"/><Relationship Id="rId62" Type="http://schemas.openxmlformats.org/officeDocument/2006/relationships/hyperlink" Target="https://www.itu.int/pub/R-REP-M/publications.aspx?lang=en&amp;parent=R-REP-M.2197" TargetMode="External"/><Relationship Id="rId70" Type="http://schemas.openxmlformats.org/officeDocument/2006/relationships/hyperlink" Target="https://www.acma.gov.au/theACMA/About/Corporate/Accountability/privacy-and-consultations" TargetMode="External"/><Relationship Id="rId75" Type="http://schemas.openxmlformats.org/officeDocument/2006/relationships/hyperlink" Target="https://www.legislation.gov.au/Details/F2018L00225/Html/Text" TargetMode="External"/><Relationship Id="rId83" Type="http://schemas.openxmlformats.org/officeDocument/2006/relationships/image" Target="media/image19.png"/><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7.xml"/><Relationship Id="rId36" Type="http://schemas.openxmlformats.org/officeDocument/2006/relationships/hyperlink" Target="https://www.legislation.gov.au/Details/F2016C00432" TargetMode="External"/><Relationship Id="rId49" Type="http://schemas.openxmlformats.org/officeDocument/2006/relationships/hyperlink" Target="https://www.acma.gov.au/theACMA/future-approach-to-the-3_6-ghz-band" TargetMode="External"/><Relationship Id="rId57" Type="http://schemas.openxmlformats.org/officeDocument/2006/relationships/hyperlink" Target="https://www.legislation.gov.au/Details/F2018C00558" TargetMode="External"/><Relationship Id="rId10" Type="http://schemas.openxmlformats.org/officeDocument/2006/relationships/header" Target="header2.xml"/><Relationship Id="rId31" Type="http://schemas.openxmlformats.org/officeDocument/2006/relationships/image" Target="media/image6.png"/><Relationship Id="rId44" Type="http://schemas.openxmlformats.org/officeDocument/2006/relationships/hyperlink" Target="http://www.3gpp.org/About-3GPP" TargetMode="External"/><Relationship Id="rId52" Type="http://schemas.openxmlformats.org/officeDocument/2006/relationships/image" Target="media/image11.emf"/><Relationship Id="rId60" Type="http://schemas.openxmlformats.org/officeDocument/2006/relationships/hyperlink" Target="https://www.legislation.gov.au/Details/F2018C00558" TargetMode="External"/><Relationship Id="rId65" Type="http://schemas.openxmlformats.org/officeDocument/2006/relationships/hyperlink" Target="https://www.itu.int/rec/R-REC-M/recommendation.asp?lang=en&amp;parent=R-REC-M.2059" TargetMode="External"/><Relationship Id="rId73" Type="http://schemas.openxmlformats.org/officeDocument/2006/relationships/hyperlink" Target="https://www.acma.gov.au/Industry/Spectrum/Spectrum-planning/About-spectrum-planning/technical-framework-3_4-ghz" TargetMode="External"/><Relationship Id="rId78" Type="http://schemas.openxmlformats.org/officeDocument/2006/relationships/hyperlink" Target="http://www.acma.gov.au/Industry/Spectrum/Spectrum-planning/About-spectrum-planning/technical-framework-3_4-ghz" TargetMode="External"/><Relationship Id="rId81" Type="http://schemas.openxmlformats.org/officeDocument/2006/relationships/image" Target="media/image17.png"/><Relationship Id="rId86" Type="http://schemas.openxmlformats.org/officeDocument/2006/relationships/image" Target="media/image2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8" Type="http://schemas.openxmlformats.org/officeDocument/2006/relationships/hyperlink" Target="https://www.ofcom.org.uk/__data/assets/pdf_file/0033/157884/enabling-wireless-innovation-through-local-licensing.pdf" TargetMode="External"/><Relationship Id="rId13" Type="http://schemas.openxmlformats.org/officeDocument/2006/relationships/hyperlink" Target="http://www.ic.gc.ca/eic/site/smt-gst.nsf/eng/sf11401.html" TargetMode="External"/><Relationship Id="rId18" Type="http://schemas.openxmlformats.org/officeDocument/2006/relationships/hyperlink" Target="https://c-bandalliance.com/documents/c-band-alliance-proposal-fact-sheet/" TargetMode="External"/><Relationship Id="rId3" Type="http://schemas.openxmlformats.org/officeDocument/2006/relationships/hyperlink" Target="https://www.acma.gov.au/theACMA/acma-corporate-plan" TargetMode="External"/><Relationship Id="rId21" Type="http://schemas.openxmlformats.org/officeDocument/2006/relationships/hyperlink" Target="https://www.fcc.gov/wireless/bureau-divisions/mobility-division/35-ghz-band/35-ghz-band-citizens-broadband-radio-service" TargetMode="External"/><Relationship Id="rId7" Type="http://schemas.openxmlformats.org/officeDocument/2006/relationships/hyperlink" Target="https://www.ofcom.org.uk/__data/assets/pdf_file/0019/130726/Award-of-the-700-MHz-and-3.6-3.8-GHz-spectrum-bands.pdf" TargetMode="External"/><Relationship Id="rId12" Type="http://schemas.openxmlformats.org/officeDocument/2006/relationships/hyperlink" Target="https://www.rsm.govt.nz/projects-and-auctions/current-projects/preparing-for-5g-in-new-zealand/" TargetMode="External"/><Relationship Id="rId17" Type="http://schemas.openxmlformats.org/officeDocument/2006/relationships/hyperlink" Target="https://www.federalregister.gov/documents/2019/06/03/2019-11448/international-bureau-and-wireless-telecommunications-bureau-seek-focused-additional-comment-in-37-42" TargetMode="External"/><Relationship Id="rId25" Type="http://schemas.openxmlformats.org/officeDocument/2006/relationships/hyperlink" Target="https://www.legislation.gov.au/Details/F2018L01064" TargetMode="External"/><Relationship Id="rId2" Type="http://schemas.openxmlformats.org/officeDocument/2006/relationships/hyperlink" Target="https://www.acma.gov.au/theACMA/draft-five-year-spectrum-outlook-2019-23" TargetMode="External"/><Relationship Id="rId16" Type="http://schemas.openxmlformats.org/officeDocument/2006/relationships/hyperlink" Target="https://www.fcc.gov/document/fcc-expands-flexible-use-mid-band-spectrum" TargetMode="External"/><Relationship Id="rId20" Type="http://schemas.openxmlformats.org/officeDocument/2006/relationships/hyperlink" Target="https://www.ic.gc.ca/eic/site/smt-gst.nsf/eng/sf11437.html" TargetMode="External"/><Relationship Id="rId1" Type="http://schemas.openxmlformats.org/officeDocument/2006/relationships/hyperlink" Target="https://www.acma.gov.au/-/media/Spectrum-Review-Implementation-Taskforce/Issue-for-comment/IFC-12-2018/Five-year-spectrum-outlook-2018-22-docx.docx?la=en" TargetMode="External"/><Relationship Id="rId6" Type="http://schemas.openxmlformats.org/officeDocument/2006/relationships/hyperlink" Target="https://ec.europa.eu/digital-single-market/en/news/commission-decides-harmonise-radio-spectrum-future-5g" TargetMode="External"/><Relationship Id="rId11" Type="http://schemas.openxmlformats.org/officeDocument/2006/relationships/hyperlink" Target="https://www.mcit.gov.sa/en/media-center/news/146256" TargetMode="External"/><Relationship Id="rId24" Type="http://schemas.openxmlformats.org/officeDocument/2006/relationships/hyperlink" Target="http://www.soumu.go.jp/main_content/000567504.pdf" TargetMode="External"/><Relationship Id="rId5" Type="http://schemas.openxmlformats.org/officeDocument/2006/relationships/hyperlink" Target="https://portal.3gpp.org/desktopmodules/Specifications/SpecificationDetails.aspx?specificationId=2412" TargetMode="External"/><Relationship Id="rId15" Type="http://schemas.openxmlformats.org/officeDocument/2006/relationships/hyperlink" Target="https://www.ic.gc.ca/eic/site/smt-gst.nsf/eng/sf11437.html" TargetMode="External"/><Relationship Id="rId23" Type="http://schemas.openxmlformats.org/officeDocument/2006/relationships/hyperlink" Target="https://www.icao.int/safety/acp/ACPWGF/ACP-WG-F-30/ACP-WGF30-WP14%20Radio%20Altimeter%20Adjacent%20Bands%20Compatibility%20Study%20with%20IMT-FINAL%20Rev1.docx" TargetMode="External"/><Relationship Id="rId10" Type="http://schemas.openxmlformats.org/officeDocument/2006/relationships/hyperlink" Target="https://www.gov.il/BlobFolder/news/14072019_01/he/5th%20Gen%20Tender%20-%20English.pdf" TargetMode="External"/><Relationship Id="rId19" Type="http://schemas.openxmlformats.org/officeDocument/2006/relationships/hyperlink" Target="https://ecfsapi.fcc.gov/file/10718803016833/(AS%20FILED)%20190718%20ACA%20CCA%20Charter%20July%2016%20C-band%20Ex%20Parte.pdf" TargetMode="External"/><Relationship Id="rId4" Type="http://schemas.openxmlformats.org/officeDocument/2006/relationships/hyperlink" Target="https://portal.3gpp.org/desktopmodules/Specifications/SpecificationDetails.aspx?specificationId=3202" TargetMode="External"/><Relationship Id="rId9" Type="http://schemas.openxmlformats.org/officeDocument/2006/relationships/hyperlink" Target="https://pts.se/sv/dokument/remisser/radio/2019/samrad-av-forstudierapport-38--42-ghz-3800--4200-mhz/" TargetMode="External"/><Relationship Id="rId14" Type="http://schemas.openxmlformats.org/officeDocument/2006/relationships/hyperlink" Target="https://gsacom.com/download.php?id=6824" TargetMode="External"/><Relationship Id="rId22" Type="http://schemas.openxmlformats.org/officeDocument/2006/relationships/hyperlink" Target="https://www.ofcom.org.uk/__data/assets/pdf_file/0022/130747/Enabling-opportunities-for-innovat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528E-6E05-40A3-A437-7ECAA9CCB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15066</Words>
  <Characters>85878</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2019-08-07T00:04:00Z</dcterms:created>
  <dcterms:modified xsi:type="dcterms:W3CDTF">2019-08-07T00:04:00Z</dcterms:modified>
  <cp:category/>
</cp:coreProperties>
</file>