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87048A" w14:textId="77777777" w:rsidR="004E20BF" w:rsidRPr="00067E3D" w:rsidRDefault="004E20BF" w:rsidP="004E20BF">
      <w:pPr>
        <w:pStyle w:val="ACMANormalTabbed"/>
        <w:spacing w:after="0"/>
        <w:rPr>
          <w:rFonts w:asciiTheme="minorHAnsi" w:hAnsiTheme="minorHAnsi"/>
          <w:sz w:val="24"/>
        </w:rPr>
      </w:pPr>
      <w:bookmarkStart w:id="0" w:name="_GoBack"/>
      <w:bookmarkEnd w:id="0"/>
    </w:p>
    <w:p w14:paraId="41480FBF" w14:textId="08727841" w:rsidR="005D5749" w:rsidRPr="002C5BA5" w:rsidRDefault="00A22B5A" w:rsidP="005D5749">
      <w:pPr>
        <w:rPr>
          <w:rFonts w:cs="Tahoma"/>
          <w:b/>
          <w:color w:val="000000"/>
          <w:sz w:val="18"/>
          <w:szCs w:val="18"/>
        </w:rPr>
      </w:pPr>
      <w:bookmarkStart w:id="1" w:name="SenderTitle"/>
      <w:r>
        <w:rPr>
          <w:rFonts w:cs="Tahoma"/>
          <w:b/>
          <w:color w:val="000000"/>
          <w:sz w:val="18"/>
          <w:szCs w:val="18"/>
        </w:rPr>
        <w:t>Scott Kotler</w:t>
      </w:r>
    </w:p>
    <w:bookmarkEnd w:id="1"/>
    <w:p w14:paraId="0490F85E" w14:textId="7F0520FB" w:rsidR="005D5749" w:rsidRDefault="00A22B5A" w:rsidP="005D5749">
      <w:pPr>
        <w:rPr>
          <w:rFonts w:cs="Tahoma"/>
          <w:color w:val="000000"/>
          <w:sz w:val="18"/>
          <w:szCs w:val="18"/>
        </w:rPr>
      </w:pPr>
      <w:r>
        <w:rPr>
          <w:rFonts w:cs="Tahoma"/>
          <w:color w:val="000000"/>
          <w:sz w:val="18"/>
          <w:szCs w:val="18"/>
        </w:rPr>
        <w:t>Director</w:t>
      </w:r>
      <w:r w:rsidR="005D5749">
        <w:rPr>
          <w:rFonts w:cs="Tahoma"/>
          <w:color w:val="000000"/>
          <w:sz w:val="18"/>
          <w:szCs w:val="18"/>
        </w:rPr>
        <w:t xml:space="preserve">, </w:t>
      </w:r>
      <w:r>
        <w:rPr>
          <w:rFonts w:cs="Tahoma"/>
          <w:color w:val="000000"/>
          <w:sz w:val="18"/>
          <w:szCs w:val="18"/>
        </w:rPr>
        <w:t>Technical Regulatory Affairs</w:t>
      </w:r>
    </w:p>
    <w:p w14:paraId="4894E9CB" w14:textId="789EBD81" w:rsidR="005D5749" w:rsidRDefault="00A22B5A" w:rsidP="005D5749">
      <w:pPr>
        <w:rPr>
          <w:rFonts w:cs="Tahoma"/>
          <w:color w:val="000000"/>
          <w:sz w:val="18"/>
          <w:szCs w:val="18"/>
        </w:rPr>
      </w:pPr>
      <w:r>
        <w:rPr>
          <w:rFonts w:cs="Tahoma"/>
          <w:color w:val="000000"/>
          <w:sz w:val="18"/>
          <w:szCs w:val="18"/>
        </w:rPr>
        <w:t>Civil</w:t>
      </w:r>
      <w:r w:rsidR="005D5749">
        <w:rPr>
          <w:rFonts w:cs="Tahoma"/>
          <w:color w:val="000000"/>
          <w:sz w:val="18"/>
          <w:szCs w:val="18"/>
        </w:rPr>
        <w:t xml:space="preserve"> &amp; Regulatory Affairs</w:t>
      </w:r>
    </w:p>
    <w:p w14:paraId="2CC5FE25" w14:textId="77777777" w:rsidR="004E20BF" w:rsidRPr="00067E3D" w:rsidRDefault="004E20BF" w:rsidP="004E20BF">
      <w:pPr>
        <w:pStyle w:val="ACMANormalTabbed"/>
        <w:spacing w:after="0"/>
        <w:rPr>
          <w:rFonts w:asciiTheme="minorHAnsi" w:hAnsiTheme="minorHAnsi"/>
          <w:sz w:val="24"/>
        </w:rPr>
      </w:pPr>
    </w:p>
    <w:p w14:paraId="42B3AD61" w14:textId="026081FD" w:rsidR="004E20BF" w:rsidRPr="008465F6" w:rsidRDefault="002C4D5A" w:rsidP="004E20BF">
      <w:pPr>
        <w:pStyle w:val="ACMANormalTabbed"/>
        <w:spacing w:after="0"/>
        <w:jc w:val="right"/>
        <w:rPr>
          <w:rFonts w:asciiTheme="minorHAnsi" w:hAnsiTheme="minorHAnsi"/>
          <w:sz w:val="24"/>
        </w:rPr>
      </w:pPr>
      <w:r>
        <w:rPr>
          <w:rFonts w:asciiTheme="minorHAnsi" w:hAnsiTheme="minorHAnsi"/>
          <w:sz w:val="24"/>
        </w:rPr>
        <w:t>September</w:t>
      </w:r>
      <w:r w:rsidRPr="008465F6">
        <w:rPr>
          <w:rFonts w:asciiTheme="minorHAnsi" w:hAnsiTheme="minorHAnsi"/>
          <w:sz w:val="24"/>
        </w:rPr>
        <w:t xml:space="preserve"> </w:t>
      </w:r>
      <w:r w:rsidR="00180C97">
        <w:rPr>
          <w:rFonts w:asciiTheme="minorHAnsi" w:hAnsiTheme="minorHAnsi"/>
          <w:sz w:val="24"/>
        </w:rPr>
        <w:t>12</w:t>
      </w:r>
      <w:r w:rsidR="004E20BF" w:rsidRPr="008465F6">
        <w:rPr>
          <w:rFonts w:asciiTheme="minorHAnsi" w:hAnsiTheme="minorHAnsi"/>
          <w:sz w:val="24"/>
        </w:rPr>
        <w:t>, 201</w:t>
      </w:r>
      <w:r w:rsidR="00A22B5A">
        <w:rPr>
          <w:rFonts w:asciiTheme="minorHAnsi" w:hAnsiTheme="minorHAnsi"/>
          <w:sz w:val="24"/>
        </w:rPr>
        <w:t>9</w:t>
      </w:r>
    </w:p>
    <w:p w14:paraId="020F3736" w14:textId="77777777" w:rsidR="004E20BF" w:rsidRPr="008465F6" w:rsidRDefault="004E20BF" w:rsidP="004E20BF">
      <w:pPr>
        <w:pStyle w:val="ACMANormalTabbed"/>
        <w:spacing w:after="0"/>
        <w:rPr>
          <w:rFonts w:asciiTheme="minorHAnsi" w:hAnsiTheme="minorHAnsi"/>
          <w:sz w:val="24"/>
        </w:rPr>
      </w:pPr>
    </w:p>
    <w:p w14:paraId="3EB0D4E1" w14:textId="77777777" w:rsidR="00742183" w:rsidRPr="00742183" w:rsidRDefault="00742183" w:rsidP="00742183">
      <w:pPr>
        <w:ind w:left="720" w:hanging="720"/>
        <w:rPr>
          <w:rFonts w:eastAsia="Times New Roman" w:cs="Times New Roman"/>
          <w:lang w:val="en-AU" w:eastAsia="en-AU"/>
        </w:rPr>
      </w:pPr>
      <w:r w:rsidRPr="00742183">
        <w:rPr>
          <w:rFonts w:eastAsia="Times New Roman" w:cs="Times New Roman"/>
          <w:lang w:val="en-AU" w:eastAsia="en-AU"/>
        </w:rPr>
        <w:t>The Manager, Spectrum Planning Section</w:t>
      </w:r>
    </w:p>
    <w:p w14:paraId="20E38399" w14:textId="69AA1FC9" w:rsidR="00742183" w:rsidRPr="00742183" w:rsidRDefault="002C4D5A" w:rsidP="00742183">
      <w:pPr>
        <w:ind w:left="720" w:hanging="720"/>
        <w:rPr>
          <w:rFonts w:eastAsia="Times New Roman" w:cs="Times New Roman"/>
          <w:lang w:val="en-AU" w:eastAsia="en-AU"/>
        </w:rPr>
      </w:pPr>
      <w:r>
        <w:rPr>
          <w:rFonts w:eastAsia="Times New Roman" w:cs="Times New Roman"/>
          <w:lang w:val="en-AU" w:eastAsia="en-AU"/>
        </w:rPr>
        <w:t>Spectrum Infrastructure</w:t>
      </w:r>
      <w:r w:rsidR="00742183" w:rsidRPr="00742183">
        <w:rPr>
          <w:rFonts w:eastAsia="Times New Roman" w:cs="Times New Roman"/>
          <w:lang w:val="en-AU" w:eastAsia="en-AU"/>
        </w:rPr>
        <w:t xml:space="preserve"> Branch</w:t>
      </w:r>
    </w:p>
    <w:p w14:paraId="533C3F7A" w14:textId="50DE668D" w:rsidR="00742183" w:rsidRPr="00742183" w:rsidRDefault="002C4D5A" w:rsidP="00742183">
      <w:pPr>
        <w:ind w:left="720" w:hanging="720"/>
        <w:rPr>
          <w:rFonts w:eastAsia="Times New Roman" w:cs="Times New Roman"/>
          <w:lang w:val="en-AU" w:eastAsia="en-AU"/>
        </w:rPr>
      </w:pPr>
      <w:r>
        <w:rPr>
          <w:rFonts w:eastAsia="Times New Roman" w:cs="Times New Roman"/>
          <w:lang w:val="en-AU" w:eastAsia="en-AU"/>
        </w:rPr>
        <w:t>Australian Communications and Media Authority</w:t>
      </w:r>
    </w:p>
    <w:p w14:paraId="42F4072E" w14:textId="77777777" w:rsidR="002C4D5A" w:rsidRDefault="00742183" w:rsidP="00742183">
      <w:pPr>
        <w:ind w:left="720" w:hanging="720"/>
        <w:rPr>
          <w:rFonts w:eastAsia="Times New Roman" w:cs="Times New Roman"/>
          <w:lang w:val="en-AU" w:eastAsia="en-AU"/>
        </w:rPr>
      </w:pPr>
      <w:r w:rsidRPr="00742183">
        <w:rPr>
          <w:rFonts w:eastAsia="Times New Roman" w:cs="Times New Roman"/>
          <w:lang w:val="en-AU" w:eastAsia="en-AU"/>
        </w:rPr>
        <w:t>PO Box 78</w:t>
      </w:r>
    </w:p>
    <w:p w14:paraId="01A50267" w14:textId="565CD8BF" w:rsidR="00A22B5A" w:rsidRDefault="00742183" w:rsidP="00742183">
      <w:pPr>
        <w:ind w:left="720" w:hanging="720"/>
        <w:rPr>
          <w:rFonts w:eastAsia="Times New Roman" w:cs="Times New Roman"/>
          <w:lang w:val="en-AU" w:eastAsia="en-AU"/>
        </w:rPr>
      </w:pPr>
      <w:r w:rsidRPr="00742183">
        <w:rPr>
          <w:rFonts w:eastAsia="Times New Roman" w:cs="Times New Roman"/>
          <w:lang w:val="en-AU" w:eastAsia="en-AU"/>
        </w:rPr>
        <w:t>Belconnen, ACT 2616</w:t>
      </w:r>
    </w:p>
    <w:p w14:paraId="31060FF8" w14:textId="77777777" w:rsidR="00742183" w:rsidRDefault="00742183" w:rsidP="00742183">
      <w:pPr>
        <w:ind w:left="720" w:hanging="720"/>
        <w:rPr>
          <w:b/>
        </w:rPr>
      </w:pPr>
    </w:p>
    <w:p w14:paraId="5AA1A553" w14:textId="0279BFA6" w:rsidR="00920A2C" w:rsidRPr="008465F6" w:rsidRDefault="004E20BF" w:rsidP="00A22B5A">
      <w:pPr>
        <w:ind w:left="720" w:hanging="720"/>
        <w:rPr>
          <w:b/>
        </w:rPr>
      </w:pPr>
      <w:r w:rsidRPr="008465F6">
        <w:rPr>
          <w:b/>
        </w:rPr>
        <w:t xml:space="preserve">Re:  </w:t>
      </w:r>
      <w:r w:rsidRPr="008465F6">
        <w:rPr>
          <w:b/>
        </w:rPr>
        <w:tab/>
        <w:t xml:space="preserve">Comments and </w:t>
      </w:r>
      <w:r w:rsidRPr="00742183">
        <w:rPr>
          <w:b/>
        </w:rPr>
        <w:t xml:space="preserve">Views of Lockheed Martin – Australia Pty Ltd on ACMA Consultation No. IFC </w:t>
      </w:r>
      <w:r w:rsidR="002C4D5A">
        <w:rPr>
          <w:b/>
        </w:rPr>
        <w:t>27</w:t>
      </w:r>
      <w:r w:rsidRPr="00742183">
        <w:rPr>
          <w:b/>
        </w:rPr>
        <w:t>/201</w:t>
      </w:r>
      <w:r w:rsidR="00A22B5A" w:rsidRPr="00742183">
        <w:rPr>
          <w:b/>
        </w:rPr>
        <w:t>9</w:t>
      </w:r>
      <w:r w:rsidRPr="008465F6">
        <w:rPr>
          <w:b/>
        </w:rPr>
        <w:t xml:space="preserve">, </w:t>
      </w:r>
      <w:r w:rsidR="002C4D5A">
        <w:rPr>
          <w:b/>
        </w:rPr>
        <w:t>Planning of the 3700-4200 MHz band</w:t>
      </w:r>
      <w:r w:rsidR="00CB6BC3">
        <w:rPr>
          <w:b/>
        </w:rPr>
        <w:t xml:space="preserve"> – </w:t>
      </w:r>
      <w:r w:rsidR="002C4D5A">
        <w:rPr>
          <w:b/>
        </w:rPr>
        <w:t>Discussion</w:t>
      </w:r>
      <w:r w:rsidR="00CB6BC3">
        <w:rPr>
          <w:b/>
        </w:rPr>
        <w:t xml:space="preserve"> Paper</w:t>
      </w:r>
    </w:p>
    <w:p w14:paraId="0650506D" w14:textId="77777777" w:rsidR="004E20BF" w:rsidRPr="008465F6" w:rsidRDefault="004E20BF" w:rsidP="004E20BF">
      <w:pPr>
        <w:ind w:left="720" w:hanging="720"/>
      </w:pPr>
    </w:p>
    <w:p w14:paraId="2383A342" w14:textId="6D4C0BE8" w:rsidR="00F5635A" w:rsidRDefault="0003188D" w:rsidP="00C143BB">
      <w:pPr>
        <w:spacing w:after="120"/>
        <w:ind w:firstLine="720"/>
      </w:pPr>
      <w:r w:rsidRPr="008465F6">
        <w:t>Lockheed Martin</w:t>
      </w:r>
      <w:r w:rsidR="006C49C6" w:rsidRPr="008465F6">
        <w:t xml:space="preserve"> Corporation, on behalf of Lockheed Martin</w:t>
      </w:r>
      <w:r w:rsidRPr="008465F6">
        <w:t xml:space="preserve"> – Australia Pty Ltd (“</w:t>
      </w:r>
      <w:r w:rsidR="000D3DDF" w:rsidRPr="008465F6">
        <w:t>LMA</w:t>
      </w:r>
      <w:r w:rsidRPr="008465F6">
        <w:t>”)</w:t>
      </w:r>
      <w:r w:rsidR="006C49C6" w:rsidRPr="008465F6">
        <w:t>,</w:t>
      </w:r>
      <w:r w:rsidRPr="008465F6">
        <w:t xml:space="preserve"> </w:t>
      </w:r>
      <w:r w:rsidR="000D3DDF" w:rsidRPr="008465F6">
        <w:t xml:space="preserve">provides these comments in connection with the Australia Communications and Media Authority (“ACMA”) Consultation No. IFC </w:t>
      </w:r>
      <w:r w:rsidR="002C4D5A">
        <w:t>27</w:t>
      </w:r>
      <w:r w:rsidR="000D3DDF" w:rsidRPr="008465F6">
        <w:t>/201</w:t>
      </w:r>
      <w:r w:rsidR="000773DD">
        <w:t xml:space="preserve">9 on </w:t>
      </w:r>
      <w:r w:rsidR="002C4D5A" w:rsidRPr="002C4D5A">
        <w:t>Planning of the 3700-4200 MHz band</w:t>
      </w:r>
      <w:r w:rsidR="000D3DDF" w:rsidRPr="008465F6">
        <w:t>.</w:t>
      </w:r>
    </w:p>
    <w:p w14:paraId="560CF09F" w14:textId="4B676DF3" w:rsidR="00742183" w:rsidRDefault="009D32DB" w:rsidP="00C143BB">
      <w:pPr>
        <w:spacing w:after="120"/>
        <w:ind w:firstLine="720"/>
      </w:pPr>
      <w:r>
        <w:t>Lockheed Martin is a global leader in the development of satellite technologies</w:t>
      </w:r>
      <w:r w:rsidR="005C2EFB">
        <w:t>, both</w:t>
      </w:r>
      <w:r>
        <w:t xml:space="preserve"> as a manufacturer of satellite buses and designer and developer of a variety of sophisticated payloads for both government and commercial customers.  Lockheed Martin’s space engagement encompasses global communications and global positioning</w:t>
      </w:r>
      <w:r w:rsidR="00A85D2C">
        <w:t>,</w:t>
      </w:r>
      <w:r>
        <w:t xml:space="preserve"> deep space exploration, weather and remote sensing, military space, national security, and advanced technology development.</w:t>
      </w:r>
      <w:r w:rsidR="00995D56">
        <w:t xml:space="preserve">  </w:t>
      </w:r>
      <w:r w:rsidR="00F61D94">
        <w:t xml:space="preserve">Further, </w:t>
      </w:r>
      <w:r w:rsidR="00995D56">
        <w:t xml:space="preserve">LMA operates an earth station </w:t>
      </w:r>
      <w:r w:rsidR="005C2EFB">
        <w:t xml:space="preserve">complex </w:t>
      </w:r>
      <w:r w:rsidR="00995D56">
        <w:t xml:space="preserve">at </w:t>
      </w:r>
      <w:r w:rsidR="00995D56" w:rsidRPr="008465F6">
        <w:t>Uralla, New South Wales</w:t>
      </w:r>
      <w:r w:rsidR="00995D56">
        <w:t xml:space="preserve"> </w:t>
      </w:r>
      <w:r w:rsidR="00F61D94">
        <w:t>that</w:t>
      </w:r>
      <w:r w:rsidR="00995D56">
        <w:t xml:space="preserve"> supports In-Orbit Testing (IOT), Transfer Orbit Satellite Services</w:t>
      </w:r>
      <w:r w:rsidR="00F34621">
        <w:t xml:space="preserve"> (TOSS)</w:t>
      </w:r>
      <w:r w:rsidR="00995D56">
        <w:t xml:space="preserve">, and </w:t>
      </w:r>
      <w:r w:rsidR="00995D56" w:rsidRPr="00995D56">
        <w:t xml:space="preserve">Telemetry, </w:t>
      </w:r>
      <w:r w:rsidR="009C2E59">
        <w:t>T</w:t>
      </w:r>
      <w:r w:rsidR="00995D56" w:rsidRPr="00995D56">
        <w:t xml:space="preserve">racking, and </w:t>
      </w:r>
      <w:r w:rsidR="009C2E59">
        <w:t>C</w:t>
      </w:r>
      <w:r w:rsidR="00995D56" w:rsidRPr="00995D56">
        <w:t>ommand</w:t>
      </w:r>
      <w:r w:rsidR="009C2E59">
        <w:t>ing</w:t>
      </w:r>
      <w:r w:rsidR="00995D56" w:rsidRPr="00995D56">
        <w:t xml:space="preserve"> (TT&amp;C) </w:t>
      </w:r>
      <w:r w:rsidR="00995D56">
        <w:t xml:space="preserve">for </w:t>
      </w:r>
      <w:r w:rsidR="00A85D2C">
        <w:t>recently-</w:t>
      </w:r>
      <w:r w:rsidR="00995D56">
        <w:t xml:space="preserve">launched and </w:t>
      </w:r>
      <w:r w:rsidR="00A85D2C">
        <w:t>in-</w:t>
      </w:r>
      <w:r w:rsidR="00995D56">
        <w:t>orbit satellites</w:t>
      </w:r>
      <w:r w:rsidR="005C2EFB">
        <w:t xml:space="preserve"> from around the world</w:t>
      </w:r>
      <w:r w:rsidR="00995D56">
        <w:t xml:space="preserve">. </w:t>
      </w:r>
    </w:p>
    <w:p w14:paraId="37FC8BB1" w14:textId="2CA328C2" w:rsidR="00583C86" w:rsidRPr="00067E3D" w:rsidRDefault="00F34621" w:rsidP="00583C86">
      <w:pPr>
        <w:ind w:firstLine="720"/>
      </w:pPr>
      <w:r>
        <w:t>A</w:t>
      </w:r>
      <w:r w:rsidR="00E22DD8" w:rsidRPr="008465F6">
        <w:t>t its Uralla, New South Wales earth station complex</w:t>
      </w:r>
      <w:r w:rsidR="00E22DD8">
        <w:t xml:space="preserve">, </w:t>
      </w:r>
      <w:r w:rsidR="00912D8E" w:rsidRPr="008465F6">
        <w:t>LMA</w:t>
      </w:r>
      <w:r w:rsidR="00E22DD8">
        <w:t xml:space="preserve"> </w:t>
      </w:r>
      <w:r w:rsidR="00E65980">
        <w:t xml:space="preserve">utilizes </w:t>
      </w:r>
      <w:r w:rsidR="00E22DD8" w:rsidRPr="00622287">
        <w:t>t</w:t>
      </w:r>
      <w:r w:rsidR="00912D8E" w:rsidRPr="00622287">
        <w:t>wo 14.2 meter earth station antennas</w:t>
      </w:r>
      <w:r w:rsidR="00E22DD8" w:rsidRPr="00622287">
        <w:t xml:space="preserve"> that</w:t>
      </w:r>
      <w:r w:rsidR="00583C86">
        <w:t xml:space="preserve"> </w:t>
      </w:r>
      <w:r>
        <w:t>operate on</w:t>
      </w:r>
      <w:r w:rsidR="00583C86">
        <w:t xml:space="preserve"> frequencies that include </w:t>
      </w:r>
      <w:r w:rsidR="00875E58">
        <w:t xml:space="preserve">the 3700-4200 MHz </w:t>
      </w:r>
      <w:r w:rsidR="00583C86">
        <w:t xml:space="preserve">fixed-satellite service (FSS) receive </w:t>
      </w:r>
      <w:r w:rsidR="00875E58">
        <w:t>band</w:t>
      </w:r>
      <w:r w:rsidR="00E22DD8" w:rsidRPr="00622287">
        <w:t xml:space="preserve">.  </w:t>
      </w:r>
      <w:r w:rsidR="00875E58" w:rsidRPr="00875E58">
        <w:t xml:space="preserve">In this frequency band, LMA </w:t>
      </w:r>
      <w:r w:rsidR="00912D90">
        <w:t xml:space="preserve">currently </w:t>
      </w:r>
      <w:r w:rsidR="00583C86">
        <w:t xml:space="preserve">is authorized to </w:t>
      </w:r>
      <w:r w:rsidR="00875E58" w:rsidRPr="00875E58">
        <w:t>operate under license</w:t>
      </w:r>
      <w:r w:rsidR="00912D90">
        <w:t>s</w:t>
      </w:r>
      <w:r w:rsidR="00875E58" w:rsidRPr="00875E58">
        <w:t xml:space="preserve"> 1988277/1</w:t>
      </w:r>
      <w:r w:rsidR="00875E58">
        <w:t xml:space="preserve">, </w:t>
      </w:r>
      <w:r w:rsidR="00875E58" w:rsidRPr="00875E58">
        <w:t>10679223/1</w:t>
      </w:r>
      <w:r w:rsidR="00912D90">
        <w:t xml:space="preserve">, and </w:t>
      </w:r>
      <w:r w:rsidR="00912D90" w:rsidRPr="00912D90">
        <w:t>10682559/1</w:t>
      </w:r>
      <w:r w:rsidR="00DC72D5">
        <w:t>.</w:t>
      </w:r>
      <w:r w:rsidR="00A20A25" w:rsidRPr="001E4453">
        <w:rPr>
          <w:rStyle w:val="FootnoteReference"/>
          <w:rFonts w:ascii="Times New Roman" w:hAnsi="Times New Roman" w:cs="Times New Roman"/>
        </w:rPr>
        <w:footnoteReference w:id="1"/>
      </w:r>
      <w:r w:rsidR="00A20A25" w:rsidRPr="00E75180">
        <w:rPr>
          <w:rFonts w:ascii="Times New Roman" w:hAnsi="Times New Roman" w:cs="Times New Roman"/>
        </w:rPr>
        <w:t xml:space="preserve"> </w:t>
      </w:r>
      <w:r w:rsidR="00DC72D5">
        <w:t xml:space="preserve"> </w:t>
      </w:r>
      <w:r w:rsidR="00583C86">
        <w:t>S</w:t>
      </w:r>
      <w:r w:rsidR="00583C86" w:rsidRPr="00067E3D">
        <w:t xml:space="preserve">ince its inception nearly 20 years ago, LMA’s Uralla facility has been a critical </w:t>
      </w:r>
      <w:r w:rsidR="00583C86">
        <w:t>component part</w:t>
      </w:r>
      <w:r w:rsidR="00583C86" w:rsidRPr="00067E3D">
        <w:t xml:space="preserve"> of a global network of earth station facilities used to control satellites through launch and transfer orbit to the satellites’ intended locations in the geostationary arc.  </w:t>
      </w:r>
      <w:r w:rsidR="00583C86">
        <w:t xml:space="preserve">LMA’s Uralla </w:t>
      </w:r>
      <w:r w:rsidR="00583C86" w:rsidRPr="00067E3D">
        <w:t xml:space="preserve">facility is essential to providing </w:t>
      </w:r>
      <w:r w:rsidR="00583C86" w:rsidRPr="00067E3D">
        <w:lastRenderedPageBreak/>
        <w:t>communications during a satellite’s initial in-orbit testing, which is a necessary technical and contractual step prior to the owner/operator seeking to use the satellite to provide services for which it is intended</w:t>
      </w:r>
      <w:r w:rsidR="00583C86">
        <w:t>, and t</w:t>
      </w:r>
      <w:r w:rsidR="00583C86" w:rsidRPr="00067E3D">
        <w:t xml:space="preserve">he Uralla site’s location in Australia and the </w:t>
      </w:r>
      <w:r w:rsidR="00583C86">
        <w:t xml:space="preserve">3700-4200 MHz </w:t>
      </w:r>
      <w:r w:rsidR="00583C86" w:rsidRPr="00067E3D">
        <w:t>band FSS capability it possesses enable LMA to provide support to satellite missions from commercial operators around the world.</w:t>
      </w:r>
    </w:p>
    <w:p w14:paraId="6E87CBCE" w14:textId="77777777" w:rsidR="00583C86" w:rsidRPr="00067E3D" w:rsidRDefault="00583C86" w:rsidP="00583C86"/>
    <w:p w14:paraId="095FF29E" w14:textId="16CE80DB" w:rsidR="00E92F7A" w:rsidRDefault="00DC72D5" w:rsidP="00C143BB">
      <w:pPr>
        <w:spacing w:after="120"/>
        <w:ind w:firstLine="720"/>
      </w:pPr>
      <w:r>
        <w:t>I</w:t>
      </w:r>
      <w:r w:rsidR="00875E58" w:rsidRPr="00875E58">
        <w:t xml:space="preserve">n order to support its </w:t>
      </w:r>
      <w:r w:rsidR="00A85D2C">
        <w:t xml:space="preserve">TOSS and IOT </w:t>
      </w:r>
      <w:r w:rsidR="00875E58" w:rsidRPr="00875E58">
        <w:t xml:space="preserve">operations, LMA’s Uralla earth station facility needs </w:t>
      </w:r>
      <w:r w:rsidR="005C2EFB">
        <w:t>continued, reliable, and predictable a</w:t>
      </w:r>
      <w:r w:rsidR="00875E58" w:rsidRPr="00875E58">
        <w:t xml:space="preserve">ccess to the </w:t>
      </w:r>
      <w:r w:rsidR="00912D90">
        <w:t>3700-4200</w:t>
      </w:r>
      <w:r w:rsidR="00875E58" w:rsidRPr="00875E58">
        <w:t xml:space="preserve"> MHz band.</w:t>
      </w:r>
      <w:r w:rsidR="00583C86">
        <w:t xml:space="preserve">  In its 3.6 GHz proceeding two years ago, </w:t>
      </w:r>
      <w:r w:rsidR="005C2EFB">
        <w:t xml:space="preserve">LMA highlighted these requirements to ensure the viability and reliability of </w:t>
      </w:r>
      <w:r w:rsidR="00180C97">
        <w:t xml:space="preserve">the </w:t>
      </w:r>
      <w:r w:rsidR="005C2EFB">
        <w:t>U</w:t>
      </w:r>
      <w:r w:rsidR="00583C86">
        <w:t>ralla facility</w:t>
      </w:r>
      <w:r w:rsidR="005C2EFB">
        <w:t>, by ensuring that the spectrum</w:t>
      </w:r>
      <w:r w:rsidR="00583C86">
        <w:t xml:space="preserve"> access</w:t>
      </w:r>
      <w:r w:rsidR="005C2EFB">
        <w:t xml:space="preserve"> was not adversely impacted in </w:t>
      </w:r>
      <w:r w:rsidR="00583C86">
        <w:t xml:space="preserve">3600-3700 MHz for TT&amp;C, IOT, and TOSS applications in the FSS.  There, </w:t>
      </w:r>
      <w:r w:rsidR="00F34621">
        <w:t xml:space="preserve">LMA noted that </w:t>
      </w:r>
      <w:r w:rsidR="00583C86">
        <w:t>the TOSS requirement in particular makes th</w:t>
      </w:r>
      <w:r w:rsidR="005C2EFB">
        <w:t xml:space="preserve">e </w:t>
      </w:r>
      <w:r w:rsidR="00583C86">
        <w:t xml:space="preserve">protection </w:t>
      </w:r>
      <w:r w:rsidR="005C2EFB">
        <w:t xml:space="preserve">requirements </w:t>
      </w:r>
      <w:r w:rsidR="00583C86">
        <w:t>at all azimuths and for elevation angles down to about five degrees.  ACMA recommended, and subsequently too</w:t>
      </w:r>
      <w:r w:rsidR="00F34621">
        <w:t>k</w:t>
      </w:r>
      <w:r w:rsidR="00583C86">
        <w:t xml:space="preserve">, the decision to </w:t>
      </w:r>
      <w:r w:rsidR="00BC609F">
        <w:t xml:space="preserve">excise the area around Uralla (specifically, Cell No. NU7K4 under the Hierarchical Cell Identification Scheme or HCIS) from the spectrum reallocation declaration for wireless broadband (WBB) licensing.  </w:t>
      </w:r>
      <w:r w:rsidR="00875E58" w:rsidRPr="00875E58">
        <w:t xml:space="preserve"> </w:t>
      </w:r>
      <w:r w:rsidR="00912D90">
        <w:t xml:space="preserve"> </w:t>
      </w:r>
    </w:p>
    <w:p w14:paraId="40B90EC7" w14:textId="07A4872E" w:rsidR="009178D4" w:rsidRDefault="009178D4" w:rsidP="00C143BB">
      <w:pPr>
        <w:spacing w:after="120"/>
        <w:ind w:firstLine="720"/>
      </w:pPr>
      <w:r>
        <w:t xml:space="preserve">In the </w:t>
      </w:r>
      <w:r w:rsidR="00A85D2C">
        <w:t xml:space="preserve">current </w:t>
      </w:r>
      <w:r>
        <w:t xml:space="preserve">proceeding, ACMA seeks comments on making the 3700-4200 MHz band, or parts thereof, available for new services, such as </w:t>
      </w:r>
      <w:r w:rsidR="00BC609F">
        <w:t>WBB</w:t>
      </w:r>
      <w:r>
        <w:t xml:space="preserve">.  </w:t>
      </w:r>
      <w:r w:rsidRPr="009178D4">
        <w:t xml:space="preserve">The </w:t>
      </w:r>
      <w:r>
        <w:t>F</w:t>
      </w:r>
      <w:r w:rsidRPr="009178D4">
        <w:t>SS industry has long provided critical services supporting a wide range of applications in the conventional C-band FSS frequencies (which include the companion uplink band at 5925-6425 MHz), and C-band satellite services continue to be in high demand</w:t>
      </w:r>
      <w:r>
        <w:t xml:space="preserve">.  </w:t>
      </w:r>
      <w:r w:rsidR="006C2C09">
        <w:t xml:space="preserve">Within </w:t>
      </w:r>
      <w:r w:rsidR="00BC609F">
        <w:t>areas</w:t>
      </w:r>
      <w:r w:rsidR="006C2C09">
        <w:t xml:space="preserve"> subject to heavy rain</w:t>
      </w:r>
      <w:r w:rsidR="00BC609F">
        <w:t xml:space="preserve"> (as much of the Asia-Pacific region is)</w:t>
      </w:r>
      <w:r w:rsidR="006C2C09">
        <w:t xml:space="preserve">, </w:t>
      </w:r>
      <w:r w:rsidR="006C2C09" w:rsidRPr="006C2C09">
        <w:t>C</w:t>
      </w:r>
      <w:r w:rsidR="006C2C09">
        <w:t>-b</w:t>
      </w:r>
      <w:r w:rsidR="006C2C09" w:rsidRPr="006C2C09">
        <w:t xml:space="preserve">and is </w:t>
      </w:r>
      <w:r w:rsidR="00BC609F">
        <w:t xml:space="preserve">relied upon to </w:t>
      </w:r>
      <w:r w:rsidR="006C2C09">
        <w:t>providing high performance</w:t>
      </w:r>
      <w:r w:rsidR="00BC609F">
        <w:t xml:space="preserve"> satellite services</w:t>
      </w:r>
      <w:r w:rsidR="006C2C09">
        <w:t xml:space="preserve">.  </w:t>
      </w:r>
      <w:r>
        <w:t xml:space="preserve">In addition to </w:t>
      </w:r>
      <w:r w:rsidR="00BC609F">
        <w:t>in-</w:t>
      </w:r>
      <w:r>
        <w:t xml:space="preserve">band operations, </w:t>
      </w:r>
      <w:r w:rsidR="00FB4DCE" w:rsidRPr="00FB4DCE">
        <w:t xml:space="preserve">protection of users in adjacent-band spectrum (including radioaltimeters operating in the 4.2-4.4 GHz </w:t>
      </w:r>
      <w:r w:rsidR="00F34621">
        <w:t>aeronautical radionaviga</w:t>
      </w:r>
      <w:r w:rsidR="00C24320">
        <w:t>t</w:t>
      </w:r>
      <w:r w:rsidR="00F34621">
        <w:t xml:space="preserve">ion service </w:t>
      </w:r>
      <w:r w:rsidR="00FB4DCE" w:rsidRPr="00FB4DCE">
        <w:t>band) that have co-existed successfully for decades with the “extremely weak” signals from C-band satellites</w:t>
      </w:r>
      <w:r w:rsidR="00FB4DCE">
        <w:t xml:space="preserve"> must also be considered.</w:t>
      </w:r>
    </w:p>
    <w:p w14:paraId="41CD9AFE" w14:textId="3C7BB667" w:rsidR="00FB4DCE" w:rsidRDefault="00FB4DCE" w:rsidP="00C143BB">
      <w:pPr>
        <w:spacing w:after="120"/>
        <w:ind w:firstLine="720"/>
      </w:pPr>
      <w:r>
        <w:t>LMA offers that</w:t>
      </w:r>
      <w:r w:rsidR="005C2EFB">
        <w:t xml:space="preserve"> it is unclear that </w:t>
      </w:r>
      <w:r>
        <w:t>an</w:t>
      </w:r>
      <w:r w:rsidRPr="00FB4DCE">
        <w:t xml:space="preserve"> additional 500 MHz of “mid-band” spectrum </w:t>
      </w:r>
      <w:r>
        <w:t xml:space="preserve">for WBB </w:t>
      </w:r>
      <w:r w:rsidR="005C2EFB">
        <w:t>is the best use case, given the impact on satellites and the s</w:t>
      </w:r>
      <w:r w:rsidRPr="00FB4DCE">
        <w:t xml:space="preserve">pectrum </w:t>
      </w:r>
      <w:r w:rsidR="005C2EFB">
        <w:t xml:space="preserve">already </w:t>
      </w:r>
      <w:r w:rsidRPr="00FB4DCE">
        <w:t>available for wireless broadband use today (</w:t>
      </w:r>
      <w:r>
        <w:t>including th</w:t>
      </w:r>
      <w:r w:rsidR="00BC609F">
        <w:t>e more than 30 GHz of additional WBB spectrum</w:t>
      </w:r>
      <w:r>
        <w:t xml:space="preserve"> being considered </w:t>
      </w:r>
      <w:r w:rsidRPr="00FB4DCE">
        <w:t>at WRC-19</w:t>
      </w:r>
      <w:r w:rsidR="00FC59E2">
        <w:t xml:space="preserve"> and under other </w:t>
      </w:r>
      <w:r w:rsidR="00BC609F">
        <w:t xml:space="preserve">ACMA </w:t>
      </w:r>
      <w:r w:rsidR="00FC59E2">
        <w:t>proceedings</w:t>
      </w:r>
      <w:r w:rsidRPr="00FB4DCE">
        <w:t>)</w:t>
      </w:r>
      <w:r w:rsidR="005C2EFB">
        <w:t xml:space="preserve">.  </w:t>
      </w:r>
      <w:r w:rsidR="00C450C5">
        <w:t>W</w:t>
      </w:r>
      <w:r w:rsidR="0015627D" w:rsidRPr="0015627D">
        <w:t>ireless broadband operations into the FSS downlink band at 3.7-4.2 GHz would require band</w:t>
      </w:r>
      <w:r w:rsidR="00035ED3">
        <w:t xml:space="preserve"> and/or geographical</w:t>
      </w:r>
      <w:r w:rsidR="0015627D" w:rsidRPr="0015627D">
        <w:t xml:space="preserve"> segmentation in one form or another</w:t>
      </w:r>
      <w:r w:rsidR="00C450C5">
        <w:t>.</w:t>
      </w:r>
      <w:r w:rsidR="00F34621">
        <w:t xml:space="preserve">  </w:t>
      </w:r>
      <w:r w:rsidR="00A85D2C">
        <w:t xml:space="preserve">Despite all of these interests and activities, </w:t>
      </w:r>
      <w:r w:rsidR="00F34621">
        <w:t xml:space="preserve">there seems to be no accounting being made of what the real requirements </w:t>
      </w:r>
      <w:r w:rsidR="005C2EFB">
        <w:t xml:space="preserve">in this band </w:t>
      </w:r>
      <w:r w:rsidR="00F34621">
        <w:t xml:space="preserve">for more spectrum may be and of how efficiently, if at all, the spectrum already allocated or targeted for WBB use is being used. </w:t>
      </w:r>
      <w:r w:rsidR="00546BF0">
        <w:t xml:space="preserve"> </w:t>
      </w:r>
      <w:r w:rsidR="00C24320">
        <w:t>G</w:t>
      </w:r>
      <w:r w:rsidR="00546BF0">
        <w:t xml:space="preserve">iven the </w:t>
      </w:r>
      <w:r w:rsidR="005C2EFB">
        <w:t xml:space="preserve">general incompatibility of WBB with most other services, LMA urges </w:t>
      </w:r>
      <w:r w:rsidR="00401683">
        <w:t>validation prior to making more spectrum available for WBB</w:t>
      </w:r>
      <w:r w:rsidR="005C2EFB">
        <w:t xml:space="preserve"> in this band</w:t>
      </w:r>
      <w:r w:rsidR="00546BF0">
        <w:t>.</w:t>
      </w:r>
    </w:p>
    <w:p w14:paraId="2BB36AD6" w14:textId="195710EC" w:rsidR="000E3026" w:rsidRDefault="00C450C5">
      <w:pPr>
        <w:spacing w:after="120"/>
        <w:ind w:firstLine="720"/>
      </w:pPr>
      <w:r w:rsidRPr="00C450C5">
        <w:t xml:space="preserve">Many FSS networks around the world have telemetry links within </w:t>
      </w:r>
      <w:r w:rsidR="00035ED3">
        <w:t>the 3700-4200 MHz band,</w:t>
      </w:r>
      <w:r w:rsidRPr="00C450C5">
        <w:t xml:space="preserve"> and these capabilities are hardwired; an operating satellite has no ability to relocate its telemetry carriers to another portion of the band or to another </w:t>
      </w:r>
      <w:r w:rsidRPr="00C450C5">
        <w:lastRenderedPageBreak/>
        <w:t xml:space="preserve">band. </w:t>
      </w:r>
      <w:r>
        <w:t xml:space="preserve"> </w:t>
      </w:r>
      <w:r w:rsidR="00F30EDD">
        <w:t>As in the 3.6 GHz band, t</w:t>
      </w:r>
      <w:r w:rsidR="00F30EDD" w:rsidRPr="00C450C5">
        <w:t xml:space="preserve">elemetry </w:t>
      </w:r>
      <w:r w:rsidRPr="00C450C5">
        <w:t xml:space="preserve">links also </w:t>
      </w:r>
      <w:r w:rsidR="00F30EDD">
        <w:t xml:space="preserve">make use of the 3700-4200 MHz band during TOSS </w:t>
      </w:r>
      <w:r w:rsidRPr="00C450C5">
        <w:t xml:space="preserve">operations.  </w:t>
      </w:r>
      <w:r w:rsidR="00E8132C">
        <w:t>T</w:t>
      </w:r>
      <w:r w:rsidRPr="00C450C5">
        <w:t xml:space="preserve">he satellites are generally not in a geostationary orbit during this period, </w:t>
      </w:r>
      <w:r w:rsidR="00E8132C">
        <w:t xml:space="preserve">a period which </w:t>
      </w:r>
      <w:r w:rsidRPr="00C450C5">
        <w:t>can run for several months after launch depending on the type of propulsion used on the spacecraft</w:t>
      </w:r>
      <w:r w:rsidR="00E43AFC">
        <w:t>, therefore</w:t>
      </w:r>
      <w:r w:rsidRPr="00C450C5">
        <w:t xml:space="preserve"> </w:t>
      </w:r>
      <w:r w:rsidR="007060EC">
        <w:t>the earth station supporting TOSS</w:t>
      </w:r>
      <w:r w:rsidRPr="00C450C5">
        <w:t xml:space="preserve"> </w:t>
      </w:r>
      <w:r w:rsidR="007060EC">
        <w:t>requires</w:t>
      </w:r>
      <w:r w:rsidRPr="00C450C5">
        <w:t xml:space="preserve"> full-azimuth capability (i.e., operation at all azimuths and at elevation angles down to 5 degrees</w:t>
      </w:r>
      <w:r w:rsidR="00546BF0">
        <w:t>, just as in the 3.6 GHz band</w:t>
      </w:r>
      <w:r w:rsidRPr="00C450C5">
        <w:t>)</w:t>
      </w:r>
      <w:r w:rsidR="007060EC">
        <w:t>.</w:t>
      </w:r>
      <w:r w:rsidR="007551FA">
        <w:t xml:space="preserve">  </w:t>
      </w:r>
      <w:r w:rsidR="000C40FC" w:rsidRPr="000C40FC">
        <w:t xml:space="preserve">There are a limited number of earth stations </w:t>
      </w:r>
      <w:r w:rsidR="000C40FC">
        <w:t xml:space="preserve">around the world that </w:t>
      </w:r>
      <w:r w:rsidR="00E43AFC">
        <w:t xml:space="preserve">are capable of </w:t>
      </w:r>
      <w:r w:rsidR="000C40FC">
        <w:t>support</w:t>
      </w:r>
      <w:r w:rsidR="00E43AFC">
        <w:t>ing</w:t>
      </w:r>
      <w:r w:rsidR="000C40FC">
        <w:t xml:space="preserve"> these </w:t>
      </w:r>
      <w:r w:rsidR="00E43AFC">
        <w:t xml:space="preserve">essential </w:t>
      </w:r>
      <w:r w:rsidR="000C40FC">
        <w:t xml:space="preserve">services.  </w:t>
      </w:r>
      <w:r w:rsidR="007551FA">
        <w:t>Once the satellite reaches the geostationary orbit, use of the telemetry links continue</w:t>
      </w:r>
      <w:r w:rsidR="00E43AFC">
        <w:t>s</w:t>
      </w:r>
      <w:r w:rsidR="007551FA">
        <w:t xml:space="preserve"> to be necessary during in-orbit testing </w:t>
      </w:r>
      <w:r w:rsidR="00752CF0">
        <w:t>and when the satellite is used for during regular operations</w:t>
      </w:r>
      <w:r w:rsidR="007551FA">
        <w:t>.</w:t>
      </w:r>
      <w:r w:rsidR="000E3026">
        <w:t xml:space="preserve">  </w:t>
      </w:r>
      <w:r w:rsidR="00C473B7">
        <w:t>O</w:t>
      </w:r>
      <w:r w:rsidR="00C473B7" w:rsidRPr="000E3026">
        <w:t>ver the mission life</w:t>
      </w:r>
      <w:r w:rsidR="00E43AFC">
        <w:t xml:space="preserve"> of any given satellite</w:t>
      </w:r>
      <w:r w:rsidR="00C473B7">
        <w:t xml:space="preserve">, </w:t>
      </w:r>
      <w:r w:rsidR="00C473B7" w:rsidRPr="000E3026">
        <w:t>Lockheed Martin</w:t>
      </w:r>
      <w:r w:rsidR="00E43AFC">
        <w:t>’s Uralla site</w:t>
      </w:r>
      <w:r w:rsidR="00C473B7" w:rsidRPr="000E3026">
        <w:t xml:space="preserve"> </w:t>
      </w:r>
      <w:r w:rsidR="00E43AFC">
        <w:t xml:space="preserve">can be </w:t>
      </w:r>
      <w:r w:rsidR="00C473B7" w:rsidRPr="000E3026">
        <w:t xml:space="preserve">requested to provide technical and operational support to active spacecraft.  </w:t>
      </w:r>
    </w:p>
    <w:p w14:paraId="52052DED" w14:textId="6AC6F867" w:rsidR="00C450C5" w:rsidRDefault="000E3026" w:rsidP="00C143BB">
      <w:pPr>
        <w:spacing w:after="120"/>
        <w:ind w:firstLine="720"/>
      </w:pPr>
      <w:r w:rsidRPr="0072149B">
        <w:t xml:space="preserve">Protection of earth stations that support TOSS, IOT, and provide regular TT&amp;C </w:t>
      </w:r>
      <w:r w:rsidR="00546BF0" w:rsidRPr="0072149B">
        <w:t xml:space="preserve">in the 3700-4200 MHz band </w:t>
      </w:r>
      <w:r w:rsidR="00F30EDD" w:rsidRPr="0072149B">
        <w:t>is</w:t>
      </w:r>
      <w:r w:rsidRPr="0072149B">
        <w:t xml:space="preserve"> critical.  </w:t>
      </w:r>
      <w:r w:rsidR="00E75180" w:rsidRPr="00D70CEF">
        <w:rPr>
          <w:rFonts w:cs="Times New Roman"/>
        </w:rPr>
        <w:t xml:space="preserve">If these earth stations receive interference at a level that </w:t>
      </w:r>
      <w:r w:rsidR="00E43AFC">
        <w:rPr>
          <w:rFonts w:cs="Times New Roman"/>
        </w:rPr>
        <w:t>degrades or prevents</w:t>
      </w:r>
      <w:r w:rsidR="00E75180" w:rsidRPr="00D70CEF">
        <w:rPr>
          <w:rFonts w:cs="Times New Roman"/>
        </w:rPr>
        <w:t xml:space="preserve"> their functioning (whether harmful or unacceptable), control of the satellite could be lost.  Wireless broadband systems located within the vicinity of a telemetry receive station would unquestionably cause harmful interference.  </w:t>
      </w:r>
      <w:r w:rsidR="00FC59E2" w:rsidRPr="0072149B">
        <w:t xml:space="preserve">The protection criteria for FSS telemetry receive links in the </w:t>
      </w:r>
      <w:r w:rsidR="00F30EDD" w:rsidRPr="0072149B">
        <w:t>3700-4200 MHz</w:t>
      </w:r>
      <w:r w:rsidR="00FC59E2" w:rsidRPr="0072149B">
        <w:t xml:space="preserve"> range are found in the publications of the International Telecommunication Union (“ITU”).</w:t>
      </w:r>
      <w:r w:rsidR="00FC59E2" w:rsidRPr="001E4453">
        <w:rPr>
          <w:rStyle w:val="FootnoteReference"/>
          <w:rFonts w:ascii="Times New Roman" w:hAnsi="Times New Roman" w:cs="Times New Roman"/>
        </w:rPr>
        <w:footnoteReference w:id="2"/>
      </w:r>
      <w:r w:rsidR="00E75180" w:rsidRPr="00E75180">
        <w:rPr>
          <w:rFonts w:ascii="Times New Roman" w:hAnsi="Times New Roman" w:cs="Times New Roman"/>
        </w:rPr>
        <w:t xml:space="preserve"> </w:t>
      </w:r>
    </w:p>
    <w:p w14:paraId="157A733C" w14:textId="0E660ECC" w:rsidR="0017042B" w:rsidRDefault="0017042B" w:rsidP="00D70CEF">
      <w:pPr>
        <w:spacing w:after="120"/>
        <w:ind w:firstLine="720"/>
      </w:pPr>
      <w:r>
        <w:t xml:space="preserve">Until such time as a rational analysis concludes that WBB needs access to </w:t>
      </w:r>
      <w:r w:rsidR="00E43AFC">
        <w:t xml:space="preserve">this </w:t>
      </w:r>
      <w:r>
        <w:t>spectrum</w:t>
      </w:r>
      <w:r w:rsidR="00E43AFC">
        <w:t>,</w:t>
      </w:r>
      <w:r>
        <w:t xml:space="preserve"> </w:t>
      </w:r>
      <w:r w:rsidR="00E43AFC">
        <w:t xml:space="preserve">in addition to the </w:t>
      </w:r>
      <w:r>
        <w:t xml:space="preserve">many gigahertz of WBB spectrum that are likely to be available to WBB in bands up to 50 GHz and beyond, </w:t>
      </w:r>
      <w:r w:rsidR="008177F4">
        <w:t>LMA</w:t>
      </w:r>
      <w:r w:rsidR="00752CF0">
        <w:t xml:space="preserve"> supports </w:t>
      </w:r>
      <w:r w:rsidR="008B73F0">
        <w:t>“</w:t>
      </w:r>
      <w:r>
        <w:t xml:space="preserve">Spectrum </w:t>
      </w:r>
      <w:r w:rsidR="00752CF0">
        <w:t>scenario d</w:t>
      </w:r>
      <w:r w:rsidR="008B73F0">
        <w:t>”</w:t>
      </w:r>
      <w:r w:rsidR="00752CF0">
        <w:t xml:space="preserve"> (</w:t>
      </w:r>
      <w:r w:rsidR="008B73F0">
        <w:t xml:space="preserve">which specifies </w:t>
      </w:r>
      <w:r w:rsidR="00752CF0">
        <w:t>“No change to current arrangements—incumbent use only”)</w:t>
      </w:r>
      <w:r>
        <w:t xml:space="preserve">.  WBB has proven itself to be incapable of co-frequency, co-coverage sharing with any incumbent services, and </w:t>
      </w:r>
      <w:r w:rsidR="00E43AFC">
        <w:t>W</w:t>
      </w:r>
      <w:r w:rsidR="00507C5F">
        <w:t>B</w:t>
      </w:r>
      <w:r w:rsidR="00E43AFC">
        <w:t xml:space="preserve">B </w:t>
      </w:r>
      <w:r w:rsidR="008B73F0">
        <w:t>proponents have been resistant to having</w:t>
      </w:r>
      <w:r>
        <w:t xml:space="preserve"> limitations incorporated into arrangements for spectrum to which </w:t>
      </w:r>
      <w:r w:rsidR="008B73F0">
        <w:t>they</w:t>
      </w:r>
      <w:r>
        <w:t xml:space="preserve"> </w:t>
      </w:r>
      <w:r w:rsidR="008B73F0">
        <w:t>are</w:t>
      </w:r>
      <w:r>
        <w:t xml:space="preserve"> </w:t>
      </w:r>
      <w:r w:rsidR="00E43AFC">
        <w:t xml:space="preserve">seeking shared </w:t>
      </w:r>
      <w:r>
        <w:t xml:space="preserve">access.  These two factors heighten the importance of assessing and validating spectrum requirements before planning for any additional spectrum allocations for WBB use.  </w:t>
      </w:r>
      <w:r w:rsidR="00752CF0">
        <w:t xml:space="preserve"> </w:t>
      </w:r>
    </w:p>
    <w:p w14:paraId="2116B409" w14:textId="467912D6" w:rsidR="00546BF0" w:rsidRDefault="0017042B" w:rsidP="00E520DA">
      <w:pPr>
        <w:spacing w:after="120"/>
        <w:ind w:firstLine="720"/>
      </w:pPr>
      <w:r>
        <w:t>If rational analysis concludes that WBB does require access to spectrum in the 3700-4200 MHz, LMA urges ACMA to take</w:t>
      </w:r>
      <w:r w:rsidR="00D70CEF">
        <w:t xml:space="preserve"> a similar approach</w:t>
      </w:r>
      <w:r>
        <w:t xml:space="preserve"> for LMA’s Uralla facility that was taken for the 3.6 GHz band with respect to Cell No. NU7K4 under the HCIS, and carve out a protection zone for the critical TT&amp;C, IOT, and TOSS operations that LMA conducts in the FSS through the Uralla facility’s earth stations.  </w:t>
      </w:r>
      <w:r w:rsidR="00DC1FED">
        <w:t xml:space="preserve">LMA notes with favor that its Uralla facility is included in ACMA’s new Radiocommunications Assignment and Licensing Instruction (RALI) for the management of interference to Earth stations in earth station protection zones (ESPZ) – for the bands 3600-4200 MHz.  </w:t>
      </w:r>
      <w:r w:rsidR="00DC1FED">
        <w:rPr>
          <w:i/>
          <w:iCs/>
        </w:rPr>
        <w:t xml:space="preserve">See </w:t>
      </w:r>
      <w:r w:rsidR="00DC1FED">
        <w:t>RALI:  MS</w:t>
      </w:r>
      <w:r w:rsidR="00C95449">
        <w:t xml:space="preserve"> </w:t>
      </w:r>
      <w:r w:rsidR="00DC1FED">
        <w:t xml:space="preserve">44, Frequency coordination </w:t>
      </w:r>
      <w:r w:rsidR="00DC1FED">
        <w:lastRenderedPageBreak/>
        <w:t>procedures for the earth station protection zones (Effective 2 August 2019).</w:t>
      </w:r>
      <w:r w:rsidR="00F46262">
        <w:rPr>
          <w:rStyle w:val="FootnoteReference"/>
        </w:rPr>
        <w:footnoteReference w:id="3"/>
      </w:r>
      <w:r w:rsidR="00DC1FED">
        <w:t xml:space="preserve">  As long as this protection (essentially a zone of 160 km around the Uralla facility with no WBB) is maintained, LMA is assured of its ability to continue to operate the facility and serve the worldwide FSS community.</w:t>
      </w:r>
    </w:p>
    <w:p w14:paraId="1A2544BF" w14:textId="3B0E692D" w:rsidR="0038175D" w:rsidRDefault="0038175D" w:rsidP="00C143BB">
      <w:pPr>
        <w:spacing w:after="120"/>
        <w:ind w:firstLine="720"/>
      </w:pPr>
      <w:r>
        <w:t xml:space="preserve">Finally, LMA </w:t>
      </w:r>
      <w:r w:rsidR="00E43AFC">
        <w:t xml:space="preserve">concurs with </w:t>
      </w:r>
      <w:r>
        <w:t>ACMA, there are sensitive aeronautical and aviation service uses of spectrum in the 4200-4400 MHz band, including aeronautical radionavigation and aeronautical mobile services.  If any consideration is given to WBB in the portion of the 3700-4200 MHz band immediately adjacent to the aeronautical service spectrum above 4200 MHz, ACMA must first conduct sharing and compatibility studies and conclude that the WBB operations will not interfere with or otherwise constrain the aeronautical operations.  Interference to the aeronautical operations cannot be tolerated, and the WBB industry’s aversion to any constraints on its flexibility</w:t>
      </w:r>
      <w:r w:rsidR="005D56B3">
        <w:t xml:space="preserve"> of operation</w:t>
      </w:r>
      <w:r>
        <w:t xml:space="preserve"> must be taken into account when considering </w:t>
      </w:r>
      <w:r w:rsidR="00E43AFC">
        <w:t xml:space="preserve">whether it would be appropriate to introduce WBB </w:t>
      </w:r>
      <w:r>
        <w:t>access to spectrum adjacent to the 4200 MHz band edge of the 3700-4200 MHz band</w:t>
      </w:r>
      <w:r w:rsidR="00E43AFC">
        <w:t xml:space="preserve"> – there would need be guard bands of some significant size to protect </w:t>
      </w:r>
      <w:r w:rsidR="00507C5F">
        <w:t>aeronautical operations.</w:t>
      </w:r>
    </w:p>
    <w:p w14:paraId="5BA77FF6" w14:textId="77777777" w:rsidR="00825341" w:rsidRPr="008465F6" w:rsidRDefault="00825341" w:rsidP="002E28A7"/>
    <w:p w14:paraId="64954103" w14:textId="77777777" w:rsidR="003E0361" w:rsidRPr="008465F6" w:rsidRDefault="0009618A" w:rsidP="0009618A">
      <w:pPr>
        <w:pStyle w:val="ListBullet"/>
        <w:numPr>
          <w:ilvl w:val="0"/>
          <w:numId w:val="0"/>
        </w:numPr>
        <w:spacing w:after="240"/>
        <w:ind w:left="295" w:hanging="295"/>
        <w:rPr>
          <w:rFonts w:asciiTheme="minorHAnsi" w:hAnsiTheme="minorHAnsi" w:cs="Arial"/>
          <w:sz w:val="24"/>
          <w:u w:val="single"/>
        </w:rPr>
      </w:pPr>
      <w:r w:rsidRPr="008465F6">
        <w:rPr>
          <w:rFonts w:asciiTheme="minorHAnsi" w:hAnsiTheme="minorHAnsi" w:cs="Arial"/>
          <w:sz w:val="24"/>
          <w:u w:val="single"/>
        </w:rPr>
        <w:t>Conclusion</w:t>
      </w:r>
    </w:p>
    <w:p w14:paraId="4CEC001B" w14:textId="5B502FEF" w:rsidR="0009618A" w:rsidRDefault="0009618A" w:rsidP="00E520DA">
      <w:pPr>
        <w:spacing w:after="120"/>
      </w:pPr>
      <w:r w:rsidRPr="008465F6">
        <w:tab/>
        <w:t xml:space="preserve">LMA appreciates the opportunity to provide its comments and views on the ACMA consultation </w:t>
      </w:r>
      <w:r w:rsidR="004102F6">
        <w:t>on</w:t>
      </w:r>
      <w:r w:rsidRPr="008465F6">
        <w:t xml:space="preserve"> </w:t>
      </w:r>
      <w:r w:rsidR="00FB4FE2">
        <w:t>planning for the 3700-4200 MHz band</w:t>
      </w:r>
      <w:r w:rsidRPr="008465F6">
        <w:t xml:space="preserve">.  LMA recognizes </w:t>
      </w:r>
      <w:r w:rsidR="00C86A60">
        <w:t>that wireless services</w:t>
      </w:r>
      <w:r w:rsidR="00C86A60" w:rsidRPr="008465F6">
        <w:t xml:space="preserve"> </w:t>
      </w:r>
      <w:r w:rsidR="00C86A60">
        <w:t xml:space="preserve">and </w:t>
      </w:r>
      <w:r w:rsidR="00C86A60" w:rsidRPr="008465F6">
        <w:t xml:space="preserve">the role of </w:t>
      </w:r>
      <w:r w:rsidR="00C86A60">
        <w:t>space</w:t>
      </w:r>
      <w:r w:rsidR="00C86A60" w:rsidRPr="008465F6">
        <w:t xml:space="preserve"> </w:t>
      </w:r>
      <w:r w:rsidR="00C86A60">
        <w:t>are</w:t>
      </w:r>
      <w:r w:rsidR="00C86A60" w:rsidRPr="008465F6">
        <w:t xml:space="preserve"> </w:t>
      </w:r>
      <w:r w:rsidR="00C86A60">
        <w:t>dually</w:t>
      </w:r>
      <w:r w:rsidR="00BB3B22">
        <w:t xml:space="preserve"> </w:t>
      </w:r>
      <w:r w:rsidR="00C86A60" w:rsidRPr="008465F6">
        <w:t>importan</w:t>
      </w:r>
      <w:r w:rsidR="00C86A60">
        <w:t>t</w:t>
      </w:r>
      <w:r w:rsidR="00C86A60" w:rsidRPr="008465F6">
        <w:t xml:space="preserve"> </w:t>
      </w:r>
      <w:r w:rsidR="00BB3B22">
        <w:t>to the Australian economy and future</w:t>
      </w:r>
      <w:r w:rsidR="00C86A60">
        <w:t xml:space="preserve">.  LMA’s </w:t>
      </w:r>
      <w:r w:rsidR="00C86A60" w:rsidRPr="008465F6">
        <w:t>longstanding operations</w:t>
      </w:r>
      <w:r w:rsidR="007633A1">
        <w:t>, and potential future expansion</w:t>
      </w:r>
      <w:r w:rsidR="00306CB8">
        <w:t xml:space="preserve"> </w:t>
      </w:r>
      <w:r w:rsidR="00635564">
        <w:t>to support the growing demand</w:t>
      </w:r>
      <w:r w:rsidR="007633A1">
        <w:t>,</w:t>
      </w:r>
      <w:r w:rsidR="00C86A60" w:rsidRPr="008465F6">
        <w:t xml:space="preserve"> at its Uralla facility in rural New South Wales</w:t>
      </w:r>
      <w:r w:rsidR="00C86A60">
        <w:t xml:space="preserve"> serve </w:t>
      </w:r>
      <w:r w:rsidRPr="008465F6">
        <w:t xml:space="preserve">commercial satellite services worldwide </w:t>
      </w:r>
      <w:r w:rsidR="006B482F">
        <w:t>to further</w:t>
      </w:r>
      <w:r w:rsidR="007633A1">
        <w:t xml:space="preserve"> Australia’s role in space leadership</w:t>
      </w:r>
      <w:r w:rsidRPr="008465F6">
        <w:t xml:space="preserve">. </w:t>
      </w:r>
      <w:r w:rsidR="00F14FFC">
        <w:t xml:space="preserve"> </w:t>
      </w:r>
    </w:p>
    <w:p w14:paraId="7EE437D7" w14:textId="143F24A0" w:rsidR="004102F6" w:rsidRPr="008465F6" w:rsidRDefault="004102F6" w:rsidP="004102F6">
      <w:pPr>
        <w:ind w:firstLine="720"/>
      </w:pPr>
      <w:r w:rsidRPr="008465F6">
        <w:t>LMA stands prepared to address any further points that require discussion as this consultation moves forward.</w:t>
      </w:r>
    </w:p>
    <w:p w14:paraId="6CF17944" w14:textId="77777777" w:rsidR="0009618A" w:rsidRPr="008465F6" w:rsidRDefault="0009618A" w:rsidP="000D3DDF"/>
    <w:p w14:paraId="06C6113B" w14:textId="77777777" w:rsidR="0009618A" w:rsidRPr="008465F6" w:rsidRDefault="0009618A" w:rsidP="000D3DDF">
      <w:r w:rsidRPr="008465F6">
        <w:tab/>
      </w:r>
      <w:r w:rsidRPr="008465F6">
        <w:tab/>
      </w:r>
      <w:r w:rsidRPr="008465F6">
        <w:tab/>
      </w:r>
      <w:r w:rsidRPr="008465F6">
        <w:tab/>
      </w:r>
      <w:r w:rsidRPr="008465F6">
        <w:tab/>
        <w:t>Respectfully submitted,</w:t>
      </w:r>
    </w:p>
    <w:p w14:paraId="778FAAB8" w14:textId="77777777" w:rsidR="0009618A" w:rsidRPr="008465F6" w:rsidRDefault="0009618A" w:rsidP="000D3DDF"/>
    <w:p w14:paraId="5D954E14" w14:textId="2FCF51A1" w:rsidR="0009618A" w:rsidRPr="008465F6" w:rsidRDefault="0073730C" w:rsidP="000D3DDF">
      <w:pPr>
        <w:rPr>
          <w:i/>
        </w:rPr>
      </w:pPr>
      <w:r w:rsidRPr="008465F6">
        <w:tab/>
      </w:r>
      <w:r w:rsidRPr="008465F6">
        <w:tab/>
      </w:r>
      <w:r w:rsidRPr="008465F6">
        <w:tab/>
      </w:r>
      <w:r w:rsidRPr="008465F6">
        <w:tab/>
      </w:r>
      <w:r w:rsidRPr="008465F6">
        <w:tab/>
      </w:r>
      <w:r w:rsidR="001B78A1">
        <w:rPr>
          <w:rFonts w:ascii="Lucida Calligraphy" w:eastAsia="MS Mincho" w:hAnsi="Lucida Calligraphy" w:cs="Apple Chancery"/>
          <w:u w:val="single"/>
        </w:rPr>
        <w:t>Scott</w:t>
      </w:r>
      <w:r w:rsidR="00CF01AA" w:rsidRPr="005C0719">
        <w:rPr>
          <w:rFonts w:ascii="Lucida Calligraphy" w:eastAsia="MS Mincho" w:hAnsi="Lucida Calligraphy" w:cs="Apple Chancery"/>
          <w:u w:val="single"/>
        </w:rPr>
        <w:t xml:space="preserve"> A. </w:t>
      </w:r>
      <w:r w:rsidR="001B78A1">
        <w:rPr>
          <w:rFonts w:ascii="Lucida Calligraphy" w:eastAsia="MS Mincho" w:hAnsi="Lucida Calligraphy" w:cs="Apple Chancery"/>
          <w:u w:val="single"/>
        </w:rPr>
        <w:t>Kotler</w:t>
      </w:r>
    </w:p>
    <w:p w14:paraId="43E12B35" w14:textId="31251A12" w:rsidR="0009618A" w:rsidRPr="008465F6" w:rsidRDefault="0009618A" w:rsidP="000D3DDF">
      <w:r w:rsidRPr="008465F6">
        <w:tab/>
      </w:r>
      <w:r w:rsidRPr="008465F6">
        <w:tab/>
      </w:r>
      <w:r w:rsidRPr="008465F6">
        <w:tab/>
      </w:r>
      <w:r w:rsidRPr="008465F6">
        <w:tab/>
      </w:r>
      <w:r w:rsidRPr="008465F6">
        <w:tab/>
      </w:r>
      <w:r w:rsidR="001B78A1">
        <w:t>Scott</w:t>
      </w:r>
      <w:r w:rsidRPr="008465F6">
        <w:t xml:space="preserve"> A. </w:t>
      </w:r>
      <w:r w:rsidR="001B78A1">
        <w:t>Kotler</w:t>
      </w:r>
    </w:p>
    <w:p w14:paraId="30437735" w14:textId="24356F2C" w:rsidR="0092763A" w:rsidRPr="008465F6" w:rsidRDefault="0009618A" w:rsidP="0092763A">
      <w:r w:rsidRPr="008465F6">
        <w:tab/>
      </w:r>
      <w:r w:rsidRPr="008465F6">
        <w:tab/>
      </w:r>
      <w:r w:rsidRPr="008465F6">
        <w:tab/>
      </w:r>
      <w:r w:rsidRPr="008465F6">
        <w:tab/>
      </w:r>
      <w:r w:rsidRPr="008465F6">
        <w:tab/>
      </w:r>
      <w:r w:rsidR="001B78A1">
        <w:t>Director</w:t>
      </w:r>
      <w:r w:rsidR="0092763A" w:rsidRPr="008465F6">
        <w:rPr>
          <w:rFonts w:eastAsia="MS Mincho"/>
          <w:color w:val="000000"/>
        </w:rPr>
        <w:t xml:space="preserve">, </w:t>
      </w:r>
      <w:r w:rsidR="001B78A1">
        <w:rPr>
          <w:rFonts w:eastAsia="MS Mincho"/>
          <w:color w:val="000000"/>
        </w:rPr>
        <w:t>Technical Regulatory Affairs</w:t>
      </w:r>
    </w:p>
    <w:p w14:paraId="2740F5C3" w14:textId="76E2EF75" w:rsidR="0092763A" w:rsidRPr="008465F6" w:rsidRDefault="001B78A1" w:rsidP="0092763A">
      <w:pPr>
        <w:autoSpaceDE w:val="0"/>
        <w:autoSpaceDN w:val="0"/>
        <w:adjustRightInd w:val="0"/>
        <w:ind w:left="2880" w:firstLine="720"/>
        <w:rPr>
          <w:rFonts w:eastAsia="MS Mincho"/>
          <w:color w:val="000000"/>
        </w:rPr>
      </w:pPr>
      <w:r>
        <w:rPr>
          <w:rFonts w:eastAsia="MS Mincho"/>
          <w:color w:val="000000"/>
        </w:rPr>
        <w:t>Civil</w:t>
      </w:r>
      <w:r w:rsidR="0092763A" w:rsidRPr="008465F6">
        <w:rPr>
          <w:rFonts w:eastAsia="MS Mincho"/>
          <w:color w:val="000000"/>
        </w:rPr>
        <w:t xml:space="preserve"> &amp; Regulatory Affairs</w:t>
      </w:r>
    </w:p>
    <w:p w14:paraId="0220F496" w14:textId="77777777" w:rsidR="0092763A" w:rsidRPr="008465F6" w:rsidRDefault="0092763A" w:rsidP="0092763A">
      <w:pPr>
        <w:autoSpaceDE w:val="0"/>
        <w:autoSpaceDN w:val="0"/>
        <w:adjustRightInd w:val="0"/>
        <w:ind w:left="2880" w:firstLine="720"/>
        <w:rPr>
          <w:rFonts w:eastAsia="MS Mincho"/>
          <w:color w:val="000000"/>
        </w:rPr>
      </w:pPr>
    </w:p>
    <w:p w14:paraId="4553E18E" w14:textId="77777777" w:rsidR="0092763A" w:rsidRPr="008465F6" w:rsidRDefault="0092763A" w:rsidP="0092763A">
      <w:pPr>
        <w:autoSpaceDE w:val="0"/>
        <w:autoSpaceDN w:val="0"/>
        <w:adjustRightInd w:val="0"/>
        <w:ind w:left="2880" w:firstLine="720"/>
        <w:rPr>
          <w:rFonts w:eastAsia="MS Mincho"/>
          <w:color w:val="000000"/>
        </w:rPr>
      </w:pPr>
      <w:r w:rsidRPr="008465F6">
        <w:rPr>
          <w:rFonts w:eastAsia="MS Mincho"/>
          <w:color w:val="000000"/>
        </w:rPr>
        <w:t>Lockheed Martin Government Affairs</w:t>
      </w:r>
    </w:p>
    <w:p w14:paraId="3FE6A0DB" w14:textId="1BB63CF0" w:rsidR="00427A94" w:rsidRPr="008465F6" w:rsidRDefault="0092763A" w:rsidP="000D3DDF">
      <w:pPr>
        <w:rPr>
          <w:rFonts w:eastAsia="MS Mincho"/>
          <w:i/>
          <w:color w:val="000000"/>
        </w:rPr>
      </w:pPr>
      <w:r w:rsidRPr="008465F6">
        <w:rPr>
          <w:rFonts w:eastAsia="MS Mincho"/>
          <w:color w:val="000000"/>
        </w:rPr>
        <w:tab/>
      </w:r>
      <w:r w:rsidRPr="008465F6">
        <w:rPr>
          <w:rFonts w:eastAsia="MS Mincho"/>
          <w:color w:val="000000"/>
        </w:rPr>
        <w:tab/>
      </w:r>
      <w:r w:rsidRPr="008465F6">
        <w:rPr>
          <w:rFonts w:eastAsia="MS Mincho"/>
          <w:color w:val="000000"/>
        </w:rPr>
        <w:tab/>
      </w:r>
      <w:r w:rsidRPr="008465F6">
        <w:rPr>
          <w:rFonts w:eastAsia="MS Mincho"/>
          <w:color w:val="000000"/>
        </w:rPr>
        <w:tab/>
      </w:r>
      <w:r w:rsidRPr="008465F6">
        <w:rPr>
          <w:rFonts w:eastAsia="MS Mincho"/>
          <w:color w:val="000000"/>
        </w:rPr>
        <w:tab/>
      </w:r>
      <w:r w:rsidRPr="008465F6">
        <w:rPr>
          <w:rFonts w:eastAsia="MS Mincho"/>
          <w:i/>
          <w:color w:val="000000"/>
        </w:rPr>
        <w:t>on behalf of Lockheed Martin – Australia Pty Ltd</w:t>
      </w:r>
    </w:p>
    <w:sectPr w:rsidR="00427A94" w:rsidRPr="008465F6" w:rsidSect="00354FCB">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1E3693" w14:textId="77777777" w:rsidR="002D68A9" w:rsidRDefault="002D68A9" w:rsidP="0007186D">
      <w:r>
        <w:separator/>
      </w:r>
    </w:p>
  </w:endnote>
  <w:endnote w:type="continuationSeparator" w:id="0">
    <w:p w14:paraId="7C2DD7B1" w14:textId="77777777" w:rsidR="002D68A9" w:rsidRDefault="002D68A9" w:rsidP="000718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NeueLT Std Lt">
    <w:altName w:val="Times New Roman"/>
    <w:panose1 w:val="00000000000000000000"/>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Calligraphy">
    <w:panose1 w:val="03010101010101010101"/>
    <w:charset w:val="00"/>
    <w:family w:val="script"/>
    <w:pitch w:val="variable"/>
    <w:sig w:usb0="00000003" w:usb1="00000000" w:usb2="00000000" w:usb3="00000000" w:csb0="00000001" w:csb1="00000000"/>
  </w:font>
  <w:font w:name="Apple Chancery">
    <w:charset w:val="B1"/>
    <w:family w:val="script"/>
    <w:pitch w:val="variable"/>
    <w:sig w:usb0="80000867" w:usb1="00000003" w:usb2="00000000" w:usb3="00000000" w:csb0="000001F3"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A36833" w14:textId="77777777" w:rsidR="007A0472" w:rsidRDefault="007A04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D1F552" w14:textId="77777777" w:rsidR="007A0472" w:rsidRDefault="007A047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CE3155" w14:textId="1DECABBF" w:rsidR="001B78A1" w:rsidRDefault="001B78A1" w:rsidP="001B78A1">
    <w:pPr>
      <w:pStyle w:val="Footer"/>
      <w:tabs>
        <w:tab w:val="clear" w:pos="4320"/>
        <w:tab w:val="clear" w:pos="8640"/>
        <w:tab w:val="left" w:pos="522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1BF03C" w14:textId="77777777" w:rsidR="002D68A9" w:rsidRDefault="002D68A9" w:rsidP="0007186D">
      <w:r>
        <w:separator/>
      </w:r>
    </w:p>
  </w:footnote>
  <w:footnote w:type="continuationSeparator" w:id="0">
    <w:p w14:paraId="46B5F786" w14:textId="77777777" w:rsidR="002D68A9" w:rsidRDefault="002D68A9" w:rsidP="0007186D">
      <w:r>
        <w:continuationSeparator/>
      </w:r>
    </w:p>
  </w:footnote>
  <w:footnote w:id="1">
    <w:p w14:paraId="34AAB3DE" w14:textId="24B63485" w:rsidR="00A20A25" w:rsidRPr="00402CB3" w:rsidRDefault="00A20A25" w:rsidP="00A20A25">
      <w:pPr>
        <w:pStyle w:val="FootnoteText"/>
        <w:rPr>
          <w:rFonts w:ascii="Times New Roman" w:hAnsi="Times New Roman" w:cs="Times New Roman"/>
          <w:sz w:val="20"/>
          <w:szCs w:val="20"/>
        </w:rPr>
      </w:pPr>
      <w:r w:rsidRPr="00402CB3">
        <w:rPr>
          <w:rStyle w:val="FootnoteReference"/>
          <w:rFonts w:ascii="Times New Roman" w:hAnsi="Times New Roman" w:cs="Times New Roman"/>
          <w:sz w:val="20"/>
          <w:szCs w:val="20"/>
        </w:rPr>
        <w:footnoteRef/>
      </w:r>
      <w:r w:rsidRPr="00402CB3">
        <w:rPr>
          <w:rFonts w:ascii="Times New Roman" w:hAnsi="Times New Roman" w:cs="Times New Roman"/>
          <w:sz w:val="20"/>
          <w:szCs w:val="20"/>
        </w:rPr>
        <w:t xml:space="preserve"> </w:t>
      </w:r>
      <w:r w:rsidRPr="00402CB3">
        <w:rPr>
          <w:rFonts w:ascii="Times New Roman" w:hAnsi="Times New Roman" w:cs="Times New Roman"/>
          <w:sz w:val="20"/>
          <w:szCs w:val="20"/>
        </w:rPr>
        <w:tab/>
        <w:t>While these are the current active licenses, for TOSS and IOT</w:t>
      </w:r>
      <w:r w:rsidR="00F34621" w:rsidRPr="00402CB3">
        <w:rPr>
          <w:rFonts w:ascii="Times New Roman" w:hAnsi="Times New Roman" w:cs="Times New Roman"/>
          <w:sz w:val="20"/>
          <w:szCs w:val="20"/>
        </w:rPr>
        <w:t>,</w:t>
      </w:r>
      <w:r w:rsidRPr="00402CB3">
        <w:rPr>
          <w:rFonts w:ascii="Times New Roman" w:hAnsi="Times New Roman" w:cs="Times New Roman"/>
          <w:sz w:val="20"/>
          <w:szCs w:val="20"/>
        </w:rPr>
        <w:t xml:space="preserve"> </w:t>
      </w:r>
      <w:r w:rsidR="00583C86" w:rsidRPr="00402CB3">
        <w:rPr>
          <w:rFonts w:ascii="Times New Roman" w:hAnsi="Times New Roman" w:cs="Times New Roman"/>
          <w:sz w:val="20"/>
          <w:szCs w:val="20"/>
        </w:rPr>
        <w:t xml:space="preserve">LMA </w:t>
      </w:r>
      <w:r w:rsidRPr="00402CB3">
        <w:rPr>
          <w:rFonts w:ascii="Times New Roman" w:hAnsi="Times New Roman" w:cs="Times New Roman"/>
          <w:sz w:val="20"/>
          <w:szCs w:val="20"/>
        </w:rPr>
        <w:t>generally seek</w:t>
      </w:r>
      <w:r w:rsidR="00F34621" w:rsidRPr="00402CB3">
        <w:rPr>
          <w:rFonts w:ascii="Times New Roman" w:hAnsi="Times New Roman" w:cs="Times New Roman"/>
          <w:sz w:val="20"/>
          <w:szCs w:val="20"/>
        </w:rPr>
        <w:t>s</w:t>
      </w:r>
      <w:r w:rsidRPr="00402CB3">
        <w:rPr>
          <w:rFonts w:ascii="Times New Roman" w:hAnsi="Times New Roman" w:cs="Times New Roman"/>
          <w:sz w:val="20"/>
          <w:szCs w:val="20"/>
        </w:rPr>
        <w:t xml:space="preserve"> licenses for about six months after which they expire. There have been numerous other licenses that have since expire</w:t>
      </w:r>
      <w:r w:rsidR="00926CF3" w:rsidRPr="00402CB3">
        <w:rPr>
          <w:rFonts w:ascii="Times New Roman" w:hAnsi="Times New Roman" w:cs="Times New Roman"/>
          <w:sz w:val="20"/>
          <w:szCs w:val="20"/>
        </w:rPr>
        <w:t>d</w:t>
      </w:r>
      <w:r w:rsidRPr="00402CB3">
        <w:rPr>
          <w:rFonts w:ascii="Times New Roman" w:hAnsi="Times New Roman" w:cs="Times New Roman"/>
          <w:sz w:val="20"/>
          <w:szCs w:val="20"/>
        </w:rPr>
        <w:t xml:space="preserve"> </w:t>
      </w:r>
      <w:r w:rsidR="00926CF3" w:rsidRPr="00402CB3">
        <w:rPr>
          <w:rFonts w:ascii="Times New Roman" w:hAnsi="Times New Roman" w:cs="Times New Roman"/>
          <w:sz w:val="20"/>
          <w:szCs w:val="20"/>
        </w:rPr>
        <w:t>for</w:t>
      </w:r>
      <w:r w:rsidRPr="00402CB3">
        <w:rPr>
          <w:rFonts w:ascii="Times New Roman" w:hAnsi="Times New Roman" w:cs="Times New Roman"/>
          <w:sz w:val="20"/>
          <w:szCs w:val="20"/>
        </w:rPr>
        <w:t xml:space="preserve"> the 3700-4200 MHz band.  Further, </w:t>
      </w:r>
      <w:r w:rsidR="00583C86" w:rsidRPr="00402CB3">
        <w:rPr>
          <w:rFonts w:ascii="Times New Roman" w:hAnsi="Times New Roman" w:cs="Times New Roman"/>
          <w:sz w:val="20"/>
          <w:szCs w:val="20"/>
        </w:rPr>
        <w:t xml:space="preserve">LMA </w:t>
      </w:r>
      <w:r w:rsidRPr="00402CB3">
        <w:rPr>
          <w:rFonts w:ascii="Times New Roman" w:hAnsi="Times New Roman" w:cs="Times New Roman"/>
          <w:sz w:val="20"/>
          <w:szCs w:val="20"/>
        </w:rPr>
        <w:t>expect</w:t>
      </w:r>
      <w:r w:rsidR="00583C86" w:rsidRPr="00402CB3">
        <w:rPr>
          <w:rFonts w:ascii="Times New Roman" w:hAnsi="Times New Roman" w:cs="Times New Roman"/>
          <w:sz w:val="20"/>
          <w:szCs w:val="20"/>
        </w:rPr>
        <w:t>s</w:t>
      </w:r>
      <w:r w:rsidRPr="00402CB3">
        <w:rPr>
          <w:rFonts w:ascii="Times New Roman" w:hAnsi="Times New Roman" w:cs="Times New Roman"/>
          <w:sz w:val="20"/>
          <w:szCs w:val="20"/>
        </w:rPr>
        <w:t xml:space="preserve"> to seek further licenses </w:t>
      </w:r>
      <w:r w:rsidR="00583C86" w:rsidRPr="00402CB3">
        <w:rPr>
          <w:rFonts w:ascii="Times New Roman" w:hAnsi="Times New Roman" w:cs="Times New Roman"/>
          <w:sz w:val="20"/>
          <w:szCs w:val="20"/>
        </w:rPr>
        <w:t xml:space="preserve">for the Uralla earth station facility </w:t>
      </w:r>
      <w:r w:rsidRPr="00402CB3">
        <w:rPr>
          <w:rFonts w:ascii="Times New Roman" w:hAnsi="Times New Roman" w:cs="Times New Roman"/>
          <w:sz w:val="20"/>
          <w:szCs w:val="20"/>
        </w:rPr>
        <w:t xml:space="preserve">to support upcoming </w:t>
      </w:r>
      <w:r w:rsidR="00583C86" w:rsidRPr="00402CB3">
        <w:rPr>
          <w:rFonts w:ascii="Times New Roman" w:hAnsi="Times New Roman" w:cs="Times New Roman"/>
          <w:sz w:val="20"/>
          <w:szCs w:val="20"/>
        </w:rPr>
        <w:t xml:space="preserve">TT&amp;C, IOT, and TOSS </w:t>
      </w:r>
      <w:r w:rsidRPr="00402CB3">
        <w:rPr>
          <w:rFonts w:ascii="Times New Roman" w:hAnsi="Times New Roman" w:cs="Times New Roman"/>
          <w:sz w:val="20"/>
          <w:szCs w:val="20"/>
        </w:rPr>
        <w:t>requirements.</w:t>
      </w:r>
    </w:p>
  </w:footnote>
  <w:footnote w:id="2">
    <w:p w14:paraId="45FD9294" w14:textId="77777777" w:rsidR="00FC59E2" w:rsidRPr="00402CB3" w:rsidRDefault="00FC59E2" w:rsidP="00FC59E2">
      <w:pPr>
        <w:pStyle w:val="FootnoteText"/>
        <w:rPr>
          <w:rFonts w:ascii="Times New Roman" w:hAnsi="Times New Roman" w:cs="Times New Roman"/>
          <w:sz w:val="20"/>
          <w:szCs w:val="20"/>
        </w:rPr>
      </w:pPr>
      <w:r w:rsidRPr="00402CB3">
        <w:rPr>
          <w:rStyle w:val="FootnoteReference"/>
          <w:rFonts w:ascii="Times New Roman" w:hAnsi="Times New Roman" w:cs="Times New Roman"/>
          <w:sz w:val="20"/>
          <w:szCs w:val="20"/>
        </w:rPr>
        <w:footnoteRef/>
      </w:r>
      <w:r w:rsidRPr="00402CB3">
        <w:rPr>
          <w:rFonts w:ascii="Times New Roman" w:hAnsi="Times New Roman" w:cs="Times New Roman"/>
          <w:sz w:val="20"/>
          <w:szCs w:val="20"/>
        </w:rPr>
        <w:t xml:space="preserve"> </w:t>
      </w:r>
      <w:r w:rsidRPr="00402CB3">
        <w:rPr>
          <w:rFonts w:ascii="Times New Roman" w:hAnsi="Times New Roman" w:cs="Times New Roman"/>
          <w:sz w:val="20"/>
          <w:szCs w:val="20"/>
        </w:rPr>
        <w:tab/>
      </w:r>
      <w:r w:rsidRPr="00402CB3">
        <w:rPr>
          <w:rFonts w:ascii="Times New Roman" w:hAnsi="Times New Roman" w:cs="Times New Roman"/>
          <w:i/>
          <w:sz w:val="20"/>
          <w:szCs w:val="20"/>
        </w:rPr>
        <w:t xml:space="preserve">See, e.g., </w:t>
      </w:r>
      <w:r w:rsidRPr="00402CB3">
        <w:rPr>
          <w:rFonts w:ascii="Times New Roman" w:hAnsi="Times New Roman" w:cs="Times New Roman"/>
          <w:sz w:val="20"/>
          <w:szCs w:val="20"/>
        </w:rPr>
        <w:t>ITU-R Recommendation S.1432-1, Apportionment of the allowable error performance degradations to fixed-satellite service (FSS) hypothetical reference digital paths arising from time invariant interference for systems operating below 30 GHz (2006).</w:t>
      </w:r>
    </w:p>
  </w:footnote>
  <w:footnote w:id="3">
    <w:p w14:paraId="09F19153" w14:textId="6C80F384" w:rsidR="00F46262" w:rsidRPr="00402CB3" w:rsidRDefault="00F46262">
      <w:pPr>
        <w:pStyle w:val="FootnoteText"/>
        <w:rPr>
          <w:sz w:val="20"/>
          <w:szCs w:val="20"/>
        </w:rPr>
      </w:pPr>
      <w:r w:rsidRPr="00402CB3">
        <w:rPr>
          <w:rStyle w:val="FootnoteReference"/>
          <w:sz w:val="20"/>
          <w:szCs w:val="20"/>
        </w:rPr>
        <w:footnoteRef/>
      </w:r>
      <w:r w:rsidRPr="00402CB3">
        <w:rPr>
          <w:sz w:val="20"/>
          <w:szCs w:val="20"/>
        </w:rPr>
        <w:t xml:space="preserve"> RALI:  MS 44 specifically notes</w:t>
      </w:r>
      <w:r w:rsidR="0072149B" w:rsidRPr="00402CB3">
        <w:rPr>
          <w:sz w:val="20"/>
          <w:szCs w:val="20"/>
        </w:rPr>
        <w:t xml:space="preserve"> that the Uralla facility is protected from 3600-4200 MHz.</w:t>
      </w:r>
      <w:r w:rsidRPr="00402CB3">
        <w:rPr>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BA830B" w14:textId="77777777" w:rsidR="007A0472" w:rsidRDefault="007A04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8269D6" w14:textId="1884DAFE" w:rsidR="001B78A1" w:rsidRDefault="001B78A1" w:rsidP="001B78A1">
    <w:pPr>
      <w:pStyle w:val="Header"/>
    </w:pPr>
    <w:r>
      <w:t>Comments</w:t>
    </w:r>
    <w:r w:rsidR="00636CC9">
      <w:t xml:space="preserve"> </w:t>
    </w:r>
    <w:r w:rsidRPr="001B78A1">
      <w:t xml:space="preserve">on ACMA Consultation No. IFC </w:t>
    </w:r>
    <w:r w:rsidR="004F6FFD">
      <w:t>27</w:t>
    </w:r>
    <w:r w:rsidRPr="001B78A1">
      <w:t>/2019</w:t>
    </w:r>
  </w:p>
  <w:p w14:paraId="2E1F0142" w14:textId="2B2D3F2E" w:rsidR="00636CC9" w:rsidRDefault="004F6FFD" w:rsidP="001B78A1">
    <w:pPr>
      <w:pStyle w:val="Header"/>
    </w:pPr>
    <w:r>
      <w:t xml:space="preserve">September </w:t>
    </w:r>
    <w:r w:rsidR="00180C97">
      <w:t>12</w:t>
    </w:r>
    <w:r w:rsidR="00636CC9">
      <w:t>, 201</w:t>
    </w:r>
    <w:r w:rsidR="001B78A1">
      <w:t>9</w:t>
    </w:r>
  </w:p>
  <w:p w14:paraId="76801C50" w14:textId="77777777" w:rsidR="00636CC9" w:rsidRDefault="00636CC9" w:rsidP="00636CC9">
    <w:pPr>
      <w:pStyle w:val="Header"/>
    </w:pPr>
    <w:r>
      <w:rPr>
        <w:rFonts w:ascii="Times New Roman" w:hAnsi="Times New Roman" w:cs="Times New Roman"/>
      </w:rPr>
      <w:t xml:space="preserve">Page </w:t>
    </w:r>
    <w:r>
      <w:rPr>
        <w:rFonts w:ascii="Times New Roman" w:hAnsi="Times New Roman" w:cs="Times New Roman"/>
      </w:rPr>
      <w:fldChar w:fldCharType="begin"/>
    </w:r>
    <w:r>
      <w:rPr>
        <w:rFonts w:ascii="Times New Roman" w:hAnsi="Times New Roman" w:cs="Times New Roman"/>
      </w:rPr>
      <w:instrText xml:space="preserve"> PAGE </w:instrText>
    </w:r>
    <w:r>
      <w:rPr>
        <w:rFonts w:ascii="Times New Roman" w:hAnsi="Times New Roman" w:cs="Times New Roman"/>
      </w:rPr>
      <w:fldChar w:fldCharType="separate"/>
    </w:r>
    <w:r w:rsidR="00F64BD3">
      <w:rPr>
        <w:rFonts w:ascii="Times New Roman" w:hAnsi="Times New Roman" w:cs="Times New Roman"/>
        <w:noProof/>
      </w:rPr>
      <w:t>8</w:t>
    </w:r>
    <w:r>
      <w:rPr>
        <w:rFonts w:ascii="Times New Roman" w:hAnsi="Times New Roman" w:cs="Times New Roman"/>
      </w:rPr>
      <w:fldChar w:fldCharType="end"/>
    </w:r>
    <w:r>
      <w:rPr>
        <w:rFonts w:ascii="Times New Roman" w:hAnsi="Times New Roman" w:cs="Times New Roman"/>
      </w:rPr>
      <w:t xml:space="preserve"> of </w:t>
    </w:r>
    <w:r>
      <w:rPr>
        <w:rFonts w:ascii="Times New Roman" w:hAnsi="Times New Roman" w:cs="Times New Roman"/>
      </w:rPr>
      <w:fldChar w:fldCharType="begin"/>
    </w:r>
    <w:r>
      <w:rPr>
        <w:rFonts w:ascii="Times New Roman" w:hAnsi="Times New Roman" w:cs="Times New Roman"/>
      </w:rPr>
      <w:instrText xml:space="preserve"> NUMPAGES </w:instrText>
    </w:r>
    <w:r>
      <w:rPr>
        <w:rFonts w:ascii="Times New Roman" w:hAnsi="Times New Roman" w:cs="Times New Roman"/>
      </w:rPr>
      <w:fldChar w:fldCharType="separate"/>
    </w:r>
    <w:r w:rsidR="00F64BD3">
      <w:rPr>
        <w:rFonts w:ascii="Times New Roman" w:hAnsi="Times New Roman" w:cs="Times New Roman"/>
        <w:noProof/>
      </w:rPr>
      <w:t>8</w:t>
    </w:r>
    <w:r>
      <w:rPr>
        <w:rFonts w:ascii="Times New Roman" w:hAnsi="Times New Roman" w:cs="Times New Roman"/>
      </w:rPr>
      <w:fldChar w:fldCharType="end"/>
    </w:r>
  </w:p>
  <w:p w14:paraId="4A547603" w14:textId="3D5F4B20" w:rsidR="00636CC9" w:rsidRDefault="00636CC9" w:rsidP="00636CC9">
    <w:pPr>
      <w:pStyle w:val="Header"/>
      <w:tabs>
        <w:tab w:val="clear" w:pos="4320"/>
        <w:tab w:val="clear" w:pos="8640"/>
        <w:tab w:val="left" w:pos="6945"/>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5D73DC" w14:textId="0681EC04" w:rsidR="00636CC9" w:rsidRDefault="00636CC9" w:rsidP="00636CC9">
    <w:pPr>
      <w:pStyle w:val="LetterTitleBlock"/>
      <w:tabs>
        <w:tab w:val="left" w:pos="540"/>
        <w:tab w:val="left" w:pos="4860"/>
        <w:tab w:val="left" w:pos="5940"/>
        <w:tab w:val="left" w:pos="7200"/>
      </w:tabs>
      <w:spacing w:before="0"/>
      <w:jc w:val="both"/>
      <w:rPr>
        <w:rFonts w:ascii="Times New Roman" w:hAnsi="Times New Roman"/>
        <w:sz w:val="18"/>
      </w:rPr>
    </w:pPr>
    <w:r>
      <w:rPr>
        <w:noProof/>
      </w:rPr>
      <w:drawing>
        <wp:anchor distT="0" distB="0" distL="114300" distR="114300" simplePos="0" relativeHeight="251669504" behindDoc="1" locked="1" layoutInCell="1" allowOverlap="0" wp14:anchorId="13B4298C" wp14:editId="01AAA433">
          <wp:simplePos x="0" y="0"/>
          <wp:positionH relativeFrom="column">
            <wp:posOffset>3390900</wp:posOffset>
          </wp:positionH>
          <wp:positionV relativeFrom="page">
            <wp:posOffset>295275</wp:posOffset>
          </wp:positionV>
          <wp:extent cx="2743200" cy="660400"/>
          <wp:effectExtent l="0" t="0" r="0" b="6350"/>
          <wp:wrapNone/>
          <wp:docPr id="2" name="Picture 2" descr="LM_logo_Blue_rgb_not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LM_logo_Blue_rgb_not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3200" cy="660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327673" w14:textId="77777777" w:rsidR="00636CC9" w:rsidRDefault="00636CC9" w:rsidP="00636CC9">
    <w:pPr>
      <w:tabs>
        <w:tab w:val="left" w:pos="5940"/>
      </w:tabs>
      <w:spacing w:line="200" w:lineRule="exact"/>
      <w:rPr>
        <w:rFonts w:cs="Tahoma"/>
        <w:color w:val="000000"/>
        <w:sz w:val="18"/>
        <w:szCs w:val="18"/>
      </w:rPr>
    </w:pPr>
    <w:r>
      <w:rPr>
        <w:rFonts w:cs="Tahoma"/>
        <w:color w:val="000000"/>
        <w:sz w:val="18"/>
        <w:szCs w:val="18"/>
      </w:rPr>
      <w:t>Lockheed Martin Corporation</w:t>
    </w:r>
  </w:p>
  <w:p w14:paraId="6959192F" w14:textId="77777777" w:rsidR="0089073F" w:rsidRDefault="00636CC9" w:rsidP="00636CC9">
    <w:pPr>
      <w:spacing w:line="200" w:lineRule="exact"/>
      <w:rPr>
        <w:rFonts w:cs="Tahoma"/>
        <w:color w:val="000000"/>
        <w:sz w:val="18"/>
        <w:szCs w:val="18"/>
      </w:rPr>
    </w:pPr>
    <w:r w:rsidRPr="00161F29">
      <w:rPr>
        <w:rFonts w:cs="Tahoma"/>
        <w:color w:val="000000"/>
        <w:sz w:val="18"/>
        <w:szCs w:val="18"/>
      </w:rPr>
      <w:t xml:space="preserve">2121 Crystal Drive #100  </w:t>
    </w:r>
  </w:p>
  <w:p w14:paraId="41F6BDBE" w14:textId="7CC69543" w:rsidR="00636CC9" w:rsidRDefault="00636CC9" w:rsidP="00636CC9">
    <w:pPr>
      <w:spacing w:line="200" w:lineRule="exact"/>
      <w:rPr>
        <w:rFonts w:cs="Tahoma"/>
        <w:color w:val="000000"/>
        <w:sz w:val="18"/>
        <w:szCs w:val="18"/>
      </w:rPr>
    </w:pPr>
    <w:r w:rsidRPr="00161F29">
      <w:rPr>
        <w:rFonts w:cs="Tahoma"/>
        <w:color w:val="000000"/>
        <w:sz w:val="18"/>
        <w:szCs w:val="18"/>
      </w:rPr>
      <w:t>Arlington, VA 22202</w:t>
    </w:r>
  </w:p>
  <w:p w14:paraId="31DA030F" w14:textId="46E2CA1C" w:rsidR="00636CC9" w:rsidRDefault="00636CC9" w:rsidP="00636CC9">
    <w:pPr>
      <w:tabs>
        <w:tab w:val="left" w:pos="5220"/>
        <w:tab w:val="right" w:pos="9360"/>
      </w:tabs>
      <w:rPr>
        <w:rFonts w:ascii="Times" w:hAnsi="Times"/>
        <w:b/>
        <w:position w:val="50"/>
      </w:rPr>
    </w:pPr>
    <w:r>
      <w:rPr>
        <w:rFonts w:cs="Tahoma"/>
        <w:color w:val="000000"/>
        <w:sz w:val="18"/>
        <w:szCs w:val="18"/>
      </w:rPr>
      <w:t>Telephone 703.413.</w:t>
    </w:r>
    <w:r w:rsidR="00415A69">
      <w:rPr>
        <w:rFonts w:cs="Tahoma"/>
        <w:color w:val="000000"/>
        <w:sz w:val="18"/>
        <w:szCs w:val="18"/>
      </w:rPr>
      <w:t>3102</w:t>
    </w:r>
    <w:r>
      <w:rPr>
        <w:rFonts w:cs="Tahoma"/>
        <w:color w:val="000000"/>
        <w:sz w:val="18"/>
        <w:szCs w:val="18"/>
      </w:rPr>
      <w:t xml:space="preserve">    Facsimile 703.413.5908</w:t>
    </w:r>
  </w:p>
  <w:p w14:paraId="2C608756" w14:textId="0BD1EDC2" w:rsidR="005A3A88" w:rsidRPr="00935771" w:rsidRDefault="005A3A88" w:rsidP="00935771">
    <w:pPr>
      <w:jc w:val="center"/>
      <w:rPr>
        <w:rFonts w:eastAsia="MS Mincho"/>
        <w: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CCACD50"/>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20BF"/>
    <w:rsid w:val="00005C68"/>
    <w:rsid w:val="00011723"/>
    <w:rsid w:val="00014655"/>
    <w:rsid w:val="000208F0"/>
    <w:rsid w:val="0003188D"/>
    <w:rsid w:val="000335C2"/>
    <w:rsid w:val="00035ED3"/>
    <w:rsid w:val="000401A4"/>
    <w:rsid w:val="00056AD4"/>
    <w:rsid w:val="00056D1D"/>
    <w:rsid w:val="00061129"/>
    <w:rsid w:val="0006697A"/>
    <w:rsid w:val="00067E3D"/>
    <w:rsid w:val="0007186D"/>
    <w:rsid w:val="00074FE8"/>
    <w:rsid w:val="000773DD"/>
    <w:rsid w:val="00085E4E"/>
    <w:rsid w:val="0009618A"/>
    <w:rsid w:val="000B67C6"/>
    <w:rsid w:val="000C40FC"/>
    <w:rsid w:val="000C6EEE"/>
    <w:rsid w:val="000D0F36"/>
    <w:rsid w:val="000D3DDF"/>
    <w:rsid w:val="000D6570"/>
    <w:rsid w:val="000E3026"/>
    <w:rsid w:val="00103BDF"/>
    <w:rsid w:val="00126B57"/>
    <w:rsid w:val="00144B09"/>
    <w:rsid w:val="0015144E"/>
    <w:rsid w:val="0015627D"/>
    <w:rsid w:val="0017042B"/>
    <w:rsid w:val="00172AE1"/>
    <w:rsid w:val="00173C0D"/>
    <w:rsid w:val="00175525"/>
    <w:rsid w:val="00180C97"/>
    <w:rsid w:val="00185507"/>
    <w:rsid w:val="001921FC"/>
    <w:rsid w:val="001A3E66"/>
    <w:rsid w:val="001B78A1"/>
    <w:rsid w:val="001C0063"/>
    <w:rsid w:val="001F798E"/>
    <w:rsid w:val="00205DE5"/>
    <w:rsid w:val="00213486"/>
    <w:rsid w:val="002375F3"/>
    <w:rsid w:val="00244F4D"/>
    <w:rsid w:val="002530FD"/>
    <w:rsid w:val="00264FEF"/>
    <w:rsid w:val="0026758F"/>
    <w:rsid w:val="00272A05"/>
    <w:rsid w:val="00277C6C"/>
    <w:rsid w:val="0028254A"/>
    <w:rsid w:val="002967F6"/>
    <w:rsid w:val="002B301C"/>
    <w:rsid w:val="002C2CEB"/>
    <w:rsid w:val="002C4D5A"/>
    <w:rsid w:val="002D68A9"/>
    <w:rsid w:val="002E28A7"/>
    <w:rsid w:val="00306CB8"/>
    <w:rsid w:val="00323536"/>
    <w:rsid w:val="00326090"/>
    <w:rsid w:val="003533ED"/>
    <w:rsid w:val="00354FCB"/>
    <w:rsid w:val="00364009"/>
    <w:rsid w:val="003738A2"/>
    <w:rsid w:val="0038175D"/>
    <w:rsid w:val="003B3C8C"/>
    <w:rsid w:val="003C2B4E"/>
    <w:rsid w:val="003D28CD"/>
    <w:rsid w:val="003E0361"/>
    <w:rsid w:val="003E3B8C"/>
    <w:rsid w:val="003F34C1"/>
    <w:rsid w:val="003F35AB"/>
    <w:rsid w:val="00401683"/>
    <w:rsid w:val="00402CB3"/>
    <w:rsid w:val="004053C8"/>
    <w:rsid w:val="004102F6"/>
    <w:rsid w:val="00415A69"/>
    <w:rsid w:val="00424655"/>
    <w:rsid w:val="004268E5"/>
    <w:rsid w:val="00427A94"/>
    <w:rsid w:val="00434D0D"/>
    <w:rsid w:val="0044773D"/>
    <w:rsid w:val="004645E7"/>
    <w:rsid w:val="00474772"/>
    <w:rsid w:val="004938EC"/>
    <w:rsid w:val="004A250E"/>
    <w:rsid w:val="004B19FE"/>
    <w:rsid w:val="004C015F"/>
    <w:rsid w:val="004D1F13"/>
    <w:rsid w:val="004D7991"/>
    <w:rsid w:val="004E20BF"/>
    <w:rsid w:val="004E3357"/>
    <w:rsid w:val="004E3E97"/>
    <w:rsid w:val="004F6FFD"/>
    <w:rsid w:val="00507C5F"/>
    <w:rsid w:val="005137AE"/>
    <w:rsid w:val="00516F89"/>
    <w:rsid w:val="005236B8"/>
    <w:rsid w:val="00536B12"/>
    <w:rsid w:val="0053729C"/>
    <w:rsid w:val="00540BEA"/>
    <w:rsid w:val="00546BF0"/>
    <w:rsid w:val="00573A85"/>
    <w:rsid w:val="005742A5"/>
    <w:rsid w:val="00583C86"/>
    <w:rsid w:val="00594942"/>
    <w:rsid w:val="005A30F0"/>
    <w:rsid w:val="005A3A88"/>
    <w:rsid w:val="005C2EEA"/>
    <w:rsid w:val="005C2EFB"/>
    <w:rsid w:val="005D56B3"/>
    <w:rsid w:val="005D5749"/>
    <w:rsid w:val="005F0E4B"/>
    <w:rsid w:val="00600D2C"/>
    <w:rsid w:val="0061098B"/>
    <w:rsid w:val="00616C84"/>
    <w:rsid w:val="0061739B"/>
    <w:rsid w:val="00617C78"/>
    <w:rsid w:val="006206E4"/>
    <w:rsid w:val="00622287"/>
    <w:rsid w:val="00633A03"/>
    <w:rsid w:val="00634FF2"/>
    <w:rsid w:val="00635564"/>
    <w:rsid w:val="00636CC9"/>
    <w:rsid w:val="00647D96"/>
    <w:rsid w:val="00671AF3"/>
    <w:rsid w:val="00677A84"/>
    <w:rsid w:val="00685937"/>
    <w:rsid w:val="00687AA3"/>
    <w:rsid w:val="006A0E7B"/>
    <w:rsid w:val="006A542A"/>
    <w:rsid w:val="006A7AF5"/>
    <w:rsid w:val="006B482F"/>
    <w:rsid w:val="006C2C09"/>
    <w:rsid w:val="006C49C6"/>
    <w:rsid w:val="006D4C8F"/>
    <w:rsid w:val="006E32E9"/>
    <w:rsid w:val="006F17F1"/>
    <w:rsid w:val="006F3915"/>
    <w:rsid w:val="00700479"/>
    <w:rsid w:val="007060EC"/>
    <w:rsid w:val="00714BE4"/>
    <w:rsid w:val="0072149B"/>
    <w:rsid w:val="00732764"/>
    <w:rsid w:val="0073730C"/>
    <w:rsid w:val="0073790D"/>
    <w:rsid w:val="00742183"/>
    <w:rsid w:val="00752CF0"/>
    <w:rsid w:val="007551FA"/>
    <w:rsid w:val="007633A1"/>
    <w:rsid w:val="00766BBF"/>
    <w:rsid w:val="007803F3"/>
    <w:rsid w:val="00785BDD"/>
    <w:rsid w:val="007910D5"/>
    <w:rsid w:val="00795736"/>
    <w:rsid w:val="007A0472"/>
    <w:rsid w:val="007A42D1"/>
    <w:rsid w:val="007B416F"/>
    <w:rsid w:val="007E0275"/>
    <w:rsid w:val="0080624E"/>
    <w:rsid w:val="008177F4"/>
    <w:rsid w:val="00825341"/>
    <w:rsid w:val="00825CFB"/>
    <w:rsid w:val="008465F6"/>
    <w:rsid w:val="00861A6A"/>
    <w:rsid w:val="00875E58"/>
    <w:rsid w:val="00882792"/>
    <w:rsid w:val="0089073F"/>
    <w:rsid w:val="00891843"/>
    <w:rsid w:val="008B1EE2"/>
    <w:rsid w:val="008B73F0"/>
    <w:rsid w:val="008D0BBA"/>
    <w:rsid w:val="008F59A0"/>
    <w:rsid w:val="009060BD"/>
    <w:rsid w:val="00912D8E"/>
    <w:rsid w:val="00912D90"/>
    <w:rsid w:val="009150D7"/>
    <w:rsid w:val="009178D4"/>
    <w:rsid w:val="00920A2C"/>
    <w:rsid w:val="0092171E"/>
    <w:rsid w:val="00922519"/>
    <w:rsid w:val="009242B5"/>
    <w:rsid w:val="0092439C"/>
    <w:rsid w:val="00926CF3"/>
    <w:rsid w:val="0092763A"/>
    <w:rsid w:val="00934DE3"/>
    <w:rsid w:val="00935738"/>
    <w:rsid w:val="00935771"/>
    <w:rsid w:val="0094735C"/>
    <w:rsid w:val="009624FC"/>
    <w:rsid w:val="0098562A"/>
    <w:rsid w:val="00995D56"/>
    <w:rsid w:val="009A5EB1"/>
    <w:rsid w:val="009B2F53"/>
    <w:rsid w:val="009B69C3"/>
    <w:rsid w:val="009C2E59"/>
    <w:rsid w:val="009D32DB"/>
    <w:rsid w:val="00A20A25"/>
    <w:rsid w:val="00A22B5A"/>
    <w:rsid w:val="00A32BD8"/>
    <w:rsid w:val="00A33129"/>
    <w:rsid w:val="00A46D7A"/>
    <w:rsid w:val="00A56DC1"/>
    <w:rsid w:val="00A679BB"/>
    <w:rsid w:val="00A72EFE"/>
    <w:rsid w:val="00A73730"/>
    <w:rsid w:val="00A83CEC"/>
    <w:rsid w:val="00A85D2C"/>
    <w:rsid w:val="00A8699E"/>
    <w:rsid w:val="00A97BD6"/>
    <w:rsid w:val="00AE3035"/>
    <w:rsid w:val="00AF4EBE"/>
    <w:rsid w:val="00AF66C2"/>
    <w:rsid w:val="00B03106"/>
    <w:rsid w:val="00B12DA5"/>
    <w:rsid w:val="00B53586"/>
    <w:rsid w:val="00B60C7C"/>
    <w:rsid w:val="00B66F4D"/>
    <w:rsid w:val="00B86A85"/>
    <w:rsid w:val="00B914B7"/>
    <w:rsid w:val="00BB01B8"/>
    <w:rsid w:val="00BB3B22"/>
    <w:rsid w:val="00BB5EDC"/>
    <w:rsid w:val="00BC2AA6"/>
    <w:rsid w:val="00BC609F"/>
    <w:rsid w:val="00BC6BEE"/>
    <w:rsid w:val="00C053E3"/>
    <w:rsid w:val="00C143BB"/>
    <w:rsid w:val="00C149A8"/>
    <w:rsid w:val="00C24320"/>
    <w:rsid w:val="00C249BF"/>
    <w:rsid w:val="00C316B9"/>
    <w:rsid w:val="00C450C5"/>
    <w:rsid w:val="00C473B7"/>
    <w:rsid w:val="00C725C9"/>
    <w:rsid w:val="00C80E47"/>
    <w:rsid w:val="00C86A60"/>
    <w:rsid w:val="00C95449"/>
    <w:rsid w:val="00CA7344"/>
    <w:rsid w:val="00CA7453"/>
    <w:rsid w:val="00CB4258"/>
    <w:rsid w:val="00CB4660"/>
    <w:rsid w:val="00CB6BC3"/>
    <w:rsid w:val="00CB7236"/>
    <w:rsid w:val="00CB7B94"/>
    <w:rsid w:val="00CC2891"/>
    <w:rsid w:val="00CF01AA"/>
    <w:rsid w:val="00D1404B"/>
    <w:rsid w:val="00D14467"/>
    <w:rsid w:val="00D45339"/>
    <w:rsid w:val="00D4725E"/>
    <w:rsid w:val="00D70CEF"/>
    <w:rsid w:val="00D81DA7"/>
    <w:rsid w:val="00D9575C"/>
    <w:rsid w:val="00DA694A"/>
    <w:rsid w:val="00DC1FED"/>
    <w:rsid w:val="00DC3B57"/>
    <w:rsid w:val="00DC72D5"/>
    <w:rsid w:val="00DD2CFF"/>
    <w:rsid w:val="00DF07F6"/>
    <w:rsid w:val="00DF35B8"/>
    <w:rsid w:val="00E01A04"/>
    <w:rsid w:val="00E10217"/>
    <w:rsid w:val="00E22DD8"/>
    <w:rsid w:val="00E25AD5"/>
    <w:rsid w:val="00E30BC3"/>
    <w:rsid w:val="00E31A5B"/>
    <w:rsid w:val="00E43AFC"/>
    <w:rsid w:val="00E520DA"/>
    <w:rsid w:val="00E52556"/>
    <w:rsid w:val="00E635B8"/>
    <w:rsid w:val="00E65980"/>
    <w:rsid w:val="00E75180"/>
    <w:rsid w:val="00E8132C"/>
    <w:rsid w:val="00E92F7A"/>
    <w:rsid w:val="00E94BE3"/>
    <w:rsid w:val="00E97753"/>
    <w:rsid w:val="00EA16A5"/>
    <w:rsid w:val="00EA24C0"/>
    <w:rsid w:val="00EC30F0"/>
    <w:rsid w:val="00EC6759"/>
    <w:rsid w:val="00EE1E37"/>
    <w:rsid w:val="00EE2DBD"/>
    <w:rsid w:val="00EF16DB"/>
    <w:rsid w:val="00EF3A7B"/>
    <w:rsid w:val="00EF75A3"/>
    <w:rsid w:val="00F05DCD"/>
    <w:rsid w:val="00F119EF"/>
    <w:rsid w:val="00F14FFC"/>
    <w:rsid w:val="00F2022C"/>
    <w:rsid w:val="00F2185F"/>
    <w:rsid w:val="00F30EDD"/>
    <w:rsid w:val="00F34621"/>
    <w:rsid w:val="00F46262"/>
    <w:rsid w:val="00F47107"/>
    <w:rsid w:val="00F5635A"/>
    <w:rsid w:val="00F57610"/>
    <w:rsid w:val="00F57E3C"/>
    <w:rsid w:val="00F61D94"/>
    <w:rsid w:val="00F64BD3"/>
    <w:rsid w:val="00F76BCD"/>
    <w:rsid w:val="00F8424A"/>
    <w:rsid w:val="00F933E9"/>
    <w:rsid w:val="00FB2504"/>
    <w:rsid w:val="00FB319B"/>
    <w:rsid w:val="00FB4DCE"/>
    <w:rsid w:val="00FB4FE2"/>
    <w:rsid w:val="00FB5ECF"/>
    <w:rsid w:val="00FC59E2"/>
    <w:rsid w:val="00FD2979"/>
    <w:rsid w:val="00FE4C0F"/>
    <w:rsid w:val="00FF0925"/>
    <w:rsid w:val="00FF2E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0890CF9"/>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MANormalTabbed">
    <w:name w:val="ACMA_NormalTabbed"/>
    <w:basedOn w:val="Normal"/>
    <w:qFormat/>
    <w:rsid w:val="004E20BF"/>
    <w:pPr>
      <w:tabs>
        <w:tab w:val="left" w:pos="1134"/>
      </w:tabs>
      <w:spacing w:after="240" w:line="240" w:lineRule="atLeast"/>
    </w:pPr>
    <w:rPr>
      <w:rFonts w:ascii="Arial" w:eastAsia="Times New Roman" w:hAnsi="Arial" w:cs="Times New Roman"/>
      <w:sz w:val="20"/>
      <w:lang w:val="en-AU" w:eastAsia="en-AU"/>
    </w:rPr>
  </w:style>
  <w:style w:type="paragraph" w:styleId="FootnoteText">
    <w:name w:val="footnote text"/>
    <w:aliases w:val="Footnote Text Char1,Footnote Text Char Char,ALTS FOOTNOTE Char Char,fn Char Char,Footnote Text Char1 Char Char,Footnote Text Char Char Char Char,ALTS FOOTNOTE Char Char Char Char,fn Char Char Char Char,fn Char1,Footnote Text Char2,fn,f"/>
    <w:basedOn w:val="Normal"/>
    <w:link w:val="FootnoteTextChar"/>
    <w:uiPriority w:val="99"/>
    <w:unhideWhenUsed/>
    <w:qFormat/>
    <w:rsid w:val="0007186D"/>
  </w:style>
  <w:style w:type="character" w:customStyle="1" w:styleId="FootnoteTextChar">
    <w:name w:val="Footnote Text Char"/>
    <w:aliases w:val="Footnote Text Char1 Char,Footnote Text Char Char Char,ALTS FOOTNOTE Char Char Char,fn Char Char Char,Footnote Text Char1 Char Char Char,Footnote Text Char Char Char Char Char,ALTS FOOTNOTE Char Char Char Char Char,fn Char1 Char,f Char"/>
    <w:basedOn w:val="DefaultParagraphFont"/>
    <w:link w:val="FootnoteText"/>
    <w:uiPriority w:val="99"/>
    <w:rsid w:val="0007186D"/>
  </w:style>
  <w:style w:type="character" w:styleId="FootnoteReference">
    <w:name w:val="footnote reference"/>
    <w:aliases w:val="Appel note de bas de p,Style 12,(NECG) Footnote Reference,Style 124,o,fr,Style 3,Style 13,FR,Style 17,Footnote Reference/,Style 6,Style 4,Footnote Reference1,Style 7,Style 36,Style 34,Style 9"/>
    <w:basedOn w:val="DefaultParagraphFont"/>
    <w:uiPriority w:val="99"/>
    <w:unhideWhenUsed/>
    <w:rsid w:val="0007186D"/>
    <w:rPr>
      <w:vertAlign w:val="superscript"/>
    </w:rPr>
  </w:style>
  <w:style w:type="paragraph" w:styleId="ListBullet">
    <w:name w:val="List Bullet"/>
    <w:basedOn w:val="Normal"/>
    <w:link w:val="ListBulletChar"/>
    <w:qFormat/>
    <w:rsid w:val="0061739B"/>
    <w:pPr>
      <w:numPr>
        <w:numId w:val="1"/>
      </w:numPr>
      <w:spacing w:after="80" w:line="240" w:lineRule="atLeast"/>
    </w:pPr>
    <w:rPr>
      <w:rFonts w:ascii="Arial" w:eastAsia="Times New Roman" w:hAnsi="Arial" w:cs="Times New Roman"/>
      <w:sz w:val="20"/>
      <w:lang w:val="en-AU" w:eastAsia="en-AU"/>
    </w:rPr>
  </w:style>
  <w:style w:type="character" w:customStyle="1" w:styleId="ListBulletChar">
    <w:name w:val="List Bullet Char"/>
    <w:basedOn w:val="DefaultParagraphFont"/>
    <w:link w:val="ListBullet"/>
    <w:rsid w:val="0061739B"/>
    <w:rPr>
      <w:rFonts w:ascii="Arial" w:eastAsia="Times New Roman" w:hAnsi="Arial" w:cs="Times New Roman"/>
      <w:sz w:val="20"/>
      <w:lang w:val="en-AU" w:eastAsia="en-AU"/>
    </w:rPr>
  </w:style>
  <w:style w:type="paragraph" w:styleId="Header">
    <w:name w:val="header"/>
    <w:basedOn w:val="Normal"/>
    <w:link w:val="HeaderChar"/>
    <w:uiPriority w:val="99"/>
    <w:unhideWhenUsed/>
    <w:rsid w:val="00A8699E"/>
    <w:pPr>
      <w:tabs>
        <w:tab w:val="center" w:pos="4320"/>
        <w:tab w:val="right" w:pos="8640"/>
      </w:tabs>
    </w:pPr>
  </w:style>
  <w:style w:type="character" w:customStyle="1" w:styleId="HeaderChar">
    <w:name w:val="Header Char"/>
    <w:basedOn w:val="DefaultParagraphFont"/>
    <w:link w:val="Header"/>
    <w:uiPriority w:val="99"/>
    <w:rsid w:val="00A8699E"/>
  </w:style>
  <w:style w:type="paragraph" w:styleId="Footer">
    <w:name w:val="footer"/>
    <w:basedOn w:val="Normal"/>
    <w:link w:val="FooterChar"/>
    <w:uiPriority w:val="99"/>
    <w:unhideWhenUsed/>
    <w:rsid w:val="00A8699E"/>
    <w:pPr>
      <w:tabs>
        <w:tab w:val="center" w:pos="4320"/>
        <w:tab w:val="right" w:pos="8640"/>
      </w:tabs>
    </w:pPr>
  </w:style>
  <w:style w:type="character" w:customStyle="1" w:styleId="FooterChar">
    <w:name w:val="Footer Char"/>
    <w:basedOn w:val="DefaultParagraphFont"/>
    <w:link w:val="Footer"/>
    <w:uiPriority w:val="99"/>
    <w:rsid w:val="00A8699E"/>
  </w:style>
  <w:style w:type="paragraph" w:customStyle="1" w:styleId="ListBulletLast">
    <w:name w:val="List Bullet Last"/>
    <w:basedOn w:val="ListBullet"/>
    <w:qFormat/>
    <w:rsid w:val="00CA7453"/>
    <w:pPr>
      <w:spacing w:after="240"/>
    </w:pPr>
    <w:rPr>
      <w:rFonts w:cs="Arial"/>
    </w:rPr>
  </w:style>
  <w:style w:type="paragraph" w:styleId="BalloonText">
    <w:name w:val="Balloon Text"/>
    <w:basedOn w:val="Normal"/>
    <w:link w:val="BalloonTextChar"/>
    <w:uiPriority w:val="99"/>
    <w:semiHidden/>
    <w:unhideWhenUsed/>
    <w:rsid w:val="00BC2AA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2AA6"/>
    <w:rPr>
      <w:rFonts w:ascii="Segoe UI" w:hAnsi="Segoe UI" w:cs="Segoe UI"/>
      <w:sz w:val="18"/>
      <w:szCs w:val="18"/>
    </w:rPr>
  </w:style>
  <w:style w:type="character" w:styleId="CommentReference">
    <w:name w:val="annotation reference"/>
    <w:basedOn w:val="DefaultParagraphFont"/>
    <w:uiPriority w:val="99"/>
    <w:semiHidden/>
    <w:unhideWhenUsed/>
    <w:rsid w:val="0053729C"/>
    <w:rPr>
      <w:sz w:val="16"/>
      <w:szCs w:val="16"/>
    </w:rPr>
  </w:style>
  <w:style w:type="paragraph" w:styleId="CommentText">
    <w:name w:val="annotation text"/>
    <w:basedOn w:val="Normal"/>
    <w:link w:val="CommentTextChar"/>
    <w:uiPriority w:val="99"/>
    <w:semiHidden/>
    <w:unhideWhenUsed/>
    <w:rsid w:val="0053729C"/>
    <w:rPr>
      <w:sz w:val="20"/>
      <w:szCs w:val="20"/>
    </w:rPr>
  </w:style>
  <w:style w:type="character" w:customStyle="1" w:styleId="CommentTextChar">
    <w:name w:val="Comment Text Char"/>
    <w:basedOn w:val="DefaultParagraphFont"/>
    <w:link w:val="CommentText"/>
    <w:uiPriority w:val="99"/>
    <w:semiHidden/>
    <w:rsid w:val="0053729C"/>
    <w:rPr>
      <w:sz w:val="20"/>
      <w:szCs w:val="20"/>
    </w:rPr>
  </w:style>
  <w:style w:type="paragraph" w:styleId="CommentSubject">
    <w:name w:val="annotation subject"/>
    <w:basedOn w:val="CommentText"/>
    <w:next w:val="CommentText"/>
    <w:link w:val="CommentSubjectChar"/>
    <w:uiPriority w:val="99"/>
    <w:semiHidden/>
    <w:unhideWhenUsed/>
    <w:rsid w:val="0053729C"/>
    <w:rPr>
      <w:b/>
      <w:bCs/>
    </w:rPr>
  </w:style>
  <w:style w:type="character" w:customStyle="1" w:styleId="CommentSubjectChar">
    <w:name w:val="Comment Subject Char"/>
    <w:basedOn w:val="CommentTextChar"/>
    <w:link w:val="CommentSubject"/>
    <w:uiPriority w:val="99"/>
    <w:semiHidden/>
    <w:rsid w:val="0053729C"/>
    <w:rPr>
      <w:b/>
      <w:bCs/>
      <w:sz w:val="20"/>
      <w:szCs w:val="20"/>
    </w:rPr>
  </w:style>
  <w:style w:type="paragraph" w:customStyle="1" w:styleId="LetterTitleBlock">
    <w:name w:val="Letter Title Block"/>
    <w:basedOn w:val="Normal"/>
    <w:rsid w:val="008465F6"/>
    <w:pPr>
      <w:tabs>
        <w:tab w:val="left" w:pos="1440"/>
      </w:tabs>
      <w:overflowPunct w:val="0"/>
      <w:autoSpaceDE w:val="0"/>
      <w:autoSpaceDN w:val="0"/>
      <w:adjustRightInd w:val="0"/>
      <w:spacing w:before="240"/>
      <w:ind w:left="1440" w:hanging="1440"/>
      <w:textAlignment w:val="baseline"/>
    </w:pPr>
    <w:rPr>
      <w:rFonts w:ascii="Times" w:eastAsia="Times New Roman" w:hAnsi="Time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8412068">
      <w:bodyDiv w:val="1"/>
      <w:marLeft w:val="0"/>
      <w:marRight w:val="0"/>
      <w:marTop w:val="0"/>
      <w:marBottom w:val="0"/>
      <w:divBdr>
        <w:top w:val="none" w:sz="0" w:space="0" w:color="auto"/>
        <w:left w:val="none" w:sz="0" w:space="0" w:color="auto"/>
        <w:bottom w:val="none" w:sz="0" w:space="0" w:color="auto"/>
        <w:right w:val="none" w:sz="0" w:space="0" w:color="auto"/>
      </w:divBdr>
    </w:div>
    <w:div w:id="1262296185">
      <w:bodyDiv w:val="1"/>
      <w:marLeft w:val="0"/>
      <w:marRight w:val="0"/>
      <w:marTop w:val="0"/>
      <w:marBottom w:val="0"/>
      <w:divBdr>
        <w:top w:val="none" w:sz="0" w:space="0" w:color="auto"/>
        <w:left w:val="none" w:sz="0" w:space="0" w:color="auto"/>
        <w:bottom w:val="none" w:sz="0" w:space="0" w:color="auto"/>
        <w:right w:val="none" w:sz="0" w:space="0" w:color="auto"/>
      </w:divBdr>
    </w:div>
    <w:div w:id="14279180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22B896673C3B4CAC6395581CF998E6" ma:contentTypeVersion="8" ma:contentTypeDescription="Create a new document." ma:contentTypeScope="" ma:versionID="f23df6dd90b35ef5a7fe3922e93e7337">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3NE2HDV7HD6D-128-3139</_dlc_DocId>
    <_dlc_DocIdUrl xmlns="1d983eb4-33f7-44b0-aea1-cbdcf0c55136">
      <Url>http://collaboration/organisation/cid/speb/sp/_layouts/15/DocIdRedir.aspx?ID=3NE2HDV7HD6D-128-3139</Url>
      <Description>3NE2HDV7HD6D-128-3139</Description>
    </_dlc_DocIdUrl>
  </documentManagement>
</p:properties>
</file>

<file path=customXml/itemProps1.xml><?xml version="1.0" encoding="utf-8"?>
<ds:datastoreItem xmlns:ds="http://schemas.openxmlformats.org/officeDocument/2006/customXml" ds:itemID="{5131AE28-519D-463A-A831-75D71109C6B3}"/>
</file>

<file path=customXml/itemProps2.xml><?xml version="1.0" encoding="utf-8"?>
<ds:datastoreItem xmlns:ds="http://schemas.openxmlformats.org/officeDocument/2006/customXml" ds:itemID="{0D2C43A2-E2CD-4829-84F7-BF1BBFFC77B3}"/>
</file>

<file path=customXml/itemProps3.xml><?xml version="1.0" encoding="utf-8"?>
<ds:datastoreItem xmlns:ds="http://schemas.openxmlformats.org/officeDocument/2006/customXml" ds:itemID="{99BAF954-302A-4BA1-B36B-E0D6D7DE2204}"/>
</file>

<file path=customXml/itemProps4.xml><?xml version="1.0" encoding="utf-8"?>
<ds:datastoreItem xmlns:ds="http://schemas.openxmlformats.org/officeDocument/2006/customXml" ds:itemID="{93A50CB5-BC75-42C7-A4CC-173E06F97701}"/>
</file>

<file path=docProps/app.xml><?xml version="1.0" encoding="utf-8"?>
<Properties xmlns="http://schemas.openxmlformats.org/officeDocument/2006/extended-properties" xmlns:vt="http://schemas.openxmlformats.org/officeDocument/2006/docPropsVTypes">
  <Template>Normal.dotm</Template>
  <TotalTime>0</TotalTime>
  <Pages>4</Pages>
  <Words>1576</Words>
  <Characters>8812</Characters>
  <Application>Microsoft Office Word</Application>
  <DocSecurity>0</DocSecurity>
  <Lines>160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Unrestricted</cp:keywords>
  <dc:description/>
  <cp:lastModifiedBy/>
  <cp:revision>1</cp:revision>
  <dcterms:created xsi:type="dcterms:W3CDTF">2019-09-12T21:54:00Z</dcterms:created>
  <dcterms:modified xsi:type="dcterms:W3CDTF">2019-09-12T21:54:00Z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M SIP Document Sensitivity">
    <vt:lpwstr/>
  </property>
  <property fmtid="{D5CDD505-2E9C-101B-9397-08002B2CF9AE}" pid="3" name="Document Author">
    <vt:lpwstr>ACCT04\e301300</vt:lpwstr>
  </property>
  <property fmtid="{D5CDD505-2E9C-101B-9397-08002B2CF9AE}" pid="4" name="Document Sensitivity">
    <vt:lpwstr>1</vt:lpwstr>
  </property>
  <property fmtid="{D5CDD505-2E9C-101B-9397-08002B2CF9AE}" pid="5" name="ThirdParty">
    <vt:lpwstr/>
  </property>
  <property fmtid="{D5CDD505-2E9C-101B-9397-08002B2CF9AE}" pid="6" name="OCI Restriction">
    <vt:bool>false</vt:bool>
  </property>
  <property fmtid="{D5CDD505-2E9C-101B-9397-08002B2CF9AE}" pid="7" name="OCI Additional Info">
    <vt:lpwstr/>
  </property>
  <property fmtid="{D5CDD505-2E9C-101B-9397-08002B2CF9AE}" pid="8" name="Allow Header Overwrite">
    <vt:bool>true</vt:bool>
  </property>
  <property fmtid="{D5CDD505-2E9C-101B-9397-08002B2CF9AE}" pid="9" name="Allow Footer Overwrite">
    <vt:bool>true</vt:bool>
  </property>
  <property fmtid="{D5CDD505-2E9C-101B-9397-08002B2CF9AE}" pid="10" name="Multiple Selected">
    <vt:lpwstr>-1</vt:lpwstr>
  </property>
  <property fmtid="{D5CDD505-2E9C-101B-9397-08002B2CF9AE}" pid="11" name="SIPLongWording">
    <vt:lpwstr>_x000d_
_x000d_
</vt:lpwstr>
  </property>
  <property fmtid="{D5CDD505-2E9C-101B-9397-08002B2CF9AE}" pid="12" name="ExpCountry">
    <vt:lpwstr/>
  </property>
  <property fmtid="{D5CDD505-2E9C-101B-9397-08002B2CF9AE}" pid="13" name="ContentTypeId">
    <vt:lpwstr>0x010100D922B896673C3B4CAC6395581CF998E6</vt:lpwstr>
  </property>
  <property fmtid="{D5CDD505-2E9C-101B-9397-08002B2CF9AE}" pid="14" name="_dlc_DocIdItemGuid">
    <vt:lpwstr>805f6689-8dac-4d26-9a98-2859eddad83d</vt:lpwstr>
  </property>
</Properties>
</file>