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6892" w14:textId="47DB21B5" w:rsidR="00086BF0" w:rsidRDefault="00086BF0" w:rsidP="00086B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248AAB5A" wp14:editId="19360143">
            <wp:extent cx="15049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90D2" w14:textId="77777777" w:rsidR="00086BF0" w:rsidRDefault="00086BF0" w:rsidP="00086BF0">
      <w:pPr>
        <w:rPr>
          <w:rFonts w:ascii="Times New Roman" w:hAnsi="Times New Roman" w:cs="Times New Roman"/>
          <w:sz w:val="19"/>
        </w:rPr>
      </w:pPr>
    </w:p>
    <w:p w14:paraId="44546B6E" w14:textId="2D79F59C" w:rsidR="00086BF0" w:rsidRDefault="0033692B" w:rsidP="00086BF0">
      <w:pPr>
        <w:pStyle w:val="ShortT"/>
      </w:pPr>
      <w:r>
        <w:t>Radiocommunications Accreditation</w:t>
      </w:r>
      <w:r w:rsidR="00ED0F28">
        <w:t xml:space="preserve"> (</w:t>
      </w:r>
      <w:r w:rsidR="00995E8D">
        <w:t>Transition</w:t>
      </w:r>
      <w:r>
        <w:t>) Rules 2021</w:t>
      </w:r>
    </w:p>
    <w:p w14:paraId="75AA3C11" w14:textId="77777777" w:rsidR="00086BF0" w:rsidRDefault="00086BF0" w:rsidP="00086BF0">
      <w:pPr>
        <w:pStyle w:val="SignCoverPageStart"/>
        <w:spacing w:before="0" w:line="240" w:lineRule="auto"/>
        <w:rPr>
          <w:szCs w:val="22"/>
        </w:rPr>
      </w:pPr>
    </w:p>
    <w:p w14:paraId="1ECF4D11" w14:textId="48068C2A" w:rsidR="00086BF0" w:rsidRDefault="00086BF0" w:rsidP="00086BF0">
      <w:pPr>
        <w:pStyle w:val="SignCoverPageStart"/>
        <w:spacing w:before="0" w:line="240" w:lineRule="auto"/>
        <w:rPr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33692B">
        <w:rPr>
          <w:szCs w:val="22"/>
        </w:rPr>
        <w:t>rules</w:t>
      </w:r>
      <w:r>
        <w:rPr>
          <w:szCs w:val="22"/>
        </w:rPr>
        <w:t xml:space="preserve"> under </w:t>
      </w:r>
      <w:r w:rsidR="00995E8D">
        <w:t>item 29 o</w:t>
      </w:r>
      <w:r>
        <w:t>f</w:t>
      </w:r>
      <w:r w:rsidR="00995E8D">
        <w:t xml:space="preserve"> Schedule </w:t>
      </w:r>
      <w:r w:rsidR="004A1604">
        <w:t>5 to</w:t>
      </w:r>
      <w:r>
        <w:t xml:space="preserve"> the </w:t>
      </w:r>
      <w:r w:rsidR="00CD293A">
        <w:rPr>
          <w:i/>
        </w:rPr>
        <w:t>Radiocommunications</w:t>
      </w:r>
      <w:r w:rsidR="004A1604">
        <w:rPr>
          <w:i/>
        </w:rPr>
        <w:t xml:space="preserve"> Legislation Amendment (Reform and Modernisation)</w:t>
      </w:r>
      <w:r w:rsidR="00CD293A">
        <w:rPr>
          <w:i/>
        </w:rPr>
        <w:t xml:space="preserve"> Act </w:t>
      </w:r>
      <w:r w:rsidR="004A1604">
        <w:rPr>
          <w:i/>
        </w:rPr>
        <w:t>2020</w:t>
      </w:r>
      <w:r>
        <w:t>.</w:t>
      </w:r>
    </w:p>
    <w:p w14:paraId="11CC4671" w14:textId="77777777" w:rsidR="00086BF0" w:rsidRDefault="00086BF0" w:rsidP="00086BF0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64B7188B" w14:textId="77777777" w:rsidR="00086BF0" w:rsidRDefault="00086BF0" w:rsidP="00086BF0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bookmarkStart w:id="1" w:name="Minister"/>
    </w:p>
    <w:p w14:paraId="5F356EE0" w14:textId="77777777" w:rsidR="00086BF0" w:rsidRDefault="00086BF0" w:rsidP="00086BF0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  <w:bookmarkEnd w:id="1"/>
    </w:p>
    <w:p w14:paraId="1FEB742C" w14:textId="77777777" w:rsidR="00086BF0" w:rsidRDefault="00086BF0" w:rsidP="00086BF0">
      <w:pPr>
        <w:pStyle w:val="SignCoverPageEnd"/>
        <w:ind w:right="794"/>
        <w:rPr>
          <w:szCs w:val="22"/>
        </w:rPr>
      </w:pPr>
    </w:p>
    <w:p w14:paraId="26D48BEF" w14:textId="77777777" w:rsidR="00086BF0" w:rsidRDefault="00086BF0" w:rsidP="00086BF0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3092265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0795CF9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AF0A5F4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D1B7840" w14:textId="77777777" w:rsidR="00086BF0" w:rsidRDefault="00086BF0" w:rsidP="00086BF0">
      <w:pPr>
        <w:spacing w:after="0"/>
        <w:rPr>
          <w:rFonts w:ascii="Times New Roman" w:hAnsi="Times New Roman" w:cs="Times New Roman"/>
        </w:rPr>
        <w:sectPr w:rsidR="00086BF0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EFDD9FA" w14:textId="77777777" w:rsidR="00086BF0" w:rsidRDefault="00086BF0" w:rsidP="00086BF0">
      <w:pPr>
        <w:pStyle w:val="ActHead5"/>
      </w:pPr>
      <w:bookmarkStart w:id="2" w:name="_Toc444596031"/>
      <w:r>
        <w:rPr>
          <w:rStyle w:val="CharSectno"/>
        </w:rPr>
        <w:lastRenderedPageBreak/>
        <w:t>1</w:t>
      </w:r>
      <w:r>
        <w:t xml:space="preserve">  Name</w:t>
      </w:r>
    </w:p>
    <w:p w14:paraId="0BA01627" w14:textId="224FB690" w:rsidR="00086BF0" w:rsidRDefault="00086BF0" w:rsidP="00086BF0">
      <w:pPr>
        <w:pStyle w:val="subsection"/>
      </w:pPr>
      <w:r>
        <w:tab/>
      </w:r>
      <w:r>
        <w:tab/>
        <w:t>Th</w:t>
      </w:r>
      <w:r w:rsidR="00CD293A">
        <w:t>e</w:t>
      </w:r>
      <w:r>
        <w:t>s</w:t>
      </w:r>
      <w:r w:rsidR="00CD293A">
        <w:t>e</w:t>
      </w:r>
      <w:r>
        <w:t xml:space="preserve"> </w:t>
      </w:r>
      <w:r w:rsidR="00CD293A">
        <w:t>are</w:t>
      </w:r>
      <w:r>
        <w:t xml:space="preserve"> the</w:t>
      </w:r>
      <w:r w:rsidR="00CD293A">
        <w:t xml:space="preserve"> </w:t>
      </w:r>
      <w:r w:rsidR="00CD293A">
        <w:rPr>
          <w:i/>
          <w:iCs/>
        </w:rPr>
        <w:t>Radiocommunications Accreditation</w:t>
      </w:r>
      <w:r w:rsidR="00D14AD8">
        <w:rPr>
          <w:i/>
          <w:iCs/>
        </w:rPr>
        <w:t xml:space="preserve"> (</w:t>
      </w:r>
      <w:r w:rsidR="00544698">
        <w:rPr>
          <w:i/>
          <w:iCs/>
        </w:rPr>
        <w:t>Transition</w:t>
      </w:r>
      <w:r w:rsidR="00CD293A">
        <w:rPr>
          <w:i/>
          <w:iCs/>
        </w:rPr>
        <w:t>) Rules 2021</w:t>
      </w:r>
      <w:r>
        <w:t>.</w:t>
      </w:r>
    </w:p>
    <w:p w14:paraId="177E90D7" w14:textId="77777777" w:rsidR="00086BF0" w:rsidRDefault="00086BF0" w:rsidP="00086BF0">
      <w:pPr>
        <w:pStyle w:val="ActHead5"/>
      </w:pPr>
      <w:bookmarkStart w:id="3" w:name="_Toc444596032"/>
      <w:r>
        <w:rPr>
          <w:rStyle w:val="CharSectno"/>
        </w:rPr>
        <w:t>2</w:t>
      </w:r>
      <w:r>
        <w:t xml:space="preserve">  Commencement</w:t>
      </w:r>
      <w:bookmarkEnd w:id="3"/>
    </w:p>
    <w:p w14:paraId="6D874432" w14:textId="6090551C" w:rsidR="00086BF0" w:rsidRDefault="00086BF0" w:rsidP="005E1AE8">
      <w:pPr>
        <w:pStyle w:val="subsection"/>
      </w:pPr>
      <w:r>
        <w:tab/>
      </w:r>
      <w:r>
        <w:tab/>
        <w:t xml:space="preserve">This instrument commences </w:t>
      </w:r>
      <w:r w:rsidR="00422B14">
        <w:t>at the same time as</w:t>
      </w:r>
      <w:r w:rsidR="000220C1">
        <w:t xml:space="preserve"> Schedule 5 to the</w:t>
      </w:r>
      <w:r w:rsidR="00D35F67">
        <w:t xml:space="preserve"> Amendment Act</w:t>
      </w:r>
      <w:r w:rsidR="000220C1">
        <w:t xml:space="preserve"> </w:t>
      </w:r>
      <w:r w:rsidR="00422B14">
        <w:t>commences</w:t>
      </w:r>
      <w:r w:rsidR="005E1AE8">
        <w:t>.</w:t>
      </w:r>
    </w:p>
    <w:p w14:paraId="795025ED" w14:textId="77777777" w:rsidR="00086BF0" w:rsidRDefault="00086BF0" w:rsidP="00086BF0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2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12CBE75E" w14:textId="77777777" w:rsidR="00086BF0" w:rsidRDefault="00086BF0" w:rsidP="00086BF0">
      <w:pPr>
        <w:pStyle w:val="ActHead5"/>
      </w:pPr>
      <w:bookmarkStart w:id="4" w:name="_Toc444596033"/>
      <w:r>
        <w:rPr>
          <w:rStyle w:val="CharSectno"/>
        </w:rPr>
        <w:t>3</w:t>
      </w:r>
      <w:r>
        <w:t xml:space="preserve">  Authority</w:t>
      </w:r>
      <w:bookmarkEnd w:id="4"/>
    </w:p>
    <w:p w14:paraId="3377B4C6" w14:textId="4F5F5799" w:rsidR="00086BF0" w:rsidRDefault="00086BF0" w:rsidP="00086BF0">
      <w:pPr>
        <w:pStyle w:val="subsection"/>
      </w:pPr>
      <w:r>
        <w:tab/>
      </w:r>
      <w:r>
        <w:tab/>
        <w:t xml:space="preserve">This instrument is made under </w:t>
      </w:r>
      <w:r w:rsidR="00E05CC6">
        <w:t>item 29</w:t>
      </w:r>
      <w:r>
        <w:t xml:space="preserve"> of </w:t>
      </w:r>
      <w:r w:rsidR="00E05CC6">
        <w:t xml:space="preserve">Schedule 5 to </w:t>
      </w:r>
      <w:r>
        <w:t>the</w:t>
      </w:r>
      <w:r w:rsidR="0061770D">
        <w:t xml:space="preserve"> Amendment Act</w:t>
      </w:r>
      <w:r>
        <w:t>.</w:t>
      </w:r>
    </w:p>
    <w:p w14:paraId="1784C5A8" w14:textId="38992299" w:rsidR="00CE77BE" w:rsidRDefault="0040081B" w:rsidP="00CE77BE">
      <w:pPr>
        <w:pStyle w:val="ActHead5"/>
      </w:pPr>
      <w:bookmarkStart w:id="5" w:name="_Toc444596034"/>
      <w:r>
        <w:t>4</w:t>
      </w:r>
      <w:r w:rsidR="00CE77BE">
        <w:t xml:space="preserve">  Repeal of this instrument </w:t>
      </w:r>
    </w:p>
    <w:p w14:paraId="5B9F8D9B" w14:textId="25652B96" w:rsidR="00CE77BE" w:rsidRDefault="00CE77BE" w:rsidP="00CE77BE">
      <w:pPr>
        <w:pStyle w:val="ActHead5"/>
        <w:spacing w:before="180"/>
        <w:rPr>
          <w:rStyle w:val="CharSectno"/>
        </w:rPr>
      </w:pPr>
      <w:r>
        <w:tab/>
      </w:r>
      <w:r>
        <w:rPr>
          <w:b w:val="0"/>
          <w:kern w:val="0"/>
          <w:sz w:val="22"/>
        </w:rPr>
        <w:t xml:space="preserve">This instrument is repealed at the start of </w:t>
      </w:r>
      <w:r w:rsidR="00CC2557">
        <w:rPr>
          <w:b w:val="0"/>
          <w:kern w:val="0"/>
          <w:sz w:val="22"/>
        </w:rPr>
        <w:t xml:space="preserve">the </w:t>
      </w:r>
      <w:r w:rsidR="0040081B">
        <w:rPr>
          <w:b w:val="0"/>
          <w:kern w:val="0"/>
          <w:sz w:val="22"/>
        </w:rPr>
        <w:t xml:space="preserve">first </w:t>
      </w:r>
      <w:r w:rsidR="00141069">
        <w:rPr>
          <w:b w:val="0"/>
          <w:kern w:val="0"/>
          <w:sz w:val="22"/>
        </w:rPr>
        <w:t>anniversary of the day this instrument commences</w:t>
      </w:r>
      <w:r>
        <w:rPr>
          <w:b w:val="0"/>
          <w:kern w:val="0"/>
          <w:sz w:val="22"/>
        </w:rPr>
        <w:t>.</w:t>
      </w:r>
    </w:p>
    <w:p w14:paraId="616032F1" w14:textId="7FE1FE33" w:rsidR="00086BF0" w:rsidRDefault="0040081B" w:rsidP="00086BF0">
      <w:pPr>
        <w:pStyle w:val="ActHead5"/>
      </w:pPr>
      <w:r>
        <w:rPr>
          <w:rStyle w:val="CharSectno"/>
        </w:rPr>
        <w:t>5</w:t>
      </w:r>
      <w:r w:rsidR="00086BF0">
        <w:t xml:space="preserve">  Definitions</w:t>
      </w:r>
      <w:bookmarkEnd w:id="5"/>
    </w:p>
    <w:p w14:paraId="428F2C2E" w14:textId="77777777" w:rsidR="00086BF0" w:rsidRDefault="00086BF0" w:rsidP="00086BF0">
      <w:pPr>
        <w:pStyle w:val="subsection"/>
      </w:pPr>
      <w:r>
        <w:tab/>
      </w:r>
      <w:r>
        <w:tab/>
        <w:t>In this instrument:</w:t>
      </w:r>
    </w:p>
    <w:p w14:paraId="2BA6886A" w14:textId="4A66C8F5" w:rsidR="00D35F67" w:rsidRPr="009E4EB5" w:rsidRDefault="00D35F67" w:rsidP="00086BF0">
      <w:pPr>
        <w:pStyle w:val="Definition"/>
        <w:rPr>
          <w:bCs/>
          <w:iCs/>
        </w:rPr>
      </w:pPr>
      <w:r>
        <w:rPr>
          <w:b/>
          <w:i/>
        </w:rPr>
        <w:t xml:space="preserve">accreditation principles </w:t>
      </w:r>
      <w:proofErr w:type="gramStart"/>
      <w:r w:rsidR="009E4EB5">
        <w:rPr>
          <w:bCs/>
          <w:iCs/>
        </w:rPr>
        <w:t>means</w:t>
      </w:r>
      <w:proofErr w:type="gramEnd"/>
      <w:r w:rsidR="009E4EB5">
        <w:rPr>
          <w:bCs/>
          <w:iCs/>
        </w:rPr>
        <w:t xml:space="preserve"> the </w:t>
      </w:r>
      <w:r w:rsidR="009E4EB5">
        <w:rPr>
          <w:bCs/>
          <w:i/>
        </w:rPr>
        <w:t>Radiocommunications (Accreditation – Prescribed Certificates) Principles 2014</w:t>
      </w:r>
      <w:r w:rsidR="009E4EB5">
        <w:rPr>
          <w:bCs/>
          <w:iCs/>
        </w:rPr>
        <w:t>, as in force immediately before the commencement of Schedule 5 to the Amendment Act</w:t>
      </w:r>
      <w:r w:rsidR="0073314D">
        <w:rPr>
          <w:bCs/>
          <w:iCs/>
        </w:rPr>
        <w:t>.</w:t>
      </w:r>
    </w:p>
    <w:p w14:paraId="52043657" w14:textId="6B307EC0" w:rsidR="00D35F67" w:rsidRPr="00D35F67" w:rsidRDefault="00D35F67" w:rsidP="00086BF0">
      <w:pPr>
        <w:pStyle w:val="Definition"/>
        <w:rPr>
          <w:bCs/>
          <w:iCs/>
        </w:rPr>
      </w:pPr>
      <w:r>
        <w:rPr>
          <w:b/>
          <w:i/>
        </w:rPr>
        <w:t>accreditation rules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means</w:t>
      </w:r>
      <w:proofErr w:type="gramEnd"/>
      <w:r>
        <w:rPr>
          <w:bCs/>
          <w:iCs/>
        </w:rPr>
        <w:t xml:space="preserve"> the </w:t>
      </w:r>
      <w:r>
        <w:rPr>
          <w:bCs/>
          <w:i/>
        </w:rPr>
        <w:t>Radiocommunications Accreditation (General) Rules 2021</w:t>
      </w:r>
      <w:r w:rsidR="00492788">
        <w:rPr>
          <w:bCs/>
          <w:iCs/>
        </w:rPr>
        <w:t>, as in force at the time Schedule 5 to the Amend</w:t>
      </w:r>
      <w:r w:rsidR="0061770D">
        <w:rPr>
          <w:bCs/>
          <w:iCs/>
        </w:rPr>
        <w:t>ment</w:t>
      </w:r>
      <w:r w:rsidR="00492788">
        <w:rPr>
          <w:bCs/>
          <w:iCs/>
        </w:rPr>
        <w:t xml:space="preserve"> Act commences.</w:t>
      </w:r>
    </w:p>
    <w:p w14:paraId="099EB861" w14:textId="2A09B8D3" w:rsidR="00086BF0" w:rsidRDefault="00086BF0" w:rsidP="00086BF0">
      <w:pPr>
        <w:pStyle w:val="Definition"/>
      </w:pPr>
      <w:r>
        <w:rPr>
          <w:b/>
          <w:i/>
        </w:rPr>
        <w:t>Act</w:t>
      </w:r>
      <w:r>
        <w:t xml:space="preserve"> means </w:t>
      </w:r>
      <w:r w:rsidR="008A3257">
        <w:t xml:space="preserve">the </w:t>
      </w:r>
      <w:r w:rsidR="008A3257">
        <w:rPr>
          <w:i/>
        </w:rPr>
        <w:t>Radiocommunications Act 1992</w:t>
      </w:r>
      <w:r>
        <w:t>.</w:t>
      </w:r>
    </w:p>
    <w:p w14:paraId="3DDC5BAC" w14:textId="4C64BCA8" w:rsidR="00E05CC6" w:rsidRDefault="00E05CC6" w:rsidP="00086BF0">
      <w:pPr>
        <w:pStyle w:val="Definition"/>
        <w:rPr>
          <w:bCs/>
          <w:iCs/>
        </w:rPr>
      </w:pPr>
      <w:r>
        <w:rPr>
          <w:b/>
          <w:i/>
        </w:rPr>
        <w:t>Amend</w:t>
      </w:r>
      <w:r w:rsidR="0061770D">
        <w:rPr>
          <w:b/>
          <w:i/>
        </w:rPr>
        <w:t>ment</w:t>
      </w:r>
      <w:r>
        <w:rPr>
          <w:b/>
          <w:i/>
        </w:rPr>
        <w:t xml:space="preserve"> Act </w:t>
      </w:r>
      <w:r>
        <w:rPr>
          <w:bCs/>
          <w:iCs/>
        </w:rPr>
        <w:t xml:space="preserve">means the </w:t>
      </w:r>
      <w:r w:rsidR="00D35F67">
        <w:rPr>
          <w:bCs/>
          <w:i/>
        </w:rPr>
        <w:t>Radiocommunications Legislation Amendment (Reform and Modernisation) Act 2020</w:t>
      </w:r>
      <w:r w:rsidR="00D35F67">
        <w:rPr>
          <w:bCs/>
          <w:iCs/>
        </w:rPr>
        <w:t>.</w:t>
      </w:r>
    </w:p>
    <w:p w14:paraId="1D328452" w14:textId="314CAE2C" w:rsidR="00D35F67" w:rsidRDefault="002C0020" w:rsidP="00086BF0">
      <w:pPr>
        <w:pStyle w:val="Definition"/>
        <w:rPr>
          <w:bCs/>
          <w:iCs/>
        </w:rPr>
      </w:pPr>
      <w:r>
        <w:rPr>
          <w:b/>
          <w:i/>
        </w:rPr>
        <w:t xml:space="preserve">General </w:t>
      </w:r>
      <w:r w:rsidR="0040081B">
        <w:rPr>
          <w:b/>
          <w:i/>
        </w:rPr>
        <w:t xml:space="preserve">Licensing </w:t>
      </w:r>
      <w:r>
        <w:rPr>
          <w:b/>
          <w:i/>
        </w:rPr>
        <w:t>Accreditation</w:t>
      </w:r>
      <w:r>
        <w:rPr>
          <w:bCs/>
          <w:iCs/>
        </w:rPr>
        <w:t xml:space="preserve"> means the kind of accreditation specified in paragraph 7(1)(a) of the accreditation rules.</w:t>
      </w:r>
    </w:p>
    <w:p w14:paraId="25766E35" w14:textId="653D4BCC" w:rsidR="0061770D" w:rsidRPr="0061770D" w:rsidRDefault="0061770D" w:rsidP="00086BF0">
      <w:pPr>
        <w:pStyle w:val="Definition"/>
        <w:rPr>
          <w:bCs/>
          <w:iCs/>
        </w:rPr>
      </w:pPr>
      <w:r>
        <w:rPr>
          <w:b/>
          <w:i/>
        </w:rPr>
        <w:t xml:space="preserve">item 26 </w:t>
      </w:r>
      <w:r>
        <w:rPr>
          <w:bCs/>
          <w:iCs/>
        </w:rPr>
        <w:t>means item 26 of Schedule 5 to the Amend</w:t>
      </w:r>
      <w:r w:rsidR="00141069">
        <w:rPr>
          <w:bCs/>
          <w:iCs/>
        </w:rPr>
        <w:t>ment</w:t>
      </w:r>
      <w:r>
        <w:rPr>
          <w:bCs/>
          <w:iCs/>
        </w:rPr>
        <w:t xml:space="preserve"> Act.</w:t>
      </w:r>
    </w:p>
    <w:p w14:paraId="05681FC1" w14:textId="5006DBE9" w:rsidR="00086BF0" w:rsidRDefault="002B4FA4" w:rsidP="00086BF0">
      <w:pPr>
        <w:pStyle w:val="notetext"/>
      </w:pPr>
      <w:r>
        <w:t>N</w:t>
      </w:r>
      <w:r w:rsidR="00086BF0">
        <w:t>ote</w:t>
      </w:r>
      <w:r w:rsidR="00682D42">
        <w:t xml:space="preserve"> 1</w:t>
      </w:r>
      <w:r w:rsidR="00086BF0">
        <w:t>:</w:t>
      </w:r>
      <w:r w:rsidR="00086BF0">
        <w:tab/>
        <w:t xml:space="preserve">A number of other expressions used in this instrument are defined in the Act, including </w:t>
      </w:r>
      <w:r w:rsidR="0067786B" w:rsidRPr="0067786B">
        <w:rPr>
          <w:b/>
          <w:bCs/>
          <w:i/>
          <w:iCs/>
        </w:rPr>
        <w:t>accreditation</w:t>
      </w:r>
      <w:r w:rsidR="0067786B">
        <w:t>.</w:t>
      </w:r>
    </w:p>
    <w:p w14:paraId="01AF959A" w14:textId="359A0269" w:rsidR="00086BF0" w:rsidRDefault="00086BF0" w:rsidP="00086BF0">
      <w:pPr>
        <w:pStyle w:val="notetext"/>
      </w:pPr>
      <w:r>
        <w:t xml:space="preserve">Note </w:t>
      </w:r>
      <w:r w:rsidR="006B278E">
        <w:t>2</w:t>
      </w:r>
      <w:r>
        <w:t>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0450FE55" w14:textId="3F07EC07" w:rsidR="006B278E" w:rsidRPr="00C72144" w:rsidRDefault="006B278E" w:rsidP="00086BF0">
      <w:pPr>
        <w:pStyle w:val="notetext"/>
      </w:pPr>
      <w:r>
        <w:t>Note 3:</w:t>
      </w:r>
      <w:r>
        <w:tab/>
        <w:t xml:space="preserve">For </w:t>
      </w:r>
      <w:r w:rsidR="00666F20">
        <w:t xml:space="preserve">references to legislative instruments, see section </w:t>
      </w:r>
      <w:r w:rsidR="00C72144">
        <w:t xml:space="preserve">14 of the </w:t>
      </w:r>
      <w:r w:rsidR="00C72144">
        <w:rPr>
          <w:i/>
          <w:iCs/>
        </w:rPr>
        <w:t>Legislation Act 2003</w:t>
      </w:r>
      <w:r w:rsidR="00C72144">
        <w:t>.</w:t>
      </w:r>
    </w:p>
    <w:p w14:paraId="480AF3CF" w14:textId="73B3109C" w:rsidR="00086BF0" w:rsidRDefault="00086BF0" w:rsidP="00086BF0">
      <w:pPr>
        <w:pStyle w:val="notetext"/>
      </w:pPr>
      <w:r>
        <w:t xml:space="preserve">Note </w:t>
      </w:r>
      <w:r w:rsidR="00C72144">
        <w:t>4</w:t>
      </w:r>
      <w:r>
        <w:t>:</w:t>
      </w:r>
      <w:r>
        <w:tab/>
        <w:t xml:space="preserve">All Commonwealth Acts and legislative instruments are registered on the Federal Register of Legislation. </w:t>
      </w:r>
    </w:p>
    <w:p w14:paraId="68CB38E3" w14:textId="4BE28A1D" w:rsidR="00086BF0" w:rsidRPr="00B92AD9" w:rsidRDefault="0040081B" w:rsidP="00086BF0">
      <w:pPr>
        <w:pStyle w:val="ActHead5"/>
      </w:pPr>
      <w:bookmarkStart w:id="6" w:name="_Toc444596036"/>
      <w:bookmarkEnd w:id="2"/>
      <w:r>
        <w:rPr>
          <w:rStyle w:val="CharSectno"/>
        </w:rPr>
        <w:t>6</w:t>
      </w:r>
      <w:r w:rsidR="00086BF0" w:rsidRPr="00B92AD9">
        <w:t xml:space="preserve">  </w:t>
      </w:r>
      <w:bookmarkEnd w:id="6"/>
      <w:r w:rsidR="00426EF8">
        <w:t>Transition of existing accreditation</w:t>
      </w:r>
    </w:p>
    <w:p w14:paraId="2FCE803E" w14:textId="606AEFBA" w:rsidR="009E6C7C" w:rsidRDefault="009E6C7C" w:rsidP="00086BF0">
      <w:pPr>
        <w:pStyle w:val="subsection"/>
      </w:pPr>
      <w:r>
        <w:tab/>
      </w:r>
      <w:r w:rsidR="0033094E">
        <w:t>(1)</w:t>
      </w:r>
      <w:r w:rsidR="006C3AA2">
        <w:tab/>
      </w:r>
      <w:r w:rsidR="00426EF8">
        <w:t xml:space="preserve">This section is made for the purposes of paragraph 26(1)(c) of </w:t>
      </w:r>
      <w:r w:rsidR="006A7522">
        <w:t>Schedule 5 to the Amend</w:t>
      </w:r>
      <w:r w:rsidR="00141069">
        <w:t>ment</w:t>
      </w:r>
      <w:r w:rsidR="006A7522">
        <w:t xml:space="preserve"> Act.</w:t>
      </w:r>
    </w:p>
    <w:p w14:paraId="3CF6B843" w14:textId="6ED2601B" w:rsidR="006A7522" w:rsidRDefault="006A7522" w:rsidP="00086BF0">
      <w:pPr>
        <w:pStyle w:val="subsection"/>
      </w:pPr>
      <w:r>
        <w:tab/>
        <w:t>(2)</w:t>
      </w:r>
      <w:r>
        <w:tab/>
      </w:r>
      <w:r w:rsidR="001E10FD">
        <w:t xml:space="preserve">Accreditation </w:t>
      </w:r>
      <w:r w:rsidR="00057A9C">
        <w:t>of the kind specified in paragraph 5(a) of the accreditation principles is taken</w:t>
      </w:r>
      <w:r w:rsidR="0061770D">
        <w:t>, for the purposes of item 26</w:t>
      </w:r>
      <w:r w:rsidR="00141069">
        <w:t>,</w:t>
      </w:r>
      <w:r w:rsidR="00057A9C">
        <w:t xml:space="preserve"> to</w:t>
      </w:r>
      <w:r w:rsidR="00141069">
        <w:t xml:space="preserve"> correspond to</w:t>
      </w:r>
      <w:r w:rsidR="00057A9C">
        <w:t xml:space="preserve"> </w:t>
      </w:r>
      <w:r w:rsidR="006936D2">
        <w:t xml:space="preserve">the General </w:t>
      </w:r>
      <w:r w:rsidR="001E5B7C">
        <w:t xml:space="preserve">Licensing </w:t>
      </w:r>
      <w:r w:rsidR="006936D2">
        <w:t>Accreditation.</w:t>
      </w:r>
    </w:p>
    <w:p w14:paraId="3A3B51EF" w14:textId="5AFCD65F" w:rsidR="006936D2" w:rsidRDefault="006936D2" w:rsidP="00086BF0">
      <w:pPr>
        <w:pStyle w:val="subsection"/>
      </w:pPr>
      <w:r>
        <w:lastRenderedPageBreak/>
        <w:tab/>
        <w:t>(3)</w:t>
      </w:r>
      <w:r>
        <w:tab/>
        <w:t>Accreditation of the kind specified in paragraph 5(b) of the accreditation principles is taken</w:t>
      </w:r>
      <w:r w:rsidR="00141069">
        <w:t>, for the purposes of item 26,</w:t>
      </w:r>
      <w:r>
        <w:t xml:space="preserve"> to </w:t>
      </w:r>
      <w:r w:rsidR="00B73FB3">
        <w:t>correspond to</w:t>
      </w:r>
      <w:r>
        <w:t xml:space="preserve"> the </w:t>
      </w:r>
      <w:r w:rsidR="00F73B17">
        <w:t xml:space="preserve">General </w:t>
      </w:r>
      <w:r w:rsidR="001E5B7C">
        <w:t xml:space="preserve">Licensing </w:t>
      </w:r>
      <w:r w:rsidR="00F73B17">
        <w:t>Accreditation</w:t>
      </w:r>
      <w:r w:rsidR="00B73FB3">
        <w:t>.</w:t>
      </w:r>
    </w:p>
    <w:p w14:paraId="17AF11A2" w14:textId="6DE8AE67" w:rsidR="004656A7" w:rsidRDefault="004656A7" w:rsidP="004656A7">
      <w:pPr>
        <w:pStyle w:val="subsection"/>
      </w:pPr>
      <w:r>
        <w:tab/>
        <w:t>(</w:t>
      </w:r>
      <w:r w:rsidR="00B73FB3">
        <w:t>4</w:t>
      </w:r>
      <w:r>
        <w:t>)</w:t>
      </w:r>
      <w:r>
        <w:tab/>
      </w:r>
      <w:r w:rsidR="00B73FB3">
        <w:t xml:space="preserve">Accreditation of the kind specified in paragraph </w:t>
      </w:r>
      <w:r w:rsidR="00331604">
        <w:t xml:space="preserve">5(c) of the accreditation principles is taken, for the purpose of item 26, to correspond to </w:t>
      </w:r>
      <w:r w:rsidR="00F73B17">
        <w:t xml:space="preserve">the General </w:t>
      </w:r>
      <w:r w:rsidR="001E5B7C">
        <w:t xml:space="preserve">Licensing </w:t>
      </w:r>
      <w:r w:rsidR="00F73B17">
        <w:t>Accreditation.</w:t>
      </w:r>
    </w:p>
    <w:sectPr w:rsidR="004656A7" w:rsidSect="00A15329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1AB2B" w14:textId="77777777" w:rsidR="009A5D47" w:rsidRDefault="009A5D47" w:rsidP="0017734A">
      <w:pPr>
        <w:spacing w:after="0" w:line="240" w:lineRule="auto"/>
      </w:pPr>
      <w:r>
        <w:separator/>
      </w:r>
    </w:p>
  </w:endnote>
  <w:endnote w:type="continuationSeparator" w:id="0">
    <w:p w14:paraId="2FD2D919" w14:textId="77777777" w:rsidR="009A5D47" w:rsidRDefault="009A5D47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65506" w14:textId="77777777" w:rsidR="00075B73" w:rsidRDefault="00075B73" w:rsidP="00070F59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Radiocommunications Accreditation (Transition) Rules 2021</w:t>
    </w:r>
  </w:p>
  <w:p w14:paraId="0DA8982E" w14:textId="77777777" w:rsidR="00075B73" w:rsidRDefault="00075B73" w:rsidP="002815B8">
    <w:pPr>
      <w:pStyle w:val="Foot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CONSULTATION DRAFT</w:t>
    </w:r>
  </w:p>
  <w:p w14:paraId="17E2DDC0" w14:textId="77777777" w:rsidR="00075B73" w:rsidRPr="00BF4061" w:rsidRDefault="00075B73" w:rsidP="00BF4061">
    <w:pPr>
      <w:pStyle w:val="Footer"/>
      <w:jc w:val="right"/>
      <w:rPr>
        <w:rFonts w:ascii="Times New Roman" w:hAnsi="Times New Roman" w:cs="Times New Roman"/>
      </w:rPr>
    </w:pPr>
    <w:r w:rsidRPr="00BF4061">
      <w:rPr>
        <w:rFonts w:ascii="Times New Roman" w:hAnsi="Times New Roman" w:cs="Times New Roman"/>
      </w:rPr>
      <w:fldChar w:fldCharType="begin"/>
    </w:r>
    <w:r w:rsidRPr="00BF4061">
      <w:rPr>
        <w:rFonts w:ascii="Times New Roman" w:hAnsi="Times New Roman" w:cs="Times New Roman"/>
      </w:rPr>
      <w:instrText xml:space="preserve"> PAGE  \* Arabic  \* MERGEFORMAT </w:instrText>
    </w:r>
    <w:r w:rsidRPr="00BF4061">
      <w:rPr>
        <w:rFonts w:ascii="Times New Roman" w:hAnsi="Times New Roman" w:cs="Times New Roman"/>
      </w:rPr>
      <w:fldChar w:fldCharType="separate"/>
    </w:r>
    <w:r w:rsidRPr="00BF4061">
      <w:rPr>
        <w:rFonts w:ascii="Times New Roman" w:hAnsi="Times New Roman" w:cs="Times New Roman"/>
        <w:noProof/>
      </w:rPr>
      <w:t>1</w:t>
    </w:r>
    <w:r w:rsidRPr="00BF4061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B56E2" w14:textId="77777777" w:rsidR="009A5D47" w:rsidRDefault="009A5D47" w:rsidP="0017734A">
      <w:pPr>
        <w:spacing w:after="0" w:line="240" w:lineRule="auto"/>
      </w:pPr>
      <w:r>
        <w:separator/>
      </w:r>
    </w:p>
  </w:footnote>
  <w:footnote w:type="continuationSeparator" w:id="0">
    <w:p w14:paraId="38B872C1" w14:textId="77777777" w:rsidR="009A5D47" w:rsidRDefault="009A5D47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ADEA3" w14:textId="10E70058" w:rsidR="00086C9F" w:rsidRDefault="006E2E5F">
    <w:pPr>
      <w:pStyle w:val="Header"/>
    </w:pPr>
    <w:r>
      <w:rPr>
        <w:noProof/>
      </w:rPr>
      <w:pict w14:anchorId="6F14ED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6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94930" w14:textId="18742ADD" w:rsidR="00086C9F" w:rsidRDefault="006E2E5F">
    <w:pPr>
      <w:pStyle w:val="Header"/>
    </w:pPr>
    <w:r>
      <w:rPr>
        <w:noProof/>
      </w:rPr>
      <w:pict w14:anchorId="08C4CE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7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F92C9" w14:textId="27BBFE63" w:rsidR="00086C9F" w:rsidRDefault="006E2E5F">
    <w:pPr>
      <w:pStyle w:val="Header"/>
    </w:pPr>
    <w:r>
      <w:rPr>
        <w:noProof/>
      </w:rPr>
      <w:pict w14:anchorId="68DAAA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5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DDCE2" w14:textId="738C3959" w:rsidR="00086C9F" w:rsidRDefault="006E2E5F">
    <w:pPr>
      <w:pStyle w:val="Header"/>
    </w:pPr>
    <w:r>
      <w:rPr>
        <w:noProof/>
      </w:rPr>
      <w:pict w14:anchorId="233641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5" o:spid="_x0000_s2059" type="#_x0000_t136" style="position:absolute;margin-left:0;margin-top:0;width:424.2pt;height:212.1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FD9A6" w14:textId="00D1CD7E" w:rsidR="00075B73" w:rsidRPr="00F03566" w:rsidRDefault="006E2E5F" w:rsidP="003626D8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430334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3" o:spid="_x0000_s2066" type="#_x0000_t136" style="position:absolute;margin-left:0;margin-top:0;width:424.2pt;height:212.1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75B73" w:rsidRPr="00F03566">
      <w:rPr>
        <w:rFonts w:ascii="Times New Roman" w:hAnsi="Times New Roman" w:cs="Times New Roman"/>
      </w:rPr>
      <w:t>Section</w:t>
    </w:r>
    <w:r w:rsidR="00075B73">
      <w:rPr>
        <w:rFonts w:ascii="Times New Roman" w:hAnsi="Times New Roman" w:cs="Times New Roman"/>
      </w:rPr>
      <w:t xml:space="preserve"> </w:t>
    </w:r>
    <w:r w:rsidR="00075B73">
      <w:rPr>
        <w:rFonts w:ascii="Times New Roman" w:hAnsi="Times New Roman" w:cs="Times New Roman"/>
      </w:rPr>
      <w:fldChar w:fldCharType="begin"/>
    </w:r>
    <w:r w:rsidR="00075B73">
      <w:rPr>
        <w:rFonts w:ascii="Times New Roman" w:hAnsi="Times New Roman" w:cs="Times New Roman"/>
      </w:rPr>
      <w:instrText xml:space="preserve"> STYLEREF  CharSectno  \* MERGEFORMAT </w:instrText>
    </w:r>
    <w:r w:rsidR="00075B73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6</w:t>
    </w:r>
    <w:r w:rsidR="00075B73">
      <w:rPr>
        <w:rFonts w:ascii="Times New Roman" w:hAnsi="Times New Roman" w:cs="Times New Roman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2B394" w14:textId="22E82521" w:rsidR="00086C9F" w:rsidRDefault="006E2E5F">
    <w:pPr>
      <w:pStyle w:val="Header"/>
    </w:pPr>
    <w:r>
      <w:rPr>
        <w:noProof/>
      </w:rPr>
      <w:pict w14:anchorId="280A01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4" o:spid="_x0000_s2058" type="#_x0000_t136" style="position:absolute;margin-left:0;margin-top:0;width:424.2pt;height:212.1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435CA"/>
    <w:multiLevelType w:val="hybridMultilevel"/>
    <w:tmpl w:val="C9240328"/>
    <w:lvl w:ilvl="0" w:tplc="A36AAAB0">
      <w:start w:val="1"/>
      <w:numFmt w:val="lowerLetter"/>
      <w:lvlText w:val="(%1)"/>
      <w:lvlJc w:val="left"/>
      <w:pPr>
        <w:ind w:left="165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78" w:hanging="360"/>
      </w:pPr>
    </w:lvl>
    <w:lvl w:ilvl="2" w:tplc="0C09001B" w:tentative="1">
      <w:start w:val="1"/>
      <w:numFmt w:val="lowerRoman"/>
      <w:lvlText w:val="%3."/>
      <w:lvlJc w:val="right"/>
      <w:pPr>
        <w:ind w:left="3098" w:hanging="180"/>
      </w:pPr>
    </w:lvl>
    <w:lvl w:ilvl="3" w:tplc="0C09000F" w:tentative="1">
      <w:start w:val="1"/>
      <w:numFmt w:val="decimal"/>
      <w:lvlText w:val="%4."/>
      <w:lvlJc w:val="left"/>
      <w:pPr>
        <w:ind w:left="3818" w:hanging="360"/>
      </w:pPr>
    </w:lvl>
    <w:lvl w:ilvl="4" w:tplc="0C090019" w:tentative="1">
      <w:start w:val="1"/>
      <w:numFmt w:val="lowerLetter"/>
      <w:lvlText w:val="%5."/>
      <w:lvlJc w:val="left"/>
      <w:pPr>
        <w:ind w:left="4538" w:hanging="360"/>
      </w:pPr>
    </w:lvl>
    <w:lvl w:ilvl="5" w:tplc="0C09001B" w:tentative="1">
      <w:start w:val="1"/>
      <w:numFmt w:val="lowerRoman"/>
      <w:lvlText w:val="%6."/>
      <w:lvlJc w:val="right"/>
      <w:pPr>
        <w:ind w:left="5258" w:hanging="180"/>
      </w:pPr>
    </w:lvl>
    <w:lvl w:ilvl="6" w:tplc="0C09000F" w:tentative="1">
      <w:start w:val="1"/>
      <w:numFmt w:val="decimal"/>
      <w:lvlText w:val="%7."/>
      <w:lvlJc w:val="left"/>
      <w:pPr>
        <w:ind w:left="5978" w:hanging="360"/>
      </w:pPr>
    </w:lvl>
    <w:lvl w:ilvl="7" w:tplc="0C090019" w:tentative="1">
      <w:start w:val="1"/>
      <w:numFmt w:val="lowerLetter"/>
      <w:lvlText w:val="%8."/>
      <w:lvlJc w:val="left"/>
      <w:pPr>
        <w:ind w:left="6698" w:hanging="360"/>
      </w:pPr>
    </w:lvl>
    <w:lvl w:ilvl="8" w:tplc="0C0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36A3"/>
    <w:rsid w:val="00010658"/>
    <w:rsid w:val="00011FF2"/>
    <w:rsid w:val="00013825"/>
    <w:rsid w:val="00014DF6"/>
    <w:rsid w:val="000178F5"/>
    <w:rsid w:val="00020C61"/>
    <w:rsid w:val="000220C1"/>
    <w:rsid w:val="00027AFD"/>
    <w:rsid w:val="00031441"/>
    <w:rsid w:val="000340E0"/>
    <w:rsid w:val="00036992"/>
    <w:rsid w:val="0004001A"/>
    <w:rsid w:val="000402B0"/>
    <w:rsid w:val="00044BF6"/>
    <w:rsid w:val="00044E44"/>
    <w:rsid w:val="00051A12"/>
    <w:rsid w:val="000563AD"/>
    <w:rsid w:val="00057A9C"/>
    <w:rsid w:val="00063EAB"/>
    <w:rsid w:val="00070F59"/>
    <w:rsid w:val="00075B73"/>
    <w:rsid w:val="00077358"/>
    <w:rsid w:val="00081177"/>
    <w:rsid w:val="00086BF0"/>
    <w:rsid w:val="00086C9F"/>
    <w:rsid w:val="00087F5A"/>
    <w:rsid w:val="00091F74"/>
    <w:rsid w:val="00092547"/>
    <w:rsid w:val="000939BF"/>
    <w:rsid w:val="000947E8"/>
    <w:rsid w:val="0009779B"/>
    <w:rsid w:val="00097890"/>
    <w:rsid w:val="000A1321"/>
    <w:rsid w:val="000A35B8"/>
    <w:rsid w:val="000B226A"/>
    <w:rsid w:val="000B3587"/>
    <w:rsid w:val="000B6428"/>
    <w:rsid w:val="000B7C7F"/>
    <w:rsid w:val="000B7FD2"/>
    <w:rsid w:val="000D6066"/>
    <w:rsid w:val="000D676B"/>
    <w:rsid w:val="000E2A21"/>
    <w:rsid w:val="000E35B9"/>
    <w:rsid w:val="000E7C3B"/>
    <w:rsid w:val="000F0D4D"/>
    <w:rsid w:val="000F1010"/>
    <w:rsid w:val="000F1CE3"/>
    <w:rsid w:val="000F2057"/>
    <w:rsid w:val="000F279C"/>
    <w:rsid w:val="000F6D96"/>
    <w:rsid w:val="000F77CA"/>
    <w:rsid w:val="001013E7"/>
    <w:rsid w:val="001138B2"/>
    <w:rsid w:val="00120094"/>
    <w:rsid w:val="00123B04"/>
    <w:rsid w:val="001247D7"/>
    <w:rsid w:val="00130D07"/>
    <w:rsid w:val="001316D8"/>
    <w:rsid w:val="001346C8"/>
    <w:rsid w:val="00134FF8"/>
    <w:rsid w:val="00141069"/>
    <w:rsid w:val="001410E0"/>
    <w:rsid w:val="00144D95"/>
    <w:rsid w:val="0015041E"/>
    <w:rsid w:val="00152CE6"/>
    <w:rsid w:val="00154ECC"/>
    <w:rsid w:val="001604E7"/>
    <w:rsid w:val="00160F8E"/>
    <w:rsid w:val="0016293C"/>
    <w:rsid w:val="00162ECF"/>
    <w:rsid w:val="0016462E"/>
    <w:rsid w:val="00166EBC"/>
    <w:rsid w:val="00172A09"/>
    <w:rsid w:val="0017734A"/>
    <w:rsid w:val="00183F2C"/>
    <w:rsid w:val="00183F81"/>
    <w:rsid w:val="0019145C"/>
    <w:rsid w:val="001920F7"/>
    <w:rsid w:val="001928A2"/>
    <w:rsid w:val="00195265"/>
    <w:rsid w:val="001971B8"/>
    <w:rsid w:val="001A0213"/>
    <w:rsid w:val="001A2B69"/>
    <w:rsid w:val="001A4B39"/>
    <w:rsid w:val="001A7608"/>
    <w:rsid w:val="001B084D"/>
    <w:rsid w:val="001B0BA6"/>
    <w:rsid w:val="001B1E06"/>
    <w:rsid w:val="001B2574"/>
    <w:rsid w:val="001B327F"/>
    <w:rsid w:val="001B5B81"/>
    <w:rsid w:val="001B7427"/>
    <w:rsid w:val="001C2999"/>
    <w:rsid w:val="001C329F"/>
    <w:rsid w:val="001C3477"/>
    <w:rsid w:val="001C447F"/>
    <w:rsid w:val="001C50BD"/>
    <w:rsid w:val="001D2C48"/>
    <w:rsid w:val="001D6094"/>
    <w:rsid w:val="001E0709"/>
    <w:rsid w:val="001E0E34"/>
    <w:rsid w:val="001E0EF9"/>
    <w:rsid w:val="001E10FD"/>
    <w:rsid w:val="001E1426"/>
    <w:rsid w:val="001E3A74"/>
    <w:rsid w:val="001E45EA"/>
    <w:rsid w:val="001E5B7C"/>
    <w:rsid w:val="001F2B9D"/>
    <w:rsid w:val="001F3FD1"/>
    <w:rsid w:val="00211382"/>
    <w:rsid w:val="00212D44"/>
    <w:rsid w:val="00215EB0"/>
    <w:rsid w:val="00215F01"/>
    <w:rsid w:val="00217AF2"/>
    <w:rsid w:val="00222584"/>
    <w:rsid w:val="00222A18"/>
    <w:rsid w:val="002276C2"/>
    <w:rsid w:val="0023236F"/>
    <w:rsid w:val="00232C53"/>
    <w:rsid w:val="002332A2"/>
    <w:rsid w:val="00233BF3"/>
    <w:rsid w:val="00234C6C"/>
    <w:rsid w:val="00234E4F"/>
    <w:rsid w:val="002359DE"/>
    <w:rsid w:val="00244C34"/>
    <w:rsid w:val="0025352D"/>
    <w:rsid w:val="002569B5"/>
    <w:rsid w:val="00263D45"/>
    <w:rsid w:val="00267174"/>
    <w:rsid w:val="002815B8"/>
    <w:rsid w:val="00291C8D"/>
    <w:rsid w:val="00292F2F"/>
    <w:rsid w:val="002974F0"/>
    <w:rsid w:val="002A4BBA"/>
    <w:rsid w:val="002B0BD1"/>
    <w:rsid w:val="002B1944"/>
    <w:rsid w:val="002B4FA4"/>
    <w:rsid w:val="002B73D8"/>
    <w:rsid w:val="002C0020"/>
    <w:rsid w:val="002C1F8C"/>
    <w:rsid w:val="002C6C26"/>
    <w:rsid w:val="002C74AF"/>
    <w:rsid w:val="002D0B74"/>
    <w:rsid w:val="002D3F03"/>
    <w:rsid w:val="002E1500"/>
    <w:rsid w:val="002E3987"/>
    <w:rsid w:val="002E5B01"/>
    <w:rsid w:val="002E5D2B"/>
    <w:rsid w:val="002E62EB"/>
    <w:rsid w:val="002F0E3F"/>
    <w:rsid w:val="002F3393"/>
    <w:rsid w:val="002F7598"/>
    <w:rsid w:val="00307285"/>
    <w:rsid w:val="003166CF"/>
    <w:rsid w:val="00320212"/>
    <w:rsid w:val="00323150"/>
    <w:rsid w:val="00324E3F"/>
    <w:rsid w:val="00326470"/>
    <w:rsid w:val="003272B7"/>
    <w:rsid w:val="003273E0"/>
    <w:rsid w:val="0032788F"/>
    <w:rsid w:val="0033094E"/>
    <w:rsid w:val="00331604"/>
    <w:rsid w:val="00332817"/>
    <w:rsid w:val="0033692B"/>
    <w:rsid w:val="003421D6"/>
    <w:rsid w:val="00344A03"/>
    <w:rsid w:val="00347EB1"/>
    <w:rsid w:val="00353A9E"/>
    <w:rsid w:val="003626D8"/>
    <w:rsid w:val="00366F3B"/>
    <w:rsid w:val="0037205D"/>
    <w:rsid w:val="00372D68"/>
    <w:rsid w:val="003741EA"/>
    <w:rsid w:val="003813EE"/>
    <w:rsid w:val="003824FC"/>
    <w:rsid w:val="00393A99"/>
    <w:rsid w:val="00395204"/>
    <w:rsid w:val="003973D0"/>
    <w:rsid w:val="00397CE1"/>
    <w:rsid w:val="003A0F02"/>
    <w:rsid w:val="003B0193"/>
    <w:rsid w:val="003B2C48"/>
    <w:rsid w:val="003B64CF"/>
    <w:rsid w:val="003B67C4"/>
    <w:rsid w:val="003C0096"/>
    <w:rsid w:val="003C34F0"/>
    <w:rsid w:val="003D16FE"/>
    <w:rsid w:val="003D749D"/>
    <w:rsid w:val="003E05A2"/>
    <w:rsid w:val="003E56BF"/>
    <w:rsid w:val="003E76CF"/>
    <w:rsid w:val="003F0CA6"/>
    <w:rsid w:val="003F40B7"/>
    <w:rsid w:val="003F70DF"/>
    <w:rsid w:val="0040081B"/>
    <w:rsid w:val="004025F4"/>
    <w:rsid w:val="004042B9"/>
    <w:rsid w:val="004047F1"/>
    <w:rsid w:val="00416E07"/>
    <w:rsid w:val="00417B8B"/>
    <w:rsid w:val="00422B14"/>
    <w:rsid w:val="00424038"/>
    <w:rsid w:val="00426BB5"/>
    <w:rsid w:val="00426EF8"/>
    <w:rsid w:val="004305C5"/>
    <w:rsid w:val="0043103D"/>
    <w:rsid w:val="004345E8"/>
    <w:rsid w:val="00434B53"/>
    <w:rsid w:val="004361D9"/>
    <w:rsid w:val="00440610"/>
    <w:rsid w:val="00444F19"/>
    <w:rsid w:val="00450283"/>
    <w:rsid w:val="00452993"/>
    <w:rsid w:val="00456520"/>
    <w:rsid w:val="00461644"/>
    <w:rsid w:val="004656A7"/>
    <w:rsid w:val="00471328"/>
    <w:rsid w:val="00471518"/>
    <w:rsid w:val="00492788"/>
    <w:rsid w:val="004970D1"/>
    <w:rsid w:val="004A1604"/>
    <w:rsid w:val="004A4832"/>
    <w:rsid w:val="004A6D44"/>
    <w:rsid w:val="004B4796"/>
    <w:rsid w:val="004C06D8"/>
    <w:rsid w:val="004C2C30"/>
    <w:rsid w:val="004C6F47"/>
    <w:rsid w:val="004D102A"/>
    <w:rsid w:val="004D1121"/>
    <w:rsid w:val="004D664C"/>
    <w:rsid w:val="004D6B79"/>
    <w:rsid w:val="004E233D"/>
    <w:rsid w:val="004E3164"/>
    <w:rsid w:val="004E45E8"/>
    <w:rsid w:val="004F0A48"/>
    <w:rsid w:val="004F0F9D"/>
    <w:rsid w:val="004F1654"/>
    <w:rsid w:val="00502445"/>
    <w:rsid w:val="00507D03"/>
    <w:rsid w:val="005236D8"/>
    <w:rsid w:val="005244E6"/>
    <w:rsid w:val="00527341"/>
    <w:rsid w:val="00543DBA"/>
    <w:rsid w:val="00544698"/>
    <w:rsid w:val="005460F6"/>
    <w:rsid w:val="00551D09"/>
    <w:rsid w:val="00553490"/>
    <w:rsid w:val="00583F0E"/>
    <w:rsid w:val="00585DEC"/>
    <w:rsid w:val="005948F8"/>
    <w:rsid w:val="005957A6"/>
    <w:rsid w:val="005A00B0"/>
    <w:rsid w:val="005A27C6"/>
    <w:rsid w:val="005A3582"/>
    <w:rsid w:val="005A41BC"/>
    <w:rsid w:val="005A4BFC"/>
    <w:rsid w:val="005A53C8"/>
    <w:rsid w:val="005B14D7"/>
    <w:rsid w:val="005B4F22"/>
    <w:rsid w:val="005C0555"/>
    <w:rsid w:val="005C3DBE"/>
    <w:rsid w:val="005C4D1A"/>
    <w:rsid w:val="005C4F3C"/>
    <w:rsid w:val="005C7CA8"/>
    <w:rsid w:val="005D0D57"/>
    <w:rsid w:val="005D1753"/>
    <w:rsid w:val="005D43B5"/>
    <w:rsid w:val="005D5BC7"/>
    <w:rsid w:val="005D5DDE"/>
    <w:rsid w:val="005D7E45"/>
    <w:rsid w:val="005E1AE8"/>
    <w:rsid w:val="005E3873"/>
    <w:rsid w:val="005E3F70"/>
    <w:rsid w:val="005F474D"/>
    <w:rsid w:val="00603981"/>
    <w:rsid w:val="006058EB"/>
    <w:rsid w:val="00607891"/>
    <w:rsid w:val="0061770D"/>
    <w:rsid w:val="006208AE"/>
    <w:rsid w:val="0062630F"/>
    <w:rsid w:val="00630181"/>
    <w:rsid w:val="0063096D"/>
    <w:rsid w:val="00630E2D"/>
    <w:rsid w:val="006340B2"/>
    <w:rsid w:val="00634EE0"/>
    <w:rsid w:val="00636EDD"/>
    <w:rsid w:val="00640849"/>
    <w:rsid w:val="00640DCC"/>
    <w:rsid w:val="006437D6"/>
    <w:rsid w:val="006453A3"/>
    <w:rsid w:val="00650E29"/>
    <w:rsid w:val="00650F57"/>
    <w:rsid w:val="006575C0"/>
    <w:rsid w:val="006608EC"/>
    <w:rsid w:val="00662E1E"/>
    <w:rsid w:val="0066405E"/>
    <w:rsid w:val="00666F20"/>
    <w:rsid w:val="00670C1A"/>
    <w:rsid w:val="0067786B"/>
    <w:rsid w:val="00681361"/>
    <w:rsid w:val="00682D42"/>
    <w:rsid w:val="00685108"/>
    <w:rsid w:val="00687751"/>
    <w:rsid w:val="006936D2"/>
    <w:rsid w:val="00693D4F"/>
    <w:rsid w:val="00697C55"/>
    <w:rsid w:val="006A073B"/>
    <w:rsid w:val="006A24B2"/>
    <w:rsid w:val="006A715C"/>
    <w:rsid w:val="006A7522"/>
    <w:rsid w:val="006B051F"/>
    <w:rsid w:val="006B2561"/>
    <w:rsid w:val="006B278E"/>
    <w:rsid w:val="006B5E7F"/>
    <w:rsid w:val="006C0251"/>
    <w:rsid w:val="006C3AA2"/>
    <w:rsid w:val="006C3B4C"/>
    <w:rsid w:val="006D36DE"/>
    <w:rsid w:val="006D5CCA"/>
    <w:rsid w:val="006D7488"/>
    <w:rsid w:val="006D7EC0"/>
    <w:rsid w:val="006E0C36"/>
    <w:rsid w:val="006E2E5F"/>
    <w:rsid w:val="006E5B82"/>
    <w:rsid w:val="006F1E86"/>
    <w:rsid w:val="006F4151"/>
    <w:rsid w:val="006F5CF2"/>
    <w:rsid w:val="006F5F7B"/>
    <w:rsid w:val="006F662B"/>
    <w:rsid w:val="00700BBF"/>
    <w:rsid w:val="00703828"/>
    <w:rsid w:val="00704A4E"/>
    <w:rsid w:val="00705DD0"/>
    <w:rsid w:val="0071142C"/>
    <w:rsid w:val="00716DE0"/>
    <w:rsid w:val="00720FF8"/>
    <w:rsid w:val="00721966"/>
    <w:rsid w:val="00730111"/>
    <w:rsid w:val="0073314D"/>
    <w:rsid w:val="00733FB0"/>
    <w:rsid w:val="0073426E"/>
    <w:rsid w:val="0073508B"/>
    <w:rsid w:val="00735A25"/>
    <w:rsid w:val="00737B0D"/>
    <w:rsid w:val="00740784"/>
    <w:rsid w:val="007425BC"/>
    <w:rsid w:val="00743519"/>
    <w:rsid w:val="0074560B"/>
    <w:rsid w:val="007500ED"/>
    <w:rsid w:val="007557CE"/>
    <w:rsid w:val="007616FD"/>
    <w:rsid w:val="007627E1"/>
    <w:rsid w:val="00762CB1"/>
    <w:rsid w:val="00763288"/>
    <w:rsid w:val="00763880"/>
    <w:rsid w:val="00764D72"/>
    <w:rsid w:val="007665FB"/>
    <w:rsid w:val="00770264"/>
    <w:rsid w:val="00774670"/>
    <w:rsid w:val="007778B9"/>
    <w:rsid w:val="00782ADA"/>
    <w:rsid w:val="007833EE"/>
    <w:rsid w:val="007836D8"/>
    <w:rsid w:val="00783876"/>
    <w:rsid w:val="00783CDE"/>
    <w:rsid w:val="00785681"/>
    <w:rsid w:val="0079222A"/>
    <w:rsid w:val="0079446B"/>
    <w:rsid w:val="00796E4F"/>
    <w:rsid w:val="007A5A25"/>
    <w:rsid w:val="007B35EE"/>
    <w:rsid w:val="007B58BE"/>
    <w:rsid w:val="007C19DE"/>
    <w:rsid w:val="007C1AC6"/>
    <w:rsid w:val="007D093E"/>
    <w:rsid w:val="007D29C5"/>
    <w:rsid w:val="007D5537"/>
    <w:rsid w:val="007E1C85"/>
    <w:rsid w:val="007E2A37"/>
    <w:rsid w:val="007E3B9D"/>
    <w:rsid w:val="007E56EC"/>
    <w:rsid w:val="007F2850"/>
    <w:rsid w:val="007F4218"/>
    <w:rsid w:val="00800926"/>
    <w:rsid w:val="00806C8A"/>
    <w:rsid w:val="00807D67"/>
    <w:rsid w:val="0081244E"/>
    <w:rsid w:val="00812A22"/>
    <w:rsid w:val="00814838"/>
    <w:rsid w:val="00821186"/>
    <w:rsid w:val="008248BD"/>
    <w:rsid w:val="0083008D"/>
    <w:rsid w:val="00834492"/>
    <w:rsid w:val="00834B8F"/>
    <w:rsid w:val="00854E86"/>
    <w:rsid w:val="00856DA1"/>
    <w:rsid w:val="0086239F"/>
    <w:rsid w:val="00870270"/>
    <w:rsid w:val="008704B6"/>
    <w:rsid w:val="00870FEA"/>
    <w:rsid w:val="00872344"/>
    <w:rsid w:val="008745FD"/>
    <w:rsid w:val="0087576E"/>
    <w:rsid w:val="00882371"/>
    <w:rsid w:val="00892659"/>
    <w:rsid w:val="0089278F"/>
    <w:rsid w:val="00895DCA"/>
    <w:rsid w:val="00895EE2"/>
    <w:rsid w:val="00896A23"/>
    <w:rsid w:val="008976B4"/>
    <w:rsid w:val="008A1DAF"/>
    <w:rsid w:val="008A2812"/>
    <w:rsid w:val="008A2CE6"/>
    <w:rsid w:val="008A3257"/>
    <w:rsid w:val="008B1831"/>
    <w:rsid w:val="008B23CF"/>
    <w:rsid w:val="008B2B2C"/>
    <w:rsid w:val="008C0BAC"/>
    <w:rsid w:val="008C108D"/>
    <w:rsid w:val="008C13F8"/>
    <w:rsid w:val="008C5897"/>
    <w:rsid w:val="008C5FC8"/>
    <w:rsid w:val="008D642E"/>
    <w:rsid w:val="008E03AE"/>
    <w:rsid w:val="008E0733"/>
    <w:rsid w:val="008E16E9"/>
    <w:rsid w:val="008E28B0"/>
    <w:rsid w:val="008E3E60"/>
    <w:rsid w:val="008E5CF6"/>
    <w:rsid w:val="008E5D57"/>
    <w:rsid w:val="008E605E"/>
    <w:rsid w:val="008F015D"/>
    <w:rsid w:val="008F0D09"/>
    <w:rsid w:val="008F13B4"/>
    <w:rsid w:val="008F295F"/>
    <w:rsid w:val="008F2A6B"/>
    <w:rsid w:val="00903870"/>
    <w:rsid w:val="0090394B"/>
    <w:rsid w:val="0091792E"/>
    <w:rsid w:val="00917A9B"/>
    <w:rsid w:val="00920A95"/>
    <w:rsid w:val="00922850"/>
    <w:rsid w:val="009248C6"/>
    <w:rsid w:val="0092704D"/>
    <w:rsid w:val="009305CC"/>
    <w:rsid w:val="009316AB"/>
    <w:rsid w:val="00931FB4"/>
    <w:rsid w:val="00936E66"/>
    <w:rsid w:val="009426E0"/>
    <w:rsid w:val="00942C81"/>
    <w:rsid w:val="00954745"/>
    <w:rsid w:val="00954B44"/>
    <w:rsid w:val="00954F0C"/>
    <w:rsid w:val="00957210"/>
    <w:rsid w:val="0096037A"/>
    <w:rsid w:val="009637DB"/>
    <w:rsid w:val="00966602"/>
    <w:rsid w:val="00966DA5"/>
    <w:rsid w:val="0097228D"/>
    <w:rsid w:val="00974C3F"/>
    <w:rsid w:val="009853BF"/>
    <w:rsid w:val="009855C7"/>
    <w:rsid w:val="00987A5F"/>
    <w:rsid w:val="00994542"/>
    <w:rsid w:val="00994CCF"/>
    <w:rsid w:val="00995BA5"/>
    <w:rsid w:val="00995E8D"/>
    <w:rsid w:val="009A1B27"/>
    <w:rsid w:val="009A4361"/>
    <w:rsid w:val="009A5D47"/>
    <w:rsid w:val="009A6CC0"/>
    <w:rsid w:val="009B3E70"/>
    <w:rsid w:val="009C7883"/>
    <w:rsid w:val="009D050F"/>
    <w:rsid w:val="009D1FCF"/>
    <w:rsid w:val="009D2BAB"/>
    <w:rsid w:val="009D43C9"/>
    <w:rsid w:val="009D640C"/>
    <w:rsid w:val="009D6F59"/>
    <w:rsid w:val="009E2417"/>
    <w:rsid w:val="009E4EB5"/>
    <w:rsid w:val="009E6C7C"/>
    <w:rsid w:val="009F0185"/>
    <w:rsid w:val="00A02649"/>
    <w:rsid w:val="00A03DB3"/>
    <w:rsid w:val="00A06C71"/>
    <w:rsid w:val="00A15329"/>
    <w:rsid w:val="00A1592B"/>
    <w:rsid w:val="00A26D53"/>
    <w:rsid w:val="00A35082"/>
    <w:rsid w:val="00A37ADA"/>
    <w:rsid w:val="00A425B7"/>
    <w:rsid w:val="00A46F76"/>
    <w:rsid w:val="00A533E4"/>
    <w:rsid w:val="00A53D82"/>
    <w:rsid w:val="00A542C8"/>
    <w:rsid w:val="00A54916"/>
    <w:rsid w:val="00A65C02"/>
    <w:rsid w:val="00A667E2"/>
    <w:rsid w:val="00A66E43"/>
    <w:rsid w:val="00A70EBA"/>
    <w:rsid w:val="00A717A9"/>
    <w:rsid w:val="00A7192B"/>
    <w:rsid w:val="00A71F94"/>
    <w:rsid w:val="00A77131"/>
    <w:rsid w:val="00A816D6"/>
    <w:rsid w:val="00A87309"/>
    <w:rsid w:val="00A944B3"/>
    <w:rsid w:val="00A965A3"/>
    <w:rsid w:val="00AA1E0A"/>
    <w:rsid w:val="00AB1A1E"/>
    <w:rsid w:val="00AB56BB"/>
    <w:rsid w:val="00AC08D6"/>
    <w:rsid w:val="00AC5FC8"/>
    <w:rsid w:val="00AC7332"/>
    <w:rsid w:val="00AD07A2"/>
    <w:rsid w:val="00AD14AA"/>
    <w:rsid w:val="00AD1EEA"/>
    <w:rsid w:val="00AD5558"/>
    <w:rsid w:val="00AD64D1"/>
    <w:rsid w:val="00AD72AC"/>
    <w:rsid w:val="00AE0971"/>
    <w:rsid w:val="00AE1ECA"/>
    <w:rsid w:val="00AE2A5C"/>
    <w:rsid w:val="00AE2DB8"/>
    <w:rsid w:val="00AE42E7"/>
    <w:rsid w:val="00AE50D5"/>
    <w:rsid w:val="00AF3EF4"/>
    <w:rsid w:val="00B13B65"/>
    <w:rsid w:val="00B16596"/>
    <w:rsid w:val="00B17854"/>
    <w:rsid w:val="00B20320"/>
    <w:rsid w:val="00B22FA4"/>
    <w:rsid w:val="00B23A2D"/>
    <w:rsid w:val="00B263BE"/>
    <w:rsid w:val="00B30E43"/>
    <w:rsid w:val="00B33252"/>
    <w:rsid w:val="00B34A4D"/>
    <w:rsid w:val="00B35762"/>
    <w:rsid w:val="00B3734E"/>
    <w:rsid w:val="00B419EB"/>
    <w:rsid w:val="00B45375"/>
    <w:rsid w:val="00B45D74"/>
    <w:rsid w:val="00B508D1"/>
    <w:rsid w:val="00B524EE"/>
    <w:rsid w:val="00B53F1A"/>
    <w:rsid w:val="00B564B6"/>
    <w:rsid w:val="00B676E3"/>
    <w:rsid w:val="00B67E4C"/>
    <w:rsid w:val="00B7359B"/>
    <w:rsid w:val="00B73FB3"/>
    <w:rsid w:val="00B749E2"/>
    <w:rsid w:val="00B802ED"/>
    <w:rsid w:val="00B85138"/>
    <w:rsid w:val="00B90F17"/>
    <w:rsid w:val="00B92AD9"/>
    <w:rsid w:val="00B94518"/>
    <w:rsid w:val="00B94EDF"/>
    <w:rsid w:val="00B9578D"/>
    <w:rsid w:val="00B95F1E"/>
    <w:rsid w:val="00BA4326"/>
    <w:rsid w:val="00BA4B76"/>
    <w:rsid w:val="00BA7DB7"/>
    <w:rsid w:val="00BB4DAE"/>
    <w:rsid w:val="00BB5BEF"/>
    <w:rsid w:val="00BB5C6B"/>
    <w:rsid w:val="00BC30F7"/>
    <w:rsid w:val="00BC772B"/>
    <w:rsid w:val="00BD2431"/>
    <w:rsid w:val="00BD36E2"/>
    <w:rsid w:val="00BD77C9"/>
    <w:rsid w:val="00BE095C"/>
    <w:rsid w:val="00BE1487"/>
    <w:rsid w:val="00BE183E"/>
    <w:rsid w:val="00BE4BC7"/>
    <w:rsid w:val="00BE5458"/>
    <w:rsid w:val="00BE5721"/>
    <w:rsid w:val="00BE5B1F"/>
    <w:rsid w:val="00BE5E99"/>
    <w:rsid w:val="00BF0923"/>
    <w:rsid w:val="00BF3E66"/>
    <w:rsid w:val="00BF4061"/>
    <w:rsid w:val="00BF6820"/>
    <w:rsid w:val="00C000FF"/>
    <w:rsid w:val="00C00840"/>
    <w:rsid w:val="00C01747"/>
    <w:rsid w:val="00C01F15"/>
    <w:rsid w:val="00C02031"/>
    <w:rsid w:val="00C03B70"/>
    <w:rsid w:val="00C04BC4"/>
    <w:rsid w:val="00C1006A"/>
    <w:rsid w:val="00C10EA1"/>
    <w:rsid w:val="00C15FDE"/>
    <w:rsid w:val="00C227FB"/>
    <w:rsid w:val="00C25DB4"/>
    <w:rsid w:val="00C26B2E"/>
    <w:rsid w:val="00C3462B"/>
    <w:rsid w:val="00C34CDB"/>
    <w:rsid w:val="00C35476"/>
    <w:rsid w:val="00C3633E"/>
    <w:rsid w:val="00C440D9"/>
    <w:rsid w:val="00C50FA1"/>
    <w:rsid w:val="00C5287B"/>
    <w:rsid w:val="00C54100"/>
    <w:rsid w:val="00C55639"/>
    <w:rsid w:val="00C61006"/>
    <w:rsid w:val="00C636F8"/>
    <w:rsid w:val="00C63A44"/>
    <w:rsid w:val="00C71D3D"/>
    <w:rsid w:val="00C72144"/>
    <w:rsid w:val="00C7219F"/>
    <w:rsid w:val="00C75A2B"/>
    <w:rsid w:val="00C7657B"/>
    <w:rsid w:val="00C76B64"/>
    <w:rsid w:val="00C76D9C"/>
    <w:rsid w:val="00C806D8"/>
    <w:rsid w:val="00C860CF"/>
    <w:rsid w:val="00C86D04"/>
    <w:rsid w:val="00C913F2"/>
    <w:rsid w:val="00C9448D"/>
    <w:rsid w:val="00C94E91"/>
    <w:rsid w:val="00CA0BEF"/>
    <w:rsid w:val="00CA2E7F"/>
    <w:rsid w:val="00CA311A"/>
    <w:rsid w:val="00CA644A"/>
    <w:rsid w:val="00CB305D"/>
    <w:rsid w:val="00CB7288"/>
    <w:rsid w:val="00CC2557"/>
    <w:rsid w:val="00CC4D0A"/>
    <w:rsid w:val="00CC64DD"/>
    <w:rsid w:val="00CD1FF4"/>
    <w:rsid w:val="00CD293A"/>
    <w:rsid w:val="00CD2FCD"/>
    <w:rsid w:val="00CD47EB"/>
    <w:rsid w:val="00CD6716"/>
    <w:rsid w:val="00CD672C"/>
    <w:rsid w:val="00CE5D8E"/>
    <w:rsid w:val="00CE6142"/>
    <w:rsid w:val="00CE77BE"/>
    <w:rsid w:val="00CF12D6"/>
    <w:rsid w:val="00CF4A41"/>
    <w:rsid w:val="00CF4D0D"/>
    <w:rsid w:val="00CF62B7"/>
    <w:rsid w:val="00CF713E"/>
    <w:rsid w:val="00CF71C5"/>
    <w:rsid w:val="00D0102F"/>
    <w:rsid w:val="00D01270"/>
    <w:rsid w:val="00D03B2A"/>
    <w:rsid w:val="00D11754"/>
    <w:rsid w:val="00D14AD8"/>
    <w:rsid w:val="00D15825"/>
    <w:rsid w:val="00D2041E"/>
    <w:rsid w:val="00D26F25"/>
    <w:rsid w:val="00D27345"/>
    <w:rsid w:val="00D31F3F"/>
    <w:rsid w:val="00D31FFC"/>
    <w:rsid w:val="00D34240"/>
    <w:rsid w:val="00D35F67"/>
    <w:rsid w:val="00D43DCA"/>
    <w:rsid w:val="00D4487B"/>
    <w:rsid w:val="00D45D6C"/>
    <w:rsid w:val="00D46443"/>
    <w:rsid w:val="00D5061E"/>
    <w:rsid w:val="00D5081D"/>
    <w:rsid w:val="00D510ED"/>
    <w:rsid w:val="00D53F1C"/>
    <w:rsid w:val="00D54D7A"/>
    <w:rsid w:val="00D55903"/>
    <w:rsid w:val="00D56CCA"/>
    <w:rsid w:val="00D60BC6"/>
    <w:rsid w:val="00D60F71"/>
    <w:rsid w:val="00D617DF"/>
    <w:rsid w:val="00D6267A"/>
    <w:rsid w:val="00D62DCD"/>
    <w:rsid w:val="00D63F2D"/>
    <w:rsid w:val="00D65F59"/>
    <w:rsid w:val="00D71167"/>
    <w:rsid w:val="00D73471"/>
    <w:rsid w:val="00D745D3"/>
    <w:rsid w:val="00D8248E"/>
    <w:rsid w:val="00D969CF"/>
    <w:rsid w:val="00DA1AFF"/>
    <w:rsid w:val="00DA3F1E"/>
    <w:rsid w:val="00DA5164"/>
    <w:rsid w:val="00DA578C"/>
    <w:rsid w:val="00DA6A3A"/>
    <w:rsid w:val="00DA6E57"/>
    <w:rsid w:val="00DB0569"/>
    <w:rsid w:val="00DC0CDF"/>
    <w:rsid w:val="00DC0FD7"/>
    <w:rsid w:val="00DC31AF"/>
    <w:rsid w:val="00DD02DF"/>
    <w:rsid w:val="00DD12B4"/>
    <w:rsid w:val="00DE61D2"/>
    <w:rsid w:val="00DE7E53"/>
    <w:rsid w:val="00DF1565"/>
    <w:rsid w:val="00DF1D1D"/>
    <w:rsid w:val="00DF2AE4"/>
    <w:rsid w:val="00DF2D1D"/>
    <w:rsid w:val="00DF32FD"/>
    <w:rsid w:val="00DF4F88"/>
    <w:rsid w:val="00DF736B"/>
    <w:rsid w:val="00DF7A89"/>
    <w:rsid w:val="00E00B07"/>
    <w:rsid w:val="00E033E9"/>
    <w:rsid w:val="00E03ABF"/>
    <w:rsid w:val="00E05CC6"/>
    <w:rsid w:val="00E10694"/>
    <w:rsid w:val="00E114A5"/>
    <w:rsid w:val="00E1191F"/>
    <w:rsid w:val="00E13491"/>
    <w:rsid w:val="00E1583F"/>
    <w:rsid w:val="00E21A40"/>
    <w:rsid w:val="00E240CB"/>
    <w:rsid w:val="00E26FA2"/>
    <w:rsid w:val="00E3058F"/>
    <w:rsid w:val="00E318F7"/>
    <w:rsid w:val="00E36ECC"/>
    <w:rsid w:val="00E415A1"/>
    <w:rsid w:val="00E43CFB"/>
    <w:rsid w:val="00E458FD"/>
    <w:rsid w:val="00E469AF"/>
    <w:rsid w:val="00E618B6"/>
    <w:rsid w:val="00E64651"/>
    <w:rsid w:val="00E64C64"/>
    <w:rsid w:val="00E71C07"/>
    <w:rsid w:val="00E7332E"/>
    <w:rsid w:val="00E73678"/>
    <w:rsid w:val="00E76C78"/>
    <w:rsid w:val="00E779A2"/>
    <w:rsid w:val="00E815FB"/>
    <w:rsid w:val="00E84FF9"/>
    <w:rsid w:val="00E90B30"/>
    <w:rsid w:val="00E91E2C"/>
    <w:rsid w:val="00E92778"/>
    <w:rsid w:val="00E934DA"/>
    <w:rsid w:val="00EA3CB5"/>
    <w:rsid w:val="00EA7A20"/>
    <w:rsid w:val="00EB1E03"/>
    <w:rsid w:val="00EB67AF"/>
    <w:rsid w:val="00EC54C3"/>
    <w:rsid w:val="00EC5B45"/>
    <w:rsid w:val="00ED0F28"/>
    <w:rsid w:val="00ED1A0B"/>
    <w:rsid w:val="00ED2E8B"/>
    <w:rsid w:val="00EF00D5"/>
    <w:rsid w:val="00EF3760"/>
    <w:rsid w:val="00EF3F27"/>
    <w:rsid w:val="00F0040F"/>
    <w:rsid w:val="00F03566"/>
    <w:rsid w:val="00F04F8F"/>
    <w:rsid w:val="00F07307"/>
    <w:rsid w:val="00F07A2C"/>
    <w:rsid w:val="00F108D4"/>
    <w:rsid w:val="00F137FC"/>
    <w:rsid w:val="00F1448E"/>
    <w:rsid w:val="00F1463B"/>
    <w:rsid w:val="00F151D5"/>
    <w:rsid w:val="00F16723"/>
    <w:rsid w:val="00F16AFD"/>
    <w:rsid w:val="00F2245D"/>
    <w:rsid w:val="00F313D4"/>
    <w:rsid w:val="00F31B38"/>
    <w:rsid w:val="00F31EC9"/>
    <w:rsid w:val="00F3668D"/>
    <w:rsid w:val="00F4656B"/>
    <w:rsid w:val="00F55E31"/>
    <w:rsid w:val="00F56822"/>
    <w:rsid w:val="00F60FA5"/>
    <w:rsid w:val="00F62C1E"/>
    <w:rsid w:val="00F63280"/>
    <w:rsid w:val="00F73B17"/>
    <w:rsid w:val="00F7756F"/>
    <w:rsid w:val="00F777B7"/>
    <w:rsid w:val="00F77DB5"/>
    <w:rsid w:val="00F80B91"/>
    <w:rsid w:val="00F856A6"/>
    <w:rsid w:val="00F85ED9"/>
    <w:rsid w:val="00F87ADC"/>
    <w:rsid w:val="00F87D34"/>
    <w:rsid w:val="00F90642"/>
    <w:rsid w:val="00F9331A"/>
    <w:rsid w:val="00F96C4F"/>
    <w:rsid w:val="00F975CD"/>
    <w:rsid w:val="00FA1E6A"/>
    <w:rsid w:val="00FA79B6"/>
    <w:rsid w:val="00FB1145"/>
    <w:rsid w:val="00FB59C1"/>
    <w:rsid w:val="00FB6B27"/>
    <w:rsid w:val="00FB7DD2"/>
    <w:rsid w:val="00FC5C8C"/>
    <w:rsid w:val="00FC69E6"/>
    <w:rsid w:val="00FD0C5A"/>
    <w:rsid w:val="00FD1CFF"/>
    <w:rsid w:val="00FD323F"/>
    <w:rsid w:val="00FD42D8"/>
    <w:rsid w:val="00FD5A55"/>
    <w:rsid w:val="00FD7138"/>
    <w:rsid w:val="00FE19B7"/>
    <w:rsid w:val="00FE1A4B"/>
    <w:rsid w:val="00FE38AD"/>
    <w:rsid w:val="00FE48EF"/>
    <w:rsid w:val="00FF059F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B82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4A6D44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styleId="Revision">
    <w:name w:val="Revision"/>
    <w:hidden/>
    <w:uiPriority w:val="99"/>
    <w:semiHidden/>
    <w:rsid w:val="00BE095C"/>
    <w:pPr>
      <w:spacing w:after="0" w:line="240" w:lineRule="auto"/>
    </w:pPr>
  </w:style>
  <w:style w:type="paragraph" w:customStyle="1" w:styleId="Default">
    <w:name w:val="Default"/>
    <w:rsid w:val="00BE0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Num">
    <w:name w:val="BodyNum"/>
    <w:aliases w:val="b1"/>
    <w:basedOn w:val="Normal"/>
    <w:rsid w:val="00B13B65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B13B65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B13B65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B13B65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B13B65"/>
    <w:pPr>
      <w:numPr>
        <w:numId w:val="6"/>
      </w:numPr>
    </w:pPr>
  </w:style>
  <w:style w:type="paragraph" w:customStyle="1" w:styleId="Tablea">
    <w:name w:val="Table(a)"/>
    <w:aliases w:val="ta"/>
    <w:basedOn w:val="Normal"/>
    <w:rsid w:val="008B23CF"/>
    <w:pPr>
      <w:spacing w:before="60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text">
    <w:name w:val="Tabletext"/>
    <w:aliases w:val="tt"/>
    <w:basedOn w:val="Normal"/>
    <w:rsid w:val="008B23CF"/>
    <w:pPr>
      <w:spacing w:before="60" w:after="0" w:line="240" w:lineRule="atLeast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Heading">
    <w:name w:val="TableHeading"/>
    <w:aliases w:val="th"/>
    <w:basedOn w:val="Normal"/>
    <w:next w:val="Tabletext"/>
    <w:rsid w:val="008B23CF"/>
    <w:pPr>
      <w:keepNext/>
      <w:spacing w:before="60" w:after="0" w:line="240" w:lineRule="atLeast"/>
    </w:pPr>
    <w:rPr>
      <w:rFonts w:ascii="Times New Roman" w:eastAsia="Times New Roman" w:hAnsi="Times New Roman" w:cs="Times New Roman"/>
      <w:b/>
      <w:sz w:val="20"/>
      <w:szCs w:val="20"/>
      <w:lang w:eastAsia="en-AU"/>
    </w:rPr>
  </w:style>
  <w:style w:type="paragraph" w:customStyle="1" w:styleId="acthead50">
    <w:name w:val="acthead5"/>
    <w:basedOn w:val="Normal"/>
    <w:rsid w:val="002F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sectno0">
    <w:name w:val="charsectno"/>
    <w:basedOn w:val="DefaultParagraphFont"/>
    <w:rsid w:val="002F3393"/>
  </w:style>
  <w:style w:type="character" w:customStyle="1" w:styleId="Heading2Char">
    <w:name w:val="Heading 2 Char"/>
    <w:basedOn w:val="DefaultParagraphFont"/>
    <w:link w:val="Heading2"/>
    <w:uiPriority w:val="1"/>
    <w:rsid w:val="004A6D44"/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customStyle="1" w:styleId="SOTextChar">
    <w:name w:val="SO Text Char"/>
    <w:aliases w:val="sot Char"/>
    <w:basedOn w:val="DefaultParagraphFont"/>
    <w:link w:val="SOText"/>
    <w:locked/>
    <w:rsid w:val="004A6D44"/>
    <w:rPr>
      <w:rFonts w:ascii="Times New Roman" w:hAnsi="Times New Roman" w:cs="Times New Roman"/>
      <w:szCs w:val="20"/>
    </w:rPr>
  </w:style>
  <w:style w:type="paragraph" w:customStyle="1" w:styleId="SOText">
    <w:name w:val="SO Text"/>
    <w:aliases w:val="sot"/>
    <w:link w:val="SOTextChar"/>
    <w:rsid w:val="004A6D44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134"/>
    </w:pPr>
    <w:rPr>
      <w:rFonts w:ascii="Times New Roman" w:hAnsi="Times New Roman" w:cs="Times New Roman"/>
      <w:szCs w:val="20"/>
    </w:rPr>
  </w:style>
  <w:style w:type="character" w:customStyle="1" w:styleId="paragraphChar">
    <w:name w:val="paragraph Char"/>
    <w:aliases w:val="a Char"/>
    <w:link w:val="paragraph"/>
    <w:rsid w:val="002A4BBA"/>
    <w:rPr>
      <w:rFonts w:ascii="Times New Roman" w:eastAsia="Times New Roman" w:hAnsi="Times New Roman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11C1-5FE7-4404-8342-1B5A4E4B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2021-03-04T21:53:00Z</dcterms:created>
  <dcterms:modified xsi:type="dcterms:W3CDTF">2021-03-04T21:53:00Z</dcterms:modified>
</cp:coreProperties>
</file>