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59895C" w14:textId="430E6961" w:rsidR="00F06E14" w:rsidRPr="00E162C4" w:rsidRDefault="00BC5917" w:rsidP="00A51D1A">
      <w:pPr>
        <w:pStyle w:val="Reporttitle"/>
      </w:pPr>
      <w:r>
        <w:t>Arrangements for highly localised WBB in the 3400-3475 MHz and 3950-4000 MHz bands</w:t>
      </w:r>
    </w:p>
    <w:p w14:paraId="6FF779F1" w14:textId="0132CE24" w:rsidR="00F06E14" w:rsidRPr="00E162C4" w:rsidRDefault="00BC5917" w:rsidP="00F06E14">
      <w:pPr>
        <w:pStyle w:val="Reportsubtitle"/>
      </w:pPr>
      <w:r>
        <w:t>Technical liaison group paper</w:t>
      </w:r>
    </w:p>
    <w:p w14:paraId="040E0592" w14:textId="18E913D3" w:rsidR="00C97736" w:rsidRPr="00E162C4" w:rsidRDefault="00BC5917" w:rsidP="00EC2B68">
      <w:pPr>
        <w:pStyle w:val="Reportdate"/>
        <w:spacing w:after="720"/>
        <w:rPr>
          <w:rFonts w:cs="Arial"/>
        </w:rPr>
        <w:sectPr w:rsidR="00C97736" w:rsidRPr="00E162C4" w:rsidSect="0021426C">
          <w:headerReference w:type="default" r:id="rId8"/>
          <w:footerReference w:type="default" r:id="rId9"/>
          <w:headerReference w:type="first" r:id="rId10"/>
          <w:pgSz w:w="11906" w:h="16838" w:code="9"/>
          <w:pgMar w:top="3924" w:right="992" w:bottom="1440" w:left="1134" w:header="709" w:footer="454" w:gutter="0"/>
          <w:cols w:space="708"/>
          <w:docGrid w:linePitch="360"/>
        </w:sectPr>
      </w:pPr>
      <w:r>
        <w:t xml:space="preserve">November </w:t>
      </w:r>
      <w:r w:rsidR="00BD4421" w:rsidRPr="00E162C4">
        <w:t>20</w:t>
      </w:r>
      <w:r w:rsidR="008E0428" w:rsidRPr="00E162C4">
        <w:t>2</w:t>
      </w:r>
      <w:r w:rsidR="008500E5">
        <w:t>3</w:t>
      </w:r>
    </w:p>
    <w:p w14:paraId="28F85EA0" w14:textId="77777777" w:rsidR="0005011A" w:rsidRPr="00E162C4" w:rsidRDefault="0005011A" w:rsidP="00FC07B9">
      <w:pPr>
        <w:pStyle w:val="ACMACorporateAddressHeader"/>
      </w:pPr>
      <w:r w:rsidRPr="00E162C4">
        <w:lastRenderedPageBreak/>
        <w:t>Canberra</w:t>
      </w:r>
    </w:p>
    <w:p w14:paraId="48C42B9F" w14:textId="77777777" w:rsidR="008049AF" w:rsidRPr="00E162C4" w:rsidRDefault="008049AF" w:rsidP="008049AF">
      <w:pPr>
        <w:pStyle w:val="ACMACorporateAddresses"/>
      </w:pPr>
      <w:r>
        <w:t>Level 3</w:t>
      </w:r>
      <w:r>
        <w:br/>
        <w:t>40 Cameron Avenue</w:t>
      </w:r>
      <w:r w:rsidRPr="00E162C4">
        <w:t xml:space="preserve"> </w:t>
      </w:r>
      <w:r w:rsidRPr="00E162C4">
        <w:br/>
        <w:t>Belconnen ACT</w:t>
      </w:r>
    </w:p>
    <w:p w14:paraId="13FCA794" w14:textId="77777777" w:rsidR="0005011A" w:rsidRPr="00E162C4" w:rsidRDefault="0005011A" w:rsidP="00FC07B9">
      <w:pPr>
        <w:pStyle w:val="ACMACorporateAddresses"/>
      </w:pPr>
      <w:r w:rsidRPr="00E162C4">
        <w:t>PO Box 78</w:t>
      </w:r>
      <w:r w:rsidRPr="00E162C4">
        <w:br/>
        <w:t>Belconnen ACT 2616</w:t>
      </w:r>
    </w:p>
    <w:p w14:paraId="5EB58486" w14:textId="77777777" w:rsidR="00FE1823" w:rsidRPr="00E162C4" w:rsidRDefault="0005011A" w:rsidP="00FC07B9">
      <w:pPr>
        <w:pStyle w:val="ACMACorporateAddresses"/>
      </w:pPr>
      <w:r w:rsidRPr="00E162C4">
        <w:t>T</w:t>
      </w:r>
      <w:r w:rsidR="00537604" w:rsidRPr="00E162C4">
        <w:tab/>
      </w:r>
      <w:r w:rsidRPr="00E162C4">
        <w:t>+61 2 6219 5555</w:t>
      </w:r>
      <w:r w:rsidRPr="00E162C4">
        <w:br/>
        <w:t>F</w:t>
      </w:r>
      <w:r w:rsidR="00537604" w:rsidRPr="00E162C4">
        <w:tab/>
      </w:r>
      <w:r w:rsidRPr="00E162C4">
        <w:t>+61 2 6219 5353</w:t>
      </w:r>
    </w:p>
    <w:p w14:paraId="74A9E583" w14:textId="77777777" w:rsidR="0005011A" w:rsidRPr="00E162C4" w:rsidRDefault="0005011A" w:rsidP="00FC07B9">
      <w:pPr>
        <w:pStyle w:val="ACMACorporateAddressHeader"/>
      </w:pPr>
      <w:r w:rsidRPr="00E162C4">
        <w:t>Melbourne</w:t>
      </w:r>
    </w:p>
    <w:p w14:paraId="34D6D4D1" w14:textId="77777777" w:rsidR="0005011A" w:rsidRPr="00E162C4" w:rsidRDefault="0005011A" w:rsidP="00FC07B9">
      <w:pPr>
        <w:pStyle w:val="ACMACorporateAddresses"/>
      </w:pPr>
      <w:r w:rsidRPr="00E162C4">
        <w:t xml:space="preserve">Level 32 </w:t>
      </w:r>
      <w:r w:rsidRPr="00E162C4">
        <w:br/>
        <w:t>Melbourne Central Tower</w:t>
      </w:r>
      <w:r w:rsidRPr="00E162C4">
        <w:br/>
        <w:t xml:space="preserve">360 Elizabeth Street </w:t>
      </w:r>
      <w:r w:rsidR="008C10F4" w:rsidRPr="00E162C4">
        <w:br/>
      </w:r>
      <w:r w:rsidRPr="00E162C4">
        <w:t>Melbourne VIC</w:t>
      </w:r>
    </w:p>
    <w:p w14:paraId="30AF2414" w14:textId="77777777" w:rsidR="0005011A" w:rsidRPr="00E162C4" w:rsidRDefault="0005011A" w:rsidP="00FC07B9">
      <w:pPr>
        <w:pStyle w:val="ACMACorporateAddresses"/>
      </w:pPr>
      <w:r w:rsidRPr="00E162C4">
        <w:t>PO Box 13112</w:t>
      </w:r>
      <w:r w:rsidRPr="00E162C4">
        <w:br/>
        <w:t xml:space="preserve">Law Courts </w:t>
      </w:r>
      <w:r w:rsidRPr="00E162C4">
        <w:br/>
        <w:t>Melbourne VIC 8010</w:t>
      </w:r>
    </w:p>
    <w:p w14:paraId="4A07D80D" w14:textId="77777777" w:rsidR="0005011A" w:rsidRPr="00E162C4" w:rsidRDefault="0005011A" w:rsidP="00FC07B9">
      <w:pPr>
        <w:pStyle w:val="ACMACorporateAddresses"/>
      </w:pPr>
      <w:r w:rsidRPr="00E162C4">
        <w:t>T</w:t>
      </w:r>
      <w:r w:rsidR="00140318" w:rsidRPr="00E162C4">
        <w:tab/>
      </w:r>
      <w:r w:rsidRPr="00E162C4">
        <w:t>+61 3 9963 6800</w:t>
      </w:r>
      <w:r w:rsidRPr="00E162C4">
        <w:br/>
        <w:t>F</w:t>
      </w:r>
      <w:r w:rsidR="00140318" w:rsidRPr="00E162C4">
        <w:tab/>
      </w:r>
      <w:r w:rsidRPr="00E162C4">
        <w:t>+61 3 9963 6899</w:t>
      </w:r>
    </w:p>
    <w:p w14:paraId="29F83AD3" w14:textId="77777777" w:rsidR="0005011A" w:rsidRPr="00E162C4" w:rsidRDefault="0005011A" w:rsidP="00FC07B9">
      <w:pPr>
        <w:pStyle w:val="ACMACorporateAddressHeader"/>
      </w:pPr>
      <w:r w:rsidRPr="00E162C4">
        <w:t>Sydney</w:t>
      </w:r>
    </w:p>
    <w:p w14:paraId="32F56ACC" w14:textId="77777777" w:rsidR="0005011A" w:rsidRPr="00E162C4" w:rsidRDefault="0005011A" w:rsidP="00FC07B9">
      <w:pPr>
        <w:pStyle w:val="ACMACorporateAddresses"/>
      </w:pPr>
      <w:r w:rsidRPr="00E162C4">
        <w:t xml:space="preserve">Level 5 </w:t>
      </w:r>
      <w:r w:rsidRPr="00E162C4">
        <w:br/>
        <w:t>The Bay Centre</w:t>
      </w:r>
      <w:r w:rsidRPr="00E162C4">
        <w:br/>
        <w:t xml:space="preserve">65 Pirrama Road </w:t>
      </w:r>
      <w:r w:rsidRPr="00E162C4">
        <w:br/>
        <w:t>Pyrmont NSW</w:t>
      </w:r>
    </w:p>
    <w:p w14:paraId="0C0EEC27" w14:textId="77777777" w:rsidR="0005011A" w:rsidRPr="00E162C4" w:rsidRDefault="0005011A" w:rsidP="00FC07B9">
      <w:pPr>
        <w:pStyle w:val="ACMACorporateAddresses"/>
      </w:pPr>
      <w:r w:rsidRPr="00E162C4">
        <w:t>PO Box Q500</w:t>
      </w:r>
      <w:r w:rsidRPr="00E162C4">
        <w:br/>
        <w:t xml:space="preserve">Queen Victoria Building </w:t>
      </w:r>
      <w:r w:rsidRPr="00E162C4">
        <w:br/>
        <w:t>NSW 1230</w:t>
      </w:r>
    </w:p>
    <w:p w14:paraId="3386580E" w14:textId="77777777" w:rsidR="0005011A" w:rsidRPr="00E162C4" w:rsidRDefault="0005011A" w:rsidP="00FC07B9">
      <w:pPr>
        <w:pStyle w:val="ACMACorporateAddresses"/>
      </w:pPr>
      <w:r w:rsidRPr="00E162C4">
        <w:t>T</w:t>
      </w:r>
      <w:r w:rsidR="00140318" w:rsidRPr="00E162C4">
        <w:tab/>
      </w:r>
      <w:r w:rsidRPr="00E162C4">
        <w:t>+61 2 9334 7700</w:t>
      </w:r>
      <w:r w:rsidR="00140318" w:rsidRPr="00E162C4">
        <w:t xml:space="preserve"> or</w:t>
      </w:r>
      <w:r w:rsidRPr="00E162C4">
        <w:t xml:space="preserve"> 1800 226 667</w:t>
      </w:r>
      <w:r w:rsidRPr="00E162C4">
        <w:br/>
        <w:t>F</w:t>
      </w:r>
      <w:r w:rsidR="00140318" w:rsidRPr="00E162C4">
        <w:tab/>
      </w:r>
      <w:r w:rsidRPr="00E162C4">
        <w:t>+61 2 9334 7799</w:t>
      </w:r>
    </w:p>
    <w:p w14:paraId="43ECDA4A" w14:textId="77777777" w:rsidR="00140318" w:rsidRPr="00E162C4" w:rsidRDefault="00140318" w:rsidP="00FC07B9">
      <w:pPr>
        <w:pStyle w:val="ACMACopyrightHeader"/>
      </w:pPr>
      <w:r w:rsidRPr="00E162C4">
        <w:t>Copyright notice</w:t>
      </w:r>
    </w:p>
    <w:p w14:paraId="707F347A" w14:textId="77777777" w:rsidR="00140318" w:rsidRPr="00E162C4" w:rsidRDefault="00623FF9" w:rsidP="00623FF9">
      <w:pPr>
        <w:pStyle w:val="ACMACClogo"/>
      </w:pPr>
      <w:r w:rsidRPr="00E162C4">
        <w:rPr>
          <w:noProof/>
        </w:rPr>
        <w:drawing>
          <wp:inline distT="0" distB="0" distL="0" distR="0" wp14:anchorId="72BA52B2" wp14:editId="7103616F">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5B0D263A" w14:textId="77777777" w:rsidR="00AA2DE5" w:rsidRPr="00E162C4" w:rsidRDefault="00000000" w:rsidP="00AA2DE5">
      <w:pPr>
        <w:pStyle w:val="ACMACorporateAddresses"/>
        <w:rPr>
          <w:rStyle w:val="Hyperlink"/>
        </w:rPr>
      </w:pPr>
      <w:hyperlink r:id="rId13" w:history="1">
        <w:r w:rsidR="00AA2DE5" w:rsidRPr="00E162C4">
          <w:rPr>
            <w:rStyle w:val="Hyperlink"/>
          </w:rPr>
          <w:t>https://creativecommons.org/licenses/by/4.0/</w:t>
        </w:r>
      </w:hyperlink>
    </w:p>
    <w:p w14:paraId="22806D4B" w14:textId="77777777" w:rsidR="00AA2DE5" w:rsidRPr="00E162C4" w:rsidRDefault="00AA2DE5" w:rsidP="00AA2DE5">
      <w:pPr>
        <w:pStyle w:val="ACMACorporateAddresses"/>
      </w:pPr>
      <w:proofErr w:type="gramStart"/>
      <w:r w:rsidRPr="00E162C4">
        <w:t>With the exception of</w:t>
      </w:r>
      <w:proofErr w:type="gramEnd"/>
      <w:r w:rsidRPr="00E162C4">
        <w:t xml:space="preserve"> coats of arms, logos, emblems, images, other third-party material or devices protected by a trademark, this content is made available under the terms of the Creative Commons Attribution 4.0 International (CC BY 4.0) licence. </w:t>
      </w:r>
    </w:p>
    <w:p w14:paraId="33ED9124" w14:textId="77777777" w:rsidR="00AA2DE5" w:rsidRPr="00E162C4" w:rsidRDefault="00AA2DE5" w:rsidP="00AA2DE5">
      <w:pPr>
        <w:pStyle w:val="ACMACorporateAddresses"/>
      </w:pPr>
      <w:r w:rsidRPr="00E162C4">
        <w:t>We request attribution as © Commonwealth of Australia (Australian Communications and Media Authority) 20</w:t>
      </w:r>
      <w:r w:rsidR="00C41F21" w:rsidRPr="00E162C4">
        <w:t>2</w:t>
      </w:r>
      <w:r w:rsidR="008500E5">
        <w:t>3</w:t>
      </w:r>
      <w:r w:rsidRPr="00E162C4">
        <w:t>.</w:t>
      </w:r>
    </w:p>
    <w:p w14:paraId="3BE5E314" w14:textId="77777777" w:rsidR="00AA2DE5" w:rsidRPr="00E162C4" w:rsidRDefault="00AA2DE5" w:rsidP="00AA2DE5">
      <w:pPr>
        <w:pStyle w:val="ACMACorporateAddresses"/>
      </w:pPr>
      <w:r w:rsidRPr="00E162C4">
        <w:t>All other rights are reserved.</w:t>
      </w:r>
    </w:p>
    <w:p w14:paraId="7D45374D" w14:textId="77777777" w:rsidR="00AA2DE5" w:rsidRPr="00E162C4" w:rsidRDefault="00AA2DE5" w:rsidP="00AA2DE5">
      <w:pPr>
        <w:pStyle w:val="ACMACorporateAddresses"/>
      </w:pPr>
      <w:r w:rsidRPr="00E162C4">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63677849" w14:textId="77777777" w:rsidR="00AA2DE5" w:rsidRPr="00E162C4" w:rsidRDefault="00AA2DE5" w:rsidP="00AA2DE5">
      <w:pPr>
        <w:pStyle w:val="ACMACorporateAddresses"/>
      </w:pPr>
      <w:r w:rsidRPr="00E162C4">
        <w:t>Written enquiries may be sent to:</w:t>
      </w:r>
    </w:p>
    <w:p w14:paraId="137E7757" w14:textId="77777777" w:rsidR="00AA2DE5" w:rsidRPr="00E162C4" w:rsidRDefault="00AA2DE5" w:rsidP="00AA2DE5">
      <w:pPr>
        <w:pStyle w:val="ACMACorporateAddresses"/>
        <w:rPr>
          <w:rStyle w:val="Hyperlink"/>
        </w:rPr>
      </w:pPr>
      <w:r w:rsidRPr="00E162C4">
        <w:t xml:space="preserve">Manager, Editorial </w:t>
      </w:r>
      <w:r w:rsidR="000245E5" w:rsidRPr="00E162C4">
        <w:t>Services</w:t>
      </w:r>
      <w:r w:rsidRPr="00E162C4">
        <w:br/>
        <w:t>PO Box 13112</w:t>
      </w:r>
      <w:r w:rsidRPr="00E162C4">
        <w:br/>
        <w:t>Law Courts</w:t>
      </w:r>
      <w:r w:rsidRPr="00E162C4">
        <w:br/>
        <w:t>Melbourne VIC 8010</w:t>
      </w:r>
      <w:r w:rsidRPr="00E162C4">
        <w:br/>
        <w:t xml:space="preserve">Email: </w:t>
      </w:r>
      <w:hyperlink r:id="rId14" w:history="1">
        <w:r w:rsidRPr="00E162C4">
          <w:rPr>
            <w:rStyle w:val="Hyperlink"/>
          </w:rPr>
          <w:t>info@acma.gov.au</w:t>
        </w:r>
      </w:hyperlink>
    </w:p>
    <w:p w14:paraId="75B510E1" w14:textId="77777777" w:rsidR="00D16FE3" w:rsidRPr="00E162C4" w:rsidRDefault="00D16FE3" w:rsidP="00D16FE3">
      <w:pPr>
        <w:pStyle w:val="ACMACorporateAddresses"/>
        <w:rPr>
          <w:rStyle w:val="Hyperlink"/>
        </w:rPr>
      </w:pPr>
    </w:p>
    <w:p w14:paraId="3E55847F" w14:textId="77777777" w:rsidR="00D16FE3" w:rsidRPr="00E162C4" w:rsidRDefault="00D16FE3" w:rsidP="00D16FE3">
      <w:pPr>
        <w:pStyle w:val="ACMACorporateAddresses"/>
        <w:sectPr w:rsidR="00D16FE3" w:rsidRPr="00E162C4">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4DD2803D" w14:textId="608F82B3" w:rsidR="00722F44" w:rsidRDefault="006A3ECF">
      <w:pPr>
        <w:pStyle w:val="TOC1"/>
        <w:rPr>
          <w:rFonts w:asciiTheme="minorHAnsi" w:eastAsiaTheme="minorEastAsia" w:hAnsiTheme="minorHAnsi" w:cstheme="minorBidi"/>
          <w:b w:val="0"/>
          <w:spacing w:val="0"/>
          <w:kern w:val="2"/>
          <w:sz w:val="22"/>
          <w:szCs w:val="22"/>
          <w14:ligatures w14:val="standardContextual"/>
        </w:rPr>
      </w:pPr>
      <w:r w:rsidRPr="00E162C4">
        <w:rPr>
          <w:rFonts w:cs="Arial"/>
        </w:rPr>
        <w:lastRenderedPageBreak/>
        <w:fldChar w:fldCharType="begin"/>
      </w:r>
      <w:r w:rsidRPr="00E162C4">
        <w:rPr>
          <w:rFonts w:cs="Arial"/>
        </w:rPr>
        <w:instrText xml:space="preserve"> TOC \o "1-2" \h \z \t "Exec summary heading,1" </w:instrText>
      </w:r>
      <w:r w:rsidRPr="00E162C4">
        <w:rPr>
          <w:rFonts w:cs="Arial"/>
        </w:rPr>
        <w:fldChar w:fldCharType="separate"/>
      </w:r>
      <w:hyperlink w:anchor="_Toc178948537" w:history="1">
        <w:r w:rsidR="00722F44" w:rsidRPr="00F703D1">
          <w:rPr>
            <w:rStyle w:val="Hyperlink"/>
          </w:rPr>
          <w:t>Version control</w:t>
        </w:r>
        <w:r w:rsidR="00722F44">
          <w:rPr>
            <w:webHidden/>
          </w:rPr>
          <w:tab/>
        </w:r>
        <w:r w:rsidR="00722F44">
          <w:rPr>
            <w:webHidden/>
          </w:rPr>
          <w:fldChar w:fldCharType="begin"/>
        </w:r>
        <w:r w:rsidR="00722F44">
          <w:rPr>
            <w:webHidden/>
          </w:rPr>
          <w:instrText xml:space="preserve"> PAGEREF _Toc178948537 \h </w:instrText>
        </w:r>
        <w:r w:rsidR="00722F44">
          <w:rPr>
            <w:webHidden/>
          </w:rPr>
        </w:r>
        <w:r w:rsidR="00722F44">
          <w:rPr>
            <w:webHidden/>
          </w:rPr>
          <w:fldChar w:fldCharType="separate"/>
        </w:r>
        <w:r w:rsidR="00722F44">
          <w:rPr>
            <w:webHidden/>
          </w:rPr>
          <w:t>1</w:t>
        </w:r>
        <w:r w:rsidR="00722F44">
          <w:rPr>
            <w:webHidden/>
          </w:rPr>
          <w:fldChar w:fldCharType="end"/>
        </w:r>
      </w:hyperlink>
    </w:p>
    <w:p w14:paraId="1F8E7BC1" w14:textId="21B45EE5"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38" w:history="1">
        <w:r w:rsidR="00722F44" w:rsidRPr="00F703D1">
          <w:rPr>
            <w:rStyle w:val="Hyperlink"/>
          </w:rPr>
          <w:t>Introduction</w:t>
        </w:r>
        <w:r w:rsidR="00722F44">
          <w:rPr>
            <w:webHidden/>
          </w:rPr>
          <w:tab/>
        </w:r>
        <w:r w:rsidR="00722F44">
          <w:rPr>
            <w:webHidden/>
          </w:rPr>
          <w:fldChar w:fldCharType="begin"/>
        </w:r>
        <w:r w:rsidR="00722F44">
          <w:rPr>
            <w:webHidden/>
          </w:rPr>
          <w:instrText xml:space="preserve"> PAGEREF _Toc178948538 \h </w:instrText>
        </w:r>
        <w:r w:rsidR="00722F44">
          <w:rPr>
            <w:webHidden/>
          </w:rPr>
        </w:r>
        <w:r w:rsidR="00722F44">
          <w:rPr>
            <w:webHidden/>
          </w:rPr>
          <w:fldChar w:fldCharType="separate"/>
        </w:r>
        <w:r w:rsidR="00722F44">
          <w:rPr>
            <w:webHidden/>
          </w:rPr>
          <w:t>2</w:t>
        </w:r>
        <w:r w:rsidR="00722F44">
          <w:rPr>
            <w:webHidden/>
          </w:rPr>
          <w:fldChar w:fldCharType="end"/>
        </w:r>
      </w:hyperlink>
    </w:p>
    <w:p w14:paraId="382E5B8D" w14:textId="3AC3648F"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39" w:history="1">
        <w:r w:rsidR="00722F44" w:rsidRPr="00F703D1">
          <w:rPr>
            <w:rStyle w:val="Hyperlink"/>
          </w:rPr>
          <w:t>Scope of TLG</w:t>
        </w:r>
        <w:r w:rsidR="00722F44">
          <w:rPr>
            <w:webHidden/>
          </w:rPr>
          <w:tab/>
        </w:r>
        <w:r w:rsidR="00722F44">
          <w:rPr>
            <w:webHidden/>
          </w:rPr>
          <w:fldChar w:fldCharType="begin"/>
        </w:r>
        <w:r w:rsidR="00722F44">
          <w:rPr>
            <w:webHidden/>
          </w:rPr>
          <w:instrText xml:space="preserve"> PAGEREF _Toc178948539 \h </w:instrText>
        </w:r>
        <w:r w:rsidR="00722F44">
          <w:rPr>
            <w:webHidden/>
          </w:rPr>
        </w:r>
        <w:r w:rsidR="00722F44">
          <w:rPr>
            <w:webHidden/>
          </w:rPr>
          <w:fldChar w:fldCharType="separate"/>
        </w:r>
        <w:r w:rsidR="00722F44">
          <w:rPr>
            <w:webHidden/>
          </w:rPr>
          <w:t>3</w:t>
        </w:r>
        <w:r w:rsidR="00722F44">
          <w:rPr>
            <w:webHidden/>
          </w:rPr>
          <w:fldChar w:fldCharType="end"/>
        </w:r>
      </w:hyperlink>
    </w:p>
    <w:p w14:paraId="657B1227" w14:textId="3FE75DB1"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0" w:history="1">
        <w:r w:rsidR="00722F44" w:rsidRPr="00F703D1">
          <w:rPr>
            <w:rStyle w:val="Hyperlink"/>
          </w:rPr>
          <w:t>Next steps</w:t>
        </w:r>
        <w:r w:rsidR="00722F44">
          <w:rPr>
            <w:webHidden/>
          </w:rPr>
          <w:tab/>
        </w:r>
        <w:r w:rsidR="00722F44">
          <w:rPr>
            <w:webHidden/>
          </w:rPr>
          <w:fldChar w:fldCharType="begin"/>
        </w:r>
        <w:r w:rsidR="00722F44">
          <w:rPr>
            <w:webHidden/>
          </w:rPr>
          <w:instrText xml:space="preserve"> PAGEREF _Toc178948540 \h </w:instrText>
        </w:r>
        <w:r w:rsidR="00722F44">
          <w:rPr>
            <w:webHidden/>
          </w:rPr>
        </w:r>
        <w:r w:rsidR="00722F44">
          <w:rPr>
            <w:webHidden/>
          </w:rPr>
          <w:fldChar w:fldCharType="separate"/>
        </w:r>
        <w:r w:rsidR="00722F44">
          <w:rPr>
            <w:webHidden/>
          </w:rPr>
          <w:t>3</w:t>
        </w:r>
        <w:r w:rsidR="00722F44">
          <w:rPr>
            <w:webHidden/>
          </w:rPr>
          <w:fldChar w:fldCharType="end"/>
        </w:r>
      </w:hyperlink>
    </w:p>
    <w:p w14:paraId="3D744B85" w14:textId="7EFC4A0F"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41" w:history="1">
        <w:r w:rsidR="00722F44" w:rsidRPr="00F703D1">
          <w:rPr>
            <w:rStyle w:val="Hyperlink"/>
          </w:rPr>
          <w:t>Background</w:t>
        </w:r>
        <w:r w:rsidR="00722F44">
          <w:rPr>
            <w:webHidden/>
          </w:rPr>
          <w:tab/>
        </w:r>
        <w:r w:rsidR="00722F44">
          <w:rPr>
            <w:webHidden/>
          </w:rPr>
          <w:fldChar w:fldCharType="begin"/>
        </w:r>
        <w:r w:rsidR="00722F44">
          <w:rPr>
            <w:webHidden/>
          </w:rPr>
          <w:instrText xml:space="preserve"> PAGEREF _Toc178948541 \h </w:instrText>
        </w:r>
        <w:r w:rsidR="00722F44">
          <w:rPr>
            <w:webHidden/>
          </w:rPr>
        </w:r>
        <w:r w:rsidR="00722F44">
          <w:rPr>
            <w:webHidden/>
          </w:rPr>
          <w:fldChar w:fldCharType="separate"/>
        </w:r>
        <w:r w:rsidR="00722F44">
          <w:rPr>
            <w:webHidden/>
          </w:rPr>
          <w:t>4</w:t>
        </w:r>
        <w:r w:rsidR="00722F44">
          <w:rPr>
            <w:webHidden/>
          </w:rPr>
          <w:fldChar w:fldCharType="end"/>
        </w:r>
      </w:hyperlink>
    </w:p>
    <w:p w14:paraId="3181EFA1" w14:textId="51A4526D"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42" w:history="1">
        <w:r w:rsidR="00722F44" w:rsidRPr="00F703D1">
          <w:rPr>
            <w:rStyle w:val="Hyperlink"/>
          </w:rPr>
          <w:t>Summary of submissions</w:t>
        </w:r>
        <w:r w:rsidR="00722F44">
          <w:rPr>
            <w:webHidden/>
          </w:rPr>
          <w:tab/>
        </w:r>
        <w:r w:rsidR="00722F44">
          <w:rPr>
            <w:webHidden/>
          </w:rPr>
          <w:fldChar w:fldCharType="begin"/>
        </w:r>
        <w:r w:rsidR="00722F44">
          <w:rPr>
            <w:webHidden/>
          </w:rPr>
          <w:instrText xml:space="preserve"> PAGEREF _Toc178948542 \h </w:instrText>
        </w:r>
        <w:r w:rsidR="00722F44">
          <w:rPr>
            <w:webHidden/>
          </w:rPr>
        </w:r>
        <w:r w:rsidR="00722F44">
          <w:rPr>
            <w:webHidden/>
          </w:rPr>
          <w:fldChar w:fldCharType="separate"/>
        </w:r>
        <w:r w:rsidR="00722F44">
          <w:rPr>
            <w:webHidden/>
          </w:rPr>
          <w:t>7</w:t>
        </w:r>
        <w:r w:rsidR="00722F44">
          <w:rPr>
            <w:webHidden/>
          </w:rPr>
          <w:fldChar w:fldCharType="end"/>
        </w:r>
      </w:hyperlink>
    </w:p>
    <w:p w14:paraId="60D2C3CF" w14:textId="2B26E998"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3" w:history="1">
        <w:r w:rsidR="00722F44" w:rsidRPr="00F703D1">
          <w:rPr>
            <w:rStyle w:val="Hyperlink"/>
          </w:rPr>
          <w:t>Submissions to TLG paper Version 1.0</w:t>
        </w:r>
        <w:r w:rsidR="00722F44">
          <w:rPr>
            <w:webHidden/>
          </w:rPr>
          <w:tab/>
        </w:r>
        <w:r w:rsidR="00722F44">
          <w:rPr>
            <w:webHidden/>
          </w:rPr>
          <w:fldChar w:fldCharType="begin"/>
        </w:r>
        <w:r w:rsidR="00722F44">
          <w:rPr>
            <w:webHidden/>
          </w:rPr>
          <w:instrText xml:space="preserve"> PAGEREF _Toc178948543 \h </w:instrText>
        </w:r>
        <w:r w:rsidR="00722F44">
          <w:rPr>
            <w:webHidden/>
          </w:rPr>
        </w:r>
        <w:r w:rsidR="00722F44">
          <w:rPr>
            <w:webHidden/>
          </w:rPr>
          <w:fldChar w:fldCharType="separate"/>
        </w:r>
        <w:r w:rsidR="00722F44">
          <w:rPr>
            <w:webHidden/>
          </w:rPr>
          <w:t>7</w:t>
        </w:r>
        <w:r w:rsidR="00722F44">
          <w:rPr>
            <w:webHidden/>
          </w:rPr>
          <w:fldChar w:fldCharType="end"/>
        </w:r>
      </w:hyperlink>
    </w:p>
    <w:p w14:paraId="10AED19D" w14:textId="3ACFA781"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4" w:history="1">
        <w:r w:rsidR="00722F44" w:rsidRPr="00F703D1">
          <w:rPr>
            <w:rStyle w:val="Hyperlink"/>
          </w:rPr>
          <w:t>Submissions to TLG paper Version 2.1</w:t>
        </w:r>
        <w:r w:rsidR="00722F44">
          <w:rPr>
            <w:webHidden/>
          </w:rPr>
          <w:tab/>
        </w:r>
        <w:r w:rsidR="00722F44">
          <w:rPr>
            <w:webHidden/>
          </w:rPr>
          <w:fldChar w:fldCharType="begin"/>
        </w:r>
        <w:r w:rsidR="00722F44">
          <w:rPr>
            <w:webHidden/>
          </w:rPr>
          <w:instrText xml:space="preserve"> PAGEREF _Toc178948544 \h </w:instrText>
        </w:r>
        <w:r w:rsidR="00722F44">
          <w:rPr>
            <w:webHidden/>
          </w:rPr>
        </w:r>
        <w:r w:rsidR="00722F44">
          <w:rPr>
            <w:webHidden/>
          </w:rPr>
          <w:fldChar w:fldCharType="separate"/>
        </w:r>
        <w:r w:rsidR="00722F44">
          <w:rPr>
            <w:webHidden/>
          </w:rPr>
          <w:t>13</w:t>
        </w:r>
        <w:r w:rsidR="00722F44">
          <w:rPr>
            <w:webHidden/>
          </w:rPr>
          <w:fldChar w:fldCharType="end"/>
        </w:r>
      </w:hyperlink>
    </w:p>
    <w:p w14:paraId="1DAC3FB7" w14:textId="4E01EF75"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5" w:history="1">
        <w:r w:rsidR="00722F44" w:rsidRPr="00F703D1">
          <w:rPr>
            <w:rStyle w:val="Hyperlink"/>
          </w:rPr>
          <w:t>Submissions to TLG paper Version 3.0</w:t>
        </w:r>
        <w:r w:rsidR="00722F44">
          <w:rPr>
            <w:webHidden/>
          </w:rPr>
          <w:tab/>
        </w:r>
        <w:r w:rsidR="00722F44">
          <w:rPr>
            <w:webHidden/>
          </w:rPr>
          <w:fldChar w:fldCharType="begin"/>
        </w:r>
        <w:r w:rsidR="00722F44">
          <w:rPr>
            <w:webHidden/>
          </w:rPr>
          <w:instrText xml:space="preserve"> PAGEREF _Toc178948545 \h </w:instrText>
        </w:r>
        <w:r w:rsidR="00722F44">
          <w:rPr>
            <w:webHidden/>
          </w:rPr>
        </w:r>
        <w:r w:rsidR="00722F44">
          <w:rPr>
            <w:webHidden/>
          </w:rPr>
          <w:fldChar w:fldCharType="separate"/>
        </w:r>
        <w:r w:rsidR="00722F44">
          <w:rPr>
            <w:webHidden/>
          </w:rPr>
          <w:t>17</w:t>
        </w:r>
        <w:r w:rsidR="00722F44">
          <w:rPr>
            <w:webHidden/>
          </w:rPr>
          <w:fldChar w:fldCharType="end"/>
        </w:r>
      </w:hyperlink>
    </w:p>
    <w:p w14:paraId="7415147D" w14:textId="0148532D"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46" w:history="1">
        <w:r w:rsidR="00722F44" w:rsidRPr="00F703D1">
          <w:rPr>
            <w:rStyle w:val="Hyperlink"/>
          </w:rPr>
          <w:t>Frequency assignment arrangements</w:t>
        </w:r>
        <w:r w:rsidR="00722F44">
          <w:rPr>
            <w:webHidden/>
          </w:rPr>
          <w:tab/>
        </w:r>
        <w:r w:rsidR="00722F44">
          <w:rPr>
            <w:webHidden/>
          </w:rPr>
          <w:fldChar w:fldCharType="begin"/>
        </w:r>
        <w:r w:rsidR="00722F44">
          <w:rPr>
            <w:webHidden/>
          </w:rPr>
          <w:instrText xml:space="preserve"> PAGEREF _Toc178948546 \h </w:instrText>
        </w:r>
        <w:r w:rsidR="00722F44">
          <w:rPr>
            <w:webHidden/>
          </w:rPr>
        </w:r>
        <w:r w:rsidR="00722F44">
          <w:rPr>
            <w:webHidden/>
          </w:rPr>
          <w:fldChar w:fldCharType="separate"/>
        </w:r>
        <w:r w:rsidR="00722F44">
          <w:rPr>
            <w:webHidden/>
          </w:rPr>
          <w:t>21</w:t>
        </w:r>
        <w:r w:rsidR="00722F44">
          <w:rPr>
            <w:webHidden/>
          </w:rPr>
          <w:fldChar w:fldCharType="end"/>
        </w:r>
      </w:hyperlink>
    </w:p>
    <w:p w14:paraId="67BFE469" w14:textId="2D9EB0C3"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7" w:history="1">
        <w:r w:rsidR="00722F44" w:rsidRPr="00F703D1">
          <w:rPr>
            <w:rStyle w:val="Hyperlink"/>
          </w:rPr>
          <w:t>Licence type for HL WBB</w:t>
        </w:r>
        <w:r w:rsidR="00722F44">
          <w:rPr>
            <w:webHidden/>
          </w:rPr>
          <w:tab/>
        </w:r>
        <w:r w:rsidR="00722F44">
          <w:rPr>
            <w:webHidden/>
          </w:rPr>
          <w:fldChar w:fldCharType="begin"/>
        </w:r>
        <w:r w:rsidR="00722F44">
          <w:rPr>
            <w:webHidden/>
          </w:rPr>
          <w:instrText xml:space="preserve"> PAGEREF _Toc178948547 \h </w:instrText>
        </w:r>
        <w:r w:rsidR="00722F44">
          <w:rPr>
            <w:webHidden/>
          </w:rPr>
        </w:r>
        <w:r w:rsidR="00722F44">
          <w:rPr>
            <w:webHidden/>
          </w:rPr>
          <w:fldChar w:fldCharType="separate"/>
        </w:r>
        <w:r w:rsidR="00722F44">
          <w:rPr>
            <w:webHidden/>
          </w:rPr>
          <w:t>21</w:t>
        </w:r>
        <w:r w:rsidR="00722F44">
          <w:rPr>
            <w:webHidden/>
          </w:rPr>
          <w:fldChar w:fldCharType="end"/>
        </w:r>
      </w:hyperlink>
    </w:p>
    <w:p w14:paraId="47AA8AA7" w14:textId="4E3698E3"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8" w:history="1">
        <w:r w:rsidR="00722F44" w:rsidRPr="00F703D1">
          <w:rPr>
            <w:rStyle w:val="Hyperlink"/>
          </w:rPr>
          <w:t>Other HL WBB licences (3400-3475 MHz &amp; 3950-4000 MHz)</w:t>
        </w:r>
        <w:r w:rsidR="00722F44">
          <w:rPr>
            <w:webHidden/>
          </w:rPr>
          <w:tab/>
        </w:r>
        <w:r w:rsidR="00722F44">
          <w:rPr>
            <w:webHidden/>
          </w:rPr>
          <w:fldChar w:fldCharType="begin"/>
        </w:r>
        <w:r w:rsidR="00722F44">
          <w:rPr>
            <w:webHidden/>
          </w:rPr>
          <w:instrText xml:space="preserve"> PAGEREF _Toc178948548 \h </w:instrText>
        </w:r>
        <w:r w:rsidR="00722F44">
          <w:rPr>
            <w:webHidden/>
          </w:rPr>
        </w:r>
        <w:r w:rsidR="00722F44">
          <w:rPr>
            <w:webHidden/>
          </w:rPr>
          <w:fldChar w:fldCharType="separate"/>
        </w:r>
        <w:r w:rsidR="00722F44">
          <w:rPr>
            <w:webHidden/>
          </w:rPr>
          <w:t>24</w:t>
        </w:r>
        <w:r w:rsidR="00722F44">
          <w:rPr>
            <w:webHidden/>
          </w:rPr>
          <w:fldChar w:fldCharType="end"/>
        </w:r>
      </w:hyperlink>
    </w:p>
    <w:p w14:paraId="749601D4" w14:textId="0594B402"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49" w:history="1">
        <w:r w:rsidR="00722F44" w:rsidRPr="00F703D1">
          <w:rPr>
            <w:rStyle w:val="Hyperlink"/>
          </w:rPr>
          <w:t>Remote and supplementary base stations (3400</w:t>
        </w:r>
        <w:r w:rsidR="00722F44" w:rsidRPr="00F703D1">
          <w:rPr>
            <w:rStyle w:val="Hyperlink"/>
          </w:rPr>
          <w:noBreakHyphen/>
          <w:t>3475 MHz &amp; 3950-4000 MHz)</w:t>
        </w:r>
        <w:r w:rsidR="00722F44">
          <w:rPr>
            <w:webHidden/>
          </w:rPr>
          <w:tab/>
        </w:r>
        <w:r w:rsidR="00722F44">
          <w:rPr>
            <w:webHidden/>
          </w:rPr>
          <w:fldChar w:fldCharType="begin"/>
        </w:r>
        <w:r w:rsidR="00722F44">
          <w:rPr>
            <w:webHidden/>
          </w:rPr>
          <w:instrText xml:space="preserve"> PAGEREF _Toc178948549 \h </w:instrText>
        </w:r>
        <w:r w:rsidR="00722F44">
          <w:rPr>
            <w:webHidden/>
          </w:rPr>
        </w:r>
        <w:r w:rsidR="00722F44">
          <w:rPr>
            <w:webHidden/>
          </w:rPr>
          <w:fldChar w:fldCharType="separate"/>
        </w:r>
        <w:r w:rsidR="00722F44">
          <w:rPr>
            <w:webHidden/>
          </w:rPr>
          <w:t>28</w:t>
        </w:r>
        <w:r w:rsidR="00722F44">
          <w:rPr>
            <w:webHidden/>
          </w:rPr>
          <w:fldChar w:fldCharType="end"/>
        </w:r>
      </w:hyperlink>
    </w:p>
    <w:p w14:paraId="39D12810" w14:textId="0D7B6E07"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0" w:history="1">
        <w:r w:rsidR="00722F44" w:rsidRPr="00F703D1">
          <w:rPr>
            <w:rStyle w:val="Hyperlink"/>
          </w:rPr>
          <w:t>Point-to-point links (3590-4200 MHz)</w:t>
        </w:r>
        <w:r w:rsidR="00722F44">
          <w:rPr>
            <w:webHidden/>
          </w:rPr>
          <w:tab/>
        </w:r>
        <w:r w:rsidR="00722F44">
          <w:rPr>
            <w:webHidden/>
          </w:rPr>
          <w:fldChar w:fldCharType="begin"/>
        </w:r>
        <w:r w:rsidR="00722F44">
          <w:rPr>
            <w:webHidden/>
          </w:rPr>
          <w:instrText xml:space="preserve"> PAGEREF _Toc178948550 \h </w:instrText>
        </w:r>
        <w:r w:rsidR="00722F44">
          <w:rPr>
            <w:webHidden/>
          </w:rPr>
        </w:r>
        <w:r w:rsidR="00722F44">
          <w:rPr>
            <w:webHidden/>
          </w:rPr>
          <w:fldChar w:fldCharType="separate"/>
        </w:r>
        <w:r w:rsidR="00722F44">
          <w:rPr>
            <w:webHidden/>
          </w:rPr>
          <w:t>28</w:t>
        </w:r>
        <w:r w:rsidR="00722F44">
          <w:rPr>
            <w:webHidden/>
          </w:rPr>
          <w:fldChar w:fldCharType="end"/>
        </w:r>
      </w:hyperlink>
    </w:p>
    <w:p w14:paraId="27FAC601" w14:textId="2154AC67"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1" w:history="1">
        <w:r w:rsidR="00722F44" w:rsidRPr="00F703D1">
          <w:rPr>
            <w:rStyle w:val="Hyperlink"/>
          </w:rPr>
          <w:t>Amateur services (3300-3600 MHz)</w:t>
        </w:r>
        <w:r w:rsidR="00722F44">
          <w:rPr>
            <w:webHidden/>
          </w:rPr>
          <w:tab/>
        </w:r>
        <w:r w:rsidR="00722F44">
          <w:rPr>
            <w:webHidden/>
          </w:rPr>
          <w:fldChar w:fldCharType="begin"/>
        </w:r>
        <w:r w:rsidR="00722F44">
          <w:rPr>
            <w:webHidden/>
          </w:rPr>
          <w:instrText xml:space="preserve"> PAGEREF _Toc178948551 \h </w:instrText>
        </w:r>
        <w:r w:rsidR="00722F44">
          <w:rPr>
            <w:webHidden/>
          </w:rPr>
        </w:r>
        <w:r w:rsidR="00722F44">
          <w:rPr>
            <w:webHidden/>
          </w:rPr>
          <w:fldChar w:fldCharType="separate"/>
        </w:r>
        <w:r w:rsidR="00722F44">
          <w:rPr>
            <w:webHidden/>
          </w:rPr>
          <w:t>31</w:t>
        </w:r>
        <w:r w:rsidR="00722F44">
          <w:rPr>
            <w:webHidden/>
          </w:rPr>
          <w:fldChar w:fldCharType="end"/>
        </w:r>
      </w:hyperlink>
    </w:p>
    <w:p w14:paraId="5A8AE62F" w14:textId="106A119D"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2" w:history="1">
        <w:r w:rsidR="00722F44" w:rsidRPr="00F703D1">
          <w:rPr>
            <w:rStyle w:val="Hyperlink"/>
          </w:rPr>
          <w:t>Earth Station Protection Zones (3400-4200 MHz)</w:t>
        </w:r>
        <w:r w:rsidR="00722F44">
          <w:rPr>
            <w:webHidden/>
          </w:rPr>
          <w:tab/>
        </w:r>
        <w:r w:rsidR="00722F44">
          <w:rPr>
            <w:webHidden/>
          </w:rPr>
          <w:fldChar w:fldCharType="begin"/>
        </w:r>
        <w:r w:rsidR="00722F44">
          <w:rPr>
            <w:webHidden/>
          </w:rPr>
          <w:instrText xml:space="preserve"> PAGEREF _Toc178948552 \h </w:instrText>
        </w:r>
        <w:r w:rsidR="00722F44">
          <w:rPr>
            <w:webHidden/>
          </w:rPr>
        </w:r>
        <w:r w:rsidR="00722F44">
          <w:rPr>
            <w:webHidden/>
          </w:rPr>
          <w:fldChar w:fldCharType="separate"/>
        </w:r>
        <w:r w:rsidR="00722F44">
          <w:rPr>
            <w:webHidden/>
          </w:rPr>
          <w:t>31</w:t>
        </w:r>
        <w:r w:rsidR="00722F44">
          <w:rPr>
            <w:webHidden/>
          </w:rPr>
          <w:fldChar w:fldCharType="end"/>
        </w:r>
      </w:hyperlink>
    </w:p>
    <w:p w14:paraId="1DAD8067" w14:textId="5EAE8E4D"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3" w:history="1">
        <w:r w:rsidR="00722F44" w:rsidRPr="00F703D1">
          <w:rPr>
            <w:rStyle w:val="Hyperlink"/>
          </w:rPr>
          <w:t>Fixed satellite service (3400-4200 MHz)</w:t>
        </w:r>
        <w:r w:rsidR="00722F44">
          <w:rPr>
            <w:webHidden/>
          </w:rPr>
          <w:tab/>
        </w:r>
        <w:r w:rsidR="00722F44">
          <w:rPr>
            <w:webHidden/>
          </w:rPr>
          <w:fldChar w:fldCharType="begin"/>
        </w:r>
        <w:r w:rsidR="00722F44">
          <w:rPr>
            <w:webHidden/>
          </w:rPr>
          <w:instrText xml:space="preserve"> PAGEREF _Toc178948553 \h </w:instrText>
        </w:r>
        <w:r w:rsidR="00722F44">
          <w:rPr>
            <w:webHidden/>
          </w:rPr>
        </w:r>
        <w:r w:rsidR="00722F44">
          <w:rPr>
            <w:webHidden/>
          </w:rPr>
          <w:fldChar w:fldCharType="separate"/>
        </w:r>
        <w:r w:rsidR="00722F44">
          <w:rPr>
            <w:webHidden/>
          </w:rPr>
          <w:t>32</w:t>
        </w:r>
        <w:r w:rsidR="00722F44">
          <w:rPr>
            <w:webHidden/>
          </w:rPr>
          <w:fldChar w:fldCharType="end"/>
        </w:r>
      </w:hyperlink>
    </w:p>
    <w:p w14:paraId="2423B567" w14:textId="5F80AAF8"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4" w:history="1">
        <w:r w:rsidR="00722F44" w:rsidRPr="00F703D1">
          <w:rPr>
            <w:rStyle w:val="Hyperlink"/>
          </w:rPr>
          <w:t>Radiolocation services (3100-3500 MHz)</w:t>
        </w:r>
        <w:r w:rsidR="00722F44">
          <w:rPr>
            <w:webHidden/>
          </w:rPr>
          <w:tab/>
        </w:r>
        <w:r w:rsidR="00722F44">
          <w:rPr>
            <w:webHidden/>
          </w:rPr>
          <w:fldChar w:fldCharType="begin"/>
        </w:r>
        <w:r w:rsidR="00722F44">
          <w:rPr>
            <w:webHidden/>
          </w:rPr>
          <w:instrText xml:space="preserve"> PAGEREF _Toc178948554 \h </w:instrText>
        </w:r>
        <w:r w:rsidR="00722F44">
          <w:rPr>
            <w:webHidden/>
          </w:rPr>
        </w:r>
        <w:r w:rsidR="00722F44">
          <w:rPr>
            <w:webHidden/>
          </w:rPr>
          <w:fldChar w:fldCharType="separate"/>
        </w:r>
        <w:r w:rsidR="00722F44">
          <w:rPr>
            <w:webHidden/>
          </w:rPr>
          <w:t>34</w:t>
        </w:r>
        <w:r w:rsidR="00722F44">
          <w:rPr>
            <w:webHidden/>
          </w:rPr>
          <w:fldChar w:fldCharType="end"/>
        </w:r>
      </w:hyperlink>
    </w:p>
    <w:p w14:paraId="08F2FCEC" w14:textId="14323C4F"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5" w:history="1">
        <w:r w:rsidR="00722F44" w:rsidRPr="00F703D1">
          <w:rPr>
            <w:rStyle w:val="Hyperlink"/>
          </w:rPr>
          <w:t>Area-wide licences (3750/3800-4000 MHz)</w:t>
        </w:r>
        <w:r w:rsidR="00722F44">
          <w:rPr>
            <w:webHidden/>
          </w:rPr>
          <w:tab/>
        </w:r>
        <w:r w:rsidR="00722F44">
          <w:rPr>
            <w:webHidden/>
          </w:rPr>
          <w:fldChar w:fldCharType="begin"/>
        </w:r>
        <w:r w:rsidR="00722F44">
          <w:rPr>
            <w:webHidden/>
          </w:rPr>
          <w:instrText xml:space="preserve"> PAGEREF _Toc178948555 \h </w:instrText>
        </w:r>
        <w:r w:rsidR="00722F44">
          <w:rPr>
            <w:webHidden/>
          </w:rPr>
        </w:r>
        <w:r w:rsidR="00722F44">
          <w:rPr>
            <w:webHidden/>
          </w:rPr>
          <w:fldChar w:fldCharType="separate"/>
        </w:r>
        <w:r w:rsidR="00722F44">
          <w:rPr>
            <w:webHidden/>
          </w:rPr>
          <w:t>35</w:t>
        </w:r>
        <w:r w:rsidR="00722F44">
          <w:rPr>
            <w:webHidden/>
          </w:rPr>
          <w:fldChar w:fldCharType="end"/>
        </w:r>
      </w:hyperlink>
    </w:p>
    <w:p w14:paraId="6CDDAEAA" w14:textId="617C3D14"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6" w:history="1">
        <w:r w:rsidR="00722F44" w:rsidRPr="00F703D1">
          <w:rPr>
            <w:rStyle w:val="Hyperlink"/>
          </w:rPr>
          <w:t>3.4 GHz band spectrum licences (3400-3800 MHz)</w:t>
        </w:r>
        <w:r w:rsidR="00722F44">
          <w:rPr>
            <w:webHidden/>
          </w:rPr>
          <w:tab/>
        </w:r>
        <w:r w:rsidR="00722F44">
          <w:rPr>
            <w:webHidden/>
          </w:rPr>
          <w:fldChar w:fldCharType="begin"/>
        </w:r>
        <w:r w:rsidR="00722F44">
          <w:rPr>
            <w:webHidden/>
          </w:rPr>
          <w:instrText xml:space="preserve"> PAGEREF _Toc178948556 \h </w:instrText>
        </w:r>
        <w:r w:rsidR="00722F44">
          <w:rPr>
            <w:webHidden/>
          </w:rPr>
        </w:r>
        <w:r w:rsidR="00722F44">
          <w:rPr>
            <w:webHidden/>
          </w:rPr>
          <w:fldChar w:fldCharType="separate"/>
        </w:r>
        <w:r w:rsidR="00722F44">
          <w:rPr>
            <w:webHidden/>
          </w:rPr>
          <w:t>35</w:t>
        </w:r>
        <w:r w:rsidR="00722F44">
          <w:rPr>
            <w:webHidden/>
          </w:rPr>
          <w:fldChar w:fldCharType="end"/>
        </w:r>
      </w:hyperlink>
    </w:p>
    <w:p w14:paraId="0F82B429" w14:textId="1064B37B"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7" w:history="1">
        <w:r w:rsidR="00722F44" w:rsidRPr="00F703D1">
          <w:rPr>
            <w:rStyle w:val="Hyperlink"/>
          </w:rPr>
          <w:t>Radio altimeters (4200-4400 MHz)</w:t>
        </w:r>
        <w:r w:rsidR="00722F44">
          <w:rPr>
            <w:webHidden/>
          </w:rPr>
          <w:tab/>
        </w:r>
        <w:r w:rsidR="00722F44">
          <w:rPr>
            <w:webHidden/>
          </w:rPr>
          <w:fldChar w:fldCharType="begin"/>
        </w:r>
        <w:r w:rsidR="00722F44">
          <w:rPr>
            <w:webHidden/>
          </w:rPr>
          <w:instrText xml:space="preserve"> PAGEREF _Toc178948557 \h </w:instrText>
        </w:r>
        <w:r w:rsidR="00722F44">
          <w:rPr>
            <w:webHidden/>
          </w:rPr>
        </w:r>
        <w:r w:rsidR="00722F44">
          <w:rPr>
            <w:webHidden/>
          </w:rPr>
          <w:fldChar w:fldCharType="separate"/>
        </w:r>
        <w:r w:rsidR="00722F44">
          <w:rPr>
            <w:webHidden/>
          </w:rPr>
          <w:t>39</w:t>
        </w:r>
        <w:r w:rsidR="00722F44">
          <w:rPr>
            <w:webHidden/>
          </w:rPr>
          <w:fldChar w:fldCharType="end"/>
        </w:r>
      </w:hyperlink>
    </w:p>
    <w:p w14:paraId="24463AE0" w14:textId="61A1FEEF"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58" w:history="1">
        <w:r w:rsidR="00722F44" w:rsidRPr="00F703D1">
          <w:rPr>
            <w:rStyle w:val="Hyperlink"/>
          </w:rPr>
          <w:t>Summary of proposed arrangements</w:t>
        </w:r>
        <w:r w:rsidR="00722F44">
          <w:rPr>
            <w:webHidden/>
          </w:rPr>
          <w:tab/>
        </w:r>
        <w:r w:rsidR="00722F44">
          <w:rPr>
            <w:webHidden/>
          </w:rPr>
          <w:fldChar w:fldCharType="begin"/>
        </w:r>
        <w:r w:rsidR="00722F44">
          <w:rPr>
            <w:webHidden/>
          </w:rPr>
          <w:instrText xml:space="preserve"> PAGEREF _Toc178948558 \h </w:instrText>
        </w:r>
        <w:r w:rsidR="00722F44">
          <w:rPr>
            <w:webHidden/>
          </w:rPr>
        </w:r>
        <w:r w:rsidR="00722F44">
          <w:rPr>
            <w:webHidden/>
          </w:rPr>
          <w:fldChar w:fldCharType="separate"/>
        </w:r>
        <w:r w:rsidR="00722F44">
          <w:rPr>
            <w:webHidden/>
          </w:rPr>
          <w:t>42</w:t>
        </w:r>
        <w:r w:rsidR="00722F44">
          <w:rPr>
            <w:webHidden/>
          </w:rPr>
          <w:fldChar w:fldCharType="end"/>
        </w:r>
      </w:hyperlink>
    </w:p>
    <w:p w14:paraId="354D5CC5" w14:textId="37519F09"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59" w:history="1">
        <w:r w:rsidR="00722F44" w:rsidRPr="00F703D1">
          <w:rPr>
            <w:rStyle w:val="Hyperlink"/>
          </w:rPr>
          <w:t>General conditions</w:t>
        </w:r>
        <w:r w:rsidR="00722F44">
          <w:rPr>
            <w:webHidden/>
          </w:rPr>
          <w:tab/>
        </w:r>
        <w:r w:rsidR="00722F44">
          <w:rPr>
            <w:webHidden/>
          </w:rPr>
          <w:fldChar w:fldCharType="begin"/>
        </w:r>
        <w:r w:rsidR="00722F44">
          <w:rPr>
            <w:webHidden/>
          </w:rPr>
          <w:instrText xml:space="preserve"> PAGEREF _Toc178948559 \h </w:instrText>
        </w:r>
        <w:r w:rsidR="00722F44">
          <w:rPr>
            <w:webHidden/>
          </w:rPr>
        </w:r>
        <w:r w:rsidR="00722F44">
          <w:rPr>
            <w:webHidden/>
          </w:rPr>
          <w:fldChar w:fldCharType="separate"/>
        </w:r>
        <w:r w:rsidR="00722F44">
          <w:rPr>
            <w:webHidden/>
          </w:rPr>
          <w:t>42</w:t>
        </w:r>
        <w:r w:rsidR="00722F44">
          <w:rPr>
            <w:webHidden/>
          </w:rPr>
          <w:fldChar w:fldCharType="end"/>
        </w:r>
      </w:hyperlink>
    </w:p>
    <w:p w14:paraId="73ECD0A6" w14:textId="6683052A"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60" w:history="1">
        <w:r w:rsidR="00722F44" w:rsidRPr="00F703D1">
          <w:rPr>
            <w:rStyle w:val="Hyperlink"/>
          </w:rPr>
          <w:t>Conditions for 3400-3475 MHz frequency range</w:t>
        </w:r>
        <w:r w:rsidR="00722F44">
          <w:rPr>
            <w:webHidden/>
          </w:rPr>
          <w:tab/>
        </w:r>
        <w:r w:rsidR="00722F44">
          <w:rPr>
            <w:webHidden/>
          </w:rPr>
          <w:fldChar w:fldCharType="begin"/>
        </w:r>
        <w:r w:rsidR="00722F44">
          <w:rPr>
            <w:webHidden/>
          </w:rPr>
          <w:instrText xml:space="preserve"> PAGEREF _Toc178948560 \h </w:instrText>
        </w:r>
        <w:r w:rsidR="00722F44">
          <w:rPr>
            <w:webHidden/>
          </w:rPr>
        </w:r>
        <w:r w:rsidR="00722F44">
          <w:rPr>
            <w:webHidden/>
          </w:rPr>
          <w:fldChar w:fldCharType="separate"/>
        </w:r>
        <w:r w:rsidR="00722F44">
          <w:rPr>
            <w:webHidden/>
          </w:rPr>
          <w:t>42</w:t>
        </w:r>
        <w:r w:rsidR="00722F44">
          <w:rPr>
            <w:webHidden/>
          </w:rPr>
          <w:fldChar w:fldCharType="end"/>
        </w:r>
      </w:hyperlink>
    </w:p>
    <w:p w14:paraId="5F0D5D66" w14:textId="04DE800A"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61" w:history="1">
        <w:r w:rsidR="00722F44" w:rsidRPr="00F703D1">
          <w:rPr>
            <w:rStyle w:val="Hyperlink"/>
          </w:rPr>
          <w:t>Conditions for 3950-4000 MHz frequency range</w:t>
        </w:r>
        <w:r w:rsidR="00722F44">
          <w:rPr>
            <w:webHidden/>
          </w:rPr>
          <w:tab/>
        </w:r>
        <w:r w:rsidR="00722F44">
          <w:rPr>
            <w:webHidden/>
          </w:rPr>
          <w:fldChar w:fldCharType="begin"/>
        </w:r>
        <w:r w:rsidR="00722F44">
          <w:rPr>
            <w:webHidden/>
          </w:rPr>
          <w:instrText xml:space="preserve"> PAGEREF _Toc178948561 \h </w:instrText>
        </w:r>
        <w:r w:rsidR="00722F44">
          <w:rPr>
            <w:webHidden/>
          </w:rPr>
        </w:r>
        <w:r w:rsidR="00722F44">
          <w:rPr>
            <w:webHidden/>
          </w:rPr>
          <w:fldChar w:fldCharType="separate"/>
        </w:r>
        <w:r w:rsidR="00722F44">
          <w:rPr>
            <w:webHidden/>
          </w:rPr>
          <w:t>43</w:t>
        </w:r>
        <w:r w:rsidR="00722F44">
          <w:rPr>
            <w:webHidden/>
          </w:rPr>
          <w:fldChar w:fldCharType="end"/>
        </w:r>
      </w:hyperlink>
    </w:p>
    <w:p w14:paraId="1EC4FDE1" w14:textId="6882F366"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62" w:history="1">
        <w:r w:rsidR="00722F44" w:rsidRPr="00F703D1">
          <w:rPr>
            <w:rStyle w:val="Hyperlink"/>
          </w:rPr>
          <w:t>Conditions HL WBB BS into PTP Rx</w:t>
        </w:r>
        <w:r w:rsidR="00722F44">
          <w:rPr>
            <w:webHidden/>
          </w:rPr>
          <w:tab/>
        </w:r>
        <w:r w:rsidR="00722F44">
          <w:rPr>
            <w:webHidden/>
          </w:rPr>
          <w:fldChar w:fldCharType="begin"/>
        </w:r>
        <w:r w:rsidR="00722F44">
          <w:rPr>
            <w:webHidden/>
          </w:rPr>
          <w:instrText xml:space="preserve"> PAGEREF _Toc178948562 \h </w:instrText>
        </w:r>
        <w:r w:rsidR="00722F44">
          <w:rPr>
            <w:webHidden/>
          </w:rPr>
        </w:r>
        <w:r w:rsidR="00722F44">
          <w:rPr>
            <w:webHidden/>
          </w:rPr>
          <w:fldChar w:fldCharType="separate"/>
        </w:r>
        <w:r w:rsidR="00722F44">
          <w:rPr>
            <w:webHidden/>
          </w:rPr>
          <w:t>43</w:t>
        </w:r>
        <w:r w:rsidR="00722F44">
          <w:rPr>
            <w:webHidden/>
          </w:rPr>
          <w:fldChar w:fldCharType="end"/>
        </w:r>
      </w:hyperlink>
    </w:p>
    <w:p w14:paraId="064C62D4" w14:textId="62779549" w:rsidR="00722F44" w:rsidRDefault="00000000">
      <w:pPr>
        <w:pStyle w:val="TOC2"/>
        <w:rPr>
          <w:rFonts w:asciiTheme="minorHAnsi" w:eastAsiaTheme="minorEastAsia" w:hAnsiTheme="minorHAnsi" w:cstheme="minorBidi"/>
          <w:spacing w:val="0"/>
          <w:kern w:val="2"/>
          <w:sz w:val="22"/>
          <w:szCs w:val="22"/>
          <w14:ligatures w14:val="standardContextual"/>
        </w:rPr>
      </w:pPr>
      <w:hyperlink w:anchor="_Toc178948563" w:history="1">
        <w:r w:rsidR="00722F44" w:rsidRPr="00F703D1">
          <w:rPr>
            <w:rStyle w:val="Hyperlink"/>
          </w:rPr>
          <w:t>Conditions PTP Tx into HL WBB BS</w:t>
        </w:r>
        <w:r w:rsidR="00722F44">
          <w:rPr>
            <w:webHidden/>
          </w:rPr>
          <w:tab/>
        </w:r>
        <w:r w:rsidR="00722F44">
          <w:rPr>
            <w:webHidden/>
          </w:rPr>
          <w:fldChar w:fldCharType="begin"/>
        </w:r>
        <w:r w:rsidR="00722F44">
          <w:rPr>
            <w:webHidden/>
          </w:rPr>
          <w:instrText xml:space="preserve"> PAGEREF _Toc178948563 \h </w:instrText>
        </w:r>
        <w:r w:rsidR="00722F44">
          <w:rPr>
            <w:webHidden/>
          </w:rPr>
        </w:r>
        <w:r w:rsidR="00722F44">
          <w:rPr>
            <w:webHidden/>
          </w:rPr>
          <w:fldChar w:fldCharType="separate"/>
        </w:r>
        <w:r w:rsidR="00722F44">
          <w:rPr>
            <w:webHidden/>
          </w:rPr>
          <w:t>43</w:t>
        </w:r>
        <w:r w:rsidR="00722F44">
          <w:rPr>
            <w:webHidden/>
          </w:rPr>
          <w:fldChar w:fldCharType="end"/>
        </w:r>
      </w:hyperlink>
    </w:p>
    <w:p w14:paraId="0867ADBD" w14:textId="7479F0D9"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83" w:history="1">
        <w:r w:rsidR="00722F44" w:rsidRPr="00F703D1">
          <w:rPr>
            <w:rStyle w:val="Hyperlink"/>
          </w:rPr>
          <w:t>Appendix A: Spectrum space identified for HL WBB use</w:t>
        </w:r>
        <w:r w:rsidR="00722F44">
          <w:rPr>
            <w:webHidden/>
          </w:rPr>
          <w:tab/>
        </w:r>
        <w:r w:rsidR="00722F44">
          <w:rPr>
            <w:webHidden/>
          </w:rPr>
          <w:fldChar w:fldCharType="begin"/>
        </w:r>
        <w:r w:rsidR="00722F44">
          <w:rPr>
            <w:webHidden/>
          </w:rPr>
          <w:instrText xml:space="preserve"> PAGEREF _Toc178948583 \h </w:instrText>
        </w:r>
        <w:r w:rsidR="00722F44">
          <w:rPr>
            <w:webHidden/>
          </w:rPr>
        </w:r>
        <w:r w:rsidR="00722F44">
          <w:rPr>
            <w:webHidden/>
          </w:rPr>
          <w:fldChar w:fldCharType="separate"/>
        </w:r>
        <w:r w:rsidR="00722F44">
          <w:rPr>
            <w:webHidden/>
          </w:rPr>
          <w:t>46</w:t>
        </w:r>
        <w:r w:rsidR="00722F44">
          <w:rPr>
            <w:webHidden/>
          </w:rPr>
          <w:fldChar w:fldCharType="end"/>
        </w:r>
      </w:hyperlink>
    </w:p>
    <w:p w14:paraId="0C80D373" w14:textId="39A94B75"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84" w:history="1">
        <w:r w:rsidR="00722F44" w:rsidRPr="00F703D1">
          <w:rPr>
            <w:rStyle w:val="Hyperlink"/>
          </w:rPr>
          <w:t>Appendix B: Notification requirements</w:t>
        </w:r>
        <w:r w:rsidR="00722F44">
          <w:rPr>
            <w:webHidden/>
          </w:rPr>
          <w:tab/>
        </w:r>
        <w:r w:rsidR="00722F44">
          <w:rPr>
            <w:webHidden/>
          </w:rPr>
          <w:fldChar w:fldCharType="begin"/>
        </w:r>
        <w:r w:rsidR="00722F44">
          <w:rPr>
            <w:webHidden/>
          </w:rPr>
          <w:instrText xml:space="preserve"> PAGEREF _Toc178948584 \h </w:instrText>
        </w:r>
        <w:r w:rsidR="00722F44">
          <w:rPr>
            <w:webHidden/>
          </w:rPr>
        </w:r>
        <w:r w:rsidR="00722F44">
          <w:rPr>
            <w:webHidden/>
          </w:rPr>
          <w:fldChar w:fldCharType="separate"/>
        </w:r>
        <w:r w:rsidR="00722F44">
          <w:rPr>
            <w:webHidden/>
          </w:rPr>
          <w:t>50</w:t>
        </w:r>
        <w:r w:rsidR="00722F44">
          <w:rPr>
            <w:webHidden/>
          </w:rPr>
          <w:fldChar w:fldCharType="end"/>
        </w:r>
      </w:hyperlink>
    </w:p>
    <w:p w14:paraId="453CA790" w14:textId="6499E180"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85" w:history="1">
        <w:r w:rsidR="00722F44" w:rsidRPr="00F703D1">
          <w:rPr>
            <w:rStyle w:val="Hyperlink"/>
          </w:rPr>
          <w:t>Appendix C: Development of PFD limits</w:t>
        </w:r>
        <w:r w:rsidR="00722F44">
          <w:rPr>
            <w:webHidden/>
          </w:rPr>
          <w:tab/>
        </w:r>
        <w:r w:rsidR="00722F44">
          <w:rPr>
            <w:webHidden/>
          </w:rPr>
          <w:fldChar w:fldCharType="begin"/>
        </w:r>
        <w:r w:rsidR="00722F44">
          <w:rPr>
            <w:webHidden/>
          </w:rPr>
          <w:instrText xml:space="preserve"> PAGEREF _Toc178948585 \h </w:instrText>
        </w:r>
        <w:r w:rsidR="00722F44">
          <w:rPr>
            <w:webHidden/>
          </w:rPr>
        </w:r>
        <w:r w:rsidR="00722F44">
          <w:rPr>
            <w:webHidden/>
          </w:rPr>
          <w:fldChar w:fldCharType="separate"/>
        </w:r>
        <w:r w:rsidR="00722F44">
          <w:rPr>
            <w:webHidden/>
          </w:rPr>
          <w:t>51</w:t>
        </w:r>
        <w:r w:rsidR="00722F44">
          <w:rPr>
            <w:webHidden/>
          </w:rPr>
          <w:fldChar w:fldCharType="end"/>
        </w:r>
      </w:hyperlink>
    </w:p>
    <w:p w14:paraId="42F50F69" w14:textId="41F704DF"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86" w:history="1">
        <w:r w:rsidR="00722F44" w:rsidRPr="00F703D1">
          <w:rPr>
            <w:rStyle w:val="Hyperlink"/>
          </w:rPr>
          <w:t>Appendix D: Synchronisation requirement</w:t>
        </w:r>
        <w:r w:rsidR="00722F44">
          <w:rPr>
            <w:webHidden/>
          </w:rPr>
          <w:tab/>
        </w:r>
        <w:r w:rsidR="00722F44">
          <w:rPr>
            <w:webHidden/>
          </w:rPr>
          <w:fldChar w:fldCharType="begin"/>
        </w:r>
        <w:r w:rsidR="00722F44">
          <w:rPr>
            <w:webHidden/>
          </w:rPr>
          <w:instrText xml:space="preserve"> PAGEREF _Toc178948586 \h </w:instrText>
        </w:r>
        <w:r w:rsidR="00722F44">
          <w:rPr>
            <w:webHidden/>
          </w:rPr>
        </w:r>
        <w:r w:rsidR="00722F44">
          <w:rPr>
            <w:webHidden/>
          </w:rPr>
          <w:fldChar w:fldCharType="separate"/>
        </w:r>
        <w:r w:rsidR="00722F44">
          <w:rPr>
            <w:webHidden/>
          </w:rPr>
          <w:t>53</w:t>
        </w:r>
        <w:r w:rsidR="00722F44">
          <w:rPr>
            <w:webHidden/>
          </w:rPr>
          <w:fldChar w:fldCharType="end"/>
        </w:r>
      </w:hyperlink>
    </w:p>
    <w:p w14:paraId="4E5D0FA7" w14:textId="625BAEDC"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87" w:history="1">
        <w:r w:rsidR="00722F44" w:rsidRPr="00F703D1">
          <w:rPr>
            <w:rStyle w:val="Hyperlink"/>
          </w:rPr>
          <w:t>Appendix E: Development of urban areas in 3400-3475 MHz band</w:t>
        </w:r>
        <w:r w:rsidR="00722F44">
          <w:rPr>
            <w:webHidden/>
          </w:rPr>
          <w:tab/>
        </w:r>
        <w:r w:rsidR="00722F44">
          <w:rPr>
            <w:webHidden/>
          </w:rPr>
          <w:fldChar w:fldCharType="begin"/>
        </w:r>
        <w:r w:rsidR="00722F44">
          <w:rPr>
            <w:webHidden/>
          </w:rPr>
          <w:instrText xml:space="preserve"> PAGEREF _Toc178948587 \h </w:instrText>
        </w:r>
        <w:r w:rsidR="00722F44">
          <w:rPr>
            <w:webHidden/>
          </w:rPr>
        </w:r>
        <w:r w:rsidR="00722F44">
          <w:rPr>
            <w:webHidden/>
          </w:rPr>
          <w:fldChar w:fldCharType="separate"/>
        </w:r>
        <w:r w:rsidR="00722F44">
          <w:rPr>
            <w:webHidden/>
          </w:rPr>
          <w:t>54</w:t>
        </w:r>
        <w:r w:rsidR="00722F44">
          <w:rPr>
            <w:webHidden/>
          </w:rPr>
          <w:fldChar w:fldCharType="end"/>
        </w:r>
      </w:hyperlink>
    </w:p>
    <w:p w14:paraId="632E51B5" w14:textId="3D4E2305" w:rsidR="00722F44" w:rsidRDefault="00000000">
      <w:pPr>
        <w:pStyle w:val="TOC1"/>
        <w:rPr>
          <w:rFonts w:asciiTheme="minorHAnsi" w:eastAsiaTheme="minorEastAsia" w:hAnsiTheme="minorHAnsi" w:cstheme="minorBidi"/>
          <w:b w:val="0"/>
          <w:spacing w:val="0"/>
          <w:kern w:val="2"/>
          <w:sz w:val="22"/>
          <w:szCs w:val="22"/>
          <w14:ligatures w14:val="standardContextual"/>
        </w:rPr>
      </w:pPr>
      <w:hyperlink w:anchor="_Toc178948588" w:history="1">
        <w:r w:rsidR="00722F44" w:rsidRPr="00F703D1">
          <w:rPr>
            <w:rStyle w:val="Hyperlink"/>
          </w:rPr>
          <w:t>Appendix F: HL WBB and radio altimeter coexistence study</w:t>
        </w:r>
        <w:r w:rsidR="00722F44">
          <w:rPr>
            <w:webHidden/>
          </w:rPr>
          <w:tab/>
        </w:r>
        <w:r w:rsidR="00722F44">
          <w:rPr>
            <w:webHidden/>
          </w:rPr>
          <w:fldChar w:fldCharType="begin"/>
        </w:r>
        <w:r w:rsidR="00722F44">
          <w:rPr>
            <w:webHidden/>
          </w:rPr>
          <w:instrText xml:space="preserve"> PAGEREF _Toc178948588 \h </w:instrText>
        </w:r>
        <w:r w:rsidR="00722F44">
          <w:rPr>
            <w:webHidden/>
          </w:rPr>
        </w:r>
        <w:r w:rsidR="00722F44">
          <w:rPr>
            <w:webHidden/>
          </w:rPr>
          <w:fldChar w:fldCharType="separate"/>
        </w:r>
        <w:r w:rsidR="00722F44">
          <w:rPr>
            <w:webHidden/>
          </w:rPr>
          <w:t>55</w:t>
        </w:r>
        <w:r w:rsidR="00722F44">
          <w:rPr>
            <w:webHidden/>
          </w:rPr>
          <w:fldChar w:fldCharType="end"/>
        </w:r>
      </w:hyperlink>
    </w:p>
    <w:p w14:paraId="4708AEF9" w14:textId="72340ADD" w:rsidR="004D56FF" w:rsidRPr="00E162C4" w:rsidRDefault="006A3ECF">
      <w:pPr>
        <w:rPr>
          <w:rFonts w:cs="Arial"/>
        </w:rPr>
        <w:sectPr w:rsidR="004D56FF" w:rsidRPr="00E162C4"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r w:rsidRPr="00E162C4">
        <w:rPr>
          <w:rFonts w:cs="Arial"/>
          <w:noProof/>
          <w:spacing w:val="-14"/>
          <w:sz w:val="28"/>
        </w:rPr>
        <w:fldChar w:fldCharType="end"/>
      </w:r>
    </w:p>
    <w:p w14:paraId="11EDB9C2" w14:textId="16A5C1C8" w:rsidR="00715722" w:rsidRPr="00E162C4" w:rsidRDefault="00BC5917" w:rsidP="00715722">
      <w:pPr>
        <w:pStyle w:val="Heading1"/>
      </w:pPr>
      <w:bookmarkStart w:id="0" w:name="_Toc178948537"/>
      <w:r>
        <w:lastRenderedPageBreak/>
        <w:t>Version control</w:t>
      </w:r>
      <w:bookmarkEnd w:id="0"/>
    </w:p>
    <w:p w14:paraId="553B288A" w14:textId="598F0854" w:rsidR="00BC5917" w:rsidRDefault="00BC5917" w:rsidP="00D61243">
      <w:pPr>
        <w:pStyle w:val="Paragraph"/>
      </w:pPr>
    </w:p>
    <w:tbl>
      <w:tblPr>
        <w:tblStyle w:val="TableGrid"/>
        <w:tblW w:w="0" w:type="auto"/>
        <w:tblLook w:val="04A0" w:firstRow="1" w:lastRow="0" w:firstColumn="1" w:lastColumn="0" w:noHBand="0" w:noVBand="1"/>
      </w:tblPr>
      <w:tblGrid>
        <w:gridCol w:w="1743"/>
        <w:gridCol w:w="5918"/>
      </w:tblGrid>
      <w:tr w:rsidR="00BC5917" w:rsidRPr="007D04B2" w14:paraId="55DE57CE" w14:textId="77777777" w:rsidTr="001F1EAC">
        <w:tc>
          <w:tcPr>
            <w:tcW w:w="1743" w:type="dxa"/>
            <w:shd w:val="clear" w:color="auto" w:fill="7F7F7F" w:themeFill="text1" w:themeFillTint="80"/>
          </w:tcPr>
          <w:p w14:paraId="7D17B858" w14:textId="77777777" w:rsidR="00BC5917" w:rsidRPr="007D04B2" w:rsidRDefault="00BC5917" w:rsidP="005C528D">
            <w:pPr>
              <w:spacing w:before="120" w:after="120" w:line="240" w:lineRule="auto"/>
              <w:rPr>
                <w:b/>
                <w:color w:val="FFFFFF" w:themeColor="background1"/>
              </w:rPr>
            </w:pPr>
            <w:r w:rsidRPr="007D04B2">
              <w:rPr>
                <w:b/>
                <w:color w:val="FFFFFF" w:themeColor="background1"/>
              </w:rPr>
              <w:t>Version</w:t>
            </w:r>
          </w:p>
        </w:tc>
        <w:tc>
          <w:tcPr>
            <w:tcW w:w="5918" w:type="dxa"/>
            <w:shd w:val="clear" w:color="auto" w:fill="7F7F7F" w:themeFill="text1" w:themeFillTint="80"/>
          </w:tcPr>
          <w:p w14:paraId="1207F212" w14:textId="77777777" w:rsidR="00BC5917" w:rsidRPr="007D04B2" w:rsidRDefault="00BC5917" w:rsidP="005C528D">
            <w:pPr>
              <w:spacing w:before="120" w:after="120" w:line="240" w:lineRule="auto"/>
              <w:rPr>
                <w:b/>
                <w:color w:val="FFFFFF" w:themeColor="background1"/>
              </w:rPr>
            </w:pPr>
            <w:r w:rsidRPr="007D04B2">
              <w:rPr>
                <w:b/>
                <w:color w:val="FFFFFF" w:themeColor="background1"/>
              </w:rPr>
              <w:t>Comments</w:t>
            </w:r>
          </w:p>
        </w:tc>
      </w:tr>
      <w:tr w:rsidR="00BC5917" w:rsidRPr="007D04B2" w14:paraId="2C5480C4" w14:textId="77777777" w:rsidTr="001F1EAC">
        <w:tc>
          <w:tcPr>
            <w:tcW w:w="1743" w:type="dxa"/>
          </w:tcPr>
          <w:p w14:paraId="4DDB6DAD" w14:textId="77777777" w:rsidR="00BC5917" w:rsidRPr="007D04B2" w:rsidRDefault="00BC5917" w:rsidP="005C528D">
            <w:pPr>
              <w:spacing w:before="120" w:after="120" w:line="240" w:lineRule="auto"/>
            </w:pPr>
            <w:r w:rsidRPr="007D04B2">
              <w:t>Version 1.0</w:t>
            </w:r>
          </w:p>
        </w:tc>
        <w:tc>
          <w:tcPr>
            <w:tcW w:w="5918" w:type="dxa"/>
          </w:tcPr>
          <w:p w14:paraId="760B58A4" w14:textId="3C8A065E" w:rsidR="00BC5917" w:rsidRPr="007D04B2" w:rsidRDefault="00BC5917" w:rsidP="005C528D">
            <w:pPr>
              <w:spacing w:before="120" w:after="120" w:line="240" w:lineRule="auto"/>
            </w:pPr>
            <w:r w:rsidRPr="007D04B2">
              <w:t>Initial release</w:t>
            </w:r>
            <w:r>
              <w:t xml:space="preserve">: </w:t>
            </w:r>
            <w:r w:rsidR="00741C4B" w:rsidRPr="00741C4B">
              <w:t>17</w:t>
            </w:r>
            <w:r w:rsidRPr="00741C4B">
              <w:t xml:space="preserve"> November 2023</w:t>
            </w:r>
          </w:p>
        </w:tc>
      </w:tr>
      <w:tr w:rsidR="00885A17" w:rsidRPr="007D04B2" w14:paraId="7251900B" w14:textId="77777777" w:rsidTr="001F1EAC">
        <w:tc>
          <w:tcPr>
            <w:tcW w:w="1743" w:type="dxa"/>
          </w:tcPr>
          <w:p w14:paraId="194FDE8C" w14:textId="27CD9BE8" w:rsidR="00885A17" w:rsidRPr="007D04B2" w:rsidRDefault="00885A17" w:rsidP="005C528D">
            <w:pPr>
              <w:spacing w:before="120" w:after="120" w:line="240" w:lineRule="auto"/>
            </w:pPr>
            <w:r>
              <w:t>Version 2.0</w:t>
            </w:r>
          </w:p>
        </w:tc>
        <w:tc>
          <w:tcPr>
            <w:tcW w:w="5918" w:type="dxa"/>
          </w:tcPr>
          <w:p w14:paraId="2856553E" w14:textId="0B4507E9" w:rsidR="00885A17" w:rsidRDefault="00885A17" w:rsidP="005C528D">
            <w:pPr>
              <w:spacing w:before="120" w:after="120" w:line="240" w:lineRule="auto"/>
            </w:pPr>
            <w:r>
              <w:t xml:space="preserve">Release: </w:t>
            </w:r>
            <w:r w:rsidR="008049AF">
              <w:t>22 March</w:t>
            </w:r>
            <w:r>
              <w:t xml:space="preserve"> 2024</w:t>
            </w:r>
          </w:p>
          <w:p w14:paraId="24102790" w14:textId="77777777" w:rsidR="00BB5E61" w:rsidRDefault="00885A17" w:rsidP="005C528D">
            <w:pPr>
              <w:spacing w:before="120" w:after="120" w:line="240" w:lineRule="auto"/>
            </w:pPr>
            <w:r>
              <w:t>Includes</w:t>
            </w:r>
            <w:r w:rsidR="00BB5E61">
              <w:t>:</w:t>
            </w:r>
            <w:r>
              <w:t xml:space="preserve"> </w:t>
            </w:r>
          </w:p>
          <w:p w14:paraId="28196C04" w14:textId="7B3EE9C0" w:rsidR="00BB5E61" w:rsidRPr="007D04B2" w:rsidRDefault="00885A17" w:rsidP="00EE4132">
            <w:pPr>
              <w:pStyle w:val="ListParagraph"/>
              <w:numPr>
                <w:ilvl w:val="0"/>
                <w:numId w:val="75"/>
              </w:numPr>
              <w:spacing w:before="120" w:after="120" w:line="240" w:lineRule="auto"/>
            </w:pPr>
            <w:r w:rsidRPr="00EE4132">
              <w:rPr>
                <w:rFonts w:ascii="Arial" w:eastAsia="Times New Roman" w:hAnsi="Arial"/>
                <w:sz w:val="20"/>
                <w:szCs w:val="24"/>
                <w:lang w:eastAsia="en-AU"/>
              </w:rPr>
              <w:t>updates based on submissions received from TLG members to Version 1</w:t>
            </w:r>
          </w:p>
        </w:tc>
      </w:tr>
      <w:tr w:rsidR="00751BED" w:rsidRPr="007D04B2" w14:paraId="516AD9C4" w14:textId="77777777" w:rsidTr="001F1EAC">
        <w:tc>
          <w:tcPr>
            <w:tcW w:w="1743" w:type="dxa"/>
          </w:tcPr>
          <w:p w14:paraId="2969941B" w14:textId="340B555D" w:rsidR="00751BED" w:rsidRDefault="00751BED" w:rsidP="00751BED">
            <w:pPr>
              <w:spacing w:before="120" w:after="120" w:line="240" w:lineRule="auto"/>
            </w:pPr>
            <w:r>
              <w:t>Version 2.1</w:t>
            </w:r>
          </w:p>
        </w:tc>
        <w:tc>
          <w:tcPr>
            <w:tcW w:w="5918" w:type="dxa"/>
          </w:tcPr>
          <w:p w14:paraId="31D6AAA0" w14:textId="77777777" w:rsidR="00751BED" w:rsidRDefault="00751BED" w:rsidP="00751BED">
            <w:pPr>
              <w:spacing w:before="120" w:after="120" w:line="240" w:lineRule="auto"/>
            </w:pPr>
            <w:r>
              <w:t>Release: 8 April 2024</w:t>
            </w:r>
          </w:p>
          <w:p w14:paraId="5263957E" w14:textId="135C8DCD" w:rsidR="00751BED" w:rsidRDefault="00751BED" w:rsidP="00751BED">
            <w:pPr>
              <w:spacing w:before="120" w:after="120" w:line="240" w:lineRule="auto"/>
            </w:pPr>
            <w:r>
              <w:t xml:space="preserve">Updates to Amateur service coordination arrangements to clearly define criteria for HL WBB Tx </w:t>
            </w:r>
            <w:r>
              <w:sym w:font="Wingdings" w:char="F0E0"/>
            </w:r>
            <w:r>
              <w:t xml:space="preserve"> Amateur Rx and Amateur Tx </w:t>
            </w:r>
            <w:r>
              <w:sym w:font="Wingdings" w:char="F0E0"/>
            </w:r>
            <w:r>
              <w:t xml:space="preserve"> HL WBB Rx cases. </w:t>
            </w:r>
          </w:p>
        </w:tc>
      </w:tr>
      <w:tr w:rsidR="00EE4132" w:rsidRPr="007D04B2" w14:paraId="5119684F" w14:textId="77777777" w:rsidTr="001F1EAC">
        <w:tc>
          <w:tcPr>
            <w:tcW w:w="1743" w:type="dxa"/>
          </w:tcPr>
          <w:p w14:paraId="23537152" w14:textId="2D87F58C" w:rsidR="00EE4132" w:rsidRDefault="00EE4132" w:rsidP="00751BED">
            <w:pPr>
              <w:spacing w:before="120" w:after="120" w:line="240" w:lineRule="auto"/>
            </w:pPr>
            <w:r>
              <w:t>Version 3.0</w:t>
            </w:r>
          </w:p>
        </w:tc>
        <w:tc>
          <w:tcPr>
            <w:tcW w:w="5918" w:type="dxa"/>
          </w:tcPr>
          <w:p w14:paraId="29A14262" w14:textId="19486C31" w:rsidR="00EE4132" w:rsidRDefault="00EE4132" w:rsidP="00751BED">
            <w:pPr>
              <w:spacing w:before="120" w:after="120" w:line="240" w:lineRule="auto"/>
            </w:pPr>
            <w:r>
              <w:t xml:space="preserve">Release: </w:t>
            </w:r>
            <w:r w:rsidR="0031747D">
              <w:t xml:space="preserve">22 </w:t>
            </w:r>
            <w:r w:rsidR="00F24FEF">
              <w:t>July</w:t>
            </w:r>
            <w:r>
              <w:t xml:space="preserve"> 2024</w:t>
            </w:r>
          </w:p>
          <w:p w14:paraId="6417EFB1" w14:textId="77777777" w:rsidR="00EE4132" w:rsidRDefault="00EE4132" w:rsidP="00751BED">
            <w:pPr>
              <w:spacing w:before="120" w:after="120" w:line="240" w:lineRule="auto"/>
            </w:pPr>
            <w:r>
              <w:t>Includes:</w:t>
            </w:r>
          </w:p>
          <w:p w14:paraId="73023581" w14:textId="77777777" w:rsidR="00EE4132" w:rsidRPr="0031747D" w:rsidRDefault="00EE4132" w:rsidP="00EE4132">
            <w:pPr>
              <w:pStyle w:val="ListParagraph"/>
              <w:numPr>
                <w:ilvl w:val="0"/>
                <w:numId w:val="78"/>
              </w:numPr>
              <w:spacing w:before="120" w:after="120" w:line="240" w:lineRule="auto"/>
              <w:rPr>
                <w:rFonts w:ascii="Arial" w:eastAsia="Times New Roman" w:hAnsi="Arial"/>
                <w:sz w:val="20"/>
                <w:szCs w:val="24"/>
                <w:lang w:eastAsia="en-AU"/>
              </w:rPr>
            </w:pPr>
            <w:r w:rsidRPr="0031747D">
              <w:rPr>
                <w:rFonts w:ascii="Arial" w:eastAsia="Times New Roman" w:hAnsi="Arial"/>
                <w:sz w:val="20"/>
                <w:szCs w:val="24"/>
                <w:lang w:eastAsia="en-AU"/>
              </w:rPr>
              <w:t>updates based on submissions received from TLG members to version 2.1; and</w:t>
            </w:r>
          </w:p>
          <w:p w14:paraId="6FFF92E4" w14:textId="72A6670D" w:rsidR="0017714B" w:rsidRDefault="0017714B">
            <w:pPr>
              <w:pStyle w:val="ListParagraph"/>
              <w:numPr>
                <w:ilvl w:val="0"/>
                <w:numId w:val="78"/>
              </w:numPr>
              <w:spacing w:before="120" w:after="120" w:line="240" w:lineRule="auto"/>
              <w:rPr>
                <w:rFonts w:ascii="Arial" w:eastAsia="Times New Roman" w:hAnsi="Arial"/>
                <w:sz w:val="20"/>
                <w:szCs w:val="24"/>
                <w:lang w:eastAsia="en-AU"/>
              </w:rPr>
            </w:pPr>
            <w:r>
              <w:rPr>
                <w:rFonts w:ascii="Arial" w:eastAsia="Times New Roman" w:hAnsi="Arial"/>
                <w:sz w:val="20"/>
                <w:szCs w:val="24"/>
                <w:lang w:eastAsia="en-AU"/>
              </w:rPr>
              <w:t xml:space="preserve">updates to licence taxes quoted to align with increase to </w:t>
            </w:r>
            <w:proofErr w:type="gramStart"/>
            <w:r>
              <w:rPr>
                <w:rFonts w:ascii="Arial" w:eastAsia="Times New Roman" w:hAnsi="Arial"/>
                <w:sz w:val="20"/>
                <w:szCs w:val="24"/>
                <w:lang w:eastAsia="en-AU"/>
              </w:rPr>
              <w:t>CPI;</w:t>
            </w:r>
            <w:proofErr w:type="gramEnd"/>
          </w:p>
          <w:p w14:paraId="098E7BE7" w14:textId="1D200229" w:rsidR="00E259C2" w:rsidRPr="00E259C2" w:rsidRDefault="00E259C2">
            <w:pPr>
              <w:pStyle w:val="ListParagraph"/>
              <w:numPr>
                <w:ilvl w:val="0"/>
                <w:numId w:val="78"/>
              </w:numPr>
              <w:spacing w:before="120" w:after="120" w:line="240" w:lineRule="auto"/>
              <w:rPr>
                <w:rFonts w:ascii="Arial" w:eastAsia="Times New Roman" w:hAnsi="Arial"/>
                <w:sz w:val="20"/>
                <w:szCs w:val="24"/>
                <w:lang w:eastAsia="en-AU"/>
              </w:rPr>
            </w:pPr>
            <w:r w:rsidRPr="0031747D">
              <w:rPr>
                <w:rFonts w:ascii="Arial" w:eastAsia="Times New Roman" w:hAnsi="Arial"/>
                <w:sz w:val="20"/>
                <w:szCs w:val="24"/>
                <w:lang w:eastAsia="en-AU"/>
              </w:rPr>
              <w:t xml:space="preserve">inclusion of spurious emission limits for HL WBB BS and </w:t>
            </w:r>
            <w:proofErr w:type="gramStart"/>
            <w:r w:rsidRPr="0031747D">
              <w:rPr>
                <w:rFonts w:ascii="Arial" w:eastAsia="Times New Roman" w:hAnsi="Arial"/>
                <w:sz w:val="20"/>
                <w:szCs w:val="24"/>
                <w:lang w:eastAsia="en-AU"/>
              </w:rPr>
              <w:t>UEs</w:t>
            </w:r>
            <w:r>
              <w:rPr>
                <w:rFonts w:ascii="Arial" w:eastAsia="Times New Roman" w:hAnsi="Arial"/>
                <w:sz w:val="20"/>
                <w:szCs w:val="24"/>
                <w:lang w:eastAsia="en-AU"/>
              </w:rPr>
              <w:t>;</w:t>
            </w:r>
            <w:proofErr w:type="gramEnd"/>
          </w:p>
          <w:p w14:paraId="532F1A86" w14:textId="6770C34B" w:rsidR="00EE4132" w:rsidRDefault="00EE4132" w:rsidP="0031747D">
            <w:pPr>
              <w:pStyle w:val="ListParagraph"/>
              <w:numPr>
                <w:ilvl w:val="0"/>
                <w:numId w:val="78"/>
              </w:numPr>
              <w:spacing w:before="120" w:after="120" w:line="240" w:lineRule="auto"/>
            </w:pPr>
            <w:r w:rsidRPr="00EE4132">
              <w:rPr>
                <w:rFonts w:ascii="Arial" w:eastAsia="Times New Roman" w:hAnsi="Arial"/>
                <w:sz w:val="20"/>
                <w:szCs w:val="24"/>
                <w:lang w:eastAsia="en-AU"/>
              </w:rPr>
              <w:t>radio altimeter study and propose</w:t>
            </w:r>
            <w:r w:rsidR="002238E5">
              <w:rPr>
                <w:rFonts w:ascii="Arial" w:eastAsia="Times New Roman" w:hAnsi="Arial"/>
                <w:sz w:val="20"/>
                <w:szCs w:val="24"/>
                <w:lang w:eastAsia="en-AU"/>
              </w:rPr>
              <w:t>d</w:t>
            </w:r>
            <w:r w:rsidRPr="00EE4132">
              <w:rPr>
                <w:rFonts w:ascii="Arial" w:eastAsia="Times New Roman" w:hAnsi="Arial"/>
                <w:sz w:val="20"/>
                <w:szCs w:val="24"/>
                <w:lang w:eastAsia="en-AU"/>
              </w:rPr>
              <w:t xml:space="preserve"> coexistence measures</w:t>
            </w:r>
            <w:r w:rsidR="00E259C2">
              <w:rPr>
                <w:rFonts w:ascii="Arial" w:eastAsia="Times New Roman" w:hAnsi="Arial"/>
                <w:sz w:val="20"/>
                <w:szCs w:val="24"/>
                <w:lang w:eastAsia="en-AU"/>
              </w:rPr>
              <w:t>.</w:t>
            </w:r>
          </w:p>
        </w:tc>
      </w:tr>
      <w:tr w:rsidR="00FF2483" w:rsidRPr="007D04B2" w14:paraId="68B43793" w14:textId="77777777" w:rsidTr="001F1EAC">
        <w:tc>
          <w:tcPr>
            <w:tcW w:w="1743" w:type="dxa"/>
          </w:tcPr>
          <w:p w14:paraId="7817A240" w14:textId="1DF94DB9" w:rsidR="00FF2483" w:rsidRDefault="00FF2483" w:rsidP="00751BED">
            <w:pPr>
              <w:spacing w:before="120" w:after="120" w:line="240" w:lineRule="auto"/>
            </w:pPr>
            <w:r>
              <w:t>Version 4.0</w:t>
            </w:r>
          </w:p>
        </w:tc>
        <w:tc>
          <w:tcPr>
            <w:tcW w:w="5918" w:type="dxa"/>
          </w:tcPr>
          <w:p w14:paraId="3D7ADD4D" w14:textId="74A75DDE" w:rsidR="00FF2483" w:rsidRDefault="00FF2483" w:rsidP="00751BED">
            <w:pPr>
              <w:spacing w:before="120" w:after="120" w:line="240" w:lineRule="auto"/>
            </w:pPr>
            <w:r>
              <w:t xml:space="preserve">Release: </w:t>
            </w:r>
            <w:r w:rsidR="00722F44">
              <w:t>14 October</w:t>
            </w:r>
            <w:r>
              <w:t xml:space="preserve"> 2024</w:t>
            </w:r>
          </w:p>
          <w:p w14:paraId="78E02639" w14:textId="3F8FF687" w:rsidR="00E12B62" w:rsidRDefault="00E12B62" w:rsidP="00751BED">
            <w:pPr>
              <w:spacing w:before="120" w:after="120" w:line="240" w:lineRule="auto"/>
            </w:pPr>
            <w:r>
              <w:t>Final Version</w:t>
            </w:r>
          </w:p>
          <w:p w14:paraId="5B0475EA" w14:textId="294FF0DA" w:rsidR="00410354" w:rsidRDefault="00FF2483" w:rsidP="00410354">
            <w:pPr>
              <w:spacing w:before="120" w:after="120" w:line="240" w:lineRule="auto"/>
            </w:pPr>
            <w:r>
              <w:t>Includes</w:t>
            </w:r>
            <w:r w:rsidR="00410354">
              <w:t xml:space="preserve"> </w:t>
            </w:r>
            <w:r w:rsidR="00410354" w:rsidRPr="00410354">
              <w:t>up</w:t>
            </w:r>
            <w:r w:rsidRPr="00410354">
              <w:t>dates based on submissions received from TLG members to version 3.0</w:t>
            </w:r>
            <w:r w:rsidR="005C641D">
              <w:t xml:space="preserve"> regarding</w:t>
            </w:r>
            <w:r w:rsidR="00410354">
              <w:t>:</w:t>
            </w:r>
            <w:r w:rsidR="00410354" w:rsidRPr="00410354">
              <w:t xml:space="preserve"> </w:t>
            </w:r>
          </w:p>
          <w:p w14:paraId="199583E7" w14:textId="7B21D02E" w:rsidR="00FF2483" w:rsidRPr="005C641D" w:rsidRDefault="00410354" w:rsidP="004C3BA7">
            <w:pPr>
              <w:pStyle w:val="ListParagraph"/>
              <w:numPr>
                <w:ilvl w:val="0"/>
                <w:numId w:val="85"/>
              </w:numPr>
              <w:spacing w:before="120" w:after="120" w:line="240" w:lineRule="auto"/>
              <w:rPr>
                <w:rFonts w:ascii="Arial" w:eastAsia="Times New Roman" w:hAnsi="Arial"/>
                <w:sz w:val="20"/>
                <w:szCs w:val="24"/>
                <w:lang w:eastAsia="en-AU"/>
              </w:rPr>
            </w:pPr>
            <w:r w:rsidRPr="00722F44">
              <w:rPr>
                <w:rFonts w:ascii="Arial" w:eastAsia="Times New Roman" w:hAnsi="Arial"/>
                <w:sz w:val="20"/>
                <w:szCs w:val="24"/>
                <w:lang w:eastAsia="en-AU"/>
              </w:rPr>
              <w:t xml:space="preserve">in-band and unwanted </w:t>
            </w:r>
            <w:r w:rsidRPr="00410354">
              <w:rPr>
                <w:rFonts w:ascii="Arial" w:eastAsia="Times New Roman" w:hAnsi="Arial"/>
                <w:sz w:val="20"/>
                <w:szCs w:val="24"/>
                <w:lang w:eastAsia="en-AU"/>
              </w:rPr>
              <w:t>emission</w:t>
            </w:r>
            <w:r w:rsidRPr="00722F44">
              <w:rPr>
                <w:rFonts w:ascii="Arial" w:eastAsia="Times New Roman" w:hAnsi="Arial"/>
                <w:sz w:val="20"/>
                <w:szCs w:val="24"/>
                <w:lang w:eastAsia="en-AU"/>
              </w:rPr>
              <w:t xml:space="preserve"> </w:t>
            </w:r>
            <w:proofErr w:type="gramStart"/>
            <w:r w:rsidRPr="00722F44">
              <w:rPr>
                <w:rFonts w:ascii="Arial" w:eastAsia="Times New Roman" w:hAnsi="Arial"/>
                <w:sz w:val="20"/>
                <w:szCs w:val="24"/>
                <w:lang w:eastAsia="en-AU"/>
              </w:rPr>
              <w:t>limits</w:t>
            </w:r>
            <w:r w:rsidR="005C641D">
              <w:rPr>
                <w:rFonts w:ascii="Arial" w:eastAsia="Times New Roman" w:hAnsi="Arial"/>
                <w:sz w:val="20"/>
                <w:szCs w:val="24"/>
                <w:lang w:eastAsia="en-AU"/>
              </w:rPr>
              <w:t>;</w:t>
            </w:r>
            <w:proofErr w:type="gramEnd"/>
          </w:p>
          <w:p w14:paraId="4DB4F7AF" w14:textId="74127998" w:rsidR="00410354" w:rsidRPr="00722F44" w:rsidRDefault="00410354" w:rsidP="004C3BA7">
            <w:pPr>
              <w:pStyle w:val="ListParagraph"/>
              <w:numPr>
                <w:ilvl w:val="0"/>
                <w:numId w:val="85"/>
              </w:numPr>
              <w:spacing w:before="120" w:after="120" w:line="240" w:lineRule="auto"/>
              <w:rPr>
                <w:rFonts w:ascii="Arial" w:eastAsia="Times New Roman" w:hAnsi="Arial"/>
                <w:sz w:val="20"/>
                <w:szCs w:val="24"/>
                <w:lang w:eastAsia="en-AU"/>
              </w:rPr>
            </w:pPr>
            <w:r w:rsidRPr="00722F44">
              <w:rPr>
                <w:rFonts w:ascii="Arial" w:eastAsia="Times New Roman" w:hAnsi="Arial"/>
                <w:sz w:val="20"/>
                <w:szCs w:val="24"/>
                <w:lang w:eastAsia="en-AU"/>
              </w:rPr>
              <w:t xml:space="preserve">methods to manage co-channel interference with spectrum </w:t>
            </w:r>
            <w:proofErr w:type="gramStart"/>
            <w:r w:rsidR="005C641D" w:rsidRPr="00722F44">
              <w:rPr>
                <w:rFonts w:ascii="Arial" w:eastAsia="Times New Roman" w:hAnsi="Arial"/>
                <w:sz w:val="20"/>
                <w:szCs w:val="24"/>
                <w:lang w:eastAsia="en-AU"/>
              </w:rPr>
              <w:t>licen</w:t>
            </w:r>
            <w:r w:rsidR="00267EC4">
              <w:rPr>
                <w:rFonts w:ascii="Arial" w:eastAsia="Times New Roman" w:hAnsi="Arial"/>
                <w:sz w:val="20"/>
                <w:szCs w:val="24"/>
                <w:lang w:eastAsia="en-AU"/>
              </w:rPr>
              <w:t>c</w:t>
            </w:r>
            <w:r w:rsidR="005C641D" w:rsidRPr="00722F44">
              <w:rPr>
                <w:rFonts w:ascii="Arial" w:eastAsia="Times New Roman" w:hAnsi="Arial"/>
                <w:sz w:val="20"/>
                <w:szCs w:val="24"/>
                <w:lang w:eastAsia="en-AU"/>
              </w:rPr>
              <w:t>e</w:t>
            </w:r>
            <w:r w:rsidR="005C641D">
              <w:rPr>
                <w:rFonts w:ascii="Arial" w:eastAsia="Times New Roman" w:hAnsi="Arial"/>
                <w:sz w:val="20"/>
                <w:szCs w:val="24"/>
                <w:lang w:eastAsia="en-AU"/>
              </w:rPr>
              <w:t>s;</w:t>
            </w:r>
            <w:proofErr w:type="gramEnd"/>
          </w:p>
          <w:p w14:paraId="3DB876D9" w14:textId="2249442D" w:rsidR="00410354" w:rsidRDefault="005C641D" w:rsidP="00722F44">
            <w:pPr>
              <w:pStyle w:val="ListParagraph"/>
              <w:numPr>
                <w:ilvl w:val="0"/>
                <w:numId w:val="85"/>
              </w:numPr>
              <w:spacing w:before="120" w:after="120" w:line="240" w:lineRule="auto"/>
            </w:pPr>
            <w:r w:rsidRPr="004C3BA7">
              <w:rPr>
                <w:rFonts w:ascii="Arial" w:eastAsia="Times New Roman" w:hAnsi="Arial"/>
                <w:sz w:val="20"/>
                <w:szCs w:val="24"/>
                <w:lang w:eastAsia="en-AU"/>
              </w:rPr>
              <w:t>coexistence with radio altimeters</w:t>
            </w:r>
            <w:r>
              <w:rPr>
                <w:rFonts w:ascii="Arial" w:eastAsia="Times New Roman" w:hAnsi="Arial"/>
                <w:sz w:val="20"/>
                <w:szCs w:val="24"/>
                <w:lang w:eastAsia="en-AU"/>
              </w:rPr>
              <w:t>.</w:t>
            </w:r>
            <w:r>
              <w:t xml:space="preserve"> </w:t>
            </w:r>
          </w:p>
        </w:tc>
      </w:tr>
    </w:tbl>
    <w:p w14:paraId="5F3F6252" w14:textId="77777777" w:rsidR="00BC5917" w:rsidRPr="00E162C4" w:rsidRDefault="00BC5917" w:rsidP="001F1EAC">
      <w:pPr>
        <w:pStyle w:val="Paragraph"/>
        <w:ind w:left="284"/>
      </w:pPr>
    </w:p>
    <w:p w14:paraId="3DE00D7C" w14:textId="7CEA83C9" w:rsidR="005E250B" w:rsidRPr="00E162C4" w:rsidRDefault="007A5D7C" w:rsidP="001F1EAC">
      <w:pPr>
        <w:pStyle w:val="Heading1"/>
        <w:ind w:left="284"/>
      </w:pPr>
      <w:bookmarkStart w:id="1" w:name="_Toc178948538"/>
      <w:r>
        <w:lastRenderedPageBreak/>
        <w:t>Introduction</w:t>
      </w:r>
      <w:bookmarkEnd w:id="1"/>
      <w:r w:rsidR="005E250B" w:rsidRPr="00E162C4">
        <w:t xml:space="preserve"> </w:t>
      </w:r>
    </w:p>
    <w:p w14:paraId="7B321929" w14:textId="78E7E347" w:rsidR="00D84065" w:rsidRDefault="00A67D74" w:rsidP="001F1EAC">
      <w:pPr>
        <w:pStyle w:val="Paragraph"/>
        <w:ind w:left="284"/>
      </w:pPr>
      <w:bookmarkStart w:id="2" w:name="_Hlk26868779"/>
      <w:r>
        <w:t>On 19 July</w:t>
      </w:r>
      <w:r w:rsidR="00F02B9A">
        <w:t xml:space="preserve"> 2022, as part of the outcomes of the </w:t>
      </w:r>
      <w:hyperlink r:id="rId24" w:history="1">
        <w:r w:rsidR="00F02B9A" w:rsidRPr="0018564C">
          <w:rPr>
            <w:rStyle w:val="Hyperlink"/>
          </w:rPr>
          <w:t>proposed spectrum re-allocation declaration for the 3.4 GHz and 3.7 GHz bands</w:t>
        </w:r>
      </w:hyperlink>
      <w:r w:rsidR="00F02B9A">
        <w:t xml:space="preserve"> consultation process, the ACMA decided to reserve spectrum in the 3400-3475 MH</w:t>
      </w:r>
      <w:r>
        <w:t>z frequency range in urban areas</w:t>
      </w:r>
      <w:r w:rsidR="002B0507">
        <w:t>,</w:t>
      </w:r>
      <w:r>
        <w:t xml:space="preserve"> and 3950-4000 MHz band in metro and regional Australia (refer to Appendix A for a definition of areas)</w:t>
      </w:r>
      <w:r w:rsidR="002B0507">
        <w:t>,</w:t>
      </w:r>
      <w:r>
        <w:t xml:space="preserve"> for highly localised wireless broadband (HL WBB) use. </w:t>
      </w:r>
    </w:p>
    <w:p w14:paraId="4DED499D" w14:textId="48BC4F11" w:rsidR="003253EE" w:rsidRDefault="00A67D74" w:rsidP="001F1EAC">
      <w:pPr>
        <w:pStyle w:val="Paragraph"/>
        <w:ind w:left="284"/>
      </w:pPr>
      <w:r>
        <w:t xml:space="preserve">Arrangements for HL WBB are intended to support the deployment of </w:t>
      </w:r>
      <w:r w:rsidRPr="00A67D74">
        <w:t>localised private and enterprise networks, including services at warehouses, factories, airports, ports, transport</w:t>
      </w:r>
      <w:r>
        <w:t xml:space="preserve"> hubs</w:t>
      </w:r>
      <w:r w:rsidRPr="00A67D74">
        <w:t xml:space="preserve">, hospitals, </w:t>
      </w:r>
      <w:proofErr w:type="gramStart"/>
      <w:r w:rsidRPr="00A67D74">
        <w:t>schools</w:t>
      </w:r>
      <w:proofErr w:type="gramEnd"/>
      <w:r w:rsidRPr="00A67D74">
        <w:t xml:space="preserve"> and smart buildings. It is expected to enable the use of new technologies to support the i</w:t>
      </w:r>
      <w:r w:rsidRPr="006F0135">
        <w:t>nternet of things, intelligent transport systems, smart cities, smart utility applications and other Industry 4.0</w:t>
      </w:r>
      <w:r w:rsidR="00E902A1">
        <w:rPr>
          <w:rStyle w:val="FootnoteReference"/>
        </w:rPr>
        <w:footnoteReference w:id="2"/>
      </w:r>
      <w:r w:rsidRPr="006F0135">
        <w:t xml:space="preserve"> opportunities. </w:t>
      </w:r>
    </w:p>
    <w:p w14:paraId="209D012D" w14:textId="77777777" w:rsidR="001C30D5" w:rsidRDefault="00E902A1" w:rsidP="001F1EAC">
      <w:pPr>
        <w:pStyle w:val="Paragraph"/>
        <w:ind w:left="284"/>
      </w:pPr>
      <w:r>
        <w:t>The ACMA has convened the 3.4 GHz technical liaison group (</w:t>
      </w:r>
      <w:hyperlink r:id="rId25" w:history="1">
        <w:r w:rsidRPr="00E902A1">
          <w:rPr>
            <w:rStyle w:val="Hyperlink"/>
          </w:rPr>
          <w:t>TLG</w:t>
        </w:r>
      </w:hyperlink>
      <w:r>
        <w:t xml:space="preserve">) to provide advice on the development of arrangements to support the introduction of HL WBB in the 3400-3475 MHz and 3950-4000 MHz frequency ranges. </w:t>
      </w:r>
    </w:p>
    <w:p w14:paraId="240CBAB1" w14:textId="77777777" w:rsidR="001C30D5" w:rsidRDefault="00E902A1" w:rsidP="006F0135">
      <w:pPr>
        <w:pStyle w:val="Paragraph"/>
        <w:spacing w:after="80"/>
        <w:ind w:left="284"/>
      </w:pPr>
      <w:r>
        <w:t>The purpose of this paper is to</w:t>
      </w:r>
      <w:r w:rsidR="001C30D5">
        <w:t>:</w:t>
      </w:r>
      <w:r>
        <w:t xml:space="preserve"> </w:t>
      </w:r>
    </w:p>
    <w:p w14:paraId="4BE98D1D" w14:textId="18646C4C" w:rsidR="001C30D5" w:rsidRDefault="001C30D5" w:rsidP="001C30D5">
      <w:pPr>
        <w:pStyle w:val="Bulletlevel1"/>
        <w:tabs>
          <w:tab w:val="clear" w:pos="295"/>
          <w:tab w:val="num" w:pos="579"/>
        </w:tabs>
        <w:ind w:left="579"/>
      </w:pPr>
      <w:r>
        <w:t xml:space="preserve">present draft arrangements and possible options to support HL WBB use; and </w:t>
      </w:r>
    </w:p>
    <w:p w14:paraId="68AF0C8F" w14:textId="3DCC867D" w:rsidR="001C30D5" w:rsidRDefault="001C30D5" w:rsidP="006F0135">
      <w:pPr>
        <w:pStyle w:val="Bulletlevel1"/>
        <w:tabs>
          <w:tab w:val="clear" w:pos="295"/>
          <w:tab w:val="num" w:pos="579"/>
        </w:tabs>
        <w:spacing w:after="240"/>
        <w:ind w:left="579"/>
      </w:pPr>
      <w:r>
        <w:t>summarise feedback on the draft arrangements from the TLG.</w:t>
      </w:r>
    </w:p>
    <w:p w14:paraId="2414F278" w14:textId="356B9AC0" w:rsidR="001C30D5" w:rsidRDefault="001C30D5" w:rsidP="001F1EAC">
      <w:pPr>
        <w:pStyle w:val="Paragraph"/>
        <w:ind w:left="284"/>
      </w:pPr>
      <w:r>
        <w:t xml:space="preserve">The ACMA will review and update the draft arrangements in this paper based on feedback received. </w:t>
      </w:r>
    </w:p>
    <w:p w14:paraId="0CF488F8" w14:textId="77777777" w:rsidR="000D7E3D" w:rsidRDefault="000D7E3D" w:rsidP="006F0135">
      <w:pPr>
        <w:pStyle w:val="Paragraphbeforelist"/>
        <w:ind w:left="284"/>
      </w:pPr>
      <w:r w:rsidRPr="007D04B2">
        <w:t>It is noted that</w:t>
      </w:r>
      <w:r>
        <w:t>:</w:t>
      </w:r>
      <w:r w:rsidRPr="007D04B2">
        <w:t xml:space="preserve"> </w:t>
      </w:r>
    </w:p>
    <w:p w14:paraId="6D721637" w14:textId="77777777" w:rsidR="00A74095" w:rsidRDefault="00A74095" w:rsidP="00A74095">
      <w:pPr>
        <w:pStyle w:val="Bulletlevel1"/>
        <w:tabs>
          <w:tab w:val="clear" w:pos="295"/>
          <w:tab w:val="num" w:pos="579"/>
        </w:tabs>
        <w:ind w:left="579"/>
      </w:pPr>
      <w:r>
        <w:t>A</w:t>
      </w:r>
      <w:r w:rsidRPr="00A74095">
        <w:t xml:space="preserve"> TLG is a short-term advisory body convened by the ACMA. Its purpose is to provide advice on the development of, or possible changes to, a spectrum or apparatus licence technical framework. While the ACMA strives to achieve consensus with members, the final decision on the content of, or changes to, a spectrum or apparatus licence technical framework rests with the ACMA. This is particularly relevant in cases where consensus cannot be achieved on an issue or advice from the TLG is not provided within a reasonable time frame. </w:t>
      </w:r>
    </w:p>
    <w:p w14:paraId="46384483" w14:textId="179941F7" w:rsidR="00A74095" w:rsidRDefault="00A74095" w:rsidP="006F0135">
      <w:pPr>
        <w:pStyle w:val="Bulletlevel1"/>
        <w:tabs>
          <w:tab w:val="clear" w:pos="295"/>
          <w:tab w:val="num" w:pos="579"/>
        </w:tabs>
        <w:ind w:left="579"/>
      </w:pPr>
      <w:r>
        <w:t>T</w:t>
      </w:r>
      <w:r w:rsidRPr="00473557">
        <w:t>h</w:t>
      </w:r>
      <w:r>
        <w:t>is</w:t>
      </w:r>
      <w:r w:rsidRPr="00473557">
        <w:t xml:space="preserve"> TLG is just </w:t>
      </w:r>
      <w:r>
        <w:t xml:space="preserve">one </w:t>
      </w:r>
      <w:r w:rsidRPr="00473557">
        <w:t xml:space="preserve">step in the process </w:t>
      </w:r>
      <w:r>
        <w:t xml:space="preserve">developing arrangements for HL WBB use of the 3400-3475 MHz and 3950-4000 MHz </w:t>
      </w:r>
      <w:r w:rsidR="00E902A1">
        <w:t>frequency ranges</w:t>
      </w:r>
      <w:r w:rsidRPr="00473557">
        <w:t xml:space="preserve">. The ACMA will use the outcomes of the TLG to publicly consult on </w:t>
      </w:r>
      <w:r>
        <w:t xml:space="preserve">changes to </w:t>
      </w:r>
      <w:r w:rsidRPr="00473557">
        <w:t>the relevant instruments that form the</w:t>
      </w:r>
      <w:r>
        <w:t xml:space="preserve"> 3.4</w:t>
      </w:r>
      <w:r w:rsidRPr="00473557">
        <w:t xml:space="preserve"> GHz band technical framework. This means TLG members </w:t>
      </w:r>
      <w:proofErr w:type="gramStart"/>
      <w:r>
        <w:t>are</w:t>
      </w:r>
      <w:r w:rsidRPr="00473557">
        <w:t xml:space="preserve"> able to</w:t>
      </w:r>
      <w:proofErr w:type="gramEnd"/>
      <w:r w:rsidRPr="00473557">
        <w:t xml:space="preserve"> provide comment</w:t>
      </w:r>
      <w:r w:rsidRPr="005438AE">
        <w:t>s on the technical framework both as part of the informal TLG and subsequent formal public consultation processes</w:t>
      </w:r>
      <w:r>
        <w:t>.</w:t>
      </w:r>
    </w:p>
    <w:p w14:paraId="3ABBD67A" w14:textId="71FA4007" w:rsidR="00A74095" w:rsidRPr="00A74095" w:rsidRDefault="003B31E5" w:rsidP="009854BE">
      <w:pPr>
        <w:pStyle w:val="Bulletlevel1"/>
        <w:tabs>
          <w:tab w:val="clear" w:pos="295"/>
          <w:tab w:val="num" w:pos="579"/>
        </w:tabs>
        <w:spacing w:after="240"/>
        <w:ind w:left="579"/>
      </w:pPr>
      <w:r>
        <w:t>This version of the TLG paper is a draft and informal in nature. It makes no definitive proposals and has not been considered by the ACMA Authority (hence any references to the ACMA should be taken as ‘ACMA staff’). As an informal document, its development has been shared with members of the 3.4</w:t>
      </w:r>
      <w:r w:rsidR="006F0135">
        <w:t> </w:t>
      </w:r>
      <w:r>
        <w:t>GHz TLG only and not released publicly. Outcomes from the TLG will be considered by the ACMA when developing formal proposals for any relevant subsequent public consultation.</w:t>
      </w:r>
    </w:p>
    <w:p w14:paraId="057277C4" w14:textId="7F520CD8" w:rsidR="00896E67" w:rsidRPr="00E162C4" w:rsidRDefault="00896E67" w:rsidP="001F1EAC">
      <w:pPr>
        <w:pStyle w:val="Heading2"/>
        <w:ind w:left="284"/>
      </w:pPr>
      <w:bookmarkStart w:id="3" w:name="_Toc178948539"/>
      <w:r>
        <w:lastRenderedPageBreak/>
        <w:t>Scope of TLG</w:t>
      </w:r>
      <w:bookmarkEnd w:id="3"/>
    </w:p>
    <w:p w14:paraId="42B7D6DE" w14:textId="495C9F65" w:rsidR="00444304" w:rsidRDefault="00444304" w:rsidP="00A509B7">
      <w:pPr>
        <w:pStyle w:val="Paragraph"/>
        <w:ind w:left="284"/>
      </w:pPr>
      <w:r>
        <w:t>The scope of this TLG paper is</w:t>
      </w:r>
      <w:r w:rsidR="0005754B">
        <w:t xml:space="preserve"> to</w:t>
      </w:r>
      <w:r>
        <w:t xml:space="preserve"> consider</w:t>
      </w:r>
      <w:r w:rsidR="000D7E3D">
        <w:t xml:space="preserve"> frequency assignment</w:t>
      </w:r>
      <w:r>
        <w:t xml:space="preserve"> arrangements to support the introduction of HL WBB services in the 3400-3475 MHz and 3950</w:t>
      </w:r>
      <w:r w:rsidR="008C77A8">
        <w:noBreakHyphen/>
      </w:r>
      <w:r>
        <w:t>4000</w:t>
      </w:r>
      <w:r w:rsidR="008C77A8">
        <w:t> </w:t>
      </w:r>
      <w:r>
        <w:t xml:space="preserve">MHz frequency ranges in the areas defined at Appendix A. </w:t>
      </w:r>
    </w:p>
    <w:p w14:paraId="3279C9C3" w14:textId="37317D31" w:rsidR="000D7E3D" w:rsidRDefault="009F5DD1" w:rsidP="00A509B7">
      <w:pPr>
        <w:pStyle w:val="Paragraph"/>
        <w:ind w:left="284"/>
      </w:pPr>
      <w:r>
        <w:t>This TLG will</w:t>
      </w:r>
      <w:r w:rsidR="008C77A8" w:rsidRPr="00FB751B">
        <w:t xml:space="preserve"> </w:t>
      </w:r>
      <w:r w:rsidR="00FB751B" w:rsidRPr="00FB751B">
        <w:t>not consider licence allocation issues</w:t>
      </w:r>
      <w:r w:rsidR="008C77A8">
        <w:t>,</w:t>
      </w:r>
      <w:r w:rsidR="00FB751B" w:rsidRPr="00FB751B">
        <w:t xml:space="preserve"> or changes to technical arrangements for area-wide licences or spectrum licences in other parts of the 3400-4000 MHz frequency range</w:t>
      </w:r>
      <w:r w:rsidR="000D7E3D">
        <w:t xml:space="preserve">. </w:t>
      </w:r>
    </w:p>
    <w:p w14:paraId="0FDEA46F" w14:textId="1ACFB2F6" w:rsidR="005C641D" w:rsidRPr="00E162C4" w:rsidRDefault="005C641D" w:rsidP="005C641D">
      <w:pPr>
        <w:pStyle w:val="Heading2"/>
        <w:ind w:left="284"/>
      </w:pPr>
      <w:bookmarkStart w:id="4" w:name="_Toc178948540"/>
      <w:r>
        <w:t>Next steps</w:t>
      </w:r>
      <w:bookmarkEnd w:id="4"/>
    </w:p>
    <w:p w14:paraId="2ABC2E9C" w14:textId="76B58106" w:rsidR="000D7E3D" w:rsidRDefault="005C641D" w:rsidP="006F0135">
      <w:pPr>
        <w:pStyle w:val="Paragraph"/>
        <w:ind w:left="284"/>
      </w:pPr>
      <w:r>
        <w:t xml:space="preserve">The ACMA will publish a final version of this paper on its website. The ACMA plans to publicly consult on arrangements for HL WBB in October 2024. </w:t>
      </w:r>
      <w:bookmarkEnd w:id="2"/>
      <w:r w:rsidR="000D7E3D">
        <w:t xml:space="preserve"> </w:t>
      </w:r>
    </w:p>
    <w:p w14:paraId="2333E0BA" w14:textId="4C4F7C80" w:rsidR="006A25C6" w:rsidRDefault="006A25C6" w:rsidP="001F1EAC">
      <w:pPr>
        <w:pStyle w:val="Bulletlevel1last"/>
        <w:numPr>
          <w:ilvl w:val="0"/>
          <w:numId w:val="0"/>
        </w:numPr>
        <w:ind w:left="579" w:hanging="295"/>
      </w:pPr>
    </w:p>
    <w:p w14:paraId="20680A27" w14:textId="525A30DD" w:rsidR="006A25C6" w:rsidRDefault="006A25C6" w:rsidP="001F1EAC">
      <w:pPr>
        <w:pStyle w:val="Bulletlevel1last"/>
        <w:numPr>
          <w:ilvl w:val="0"/>
          <w:numId w:val="0"/>
        </w:numPr>
        <w:ind w:left="579" w:hanging="295"/>
      </w:pPr>
    </w:p>
    <w:p w14:paraId="5F43FDB9" w14:textId="0A7EB703" w:rsidR="006A25C6" w:rsidRPr="00E162C4" w:rsidRDefault="00544913" w:rsidP="001F1EAC">
      <w:pPr>
        <w:pStyle w:val="Heading1"/>
        <w:ind w:left="284"/>
      </w:pPr>
      <w:bookmarkStart w:id="5" w:name="_Toc178948541"/>
      <w:r>
        <w:lastRenderedPageBreak/>
        <w:t>Background</w:t>
      </w:r>
      <w:bookmarkEnd w:id="5"/>
    </w:p>
    <w:p w14:paraId="4E69808B" w14:textId="2040C69F" w:rsidR="006A25C6" w:rsidRDefault="00544913" w:rsidP="001F1EAC">
      <w:pPr>
        <w:pStyle w:val="Paragraph"/>
        <w:spacing w:after="80"/>
        <w:ind w:left="284"/>
      </w:pPr>
      <w:r w:rsidRPr="00544913">
        <w:t xml:space="preserve">We have undertaken multiple streams of work </w:t>
      </w:r>
      <w:r w:rsidR="00D84065">
        <w:t xml:space="preserve">to replan and optimise </w:t>
      </w:r>
      <w:r w:rsidRPr="00544913">
        <w:t xml:space="preserve">arrangements across the 3.4–4.0 GHz frequency range. </w:t>
      </w:r>
      <w:r>
        <w:t xml:space="preserve">Key </w:t>
      </w:r>
      <w:r w:rsidR="009434D4">
        <w:t xml:space="preserve">areas of this </w:t>
      </w:r>
      <w:r>
        <w:t xml:space="preserve">work </w:t>
      </w:r>
      <w:r w:rsidR="009434D4">
        <w:t>that are</w:t>
      </w:r>
      <w:r>
        <w:t xml:space="preserve"> </w:t>
      </w:r>
      <w:r w:rsidR="00247EA7">
        <w:t xml:space="preserve">most </w:t>
      </w:r>
      <w:r>
        <w:t xml:space="preserve">related to the development of arrangements for </w:t>
      </w:r>
      <w:r w:rsidR="00A01E9F">
        <w:t>HL</w:t>
      </w:r>
      <w:r>
        <w:t xml:space="preserve"> WBB include</w:t>
      </w:r>
      <w:r w:rsidRPr="00544913">
        <w:t>:</w:t>
      </w:r>
    </w:p>
    <w:p w14:paraId="5C45E1EA" w14:textId="368DBC80" w:rsidR="0018564C" w:rsidRDefault="00000000" w:rsidP="001F1EAC">
      <w:pPr>
        <w:pStyle w:val="Bulletlevel1"/>
        <w:tabs>
          <w:tab w:val="clear" w:pos="295"/>
          <w:tab w:val="num" w:pos="579"/>
        </w:tabs>
        <w:ind w:left="579"/>
      </w:pPr>
      <w:hyperlink r:id="rId26" w:history="1">
        <w:r w:rsidR="0018564C" w:rsidRPr="0018564C">
          <w:rPr>
            <w:rStyle w:val="Hyperlink"/>
          </w:rPr>
          <w:t>o</w:t>
        </w:r>
        <w:r w:rsidR="00544913" w:rsidRPr="0018564C">
          <w:rPr>
            <w:rStyle w:val="Hyperlink"/>
          </w:rPr>
          <w:t>ptimisation of arrangements in the 3400-3575 MHz frequency range</w:t>
        </w:r>
      </w:hyperlink>
      <w:r w:rsidR="0018564C">
        <w:t xml:space="preserve"> </w:t>
      </w:r>
    </w:p>
    <w:p w14:paraId="31C415F2" w14:textId="12AE3930" w:rsidR="00544913" w:rsidRDefault="00000000" w:rsidP="001F1EAC">
      <w:pPr>
        <w:pStyle w:val="Bulletlevel1"/>
        <w:tabs>
          <w:tab w:val="clear" w:pos="295"/>
          <w:tab w:val="num" w:pos="579"/>
        </w:tabs>
        <w:ind w:left="579"/>
      </w:pPr>
      <w:hyperlink r:id="rId27" w:history="1">
        <w:r w:rsidR="0018564C" w:rsidRPr="0018564C">
          <w:rPr>
            <w:rStyle w:val="Hyperlink"/>
          </w:rPr>
          <w:t>t</w:t>
        </w:r>
        <w:r w:rsidR="00544913" w:rsidRPr="0018564C">
          <w:rPr>
            <w:rStyle w:val="Hyperlink"/>
          </w:rPr>
          <w:t>he 3.4 GHz band TLG</w:t>
        </w:r>
      </w:hyperlink>
      <w:r w:rsidR="0018564C">
        <w:t xml:space="preserve"> (July 2021 outcomes</w:t>
      </w:r>
      <w:r w:rsidR="009202EF">
        <w:t>, referred to as the 2021 TLG</w:t>
      </w:r>
      <w:proofErr w:type="gramStart"/>
      <w:r w:rsidR="0018564C">
        <w:t>);</w:t>
      </w:r>
      <w:proofErr w:type="gramEnd"/>
    </w:p>
    <w:p w14:paraId="0260BFEA" w14:textId="1A5B2B02" w:rsidR="00544913" w:rsidRPr="00E162C4" w:rsidRDefault="00000000" w:rsidP="001F1EAC">
      <w:pPr>
        <w:pStyle w:val="Bulletlevel1"/>
        <w:tabs>
          <w:tab w:val="clear" w:pos="295"/>
          <w:tab w:val="num" w:pos="579"/>
        </w:tabs>
        <w:ind w:left="579"/>
      </w:pPr>
      <w:hyperlink r:id="rId28" w:history="1">
        <w:r w:rsidR="0018564C" w:rsidRPr="0018564C">
          <w:rPr>
            <w:rStyle w:val="Hyperlink"/>
          </w:rPr>
          <w:t>p</w:t>
        </w:r>
        <w:r w:rsidR="00544913" w:rsidRPr="0018564C">
          <w:rPr>
            <w:rStyle w:val="Hyperlink"/>
          </w:rPr>
          <w:t>lanning for wireless broadband use of urban areas in the 3400–3475 MHz band</w:t>
        </w:r>
      </w:hyperlink>
      <w:r w:rsidR="0018564C">
        <w:t>;</w:t>
      </w:r>
    </w:p>
    <w:p w14:paraId="1D34CDA8" w14:textId="3C1222F4" w:rsidR="00544913" w:rsidRDefault="00000000" w:rsidP="001F1EAC">
      <w:pPr>
        <w:pStyle w:val="Bulletlevel1last"/>
        <w:tabs>
          <w:tab w:val="clear" w:pos="295"/>
          <w:tab w:val="num" w:pos="579"/>
        </w:tabs>
        <w:ind w:left="579"/>
      </w:pPr>
      <w:hyperlink r:id="rId29" w:history="1">
        <w:r w:rsidR="0018564C" w:rsidRPr="0018564C">
          <w:rPr>
            <w:rStyle w:val="Hyperlink"/>
          </w:rPr>
          <w:t>proposed spectrum re-allocation declaration for the 3.4 GHz and 3.7 GHz bands</w:t>
        </w:r>
      </w:hyperlink>
      <w:r w:rsidR="0018564C">
        <w:t xml:space="preserve">.  </w:t>
      </w:r>
    </w:p>
    <w:p w14:paraId="3F2BDC72" w14:textId="697787DB" w:rsidR="00544913" w:rsidRPr="00E162C4" w:rsidRDefault="004254C8" w:rsidP="001F1EAC">
      <w:pPr>
        <w:pStyle w:val="Bulletlevel1last"/>
        <w:numPr>
          <w:ilvl w:val="0"/>
          <w:numId w:val="0"/>
        </w:numPr>
        <w:ind w:left="284"/>
      </w:pPr>
      <w:r>
        <w:t xml:space="preserve">An outcome of these processes was the identification of spectrum space for </w:t>
      </w:r>
      <w:r w:rsidR="00A01E9F">
        <w:t>HL</w:t>
      </w:r>
      <w:r>
        <w:t xml:space="preserve"> WBB use. These arrangements and </w:t>
      </w:r>
      <w:r w:rsidR="009434D4">
        <w:t xml:space="preserve">those </w:t>
      </w:r>
      <w:r>
        <w:t xml:space="preserve">for the broader 3.4-4.0 GHz </w:t>
      </w:r>
      <w:r w:rsidR="008D0D13">
        <w:t>frequency range</w:t>
      </w:r>
      <w:r>
        <w:t xml:space="preserve"> are depicted in Figure 1. </w:t>
      </w:r>
      <w:r w:rsidR="00651980">
        <w:t xml:space="preserve">The arrangements for </w:t>
      </w:r>
      <w:r w:rsidR="00A01E9F">
        <w:t>HL</w:t>
      </w:r>
      <w:r w:rsidR="00651980">
        <w:t xml:space="preserve"> WBB are in orange. Definition</w:t>
      </w:r>
      <w:r w:rsidR="00007C3A">
        <w:t>s</w:t>
      </w:r>
      <w:r w:rsidR="00651980">
        <w:t xml:space="preserve"> for the </w:t>
      </w:r>
      <w:r w:rsidR="00007C3A">
        <w:t xml:space="preserve">applicable </w:t>
      </w:r>
      <w:r w:rsidR="00651980">
        <w:t xml:space="preserve">areas </w:t>
      </w:r>
      <w:r w:rsidR="00651980" w:rsidDel="00007C3A">
        <w:t xml:space="preserve">are </w:t>
      </w:r>
      <w:r w:rsidR="00651980">
        <w:t xml:space="preserve">at Appendix A. </w:t>
      </w:r>
    </w:p>
    <w:p w14:paraId="346D5AAC" w14:textId="5F4E89B2" w:rsidR="004254C8" w:rsidRDefault="004254C8" w:rsidP="001F1EAC">
      <w:pPr>
        <w:pStyle w:val="ACMAFigureHeader"/>
        <w:numPr>
          <w:ilvl w:val="0"/>
          <w:numId w:val="21"/>
        </w:numPr>
        <w:tabs>
          <w:tab w:val="clear" w:pos="1021"/>
          <w:tab w:val="num" w:pos="1305"/>
        </w:tabs>
        <w:spacing w:after="60"/>
        <w:ind w:left="1305"/>
      </w:pPr>
      <w:r>
        <w:t xml:space="preserve">Planning arrangements for the 3.4-4.0 GHz </w:t>
      </w:r>
      <w:r w:rsidR="006A729D">
        <w:t>frequency range</w:t>
      </w:r>
      <w:r w:rsidR="00651980">
        <w:t xml:space="preserve"> (not to scale)</w:t>
      </w:r>
    </w:p>
    <w:p w14:paraId="64BB2997" w14:textId="77777777" w:rsidR="00C50571" w:rsidRDefault="00C50571" w:rsidP="00C50571">
      <w:pPr>
        <w:pStyle w:val="ACMAFigureHeader"/>
        <w:numPr>
          <w:ilvl w:val="0"/>
          <w:numId w:val="0"/>
        </w:numPr>
        <w:spacing w:after="60"/>
        <w:ind w:left="1305"/>
        <w:rPr>
          <w:sz w:val="16"/>
          <w:szCs w:val="16"/>
        </w:rPr>
      </w:pPr>
      <w:r>
        <w:rPr>
          <w:sz w:val="16"/>
          <w:szCs w:val="16"/>
        </w:rPr>
        <w:t xml:space="preserve">AM = Amateur, </w:t>
      </w:r>
      <w:r w:rsidRPr="00C50571">
        <w:rPr>
          <w:sz w:val="16"/>
          <w:szCs w:val="16"/>
        </w:rPr>
        <w:t>AWL = area wide licence</w:t>
      </w:r>
      <w:r>
        <w:rPr>
          <w:sz w:val="16"/>
          <w:szCs w:val="16"/>
        </w:rPr>
        <w:t xml:space="preserve">, FSS = Fixed satellite service, </w:t>
      </w:r>
    </w:p>
    <w:p w14:paraId="17C9310B" w14:textId="77777777" w:rsidR="00C50571" w:rsidRDefault="00C50571" w:rsidP="00C50571">
      <w:pPr>
        <w:pStyle w:val="ACMAFigureHeader"/>
        <w:numPr>
          <w:ilvl w:val="0"/>
          <w:numId w:val="0"/>
        </w:numPr>
        <w:spacing w:after="60"/>
        <w:ind w:left="1305"/>
        <w:rPr>
          <w:sz w:val="16"/>
          <w:szCs w:val="16"/>
        </w:rPr>
      </w:pPr>
      <w:r>
        <w:rPr>
          <w:sz w:val="16"/>
          <w:szCs w:val="16"/>
        </w:rPr>
        <w:t xml:space="preserve">PMP = point-to-multipoint, PTP = point-to-point, SL = spectrum licence, </w:t>
      </w:r>
    </w:p>
    <w:p w14:paraId="6305637A" w14:textId="7B376922" w:rsidR="00C50571" w:rsidRPr="00C50571" w:rsidRDefault="00C50571" w:rsidP="00C50571">
      <w:pPr>
        <w:pStyle w:val="ACMAFigureHeader"/>
        <w:numPr>
          <w:ilvl w:val="0"/>
          <w:numId w:val="0"/>
        </w:numPr>
        <w:spacing w:after="60"/>
        <w:ind w:left="1305"/>
        <w:rPr>
          <w:sz w:val="16"/>
          <w:szCs w:val="16"/>
        </w:rPr>
      </w:pPr>
      <w:r>
        <w:rPr>
          <w:sz w:val="16"/>
          <w:szCs w:val="16"/>
        </w:rPr>
        <w:t>WBB = wireless broadband</w:t>
      </w:r>
    </w:p>
    <w:p w14:paraId="623C3673" w14:textId="0EAF9AA5" w:rsidR="004254C8" w:rsidRDefault="001A408B" w:rsidP="001F1EAC">
      <w:pPr>
        <w:spacing w:after="60"/>
        <w:ind w:left="284" w:right="-1260"/>
      </w:pPr>
      <w:r w:rsidRPr="001A408B">
        <w:rPr>
          <w:noProof/>
        </w:rPr>
        <w:drawing>
          <wp:inline distT="0" distB="0" distL="0" distR="0" wp14:anchorId="39B1B71C" wp14:editId="27007F2B">
            <wp:extent cx="5833902" cy="2305878"/>
            <wp:effectExtent l="0" t="0" r="0" b="0"/>
            <wp:docPr id="18" name="Picture 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44833" cy="2310198"/>
                    </a:xfrm>
                    <a:prstGeom prst="rect">
                      <a:avLst/>
                    </a:prstGeom>
                    <a:noFill/>
                    <a:ln>
                      <a:noFill/>
                    </a:ln>
                  </pic:spPr>
                </pic:pic>
              </a:graphicData>
            </a:graphic>
          </wp:inline>
        </w:drawing>
      </w:r>
    </w:p>
    <w:p w14:paraId="3C816602" w14:textId="5889B8A4" w:rsidR="00B74CD9" w:rsidRDefault="001A408B" w:rsidP="001F1EAC">
      <w:pPr>
        <w:pStyle w:val="Paragraph"/>
        <w:spacing w:before="360"/>
        <w:ind w:left="284"/>
      </w:pPr>
      <w:r>
        <w:t>From October 2020 to July 2021, the 3.4 GHz TLG consider</w:t>
      </w:r>
      <w:r w:rsidR="009434D4">
        <w:t>ed</w:t>
      </w:r>
      <w:r>
        <w:t xml:space="preserve"> </w:t>
      </w:r>
      <w:r w:rsidR="00B74CD9">
        <w:t xml:space="preserve">technical arrangements for </w:t>
      </w:r>
      <w:r w:rsidR="00A01E9F">
        <w:t>HL</w:t>
      </w:r>
      <w:r w:rsidR="00B74CD9">
        <w:t xml:space="preserve"> WBB use of the 3400-3475 MHz </w:t>
      </w:r>
      <w:r w:rsidR="008D0D13">
        <w:t>frequency range</w:t>
      </w:r>
      <w:r w:rsidR="00B74CD9">
        <w:t xml:space="preserve"> in defined urban areas</w:t>
      </w:r>
      <w:r>
        <w:t xml:space="preserve">. </w:t>
      </w:r>
      <w:r w:rsidR="00B74CD9">
        <w:t xml:space="preserve">The outcomes of that TLG are available on the </w:t>
      </w:r>
      <w:hyperlink r:id="rId31" w:history="1">
        <w:r w:rsidR="00B74CD9" w:rsidRPr="00B74CD9">
          <w:rPr>
            <w:rStyle w:val="Hyperlink"/>
          </w:rPr>
          <w:t>ACMA’s website</w:t>
        </w:r>
      </w:hyperlink>
      <w:r w:rsidR="00B74CD9">
        <w:t xml:space="preserve">. </w:t>
      </w:r>
    </w:p>
    <w:p w14:paraId="66F00AC2" w14:textId="30EC9448" w:rsidR="001A408B" w:rsidRDefault="001A408B" w:rsidP="001F1EAC">
      <w:pPr>
        <w:pStyle w:val="Paragraph"/>
        <w:ind w:left="284"/>
      </w:pPr>
      <w:bookmarkStart w:id="6" w:name="_Hlk149051110"/>
      <w:r>
        <w:t xml:space="preserve">In August 2021, the ACMA </w:t>
      </w:r>
      <w:hyperlink r:id="rId32" w:history="1">
        <w:r w:rsidRPr="001A408B">
          <w:rPr>
            <w:rStyle w:val="Hyperlink"/>
          </w:rPr>
          <w:t>consulted on planning options</w:t>
        </w:r>
      </w:hyperlink>
      <w:r>
        <w:t xml:space="preserve"> for the 3400-3475 MHz band in defined urban areas. </w:t>
      </w:r>
    </w:p>
    <w:p w14:paraId="70AA54F4" w14:textId="0D4092B4" w:rsidR="001A408B" w:rsidRDefault="001A408B" w:rsidP="001F1EAC">
      <w:pPr>
        <w:pStyle w:val="Paragraph"/>
        <w:ind w:left="284"/>
      </w:pPr>
      <w:r>
        <w:t xml:space="preserve">The arrangements identified by the </w:t>
      </w:r>
      <w:r w:rsidR="009202EF">
        <w:t>2021</w:t>
      </w:r>
      <w:r>
        <w:t xml:space="preserve"> TLG and </w:t>
      </w:r>
      <w:r w:rsidR="009434D4">
        <w:t>the</w:t>
      </w:r>
      <w:r>
        <w:t xml:space="preserve"> August 2021 consultation included options for either low powered or macro cell WBB use. </w:t>
      </w:r>
      <w:r w:rsidR="00BB15D1">
        <w:t>A s</w:t>
      </w:r>
      <w:r>
        <w:t>ubsequent consultation by the ACMA in March 2022 (</w:t>
      </w:r>
      <w:r w:rsidR="00BB15D1">
        <w:t xml:space="preserve">as part of </w:t>
      </w:r>
      <w:r>
        <w:t xml:space="preserve">the </w:t>
      </w:r>
      <w:hyperlink r:id="rId33" w:history="1">
        <w:r w:rsidRPr="001A408B">
          <w:rPr>
            <w:rStyle w:val="Hyperlink"/>
          </w:rPr>
          <w:t>proposed spectrum re-allocation declaration for the 3.4 GHz and 3.7 GHz bands</w:t>
        </w:r>
      </w:hyperlink>
      <w:r>
        <w:t xml:space="preserve">) determined that the 3400-3475 MHz and 3950-4000 MHz </w:t>
      </w:r>
      <w:r w:rsidR="008D0D13">
        <w:t>frequency range</w:t>
      </w:r>
      <w:r>
        <w:t xml:space="preserve">s in defined urban areas and </w:t>
      </w:r>
      <w:r w:rsidR="00BB15D1">
        <w:t xml:space="preserve">metro/regional areas respectively, should be made available for </w:t>
      </w:r>
      <w:r w:rsidR="009434D4">
        <w:t xml:space="preserve">low power </w:t>
      </w:r>
      <w:r w:rsidR="00A01E9F">
        <w:t>HL</w:t>
      </w:r>
      <w:r w:rsidR="00BB15D1">
        <w:t xml:space="preserve"> WBB use. </w:t>
      </w:r>
    </w:p>
    <w:p w14:paraId="33A55576" w14:textId="7010899E" w:rsidR="00B74CD9" w:rsidRDefault="00BB15D1" w:rsidP="001F1EAC">
      <w:pPr>
        <w:pStyle w:val="Paragraph"/>
        <w:ind w:left="284"/>
      </w:pPr>
      <w:r>
        <w:lastRenderedPageBreak/>
        <w:t>For th</w:t>
      </w:r>
      <w:r w:rsidR="00D84065">
        <w:t>is</w:t>
      </w:r>
      <w:r>
        <w:t xml:space="preserve"> reason, only the low power WBB arrangements developed in the </w:t>
      </w:r>
      <w:r w:rsidR="009202EF">
        <w:t>2021</w:t>
      </w:r>
      <w:r>
        <w:t xml:space="preserve"> TLG process</w:t>
      </w:r>
      <w:r w:rsidR="003D09A8">
        <w:t>, that support multiple operators</w:t>
      </w:r>
      <w:r>
        <w:t xml:space="preserve"> </w:t>
      </w:r>
      <w:r w:rsidR="003D09A8">
        <w:t xml:space="preserve">in an area, </w:t>
      </w:r>
      <w:r>
        <w:t xml:space="preserve">will be considered in this TLG. </w:t>
      </w:r>
      <w:r w:rsidR="00E76F2D">
        <w:t xml:space="preserve">This relates to </w:t>
      </w:r>
      <w:r w:rsidR="003D09A8">
        <w:t>O</w:t>
      </w:r>
      <w:r w:rsidR="00E76F2D">
        <w:t xml:space="preserve">ptions 3 at Appendix E to the </w:t>
      </w:r>
      <w:hyperlink r:id="rId34" w:history="1">
        <w:r w:rsidR="00E76F2D" w:rsidRPr="00E76F2D">
          <w:rPr>
            <w:rStyle w:val="Hyperlink"/>
            <w:i/>
            <w:iCs/>
          </w:rPr>
          <w:t>Planning for wireless broadband use in urban areas in the 3400–3475 MHz band – Options paper</w:t>
        </w:r>
      </w:hyperlink>
      <w:r w:rsidR="00E76F2D">
        <w:t>.</w:t>
      </w:r>
      <w:r w:rsidR="003D09A8">
        <w:t xml:space="preserve"> This option is reproduced </w:t>
      </w:r>
      <w:r w:rsidR="00C370F2">
        <w:t xml:space="preserve">in the </w:t>
      </w:r>
      <w:r w:rsidR="004F42E2" w:rsidRPr="001F1EAC">
        <w:t>Table 1</w:t>
      </w:r>
      <w:r w:rsidR="003D09A8">
        <w:t xml:space="preserve"> for convenience.</w:t>
      </w:r>
    </w:p>
    <w:p w14:paraId="4E7B4528" w14:textId="7B8FC804" w:rsidR="00AE665F" w:rsidRPr="00E162C4" w:rsidRDefault="00AE665F" w:rsidP="001F1EAC">
      <w:pPr>
        <w:pStyle w:val="Heading3"/>
        <w:ind w:left="284"/>
      </w:pPr>
      <w:r>
        <w:t>Previously developed interference management criteria</w:t>
      </w:r>
      <w:r w:rsidRPr="00E162C4">
        <w:t xml:space="preserve"> </w:t>
      </w:r>
    </w:p>
    <w:p w14:paraId="6D259BC3" w14:textId="7B0FF33F" w:rsidR="003D09A8" w:rsidRPr="00AE665F" w:rsidRDefault="00AE665F" w:rsidP="001F1EAC">
      <w:pPr>
        <w:pStyle w:val="CommentText"/>
        <w:tabs>
          <w:tab w:val="left" w:pos="426"/>
        </w:tabs>
        <w:spacing w:before="120"/>
        <w:ind w:left="284"/>
      </w:pPr>
      <w:r>
        <w:t>The interference management criteria detail</w:t>
      </w:r>
      <w:r w:rsidR="003A10F6">
        <w:t>ed</w:t>
      </w:r>
      <w:r>
        <w:t xml:space="preserve"> in Table </w:t>
      </w:r>
      <w:r w:rsidR="00DC2F3C">
        <w:t>1</w:t>
      </w:r>
      <w:r w:rsidR="003D09A8">
        <w:t xml:space="preserve"> </w:t>
      </w:r>
      <w:r w:rsidR="00696EF0">
        <w:t xml:space="preserve">are derived from the outcomes of the </w:t>
      </w:r>
      <w:r w:rsidR="009202EF">
        <w:t>2021</w:t>
      </w:r>
      <w:r w:rsidR="00696EF0">
        <w:t xml:space="preserve"> TLG and </w:t>
      </w:r>
      <w:r w:rsidR="00C4610F">
        <w:t>from</w:t>
      </w:r>
      <w:r w:rsidR="00696EF0">
        <w:t xml:space="preserve"> the </w:t>
      </w:r>
      <w:hyperlink r:id="rId35" w:history="1">
        <w:r w:rsidR="00696EF0" w:rsidRPr="00E76F2D">
          <w:rPr>
            <w:rStyle w:val="Hyperlink"/>
            <w:i/>
            <w:iCs/>
          </w:rPr>
          <w:t>Planning for wireless broadband use in urban areas in the 3400–3475 MHz band – Options paper</w:t>
        </w:r>
      </w:hyperlink>
      <w:r w:rsidR="00696EF0">
        <w:t xml:space="preserve">. They provide </w:t>
      </w:r>
      <w:r w:rsidR="003D09A8">
        <w:t xml:space="preserve">support </w:t>
      </w:r>
      <w:r w:rsidR="00696EF0">
        <w:t xml:space="preserve">for </w:t>
      </w:r>
      <w:r>
        <w:t xml:space="preserve">multiple </w:t>
      </w:r>
      <w:r w:rsidR="00A01E9F">
        <w:t>HL</w:t>
      </w:r>
      <w:r>
        <w:t xml:space="preserve"> WBB operators in the 3400-3475 MHz </w:t>
      </w:r>
      <w:r w:rsidR="008D0D13">
        <w:t>frequency range</w:t>
      </w:r>
      <w:r>
        <w:t xml:space="preserve"> in defined urban areas. </w:t>
      </w:r>
      <w:proofErr w:type="gramStart"/>
      <w:r>
        <w:t>A</w:t>
      </w:r>
      <w:r w:rsidR="003D09A8" w:rsidRPr="009317CD">
        <w:rPr>
          <w:rFonts w:cs="Arial"/>
          <w:color w:val="000000" w:themeColor="text1"/>
        </w:rPr>
        <w:t>s a general rule</w:t>
      </w:r>
      <w:proofErr w:type="gramEnd"/>
      <w:r w:rsidR="003D09A8" w:rsidRPr="009317CD">
        <w:rPr>
          <w:rFonts w:cs="Arial"/>
          <w:color w:val="000000" w:themeColor="text1"/>
        </w:rPr>
        <w:t xml:space="preserve">, </w:t>
      </w:r>
      <w:r>
        <w:rPr>
          <w:rFonts w:cs="Arial"/>
          <w:color w:val="000000" w:themeColor="text1"/>
        </w:rPr>
        <w:t xml:space="preserve">it </w:t>
      </w:r>
      <w:r w:rsidR="00696EF0">
        <w:rPr>
          <w:rFonts w:cs="Arial"/>
          <w:color w:val="000000" w:themeColor="text1"/>
        </w:rPr>
        <w:t>wa</w:t>
      </w:r>
      <w:r>
        <w:rPr>
          <w:rFonts w:cs="Arial"/>
          <w:color w:val="000000" w:themeColor="text1"/>
        </w:rPr>
        <w:t xml:space="preserve">s intended that </w:t>
      </w:r>
      <w:r w:rsidR="003D09A8" w:rsidRPr="009317CD">
        <w:rPr>
          <w:rFonts w:cs="Arial"/>
          <w:color w:val="000000" w:themeColor="text1"/>
        </w:rPr>
        <w:t>licensees</w:t>
      </w:r>
      <w:r>
        <w:rPr>
          <w:rFonts w:cs="Arial"/>
          <w:color w:val="000000" w:themeColor="text1"/>
        </w:rPr>
        <w:t xml:space="preserve"> would</w:t>
      </w:r>
      <w:r w:rsidR="003D09A8" w:rsidRPr="009317CD">
        <w:rPr>
          <w:rFonts w:cs="Arial"/>
          <w:color w:val="000000" w:themeColor="text1"/>
        </w:rPr>
        <w:t xml:space="preserve"> be free to negotiate alternative arrangements</w:t>
      </w:r>
      <w:r>
        <w:rPr>
          <w:rFonts w:cs="Arial"/>
          <w:color w:val="000000" w:themeColor="text1"/>
        </w:rPr>
        <w:t xml:space="preserve"> to manage interference</w:t>
      </w:r>
      <w:r w:rsidR="003D09A8" w:rsidRPr="009317CD">
        <w:rPr>
          <w:rFonts w:cs="Arial"/>
          <w:color w:val="000000" w:themeColor="text1"/>
        </w:rPr>
        <w:t xml:space="preserve"> with affected parties on a case-by-case basis. </w:t>
      </w:r>
    </w:p>
    <w:p w14:paraId="44BDBA05" w14:textId="6F70A1EF" w:rsidR="006F0135" w:rsidRDefault="00916A73" w:rsidP="006F0135">
      <w:pPr>
        <w:pStyle w:val="CommentText"/>
        <w:tabs>
          <w:tab w:val="left" w:pos="426"/>
        </w:tabs>
        <w:spacing w:before="120"/>
        <w:ind w:left="284"/>
        <w:rPr>
          <w:rFonts w:cs="Arial"/>
          <w:color w:val="000000" w:themeColor="text1"/>
        </w:rPr>
      </w:pPr>
      <w:r>
        <w:rPr>
          <w:rFonts w:cs="Arial"/>
          <w:color w:val="000000" w:themeColor="text1"/>
        </w:rPr>
        <w:t>P</w:t>
      </w:r>
      <w:r w:rsidR="00AE665F">
        <w:rPr>
          <w:rFonts w:cs="Arial"/>
          <w:color w:val="000000" w:themeColor="text1"/>
        </w:rPr>
        <w:t xml:space="preserve">reviously, </w:t>
      </w:r>
      <w:r w:rsidR="003D09A8" w:rsidRPr="009317CD">
        <w:rPr>
          <w:rFonts w:cs="Arial"/>
          <w:color w:val="000000" w:themeColor="text1"/>
        </w:rPr>
        <w:t>s</w:t>
      </w:r>
      <w:r w:rsidR="003D09A8" w:rsidRPr="009317CD">
        <w:rPr>
          <w:rFonts w:cs="Arial"/>
        </w:rPr>
        <w:t xml:space="preserve">ome </w:t>
      </w:r>
      <w:r w:rsidR="003D09A8" w:rsidRPr="009317CD">
        <w:t xml:space="preserve">TLG members </w:t>
      </w:r>
      <w:r w:rsidR="00D84065">
        <w:t xml:space="preserve">raised concerns about the practical limitations of </w:t>
      </w:r>
      <w:r w:rsidR="00627F80">
        <w:t>synchronisation</w:t>
      </w:r>
      <w:r w:rsidR="00D84065">
        <w:t xml:space="preserve"> </w:t>
      </w:r>
      <w:r w:rsidR="003D09A8" w:rsidRPr="009317CD">
        <w:t xml:space="preserve">of </w:t>
      </w:r>
      <w:proofErr w:type="gramStart"/>
      <w:r w:rsidR="003D09A8" w:rsidRPr="009317CD">
        <w:t>a large number of</w:t>
      </w:r>
      <w:proofErr w:type="gramEnd"/>
      <w:r w:rsidR="003D09A8" w:rsidRPr="009317CD">
        <w:t xml:space="preserve"> </w:t>
      </w:r>
      <w:r w:rsidR="00696EF0">
        <w:t>HL WBB services</w:t>
      </w:r>
      <w:r w:rsidR="003D09A8" w:rsidRPr="009317CD">
        <w:t xml:space="preserve">, especially if </w:t>
      </w:r>
      <w:r w:rsidR="00D84065">
        <w:t xml:space="preserve">services </w:t>
      </w:r>
      <w:r w:rsidR="003D09A8" w:rsidRPr="009317CD">
        <w:t>are operated by multiple different operators.</w:t>
      </w:r>
    </w:p>
    <w:p w14:paraId="299B4909" w14:textId="297FDD57" w:rsidR="003D09A8" w:rsidRPr="009317CD" w:rsidRDefault="003D09A8" w:rsidP="001F1EAC">
      <w:pPr>
        <w:pStyle w:val="Tableheading"/>
        <w:keepLines/>
        <w:tabs>
          <w:tab w:val="clear" w:pos="964"/>
          <w:tab w:val="num" w:pos="1248"/>
        </w:tabs>
        <w:ind w:left="1248"/>
      </w:pPr>
      <w:r w:rsidRPr="009317CD">
        <w:t xml:space="preserve">Summary of possible interference management </w:t>
      </w:r>
      <w:r w:rsidR="00DB73B0">
        <w:t>framework</w:t>
      </w:r>
      <w:r w:rsidRPr="009317CD">
        <w:t xml:space="preserve"> </w:t>
      </w:r>
      <w:r w:rsidR="00DB73B0">
        <w:t>for HL WBB use</w:t>
      </w:r>
    </w:p>
    <w:tbl>
      <w:tblPr>
        <w:tblStyle w:val="TableGrid"/>
        <w:tblW w:w="8784" w:type="dxa"/>
        <w:tblCellMar>
          <w:top w:w="85" w:type="dxa"/>
          <w:bottom w:w="85" w:type="dxa"/>
        </w:tblCellMar>
        <w:tblLook w:val="04A0" w:firstRow="1" w:lastRow="0" w:firstColumn="1" w:lastColumn="0" w:noHBand="0" w:noVBand="1"/>
      </w:tblPr>
      <w:tblGrid>
        <w:gridCol w:w="1696"/>
        <w:gridCol w:w="7088"/>
      </w:tblGrid>
      <w:tr w:rsidR="003D09A8" w:rsidRPr="000147B6" w14:paraId="48B754D3" w14:textId="77777777" w:rsidTr="006F0135">
        <w:trPr>
          <w:cantSplit/>
        </w:trPr>
        <w:tc>
          <w:tcPr>
            <w:tcW w:w="1696" w:type="dxa"/>
            <w:shd w:val="clear" w:color="auto" w:fill="404040" w:themeFill="text1" w:themeFillTint="BF"/>
          </w:tcPr>
          <w:p w14:paraId="454DB6C3" w14:textId="77777777" w:rsidR="003D09A8" w:rsidRPr="003D09A8" w:rsidRDefault="003D09A8" w:rsidP="003D09A8">
            <w:pPr>
              <w:spacing w:after="0" w:line="240" w:lineRule="auto"/>
              <w:rPr>
                <w:rFonts w:cs="Arial"/>
                <w:b/>
                <w:bCs/>
                <w:color w:val="FFFFFF" w:themeColor="background1"/>
                <w:szCs w:val="20"/>
              </w:rPr>
            </w:pPr>
            <w:r w:rsidRPr="003D09A8">
              <w:rPr>
                <w:rFonts w:cs="Arial"/>
                <w:b/>
                <w:bCs/>
                <w:color w:val="FFFFFF" w:themeColor="background1"/>
                <w:szCs w:val="20"/>
              </w:rPr>
              <w:t>Item</w:t>
            </w:r>
          </w:p>
        </w:tc>
        <w:tc>
          <w:tcPr>
            <w:tcW w:w="7088" w:type="dxa"/>
            <w:shd w:val="clear" w:color="auto" w:fill="404040" w:themeFill="text1" w:themeFillTint="BF"/>
          </w:tcPr>
          <w:p w14:paraId="51691E2C" w14:textId="77777777" w:rsidR="003D09A8" w:rsidRPr="003D09A8" w:rsidRDefault="003D09A8" w:rsidP="003D09A8">
            <w:pPr>
              <w:spacing w:after="0" w:line="240" w:lineRule="auto"/>
              <w:rPr>
                <w:rFonts w:cs="Arial"/>
                <w:b/>
                <w:bCs/>
                <w:color w:val="FFFFFF" w:themeColor="background1"/>
                <w:szCs w:val="20"/>
              </w:rPr>
            </w:pPr>
            <w:r w:rsidRPr="003D09A8">
              <w:rPr>
                <w:rFonts w:cs="Arial"/>
                <w:b/>
                <w:bCs/>
                <w:color w:val="FFFFFF" w:themeColor="background1"/>
                <w:szCs w:val="20"/>
              </w:rPr>
              <w:t>Interference management criteria</w:t>
            </w:r>
          </w:p>
        </w:tc>
      </w:tr>
      <w:tr w:rsidR="003D09A8" w:rsidRPr="009317CD" w14:paraId="415B429C" w14:textId="77777777" w:rsidTr="006F0135">
        <w:trPr>
          <w:cantSplit/>
        </w:trPr>
        <w:tc>
          <w:tcPr>
            <w:tcW w:w="1696" w:type="dxa"/>
            <w:shd w:val="clear" w:color="auto" w:fill="F2F2F2" w:themeFill="background1" w:themeFillShade="F2"/>
          </w:tcPr>
          <w:p w14:paraId="3C3E107F" w14:textId="0DB8DA0F" w:rsidR="003D09A8" w:rsidRPr="003D09A8" w:rsidRDefault="003D09A8" w:rsidP="003D09A8">
            <w:pPr>
              <w:spacing w:after="0" w:line="240" w:lineRule="auto"/>
              <w:rPr>
                <w:rFonts w:cs="Arial"/>
                <w:szCs w:val="20"/>
              </w:rPr>
            </w:pPr>
            <w:r w:rsidRPr="003D09A8">
              <w:rPr>
                <w:rFonts w:cs="Arial"/>
                <w:szCs w:val="20"/>
              </w:rPr>
              <w:t xml:space="preserve">Licence </w:t>
            </w:r>
            <w:r w:rsidR="00014DB7">
              <w:rPr>
                <w:rFonts w:cs="Arial"/>
                <w:szCs w:val="20"/>
              </w:rPr>
              <w:t>category</w:t>
            </w:r>
          </w:p>
        </w:tc>
        <w:tc>
          <w:tcPr>
            <w:tcW w:w="7088" w:type="dxa"/>
            <w:shd w:val="clear" w:color="auto" w:fill="F2F2F2" w:themeFill="background1" w:themeFillShade="F2"/>
          </w:tcPr>
          <w:p w14:paraId="340BBCEB" w14:textId="77777777" w:rsidR="003D09A8" w:rsidRPr="003D09A8" w:rsidRDefault="003D09A8" w:rsidP="003D09A8">
            <w:pPr>
              <w:spacing w:after="0" w:line="240" w:lineRule="auto"/>
              <w:rPr>
                <w:rFonts w:cs="Arial"/>
                <w:szCs w:val="20"/>
              </w:rPr>
            </w:pPr>
            <w:r w:rsidRPr="003D09A8">
              <w:rPr>
                <w:rFonts w:cs="Arial"/>
                <w:szCs w:val="20"/>
              </w:rPr>
              <w:t xml:space="preserve">Apparatus (e.g., AWL) or class licence </w:t>
            </w:r>
          </w:p>
        </w:tc>
      </w:tr>
      <w:tr w:rsidR="003D09A8" w:rsidRPr="009317CD" w14:paraId="5F2179CA" w14:textId="77777777" w:rsidTr="006F0135">
        <w:trPr>
          <w:cantSplit/>
        </w:trPr>
        <w:tc>
          <w:tcPr>
            <w:tcW w:w="1696" w:type="dxa"/>
            <w:shd w:val="clear" w:color="auto" w:fill="auto"/>
          </w:tcPr>
          <w:p w14:paraId="65174033" w14:textId="77777777" w:rsidR="003D09A8" w:rsidRPr="003D09A8" w:rsidRDefault="003D09A8" w:rsidP="003D09A8">
            <w:pPr>
              <w:spacing w:after="0" w:line="240" w:lineRule="auto"/>
              <w:rPr>
                <w:rFonts w:cs="Arial"/>
                <w:szCs w:val="20"/>
              </w:rPr>
            </w:pPr>
            <w:r w:rsidRPr="003D09A8">
              <w:rPr>
                <w:rFonts w:cs="Arial"/>
                <w:szCs w:val="20"/>
              </w:rPr>
              <w:t>Definitions</w:t>
            </w:r>
          </w:p>
        </w:tc>
        <w:tc>
          <w:tcPr>
            <w:tcW w:w="7088" w:type="dxa"/>
            <w:shd w:val="clear" w:color="auto" w:fill="auto"/>
          </w:tcPr>
          <w:p w14:paraId="4806C316" w14:textId="698E3CB6" w:rsidR="003D09A8" w:rsidRPr="003D09A8" w:rsidRDefault="003D09A8" w:rsidP="00AE665F">
            <w:pPr>
              <w:pStyle w:val="TableBody"/>
              <w:spacing w:after="120"/>
              <w:rPr>
                <w:rFonts w:cs="Arial"/>
                <w:bCs/>
                <w:i/>
                <w:color w:val="000000"/>
                <w:szCs w:val="20"/>
              </w:rPr>
            </w:pPr>
            <w:r w:rsidRPr="003D09A8">
              <w:rPr>
                <w:rFonts w:cs="Arial"/>
                <w:color w:val="000000"/>
                <w:szCs w:val="20"/>
              </w:rPr>
              <w:t>‘Controlled premises’</w:t>
            </w:r>
            <w:r w:rsidRPr="003D09A8">
              <w:rPr>
                <w:rFonts w:cs="Arial"/>
                <w:b/>
                <w:i/>
                <w:color w:val="000000"/>
                <w:szCs w:val="20"/>
              </w:rPr>
              <w:t xml:space="preserve"> </w:t>
            </w:r>
            <w:r w:rsidRPr="003D09A8">
              <w:rPr>
                <w:rFonts w:cs="Arial"/>
                <w:bCs/>
                <w:iCs/>
                <w:color w:val="000000"/>
                <w:szCs w:val="20"/>
              </w:rPr>
              <w:t>means premises that are owned by or under the control of a person who is providing a radiocommunications service under a class licence</w:t>
            </w:r>
            <w:r w:rsidRPr="003D09A8">
              <w:rPr>
                <w:rFonts w:cs="Arial"/>
                <w:bCs/>
                <w:i/>
                <w:color w:val="000000"/>
                <w:szCs w:val="20"/>
              </w:rPr>
              <w:t xml:space="preserve">.  </w:t>
            </w:r>
          </w:p>
          <w:p w14:paraId="467705AC" w14:textId="2242BCE0" w:rsidR="003D09A8" w:rsidRPr="003D09A8" w:rsidRDefault="003D09A8" w:rsidP="003D09A8">
            <w:pPr>
              <w:pStyle w:val="TableBody"/>
              <w:rPr>
                <w:iCs/>
                <w:szCs w:val="20"/>
              </w:rPr>
            </w:pPr>
            <w:r w:rsidRPr="003D09A8">
              <w:rPr>
                <w:bCs/>
                <w:iCs/>
                <w:color w:val="000000"/>
                <w:szCs w:val="20"/>
              </w:rPr>
              <w:t>Note: If a</w:t>
            </w:r>
            <w:r w:rsidR="00AE665F">
              <w:rPr>
                <w:bCs/>
                <w:iCs/>
                <w:color w:val="000000"/>
                <w:szCs w:val="20"/>
              </w:rPr>
              <w:t>n</w:t>
            </w:r>
            <w:r w:rsidRPr="003D09A8">
              <w:rPr>
                <w:bCs/>
                <w:iCs/>
                <w:color w:val="000000"/>
                <w:szCs w:val="20"/>
              </w:rPr>
              <w:t xml:space="preserve"> AWL approach is adopted, the term ‘controlled premises’ would be defined as the geographical boundary of the licence. </w:t>
            </w:r>
          </w:p>
        </w:tc>
      </w:tr>
      <w:tr w:rsidR="003D09A8" w:rsidRPr="009317CD" w14:paraId="0273A268" w14:textId="77777777" w:rsidTr="006F0135">
        <w:trPr>
          <w:cantSplit/>
        </w:trPr>
        <w:tc>
          <w:tcPr>
            <w:tcW w:w="1696" w:type="dxa"/>
            <w:shd w:val="clear" w:color="auto" w:fill="F2F2F2" w:themeFill="background1" w:themeFillShade="F2"/>
          </w:tcPr>
          <w:p w14:paraId="224A2036" w14:textId="77777777" w:rsidR="003D09A8" w:rsidRPr="003D09A8" w:rsidRDefault="003D09A8" w:rsidP="003D09A8">
            <w:pPr>
              <w:spacing w:after="0" w:line="240" w:lineRule="auto"/>
              <w:rPr>
                <w:rFonts w:cs="Arial"/>
                <w:szCs w:val="20"/>
              </w:rPr>
            </w:pPr>
            <w:r w:rsidRPr="003D09A8">
              <w:rPr>
                <w:rFonts w:cs="Arial"/>
                <w:szCs w:val="20"/>
              </w:rPr>
              <w:lastRenderedPageBreak/>
              <w:t>General rules for all transmitters</w:t>
            </w:r>
          </w:p>
        </w:tc>
        <w:tc>
          <w:tcPr>
            <w:tcW w:w="7088" w:type="dxa"/>
            <w:shd w:val="clear" w:color="auto" w:fill="F2F2F2" w:themeFill="background1" w:themeFillShade="F2"/>
          </w:tcPr>
          <w:p w14:paraId="226CC455" w14:textId="0FBBA5F3" w:rsidR="003D09A8" w:rsidRPr="003D09A8" w:rsidRDefault="003D09A8" w:rsidP="006F0135">
            <w:pPr>
              <w:pStyle w:val="Paragraphbeforelist"/>
              <w:numPr>
                <w:ilvl w:val="0"/>
                <w:numId w:val="32"/>
              </w:numPr>
              <w:ind w:left="459"/>
              <w:rPr>
                <w:szCs w:val="20"/>
              </w:rPr>
            </w:pPr>
            <w:bookmarkStart w:id="7" w:name="_Toc78811525"/>
            <w:bookmarkStart w:id="8" w:name="_Toc80784133"/>
            <w:bookmarkStart w:id="9" w:name="_Toc80792134"/>
            <w:bookmarkStart w:id="10" w:name="_Toc80795898"/>
            <w:bookmarkStart w:id="11" w:name="_Toc149123153"/>
            <w:bookmarkStart w:id="12" w:name="_Toc149123336"/>
            <w:bookmarkStart w:id="13" w:name="_Hlk149051326"/>
            <w:r w:rsidRPr="003D09A8">
              <w:t xml:space="preserve">Operation of transmitters is limited to urban excise areas and within the 3400–3470 MHz </w:t>
            </w:r>
            <w:r w:rsidR="00C55ABF">
              <w:t>range</w:t>
            </w:r>
            <w:r w:rsidR="00C55ABF" w:rsidRPr="003D09A8">
              <w:t xml:space="preserve"> </w:t>
            </w:r>
            <w:r w:rsidRPr="003D09A8">
              <w:t xml:space="preserve">(i.e., 5 MHz restricted use band). Operation within the 3470–3475 MHz </w:t>
            </w:r>
            <w:r w:rsidR="009F580A">
              <w:t>range</w:t>
            </w:r>
            <w:r w:rsidR="009F580A" w:rsidRPr="003D09A8">
              <w:t xml:space="preserve"> </w:t>
            </w:r>
            <w:r w:rsidRPr="003D09A8">
              <w:t>is possible via agreement with the adjacent band spectrum licensee.</w:t>
            </w:r>
            <w:bookmarkEnd w:id="7"/>
            <w:bookmarkEnd w:id="8"/>
            <w:bookmarkEnd w:id="9"/>
            <w:bookmarkEnd w:id="10"/>
            <w:bookmarkEnd w:id="11"/>
            <w:bookmarkEnd w:id="12"/>
            <w:r w:rsidRPr="003D09A8">
              <w:t xml:space="preserve"> </w:t>
            </w:r>
          </w:p>
          <w:p w14:paraId="1275B123" w14:textId="22FBD054" w:rsidR="003D09A8" w:rsidRPr="003D09A8" w:rsidRDefault="003D09A8" w:rsidP="006F0135">
            <w:pPr>
              <w:pStyle w:val="Paragraphbeforelist"/>
              <w:numPr>
                <w:ilvl w:val="0"/>
                <w:numId w:val="32"/>
              </w:numPr>
              <w:ind w:left="459"/>
              <w:rPr>
                <w:szCs w:val="20"/>
              </w:rPr>
            </w:pPr>
            <w:bookmarkStart w:id="14" w:name="_Toc78811526"/>
            <w:bookmarkStart w:id="15" w:name="_Toc80784134"/>
            <w:bookmarkStart w:id="16" w:name="_Toc80792135"/>
            <w:bookmarkStart w:id="17" w:name="_Toc80795899"/>
            <w:bookmarkStart w:id="18" w:name="_Toc149123154"/>
            <w:bookmarkStart w:id="19" w:name="_Toc149123337"/>
            <w:r w:rsidRPr="003D09A8">
              <w:t xml:space="preserve">The </w:t>
            </w:r>
            <w:r w:rsidRPr="003D09A8">
              <w:rPr>
                <w:szCs w:val="20"/>
              </w:rPr>
              <w:t>maximum EIRP must not exceed 30 dBm.</w:t>
            </w:r>
            <w:bookmarkEnd w:id="14"/>
            <w:bookmarkEnd w:id="15"/>
            <w:bookmarkEnd w:id="16"/>
            <w:bookmarkEnd w:id="17"/>
            <w:bookmarkEnd w:id="18"/>
            <w:bookmarkEnd w:id="19"/>
          </w:p>
          <w:p w14:paraId="48194928" w14:textId="3173DB7E" w:rsidR="003D09A8" w:rsidRPr="003D09A8" w:rsidRDefault="003D09A8" w:rsidP="006F0135">
            <w:pPr>
              <w:pStyle w:val="Paragraphbeforelist"/>
              <w:numPr>
                <w:ilvl w:val="0"/>
                <w:numId w:val="32"/>
              </w:numPr>
              <w:ind w:left="459"/>
              <w:rPr>
                <w:szCs w:val="20"/>
              </w:rPr>
            </w:pPr>
            <w:bookmarkStart w:id="20" w:name="_Toc78811527"/>
            <w:bookmarkStart w:id="21" w:name="_Toc80784135"/>
            <w:bookmarkStart w:id="22" w:name="_Toc80792136"/>
            <w:bookmarkStart w:id="23" w:name="_Toc80795900"/>
            <w:bookmarkStart w:id="24" w:name="_Toc149123155"/>
            <w:bookmarkStart w:id="25" w:name="_Toc149123338"/>
            <w:r w:rsidRPr="003D09A8">
              <w:t>The power spectral density must not exceed 17 dBm EIRP per MHz.</w:t>
            </w:r>
            <w:bookmarkEnd w:id="20"/>
            <w:bookmarkEnd w:id="21"/>
            <w:bookmarkEnd w:id="22"/>
            <w:bookmarkEnd w:id="23"/>
            <w:bookmarkEnd w:id="24"/>
            <w:bookmarkEnd w:id="25"/>
          </w:p>
          <w:p w14:paraId="0D185B47" w14:textId="44B8345C" w:rsidR="003D09A8" w:rsidRPr="003D09A8" w:rsidRDefault="003D09A8" w:rsidP="006F0135">
            <w:pPr>
              <w:pStyle w:val="Paragraphbeforelist"/>
              <w:numPr>
                <w:ilvl w:val="0"/>
                <w:numId w:val="32"/>
              </w:numPr>
              <w:ind w:left="459"/>
              <w:rPr>
                <w:szCs w:val="20"/>
              </w:rPr>
            </w:pPr>
            <w:bookmarkStart w:id="26" w:name="_Toc78811528"/>
            <w:bookmarkStart w:id="27" w:name="_Toc80784136"/>
            <w:bookmarkStart w:id="28" w:name="_Toc80792137"/>
            <w:bookmarkStart w:id="29" w:name="_Toc80795901"/>
            <w:bookmarkStart w:id="30" w:name="_Toc149123156"/>
            <w:bookmarkStart w:id="31" w:name="_Toc149123339"/>
            <w:r w:rsidRPr="003D09A8">
              <w:t>Base station transmitters must comply with the unwanted emission limits described in 3GPP TS 38.104.</w:t>
            </w:r>
            <w:bookmarkEnd w:id="26"/>
            <w:bookmarkEnd w:id="27"/>
            <w:bookmarkEnd w:id="28"/>
            <w:bookmarkEnd w:id="29"/>
            <w:bookmarkEnd w:id="30"/>
            <w:bookmarkEnd w:id="31"/>
          </w:p>
          <w:p w14:paraId="7A725ACD" w14:textId="3B4D113F" w:rsidR="003D09A8" w:rsidRPr="003D09A8" w:rsidRDefault="003D09A8" w:rsidP="006F0135">
            <w:pPr>
              <w:pStyle w:val="Paragraphbeforelist"/>
              <w:numPr>
                <w:ilvl w:val="0"/>
                <w:numId w:val="32"/>
              </w:numPr>
              <w:ind w:left="459"/>
              <w:rPr>
                <w:szCs w:val="20"/>
              </w:rPr>
            </w:pPr>
            <w:bookmarkStart w:id="32" w:name="_Toc78811529"/>
            <w:bookmarkStart w:id="33" w:name="_Toc80784137"/>
            <w:bookmarkStart w:id="34" w:name="_Toc80792138"/>
            <w:bookmarkStart w:id="35" w:name="_Toc80795902"/>
            <w:bookmarkStart w:id="36" w:name="_Toc149123157"/>
            <w:bookmarkStart w:id="37" w:name="_Toc149123340"/>
            <w:r w:rsidRPr="003D09A8">
              <w:t>User equipment transmitters must comply with the unwanted emission limits described in 3GPP TS 38.101-2.</w:t>
            </w:r>
            <w:bookmarkEnd w:id="32"/>
            <w:bookmarkEnd w:id="33"/>
            <w:bookmarkEnd w:id="34"/>
            <w:bookmarkEnd w:id="35"/>
            <w:bookmarkEnd w:id="36"/>
            <w:bookmarkEnd w:id="37"/>
          </w:p>
          <w:p w14:paraId="10126A87" w14:textId="77777777" w:rsidR="003D09A8" w:rsidRPr="003D09A8" w:rsidRDefault="003D09A8" w:rsidP="006F0135">
            <w:pPr>
              <w:pStyle w:val="Paragraphbeforelist"/>
              <w:numPr>
                <w:ilvl w:val="0"/>
                <w:numId w:val="32"/>
              </w:numPr>
              <w:ind w:left="459"/>
              <w:rPr>
                <w:szCs w:val="20"/>
              </w:rPr>
            </w:pPr>
            <w:bookmarkStart w:id="38" w:name="_Toc78811530"/>
            <w:bookmarkStart w:id="39" w:name="_Toc80784138"/>
            <w:bookmarkStart w:id="40" w:name="_Toc80792139"/>
            <w:bookmarkStart w:id="41" w:name="_Toc80795903"/>
            <w:bookmarkStart w:id="42" w:name="_Toc149123158"/>
            <w:bookmarkStart w:id="43" w:name="_Toc149123341"/>
            <w:r w:rsidRPr="003D09A8">
              <w:t>Operation is on a no interference and no protection basis to services operating under other licences.</w:t>
            </w:r>
            <w:bookmarkEnd w:id="38"/>
            <w:bookmarkEnd w:id="39"/>
            <w:bookmarkEnd w:id="40"/>
            <w:bookmarkEnd w:id="41"/>
            <w:bookmarkEnd w:id="42"/>
            <w:bookmarkEnd w:id="43"/>
          </w:p>
          <w:p w14:paraId="2D8D80DB" w14:textId="475EE5FE" w:rsidR="003D09A8" w:rsidRPr="003D09A8" w:rsidRDefault="003D09A8" w:rsidP="006F0135">
            <w:pPr>
              <w:pStyle w:val="Paragraphbeforelist"/>
              <w:numPr>
                <w:ilvl w:val="0"/>
                <w:numId w:val="32"/>
              </w:numPr>
              <w:ind w:left="459"/>
              <w:rPr>
                <w:szCs w:val="20"/>
              </w:rPr>
            </w:pPr>
            <w:bookmarkStart w:id="44" w:name="_Toc78811531"/>
            <w:bookmarkStart w:id="45" w:name="_Toc80784139"/>
            <w:bookmarkStart w:id="46" w:name="_Toc80792140"/>
            <w:bookmarkStart w:id="47" w:name="_Toc80795904"/>
            <w:bookmarkStart w:id="48" w:name="_Toc149123159"/>
            <w:bookmarkStart w:id="49" w:name="_Toc149123342"/>
            <w:r w:rsidRPr="003D09A8">
              <w:t xml:space="preserve">The operation of transmitters must be synchronised with the operation of services operating under adjacent area 3.4 GHz spectrum licences that are directly adjacent to urban excise areas. In this case synchronisation means operating in accordance with </w:t>
            </w:r>
            <w:hyperlink r:id="rId36" w:history="1">
              <w:r w:rsidRPr="00925D1B">
                <w:rPr>
                  <w:rStyle w:val="Hyperlink"/>
                  <w:szCs w:val="20"/>
                </w:rPr>
                <w:t>clause 11 of Licence Schedule 4 of a 3.4 GHz spectrum licences</w:t>
              </w:r>
            </w:hyperlink>
            <w:r w:rsidRPr="003D09A8">
              <w:rPr>
                <w:szCs w:val="20"/>
              </w:rPr>
              <w:t>.</w:t>
            </w:r>
            <w:bookmarkEnd w:id="44"/>
            <w:bookmarkEnd w:id="45"/>
            <w:bookmarkEnd w:id="46"/>
            <w:bookmarkEnd w:id="47"/>
            <w:bookmarkEnd w:id="48"/>
            <w:bookmarkEnd w:id="49"/>
            <w:r>
              <w:rPr>
                <w:szCs w:val="20"/>
              </w:rPr>
              <w:t xml:space="preserve"> </w:t>
            </w:r>
          </w:p>
          <w:p w14:paraId="289513CC" w14:textId="77777777" w:rsidR="003D09A8" w:rsidRPr="003D09A8" w:rsidRDefault="003D09A8" w:rsidP="006F0135">
            <w:pPr>
              <w:pStyle w:val="Paragraphbeforelist"/>
              <w:numPr>
                <w:ilvl w:val="0"/>
                <w:numId w:val="32"/>
              </w:numPr>
              <w:ind w:left="459"/>
              <w:rPr>
                <w:szCs w:val="20"/>
              </w:rPr>
            </w:pPr>
            <w:bookmarkStart w:id="50" w:name="_Toc75275784"/>
            <w:bookmarkStart w:id="51" w:name="_Toc76376852"/>
            <w:bookmarkStart w:id="52" w:name="_Toc78811532"/>
            <w:bookmarkStart w:id="53" w:name="_Toc80784140"/>
            <w:bookmarkStart w:id="54" w:name="_Toc80792141"/>
            <w:bookmarkStart w:id="55" w:name="_Toc80795905"/>
            <w:bookmarkStart w:id="56" w:name="_Toc149123160"/>
            <w:bookmarkStart w:id="57" w:name="_Toc149123343"/>
            <w:r w:rsidRPr="003D09A8">
              <w:t>The aggregate power flux-density from transmitters on controlled premises must not exceed –64.9 dBm/MHz/m2 at the external boundary of the controlled premises at a height of 5 metres above ground level.</w:t>
            </w:r>
            <w:bookmarkStart w:id="58" w:name="_Toc75275785"/>
            <w:bookmarkStart w:id="59" w:name="_Toc76376853"/>
            <w:bookmarkEnd w:id="50"/>
            <w:bookmarkEnd w:id="51"/>
            <w:bookmarkEnd w:id="52"/>
            <w:bookmarkEnd w:id="53"/>
            <w:bookmarkEnd w:id="54"/>
            <w:bookmarkEnd w:id="55"/>
            <w:bookmarkEnd w:id="56"/>
            <w:bookmarkEnd w:id="57"/>
          </w:p>
          <w:p w14:paraId="7A254276" w14:textId="1DBD1F9D" w:rsidR="003D09A8" w:rsidRPr="003D09A8" w:rsidRDefault="003D09A8" w:rsidP="006F0135">
            <w:pPr>
              <w:pStyle w:val="Paragraphbeforelist"/>
              <w:numPr>
                <w:ilvl w:val="0"/>
                <w:numId w:val="32"/>
              </w:numPr>
              <w:ind w:left="459"/>
            </w:pPr>
            <w:bookmarkStart w:id="60" w:name="_Toc78811533"/>
            <w:bookmarkStart w:id="61" w:name="_Toc80784141"/>
            <w:bookmarkStart w:id="62" w:name="_Toc80792142"/>
            <w:bookmarkStart w:id="63" w:name="_Toc80795906"/>
            <w:bookmarkStart w:id="64" w:name="_Toc149123161"/>
            <w:bookmarkStart w:id="65" w:name="_Toc149123344"/>
            <w:r w:rsidRPr="003D09A8">
              <w:t>The aggregate power flux-density from transmitters on controlled premises must not exceed –99.9 dBm/MHz/m2 at the boundary of urban areas at heights between 5 and 100 metres above ground level.</w:t>
            </w:r>
            <w:bookmarkEnd w:id="13"/>
            <w:bookmarkEnd w:id="58"/>
            <w:bookmarkEnd w:id="59"/>
            <w:bookmarkEnd w:id="60"/>
            <w:bookmarkEnd w:id="61"/>
            <w:bookmarkEnd w:id="62"/>
            <w:bookmarkEnd w:id="63"/>
            <w:bookmarkEnd w:id="64"/>
            <w:bookmarkEnd w:id="65"/>
          </w:p>
        </w:tc>
      </w:tr>
    </w:tbl>
    <w:p w14:paraId="0324756D" w14:textId="3C38231A" w:rsidR="00885A17" w:rsidRPr="00E162C4" w:rsidRDefault="00885A17" w:rsidP="00885A17">
      <w:pPr>
        <w:pStyle w:val="Heading1"/>
        <w:ind w:left="284"/>
      </w:pPr>
      <w:bookmarkStart w:id="66" w:name="_Toc178948542"/>
      <w:bookmarkEnd w:id="6"/>
      <w:r>
        <w:lastRenderedPageBreak/>
        <w:t>Summary of submissions</w:t>
      </w:r>
      <w:bookmarkEnd w:id="66"/>
    </w:p>
    <w:p w14:paraId="6216948B" w14:textId="228CAF59" w:rsidR="00EE4132" w:rsidRPr="00EE4132" w:rsidRDefault="00EE4132" w:rsidP="0031747D">
      <w:pPr>
        <w:pStyle w:val="Paragraph"/>
        <w:spacing w:after="80"/>
        <w:ind w:left="284"/>
      </w:pPr>
      <w:r w:rsidRPr="00EE4132">
        <w:t xml:space="preserve">This section </w:t>
      </w:r>
      <w:r w:rsidR="00BD3C58">
        <w:t>contains a summary of</w:t>
      </w:r>
      <w:r w:rsidRPr="00EE4132">
        <w:t xml:space="preserve"> submissions made </w:t>
      </w:r>
      <w:r w:rsidR="00BD3C58">
        <w:t>on</w:t>
      </w:r>
      <w:r w:rsidRPr="00EE4132">
        <w:t xml:space="preserve"> versions 1.0</w:t>
      </w:r>
      <w:r w:rsidR="00BF1798">
        <w:t>,</w:t>
      </w:r>
      <w:r w:rsidRPr="00EE4132">
        <w:t xml:space="preserve"> 2.1 </w:t>
      </w:r>
      <w:r w:rsidR="00BF1798">
        <w:t xml:space="preserve">and 3.0 </w:t>
      </w:r>
      <w:r w:rsidRPr="00EE4132">
        <w:t xml:space="preserve">of the TLG paper and the ACMA staff response to these. </w:t>
      </w:r>
    </w:p>
    <w:p w14:paraId="2E0F5844" w14:textId="7F5E5CAF" w:rsidR="00885A17" w:rsidRPr="00E162C4" w:rsidRDefault="00885A17" w:rsidP="00EE4132">
      <w:pPr>
        <w:pStyle w:val="Heading2"/>
        <w:spacing w:after="120"/>
        <w:ind w:firstLine="284"/>
      </w:pPr>
      <w:bookmarkStart w:id="67" w:name="_Toc178948543"/>
      <w:r>
        <w:t>Submissions to TLG paper Version 1.0</w:t>
      </w:r>
      <w:bookmarkEnd w:id="67"/>
      <w:r>
        <w:t xml:space="preserve"> </w:t>
      </w:r>
    </w:p>
    <w:p w14:paraId="28B990F8" w14:textId="428D1CF8" w:rsidR="00885A17" w:rsidRDefault="00885A17" w:rsidP="00885A17">
      <w:pPr>
        <w:pStyle w:val="Paragraph"/>
        <w:spacing w:after="80"/>
        <w:ind w:left="284"/>
      </w:pPr>
      <w:r>
        <w:t>Ten submissions were received to V1.0 of the TLG paper. Submissions were received from:</w:t>
      </w:r>
    </w:p>
    <w:p w14:paraId="131CF00D" w14:textId="56EFC72F" w:rsidR="00903C8A" w:rsidRDefault="00903C8A" w:rsidP="00903C8A">
      <w:pPr>
        <w:pStyle w:val="Paragraph"/>
        <w:numPr>
          <w:ilvl w:val="0"/>
          <w:numId w:val="68"/>
        </w:numPr>
        <w:spacing w:after="80"/>
      </w:pPr>
      <w:r>
        <w:t>Airservices Australia</w:t>
      </w:r>
    </w:p>
    <w:p w14:paraId="5E8028EE" w14:textId="7E1C713C" w:rsidR="00903C8A" w:rsidRDefault="00903C8A" w:rsidP="00903C8A">
      <w:pPr>
        <w:pStyle w:val="Paragraph"/>
        <w:numPr>
          <w:ilvl w:val="0"/>
          <w:numId w:val="68"/>
        </w:numPr>
        <w:spacing w:after="80"/>
      </w:pPr>
      <w:r>
        <w:t>The Australian Mobile Telecommunications Association (AMTA)</w:t>
      </w:r>
    </w:p>
    <w:p w14:paraId="3353198A" w14:textId="47EEE2F4" w:rsidR="00903C8A" w:rsidRDefault="009A3704" w:rsidP="00903C8A">
      <w:pPr>
        <w:pStyle w:val="Paragraph"/>
        <w:numPr>
          <w:ilvl w:val="0"/>
          <w:numId w:val="68"/>
        </w:numPr>
        <w:spacing w:after="80"/>
      </w:pPr>
      <w:proofErr w:type="spellStart"/>
      <w:r>
        <w:t>A</w:t>
      </w:r>
      <w:r w:rsidR="003A372C">
        <w:t>q</w:t>
      </w:r>
      <w:r>
        <w:t>ura</w:t>
      </w:r>
      <w:proofErr w:type="spellEnd"/>
    </w:p>
    <w:p w14:paraId="6BC82B7F" w14:textId="07770957" w:rsidR="009A3704" w:rsidRDefault="009A3704" w:rsidP="00903C8A">
      <w:pPr>
        <w:pStyle w:val="Paragraph"/>
        <w:numPr>
          <w:ilvl w:val="0"/>
          <w:numId w:val="68"/>
        </w:numPr>
        <w:spacing w:after="80"/>
      </w:pPr>
      <w:r>
        <w:t xml:space="preserve">DB Telecommunications </w:t>
      </w:r>
    </w:p>
    <w:p w14:paraId="6CC476A6" w14:textId="62121BFA" w:rsidR="00903C8A" w:rsidRDefault="00903C8A" w:rsidP="00903C8A">
      <w:pPr>
        <w:pStyle w:val="Paragraph"/>
        <w:numPr>
          <w:ilvl w:val="0"/>
          <w:numId w:val="68"/>
        </w:numPr>
        <w:spacing w:after="80"/>
      </w:pPr>
      <w:r>
        <w:t>Hewle</w:t>
      </w:r>
      <w:r w:rsidR="009A3704">
        <w:t>t</w:t>
      </w:r>
      <w:r>
        <w:t>t Packard Enterprise (HPE)</w:t>
      </w:r>
    </w:p>
    <w:p w14:paraId="0165801E" w14:textId="01319486" w:rsidR="009A3704" w:rsidRDefault="009A3704" w:rsidP="00903C8A">
      <w:pPr>
        <w:pStyle w:val="Paragraph"/>
        <w:numPr>
          <w:ilvl w:val="0"/>
          <w:numId w:val="68"/>
        </w:numPr>
        <w:spacing w:after="80"/>
      </w:pPr>
      <w:r>
        <w:t xml:space="preserve">Joint satellite response (Inmarsat, Intelsat, SES and </w:t>
      </w:r>
      <w:proofErr w:type="spellStart"/>
      <w:r>
        <w:t>Speedcast</w:t>
      </w:r>
      <w:proofErr w:type="spellEnd"/>
      <w:r>
        <w:t>)</w:t>
      </w:r>
    </w:p>
    <w:p w14:paraId="09641D70" w14:textId="74D769C5" w:rsidR="009A3704" w:rsidRDefault="009A3704" w:rsidP="00903C8A">
      <w:pPr>
        <w:pStyle w:val="Paragraph"/>
        <w:numPr>
          <w:ilvl w:val="0"/>
          <w:numId w:val="68"/>
        </w:numPr>
        <w:spacing w:after="80"/>
      </w:pPr>
      <w:r>
        <w:t>Nbn</w:t>
      </w:r>
    </w:p>
    <w:p w14:paraId="23CC3ADD" w14:textId="37D530CA" w:rsidR="009A3704" w:rsidRDefault="009A3704" w:rsidP="00903C8A">
      <w:pPr>
        <w:pStyle w:val="Paragraph"/>
        <w:numPr>
          <w:ilvl w:val="0"/>
          <w:numId w:val="68"/>
        </w:numPr>
        <w:spacing w:after="80"/>
      </w:pPr>
      <w:r>
        <w:t>Optus</w:t>
      </w:r>
    </w:p>
    <w:p w14:paraId="42320C83" w14:textId="3799266E" w:rsidR="00903C8A" w:rsidRDefault="00903C8A" w:rsidP="00903C8A">
      <w:pPr>
        <w:pStyle w:val="Paragraph"/>
        <w:numPr>
          <w:ilvl w:val="0"/>
          <w:numId w:val="68"/>
        </w:numPr>
        <w:spacing w:after="80"/>
      </w:pPr>
      <w:proofErr w:type="spellStart"/>
      <w:r>
        <w:t>Pivotel</w:t>
      </w:r>
      <w:proofErr w:type="spellEnd"/>
    </w:p>
    <w:p w14:paraId="1FE03FA1" w14:textId="023A5D4B" w:rsidR="00903C8A" w:rsidRDefault="00903C8A" w:rsidP="00903C8A">
      <w:pPr>
        <w:pStyle w:val="Paragraph"/>
        <w:numPr>
          <w:ilvl w:val="0"/>
          <w:numId w:val="68"/>
        </w:numPr>
      </w:pPr>
      <w:r>
        <w:t xml:space="preserve">Telstra. </w:t>
      </w:r>
    </w:p>
    <w:p w14:paraId="03388A09" w14:textId="3BF23508" w:rsidR="00885A17" w:rsidRDefault="00C4288F" w:rsidP="00EE4132">
      <w:pPr>
        <w:pStyle w:val="Paragraph"/>
        <w:ind w:left="284"/>
      </w:pPr>
      <w:r>
        <w:t>The main issues raised</w:t>
      </w:r>
      <w:r w:rsidR="00844189">
        <w:t xml:space="preserve"> in submissions</w:t>
      </w:r>
      <w:r>
        <w:t xml:space="preserve"> are summarised below.</w:t>
      </w:r>
      <w:r w:rsidR="00DD0711">
        <w:t xml:space="preserve"> Please refer to individual submissions for more detail. </w:t>
      </w:r>
      <w:r w:rsidR="003176ED">
        <w:t xml:space="preserve">This paper has been updated based on the ACMA </w:t>
      </w:r>
      <w:r w:rsidR="00244F03">
        <w:t xml:space="preserve">staff </w:t>
      </w:r>
      <w:r w:rsidR="003176ED">
        <w:t xml:space="preserve">responses below.  </w:t>
      </w:r>
    </w:p>
    <w:p w14:paraId="17C09369" w14:textId="2C59AC8F" w:rsidR="00C4288F" w:rsidRPr="00E162C4" w:rsidRDefault="00C4288F" w:rsidP="00C4288F">
      <w:pPr>
        <w:pStyle w:val="Heading3"/>
        <w:ind w:left="284"/>
      </w:pPr>
      <w:bookmarkStart w:id="68" w:name="_Hlk161135141"/>
      <w:r>
        <w:t xml:space="preserve">Licence </w:t>
      </w:r>
      <w:r w:rsidR="00C1351D">
        <w:t>t</w:t>
      </w:r>
      <w:r>
        <w:t>ype for HL WBB</w:t>
      </w:r>
    </w:p>
    <w:p w14:paraId="2D60557E" w14:textId="4B21A2AC" w:rsidR="00C4288F" w:rsidRDefault="00C4288F" w:rsidP="00EE4132">
      <w:pPr>
        <w:pStyle w:val="Paragraph"/>
        <w:numPr>
          <w:ilvl w:val="0"/>
          <w:numId w:val="68"/>
        </w:numPr>
        <w:spacing w:after="80"/>
      </w:pPr>
      <w:r>
        <w:t xml:space="preserve">Submissions were supportive of the proposed </w:t>
      </w:r>
      <w:r w:rsidR="0053645A">
        <w:t>point-to-multipoint (</w:t>
      </w:r>
      <w:r>
        <w:t>PMP</w:t>
      </w:r>
      <w:r w:rsidR="0053645A">
        <w:t>)</w:t>
      </w:r>
      <w:r>
        <w:t xml:space="preserve"> licence arrangements for HL WBB, this included adopting the low and micro power discounts to reduce fees. </w:t>
      </w:r>
    </w:p>
    <w:p w14:paraId="3095C2BE" w14:textId="2B325046" w:rsidR="00F90BC6" w:rsidRDefault="00C4288F" w:rsidP="00597197">
      <w:pPr>
        <w:pStyle w:val="Paragraph"/>
        <w:numPr>
          <w:ilvl w:val="0"/>
          <w:numId w:val="68"/>
        </w:numPr>
        <w:spacing w:after="80"/>
      </w:pPr>
      <w:r>
        <w:t>AMTA, Optus and Telstra, recommended that arrangements</w:t>
      </w:r>
      <w:r w:rsidR="009E234A">
        <w:t xml:space="preserve"> for HL WBB</w:t>
      </w:r>
      <w:r>
        <w:t xml:space="preserve"> in the 3400-3475 MHz band</w:t>
      </w:r>
      <w:r w:rsidR="0074234A">
        <w:t xml:space="preserve"> should support future defragmentation/optimisation </w:t>
      </w:r>
      <w:r w:rsidR="009E234A">
        <w:t>activities in</w:t>
      </w:r>
      <w:r w:rsidR="0074234A">
        <w:t xml:space="preserve"> the broader 3400-3800 MHz band. </w:t>
      </w:r>
      <w:r w:rsidR="00597197">
        <w:t>As an example, Telstra stated that while current use of the 3400-3475 MHz band is limited by adjacent area nbn services, macro cells may become a viable option in the future.</w:t>
      </w:r>
      <w:r w:rsidR="009E234A">
        <w:t xml:space="preserve"> </w:t>
      </w:r>
      <w:r w:rsidR="00597197">
        <w:t xml:space="preserve">Optus argued macro cell deployments are </w:t>
      </w:r>
      <w:r w:rsidR="009E234A">
        <w:t xml:space="preserve">currently </w:t>
      </w:r>
      <w:r w:rsidR="00597197">
        <w:t>possible in some</w:t>
      </w:r>
      <w:r w:rsidR="009E234A">
        <w:t xml:space="preserve"> urban excise</w:t>
      </w:r>
      <w:r w:rsidR="00597197">
        <w:t xml:space="preserve"> areas</w:t>
      </w:r>
      <w:r w:rsidR="00EB4E06">
        <w:t xml:space="preserve">. They also indicated that </w:t>
      </w:r>
      <w:r w:rsidR="00597197">
        <w:t xml:space="preserve">the boundary of urban excise areas could change </w:t>
      </w:r>
      <w:r w:rsidR="00EB4E06">
        <w:t xml:space="preserve">over time </w:t>
      </w:r>
      <w:r w:rsidR="00597197">
        <w:t xml:space="preserve">as </w:t>
      </w:r>
      <w:proofErr w:type="spellStart"/>
      <w:r w:rsidR="00597197">
        <w:t>nbn’s</w:t>
      </w:r>
      <w:proofErr w:type="spellEnd"/>
      <w:r w:rsidR="00597197">
        <w:t xml:space="preserve"> </w:t>
      </w:r>
      <w:r w:rsidR="0053645A">
        <w:t>fixed wireless access (</w:t>
      </w:r>
      <w:r w:rsidR="00597197">
        <w:t>FWA</w:t>
      </w:r>
      <w:r w:rsidR="0053645A">
        <w:t>)</w:t>
      </w:r>
      <w:r w:rsidR="00597197">
        <w:t xml:space="preserve"> footprint is replaced with fixed line solutions </w:t>
      </w:r>
      <w:r w:rsidR="00EB4E06">
        <w:t>(</w:t>
      </w:r>
      <w:r w:rsidR="00597197">
        <w:t>to support population growth</w:t>
      </w:r>
      <w:r w:rsidR="00EB4E06">
        <w:t>)</w:t>
      </w:r>
      <w:r w:rsidR="00597197">
        <w:t xml:space="preserve">. In </w:t>
      </w:r>
      <w:r w:rsidR="009E234A">
        <w:t xml:space="preserve">both </w:t>
      </w:r>
      <w:r w:rsidR="00597197">
        <w:t>these cases, re-allocating the spectrum for spectrum licensing was considered the optimal outcome. AMTA</w:t>
      </w:r>
      <w:r w:rsidR="009E234A">
        <w:t>,</w:t>
      </w:r>
      <w:r w:rsidR="00597197">
        <w:t xml:space="preserve"> Optus and Telstra</w:t>
      </w:r>
      <w:r w:rsidR="0074234A">
        <w:t xml:space="preserve"> argued </w:t>
      </w:r>
      <w:r w:rsidR="009E234A">
        <w:t xml:space="preserve">flexibility to consider this in the future </w:t>
      </w:r>
      <w:r w:rsidR="0074234A">
        <w:t xml:space="preserve">could be achieved by aligning the expiry dates of PMP licence with spectrum licences in the 3400-3700 MHz band. Specifically, </w:t>
      </w:r>
      <w:r w:rsidR="009E234A">
        <w:t xml:space="preserve">all </w:t>
      </w:r>
      <w:r w:rsidR="0074234A">
        <w:t>PMP licence</w:t>
      </w:r>
      <w:r w:rsidR="003C65F3">
        <w:t>s</w:t>
      </w:r>
      <w:r w:rsidR="0074234A">
        <w:t xml:space="preserve"> </w:t>
      </w:r>
      <w:r w:rsidR="009E234A">
        <w:t xml:space="preserve">in the 3400-3475 MHz band </w:t>
      </w:r>
      <w:r w:rsidR="0074234A">
        <w:t>should expire on or before 13 December 2030.</w:t>
      </w:r>
      <w:r w:rsidR="00F90BC6">
        <w:t xml:space="preserve"> </w:t>
      </w:r>
    </w:p>
    <w:p w14:paraId="3E41A533" w14:textId="6DFF36FE" w:rsidR="00C4288F" w:rsidRDefault="0074234A" w:rsidP="008049AF">
      <w:pPr>
        <w:pStyle w:val="Paragraph"/>
        <w:numPr>
          <w:ilvl w:val="0"/>
          <w:numId w:val="68"/>
        </w:numPr>
        <w:spacing w:after="80"/>
      </w:pPr>
      <w:r>
        <w:t>DB Telecommunications suggested that spectrum limits could be considered to help manage interference from multiple users in an area</w:t>
      </w:r>
      <w:r w:rsidR="00C4288F">
        <w:t xml:space="preserve">. </w:t>
      </w:r>
    </w:p>
    <w:p w14:paraId="4164D177" w14:textId="3DF43A65" w:rsidR="00C4288F" w:rsidRDefault="00C714E2" w:rsidP="00C4288F">
      <w:pPr>
        <w:pStyle w:val="Paragraph"/>
        <w:numPr>
          <w:ilvl w:val="0"/>
          <w:numId w:val="68"/>
        </w:numPr>
      </w:pPr>
      <w:proofErr w:type="spellStart"/>
      <w:r>
        <w:t>Pivot</w:t>
      </w:r>
      <w:r w:rsidR="003C65F3">
        <w:t>e</w:t>
      </w:r>
      <w:r>
        <w:t>l</w:t>
      </w:r>
      <w:proofErr w:type="spellEnd"/>
      <w:r w:rsidR="0074234A">
        <w:t xml:space="preserve"> expressed concern with the co-sited policy</w:t>
      </w:r>
      <w:r>
        <w:t xml:space="preserve"> as written. It proposed that the owner of the private enterprise should retain control of base station deployment. In the event a body corporate manages a building, then that entity should have authority to decide who can deploy base stations. </w:t>
      </w:r>
    </w:p>
    <w:p w14:paraId="22B423A6" w14:textId="77777777" w:rsidR="00BD4BBA" w:rsidRDefault="00BD4BBA">
      <w:pPr>
        <w:spacing w:after="0" w:line="240" w:lineRule="auto"/>
        <w:rPr>
          <w:rFonts w:cs="Arial"/>
          <w:b/>
          <w:i/>
        </w:rPr>
      </w:pPr>
      <w:r>
        <w:br w:type="page"/>
      </w:r>
    </w:p>
    <w:p w14:paraId="54CB2D74" w14:textId="659866FF" w:rsidR="009F39C0" w:rsidRPr="00F0222A" w:rsidRDefault="009F39C0" w:rsidP="008049AF">
      <w:pPr>
        <w:pStyle w:val="Heading4"/>
        <w:spacing w:after="60"/>
      </w:pPr>
      <w:r w:rsidRPr="00F0222A">
        <w:lastRenderedPageBreak/>
        <w:t xml:space="preserve">ACMA </w:t>
      </w:r>
      <w:r w:rsidR="00DE2DBB" w:rsidRPr="00F0222A">
        <w:t xml:space="preserve">staff </w:t>
      </w:r>
      <w:r w:rsidRPr="00F0222A">
        <w:t>response</w:t>
      </w:r>
    </w:p>
    <w:p w14:paraId="086E31E9" w14:textId="33ADDA89" w:rsidR="009F39C0" w:rsidRPr="00F0222A" w:rsidRDefault="009F39C0" w:rsidP="008049AF">
      <w:pPr>
        <w:pStyle w:val="Paragraph"/>
        <w:numPr>
          <w:ilvl w:val="0"/>
          <w:numId w:val="69"/>
        </w:numPr>
        <w:spacing w:after="80"/>
      </w:pPr>
      <w:r w:rsidRPr="00F0222A">
        <w:t>Based on submissions, we will state that use of PMP licensing is the recommendation of the TLG.</w:t>
      </w:r>
      <w:r w:rsidR="006130F2" w:rsidRPr="00F0222A">
        <w:t xml:space="preserve"> Matters concerning pricing arrangements will be consid</w:t>
      </w:r>
      <w:r w:rsidR="00FB33D1" w:rsidRPr="00F0222A">
        <w:t>ered further in the planned Q3 consultation paper.</w:t>
      </w:r>
    </w:p>
    <w:p w14:paraId="0836369B" w14:textId="0B2D12BA" w:rsidR="009F39C0" w:rsidRPr="00F0222A" w:rsidRDefault="009F39C0" w:rsidP="00033229">
      <w:pPr>
        <w:pStyle w:val="Paragraph"/>
        <w:numPr>
          <w:ilvl w:val="0"/>
          <w:numId w:val="69"/>
        </w:numPr>
        <w:spacing w:after="80"/>
      </w:pPr>
      <w:r w:rsidRPr="00F0222A">
        <w:t>We note comments made regarding the duration of</w:t>
      </w:r>
      <w:r>
        <w:t xml:space="preserve"> licences issued in the 3400-3475 MHz band. </w:t>
      </w:r>
      <w:r w:rsidRPr="00F0222A">
        <w:t>However, this is not within scope of the TLG</w:t>
      </w:r>
      <w:r w:rsidR="00253061" w:rsidRPr="00F0222A">
        <w:t xml:space="preserve"> and will not be considered </w:t>
      </w:r>
      <w:r w:rsidR="00A93EAB" w:rsidRPr="00F0222A">
        <w:t>further in this forum</w:t>
      </w:r>
      <w:r w:rsidRPr="00F0222A">
        <w:t xml:space="preserve">. </w:t>
      </w:r>
      <w:r w:rsidR="00E62505" w:rsidRPr="00F0222A">
        <w:t xml:space="preserve"> This issue will be considered further in the planned Q3 consultation paper. </w:t>
      </w:r>
      <w:r w:rsidRPr="00F0222A">
        <w:t xml:space="preserve">For now, the TLG will continue to focus on possible technical arrangements to support HL WBB access to the 3400-3475 MHz band. </w:t>
      </w:r>
      <w:r w:rsidR="001B6D35" w:rsidRPr="008049AF">
        <w:t>In the meantime, separate from the TLG process, TLG members are free to provide their views to help inform our considerations</w:t>
      </w:r>
      <w:r w:rsidR="001B6D35" w:rsidRPr="00F0222A">
        <w:t>.</w:t>
      </w:r>
    </w:p>
    <w:p w14:paraId="185BDE98" w14:textId="55B4842A" w:rsidR="00E62505" w:rsidRPr="00F0222A" w:rsidRDefault="00033229" w:rsidP="00033229">
      <w:pPr>
        <w:pStyle w:val="Paragraph"/>
        <w:numPr>
          <w:ilvl w:val="0"/>
          <w:numId w:val="69"/>
        </w:numPr>
        <w:spacing w:after="80"/>
      </w:pPr>
      <w:bookmarkStart w:id="69" w:name="_Hlk161647329"/>
      <w:r w:rsidRPr="00F0222A">
        <w:t xml:space="preserve">We note comments made regarding possible spectrum </w:t>
      </w:r>
      <w:r w:rsidR="006B7DE2" w:rsidRPr="00F0222A">
        <w:t xml:space="preserve">or allocation </w:t>
      </w:r>
      <w:r w:rsidRPr="00F0222A">
        <w:t>limit</w:t>
      </w:r>
      <w:r w:rsidR="00731397" w:rsidRPr="00F0222A">
        <w:t xml:space="preserve">s. </w:t>
      </w:r>
      <w:r w:rsidR="004E5D09" w:rsidRPr="00F0222A">
        <w:t xml:space="preserve">However, this is not within scope of the TLG and will not be considered further in this forum. This issue will be considered further in the planned Q3 consultation paper. In the meantime, </w:t>
      </w:r>
      <w:r w:rsidR="00102392" w:rsidRPr="008049AF">
        <w:t xml:space="preserve">separate from the TLG process, </w:t>
      </w:r>
      <w:r w:rsidR="004E5D09" w:rsidRPr="00F0222A">
        <w:t xml:space="preserve">TLG members are free to provide their views to help inform our considerations.  </w:t>
      </w:r>
    </w:p>
    <w:p w14:paraId="1EBAC2A6" w14:textId="093F1581" w:rsidR="009F39C0" w:rsidRDefault="00FD1A9C" w:rsidP="00600DCA">
      <w:pPr>
        <w:pStyle w:val="Paragraph"/>
        <w:numPr>
          <w:ilvl w:val="0"/>
          <w:numId w:val="69"/>
        </w:numPr>
      </w:pPr>
      <w:r w:rsidRPr="00F0222A">
        <w:t xml:space="preserve">We have considered various measures to manage </w:t>
      </w:r>
      <w:r w:rsidR="005A27EB" w:rsidRPr="00F0222A">
        <w:t>interference from two or more services deployed</w:t>
      </w:r>
      <w:r w:rsidRPr="00F0222A">
        <w:t xml:space="preserve"> at single (or nearby) premises. </w:t>
      </w:r>
      <w:r w:rsidR="00A43E52" w:rsidRPr="00F0222A">
        <w:t>Our current</w:t>
      </w:r>
      <w:r w:rsidR="00A43E52">
        <w:t xml:space="preserve"> proposal is to implement </w:t>
      </w:r>
      <w:r w:rsidR="00244F03">
        <w:t>the co-sited policy</w:t>
      </w:r>
      <w:r w:rsidR="00A43E52">
        <w:t xml:space="preserve"> </w:t>
      </w:r>
      <w:r w:rsidR="00244F03">
        <w:t xml:space="preserve">as </w:t>
      </w:r>
      <w:r w:rsidR="00A43E52">
        <w:t xml:space="preserve">detailed in </w:t>
      </w:r>
      <w:r w:rsidR="00244F03">
        <w:t xml:space="preserve">the </w:t>
      </w:r>
      <w:r w:rsidR="00244F03">
        <w:rPr>
          <w:i/>
          <w:iCs/>
        </w:rPr>
        <w:t xml:space="preserve">PMP </w:t>
      </w:r>
      <w:r w:rsidR="00244F03" w:rsidRPr="008049AF">
        <w:t xml:space="preserve">section </w:t>
      </w:r>
      <w:r w:rsidR="00244F03">
        <w:t>of this</w:t>
      </w:r>
      <w:r w:rsidR="00244F03">
        <w:rPr>
          <w:i/>
          <w:iCs/>
        </w:rPr>
        <w:t xml:space="preserve"> </w:t>
      </w:r>
      <w:r w:rsidR="00A43E52">
        <w:t xml:space="preserve">paper. This in </w:t>
      </w:r>
      <w:r w:rsidR="000B3CCE">
        <w:t>e</w:t>
      </w:r>
      <w:r w:rsidR="00A43E52">
        <w:t xml:space="preserve">ffect, provides a large degree of control to the owner of a private enterprise or body corporate regarding the deployment of infrastructure. </w:t>
      </w:r>
      <w:r w:rsidR="007A2E64">
        <w:t xml:space="preserve">However, it also provides flexibility </w:t>
      </w:r>
      <w:r w:rsidR="005A27EB">
        <w:t xml:space="preserve">on how to </w:t>
      </w:r>
      <w:r w:rsidR="007A2E64">
        <w:t xml:space="preserve">interference </w:t>
      </w:r>
      <w:r w:rsidR="005A27EB">
        <w:t>is managed</w:t>
      </w:r>
      <w:r w:rsidR="007A2E64">
        <w:t xml:space="preserve">. </w:t>
      </w:r>
    </w:p>
    <w:bookmarkEnd w:id="69"/>
    <w:p w14:paraId="4E79859F" w14:textId="2730231E" w:rsidR="008455A9" w:rsidRPr="00E162C4" w:rsidRDefault="008455A9" w:rsidP="008455A9">
      <w:pPr>
        <w:pStyle w:val="Heading3"/>
        <w:ind w:left="284"/>
      </w:pPr>
      <w:r>
        <w:t>Restrictions on HL WBB operation</w:t>
      </w:r>
    </w:p>
    <w:p w14:paraId="0A171E95" w14:textId="66E07471" w:rsidR="007A6024" w:rsidRDefault="00F90BC6" w:rsidP="008455A9">
      <w:pPr>
        <w:pStyle w:val="Paragraph"/>
        <w:numPr>
          <w:ilvl w:val="0"/>
          <w:numId w:val="68"/>
        </w:numPr>
        <w:spacing w:after="80"/>
      </w:pPr>
      <w:r>
        <w:t>Submissions supported the operation of r</w:t>
      </w:r>
      <w:r w:rsidR="007A6024">
        <w:t xml:space="preserve">emote and supplementary stations </w:t>
      </w:r>
      <w:r>
        <w:t>being on a ‘no interference and no protection’ basis.</w:t>
      </w:r>
    </w:p>
    <w:p w14:paraId="69BE3082" w14:textId="3D925818" w:rsidR="008455A9" w:rsidRDefault="008455A9" w:rsidP="008455A9">
      <w:pPr>
        <w:pStyle w:val="Paragraph"/>
        <w:numPr>
          <w:ilvl w:val="0"/>
          <w:numId w:val="68"/>
        </w:numPr>
        <w:spacing w:after="80"/>
      </w:pPr>
      <w:r>
        <w:t xml:space="preserve">Submissions supported adopting unwanted emission limits for base stations and user terminals </w:t>
      </w:r>
      <w:r w:rsidR="00F90BC6">
        <w:t xml:space="preserve">that align with </w:t>
      </w:r>
      <w:r>
        <w:t xml:space="preserve">the 3GPP 38 series of technical specifications. </w:t>
      </w:r>
      <w:r w:rsidR="00702AB9">
        <w:t xml:space="preserve">The joint satellite submission proposed adopting </w:t>
      </w:r>
      <w:proofErr w:type="gramStart"/>
      <w:r w:rsidR="00702AB9">
        <w:t xml:space="preserve">the </w:t>
      </w:r>
      <w:r w:rsidR="000B1110">
        <w:t xml:space="preserve"> Local</w:t>
      </w:r>
      <w:proofErr w:type="gramEnd"/>
      <w:r w:rsidR="000B1110">
        <w:t xml:space="preserve"> Area</w:t>
      </w:r>
      <w:r w:rsidR="00702AB9">
        <w:t xml:space="preserve"> </w:t>
      </w:r>
      <w:r w:rsidR="000B1110">
        <w:t xml:space="preserve">BS </w:t>
      </w:r>
      <w:r w:rsidR="00702AB9">
        <w:t xml:space="preserve">limits. </w:t>
      </w:r>
    </w:p>
    <w:p w14:paraId="19283469" w14:textId="0A9DC22E" w:rsidR="0029413F" w:rsidRDefault="0029413F" w:rsidP="0029413F">
      <w:pPr>
        <w:pStyle w:val="Paragraph"/>
        <w:numPr>
          <w:ilvl w:val="0"/>
          <w:numId w:val="68"/>
        </w:numPr>
        <w:spacing w:after="80"/>
      </w:pPr>
      <w:r>
        <w:t xml:space="preserve">Submissions generally supported the proposed </w:t>
      </w:r>
      <w:r w:rsidR="0053645A">
        <w:t>power spectral density (</w:t>
      </w:r>
      <w:r>
        <w:t>PSD</w:t>
      </w:r>
      <w:r w:rsidR="0053645A">
        <w:t>)</w:t>
      </w:r>
      <w:r>
        <w:t xml:space="preserve"> limit for HL WBB. </w:t>
      </w:r>
      <w:proofErr w:type="spellStart"/>
      <w:r>
        <w:t>Pivotel</w:t>
      </w:r>
      <w:proofErr w:type="spellEnd"/>
      <w:r>
        <w:t xml:space="preserve"> suggested reviewing this limit once demand is better understood. HPE suggested both conducted and EIRP limits be defined to manage the risk of interference and improve spectral efficiency. nbn were open to a higher PSD limit provided suitable </w:t>
      </w:r>
      <w:r w:rsidR="0053645A">
        <w:t>power flux density (</w:t>
      </w:r>
      <w:r>
        <w:t>PFD</w:t>
      </w:r>
      <w:r w:rsidR="0053645A">
        <w:t>)</w:t>
      </w:r>
      <w:r>
        <w:t xml:space="preserve"> limits were put in place</w:t>
      </w:r>
      <w:r w:rsidR="0046106E">
        <w:t xml:space="preserve"> at the boundary of urban areas</w:t>
      </w:r>
      <w:r>
        <w:t xml:space="preserve">. </w:t>
      </w:r>
    </w:p>
    <w:p w14:paraId="1C4A5448" w14:textId="5428ABF6" w:rsidR="00877F21" w:rsidRDefault="00877F21" w:rsidP="008455A9">
      <w:pPr>
        <w:pStyle w:val="Paragraph"/>
        <w:numPr>
          <w:ilvl w:val="0"/>
          <w:numId w:val="68"/>
        </w:numPr>
        <w:spacing w:after="80"/>
      </w:pPr>
      <w:bookmarkStart w:id="70" w:name="_Hlk160713828"/>
      <w:r>
        <w:t xml:space="preserve">Telstra indicated that it should be made </w:t>
      </w:r>
      <w:r w:rsidR="0029413F">
        <w:t xml:space="preserve">clear in a condition on the licence, </w:t>
      </w:r>
      <w:r>
        <w:t>that where HL WBB operates on a ‘no interference and no protection’ (NINP) basis to another service, this means there is no first-in-time protection.</w:t>
      </w:r>
      <w:r w:rsidR="0029413F">
        <w:t xml:space="preserve"> This is proposed to apply </w:t>
      </w:r>
      <w:r>
        <w:t xml:space="preserve">between neighbouring HL WBB operators. </w:t>
      </w:r>
      <w:r w:rsidR="0029413F">
        <w:t>Telstra also considered</w:t>
      </w:r>
      <w:r w:rsidR="0046106E">
        <w:t xml:space="preserve"> the NINP</w:t>
      </w:r>
      <w:r w:rsidR="0029413F">
        <w:t xml:space="preserve"> </w:t>
      </w:r>
      <w:r w:rsidR="0046106E">
        <w:t xml:space="preserve">criteria </w:t>
      </w:r>
      <w:r w:rsidR="0029413F">
        <w:t xml:space="preserve">should apply to possible future outdoor macro-stations in the 3400-3475 MHz band. </w:t>
      </w:r>
    </w:p>
    <w:p w14:paraId="2E0459DA" w14:textId="52870F2E" w:rsidR="00641B06" w:rsidRPr="00693626" w:rsidRDefault="00641B06" w:rsidP="00641B06">
      <w:pPr>
        <w:pStyle w:val="Paragraph"/>
        <w:numPr>
          <w:ilvl w:val="0"/>
          <w:numId w:val="68"/>
        </w:numPr>
        <w:spacing w:after="80"/>
      </w:pPr>
      <w:r w:rsidRPr="00693626">
        <w:t xml:space="preserve">There were different views on whether HL WBB should be limited to indoor only use. Telstra supported indoor only operation in the 3400-3475 MHz band and recommended it also be considered for the 3950-4000 MHz band. </w:t>
      </w:r>
      <w:r w:rsidRPr="008B1348">
        <w:t xml:space="preserve">Telstra argued that for </w:t>
      </w:r>
      <w:proofErr w:type="gramStart"/>
      <w:r w:rsidRPr="008B1348">
        <w:t>a number of</w:t>
      </w:r>
      <w:proofErr w:type="gramEnd"/>
      <w:r w:rsidRPr="008B1348">
        <w:t xml:space="preserve"> the use case scenarios identified by the ACMA, outdoor use would be better accommodated by Wi-Fi. </w:t>
      </w:r>
      <w:proofErr w:type="spellStart"/>
      <w:r>
        <w:t>Aqura</w:t>
      </w:r>
      <w:proofErr w:type="spellEnd"/>
      <w:r>
        <w:t xml:space="preserve">, DB Telecommunications, Optus and </w:t>
      </w:r>
      <w:proofErr w:type="spellStart"/>
      <w:r>
        <w:t>Pivotel</w:t>
      </w:r>
      <w:proofErr w:type="spellEnd"/>
      <w:r>
        <w:t xml:space="preserve"> supported both indoor and outdoor use cases. </w:t>
      </w:r>
      <w:proofErr w:type="spellStart"/>
      <w:r>
        <w:t>Aqura</w:t>
      </w:r>
      <w:proofErr w:type="spellEnd"/>
      <w:r>
        <w:t xml:space="preserve"> suggested that HL WBB operation around airports in the 3950-4000 MHz band could be limited to indoor only use until 31 March 2026 (when interim arrangements for </w:t>
      </w:r>
      <w:r w:rsidR="0053645A">
        <w:t>area-wide licences (</w:t>
      </w:r>
      <w:r>
        <w:t>AWLs</w:t>
      </w:r>
      <w:r w:rsidR="0053645A">
        <w:t>)</w:t>
      </w:r>
      <w:r>
        <w:t xml:space="preserve"> and spectrum licences</w:t>
      </w:r>
      <w:r w:rsidR="0053645A">
        <w:t xml:space="preserve"> (SLs)</w:t>
      </w:r>
      <w:r>
        <w:t xml:space="preserve"> to protect radio altimeters end).</w:t>
      </w:r>
    </w:p>
    <w:bookmarkEnd w:id="70"/>
    <w:p w14:paraId="42B66613" w14:textId="0D50375C" w:rsidR="00850D1F" w:rsidRDefault="00850D1F" w:rsidP="00850D1F">
      <w:pPr>
        <w:pStyle w:val="Paragraph"/>
        <w:numPr>
          <w:ilvl w:val="0"/>
          <w:numId w:val="68"/>
        </w:numPr>
        <w:spacing w:after="80"/>
      </w:pPr>
      <w:r>
        <w:lastRenderedPageBreak/>
        <w:t xml:space="preserve">Submissions supported the </w:t>
      </w:r>
      <w:r w:rsidR="0029413F">
        <w:t>use of</w:t>
      </w:r>
      <w:r>
        <w:t xml:space="preserve"> synchronisation</w:t>
      </w:r>
      <w:r w:rsidR="0029413F">
        <w:t xml:space="preserve"> to help manage interference</w:t>
      </w:r>
      <w:r>
        <w:t xml:space="preserve">. HPE indicated that there are numerous frame structures available, and requirements may change over time. They recommended the ACMA consider a synchronisation change mechanism and including a review every 3-5 years. </w:t>
      </w:r>
      <w:proofErr w:type="spellStart"/>
      <w:r>
        <w:t>Pivotel</w:t>
      </w:r>
      <w:proofErr w:type="spellEnd"/>
      <w:r>
        <w:t xml:space="preserve"> recommended that the fallback synchronisation requirement be compulsory for all outdoor base station</w:t>
      </w:r>
      <w:r w:rsidR="00BB1A96">
        <w:t>s</w:t>
      </w:r>
      <w:r>
        <w:t xml:space="preserve"> in the 3400-3475 MHz </w:t>
      </w:r>
      <w:proofErr w:type="gramStart"/>
      <w:r>
        <w:t>band, but</w:t>
      </w:r>
      <w:proofErr w:type="gramEnd"/>
      <w:r>
        <w:t xml:space="preserve"> should not be compulsory for indoor systems. AMTA, Telstra, Optus considered that the synchronisation requirement for HL WBB in the 3400-3475 MHz band should be to align with geographically adjacent spectrum licensees, rather than pointing to clause 11 of licence schedule 4 of existing spectrum licences.</w:t>
      </w:r>
      <w:r w:rsidR="000863BF">
        <w:t xml:space="preserve"> This would provide </w:t>
      </w:r>
      <w:r w:rsidR="00996375">
        <w:t xml:space="preserve">greater </w:t>
      </w:r>
      <w:r w:rsidR="000863BF">
        <w:t xml:space="preserve">flexibility for SLs to adopt more efficient frame structures in the future. Optus also argued that the obligation for HL WBB to synchronise should apply to </w:t>
      </w:r>
      <w:r w:rsidR="00DA704A">
        <w:t xml:space="preserve">both </w:t>
      </w:r>
      <w:r w:rsidR="000863BF">
        <w:t xml:space="preserve">adjacent area </w:t>
      </w:r>
      <w:r w:rsidR="00DA704A">
        <w:t>and</w:t>
      </w:r>
      <w:r w:rsidR="000863BF">
        <w:t xml:space="preserve"> adjacent band</w:t>
      </w:r>
      <w:r w:rsidR="00DA704A">
        <w:t xml:space="preserve"> SLs</w:t>
      </w:r>
      <w:r w:rsidR="000863BF">
        <w:t>. AMTA, Optus and Telstra stated</w:t>
      </w:r>
      <w:r>
        <w:t xml:space="preserve"> it should be made clear that HL WBB operate on a ‘no interference and no protection’ (NINP) basis to spectrum licences. Furthermore, it should be made clear that spectrum licensees (either adjacent area or adjacent band) are not required to adjust their frame structure to synchronise with HL WBB users.   </w:t>
      </w:r>
    </w:p>
    <w:p w14:paraId="65453F7B" w14:textId="7B559898" w:rsidR="00F03F1A" w:rsidRPr="00F92B87" w:rsidRDefault="00F03F1A" w:rsidP="00F03F1A">
      <w:pPr>
        <w:pStyle w:val="Paragraph"/>
        <w:numPr>
          <w:ilvl w:val="0"/>
          <w:numId w:val="68"/>
        </w:numPr>
        <w:spacing w:after="80"/>
      </w:pPr>
      <w:r w:rsidRPr="008049AF">
        <w:t xml:space="preserve">There was support for the application of </w:t>
      </w:r>
      <w:r w:rsidR="007A6024" w:rsidRPr="00F92B87">
        <w:t>PFD limit</w:t>
      </w:r>
      <w:r w:rsidRPr="008049AF">
        <w:t>s. DB Telecommunications noted possible issues with modelling PFD levels at the boundary of a premise</w:t>
      </w:r>
      <w:r w:rsidR="00536CBB">
        <w:t>s</w:t>
      </w:r>
      <w:r w:rsidRPr="008049AF">
        <w:t xml:space="preserve"> due to uncertainties with building penetration losses. Consequently, measurements may be the only viable solution. AMTA questioned whether such a precise PFD limit is required at the urban </w:t>
      </w:r>
      <w:r w:rsidRPr="00F92B87">
        <w:t>excise boundary and what was meant by ‘</w:t>
      </w:r>
      <w:r w:rsidR="00F92B87" w:rsidRPr="00F92B87">
        <w:t>aggregate</w:t>
      </w:r>
      <w:r w:rsidRPr="00F92B87">
        <w:t xml:space="preserve">’ PFD. They suggested </w:t>
      </w:r>
      <w:r w:rsidR="00F92B87" w:rsidRPr="00F92B87">
        <w:t xml:space="preserve">that either a simple site-to-site coordination method or device boundary style calculation could be used instead. </w:t>
      </w:r>
      <w:r w:rsidR="00F06A8E">
        <w:t>To protect nbn services in the 3400-3475 MHz band</w:t>
      </w:r>
      <w:r w:rsidR="00F06A8E" w:rsidRPr="00F06A8E">
        <w:t xml:space="preserve">, </w:t>
      </w:r>
      <w:r w:rsidR="00F06A8E" w:rsidRPr="008049AF">
        <w:t xml:space="preserve">HPE and </w:t>
      </w:r>
      <w:proofErr w:type="spellStart"/>
      <w:r w:rsidR="00F06A8E" w:rsidRPr="008049AF">
        <w:t>Pivotel</w:t>
      </w:r>
      <w:proofErr w:type="spellEnd"/>
      <w:r w:rsidR="00F06A8E" w:rsidRPr="008049AF">
        <w:t xml:space="preserve"> supported the Option 3 (unsynchronised) PFD approach</w:t>
      </w:r>
      <w:r w:rsidR="00F06A8E" w:rsidRPr="00F06A8E">
        <w:t>, while</w:t>
      </w:r>
      <w:r w:rsidR="00F06A8E">
        <w:t xml:space="preserve"> nbn were concerned with this option due to the proximity of some of their services to urban excise boundaries. </w:t>
      </w:r>
    </w:p>
    <w:p w14:paraId="7A811BA5" w14:textId="77CA3553" w:rsidR="007A6024" w:rsidRPr="008049AF" w:rsidRDefault="00EB4E06" w:rsidP="008455A9">
      <w:pPr>
        <w:pStyle w:val="Paragraph"/>
        <w:numPr>
          <w:ilvl w:val="0"/>
          <w:numId w:val="68"/>
        </w:numPr>
        <w:spacing w:after="80"/>
      </w:pPr>
      <w:r w:rsidRPr="008049AF">
        <w:t>Submissions supported the concept of a r</w:t>
      </w:r>
      <w:r w:rsidR="00597197" w:rsidRPr="00EB4E06">
        <w:t>estricted use band</w:t>
      </w:r>
      <w:r w:rsidRPr="008049AF">
        <w:t xml:space="preserve"> (RB). However, there were different views on how big it should be. </w:t>
      </w:r>
      <w:proofErr w:type="spellStart"/>
      <w:r w:rsidRPr="008049AF">
        <w:t>Pivotel</w:t>
      </w:r>
      <w:proofErr w:type="spellEnd"/>
      <w:r w:rsidRPr="008049AF">
        <w:t xml:space="preserve"> recommended the RB be 5 MHz due to the limited spectrum available and the proposed PSD limit. AMTA, </w:t>
      </w:r>
      <w:proofErr w:type="spellStart"/>
      <w:r w:rsidRPr="008049AF">
        <w:t>Aqura</w:t>
      </w:r>
      <w:proofErr w:type="spellEnd"/>
      <w:r w:rsidRPr="008049AF">
        <w:t xml:space="preserve">, Optus and Telstra supported a 15 MHz RB. They argued smaller bandwidths would not be sufficient to manage interference from high powered services operating above 3475 MHz.  </w:t>
      </w:r>
    </w:p>
    <w:p w14:paraId="0DF11FDE" w14:textId="6CF4F400" w:rsidR="00EB4E06" w:rsidRPr="008376B7" w:rsidRDefault="008376B7" w:rsidP="008455A9">
      <w:pPr>
        <w:pStyle w:val="Paragraph"/>
        <w:numPr>
          <w:ilvl w:val="0"/>
          <w:numId w:val="68"/>
        </w:numPr>
        <w:spacing w:after="80"/>
      </w:pPr>
      <w:proofErr w:type="spellStart"/>
      <w:r w:rsidRPr="008B1348">
        <w:t>Aqura</w:t>
      </w:r>
      <w:proofErr w:type="spellEnd"/>
      <w:r w:rsidRPr="008B1348">
        <w:t xml:space="preserve"> agreed with the </w:t>
      </w:r>
      <w:r>
        <w:t xml:space="preserve">ACMA </w:t>
      </w:r>
      <w:r w:rsidRPr="008B1348">
        <w:t xml:space="preserve">proposal that </w:t>
      </w:r>
      <w:r w:rsidRPr="008376B7">
        <w:t xml:space="preserve">any use of </w:t>
      </w:r>
      <w:r w:rsidR="00BB1A96">
        <w:t xml:space="preserve">an </w:t>
      </w:r>
      <w:r w:rsidRPr="008376B7">
        <w:t>RB comes with the risk that the licensee may need to modify or cease operation at any time to manage interference</w:t>
      </w:r>
      <w:r>
        <w:t xml:space="preserve">. </w:t>
      </w:r>
      <w:r w:rsidRPr="008049AF">
        <w:t xml:space="preserve">AMTA, </w:t>
      </w:r>
      <w:r w:rsidR="00EB4E06" w:rsidRPr="008049AF">
        <w:t>Optus</w:t>
      </w:r>
      <w:r w:rsidRPr="008049AF">
        <w:t xml:space="preserve"> and Telstra</w:t>
      </w:r>
      <w:r w:rsidR="00EB4E06" w:rsidRPr="008049AF">
        <w:t xml:space="preserve"> </w:t>
      </w:r>
      <w:r w:rsidRPr="008049AF">
        <w:t>recommended that access to the R</w:t>
      </w:r>
      <w:r w:rsidR="00BB1A96">
        <w:t>B</w:t>
      </w:r>
      <w:r w:rsidRPr="008049AF">
        <w:t xml:space="preserve"> only be permitted with agreement of the adjacent band spectrum licensee. </w:t>
      </w:r>
    </w:p>
    <w:p w14:paraId="57AE3EB0" w14:textId="776EDD4C" w:rsidR="00DF3ACD" w:rsidRPr="00E0400E" w:rsidRDefault="00DF3ACD" w:rsidP="00DF3ACD">
      <w:pPr>
        <w:pStyle w:val="Heading4"/>
        <w:spacing w:after="60"/>
      </w:pPr>
      <w:r w:rsidRPr="00F0222A">
        <w:t xml:space="preserve">ACMA </w:t>
      </w:r>
      <w:r w:rsidR="0056504D" w:rsidRPr="00F0222A">
        <w:t xml:space="preserve">staff </w:t>
      </w:r>
      <w:r w:rsidRPr="00F0222A">
        <w:t>response</w:t>
      </w:r>
    </w:p>
    <w:p w14:paraId="4C00E0DE" w14:textId="5381CC10" w:rsidR="00A8617B" w:rsidRDefault="00A8617B" w:rsidP="00A8617B">
      <w:pPr>
        <w:pStyle w:val="Paragraph"/>
        <w:numPr>
          <w:ilvl w:val="0"/>
          <w:numId w:val="69"/>
        </w:numPr>
        <w:spacing w:after="80"/>
      </w:pPr>
      <w:r>
        <w:t>Based on submissions, no further changes are proposed to the arrangements for remote and supplementary stations.</w:t>
      </w:r>
    </w:p>
    <w:p w14:paraId="52A7DA86" w14:textId="53B1FD10" w:rsidR="00DF3ACD" w:rsidRDefault="00F9657D" w:rsidP="00DF3ACD">
      <w:pPr>
        <w:pStyle w:val="Paragraph"/>
        <w:numPr>
          <w:ilvl w:val="0"/>
          <w:numId w:val="69"/>
        </w:numPr>
        <w:spacing w:after="80"/>
      </w:pPr>
      <w:r>
        <w:t>Except when</w:t>
      </w:r>
      <w:r w:rsidR="00A8617B">
        <w:t xml:space="preserve"> required for coexistence reasons, we propose adopting the unwanted emission limits for base stations and user terminals defined in </w:t>
      </w:r>
      <w:r w:rsidR="00D90962">
        <w:t xml:space="preserve">the </w:t>
      </w:r>
      <w:r w:rsidR="00A8617B">
        <w:t xml:space="preserve">3GPP 38 series of technical specifications. </w:t>
      </w:r>
      <w:r>
        <w:t xml:space="preserve">Further thought is </w:t>
      </w:r>
      <w:r w:rsidR="00CB4A81">
        <w:t xml:space="preserve">needed </w:t>
      </w:r>
      <w:r>
        <w:t xml:space="preserve">on whether to align with </w:t>
      </w:r>
      <w:r w:rsidR="00DA704A">
        <w:t xml:space="preserve">either </w:t>
      </w:r>
      <w:r w:rsidR="000B1110">
        <w:t>Local Area</w:t>
      </w:r>
      <w:r>
        <w:t xml:space="preserve"> or </w:t>
      </w:r>
      <w:r w:rsidR="00561526">
        <w:t>Medium Range</w:t>
      </w:r>
      <w:r>
        <w:t xml:space="preserve"> base station </w:t>
      </w:r>
      <w:r w:rsidR="00561526">
        <w:t xml:space="preserve">(BS) </w:t>
      </w:r>
      <w:r>
        <w:t xml:space="preserve">requirements. </w:t>
      </w:r>
      <w:r w:rsidR="00877695">
        <w:t xml:space="preserve">Currently it is proposed to adopt the </w:t>
      </w:r>
      <w:r w:rsidR="00561526">
        <w:t>Medium Range</w:t>
      </w:r>
      <w:r w:rsidR="00877695">
        <w:t xml:space="preserve"> </w:t>
      </w:r>
      <w:r w:rsidR="00561526">
        <w:t xml:space="preserve">BS </w:t>
      </w:r>
      <w:r w:rsidR="00877695">
        <w:t xml:space="preserve">limits as this provides greater flexibility in equipment choice. </w:t>
      </w:r>
      <w:r w:rsidR="00A8617B">
        <w:t>We note that the level o</w:t>
      </w:r>
      <w:r>
        <w:t>f</w:t>
      </w:r>
      <w:r w:rsidR="00A8617B">
        <w:t xml:space="preserve"> unwanted emissions in the 4200-4400 MHz band requires further consideration due to possible coexistence issues with radio altimeters.</w:t>
      </w:r>
    </w:p>
    <w:p w14:paraId="43CFF8A2" w14:textId="4BBA9007" w:rsidR="00B347C0" w:rsidRDefault="00B0130C" w:rsidP="00DF3ACD">
      <w:pPr>
        <w:pStyle w:val="Paragraph"/>
        <w:numPr>
          <w:ilvl w:val="0"/>
          <w:numId w:val="69"/>
        </w:numPr>
        <w:spacing w:after="80"/>
      </w:pPr>
      <w:r>
        <w:t>No further changes are proposed to the PSD limit. This limit can be reviewed in the future as demand is better understood or as use cases for HL WBB evolve. We do not intend to define both conducted and EIRP limits</w:t>
      </w:r>
      <w:r w:rsidR="008F51C6">
        <w:t xml:space="preserve"> as it is</w:t>
      </w:r>
      <w:r>
        <w:t xml:space="preserve"> not </w:t>
      </w:r>
      <w:r>
        <w:lastRenderedPageBreak/>
        <w:t xml:space="preserve">clear how </w:t>
      </w:r>
      <w:r w:rsidR="008F51C6">
        <w:t xml:space="preserve">doing so would reduce the risk of interference and improve spectral efficiency. </w:t>
      </w:r>
      <w:r>
        <w:t xml:space="preserve">We consider a </w:t>
      </w:r>
      <w:r w:rsidR="00F23DB4">
        <w:t xml:space="preserve">PSD </w:t>
      </w:r>
      <w:r>
        <w:t xml:space="preserve">limit </w:t>
      </w:r>
      <w:r w:rsidR="008F51C6">
        <w:t xml:space="preserve">alone </w:t>
      </w:r>
      <w:r>
        <w:t>is</w:t>
      </w:r>
      <w:r w:rsidR="008F51C6">
        <w:t xml:space="preserve"> sufficient to </w:t>
      </w:r>
      <w:r w:rsidR="0068552B">
        <w:t>address</w:t>
      </w:r>
      <w:r w:rsidR="008F51C6">
        <w:t xml:space="preserve"> these issues</w:t>
      </w:r>
      <w:r>
        <w:t>.</w:t>
      </w:r>
    </w:p>
    <w:p w14:paraId="480A5D9C" w14:textId="2ED9DCB3" w:rsidR="00F9657D" w:rsidRDefault="004C5285" w:rsidP="00DF3ACD">
      <w:pPr>
        <w:pStyle w:val="Paragraph"/>
        <w:numPr>
          <w:ilvl w:val="0"/>
          <w:numId w:val="69"/>
        </w:numPr>
        <w:spacing w:after="80"/>
      </w:pPr>
      <w:r>
        <w:t>Numerous submissions expressed</w:t>
      </w:r>
      <w:r w:rsidR="00B347C0">
        <w:t xml:space="preserve"> interest in </w:t>
      </w:r>
      <w:r>
        <w:t>supporting both</w:t>
      </w:r>
      <w:r w:rsidR="00B347C0">
        <w:t xml:space="preserve"> indoor and outdoor </w:t>
      </w:r>
      <w:r>
        <w:t xml:space="preserve">HL WBB </w:t>
      </w:r>
      <w:r w:rsidR="00B347C0">
        <w:t xml:space="preserve">operations. We consider this can be supported in the 3950-4000 MHz band, </w:t>
      </w:r>
      <w:r>
        <w:t>noting</w:t>
      </w:r>
      <w:r w:rsidR="00B347C0">
        <w:t xml:space="preserve"> further discussion is required on whether any restrictions on operation (such as limiting to indoor only use) are required around airports. </w:t>
      </w:r>
      <w:r w:rsidR="00835EF6">
        <w:t>We are open to f</w:t>
      </w:r>
      <w:r w:rsidR="00B347C0">
        <w:t>urther discussion on whether HL WBB use in the 3400-3475 MHz band should support both indoor and outdoor operations. Our current view is to limit operation to indoor only, however</w:t>
      </w:r>
      <w:r w:rsidR="00835EF6">
        <w:t>,</w:t>
      </w:r>
      <w:r w:rsidR="00B347C0">
        <w:t xml:space="preserve"> this could be reviewed in the future. This would allow time for demand</w:t>
      </w:r>
      <w:r w:rsidR="003D0B35">
        <w:t xml:space="preserve"> and use cases</w:t>
      </w:r>
      <w:r w:rsidR="00B347C0">
        <w:t xml:space="preserve"> for HL WBB to be better understood as well as providing a better understanding of the ability for HL WBB to coexist with nbn services (based on real world deployments).  </w:t>
      </w:r>
    </w:p>
    <w:p w14:paraId="2775DD70" w14:textId="14D97175" w:rsidR="0049044B" w:rsidRDefault="00D0557C" w:rsidP="00DF3ACD">
      <w:pPr>
        <w:pStyle w:val="Paragraph"/>
        <w:numPr>
          <w:ilvl w:val="0"/>
          <w:numId w:val="69"/>
        </w:numPr>
        <w:spacing w:after="80"/>
      </w:pPr>
      <w:r>
        <w:t xml:space="preserve">The arrangements proposed for HL WBB in V1.0 of the TLG paper intended that HL WBB would operate on a NINP basis to other HL WBB licences and SLs. We confirm this means that HL WBB is not provided first-in-time protection for those cases. This can be made clear in the soon to be developed HL WBB RALI as well as the relevant licence condition determination. At this stage we do not consider it appropriate to extend such measures to possible future macro stations in the 3400-3475 MHz band. As mentioned previously that issue is not within scope of this TLG. </w:t>
      </w:r>
    </w:p>
    <w:p w14:paraId="01855317" w14:textId="10987ED4" w:rsidR="002A2AB6" w:rsidRPr="008B1348" w:rsidRDefault="00641B06" w:rsidP="002A2AB6">
      <w:pPr>
        <w:pStyle w:val="Paragraph"/>
        <w:numPr>
          <w:ilvl w:val="0"/>
          <w:numId w:val="69"/>
        </w:numPr>
        <w:spacing w:after="80"/>
      </w:pPr>
      <w:r>
        <w:t>W</w:t>
      </w:r>
      <w:r w:rsidR="002A2AB6" w:rsidRPr="008B1348">
        <w:t xml:space="preserve">e see benefit in considering different synchronisation requirements in the 3400-3475 MHz and 3950-4000 MHz bands. For any arrangements developed, we recognise that technology and use cases will evolve over time and a periodic review </w:t>
      </w:r>
      <w:r w:rsidR="004B4D93">
        <w:t>would</w:t>
      </w:r>
      <w:r w:rsidR="002A2AB6" w:rsidRPr="008B1348">
        <w:t xml:space="preserve"> be beneficial.</w:t>
      </w:r>
      <w:r w:rsidR="00D21950">
        <w:t xml:space="preserve"> The mechanism to do this would be via a public consultation, possibly preceded by a TLG or other fora, to propose amendments to either conditions on licences or the relevant licence condition determination instrument. Advisory notes could be incorporated on licences (and/or the licence condition determination) so licensees are aware that the synchronisation requirement </w:t>
      </w:r>
      <w:r w:rsidR="00DA704A">
        <w:t>c</w:t>
      </w:r>
      <w:r w:rsidR="00D21950">
        <w:t>ould be reviewed and may change in the future.</w:t>
      </w:r>
      <w:r w:rsidR="004B4D93">
        <w:t xml:space="preserve"> We do not currently propose a definitive timeframe for any review but will continue to monitor development</w:t>
      </w:r>
      <w:r w:rsidR="00B6531C">
        <w:t>s</w:t>
      </w:r>
      <w:r w:rsidR="004B4D93">
        <w:t xml:space="preserve"> and consider feedback from stakeholders (including to the FYSO) when deciding on future work plans. </w:t>
      </w:r>
      <w:r w:rsidR="00D21950">
        <w:t xml:space="preserve">  </w:t>
      </w:r>
    </w:p>
    <w:p w14:paraId="4D5EC574" w14:textId="77777777" w:rsidR="00702AB9" w:rsidRDefault="002A2AB6" w:rsidP="00702AB9">
      <w:pPr>
        <w:pStyle w:val="Paragraph"/>
        <w:numPr>
          <w:ilvl w:val="1"/>
          <w:numId w:val="69"/>
        </w:numPr>
        <w:spacing w:after="80"/>
      </w:pPr>
      <w:r w:rsidRPr="008B1348">
        <w:rPr>
          <w:u w:val="single"/>
        </w:rPr>
        <w:t>3400-3475 MHz:</w:t>
      </w:r>
      <w:r w:rsidRPr="008B1348">
        <w:t xml:space="preserve"> </w:t>
      </w:r>
      <w:r w:rsidR="00996375">
        <w:t>To provide flexibility to SLs to implement different frame structures (when nbn migrates to 5G or as technology and use cases evolve over time) we propose adopting the measures proposed by AMTA, Optus and Telstra</w:t>
      </w:r>
      <w:r w:rsidR="004C5285">
        <w:t>.</w:t>
      </w:r>
      <w:r w:rsidR="00B61175">
        <w:t xml:space="preserve"> That is, rather than applying the synchronisation requirement detailed on spectrum licences, HL WBB would operate a NINP basis to all SLs</w:t>
      </w:r>
      <w:r w:rsidR="006A4C3D">
        <w:t xml:space="preserve">. </w:t>
      </w:r>
      <w:r w:rsidR="00B61175">
        <w:t xml:space="preserve">This condition would be specified either on the licence or in the relevant licence condition determination. It means the obligation would be on HL WBB users to implement measures to manage interference, including synchronising with adjacent area/frequency SLs. </w:t>
      </w:r>
    </w:p>
    <w:p w14:paraId="5CD0D924" w14:textId="731D7D59" w:rsidR="00702AB9" w:rsidRDefault="00702AB9" w:rsidP="00EE4132">
      <w:pPr>
        <w:pStyle w:val="Paragraph"/>
        <w:spacing w:after="80"/>
        <w:ind w:left="1440"/>
      </w:pPr>
      <w:r>
        <w:t xml:space="preserve">Further consideration is required on how to make this approach work in practice. Specifically, what process should be used to manage a change in frame structure. Our current proposal is that the adjacent area SL (nbn) notify the ACMA of its intention to change frame structure ‘X’ months (TBD) before it occurs. The ACMA can then notify APs and relevant licensees. The intention being to provide them with reasonable warning to implement changes and minimise impact on services.  </w:t>
      </w:r>
    </w:p>
    <w:p w14:paraId="6B3C13AD" w14:textId="5327346F" w:rsidR="006A4C3D" w:rsidRDefault="00702AB9" w:rsidP="00702AB9">
      <w:pPr>
        <w:pStyle w:val="Paragraph"/>
        <w:numPr>
          <w:ilvl w:val="1"/>
          <w:numId w:val="69"/>
        </w:numPr>
        <w:spacing w:after="80"/>
      </w:pPr>
      <w:r>
        <w:t xml:space="preserve">Feedback from the TLG is sought on this approach or any alternative proposals (e.g. whether such a process is even needed). We are also interested in views on how many months before the change the adjacent area SL should notify the ACMA. </w:t>
      </w:r>
      <w:r w:rsidR="00B32960">
        <w:t xml:space="preserve"> </w:t>
      </w:r>
      <w:r w:rsidR="00B61175">
        <w:t xml:space="preserve"> </w:t>
      </w:r>
    </w:p>
    <w:p w14:paraId="64B95F50" w14:textId="0694A194" w:rsidR="002A2AB6" w:rsidRPr="008B1348" w:rsidRDefault="002A2AB6" w:rsidP="002A2AB6">
      <w:pPr>
        <w:pStyle w:val="Paragraph"/>
        <w:numPr>
          <w:ilvl w:val="1"/>
          <w:numId w:val="69"/>
        </w:numPr>
        <w:spacing w:after="80"/>
      </w:pPr>
      <w:r w:rsidRPr="008B1348">
        <w:rPr>
          <w:u w:val="single"/>
        </w:rPr>
        <w:lastRenderedPageBreak/>
        <w:t>3950-4000 MHz:</w:t>
      </w:r>
      <w:r w:rsidRPr="008B1348">
        <w:t xml:space="preserve"> </w:t>
      </w:r>
      <w:r w:rsidR="00D55770">
        <w:t xml:space="preserve">There was no opposition to adopting the </w:t>
      </w:r>
      <w:r w:rsidRPr="008B1348">
        <w:t xml:space="preserve">same synchronisation fallback requirements as defined for AWLs. No changes are proposed. </w:t>
      </w:r>
      <w:r w:rsidR="00B32960">
        <w:t>We note that</w:t>
      </w:r>
      <w:r w:rsidR="004B4D93">
        <w:t xml:space="preserve"> any future review of this arrangement would </w:t>
      </w:r>
      <w:r w:rsidR="00B32960">
        <w:t xml:space="preserve">also </w:t>
      </w:r>
      <w:r w:rsidR="004B4D93">
        <w:t xml:space="preserve">need to include a broader consideration of the synchronisation requirement for AWLs. </w:t>
      </w:r>
    </w:p>
    <w:p w14:paraId="6DABA8E8" w14:textId="659ED897" w:rsidR="00A33F8A" w:rsidRDefault="00A33F8A" w:rsidP="00675F21">
      <w:pPr>
        <w:pStyle w:val="Paragraph"/>
        <w:numPr>
          <w:ilvl w:val="0"/>
          <w:numId w:val="69"/>
        </w:numPr>
        <w:spacing w:after="80"/>
      </w:pPr>
      <w:r>
        <w:t>After considering submissions we propose the following amendments to the proposed PFD limits:</w:t>
      </w:r>
    </w:p>
    <w:p w14:paraId="3DB78549" w14:textId="44B2247C" w:rsidR="002A0A3B" w:rsidRDefault="00A33F8A" w:rsidP="00A33F8A">
      <w:pPr>
        <w:pStyle w:val="Paragraph"/>
        <w:numPr>
          <w:ilvl w:val="1"/>
          <w:numId w:val="69"/>
        </w:numPr>
        <w:spacing w:after="80"/>
      </w:pPr>
      <w:r w:rsidRPr="008049AF">
        <w:rPr>
          <w:u w:val="single"/>
        </w:rPr>
        <w:t>PFD limit at the boundary of a controlled premise</w:t>
      </w:r>
      <w:r w:rsidR="00C92499">
        <w:rPr>
          <w:u w:val="single"/>
        </w:rPr>
        <w:t>s</w:t>
      </w:r>
      <w:r w:rsidRPr="008049AF">
        <w:rPr>
          <w:u w:val="single"/>
        </w:rPr>
        <w:t>:</w:t>
      </w:r>
      <w:r>
        <w:t xml:space="preserve"> </w:t>
      </w:r>
      <w:r w:rsidR="002A0A3B">
        <w:t xml:space="preserve">The term ‘aggregate’ PFD was intended to apply to all devices deployed at a single premise. It formed part of the proposal presented to the 2021 TLG. However, we had not intended to include it as part of the measures proposed in this paper. Its inclusion in the summary of proposed arrangements was due to a simple copy-and-paste error. We have corrected this mistake for both PFD limits. </w:t>
      </w:r>
    </w:p>
    <w:p w14:paraId="4EFD33E8" w14:textId="5DFE5607" w:rsidR="00156E21" w:rsidRDefault="00A33F8A" w:rsidP="008049AF">
      <w:pPr>
        <w:pStyle w:val="Paragraph"/>
        <w:spacing w:after="80"/>
        <w:ind w:left="1440"/>
      </w:pPr>
      <w:r>
        <w:t>To address issues with modelling PFD limits for indoor systems, we propose using a standard value of 14 dB for building penetration loss</w:t>
      </w:r>
      <w:r w:rsidR="00156E21">
        <w:t xml:space="preserve"> (BPL)</w:t>
      </w:r>
      <w:r>
        <w:t xml:space="preserve">. Of course, </w:t>
      </w:r>
      <w:r w:rsidR="00156E21">
        <w:t xml:space="preserve">alternative values can be used where better information is available (for example in cases where penetration losses are greater than 14 dB). Applicants would also be free to use measurements </w:t>
      </w:r>
      <w:r w:rsidR="002A0A3B">
        <w:t>for</w:t>
      </w:r>
      <w:r w:rsidR="00156E21">
        <w:t xml:space="preserve"> their assessment. The value of 14 dB is based on the value </w:t>
      </w:r>
      <w:hyperlink r:id="rId37" w:history="1">
        <w:r w:rsidR="00156E21" w:rsidRPr="00156E21">
          <w:rPr>
            <w:rStyle w:val="Hyperlink"/>
          </w:rPr>
          <w:t>proposed by Ofcom</w:t>
        </w:r>
      </w:hyperlink>
      <w:r w:rsidR="00156E21">
        <w:t xml:space="preserve"> for interference calculations involving HL WBB use in the 3800-4200 MHz. </w:t>
      </w:r>
      <w:r w:rsidR="002A0A3B">
        <w:t>It is noted that t</w:t>
      </w:r>
      <w:r w:rsidR="00156E21">
        <w:t>he protection level Ofcom propose</w:t>
      </w:r>
      <w:r w:rsidR="002A0A3B">
        <w:t>d</w:t>
      </w:r>
      <w:r w:rsidR="00156E21">
        <w:t xml:space="preserve"> is </w:t>
      </w:r>
      <w:r w:rsidR="00936EEB">
        <w:noBreakHyphen/>
      </w:r>
      <w:r w:rsidR="00156E21">
        <w:t>88</w:t>
      </w:r>
      <w:r w:rsidR="00936EEB">
        <w:t> </w:t>
      </w:r>
      <w:r w:rsidR="00156E21">
        <w:t>dBm/20</w:t>
      </w:r>
      <w:r w:rsidR="00936EEB">
        <w:t> </w:t>
      </w:r>
      <w:r w:rsidR="00156E21">
        <w:t xml:space="preserve">MHz, which is </w:t>
      </w:r>
      <w:proofErr w:type="gramStart"/>
      <w:r w:rsidR="00156E21">
        <w:t>similar to</w:t>
      </w:r>
      <w:proofErr w:type="gramEnd"/>
      <w:r w:rsidR="00156E21">
        <w:t xml:space="preserve"> the level of </w:t>
      </w:r>
      <w:r w:rsidR="00936EEB">
        <w:t>-</w:t>
      </w:r>
      <w:r w:rsidR="00156E21">
        <w:t>101.5 MHz dBm/MHz proposed in this paper</w:t>
      </w:r>
      <w:r w:rsidR="00936EEB">
        <w:t xml:space="preserve"> and is also based on synchronised operation</w:t>
      </w:r>
      <w:r w:rsidR="00156E21">
        <w:t>.</w:t>
      </w:r>
    </w:p>
    <w:p w14:paraId="60B7B628" w14:textId="64673306" w:rsidR="00A33F8A" w:rsidRDefault="002A0A3B" w:rsidP="008049AF">
      <w:pPr>
        <w:pStyle w:val="Paragraph"/>
        <w:spacing w:after="80"/>
        <w:ind w:left="1440"/>
      </w:pPr>
      <w:r>
        <w:t xml:space="preserve">We recognise </w:t>
      </w:r>
      <w:r w:rsidR="00156E21">
        <w:t xml:space="preserve">that assuming a 14 dB BPL may underestimate </w:t>
      </w:r>
      <w:r w:rsidR="00D00AC3">
        <w:t>interference</w:t>
      </w:r>
      <w:r w:rsidR="00156E21">
        <w:t xml:space="preserve"> in some cases. However, the PFD limit is only intended to improve </w:t>
      </w:r>
      <w:r>
        <w:t xml:space="preserve">coexistence between </w:t>
      </w:r>
      <w:r w:rsidR="00156E21">
        <w:t xml:space="preserve">HL WBB systems. It is not </w:t>
      </w:r>
      <w:r w:rsidR="00D00AC3">
        <w:t xml:space="preserve">expected to manage interference in all cases. </w:t>
      </w:r>
      <w:r w:rsidR="00936EEB">
        <w:t>Under this arrangement, i</w:t>
      </w:r>
      <w:r w:rsidR="00D00AC3">
        <w:t>n the event of interference, licensees will need to agree on suitable measures to manage it. If agreement is not forthcoming, then the synchronisation</w:t>
      </w:r>
      <w:r w:rsidR="00641B06">
        <w:t xml:space="preserve"> requirement </w:t>
      </w:r>
      <w:r w:rsidR="00D00AC3">
        <w:t>appl</w:t>
      </w:r>
      <w:r w:rsidR="00936EEB">
        <w:t>ies</w:t>
      </w:r>
      <w:r w:rsidR="00D00AC3">
        <w:t xml:space="preserve">.  </w:t>
      </w:r>
      <w:r w:rsidR="00156E21">
        <w:t xml:space="preserve">    </w:t>
      </w:r>
    </w:p>
    <w:p w14:paraId="0DF506EF" w14:textId="295BA1CA" w:rsidR="00A33F8A" w:rsidRDefault="00A33F8A" w:rsidP="008049AF">
      <w:pPr>
        <w:pStyle w:val="Paragraph"/>
        <w:numPr>
          <w:ilvl w:val="1"/>
          <w:numId w:val="69"/>
        </w:numPr>
        <w:spacing w:after="80"/>
      </w:pPr>
      <w:r w:rsidRPr="008049AF">
        <w:rPr>
          <w:u w:val="single"/>
        </w:rPr>
        <w:t xml:space="preserve">PFD limit at </w:t>
      </w:r>
      <w:r w:rsidR="002A0A3B">
        <w:rPr>
          <w:u w:val="single"/>
        </w:rPr>
        <w:t xml:space="preserve">the </w:t>
      </w:r>
      <w:r w:rsidRPr="008049AF">
        <w:rPr>
          <w:u w:val="single"/>
        </w:rPr>
        <w:t xml:space="preserve">boundary </w:t>
      </w:r>
      <w:r w:rsidR="002A0A3B">
        <w:rPr>
          <w:u w:val="single"/>
        </w:rPr>
        <w:t xml:space="preserve">of urban areas </w:t>
      </w:r>
      <w:r w:rsidRPr="008049AF">
        <w:rPr>
          <w:u w:val="single"/>
        </w:rPr>
        <w:t>(3400-3475 MHz band only)</w:t>
      </w:r>
      <w:r w:rsidR="00936EEB" w:rsidRPr="008049AF">
        <w:rPr>
          <w:u w:val="single"/>
        </w:rPr>
        <w:t>:</w:t>
      </w:r>
      <w:r w:rsidR="00936EEB">
        <w:t xml:space="preserve"> </w:t>
      </w:r>
      <w:r w:rsidR="002A0A3B">
        <w:t xml:space="preserve">To address comments on simplifying this requirement, we </w:t>
      </w:r>
      <w:r w:rsidR="001E3AF0">
        <w:t xml:space="preserve">have included options for </w:t>
      </w:r>
      <w:r w:rsidR="002A0A3B">
        <w:t>direct HL WBB base station (BS) to nbn BS coordination</w:t>
      </w:r>
      <w:r w:rsidR="001E3AF0">
        <w:t xml:space="preserve"> and a device boundary </w:t>
      </w:r>
      <w:r w:rsidR="002036DB">
        <w:t>criterion (DBC)</w:t>
      </w:r>
      <w:r w:rsidR="002A0A3B">
        <w:t xml:space="preserve">. </w:t>
      </w:r>
      <w:r w:rsidR="0049044B">
        <w:t>Any arrangements will assume services are synchronised with SLs.</w:t>
      </w:r>
      <w:r w:rsidR="002036DB">
        <w:t xml:space="preserve"> </w:t>
      </w:r>
      <w:r w:rsidR="002A0A3B">
        <w:t xml:space="preserve"> </w:t>
      </w:r>
      <w:r w:rsidR="00936EEB">
        <w:t xml:space="preserve">  </w:t>
      </w:r>
    </w:p>
    <w:p w14:paraId="06ED6B77" w14:textId="55711125" w:rsidR="00E8574F" w:rsidRPr="008049AF" w:rsidRDefault="003D0B35" w:rsidP="008049AF">
      <w:pPr>
        <w:pStyle w:val="Paragraph"/>
        <w:numPr>
          <w:ilvl w:val="0"/>
          <w:numId w:val="69"/>
        </w:numPr>
      </w:pPr>
      <w:r w:rsidRPr="008049AF">
        <w:t xml:space="preserve">After reviewing submissions, we consider that a 15 MHz RB would be </w:t>
      </w:r>
      <w:r w:rsidR="00E8574F" w:rsidRPr="008049AF">
        <w:t>appropriate</w:t>
      </w:r>
      <w:r w:rsidRPr="008049AF">
        <w:t xml:space="preserve"> for now. We can review this in the future, as HL WBB demand and use cases are better understood.</w:t>
      </w:r>
      <w:r w:rsidR="00E8574F" w:rsidRPr="008049AF">
        <w:t xml:space="preserve"> This appr</w:t>
      </w:r>
      <w:r w:rsidR="00675F21" w:rsidRPr="008049AF">
        <w:t>o</w:t>
      </w:r>
      <w:r w:rsidR="00E8574F" w:rsidRPr="008049AF">
        <w:t xml:space="preserve">ach would also allow us to better understand the interference environment based on real world deployments. </w:t>
      </w:r>
      <w:r w:rsidR="00675F21" w:rsidRPr="008049AF">
        <w:t>While we could authorise use of the RB on a case-by-case basis, we propose adopting a general policy of allowing a</w:t>
      </w:r>
      <w:r w:rsidR="00E8574F" w:rsidRPr="008049AF">
        <w:t>ccess when there is agreement with the adjacent band spectrum licensee.</w:t>
      </w:r>
      <w:r w:rsidR="00675F21" w:rsidRPr="008049AF">
        <w:t xml:space="preserve"> Such use would need to be on a NINP basis. This means licensees would need to take on the risk that </w:t>
      </w:r>
      <w:r w:rsidR="00675F21" w:rsidRPr="00675F21">
        <w:t>they may have to modify or cease operation at any time to manage interference with other HL WBB licensees or adjacent area/frequency SLs</w:t>
      </w:r>
      <w:r w:rsidR="0068552B">
        <w:t>.</w:t>
      </w:r>
    </w:p>
    <w:p w14:paraId="4A1448AE" w14:textId="46485E66" w:rsidR="00982D6E" w:rsidRPr="00E162C4" w:rsidRDefault="00982D6E" w:rsidP="00982D6E">
      <w:pPr>
        <w:pStyle w:val="Heading3"/>
        <w:ind w:left="284"/>
      </w:pPr>
      <w:r>
        <w:t xml:space="preserve">Managing interference with other </w:t>
      </w:r>
      <w:r w:rsidR="00693626">
        <w:t xml:space="preserve">licensed </w:t>
      </w:r>
      <w:r>
        <w:t>services</w:t>
      </w:r>
    </w:p>
    <w:p w14:paraId="0735228A" w14:textId="59D99C94" w:rsidR="00982D6E" w:rsidRDefault="00982D6E" w:rsidP="00982D6E">
      <w:pPr>
        <w:pStyle w:val="Paragraph"/>
        <w:numPr>
          <w:ilvl w:val="0"/>
          <w:numId w:val="68"/>
        </w:numPr>
        <w:spacing w:after="80"/>
      </w:pPr>
      <w:r>
        <w:t xml:space="preserve">Submissions supported interference management arrangements proposed with </w:t>
      </w:r>
      <w:r w:rsidR="0053645A">
        <w:t>point-to-point (</w:t>
      </w:r>
      <w:r>
        <w:t>PTP</w:t>
      </w:r>
      <w:r w:rsidR="0053645A">
        <w:t>)</w:t>
      </w:r>
      <w:r>
        <w:t xml:space="preserve"> links, </w:t>
      </w:r>
      <w:r w:rsidR="0053645A">
        <w:t>earth station protection zones (</w:t>
      </w:r>
      <w:r>
        <w:t>ESPZs</w:t>
      </w:r>
      <w:r w:rsidR="0053645A">
        <w:t>), radiolocation services</w:t>
      </w:r>
      <w:r>
        <w:t xml:space="preserve"> and AWL Tx. </w:t>
      </w:r>
    </w:p>
    <w:p w14:paraId="6AA31027" w14:textId="4F9C0CDA" w:rsidR="008455A9" w:rsidRDefault="001E5F55" w:rsidP="001E5F55">
      <w:pPr>
        <w:pStyle w:val="Paragraph"/>
        <w:numPr>
          <w:ilvl w:val="0"/>
          <w:numId w:val="68"/>
        </w:numPr>
        <w:spacing w:after="80"/>
      </w:pPr>
      <w:r>
        <w:t>While not an issue for this TLG</w:t>
      </w:r>
      <w:r w:rsidR="008455A9">
        <w:t xml:space="preserve"> AMTA, Optus and Telstra, flagged </w:t>
      </w:r>
      <w:r>
        <w:t xml:space="preserve">that a separate request has been made to the ACMA to vary spectrum licence </w:t>
      </w:r>
      <w:r>
        <w:lastRenderedPageBreak/>
        <w:t>unwanted emission limits such that the frequency boundary between non-spurious and spurious emission limits (currently 3840 MHz) be increased to 4040 MHz. Such a change will provide support for a greater range of equipment and align with the limits defined for AWL Tx.</w:t>
      </w:r>
    </w:p>
    <w:p w14:paraId="1F3E783D" w14:textId="6D982F02" w:rsidR="00982D6E" w:rsidRDefault="00982D6E" w:rsidP="00982D6E">
      <w:pPr>
        <w:pStyle w:val="Paragraph"/>
        <w:numPr>
          <w:ilvl w:val="0"/>
          <w:numId w:val="68"/>
        </w:numPr>
        <w:spacing w:after="80"/>
      </w:pPr>
      <w:r>
        <w:t xml:space="preserve">AMTA requested clarification on how the protection ratios in RALI FX3 can be applied to </w:t>
      </w:r>
      <w:r w:rsidRPr="00982D6E">
        <w:t>Amateur Repeaters and Beacons.</w:t>
      </w:r>
    </w:p>
    <w:p w14:paraId="1359B4B4" w14:textId="59687965" w:rsidR="00982D6E" w:rsidRDefault="00982D6E" w:rsidP="00982D6E">
      <w:pPr>
        <w:pStyle w:val="Paragraph"/>
        <w:numPr>
          <w:ilvl w:val="0"/>
          <w:numId w:val="68"/>
        </w:numPr>
        <w:spacing w:after="80"/>
      </w:pPr>
      <w:bookmarkStart w:id="71" w:name="_Hlk160184977"/>
      <w:r>
        <w:t xml:space="preserve">The joint satellite submission indicated it was unclear if FSS earth station (FSS ES) are operating under an AWL Rx or earth receive licence in the 3950-4000 MHz band. They supported the use of earth receive licences as they consider the protection arrangements for AWL Rx (including the PFD limit at licence boundary) are not sufficient to protect FSS ES. </w:t>
      </w:r>
      <w:r w:rsidR="00F90BC6">
        <w:t xml:space="preserve">They were also concerned with the proposed RF filter performance defined for FSS ES. </w:t>
      </w:r>
      <w:r>
        <w:t xml:space="preserve"> </w:t>
      </w:r>
    </w:p>
    <w:p w14:paraId="26A488B7" w14:textId="38A6B234" w:rsidR="00982D6E" w:rsidRDefault="00982D6E" w:rsidP="00982D6E">
      <w:pPr>
        <w:pStyle w:val="Paragraph"/>
        <w:numPr>
          <w:ilvl w:val="0"/>
          <w:numId w:val="68"/>
        </w:numPr>
        <w:spacing w:after="80"/>
      </w:pPr>
      <w:r>
        <w:t>The joint satellite submission proposed the following measures be used to manage interference with HL WBB:</w:t>
      </w:r>
    </w:p>
    <w:p w14:paraId="55AEE6E6" w14:textId="3C937ECA" w:rsidR="00982D6E" w:rsidRDefault="00982D6E" w:rsidP="00982D6E">
      <w:pPr>
        <w:pStyle w:val="Paragraph"/>
        <w:numPr>
          <w:ilvl w:val="1"/>
          <w:numId w:val="68"/>
        </w:numPr>
        <w:spacing w:after="80"/>
        <w:ind w:left="993"/>
      </w:pPr>
      <w:r w:rsidRPr="008049AF">
        <w:rPr>
          <w:u w:val="single"/>
        </w:rPr>
        <w:t>Co-channel:</w:t>
      </w:r>
      <w:r>
        <w:t xml:space="preserve"> Define a cull distance within which case-by-case coordination is required.</w:t>
      </w:r>
    </w:p>
    <w:p w14:paraId="6113D960" w14:textId="15EB50D3" w:rsidR="00982D6E" w:rsidRDefault="00982D6E" w:rsidP="008049AF">
      <w:pPr>
        <w:pStyle w:val="Paragraph"/>
        <w:numPr>
          <w:ilvl w:val="1"/>
          <w:numId w:val="68"/>
        </w:numPr>
        <w:spacing w:after="80"/>
        <w:ind w:left="993"/>
      </w:pPr>
      <w:r w:rsidRPr="008049AF">
        <w:rPr>
          <w:u w:val="single"/>
        </w:rPr>
        <w:t>Adjacent channel:</w:t>
      </w:r>
      <w:r>
        <w:t xml:space="preserve"> </w:t>
      </w:r>
      <w:r w:rsidR="008455A9">
        <w:t xml:space="preserve">No HL WBB use within </w:t>
      </w:r>
      <w:r w:rsidR="00C92499">
        <w:t>a</w:t>
      </w:r>
      <w:r w:rsidR="008455A9">
        <w:t xml:space="preserve"> defined distance of an FSS ES. No coordination required for HL WBB deployed outside this distance, provided unwanted emissions comply with those defined for </w:t>
      </w:r>
      <w:r w:rsidR="000B1110">
        <w:t>Local Area</w:t>
      </w:r>
      <w:r w:rsidR="008455A9">
        <w:t xml:space="preserve"> </w:t>
      </w:r>
      <w:r w:rsidR="000B1110">
        <w:t>BS</w:t>
      </w:r>
      <w:r w:rsidR="008455A9">
        <w:t xml:space="preserve">s in 3GPP </w:t>
      </w:r>
      <w:r w:rsidR="009F43D3">
        <w:t xml:space="preserve">TS </w:t>
      </w:r>
      <w:r w:rsidR="008455A9">
        <w:t xml:space="preserve">38.104.  </w:t>
      </w:r>
    </w:p>
    <w:p w14:paraId="5DD2E4F2" w14:textId="73403C51" w:rsidR="007A6024" w:rsidRPr="00696F70" w:rsidRDefault="007A3F89" w:rsidP="007A6024">
      <w:pPr>
        <w:pStyle w:val="Paragraph"/>
        <w:numPr>
          <w:ilvl w:val="0"/>
          <w:numId w:val="68"/>
        </w:numPr>
        <w:spacing w:after="80"/>
      </w:pPr>
      <w:r w:rsidRPr="008049AF">
        <w:t xml:space="preserve">AMTA, </w:t>
      </w:r>
      <w:r w:rsidR="00696F70" w:rsidRPr="008049AF">
        <w:t xml:space="preserve">HPE, </w:t>
      </w:r>
      <w:proofErr w:type="spellStart"/>
      <w:r w:rsidR="00696F70" w:rsidRPr="008049AF">
        <w:t>nbn</w:t>
      </w:r>
      <w:proofErr w:type="spellEnd"/>
      <w:r w:rsidR="00696F70" w:rsidRPr="008049AF">
        <w:t xml:space="preserve">, </w:t>
      </w:r>
      <w:r w:rsidRPr="008049AF">
        <w:t>Optus</w:t>
      </w:r>
      <w:r w:rsidR="00696F70" w:rsidRPr="008049AF">
        <w:t xml:space="preserve">, </w:t>
      </w:r>
      <w:proofErr w:type="spellStart"/>
      <w:r w:rsidR="00696F70" w:rsidRPr="008049AF">
        <w:t>Pivotel</w:t>
      </w:r>
      <w:proofErr w:type="spellEnd"/>
      <w:r w:rsidRPr="008049AF">
        <w:t xml:space="preserve"> and Telstra’s views on managing interference between HL WBB and spectrum licences are provided in the</w:t>
      </w:r>
      <w:r w:rsidR="00195B05">
        <w:t xml:space="preserve"> PFD </w:t>
      </w:r>
      <w:r w:rsidR="00CE7B67">
        <w:t xml:space="preserve">limit </w:t>
      </w:r>
      <w:r w:rsidR="00195B05">
        <w:t xml:space="preserve">and synchronisation </w:t>
      </w:r>
      <w:r w:rsidR="00CE7B67">
        <w:t xml:space="preserve">requirement </w:t>
      </w:r>
      <w:r w:rsidR="00195B05">
        <w:t>summaries in the</w:t>
      </w:r>
      <w:r w:rsidRPr="008049AF">
        <w:t xml:space="preserve"> </w:t>
      </w:r>
      <w:r w:rsidRPr="008049AF">
        <w:rPr>
          <w:i/>
          <w:iCs/>
        </w:rPr>
        <w:t>Restrictions on HL WBB operation</w:t>
      </w:r>
      <w:r w:rsidRPr="008049AF">
        <w:t xml:space="preserve"> section. </w:t>
      </w:r>
    </w:p>
    <w:p w14:paraId="1F672869" w14:textId="3979C446" w:rsidR="00F90BC6" w:rsidRDefault="00B576CB" w:rsidP="00375F44">
      <w:pPr>
        <w:pStyle w:val="Paragraph"/>
        <w:numPr>
          <w:ilvl w:val="0"/>
          <w:numId w:val="68"/>
        </w:numPr>
        <w:spacing w:after="80"/>
      </w:pPr>
      <w:r>
        <w:t xml:space="preserve">Airservices stated that measures to protect radio altimeters should be based on studies using conservative parameters to account for the high safety standards of the aviation industry. </w:t>
      </w:r>
      <w:proofErr w:type="spellStart"/>
      <w:r>
        <w:t>Aqura</w:t>
      </w:r>
      <w:proofErr w:type="spellEnd"/>
      <w:r>
        <w:t xml:space="preserve"> suggest</w:t>
      </w:r>
      <w:r w:rsidR="00375F44">
        <w:t>ed</w:t>
      </w:r>
      <w:r>
        <w:t xml:space="preserve"> that HL WBB deployments around airports should be limited to indoor only, but this could be relaxed once temporary coexistence measures for AWLs and spectrum licences end in March 2026. Several submissions indicated that both indoor and outdoor use cases are likely in the 3950-4000 MHz band. </w:t>
      </w:r>
      <w:r w:rsidR="00375F44">
        <w:t>Most submissions did not comment on the possible use of spurious emission limits across the entire 4200-4400 MHz band, though separate comments were made about aligning with limits defined in 3GPP T</w:t>
      </w:r>
      <w:r w:rsidR="009F43D3" w:rsidRPr="008049AF">
        <w:t>S</w:t>
      </w:r>
      <w:r w:rsidR="00375F44">
        <w:t xml:space="preserve"> 38.104. AMTA indicated it was not clear what the ACMA was planning to review given the executive summary to the </w:t>
      </w:r>
      <w:hyperlink r:id="rId38" w:history="1">
        <w:r w:rsidR="00527194" w:rsidRPr="008049AF">
          <w:rPr>
            <w:rStyle w:val="Hyperlink"/>
            <w:i/>
            <w:iCs/>
          </w:rPr>
          <w:t>Wireless broadband and radio altimeter coexistence—Outcomes paper</w:t>
        </w:r>
      </w:hyperlink>
      <w:r w:rsidR="00375F44">
        <w:t xml:space="preserve"> outlines coexistence management </w:t>
      </w:r>
      <w:r w:rsidR="00375F44" w:rsidRPr="008049AF">
        <w:rPr>
          <w:i/>
          <w:iCs/>
          <w:u w:val="single"/>
        </w:rPr>
        <w:t>outside of</w:t>
      </w:r>
      <w:r w:rsidR="00375F44">
        <w:t xml:space="preserve"> HL WBB arrangements in 3950-4000 MHz. AMTA </w:t>
      </w:r>
      <w:r w:rsidR="00527194">
        <w:t xml:space="preserve">also </w:t>
      </w:r>
      <w:r w:rsidR="00375F44">
        <w:t xml:space="preserve">stated its view that they don’t believe 3GPP compliant equipment will cause harmful interference to radio altimeters fitted with adequately performing equipment.  </w:t>
      </w:r>
    </w:p>
    <w:bookmarkEnd w:id="71"/>
    <w:p w14:paraId="0F6D44BF" w14:textId="02D003FB" w:rsidR="00DF3ACD" w:rsidRPr="00F0222A" w:rsidRDefault="00DF3ACD" w:rsidP="00DF3ACD">
      <w:pPr>
        <w:pStyle w:val="Heading4"/>
        <w:spacing w:after="60"/>
      </w:pPr>
      <w:r w:rsidRPr="00F0222A">
        <w:t xml:space="preserve">ACMA </w:t>
      </w:r>
      <w:r w:rsidR="0056504D" w:rsidRPr="00F0222A">
        <w:t xml:space="preserve">staff </w:t>
      </w:r>
      <w:r w:rsidRPr="00F0222A">
        <w:t>response</w:t>
      </w:r>
    </w:p>
    <w:p w14:paraId="6DF2FCD2" w14:textId="312F77AD" w:rsidR="00DF3ACD" w:rsidRDefault="00AF55C6" w:rsidP="00DF3ACD">
      <w:pPr>
        <w:pStyle w:val="Paragraph"/>
        <w:numPr>
          <w:ilvl w:val="0"/>
          <w:numId w:val="69"/>
        </w:numPr>
        <w:spacing w:after="80"/>
      </w:pPr>
      <w:r w:rsidRPr="00F0222A">
        <w:t>Based on</w:t>
      </w:r>
      <w:r>
        <w:t xml:space="preserve"> submissions, no further changes are proposed to the interference management arrangements defined for PTP links, ESPZs and AWL Tx</w:t>
      </w:r>
      <w:r w:rsidR="00DF3ACD">
        <w:t>.</w:t>
      </w:r>
    </w:p>
    <w:p w14:paraId="4B937B88" w14:textId="2390D762" w:rsidR="00AF55C6" w:rsidRDefault="00AF55C6" w:rsidP="00DF3ACD">
      <w:pPr>
        <w:pStyle w:val="Paragraph"/>
        <w:numPr>
          <w:ilvl w:val="0"/>
          <w:numId w:val="69"/>
        </w:numPr>
        <w:spacing w:after="80"/>
      </w:pPr>
      <w:r>
        <w:t xml:space="preserve">We note comments made regarding 3.4 GHz spectrum licence spurious emission limits and invite stakeholders to raise this issue in response to the upcoming draft FYSO 2024-29 consultation process. </w:t>
      </w:r>
    </w:p>
    <w:p w14:paraId="7F8C9C18" w14:textId="571D2E35" w:rsidR="000D6E34" w:rsidRDefault="000D6E34" w:rsidP="00DF3ACD">
      <w:pPr>
        <w:pStyle w:val="Paragraph"/>
        <w:numPr>
          <w:ilvl w:val="0"/>
          <w:numId w:val="69"/>
        </w:numPr>
        <w:spacing w:after="80"/>
      </w:pPr>
      <w:r>
        <w:t xml:space="preserve">We recognise the use of protection ratios in RALI FX3 may be impractical for assessing interference with Amateur </w:t>
      </w:r>
      <w:r w:rsidRPr="00982D6E">
        <w:t>Repeaters and Beacons</w:t>
      </w:r>
      <w:r>
        <w:t>. To rectify this</w:t>
      </w:r>
      <w:r w:rsidR="003E0D0A">
        <w:t>,</w:t>
      </w:r>
      <w:r>
        <w:t xml:space="preserve"> we propose adopting the same measures defined for AWLs in RALI MS47. </w:t>
      </w:r>
    </w:p>
    <w:p w14:paraId="74460590" w14:textId="0F6B8727" w:rsidR="0076461C" w:rsidRDefault="00437074" w:rsidP="00437074">
      <w:pPr>
        <w:pStyle w:val="Paragraph"/>
        <w:numPr>
          <w:ilvl w:val="0"/>
          <w:numId w:val="69"/>
        </w:numPr>
        <w:spacing w:after="80"/>
      </w:pPr>
      <w:r>
        <w:t>We note that decisions regarding the</w:t>
      </w:r>
      <w:r w:rsidR="0076461C">
        <w:t xml:space="preserve"> applicable</w:t>
      </w:r>
      <w:r>
        <w:t xml:space="preserve"> licence type for FSS ES in metropolitan and regional areas </w:t>
      </w:r>
      <w:r w:rsidR="00311977">
        <w:t>across</w:t>
      </w:r>
      <w:r>
        <w:t xml:space="preserve"> the broader 3400-4200 MHz band were made as part of the </w:t>
      </w:r>
      <w:hyperlink r:id="rId39" w:history="1">
        <w:r w:rsidRPr="00FE5AE3">
          <w:rPr>
            <w:rStyle w:val="Hyperlink"/>
            <w:i/>
            <w:iCs/>
          </w:rPr>
          <w:t xml:space="preserve">Allocation of area-wide apparatus licences in the 3.8 </w:t>
        </w:r>
        <w:r w:rsidRPr="00FE5AE3">
          <w:rPr>
            <w:rStyle w:val="Hyperlink"/>
            <w:i/>
            <w:iCs/>
          </w:rPr>
          <w:lastRenderedPageBreak/>
          <w:t>GHz band</w:t>
        </w:r>
      </w:hyperlink>
      <w:r>
        <w:t xml:space="preserve"> consultation processes. The outcomes of </w:t>
      </w:r>
      <w:r w:rsidR="0076461C">
        <w:t>that process</w:t>
      </w:r>
      <w:r>
        <w:t xml:space="preserve"> state that AWL receive only (AWL Rx</w:t>
      </w:r>
      <w:proofErr w:type="gramStart"/>
      <w:r>
        <w:t>)</w:t>
      </w:r>
      <w:proofErr w:type="gramEnd"/>
      <w:r>
        <w:t xml:space="preserve"> and earth receive </w:t>
      </w:r>
      <w:r w:rsidR="0076461C">
        <w:t xml:space="preserve">apparatus </w:t>
      </w:r>
      <w:r>
        <w:t>licen</w:t>
      </w:r>
      <w:r w:rsidR="00820B11">
        <w:t>s</w:t>
      </w:r>
      <w:r>
        <w:t>ing apply in the 3750/3800-4000 MHz and 4000-4200 MHz bands respectively. Reviewing this decision, including filtering arrang</w:t>
      </w:r>
      <w:r w:rsidR="0076461C">
        <w:t>e</w:t>
      </w:r>
      <w:r>
        <w:t>ments that apply</w:t>
      </w:r>
      <w:r w:rsidR="0076461C">
        <w:t xml:space="preserve"> to FSS ES</w:t>
      </w:r>
      <w:r>
        <w:t>, is not within scope of this TLG.</w:t>
      </w:r>
    </w:p>
    <w:p w14:paraId="663A07FB" w14:textId="3CBE23C3" w:rsidR="000D6E34" w:rsidRPr="00EE0986" w:rsidRDefault="00EE0986" w:rsidP="00437074">
      <w:pPr>
        <w:pStyle w:val="Paragraph"/>
        <w:numPr>
          <w:ilvl w:val="0"/>
          <w:numId w:val="69"/>
        </w:numPr>
        <w:spacing w:after="80"/>
      </w:pPr>
      <w:r w:rsidRPr="00FE5AE3">
        <w:t>Updates have been made to the coordination criteria for FSS ES. This includes distinguishing criteria between AWL Rx and earth receive licence types</w:t>
      </w:r>
      <w:r w:rsidR="009329FD">
        <w:t xml:space="preserve"> (which could be in 3400-4200 MHz in remote areas, and 4000-4200 MHz in metro/regional areas)</w:t>
      </w:r>
      <w:r w:rsidRPr="00FE5AE3">
        <w:t>. Due to the low power nature of HL WBB, the relevant cull distances for coordination have been revised. We have also</w:t>
      </w:r>
      <w:r w:rsidR="009329FD">
        <w:t xml:space="preserve"> proposed a minimum separation distance for adjacent channel services</w:t>
      </w:r>
      <w:r w:rsidR="00311977" w:rsidRPr="00EE0986">
        <w:t xml:space="preserve">. </w:t>
      </w:r>
      <w:r w:rsidR="00437074" w:rsidRPr="00EE0986">
        <w:t xml:space="preserve">   </w:t>
      </w:r>
    </w:p>
    <w:p w14:paraId="723ADCBA" w14:textId="77777777" w:rsidR="00BE0669" w:rsidRDefault="004B5330" w:rsidP="00FE5AE3">
      <w:pPr>
        <w:pStyle w:val="Paragraph"/>
        <w:numPr>
          <w:ilvl w:val="0"/>
          <w:numId w:val="69"/>
        </w:numPr>
        <w:spacing w:after="80"/>
      </w:pPr>
      <w:r>
        <w:t xml:space="preserve">After considering submissions related to coexistence with Radio Altimeters, we will consider measures for both indoor and outdoor HL WBB use in the 3950-4000 MHz band. </w:t>
      </w:r>
      <w:r w:rsidR="00BE0669">
        <w:t xml:space="preserve">As HL WBB will be restricted to much lower EIRPs than WBB systems considered in previous studies, the ACMA is re-assessing the coexistence requirements for that case. We plan to provide our study to the TLG soon for review and comment. </w:t>
      </w:r>
    </w:p>
    <w:p w14:paraId="10BE1847" w14:textId="581800FC" w:rsidR="007A6024" w:rsidRDefault="00BE0669" w:rsidP="00FE5AE3">
      <w:pPr>
        <w:pStyle w:val="Paragraph"/>
        <w:ind w:left="720"/>
      </w:pPr>
      <w:r>
        <w:t xml:space="preserve">We note that </w:t>
      </w:r>
      <w:r w:rsidRPr="00111D7C">
        <w:t>the European Commission Committee</w:t>
      </w:r>
      <w:r>
        <w:t xml:space="preserve"> (ECC) is also investigating this issue via the group ECC Project Team 1. In January 2024 they released the latest </w:t>
      </w:r>
      <w:hyperlink r:id="rId40" w:history="1">
        <w:r w:rsidRPr="008977CC">
          <w:rPr>
            <w:rStyle w:val="Hyperlink"/>
          </w:rPr>
          <w:t>preliminary results of studies</w:t>
        </w:r>
      </w:hyperlink>
      <w:r>
        <w:t>. These preliminary results indicate that low to medium power WBB stations operating in the 3800-4100 MHz do not present an interference risk to radio altimeters. It is noted that these results are subject to change.</w:t>
      </w:r>
    </w:p>
    <w:p w14:paraId="52D41C9F" w14:textId="4AF0F810" w:rsidR="00EE4132" w:rsidRPr="00E162C4" w:rsidRDefault="00EE4132" w:rsidP="00EE4132">
      <w:pPr>
        <w:pStyle w:val="Heading2"/>
        <w:spacing w:after="120"/>
        <w:ind w:firstLine="284"/>
      </w:pPr>
      <w:bookmarkStart w:id="72" w:name="_Toc178948544"/>
      <w:r>
        <w:t>Submissions to TLG paper Version 2.1</w:t>
      </w:r>
      <w:bookmarkEnd w:id="72"/>
      <w:r>
        <w:t xml:space="preserve"> </w:t>
      </w:r>
    </w:p>
    <w:p w14:paraId="2E5ADCF9" w14:textId="5EDD2A54" w:rsidR="00EE4132" w:rsidRDefault="00EE4132" w:rsidP="00EE4132">
      <w:pPr>
        <w:pStyle w:val="Paragraph"/>
        <w:spacing w:after="80"/>
        <w:ind w:left="284"/>
      </w:pPr>
      <w:r>
        <w:t xml:space="preserve">Five submissions were received </w:t>
      </w:r>
      <w:r w:rsidR="00BD3C58">
        <w:t xml:space="preserve">in response </w:t>
      </w:r>
      <w:r>
        <w:t>to V2.1 of the TLG paper. Submissions were received from:</w:t>
      </w:r>
    </w:p>
    <w:p w14:paraId="0C16B5DF" w14:textId="77777777" w:rsidR="00EE4132" w:rsidRDefault="00EE4132" w:rsidP="00EE4132">
      <w:pPr>
        <w:pStyle w:val="Paragraph"/>
        <w:numPr>
          <w:ilvl w:val="0"/>
          <w:numId w:val="68"/>
        </w:numPr>
        <w:spacing w:after="80"/>
      </w:pPr>
      <w:r>
        <w:t>The Australian Mobile Telecommunications Association (AMTA)</w:t>
      </w:r>
    </w:p>
    <w:p w14:paraId="5E4BE4E1" w14:textId="77777777" w:rsidR="00EE4132" w:rsidRDefault="00EE4132" w:rsidP="00EE4132">
      <w:pPr>
        <w:pStyle w:val="Paragraph"/>
        <w:numPr>
          <w:ilvl w:val="0"/>
          <w:numId w:val="68"/>
        </w:numPr>
        <w:spacing w:after="80"/>
      </w:pPr>
      <w:proofErr w:type="spellStart"/>
      <w:r>
        <w:t>Aqura</w:t>
      </w:r>
      <w:proofErr w:type="spellEnd"/>
    </w:p>
    <w:p w14:paraId="209886C6" w14:textId="77777777" w:rsidR="00EE4132" w:rsidRDefault="00EE4132" w:rsidP="00EE4132">
      <w:pPr>
        <w:pStyle w:val="Paragraph"/>
        <w:numPr>
          <w:ilvl w:val="0"/>
          <w:numId w:val="68"/>
        </w:numPr>
        <w:spacing w:after="80"/>
      </w:pPr>
      <w:r>
        <w:t xml:space="preserve">DB Telecommunications </w:t>
      </w:r>
    </w:p>
    <w:p w14:paraId="71BFCFA3" w14:textId="18FC38F5" w:rsidR="00EE4132" w:rsidRDefault="00EE4132" w:rsidP="00EE4132">
      <w:pPr>
        <w:pStyle w:val="Paragraph"/>
        <w:numPr>
          <w:ilvl w:val="0"/>
          <w:numId w:val="68"/>
        </w:numPr>
        <w:spacing w:after="80"/>
      </w:pPr>
      <w:r>
        <w:t>Joint satellite response (Intelsat, SES</w:t>
      </w:r>
      <w:r w:rsidR="006329FD">
        <w:t>,</w:t>
      </w:r>
      <w:r>
        <w:t xml:space="preserve"> </w:t>
      </w:r>
      <w:proofErr w:type="spellStart"/>
      <w:r>
        <w:t>Speedcast</w:t>
      </w:r>
      <w:proofErr w:type="spellEnd"/>
      <w:r w:rsidR="006329FD">
        <w:t xml:space="preserve"> and </w:t>
      </w:r>
      <w:proofErr w:type="spellStart"/>
      <w:r w:rsidR="006329FD">
        <w:t>Viasat</w:t>
      </w:r>
      <w:proofErr w:type="spellEnd"/>
      <w:r>
        <w:t>)</w:t>
      </w:r>
    </w:p>
    <w:p w14:paraId="4E502203" w14:textId="77777777" w:rsidR="00EE4132" w:rsidRDefault="00EE4132" w:rsidP="00EE4132">
      <w:pPr>
        <w:pStyle w:val="Paragraph"/>
        <w:numPr>
          <w:ilvl w:val="0"/>
          <w:numId w:val="68"/>
        </w:numPr>
      </w:pPr>
      <w:r>
        <w:t xml:space="preserve">Telstra. </w:t>
      </w:r>
    </w:p>
    <w:p w14:paraId="344F20E7" w14:textId="3B6498C4" w:rsidR="004E47AA" w:rsidRDefault="004E47AA" w:rsidP="00961769">
      <w:pPr>
        <w:pStyle w:val="Paragraph"/>
        <w:spacing w:after="80"/>
        <w:ind w:left="284"/>
      </w:pPr>
      <w:r>
        <w:t>A</w:t>
      </w:r>
      <w:r w:rsidR="007061E8">
        <w:t xml:space="preserve">n additional </w:t>
      </w:r>
      <w:r>
        <w:t>submission was provided by NBN Co, which included:</w:t>
      </w:r>
    </w:p>
    <w:p w14:paraId="31C9BDBD" w14:textId="18579279" w:rsidR="004E47AA" w:rsidRDefault="004E47AA" w:rsidP="0031747D">
      <w:pPr>
        <w:pStyle w:val="Paragraph"/>
        <w:numPr>
          <w:ilvl w:val="0"/>
          <w:numId w:val="79"/>
        </w:numPr>
        <w:spacing w:after="80"/>
      </w:pPr>
      <w:r>
        <w:t xml:space="preserve">support </w:t>
      </w:r>
      <w:r w:rsidR="002C726F">
        <w:t>for</w:t>
      </w:r>
      <w:r>
        <w:t xml:space="preserve"> a </w:t>
      </w:r>
      <w:r w:rsidR="002C726F">
        <w:t>mandatory synchronisation requirement</w:t>
      </w:r>
      <w:r>
        <w:t xml:space="preserve"> </w:t>
      </w:r>
      <w:r w:rsidR="00BD3C58">
        <w:t>between</w:t>
      </w:r>
      <w:r>
        <w:t xml:space="preserve"> HL WBB </w:t>
      </w:r>
      <w:r w:rsidR="00BD3C58">
        <w:t>operations and</w:t>
      </w:r>
      <w:r>
        <w:t xml:space="preserve"> adjacent area SLs</w:t>
      </w:r>
      <w:r w:rsidR="00BD3C58">
        <w:t xml:space="preserve"> </w:t>
      </w:r>
      <w:proofErr w:type="gramStart"/>
      <w:r w:rsidR="00BD3C58">
        <w:t>operations</w:t>
      </w:r>
      <w:r>
        <w:t>;</w:t>
      </w:r>
      <w:proofErr w:type="gramEnd"/>
    </w:p>
    <w:p w14:paraId="74B0F12D" w14:textId="539E48A2" w:rsidR="004E47AA" w:rsidRDefault="002C726F" w:rsidP="0031747D">
      <w:pPr>
        <w:pStyle w:val="Paragraph"/>
        <w:numPr>
          <w:ilvl w:val="0"/>
          <w:numId w:val="79"/>
        </w:numPr>
      </w:pPr>
      <w:r>
        <w:t xml:space="preserve">a proposal that the </w:t>
      </w:r>
      <w:r w:rsidR="004E47AA">
        <w:t xml:space="preserve">adjacent area SL </w:t>
      </w:r>
      <w:r w:rsidR="00FD1205">
        <w:t xml:space="preserve">operators </w:t>
      </w:r>
      <w:r w:rsidR="004E47AA">
        <w:t>notify the ACMA 6 month</w:t>
      </w:r>
      <w:r w:rsidR="00383369">
        <w:t>s</w:t>
      </w:r>
      <w:r w:rsidR="004E47AA">
        <w:t xml:space="preserve"> prior to any change in </w:t>
      </w:r>
      <w:r w:rsidR="00FD1205">
        <w:t xml:space="preserve">TDD </w:t>
      </w:r>
      <w:r w:rsidR="004E47AA">
        <w:t xml:space="preserve">frame structure. </w:t>
      </w:r>
    </w:p>
    <w:p w14:paraId="7335BBAE" w14:textId="7CE66AC6" w:rsidR="00EE4132" w:rsidRDefault="00EE4132" w:rsidP="00EE4132">
      <w:pPr>
        <w:pStyle w:val="Paragraph"/>
        <w:ind w:left="284"/>
      </w:pPr>
      <w:r>
        <w:t xml:space="preserve">The main issues raised in submissions are summarised below. Please refer to individual submissions for more detail. This paper has been updated based </w:t>
      </w:r>
      <w:r w:rsidR="00FD1205">
        <w:t>to incorporate outcomes from the consultation on Version 2.1, as reflected in</w:t>
      </w:r>
      <w:r>
        <w:t xml:space="preserve"> the ACMA staff responses below.  </w:t>
      </w:r>
    </w:p>
    <w:p w14:paraId="6F6E064F" w14:textId="202124F1" w:rsidR="00EE4132" w:rsidRPr="00E162C4" w:rsidRDefault="00822573" w:rsidP="00EE4132">
      <w:pPr>
        <w:pStyle w:val="Heading3"/>
        <w:ind w:left="284"/>
      </w:pPr>
      <w:r>
        <w:t>Unwanted emission limits</w:t>
      </w:r>
    </w:p>
    <w:p w14:paraId="3D35090C" w14:textId="7F886605" w:rsidR="00822573" w:rsidRDefault="006329FD" w:rsidP="00EE4132">
      <w:pPr>
        <w:pStyle w:val="Paragraph"/>
        <w:numPr>
          <w:ilvl w:val="0"/>
          <w:numId w:val="68"/>
        </w:numPr>
        <w:spacing w:after="80"/>
      </w:pPr>
      <w:r>
        <w:t xml:space="preserve">The </w:t>
      </w:r>
      <w:r w:rsidR="00383369">
        <w:t>j</w:t>
      </w:r>
      <w:r>
        <w:t xml:space="preserve">oint satellite </w:t>
      </w:r>
      <w:r w:rsidR="002C726F">
        <w:t>submission</w:t>
      </w:r>
      <w:r>
        <w:t xml:space="preserve"> supported adopting the 3GPP unwanted emission limits defined for </w:t>
      </w:r>
      <w:r w:rsidR="000B1110">
        <w:t>Local Area</w:t>
      </w:r>
      <w:r>
        <w:t xml:space="preserve"> BS</w:t>
      </w:r>
      <w:r w:rsidR="00822573">
        <w:t xml:space="preserve"> in </w:t>
      </w:r>
      <w:r w:rsidR="00197BC5">
        <w:t>T</w:t>
      </w:r>
      <w:r w:rsidR="00822573">
        <w:t xml:space="preserve">able </w:t>
      </w:r>
      <w:r w:rsidR="00197BC5">
        <w:t>6.6.4.2.4-1 of 3GPP TS 38.104</w:t>
      </w:r>
      <w:r w:rsidR="00822573">
        <w:t xml:space="preserve">. </w:t>
      </w:r>
      <w:r w:rsidR="002C726F">
        <w:t>It was</w:t>
      </w:r>
      <w:r w:rsidR="00822573">
        <w:t xml:space="preserve"> argued that this limit may provide greater compatibility with other adjacent band services including FSS ES. </w:t>
      </w:r>
      <w:r>
        <w:t xml:space="preserve"> </w:t>
      </w:r>
    </w:p>
    <w:p w14:paraId="189E4664" w14:textId="7939F887" w:rsidR="00EE4132" w:rsidRDefault="00822573" w:rsidP="00EE4132">
      <w:pPr>
        <w:pStyle w:val="Paragraph"/>
        <w:numPr>
          <w:ilvl w:val="0"/>
          <w:numId w:val="68"/>
        </w:numPr>
      </w:pPr>
      <w:r>
        <w:t xml:space="preserve">Telstra proposed adopting limits defined for </w:t>
      </w:r>
      <w:r w:rsidR="00561526">
        <w:t>Medium Range</w:t>
      </w:r>
      <w:r>
        <w:t xml:space="preserve"> </w:t>
      </w:r>
      <w:r w:rsidR="00561526">
        <w:t>BSs</w:t>
      </w:r>
      <w:r>
        <w:t xml:space="preserve"> in Table 6.6.4.2.3-2 of 3GPP TS 38.104 (</w:t>
      </w:r>
      <w:r w:rsidR="00561526">
        <w:t>Medium Range</w:t>
      </w:r>
      <w:r>
        <w:t xml:space="preserve"> BS with transmit powers below </w:t>
      </w:r>
      <w:r>
        <w:lastRenderedPageBreak/>
        <w:t>31 dBm). This was on the basis that the maximum EIRP limit for HL WBB is set at 30 dBm per occupied bandwidth</w:t>
      </w:r>
      <w:r w:rsidR="00EE4132">
        <w:t xml:space="preserve">. </w:t>
      </w:r>
    </w:p>
    <w:p w14:paraId="0AFF31BD" w14:textId="77777777" w:rsidR="00EE4132" w:rsidRPr="00F0222A" w:rsidRDefault="00EE4132" w:rsidP="0031747D">
      <w:pPr>
        <w:pStyle w:val="Heading4"/>
        <w:spacing w:after="60"/>
        <w:ind w:firstLine="284"/>
      </w:pPr>
      <w:r w:rsidRPr="00F0222A">
        <w:t>ACMA staff response</w:t>
      </w:r>
    </w:p>
    <w:p w14:paraId="02AACEE5" w14:textId="17C3F4CE" w:rsidR="00270A84" w:rsidRDefault="00270A84" w:rsidP="00A71DD7">
      <w:pPr>
        <w:pStyle w:val="Paragraph"/>
        <w:numPr>
          <w:ilvl w:val="0"/>
          <w:numId w:val="69"/>
        </w:numPr>
        <w:spacing w:after="80"/>
      </w:pPr>
      <w:r>
        <w:t>We note that a maximum 30 dBm EIRP limit in combination with the 17</w:t>
      </w:r>
      <w:r w:rsidR="00763BD9">
        <w:t> </w:t>
      </w:r>
      <w:r>
        <w:t xml:space="preserve">dBm/MHz PSD limit was previously proposed </w:t>
      </w:r>
      <w:r w:rsidR="001F2DD9">
        <w:t xml:space="preserve">for </w:t>
      </w:r>
      <w:r>
        <w:t xml:space="preserve">HL WBB operations (see the </w:t>
      </w:r>
      <w:r>
        <w:rPr>
          <w:i/>
          <w:iCs/>
        </w:rPr>
        <w:t xml:space="preserve">Background </w:t>
      </w:r>
      <w:r>
        <w:t xml:space="preserve">section of this paper). However, V1.0 of the TLG paper proposed dropping the EIRP restriction. This was on the basis that the quanta of spectrum </w:t>
      </w:r>
      <w:r w:rsidR="002C726F">
        <w:t>available for licensing</w:t>
      </w:r>
      <w:r>
        <w:t xml:space="preserve"> </w:t>
      </w:r>
      <w:r w:rsidR="001F2DD9">
        <w:t>e</w:t>
      </w:r>
      <w:r>
        <w:t xml:space="preserve">ffectively restricts </w:t>
      </w:r>
      <w:r w:rsidR="002C726F">
        <w:t xml:space="preserve">the maximum </w:t>
      </w:r>
      <w:r>
        <w:t xml:space="preserve">EIRP. For </w:t>
      </w:r>
      <w:r w:rsidR="00266719">
        <w:t>example,</w:t>
      </w:r>
      <w:r>
        <w:t xml:space="preserve"> in the </w:t>
      </w:r>
      <w:r w:rsidR="00266719">
        <w:t xml:space="preserve">3400-3475 MHz band a maximum </w:t>
      </w:r>
      <w:r w:rsidR="00474459">
        <w:t xml:space="preserve">allocation of </w:t>
      </w:r>
      <w:r w:rsidR="00266719">
        <w:t xml:space="preserve">60 MHz is typically available. The </w:t>
      </w:r>
      <w:r w:rsidR="00474459">
        <w:t xml:space="preserve">combination of maximum available spectrum and the prescribed </w:t>
      </w:r>
      <w:r w:rsidR="00266719">
        <w:t xml:space="preserve">PSD limit means </w:t>
      </w:r>
      <w:r w:rsidR="00474459">
        <w:t xml:space="preserve">that </w:t>
      </w:r>
      <w:r w:rsidR="00266719">
        <w:t xml:space="preserve">a maximum EIRP of 34.8 dBm/60 MHz is possible.  </w:t>
      </w:r>
    </w:p>
    <w:p w14:paraId="6274F97D" w14:textId="0605F4FD" w:rsidR="00F24FEF" w:rsidRDefault="00232624" w:rsidP="004E421C">
      <w:pPr>
        <w:pStyle w:val="Paragraph"/>
        <w:numPr>
          <w:ilvl w:val="0"/>
          <w:numId w:val="69"/>
        </w:numPr>
        <w:spacing w:after="80"/>
      </w:pPr>
      <w:bookmarkStart w:id="73" w:name="_Hlk171344401"/>
      <w:r>
        <w:t>The</w:t>
      </w:r>
      <w:r w:rsidR="00CF0BB6">
        <w:t xml:space="preserve"> PSD limit</w:t>
      </w:r>
      <w:r>
        <w:t xml:space="preserve"> also means that </w:t>
      </w:r>
      <w:r w:rsidR="00CF0BB6">
        <w:t xml:space="preserve">we expect that most deployments will make use of equipment compliant </w:t>
      </w:r>
      <w:r w:rsidR="001F2DD9">
        <w:t>wi</w:t>
      </w:r>
      <w:r w:rsidR="00CF0BB6">
        <w:t>t</w:t>
      </w:r>
      <w:r w:rsidR="001F2DD9">
        <w:t>h</w:t>
      </w:r>
      <w:r w:rsidR="00CF0BB6">
        <w:t xml:space="preserve"> the unwanted emission limits for </w:t>
      </w:r>
      <w:r w:rsidR="000B1110">
        <w:t>Local Area</w:t>
      </w:r>
      <w:r w:rsidR="00CF0BB6">
        <w:t xml:space="preserve"> BS. However, for services operating closer to the maximum allowed levels, </w:t>
      </w:r>
      <w:r w:rsidR="00973CB6">
        <w:t xml:space="preserve">deployment of equipment </w:t>
      </w:r>
      <w:r w:rsidR="00CB4A81">
        <w:t>complying with</w:t>
      </w:r>
      <w:r w:rsidR="00CF0BB6">
        <w:t xml:space="preserve"> </w:t>
      </w:r>
      <w:r w:rsidR="00561526">
        <w:t>Medium Range</w:t>
      </w:r>
      <w:r w:rsidR="00CF0BB6">
        <w:t xml:space="preserve"> BS </w:t>
      </w:r>
      <w:r w:rsidR="00973CB6">
        <w:t xml:space="preserve">unwanted emission limits </w:t>
      </w:r>
      <w:r w:rsidR="00CF0BB6">
        <w:t>may become an option. In this case, we</w:t>
      </w:r>
      <w:r w:rsidR="00A71DD7">
        <w:t xml:space="preserve"> consider that </w:t>
      </w:r>
      <w:r w:rsidR="00C14E37">
        <w:t xml:space="preserve">if a </w:t>
      </w:r>
      <w:r w:rsidR="000B1110">
        <w:t>Local Area</w:t>
      </w:r>
      <w:r w:rsidR="00C14E37">
        <w:t xml:space="preserve"> BS and </w:t>
      </w:r>
      <w:r w:rsidR="00561526">
        <w:t>Medium Range</w:t>
      </w:r>
      <w:r w:rsidR="00C14E37">
        <w:t xml:space="preserve"> BS </w:t>
      </w:r>
      <w:r>
        <w:t>were</w:t>
      </w:r>
      <w:r w:rsidR="00C14E37">
        <w:t xml:space="preserve"> operating at the same </w:t>
      </w:r>
      <w:r w:rsidR="007061E8">
        <w:t xml:space="preserve">in-band </w:t>
      </w:r>
      <w:r w:rsidR="00C14E37">
        <w:t xml:space="preserve">EIRP, </w:t>
      </w:r>
      <w:r w:rsidR="008E3E0E">
        <w:t>then the</w:t>
      </w:r>
      <w:r w:rsidR="00CF0BB6">
        <w:t xml:space="preserve"> peak</w:t>
      </w:r>
      <w:r w:rsidR="008E3E0E">
        <w:t xml:space="preserve"> level of </w:t>
      </w:r>
      <w:r w:rsidR="00364146">
        <w:t xml:space="preserve">(non-spurious) </w:t>
      </w:r>
      <w:r w:rsidR="008E3E0E">
        <w:t>radiated unwanted emission limits</w:t>
      </w:r>
      <w:r w:rsidR="002C726F">
        <w:t xml:space="preserve"> </w:t>
      </w:r>
      <w:r>
        <w:t>would be</w:t>
      </w:r>
      <w:r w:rsidR="002C726F">
        <w:t xml:space="preserve"> comparable</w:t>
      </w:r>
      <w:r w:rsidR="00A71DD7">
        <w:t xml:space="preserve">. For example, </w:t>
      </w:r>
      <w:r w:rsidR="00C14E37">
        <w:t xml:space="preserve">for the </w:t>
      </w:r>
      <w:r w:rsidR="00C14E37" w:rsidRPr="00F24FEF">
        <w:t>scenario</w:t>
      </w:r>
      <w:r w:rsidR="002C726F" w:rsidRPr="00F24FEF">
        <w:t xml:space="preserve"> in </w:t>
      </w:r>
      <w:r w:rsidR="00973CB6">
        <w:t>F</w:t>
      </w:r>
      <w:r w:rsidR="002C726F" w:rsidRPr="00F24FEF">
        <w:t>igure</w:t>
      </w:r>
      <w:r w:rsidR="00C14E37" w:rsidRPr="00F24FEF">
        <w:t xml:space="preserve"> </w:t>
      </w:r>
      <w:r w:rsidR="00973CB6">
        <w:t>1-A</w:t>
      </w:r>
      <w:r w:rsidR="00C14E37" w:rsidRPr="00F24FEF">
        <w:t xml:space="preserve">, when antenna gain is </w:t>
      </w:r>
      <w:r w:rsidR="00E6732D">
        <w:t>included,</w:t>
      </w:r>
      <w:r w:rsidR="00C14E37" w:rsidRPr="00F24FEF">
        <w:t xml:space="preserve"> the</w:t>
      </w:r>
      <w:r w:rsidR="00270A84" w:rsidRPr="00F24FEF">
        <w:t xml:space="preserve"> peak</w:t>
      </w:r>
      <w:r w:rsidR="00C14E37" w:rsidRPr="00F24FEF">
        <w:t xml:space="preserve"> level of radiated unwanted emissions </w:t>
      </w:r>
      <w:r w:rsidR="00E54E86">
        <w:t xml:space="preserve">differ </w:t>
      </w:r>
      <w:r w:rsidR="00E6732D">
        <w:t xml:space="preserve">only </w:t>
      </w:r>
      <w:r w:rsidR="00E54E86">
        <w:t>by 1 dB</w:t>
      </w:r>
      <w:r w:rsidR="00C14E37" w:rsidRPr="00F24FEF">
        <w:t xml:space="preserve">. </w:t>
      </w:r>
      <w:r w:rsidR="00343FAC">
        <w:t>This is based on a 50</w:t>
      </w:r>
      <w:r>
        <w:t xml:space="preserve"> </w:t>
      </w:r>
      <w:r w:rsidR="00343FAC">
        <w:t>MHz channel (maximum EIRP is 34 dBm) where Local Area BS antenna gain is 10 </w:t>
      </w:r>
      <w:proofErr w:type="spellStart"/>
      <w:r w:rsidR="00343FAC">
        <w:t>dBi</w:t>
      </w:r>
      <w:proofErr w:type="spellEnd"/>
      <w:r w:rsidR="00343FAC">
        <w:t xml:space="preserve"> (EIRP – Tx power = 34 dBm - 24 dBm) and </w:t>
      </w:r>
      <w:r w:rsidR="00561526">
        <w:t>Medium Range</w:t>
      </w:r>
      <w:r w:rsidR="00343FAC">
        <w:t xml:space="preserve"> BS antenna gain is 3 </w:t>
      </w:r>
      <w:proofErr w:type="spellStart"/>
      <w:r w:rsidR="00343FAC">
        <w:t>dBi</w:t>
      </w:r>
      <w:proofErr w:type="spellEnd"/>
      <w:r w:rsidR="00343FAC">
        <w:t xml:space="preserve"> (EIRP – Tx power = 34 dBm - 31 dBm)</w:t>
      </w:r>
      <w:r w:rsidR="00303C77">
        <w:t>.</w:t>
      </w:r>
      <w:bookmarkStart w:id="74" w:name="_Hlk165277901"/>
    </w:p>
    <w:bookmarkEnd w:id="74"/>
    <w:p w14:paraId="59467071" w14:textId="5664D34A" w:rsidR="00A71DD7" w:rsidRPr="00F24FEF" w:rsidRDefault="00F24FEF" w:rsidP="00F24FEF">
      <w:pPr>
        <w:pStyle w:val="Paragraph"/>
        <w:spacing w:after="80"/>
        <w:ind w:left="720"/>
      </w:pPr>
      <w:r>
        <w:t xml:space="preserve">For this reason, </w:t>
      </w:r>
      <w:r w:rsidR="00721DE3" w:rsidRPr="00F24FEF">
        <w:t xml:space="preserve">from an interference </w:t>
      </w:r>
      <w:r w:rsidR="0067714E">
        <w:t xml:space="preserve">potential </w:t>
      </w:r>
      <w:r w:rsidR="00721DE3" w:rsidRPr="00F24FEF">
        <w:t xml:space="preserve">perspective, there is unlikely to be </w:t>
      </w:r>
      <w:r w:rsidR="00E6732D">
        <w:t>a significant</w:t>
      </w:r>
      <w:r w:rsidR="00721DE3" w:rsidRPr="00F24FEF">
        <w:t xml:space="preserve"> difference between adopting the </w:t>
      </w:r>
      <w:r w:rsidR="000B1110">
        <w:t>Local Area</w:t>
      </w:r>
      <w:r w:rsidR="00721DE3" w:rsidRPr="00F24FEF">
        <w:t xml:space="preserve"> or </w:t>
      </w:r>
      <w:r w:rsidR="00561526">
        <w:t>Medium Range</w:t>
      </w:r>
      <w:r w:rsidR="00721DE3" w:rsidRPr="00F24FEF">
        <w:t xml:space="preserve"> BS limits. </w:t>
      </w:r>
      <w:r>
        <w:t>Consequently,</w:t>
      </w:r>
      <w:r w:rsidR="00721DE3" w:rsidRPr="00F24FEF">
        <w:t xml:space="preserve"> </w:t>
      </w:r>
      <w:r w:rsidR="00C14E37" w:rsidRPr="00F24FEF">
        <w:t>w</w:t>
      </w:r>
      <w:r w:rsidR="00A71DD7" w:rsidRPr="00F24FEF">
        <w:t xml:space="preserve">e propose </w:t>
      </w:r>
      <w:r w:rsidR="0040001E">
        <w:t xml:space="preserve">specifying the </w:t>
      </w:r>
      <w:r w:rsidR="00A71DD7" w:rsidRPr="00F24FEF">
        <w:t>unwanted emission limits for</w:t>
      </w:r>
      <w:r w:rsidR="00721DE3" w:rsidRPr="00F24FEF">
        <w:t xml:space="preserve"> </w:t>
      </w:r>
      <w:r w:rsidR="00561526">
        <w:t>Medium Range</w:t>
      </w:r>
      <w:r w:rsidR="00721DE3" w:rsidRPr="00F24FEF">
        <w:t xml:space="preserve"> BS</w:t>
      </w:r>
      <w:r w:rsidR="00A71DD7" w:rsidRPr="00F24FEF">
        <w:t xml:space="preserve"> defined in Table 6.6.4.2.3-2 </w:t>
      </w:r>
      <w:r w:rsidR="0040001E">
        <w:t xml:space="preserve">(for non-AAS) and section 9.7.4.2 (for AAS) </w:t>
      </w:r>
      <w:r w:rsidR="00A71DD7" w:rsidRPr="00F24FEF">
        <w:t>of 3GPP TS 38.104</w:t>
      </w:r>
      <w:r w:rsidR="0040001E">
        <w:t xml:space="preserve"> as the upper limit for HL WBB BS</w:t>
      </w:r>
      <w:r w:rsidR="00A71DD7" w:rsidRPr="00F24FEF">
        <w:t>.</w:t>
      </w:r>
      <w:r w:rsidR="00C14E37" w:rsidRPr="00F24FEF">
        <w:t xml:space="preserve"> </w:t>
      </w:r>
      <w:r w:rsidR="0073291F" w:rsidRPr="00F24FEF">
        <w:t xml:space="preserve">This </w:t>
      </w:r>
      <w:r w:rsidR="00721DE3" w:rsidRPr="00F24FEF">
        <w:t>will provide</w:t>
      </w:r>
      <w:r w:rsidR="0073291F" w:rsidRPr="00F24FEF">
        <w:t xml:space="preserve"> operators with </w:t>
      </w:r>
      <w:r w:rsidR="00721DE3" w:rsidRPr="00F24FEF">
        <w:t xml:space="preserve">a greater range of equipment </w:t>
      </w:r>
      <w:r w:rsidR="0073291F" w:rsidRPr="00F24FEF">
        <w:t xml:space="preserve">options. </w:t>
      </w:r>
      <w:r w:rsidR="00C14E37" w:rsidRPr="00F24FEF">
        <w:t xml:space="preserve">Further comment on this issue is requested from the TLG.  </w:t>
      </w:r>
    </w:p>
    <w:p w14:paraId="77B3C6D0" w14:textId="027BCCF9" w:rsidR="005C2F74" w:rsidRDefault="005C2F74" w:rsidP="005C2F74">
      <w:pPr>
        <w:pStyle w:val="Paragraph"/>
        <w:numPr>
          <w:ilvl w:val="0"/>
          <w:numId w:val="69"/>
        </w:numPr>
      </w:pPr>
      <w:r>
        <w:t xml:space="preserve">We note that the previous </w:t>
      </w:r>
      <w:r w:rsidR="0040001E">
        <w:t xml:space="preserve">version of the </w:t>
      </w:r>
      <w:r>
        <w:t xml:space="preserve">TLG paper did not specify the spurious emission limits that </w:t>
      </w:r>
      <w:r w:rsidR="00F24FEF">
        <w:t>sh</w:t>
      </w:r>
      <w:r>
        <w:t>ould apply</w:t>
      </w:r>
      <w:r w:rsidR="00F24FEF">
        <w:t xml:space="preserve"> to HL WBB transmitters</w:t>
      </w:r>
      <w:r>
        <w:t xml:space="preserve">. We </w:t>
      </w:r>
      <w:r w:rsidR="0040001E">
        <w:t xml:space="preserve">are now proposing the adoption of Category B limits defined by 3GPP </w:t>
      </w:r>
      <w:r w:rsidR="0040001E" w:rsidRPr="00F24FEF">
        <w:t xml:space="preserve">Table 6.6.4.2.3-2 </w:t>
      </w:r>
      <w:r w:rsidR="0040001E">
        <w:t>(for non-AAS) and section</w:t>
      </w:r>
      <w:r w:rsidR="002D7039">
        <w:t xml:space="preserve"> 9.7.5.2.2</w:t>
      </w:r>
      <w:r w:rsidR="0040001E">
        <w:t xml:space="preserve"> (for AAS) </w:t>
      </w:r>
      <w:r w:rsidR="0040001E" w:rsidRPr="00F24FEF">
        <w:t>of 3GPP TS 38.104</w:t>
      </w:r>
      <w:r w:rsidR="0040001E">
        <w:t>.</w:t>
      </w:r>
      <w:r>
        <w:t xml:space="preserve"> </w:t>
      </w:r>
      <w:bookmarkEnd w:id="73"/>
    </w:p>
    <w:p w14:paraId="45419B3D" w14:textId="77777777" w:rsidR="00303C77" w:rsidRDefault="00303C77">
      <w:pPr>
        <w:spacing w:after="0" w:line="240" w:lineRule="auto"/>
        <w:rPr>
          <w:rFonts w:cs="Arial"/>
          <w:b/>
          <w:bCs/>
          <w:i/>
          <w:iCs/>
        </w:rPr>
      </w:pPr>
      <w:r>
        <w:rPr>
          <w:b/>
          <w:bCs/>
          <w:i/>
          <w:iCs/>
        </w:rPr>
        <w:br w:type="page"/>
      </w:r>
    </w:p>
    <w:p w14:paraId="41185813" w14:textId="79336F4B" w:rsidR="0040001E" w:rsidRPr="0031747D" w:rsidRDefault="0040001E" w:rsidP="0031747D">
      <w:pPr>
        <w:pStyle w:val="Paragraph"/>
        <w:ind w:left="720"/>
        <w:rPr>
          <w:b/>
          <w:i/>
        </w:rPr>
      </w:pPr>
      <w:r>
        <w:rPr>
          <w:b/>
          <w:bCs/>
          <w:i/>
          <w:iCs/>
        </w:rPr>
        <w:lastRenderedPageBreak/>
        <w:t>Figure 1-A: Comparison of Local Area BS and Medium Range BS unwanted emissions</w:t>
      </w:r>
      <w:r w:rsidR="002D7039">
        <w:rPr>
          <w:b/>
          <w:bCs/>
          <w:i/>
          <w:iCs/>
        </w:rPr>
        <w:t xml:space="preserve"> (non-AAS case)</w:t>
      </w:r>
    </w:p>
    <w:p w14:paraId="29E171EC" w14:textId="37021550" w:rsidR="003177BE" w:rsidRDefault="00E54E86" w:rsidP="003177BE">
      <w:pPr>
        <w:pStyle w:val="Paragraph"/>
      </w:pPr>
      <w:r>
        <w:rPr>
          <w:noProof/>
        </w:rPr>
        <w:drawing>
          <wp:inline distT="0" distB="0" distL="0" distR="0" wp14:anchorId="21229663" wp14:editId="591B5CED">
            <wp:extent cx="4822395" cy="2928395"/>
            <wp:effectExtent l="0" t="0" r="0" b="5715"/>
            <wp:docPr id="12" name="Picture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a:extLst>
                        <a:ext uri="{C183D7F6-B498-43B3-948B-1728B52AA6E4}">
                          <adec:decorative xmlns:adec="http://schemas.microsoft.com/office/drawing/2017/decorative" val="1"/>
                        </a:ext>
                      </a:extLst>
                    </pic:cNvPr>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36931" cy="2937222"/>
                    </a:xfrm>
                    <a:prstGeom prst="rect">
                      <a:avLst/>
                    </a:prstGeom>
                    <a:noFill/>
                  </pic:spPr>
                </pic:pic>
              </a:graphicData>
            </a:graphic>
          </wp:inline>
        </w:drawing>
      </w:r>
    </w:p>
    <w:p w14:paraId="7A3773CC" w14:textId="0731B2A7" w:rsidR="00354EB8" w:rsidRPr="00E162C4" w:rsidRDefault="003177BE" w:rsidP="006B261D">
      <w:pPr>
        <w:pStyle w:val="Heading3"/>
        <w:ind w:left="284"/>
      </w:pPr>
      <w:r>
        <w:br/>
      </w:r>
      <w:r w:rsidR="00354EB8">
        <w:t>PFD limits</w:t>
      </w:r>
    </w:p>
    <w:p w14:paraId="3C6251D2" w14:textId="2DC9E511" w:rsidR="00354EB8" w:rsidRDefault="00354EB8" w:rsidP="008B2C1B">
      <w:pPr>
        <w:pStyle w:val="Paragraph"/>
        <w:numPr>
          <w:ilvl w:val="0"/>
          <w:numId w:val="68"/>
        </w:numPr>
        <w:spacing w:after="80"/>
      </w:pPr>
      <w:r>
        <w:t xml:space="preserve">Both AMTA and DB Telecommunications re-iterated concerns with </w:t>
      </w:r>
      <w:r w:rsidR="00A22A53">
        <w:t>the complexity in</w:t>
      </w:r>
      <w:r w:rsidR="001B3480">
        <w:t>volved with</w:t>
      </w:r>
      <w:r w:rsidR="00A22A53">
        <w:t xml:space="preserve"> calculating </w:t>
      </w:r>
      <w:r w:rsidR="001637DF">
        <w:t>a</w:t>
      </w:r>
      <w:r>
        <w:t xml:space="preserve"> PFD </w:t>
      </w:r>
      <w:r w:rsidR="001637DF">
        <w:t>l</w:t>
      </w:r>
      <w:r>
        <w:t>imit at the boundary</w:t>
      </w:r>
      <w:r w:rsidR="001637DF">
        <w:t xml:space="preserve"> of controlled premises.</w:t>
      </w:r>
      <w:r w:rsidR="00C953C6">
        <w:t xml:space="preserve"> It was </w:t>
      </w:r>
      <w:r w:rsidR="00A22A53">
        <w:t>considered</w:t>
      </w:r>
      <w:r w:rsidR="00C953C6">
        <w:t xml:space="preserve"> that operation on a NINP basis was suitable in this case.</w:t>
      </w:r>
      <w:r w:rsidR="008B2C1B">
        <w:t xml:space="preserve"> </w:t>
      </w:r>
      <w:r w:rsidR="001637DF">
        <w:t xml:space="preserve">AMTA argued that the </w:t>
      </w:r>
      <w:r w:rsidR="00C953C6">
        <w:t>PFD limit proposed assumes high density deployments and was designed to support noise limited network deployments in adjacent areas. They argued an interference limited approach would result in a less complicated and more efficient outcome. A</w:t>
      </w:r>
      <w:r w:rsidR="00AD4C74">
        <w:t>MT</w:t>
      </w:r>
      <w:r w:rsidR="00C953C6">
        <w:t xml:space="preserve">A considered that while this might not necessarily guarantee protection </w:t>
      </w:r>
      <w:r w:rsidR="001B3480">
        <w:t>for</w:t>
      </w:r>
      <w:r w:rsidR="00C953C6">
        <w:t xml:space="preserve"> all systems, it should provide for satisfactory C/I </w:t>
      </w:r>
      <w:proofErr w:type="gramStart"/>
      <w:r w:rsidR="00C953C6">
        <w:t>levels</w:t>
      </w:r>
      <w:proofErr w:type="gramEnd"/>
      <w:r w:rsidR="00C953C6">
        <w:t xml:space="preserve"> in most cases, thereby reducing the risk of interference overall. </w:t>
      </w:r>
    </w:p>
    <w:p w14:paraId="7C0A42D5" w14:textId="28CDE141" w:rsidR="008B2C1B" w:rsidRDefault="008B2C1B" w:rsidP="008B2C1B">
      <w:pPr>
        <w:pStyle w:val="Paragraph"/>
        <w:numPr>
          <w:ilvl w:val="0"/>
          <w:numId w:val="68"/>
        </w:numPr>
        <w:spacing w:after="80"/>
      </w:pPr>
      <w:r>
        <w:t>Rather than implementing a PFD limit at urban excise boundaries, AMTA proposed adopting a direct coordination (BS-BS) approach to manag</w:t>
      </w:r>
      <w:r w:rsidR="001B3480">
        <w:t>ing</w:t>
      </w:r>
      <w:r>
        <w:t xml:space="preserve"> co-channel interference with adjacent area SLs. It was argued that APs would already have been required to implement a similar methodology for Part 8 of the RAG Tx. AMTA also argued that a 14 dB BPL could easily be incorporated into this calculation. AMTA further recommended that application of higher BPLs (if an AP or operator has access to more accurate information) should be applied for via an out-of-policy exemption request to the ACMA. </w:t>
      </w:r>
      <w:r w:rsidR="006B090F">
        <w:t>Under the direct coordination approach, AMTA recommended it be made clear that in the event the adjacent area SL deploys new base stations that HL WBB licensees are aware that the onus is on them to modify or cease operation in the event it is required to manage interference.</w:t>
      </w:r>
    </w:p>
    <w:p w14:paraId="0F719C49" w14:textId="0FA4D25A" w:rsidR="00A22A53" w:rsidRDefault="00A22A53" w:rsidP="008B2C1B">
      <w:pPr>
        <w:pStyle w:val="Paragraph"/>
        <w:numPr>
          <w:ilvl w:val="0"/>
          <w:numId w:val="68"/>
        </w:numPr>
        <w:spacing w:after="80"/>
      </w:pPr>
      <w:r>
        <w:t xml:space="preserve">DB Telecommunications </w:t>
      </w:r>
      <w:r w:rsidR="001B3480">
        <w:t>proposed</w:t>
      </w:r>
      <w:r>
        <w:t xml:space="preserve"> that a PFD limit of </w:t>
      </w:r>
      <w:r w:rsidR="006B090F">
        <w:t>-</w:t>
      </w:r>
      <w:r w:rsidRPr="00A22A53">
        <w:t>99.9 dBm/MHz/m</w:t>
      </w:r>
      <w:r w:rsidRPr="0031747D">
        <w:rPr>
          <w:vertAlign w:val="superscript"/>
        </w:rPr>
        <w:t>2</w:t>
      </w:r>
      <w:r w:rsidRPr="00A22A53">
        <w:t xml:space="preserve"> at the boundary of urban areas at a height of 10 metres above ground level, </w:t>
      </w:r>
      <w:r>
        <w:t>should be adopted.</w:t>
      </w:r>
      <w:r w:rsidR="00836E2F">
        <w:t xml:space="preserve"> </w:t>
      </w:r>
    </w:p>
    <w:p w14:paraId="7A2E3F7D" w14:textId="77777777" w:rsidR="00354EB8" w:rsidRPr="00F0222A" w:rsidRDefault="00354EB8" w:rsidP="00354EB8">
      <w:pPr>
        <w:pStyle w:val="Heading4"/>
        <w:spacing w:after="60"/>
        <w:ind w:firstLine="284"/>
      </w:pPr>
      <w:r w:rsidRPr="00F0222A">
        <w:t>ACMA staff response</w:t>
      </w:r>
    </w:p>
    <w:p w14:paraId="4148DD39" w14:textId="750A916D" w:rsidR="00354EB8" w:rsidRDefault="00FA309C" w:rsidP="0031747D">
      <w:pPr>
        <w:pStyle w:val="Paragraph"/>
        <w:numPr>
          <w:ilvl w:val="0"/>
          <w:numId w:val="69"/>
        </w:numPr>
        <w:spacing w:after="80"/>
      </w:pPr>
      <w:bookmarkStart w:id="75" w:name="_Hlk171590012"/>
      <w:r>
        <w:t>W</w:t>
      </w:r>
      <w:r w:rsidR="00C953C6">
        <w:t>e have reconsidered the need for a PFD limit at the boundary of controlled premises</w:t>
      </w:r>
      <w:r w:rsidR="008B2C1B">
        <w:t xml:space="preserve"> and </w:t>
      </w:r>
      <w:r w:rsidR="00C953C6">
        <w:t xml:space="preserve">decided to </w:t>
      </w:r>
      <w:r w:rsidR="008B2C1B">
        <w:t>not include it</w:t>
      </w:r>
      <w:r w:rsidR="00C953C6">
        <w:t>.</w:t>
      </w:r>
      <w:r w:rsidR="00354EB8">
        <w:t xml:space="preserve"> </w:t>
      </w:r>
      <w:r w:rsidR="00A22A53">
        <w:t xml:space="preserve">Guidance in the new RALI developed will make clear that HL WBB licensees operate on a NINP basis and, as far as </w:t>
      </w:r>
      <w:r w:rsidR="00FC7093">
        <w:lastRenderedPageBreak/>
        <w:t>is practicable</w:t>
      </w:r>
      <w:r w:rsidR="00A22A53">
        <w:t xml:space="preserve">, should design their networks to minimise the risk of causing and receiving </w:t>
      </w:r>
      <w:r w:rsidR="002C726F">
        <w:t xml:space="preserve">unacceptable levels of </w:t>
      </w:r>
      <w:r w:rsidR="00A22A53">
        <w:t xml:space="preserve">interference. </w:t>
      </w:r>
    </w:p>
    <w:p w14:paraId="044B3D0B" w14:textId="5164B515" w:rsidR="007E60D1" w:rsidRDefault="00C52966" w:rsidP="0072366F">
      <w:pPr>
        <w:pStyle w:val="Paragraph"/>
        <w:numPr>
          <w:ilvl w:val="0"/>
          <w:numId w:val="69"/>
        </w:numPr>
        <w:spacing w:after="80"/>
      </w:pPr>
      <w:r>
        <w:t xml:space="preserve">We are open to the idea of a direct coordination method (DCM). However, our concern is that it will not provide sufficient protection </w:t>
      </w:r>
      <w:r w:rsidR="00495EF3">
        <w:t>for</w:t>
      </w:r>
      <w:r>
        <w:t xml:space="preserve"> NBN CPEs. This is because the DCM only coordinates with NBN BS. </w:t>
      </w:r>
      <w:r w:rsidR="00103B23">
        <w:t>Interference into NBN BS</w:t>
      </w:r>
      <w:r>
        <w:t xml:space="preserve"> is already covered by the mandatory synchronisation method. Therefore, the</w:t>
      </w:r>
      <w:r w:rsidR="00103B23">
        <w:t xml:space="preserve"> purpose of the DCM</w:t>
      </w:r>
      <w:r>
        <w:t xml:space="preserve"> would </w:t>
      </w:r>
      <w:r w:rsidR="00103B23">
        <w:t xml:space="preserve">be </w:t>
      </w:r>
      <w:r>
        <w:t xml:space="preserve">to provide a pseudo level of protection for CPEs. As CPEs can be located several km from a base station, the DCM may not provide adequate protection in </w:t>
      </w:r>
      <w:r w:rsidR="00103B23">
        <w:t>all</w:t>
      </w:r>
      <w:r>
        <w:t xml:space="preserve"> cases. </w:t>
      </w:r>
      <w:r w:rsidR="007E60D1">
        <w:t>For this reason, our currently preferred approach is to adopt the PFD limit of -</w:t>
      </w:r>
      <w:r w:rsidR="007E60D1" w:rsidRPr="00A22A53">
        <w:t>99.9 dBm/MHz/m</w:t>
      </w:r>
      <w:r w:rsidR="007E60D1" w:rsidRPr="00AA4313">
        <w:rPr>
          <w:vertAlign w:val="superscript"/>
        </w:rPr>
        <w:t>2</w:t>
      </w:r>
      <w:r w:rsidR="007E60D1" w:rsidRPr="00A22A53">
        <w:t xml:space="preserve"> at the boundary of urban areas at a height of 10 metres above ground level</w:t>
      </w:r>
      <w:r w:rsidR="007E60D1">
        <w:t>.</w:t>
      </w:r>
    </w:p>
    <w:p w14:paraId="0C74E150" w14:textId="53933629" w:rsidR="00C52966" w:rsidRDefault="007E60D1" w:rsidP="0031747D">
      <w:pPr>
        <w:pStyle w:val="Paragraph"/>
        <w:numPr>
          <w:ilvl w:val="0"/>
          <w:numId w:val="69"/>
        </w:numPr>
        <w:spacing w:after="80"/>
      </w:pPr>
      <w:r>
        <w:t>As an alternative, a hybrid approach could also be considered. This would involve apply</w:t>
      </w:r>
      <w:r w:rsidR="00F72ECD">
        <w:t>ing</w:t>
      </w:r>
      <w:r>
        <w:t xml:space="preserve"> the DCM to all</w:t>
      </w:r>
      <w:r w:rsidR="008F607E">
        <w:t xml:space="preserve"> proposed</w:t>
      </w:r>
      <w:r>
        <w:t xml:space="preserve"> deployments </w:t>
      </w:r>
      <w:r w:rsidR="0043309F">
        <w:t>and limiting use of the PFD limit to services within 4 km of the urban boundary. The idea of the hybrid appr</w:t>
      </w:r>
      <w:r w:rsidR="008F607E">
        <w:t>o</w:t>
      </w:r>
      <w:r w:rsidR="0043309F">
        <w:t xml:space="preserve">ach is that the DCM accounts for possible interference into CPEs that are pointing in the direction of the HL WBB service. The requirement to assess the PFD limit within 4km is to account for CPEs that are close to the urban </w:t>
      </w:r>
      <w:r w:rsidR="00F72ECD">
        <w:t xml:space="preserve">excise </w:t>
      </w:r>
      <w:r w:rsidR="0043309F">
        <w:t>boundary but not pointing at the HL WBB service. The distance of 4</w:t>
      </w:r>
      <w:r w:rsidR="00F72ECD">
        <w:t xml:space="preserve"> </w:t>
      </w:r>
      <w:r w:rsidR="0043309F">
        <w:t xml:space="preserve">km is </w:t>
      </w:r>
      <w:r>
        <w:t xml:space="preserve">based on the maximum separation distance required assuming free space loss, a 14 dB BPL, HL WBB EIRP of 17 dBm/MHz, CPE antenna gain of 0 </w:t>
      </w:r>
      <w:proofErr w:type="spellStart"/>
      <w:r>
        <w:t>dBi</w:t>
      </w:r>
      <w:proofErr w:type="spellEnd"/>
      <w:r>
        <w:t xml:space="preserve"> (assumes antenna pointing away from boundary) and a protection level of </w:t>
      </w:r>
      <w:r w:rsidR="002A2B39">
        <w:noBreakHyphen/>
      </w:r>
      <w:r>
        <w:t xml:space="preserve">112 dBm/MHz (refer to appendix C). </w:t>
      </w:r>
    </w:p>
    <w:p w14:paraId="447F7FD4" w14:textId="35857784" w:rsidR="0072366F" w:rsidRDefault="0072366F" w:rsidP="008B2C1B">
      <w:pPr>
        <w:pStyle w:val="Paragraph"/>
        <w:numPr>
          <w:ilvl w:val="0"/>
          <w:numId w:val="69"/>
        </w:numPr>
      </w:pPr>
      <w:r>
        <w:t xml:space="preserve">We support the use of an assumed 14 dB BPL in propagation loss calculations. We also support an </w:t>
      </w:r>
      <w:r w:rsidR="007C7ED6">
        <w:t>approach</w:t>
      </w:r>
      <w:r>
        <w:t xml:space="preserve"> where higher BPLs can be applied via an out-of-policy </w:t>
      </w:r>
      <w:r w:rsidR="002F60D9">
        <w:t>exemption</w:t>
      </w:r>
      <w:r>
        <w:t xml:space="preserve"> request. </w:t>
      </w:r>
      <w:bookmarkEnd w:id="75"/>
    </w:p>
    <w:p w14:paraId="16C086A5" w14:textId="7E8C5D7F" w:rsidR="00B1595B" w:rsidRPr="00E162C4" w:rsidRDefault="00B1595B" w:rsidP="00B1595B">
      <w:pPr>
        <w:pStyle w:val="Heading3"/>
        <w:ind w:left="284"/>
      </w:pPr>
      <w:r>
        <w:t>Synchronisation</w:t>
      </w:r>
    </w:p>
    <w:p w14:paraId="72FA19C4" w14:textId="6056B833" w:rsidR="00B1595B" w:rsidRDefault="00993B47" w:rsidP="00B1595B">
      <w:pPr>
        <w:pStyle w:val="Paragraph"/>
        <w:numPr>
          <w:ilvl w:val="0"/>
          <w:numId w:val="68"/>
        </w:numPr>
        <w:spacing w:after="80"/>
      </w:pPr>
      <w:r>
        <w:t xml:space="preserve">AMTA, </w:t>
      </w:r>
      <w:proofErr w:type="spellStart"/>
      <w:r>
        <w:t>Aqura</w:t>
      </w:r>
      <w:proofErr w:type="spellEnd"/>
      <w:r>
        <w:t xml:space="preserve"> and NBN Co supported a mandatory synchronisation for HL WBB licensees with adjacent area SLs</w:t>
      </w:r>
      <w:r w:rsidR="00B1595B">
        <w:t>.</w:t>
      </w:r>
      <w:r>
        <w:t xml:space="preserve"> AMTA, </w:t>
      </w:r>
      <w:proofErr w:type="spellStart"/>
      <w:r>
        <w:t>Aqura</w:t>
      </w:r>
      <w:proofErr w:type="spellEnd"/>
      <w:r>
        <w:t xml:space="preserve"> and NBN Co proposed timeframes of 3 months, 2 </w:t>
      </w:r>
      <w:proofErr w:type="gramStart"/>
      <w:r>
        <w:t>months</w:t>
      </w:r>
      <w:proofErr w:type="gramEnd"/>
      <w:r>
        <w:t xml:space="preserve"> and 6 months respectively</w:t>
      </w:r>
      <w:r w:rsidR="004E47AA">
        <w:t xml:space="preserve"> for the adjacent area SL to notify the ACMA of an intended change to their frame structure. </w:t>
      </w:r>
      <w:r>
        <w:t xml:space="preserve"> </w:t>
      </w:r>
    </w:p>
    <w:p w14:paraId="7FBB6C62" w14:textId="648EBDBC" w:rsidR="00B1595B" w:rsidRDefault="004E47AA" w:rsidP="00B1595B">
      <w:pPr>
        <w:pStyle w:val="Paragraph"/>
        <w:numPr>
          <w:ilvl w:val="0"/>
          <w:numId w:val="68"/>
        </w:numPr>
      </w:pPr>
      <w:r>
        <w:t xml:space="preserve">DB </w:t>
      </w:r>
      <w:r w:rsidR="004919ED">
        <w:t>Telecommunications</w:t>
      </w:r>
      <w:r>
        <w:t xml:space="preserve"> </w:t>
      </w:r>
      <w:r w:rsidR="00FD28B5">
        <w:t>considered that in both the 3400-3475 MHz and 3950-4000 MHz bands, synchron</w:t>
      </w:r>
      <w:r w:rsidR="00266719">
        <w:t>ising services</w:t>
      </w:r>
      <w:r w:rsidR="00FD28B5">
        <w:t xml:space="preserve"> should only be required </w:t>
      </w:r>
      <w:r w:rsidR="00266719">
        <w:t xml:space="preserve">if required to manage </w:t>
      </w:r>
      <w:r w:rsidR="00FD28B5">
        <w:t xml:space="preserve">interference. </w:t>
      </w:r>
      <w:r w:rsidR="00B1595B">
        <w:t xml:space="preserve"> </w:t>
      </w:r>
    </w:p>
    <w:p w14:paraId="5439F94A" w14:textId="77777777" w:rsidR="00B1595B" w:rsidRPr="00F0222A" w:rsidRDefault="00B1595B" w:rsidP="00B1595B">
      <w:pPr>
        <w:pStyle w:val="Heading4"/>
        <w:spacing w:after="60"/>
        <w:ind w:firstLine="284"/>
      </w:pPr>
      <w:r w:rsidRPr="00F0222A">
        <w:t>ACMA staff response</w:t>
      </w:r>
    </w:p>
    <w:p w14:paraId="4F1D784E" w14:textId="5CA66DE7" w:rsidR="00B1595B" w:rsidRDefault="00812183" w:rsidP="00B1595B">
      <w:pPr>
        <w:pStyle w:val="Paragraph"/>
        <w:numPr>
          <w:ilvl w:val="0"/>
          <w:numId w:val="69"/>
        </w:numPr>
        <w:spacing w:after="80"/>
      </w:pPr>
      <w:r>
        <w:t>We note that the in the 3950-4000 MHz band, a fallback synchronisation requirement is proposed</w:t>
      </w:r>
      <w:r w:rsidR="00495EF3">
        <w:t>,</w:t>
      </w:r>
      <w:r>
        <w:t xml:space="preserve"> the same as applies for AWLs. This means</w:t>
      </w:r>
      <w:r w:rsidR="00495EF3">
        <w:t xml:space="preserve"> that</w:t>
      </w:r>
      <w:r>
        <w:t xml:space="preserve"> operators only need </w:t>
      </w:r>
      <w:r w:rsidR="00F72ECD">
        <w:t xml:space="preserve">to </w:t>
      </w:r>
      <w:r>
        <w:t>synchronise their services in the event of interference and there are no other measures to manage it</w:t>
      </w:r>
      <w:r w:rsidR="00B1595B" w:rsidRPr="00F0222A">
        <w:t>.</w:t>
      </w:r>
    </w:p>
    <w:p w14:paraId="77583405" w14:textId="52CBA022" w:rsidR="00812183" w:rsidRPr="00F0222A" w:rsidRDefault="00812183" w:rsidP="00B1595B">
      <w:pPr>
        <w:pStyle w:val="Paragraph"/>
        <w:numPr>
          <w:ilvl w:val="0"/>
          <w:numId w:val="69"/>
        </w:numPr>
        <w:spacing w:after="80"/>
      </w:pPr>
      <w:r>
        <w:t>A different approach</w:t>
      </w:r>
      <w:r w:rsidR="003F377B">
        <w:t xml:space="preserve"> to synchronisation</w:t>
      </w:r>
      <w:r>
        <w:t xml:space="preserve"> </w:t>
      </w:r>
      <w:r w:rsidR="00103B23">
        <w:t xml:space="preserve">in the 3400-3475 MHz band </w:t>
      </w:r>
      <w:r w:rsidR="003F377B">
        <w:t>was proposed in V2.1 of the TLG</w:t>
      </w:r>
      <w:r>
        <w:t xml:space="preserve"> </w:t>
      </w:r>
      <w:r w:rsidR="00103B23">
        <w:t>paper (i.e. mandatory synchronisation)</w:t>
      </w:r>
      <w:r>
        <w:t xml:space="preserve">. </w:t>
      </w:r>
      <w:r w:rsidR="003F377B">
        <w:t xml:space="preserve">The reason for </w:t>
      </w:r>
      <w:r w:rsidR="00103B23">
        <w:t xml:space="preserve">the alternative approach </w:t>
      </w:r>
      <w:r w:rsidR="003F377B">
        <w:t xml:space="preserve">was to help manage interference into NBN Co’s services </w:t>
      </w:r>
      <w:proofErr w:type="gramStart"/>
      <w:r w:rsidR="00103B23">
        <w:t>and</w:t>
      </w:r>
      <w:r w:rsidR="003F377B">
        <w:t xml:space="preserve"> also</w:t>
      </w:r>
      <w:proofErr w:type="gramEnd"/>
      <w:r w:rsidR="003F377B">
        <w:t xml:space="preserve"> provide NBN Co with the flexibility to migrate to 5G (and future generation technologies) </w:t>
      </w:r>
      <w:r w:rsidR="00103B23">
        <w:t xml:space="preserve">frame structures </w:t>
      </w:r>
      <w:r w:rsidR="003F377B">
        <w:t xml:space="preserve">in the future. </w:t>
      </w:r>
      <w:r w:rsidR="005148B2">
        <w:t xml:space="preserve">As indicated at Appendix </w:t>
      </w:r>
      <w:r w:rsidR="005B477A">
        <w:t>E</w:t>
      </w:r>
      <w:r w:rsidR="005148B2">
        <w:t xml:space="preserve">, there are unique interference management challenges to consider in this case.  We consider that, at least initially, a conservative approach of managing interference is prudent in this case. For this </w:t>
      </w:r>
      <w:r w:rsidR="00CD4E6B">
        <w:t>reason,</w:t>
      </w:r>
      <w:r w:rsidR="005148B2">
        <w:t xml:space="preserve"> we are proposing to mandate HL WBB synchronise with NBN Co in the 3400-3475 MHz band. This </w:t>
      </w:r>
      <w:r w:rsidR="00CD4E6B">
        <w:t>requirement can be reviewed in</w:t>
      </w:r>
      <w:r w:rsidR="00CD4E6B" w:rsidDel="00495EF3">
        <w:t xml:space="preserve"> </w:t>
      </w:r>
      <w:r w:rsidR="00CD4E6B">
        <w:t xml:space="preserve">future </w:t>
      </w:r>
      <w:r w:rsidR="00495EF3">
        <w:t>when</w:t>
      </w:r>
      <w:r w:rsidR="00CD4E6B">
        <w:t xml:space="preserve"> demand is better understood or as use cases for HL WBB evolve.</w:t>
      </w:r>
      <w:r w:rsidR="005148B2">
        <w:t xml:space="preserve"> </w:t>
      </w:r>
      <w:r w:rsidR="003F377B">
        <w:t xml:space="preserve"> </w:t>
      </w:r>
    </w:p>
    <w:p w14:paraId="389D1BCF" w14:textId="43F27770" w:rsidR="00B1595B" w:rsidRDefault="00C87469" w:rsidP="00B1595B">
      <w:pPr>
        <w:pStyle w:val="Paragraph"/>
        <w:numPr>
          <w:ilvl w:val="0"/>
          <w:numId w:val="69"/>
        </w:numPr>
      </w:pPr>
      <w:r>
        <w:t xml:space="preserve">We propose adopting a minimum 3-month timeframe for SLs to notify the ACMA of a change in frame structure. </w:t>
      </w:r>
      <w:r w:rsidR="003F377B">
        <w:t xml:space="preserve">This provides the ACMA reasonable to </w:t>
      </w:r>
      <w:r w:rsidR="003F377B">
        <w:lastRenderedPageBreak/>
        <w:t>time to notify HL WBB licensees</w:t>
      </w:r>
      <w:r w:rsidR="00581CFF">
        <w:t>.</w:t>
      </w:r>
      <w:r w:rsidR="003F377B">
        <w:t xml:space="preserve"> </w:t>
      </w:r>
      <w:r w:rsidR="00581CFF">
        <w:t>Of course,</w:t>
      </w:r>
      <w:r>
        <w:t xml:space="preserve"> licensees </w:t>
      </w:r>
      <w:r w:rsidR="00CD4E6B">
        <w:t xml:space="preserve">are free to </w:t>
      </w:r>
      <w:r>
        <w:t>provid</w:t>
      </w:r>
      <w:r w:rsidR="00CD4E6B">
        <w:t>e</w:t>
      </w:r>
      <w:r>
        <w:t xml:space="preserve"> the ACMA </w:t>
      </w:r>
      <w:r w:rsidR="00CD4E6B">
        <w:t xml:space="preserve">with </w:t>
      </w:r>
      <w:r>
        <w:t>a greater notice</w:t>
      </w:r>
      <w:r w:rsidR="00495EF3">
        <w:t xml:space="preserve"> period</w:t>
      </w:r>
      <w:r>
        <w:t xml:space="preserve">. </w:t>
      </w:r>
    </w:p>
    <w:p w14:paraId="205511DA" w14:textId="75B63D08" w:rsidR="006329FD" w:rsidRPr="00E162C4" w:rsidRDefault="006329FD" w:rsidP="006329FD">
      <w:pPr>
        <w:pStyle w:val="Heading3"/>
        <w:ind w:left="284"/>
      </w:pPr>
      <w:r>
        <w:t xml:space="preserve">FSS ES </w:t>
      </w:r>
    </w:p>
    <w:p w14:paraId="7A9AA31F" w14:textId="70053EB9" w:rsidR="006329FD" w:rsidRDefault="006B261D" w:rsidP="006329FD">
      <w:pPr>
        <w:pStyle w:val="Paragraph"/>
        <w:numPr>
          <w:ilvl w:val="0"/>
          <w:numId w:val="68"/>
        </w:numPr>
        <w:spacing w:after="80"/>
      </w:pPr>
      <w:r>
        <w:t xml:space="preserve">AMTA recommended that the frequency breakpoints for the application of the minimum separation distance be modified to </w:t>
      </w:r>
      <w:r w:rsidR="00103B23">
        <w:t xml:space="preserve">be </w:t>
      </w:r>
      <w:r>
        <w:rPr>
          <w:sz w:val="16"/>
          <w:szCs w:val="20"/>
        </w:rPr>
        <w:t>&lt; </w:t>
      </w:r>
      <w:r>
        <w:t>5 MHz and ≥ 5MHz (as opposed to ≤ 5 MHz and &gt; 5 MHz).</w:t>
      </w:r>
    </w:p>
    <w:p w14:paraId="1970CEAE" w14:textId="7A865663" w:rsidR="006329FD" w:rsidRDefault="00EB0587" w:rsidP="006329FD">
      <w:pPr>
        <w:pStyle w:val="Paragraph"/>
        <w:numPr>
          <w:ilvl w:val="0"/>
          <w:numId w:val="68"/>
        </w:numPr>
      </w:pPr>
      <w:r>
        <w:t xml:space="preserve">The </w:t>
      </w:r>
      <w:r w:rsidR="00060752">
        <w:t>j</w:t>
      </w:r>
      <w:r>
        <w:t>oint satellite submission reiterated their preference for the use of earth receive licensing in the 3950-4000 MHz band. It was argued this would result in more efficient use of the spectrum</w:t>
      </w:r>
      <w:r w:rsidR="006329FD">
        <w:t>.</w:t>
      </w:r>
      <w:r>
        <w:t xml:space="preserve"> </w:t>
      </w:r>
      <w:r w:rsidR="002A26D9">
        <w:t xml:space="preserve">The </w:t>
      </w:r>
      <w:r w:rsidR="00F72ECD">
        <w:t>j</w:t>
      </w:r>
      <w:r w:rsidR="002A26D9">
        <w:t>oint satellite submission expressed</w:t>
      </w:r>
      <w:r>
        <w:t xml:space="preserve"> concern that decisions on FSS use of the 3950-4000 MHz band were made outside of the HL WBB TLG process. They also argued that similar reasoning for the proposed adoption of PMP licensing </w:t>
      </w:r>
      <w:r w:rsidR="00495EF3">
        <w:t xml:space="preserve">should </w:t>
      </w:r>
      <w:r>
        <w:t xml:space="preserve">apply to FSS ES (i.e. licence tax and spectrum denial).  </w:t>
      </w:r>
      <w:r w:rsidR="006329FD">
        <w:t xml:space="preserve"> </w:t>
      </w:r>
    </w:p>
    <w:p w14:paraId="17B5AAC7" w14:textId="77777777" w:rsidR="006329FD" w:rsidRPr="00F0222A" w:rsidRDefault="006329FD" w:rsidP="006329FD">
      <w:pPr>
        <w:pStyle w:val="Heading4"/>
        <w:spacing w:after="60"/>
        <w:ind w:firstLine="284"/>
      </w:pPr>
      <w:r w:rsidRPr="00F0222A">
        <w:t>ACMA staff response</w:t>
      </w:r>
    </w:p>
    <w:p w14:paraId="2F65454C" w14:textId="4E41FC4C" w:rsidR="006329FD" w:rsidRPr="00F0222A" w:rsidRDefault="00581CFF" w:rsidP="006329FD">
      <w:pPr>
        <w:pStyle w:val="Paragraph"/>
        <w:numPr>
          <w:ilvl w:val="0"/>
          <w:numId w:val="69"/>
        </w:numPr>
        <w:spacing w:after="80"/>
      </w:pPr>
      <w:r>
        <w:t xml:space="preserve">The proposed changes to the </w:t>
      </w:r>
      <w:r w:rsidR="00762507">
        <w:t xml:space="preserve">minimum separation distance </w:t>
      </w:r>
      <w:r>
        <w:t>frequency breakpoints have been adopted.</w:t>
      </w:r>
    </w:p>
    <w:p w14:paraId="3D0A230E" w14:textId="36B3C9A9" w:rsidR="00610533" w:rsidRDefault="00762507" w:rsidP="0031747D">
      <w:pPr>
        <w:pStyle w:val="Paragraph"/>
        <w:numPr>
          <w:ilvl w:val="0"/>
          <w:numId w:val="69"/>
        </w:numPr>
        <w:spacing w:after="80"/>
      </w:pPr>
      <w:r>
        <w:t xml:space="preserve">We appreciate concerns raised in the </w:t>
      </w:r>
      <w:r w:rsidR="00F72ECD">
        <w:t>j</w:t>
      </w:r>
      <w:r>
        <w:t xml:space="preserve">oint satellite submission. However, we note that the HL WBB TLG is not tasked with developing licensing arrangements for FSS ES in the 3950-4000 MHz </w:t>
      </w:r>
      <w:r w:rsidR="00103B23">
        <w:t>(</w:t>
      </w:r>
      <w:r>
        <w:t xml:space="preserve">or </w:t>
      </w:r>
      <w:r w:rsidR="00610533">
        <w:t xml:space="preserve">any </w:t>
      </w:r>
      <w:r>
        <w:t>other</w:t>
      </w:r>
      <w:r w:rsidR="00103B23">
        <w:t>)</w:t>
      </w:r>
      <w:r>
        <w:t xml:space="preserve"> band. The TLG has been tasked with </w:t>
      </w:r>
      <w:r w:rsidR="008B74FA">
        <w:t xml:space="preserve">providing advice on the </w:t>
      </w:r>
      <w:r>
        <w:t>develop</w:t>
      </w:r>
      <w:r w:rsidR="008B74FA">
        <w:t>ment of</w:t>
      </w:r>
      <w:r>
        <w:t xml:space="preserve"> arrangements for HL WBB use of the 3400-3475 MHz and 3950-4000 MHz bands. </w:t>
      </w:r>
      <w:r w:rsidR="00610533">
        <w:t xml:space="preserve">The ACMA publicly consulted on licensing arrangements for AWL Rx in the 3750-4000 MHz band from 20 June to 1 August 2023. This was done as part of the consultation for </w:t>
      </w:r>
      <w:hyperlink r:id="rId42" w:history="1">
        <w:r w:rsidR="00610533" w:rsidRPr="00610533">
          <w:rPr>
            <w:rStyle w:val="Hyperlink"/>
          </w:rPr>
          <w:t>AWLs in the 3.8 GHz band in metropolitan and regional Australia</w:t>
        </w:r>
      </w:hyperlink>
      <w:r w:rsidR="00610533">
        <w:t xml:space="preserve"> (3.8 GHz consultation). Outcomes for that process were announced on 15 February 2024.  </w:t>
      </w:r>
    </w:p>
    <w:p w14:paraId="3C0E0C3D" w14:textId="3D7606CE" w:rsidR="00FF2483" w:rsidRPr="00E162C4" w:rsidRDefault="00FF2483" w:rsidP="00FF2483">
      <w:pPr>
        <w:pStyle w:val="Heading2"/>
        <w:spacing w:after="120"/>
        <w:ind w:firstLine="284"/>
      </w:pPr>
      <w:bookmarkStart w:id="76" w:name="_Toc178948545"/>
      <w:r>
        <w:t>Submissions to TLG paper Version 3.0</w:t>
      </w:r>
      <w:bookmarkEnd w:id="76"/>
      <w:r>
        <w:t xml:space="preserve"> </w:t>
      </w:r>
    </w:p>
    <w:p w14:paraId="01F85642" w14:textId="17AC13D3" w:rsidR="00FF2483" w:rsidRDefault="00FF2483" w:rsidP="00FF2483">
      <w:pPr>
        <w:pStyle w:val="Paragraph"/>
        <w:spacing w:after="80"/>
        <w:ind w:left="284"/>
      </w:pPr>
      <w:r>
        <w:t>Five submissions were received in response to V</w:t>
      </w:r>
      <w:r w:rsidR="00D66F1D">
        <w:t>3.0</w:t>
      </w:r>
      <w:r>
        <w:t xml:space="preserve"> of the TLG paper. Submissions were received from:</w:t>
      </w:r>
    </w:p>
    <w:p w14:paraId="2F11CA24" w14:textId="4F8EBCD3" w:rsidR="00FF2483" w:rsidRDefault="00FF2483" w:rsidP="00FF2483">
      <w:pPr>
        <w:pStyle w:val="Paragraph"/>
        <w:numPr>
          <w:ilvl w:val="0"/>
          <w:numId w:val="68"/>
        </w:numPr>
        <w:spacing w:after="80"/>
      </w:pPr>
      <w:r>
        <w:t>AMTA</w:t>
      </w:r>
    </w:p>
    <w:p w14:paraId="58848858" w14:textId="214741D6" w:rsidR="00FF2483" w:rsidRDefault="00FF2483" w:rsidP="00FF2483">
      <w:pPr>
        <w:pStyle w:val="Paragraph"/>
        <w:numPr>
          <w:ilvl w:val="0"/>
          <w:numId w:val="68"/>
        </w:numPr>
        <w:spacing w:after="80"/>
      </w:pPr>
      <w:r>
        <w:t>Boeing Australia</w:t>
      </w:r>
    </w:p>
    <w:p w14:paraId="6F6F6A76" w14:textId="7A15513B" w:rsidR="00FF2483" w:rsidRDefault="00FF2483" w:rsidP="00FF2483">
      <w:pPr>
        <w:pStyle w:val="Paragraph"/>
        <w:numPr>
          <w:ilvl w:val="0"/>
          <w:numId w:val="68"/>
        </w:numPr>
        <w:spacing w:after="80"/>
      </w:pPr>
      <w:r>
        <w:t>Ericsson</w:t>
      </w:r>
    </w:p>
    <w:p w14:paraId="2054308C" w14:textId="77777777" w:rsidR="00FF2483" w:rsidRDefault="00FF2483" w:rsidP="00FF2483">
      <w:pPr>
        <w:pStyle w:val="Paragraph"/>
        <w:numPr>
          <w:ilvl w:val="0"/>
          <w:numId w:val="68"/>
        </w:numPr>
        <w:spacing w:after="80"/>
      </w:pPr>
      <w:r>
        <w:t xml:space="preserve">Joint satellite response (Intelsat, SES, </w:t>
      </w:r>
      <w:proofErr w:type="spellStart"/>
      <w:r>
        <w:t>Speedcast</w:t>
      </w:r>
      <w:proofErr w:type="spellEnd"/>
      <w:r>
        <w:t xml:space="preserve"> and </w:t>
      </w:r>
      <w:proofErr w:type="spellStart"/>
      <w:r>
        <w:t>Viasat</w:t>
      </w:r>
      <w:proofErr w:type="spellEnd"/>
      <w:r>
        <w:t>)</w:t>
      </w:r>
    </w:p>
    <w:p w14:paraId="58D7321D" w14:textId="26F91E4C" w:rsidR="00FF2483" w:rsidRDefault="005812D6" w:rsidP="00FF2483">
      <w:pPr>
        <w:pStyle w:val="Paragraph"/>
        <w:numPr>
          <w:ilvl w:val="0"/>
          <w:numId w:val="68"/>
        </w:numPr>
      </w:pPr>
      <w:r>
        <w:t>nbn</w:t>
      </w:r>
      <w:r w:rsidR="00FF2483">
        <w:t xml:space="preserve">. </w:t>
      </w:r>
    </w:p>
    <w:p w14:paraId="52AA78C5" w14:textId="6C84CD54" w:rsidR="00FF2483" w:rsidRDefault="00FF2483" w:rsidP="00FF2483">
      <w:pPr>
        <w:pStyle w:val="Paragraph"/>
        <w:spacing w:after="80"/>
        <w:ind w:left="284"/>
      </w:pPr>
      <w:r>
        <w:t xml:space="preserve">An additional </w:t>
      </w:r>
      <w:r w:rsidR="00D66F1D">
        <w:t xml:space="preserve">response </w:t>
      </w:r>
      <w:r>
        <w:t xml:space="preserve">was </w:t>
      </w:r>
      <w:r w:rsidR="00D66F1D">
        <w:t xml:space="preserve">also </w:t>
      </w:r>
      <w:r>
        <w:t>provided by the Australian &amp; International Pilots Association (AIPA), which included:</w:t>
      </w:r>
    </w:p>
    <w:p w14:paraId="70E80F88" w14:textId="2C8846ED" w:rsidR="00FF2483" w:rsidRDefault="00FF2483" w:rsidP="00FF2483">
      <w:pPr>
        <w:pStyle w:val="Paragraph"/>
        <w:numPr>
          <w:ilvl w:val="0"/>
          <w:numId w:val="79"/>
        </w:numPr>
        <w:spacing w:after="80"/>
      </w:pPr>
      <w:r>
        <w:t xml:space="preserve">support for the proposed coexistence arrangements with radio </w:t>
      </w:r>
      <w:proofErr w:type="gramStart"/>
      <w:r>
        <w:t>altimeters;</w:t>
      </w:r>
      <w:proofErr w:type="gramEnd"/>
    </w:p>
    <w:p w14:paraId="11A8B8D0" w14:textId="62128160" w:rsidR="00FF2483" w:rsidRDefault="00FF2483" w:rsidP="00FF2483">
      <w:pPr>
        <w:pStyle w:val="Paragraph"/>
        <w:numPr>
          <w:ilvl w:val="0"/>
          <w:numId w:val="79"/>
        </w:numPr>
      </w:pPr>
      <w:r>
        <w:t xml:space="preserve">a desire for </w:t>
      </w:r>
      <w:r>
        <w:rPr>
          <w:lang w:val="en-ZA"/>
        </w:rPr>
        <w:t>assumptions about BPLs to be confirmed/proven for indoor installations</w:t>
      </w:r>
      <w:r>
        <w:t xml:space="preserve">. </w:t>
      </w:r>
    </w:p>
    <w:p w14:paraId="10C6C654" w14:textId="6CC00A96" w:rsidR="00FF2483" w:rsidRDefault="00FF2483" w:rsidP="00FF2483">
      <w:pPr>
        <w:pStyle w:val="Paragraph"/>
        <w:ind w:left="284"/>
      </w:pPr>
      <w:r>
        <w:t xml:space="preserve">The main issues raised in submissions are summarised below. Please refer to individual submissions for more detail. ACMA staff responses </w:t>
      </w:r>
      <w:r w:rsidR="00FA6F87">
        <w:t>to each issue are also included</w:t>
      </w:r>
      <w:r>
        <w:t xml:space="preserve"> below.  </w:t>
      </w:r>
    </w:p>
    <w:p w14:paraId="78FB0A43" w14:textId="77777777" w:rsidR="00D66F1D" w:rsidRDefault="00D66F1D">
      <w:pPr>
        <w:spacing w:after="0" w:line="240" w:lineRule="auto"/>
        <w:rPr>
          <w:rFonts w:cs="Arial"/>
          <w:b/>
          <w:bCs/>
          <w:szCs w:val="26"/>
        </w:rPr>
      </w:pPr>
      <w:bookmarkStart w:id="77" w:name="_Hlk177636195"/>
      <w:r>
        <w:br w:type="page"/>
      </w:r>
    </w:p>
    <w:p w14:paraId="6A163971" w14:textId="23C934CB" w:rsidR="00FF2483" w:rsidRPr="00E162C4" w:rsidRDefault="00FF2483" w:rsidP="00FF2483">
      <w:pPr>
        <w:pStyle w:val="Heading3"/>
        <w:ind w:left="284"/>
      </w:pPr>
      <w:r>
        <w:lastRenderedPageBreak/>
        <w:t>In-band emission limits</w:t>
      </w:r>
    </w:p>
    <w:p w14:paraId="71A68468" w14:textId="6B9FE573" w:rsidR="00FF2483" w:rsidRDefault="00435301" w:rsidP="00FF2483">
      <w:pPr>
        <w:pStyle w:val="Paragraph"/>
        <w:numPr>
          <w:ilvl w:val="0"/>
          <w:numId w:val="79"/>
        </w:numPr>
        <w:spacing w:after="80"/>
      </w:pPr>
      <w:r>
        <w:t>Ericsson support</w:t>
      </w:r>
      <w:r w:rsidR="00555C6C">
        <w:t>ed</w:t>
      </w:r>
      <w:r>
        <w:t xml:space="preserve"> implementing a PSD limit</w:t>
      </w:r>
      <w:r w:rsidR="004100B4">
        <w:t xml:space="preserve"> of 17 dBm/MHz</w:t>
      </w:r>
      <w:r>
        <w:t xml:space="preserve"> </w:t>
      </w:r>
      <w:r w:rsidR="00555C6C">
        <w:t xml:space="preserve">only </w:t>
      </w:r>
      <w:r>
        <w:t>(i.e.no max EIRP limit)</w:t>
      </w:r>
      <w:r w:rsidR="00555C6C">
        <w:t>.</w:t>
      </w:r>
    </w:p>
    <w:p w14:paraId="088B0FAA" w14:textId="5AE22A7F" w:rsidR="004100B4" w:rsidRDefault="004100B4" w:rsidP="00FF2483">
      <w:pPr>
        <w:pStyle w:val="Paragraph"/>
        <w:numPr>
          <w:ilvl w:val="0"/>
          <w:numId w:val="79"/>
        </w:numPr>
        <w:spacing w:after="80"/>
      </w:pPr>
      <w:r>
        <w:t>The joint satellite response supported apply</w:t>
      </w:r>
      <w:r w:rsidR="00267EC4">
        <w:t>ing</w:t>
      </w:r>
      <w:r>
        <w:t xml:space="preserve"> both a PSD limit of 17 dBm/MHz and a maximum EIRP limit of 30 dBm. The submission argued that b</w:t>
      </w:r>
      <w:r w:rsidRPr="004100B4">
        <w:t xml:space="preserve">oth limits are required as they </w:t>
      </w:r>
      <w:proofErr w:type="gramStart"/>
      <w:r w:rsidRPr="004100B4">
        <w:t>take into account</w:t>
      </w:r>
      <w:proofErr w:type="gramEnd"/>
      <w:r w:rsidRPr="004100B4">
        <w:t xml:space="preserve"> antenna gain and power to minimise interference to other services.</w:t>
      </w:r>
      <w:r>
        <w:t xml:space="preserve"> Furthermore, if support for </w:t>
      </w:r>
      <w:r w:rsidR="00561526">
        <w:t>Medium Range</w:t>
      </w:r>
      <w:r>
        <w:t xml:space="preserve"> BS is provided, then</w:t>
      </w:r>
      <w:r w:rsidR="00BF1798">
        <w:t xml:space="preserve"> it was proposed to </w:t>
      </w:r>
      <w:r>
        <w:t>restrict</w:t>
      </w:r>
      <w:r w:rsidR="00BF1798">
        <w:t xml:space="preserve"> HL WBB</w:t>
      </w:r>
      <w:r>
        <w:t xml:space="preserve"> to indoor use only.</w:t>
      </w:r>
    </w:p>
    <w:p w14:paraId="57C0DD90" w14:textId="77777777" w:rsidR="004100B4" w:rsidRPr="00F0222A" w:rsidRDefault="004100B4" w:rsidP="004100B4">
      <w:pPr>
        <w:pStyle w:val="Heading4"/>
        <w:spacing w:after="60"/>
        <w:ind w:firstLine="284"/>
      </w:pPr>
      <w:r w:rsidRPr="00F0222A">
        <w:t>ACMA staff response</w:t>
      </w:r>
    </w:p>
    <w:p w14:paraId="55B4FDBB" w14:textId="2D363B8D" w:rsidR="008205FD" w:rsidRDefault="008205FD" w:rsidP="00561526">
      <w:pPr>
        <w:pStyle w:val="Paragraph"/>
        <w:numPr>
          <w:ilvl w:val="0"/>
          <w:numId w:val="69"/>
        </w:numPr>
        <w:spacing w:after="80"/>
        <w:rPr>
          <w:rStyle w:val="charsectno"/>
          <w:b/>
          <w:i/>
        </w:rPr>
      </w:pPr>
      <w:r>
        <w:rPr>
          <w:rStyle w:val="charsectno"/>
        </w:rPr>
        <w:t xml:space="preserve">We do not propose to apply a maximum EIRP limit. Due to the </w:t>
      </w:r>
      <w:r w:rsidR="00A13936">
        <w:rPr>
          <w:rStyle w:val="charsectno"/>
        </w:rPr>
        <w:t xml:space="preserve">limited </w:t>
      </w:r>
      <w:r w:rsidR="006142C5">
        <w:rPr>
          <w:rStyle w:val="charsectno"/>
        </w:rPr>
        <w:t>amount</w:t>
      </w:r>
      <w:r>
        <w:rPr>
          <w:rStyle w:val="charsectno"/>
        </w:rPr>
        <w:t xml:space="preserve"> of spectrum available for HL WBB use, the proposed PSD limit already restricts HL WBB transmitter to an EIRP of no greater than 35.5 dBm/70 MH</w:t>
      </w:r>
      <w:r w:rsidR="00267EC4">
        <w:rPr>
          <w:rStyle w:val="charsectno"/>
        </w:rPr>
        <w:t>z</w:t>
      </w:r>
      <w:r>
        <w:rPr>
          <w:rStyle w:val="charsectno"/>
        </w:rPr>
        <w:t xml:space="preserve"> in the 3400-3475 MHz band and 34 dBm/50 MHz in the 3950-4000 MHz band. We consider this is a reasonable limit for such use. </w:t>
      </w:r>
    </w:p>
    <w:p w14:paraId="416FAE96" w14:textId="0A6128ED" w:rsidR="008205FD" w:rsidRDefault="008205FD" w:rsidP="00561526">
      <w:pPr>
        <w:pStyle w:val="Paragraph"/>
        <w:numPr>
          <w:ilvl w:val="0"/>
          <w:numId w:val="69"/>
        </w:numPr>
        <w:spacing w:after="80"/>
        <w:rPr>
          <w:rStyle w:val="charsectno"/>
        </w:rPr>
      </w:pPr>
      <w:r>
        <w:rPr>
          <w:rStyle w:val="charsectno"/>
        </w:rPr>
        <w:t>We propose to restrict HL WBB base stations to indoor operation in the 3400</w:t>
      </w:r>
      <w:r w:rsidR="00B1235C">
        <w:rPr>
          <w:rStyle w:val="charsectno"/>
        </w:rPr>
        <w:noBreakHyphen/>
      </w:r>
      <w:r>
        <w:rPr>
          <w:rStyle w:val="charsectno"/>
        </w:rPr>
        <w:t>3475 MHz band. However, we do not propose similar restrictions for operations in the 3950-4000 MHz band. We are aware of HL WBB use cases that would benefit from th</w:t>
      </w:r>
      <w:r w:rsidR="00BF1798">
        <w:rPr>
          <w:rStyle w:val="charsectno"/>
        </w:rPr>
        <w:t>e ability to deploy services outdoors</w:t>
      </w:r>
      <w:r>
        <w:rPr>
          <w:rStyle w:val="charsectno"/>
        </w:rPr>
        <w:t xml:space="preserve">. To manage potential interference with other licensed services, </w:t>
      </w:r>
      <w:r w:rsidR="00BF1798">
        <w:rPr>
          <w:rStyle w:val="charsectno"/>
        </w:rPr>
        <w:t xml:space="preserve">suitable </w:t>
      </w:r>
      <w:r>
        <w:rPr>
          <w:rStyle w:val="charsectno"/>
        </w:rPr>
        <w:t xml:space="preserve">coordination criteria </w:t>
      </w:r>
      <w:r w:rsidR="00BF1798">
        <w:rPr>
          <w:rStyle w:val="charsectno"/>
        </w:rPr>
        <w:t>are also considered in this paper</w:t>
      </w:r>
      <w:r>
        <w:rPr>
          <w:rStyle w:val="charsectno"/>
        </w:rPr>
        <w:t>.</w:t>
      </w:r>
    </w:p>
    <w:p w14:paraId="4D425EAD" w14:textId="3AB291B1" w:rsidR="00FF2483" w:rsidRDefault="008205FD" w:rsidP="00561526">
      <w:pPr>
        <w:pStyle w:val="Paragraph"/>
        <w:numPr>
          <w:ilvl w:val="0"/>
          <w:numId w:val="69"/>
        </w:numPr>
      </w:pPr>
      <w:r>
        <w:rPr>
          <w:rStyle w:val="charsectno"/>
        </w:rPr>
        <w:t xml:space="preserve">We will </w:t>
      </w:r>
      <w:r w:rsidR="00C10F4A">
        <w:rPr>
          <w:rStyle w:val="charsectno"/>
        </w:rPr>
        <w:t>raise</w:t>
      </w:r>
      <w:r>
        <w:rPr>
          <w:rStyle w:val="charsectno"/>
        </w:rPr>
        <w:t xml:space="preserve"> the diverg</w:t>
      </w:r>
      <w:r w:rsidR="00C10F4A">
        <w:rPr>
          <w:rStyle w:val="charsectno"/>
        </w:rPr>
        <w:t>ent</w:t>
      </w:r>
      <w:r>
        <w:rPr>
          <w:rStyle w:val="charsectno"/>
        </w:rPr>
        <w:t xml:space="preserve"> views on this issue in the planned consultation paper and consider any further submissions on the issue before finalising outcomes.</w:t>
      </w:r>
    </w:p>
    <w:p w14:paraId="15887B14" w14:textId="49DEE2D9" w:rsidR="004100B4" w:rsidRPr="00E162C4" w:rsidRDefault="004100B4" w:rsidP="004100B4">
      <w:pPr>
        <w:pStyle w:val="Heading3"/>
        <w:ind w:left="284"/>
      </w:pPr>
      <w:r>
        <w:t>Unwanted emission limits</w:t>
      </w:r>
    </w:p>
    <w:p w14:paraId="335D71EA" w14:textId="7607FE4D" w:rsidR="004100B4" w:rsidRDefault="004100B4" w:rsidP="004100B4">
      <w:pPr>
        <w:pStyle w:val="Paragraph"/>
        <w:numPr>
          <w:ilvl w:val="0"/>
          <w:numId w:val="79"/>
        </w:numPr>
        <w:spacing w:after="80"/>
      </w:pPr>
      <w:r>
        <w:t xml:space="preserve">AMTA and Ericsson supported adopting 3GPP TS 38.104 </w:t>
      </w:r>
      <w:r w:rsidR="00561526">
        <w:t>Medium Range</w:t>
      </w:r>
      <w:r>
        <w:t xml:space="preserve"> BS unwanted emission limits. Ericsson stated this will allow for a choice of small cell base stations to be used in outdoor environments where </w:t>
      </w:r>
      <w:r w:rsidR="000B1110">
        <w:t>Local Area</w:t>
      </w:r>
      <w:r>
        <w:t xml:space="preserve"> </w:t>
      </w:r>
      <w:r w:rsidR="000B1110">
        <w:t>BS</w:t>
      </w:r>
      <w:r>
        <w:t>s are not suitable</w:t>
      </w:r>
      <w:r w:rsidR="00BF1798">
        <w:t xml:space="preserve"> for deployment</w:t>
      </w:r>
      <w:r>
        <w:t xml:space="preserve">.  </w:t>
      </w:r>
    </w:p>
    <w:p w14:paraId="3516D44B" w14:textId="73E288EF" w:rsidR="004100B4" w:rsidRDefault="004100B4" w:rsidP="004100B4">
      <w:pPr>
        <w:pStyle w:val="Paragraph"/>
        <w:numPr>
          <w:ilvl w:val="0"/>
          <w:numId w:val="79"/>
        </w:numPr>
        <w:spacing w:after="80"/>
      </w:pPr>
      <w:r>
        <w:t xml:space="preserve">The joint satellite response supported adopting 3GPP TS </w:t>
      </w:r>
      <w:r w:rsidR="000B1110">
        <w:t>Local Area</w:t>
      </w:r>
      <w:r>
        <w:t xml:space="preserve"> BS unwanted emission limits. The submission stated that FSS ES receivers are sensitive to out-of-band (OOB) emissions. It also cited previous submissions that point to this being a major mechanism for interference </w:t>
      </w:r>
      <w:r w:rsidR="00BF1798">
        <w:t>as</w:t>
      </w:r>
      <w:r>
        <w:t xml:space="preserve"> filters cannot be used to mitigate against</w:t>
      </w:r>
      <w:r w:rsidR="00BF1798">
        <w:t xml:space="preserve"> it</w:t>
      </w:r>
      <w:r>
        <w:t>. The submissions</w:t>
      </w:r>
      <w:r w:rsidR="000602B3">
        <w:t xml:space="preserve"> stated that as the ACMA is not proposing to consider OOB emissions in determining coordination and minimum separation distances,</w:t>
      </w:r>
      <w:r>
        <w:t xml:space="preserve"> HL WBB </w:t>
      </w:r>
      <w:r w:rsidR="000602B3">
        <w:t xml:space="preserve">should </w:t>
      </w:r>
      <w:r>
        <w:t xml:space="preserve">operate on a NINP basis to FSS ES with respect to their OOB emissions. </w:t>
      </w:r>
    </w:p>
    <w:p w14:paraId="47DB16AA" w14:textId="77777777" w:rsidR="004100B4" w:rsidRPr="00F0222A" w:rsidRDefault="004100B4" w:rsidP="004100B4">
      <w:pPr>
        <w:pStyle w:val="Heading4"/>
        <w:spacing w:after="60"/>
        <w:ind w:firstLine="284"/>
      </w:pPr>
      <w:r w:rsidRPr="00F0222A">
        <w:t>ACMA staff response</w:t>
      </w:r>
    </w:p>
    <w:p w14:paraId="7CE5B4C6" w14:textId="2924E71C" w:rsidR="008205FD" w:rsidRDefault="008205FD" w:rsidP="004100B4">
      <w:pPr>
        <w:pStyle w:val="Paragraph"/>
        <w:numPr>
          <w:ilvl w:val="0"/>
          <w:numId w:val="69"/>
        </w:numPr>
        <w:spacing w:after="80"/>
      </w:pPr>
      <w:r>
        <w:t xml:space="preserve">As detailed in version 3.0 of the TLG paper, when </w:t>
      </w:r>
      <w:bookmarkStart w:id="78" w:name="_Hlk177473657"/>
      <w:r>
        <w:rPr>
          <w:rStyle w:val="charsectno"/>
        </w:rPr>
        <w:t xml:space="preserve">antenna gains are </w:t>
      </w:r>
      <w:proofErr w:type="gramStart"/>
      <w:r>
        <w:rPr>
          <w:rStyle w:val="charsectno"/>
        </w:rPr>
        <w:t>taken into account</w:t>
      </w:r>
      <w:proofErr w:type="gramEnd"/>
      <w:r>
        <w:rPr>
          <w:rStyle w:val="charsectno"/>
        </w:rPr>
        <w:t xml:space="preserve">, the difference in actual radiated power between the Medium Range BS and Local Area BS are </w:t>
      </w:r>
      <w:r w:rsidR="00B1235C">
        <w:rPr>
          <w:rStyle w:val="charsectno"/>
        </w:rPr>
        <w:t>small</w:t>
      </w:r>
      <w:r>
        <w:rPr>
          <w:rStyle w:val="charsectno"/>
        </w:rPr>
        <w:t xml:space="preserve"> when services are operating at or near the maximum PSD limit</w:t>
      </w:r>
      <w:r w:rsidR="00BF1798">
        <w:rPr>
          <w:rStyle w:val="charsectno"/>
        </w:rPr>
        <w:t xml:space="preserve"> (</w:t>
      </w:r>
      <w:r w:rsidR="00B1235C">
        <w:rPr>
          <w:rStyle w:val="charsectno"/>
        </w:rPr>
        <w:t>see</w:t>
      </w:r>
      <w:r w:rsidR="00BF1798">
        <w:rPr>
          <w:rStyle w:val="charsectno"/>
        </w:rPr>
        <w:t xml:space="preserve"> Figure 1-A)</w:t>
      </w:r>
      <w:r>
        <w:rPr>
          <w:rStyle w:val="charsectno"/>
        </w:rPr>
        <w:t xml:space="preserve">. </w:t>
      </w:r>
      <w:r>
        <w:t xml:space="preserve">This means that, </w:t>
      </w:r>
      <w:r w:rsidRPr="00F24FEF">
        <w:t xml:space="preserve">from an interference perspective, there is unlikely to be </w:t>
      </w:r>
      <w:r w:rsidR="00B1235C">
        <w:t>a large</w:t>
      </w:r>
      <w:r w:rsidRPr="00F24FEF">
        <w:t xml:space="preserve"> difference between adopting </w:t>
      </w:r>
      <w:r>
        <w:t>either of the</w:t>
      </w:r>
      <w:r w:rsidRPr="00F24FEF">
        <w:t xml:space="preserve"> limits. </w:t>
      </w:r>
      <w:r w:rsidR="000602B3">
        <w:t xml:space="preserve">We also recognise that a </w:t>
      </w:r>
      <w:r>
        <w:t xml:space="preserve">benefit of adopting the Medium Range </w:t>
      </w:r>
      <w:r w:rsidR="00267EC4">
        <w:t>BS</w:t>
      </w:r>
      <w:r>
        <w:t xml:space="preserve"> limits is it provides licensees</w:t>
      </w:r>
      <w:r w:rsidRPr="00F24FEF">
        <w:t xml:space="preserve"> with a greater range of equipment options</w:t>
      </w:r>
      <w:bookmarkEnd w:id="78"/>
      <w:r>
        <w:t>, particularly for outdoor environments</w:t>
      </w:r>
      <w:r w:rsidR="004100B4">
        <w:t>.</w:t>
      </w:r>
      <w:r w:rsidR="00AA5AC2">
        <w:t xml:space="preserve"> </w:t>
      </w:r>
    </w:p>
    <w:p w14:paraId="661E8F67" w14:textId="4C6BC485" w:rsidR="00AA5AC2" w:rsidRDefault="008205FD" w:rsidP="004100B4">
      <w:pPr>
        <w:pStyle w:val="Paragraph"/>
        <w:numPr>
          <w:ilvl w:val="0"/>
          <w:numId w:val="69"/>
        </w:numPr>
        <w:spacing w:after="80"/>
      </w:pPr>
      <w:r>
        <w:t xml:space="preserve">We recognise </w:t>
      </w:r>
      <w:r w:rsidR="000602B3">
        <w:t>the potential for interference</w:t>
      </w:r>
      <w:r>
        <w:t xml:space="preserve"> from </w:t>
      </w:r>
      <w:r w:rsidR="000602B3">
        <w:t xml:space="preserve">HL WBB </w:t>
      </w:r>
      <w:r>
        <w:t>OOB emissions</w:t>
      </w:r>
      <w:r w:rsidR="000602B3">
        <w:t xml:space="preserve"> into FSS ES receivers. For this reason, prospective new HL WBB licensees are required to protect earth receive licences on a first-in-time coordinated basis to the levels defined in subsection 4.3(3) of the </w:t>
      </w:r>
      <w:r w:rsidR="000602B3" w:rsidRPr="00561526">
        <w:rPr>
          <w:i/>
          <w:iCs/>
        </w:rPr>
        <w:t xml:space="preserve">Radiocommunications Advisory Guidelines (Managing Interference from Spectrum Licensed Transmitters — </w:t>
      </w:r>
      <w:r w:rsidR="000602B3" w:rsidRPr="00561526">
        <w:rPr>
          <w:i/>
          <w:iCs/>
        </w:rPr>
        <w:lastRenderedPageBreak/>
        <w:t>3.4 GHz Band) 2015</w:t>
      </w:r>
      <w:r w:rsidR="000602B3">
        <w:t>. This speci</w:t>
      </w:r>
      <w:r w:rsidR="005B0DAC">
        <w:t>fic</w:t>
      </w:r>
      <w:r w:rsidR="000602B3">
        <w:t xml:space="preserve">ally requires </w:t>
      </w:r>
      <w:r w:rsidR="00BF1798">
        <w:t>an</w:t>
      </w:r>
      <w:r w:rsidR="000602B3">
        <w:t xml:space="preserve"> assessment o</w:t>
      </w:r>
      <w:r w:rsidR="005B0DAC">
        <w:t>f</w:t>
      </w:r>
      <w:r w:rsidR="00BF1798">
        <w:t xml:space="preserve"> the impact of</w:t>
      </w:r>
      <w:r w:rsidR="000602B3">
        <w:t xml:space="preserve"> unwanted emissions.  </w:t>
      </w:r>
      <w:r w:rsidR="00AA5AC2">
        <w:t xml:space="preserve">For AWL Rx, </w:t>
      </w:r>
      <w:r w:rsidR="005F3DB9">
        <w:t>consistent</w:t>
      </w:r>
      <w:r w:rsidR="002913EC">
        <w:t xml:space="preserve"> with the arrangements developed for AWLs and 3.4 GHz spectrum licences, </w:t>
      </w:r>
      <w:r w:rsidR="00AA5AC2">
        <w:t xml:space="preserve">it is the responsibility of the </w:t>
      </w:r>
      <w:r w:rsidR="002913EC">
        <w:t xml:space="preserve">AWL </w:t>
      </w:r>
      <w:r w:rsidR="00AA5AC2">
        <w:t xml:space="preserve">licensee to ensure the spectrum space </w:t>
      </w:r>
      <w:r w:rsidR="005F3DB9">
        <w:t>covered by</w:t>
      </w:r>
      <w:r w:rsidR="00AA5AC2">
        <w:t xml:space="preserve"> their licence is sufficient to manage </w:t>
      </w:r>
      <w:r w:rsidR="00BF1798">
        <w:t xml:space="preserve">the risk of </w:t>
      </w:r>
      <w:r w:rsidR="00AA5AC2">
        <w:t>such interference. This could include locating</w:t>
      </w:r>
      <w:r w:rsidR="00AA5AC2" w:rsidRPr="004F760C">
        <w:t xml:space="preserve"> </w:t>
      </w:r>
      <w:r w:rsidR="00AA5AC2">
        <w:t xml:space="preserve">earth </w:t>
      </w:r>
      <w:r w:rsidR="00AA5AC2" w:rsidRPr="004F760C">
        <w:t>stations to take advantage of shielding</w:t>
      </w:r>
      <w:r w:rsidR="00AA5AC2" w:rsidRPr="00FD58CF">
        <w:t xml:space="preserve"> </w:t>
      </w:r>
      <w:r w:rsidR="00AA5AC2">
        <w:t xml:space="preserve">from </w:t>
      </w:r>
      <w:r w:rsidR="00AA5AC2" w:rsidRPr="004F760C">
        <w:t>clutter</w:t>
      </w:r>
      <w:r w:rsidR="00AA5AC2">
        <w:t xml:space="preserve"> such as buildings or walls or choosing sites that are isolated from areas of population to minimise the risk of interference.  </w:t>
      </w:r>
    </w:p>
    <w:p w14:paraId="32BC85F0" w14:textId="31C4030C" w:rsidR="004100B4" w:rsidRDefault="00AA5AC2" w:rsidP="00561526">
      <w:pPr>
        <w:pStyle w:val="Paragraph"/>
        <w:numPr>
          <w:ilvl w:val="0"/>
          <w:numId w:val="69"/>
        </w:numPr>
        <w:spacing w:after="80"/>
      </w:pPr>
      <w:r>
        <w:t>For the above-mentioned reasons</w:t>
      </w:r>
      <w:r w:rsidR="005F3DB9">
        <w:t>,</w:t>
      </w:r>
      <w:r>
        <w:t xml:space="preserve"> our currently preferred approach is to adopt the Medium Range BS unwanted emission limits. </w:t>
      </w:r>
      <w:r>
        <w:rPr>
          <w:rStyle w:val="charsectno"/>
        </w:rPr>
        <w:t xml:space="preserve">We will </w:t>
      </w:r>
      <w:r w:rsidR="005F3DB9">
        <w:rPr>
          <w:rStyle w:val="charsectno"/>
        </w:rPr>
        <w:t>raise</w:t>
      </w:r>
      <w:r>
        <w:rPr>
          <w:rStyle w:val="charsectno"/>
        </w:rPr>
        <w:t xml:space="preserve"> the diverg</w:t>
      </w:r>
      <w:r w:rsidR="005F3DB9">
        <w:rPr>
          <w:rStyle w:val="charsectno"/>
        </w:rPr>
        <w:t>ent</w:t>
      </w:r>
      <w:r>
        <w:rPr>
          <w:rStyle w:val="charsectno"/>
        </w:rPr>
        <w:t xml:space="preserve"> views on this issue in the planned consultation paper and consider any further submissions on the issue before finalising outcomes.</w:t>
      </w:r>
    </w:p>
    <w:p w14:paraId="43CB2C08" w14:textId="25C87EDB" w:rsidR="00FF2483" w:rsidRPr="00E162C4" w:rsidRDefault="00FF2483" w:rsidP="00561526">
      <w:pPr>
        <w:pStyle w:val="Heading3"/>
        <w:spacing w:before="240"/>
        <w:ind w:left="284"/>
      </w:pPr>
      <w:r>
        <w:t>Managing co-channel interference with spectrum licen</w:t>
      </w:r>
      <w:r w:rsidR="004100B4">
        <w:t>ces</w:t>
      </w:r>
    </w:p>
    <w:p w14:paraId="6B1D7EB9" w14:textId="77777777" w:rsidR="004100B4" w:rsidRDefault="004100B4" w:rsidP="004100B4">
      <w:pPr>
        <w:pStyle w:val="Paragraph"/>
        <w:numPr>
          <w:ilvl w:val="0"/>
          <w:numId w:val="79"/>
        </w:numPr>
        <w:spacing w:after="80"/>
      </w:pPr>
      <w:r>
        <w:t>AMTA indicated in the cover email to their submission that they were still considering their preference regarding this issue.</w:t>
      </w:r>
    </w:p>
    <w:p w14:paraId="46440B12" w14:textId="05EADFCE" w:rsidR="00FD3110" w:rsidRDefault="00555C6C" w:rsidP="00FF2483">
      <w:pPr>
        <w:pStyle w:val="Paragraph"/>
        <w:numPr>
          <w:ilvl w:val="0"/>
          <w:numId w:val="79"/>
        </w:numPr>
        <w:spacing w:after="80"/>
      </w:pPr>
      <w:r>
        <w:t>n</w:t>
      </w:r>
      <w:r w:rsidR="00FD3110">
        <w:t>bn stated support for the hybrid PFD approach.</w:t>
      </w:r>
      <w:r>
        <w:t xml:space="preserve"> nbn suggested that a direct contact register could be developed </w:t>
      </w:r>
      <w:proofErr w:type="gramStart"/>
      <w:r>
        <w:t>as a way to</w:t>
      </w:r>
      <w:proofErr w:type="gramEnd"/>
      <w:r>
        <w:t xml:space="preserve"> further mitigate risks. </w:t>
      </w:r>
    </w:p>
    <w:p w14:paraId="2890D8B7" w14:textId="77777777" w:rsidR="00FD3110" w:rsidRPr="00F0222A" w:rsidRDefault="00FD3110" w:rsidP="00FD3110">
      <w:pPr>
        <w:pStyle w:val="Heading4"/>
        <w:spacing w:after="60"/>
        <w:ind w:firstLine="284"/>
      </w:pPr>
      <w:r w:rsidRPr="00F0222A">
        <w:t>ACMA staff response</w:t>
      </w:r>
    </w:p>
    <w:p w14:paraId="57D6BD45" w14:textId="5A41E1CE" w:rsidR="00FD3110" w:rsidRDefault="004C3BA7" w:rsidP="00FD3110">
      <w:pPr>
        <w:pStyle w:val="Paragraph"/>
        <w:numPr>
          <w:ilvl w:val="0"/>
          <w:numId w:val="69"/>
        </w:numPr>
        <w:spacing w:after="80"/>
      </w:pPr>
      <w:r>
        <w:t xml:space="preserve">ACMA staff are open to adopting either the PFD or hybrid PFD approaches, though the currently preferred method is the PFD approach. </w:t>
      </w:r>
      <w:r w:rsidR="00435301">
        <w:t xml:space="preserve">To provide more time for some members to consider the issue will include both options in our public consultation process. </w:t>
      </w:r>
      <w:r w:rsidR="00FD3110">
        <w:t xml:space="preserve"> </w:t>
      </w:r>
    </w:p>
    <w:p w14:paraId="56B24131" w14:textId="28FD305C" w:rsidR="00555C6C" w:rsidRDefault="00555C6C" w:rsidP="00FD3110">
      <w:pPr>
        <w:pStyle w:val="Paragraph"/>
        <w:numPr>
          <w:ilvl w:val="0"/>
          <w:numId w:val="69"/>
        </w:numPr>
        <w:spacing w:after="80"/>
      </w:pPr>
      <w:r>
        <w:t xml:space="preserve">We do not propose to implement a direct contact register. However, relevant details of HL WBB licensees will be available on the RRL. </w:t>
      </w:r>
    </w:p>
    <w:p w14:paraId="34B331EC" w14:textId="12BF3063" w:rsidR="00FF2483" w:rsidRPr="00E162C4" w:rsidRDefault="00FF2483" w:rsidP="00561526">
      <w:pPr>
        <w:pStyle w:val="Heading3"/>
        <w:spacing w:before="240"/>
        <w:ind w:left="284"/>
      </w:pPr>
      <w:r>
        <w:t>Coexistence with radio altimeters</w:t>
      </w:r>
    </w:p>
    <w:p w14:paraId="2061D9C9" w14:textId="77777777" w:rsidR="002D63F8" w:rsidRDefault="002D63F8" w:rsidP="00B91C94">
      <w:pPr>
        <w:pStyle w:val="Paragraph"/>
        <w:numPr>
          <w:ilvl w:val="0"/>
          <w:numId w:val="79"/>
        </w:numPr>
        <w:spacing w:after="80"/>
      </w:pPr>
      <w:r>
        <w:t xml:space="preserve">AIPA supported the proposed coexistence requirements with radio altimeters. AIPA expressed a desire for any BPL assumptions used to relax the requirements to be confirmed/proven. </w:t>
      </w:r>
    </w:p>
    <w:p w14:paraId="5C4238FB" w14:textId="77777777" w:rsidR="002D63F8" w:rsidRDefault="002D63F8" w:rsidP="00B91C94">
      <w:pPr>
        <w:pStyle w:val="Paragraph"/>
        <w:numPr>
          <w:ilvl w:val="0"/>
          <w:numId w:val="79"/>
        </w:numPr>
        <w:spacing w:after="80"/>
      </w:pPr>
      <w:r>
        <w:t>Boeing generally supported the proposed coexistence requirements with radio altimeters. However, they made the following comments:</w:t>
      </w:r>
    </w:p>
    <w:p w14:paraId="6BEF3AEA" w14:textId="0570DC55" w:rsidR="002D63F8" w:rsidRDefault="002D63F8" w:rsidP="00B91C94">
      <w:pPr>
        <w:pStyle w:val="Paragraph"/>
        <w:numPr>
          <w:ilvl w:val="1"/>
          <w:numId w:val="79"/>
        </w:numPr>
        <w:spacing w:after="80"/>
      </w:pPr>
      <w:r>
        <w:t xml:space="preserve">Studies conducted did not take into account other aircraft that typically do not use commercial airport </w:t>
      </w:r>
      <w:proofErr w:type="gramStart"/>
      <w:r>
        <w:t>runways;</w:t>
      </w:r>
      <w:proofErr w:type="gramEnd"/>
    </w:p>
    <w:p w14:paraId="1168A88C" w14:textId="1FDAD607" w:rsidR="002D63F8" w:rsidRDefault="002D63F8" w:rsidP="00B91C94">
      <w:pPr>
        <w:pStyle w:val="Paragraph"/>
        <w:numPr>
          <w:ilvl w:val="1"/>
          <w:numId w:val="79"/>
        </w:numPr>
        <w:spacing w:after="80"/>
      </w:pPr>
      <w:r>
        <w:t xml:space="preserve">Studies did not take into account aggregate interference from </w:t>
      </w:r>
      <w:proofErr w:type="gramStart"/>
      <w:r>
        <w:t>UEs;</w:t>
      </w:r>
      <w:proofErr w:type="gramEnd"/>
    </w:p>
    <w:p w14:paraId="3FBDA1F0" w14:textId="29FD358D" w:rsidR="002D63F8" w:rsidRDefault="00E87DC0" w:rsidP="00561526">
      <w:pPr>
        <w:pStyle w:val="Paragraph"/>
        <w:numPr>
          <w:ilvl w:val="1"/>
          <w:numId w:val="79"/>
        </w:numPr>
        <w:spacing w:after="80"/>
      </w:pPr>
      <w:r>
        <w:t>R</w:t>
      </w:r>
      <w:r w:rsidR="002D63F8">
        <w:t>estricted zone</w:t>
      </w:r>
      <w:r>
        <w:t xml:space="preserve"> arrangements appear administratively cumbersome</w:t>
      </w:r>
      <w:r w:rsidR="005F3DB9">
        <w:t>. A</w:t>
      </w:r>
      <w:r w:rsidR="00AC332E">
        <w:t>n alternative option could be to restrict HL WBB operations close to airports to indoors only.</w:t>
      </w:r>
    </w:p>
    <w:p w14:paraId="03D91061" w14:textId="5551D28C" w:rsidR="00555C6C" w:rsidRDefault="00555C6C" w:rsidP="00B91C94">
      <w:pPr>
        <w:pStyle w:val="Paragraph"/>
        <w:numPr>
          <w:ilvl w:val="0"/>
          <w:numId w:val="79"/>
        </w:numPr>
        <w:spacing w:after="80"/>
      </w:pPr>
      <w:r>
        <w:t xml:space="preserve">Ericsson supported no additional mitigation measures being required when </w:t>
      </w:r>
      <w:r w:rsidR="00BF1798">
        <w:t>HL WBB BS</w:t>
      </w:r>
      <w:r>
        <w:t xml:space="preserve"> meet Category B spurious emission limits across the entire 4200-4400 MHz band. </w:t>
      </w:r>
    </w:p>
    <w:p w14:paraId="0A1EE860" w14:textId="0C5421B2" w:rsidR="00FF2483" w:rsidRDefault="002D63F8" w:rsidP="00B91C94">
      <w:pPr>
        <w:pStyle w:val="Paragraph"/>
        <w:numPr>
          <w:ilvl w:val="0"/>
          <w:numId w:val="79"/>
        </w:numPr>
        <w:spacing w:after="80"/>
      </w:pPr>
      <w:r>
        <w:t xml:space="preserve">AMTA indicated </w:t>
      </w:r>
      <w:r w:rsidR="005F3DB9">
        <w:t>that</w:t>
      </w:r>
      <w:r>
        <w:t xml:space="preserve"> they have not reviewed Appendix F </w:t>
      </w:r>
      <w:r w:rsidRPr="00561526">
        <w:rPr>
          <w:i/>
          <w:iCs/>
        </w:rPr>
        <w:t>Coexistence between highly localised wireless broadband stations and radio altimeters</w:t>
      </w:r>
      <w:r>
        <w:rPr>
          <w:i/>
          <w:iCs/>
        </w:rPr>
        <w:t xml:space="preserve"> </w:t>
      </w:r>
      <w:r>
        <w:t>in detail, so have not formed a view on the specific restrictions proposed.</w:t>
      </w:r>
    </w:p>
    <w:p w14:paraId="2F60F11D" w14:textId="77777777" w:rsidR="00AC332E" w:rsidRPr="00F0222A" w:rsidRDefault="00AC332E" w:rsidP="00AC332E">
      <w:pPr>
        <w:pStyle w:val="Heading4"/>
        <w:spacing w:after="60"/>
        <w:ind w:firstLine="284"/>
      </w:pPr>
      <w:r w:rsidRPr="00F0222A">
        <w:t>ACMA staff response</w:t>
      </w:r>
    </w:p>
    <w:p w14:paraId="350E9F9B" w14:textId="5B174A62" w:rsidR="00AC332E" w:rsidRDefault="00AC332E" w:rsidP="00AC332E">
      <w:pPr>
        <w:pStyle w:val="Paragraph"/>
        <w:numPr>
          <w:ilvl w:val="0"/>
          <w:numId w:val="69"/>
        </w:numPr>
        <w:spacing w:after="80"/>
      </w:pPr>
      <w:r>
        <w:t xml:space="preserve">When coordinating indoor HL WBB BS, licence applicants (or their accredited persons) may apply to the ACMA to have building penetration losses considered. Before the ACMA would approve such a request, the applicant would need to include suitable information detailing the level of building penetration loss and how this was determined. </w:t>
      </w:r>
    </w:p>
    <w:p w14:paraId="4782E457" w14:textId="107A896D" w:rsidR="00AC332E" w:rsidRDefault="00AC332E" w:rsidP="00AC332E">
      <w:pPr>
        <w:pStyle w:val="Paragraph"/>
        <w:numPr>
          <w:ilvl w:val="0"/>
          <w:numId w:val="69"/>
        </w:numPr>
        <w:spacing w:after="80"/>
      </w:pPr>
      <w:r>
        <w:lastRenderedPageBreak/>
        <w:t xml:space="preserve">The studies </w:t>
      </w:r>
      <w:r w:rsidR="005F3DB9">
        <w:t>contained in</w:t>
      </w:r>
      <w:r>
        <w:t xml:space="preserve"> Appendix F are </w:t>
      </w:r>
      <w:r w:rsidR="005F3DB9">
        <w:t>consistent</w:t>
      </w:r>
      <w:r>
        <w:t xml:space="preserve"> with the scope of studies conducted to assess coexistence between AWLs/3.4 GHz spectrum licences and radio altimeters. In this case</w:t>
      </w:r>
      <w:r w:rsidR="005F3DB9">
        <w:t>,</w:t>
      </w:r>
      <w:r>
        <w:t xml:space="preserve"> a decision was made to consider</w:t>
      </w:r>
      <w:r w:rsidR="00FA1A4E">
        <w:t xml:space="preserve"> the need to </w:t>
      </w:r>
      <w:r>
        <w:t>implement coexistence measures at defined airports only</w:t>
      </w:r>
      <w:r w:rsidR="00744888">
        <w:t xml:space="preserve"> and to protect Usage Category 1 landings where ILS CAT II/II critical approaches are common</w:t>
      </w:r>
      <w:r>
        <w:t xml:space="preserve">. </w:t>
      </w:r>
    </w:p>
    <w:p w14:paraId="65AC6B86" w14:textId="6F304837" w:rsidR="00274D32" w:rsidRDefault="00FA1A4E" w:rsidP="005C641D">
      <w:pPr>
        <w:pStyle w:val="Paragraph"/>
        <w:numPr>
          <w:ilvl w:val="0"/>
          <w:numId w:val="69"/>
        </w:numPr>
        <w:spacing w:after="80"/>
      </w:pPr>
      <w:r>
        <w:t xml:space="preserve">We note that the studies </w:t>
      </w:r>
      <w:r w:rsidR="005F3DB9">
        <w:t>in</w:t>
      </w:r>
      <w:r>
        <w:t xml:space="preserve"> Appendix F did not specifically consider aggregate interference from </w:t>
      </w:r>
      <w:r w:rsidR="002C64B2">
        <w:t xml:space="preserve">multiple </w:t>
      </w:r>
      <w:r>
        <w:t xml:space="preserve">UEs transmitting simultaneously. However, the results can be extrapolated to gauge the impact. </w:t>
      </w:r>
      <w:r w:rsidR="00BA36F7">
        <w:t xml:space="preserve">For example, assuming a typical UE has a gain of 0 </w:t>
      </w:r>
      <w:proofErr w:type="spellStart"/>
      <w:r w:rsidR="00BA36F7">
        <w:t>dBi</w:t>
      </w:r>
      <w:proofErr w:type="spellEnd"/>
      <w:r w:rsidR="00274D32">
        <w:t xml:space="preserve"> and is operating at maximum power, study results in Appendix</w:t>
      </w:r>
      <w:r w:rsidR="00B91C94">
        <w:t> </w:t>
      </w:r>
      <w:r w:rsidR="00274D32">
        <w:t>F provide a 10 dB margin for a single terminal</w:t>
      </w:r>
      <w:r w:rsidR="001A48B2">
        <w:t xml:space="preserve"> located 60m from the runway terminal (i.e. just outside the obstacle free zone)</w:t>
      </w:r>
      <w:r w:rsidR="002244B2">
        <w:t>. This becomes</w:t>
      </w:r>
      <w:r w:rsidR="00274D32">
        <w:t xml:space="preserve"> 13 dB if the additional 3 dB RTCA margin is </w:t>
      </w:r>
      <w:proofErr w:type="gramStart"/>
      <w:r w:rsidR="00274D32">
        <w:t>taken into account</w:t>
      </w:r>
      <w:proofErr w:type="gramEnd"/>
      <w:r w:rsidR="00274D32">
        <w:t>. For the latter case, it would require 20 user terminals operating simultaneously</w:t>
      </w:r>
      <w:r w:rsidR="00B91C94">
        <w:t>,</w:t>
      </w:r>
      <w:r w:rsidR="00274D32">
        <w:t xml:space="preserve"> at maximum power and within 10m of an aircraft before interference </w:t>
      </w:r>
      <w:r w:rsidR="005F3DB9">
        <w:t xml:space="preserve">would </w:t>
      </w:r>
      <w:r w:rsidR="00274D32">
        <w:t>occur. The number of UEs</w:t>
      </w:r>
      <w:r w:rsidR="002244B2">
        <w:t xml:space="preserve"> </w:t>
      </w:r>
      <w:r w:rsidR="005F3DB9">
        <w:t xml:space="preserve">needed </w:t>
      </w:r>
      <w:r w:rsidR="002244B2">
        <w:t>to cause interference</w:t>
      </w:r>
      <w:r w:rsidR="00274D32">
        <w:t xml:space="preserve"> increase</w:t>
      </w:r>
      <w:r w:rsidR="002244B2">
        <w:t>s</w:t>
      </w:r>
      <w:r w:rsidR="00274D32">
        <w:t xml:space="preserve"> when power control is </w:t>
      </w:r>
      <w:proofErr w:type="gramStart"/>
      <w:r w:rsidR="005F3DB9">
        <w:t>taken into account</w:t>
      </w:r>
      <w:proofErr w:type="gramEnd"/>
      <w:r w:rsidR="00274D32">
        <w:t xml:space="preserve"> </w:t>
      </w:r>
      <w:r w:rsidR="00B91C94">
        <w:t>(</w:t>
      </w:r>
      <w:r w:rsidR="002244B2">
        <w:t xml:space="preserve">which </w:t>
      </w:r>
      <w:r w:rsidR="00B91C94">
        <w:t>lower</w:t>
      </w:r>
      <w:r w:rsidR="002244B2">
        <w:t>s the average</w:t>
      </w:r>
      <w:r w:rsidR="00B91C94">
        <w:t xml:space="preserve"> operating power) </w:t>
      </w:r>
      <w:r w:rsidR="00274D32">
        <w:t xml:space="preserve">and a more realistic distribution of terminals (resulting in larger </w:t>
      </w:r>
      <w:r w:rsidR="002244B2">
        <w:t xml:space="preserve">typical </w:t>
      </w:r>
      <w:r w:rsidR="00274D32">
        <w:t xml:space="preserve">separation distances) is applied. </w:t>
      </w:r>
    </w:p>
    <w:p w14:paraId="1C0713A7" w14:textId="49F1CB8C" w:rsidR="00E87DC0" w:rsidRDefault="00B91C94" w:rsidP="00561526">
      <w:pPr>
        <w:pStyle w:val="Paragraph"/>
        <w:spacing w:after="80"/>
        <w:ind w:left="720"/>
      </w:pPr>
      <w:r>
        <w:t>This suggest</w:t>
      </w:r>
      <w:r w:rsidR="005812D6">
        <w:t>s</w:t>
      </w:r>
      <w:r>
        <w:t xml:space="preserve"> </w:t>
      </w:r>
      <w:r w:rsidR="005F3DB9">
        <w:t xml:space="preserve">that </w:t>
      </w:r>
      <w:r>
        <w:t>the risk of</w:t>
      </w:r>
      <w:r w:rsidR="00274D32">
        <w:t xml:space="preserve"> interference</w:t>
      </w:r>
      <w:r>
        <w:t xml:space="preserve"> from UEs is</w:t>
      </w:r>
      <w:r w:rsidR="00274D32">
        <w:t xml:space="preserve"> low.</w:t>
      </w:r>
      <w:r>
        <w:t xml:space="preserve"> </w:t>
      </w:r>
      <w:r w:rsidR="0070644B">
        <w:t xml:space="preserve">The main area of concern </w:t>
      </w:r>
      <w:r w:rsidR="00BA36F7">
        <w:t xml:space="preserve">would be </w:t>
      </w:r>
      <w:r w:rsidR="0070644B">
        <w:t xml:space="preserve">within the obstacle free area around runaways. </w:t>
      </w:r>
      <w:r w:rsidR="00BA36F7">
        <w:t>In this case, i</w:t>
      </w:r>
      <w:r w:rsidR="0070644B">
        <w:t xml:space="preserve">t is expected that the risk of interference can be mitigated </w:t>
      </w:r>
      <w:r w:rsidR="00BA36F7">
        <w:t xml:space="preserve">via the implementation of suitable </w:t>
      </w:r>
      <w:r w:rsidR="0070644B">
        <w:t>site management arrangements by airports.</w:t>
      </w:r>
    </w:p>
    <w:p w14:paraId="351D68DC" w14:textId="4EA0C91F" w:rsidR="0070644B" w:rsidRDefault="0070644B" w:rsidP="00561526">
      <w:pPr>
        <w:pStyle w:val="Paragraph"/>
        <w:spacing w:after="80"/>
        <w:ind w:left="720"/>
      </w:pPr>
      <w:r>
        <w:t xml:space="preserve">In addition to this, we note that the ECC recently consulted on Report 362 </w:t>
      </w:r>
      <w:r w:rsidRPr="00561526">
        <w:rPr>
          <w:i/>
          <w:iCs/>
          <w:lang w:val="en-GB"/>
        </w:rPr>
        <w:t>Compatibility between mobile or fixed communications networks (MFCN) operating in 3400-3800 MHz</w:t>
      </w:r>
      <w:r w:rsidRPr="00561526">
        <w:rPr>
          <w:i/>
          <w:iCs/>
          <w:lang w:val="en-IE"/>
        </w:rPr>
        <w:t xml:space="preserve"> </w:t>
      </w:r>
      <w:r w:rsidRPr="00561526">
        <w:rPr>
          <w:i/>
          <w:iCs/>
          <w:lang w:val="en-GB"/>
        </w:rPr>
        <w:t>and wireless broadband systems in low/medium power (WBB LMP) operating in the frequency band 3800-4200 MHz with Radio Altimeters (RA) operating in 4200-4400 MHz</w:t>
      </w:r>
      <w:r>
        <w:rPr>
          <w:lang w:val="en-GB"/>
        </w:rPr>
        <w:t xml:space="preserve">. This report </w:t>
      </w:r>
      <w:r w:rsidR="00BA36F7">
        <w:rPr>
          <w:lang w:val="en-GB"/>
        </w:rPr>
        <w:t xml:space="preserve">does not identify any compatibility issues </w:t>
      </w:r>
      <w:r w:rsidR="005812D6">
        <w:rPr>
          <w:lang w:val="en-GB"/>
        </w:rPr>
        <w:t>with</w:t>
      </w:r>
      <w:r w:rsidR="00BA36F7">
        <w:rPr>
          <w:lang w:val="en-GB"/>
        </w:rPr>
        <w:t xml:space="preserve"> UEs. </w:t>
      </w:r>
      <w:r>
        <w:rPr>
          <w:lang w:val="en-GB"/>
        </w:rPr>
        <w:t xml:space="preserve"> </w:t>
      </w:r>
    </w:p>
    <w:p w14:paraId="3FFC7E25" w14:textId="4097D4C7" w:rsidR="00E87DC0" w:rsidRPr="00F0222A" w:rsidRDefault="00E87DC0" w:rsidP="00AC332E">
      <w:pPr>
        <w:pStyle w:val="Paragraph"/>
        <w:numPr>
          <w:ilvl w:val="0"/>
          <w:numId w:val="69"/>
        </w:numPr>
        <w:spacing w:after="80"/>
      </w:pPr>
      <w:r>
        <w:t xml:space="preserve">The restricted zones proposed are </w:t>
      </w:r>
      <w:proofErr w:type="gramStart"/>
      <w:r>
        <w:t>small in size</w:t>
      </w:r>
      <w:proofErr w:type="gramEnd"/>
      <w:r>
        <w:t xml:space="preserve">. While </w:t>
      </w:r>
      <w:r w:rsidR="005F3DB9">
        <w:t>we</w:t>
      </w:r>
      <w:r>
        <w:t xml:space="preserve"> </w:t>
      </w:r>
      <w:r w:rsidR="00B91C94">
        <w:t>have</w:t>
      </w:r>
      <w:r>
        <w:t xml:space="preserve"> consider</w:t>
      </w:r>
      <w:r w:rsidR="00B91C94">
        <w:t>ed</w:t>
      </w:r>
      <w:r>
        <w:t xml:space="preserve"> restricting HL WBB to indoor use only in these areas, to provide flexibility for</w:t>
      </w:r>
      <w:r w:rsidR="00FB5FA8">
        <w:t xml:space="preserve"> </w:t>
      </w:r>
      <w:r>
        <w:t xml:space="preserve">operators while protecting radio altimeters, alternative arrangements were developed. </w:t>
      </w:r>
      <w:r w:rsidR="00B91C94">
        <w:t>Under these arrangements o</w:t>
      </w:r>
      <w:r w:rsidR="00FB5FA8">
        <w:t xml:space="preserve">perators can decide </w:t>
      </w:r>
      <w:proofErr w:type="gramStart"/>
      <w:r w:rsidR="00FB5FA8">
        <w:t>whether or not</w:t>
      </w:r>
      <w:proofErr w:type="gramEnd"/>
      <w:r w:rsidR="00FB5FA8">
        <w:t xml:space="preserve"> to deploy in a restricted zone. This includes investigating </w:t>
      </w:r>
      <w:r w:rsidR="00B91C94">
        <w:t xml:space="preserve">what </w:t>
      </w:r>
      <w:r w:rsidR="00FB5FA8">
        <w:t xml:space="preserve">mitigation measures may need to </w:t>
      </w:r>
      <w:r w:rsidR="00B91C94">
        <w:t xml:space="preserve">be </w:t>
      </w:r>
      <w:r w:rsidR="00FB5FA8">
        <w:t>employ</w:t>
      </w:r>
      <w:r w:rsidR="005812D6">
        <w:t>ed</w:t>
      </w:r>
      <w:r w:rsidR="00FB5FA8">
        <w:t xml:space="preserve"> to meet the required EIRP limitations. </w:t>
      </w:r>
    </w:p>
    <w:bookmarkEnd w:id="77"/>
    <w:p w14:paraId="236EDA00" w14:textId="77777777" w:rsidR="00AC332E" w:rsidRDefault="00AC332E" w:rsidP="00561526">
      <w:pPr>
        <w:pStyle w:val="Paragraph"/>
        <w:spacing w:after="80"/>
      </w:pPr>
    </w:p>
    <w:p w14:paraId="5E763C32" w14:textId="1D7312A8" w:rsidR="000B4664" w:rsidRPr="00E162C4" w:rsidRDefault="00284BC6" w:rsidP="001F1EAC">
      <w:pPr>
        <w:pStyle w:val="Heading1"/>
        <w:ind w:left="284"/>
      </w:pPr>
      <w:bookmarkStart w:id="79" w:name="_Toc178948546"/>
      <w:bookmarkEnd w:id="68"/>
      <w:r>
        <w:lastRenderedPageBreak/>
        <w:t>Frequency assignment arrangements</w:t>
      </w:r>
      <w:bookmarkEnd w:id="79"/>
    </w:p>
    <w:p w14:paraId="4A9E2DA0" w14:textId="7508BAD7" w:rsidR="007A5D7C" w:rsidRDefault="0066547E" w:rsidP="008976E6">
      <w:pPr>
        <w:pStyle w:val="Paragraph"/>
        <w:ind w:left="284"/>
      </w:pPr>
      <w:r>
        <w:t xml:space="preserve">This section provides details on the proposed arrangements for coexistence and coordination of </w:t>
      </w:r>
      <w:r w:rsidR="00A01E9F">
        <w:t>HL</w:t>
      </w:r>
      <w:r>
        <w:t xml:space="preserve"> WBB with other incumbent spectrum uses and users. </w:t>
      </w:r>
      <w:r w:rsidR="00CF1A79">
        <w:t>Where appropriate</w:t>
      </w:r>
      <w:r w:rsidR="008F0F69">
        <w:t>,</w:t>
      </w:r>
      <w:r w:rsidR="00CF1A79">
        <w:t xml:space="preserve"> the same criteria as defined for AWLs and 3.4 GHz spectrum licences (SLs) is applied to the HL WBB use case. </w:t>
      </w:r>
      <w:r>
        <w:t xml:space="preserve">It is proposed that any arrangements developed will be contained in a new RALI for the assignment of </w:t>
      </w:r>
      <w:r w:rsidR="00A01E9F">
        <w:t>HL</w:t>
      </w:r>
      <w:r>
        <w:t xml:space="preserve"> WBB licences. </w:t>
      </w:r>
    </w:p>
    <w:p w14:paraId="5703171C" w14:textId="0DF422A6" w:rsidR="00232C5C" w:rsidRDefault="0082127E" w:rsidP="008976E6">
      <w:pPr>
        <w:pStyle w:val="Paragraph"/>
        <w:spacing w:after="80"/>
        <w:ind w:left="284"/>
      </w:pPr>
      <w:r>
        <w:t>When reading this section</w:t>
      </w:r>
      <w:r w:rsidR="00232C5C">
        <w:t xml:space="preserve"> please note:</w:t>
      </w:r>
      <w:r>
        <w:t xml:space="preserve"> </w:t>
      </w:r>
    </w:p>
    <w:p w14:paraId="3FA022BD" w14:textId="0995C8AA" w:rsidR="0082127E" w:rsidRDefault="0082127E" w:rsidP="008976E6">
      <w:pPr>
        <w:pStyle w:val="Bulletlevel1"/>
        <w:tabs>
          <w:tab w:val="clear" w:pos="295"/>
          <w:tab w:val="num" w:pos="863"/>
        </w:tabs>
        <w:ind w:left="579"/>
      </w:pPr>
      <w:r>
        <w:t xml:space="preserve">the definitions for urban areas as well as metro and regional Australia </w:t>
      </w:r>
      <w:proofErr w:type="gramStart"/>
      <w:r>
        <w:t>is</w:t>
      </w:r>
      <w:proofErr w:type="gramEnd"/>
      <w:r>
        <w:t xml:space="preserve"> provided at Appendix A. </w:t>
      </w:r>
    </w:p>
    <w:p w14:paraId="045AAA76" w14:textId="244ED7C9" w:rsidR="00232C5C" w:rsidRDefault="00232C5C" w:rsidP="008976E6">
      <w:pPr>
        <w:pStyle w:val="Bulletlevel1"/>
        <w:tabs>
          <w:tab w:val="clear" w:pos="295"/>
          <w:tab w:val="num" w:pos="579"/>
        </w:tabs>
        <w:ind w:left="579"/>
      </w:pPr>
      <w:r>
        <w:t xml:space="preserve">the term user equipment (UE) applies to any device that communicates with a base station. </w:t>
      </w:r>
    </w:p>
    <w:p w14:paraId="7FB8FF06" w14:textId="29403979" w:rsidR="00232C5C" w:rsidRDefault="00232C5C" w:rsidP="008976E6">
      <w:pPr>
        <w:pStyle w:val="Bulletlevel1"/>
        <w:tabs>
          <w:tab w:val="clear" w:pos="295"/>
          <w:tab w:val="num" w:pos="579"/>
        </w:tabs>
        <w:spacing w:after="240"/>
        <w:ind w:left="579"/>
      </w:pPr>
      <w:r>
        <w:t>no changes are proposed to class licences that authorise the operation of devices within the 3400-4000 MHz</w:t>
      </w:r>
      <w:r w:rsidR="008D0D13">
        <w:t xml:space="preserve"> frequency range</w:t>
      </w:r>
      <w:r>
        <w:t xml:space="preserve">. However, such devices operate on a ‘no interference and no protection’ basis. </w:t>
      </w:r>
    </w:p>
    <w:p w14:paraId="629DBCD8" w14:textId="6E728C4C" w:rsidR="00896E67" w:rsidRDefault="006A25C6" w:rsidP="008976E6">
      <w:pPr>
        <w:pStyle w:val="Heading2"/>
        <w:ind w:left="284"/>
      </w:pPr>
      <w:bookmarkStart w:id="80" w:name="_Toc178948547"/>
      <w:r>
        <w:t>L</w:t>
      </w:r>
      <w:r w:rsidR="00896E67">
        <w:t xml:space="preserve">icence type </w:t>
      </w:r>
      <w:r>
        <w:t xml:space="preserve">for </w:t>
      </w:r>
      <w:r w:rsidR="00A01E9F">
        <w:t>HL</w:t>
      </w:r>
      <w:r>
        <w:t xml:space="preserve"> WBB</w:t>
      </w:r>
      <w:bookmarkEnd w:id="80"/>
    </w:p>
    <w:p w14:paraId="43DF8C4A" w14:textId="07D620A2" w:rsidR="00817334" w:rsidRDefault="00817334" w:rsidP="008976E6">
      <w:pPr>
        <w:pStyle w:val="Paragraph"/>
        <w:ind w:left="284"/>
      </w:pPr>
      <w:r>
        <w:t>It is</w:t>
      </w:r>
      <w:r w:rsidR="00965D31">
        <w:t xml:space="preserve"> intended</w:t>
      </w:r>
      <w:r>
        <w:t xml:space="preserve"> that HL WBB use be supported under apparatus licensing (AL) arrangements. The use of AL will provide visibility of the location of services</w:t>
      </w:r>
      <w:r w:rsidR="00852B7F">
        <w:t xml:space="preserve"> and </w:t>
      </w:r>
      <w:r w:rsidR="00014DB7">
        <w:t xml:space="preserve">the identity of the licensee </w:t>
      </w:r>
      <w:r>
        <w:t xml:space="preserve">to assist in the management of interference. </w:t>
      </w:r>
    </w:p>
    <w:p w14:paraId="171FB476" w14:textId="3CAE91DC" w:rsidR="00817334" w:rsidRDefault="00817334" w:rsidP="008976E6">
      <w:pPr>
        <w:pStyle w:val="Paragraph"/>
        <w:spacing w:after="80"/>
        <w:ind w:left="284"/>
      </w:pPr>
      <w:r>
        <w:t xml:space="preserve">Two </w:t>
      </w:r>
      <w:r w:rsidR="00810D0C">
        <w:t xml:space="preserve">possible </w:t>
      </w:r>
      <w:r>
        <w:t>AL</w:t>
      </w:r>
      <w:r w:rsidR="00B350DB">
        <w:t xml:space="preserve"> types</w:t>
      </w:r>
      <w:r>
        <w:t xml:space="preserve"> are considered</w:t>
      </w:r>
      <w:r w:rsidR="00810D0C">
        <w:t xml:space="preserve"> in this section</w:t>
      </w:r>
      <w:r>
        <w:t>:</w:t>
      </w:r>
    </w:p>
    <w:p w14:paraId="7D9E5EF9" w14:textId="190F0CBF" w:rsidR="00404A7D" w:rsidRPr="00DE55BF" w:rsidRDefault="00817334" w:rsidP="008976E6">
      <w:pPr>
        <w:pStyle w:val="Bulletlevel1"/>
        <w:tabs>
          <w:tab w:val="clear" w:pos="295"/>
          <w:tab w:val="num" w:pos="579"/>
        </w:tabs>
        <w:ind w:left="579"/>
      </w:pPr>
      <w:r w:rsidRPr="007A05EE">
        <w:t>Area-wide licence</w:t>
      </w:r>
      <w:r w:rsidR="00DE55BF">
        <w:t>s</w:t>
      </w:r>
      <w:r w:rsidRPr="007A05EE">
        <w:t xml:space="preserve"> (AWL)</w:t>
      </w:r>
      <w:r w:rsidR="00404A7D" w:rsidRPr="00DE55BF">
        <w:t xml:space="preserve">   </w:t>
      </w:r>
    </w:p>
    <w:p w14:paraId="788D0E5A" w14:textId="52E7B4EB" w:rsidR="00817334" w:rsidRDefault="00817334" w:rsidP="008976E6">
      <w:pPr>
        <w:pStyle w:val="Bulletlevel1last"/>
        <w:tabs>
          <w:tab w:val="clear" w:pos="295"/>
          <w:tab w:val="num" w:pos="579"/>
        </w:tabs>
        <w:ind w:left="579"/>
      </w:pPr>
      <w:r w:rsidRPr="00DE55BF">
        <w:t>Point-to-multipoint (PMP)</w:t>
      </w:r>
      <w:r w:rsidR="00DE55BF">
        <w:t xml:space="preserve"> licences</w:t>
      </w:r>
    </w:p>
    <w:p w14:paraId="40C6741F" w14:textId="665F6E50" w:rsidR="008976E6" w:rsidRDefault="008976E6" w:rsidP="008976E6">
      <w:pPr>
        <w:pStyle w:val="Paragraph"/>
        <w:spacing w:after="80"/>
        <w:ind w:left="284"/>
      </w:pPr>
      <w:r>
        <w:t xml:space="preserve">In assessing </w:t>
      </w:r>
      <w:r w:rsidR="005B56F0">
        <w:t>which l</w:t>
      </w:r>
      <w:r>
        <w:t xml:space="preserve">icence type to adopt, </w:t>
      </w:r>
      <w:r w:rsidR="005B56F0">
        <w:t xml:space="preserve">a range of possible </w:t>
      </w:r>
      <w:r>
        <w:t xml:space="preserve">HL WBB </w:t>
      </w:r>
      <w:r w:rsidR="005B56F0">
        <w:t>deployment scenarios have been considered as follows</w:t>
      </w:r>
      <w:r>
        <w:t>:</w:t>
      </w:r>
    </w:p>
    <w:p w14:paraId="1861A38E" w14:textId="5EF1F469" w:rsidR="008976E6" w:rsidRDefault="008976E6" w:rsidP="008976E6">
      <w:pPr>
        <w:pStyle w:val="Bulletlevel1"/>
        <w:tabs>
          <w:tab w:val="clear" w:pos="295"/>
          <w:tab w:val="num" w:pos="579"/>
        </w:tabs>
        <w:ind w:left="579"/>
      </w:pPr>
      <w:r>
        <w:t>A</w:t>
      </w:r>
      <w:r w:rsidR="005B56F0">
        <w:t xml:space="preserve"> single</w:t>
      </w:r>
      <w:r>
        <w:t xml:space="preserve"> licensee provides services to a single business/customer within a defined geographical </w:t>
      </w:r>
      <w:proofErr w:type="gramStart"/>
      <w:r>
        <w:t>area</w:t>
      </w:r>
      <w:r w:rsidR="005B56F0">
        <w:t>;</w:t>
      </w:r>
      <w:proofErr w:type="gramEnd"/>
      <w:r>
        <w:t xml:space="preserve"> </w:t>
      </w:r>
    </w:p>
    <w:p w14:paraId="74CC2D57" w14:textId="36110DE6" w:rsidR="008976E6" w:rsidRDefault="008976E6" w:rsidP="008976E6">
      <w:pPr>
        <w:pStyle w:val="Bulletlevel1"/>
        <w:tabs>
          <w:tab w:val="clear" w:pos="295"/>
          <w:tab w:val="num" w:pos="579"/>
        </w:tabs>
        <w:ind w:left="579"/>
      </w:pPr>
      <w:r>
        <w:t xml:space="preserve">A </w:t>
      </w:r>
      <w:r w:rsidR="005B56F0">
        <w:t xml:space="preserve">single </w:t>
      </w:r>
      <w:r>
        <w:t xml:space="preserve">licensee provides services to multiple businesses/customers within a defined geographical area (e.g. at an industrial park, shopping centre or </w:t>
      </w:r>
      <w:proofErr w:type="gramStart"/>
      <w:r>
        <w:t>high rise</w:t>
      </w:r>
      <w:proofErr w:type="gramEnd"/>
      <w:r>
        <w:t xml:space="preserve"> building)</w:t>
      </w:r>
      <w:r w:rsidR="005B56F0">
        <w:t>;</w:t>
      </w:r>
      <w:r>
        <w:t xml:space="preserve"> </w:t>
      </w:r>
    </w:p>
    <w:p w14:paraId="57F449A1" w14:textId="72E8DC6F" w:rsidR="008976E6" w:rsidRDefault="005B56F0" w:rsidP="008976E6">
      <w:pPr>
        <w:pStyle w:val="Bulletlevel1"/>
        <w:tabs>
          <w:tab w:val="clear" w:pos="295"/>
          <w:tab w:val="num" w:pos="579"/>
        </w:tabs>
        <w:ind w:left="579"/>
      </w:pPr>
      <w:r>
        <w:t xml:space="preserve">A single licensee provides services to multiple businesses/customers across numerous different geographical </w:t>
      </w:r>
      <w:proofErr w:type="gramStart"/>
      <w:r>
        <w:t>areas;</w:t>
      </w:r>
      <w:proofErr w:type="gramEnd"/>
      <w:r>
        <w:t xml:space="preserve"> </w:t>
      </w:r>
    </w:p>
    <w:p w14:paraId="51B99C66" w14:textId="071F188E" w:rsidR="008976E6" w:rsidRDefault="008976E6" w:rsidP="008976E6">
      <w:pPr>
        <w:pStyle w:val="Bulletlevel1"/>
        <w:tabs>
          <w:tab w:val="clear" w:pos="295"/>
          <w:tab w:val="num" w:pos="579"/>
        </w:tabs>
        <w:ind w:left="579"/>
      </w:pPr>
      <w:r>
        <w:t>Multiple licensees provid</w:t>
      </w:r>
      <w:r w:rsidR="005B56F0">
        <w:t>e</w:t>
      </w:r>
      <w:r>
        <w:t xml:space="preserve"> services to different businesses/customers within the same </w:t>
      </w:r>
      <w:r w:rsidR="005B56F0">
        <w:t xml:space="preserve">geographical area or </w:t>
      </w:r>
      <w:r>
        <w:t xml:space="preserve">premise (e.g. shopping centre or </w:t>
      </w:r>
      <w:proofErr w:type="gramStart"/>
      <w:r>
        <w:t>high rise</w:t>
      </w:r>
      <w:proofErr w:type="gramEnd"/>
      <w:r>
        <w:t xml:space="preserve"> building)</w:t>
      </w:r>
      <w:r w:rsidR="005B56F0">
        <w:t>; and</w:t>
      </w:r>
      <w:r>
        <w:t xml:space="preserve">  </w:t>
      </w:r>
    </w:p>
    <w:p w14:paraId="1E147942" w14:textId="4EFDAE7E" w:rsidR="00627C49" w:rsidRDefault="005B56F0" w:rsidP="00B04396">
      <w:pPr>
        <w:pStyle w:val="Bulletlevel1last"/>
        <w:tabs>
          <w:tab w:val="clear" w:pos="295"/>
          <w:tab w:val="num" w:pos="579"/>
        </w:tabs>
        <w:ind w:left="579"/>
      </w:pPr>
      <w:r>
        <w:t xml:space="preserve">Multiple licensees provide services to different businesses/customers across numerous different geographical areas. </w:t>
      </w:r>
    </w:p>
    <w:p w14:paraId="5B4F03F3" w14:textId="28C77B6B" w:rsidR="00404A7D" w:rsidRPr="00E162C4" w:rsidRDefault="00404A7D" w:rsidP="008976E6">
      <w:pPr>
        <w:pStyle w:val="Heading3"/>
        <w:ind w:left="284"/>
      </w:pPr>
      <w:r>
        <w:t>A</w:t>
      </w:r>
      <w:r w:rsidR="00D84065">
        <w:t>rea Wide Licences</w:t>
      </w:r>
      <w:r w:rsidR="00627F80">
        <w:t xml:space="preserve"> (AWLs)</w:t>
      </w:r>
    </w:p>
    <w:p w14:paraId="5371D1A1" w14:textId="34FF1DDE" w:rsidR="003B3903" w:rsidRDefault="00404A7D" w:rsidP="00B04396">
      <w:pPr>
        <w:pStyle w:val="Bulletlevel1"/>
        <w:numPr>
          <w:ilvl w:val="0"/>
          <w:numId w:val="0"/>
        </w:numPr>
        <w:spacing w:after="240"/>
        <w:ind w:left="284"/>
      </w:pPr>
      <w:r>
        <w:t xml:space="preserve">AWLs have the benefit of being clearly definable in terms of the area and frequency </w:t>
      </w:r>
      <w:r w:rsidR="00014DB7">
        <w:t>within which a licensee may operate transmitters</w:t>
      </w:r>
      <w:r>
        <w:t>. The location of individual base</w:t>
      </w:r>
      <w:r w:rsidR="00852B7F">
        <w:t xml:space="preserve"> stations,</w:t>
      </w:r>
      <w:r>
        <w:t xml:space="preserve"> </w:t>
      </w:r>
      <w:r w:rsidR="00014DB7">
        <w:t xml:space="preserve">the identity of the licensee </w:t>
      </w:r>
      <w:r w:rsidR="00852B7F">
        <w:t xml:space="preserve">and other technical information </w:t>
      </w:r>
      <w:r w:rsidR="00014DB7">
        <w:t xml:space="preserve">can be included </w:t>
      </w:r>
      <w:r w:rsidR="006D0EC0">
        <w:t>on the register of radiocommunications licences (RRL)</w:t>
      </w:r>
      <w:r>
        <w:t xml:space="preserve">. AWL areas are defined </w:t>
      </w:r>
      <w:r>
        <w:lastRenderedPageBreak/>
        <w:t xml:space="preserve">using the </w:t>
      </w:r>
      <w:hyperlink r:id="rId43" w:history="1">
        <w:r w:rsidRPr="005D7D41">
          <w:rPr>
            <w:rStyle w:val="Hyperlink"/>
          </w:rPr>
          <w:t>hierarchical cell identifier scheme</w:t>
        </w:r>
      </w:hyperlink>
      <w:r>
        <w:t xml:space="preserve">. A key issue with AWLs in the 3400-4000 MHz </w:t>
      </w:r>
      <w:r w:rsidR="008D0D13">
        <w:t>frequency range</w:t>
      </w:r>
      <w:r>
        <w:t xml:space="preserve"> is that currently the smallest area that they can be defined over is HCIS level 0. This equates to roughly a 1.</w:t>
      </w:r>
      <w:r w:rsidR="00813C81">
        <w:t>8</w:t>
      </w:r>
      <w:r>
        <w:t>x1.</w:t>
      </w:r>
      <w:r w:rsidR="00813C81">
        <w:t>8</w:t>
      </w:r>
      <w:r>
        <w:t xml:space="preserve"> km area. </w:t>
      </w:r>
    </w:p>
    <w:p w14:paraId="66D48DD0" w14:textId="23C5AEF4" w:rsidR="003B3903" w:rsidRDefault="003B3903" w:rsidP="00DE3C6B">
      <w:pPr>
        <w:pStyle w:val="Bulletlevel1"/>
        <w:numPr>
          <w:ilvl w:val="0"/>
          <w:numId w:val="0"/>
        </w:numPr>
        <w:spacing w:after="240"/>
        <w:ind w:left="284"/>
      </w:pPr>
      <w:r>
        <w:t xml:space="preserve">The </w:t>
      </w:r>
      <w:r w:rsidR="00014DB7">
        <w:t xml:space="preserve">annual </w:t>
      </w:r>
      <w:r>
        <w:t>tax applicable to AWLs is defined in the</w:t>
      </w:r>
      <w:r w:rsidR="00054FA1">
        <w:t xml:space="preserve"> </w:t>
      </w:r>
      <w:hyperlink r:id="rId44" w:history="1">
        <w:r w:rsidR="00054FA1">
          <w:rPr>
            <w:rStyle w:val="Hyperlink"/>
          </w:rPr>
          <w:t>Radiocommunications (Transmitter Licence Tax) Determination 2015</w:t>
        </w:r>
      </w:hyperlink>
      <w:r>
        <w:t xml:space="preserve">. For the 3400-4000 MHz </w:t>
      </w:r>
      <w:r w:rsidR="008D0D13">
        <w:t xml:space="preserve">frequency range </w:t>
      </w:r>
      <w:r>
        <w:t xml:space="preserve">the tax rate is $0.0041/MHz/population. In low population areas the resulting tax is low </w:t>
      </w:r>
      <w:r w:rsidR="00810D0C">
        <w:t xml:space="preserve">and, in many cases, will </w:t>
      </w:r>
      <w:r>
        <w:t>equate to the minimum tax rate ($41.37 in 2023). However, the rate is higher in populated areas, especially capital cities. For example, in the Sydney CBD a 50 MHz licence would be in the order of $3,0</w:t>
      </w:r>
      <w:r w:rsidR="00054FA1">
        <w:t>00</w:t>
      </w:r>
      <w:r>
        <w:t xml:space="preserve"> per HCIS level 0 cell. </w:t>
      </w:r>
    </w:p>
    <w:p w14:paraId="2025A9FE" w14:textId="5E6DFB57" w:rsidR="003B3903" w:rsidRDefault="003B3903" w:rsidP="00DE3C6B">
      <w:pPr>
        <w:pStyle w:val="Bulletlevel1"/>
        <w:numPr>
          <w:ilvl w:val="0"/>
          <w:numId w:val="0"/>
        </w:numPr>
        <w:ind w:left="284"/>
      </w:pPr>
      <w:r>
        <w:t>The key issues identified with the use of AWLs are:</w:t>
      </w:r>
    </w:p>
    <w:p w14:paraId="49E90CA5" w14:textId="0D1B1FE6" w:rsidR="003B3903" w:rsidRPr="00E162C4" w:rsidRDefault="003B3903" w:rsidP="00DE3C6B">
      <w:pPr>
        <w:pStyle w:val="Bulletlevel1"/>
        <w:tabs>
          <w:tab w:val="clear" w:pos="295"/>
          <w:tab w:val="num" w:pos="579"/>
        </w:tabs>
        <w:ind w:left="579"/>
      </w:pPr>
      <w:r>
        <w:t>For HL WBB</w:t>
      </w:r>
      <w:r w:rsidR="002E11DF">
        <w:t xml:space="preserve"> use</w:t>
      </w:r>
      <w:r>
        <w:t xml:space="preserve">, </w:t>
      </w:r>
      <w:r w:rsidR="00FE02C4">
        <w:t>a single</w:t>
      </w:r>
      <w:r>
        <w:t xml:space="preserve"> HCIS level 0 </w:t>
      </w:r>
      <w:r w:rsidR="00FE02C4">
        <w:t xml:space="preserve">cell </w:t>
      </w:r>
      <w:r>
        <w:t xml:space="preserve">is likely to be </w:t>
      </w:r>
      <w:r w:rsidR="000D55D7">
        <w:t xml:space="preserve">a </w:t>
      </w:r>
      <w:r>
        <w:t>much larger</w:t>
      </w:r>
      <w:r w:rsidR="000D55D7">
        <w:t xml:space="preserve"> </w:t>
      </w:r>
      <w:r>
        <w:t>than is required</w:t>
      </w:r>
      <w:r w:rsidR="001826ED">
        <w:t xml:space="preserve"> for most deployment scenarios</w:t>
      </w:r>
      <w:r>
        <w:t xml:space="preserve">. </w:t>
      </w:r>
      <w:r w:rsidR="00F37012">
        <w:t>Also</w:t>
      </w:r>
      <w:r>
        <w:t xml:space="preserve">, multiple cells may be required for one </w:t>
      </w:r>
      <w:r w:rsidR="00FE02C4">
        <w:t>licensee</w:t>
      </w:r>
      <w:r w:rsidR="000D55D7">
        <w:t xml:space="preserve"> </w:t>
      </w:r>
      <w:r w:rsidR="00810D0C">
        <w:t xml:space="preserve">to meet boundary </w:t>
      </w:r>
      <w:r w:rsidR="002E11DF">
        <w:t>power flux density (</w:t>
      </w:r>
      <w:r w:rsidR="00810D0C">
        <w:t>PFD</w:t>
      </w:r>
      <w:r w:rsidR="002E11DF">
        <w:t>)</w:t>
      </w:r>
      <w:r w:rsidR="00810D0C">
        <w:t xml:space="preserve"> limits</w:t>
      </w:r>
      <w:r>
        <w:t xml:space="preserve"> if, for example, they are located near the cell edge. If exclusive access </w:t>
      </w:r>
      <w:r w:rsidR="00EF504C">
        <w:t xml:space="preserve">is </w:t>
      </w:r>
      <w:r>
        <w:t xml:space="preserve">provided to the spectrum space of a licence (the combination of HCIS cell and frequency occupied) this would unnecessarily deny access to </w:t>
      </w:r>
      <w:r w:rsidR="00810D0C">
        <w:t xml:space="preserve">the band to </w:t>
      </w:r>
      <w:r>
        <w:t xml:space="preserve">other </w:t>
      </w:r>
      <w:r w:rsidR="000D55D7">
        <w:t>users</w:t>
      </w:r>
      <w:r>
        <w:t>.</w:t>
      </w:r>
    </w:p>
    <w:p w14:paraId="7F1F4F9E" w14:textId="08008ACD" w:rsidR="00D636C3" w:rsidRDefault="002E11DF" w:rsidP="00DE3C6B">
      <w:pPr>
        <w:pStyle w:val="Bulletlevel1last"/>
        <w:tabs>
          <w:tab w:val="clear" w:pos="295"/>
          <w:tab w:val="num" w:pos="579"/>
        </w:tabs>
        <w:ind w:left="579"/>
      </w:pPr>
      <w:r>
        <w:t xml:space="preserve">It is expected that some entities will </w:t>
      </w:r>
      <w:r w:rsidR="00741031">
        <w:t xml:space="preserve">be prepared to </w:t>
      </w:r>
      <w:r>
        <w:t>take out licences during the initial release of HL WBB spectrum. However, i</w:t>
      </w:r>
      <w:r w:rsidR="009E1717">
        <w:t xml:space="preserve">t is likely that </w:t>
      </w:r>
      <w:r>
        <w:t xml:space="preserve">many </w:t>
      </w:r>
      <w:r w:rsidR="009E1717">
        <w:t xml:space="preserve">will </w:t>
      </w:r>
      <w:r w:rsidR="00D636C3">
        <w:t xml:space="preserve">seek access </w:t>
      </w:r>
      <w:r w:rsidR="00741031">
        <w:t>to</w:t>
      </w:r>
      <w:r w:rsidR="00D636C3">
        <w:t xml:space="preserve"> spectrum </w:t>
      </w:r>
      <w:r w:rsidR="009E1717">
        <w:t xml:space="preserve">as demand emerges and business cases develop </w:t>
      </w:r>
      <w:r w:rsidR="001826ED">
        <w:t xml:space="preserve">over time </w:t>
      </w:r>
      <w:r w:rsidR="00D636C3">
        <w:t xml:space="preserve">(refer to submissions received to the </w:t>
      </w:r>
      <w:hyperlink r:id="rId45" w:history="1">
        <w:r w:rsidR="00D636C3" w:rsidRPr="007A05EE">
          <w:rPr>
            <w:rStyle w:val="Hyperlink"/>
            <w:i/>
            <w:iCs/>
          </w:rPr>
          <w:t>Allocation of area-wide apparatus licences in the 3.8 GHz band</w:t>
        </w:r>
      </w:hyperlink>
      <w:r w:rsidR="000B5812">
        <w:t xml:space="preserve"> consultation)</w:t>
      </w:r>
      <w:r w:rsidR="00D636C3">
        <w:t>. Ideally</w:t>
      </w:r>
      <w:r w:rsidR="00BB601C">
        <w:t xml:space="preserve">, </w:t>
      </w:r>
      <w:r w:rsidR="00741031">
        <w:t xml:space="preserve">implementing arrangements that enable this outcome </w:t>
      </w:r>
      <w:r w:rsidR="004D27DF">
        <w:t xml:space="preserve">or at least reduce the impact </w:t>
      </w:r>
      <w:r w:rsidR="00741031">
        <w:t xml:space="preserve">are preferred. This way entities are </w:t>
      </w:r>
      <w:r w:rsidR="00D636C3">
        <w:t xml:space="preserve">not penalised (or restricted from accessing spectrum) for </w:t>
      </w:r>
      <w:r w:rsidR="00F50EA5">
        <w:t xml:space="preserve">not </w:t>
      </w:r>
      <w:r w:rsidR="001826ED">
        <w:t xml:space="preserve">acting fast enough to </w:t>
      </w:r>
      <w:r w:rsidR="00741031">
        <w:t>obtain licen</w:t>
      </w:r>
      <w:r w:rsidR="00547718">
        <w:t>c</w:t>
      </w:r>
      <w:r w:rsidR="00741031">
        <w:t>es</w:t>
      </w:r>
      <w:r w:rsidR="00D636C3">
        <w:t xml:space="preserve">. </w:t>
      </w:r>
    </w:p>
    <w:p w14:paraId="2624C2DB" w14:textId="03E1A36B" w:rsidR="0024241B" w:rsidRDefault="0024241B">
      <w:pPr>
        <w:pStyle w:val="Paragraph"/>
        <w:ind w:left="284"/>
      </w:pPr>
      <w:r>
        <w:t>In the case of HL WBB,</w:t>
      </w:r>
      <w:r w:rsidR="001826ED">
        <w:t xml:space="preserve"> ACMA staff consider that issuing</w:t>
      </w:r>
      <w:r>
        <w:t xml:space="preserve"> AWLs that provide exclusive access to </w:t>
      </w:r>
      <w:r w:rsidR="001826ED">
        <w:t xml:space="preserve">a defined </w:t>
      </w:r>
      <w:r>
        <w:t xml:space="preserve">spectrum space would either not cover the issues identified above or could exacerbate them. </w:t>
      </w:r>
    </w:p>
    <w:p w14:paraId="3F49CEE0" w14:textId="491D4447" w:rsidR="003B3903" w:rsidRDefault="003B3903" w:rsidP="00DE3C6B">
      <w:pPr>
        <w:pStyle w:val="Paragraph"/>
        <w:ind w:left="284"/>
      </w:pPr>
      <w:r>
        <w:t>One proposal to manage aspects of the</w:t>
      </w:r>
      <w:r w:rsidR="00D84065">
        <w:t>se</w:t>
      </w:r>
      <w:r w:rsidR="000B5812">
        <w:t xml:space="preserve"> issues was</w:t>
      </w:r>
      <w:r>
        <w:t xml:space="preserve"> made in a submission to the </w:t>
      </w:r>
      <w:hyperlink r:id="rId46" w:history="1">
        <w:r w:rsidR="000B5812" w:rsidRPr="007C0D62">
          <w:rPr>
            <w:rStyle w:val="Hyperlink"/>
            <w:i/>
            <w:iCs/>
          </w:rPr>
          <w:t>Allocation of area-wide apparatus licences in the 3.8 GHz band</w:t>
        </w:r>
      </w:hyperlink>
      <w:r w:rsidR="000B5812">
        <w:t xml:space="preserve"> consultation. The submission proposed that ‘indoor</w:t>
      </w:r>
      <w:r w:rsidR="00813C81">
        <w:t xml:space="preserve"> only</w:t>
      </w:r>
      <w:r w:rsidR="000B5812">
        <w:t>’ AWLs be issued that allow multiple operators to operate in the same HCIS</w:t>
      </w:r>
      <w:r w:rsidR="00741031">
        <w:t xml:space="preserve"> cell</w:t>
      </w:r>
      <w:r w:rsidR="000B5812">
        <w:t xml:space="preserve"> and frequency range. </w:t>
      </w:r>
      <w:r w:rsidR="00813C81">
        <w:t xml:space="preserve">It was proposed that emission limits </w:t>
      </w:r>
      <w:r w:rsidR="00852B7F">
        <w:t xml:space="preserve">outside buildings </w:t>
      </w:r>
      <w:r w:rsidR="00813C81">
        <w:t>be defined to reduce spectrum denial to other operators</w:t>
      </w:r>
      <w:r w:rsidR="00F527DA">
        <w:t xml:space="preserve"> (rather than PFD limits at the AWL area boundary)</w:t>
      </w:r>
      <w:r w:rsidR="00813C81">
        <w:t xml:space="preserve">. To further assist with interference management, </w:t>
      </w:r>
      <w:r w:rsidR="00852B7F">
        <w:t>it was suggested all base stations (BS)</w:t>
      </w:r>
      <w:r w:rsidR="00813C81">
        <w:t xml:space="preserve"> should be registered. This would help entities to plan service and/or resolve any interference issues that may arise.  </w:t>
      </w:r>
    </w:p>
    <w:p w14:paraId="4C79BFEF" w14:textId="3B030F21" w:rsidR="00404A7D" w:rsidRDefault="00813C81" w:rsidP="00DE3C6B">
      <w:pPr>
        <w:pStyle w:val="Paragraph"/>
        <w:ind w:left="284"/>
      </w:pPr>
      <w:r>
        <w:t xml:space="preserve">The same submission also argued that the cost of AWLs in capital cities could discourage smaller business from taking up HL WBB solutions. </w:t>
      </w:r>
    </w:p>
    <w:p w14:paraId="64F715A0" w14:textId="4E92D302" w:rsidR="00741031" w:rsidRDefault="00813C81">
      <w:pPr>
        <w:pStyle w:val="Paragraph"/>
        <w:ind w:left="284"/>
      </w:pPr>
      <w:r>
        <w:t>The concept of an ‘indoor only’ AWL could be considered</w:t>
      </w:r>
      <w:r w:rsidR="006F03BB">
        <w:t xml:space="preserve"> for HL WBB in the 3400-3475 MHz and 3950-4000 MHz </w:t>
      </w:r>
      <w:r w:rsidR="008D0D13">
        <w:t>frequency ranges</w:t>
      </w:r>
      <w:r>
        <w:t xml:space="preserve">. </w:t>
      </w:r>
      <w:r w:rsidR="00741031">
        <w:t>Though</w:t>
      </w:r>
      <w:r>
        <w:t xml:space="preserve">, as it is likely that there would be both indoor and outdoor use cases, it may need to be modified to be ‘low power’ AWL. </w:t>
      </w:r>
      <w:r w:rsidR="00222818">
        <w:t xml:space="preserve">That said, the </w:t>
      </w:r>
      <w:r w:rsidR="00627F80">
        <w:t>concept of</w:t>
      </w:r>
      <w:r w:rsidR="00222818">
        <w:t xml:space="preserve"> an AWL is that it covers the spectrum space required to deploy a service while also providing an inherent level of protection to any services deployed. Allowing overlapping AWLs (for which both Tx and Rx operate under) does not provide for this. Also</w:t>
      </w:r>
      <w:r w:rsidR="0024241B">
        <w:t>,</w:t>
      </w:r>
      <w:r w:rsidR="00222818">
        <w:t xml:space="preserve"> the resulting area licensed will </w:t>
      </w:r>
      <w:r w:rsidR="0024241B">
        <w:t xml:space="preserve">still </w:t>
      </w:r>
      <w:r w:rsidR="00222818">
        <w:t>typically be much larger than is required for m</w:t>
      </w:r>
      <w:r w:rsidR="004D27DF">
        <w:t>any</w:t>
      </w:r>
      <w:r w:rsidR="00222818">
        <w:t xml:space="preserve"> of the deployment scenarios detailed previously. </w:t>
      </w:r>
    </w:p>
    <w:p w14:paraId="2976EC9C" w14:textId="4A0A29F9" w:rsidR="0024241B" w:rsidRDefault="00222818" w:rsidP="0024241B">
      <w:pPr>
        <w:pStyle w:val="Paragraph"/>
        <w:ind w:left="284"/>
      </w:pPr>
      <w:r>
        <w:lastRenderedPageBreak/>
        <w:t xml:space="preserve">Support for HCIS level 00 (approximately 500x500 m) could be considered for 3400-4000 MHz AWLs. </w:t>
      </w:r>
      <w:r w:rsidR="0024241B">
        <w:t xml:space="preserve">While this reduces the size </w:t>
      </w:r>
      <w:r w:rsidR="0061616D">
        <w:t xml:space="preserve">and cost </w:t>
      </w:r>
      <w:r w:rsidR="0024241B">
        <w:t xml:space="preserve">of an AWL this is still likely to be larger than is required in many deployment scenarios. </w:t>
      </w:r>
    </w:p>
    <w:p w14:paraId="4903ACC5" w14:textId="0547DB64" w:rsidR="00C817A7" w:rsidRDefault="00C817A7" w:rsidP="0024241B">
      <w:pPr>
        <w:pStyle w:val="Paragraph"/>
        <w:ind w:left="284"/>
      </w:pPr>
      <w:r>
        <w:t xml:space="preserve">For the reasons previously stated, ACMA </w:t>
      </w:r>
      <w:r w:rsidR="001826ED">
        <w:t xml:space="preserve">staff </w:t>
      </w:r>
      <w:r>
        <w:t xml:space="preserve">consider that use of AWLs to support HL WBB use is not preferred. </w:t>
      </w:r>
    </w:p>
    <w:p w14:paraId="7F68360F" w14:textId="4A437C36" w:rsidR="00813C81" w:rsidRDefault="0024241B" w:rsidP="00DE3C6B">
      <w:pPr>
        <w:pStyle w:val="Paragraph"/>
        <w:ind w:left="284"/>
      </w:pPr>
      <w:r>
        <w:t>I</w:t>
      </w:r>
      <w:r w:rsidR="0061616D">
        <w:t>n</w:t>
      </w:r>
      <w:r>
        <w:t xml:space="preserve"> the </w:t>
      </w:r>
      <w:r w:rsidR="001826ED">
        <w:t xml:space="preserve">event the use </w:t>
      </w:r>
      <w:r>
        <w:t xml:space="preserve">of overlapping AWLs </w:t>
      </w:r>
      <w:r w:rsidR="001826ED">
        <w:t>is considered further</w:t>
      </w:r>
      <w:r>
        <w:t>, then m</w:t>
      </w:r>
      <w:r w:rsidR="00852B7F">
        <w:t xml:space="preserve">easures </w:t>
      </w:r>
      <w:r>
        <w:t xml:space="preserve">would </w:t>
      </w:r>
      <w:r w:rsidR="00C817A7">
        <w:t xml:space="preserve">still </w:t>
      </w:r>
      <w:r w:rsidR="00852B7F">
        <w:t>need to be</w:t>
      </w:r>
      <w:r w:rsidR="00C817A7">
        <w:t xml:space="preserve"> defined</w:t>
      </w:r>
      <w:r w:rsidR="00852B7F">
        <w:t xml:space="preserve"> on how to manage </w:t>
      </w:r>
      <w:r w:rsidR="006F03BB">
        <w:t>case</w:t>
      </w:r>
      <w:r w:rsidR="00852B7F">
        <w:t>s</w:t>
      </w:r>
      <w:r w:rsidR="006F03BB">
        <w:t xml:space="preserve"> where multiple entities seek access to the spectrum at the same or very close locations</w:t>
      </w:r>
      <w:r w:rsidR="00CC23AC">
        <w:t xml:space="preserve"> (</w:t>
      </w:r>
      <w:r w:rsidR="00852B7F">
        <w:t>i.e</w:t>
      </w:r>
      <w:r w:rsidR="00CC23AC">
        <w:t xml:space="preserve">. in the same </w:t>
      </w:r>
      <w:r w:rsidR="00A208BA">
        <w:t>controlled premise</w:t>
      </w:r>
      <w:r w:rsidR="007D518D">
        <w:t>s</w:t>
      </w:r>
      <w:r w:rsidR="00AA17A5">
        <w:rPr>
          <w:rStyle w:val="FootnoteReference"/>
        </w:rPr>
        <w:footnoteReference w:id="3"/>
      </w:r>
      <w:r w:rsidR="00CC23AC">
        <w:t>)</w:t>
      </w:r>
      <w:r w:rsidR="006F03BB">
        <w:t xml:space="preserve">. In this case the same solution as proposed for PMP (as detailed in the next section) is proposed. </w:t>
      </w:r>
      <w:r w:rsidR="00163C24">
        <w:t xml:space="preserve">The </w:t>
      </w:r>
      <w:r w:rsidR="00852B7F">
        <w:t xml:space="preserve">measures </w:t>
      </w:r>
      <w:r w:rsidR="00163C24">
        <w:t>proposed help to address the</w:t>
      </w:r>
      <w:r w:rsidR="00F50EA5">
        <w:t xml:space="preserve"> </w:t>
      </w:r>
      <w:r w:rsidR="00163C24">
        <w:t xml:space="preserve">third key issue </w:t>
      </w:r>
      <w:r w:rsidR="00F50EA5">
        <w:t xml:space="preserve">with AWLs </w:t>
      </w:r>
      <w:r w:rsidR="00163C24">
        <w:t>identified previously.</w:t>
      </w:r>
      <w:r w:rsidR="006F03BB">
        <w:t xml:space="preserve">  </w:t>
      </w:r>
    </w:p>
    <w:p w14:paraId="01A48B59" w14:textId="7719B4CF" w:rsidR="00813C81" w:rsidRPr="00E162C4" w:rsidRDefault="00813C81" w:rsidP="00DE3C6B">
      <w:pPr>
        <w:pStyle w:val="Heading3"/>
        <w:ind w:left="284"/>
      </w:pPr>
      <w:r>
        <w:t>PMP</w:t>
      </w:r>
    </w:p>
    <w:p w14:paraId="0D24B182" w14:textId="1AE8017D" w:rsidR="006D0EC0" w:rsidRDefault="00DE55BF" w:rsidP="00DE3C6B">
      <w:pPr>
        <w:pStyle w:val="Bulletlevel1"/>
        <w:numPr>
          <w:ilvl w:val="0"/>
          <w:numId w:val="0"/>
        </w:numPr>
        <w:spacing w:after="240"/>
        <w:ind w:left="284"/>
      </w:pPr>
      <w:r>
        <w:t xml:space="preserve">Under a PMP licensing approach, </w:t>
      </w:r>
      <w:r w:rsidR="006D0EC0">
        <w:t xml:space="preserve">it is intended that a single site be recorded on the RRL. This is to provide information on the location of the </w:t>
      </w:r>
      <w:r w:rsidR="004D27DF">
        <w:t xml:space="preserve">controlled </w:t>
      </w:r>
      <w:r w:rsidR="006D0EC0">
        <w:t>premise</w:t>
      </w:r>
      <w:r w:rsidR="007D518D">
        <w:t>s</w:t>
      </w:r>
      <w:r w:rsidR="006D0EC0">
        <w:t xml:space="preserve"> services are deployed, </w:t>
      </w:r>
      <w:r w:rsidR="004D27DF">
        <w:t>the identity of the licensee</w:t>
      </w:r>
      <w:r w:rsidR="006D0EC0">
        <w:t>, the frequency range used, and other relevant technical parameters of BS deployed</w:t>
      </w:r>
      <w:r w:rsidR="004D27DF">
        <w:t xml:space="preserve"> for coordination purposes</w:t>
      </w:r>
      <w:r w:rsidR="006D0EC0">
        <w:t>. The site recorded is intended to be notional only</w:t>
      </w:r>
      <w:r w:rsidR="00EC6274">
        <w:t>,</w:t>
      </w:r>
      <w:r w:rsidR="006D0EC0">
        <w:t xml:space="preserve"> </w:t>
      </w:r>
      <w:r w:rsidR="00852B7F">
        <w:t>to assist in the management of interference. Arrangements could be implemented such that</w:t>
      </w:r>
      <w:r w:rsidR="006D0EC0">
        <w:t xml:space="preserve"> multiple BS operating under </w:t>
      </w:r>
      <w:r w:rsidR="00AA17A5">
        <w:t xml:space="preserve">a </w:t>
      </w:r>
      <w:r w:rsidR="006D0EC0">
        <w:t xml:space="preserve">PMP licence at a </w:t>
      </w:r>
      <w:r w:rsidR="00AA17A5">
        <w:t xml:space="preserve">controlled </w:t>
      </w:r>
      <w:r w:rsidR="006D0EC0">
        <w:t>premise</w:t>
      </w:r>
      <w:r w:rsidR="007D518D">
        <w:t>s</w:t>
      </w:r>
      <w:r w:rsidR="003B31E5">
        <w:t xml:space="preserve"> or within a defined distance of the location recorded on the licence.</w:t>
      </w:r>
      <w:r w:rsidR="00F527DA">
        <w:t xml:space="preserve"> </w:t>
      </w:r>
      <w:r w:rsidR="003B31E5">
        <w:t>F</w:t>
      </w:r>
      <w:r w:rsidR="006D0EC0">
        <w:t>or example</w:t>
      </w:r>
      <w:r w:rsidR="00D84065">
        <w:t>,</w:t>
      </w:r>
      <w:r w:rsidR="006D0EC0">
        <w:t xml:space="preserve"> </w:t>
      </w:r>
      <w:r w:rsidR="00F527DA">
        <w:t xml:space="preserve">a condition on the licence </w:t>
      </w:r>
      <w:r w:rsidR="00AA17A5">
        <w:t>c</w:t>
      </w:r>
      <w:r w:rsidR="00F527DA">
        <w:t xml:space="preserve">ould </w:t>
      </w:r>
      <w:r w:rsidR="006D0EC0">
        <w:t>allow such use within 100</w:t>
      </w:r>
      <w:r w:rsidR="00E04218">
        <w:t> </w:t>
      </w:r>
      <w:r w:rsidR="006D0EC0">
        <w:t xml:space="preserve">m of the location specified on the licence.  </w:t>
      </w:r>
    </w:p>
    <w:p w14:paraId="1B4AF2BF" w14:textId="2A7D0EBB" w:rsidR="00A76176" w:rsidRDefault="00A76176" w:rsidP="001A76B8">
      <w:pPr>
        <w:pStyle w:val="Bulletlevel1"/>
        <w:numPr>
          <w:ilvl w:val="0"/>
          <w:numId w:val="0"/>
        </w:numPr>
        <w:spacing w:after="240"/>
        <w:ind w:left="284"/>
      </w:pPr>
      <w:r>
        <w:t xml:space="preserve">The yearly tax applicable to PMP licences is defined in the </w:t>
      </w:r>
      <w:hyperlink r:id="rId47" w:history="1">
        <w:r w:rsidRPr="005D7D41">
          <w:rPr>
            <w:rStyle w:val="Hyperlink"/>
          </w:rPr>
          <w:t>Apparatus licence fee schedule</w:t>
        </w:r>
      </w:hyperlink>
      <w:r>
        <w:t xml:space="preserve">. For the 3400-4000 MHz </w:t>
      </w:r>
      <w:r w:rsidR="008D0D13">
        <w:t xml:space="preserve">frequency range </w:t>
      </w:r>
      <w:r>
        <w:t xml:space="preserve">the tax rate differs based on whether a device is in a remote, low, </w:t>
      </w:r>
      <w:proofErr w:type="gramStart"/>
      <w:r>
        <w:t>medium</w:t>
      </w:r>
      <w:proofErr w:type="gramEnd"/>
      <w:r>
        <w:t xml:space="preserve"> or </w:t>
      </w:r>
      <w:r w:rsidR="00741031">
        <w:t>high-density</w:t>
      </w:r>
      <w:r>
        <w:t xml:space="preserve"> area. It may also be possible to </w:t>
      </w:r>
      <w:r w:rsidR="00DB73B0">
        <w:t xml:space="preserve">amend the apparatus licence fee schedule to </w:t>
      </w:r>
      <w:r>
        <w:t xml:space="preserve">apply the low and </w:t>
      </w:r>
      <w:r w:rsidR="00DB73B0">
        <w:t>micro power adjustments</w:t>
      </w:r>
      <w:r w:rsidR="00AA17A5">
        <w:t xml:space="preserve"> to tax</w:t>
      </w:r>
      <w:r w:rsidR="00DB73B0">
        <w:t>. Low an</w:t>
      </w:r>
      <w:r w:rsidR="007D518D">
        <w:t>d</w:t>
      </w:r>
      <w:r w:rsidR="00DB73B0">
        <w:t xml:space="preserve"> mic</w:t>
      </w:r>
      <w:r w:rsidR="007D518D">
        <w:t>r</w:t>
      </w:r>
      <w:r w:rsidR="00DB73B0">
        <w:t>o power devices are devices that operate with an EIRP less than 8.3 Watts (39.2 dBm) and 1.7 Watts (32.3 dBm) respectively. If a device meets the low power requirements the tax is reduced by 90%, while meeting the micro power requirements reduces tax by 95%. The relevant taxes payable for a 50 MHz system are summarised in the table below.</w:t>
      </w:r>
    </w:p>
    <w:p w14:paraId="7FA120F1" w14:textId="469C32C0" w:rsidR="00DB73B0" w:rsidRPr="009317CD" w:rsidRDefault="00DB73B0" w:rsidP="001A76B8">
      <w:pPr>
        <w:pStyle w:val="Tableheading"/>
        <w:keepLines/>
        <w:tabs>
          <w:tab w:val="clear" w:pos="964"/>
          <w:tab w:val="num" w:pos="1248"/>
        </w:tabs>
        <w:ind w:left="1248"/>
      </w:pPr>
      <w:r>
        <w:t>Tax rate</w:t>
      </w:r>
      <w:r w:rsidR="00645552">
        <w:t xml:space="preserve"> for</w:t>
      </w:r>
      <w:r>
        <w:t xml:space="preserve"> a 50 MHz PMP licence in the 3.4-4 GHz </w:t>
      </w:r>
      <w:r w:rsidR="00645552">
        <w:t>frequency range</w:t>
      </w:r>
      <w:r w:rsidR="008C300C">
        <w:t xml:space="preserve"> (updated for </w:t>
      </w:r>
      <w:r w:rsidR="002662EC">
        <w:t>5</w:t>
      </w:r>
      <w:r w:rsidR="008C300C">
        <w:t xml:space="preserve"> April 2024)</w:t>
      </w:r>
    </w:p>
    <w:tbl>
      <w:tblPr>
        <w:tblW w:w="8438" w:type="dxa"/>
        <w:tblInd w:w="166" w:type="dxa"/>
        <w:tblLook w:val="04A0" w:firstRow="1" w:lastRow="0" w:firstColumn="1" w:lastColumn="0" w:noHBand="0" w:noVBand="1"/>
      </w:tblPr>
      <w:tblGrid>
        <w:gridCol w:w="2234"/>
        <w:gridCol w:w="1662"/>
        <w:gridCol w:w="1440"/>
        <w:gridCol w:w="1440"/>
        <w:gridCol w:w="1440"/>
        <w:gridCol w:w="222"/>
      </w:tblGrid>
      <w:tr w:rsidR="00A76176" w:rsidRPr="00A76176" w14:paraId="58E193F7" w14:textId="77777777" w:rsidTr="0031747D">
        <w:trPr>
          <w:gridAfter w:val="1"/>
          <w:wAfter w:w="222" w:type="dxa"/>
          <w:trHeight w:val="230"/>
        </w:trPr>
        <w:tc>
          <w:tcPr>
            <w:tcW w:w="2234" w:type="dxa"/>
            <w:vMerge w:val="restart"/>
            <w:tcBorders>
              <w:top w:val="nil"/>
              <w:left w:val="single" w:sz="8" w:space="0" w:color="auto"/>
              <w:bottom w:val="single" w:sz="8" w:space="0" w:color="000000"/>
              <w:right w:val="single" w:sz="8" w:space="0" w:color="auto"/>
            </w:tcBorders>
            <w:shd w:val="clear" w:color="000000" w:fill="404040"/>
            <w:noWrap/>
            <w:vAlign w:val="center"/>
            <w:hideMark/>
          </w:tcPr>
          <w:p w14:paraId="7023916D" w14:textId="77777777" w:rsidR="00A76176" w:rsidRPr="00163C24" w:rsidRDefault="00A76176" w:rsidP="0017714B">
            <w:pPr>
              <w:spacing w:after="0" w:line="240" w:lineRule="auto"/>
              <w:rPr>
                <w:rFonts w:cs="Arial"/>
                <w:b/>
                <w:bCs/>
                <w:color w:val="FFFFFF"/>
                <w:szCs w:val="20"/>
              </w:rPr>
            </w:pPr>
            <w:r w:rsidRPr="00163C24">
              <w:rPr>
                <w:rFonts w:cs="Arial"/>
                <w:b/>
                <w:bCs/>
                <w:color w:val="FFFFFF"/>
                <w:szCs w:val="20"/>
              </w:rPr>
              <w:t> </w:t>
            </w:r>
          </w:p>
        </w:tc>
        <w:tc>
          <w:tcPr>
            <w:tcW w:w="1662" w:type="dxa"/>
            <w:vMerge w:val="restart"/>
            <w:tcBorders>
              <w:top w:val="nil"/>
              <w:left w:val="single" w:sz="8" w:space="0" w:color="auto"/>
              <w:bottom w:val="single" w:sz="8" w:space="0" w:color="000000"/>
              <w:right w:val="single" w:sz="8" w:space="0" w:color="auto"/>
            </w:tcBorders>
            <w:shd w:val="clear" w:color="000000" w:fill="404040"/>
            <w:noWrap/>
            <w:vAlign w:val="center"/>
            <w:hideMark/>
          </w:tcPr>
          <w:p w14:paraId="1F8EE535" w14:textId="77777777" w:rsidR="00A76176" w:rsidRPr="00163C24" w:rsidRDefault="00A76176" w:rsidP="0017714B">
            <w:pPr>
              <w:spacing w:after="0" w:line="240" w:lineRule="auto"/>
              <w:jc w:val="center"/>
              <w:rPr>
                <w:rFonts w:cs="Arial"/>
                <w:b/>
                <w:bCs/>
                <w:color w:val="FFFFFF"/>
                <w:szCs w:val="20"/>
              </w:rPr>
            </w:pPr>
            <w:r w:rsidRPr="00163C24">
              <w:rPr>
                <w:rFonts w:cs="Arial"/>
                <w:b/>
                <w:bCs/>
                <w:color w:val="FFFFFF" w:themeColor="background1"/>
                <w:szCs w:val="20"/>
              </w:rPr>
              <w:t>High density</w:t>
            </w:r>
          </w:p>
        </w:tc>
        <w:tc>
          <w:tcPr>
            <w:tcW w:w="1440" w:type="dxa"/>
            <w:vMerge w:val="restart"/>
            <w:tcBorders>
              <w:top w:val="nil"/>
              <w:left w:val="single" w:sz="8" w:space="0" w:color="auto"/>
              <w:bottom w:val="single" w:sz="8" w:space="0" w:color="000000"/>
              <w:right w:val="single" w:sz="8" w:space="0" w:color="auto"/>
            </w:tcBorders>
            <w:shd w:val="clear" w:color="000000" w:fill="404040"/>
            <w:noWrap/>
            <w:vAlign w:val="center"/>
            <w:hideMark/>
          </w:tcPr>
          <w:p w14:paraId="47FBD73A" w14:textId="77777777" w:rsidR="00A76176" w:rsidRPr="00163C24" w:rsidRDefault="00A76176" w:rsidP="0017714B">
            <w:pPr>
              <w:spacing w:after="0" w:line="240" w:lineRule="auto"/>
              <w:jc w:val="center"/>
              <w:rPr>
                <w:rFonts w:cs="Arial"/>
                <w:b/>
                <w:bCs/>
                <w:color w:val="FFFFFF"/>
                <w:szCs w:val="20"/>
              </w:rPr>
            </w:pPr>
            <w:r w:rsidRPr="00163C24">
              <w:rPr>
                <w:rFonts w:cs="Arial"/>
                <w:b/>
                <w:bCs/>
                <w:color w:val="FFFFFF" w:themeColor="background1"/>
                <w:szCs w:val="20"/>
              </w:rPr>
              <w:t>Medium density</w:t>
            </w:r>
          </w:p>
        </w:tc>
        <w:tc>
          <w:tcPr>
            <w:tcW w:w="1440" w:type="dxa"/>
            <w:vMerge w:val="restart"/>
            <w:tcBorders>
              <w:top w:val="nil"/>
              <w:left w:val="single" w:sz="8" w:space="0" w:color="auto"/>
              <w:bottom w:val="single" w:sz="8" w:space="0" w:color="000000"/>
              <w:right w:val="single" w:sz="8" w:space="0" w:color="auto"/>
            </w:tcBorders>
            <w:shd w:val="clear" w:color="000000" w:fill="404040"/>
            <w:noWrap/>
            <w:vAlign w:val="center"/>
            <w:hideMark/>
          </w:tcPr>
          <w:p w14:paraId="237CB605" w14:textId="77777777" w:rsidR="00A76176" w:rsidRPr="00163C24" w:rsidRDefault="00A76176" w:rsidP="0017714B">
            <w:pPr>
              <w:spacing w:after="0" w:line="240" w:lineRule="auto"/>
              <w:jc w:val="center"/>
              <w:rPr>
                <w:rFonts w:cs="Arial"/>
                <w:b/>
                <w:bCs/>
                <w:color w:val="FFFFFF"/>
                <w:szCs w:val="20"/>
              </w:rPr>
            </w:pPr>
            <w:r w:rsidRPr="00163C24">
              <w:rPr>
                <w:rFonts w:cs="Arial"/>
                <w:b/>
                <w:bCs/>
                <w:color w:val="FFFFFF" w:themeColor="background1"/>
                <w:szCs w:val="20"/>
              </w:rPr>
              <w:t>Low density</w:t>
            </w:r>
          </w:p>
        </w:tc>
        <w:tc>
          <w:tcPr>
            <w:tcW w:w="1440" w:type="dxa"/>
            <w:vMerge w:val="restart"/>
            <w:tcBorders>
              <w:top w:val="nil"/>
              <w:left w:val="single" w:sz="8" w:space="0" w:color="auto"/>
              <w:bottom w:val="single" w:sz="8" w:space="0" w:color="000000"/>
              <w:right w:val="single" w:sz="8" w:space="0" w:color="auto"/>
            </w:tcBorders>
            <w:shd w:val="clear" w:color="000000" w:fill="404040"/>
            <w:noWrap/>
            <w:vAlign w:val="center"/>
            <w:hideMark/>
          </w:tcPr>
          <w:p w14:paraId="025FB184" w14:textId="77777777" w:rsidR="00A76176" w:rsidRPr="00163C24" w:rsidRDefault="00A76176" w:rsidP="0017714B">
            <w:pPr>
              <w:spacing w:after="0" w:line="240" w:lineRule="auto"/>
              <w:jc w:val="center"/>
              <w:rPr>
                <w:rFonts w:cs="Arial"/>
                <w:b/>
                <w:bCs/>
                <w:color w:val="FFFFFF"/>
                <w:szCs w:val="20"/>
              </w:rPr>
            </w:pPr>
            <w:r w:rsidRPr="00163C24">
              <w:rPr>
                <w:rFonts w:cs="Arial"/>
                <w:b/>
                <w:bCs/>
                <w:color w:val="FFFFFF" w:themeColor="background1"/>
                <w:szCs w:val="20"/>
              </w:rPr>
              <w:t>Remote density</w:t>
            </w:r>
          </w:p>
        </w:tc>
      </w:tr>
      <w:tr w:rsidR="00A76176" w:rsidRPr="00A76176" w14:paraId="0EE5F501" w14:textId="77777777" w:rsidTr="0031747D">
        <w:trPr>
          <w:trHeight w:val="20"/>
        </w:trPr>
        <w:tc>
          <w:tcPr>
            <w:tcW w:w="2234" w:type="dxa"/>
            <w:vMerge/>
            <w:tcBorders>
              <w:top w:val="nil"/>
              <w:left w:val="single" w:sz="8" w:space="0" w:color="auto"/>
              <w:bottom w:val="single" w:sz="8" w:space="0" w:color="000000"/>
              <w:right w:val="single" w:sz="8" w:space="0" w:color="auto"/>
            </w:tcBorders>
            <w:vAlign w:val="center"/>
            <w:hideMark/>
          </w:tcPr>
          <w:p w14:paraId="595CDCBF" w14:textId="77777777" w:rsidR="00A76176" w:rsidRPr="00163C24" w:rsidRDefault="00A76176" w:rsidP="0017714B">
            <w:pPr>
              <w:spacing w:after="0" w:line="240" w:lineRule="auto"/>
              <w:rPr>
                <w:rFonts w:cs="Arial"/>
                <w:b/>
                <w:bCs/>
                <w:color w:val="FFFFFF"/>
                <w:szCs w:val="20"/>
              </w:rPr>
            </w:pPr>
          </w:p>
        </w:tc>
        <w:tc>
          <w:tcPr>
            <w:tcW w:w="1662" w:type="dxa"/>
            <w:vMerge/>
            <w:tcBorders>
              <w:top w:val="nil"/>
              <w:left w:val="single" w:sz="8" w:space="0" w:color="auto"/>
              <w:bottom w:val="single" w:sz="8" w:space="0" w:color="000000"/>
              <w:right w:val="single" w:sz="8" w:space="0" w:color="auto"/>
            </w:tcBorders>
            <w:vAlign w:val="center"/>
            <w:hideMark/>
          </w:tcPr>
          <w:p w14:paraId="5A8D7842" w14:textId="77777777" w:rsidR="00A76176" w:rsidRPr="00163C24" w:rsidRDefault="00A76176" w:rsidP="0017714B">
            <w:pPr>
              <w:spacing w:after="0" w:line="240" w:lineRule="auto"/>
              <w:jc w:val="center"/>
              <w:rPr>
                <w:rFonts w:cs="Arial"/>
                <w:b/>
                <w:bCs/>
                <w:color w:val="FFFFFF"/>
                <w:szCs w:val="20"/>
              </w:rPr>
            </w:pPr>
          </w:p>
        </w:tc>
        <w:tc>
          <w:tcPr>
            <w:tcW w:w="1440" w:type="dxa"/>
            <w:vMerge/>
            <w:tcBorders>
              <w:top w:val="nil"/>
              <w:left w:val="single" w:sz="8" w:space="0" w:color="auto"/>
              <w:bottom w:val="single" w:sz="8" w:space="0" w:color="000000"/>
              <w:right w:val="single" w:sz="8" w:space="0" w:color="auto"/>
            </w:tcBorders>
            <w:vAlign w:val="center"/>
            <w:hideMark/>
          </w:tcPr>
          <w:p w14:paraId="004B52E6" w14:textId="77777777" w:rsidR="00A76176" w:rsidRPr="00163C24" w:rsidRDefault="00A76176" w:rsidP="0017714B">
            <w:pPr>
              <w:spacing w:after="0" w:line="240" w:lineRule="auto"/>
              <w:jc w:val="center"/>
              <w:rPr>
                <w:rFonts w:cs="Arial"/>
                <w:b/>
                <w:bCs/>
                <w:color w:val="FFFFFF"/>
                <w:szCs w:val="20"/>
              </w:rPr>
            </w:pPr>
          </w:p>
        </w:tc>
        <w:tc>
          <w:tcPr>
            <w:tcW w:w="1440" w:type="dxa"/>
            <w:vMerge/>
            <w:tcBorders>
              <w:top w:val="nil"/>
              <w:left w:val="single" w:sz="8" w:space="0" w:color="auto"/>
              <w:bottom w:val="single" w:sz="8" w:space="0" w:color="000000"/>
              <w:right w:val="single" w:sz="8" w:space="0" w:color="auto"/>
            </w:tcBorders>
            <w:vAlign w:val="center"/>
            <w:hideMark/>
          </w:tcPr>
          <w:p w14:paraId="64B7E9A4" w14:textId="77777777" w:rsidR="00A76176" w:rsidRPr="00163C24" w:rsidRDefault="00A76176" w:rsidP="0017714B">
            <w:pPr>
              <w:spacing w:after="0" w:line="240" w:lineRule="auto"/>
              <w:jc w:val="center"/>
              <w:rPr>
                <w:rFonts w:cs="Arial"/>
                <w:b/>
                <w:bCs/>
                <w:color w:val="FFFFFF"/>
                <w:szCs w:val="20"/>
              </w:rPr>
            </w:pPr>
          </w:p>
        </w:tc>
        <w:tc>
          <w:tcPr>
            <w:tcW w:w="1440" w:type="dxa"/>
            <w:vMerge/>
            <w:tcBorders>
              <w:top w:val="nil"/>
              <w:left w:val="single" w:sz="8" w:space="0" w:color="auto"/>
              <w:bottom w:val="single" w:sz="8" w:space="0" w:color="000000"/>
              <w:right w:val="single" w:sz="8" w:space="0" w:color="auto"/>
            </w:tcBorders>
            <w:vAlign w:val="center"/>
            <w:hideMark/>
          </w:tcPr>
          <w:p w14:paraId="7E8B193C" w14:textId="77777777" w:rsidR="00A76176" w:rsidRPr="00163C24" w:rsidRDefault="00A76176" w:rsidP="0017714B">
            <w:pPr>
              <w:spacing w:after="0" w:line="240" w:lineRule="auto"/>
              <w:jc w:val="center"/>
              <w:rPr>
                <w:rFonts w:cs="Arial"/>
                <w:b/>
                <w:bCs/>
                <w:color w:val="FFFFFF"/>
                <w:szCs w:val="20"/>
              </w:rPr>
            </w:pPr>
          </w:p>
        </w:tc>
        <w:tc>
          <w:tcPr>
            <w:tcW w:w="222" w:type="dxa"/>
            <w:tcBorders>
              <w:top w:val="nil"/>
              <w:left w:val="nil"/>
              <w:bottom w:val="nil"/>
              <w:right w:val="nil"/>
            </w:tcBorders>
            <w:shd w:val="clear" w:color="auto" w:fill="auto"/>
            <w:noWrap/>
            <w:vAlign w:val="bottom"/>
            <w:hideMark/>
          </w:tcPr>
          <w:p w14:paraId="39540729" w14:textId="77777777" w:rsidR="00A76176" w:rsidRPr="00A76176" w:rsidRDefault="00A76176" w:rsidP="00A76176">
            <w:pPr>
              <w:spacing w:after="0" w:line="240" w:lineRule="auto"/>
              <w:rPr>
                <w:rFonts w:cs="Arial"/>
                <w:b/>
                <w:bCs/>
                <w:color w:val="FFFFFF"/>
                <w:szCs w:val="20"/>
              </w:rPr>
            </w:pPr>
          </w:p>
        </w:tc>
      </w:tr>
      <w:tr w:rsidR="00A76176" w:rsidRPr="00A76176" w14:paraId="5CEBFFEA" w14:textId="77777777" w:rsidTr="0031747D">
        <w:trPr>
          <w:trHeight w:val="20"/>
        </w:trPr>
        <w:tc>
          <w:tcPr>
            <w:tcW w:w="2234" w:type="dxa"/>
            <w:tcBorders>
              <w:top w:val="nil"/>
              <w:left w:val="single" w:sz="8" w:space="0" w:color="auto"/>
              <w:bottom w:val="single" w:sz="8" w:space="0" w:color="auto"/>
              <w:right w:val="single" w:sz="8" w:space="0" w:color="auto"/>
            </w:tcBorders>
            <w:shd w:val="clear" w:color="auto" w:fill="auto"/>
            <w:noWrap/>
            <w:vAlign w:val="bottom"/>
            <w:hideMark/>
          </w:tcPr>
          <w:p w14:paraId="086BFD06" w14:textId="77777777" w:rsidR="00A76176" w:rsidRPr="007A05EE" w:rsidRDefault="00A76176" w:rsidP="0017714B">
            <w:pPr>
              <w:spacing w:after="0" w:line="240" w:lineRule="auto"/>
              <w:rPr>
                <w:rFonts w:cs="Arial"/>
                <w:color w:val="000000"/>
                <w:szCs w:val="20"/>
              </w:rPr>
            </w:pPr>
            <w:r w:rsidRPr="007A05EE">
              <w:rPr>
                <w:rFonts w:cs="Arial"/>
                <w:color w:val="000000"/>
                <w:szCs w:val="20"/>
              </w:rPr>
              <w:t>Annual tax ($ per kHz)</w:t>
            </w:r>
          </w:p>
        </w:tc>
        <w:tc>
          <w:tcPr>
            <w:tcW w:w="1662" w:type="dxa"/>
            <w:tcBorders>
              <w:top w:val="nil"/>
              <w:left w:val="nil"/>
              <w:bottom w:val="single" w:sz="8" w:space="0" w:color="auto"/>
              <w:right w:val="single" w:sz="8" w:space="0" w:color="auto"/>
            </w:tcBorders>
            <w:shd w:val="clear" w:color="auto" w:fill="auto"/>
            <w:noWrap/>
            <w:vAlign w:val="bottom"/>
            <w:hideMark/>
          </w:tcPr>
          <w:p w14:paraId="31D68474" w14:textId="1BDD7D29" w:rsidR="00A76176" w:rsidRPr="007A05EE" w:rsidRDefault="00A76176" w:rsidP="0017714B">
            <w:pPr>
              <w:spacing w:after="0" w:line="240" w:lineRule="auto"/>
              <w:jc w:val="center"/>
              <w:rPr>
                <w:rFonts w:cs="Arial"/>
                <w:color w:val="000000"/>
                <w:szCs w:val="20"/>
              </w:rPr>
            </w:pPr>
            <w:r w:rsidRPr="007A05EE">
              <w:rPr>
                <w:rFonts w:cs="Arial"/>
                <w:color w:val="000000"/>
                <w:szCs w:val="20"/>
              </w:rPr>
              <w:t>$0.</w:t>
            </w:r>
            <w:r w:rsidR="008C300C" w:rsidRPr="007A05EE">
              <w:rPr>
                <w:rFonts w:cs="Arial"/>
                <w:color w:val="000000"/>
                <w:szCs w:val="20"/>
              </w:rPr>
              <w:t>2</w:t>
            </w:r>
            <w:r w:rsidR="008C300C">
              <w:rPr>
                <w:rFonts w:cs="Arial"/>
                <w:color w:val="000000"/>
                <w:szCs w:val="20"/>
              </w:rPr>
              <w:t>312</w:t>
            </w:r>
          </w:p>
        </w:tc>
        <w:tc>
          <w:tcPr>
            <w:tcW w:w="1440" w:type="dxa"/>
            <w:tcBorders>
              <w:top w:val="nil"/>
              <w:left w:val="nil"/>
              <w:bottom w:val="single" w:sz="8" w:space="0" w:color="auto"/>
              <w:right w:val="single" w:sz="8" w:space="0" w:color="auto"/>
            </w:tcBorders>
            <w:shd w:val="clear" w:color="auto" w:fill="auto"/>
            <w:noWrap/>
            <w:vAlign w:val="bottom"/>
            <w:hideMark/>
          </w:tcPr>
          <w:p w14:paraId="0DA4359A" w14:textId="1B1750E2" w:rsidR="00A76176" w:rsidRPr="007A05EE" w:rsidRDefault="00A76176" w:rsidP="0017714B">
            <w:pPr>
              <w:spacing w:after="0" w:line="240" w:lineRule="auto"/>
              <w:jc w:val="center"/>
              <w:rPr>
                <w:rFonts w:cs="Arial"/>
                <w:color w:val="000000"/>
                <w:szCs w:val="20"/>
              </w:rPr>
            </w:pPr>
            <w:r w:rsidRPr="007A05EE">
              <w:rPr>
                <w:rFonts w:cs="Arial"/>
                <w:color w:val="000000"/>
                <w:szCs w:val="20"/>
              </w:rPr>
              <w:t>$0.09</w:t>
            </w:r>
            <w:r w:rsidR="008C300C">
              <w:rPr>
                <w:rFonts w:cs="Arial"/>
                <w:color w:val="000000"/>
                <w:szCs w:val="20"/>
              </w:rPr>
              <w:t>38</w:t>
            </w:r>
          </w:p>
        </w:tc>
        <w:tc>
          <w:tcPr>
            <w:tcW w:w="1440" w:type="dxa"/>
            <w:tcBorders>
              <w:top w:val="nil"/>
              <w:left w:val="nil"/>
              <w:bottom w:val="single" w:sz="8" w:space="0" w:color="auto"/>
              <w:right w:val="single" w:sz="8" w:space="0" w:color="auto"/>
            </w:tcBorders>
            <w:shd w:val="clear" w:color="auto" w:fill="auto"/>
            <w:noWrap/>
            <w:vAlign w:val="bottom"/>
            <w:hideMark/>
          </w:tcPr>
          <w:p w14:paraId="6FA91827" w14:textId="6886B069" w:rsidR="00A76176" w:rsidRPr="007A05EE" w:rsidRDefault="00A76176" w:rsidP="0017714B">
            <w:pPr>
              <w:spacing w:after="0" w:line="240" w:lineRule="auto"/>
              <w:jc w:val="center"/>
              <w:rPr>
                <w:rFonts w:cs="Arial"/>
                <w:color w:val="000000"/>
                <w:szCs w:val="20"/>
              </w:rPr>
            </w:pPr>
            <w:r w:rsidRPr="007A05EE">
              <w:rPr>
                <w:rFonts w:cs="Arial"/>
                <w:color w:val="000000"/>
                <w:szCs w:val="20"/>
              </w:rPr>
              <w:t>$0.07</w:t>
            </w:r>
            <w:r w:rsidR="008C300C">
              <w:rPr>
                <w:rFonts w:cs="Arial"/>
                <w:color w:val="000000"/>
                <w:szCs w:val="20"/>
              </w:rPr>
              <w:t>75</w:t>
            </w:r>
          </w:p>
        </w:tc>
        <w:tc>
          <w:tcPr>
            <w:tcW w:w="1440" w:type="dxa"/>
            <w:tcBorders>
              <w:top w:val="nil"/>
              <w:left w:val="nil"/>
              <w:bottom w:val="single" w:sz="8" w:space="0" w:color="auto"/>
              <w:right w:val="single" w:sz="8" w:space="0" w:color="auto"/>
            </w:tcBorders>
            <w:shd w:val="clear" w:color="auto" w:fill="auto"/>
            <w:noWrap/>
            <w:vAlign w:val="bottom"/>
            <w:hideMark/>
          </w:tcPr>
          <w:p w14:paraId="45108DBF" w14:textId="122AA2D6" w:rsidR="00A76176" w:rsidRPr="007A05EE" w:rsidRDefault="00A76176" w:rsidP="0017714B">
            <w:pPr>
              <w:spacing w:after="0" w:line="240" w:lineRule="auto"/>
              <w:jc w:val="center"/>
              <w:rPr>
                <w:rFonts w:cs="Arial"/>
                <w:color w:val="000000"/>
                <w:szCs w:val="20"/>
              </w:rPr>
            </w:pPr>
            <w:r w:rsidRPr="007A05EE">
              <w:rPr>
                <w:rFonts w:cs="Arial"/>
                <w:color w:val="000000"/>
                <w:szCs w:val="20"/>
              </w:rPr>
              <w:t>$0.038</w:t>
            </w:r>
            <w:r w:rsidR="008C300C">
              <w:rPr>
                <w:rFonts w:cs="Arial"/>
                <w:color w:val="000000"/>
                <w:szCs w:val="20"/>
              </w:rPr>
              <w:t>7</w:t>
            </w:r>
          </w:p>
        </w:tc>
        <w:tc>
          <w:tcPr>
            <w:tcW w:w="222" w:type="dxa"/>
            <w:vAlign w:val="center"/>
            <w:hideMark/>
          </w:tcPr>
          <w:p w14:paraId="271AC2B6" w14:textId="77777777" w:rsidR="00A76176" w:rsidRPr="00A76176" w:rsidRDefault="00A76176" w:rsidP="00A76176">
            <w:pPr>
              <w:spacing w:after="0" w:line="240" w:lineRule="auto"/>
              <w:rPr>
                <w:rFonts w:ascii="Times New Roman" w:hAnsi="Times New Roman"/>
                <w:szCs w:val="20"/>
              </w:rPr>
            </w:pPr>
          </w:p>
        </w:tc>
      </w:tr>
      <w:tr w:rsidR="008C300C" w:rsidRPr="00A76176" w14:paraId="3CB371AA" w14:textId="77777777" w:rsidTr="0031747D">
        <w:trPr>
          <w:trHeight w:val="20"/>
        </w:trPr>
        <w:tc>
          <w:tcPr>
            <w:tcW w:w="2234" w:type="dxa"/>
            <w:tcBorders>
              <w:top w:val="nil"/>
              <w:left w:val="single" w:sz="8" w:space="0" w:color="auto"/>
              <w:bottom w:val="single" w:sz="8" w:space="0" w:color="auto"/>
              <w:right w:val="single" w:sz="8" w:space="0" w:color="auto"/>
            </w:tcBorders>
            <w:shd w:val="clear" w:color="auto" w:fill="auto"/>
            <w:noWrap/>
            <w:vAlign w:val="bottom"/>
            <w:hideMark/>
          </w:tcPr>
          <w:p w14:paraId="1F284E5C" w14:textId="4A104016" w:rsidR="008C300C" w:rsidRPr="007A05EE" w:rsidRDefault="008C300C" w:rsidP="0017714B">
            <w:pPr>
              <w:spacing w:after="0" w:line="240" w:lineRule="auto"/>
              <w:rPr>
                <w:rFonts w:cs="Arial"/>
                <w:color w:val="000000"/>
                <w:szCs w:val="20"/>
              </w:rPr>
            </w:pPr>
            <w:r w:rsidRPr="007A05EE">
              <w:rPr>
                <w:rFonts w:cs="Arial"/>
                <w:color w:val="000000"/>
                <w:szCs w:val="20"/>
              </w:rPr>
              <w:t>Standard tax rate</w:t>
            </w:r>
          </w:p>
        </w:tc>
        <w:tc>
          <w:tcPr>
            <w:tcW w:w="1662" w:type="dxa"/>
            <w:tcBorders>
              <w:top w:val="nil"/>
              <w:left w:val="nil"/>
              <w:bottom w:val="single" w:sz="8" w:space="0" w:color="auto"/>
              <w:right w:val="single" w:sz="8" w:space="0" w:color="auto"/>
            </w:tcBorders>
            <w:shd w:val="clear" w:color="auto" w:fill="auto"/>
            <w:noWrap/>
            <w:vAlign w:val="bottom"/>
            <w:hideMark/>
          </w:tcPr>
          <w:p w14:paraId="6852F357" w14:textId="08B5946F" w:rsidR="008C300C" w:rsidRPr="007A05EE" w:rsidRDefault="008C300C" w:rsidP="0017714B">
            <w:pPr>
              <w:spacing w:after="0" w:line="240" w:lineRule="auto"/>
              <w:jc w:val="center"/>
              <w:rPr>
                <w:rFonts w:cs="Arial"/>
                <w:color w:val="000000"/>
                <w:szCs w:val="20"/>
              </w:rPr>
            </w:pPr>
            <w:r w:rsidRPr="00E61C49">
              <w:rPr>
                <w:rFonts w:cs="Arial"/>
                <w:color w:val="000000"/>
                <w:szCs w:val="20"/>
              </w:rPr>
              <w:t>$11,</w:t>
            </w:r>
            <w:r>
              <w:rPr>
                <w:rFonts w:cs="Arial"/>
                <w:color w:val="000000"/>
                <w:szCs w:val="20"/>
              </w:rPr>
              <w:t>56</w:t>
            </w:r>
            <w:r w:rsidRPr="00E61C49">
              <w:rPr>
                <w:rFonts w:cs="Arial"/>
                <w:color w:val="000000"/>
                <w:szCs w:val="20"/>
              </w:rPr>
              <w:t>0</w:t>
            </w:r>
          </w:p>
        </w:tc>
        <w:tc>
          <w:tcPr>
            <w:tcW w:w="1440" w:type="dxa"/>
            <w:tcBorders>
              <w:top w:val="nil"/>
              <w:left w:val="nil"/>
              <w:bottom w:val="single" w:sz="8" w:space="0" w:color="auto"/>
              <w:right w:val="single" w:sz="8" w:space="0" w:color="auto"/>
            </w:tcBorders>
            <w:shd w:val="clear" w:color="auto" w:fill="auto"/>
            <w:noWrap/>
            <w:vAlign w:val="bottom"/>
            <w:hideMark/>
          </w:tcPr>
          <w:p w14:paraId="514E3B3A" w14:textId="390C0BA4" w:rsidR="008C300C" w:rsidRPr="007A05EE" w:rsidRDefault="008C300C" w:rsidP="0017714B">
            <w:pPr>
              <w:spacing w:after="0" w:line="240" w:lineRule="auto"/>
              <w:jc w:val="center"/>
              <w:rPr>
                <w:rFonts w:cs="Arial"/>
                <w:color w:val="000000"/>
                <w:szCs w:val="20"/>
              </w:rPr>
            </w:pPr>
            <w:r w:rsidRPr="00E61C49">
              <w:rPr>
                <w:rFonts w:cs="Arial"/>
                <w:color w:val="000000"/>
                <w:szCs w:val="20"/>
              </w:rPr>
              <w:t>$4,6</w:t>
            </w:r>
            <w:r>
              <w:rPr>
                <w:rFonts w:cs="Arial"/>
                <w:color w:val="000000"/>
                <w:szCs w:val="20"/>
              </w:rPr>
              <w:t>90</w:t>
            </w:r>
          </w:p>
        </w:tc>
        <w:tc>
          <w:tcPr>
            <w:tcW w:w="1440" w:type="dxa"/>
            <w:tcBorders>
              <w:top w:val="nil"/>
              <w:left w:val="nil"/>
              <w:bottom w:val="single" w:sz="8" w:space="0" w:color="auto"/>
              <w:right w:val="single" w:sz="8" w:space="0" w:color="auto"/>
            </w:tcBorders>
            <w:shd w:val="clear" w:color="auto" w:fill="auto"/>
            <w:noWrap/>
            <w:vAlign w:val="bottom"/>
            <w:hideMark/>
          </w:tcPr>
          <w:p w14:paraId="41430C1E" w14:textId="1E275797" w:rsidR="008C300C" w:rsidRPr="007A05EE" w:rsidRDefault="008C300C" w:rsidP="0017714B">
            <w:pPr>
              <w:spacing w:after="0" w:line="240" w:lineRule="auto"/>
              <w:jc w:val="center"/>
              <w:rPr>
                <w:rFonts w:cs="Arial"/>
                <w:color w:val="000000"/>
                <w:szCs w:val="20"/>
              </w:rPr>
            </w:pPr>
            <w:r w:rsidRPr="00E61C49">
              <w:rPr>
                <w:rFonts w:cs="Arial"/>
                <w:color w:val="000000"/>
                <w:szCs w:val="20"/>
              </w:rPr>
              <w:t>$3,8</w:t>
            </w:r>
            <w:r>
              <w:rPr>
                <w:rFonts w:cs="Arial"/>
                <w:color w:val="000000"/>
                <w:szCs w:val="20"/>
              </w:rPr>
              <w:t>75</w:t>
            </w:r>
          </w:p>
        </w:tc>
        <w:tc>
          <w:tcPr>
            <w:tcW w:w="1440" w:type="dxa"/>
            <w:tcBorders>
              <w:top w:val="nil"/>
              <w:left w:val="nil"/>
              <w:bottom w:val="single" w:sz="8" w:space="0" w:color="auto"/>
              <w:right w:val="single" w:sz="8" w:space="0" w:color="auto"/>
            </w:tcBorders>
            <w:shd w:val="clear" w:color="auto" w:fill="auto"/>
            <w:noWrap/>
            <w:vAlign w:val="bottom"/>
            <w:hideMark/>
          </w:tcPr>
          <w:p w14:paraId="4434B1E4" w14:textId="6657FA7E" w:rsidR="008C300C" w:rsidRPr="007A05EE" w:rsidRDefault="008C300C" w:rsidP="0017714B">
            <w:pPr>
              <w:spacing w:after="0" w:line="240" w:lineRule="auto"/>
              <w:jc w:val="center"/>
              <w:rPr>
                <w:rFonts w:cs="Arial"/>
                <w:color w:val="000000"/>
                <w:szCs w:val="20"/>
              </w:rPr>
            </w:pPr>
            <w:r w:rsidRPr="00E61C49">
              <w:rPr>
                <w:rFonts w:cs="Arial"/>
                <w:color w:val="000000"/>
                <w:szCs w:val="20"/>
              </w:rPr>
              <w:t>$1,9</w:t>
            </w:r>
            <w:r>
              <w:rPr>
                <w:rFonts w:cs="Arial"/>
                <w:color w:val="000000"/>
                <w:szCs w:val="20"/>
              </w:rPr>
              <w:t>3</w:t>
            </w:r>
            <w:r w:rsidRPr="00E61C49">
              <w:rPr>
                <w:rFonts w:cs="Arial"/>
                <w:color w:val="000000"/>
                <w:szCs w:val="20"/>
              </w:rPr>
              <w:t>5</w:t>
            </w:r>
          </w:p>
        </w:tc>
        <w:tc>
          <w:tcPr>
            <w:tcW w:w="222" w:type="dxa"/>
            <w:vAlign w:val="center"/>
            <w:hideMark/>
          </w:tcPr>
          <w:p w14:paraId="34994D3F" w14:textId="77777777" w:rsidR="008C300C" w:rsidRPr="00A76176" w:rsidRDefault="008C300C" w:rsidP="008C300C">
            <w:pPr>
              <w:spacing w:after="0" w:line="240" w:lineRule="auto"/>
              <w:rPr>
                <w:rFonts w:ascii="Times New Roman" w:hAnsi="Times New Roman"/>
                <w:szCs w:val="20"/>
              </w:rPr>
            </w:pPr>
          </w:p>
        </w:tc>
      </w:tr>
      <w:tr w:rsidR="008C300C" w:rsidRPr="00A76176" w14:paraId="220DD38C" w14:textId="77777777" w:rsidTr="0031747D">
        <w:trPr>
          <w:trHeight w:val="20"/>
        </w:trPr>
        <w:tc>
          <w:tcPr>
            <w:tcW w:w="2234" w:type="dxa"/>
            <w:tcBorders>
              <w:top w:val="nil"/>
              <w:left w:val="single" w:sz="8" w:space="0" w:color="auto"/>
              <w:bottom w:val="single" w:sz="8" w:space="0" w:color="auto"/>
              <w:right w:val="single" w:sz="8" w:space="0" w:color="auto"/>
            </w:tcBorders>
            <w:shd w:val="clear" w:color="auto" w:fill="auto"/>
            <w:vAlign w:val="bottom"/>
            <w:hideMark/>
          </w:tcPr>
          <w:p w14:paraId="2EDB8396" w14:textId="77777777" w:rsidR="008C300C" w:rsidRPr="007A05EE" w:rsidRDefault="008C300C" w:rsidP="0017714B">
            <w:pPr>
              <w:spacing w:after="0" w:line="240" w:lineRule="auto"/>
              <w:rPr>
                <w:rFonts w:cs="Arial"/>
                <w:color w:val="000000"/>
                <w:szCs w:val="20"/>
              </w:rPr>
            </w:pPr>
            <w:r w:rsidRPr="007A05EE">
              <w:rPr>
                <w:rFonts w:cs="Arial"/>
                <w:color w:val="000000"/>
                <w:szCs w:val="20"/>
              </w:rPr>
              <w:t>low power tax rate</w:t>
            </w:r>
          </w:p>
        </w:tc>
        <w:tc>
          <w:tcPr>
            <w:tcW w:w="1662" w:type="dxa"/>
            <w:tcBorders>
              <w:top w:val="nil"/>
              <w:left w:val="nil"/>
              <w:bottom w:val="single" w:sz="8" w:space="0" w:color="auto"/>
              <w:right w:val="single" w:sz="8" w:space="0" w:color="auto"/>
            </w:tcBorders>
            <w:shd w:val="clear" w:color="auto" w:fill="auto"/>
            <w:noWrap/>
            <w:vAlign w:val="bottom"/>
            <w:hideMark/>
          </w:tcPr>
          <w:p w14:paraId="3653F021" w14:textId="5831AE48" w:rsidR="008C300C" w:rsidRPr="007A05EE" w:rsidRDefault="008C300C" w:rsidP="0017714B">
            <w:pPr>
              <w:spacing w:after="0" w:line="240" w:lineRule="auto"/>
              <w:jc w:val="center"/>
              <w:rPr>
                <w:rFonts w:cs="Arial"/>
                <w:color w:val="000000"/>
                <w:szCs w:val="20"/>
              </w:rPr>
            </w:pPr>
            <w:r w:rsidRPr="00E61C49">
              <w:rPr>
                <w:rFonts w:cs="Arial"/>
                <w:color w:val="000000"/>
                <w:szCs w:val="20"/>
              </w:rPr>
              <w:t>$1,1</w:t>
            </w:r>
            <w:r>
              <w:rPr>
                <w:rFonts w:cs="Arial"/>
                <w:color w:val="000000"/>
                <w:szCs w:val="20"/>
              </w:rPr>
              <w:t>55</w:t>
            </w:r>
          </w:p>
        </w:tc>
        <w:tc>
          <w:tcPr>
            <w:tcW w:w="1440" w:type="dxa"/>
            <w:tcBorders>
              <w:top w:val="nil"/>
              <w:left w:val="nil"/>
              <w:bottom w:val="single" w:sz="8" w:space="0" w:color="auto"/>
              <w:right w:val="single" w:sz="8" w:space="0" w:color="auto"/>
            </w:tcBorders>
            <w:shd w:val="clear" w:color="auto" w:fill="auto"/>
            <w:noWrap/>
            <w:vAlign w:val="bottom"/>
            <w:hideMark/>
          </w:tcPr>
          <w:p w14:paraId="4D2FE546" w14:textId="04F7D953" w:rsidR="008C300C" w:rsidRPr="007A05EE" w:rsidRDefault="008C300C" w:rsidP="0017714B">
            <w:pPr>
              <w:spacing w:after="0" w:line="240" w:lineRule="auto"/>
              <w:jc w:val="center"/>
              <w:rPr>
                <w:rFonts w:cs="Arial"/>
                <w:color w:val="000000"/>
                <w:szCs w:val="20"/>
              </w:rPr>
            </w:pPr>
            <w:r w:rsidRPr="00E61C49">
              <w:rPr>
                <w:rFonts w:cs="Arial"/>
                <w:color w:val="000000"/>
                <w:szCs w:val="20"/>
              </w:rPr>
              <w:t>$4</w:t>
            </w:r>
            <w:r>
              <w:rPr>
                <w:rFonts w:cs="Arial"/>
                <w:color w:val="000000"/>
                <w:szCs w:val="20"/>
              </w:rPr>
              <w:t>70</w:t>
            </w:r>
          </w:p>
        </w:tc>
        <w:tc>
          <w:tcPr>
            <w:tcW w:w="1440" w:type="dxa"/>
            <w:tcBorders>
              <w:top w:val="nil"/>
              <w:left w:val="nil"/>
              <w:bottom w:val="single" w:sz="8" w:space="0" w:color="auto"/>
              <w:right w:val="single" w:sz="8" w:space="0" w:color="auto"/>
            </w:tcBorders>
            <w:shd w:val="clear" w:color="auto" w:fill="auto"/>
            <w:noWrap/>
            <w:vAlign w:val="bottom"/>
            <w:hideMark/>
          </w:tcPr>
          <w:p w14:paraId="417B8C9D" w14:textId="3358FE79" w:rsidR="008C300C" w:rsidRPr="007A05EE" w:rsidRDefault="008C300C" w:rsidP="0017714B">
            <w:pPr>
              <w:spacing w:after="0" w:line="240" w:lineRule="auto"/>
              <w:jc w:val="center"/>
              <w:rPr>
                <w:rFonts w:cs="Arial"/>
                <w:color w:val="000000"/>
                <w:szCs w:val="20"/>
              </w:rPr>
            </w:pPr>
            <w:r w:rsidRPr="00E61C49">
              <w:rPr>
                <w:rFonts w:cs="Arial"/>
                <w:color w:val="000000"/>
                <w:szCs w:val="20"/>
              </w:rPr>
              <w:t>$38</w:t>
            </w:r>
            <w:r>
              <w:rPr>
                <w:rFonts w:cs="Arial"/>
                <w:color w:val="000000"/>
                <w:szCs w:val="20"/>
              </w:rPr>
              <w:t>5</w:t>
            </w:r>
          </w:p>
        </w:tc>
        <w:tc>
          <w:tcPr>
            <w:tcW w:w="1440" w:type="dxa"/>
            <w:tcBorders>
              <w:top w:val="nil"/>
              <w:left w:val="nil"/>
              <w:bottom w:val="single" w:sz="8" w:space="0" w:color="auto"/>
              <w:right w:val="single" w:sz="8" w:space="0" w:color="auto"/>
            </w:tcBorders>
            <w:shd w:val="clear" w:color="auto" w:fill="auto"/>
            <w:noWrap/>
            <w:vAlign w:val="bottom"/>
            <w:hideMark/>
          </w:tcPr>
          <w:p w14:paraId="3BCE493D" w14:textId="78274012" w:rsidR="008C300C" w:rsidRPr="007A05EE" w:rsidRDefault="008C300C" w:rsidP="0017714B">
            <w:pPr>
              <w:spacing w:after="0" w:line="240" w:lineRule="auto"/>
              <w:jc w:val="center"/>
              <w:rPr>
                <w:rFonts w:cs="Arial"/>
                <w:color w:val="000000"/>
                <w:szCs w:val="20"/>
              </w:rPr>
            </w:pPr>
            <w:r w:rsidRPr="00E61C49">
              <w:rPr>
                <w:rFonts w:cs="Arial"/>
                <w:color w:val="000000"/>
                <w:szCs w:val="20"/>
              </w:rPr>
              <w:t>$19</w:t>
            </w:r>
            <w:r>
              <w:rPr>
                <w:rFonts w:cs="Arial"/>
                <w:color w:val="000000"/>
                <w:szCs w:val="20"/>
              </w:rPr>
              <w:t>5</w:t>
            </w:r>
          </w:p>
        </w:tc>
        <w:tc>
          <w:tcPr>
            <w:tcW w:w="222" w:type="dxa"/>
            <w:vAlign w:val="center"/>
            <w:hideMark/>
          </w:tcPr>
          <w:p w14:paraId="73DC79B5" w14:textId="77777777" w:rsidR="008C300C" w:rsidRPr="00A76176" w:rsidRDefault="008C300C" w:rsidP="008C300C">
            <w:pPr>
              <w:spacing w:after="0" w:line="240" w:lineRule="auto"/>
              <w:rPr>
                <w:rFonts w:ascii="Times New Roman" w:hAnsi="Times New Roman"/>
                <w:szCs w:val="20"/>
              </w:rPr>
            </w:pPr>
          </w:p>
        </w:tc>
      </w:tr>
      <w:tr w:rsidR="008C300C" w:rsidRPr="00A76176" w14:paraId="729B08EB" w14:textId="77777777" w:rsidTr="0031747D">
        <w:trPr>
          <w:trHeight w:val="20"/>
        </w:trPr>
        <w:tc>
          <w:tcPr>
            <w:tcW w:w="2234" w:type="dxa"/>
            <w:tcBorders>
              <w:top w:val="nil"/>
              <w:left w:val="single" w:sz="8" w:space="0" w:color="auto"/>
              <w:bottom w:val="single" w:sz="8" w:space="0" w:color="auto"/>
              <w:right w:val="single" w:sz="8" w:space="0" w:color="auto"/>
            </w:tcBorders>
            <w:shd w:val="clear" w:color="auto" w:fill="auto"/>
            <w:noWrap/>
            <w:vAlign w:val="bottom"/>
            <w:hideMark/>
          </w:tcPr>
          <w:p w14:paraId="6D931D94" w14:textId="77777777" w:rsidR="008C300C" w:rsidRPr="007A05EE" w:rsidRDefault="008C300C" w:rsidP="0017714B">
            <w:pPr>
              <w:spacing w:after="0" w:line="240" w:lineRule="auto"/>
              <w:rPr>
                <w:rFonts w:cs="Arial"/>
                <w:color w:val="000000"/>
                <w:szCs w:val="20"/>
              </w:rPr>
            </w:pPr>
            <w:r w:rsidRPr="007A05EE">
              <w:rPr>
                <w:rFonts w:cs="Arial"/>
                <w:color w:val="000000"/>
                <w:szCs w:val="20"/>
              </w:rPr>
              <w:t>micro power tax rate</w:t>
            </w:r>
          </w:p>
        </w:tc>
        <w:tc>
          <w:tcPr>
            <w:tcW w:w="1662" w:type="dxa"/>
            <w:tcBorders>
              <w:top w:val="nil"/>
              <w:left w:val="nil"/>
              <w:bottom w:val="single" w:sz="8" w:space="0" w:color="auto"/>
              <w:right w:val="single" w:sz="8" w:space="0" w:color="auto"/>
            </w:tcBorders>
            <w:shd w:val="clear" w:color="auto" w:fill="auto"/>
            <w:noWrap/>
            <w:vAlign w:val="bottom"/>
            <w:hideMark/>
          </w:tcPr>
          <w:p w14:paraId="3FE2B146" w14:textId="14D1E3C2" w:rsidR="008C300C" w:rsidRPr="007A05EE" w:rsidRDefault="008C300C" w:rsidP="0017714B">
            <w:pPr>
              <w:spacing w:after="0" w:line="240" w:lineRule="auto"/>
              <w:jc w:val="center"/>
              <w:rPr>
                <w:rFonts w:cs="Arial"/>
                <w:color w:val="000000"/>
                <w:szCs w:val="20"/>
              </w:rPr>
            </w:pPr>
            <w:r w:rsidRPr="00E61C49">
              <w:rPr>
                <w:rFonts w:cs="Arial"/>
                <w:color w:val="000000"/>
                <w:szCs w:val="20"/>
              </w:rPr>
              <w:t>$5</w:t>
            </w:r>
            <w:r>
              <w:rPr>
                <w:rFonts w:cs="Arial"/>
                <w:color w:val="000000"/>
                <w:szCs w:val="20"/>
              </w:rPr>
              <w:t>80</w:t>
            </w:r>
          </w:p>
        </w:tc>
        <w:tc>
          <w:tcPr>
            <w:tcW w:w="1440" w:type="dxa"/>
            <w:tcBorders>
              <w:top w:val="nil"/>
              <w:left w:val="nil"/>
              <w:bottom w:val="single" w:sz="8" w:space="0" w:color="auto"/>
              <w:right w:val="single" w:sz="8" w:space="0" w:color="auto"/>
            </w:tcBorders>
            <w:shd w:val="clear" w:color="auto" w:fill="auto"/>
            <w:noWrap/>
            <w:vAlign w:val="bottom"/>
            <w:hideMark/>
          </w:tcPr>
          <w:p w14:paraId="76B7A3AB" w14:textId="531B4EA2" w:rsidR="008C300C" w:rsidRPr="007A05EE" w:rsidRDefault="008C300C" w:rsidP="0017714B">
            <w:pPr>
              <w:spacing w:after="0" w:line="240" w:lineRule="auto"/>
              <w:jc w:val="center"/>
              <w:rPr>
                <w:rFonts w:cs="Arial"/>
                <w:color w:val="000000"/>
                <w:szCs w:val="20"/>
              </w:rPr>
            </w:pPr>
            <w:r w:rsidRPr="00E61C49">
              <w:rPr>
                <w:rFonts w:cs="Arial"/>
                <w:color w:val="000000"/>
                <w:szCs w:val="20"/>
              </w:rPr>
              <w:t>$23</w:t>
            </w:r>
            <w:r>
              <w:rPr>
                <w:rFonts w:cs="Arial"/>
                <w:color w:val="000000"/>
                <w:szCs w:val="20"/>
              </w:rPr>
              <w:t>5</w:t>
            </w:r>
          </w:p>
        </w:tc>
        <w:tc>
          <w:tcPr>
            <w:tcW w:w="1440" w:type="dxa"/>
            <w:tcBorders>
              <w:top w:val="nil"/>
              <w:left w:val="nil"/>
              <w:bottom w:val="single" w:sz="8" w:space="0" w:color="auto"/>
              <w:right w:val="single" w:sz="8" w:space="0" w:color="auto"/>
            </w:tcBorders>
            <w:shd w:val="clear" w:color="auto" w:fill="auto"/>
            <w:noWrap/>
            <w:vAlign w:val="bottom"/>
            <w:hideMark/>
          </w:tcPr>
          <w:p w14:paraId="7E0EBDC5" w14:textId="59A48FCA" w:rsidR="008C300C" w:rsidRPr="007A05EE" w:rsidRDefault="008C300C" w:rsidP="0017714B">
            <w:pPr>
              <w:spacing w:after="0" w:line="240" w:lineRule="auto"/>
              <w:jc w:val="center"/>
              <w:rPr>
                <w:rFonts w:cs="Arial"/>
                <w:color w:val="000000"/>
                <w:szCs w:val="20"/>
              </w:rPr>
            </w:pPr>
            <w:r w:rsidRPr="00E61C49">
              <w:rPr>
                <w:rFonts w:cs="Arial"/>
                <w:color w:val="000000"/>
                <w:szCs w:val="20"/>
              </w:rPr>
              <w:t>$19</w:t>
            </w:r>
            <w:r>
              <w:rPr>
                <w:rFonts w:cs="Arial"/>
                <w:color w:val="000000"/>
                <w:szCs w:val="20"/>
              </w:rPr>
              <w:t>5</w:t>
            </w:r>
          </w:p>
        </w:tc>
        <w:tc>
          <w:tcPr>
            <w:tcW w:w="1440" w:type="dxa"/>
            <w:tcBorders>
              <w:top w:val="nil"/>
              <w:left w:val="nil"/>
              <w:bottom w:val="single" w:sz="8" w:space="0" w:color="auto"/>
              <w:right w:val="single" w:sz="8" w:space="0" w:color="auto"/>
            </w:tcBorders>
            <w:shd w:val="clear" w:color="auto" w:fill="auto"/>
            <w:noWrap/>
            <w:vAlign w:val="bottom"/>
            <w:hideMark/>
          </w:tcPr>
          <w:p w14:paraId="16932914" w14:textId="192D2AA7" w:rsidR="008C300C" w:rsidRPr="007A05EE" w:rsidRDefault="008C300C" w:rsidP="0017714B">
            <w:pPr>
              <w:spacing w:after="0" w:line="240" w:lineRule="auto"/>
              <w:jc w:val="center"/>
              <w:rPr>
                <w:rFonts w:cs="Arial"/>
                <w:color w:val="000000"/>
                <w:szCs w:val="20"/>
              </w:rPr>
            </w:pPr>
            <w:r w:rsidRPr="00E61C49">
              <w:rPr>
                <w:rFonts w:cs="Arial"/>
                <w:color w:val="000000"/>
                <w:szCs w:val="20"/>
              </w:rPr>
              <w:t>$9</w:t>
            </w:r>
            <w:r>
              <w:rPr>
                <w:rFonts w:cs="Arial"/>
                <w:color w:val="000000"/>
                <w:szCs w:val="20"/>
              </w:rPr>
              <w:t>5</w:t>
            </w:r>
          </w:p>
        </w:tc>
        <w:tc>
          <w:tcPr>
            <w:tcW w:w="222" w:type="dxa"/>
            <w:vAlign w:val="center"/>
            <w:hideMark/>
          </w:tcPr>
          <w:p w14:paraId="269B9725" w14:textId="77777777" w:rsidR="008C300C" w:rsidRPr="00A76176" w:rsidRDefault="008C300C" w:rsidP="008C300C">
            <w:pPr>
              <w:spacing w:after="0" w:line="240" w:lineRule="auto"/>
              <w:rPr>
                <w:rFonts w:ascii="Times New Roman" w:hAnsi="Times New Roman"/>
                <w:szCs w:val="20"/>
              </w:rPr>
            </w:pPr>
          </w:p>
        </w:tc>
      </w:tr>
    </w:tbl>
    <w:p w14:paraId="2B2B04BA" w14:textId="77777777" w:rsidR="00F527DA" w:rsidRDefault="00F527DA" w:rsidP="001A76B8">
      <w:pPr>
        <w:pStyle w:val="Bulletlevel1"/>
        <w:numPr>
          <w:ilvl w:val="0"/>
          <w:numId w:val="0"/>
        </w:numPr>
        <w:spacing w:after="240"/>
        <w:ind w:left="284"/>
      </w:pPr>
    </w:p>
    <w:p w14:paraId="43520B28" w14:textId="03DDC8FD" w:rsidR="00163C24" w:rsidRDefault="00163C24" w:rsidP="001A76B8">
      <w:pPr>
        <w:pStyle w:val="Bulletlevel1"/>
        <w:numPr>
          <w:ilvl w:val="0"/>
          <w:numId w:val="0"/>
        </w:numPr>
        <w:spacing w:after="240"/>
        <w:ind w:left="284"/>
      </w:pPr>
      <w:r>
        <w:t xml:space="preserve">A benefit of the PMP licence approach is that the licence tax in populated areas is lower than AWLs. However, the tax in low population areas </w:t>
      </w:r>
      <w:r w:rsidR="00AA17A5">
        <w:t xml:space="preserve">(in regional areas) </w:t>
      </w:r>
      <w:r>
        <w:t>is higher ($</w:t>
      </w:r>
      <w:r w:rsidR="00AA17A5">
        <w:t>19</w:t>
      </w:r>
      <w:r w:rsidR="00496AFD">
        <w:t>5</w:t>
      </w:r>
      <w:r>
        <w:t xml:space="preserve"> compare</w:t>
      </w:r>
      <w:r w:rsidR="00AA17A5">
        <w:t>d</w:t>
      </w:r>
      <w:r>
        <w:t xml:space="preserve"> to $41.</w:t>
      </w:r>
      <w:r w:rsidR="00496AFD">
        <w:t>86</w:t>
      </w:r>
      <w:r>
        <w:t xml:space="preserve">). </w:t>
      </w:r>
    </w:p>
    <w:p w14:paraId="67AA632F" w14:textId="54382F8D" w:rsidR="00163C24" w:rsidRDefault="003B31E5" w:rsidP="001A76B8">
      <w:pPr>
        <w:pStyle w:val="Bulletlevel1"/>
        <w:numPr>
          <w:ilvl w:val="0"/>
          <w:numId w:val="0"/>
        </w:numPr>
        <w:spacing w:after="240"/>
        <w:ind w:left="284"/>
      </w:pPr>
      <w:r>
        <w:t xml:space="preserve">The use of </w:t>
      </w:r>
      <w:r w:rsidR="00163C24">
        <w:t xml:space="preserve">PMP licensing removes the issue of exclusive access to HCIS </w:t>
      </w:r>
      <w:r w:rsidR="00AA17A5">
        <w:t xml:space="preserve">and the associated spectrum denial </w:t>
      </w:r>
      <w:r w:rsidR="00163C24">
        <w:t xml:space="preserve">(as </w:t>
      </w:r>
      <w:r w:rsidR="007D518D">
        <w:t xml:space="preserve">described </w:t>
      </w:r>
      <w:r w:rsidR="00163C24">
        <w:t xml:space="preserve">previously for AWLs).  </w:t>
      </w:r>
      <w:r w:rsidR="00AA17A5">
        <w:t xml:space="preserve">In this case, </w:t>
      </w:r>
      <w:r w:rsidR="00AA17A5">
        <w:lastRenderedPageBreak/>
        <w:t>i</w:t>
      </w:r>
      <w:r w:rsidR="00163C24">
        <w:t xml:space="preserve">nterference between adjacent area HL WBB operators </w:t>
      </w:r>
      <w:r>
        <w:t>would</w:t>
      </w:r>
      <w:r w:rsidR="00163C24">
        <w:t xml:space="preserve"> be manage</w:t>
      </w:r>
      <w:r>
        <w:t>d</w:t>
      </w:r>
      <w:r w:rsidR="00163C24">
        <w:t xml:space="preserve"> via the same mechanisms as proposed for ‘low power’ AWLs. </w:t>
      </w:r>
    </w:p>
    <w:p w14:paraId="51492093" w14:textId="5E8B6B19" w:rsidR="00A76176" w:rsidRDefault="00DF5F22" w:rsidP="001A76B8">
      <w:pPr>
        <w:pStyle w:val="Bulletlevel1"/>
        <w:numPr>
          <w:ilvl w:val="0"/>
          <w:numId w:val="0"/>
        </w:numPr>
        <w:spacing w:after="240"/>
        <w:ind w:left="284"/>
      </w:pPr>
      <w:r>
        <w:t xml:space="preserve">Under a PMP licence approach, there is still the </w:t>
      </w:r>
      <w:r w:rsidR="00A76176">
        <w:t>issue</w:t>
      </w:r>
      <w:r w:rsidR="003B31E5">
        <w:t xml:space="preserve"> </w:t>
      </w:r>
      <w:r>
        <w:t>of whether measures can be implemented to improve future access to spectrum by entities. In this case, t</w:t>
      </w:r>
      <w:r w:rsidR="00F50EA5">
        <w:t>he same measures are proposed to address th</w:t>
      </w:r>
      <w:r>
        <w:t>is</w:t>
      </w:r>
      <w:r w:rsidR="00F50EA5">
        <w:t xml:space="preserve"> for both the AWL and PMP licensing approach. </w:t>
      </w:r>
    </w:p>
    <w:p w14:paraId="0FFDCB2C" w14:textId="3DAAE7E8" w:rsidR="00A208BA" w:rsidRDefault="00D84065" w:rsidP="001A76B8">
      <w:pPr>
        <w:pStyle w:val="Bulletlevel1"/>
        <w:numPr>
          <w:ilvl w:val="0"/>
          <w:numId w:val="0"/>
        </w:numPr>
        <w:spacing w:after="240"/>
        <w:ind w:left="284"/>
      </w:pPr>
      <w:r>
        <w:t>M</w:t>
      </w:r>
      <w:r w:rsidR="00F50EA5">
        <w:t>anag</w:t>
      </w:r>
      <w:r>
        <w:t>ing</w:t>
      </w:r>
      <w:r w:rsidR="00F50EA5">
        <w:t xml:space="preserve"> </w:t>
      </w:r>
      <w:r w:rsidR="00DF5F22">
        <w:t xml:space="preserve">interference when </w:t>
      </w:r>
      <w:r w:rsidR="00F50EA5">
        <w:t>multiple entities</w:t>
      </w:r>
      <w:r w:rsidR="00DF5F22">
        <w:t>/service providers</w:t>
      </w:r>
      <w:r w:rsidR="00F50EA5">
        <w:t xml:space="preserve"> </w:t>
      </w:r>
      <w:r w:rsidR="00A208BA">
        <w:t xml:space="preserve">want to </w:t>
      </w:r>
      <w:r w:rsidR="00F50EA5">
        <w:t xml:space="preserve">access the spectrum </w:t>
      </w:r>
      <w:r w:rsidR="00DF5F22">
        <w:t>at</w:t>
      </w:r>
      <w:r w:rsidR="00F50EA5">
        <w:t xml:space="preserve"> the same</w:t>
      </w:r>
      <w:r w:rsidR="00A208BA">
        <w:t xml:space="preserve"> controlled premise</w:t>
      </w:r>
      <w:r w:rsidR="007D518D">
        <w:t>s</w:t>
      </w:r>
      <w:r>
        <w:t xml:space="preserve"> is a key concern with this approach</w:t>
      </w:r>
      <w:r w:rsidR="00F50EA5">
        <w:t>.</w:t>
      </w:r>
      <w:r w:rsidR="00A208BA">
        <w:t xml:space="preserve"> </w:t>
      </w:r>
      <w:r w:rsidR="00DF5F22">
        <w:t xml:space="preserve">This is important given there will be a maximum 50 MHz of spectrum available in metro and regional Australia and 125 MHz in urban </w:t>
      </w:r>
      <w:r w:rsidR="00940803">
        <w:t xml:space="preserve">areas. </w:t>
      </w:r>
    </w:p>
    <w:p w14:paraId="53730AC2" w14:textId="6351361A" w:rsidR="001B6962" w:rsidRDefault="001B6962" w:rsidP="001A76B8">
      <w:pPr>
        <w:pStyle w:val="Bulletlevel1"/>
        <w:numPr>
          <w:ilvl w:val="0"/>
          <w:numId w:val="0"/>
        </w:numPr>
        <w:spacing w:after="240"/>
        <w:ind w:left="284"/>
      </w:pPr>
      <w:r>
        <w:t xml:space="preserve">In most cases it is expected that there will only </w:t>
      </w:r>
      <w:r w:rsidR="00DF5F22">
        <w:t xml:space="preserve">be </w:t>
      </w:r>
      <w:r>
        <w:t>one entity</w:t>
      </w:r>
      <w:r w:rsidR="00AA17A5">
        <w:t xml:space="preserve"> </w:t>
      </w:r>
      <w:r>
        <w:t>at each controlled premise</w:t>
      </w:r>
      <w:r w:rsidR="00105910">
        <w:t>s</w:t>
      </w:r>
      <w:r>
        <w:t xml:space="preserve"> seeking </w:t>
      </w:r>
      <w:r w:rsidR="00DF5F22">
        <w:t>WBB services</w:t>
      </w:r>
      <w:r>
        <w:t xml:space="preserve">. This would be for example a university, </w:t>
      </w:r>
      <w:proofErr w:type="gramStart"/>
      <w:r>
        <w:t>hospital</w:t>
      </w:r>
      <w:proofErr w:type="gramEnd"/>
      <w:r>
        <w:t xml:space="preserve"> or individual business. Essentially, this means only one HL WBB network is expected to be deployed in a controlled premise</w:t>
      </w:r>
      <w:r w:rsidR="00105910">
        <w:t>s</w:t>
      </w:r>
      <w:r>
        <w:t xml:space="preserve"> in many cases. </w:t>
      </w:r>
    </w:p>
    <w:p w14:paraId="5494147D" w14:textId="5B38B541" w:rsidR="00940803" w:rsidRDefault="001B6962" w:rsidP="001A76B8">
      <w:pPr>
        <w:pStyle w:val="Bulletlevel1"/>
        <w:numPr>
          <w:ilvl w:val="0"/>
          <w:numId w:val="0"/>
        </w:numPr>
        <w:spacing w:after="240"/>
        <w:ind w:left="284"/>
      </w:pPr>
      <w:r>
        <w:t>It is therefore proposed that a policy of not providing protection to licence</w:t>
      </w:r>
      <w:r w:rsidR="00606973">
        <w:t>s</w:t>
      </w:r>
      <w:r>
        <w:t xml:space="preserve"> operating on the same frequency and located on the same controlled premise</w:t>
      </w:r>
      <w:r w:rsidR="00ED5CC1">
        <w:t>s</w:t>
      </w:r>
      <w:r>
        <w:t xml:space="preserve"> be adopted</w:t>
      </w:r>
      <w:r w:rsidR="00606973">
        <w:t xml:space="preserve"> (</w:t>
      </w:r>
      <w:r w:rsidR="00AA17A5">
        <w:t xml:space="preserve">referred to as </w:t>
      </w:r>
      <w:r w:rsidR="00606973">
        <w:t>the HL WBB co-sited policy)</w:t>
      </w:r>
      <w:r>
        <w:t>.</w:t>
      </w:r>
      <w:r w:rsidR="00606973">
        <w:t xml:space="preserve"> </w:t>
      </w:r>
      <w:r>
        <w:t>This way,</w:t>
      </w:r>
      <w:r w:rsidR="00DF5F22">
        <w:t xml:space="preserve"> for deployment scenarios where</w:t>
      </w:r>
      <w:r>
        <w:t xml:space="preserve"> multiple licensees take out licences </w:t>
      </w:r>
      <w:r w:rsidR="00606973">
        <w:t>on the same frequenc</w:t>
      </w:r>
      <w:r w:rsidR="00317783">
        <w:t>y</w:t>
      </w:r>
      <w:r w:rsidR="00606973">
        <w:t xml:space="preserve"> </w:t>
      </w:r>
      <w:r>
        <w:t xml:space="preserve">at </w:t>
      </w:r>
      <w:r w:rsidR="00606973">
        <w:t xml:space="preserve">a </w:t>
      </w:r>
      <w:r>
        <w:t>controlled premise</w:t>
      </w:r>
      <w:r w:rsidR="00ED5CC1">
        <w:t>s</w:t>
      </w:r>
      <w:r>
        <w:t xml:space="preserve"> (whether </w:t>
      </w:r>
      <w:r w:rsidR="00606973">
        <w:t>speculatively</w:t>
      </w:r>
      <w:r>
        <w:t xml:space="preserve"> or with the intention of deploying services), they would be required to manage interference amongst themselves. </w:t>
      </w:r>
    </w:p>
    <w:p w14:paraId="45FB41CE" w14:textId="3628D6A0" w:rsidR="00606973" w:rsidRDefault="001B6962" w:rsidP="001A76B8">
      <w:pPr>
        <w:pStyle w:val="Bulletlevel1"/>
        <w:numPr>
          <w:ilvl w:val="0"/>
          <w:numId w:val="0"/>
        </w:numPr>
        <w:spacing w:after="240"/>
        <w:ind w:left="284"/>
      </w:pPr>
      <w:r>
        <w:t>If only one licensee</w:t>
      </w:r>
      <w:r w:rsidR="00606973">
        <w:t xml:space="preserve"> </w:t>
      </w:r>
      <w:proofErr w:type="gramStart"/>
      <w:r>
        <w:t>actually deploys</w:t>
      </w:r>
      <w:proofErr w:type="gramEnd"/>
      <w:r>
        <w:t xml:space="preserve"> a service, then there is no need to manage interference with the other licensees. </w:t>
      </w:r>
      <w:r w:rsidR="00940803">
        <w:t>If two or more licensees deploy or wish to deploy a service</w:t>
      </w:r>
      <w:r w:rsidR="00317783">
        <w:t>,</w:t>
      </w:r>
      <w:r w:rsidR="00606973">
        <w:t xml:space="preserve"> </w:t>
      </w:r>
      <w:r w:rsidR="00940803">
        <w:t xml:space="preserve">then they </w:t>
      </w:r>
      <w:r w:rsidR="00606973">
        <w:t>will need to work amongst themselves on how to manage interference.</w:t>
      </w:r>
      <w:r w:rsidR="00317783">
        <w:t xml:space="preserve"> This is irrespective of who deployed services first-in-time.</w:t>
      </w:r>
      <w:r w:rsidR="00940803">
        <w:t xml:space="preserve"> Possible</w:t>
      </w:r>
      <w:r w:rsidR="00317783">
        <w:t xml:space="preserve"> outcome</w:t>
      </w:r>
      <w:r w:rsidR="00940803">
        <w:t>s</w:t>
      </w:r>
      <w:r w:rsidR="00317783">
        <w:t xml:space="preserve"> </w:t>
      </w:r>
      <w:r w:rsidR="00606973">
        <w:t xml:space="preserve">could </w:t>
      </w:r>
      <w:r w:rsidR="00317783">
        <w:t xml:space="preserve">be </w:t>
      </w:r>
      <w:r w:rsidR="00606973">
        <w:t xml:space="preserve">the deployment of a single network, </w:t>
      </w:r>
      <w:r w:rsidR="00940803">
        <w:t xml:space="preserve">implementing more stringent mitigation techniques, </w:t>
      </w:r>
      <w:r w:rsidR="00606973">
        <w:t xml:space="preserve">or division of </w:t>
      </w:r>
      <w:r w:rsidR="00857A5B">
        <w:t xml:space="preserve">access to </w:t>
      </w:r>
      <w:r w:rsidR="00606973">
        <w:t xml:space="preserve">the spectrum between independent networks. </w:t>
      </w:r>
    </w:p>
    <w:p w14:paraId="12151416" w14:textId="125D1216" w:rsidR="00857A5B" w:rsidRPr="00E162C4" w:rsidRDefault="00857A5B" w:rsidP="001A76B8">
      <w:pPr>
        <w:pStyle w:val="Heading3"/>
        <w:ind w:left="284"/>
      </w:pPr>
      <w:r>
        <w:t>Proposed licence type</w:t>
      </w:r>
    </w:p>
    <w:p w14:paraId="14B1E664" w14:textId="6363E22F" w:rsidR="00F23DB4" w:rsidRDefault="00857A5B" w:rsidP="00F23DB4">
      <w:pPr>
        <w:pStyle w:val="Bulletlevel1"/>
        <w:numPr>
          <w:ilvl w:val="0"/>
          <w:numId w:val="0"/>
        </w:numPr>
        <w:spacing w:after="240"/>
        <w:ind w:left="284"/>
      </w:pPr>
      <w:r>
        <w:t>It is proposed that the PMP licence type</w:t>
      </w:r>
      <w:r w:rsidR="00946E32">
        <w:t xml:space="preserve"> be used for HL WBB services</w:t>
      </w:r>
      <w:r>
        <w:t xml:space="preserve"> along with </w:t>
      </w:r>
      <w:r w:rsidR="0072366F">
        <w:t xml:space="preserve">a </w:t>
      </w:r>
      <w:r w:rsidR="008523D5">
        <w:t xml:space="preserve">licence </w:t>
      </w:r>
      <w:r w:rsidR="0072366F">
        <w:t xml:space="preserve">condition that </w:t>
      </w:r>
      <w:r>
        <w:t xml:space="preserve">HL WBB </w:t>
      </w:r>
      <w:r w:rsidR="0072366F">
        <w:t xml:space="preserve">operate on a NINP basis to each other. </w:t>
      </w:r>
      <w:r>
        <w:t xml:space="preserve"> </w:t>
      </w:r>
    </w:p>
    <w:p w14:paraId="20CBB2AE" w14:textId="72BBD71B" w:rsidR="009202EF" w:rsidRPr="00E162C4" w:rsidRDefault="009202EF" w:rsidP="001A76B8">
      <w:pPr>
        <w:pStyle w:val="Heading2"/>
        <w:ind w:left="284"/>
      </w:pPr>
      <w:bookmarkStart w:id="81" w:name="_Toc178948548"/>
      <w:r>
        <w:t>Other HL WBB licences (3400-3475 MHz &amp; 3950-4000 MHz)</w:t>
      </w:r>
      <w:bookmarkEnd w:id="81"/>
    </w:p>
    <w:p w14:paraId="41926E10" w14:textId="2ED33E44" w:rsidR="009202EF" w:rsidRDefault="001E0A70" w:rsidP="001A76B8">
      <w:pPr>
        <w:pStyle w:val="Paragraph"/>
        <w:ind w:left="284"/>
      </w:pPr>
      <w:r>
        <w:t xml:space="preserve">It is intended that multiple different HL WBB operators will </w:t>
      </w:r>
      <w:r w:rsidR="004F3FF6">
        <w:t xml:space="preserve">be able to </w:t>
      </w:r>
      <w:r>
        <w:t xml:space="preserve">access the 3400-3475 MHz band in urban areas and the 3950-4000 MHz band in metro and regional Australia. </w:t>
      </w:r>
      <w:r w:rsidR="004F3FF6">
        <w:t xml:space="preserve">This means arrangements to manage both co-channel and adjacent channel interference between HL WBB licences needs to </w:t>
      </w:r>
      <w:proofErr w:type="gramStart"/>
      <w:r w:rsidR="004F3FF6">
        <w:t>developed</w:t>
      </w:r>
      <w:proofErr w:type="gramEnd"/>
      <w:r w:rsidR="004F3FF6">
        <w:t xml:space="preserve">. </w:t>
      </w:r>
    </w:p>
    <w:p w14:paraId="4FAB6C6C" w14:textId="217898F0" w:rsidR="005C24F1" w:rsidRDefault="005C24F1" w:rsidP="001A76B8">
      <w:pPr>
        <w:pStyle w:val="Paragraph"/>
        <w:ind w:left="284"/>
      </w:pPr>
      <w:r>
        <w:t xml:space="preserve">The 2021 TLG considered measures to manage this interference scenario (refer to the </w:t>
      </w:r>
      <w:r>
        <w:rPr>
          <w:i/>
          <w:iCs/>
        </w:rPr>
        <w:t xml:space="preserve">Background </w:t>
      </w:r>
      <w:r>
        <w:t xml:space="preserve">section and Table 1 for further details). However, there was only a brief period to review the proposed arrangements for HL WBB use. These outcomes are used as the starting point for the development of interference management arrangements in this paper. </w:t>
      </w:r>
    </w:p>
    <w:p w14:paraId="4A521403" w14:textId="646D7DCB" w:rsidR="004F3FF6" w:rsidRPr="00E162C4" w:rsidRDefault="004F3FF6" w:rsidP="001A76B8">
      <w:pPr>
        <w:pStyle w:val="Heading3"/>
        <w:ind w:left="284"/>
      </w:pPr>
      <w:r>
        <w:t>Managing co-channel</w:t>
      </w:r>
      <w:r w:rsidRPr="00E162C4">
        <w:t xml:space="preserve"> </w:t>
      </w:r>
      <w:r>
        <w:t>interference</w:t>
      </w:r>
    </w:p>
    <w:p w14:paraId="0B3F1732" w14:textId="2905093A" w:rsidR="007A6DBB" w:rsidRPr="00E162C4" w:rsidRDefault="007A6DBB" w:rsidP="001A76B8">
      <w:pPr>
        <w:pStyle w:val="Heading4"/>
        <w:ind w:left="284"/>
      </w:pPr>
      <w:r>
        <w:t>In-band emission limits</w:t>
      </w:r>
    </w:p>
    <w:p w14:paraId="47EC30EB" w14:textId="5CF9010B" w:rsidR="005C24F1" w:rsidRDefault="005C24F1" w:rsidP="001A76B8">
      <w:pPr>
        <w:pStyle w:val="Paragraph"/>
        <w:ind w:left="284"/>
      </w:pPr>
      <w:r>
        <w:t xml:space="preserve">Limiting in-band emissions for HL WBB use in the 3400-3475 MHz </w:t>
      </w:r>
      <w:r w:rsidR="00645552">
        <w:t>frequency range</w:t>
      </w:r>
      <w:r>
        <w:t xml:space="preserve"> can help to reduce the risk of co-channel interference and improve frequency re-</w:t>
      </w:r>
      <w:r>
        <w:lastRenderedPageBreak/>
        <w:t xml:space="preserve">use by multiple operators. </w:t>
      </w:r>
      <w:r w:rsidRPr="007A05EE">
        <w:t>The 2021 TLG proposed an in-band power spectral density</w:t>
      </w:r>
      <w:r>
        <w:t xml:space="preserve"> (PSD)</w:t>
      </w:r>
      <w:r w:rsidRPr="007A05EE">
        <w:t xml:space="preserve"> limit of 17 dBm/MHz EIRP for HL WBB. This results in </w:t>
      </w:r>
      <w:r w:rsidR="00E04218">
        <w:t>example</w:t>
      </w:r>
      <w:r w:rsidRPr="007A05EE">
        <w:t xml:space="preserve"> maximum EIRPs of 35.5 dBm/70 MHz or 34 dBm/50 MHz.</w:t>
      </w:r>
    </w:p>
    <w:p w14:paraId="58B3BAB3" w14:textId="2AEA4750" w:rsidR="005C24F1" w:rsidRDefault="005C24F1" w:rsidP="001A76B8">
      <w:pPr>
        <w:pStyle w:val="Paragraph"/>
        <w:ind w:left="284"/>
      </w:pPr>
      <w:r>
        <w:t xml:space="preserve">The 2021 TLG also proposed a maximum EIRP of 30 dBm per occupied bandwidth. This would restrict HL WBB BS to the </w:t>
      </w:r>
      <w:r w:rsidR="000B1110">
        <w:t>Local Area</w:t>
      </w:r>
      <w:r>
        <w:t xml:space="preserve"> BS transmitter class as defined by 3GPP. While this may assist with managing adjacent channel interference </w:t>
      </w:r>
      <w:r w:rsidR="00AD0C5F">
        <w:t xml:space="preserve">to </w:t>
      </w:r>
      <w:r>
        <w:t>other services (refer to Figure 2)</w:t>
      </w:r>
      <w:r w:rsidR="0014408F">
        <w:t>,</w:t>
      </w:r>
      <w:r>
        <w:t xml:space="preserve"> it is unlikely to have much impact on the co-channel case if HL WBB device</w:t>
      </w:r>
      <w:r w:rsidR="0014408F">
        <w:t>s</w:t>
      </w:r>
      <w:r>
        <w:t xml:space="preserve"> are also required to meet</w:t>
      </w:r>
      <w:r w:rsidR="00323597">
        <w:t xml:space="preserve"> both</w:t>
      </w:r>
      <w:r>
        <w:t xml:space="preserve"> the P</w:t>
      </w:r>
      <w:r w:rsidR="00323597">
        <w:t>S</w:t>
      </w:r>
      <w:r>
        <w:t xml:space="preserve">D </w:t>
      </w:r>
      <w:r w:rsidR="00323597">
        <w:t xml:space="preserve">and PFD </w:t>
      </w:r>
      <w:r>
        <w:t>limit</w:t>
      </w:r>
      <w:r w:rsidR="00323597">
        <w:t>s</w:t>
      </w:r>
      <w:r>
        <w:t xml:space="preserve"> irrespective of the EIRP used. </w:t>
      </w:r>
    </w:p>
    <w:p w14:paraId="0D58BE13" w14:textId="3FF948DB" w:rsidR="005C641D" w:rsidRDefault="005C641D" w:rsidP="005C641D">
      <w:pPr>
        <w:pStyle w:val="Paragraph"/>
        <w:ind w:left="284"/>
      </w:pPr>
      <w:r>
        <w:t xml:space="preserve">Some members of the TLG </w:t>
      </w:r>
      <w:r w:rsidR="002C64B2">
        <w:t>supported</w:t>
      </w:r>
      <w:r>
        <w:t xml:space="preserve"> adopting </w:t>
      </w:r>
      <w:r w:rsidR="002C64B2">
        <w:t>the</w:t>
      </w:r>
      <w:r>
        <w:t xml:space="preserve"> maximum EIRP limit of 30 dBm</w:t>
      </w:r>
      <w:r w:rsidR="002C64B2">
        <w:t xml:space="preserve"> in addition to a PSD limit</w:t>
      </w:r>
      <w:r>
        <w:t xml:space="preserve">. </w:t>
      </w:r>
      <w:r w:rsidR="002C64B2">
        <w:t xml:space="preserve">These members also recommended that </w:t>
      </w:r>
      <w:r>
        <w:t xml:space="preserve">if support for </w:t>
      </w:r>
      <w:r w:rsidR="00561526">
        <w:t>Medium Range</w:t>
      </w:r>
      <w:r>
        <w:t xml:space="preserve"> BS is provided HL WBB transmitters should be restricted to being indoors only. </w:t>
      </w:r>
    </w:p>
    <w:p w14:paraId="35CD89C0" w14:textId="4F6EF594" w:rsidR="005C24F1" w:rsidRDefault="005C24F1" w:rsidP="001A76B8">
      <w:pPr>
        <w:pStyle w:val="Paragraph"/>
        <w:ind w:left="284"/>
      </w:pPr>
      <w:r>
        <w:t xml:space="preserve">Given the difference in maximum EIRP </w:t>
      </w:r>
      <w:r w:rsidR="007732F2">
        <w:t xml:space="preserve">possible using only a PSD limit </w:t>
      </w:r>
      <w:r>
        <w:t xml:space="preserve">is not significant, to improve flexibility, </w:t>
      </w:r>
      <w:r w:rsidR="005C641D">
        <w:t>ACMA staff</w:t>
      </w:r>
      <w:r w:rsidR="002913EC">
        <w:t>’s preliminary preferred view is</w:t>
      </w:r>
      <w:r w:rsidR="005C641D">
        <w:t xml:space="preserve"> </w:t>
      </w:r>
      <w:r w:rsidR="007732F2">
        <w:t>that a PSD limit</w:t>
      </w:r>
      <w:r w:rsidR="002913EC">
        <w:t xml:space="preserve"> by itself is </w:t>
      </w:r>
      <w:r w:rsidR="005812D6">
        <w:t>sufficient</w:t>
      </w:r>
      <w:r>
        <w:t xml:space="preserve">. </w:t>
      </w:r>
    </w:p>
    <w:p w14:paraId="02F387D5" w14:textId="6ED00980" w:rsidR="005C641D" w:rsidRPr="007A05EE" w:rsidRDefault="005C641D" w:rsidP="005C641D">
      <w:pPr>
        <w:pStyle w:val="Paragraph"/>
        <w:ind w:left="284"/>
      </w:pPr>
      <w:r>
        <w:t xml:space="preserve">It is proposed </w:t>
      </w:r>
      <w:r w:rsidR="00623F35">
        <w:t>that</w:t>
      </w:r>
      <w:r>
        <w:t xml:space="preserve"> HL WBB base stations </w:t>
      </w:r>
      <w:r w:rsidR="00623F35">
        <w:t>are restricted</w:t>
      </w:r>
      <w:r>
        <w:t xml:space="preserve"> to indoor operation in the 3400</w:t>
      </w:r>
      <w:r w:rsidR="0075355D">
        <w:noBreakHyphen/>
      </w:r>
      <w:r>
        <w:t xml:space="preserve">3475 MHz band. However, </w:t>
      </w:r>
      <w:r w:rsidR="00C10F4A">
        <w:t>we</w:t>
      </w:r>
      <w:r>
        <w:t xml:space="preserve"> do not propose similar restrictions for operations in the 3950-4000 MHz band. There are HL WBB use cases that would benefit from </w:t>
      </w:r>
      <w:r w:rsidR="005812D6">
        <w:t>outdoor deployments</w:t>
      </w:r>
      <w:r>
        <w:t xml:space="preserve">. To manage potential interference with other licensed services, </w:t>
      </w:r>
      <w:r w:rsidR="00C10F4A">
        <w:t>appropriate</w:t>
      </w:r>
      <w:r w:rsidR="002913EC">
        <w:t xml:space="preserve"> </w:t>
      </w:r>
      <w:r>
        <w:t xml:space="preserve">coordination criteria </w:t>
      </w:r>
      <w:r w:rsidR="002913EC">
        <w:t>is considered in this paper</w:t>
      </w:r>
      <w:r>
        <w:t xml:space="preserve">.  </w:t>
      </w:r>
    </w:p>
    <w:p w14:paraId="4ED7147E" w14:textId="3F2F483B" w:rsidR="009202EF" w:rsidRPr="00E162C4" w:rsidRDefault="009202EF" w:rsidP="001A76B8">
      <w:pPr>
        <w:pStyle w:val="Heading4"/>
        <w:ind w:left="284"/>
      </w:pPr>
      <w:bookmarkStart w:id="82" w:name="_Hlk160611498"/>
      <w:r>
        <w:t>PFD limits</w:t>
      </w:r>
      <w:r w:rsidR="0082127E">
        <w:t xml:space="preserve"> and synchronisation requirement</w:t>
      </w:r>
    </w:p>
    <w:p w14:paraId="72CC34A8" w14:textId="05BBBDE1" w:rsidR="00793F8B" w:rsidRDefault="007B00DF" w:rsidP="001A76B8">
      <w:pPr>
        <w:pStyle w:val="Paragraph"/>
        <w:ind w:left="284"/>
        <w:rPr>
          <w:bCs/>
          <w:iCs/>
          <w:color w:val="000000"/>
          <w:szCs w:val="20"/>
        </w:rPr>
      </w:pPr>
      <w:r>
        <w:t xml:space="preserve">To manage interference between </w:t>
      </w:r>
      <w:r w:rsidR="00793F8B">
        <w:t xml:space="preserve">adjacent area </w:t>
      </w:r>
      <w:r>
        <w:t>co-channel HL WBB</w:t>
      </w:r>
      <w:r w:rsidR="00793F8B">
        <w:t xml:space="preserve">, the 2021 TLG proposed a PFD limit of </w:t>
      </w:r>
      <w:r w:rsidR="00793F8B" w:rsidRPr="00793F8B">
        <w:t>–64.9 dBm/MHz/m</w:t>
      </w:r>
      <w:r w:rsidR="00793F8B" w:rsidRPr="007A05EE">
        <w:rPr>
          <w:vertAlign w:val="superscript"/>
        </w:rPr>
        <w:t>2</w:t>
      </w:r>
      <w:r w:rsidR="00793F8B" w:rsidRPr="00793F8B">
        <w:t xml:space="preserve"> at the external boundary of the controlled premises at a height of 5 metres above ground level.</w:t>
      </w:r>
      <w:r w:rsidR="00793F8B">
        <w:t xml:space="preserve"> </w:t>
      </w:r>
      <w:r w:rsidR="00A94D09">
        <w:t>In this case, d</w:t>
      </w:r>
      <w:r w:rsidR="00793F8B">
        <w:t xml:space="preserve">efinition of the term ‘controlled premises’ </w:t>
      </w:r>
      <w:r w:rsidR="00A94D09">
        <w:t>i</w:t>
      </w:r>
      <w:r w:rsidR="00793F8B">
        <w:t xml:space="preserve">s the same as that used for class licensed WBB services in the 24.25-25.51 GHz </w:t>
      </w:r>
      <w:r w:rsidR="00645552">
        <w:t>frequency range</w:t>
      </w:r>
      <w:r w:rsidR="00793F8B">
        <w:rPr>
          <w:rStyle w:val="FootnoteReference"/>
        </w:rPr>
        <w:footnoteReference w:id="4"/>
      </w:r>
      <w:r w:rsidR="00793F8B">
        <w:t xml:space="preserve">. That is, it </w:t>
      </w:r>
      <w:r w:rsidR="00793F8B" w:rsidRPr="003D09A8">
        <w:rPr>
          <w:bCs/>
          <w:iCs/>
          <w:color w:val="000000"/>
          <w:szCs w:val="20"/>
        </w:rPr>
        <w:t>means premises that are owned by or under the control of a person who is providing a radiocommunications service under</w:t>
      </w:r>
      <w:r w:rsidR="00793F8B">
        <w:rPr>
          <w:bCs/>
          <w:iCs/>
          <w:color w:val="000000"/>
          <w:szCs w:val="20"/>
        </w:rPr>
        <w:t xml:space="preserve"> a HL WBB licence</w:t>
      </w:r>
      <w:r w:rsidR="00793F8B" w:rsidRPr="003D09A8">
        <w:rPr>
          <w:bCs/>
          <w:i/>
          <w:color w:val="000000"/>
          <w:szCs w:val="20"/>
        </w:rPr>
        <w:t xml:space="preserve">.  </w:t>
      </w:r>
    </w:p>
    <w:p w14:paraId="5357A977" w14:textId="5ABBE1DA" w:rsidR="00793F8B" w:rsidRPr="007A05EE" w:rsidRDefault="0082127E" w:rsidP="001A76B8">
      <w:pPr>
        <w:pStyle w:val="Paragraph"/>
        <w:ind w:left="284"/>
        <w:rPr>
          <w:color w:val="000000"/>
          <w:szCs w:val="20"/>
        </w:rPr>
      </w:pPr>
      <w:r>
        <w:t xml:space="preserve">Appendix C details how this limit was derived. It is aimed at managing interference from a HL WBB base station into UEs. </w:t>
      </w:r>
      <w:r w:rsidR="00793F8B">
        <w:rPr>
          <w:bCs/>
          <w:iCs/>
          <w:color w:val="000000"/>
          <w:szCs w:val="20"/>
        </w:rPr>
        <w:t xml:space="preserve">The PFD limit proposed </w:t>
      </w:r>
      <w:r w:rsidR="00793F8B">
        <w:t>assumes that HL WBB operations are synchronised, such that base station to base station interference will not occur.</w:t>
      </w:r>
    </w:p>
    <w:p w14:paraId="39D04A87" w14:textId="092875A3" w:rsidR="0082127E" w:rsidRDefault="007B00DF" w:rsidP="001A76B8">
      <w:pPr>
        <w:pStyle w:val="Paragraph"/>
        <w:spacing w:after="80"/>
        <w:ind w:left="284"/>
      </w:pPr>
      <w:r>
        <w:t xml:space="preserve">If measures to support unsynchronised operation are preferred, then an alternative PFD limit </w:t>
      </w:r>
      <w:r w:rsidR="0082127E">
        <w:t>could be considered.</w:t>
      </w:r>
      <w:r>
        <w:t xml:space="preserve"> </w:t>
      </w:r>
      <w:r w:rsidR="0082127E">
        <w:t>However, this could further restrict the deployment of HL WBB services. Instead</w:t>
      </w:r>
      <w:r w:rsidR="00494966">
        <w:t>,</w:t>
      </w:r>
      <w:r w:rsidR="0082127E">
        <w:t xml:space="preserve"> it is proposed that </w:t>
      </w:r>
      <w:r w:rsidR="00E817E7">
        <w:t>the following conditions</w:t>
      </w:r>
      <w:r w:rsidR="0082127E">
        <w:t xml:space="preserve"> be applied:</w:t>
      </w:r>
    </w:p>
    <w:p w14:paraId="3C199C2F" w14:textId="4D8368DE" w:rsidR="0082127E" w:rsidRPr="00E162C4" w:rsidRDefault="0082127E" w:rsidP="001A76B8">
      <w:pPr>
        <w:pStyle w:val="Bulletlevel1"/>
        <w:tabs>
          <w:tab w:val="clear" w:pos="295"/>
          <w:tab w:val="num" w:pos="579"/>
        </w:tabs>
        <w:ind w:left="579"/>
      </w:pPr>
      <w:r w:rsidRPr="007A05EE">
        <w:rPr>
          <w:u w:val="single"/>
        </w:rPr>
        <w:t xml:space="preserve">3400-3475 MHz </w:t>
      </w:r>
      <w:r w:rsidR="00645552">
        <w:rPr>
          <w:u w:val="single"/>
        </w:rPr>
        <w:t>frequency range</w:t>
      </w:r>
      <w:r>
        <w:t xml:space="preserve">: </w:t>
      </w:r>
      <w:r w:rsidR="00E817E7">
        <w:t xml:space="preserve">HL WBB BS deployments are limited to indoor only. </w:t>
      </w:r>
      <w:r w:rsidR="00A94D09">
        <w:t xml:space="preserve">It is proposed that HL WBB </w:t>
      </w:r>
      <w:r w:rsidR="00E817E7">
        <w:t>be required to</w:t>
      </w:r>
      <w:r w:rsidR="00A94D09">
        <w:t xml:space="preserve"> synchronise with adjacent area spectrum licensees (i.e. nbn)</w:t>
      </w:r>
      <w:r w:rsidR="0061113C">
        <w:t xml:space="preserve"> – refer to the </w:t>
      </w:r>
      <w:r w:rsidR="0061113C" w:rsidRPr="00EE4132">
        <w:rPr>
          <w:i/>
          <w:iCs/>
        </w:rPr>
        <w:fldChar w:fldCharType="begin"/>
      </w:r>
      <w:r w:rsidR="0061113C" w:rsidRPr="00EE4132">
        <w:rPr>
          <w:i/>
          <w:iCs/>
        </w:rPr>
        <w:instrText xml:space="preserve"> REF _Ref161136846 \h </w:instrText>
      </w:r>
      <w:r w:rsidR="0061113C">
        <w:rPr>
          <w:i/>
          <w:iCs/>
        </w:rPr>
        <w:instrText xml:space="preserve"> \* MERGEFORMAT </w:instrText>
      </w:r>
      <w:r w:rsidR="0061113C" w:rsidRPr="00EE4132">
        <w:rPr>
          <w:i/>
          <w:iCs/>
        </w:rPr>
      </w:r>
      <w:r w:rsidR="0061113C" w:rsidRPr="00EE4132">
        <w:rPr>
          <w:i/>
          <w:iCs/>
        </w:rPr>
        <w:fldChar w:fldCharType="separate"/>
      </w:r>
      <w:r w:rsidR="0061113C" w:rsidRPr="00EE4132">
        <w:rPr>
          <w:i/>
          <w:iCs/>
        </w:rPr>
        <w:t>3.4 GHz band spectrum licences (3400-3800 MHz)</w:t>
      </w:r>
      <w:r w:rsidR="0061113C" w:rsidRPr="00EE4132">
        <w:rPr>
          <w:i/>
          <w:iCs/>
        </w:rPr>
        <w:fldChar w:fldCharType="end"/>
      </w:r>
      <w:r w:rsidR="0061113C">
        <w:t xml:space="preserve"> section for further details.  </w:t>
      </w:r>
      <w:r w:rsidR="00D87A08">
        <w:t xml:space="preserve"> </w:t>
      </w:r>
    </w:p>
    <w:p w14:paraId="3D898CB8" w14:textId="3DE5087A" w:rsidR="0082127E" w:rsidRDefault="0082127E" w:rsidP="001A76B8">
      <w:pPr>
        <w:pStyle w:val="Bulletlevel1last"/>
        <w:tabs>
          <w:tab w:val="clear" w:pos="295"/>
          <w:tab w:val="num" w:pos="579"/>
        </w:tabs>
        <w:ind w:left="579"/>
      </w:pPr>
      <w:r w:rsidRPr="007A05EE">
        <w:rPr>
          <w:u w:val="single"/>
        </w:rPr>
        <w:t>3950-4000 MHz</w:t>
      </w:r>
      <w:r w:rsidR="00645552">
        <w:rPr>
          <w:u w:val="single"/>
        </w:rPr>
        <w:t xml:space="preserve"> frequency range</w:t>
      </w:r>
      <w:r>
        <w:t xml:space="preserve">: </w:t>
      </w:r>
      <w:r w:rsidR="00D87A08">
        <w:t xml:space="preserve">The same </w:t>
      </w:r>
      <w:r w:rsidR="00A94D09">
        <w:t xml:space="preserve">fallback </w:t>
      </w:r>
      <w:r w:rsidR="00D87A08">
        <w:t xml:space="preserve">synchronisation </w:t>
      </w:r>
      <w:r w:rsidR="00A94D09">
        <w:t xml:space="preserve">requirement </w:t>
      </w:r>
      <w:r w:rsidR="00D87A08">
        <w:t>as specified for AWLs is proposed</w:t>
      </w:r>
      <w:r w:rsidRPr="00E162C4">
        <w:t>.</w:t>
      </w:r>
      <w:r w:rsidR="00D87A08">
        <w:t xml:space="preserve"> </w:t>
      </w:r>
    </w:p>
    <w:p w14:paraId="40F99FF6" w14:textId="79087F9B" w:rsidR="004F3FF6" w:rsidRDefault="008C3CDB" w:rsidP="001A76B8">
      <w:pPr>
        <w:pStyle w:val="Paragraph"/>
        <w:ind w:left="284"/>
      </w:pPr>
      <w:r>
        <w:t>Under the above approach, i</w:t>
      </w:r>
      <w:r w:rsidR="004F3FF6">
        <w:t xml:space="preserve">t is intended that HL WBB only be provided the protection </w:t>
      </w:r>
      <w:r w:rsidR="00643F14">
        <w:t xml:space="preserve">afforded </w:t>
      </w:r>
      <w:r w:rsidR="004F3FF6">
        <w:t xml:space="preserve">by the PFD limit. </w:t>
      </w:r>
      <w:r w:rsidR="00A94D09">
        <w:t xml:space="preserve">Otherwise, HL WBB services operate on a </w:t>
      </w:r>
      <w:r w:rsidR="00A94D09">
        <w:lastRenderedPageBreak/>
        <w:t xml:space="preserve">NINP basis to each other. </w:t>
      </w:r>
      <w:r w:rsidR="00E817E7">
        <w:t xml:space="preserve">This means HL WBB services are not afforded ‘first-in-time’ protection to other HL WBB services. </w:t>
      </w:r>
      <w:r w:rsidR="004F3FF6">
        <w:t xml:space="preserve">If interference occurs, licensees will be required to either negotiate measures to manage it or adopt the frame structures defined in the synchronisation requirement. </w:t>
      </w:r>
      <w:r w:rsidR="00E817E7">
        <w:t>This will be detailed in the soon to be developed HL WBB RALI as well as the relevant licence condition determination.</w:t>
      </w:r>
    </w:p>
    <w:p w14:paraId="7D04DBB9" w14:textId="4D29257C" w:rsidR="00E817E7" w:rsidRDefault="00E817E7" w:rsidP="001A76B8">
      <w:pPr>
        <w:pStyle w:val="Paragraph"/>
        <w:ind w:left="284"/>
      </w:pPr>
      <w:r>
        <w:t xml:space="preserve">Advisory notes could be incorporated on licences (and/or the licence condition determination) so licensees are aware that the synchronisation requirement could be reviewed and may change in the future. For the 3400-3475 MHz band </w:t>
      </w:r>
      <w:r w:rsidR="00072ED0">
        <w:t>f</w:t>
      </w:r>
      <w:r>
        <w:t>urther information is required on how to make this work in practice. For example, if/when SLs plan to adopt a new frame structure, should HL WBB licensees be provided with reasonable warning so they can implement changes while minimising the impact on services. For the 3950-4000 MHz band, any review of the synchronisation arrangements would need to include a broader consideration of the synchronisation requirement for AWLs.</w:t>
      </w:r>
    </w:p>
    <w:p w14:paraId="2C3A0E4D" w14:textId="675C1BC8" w:rsidR="009202EF" w:rsidRPr="00D2646B" w:rsidRDefault="005973F3" w:rsidP="001A76B8">
      <w:pPr>
        <w:pStyle w:val="Paragraph"/>
        <w:ind w:left="284"/>
      </w:pPr>
      <w:r>
        <w:t xml:space="preserve">After further review, the TLG recommended that a PFD limit at the boundary of a controlled premises </w:t>
      </w:r>
      <w:r w:rsidR="008C3CDB">
        <w:t>should not be implemented. Such calculations would be complicated to perform and require accredited persons to have access to relevant building/premise</w:t>
      </w:r>
      <w:r w:rsidR="00371464">
        <w:t>s</w:t>
      </w:r>
      <w:r w:rsidR="008C3CDB">
        <w:t xml:space="preserve"> information as well as suitable propagation </w:t>
      </w:r>
      <w:r w:rsidR="00D176BC">
        <w:t>modelling</w:t>
      </w:r>
      <w:r w:rsidR="008C3CDB">
        <w:t xml:space="preserve">. It was considered that the PSD limit and synchronisation requirements </w:t>
      </w:r>
      <w:r w:rsidR="00D176BC">
        <w:t xml:space="preserve">along with designing networks to operate in an interference limited environment </w:t>
      </w:r>
      <w:r w:rsidR="008C3CDB">
        <w:t>would provide a reasonable level of protection</w:t>
      </w:r>
      <w:r w:rsidR="0072366F">
        <w:t xml:space="preserve"> (and frequency re-use)</w:t>
      </w:r>
      <w:r w:rsidR="008C3CDB">
        <w:t xml:space="preserve"> in many situations.</w:t>
      </w:r>
      <w:r w:rsidR="00D176BC">
        <w:t xml:space="preserve"> However, it was also recognised that there will still be situations where nearby HL WBB operators will need to work with each</w:t>
      </w:r>
      <w:r w:rsidR="00060752">
        <w:t xml:space="preserve"> other</w:t>
      </w:r>
      <w:r w:rsidR="00D176BC">
        <w:t xml:space="preserve"> to manage interference. </w:t>
      </w:r>
    </w:p>
    <w:bookmarkEnd w:id="82"/>
    <w:p w14:paraId="0EC18177" w14:textId="77777777" w:rsidR="004F3FF6" w:rsidRPr="00E162C4" w:rsidRDefault="004F3FF6" w:rsidP="001A76B8">
      <w:pPr>
        <w:pStyle w:val="Heading3"/>
        <w:ind w:left="284"/>
      </w:pPr>
      <w:r>
        <w:t>Managing adjacent channel</w:t>
      </w:r>
      <w:r w:rsidRPr="00E162C4">
        <w:t xml:space="preserve"> </w:t>
      </w:r>
      <w:r>
        <w:t>interference</w:t>
      </w:r>
    </w:p>
    <w:p w14:paraId="58E35AA8" w14:textId="77777777" w:rsidR="00890063" w:rsidRPr="00E162C4" w:rsidRDefault="00890063" w:rsidP="001A76B8">
      <w:pPr>
        <w:pStyle w:val="Heading4"/>
        <w:ind w:left="284"/>
      </w:pPr>
      <w:r>
        <w:t>Synchronisation requirement</w:t>
      </w:r>
    </w:p>
    <w:p w14:paraId="2519B7C0" w14:textId="77777777" w:rsidR="00890063" w:rsidRPr="00E162C4" w:rsidRDefault="00890063" w:rsidP="001A76B8">
      <w:pPr>
        <w:pStyle w:val="Paragraph"/>
        <w:ind w:left="284"/>
      </w:pPr>
      <w:r>
        <w:t xml:space="preserve">To manage adjacent channel interference between HL WBB licences, the same synchronisation requirements specified for the co-channel case are proposed. </w:t>
      </w:r>
    </w:p>
    <w:p w14:paraId="7C4B20D4" w14:textId="6E3FE431" w:rsidR="004F3FF6" w:rsidRPr="00E162C4" w:rsidRDefault="004F3FF6" w:rsidP="001A76B8">
      <w:pPr>
        <w:pStyle w:val="Heading4"/>
        <w:ind w:left="284"/>
      </w:pPr>
      <w:r>
        <w:t>Unwanted emission limits</w:t>
      </w:r>
    </w:p>
    <w:p w14:paraId="69375901" w14:textId="77777777" w:rsidR="004F3FF6" w:rsidRDefault="004F3FF6" w:rsidP="001A76B8">
      <w:pPr>
        <w:pStyle w:val="Paragraph"/>
        <w:spacing w:after="80"/>
        <w:ind w:left="284"/>
      </w:pPr>
      <w:r>
        <w:t>It is proposed that HL WBB b</w:t>
      </w:r>
      <w:r w:rsidRPr="00D2646B">
        <w:t>ase station comply with the unwanted emission limits described in 3GPP TS 38.104.</w:t>
      </w:r>
      <w:r>
        <w:t xml:space="preserve"> In this case two possible options apply:</w:t>
      </w:r>
    </w:p>
    <w:p w14:paraId="0B5E5C19" w14:textId="60989E73" w:rsidR="004F3FF6" w:rsidRPr="00E162C4" w:rsidRDefault="00561526" w:rsidP="001A76B8">
      <w:pPr>
        <w:pStyle w:val="Bulletlevel1"/>
        <w:tabs>
          <w:tab w:val="clear" w:pos="295"/>
          <w:tab w:val="num" w:pos="579"/>
        </w:tabs>
        <w:ind w:left="579"/>
      </w:pPr>
      <w:r>
        <w:t>Medium Range</w:t>
      </w:r>
      <w:r w:rsidR="004F3FF6">
        <w:t xml:space="preserve"> BS: Table 6.6.4.2.3-2 </w:t>
      </w:r>
      <w:r w:rsidR="0017714B">
        <w:t xml:space="preserve">(non-AAS) and section 9.7.4.2 (for AAS) </w:t>
      </w:r>
      <w:r w:rsidR="004F3FF6">
        <w:t xml:space="preserve">of 3GPP TS 38.104. The unwanted emission limits for </w:t>
      </w:r>
      <w:proofErr w:type="spellStart"/>
      <w:proofErr w:type="gramStart"/>
      <w:r w:rsidR="004F3FF6">
        <w:rPr>
          <w:rFonts w:cs="v5.0.0"/>
          <w:bCs/>
        </w:rPr>
        <w:t>P</w:t>
      </w:r>
      <w:r w:rsidR="004F3FF6">
        <w:rPr>
          <w:rFonts w:cs="v5.0.0"/>
          <w:bCs/>
          <w:vertAlign w:val="subscript"/>
        </w:rPr>
        <w:t>rated,x</w:t>
      </w:r>
      <w:proofErr w:type="spellEnd"/>
      <w:proofErr w:type="gramEnd"/>
      <w:r w:rsidR="004F3FF6">
        <w:rPr>
          <w:rFonts w:cs="v5.0.0"/>
        </w:rPr>
        <w:t xml:space="preserve"> </w:t>
      </w:r>
      <w:r w:rsidR="004F3FF6">
        <w:rPr>
          <w:rFonts w:cs="v5.0.0"/>
        </w:rPr>
        <w:sym w:font="Symbol" w:char="F0A3"/>
      </w:r>
      <w:r w:rsidR="004F3FF6">
        <w:rPr>
          <w:rFonts w:cs="v5.0.0"/>
        </w:rPr>
        <w:t xml:space="preserve"> </w:t>
      </w:r>
      <w:r w:rsidR="004F3FF6">
        <w:rPr>
          <w:rFonts w:cs="v5.0.0"/>
          <w:lang w:eastAsia="zh-CN"/>
        </w:rPr>
        <w:t>31</w:t>
      </w:r>
      <w:r w:rsidR="004F3FF6">
        <w:rPr>
          <w:rFonts w:cs="v5.0.0"/>
        </w:rPr>
        <w:t xml:space="preserve"> dBm are considered. This is because the proposed PSD limit restricts the maximum EIRP to being less than or equal to </w:t>
      </w:r>
      <w:r w:rsidR="008C3CDB">
        <w:rPr>
          <w:rFonts w:cs="v5.0.0"/>
        </w:rPr>
        <w:t>34.8</w:t>
      </w:r>
      <w:r w:rsidR="004F3FF6">
        <w:rPr>
          <w:rFonts w:cs="v5.0.0"/>
        </w:rPr>
        <w:t xml:space="preserve"> dBm/</w:t>
      </w:r>
      <w:r w:rsidR="008C3CDB">
        <w:rPr>
          <w:rFonts w:cs="v5.0.0"/>
        </w:rPr>
        <w:t xml:space="preserve"> 60 </w:t>
      </w:r>
      <w:r w:rsidR="004F3FF6">
        <w:rPr>
          <w:rFonts w:cs="v5.0.0"/>
        </w:rPr>
        <w:t xml:space="preserve">MHz, noting this could be capped to at a lower level depending on decision made on in-band emission limits. </w:t>
      </w:r>
    </w:p>
    <w:p w14:paraId="3DFFF1AA" w14:textId="53E37FF9" w:rsidR="004F3FF6" w:rsidRPr="00E162C4" w:rsidRDefault="000B1110" w:rsidP="001A76B8">
      <w:pPr>
        <w:pStyle w:val="Bulletlevel1last"/>
        <w:tabs>
          <w:tab w:val="clear" w:pos="295"/>
          <w:tab w:val="num" w:pos="579"/>
        </w:tabs>
        <w:ind w:left="579"/>
      </w:pPr>
      <w:r>
        <w:t>Local Area</w:t>
      </w:r>
      <w:r w:rsidR="004F3FF6">
        <w:t xml:space="preserve"> BS: Table 6.6.4.2.4-1</w:t>
      </w:r>
      <w:r w:rsidR="0017714B">
        <w:t xml:space="preserve"> (non-AAS)</w:t>
      </w:r>
      <w:r w:rsidR="004F3FF6">
        <w:t xml:space="preserve"> </w:t>
      </w:r>
      <w:r w:rsidR="0017714B">
        <w:t xml:space="preserve">and section 9.7.4.2 (for AAS) </w:t>
      </w:r>
      <w:r w:rsidR="004F3FF6">
        <w:t>of 3GPP TS 38.104</w:t>
      </w:r>
      <w:r w:rsidR="004F3FF6" w:rsidRPr="00E162C4">
        <w:t>.</w:t>
      </w:r>
    </w:p>
    <w:p w14:paraId="1EE6E4A5" w14:textId="77777777" w:rsidR="004F3FF6" w:rsidRDefault="004F3FF6" w:rsidP="001A76B8">
      <w:pPr>
        <w:pStyle w:val="Paragraph"/>
        <w:ind w:left="284"/>
      </w:pPr>
      <w:r>
        <w:t xml:space="preserve">Figure 2 displays the different BS unwanted emission limits. While it is unclear if BS with AAS will be used for HL WBB, the relevant emission masks for these are also proposed to be included. </w:t>
      </w:r>
    </w:p>
    <w:p w14:paraId="6F46B97B" w14:textId="384BEB15" w:rsidR="00877695" w:rsidRDefault="004F3FF6" w:rsidP="001A76B8">
      <w:pPr>
        <w:pStyle w:val="Paragraph"/>
        <w:ind w:left="284"/>
      </w:pPr>
      <w:r>
        <w:t xml:space="preserve">Adoption of </w:t>
      </w:r>
      <w:r w:rsidR="00561526">
        <w:t>Medium Range</w:t>
      </w:r>
      <w:r>
        <w:t xml:space="preserve"> </w:t>
      </w:r>
      <w:r w:rsidR="00BD5224">
        <w:t xml:space="preserve">BS </w:t>
      </w:r>
      <w:r>
        <w:t>unwanted emission limits is expected to provide greater flexibility in equipment choice for HL WBB operators</w:t>
      </w:r>
      <w:r w:rsidR="002913EC">
        <w:t xml:space="preserve">, particularly for </w:t>
      </w:r>
      <w:r w:rsidR="00C10F4A">
        <w:t>operation in</w:t>
      </w:r>
      <w:r w:rsidR="002913EC">
        <w:t xml:space="preserve"> outdoor environments</w:t>
      </w:r>
      <w:r>
        <w:t xml:space="preserve">. </w:t>
      </w:r>
      <w:r w:rsidR="002913EC">
        <w:t xml:space="preserve">Furthermore, when </w:t>
      </w:r>
      <w:r w:rsidR="002913EC">
        <w:rPr>
          <w:rStyle w:val="charsectno"/>
        </w:rPr>
        <w:t xml:space="preserve">antenna gains are </w:t>
      </w:r>
      <w:proofErr w:type="gramStart"/>
      <w:r w:rsidR="002913EC">
        <w:rPr>
          <w:rStyle w:val="charsectno"/>
        </w:rPr>
        <w:t>taken into account</w:t>
      </w:r>
      <w:proofErr w:type="gramEnd"/>
      <w:r w:rsidR="002913EC">
        <w:rPr>
          <w:rStyle w:val="charsectno"/>
        </w:rPr>
        <w:t xml:space="preserve">, the difference in actual radiated power between the </w:t>
      </w:r>
      <w:r w:rsidR="00561526">
        <w:rPr>
          <w:rStyle w:val="charsectno"/>
        </w:rPr>
        <w:t>Medium Range</w:t>
      </w:r>
      <w:r w:rsidR="002913EC">
        <w:rPr>
          <w:rStyle w:val="charsectno"/>
        </w:rPr>
        <w:t xml:space="preserve"> BS and </w:t>
      </w:r>
      <w:r w:rsidR="000B1110">
        <w:rPr>
          <w:rStyle w:val="charsectno"/>
        </w:rPr>
        <w:t>Local Area</w:t>
      </w:r>
      <w:r w:rsidR="002913EC">
        <w:rPr>
          <w:rStyle w:val="charsectno"/>
        </w:rPr>
        <w:t xml:space="preserve"> BS are minor when services are operating at or near the maximum PSD limit</w:t>
      </w:r>
      <w:r w:rsidR="002C64B2">
        <w:rPr>
          <w:rStyle w:val="charsectno"/>
        </w:rPr>
        <w:t xml:space="preserve"> (refer to Figure 1-A)</w:t>
      </w:r>
      <w:r w:rsidR="002913EC">
        <w:rPr>
          <w:rStyle w:val="charsectno"/>
        </w:rPr>
        <w:t xml:space="preserve">. </w:t>
      </w:r>
      <w:r w:rsidR="002913EC">
        <w:t xml:space="preserve">This means that, </w:t>
      </w:r>
      <w:r w:rsidR="002913EC" w:rsidRPr="00F24FEF">
        <w:t xml:space="preserve">from an interference perspective, there is unlikely to be an appreciable difference between adopting </w:t>
      </w:r>
      <w:r w:rsidR="002913EC">
        <w:t>either of the</w:t>
      </w:r>
      <w:r w:rsidR="002913EC" w:rsidRPr="00F24FEF">
        <w:t xml:space="preserve"> limits. </w:t>
      </w:r>
    </w:p>
    <w:p w14:paraId="0748B3D8" w14:textId="53864B83" w:rsidR="002913EC" w:rsidRDefault="00C10F4A" w:rsidP="001A76B8">
      <w:pPr>
        <w:pStyle w:val="Paragraph"/>
        <w:ind w:left="284"/>
      </w:pPr>
      <w:r>
        <w:lastRenderedPageBreak/>
        <w:t>The potential for i</w:t>
      </w:r>
      <w:r w:rsidR="002913EC">
        <w:t xml:space="preserve">nterference from HL WBB OOB emissions into earth station receivers requires consideration. </w:t>
      </w:r>
      <w:r>
        <w:t>P</w:t>
      </w:r>
      <w:r w:rsidR="002913EC">
        <w:t xml:space="preserve">rospective new HL WBB licensees </w:t>
      </w:r>
      <w:r>
        <w:t>will be</w:t>
      </w:r>
      <w:r w:rsidR="002913EC">
        <w:t xml:space="preserve"> required to protect earth receive licences (on a first-in-time coordinated basis) to the levels defined in subsection 4.3(3) of the </w:t>
      </w:r>
      <w:r w:rsidR="002913EC" w:rsidRPr="0064089A">
        <w:rPr>
          <w:i/>
          <w:iCs/>
        </w:rPr>
        <w:t>Radiocommunications Advisory Guidelines (Managing Interference from Spectrum Licensed Transmitters — 3.4 GHz Band) 2015</w:t>
      </w:r>
      <w:r w:rsidR="002913EC">
        <w:t xml:space="preserve">. This </w:t>
      </w:r>
      <w:r w:rsidR="00523E4A">
        <w:t>specifically</w:t>
      </w:r>
      <w:r w:rsidR="002913EC">
        <w:t xml:space="preserve"> requires </w:t>
      </w:r>
      <w:r>
        <w:t>an</w:t>
      </w:r>
      <w:r w:rsidR="002913EC">
        <w:t xml:space="preserve"> assessment of unwanted emissions.  For AWL Rx, in line with the arrangements developed for AWLs and 3.4 GHz spectrum licences, it is the responsibility of the AWL licensee to ensure </w:t>
      </w:r>
      <w:r>
        <w:t xml:space="preserve">that </w:t>
      </w:r>
      <w:r w:rsidR="002913EC">
        <w:t xml:space="preserve">the spectrum space </w:t>
      </w:r>
      <w:r>
        <w:t>covered by</w:t>
      </w:r>
      <w:r w:rsidR="002913EC">
        <w:t xml:space="preserve"> their licence is sufficient to manage </w:t>
      </w:r>
      <w:r>
        <w:t>potential</w:t>
      </w:r>
      <w:r w:rsidR="002913EC">
        <w:t xml:space="preserve"> interference. This could include locating</w:t>
      </w:r>
      <w:r w:rsidR="002913EC" w:rsidRPr="004F760C">
        <w:t xml:space="preserve"> </w:t>
      </w:r>
      <w:r w:rsidR="002913EC">
        <w:t xml:space="preserve">earth </w:t>
      </w:r>
      <w:r w:rsidR="002913EC" w:rsidRPr="004F760C">
        <w:t xml:space="preserve">stations </w:t>
      </w:r>
      <w:r>
        <w:t>in a way that</w:t>
      </w:r>
      <w:r w:rsidR="002913EC" w:rsidRPr="004F760C">
        <w:t xml:space="preserve"> take</w:t>
      </w:r>
      <w:r>
        <w:t>s</w:t>
      </w:r>
      <w:r w:rsidR="002913EC" w:rsidRPr="004F760C">
        <w:t xml:space="preserve"> advantage of shielding</w:t>
      </w:r>
      <w:r w:rsidR="002913EC" w:rsidRPr="00FD58CF">
        <w:t xml:space="preserve"> </w:t>
      </w:r>
      <w:r w:rsidR="002913EC">
        <w:t xml:space="preserve">from </w:t>
      </w:r>
      <w:r w:rsidR="002913EC" w:rsidRPr="004F760C">
        <w:t>clutter</w:t>
      </w:r>
      <w:r w:rsidR="002913EC">
        <w:t xml:space="preserve"> such as buildings or walls or choosing sites that are isolated from areas of population to minimise the risk of interference.  </w:t>
      </w:r>
    </w:p>
    <w:p w14:paraId="1ADE5846" w14:textId="7FD044C6" w:rsidR="004F3FF6" w:rsidRPr="00D2646B" w:rsidRDefault="00D176BC" w:rsidP="001A76B8">
      <w:pPr>
        <w:pStyle w:val="Paragraph"/>
        <w:ind w:left="284"/>
      </w:pPr>
      <w:r>
        <w:t>After considering feedback from the TLG,</w:t>
      </w:r>
      <w:r w:rsidR="002913EC">
        <w:t xml:space="preserve"> the ACMA staff preliminary view</w:t>
      </w:r>
      <w:r w:rsidR="00877695">
        <w:t xml:space="preserve"> is to adopt the </w:t>
      </w:r>
      <w:r w:rsidR="00561526">
        <w:t>Medium Range</w:t>
      </w:r>
      <w:r w:rsidR="00877695">
        <w:t xml:space="preserve"> BS limits. </w:t>
      </w:r>
    </w:p>
    <w:p w14:paraId="2BD398BD" w14:textId="08A020D1" w:rsidR="00D3422C" w:rsidRDefault="004F3FF6" w:rsidP="001A76B8">
      <w:pPr>
        <w:pStyle w:val="Paragraph"/>
        <w:ind w:left="284"/>
      </w:pPr>
      <w:r>
        <w:t xml:space="preserve">It is proposed that UEs </w:t>
      </w:r>
      <w:r w:rsidRPr="00D2646B">
        <w:t>comply with the unwanted emission limits described in</w:t>
      </w:r>
      <w:r>
        <w:t xml:space="preserve"> Table 6.5.2.2-1 of</w:t>
      </w:r>
      <w:r w:rsidRPr="00D2646B">
        <w:t xml:space="preserve"> 3GPP TS 38.101-</w:t>
      </w:r>
      <w:r w:rsidR="00C072CF">
        <w:t>1</w:t>
      </w:r>
      <w:r w:rsidRPr="00D2646B">
        <w:t>.</w:t>
      </w:r>
      <w:r>
        <w:t xml:space="preserve"> Figure 2 provides an example of what this looks like for a 10 MHz channel bandwidth.</w:t>
      </w:r>
    </w:p>
    <w:p w14:paraId="6EECB22A" w14:textId="0217B1B2" w:rsidR="00E81908" w:rsidRDefault="00D3422C" w:rsidP="0031747D">
      <w:pPr>
        <w:pStyle w:val="Paragraph"/>
        <w:ind w:left="284"/>
      </w:pPr>
      <w:r>
        <w:t xml:space="preserve">It is proposed that HL WBB BS be subject to the spurious emission limits defined in Table </w:t>
      </w:r>
      <w:r>
        <w:rPr>
          <w:szCs w:val="20"/>
        </w:rPr>
        <w:t>6.6.5.2.1-2 (spurious emissions in FR1, category B</w:t>
      </w:r>
      <w:r w:rsidR="0017714B">
        <w:rPr>
          <w:szCs w:val="20"/>
        </w:rPr>
        <w:t>, for non-AAS</w:t>
      </w:r>
      <w:r>
        <w:rPr>
          <w:szCs w:val="20"/>
        </w:rPr>
        <w:t xml:space="preserve">) </w:t>
      </w:r>
      <w:r w:rsidR="0017714B">
        <w:rPr>
          <w:szCs w:val="20"/>
        </w:rPr>
        <w:t xml:space="preserve">and section </w:t>
      </w:r>
      <w:r w:rsidR="0017714B">
        <w:t xml:space="preserve">9.7.5.2.2 (for AAS) </w:t>
      </w:r>
      <w:r w:rsidRPr="00A509B7">
        <w:rPr>
          <w:szCs w:val="20"/>
        </w:rPr>
        <w:t>of 3GPP TS 38.104</w:t>
      </w:r>
      <w:r>
        <w:rPr>
          <w:szCs w:val="20"/>
        </w:rPr>
        <w:t>. Furthermore</w:t>
      </w:r>
      <w:r w:rsidR="00060752">
        <w:rPr>
          <w:szCs w:val="20"/>
        </w:rPr>
        <w:t>,</w:t>
      </w:r>
      <w:r>
        <w:rPr>
          <w:szCs w:val="20"/>
        </w:rPr>
        <w:t xml:space="preserve"> it is proposed that UEs comply with </w:t>
      </w:r>
      <w:r>
        <w:t xml:space="preserve">spurious emission limits defined in Table </w:t>
      </w:r>
      <w:r>
        <w:rPr>
          <w:szCs w:val="20"/>
        </w:rPr>
        <w:t>6.5.3</w:t>
      </w:r>
      <w:r w:rsidR="00C072CF">
        <w:rPr>
          <w:szCs w:val="20"/>
        </w:rPr>
        <w:t>.1</w:t>
      </w:r>
      <w:r>
        <w:rPr>
          <w:szCs w:val="20"/>
        </w:rPr>
        <w:t xml:space="preserve">-2 (spurious) </w:t>
      </w:r>
      <w:r w:rsidRPr="00A509B7">
        <w:rPr>
          <w:szCs w:val="20"/>
        </w:rPr>
        <w:t>of 3GPP TS 38.101-</w:t>
      </w:r>
      <w:r w:rsidR="00C072CF">
        <w:rPr>
          <w:szCs w:val="20"/>
        </w:rPr>
        <w:t>1</w:t>
      </w:r>
      <w:r w:rsidRPr="00A509B7">
        <w:rPr>
          <w:szCs w:val="20"/>
        </w:rPr>
        <w:t>.</w:t>
      </w:r>
    </w:p>
    <w:p w14:paraId="4C5B118A" w14:textId="327850BE" w:rsidR="004F3FF6" w:rsidRDefault="004F3FF6" w:rsidP="001A76B8">
      <w:pPr>
        <w:pStyle w:val="ACMAFigureHeader"/>
        <w:numPr>
          <w:ilvl w:val="0"/>
          <w:numId w:val="21"/>
        </w:numPr>
        <w:tabs>
          <w:tab w:val="clear" w:pos="1021"/>
          <w:tab w:val="num" w:pos="1305"/>
        </w:tabs>
        <w:spacing w:after="60"/>
        <w:ind w:left="1305"/>
      </w:pPr>
      <w:r>
        <w:t>Unwanted emissions for HL WBB BS and UEs (normalised to 1</w:t>
      </w:r>
      <w:r w:rsidR="00E81908">
        <w:t> </w:t>
      </w:r>
      <w:r>
        <w:t>MHz)</w:t>
      </w:r>
      <w:r w:rsidR="0017714B">
        <w:t xml:space="preserve">  </w:t>
      </w:r>
    </w:p>
    <w:p w14:paraId="5CBCA888" w14:textId="06D2A277" w:rsidR="004F3FF6" w:rsidRDefault="004F3FF6" w:rsidP="001A76B8">
      <w:pPr>
        <w:pStyle w:val="Paragraph"/>
        <w:spacing w:after="360"/>
        <w:ind w:left="284"/>
      </w:pPr>
      <w:r>
        <w:rPr>
          <w:noProof/>
        </w:rPr>
        <w:drawing>
          <wp:inline distT="0" distB="0" distL="0" distR="0" wp14:anchorId="4C9A5B99" wp14:editId="09C8D4CE">
            <wp:extent cx="5811015" cy="3079631"/>
            <wp:effectExtent l="0" t="0" r="0" b="6985"/>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820706" cy="3084767"/>
                    </a:xfrm>
                    <a:prstGeom prst="rect">
                      <a:avLst/>
                    </a:prstGeom>
                    <a:noFill/>
                  </pic:spPr>
                </pic:pic>
              </a:graphicData>
            </a:graphic>
          </wp:inline>
        </w:drawing>
      </w:r>
    </w:p>
    <w:p w14:paraId="09059B88" w14:textId="77777777" w:rsidR="002913EC" w:rsidRDefault="002913EC" w:rsidP="001A76B8">
      <w:pPr>
        <w:pStyle w:val="Paragraph"/>
        <w:spacing w:after="360"/>
        <w:ind w:left="284"/>
      </w:pPr>
    </w:p>
    <w:p w14:paraId="6B5A667B" w14:textId="17F6F9DB" w:rsidR="00817334" w:rsidRDefault="00817334" w:rsidP="001A76B8">
      <w:pPr>
        <w:pStyle w:val="Heading3"/>
        <w:ind w:left="284"/>
      </w:pPr>
      <w:bookmarkStart w:id="83" w:name="_Ref160182258"/>
      <w:r>
        <w:t>Co-sited devices</w:t>
      </w:r>
      <w:bookmarkEnd w:id="83"/>
    </w:p>
    <w:p w14:paraId="17A6AE7F" w14:textId="7F774BD0" w:rsidR="0072366F" w:rsidRDefault="007E5E72" w:rsidP="0072366F">
      <w:pPr>
        <w:pStyle w:val="Bulletlevel1"/>
        <w:numPr>
          <w:ilvl w:val="0"/>
          <w:numId w:val="0"/>
        </w:numPr>
        <w:spacing w:after="240"/>
        <w:ind w:left="284"/>
      </w:pPr>
      <w:r>
        <w:t xml:space="preserve">As discussed in the </w:t>
      </w:r>
      <w:r>
        <w:rPr>
          <w:i/>
          <w:iCs/>
        </w:rPr>
        <w:t xml:space="preserve">Licence type for HL WBB </w:t>
      </w:r>
      <w:r>
        <w:t xml:space="preserve">section, it is proposed </w:t>
      </w:r>
      <w:r w:rsidR="0072366F">
        <w:t xml:space="preserve">to adopt </w:t>
      </w:r>
      <w:r>
        <w:t xml:space="preserve">the PMP licence type along </w:t>
      </w:r>
      <w:r w:rsidR="0072366F">
        <w:t xml:space="preserve">with a condition that HL WBB operate on a NINP basis to each other.  </w:t>
      </w:r>
    </w:p>
    <w:p w14:paraId="1C875C0B" w14:textId="70787635" w:rsidR="009202EF" w:rsidRPr="00E162C4" w:rsidRDefault="009202EF" w:rsidP="001A76B8">
      <w:pPr>
        <w:pStyle w:val="Heading2"/>
        <w:ind w:left="284"/>
      </w:pPr>
      <w:bookmarkStart w:id="84" w:name="_Toc178948549"/>
      <w:r>
        <w:lastRenderedPageBreak/>
        <w:t>Remote and supplementary base stations (3400</w:t>
      </w:r>
      <w:r w:rsidR="00E81908">
        <w:noBreakHyphen/>
      </w:r>
      <w:r>
        <w:t>3475</w:t>
      </w:r>
      <w:r w:rsidR="00E81908">
        <w:t> </w:t>
      </w:r>
      <w:r>
        <w:t>MHz &amp; 3950-4000 MHz)</w:t>
      </w:r>
      <w:bookmarkEnd w:id="84"/>
    </w:p>
    <w:p w14:paraId="0FE2CFF7" w14:textId="5702BCAD" w:rsidR="009202EF" w:rsidRDefault="009202EF" w:rsidP="001A76B8">
      <w:pPr>
        <w:pStyle w:val="Paragraph"/>
        <w:spacing w:after="80"/>
        <w:ind w:left="284"/>
      </w:pPr>
      <w:r>
        <w:t xml:space="preserve">The </w:t>
      </w:r>
      <w:hyperlink r:id="rId49" w:history="1">
        <w:r w:rsidRPr="00F17F40">
          <w:rPr>
            <w:rStyle w:val="Hyperlink"/>
            <w:i/>
            <w:iCs/>
          </w:rPr>
          <w:t>Radiocommunications Licence Conditions (Fixed Licence) Determination 2015</w:t>
        </w:r>
      </w:hyperlink>
      <w:r>
        <w:t xml:space="preserve"> (the Fixed LCD) authorises the operation of remote</w:t>
      </w:r>
      <w:r w:rsidR="00114E37">
        <w:rPr>
          <w:rStyle w:val="FootnoteReference"/>
        </w:rPr>
        <w:footnoteReference w:id="5"/>
      </w:r>
      <w:r>
        <w:t xml:space="preserve"> and supplementary stations under PMP licences. The Fixed LCD includes conditions that: </w:t>
      </w:r>
    </w:p>
    <w:p w14:paraId="0B50F287" w14:textId="7A176856" w:rsidR="009202EF" w:rsidRPr="00E162C4" w:rsidRDefault="00D84065" w:rsidP="001A76B8">
      <w:pPr>
        <w:pStyle w:val="Bulletlevel1"/>
        <w:tabs>
          <w:tab w:val="clear" w:pos="295"/>
          <w:tab w:val="num" w:pos="579"/>
        </w:tabs>
        <w:ind w:left="579"/>
      </w:pPr>
      <w:r>
        <w:t>a</w:t>
      </w:r>
      <w:r w:rsidR="009202EF">
        <w:t>uthorise the use of remote stations only when communicating with a base station or supplementary base station operating under a point-to-multipoint licence.</w:t>
      </w:r>
    </w:p>
    <w:p w14:paraId="3B74D692" w14:textId="6F0AA2E6" w:rsidR="009202EF" w:rsidRPr="00E162C4" w:rsidRDefault="00D84065" w:rsidP="001A76B8">
      <w:pPr>
        <w:pStyle w:val="Bulletlevel1last"/>
        <w:tabs>
          <w:tab w:val="clear" w:pos="295"/>
          <w:tab w:val="num" w:pos="579"/>
        </w:tabs>
        <w:ind w:left="579"/>
      </w:pPr>
      <w:r>
        <w:t>r</w:t>
      </w:r>
      <w:r w:rsidR="009202EF">
        <w:t>estricts the use of supplementary base stations to overcoming deficiencies within the coverage area of a base station. This means supplementary base stations cannot be used to extend the coverage of a base station</w:t>
      </w:r>
      <w:r w:rsidR="009202EF" w:rsidRPr="00E162C4">
        <w:t>.</w:t>
      </w:r>
    </w:p>
    <w:p w14:paraId="0C587B5B" w14:textId="54B48F35" w:rsidR="009202EF" w:rsidRPr="00E162C4" w:rsidRDefault="009202EF" w:rsidP="001A76B8">
      <w:pPr>
        <w:pStyle w:val="Paragraph"/>
        <w:ind w:left="284"/>
      </w:pPr>
      <w:r>
        <w:t>The Fixed LCD provides that remote stations and supplemental base stations must not cause interference to another radiocommunications service. Since the location of remote stations is not recorded, it is also ACMA policy that these stations are not afforded protection from interference from another radiocommunications service. This includes customer premises equipment. However, these stations are afforded a degree of protection via the coordination requirements in place for the base station.</w:t>
      </w:r>
    </w:p>
    <w:p w14:paraId="7B9B526D" w14:textId="51FA2ABE" w:rsidR="009F2C26" w:rsidRPr="00E162C4" w:rsidRDefault="00896E67" w:rsidP="001A76B8">
      <w:pPr>
        <w:pStyle w:val="Heading2"/>
        <w:ind w:left="284"/>
      </w:pPr>
      <w:bookmarkStart w:id="85" w:name="_Toc178948550"/>
      <w:r>
        <w:t>Point-to-point links</w:t>
      </w:r>
      <w:r w:rsidR="009F2C26">
        <w:t xml:space="preserve"> (3</w:t>
      </w:r>
      <w:r>
        <w:t>590</w:t>
      </w:r>
      <w:r w:rsidR="009F2C26">
        <w:t>-4200 MHz)</w:t>
      </w:r>
      <w:bookmarkEnd w:id="85"/>
    </w:p>
    <w:p w14:paraId="5CFBDAE4" w14:textId="7A97E5DA" w:rsidR="00CB139F" w:rsidRDefault="00346FFE" w:rsidP="001A76B8">
      <w:pPr>
        <w:pStyle w:val="Paragraph"/>
        <w:ind w:left="284"/>
      </w:pPr>
      <w:r>
        <w:t xml:space="preserve">Proposed HL </w:t>
      </w:r>
      <w:r w:rsidR="001F03A3">
        <w:t xml:space="preserve">WBB services will need to coordinate with existing point-to-point (PTP) links. Due to the small cell nature of HL WBB services, </w:t>
      </w:r>
      <w:r w:rsidR="00232C5C">
        <w:t xml:space="preserve">direct coordination </w:t>
      </w:r>
      <w:r w:rsidR="001F03A3">
        <w:t xml:space="preserve">is </w:t>
      </w:r>
      <w:r w:rsidR="00232C5C">
        <w:t xml:space="preserve">only </w:t>
      </w:r>
      <w:r w:rsidR="001F03A3">
        <w:t xml:space="preserve">considered </w:t>
      </w:r>
      <w:r w:rsidR="00232C5C">
        <w:t>from</w:t>
      </w:r>
      <w:r w:rsidR="00593336">
        <w:t xml:space="preserve"> base stations </w:t>
      </w:r>
      <w:r w:rsidR="00232C5C">
        <w:t>to</w:t>
      </w:r>
      <w:r w:rsidR="00593336">
        <w:t xml:space="preserve"> PTP</w:t>
      </w:r>
      <w:r w:rsidR="002676FE">
        <w:t xml:space="preserve"> receivers</w:t>
      </w:r>
      <w:r w:rsidR="001F03A3">
        <w:t xml:space="preserve">. RALI FX3 </w:t>
      </w:r>
      <w:r w:rsidR="001F03A3">
        <w:rPr>
          <w:i/>
          <w:iCs/>
        </w:rPr>
        <w:t>M</w:t>
      </w:r>
      <w:r w:rsidR="001F03A3" w:rsidRPr="001F03A3">
        <w:rPr>
          <w:i/>
          <w:iCs/>
        </w:rPr>
        <w:t>icrowave fixed services</w:t>
      </w:r>
      <w:r w:rsidR="001F03A3">
        <w:t xml:space="preserve"> defines the relevant protection criteria. In this</w:t>
      </w:r>
      <w:r w:rsidR="001F03A3" w:rsidDel="00593336">
        <w:t xml:space="preserve"> </w:t>
      </w:r>
      <w:r w:rsidR="00593336">
        <w:t>case</w:t>
      </w:r>
      <w:r w:rsidR="00696097">
        <w:t>,</w:t>
      </w:r>
      <w:r w:rsidR="00593336">
        <w:t xml:space="preserve"> </w:t>
      </w:r>
      <w:r w:rsidR="001F03A3">
        <w:t xml:space="preserve">the size of the first adjacent channel is defined as being the larger bandwidth of the two services being coordinated. </w:t>
      </w:r>
      <w:r w:rsidR="00CB139F">
        <w:t xml:space="preserve">A cull distance of </w:t>
      </w:r>
      <w:r w:rsidR="00C86A5C">
        <w:t>65</w:t>
      </w:r>
      <w:r w:rsidR="00CB139F">
        <w:t xml:space="preserve"> km</w:t>
      </w:r>
      <w:r w:rsidR="00C86A5C">
        <w:t xml:space="preserve"> </w:t>
      </w:r>
      <w:r w:rsidR="00CB139F">
        <w:t xml:space="preserve">is proposed, this is based on the calculation in </w:t>
      </w:r>
      <w:r w:rsidR="00232C5C">
        <w:t>T</w:t>
      </w:r>
      <w:r w:rsidR="00CB139F">
        <w:t>able</w:t>
      </w:r>
      <w:r w:rsidR="00590088">
        <w:t xml:space="preserve"> </w:t>
      </w:r>
      <w:r w:rsidR="00232C5C">
        <w:t>3</w:t>
      </w:r>
      <w:r w:rsidR="00C86A5C">
        <w:t xml:space="preserve"> (value rounded up to nearest 5 km)</w:t>
      </w:r>
      <w:r w:rsidR="00CB139F">
        <w:t xml:space="preserve">. </w:t>
      </w:r>
    </w:p>
    <w:p w14:paraId="31839995" w14:textId="1B28B2CB" w:rsidR="009A455F" w:rsidRPr="00E162C4" w:rsidRDefault="009A455F" w:rsidP="001A76B8">
      <w:pPr>
        <w:pStyle w:val="Tableheading"/>
        <w:tabs>
          <w:tab w:val="clear" w:pos="964"/>
          <w:tab w:val="num" w:pos="1248"/>
        </w:tabs>
        <w:ind w:left="1248"/>
      </w:pPr>
      <w:bookmarkStart w:id="86" w:name="_Hlk161137741"/>
      <w:r>
        <w:t xml:space="preserve">HL WBB </w:t>
      </w:r>
      <w:r w:rsidR="003B40AC">
        <w:t xml:space="preserve">BS </w:t>
      </w:r>
      <w:r>
        <w:t xml:space="preserve">into PTP cull distance </w:t>
      </w:r>
      <w:r w:rsidR="003B40AC">
        <w:t>calculation</w:t>
      </w:r>
    </w:p>
    <w:tbl>
      <w:tblPr>
        <w:tblStyle w:val="ACMAtablestyle"/>
        <w:tblW w:w="8075" w:type="dxa"/>
        <w:tblInd w:w="222" w:type="dxa"/>
        <w:tblLayout w:type="fixed"/>
        <w:tblLook w:val="01E0" w:firstRow="1" w:lastRow="1" w:firstColumn="1" w:lastColumn="1" w:noHBand="0" w:noVBand="0"/>
        <w:tblCaption w:val="Table title to go here"/>
        <w:tblDescription w:val="Table description to go here"/>
      </w:tblPr>
      <w:tblGrid>
        <w:gridCol w:w="2691"/>
        <w:gridCol w:w="2692"/>
        <w:gridCol w:w="2692"/>
      </w:tblGrid>
      <w:tr w:rsidR="009A455F" w:rsidRPr="00E162C4" w14:paraId="62F1A383" w14:textId="77777777" w:rsidTr="00DC2F3C">
        <w:trPr>
          <w:cnfStyle w:val="100000000000" w:firstRow="1" w:lastRow="0" w:firstColumn="0" w:lastColumn="0" w:oddVBand="0" w:evenVBand="0" w:oddHBand="0" w:evenHBand="0" w:firstRowFirstColumn="0" w:firstRowLastColumn="0" w:lastRowFirstColumn="0" w:lastRowLastColumn="0"/>
        </w:trPr>
        <w:tc>
          <w:tcPr>
            <w:tcW w:w="2691" w:type="dxa"/>
          </w:tcPr>
          <w:p w14:paraId="20A7B495" w14:textId="77777777" w:rsidR="009A455F" w:rsidRPr="00E162C4" w:rsidRDefault="009A455F" w:rsidP="000C7251">
            <w:pPr>
              <w:pStyle w:val="Tableheaderrow"/>
            </w:pPr>
            <w:bookmarkStart w:id="87" w:name="_Hlk149833625"/>
            <w:r>
              <w:t>Parameter</w:t>
            </w:r>
          </w:p>
        </w:tc>
        <w:tc>
          <w:tcPr>
            <w:tcW w:w="2692" w:type="dxa"/>
          </w:tcPr>
          <w:p w14:paraId="5CC78E98" w14:textId="77777777" w:rsidR="009A455F" w:rsidRPr="00E162C4" w:rsidRDefault="009A455F" w:rsidP="000C7251">
            <w:pPr>
              <w:pStyle w:val="Tableheaderrow"/>
              <w:jc w:val="center"/>
            </w:pPr>
            <w:r>
              <w:t>Value</w:t>
            </w:r>
          </w:p>
        </w:tc>
        <w:tc>
          <w:tcPr>
            <w:tcW w:w="2692" w:type="dxa"/>
          </w:tcPr>
          <w:p w14:paraId="6EB64E95" w14:textId="77777777" w:rsidR="009A455F" w:rsidRPr="00A85C35" w:rsidRDefault="009A455F" w:rsidP="000C7251">
            <w:pPr>
              <w:pStyle w:val="Tableheaderrow"/>
            </w:pPr>
            <w:r>
              <w:t>Reference</w:t>
            </w:r>
          </w:p>
        </w:tc>
      </w:tr>
      <w:tr w:rsidR="009A455F" w:rsidRPr="00E162C4" w14:paraId="3521C255"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6B1ABC51" w14:textId="77777777" w:rsidR="009A455F" w:rsidRPr="00145466" w:rsidRDefault="009A455F" w:rsidP="000C7251">
            <w:pPr>
              <w:pStyle w:val="TableBody"/>
              <w:rPr>
                <w:vertAlign w:val="subscript"/>
              </w:rPr>
            </w:pPr>
            <w:r>
              <w:t>Receiver Gain</w:t>
            </w:r>
          </w:p>
        </w:tc>
        <w:tc>
          <w:tcPr>
            <w:tcW w:w="2692" w:type="dxa"/>
            <w:shd w:val="clear" w:color="auto" w:fill="auto"/>
          </w:tcPr>
          <w:p w14:paraId="7BB7668F" w14:textId="77777777" w:rsidR="009A455F" w:rsidRPr="00E162C4" w:rsidRDefault="009A455F" w:rsidP="000C7251">
            <w:pPr>
              <w:pStyle w:val="TableBody"/>
              <w:jc w:val="center"/>
            </w:pPr>
            <w:r>
              <w:t xml:space="preserve">40.9 </w:t>
            </w:r>
            <w:proofErr w:type="spellStart"/>
            <w:r>
              <w:t>dBi</w:t>
            </w:r>
            <w:proofErr w:type="spellEnd"/>
          </w:p>
        </w:tc>
        <w:tc>
          <w:tcPr>
            <w:tcW w:w="2692" w:type="dxa"/>
            <w:shd w:val="clear" w:color="auto" w:fill="auto"/>
          </w:tcPr>
          <w:p w14:paraId="45E674F5" w14:textId="77777777" w:rsidR="009A455F" w:rsidRPr="00E162C4" w:rsidRDefault="009A455F" w:rsidP="000C7251">
            <w:pPr>
              <w:pStyle w:val="TableBody"/>
            </w:pPr>
            <w:r>
              <w:t>Maximum 3.8 GHz PTP gain on RRL</w:t>
            </w:r>
          </w:p>
        </w:tc>
      </w:tr>
      <w:tr w:rsidR="009A455F" w:rsidRPr="00E162C4" w14:paraId="00B62956"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tcPr>
          <w:p w14:paraId="6B28FCDC" w14:textId="77777777" w:rsidR="009A455F" w:rsidRPr="00E162C4" w:rsidRDefault="009A455F" w:rsidP="000C7251">
            <w:pPr>
              <w:pStyle w:val="TableBody"/>
            </w:pPr>
            <w:r>
              <w:t>EIRP</w:t>
            </w:r>
          </w:p>
        </w:tc>
        <w:tc>
          <w:tcPr>
            <w:tcW w:w="2692" w:type="dxa"/>
          </w:tcPr>
          <w:p w14:paraId="1E7976CA" w14:textId="77777777" w:rsidR="009A455F" w:rsidRPr="00E162C4" w:rsidRDefault="009A455F" w:rsidP="000C7251">
            <w:pPr>
              <w:pStyle w:val="TableBody"/>
              <w:jc w:val="center"/>
            </w:pPr>
            <w:r>
              <w:t>17 dBm/MHz</w:t>
            </w:r>
          </w:p>
        </w:tc>
        <w:tc>
          <w:tcPr>
            <w:tcW w:w="2692" w:type="dxa"/>
          </w:tcPr>
          <w:p w14:paraId="34CEE865" w14:textId="77777777" w:rsidR="009A455F" w:rsidRPr="00E162C4" w:rsidRDefault="009A455F" w:rsidP="000C7251">
            <w:pPr>
              <w:pStyle w:val="TableBody"/>
            </w:pPr>
            <w:r>
              <w:t>Proposed maximum EIRP for HL WBB</w:t>
            </w:r>
          </w:p>
        </w:tc>
      </w:tr>
      <w:tr w:rsidR="009A455F" w:rsidRPr="00E162C4" w14:paraId="3B5B62FF"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675C7605" w14:textId="77777777" w:rsidR="009A455F" w:rsidRPr="00E162C4" w:rsidRDefault="009A455F" w:rsidP="000C7251">
            <w:pPr>
              <w:pStyle w:val="TableBody"/>
            </w:pPr>
            <w:r>
              <w:t>Receiver height</w:t>
            </w:r>
          </w:p>
        </w:tc>
        <w:tc>
          <w:tcPr>
            <w:tcW w:w="2692" w:type="dxa"/>
            <w:shd w:val="clear" w:color="auto" w:fill="auto"/>
          </w:tcPr>
          <w:p w14:paraId="61289D58" w14:textId="77777777" w:rsidR="009A455F" w:rsidRPr="00E162C4" w:rsidRDefault="009A455F" w:rsidP="000C7251">
            <w:pPr>
              <w:pStyle w:val="TableBody"/>
              <w:jc w:val="center"/>
            </w:pPr>
            <w:r>
              <w:t>100 m</w:t>
            </w:r>
          </w:p>
        </w:tc>
        <w:tc>
          <w:tcPr>
            <w:tcW w:w="2692" w:type="dxa"/>
            <w:shd w:val="clear" w:color="auto" w:fill="auto"/>
          </w:tcPr>
          <w:p w14:paraId="6E29241D" w14:textId="77777777" w:rsidR="009A455F" w:rsidRPr="00E162C4" w:rsidRDefault="009A455F" w:rsidP="000C7251">
            <w:pPr>
              <w:pStyle w:val="TableBody"/>
            </w:pPr>
            <w:r>
              <w:t>Maximum 3.8 GHz PTP height on RRL</w:t>
            </w:r>
          </w:p>
        </w:tc>
      </w:tr>
      <w:tr w:rsidR="009A455F" w:rsidRPr="00E162C4" w14:paraId="3277123C"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3BF1B138" w14:textId="77777777" w:rsidR="009A455F" w:rsidRPr="00E162C4" w:rsidRDefault="009A455F" w:rsidP="000C7251">
            <w:pPr>
              <w:pStyle w:val="TableBody"/>
            </w:pPr>
            <w:r>
              <w:t>Transmitter height</w:t>
            </w:r>
          </w:p>
        </w:tc>
        <w:tc>
          <w:tcPr>
            <w:tcW w:w="2692" w:type="dxa"/>
            <w:shd w:val="clear" w:color="auto" w:fill="auto"/>
          </w:tcPr>
          <w:p w14:paraId="4228905A" w14:textId="77777777" w:rsidR="009A455F" w:rsidRPr="00E162C4" w:rsidRDefault="009A455F" w:rsidP="000C7251">
            <w:pPr>
              <w:pStyle w:val="TableBody"/>
              <w:jc w:val="center"/>
            </w:pPr>
            <w:r>
              <w:t>10 m</w:t>
            </w:r>
          </w:p>
        </w:tc>
        <w:tc>
          <w:tcPr>
            <w:tcW w:w="2692" w:type="dxa"/>
            <w:shd w:val="clear" w:color="auto" w:fill="auto"/>
          </w:tcPr>
          <w:p w14:paraId="2936B2D3" w14:textId="51B43E04" w:rsidR="009A455F" w:rsidRPr="00E162C4" w:rsidRDefault="009A455F" w:rsidP="000C7251">
            <w:pPr>
              <w:pStyle w:val="TableBody"/>
            </w:pPr>
            <w:r>
              <w:t>Assumption</w:t>
            </w:r>
            <w:r w:rsidR="00593336">
              <w:t xml:space="preserve"> for HL WBB</w:t>
            </w:r>
          </w:p>
        </w:tc>
      </w:tr>
      <w:tr w:rsidR="009A455F" w:rsidRPr="00E162C4" w14:paraId="02E19A7F"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1D034983" w14:textId="182DCF6A" w:rsidR="009A455F" w:rsidRPr="00E162C4" w:rsidRDefault="009A455F" w:rsidP="000C7251">
            <w:pPr>
              <w:pStyle w:val="TableBody"/>
            </w:pPr>
            <w:r>
              <w:t>Protection criteria</w:t>
            </w:r>
            <w:r w:rsidR="00C86A5C">
              <w:t xml:space="preserve"> (I/N)</w:t>
            </w:r>
          </w:p>
        </w:tc>
        <w:tc>
          <w:tcPr>
            <w:tcW w:w="2692" w:type="dxa"/>
            <w:shd w:val="clear" w:color="auto" w:fill="auto"/>
          </w:tcPr>
          <w:p w14:paraId="2227E588" w14:textId="7B733622" w:rsidR="009A455F" w:rsidRPr="00E162C4" w:rsidRDefault="00C86A5C" w:rsidP="000C7251">
            <w:pPr>
              <w:pStyle w:val="TableBody"/>
              <w:jc w:val="center"/>
            </w:pPr>
            <w:r>
              <w:t>-10 dB</w:t>
            </w:r>
          </w:p>
        </w:tc>
        <w:tc>
          <w:tcPr>
            <w:tcW w:w="2692" w:type="dxa"/>
            <w:shd w:val="clear" w:color="auto" w:fill="auto"/>
          </w:tcPr>
          <w:p w14:paraId="6821BF8A" w14:textId="77777777" w:rsidR="00C86A5C" w:rsidRDefault="00C86A5C" w:rsidP="000C7251">
            <w:pPr>
              <w:pStyle w:val="TableBody"/>
            </w:pPr>
            <w:r>
              <w:t xml:space="preserve">Recommendation ITU-R F.758 </w:t>
            </w:r>
          </w:p>
          <w:p w14:paraId="6F9D5C0F" w14:textId="31F03B5A" w:rsidR="009A455F" w:rsidRPr="00E162C4" w:rsidRDefault="00C86A5C" w:rsidP="000C7251">
            <w:pPr>
              <w:pStyle w:val="TableBody"/>
            </w:pPr>
            <w:r>
              <w:t>(worst case assumption)</w:t>
            </w:r>
          </w:p>
        </w:tc>
      </w:tr>
      <w:tr w:rsidR="00C86A5C" w:rsidRPr="00E162C4" w14:paraId="3C8AC58A"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5219D99C" w14:textId="4D46AF7A" w:rsidR="00C86A5C" w:rsidRDefault="00C86A5C" w:rsidP="000C7251">
            <w:pPr>
              <w:pStyle w:val="TableBody"/>
            </w:pPr>
            <w:r>
              <w:t>Receiver noise floor</w:t>
            </w:r>
          </w:p>
        </w:tc>
        <w:tc>
          <w:tcPr>
            <w:tcW w:w="2692" w:type="dxa"/>
            <w:shd w:val="clear" w:color="auto" w:fill="auto"/>
          </w:tcPr>
          <w:p w14:paraId="44BE076B" w14:textId="7BD304C6" w:rsidR="00C86A5C" w:rsidRDefault="00C86A5C" w:rsidP="000C7251">
            <w:pPr>
              <w:pStyle w:val="TableBody"/>
              <w:jc w:val="center"/>
            </w:pPr>
            <w:r>
              <w:t>-107.5 dBm/MHz</w:t>
            </w:r>
          </w:p>
        </w:tc>
        <w:tc>
          <w:tcPr>
            <w:tcW w:w="2692" w:type="dxa"/>
            <w:shd w:val="clear" w:color="auto" w:fill="auto"/>
          </w:tcPr>
          <w:p w14:paraId="0F1EA40F" w14:textId="77777777" w:rsidR="00C86A5C" w:rsidRDefault="00C86A5C" w:rsidP="00C86A5C">
            <w:pPr>
              <w:pStyle w:val="TableBody"/>
            </w:pPr>
            <w:r>
              <w:t xml:space="preserve">Recommendation ITU-R F.758 </w:t>
            </w:r>
          </w:p>
          <w:p w14:paraId="492F743B" w14:textId="25888B0C" w:rsidR="00C86A5C" w:rsidRDefault="00C86A5C" w:rsidP="00C86A5C">
            <w:pPr>
              <w:pStyle w:val="TableBody"/>
            </w:pPr>
            <w:r>
              <w:t>(worst case assumption)</w:t>
            </w:r>
          </w:p>
        </w:tc>
      </w:tr>
      <w:tr w:rsidR="009A455F" w:rsidRPr="00E162C4" w14:paraId="532C143D"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23F0B51B" w14:textId="77777777" w:rsidR="009A455F" w:rsidRPr="00E162C4" w:rsidRDefault="009A455F" w:rsidP="000C7251">
            <w:pPr>
              <w:pStyle w:val="TableBody"/>
            </w:pPr>
            <w:r>
              <w:t>Required path loss</w:t>
            </w:r>
          </w:p>
        </w:tc>
        <w:tc>
          <w:tcPr>
            <w:tcW w:w="2692" w:type="dxa"/>
            <w:shd w:val="clear" w:color="auto" w:fill="auto"/>
          </w:tcPr>
          <w:p w14:paraId="6460A4C6" w14:textId="220E468B" w:rsidR="009A455F" w:rsidRPr="00E162C4" w:rsidRDefault="009A455F" w:rsidP="00C86A5C">
            <w:pPr>
              <w:pStyle w:val="TableBody"/>
              <w:jc w:val="center"/>
            </w:pPr>
            <w:r>
              <w:t>1</w:t>
            </w:r>
            <w:r w:rsidR="00C86A5C">
              <w:t>65.4</w:t>
            </w:r>
            <w:r>
              <w:t xml:space="preserve"> dB</w:t>
            </w:r>
          </w:p>
        </w:tc>
        <w:tc>
          <w:tcPr>
            <w:tcW w:w="2692" w:type="dxa"/>
            <w:shd w:val="clear" w:color="auto" w:fill="auto"/>
          </w:tcPr>
          <w:p w14:paraId="6A9E3A36" w14:textId="77777777" w:rsidR="009A455F" w:rsidRPr="00E162C4" w:rsidRDefault="009A455F" w:rsidP="000C7251">
            <w:pPr>
              <w:pStyle w:val="TableBody"/>
            </w:pPr>
            <w:r>
              <w:t>Calculation</w:t>
            </w:r>
          </w:p>
        </w:tc>
      </w:tr>
      <w:tr w:rsidR="009A455F" w:rsidRPr="00E162C4" w14:paraId="2A83A6E0"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5D115435" w14:textId="08A1236E" w:rsidR="009A455F" w:rsidRDefault="00C86A5C" w:rsidP="000C7251">
            <w:pPr>
              <w:pStyle w:val="TableBody"/>
            </w:pPr>
            <w:r>
              <w:lastRenderedPageBreak/>
              <w:t>Co-channel s</w:t>
            </w:r>
            <w:r w:rsidR="009A455F">
              <w:t>eparation distance</w:t>
            </w:r>
          </w:p>
        </w:tc>
        <w:tc>
          <w:tcPr>
            <w:tcW w:w="2692" w:type="dxa"/>
            <w:shd w:val="clear" w:color="auto" w:fill="auto"/>
          </w:tcPr>
          <w:p w14:paraId="7CD84C3E" w14:textId="319094F2" w:rsidR="009A455F" w:rsidRPr="00E162C4" w:rsidRDefault="009A455F" w:rsidP="000C7251">
            <w:pPr>
              <w:pStyle w:val="TableBody"/>
              <w:jc w:val="center"/>
            </w:pPr>
            <w:r>
              <w:rPr>
                <w:rFonts w:cs="Arial"/>
              </w:rPr>
              <w:t>≈</w:t>
            </w:r>
            <w:r>
              <w:t xml:space="preserve"> </w:t>
            </w:r>
            <w:r w:rsidR="00C86A5C">
              <w:t>61.5</w:t>
            </w:r>
            <w:r>
              <w:t xml:space="preserve"> km</w:t>
            </w:r>
          </w:p>
        </w:tc>
        <w:tc>
          <w:tcPr>
            <w:tcW w:w="2692" w:type="dxa"/>
            <w:shd w:val="clear" w:color="auto" w:fill="auto"/>
          </w:tcPr>
          <w:p w14:paraId="10F1E24F" w14:textId="69424715" w:rsidR="009A455F" w:rsidRDefault="009A455F" w:rsidP="000C7251">
            <w:pPr>
              <w:pStyle w:val="TableBody"/>
            </w:pPr>
            <w:r>
              <w:t>Assuming free space loos and smooth earth diffraction (</w:t>
            </w:r>
            <w:r w:rsidR="00F32682">
              <w:t xml:space="preserve">with </w:t>
            </w:r>
            <w:r>
              <w:t>k = 4/3 and f = 3950 MHz)</w:t>
            </w:r>
          </w:p>
        </w:tc>
      </w:tr>
      <w:bookmarkEnd w:id="86"/>
      <w:bookmarkEnd w:id="87"/>
    </w:tbl>
    <w:p w14:paraId="5326E1A6" w14:textId="0BE14BA7" w:rsidR="009A455F" w:rsidRDefault="009A455F" w:rsidP="001A76B8">
      <w:pPr>
        <w:pStyle w:val="Paragraph"/>
        <w:ind w:left="284"/>
      </w:pPr>
    </w:p>
    <w:p w14:paraId="5E71DBBC" w14:textId="367B68D1" w:rsidR="00072387" w:rsidRDefault="00072387" w:rsidP="001A76B8">
      <w:pPr>
        <w:pStyle w:val="Paragraph"/>
        <w:spacing w:after="80"/>
        <w:ind w:left="284"/>
      </w:pPr>
      <w:r>
        <w:t xml:space="preserve">A minimum separation distance of </w:t>
      </w:r>
      <w:r w:rsidR="008E42B0">
        <w:t>2</w:t>
      </w:r>
      <w:r>
        <w:t xml:space="preserve"> km between HL WBB BS and PTP receiver is also proposed. This accounts for: </w:t>
      </w:r>
    </w:p>
    <w:p w14:paraId="4427E09D" w14:textId="061854E8" w:rsidR="00072387" w:rsidRDefault="00072387" w:rsidP="001A76B8">
      <w:pPr>
        <w:pStyle w:val="Bulletlevel1last"/>
        <w:tabs>
          <w:tab w:val="clear" w:pos="295"/>
          <w:tab w:val="num" w:pos="579"/>
        </w:tabs>
        <w:spacing w:after="80"/>
        <w:ind w:left="579"/>
      </w:pPr>
      <w:r>
        <w:t>the proposed flexibility to deploy BS within 100 m of the site recorded on the PMP licence</w:t>
      </w:r>
    </w:p>
    <w:p w14:paraId="06021B90" w14:textId="74973778" w:rsidR="00072387" w:rsidRDefault="00D84065" w:rsidP="001A76B8">
      <w:pPr>
        <w:pStyle w:val="Bulletlevel1last"/>
        <w:tabs>
          <w:tab w:val="clear" w:pos="295"/>
          <w:tab w:val="num" w:pos="579"/>
        </w:tabs>
        <w:spacing w:after="80"/>
        <w:ind w:left="579"/>
      </w:pPr>
      <w:r>
        <w:t>a</w:t>
      </w:r>
      <w:r w:rsidR="00072387">
        <w:t xml:space="preserve">n </w:t>
      </w:r>
      <w:r w:rsidR="008E42B0">
        <w:t xml:space="preserve">assumed </w:t>
      </w:r>
      <w:r w:rsidR="00072387">
        <w:t xml:space="preserve">coverage radius for a HL WBB service of </w:t>
      </w:r>
      <w:r w:rsidR="008E42B0">
        <w:t>1</w:t>
      </w:r>
      <w:r w:rsidR="00072387">
        <w:t>00 m</w:t>
      </w:r>
      <w:r w:rsidR="003B40AC">
        <w:t xml:space="preserve"> </w:t>
      </w:r>
      <w:r w:rsidR="00072387">
        <w:t xml:space="preserve"> </w:t>
      </w:r>
    </w:p>
    <w:p w14:paraId="6CE52027" w14:textId="6837F6CB" w:rsidR="00072387" w:rsidRPr="00E162C4" w:rsidRDefault="007E4E93" w:rsidP="001A76B8">
      <w:pPr>
        <w:pStyle w:val="Bulletlevel1last"/>
        <w:tabs>
          <w:tab w:val="clear" w:pos="295"/>
          <w:tab w:val="num" w:pos="579"/>
        </w:tabs>
        <w:ind w:left="579"/>
      </w:pPr>
      <w:r>
        <w:t>p</w:t>
      </w:r>
      <w:r w:rsidR="008E42B0">
        <w:t>otential i</w:t>
      </w:r>
      <w:r w:rsidR="00072387">
        <w:t>nterference from a UE within the coverage area of the HL WBB BS, particularly in the case where the HL WBB BS passes coordination within the back lobe of a PTP receiver</w:t>
      </w:r>
      <w:r w:rsidR="00072387" w:rsidRPr="00E162C4">
        <w:t>.</w:t>
      </w:r>
      <w:r w:rsidR="00072387">
        <w:t xml:space="preserve"> The table below shows the assumptions </w:t>
      </w:r>
      <w:r w:rsidR="00417941">
        <w:t xml:space="preserve">used </w:t>
      </w:r>
      <w:r w:rsidR="00072387">
        <w:t xml:space="preserve">in </w:t>
      </w:r>
      <w:r w:rsidR="00417941">
        <w:t>estimating</w:t>
      </w:r>
      <w:r w:rsidR="00072387">
        <w:t xml:space="preserve"> the </w:t>
      </w:r>
      <w:r w:rsidR="00417941">
        <w:t xml:space="preserve">separation </w:t>
      </w:r>
      <w:r w:rsidR="00072387">
        <w:t xml:space="preserve">distance. </w:t>
      </w:r>
    </w:p>
    <w:p w14:paraId="47E6AB91" w14:textId="2741E512" w:rsidR="00072387" w:rsidRDefault="003B40AC" w:rsidP="001A76B8">
      <w:pPr>
        <w:pStyle w:val="Paragraph"/>
        <w:ind w:left="284"/>
      </w:pPr>
      <w:r>
        <w:t xml:space="preserve">It is proposed new HL WBB and PTP links would need to adhere to the </w:t>
      </w:r>
      <w:r w:rsidR="008E42B0">
        <w:t>2</w:t>
      </w:r>
      <w:r>
        <w:t xml:space="preserve"> km minimum separation distance. At present there are 19 PTP sites</w:t>
      </w:r>
      <w:r w:rsidR="001A463B">
        <w:t>, only</w:t>
      </w:r>
      <w:r>
        <w:t xml:space="preserve"> in in regional areas</w:t>
      </w:r>
      <w:r w:rsidR="001A463B">
        <w:t>,</w:t>
      </w:r>
      <w:r>
        <w:t xml:space="preserve"> that would need to be considered. </w:t>
      </w:r>
      <w:r w:rsidR="008E42B0">
        <w:t xml:space="preserve">Case-by-case </w:t>
      </w:r>
      <w:r w:rsidR="001A463B">
        <w:t xml:space="preserve">exemption </w:t>
      </w:r>
      <w:r w:rsidR="008E42B0">
        <w:t xml:space="preserve">consideration for deployments within this distance could be considered. </w:t>
      </w:r>
    </w:p>
    <w:p w14:paraId="0D1CE564" w14:textId="27893AC0" w:rsidR="003B40AC" w:rsidRPr="00E162C4" w:rsidRDefault="003B40AC" w:rsidP="001A76B8">
      <w:pPr>
        <w:pStyle w:val="Tableheading"/>
        <w:tabs>
          <w:tab w:val="clear" w:pos="964"/>
          <w:tab w:val="num" w:pos="1248"/>
        </w:tabs>
        <w:ind w:left="1248"/>
      </w:pPr>
      <w:r>
        <w:t>HL WBB UE into PTP back lobe distance calculation</w:t>
      </w:r>
    </w:p>
    <w:tbl>
      <w:tblPr>
        <w:tblStyle w:val="ACMAtablestyle"/>
        <w:tblW w:w="8075" w:type="dxa"/>
        <w:tblInd w:w="222" w:type="dxa"/>
        <w:tblLayout w:type="fixed"/>
        <w:tblLook w:val="01E0" w:firstRow="1" w:lastRow="1" w:firstColumn="1" w:lastColumn="1" w:noHBand="0" w:noVBand="0"/>
        <w:tblCaption w:val="Table title to go here"/>
        <w:tblDescription w:val="Table description to go here"/>
      </w:tblPr>
      <w:tblGrid>
        <w:gridCol w:w="2691"/>
        <w:gridCol w:w="2692"/>
        <w:gridCol w:w="2692"/>
      </w:tblGrid>
      <w:tr w:rsidR="003B40AC" w:rsidRPr="00E162C4" w14:paraId="47ABEB38" w14:textId="77777777" w:rsidTr="00DC2F3C">
        <w:trPr>
          <w:cnfStyle w:val="100000000000" w:firstRow="1" w:lastRow="0" w:firstColumn="0" w:lastColumn="0" w:oddVBand="0" w:evenVBand="0" w:oddHBand="0" w:evenHBand="0" w:firstRowFirstColumn="0" w:firstRowLastColumn="0" w:lastRowFirstColumn="0" w:lastRowLastColumn="0"/>
        </w:trPr>
        <w:tc>
          <w:tcPr>
            <w:tcW w:w="2691" w:type="dxa"/>
          </w:tcPr>
          <w:p w14:paraId="2898F0EA" w14:textId="77777777" w:rsidR="003B40AC" w:rsidRPr="00E162C4" w:rsidRDefault="003B40AC" w:rsidP="007C0D62">
            <w:pPr>
              <w:pStyle w:val="Tableheaderrow"/>
            </w:pPr>
            <w:bookmarkStart w:id="88" w:name="_Hlk161137782"/>
            <w:r>
              <w:t>Parameter</w:t>
            </w:r>
          </w:p>
        </w:tc>
        <w:tc>
          <w:tcPr>
            <w:tcW w:w="2692" w:type="dxa"/>
          </w:tcPr>
          <w:p w14:paraId="0E5F14B5" w14:textId="77777777" w:rsidR="003B40AC" w:rsidRPr="00E162C4" w:rsidRDefault="003B40AC" w:rsidP="007C0D62">
            <w:pPr>
              <w:pStyle w:val="Tableheaderrow"/>
              <w:jc w:val="center"/>
            </w:pPr>
            <w:r>
              <w:t>Value</w:t>
            </w:r>
          </w:p>
        </w:tc>
        <w:tc>
          <w:tcPr>
            <w:tcW w:w="2692" w:type="dxa"/>
          </w:tcPr>
          <w:p w14:paraId="70AA131B" w14:textId="77777777" w:rsidR="003B40AC" w:rsidRPr="00A85C35" w:rsidRDefault="003B40AC" w:rsidP="007C0D62">
            <w:pPr>
              <w:pStyle w:val="Tableheaderrow"/>
            </w:pPr>
            <w:r>
              <w:t>Reference</w:t>
            </w:r>
          </w:p>
        </w:tc>
      </w:tr>
      <w:tr w:rsidR="003B40AC" w:rsidRPr="00E162C4" w14:paraId="4E50BAF9"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296B994A" w14:textId="58E74333" w:rsidR="003B40AC" w:rsidRPr="00145466" w:rsidRDefault="009C7140" w:rsidP="007C0D62">
            <w:pPr>
              <w:pStyle w:val="TableBody"/>
              <w:rPr>
                <w:vertAlign w:val="subscript"/>
              </w:rPr>
            </w:pPr>
            <w:r>
              <w:t>Back lobe Rx</w:t>
            </w:r>
            <w:r w:rsidR="003B40AC">
              <w:t xml:space="preserve"> </w:t>
            </w:r>
            <w:r>
              <w:t>g</w:t>
            </w:r>
            <w:r w:rsidR="003B40AC">
              <w:t>ain</w:t>
            </w:r>
          </w:p>
        </w:tc>
        <w:tc>
          <w:tcPr>
            <w:tcW w:w="2692" w:type="dxa"/>
            <w:shd w:val="clear" w:color="auto" w:fill="auto"/>
          </w:tcPr>
          <w:p w14:paraId="1FE46C79" w14:textId="47002B67" w:rsidR="003B40AC" w:rsidRPr="00E162C4" w:rsidRDefault="009C7140" w:rsidP="007C0D62">
            <w:pPr>
              <w:pStyle w:val="TableBody"/>
              <w:jc w:val="center"/>
            </w:pPr>
            <w:r>
              <w:t>-23.9</w:t>
            </w:r>
            <w:r w:rsidR="003B40AC">
              <w:t xml:space="preserve"> </w:t>
            </w:r>
            <w:proofErr w:type="spellStart"/>
            <w:r w:rsidR="003B40AC">
              <w:t>dBi</w:t>
            </w:r>
            <w:proofErr w:type="spellEnd"/>
          </w:p>
        </w:tc>
        <w:tc>
          <w:tcPr>
            <w:tcW w:w="2692" w:type="dxa"/>
            <w:shd w:val="clear" w:color="auto" w:fill="auto"/>
          </w:tcPr>
          <w:p w14:paraId="19222777" w14:textId="3F96F02B" w:rsidR="003B40AC" w:rsidRPr="00E162C4" w:rsidRDefault="009C7140" w:rsidP="007C0D62">
            <w:pPr>
              <w:pStyle w:val="TableBody"/>
            </w:pPr>
            <w:r>
              <w:t>Worst case on</w:t>
            </w:r>
            <w:r w:rsidR="003B40AC">
              <w:t xml:space="preserve"> RRL</w:t>
            </w:r>
          </w:p>
        </w:tc>
      </w:tr>
      <w:tr w:rsidR="003B40AC" w:rsidRPr="00E162C4" w14:paraId="54967342"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tcPr>
          <w:p w14:paraId="0A21CBE2" w14:textId="1900C590" w:rsidR="003B40AC" w:rsidRPr="00E162C4" w:rsidRDefault="009C7140" w:rsidP="007C0D62">
            <w:pPr>
              <w:pStyle w:val="TableBody"/>
            </w:pPr>
            <w:r>
              <w:t xml:space="preserve">UE </w:t>
            </w:r>
            <w:r w:rsidR="003B40AC">
              <w:t>EIRP</w:t>
            </w:r>
            <w:r>
              <w:t xml:space="preserve"> (/5 MHz)</w:t>
            </w:r>
          </w:p>
        </w:tc>
        <w:tc>
          <w:tcPr>
            <w:tcW w:w="2692" w:type="dxa"/>
          </w:tcPr>
          <w:p w14:paraId="4D976662" w14:textId="78862594" w:rsidR="003B40AC" w:rsidRPr="00E162C4" w:rsidRDefault="009C7140" w:rsidP="007C0D62">
            <w:pPr>
              <w:pStyle w:val="TableBody"/>
              <w:jc w:val="center"/>
            </w:pPr>
            <w:r>
              <w:t>23</w:t>
            </w:r>
            <w:r w:rsidR="003B40AC">
              <w:t xml:space="preserve"> dBm/</w:t>
            </w:r>
            <w:r>
              <w:t>5 MHz</w:t>
            </w:r>
          </w:p>
        </w:tc>
        <w:tc>
          <w:tcPr>
            <w:tcW w:w="2692" w:type="dxa"/>
          </w:tcPr>
          <w:p w14:paraId="443F89CE" w14:textId="244C876F" w:rsidR="003B40AC" w:rsidRPr="00E162C4" w:rsidRDefault="009C7140" w:rsidP="007C0D62">
            <w:pPr>
              <w:pStyle w:val="TableBody"/>
            </w:pPr>
            <w:r>
              <w:t>Maximum UE output for class 3 device</w:t>
            </w:r>
          </w:p>
        </w:tc>
      </w:tr>
      <w:tr w:rsidR="009C7140" w:rsidRPr="00E162C4" w14:paraId="3B8F39F4"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32F67CA9" w14:textId="0A0CD1AF" w:rsidR="009C7140" w:rsidRDefault="009C7140" w:rsidP="007C0D62">
            <w:pPr>
              <w:pStyle w:val="TableBody"/>
            </w:pPr>
            <w:r>
              <w:t>UE EIRP (/MHz)</w:t>
            </w:r>
          </w:p>
        </w:tc>
        <w:tc>
          <w:tcPr>
            <w:tcW w:w="2692" w:type="dxa"/>
            <w:shd w:val="clear" w:color="auto" w:fill="auto"/>
          </w:tcPr>
          <w:p w14:paraId="35191BCA" w14:textId="511C9DF9" w:rsidR="009C7140" w:rsidRDefault="009C7140" w:rsidP="007C0D62">
            <w:pPr>
              <w:pStyle w:val="TableBody"/>
              <w:jc w:val="center"/>
            </w:pPr>
            <w:r>
              <w:t>16 dBm/MHz</w:t>
            </w:r>
          </w:p>
        </w:tc>
        <w:tc>
          <w:tcPr>
            <w:tcW w:w="2692" w:type="dxa"/>
            <w:shd w:val="clear" w:color="auto" w:fill="auto"/>
          </w:tcPr>
          <w:p w14:paraId="1F4BD74C" w14:textId="014ECC9B" w:rsidR="009C7140" w:rsidRDefault="009C7140" w:rsidP="007C0D62">
            <w:pPr>
              <w:pStyle w:val="TableBody"/>
            </w:pPr>
            <w:r>
              <w:t>Calculation</w:t>
            </w:r>
          </w:p>
        </w:tc>
      </w:tr>
      <w:tr w:rsidR="003B40AC" w:rsidRPr="00E162C4" w14:paraId="668C93A5"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2AD0997F" w14:textId="77777777" w:rsidR="003B40AC" w:rsidRPr="00E162C4" w:rsidRDefault="003B40AC" w:rsidP="007C0D62">
            <w:pPr>
              <w:pStyle w:val="TableBody"/>
            </w:pPr>
            <w:r>
              <w:t>Receiver height</w:t>
            </w:r>
          </w:p>
        </w:tc>
        <w:tc>
          <w:tcPr>
            <w:tcW w:w="2692" w:type="dxa"/>
            <w:shd w:val="clear" w:color="auto" w:fill="auto"/>
          </w:tcPr>
          <w:p w14:paraId="1F9D73E8" w14:textId="77777777" w:rsidR="003B40AC" w:rsidRPr="00E162C4" w:rsidRDefault="003B40AC" w:rsidP="007C0D62">
            <w:pPr>
              <w:pStyle w:val="TableBody"/>
              <w:jc w:val="center"/>
            </w:pPr>
            <w:r>
              <w:t>100 m</w:t>
            </w:r>
          </w:p>
        </w:tc>
        <w:tc>
          <w:tcPr>
            <w:tcW w:w="2692" w:type="dxa"/>
            <w:shd w:val="clear" w:color="auto" w:fill="auto"/>
          </w:tcPr>
          <w:p w14:paraId="76744BCB" w14:textId="77777777" w:rsidR="003B40AC" w:rsidRPr="00E162C4" w:rsidRDefault="003B40AC" w:rsidP="007C0D62">
            <w:pPr>
              <w:pStyle w:val="TableBody"/>
            </w:pPr>
            <w:r>
              <w:t>Maximum 3.8 GHz PTP height on RRL</w:t>
            </w:r>
          </w:p>
        </w:tc>
      </w:tr>
      <w:tr w:rsidR="003B40AC" w:rsidRPr="00E162C4" w14:paraId="046E0055"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3A09062C" w14:textId="77777777" w:rsidR="003B40AC" w:rsidRPr="00E162C4" w:rsidRDefault="003B40AC" w:rsidP="007C0D62">
            <w:pPr>
              <w:pStyle w:val="TableBody"/>
            </w:pPr>
            <w:r>
              <w:t>Transmitter height</w:t>
            </w:r>
          </w:p>
        </w:tc>
        <w:tc>
          <w:tcPr>
            <w:tcW w:w="2692" w:type="dxa"/>
            <w:shd w:val="clear" w:color="auto" w:fill="auto"/>
          </w:tcPr>
          <w:p w14:paraId="073E88AD" w14:textId="056F9CC4" w:rsidR="003B40AC" w:rsidRPr="00E162C4" w:rsidRDefault="003B40AC" w:rsidP="007C0D62">
            <w:pPr>
              <w:pStyle w:val="TableBody"/>
              <w:jc w:val="center"/>
            </w:pPr>
            <w:r>
              <w:t>1</w:t>
            </w:r>
            <w:r w:rsidR="009C7140">
              <w:t>.5</w:t>
            </w:r>
            <w:r>
              <w:t xml:space="preserve"> m</w:t>
            </w:r>
          </w:p>
        </w:tc>
        <w:tc>
          <w:tcPr>
            <w:tcW w:w="2692" w:type="dxa"/>
            <w:shd w:val="clear" w:color="auto" w:fill="auto"/>
          </w:tcPr>
          <w:p w14:paraId="050DFB4A" w14:textId="330DD198" w:rsidR="003B40AC" w:rsidRPr="00E162C4" w:rsidRDefault="003B40AC" w:rsidP="007C0D62">
            <w:pPr>
              <w:pStyle w:val="TableBody"/>
            </w:pPr>
            <w:r>
              <w:t xml:space="preserve">Assumption </w:t>
            </w:r>
          </w:p>
        </w:tc>
      </w:tr>
      <w:tr w:rsidR="003B40AC" w:rsidRPr="00E162C4" w14:paraId="5FF9AD79"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0B0F6412" w14:textId="77777777" w:rsidR="003B40AC" w:rsidRPr="00E162C4" w:rsidRDefault="003B40AC" w:rsidP="007C0D62">
            <w:pPr>
              <w:pStyle w:val="TableBody"/>
            </w:pPr>
            <w:r>
              <w:t>Protection criteria (I/N)</w:t>
            </w:r>
          </w:p>
        </w:tc>
        <w:tc>
          <w:tcPr>
            <w:tcW w:w="2692" w:type="dxa"/>
            <w:shd w:val="clear" w:color="auto" w:fill="auto"/>
          </w:tcPr>
          <w:p w14:paraId="687EB9F0" w14:textId="77777777" w:rsidR="003B40AC" w:rsidRPr="00E162C4" w:rsidRDefault="003B40AC" w:rsidP="007C0D62">
            <w:pPr>
              <w:pStyle w:val="TableBody"/>
              <w:jc w:val="center"/>
            </w:pPr>
            <w:r>
              <w:t>-10 dB</w:t>
            </w:r>
          </w:p>
        </w:tc>
        <w:tc>
          <w:tcPr>
            <w:tcW w:w="2692" w:type="dxa"/>
            <w:shd w:val="clear" w:color="auto" w:fill="auto"/>
          </w:tcPr>
          <w:p w14:paraId="60B01D41" w14:textId="77777777" w:rsidR="003B40AC" w:rsidRDefault="003B40AC" w:rsidP="007C0D62">
            <w:pPr>
              <w:pStyle w:val="TableBody"/>
            </w:pPr>
            <w:r>
              <w:t xml:space="preserve">Recommendation ITU-R F.758 </w:t>
            </w:r>
          </w:p>
          <w:p w14:paraId="5F5F241F" w14:textId="77777777" w:rsidR="003B40AC" w:rsidRPr="00E162C4" w:rsidRDefault="003B40AC" w:rsidP="007C0D62">
            <w:pPr>
              <w:pStyle w:val="TableBody"/>
            </w:pPr>
            <w:r>
              <w:t>(worst case assumption)</w:t>
            </w:r>
          </w:p>
        </w:tc>
      </w:tr>
      <w:tr w:rsidR="003B40AC" w:rsidRPr="00E162C4" w14:paraId="21B83B25"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0880F099" w14:textId="77777777" w:rsidR="003B40AC" w:rsidRDefault="003B40AC" w:rsidP="007C0D62">
            <w:pPr>
              <w:pStyle w:val="TableBody"/>
            </w:pPr>
            <w:r>
              <w:t>Receiver noise floor</w:t>
            </w:r>
          </w:p>
        </w:tc>
        <w:tc>
          <w:tcPr>
            <w:tcW w:w="2692" w:type="dxa"/>
            <w:shd w:val="clear" w:color="auto" w:fill="auto"/>
          </w:tcPr>
          <w:p w14:paraId="559AD7CD" w14:textId="77777777" w:rsidR="003B40AC" w:rsidRDefault="003B40AC" w:rsidP="007C0D62">
            <w:pPr>
              <w:pStyle w:val="TableBody"/>
              <w:jc w:val="center"/>
            </w:pPr>
            <w:r>
              <w:t>-107.5 dBm/MHz</w:t>
            </w:r>
          </w:p>
        </w:tc>
        <w:tc>
          <w:tcPr>
            <w:tcW w:w="2692" w:type="dxa"/>
            <w:shd w:val="clear" w:color="auto" w:fill="auto"/>
          </w:tcPr>
          <w:p w14:paraId="3055B27C" w14:textId="77777777" w:rsidR="003B40AC" w:rsidRDefault="003B40AC" w:rsidP="007C0D62">
            <w:pPr>
              <w:pStyle w:val="TableBody"/>
            </w:pPr>
            <w:r>
              <w:t xml:space="preserve">Recommendation ITU-R F.758 </w:t>
            </w:r>
          </w:p>
          <w:p w14:paraId="62ACFECF" w14:textId="77777777" w:rsidR="003B40AC" w:rsidRDefault="003B40AC" w:rsidP="007C0D62">
            <w:pPr>
              <w:pStyle w:val="TableBody"/>
            </w:pPr>
            <w:r>
              <w:t>(worst case assumption)</w:t>
            </w:r>
          </w:p>
        </w:tc>
      </w:tr>
      <w:tr w:rsidR="003B40AC" w:rsidRPr="00E162C4" w14:paraId="7829BFB6" w14:textId="77777777" w:rsidTr="00DC2F3C">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33C1BC28" w14:textId="77777777" w:rsidR="003B40AC" w:rsidRPr="00E162C4" w:rsidRDefault="003B40AC" w:rsidP="007C0D62">
            <w:pPr>
              <w:pStyle w:val="TableBody"/>
            </w:pPr>
            <w:r>
              <w:t>Required path loss</w:t>
            </w:r>
          </w:p>
        </w:tc>
        <w:tc>
          <w:tcPr>
            <w:tcW w:w="2692" w:type="dxa"/>
            <w:shd w:val="clear" w:color="auto" w:fill="auto"/>
          </w:tcPr>
          <w:p w14:paraId="2A5C0979" w14:textId="1CD2F3ED" w:rsidR="003B40AC" w:rsidRPr="00E162C4" w:rsidRDefault="008E42B0" w:rsidP="007C0D62">
            <w:pPr>
              <w:pStyle w:val="TableBody"/>
              <w:jc w:val="center"/>
            </w:pPr>
            <w:r>
              <w:t>109.6</w:t>
            </w:r>
            <w:r w:rsidR="003B40AC">
              <w:t xml:space="preserve"> dB</w:t>
            </w:r>
          </w:p>
        </w:tc>
        <w:tc>
          <w:tcPr>
            <w:tcW w:w="2692" w:type="dxa"/>
            <w:shd w:val="clear" w:color="auto" w:fill="auto"/>
          </w:tcPr>
          <w:p w14:paraId="27E4309D" w14:textId="77777777" w:rsidR="003B40AC" w:rsidRPr="00E162C4" w:rsidRDefault="003B40AC" w:rsidP="007C0D62">
            <w:pPr>
              <w:pStyle w:val="TableBody"/>
            </w:pPr>
            <w:r>
              <w:t>Calculation</w:t>
            </w:r>
          </w:p>
        </w:tc>
      </w:tr>
      <w:tr w:rsidR="003B40AC" w:rsidRPr="00E162C4" w14:paraId="19EA97D6" w14:textId="77777777" w:rsidTr="00DC2F3C">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74ACB0A9" w14:textId="77777777" w:rsidR="003B40AC" w:rsidRDefault="003B40AC" w:rsidP="007C0D62">
            <w:pPr>
              <w:pStyle w:val="TableBody"/>
            </w:pPr>
            <w:r>
              <w:t>Co-channel separation distance</w:t>
            </w:r>
          </w:p>
        </w:tc>
        <w:tc>
          <w:tcPr>
            <w:tcW w:w="2692" w:type="dxa"/>
            <w:shd w:val="clear" w:color="auto" w:fill="auto"/>
          </w:tcPr>
          <w:p w14:paraId="200233DD" w14:textId="00A85A1D" w:rsidR="003B40AC" w:rsidRPr="00E162C4" w:rsidRDefault="003B40AC" w:rsidP="007C0D62">
            <w:pPr>
              <w:pStyle w:val="TableBody"/>
              <w:jc w:val="center"/>
            </w:pPr>
            <w:r>
              <w:rPr>
                <w:rFonts w:cs="Arial"/>
              </w:rPr>
              <w:t>≈</w:t>
            </w:r>
            <w:r>
              <w:t xml:space="preserve"> </w:t>
            </w:r>
            <w:r w:rsidR="008E42B0">
              <w:t>1.8 km</w:t>
            </w:r>
          </w:p>
        </w:tc>
        <w:tc>
          <w:tcPr>
            <w:tcW w:w="2692" w:type="dxa"/>
            <w:shd w:val="clear" w:color="auto" w:fill="auto"/>
          </w:tcPr>
          <w:p w14:paraId="0F8C717E" w14:textId="02E2DDFD" w:rsidR="003B40AC" w:rsidRDefault="003B40AC" w:rsidP="007C0D62">
            <w:pPr>
              <w:pStyle w:val="TableBody"/>
            </w:pPr>
            <w:r>
              <w:t xml:space="preserve">Assuming </w:t>
            </w:r>
            <w:r w:rsidR="008E42B0">
              <w:t>free space loss</w:t>
            </w:r>
            <w:r w:rsidR="009C7140">
              <w:t xml:space="preserve"> </w:t>
            </w:r>
          </w:p>
        </w:tc>
      </w:tr>
      <w:bookmarkEnd w:id="88"/>
    </w:tbl>
    <w:p w14:paraId="57CFB4E6" w14:textId="77777777" w:rsidR="003B40AC" w:rsidRDefault="003B40AC" w:rsidP="001A76B8">
      <w:pPr>
        <w:pStyle w:val="Paragraph"/>
        <w:ind w:left="284"/>
      </w:pPr>
    </w:p>
    <w:p w14:paraId="4822ABD0" w14:textId="6B0053E3" w:rsidR="00D55E1F" w:rsidRPr="00DC2F3C" w:rsidRDefault="00E3470A" w:rsidP="001A76B8">
      <w:pPr>
        <w:pStyle w:val="Paragraph"/>
        <w:ind w:left="284"/>
      </w:pPr>
      <w:r>
        <w:t xml:space="preserve">Proposed new PTP links </w:t>
      </w:r>
      <w:r w:rsidR="00590088">
        <w:t>(</w:t>
      </w:r>
      <w:r w:rsidR="00862BF3">
        <w:t xml:space="preserve">now </w:t>
      </w:r>
      <w:r w:rsidR="00590088">
        <w:t xml:space="preserve">restricted to 3800-4200 MHz) </w:t>
      </w:r>
      <w:r>
        <w:t>will need to coordinate with existing HL WBB licences to a protection level of -110 dBm/MHz (</w:t>
      </w:r>
      <w:r w:rsidR="00590088">
        <w:t xml:space="preserve">but </w:t>
      </w:r>
      <w:r>
        <w:t>logarithmically scaled to the BW of the system). A cull distance of 60 km is proposed,</w:t>
      </w:r>
      <w:r w:rsidRPr="00E3470A">
        <w:t xml:space="preserve"> </w:t>
      </w:r>
      <w:r>
        <w:t xml:space="preserve">this is based on the calculation </w:t>
      </w:r>
      <w:r w:rsidRPr="00DC2F3C">
        <w:t xml:space="preserve">in </w:t>
      </w:r>
      <w:r w:rsidR="008E42B0" w:rsidRPr="00DC2F3C">
        <w:t>T</w:t>
      </w:r>
      <w:r w:rsidRPr="00DC2F3C">
        <w:t xml:space="preserve">able </w:t>
      </w:r>
      <w:r w:rsidR="008E42B0" w:rsidRPr="00DC2F3C">
        <w:t>5</w:t>
      </w:r>
      <w:r w:rsidR="00590088" w:rsidRPr="00DC2F3C">
        <w:t xml:space="preserve"> </w:t>
      </w:r>
      <w:r w:rsidRPr="00DC2F3C">
        <w:t xml:space="preserve">below. </w:t>
      </w:r>
    </w:p>
    <w:p w14:paraId="7EC0B22D" w14:textId="7B198E3D" w:rsidR="00BD4BBA" w:rsidRDefault="00E3470A" w:rsidP="00722F44">
      <w:pPr>
        <w:pStyle w:val="Paragraph"/>
        <w:ind w:left="284"/>
      </w:pPr>
      <w:r w:rsidRPr="00DC2F3C">
        <w:lastRenderedPageBreak/>
        <w:t>Coordination out to the first adjacent channel</w:t>
      </w:r>
      <w:r w:rsidR="0029648B" w:rsidRPr="00DC2F3C">
        <w:t xml:space="preserve"> also needs to be </w:t>
      </w:r>
      <w:r w:rsidRPr="00DC2F3C">
        <w:t>considered, where first adjacent channel is defined as being the larger bandwidth of the two services being coordinated.</w:t>
      </w:r>
      <w:r w:rsidR="00D55E1F" w:rsidRPr="00DC2F3C">
        <w:t xml:space="preserve"> The proposed protection criteria for</w:t>
      </w:r>
      <w:r w:rsidR="0029648B" w:rsidRPr="00DC2F3C">
        <w:t xml:space="preserve"> HL WBB </w:t>
      </w:r>
      <w:r w:rsidR="00D55E1F" w:rsidRPr="00DC2F3C">
        <w:t xml:space="preserve">accounting for the </w:t>
      </w:r>
      <w:r w:rsidRPr="00DC2F3C">
        <w:t>adjacent channel</w:t>
      </w:r>
      <w:r w:rsidR="00D55E1F" w:rsidRPr="00DC2F3C">
        <w:t xml:space="preserve"> </w:t>
      </w:r>
      <w:r w:rsidRPr="00DC2F3C">
        <w:t>selectivity</w:t>
      </w:r>
      <w:r w:rsidR="00D55E1F" w:rsidRPr="00DC2F3C">
        <w:t xml:space="preserve"> and in-band blocking levels of different bandwidth systems (as defined in the standard 3GPP </w:t>
      </w:r>
      <w:r w:rsidR="009F43D3">
        <w:t xml:space="preserve">TS </w:t>
      </w:r>
      <w:r w:rsidR="00D55E1F" w:rsidRPr="00DC2F3C">
        <w:t>38.104</w:t>
      </w:r>
      <w:r w:rsidR="006E085E" w:rsidRPr="00DC2F3C">
        <w:t xml:space="preserve"> for </w:t>
      </w:r>
      <w:r w:rsidR="00561526">
        <w:t>Medium Range</w:t>
      </w:r>
      <w:r w:rsidR="006E085E" w:rsidRPr="00DC2F3C">
        <w:t xml:space="preserve"> </w:t>
      </w:r>
      <w:r w:rsidR="00561526">
        <w:t>BS</w:t>
      </w:r>
      <w:r w:rsidR="00D55E1F" w:rsidRPr="00DC2F3C">
        <w:t>) is contained in Table</w:t>
      </w:r>
      <w:r w:rsidR="0027348A" w:rsidRPr="00DC2F3C">
        <w:t>s</w:t>
      </w:r>
      <w:r w:rsidR="00D55E1F" w:rsidRPr="00DC2F3C">
        <w:t xml:space="preserve"> </w:t>
      </w:r>
      <w:r w:rsidR="00DC2F3C">
        <w:t>6</w:t>
      </w:r>
      <w:r w:rsidR="0027348A" w:rsidRPr="00DC2F3C">
        <w:t xml:space="preserve"> and </w:t>
      </w:r>
      <w:r w:rsidR="008E42B0" w:rsidRPr="00DC2F3C">
        <w:t>7</w:t>
      </w:r>
      <w:r w:rsidRPr="00DC2F3C">
        <w:t>.</w:t>
      </w:r>
      <w:r>
        <w:t xml:space="preserve">  </w:t>
      </w:r>
    </w:p>
    <w:p w14:paraId="1471A7FF" w14:textId="4063D1A8" w:rsidR="00CB139F" w:rsidRPr="00E162C4" w:rsidRDefault="00CB139F" w:rsidP="001A76B8">
      <w:pPr>
        <w:pStyle w:val="Tableheading"/>
        <w:tabs>
          <w:tab w:val="clear" w:pos="964"/>
          <w:tab w:val="num" w:pos="1248"/>
        </w:tabs>
        <w:ind w:left="1248"/>
      </w:pPr>
      <w:r>
        <w:t>PTP</w:t>
      </w:r>
      <w:r w:rsidR="009A455F">
        <w:t xml:space="preserve"> into HL WBB</w:t>
      </w:r>
      <w:r>
        <w:t xml:space="preserve"> </w:t>
      </w:r>
      <w:r w:rsidR="003B40AC">
        <w:t>BS</w:t>
      </w:r>
      <w:r>
        <w:t xml:space="preserve"> cull distance </w:t>
      </w:r>
      <w:r w:rsidR="003B40AC">
        <w:t>calculation</w:t>
      </w:r>
    </w:p>
    <w:tbl>
      <w:tblPr>
        <w:tblStyle w:val="ACMAtablestyle"/>
        <w:tblW w:w="8075" w:type="dxa"/>
        <w:tblInd w:w="222" w:type="dxa"/>
        <w:tblLayout w:type="fixed"/>
        <w:tblLook w:val="01E0" w:firstRow="1" w:lastRow="1" w:firstColumn="1" w:lastColumn="1" w:noHBand="0" w:noVBand="0"/>
        <w:tblCaption w:val="Table title to go here"/>
        <w:tblDescription w:val="Table description to go here"/>
      </w:tblPr>
      <w:tblGrid>
        <w:gridCol w:w="2122"/>
        <w:gridCol w:w="1842"/>
        <w:gridCol w:w="4111"/>
      </w:tblGrid>
      <w:tr w:rsidR="00CB139F" w:rsidRPr="00E162C4" w14:paraId="76B8D068" w14:textId="77777777" w:rsidTr="00DC2F3C">
        <w:trPr>
          <w:cnfStyle w:val="100000000000" w:firstRow="1" w:lastRow="0" w:firstColumn="0" w:lastColumn="0" w:oddVBand="0" w:evenVBand="0" w:oddHBand="0" w:evenHBand="0" w:firstRowFirstColumn="0" w:firstRowLastColumn="0" w:lastRowFirstColumn="0" w:lastRowLastColumn="0"/>
        </w:trPr>
        <w:tc>
          <w:tcPr>
            <w:tcW w:w="2122" w:type="dxa"/>
          </w:tcPr>
          <w:p w14:paraId="6746964F" w14:textId="77777777" w:rsidR="00CB139F" w:rsidRPr="00E162C4" w:rsidRDefault="00CB139F" w:rsidP="000C7251">
            <w:pPr>
              <w:pStyle w:val="Tableheaderrow"/>
            </w:pPr>
            <w:r>
              <w:t>Parameter</w:t>
            </w:r>
          </w:p>
        </w:tc>
        <w:tc>
          <w:tcPr>
            <w:tcW w:w="1842" w:type="dxa"/>
          </w:tcPr>
          <w:p w14:paraId="1A014924" w14:textId="77777777" w:rsidR="00CB139F" w:rsidRPr="00E162C4" w:rsidRDefault="00CB139F" w:rsidP="000C7251">
            <w:pPr>
              <w:pStyle w:val="Tableheaderrow"/>
              <w:jc w:val="center"/>
            </w:pPr>
            <w:r>
              <w:t>Value</w:t>
            </w:r>
          </w:p>
        </w:tc>
        <w:tc>
          <w:tcPr>
            <w:tcW w:w="4111" w:type="dxa"/>
          </w:tcPr>
          <w:p w14:paraId="3E5FA7E5" w14:textId="77777777" w:rsidR="00CB139F" w:rsidRPr="00A85C35" w:rsidRDefault="00CB139F" w:rsidP="000C7251">
            <w:pPr>
              <w:pStyle w:val="Tableheaderrow"/>
            </w:pPr>
            <w:r>
              <w:t>Reference</w:t>
            </w:r>
          </w:p>
        </w:tc>
      </w:tr>
      <w:tr w:rsidR="00CB139F" w:rsidRPr="00E162C4" w14:paraId="7B7AFACF" w14:textId="77777777" w:rsidTr="00DC2F3C">
        <w:trPr>
          <w:cnfStyle w:val="000000100000" w:firstRow="0" w:lastRow="0" w:firstColumn="0" w:lastColumn="0" w:oddVBand="0" w:evenVBand="0" w:oddHBand="1" w:evenHBand="0" w:firstRowFirstColumn="0" w:firstRowLastColumn="0" w:lastRowFirstColumn="0" w:lastRowLastColumn="0"/>
        </w:trPr>
        <w:tc>
          <w:tcPr>
            <w:tcW w:w="2122" w:type="dxa"/>
            <w:shd w:val="clear" w:color="auto" w:fill="auto"/>
          </w:tcPr>
          <w:p w14:paraId="2B202C47" w14:textId="77777777" w:rsidR="00CB139F" w:rsidRPr="00145466" w:rsidRDefault="00CB139F" w:rsidP="000C7251">
            <w:pPr>
              <w:pStyle w:val="TableBody"/>
              <w:rPr>
                <w:vertAlign w:val="subscript"/>
              </w:rPr>
            </w:pPr>
            <w:r>
              <w:t>Receiver Gain</w:t>
            </w:r>
          </w:p>
        </w:tc>
        <w:tc>
          <w:tcPr>
            <w:tcW w:w="1842" w:type="dxa"/>
            <w:shd w:val="clear" w:color="auto" w:fill="auto"/>
          </w:tcPr>
          <w:p w14:paraId="603F0A6B" w14:textId="08799AF4" w:rsidR="00CB139F" w:rsidRPr="00E162C4" w:rsidRDefault="009A2DF0" w:rsidP="00EA1F68">
            <w:pPr>
              <w:pStyle w:val="TableBody"/>
              <w:jc w:val="center"/>
            </w:pPr>
            <w:r>
              <w:t>5</w:t>
            </w:r>
            <w:r w:rsidR="009A455F">
              <w:t xml:space="preserve"> </w:t>
            </w:r>
            <w:proofErr w:type="spellStart"/>
            <w:r w:rsidR="00CB139F">
              <w:t>dBi</w:t>
            </w:r>
            <w:proofErr w:type="spellEnd"/>
          </w:p>
        </w:tc>
        <w:tc>
          <w:tcPr>
            <w:tcW w:w="4111" w:type="dxa"/>
            <w:shd w:val="clear" w:color="auto" w:fill="auto"/>
          </w:tcPr>
          <w:p w14:paraId="6E96C039" w14:textId="1C32C0C0" w:rsidR="009A2DF0" w:rsidRDefault="009A2DF0" w:rsidP="009A2DF0">
            <w:pPr>
              <w:pStyle w:val="TableBody"/>
            </w:pPr>
            <w:r>
              <w:t>Annex 4.4 of document WP5D/716</w:t>
            </w:r>
            <w:r w:rsidR="008E42B0">
              <w:rPr>
                <w:rStyle w:val="FootnoteReference"/>
              </w:rPr>
              <w:footnoteReference w:id="6"/>
            </w:r>
          </w:p>
          <w:p w14:paraId="526EB0A1" w14:textId="4C2BC505" w:rsidR="00CB139F" w:rsidRPr="00E162C4" w:rsidRDefault="009A2DF0" w:rsidP="009A2DF0">
            <w:pPr>
              <w:pStyle w:val="TableBody"/>
            </w:pPr>
            <w:r>
              <w:t>(Micro cell non-AAS)</w:t>
            </w:r>
          </w:p>
        </w:tc>
      </w:tr>
      <w:tr w:rsidR="00CB139F" w:rsidRPr="00E162C4" w14:paraId="473B523C" w14:textId="77777777" w:rsidTr="00DC2F3C">
        <w:trPr>
          <w:cnfStyle w:val="000000010000" w:firstRow="0" w:lastRow="0" w:firstColumn="0" w:lastColumn="0" w:oddVBand="0" w:evenVBand="0" w:oddHBand="0" w:evenHBand="1" w:firstRowFirstColumn="0" w:firstRowLastColumn="0" w:lastRowFirstColumn="0" w:lastRowLastColumn="0"/>
        </w:trPr>
        <w:tc>
          <w:tcPr>
            <w:tcW w:w="2122" w:type="dxa"/>
          </w:tcPr>
          <w:p w14:paraId="37F4CDBD" w14:textId="77777777" w:rsidR="00CB139F" w:rsidRPr="00E162C4" w:rsidRDefault="00CB139F" w:rsidP="000C7251">
            <w:pPr>
              <w:pStyle w:val="TableBody"/>
            </w:pPr>
            <w:r>
              <w:t>EIRP</w:t>
            </w:r>
          </w:p>
        </w:tc>
        <w:tc>
          <w:tcPr>
            <w:tcW w:w="1842" w:type="dxa"/>
          </w:tcPr>
          <w:p w14:paraId="45858CEC" w14:textId="7F23D913" w:rsidR="00CB139F" w:rsidRPr="00E162C4" w:rsidRDefault="009A455F" w:rsidP="000C7251">
            <w:pPr>
              <w:pStyle w:val="TableBody"/>
              <w:jc w:val="center"/>
            </w:pPr>
            <w:r>
              <w:t>48.4</w:t>
            </w:r>
            <w:r w:rsidR="00CB139F">
              <w:t xml:space="preserve"> dBm/MHz</w:t>
            </w:r>
          </w:p>
        </w:tc>
        <w:tc>
          <w:tcPr>
            <w:tcW w:w="4111" w:type="dxa"/>
          </w:tcPr>
          <w:p w14:paraId="2F7C1B98" w14:textId="6836D5C0" w:rsidR="00CB139F" w:rsidRPr="00E162C4" w:rsidRDefault="00EA1F68" w:rsidP="000C7251">
            <w:pPr>
              <w:pStyle w:val="TableBody"/>
            </w:pPr>
            <w:r>
              <w:t>Maximum 3.8 GHz PTP gain on RRL</w:t>
            </w:r>
          </w:p>
        </w:tc>
      </w:tr>
      <w:tr w:rsidR="00CB139F" w:rsidRPr="00E162C4" w14:paraId="5541FF15" w14:textId="77777777" w:rsidTr="00DC2F3C">
        <w:trPr>
          <w:cnfStyle w:val="000000100000" w:firstRow="0" w:lastRow="0" w:firstColumn="0" w:lastColumn="0" w:oddVBand="0" w:evenVBand="0" w:oddHBand="1" w:evenHBand="0" w:firstRowFirstColumn="0" w:firstRowLastColumn="0" w:lastRowFirstColumn="0" w:lastRowLastColumn="0"/>
        </w:trPr>
        <w:tc>
          <w:tcPr>
            <w:tcW w:w="2122" w:type="dxa"/>
            <w:shd w:val="clear" w:color="auto" w:fill="auto"/>
          </w:tcPr>
          <w:p w14:paraId="49CEB498" w14:textId="77777777" w:rsidR="00CB139F" w:rsidRPr="00E162C4" w:rsidRDefault="00CB139F" w:rsidP="000C7251">
            <w:pPr>
              <w:pStyle w:val="TableBody"/>
            </w:pPr>
            <w:r>
              <w:t>Receiver height</w:t>
            </w:r>
          </w:p>
        </w:tc>
        <w:tc>
          <w:tcPr>
            <w:tcW w:w="1842" w:type="dxa"/>
            <w:shd w:val="clear" w:color="auto" w:fill="auto"/>
          </w:tcPr>
          <w:p w14:paraId="19F2FB2B" w14:textId="27C22E16" w:rsidR="00CB139F" w:rsidRPr="00E162C4" w:rsidRDefault="00CB139F" w:rsidP="000C7251">
            <w:pPr>
              <w:pStyle w:val="TableBody"/>
              <w:jc w:val="center"/>
            </w:pPr>
            <w:r>
              <w:t>10 m</w:t>
            </w:r>
          </w:p>
        </w:tc>
        <w:tc>
          <w:tcPr>
            <w:tcW w:w="4111" w:type="dxa"/>
            <w:shd w:val="clear" w:color="auto" w:fill="auto"/>
          </w:tcPr>
          <w:p w14:paraId="199A7332" w14:textId="6DD3D142" w:rsidR="00CB139F" w:rsidRPr="00E162C4" w:rsidRDefault="00EA1F68" w:rsidP="000C7251">
            <w:pPr>
              <w:pStyle w:val="TableBody"/>
            </w:pPr>
            <w:r>
              <w:t>Assumption</w:t>
            </w:r>
          </w:p>
        </w:tc>
      </w:tr>
      <w:tr w:rsidR="00CB139F" w:rsidRPr="00E162C4" w14:paraId="46C2A252" w14:textId="77777777" w:rsidTr="00DC2F3C">
        <w:trPr>
          <w:cnfStyle w:val="000000010000" w:firstRow="0" w:lastRow="0" w:firstColumn="0" w:lastColumn="0" w:oddVBand="0" w:evenVBand="0" w:oddHBand="0" w:evenHBand="1" w:firstRowFirstColumn="0" w:firstRowLastColumn="0" w:lastRowFirstColumn="0" w:lastRowLastColumn="0"/>
        </w:trPr>
        <w:tc>
          <w:tcPr>
            <w:tcW w:w="2122" w:type="dxa"/>
            <w:shd w:val="clear" w:color="auto" w:fill="auto"/>
          </w:tcPr>
          <w:p w14:paraId="5FE3B220" w14:textId="77777777" w:rsidR="00CB139F" w:rsidRPr="00E162C4" w:rsidRDefault="00CB139F" w:rsidP="000C7251">
            <w:pPr>
              <w:pStyle w:val="TableBody"/>
            </w:pPr>
            <w:r>
              <w:t>Transmitter height</w:t>
            </w:r>
          </w:p>
        </w:tc>
        <w:tc>
          <w:tcPr>
            <w:tcW w:w="1842" w:type="dxa"/>
            <w:shd w:val="clear" w:color="auto" w:fill="auto"/>
          </w:tcPr>
          <w:p w14:paraId="3D356C3D" w14:textId="62DF335C" w:rsidR="00CB139F" w:rsidRPr="00E162C4" w:rsidRDefault="00CB139F" w:rsidP="000C7251">
            <w:pPr>
              <w:pStyle w:val="TableBody"/>
              <w:jc w:val="center"/>
            </w:pPr>
            <w:r>
              <w:t>10</w:t>
            </w:r>
            <w:r w:rsidR="00EA1F68">
              <w:t>0</w:t>
            </w:r>
            <w:r>
              <w:t xml:space="preserve"> m</w:t>
            </w:r>
          </w:p>
        </w:tc>
        <w:tc>
          <w:tcPr>
            <w:tcW w:w="4111" w:type="dxa"/>
            <w:shd w:val="clear" w:color="auto" w:fill="auto"/>
          </w:tcPr>
          <w:p w14:paraId="4586283E" w14:textId="6C0F9D68" w:rsidR="00CB139F" w:rsidRPr="00E162C4" w:rsidRDefault="00EA1F68" w:rsidP="000C7251">
            <w:pPr>
              <w:pStyle w:val="TableBody"/>
            </w:pPr>
            <w:r>
              <w:t>Maximum 3.8 GHz PTP height on RRL</w:t>
            </w:r>
          </w:p>
        </w:tc>
      </w:tr>
      <w:tr w:rsidR="00EA1F68" w:rsidRPr="00E162C4" w14:paraId="308063F7" w14:textId="77777777" w:rsidTr="00DC2F3C">
        <w:trPr>
          <w:cnfStyle w:val="000000100000" w:firstRow="0" w:lastRow="0" w:firstColumn="0" w:lastColumn="0" w:oddVBand="0" w:evenVBand="0" w:oddHBand="1" w:evenHBand="0" w:firstRowFirstColumn="0" w:firstRowLastColumn="0" w:lastRowFirstColumn="0" w:lastRowLastColumn="0"/>
        </w:trPr>
        <w:tc>
          <w:tcPr>
            <w:tcW w:w="2122" w:type="dxa"/>
            <w:shd w:val="clear" w:color="auto" w:fill="auto"/>
          </w:tcPr>
          <w:p w14:paraId="7FFE223E" w14:textId="5B7470D3" w:rsidR="00EA1F68" w:rsidRDefault="00EA1F68" w:rsidP="000C7251">
            <w:pPr>
              <w:pStyle w:val="TableBody"/>
            </w:pPr>
            <w:r>
              <w:t xml:space="preserve">Rx Noise figure </w:t>
            </w:r>
          </w:p>
        </w:tc>
        <w:tc>
          <w:tcPr>
            <w:tcW w:w="1842" w:type="dxa"/>
            <w:shd w:val="clear" w:color="auto" w:fill="auto"/>
          </w:tcPr>
          <w:p w14:paraId="537494D7" w14:textId="66C24CA2" w:rsidR="00EA1F68" w:rsidRPr="00E162C4" w:rsidRDefault="00EA1F68" w:rsidP="000C7251">
            <w:pPr>
              <w:pStyle w:val="TableBody"/>
              <w:jc w:val="center"/>
            </w:pPr>
            <w:r>
              <w:t>10 dB</w:t>
            </w:r>
          </w:p>
        </w:tc>
        <w:tc>
          <w:tcPr>
            <w:tcW w:w="4111" w:type="dxa"/>
            <w:shd w:val="clear" w:color="auto" w:fill="auto"/>
          </w:tcPr>
          <w:p w14:paraId="5A658194" w14:textId="77777777" w:rsidR="00EA1F68" w:rsidRPr="0031747D" w:rsidRDefault="00EA1F68" w:rsidP="000C7251">
            <w:pPr>
              <w:pStyle w:val="TableBody"/>
              <w:rPr>
                <w:lang w:val="fr-FR"/>
              </w:rPr>
            </w:pPr>
            <w:r w:rsidRPr="0031747D">
              <w:rPr>
                <w:lang w:val="fr-FR"/>
              </w:rPr>
              <w:t>Annex 4.4 of document WP5D/716</w:t>
            </w:r>
          </w:p>
          <w:p w14:paraId="3A7EE0BC" w14:textId="54E7C82F" w:rsidR="00EA1F68" w:rsidRPr="0031747D" w:rsidRDefault="00EA1F68" w:rsidP="000C7251">
            <w:pPr>
              <w:pStyle w:val="TableBody"/>
              <w:rPr>
                <w:lang w:val="fr-FR"/>
              </w:rPr>
            </w:pPr>
            <w:r w:rsidRPr="0031747D">
              <w:rPr>
                <w:lang w:val="fr-FR"/>
              </w:rPr>
              <w:t xml:space="preserve">(Micro </w:t>
            </w:r>
            <w:proofErr w:type="spellStart"/>
            <w:r w:rsidRPr="0031747D">
              <w:rPr>
                <w:lang w:val="fr-FR"/>
              </w:rPr>
              <w:t>cell</w:t>
            </w:r>
            <w:proofErr w:type="spellEnd"/>
            <w:r w:rsidRPr="0031747D">
              <w:rPr>
                <w:lang w:val="fr-FR"/>
              </w:rPr>
              <w:t xml:space="preserve"> noise figure)</w:t>
            </w:r>
          </w:p>
        </w:tc>
      </w:tr>
      <w:tr w:rsidR="00C86A5C" w:rsidRPr="00E162C4" w14:paraId="36640133" w14:textId="77777777" w:rsidTr="00DC2F3C">
        <w:trPr>
          <w:cnfStyle w:val="000000010000" w:firstRow="0" w:lastRow="0" w:firstColumn="0" w:lastColumn="0" w:oddVBand="0" w:evenVBand="0" w:oddHBand="0" w:evenHBand="1" w:firstRowFirstColumn="0" w:firstRowLastColumn="0" w:lastRowFirstColumn="0" w:lastRowLastColumn="0"/>
        </w:trPr>
        <w:tc>
          <w:tcPr>
            <w:tcW w:w="2122" w:type="dxa"/>
            <w:shd w:val="clear" w:color="auto" w:fill="auto"/>
          </w:tcPr>
          <w:p w14:paraId="1700D61A" w14:textId="61BE0ADD" w:rsidR="00C86A5C" w:rsidRDefault="00C86A5C" w:rsidP="00C86A5C">
            <w:pPr>
              <w:pStyle w:val="TableBody"/>
            </w:pPr>
            <w:r>
              <w:t>Protection criteria (I/N)</w:t>
            </w:r>
          </w:p>
        </w:tc>
        <w:tc>
          <w:tcPr>
            <w:tcW w:w="1842" w:type="dxa"/>
            <w:shd w:val="clear" w:color="auto" w:fill="auto"/>
          </w:tcPr>
          <w:p w14:paraId="1622537A" w14:textId="469131D3" w:rsidR="00C86A5C" w:rsidRDefault="00C86A5C" w:rsidP="00C86A5C">
            <w:pPr>
              <w:pStyle w:val="TableBody"/>
              <w:jc w:val="center"/>
            </w:pPr>
            <w:r>
              <w:t>-6 dB</w:t>
            </w:r>
          </w:p>
        </w:tc>
        <w:tc>
          <w:tcPr>
            <w:tcW w:w="4111" w:type="dxa"/>
            <w:shd w:val="clear" w:color="auto" w:fill="auto"/>
          </w:tcPr>
          <w:p w14:paraId="3DE9335B" w14:textId="0FE4B2FC" w:rsidR="00C86A5C" w:rsidRDefault="00C86A5C" w:rsidP="00C86A5C">
            <w:pPr>
              <w:pStyle w:val="TableBody"/>
            </w:pPr>
            <w:r>
              <w:t>ITU-R Recommendation M.2101</w:t>
            </w:r>
          </w:p>
        </w:tc>
      </w:tr>
      <w:tr w:rsidR="00C86A5C" w:rsidRPr="00E162C4" w14:paraId="328BB62E" w14:textId="77777777" w:rsidTr="00DC2F3C">
        <w:trPr>
          <w:cnfStyle w:val="000000100000" w:firstRow="0" w:lastRow="0" w:firstColumn="0" w:lastColumn="0" w:oddVBand="0" w:evenVBand="0" w:oddHBand="1" w:evenHBand="0" w:firstRowFirstColumn="0" w:firstRowLastColumn="0" w:lastRowFirstColumn="0" w:lastRowLastColumn="0"/>
        </w:trPr>
        <w:tc>
          <w:tcPr>
            <w:tcW w:w="2122" w:type="dxa"/>
            <w:shd w:val="clear" w:color="auto" w:fill="auto"/>
          </w:tcPr>
          <w:p w14:paraId="33DA0ECA" w14:textId="33D59711" w:rsidR="00C86A5C" w:rsidRPr="00E162C4" w:rsidRDefault="00C86A5C" w:rsidP="00C86A5C">
            <w:pPr>
              <w:pStyle w:val="TableBody"/>
            </w:pPr>
            <w:r>
              <w:t>Receiver noise floor</w:t>
            </w:r>
          </w:p>
        </w:tc>
        <w:tc>
          <w:tcPr>
            <w:tcW w:w="1842" w:type="dxa"/>
            <w:shd w:val="clear" w:color="auto" w:fill="auto"/>
          </w:tcPr>
          <w:p w14:paraId="4F761D8B" w14:textId="2343F2D2" w:rsidR="00C86A5C" w:rsidRPr="00E162C4" w:rsidRDefault="00C86A5C" w:rsidP="00C86A5C">
            <w:pPr>
              <w:pStyle w:val="TableBody"/>
              <w:jc w:val="center"/>
            </w:pPr>
            <w:r>
              <w:t>-104 dBm/MHz</w:t>
            </w:r>
          </w:p>
        </w:tc>
        <w:tc>
          <w:tcPr>
            <w:tcW w:w="4111" w:type="dxa"/>
            <w:shd w:val="clear" w:color="auto" w:fill="auto"/>
          </w:tcPr>
          <w:p w14:paraId="01584640" w14:textId="6CC0A4C6" w:rsidR="00C86A5C" w:rsidRPr="00E162C4" w:rsidRDefault="00C86A5C" w:rsidP="00C86A5C">
            <w:pPr>
              <w:pStyle w:val="TableBody"/>
            </w:pPr>
            <w:r>
              <w:t>Calculation (</w:t>
            </w:r>
            <w:proofErr w:type="spellStart"/>
            <w:r>
              <w:t>kTBn</w:t>
            </w:r>
            <w:proofErr w:type="spellEnd"/>
            <w:r>
              <w:t>, T = 290 K)</w:t>
            </w:r>
          </w:p>
        </w:tc>
      </w:tr>
      <w:tr w:rsidR="00C86A5C" w:rsidRPr="00E162C4" w14:paraId="3DD4D842" w14:textId="77777777" w:rsidTr="00DC2F3C">
        <w:trPr>
          <w:cnfStyle w:val="000000010000" w:firstRow="0" w:lastRow="0" w:firstColumn="0" w:lastColumn="0" w:oddVBand="0" w:evenVBand="0" w:oddHBand="0" w:evenHBand="1" w:firstRowFirstColumn="0" w:firstRowLastColumn="0" w:lastRowFirstColumn="0" w:lastRowLastColumn="0"/>
        </w:trPr>
        <w:tc>
          <w:tcPr>
            <w:tcW w:w="2122" w:type="dxa"/>
            <w:shd w:val="clear" w:color="auto" w:fill="auto"/>
          </w:tcPr>
          <w:p w14:paraId="34D8CDA4" w14:textId="77777777" w:rsidR="00C86A5C" w:rsidRPr="00E162C4" w:rsidRDefault="00C86A5C" w:rsidP="00C86A5C">
            <w:pPr>
              <w:pStyle w:val="TableBody"/>
            </w:pPr>
            <w:r>
              <w:t>Required path loss</w:t>
            </w:r>
          </w:p>
        </w:tc>
        <w:tc>
          <w:tcPr>
            <w:tcW w:w="1842" w:type="dxa"/>
            <w:shd w:val="clear" w:color="auto" w:fill="auto"/>
          </w:tcPr>
          <w:p w14:paraId="7C55E421" w14:textId="00E18A3C" w:rsidR="00C86A5C" w:rsidRPr="00E162C4" w:rsidRDefault="00C86A5C" w:rsidP="00C86A5C">
            <w:pPr>
              <w:pStyle w:val="TableBody"/>
              <w:jc w:val="center"/>
            </w:pPr>
            <w:r>
              <w:t>163.4</w:t>
            </w:r>
          </w:p>
        </w:tc>
        <w:tc>
          <w:tcPr>
            <w:tcW w:w="4111" w:type="dxa"/>
            <w:shd w:val="clear" w:color="auto" w:fill="auto"/>
          </w:tcPr>
          <w:p w14:paraId="061DBC7E" w14:textId="77777777" w:rsidR="00C86A5C" w:rsidRPr="00E162C4" w:rsidRDefault="00C86A5C" w:rsidP="00C86A5C">
            <w:pPr>
              <w:pStyle w:val="TableBody"/>
            </w:pPr>
            <w:r>
              <w:t>Calculation</w:t>
            </w:r>
          </w:p>
        </w:tc>
      </w:tr>
      <w:tr w:rsidR="00C86A5C" w:rsidRPr="00E162C4" w14:paraId="6E5BFFAA" w14:textId="77777777" w:rsidTr="00DC2F3C">
        <w:trPr>
          <w:cnfStyle w:val="000000100000" w:firstRow="0" w:lastRow="0" w:firstColumn="0" w:lastColumn="0" w:oddVBand="0" w:evenVBand="0" w:oddHBand="1" w:evenHBand="0" w:firstRowFirstColumn="0" w:firstRowLastColumn="0" w:lastRowFirstColumn="0" w:lastRowLastColumn="0"/>
        </w:trPr>
        <w:tc>
          <w:tcPr>
            <w:tcW w:w="2122" w:type="dxa"/>
            <w:shd w:val="clear" w:color="auto" w:fill="auto"/>
          </w:tcPr>
          <w:p w14:paraId="29793571" w14:textId="3B337297" w:rsidR="00C86A5C" w:rsidRDefault="004F6D09" w:rsidP="00C86A5C">
            <w:pPr>
              <w:pStyle w:val="TableBody"/>
            </w:pPr>
            <w:r>
              <w:t>Co-channel s</w:t>
            </w:r>
            <w:r w:rsidR="00C86A5C">
              <w:t>eparation distance</w:t>
            </w:r>
          </w:p>
        </w:tc>
        <w:tc>
          <w:tcPr>
            <w:tcW w:w="1842" w:type="dxa"/>
            <w:shd w:val="clear" w:color="auto" w:fill="auto"/>
          </w:tcPr>
          <w:p w14:paraId="2A04053F" w14:textId="4F80E3D9" w:rsidR="00C86A5C" w:rsidRPr="00E162C4" w:rsidRDefault="00C86A5C" w:rsidP="00C86A5C">
            <w:pPr>
              <w:pStyle w:val="TableBody"/>
              <w:jc w:val="center"/>
            </w:pPr>
            <w:r>
              <w:rPr>
                <w:rFonts w:cs="Arial"/>
              </w:rPr>
              <w:t>≈</w:t>
            </w:r>
            <w:r>
              <w:t xml:space="preserve"> 60 km</w:t>
            </w:r>
          </w:p>
        </w:tc>
        <w:tc>
          <w:tcPr>
            <w:tcW w:w="4111" w:type="dxa"/>
            <w:shd w:val="clear" w:color="auto" w:fill="auto"/>
          </w:tcPr>
          <w:p w14:paraId="774A0984" w14:textId="5EF34E9D" w:rsidR="00C86A5C" w:rsidRDefault="00C86A5C" w:rsidP="00C86A5C">
            <w:pPr>
              <w:pStyle w:val="TableBody"/>
            </w:pPr>
            <w:r>
              <w:t>Assuming free space lo</w:t>
            </w:r>
            <w:r w:rsidR="008E42B0">
              <w:t>s</w:t>
            </w:r>
            <w:r>
              <w:t>s and smooth earth diffraction (</w:t>
            </w:r>
            <w:r w:rsidR="00707312">
              <w:t xml:space="preserve">with </w:t>
            </w:r>
            <w:r>
              <w:t>k = 4/3 and f = 3950 MHz)</w:t>
            </w:r>
          </w:p>
        </w:tc>
      </w:tr>
    </w:tbl>
    <w:p w14:paraId="5A6C208E" w14:textId="0CC086F7" w:rsidR="00CB139F" w:rsidRDefault="00CB139F" w:rsidP="001A76B8">
      <w:pPr>
        <w:pStyle w:val="Paragraph"/>
        <w:ind w:left="284"/>
      </w:pPr>
    </w:p>
    <w:p w14:paraId="05C1EC1C" w14:textId="51E75B2A" w:rsidR="00D55E1F" w:rsidRDefault="00D55E1F" w:rsidP="001A76B8">
      <w:pPr>
        <w:pStyle w:val="Tableheading"/>
        <w:tabs>
          <w:tab w:val="clear" w:pos="964"/>
          <w:tab w:val="num" w:pos="1248"/>
        </w:tabs>
        <w:ind w:left="1248"/>
      </w:pPr>
      <w:bookmarkStart w:id="90" w:name="_Hlk32927685"/>
      <w:r w:rsidRPr="005C3BEA">
        <w:t xml:space="preserve">Protection criteria for </w:t>
      </w:r>
      <w:r w:rsidR="003B40AC">
        <w:t>PMP BS</w:t>
      </w:r>
      <w:r w:rsidRPr="005C3BEA">
        <w:t xml:space="preserve"> </w:t>
      </w:r>
      <w:r w:rsidR="003B40AC">
        <w:t>Rx</w:t>
      </w:r>
      <w:r w:rsidRPr="005C3BEA">
        <w:t xml:space="preserve"> with bandwidths of 20</w:t>
      </w:r>
      <w:r>
        <w:t> </w:t>
      </w:r>
      <w:r w:rsidRPr="005C3BEA">
        <w:t>MHz or less</w:t>
      </w:r>
      <w:bookmarkEnd w:id="90"/>
    </w:p>
    <w:tbl>
      <w:tblPr>
        <w:tblStyle w:val="TableGrid"/>
        <w:tblW w:w="0" w:type="auto"/>
        <w:tblInd w:w="171" w:type="dxa"/>
        <w:tblLook w:val="04A0" w:firstRow="1" w:lastRow="0" w:firstColumn="1" w:lastColumn="0" w:noHBand="0" w:noVBand="1"/>
      </w:tblPr>
      <w:tblGrid>
        <w:gridCol w:w="2122"/>
        <w:gridCol w:w="3544"/>
      </w:tblGrid>
      <w:tr w:rsidR="00D55E1F" w14:paraId="1C5257EB" w14:textId="77777777" w:rsidTr="00DC2F3C">
        <w:tc>
          <w:tcPr>
            <w:tcW w:w="2122" w:type="dxa"/>
            <w:shd w:val="clear" w:color="auto" w:fill="404040" w:themeFill="text1" w:themeFillTint="BF"/>
          </w:tcPr>
          <w:p w14:paraId="7B8B9701" w14:textId="13969BCF" w:rsidR="00D55E1F" w:rsidRPr="00DC2F3C" w:rsidRDefault="00D55E1F" w:rsidP="00D55E1F">
            <w:pPr>
              <w:pStyle w:val="Tableheaderrow"/>
              <w:rPr>
                <w:color w:val="FFFFFF" w:themeColor="background1"/>
              </w:rPr>
            </w:pPr>
            <w:bookmarkStart w:id="91" w:name="_Hlk32927677"/>
            <w:r w:rsidRPr="00DC2F3C">
              <w:rPr>
                <w:color w:val="FFFFFF" w:themeColor="background1"/>
              </w:rPr>
              <w:t>Frequency offset from licence edge</w:t>
            </w:r>
          </w:p>
        </w:tc>
        <w:tc>
          <w:tcPr>
            <w:tcW w:w="3544" w:type="dxa"/>
            <w:shd w:val="clear" w:color="auto" w:fill="404040" w:themeFill="text1" w:themeFillTint="BF"/>
          </w:tcPr>
          <w:p w14:paraId="352D0CD7" w14:textId="77777777" w:rsidR="00D55E1F" w:rsidRPr="00DC2F3C" w:rsidRDefault="00D55E1F" w:rsidP="00D55E1F">
            <w:pPr>
              <w:pStyle w:val="Tableheaderrow"/>
              <w:rPr>
                <w:color w:val="FFFFFF" w:themeColor="background1"/>
              </w:rPr>
            </w:pPr>
            <w:r w:rsidRPr="00DC2F3C">
              <w:rPr>
                <w:color w:val="FFFFFF" w:themeColor="background1"/>
              </w:rPr>
              <w:t>Base station protection criteria</w:t>
            </w:r>
            <w:r w:rsidRPr="00DC2F3C">
              <w:rPr>
                <w:color w:val="FFFFFF" w:themeColor="background1"/>
              </w:rPr>
              <w:br/>
              <w:t>(at the input of the receiver)</w:t>
            </w:r>
          </w:p>
        </w:tc>
      </w:tr>
      <w:tr w:rsidR="00D55E1F" w14:paraId="768055B6" w14:textId="77777777" w:rsidTr="00DC2F3C">
        <w:tc>
          <w:tcPr>
            <w:tcW w:w="2122" w:type="dxa"/>
          </w:tcPr>
          <w:p w14:paraId="1E03949C" w14:textId="77777777" w:rsidR="00D55E1F" w:rsidRDefault="00D55E1F" w:rsidP="000C7251">
            <w:pPr>
              <w:keepNext/>
              <w:spacing w:before="20" w:after="20"/>
            </w:pPr>
            <w:r w:rsidRPr="001E720A">
              <w:t>Co-channel</w:t>
            </w:r>
          </w:p>
        </w:tc>
        <w:tc>
          <w:tcPr>
            <w:tcW w:w="3544" w:type="dxa"/>
          </w:tcPr>
          <w:p w14:paraId="0A68EE08" w14:textId="535BACC9" w:rsidR="00D55E1F" w:rsidRDefault="00D55E1F" w:rsidP="000C7251">
            <w:pPr>
              <w:keepNext/>
              <w:spacing w:before="20" w:after="20"/>
            </w:pPr>
            <w:r w:rsidRPr="001E720A">
              <w:t>–11</w:t>
            </w:r>
            <w:r>
              <w:t>0</w:t>
            </w:r>
            <w:r w:rsidRPr="001E720A">
              <w:t xml:space="preserve"> dBm/MHz</w:t>
            </w:r>
          </w:p>
        </w:tc>
      </w:tr>
      <w:tr w:rsidR="00D55E1F" w14:paraId="061C9758" w14:textId="77777777" w:rsidTr="00DC2F3C">
        <w:tc>
          <w:tcPr>
            <w:tcW w:w="2122" w:type="dxa"/>
          </w:tcPr>
          <w:p w14:paraId="346518C9" w14:textId="77777777" w:rsidR="00D55E1F" w:rsidRDefault="00D55E1F" w:rsidP="000C7251">
            <w:pPr>
              <w:keepNext/>
              <w:spacing w:before="20" w:after="20"/>
            </w:pPr>
            <w:r w:rsidRPr="001E720A">
              <w:t>≤ 5 MHz</w:t>
            </w:r>
          </w:p>
        </w:tc>
        <w:tc>
          <w:tcPr>
            <w:tcW w:w="3544" w:type="dxa"/>
          </w:tcPr>
          <w:p w14:paraId="25749FA1" w14:textId="22A7991F" w:rsidR="00D55E1F" w:rsidRDefault="00D55E1F" w:rsidP="000C7251">
            <w:pPr>
              <w:keepNext/>
              <w:spacing w:before="20" w:after="20"/>
            </w:pPr>
            <w:r w:rsidRPr="001E720A">
              <w:t>–</w:t>
            </w:r>
            <w:r w:rsidR="0027348A">
              <w:t>47</w:t>
            </w:r>
            <w:r w:rsidRPr="001E720A">
              <w:t xml:space="preserve"> dBm/</w:t>
            </w:r>
            <w:r w:rsidR="0027348A">
              <w:t xml:space="preserve">5 </w:t>
            </w:r>
            <w:r w:rsidRPr="001E720A">
              <w:t>MHz</w:t>
            </w:r>
          </w:p>
        </w:tc>
      </w:tr>
      <w:tr w:rsidR="00D55E1F" w14:paraId="5CBFB770" w14:textId="77777777" w:rsidTr="00DC2F3C">
        <w:tc>
          <w:tcPr>
            <w:tcW w:w="2122" w:type="dxa"/>
          </w:tcPr>
          <w:p w14:paraId="11E6B2C2" w14:textId="77777777" w:rsidR="00D55E1F" w:rsidRDefault="00D55E1F" w:rsidP="000C7251">
            <w:pPr>
              <w:keepNext/>
              <w:spacing w:before="20" w:after="20"/>
            </w:pPr>
            <w:r w:rsidRPr="001E720A">
              <w:t>&gt; 5 MHz</w:t>
            </w:r>
          </w:p>
        </w:tc>
        <w:tc>
          <w:tcPr>
            <w:tcW w:w="3544" w:type="dxa"/>
          </w:tcPr>
          <w:p w14:paraId="5A648142" w14:textId="6102AFC3" w:rsidR="00D55E1F" w:rsidRDefault="00D55E1F" w:rsidP="000C7251">
            <w:pPr>
              <w:keepNext/>
              <w:spacing w:before="20" w:after="20"/>
            </w:pPr>
            <w:r w:rsidRPr="001E720A">
              <w:t>–</w:t>
            </w:r>
            <w:r w:rsidR="0027348A">
              <w:t>38</w:t>
            </w:r>
            <w:r w:rsidRPr="001E720A">
              <w:t xml:space="preserve"> dBm/</w:t>
            </w:r>
            <w:r w:rsidR="0027348A">
              <w:t xml:space="preserve">5 </w:t>
            </w:r>
            <w:r w:rsidRPr="001E720A">
              <w:t>MHz</w:t>
            </w:r>
          </w:p>
        </w:tc>
      </w:tr>
    </w:tbl>
    <w:p w14:paraId="41ED2432" w14:textId="77777777" w:rsidR="00D55E1F" w:rsidRDefault="00D55E1F" w:rsidP="001A76B8">
      <w:pPr>
        <w:spacing w:after="0"/>
        <w:ind w:left="284"/>
      </w:pPr>
    </w:p>
    <w:p w14:paraId="0901446B" w14:textId="77777777" w:rsidR="002913EC" w:rsidRDefault="002913EC">
      <w:pPr>
        <w:spacing w:after="0" w:line="240" w:lineRule="auto"/>
        <w:rPr>
          <w:b/>
          <w:bCs/>
          <w:color w:val="323232"/>
          <w:szCs w:val="20"/>
        </w:rPr>
      </w:pPr>
      <w:r>
        <w:br w:type="page"/>
      </w:r>
    </w:p>
    <w:p w14:paraId="41926A34" w14:textId="60A730A0" w:rsidR="00D55E1F" w:rsidRDefault="00D55E1F" w:rsidP="001A76B8">
      <w:pPr>
        <w:pStyle w:val="Tableheading"/>
        <w:tabs>
          <w:tab w:val="clear" w:pos="964"/>
          <w:tab w:val="num" w:pos="1248"/>
        </w:tabs>
        <w:ind w:left="1248" w:right="-126"/>
      </w:pPr>
      <w:r w:rsidRPr="005C3BEA">
        <w:lastRenderedPageBreak/>
        <w:t xml:space="preserve">Protection criteria for </w:t>
      </w:r>
      <w:r w:rsidR="003B40AC">
        <w:t>PMP BS Rx</w:t>
      </w:r>
      <w:r w:rsidRPr="005C3BEA">
        <w:t xml:space="preserve"> with bandwidths greater than 20</w:t>
      </w:r>
      <w:r>
        <w:t> MHz</w:t>
      </w:r>
    </w:p>
    <w:tbl>
      <w:tblPr>
        <w:tblStyle w:val="TableGrid"/>
        <w:tblW w:w="0" w:type="auto"/>
        <w:tblInd w:w="171" w:type="dxa"/>
        <w:tblLook w:val="04A0" w:firstRow="1" w:lastRow="0" w:firstColumn="1" w:lastColumn="0" w:noHBand="0" w:noVBand="1"/>
      </w:tblPr>
      <w:tblGrid>
        <w:gridCol w:w="2122"/>
        <w:gridCol w:w="3544"/>
      </w:tblGrid>
      <w:tr w:rsidR="00D55E1F" w14:paraId="44159AC1" w14:textId="77777777" w:rsidTr="00DC2F3C">
        <w:tc>
          <w:tcPr>
            <w:tcW w:w="2122" w:type="dxa"/>
            <w:shd w:val="clear" w:color="auto" w:fill="404040" w:themeFill="text1" w:themeFillTint="BF"/>
          </w:tcPr>
          <w:p w14:paraId="29013724" w14:textId="4F85765B" w:rsidR="00D55E1F" w:rsidRPr="00D55E1F" w:rsidRDefault="00D55E1F" w:rsidP="00D55E1F">
            <w:pPr>
              <w:pStyle w:val="Tableheaderrow"/>
              <w:rPr>
                <w:color w:val="FFFFFF" w:themeColor="background1"/>
              </w:rPr>
            </w:pPr>
            <w:r w:rsidRPr="00D55E1F">
              <w:rPr>
                <w:color w:val="FFFFFF" w:themeColor="background1"/>
              </w:rPr>
              <w:t>Frequency offset from licence edge</w:t>
            </w:r>
          </w:p>
        </w:tc>
        <w:tc>
          <w:tcPr>
            <w:tcW w:w="3544" w:type="dxa"/>
            <w:shd w:val="clear" w:color="auto" w:fill="404040" w:themeFill="text1" w:themeFillTint="BF"/>
          </w:tcPr>
          <w:p w14:paraId="2EAD2949" w14:textId="77777777" w:rsidR="00D55E1F" w:rsidRPr="00D55E1F" w:rsidRDefault="00D55E1F" w:rsidP="00D55E1F">
            <w:pPr>
              <w:pStyle w:val="Tableheaderrow"/>
              <w:rPr>
                <w:color w:val="FFFFFF" w:themeColor="background1"/>
              </w:rPr>
            </w:pPr>
            <w:r w:rsidRPr="00D55E1F">
              <w:rPr>
                <w:color w:val="FFFFFF" w:themeColor="background1"/>
              </w:rPr>
              <w:t>Base station protection criteria</w:t>
            </w:r>
            <w:r w:rsidRPr="00D55E1F">
              <w:rPr>
                <w:color w:val="FFFFFF" w:themeColor="background1"/>
              </w:rPr>
              <w:br/>
              <w:t>(at the input of the receiver)</w:t>
            </w:r>
          </w:p>
        </w:tc>
      </w:tr>
      <w:tr w:rsidR="00D55E1F" w14:paraId="697360A2" w14:textId="77777777" w:rsidTr="00DC2F3C">
        <w:tc>
          <w:tcPr>
            <w:tcW w:w="2122" w:type="dxa"/>
          </w:tcPr>
          <w:p w14:paraId="0BDEB1A9" w14:textId="77777777" w:rsidR="00D55E1F" w:rsidRDefault="00D55E1F" w:rsidP="000C7251">
            <w:pPr>
              <w:keepNext/>
              <w:spacing w:before="20" w:after="20"/>
            </w:pPr>
            <w:r w:rsidRPr="001E720A">
              <w:t>Co-channel</w:t>
            </w:r>
          </w:p>
        </w:tc>
        <w:tc>
          <w:tcPr>
            <w:tcW w:w="3544" w:type="dxa"/>
          </w:tcPr>
          <w:p w14:paraId="7952682C" w14:textId="4DFD7FB3" w:rsidR="00D55E1F" w:rsidRDefault="00D55E1F" w:rsidP="000C7251">
            <w:pPr>
              <w:keepNext/>
              <w:spacing w:before="20" w:after="20"/>
            </w:pPr>
            <w:r w:rsidRPr="001E720A">
              <w:t>–11</w:t>
            </w:r>
            <w:r>
              <w:t>0</w:t>
            </w:r>
            <w:r w:rsidRPr="001E720A">
              <w:t xml:space="preserve"> dBm/</w:t>
            </w:r>
            <w:r>
              <w:t>MHz</w:t>
            </w:r>
          </w:p>
        </w:tc>
      </w:tr>
      <w:tr w:rsidR="0027348A" w14:paraId="1233E7A6" w14:textId="77777777" w:rsidTr="00DC2F3C">
        <w:tc>
          <w:tcPr>
            <w:tcW w:w="2122" w:type="dxa"/>
          </w:tcPr>
          <w:p w14:paraId="0A4F2269" w14:textId="77777777" w:rsidR="0027348A" w:rsidRDefault="0027348A" w:rsidP="0027348A">
            <w:pPr>
              <w:keepNext/>
              <w:spacing w:before="20" w:after="20"/>
            </w:pPr>
            <w:r w:rsidRPr="001E720A">
              <w:t xml:space="preserve">≤ </w:t>
            </w:r>
            <w:r>
              <w:t>20 </w:t>
            </w:r>
            <w:r w:rsidRPr="001E720A">
              <w:t>MHz</w:t>
            </w:r>
          </w:p>
        </w:tc>
        <w:tc>
          <w:tcPr>
            <w:tcW w:w="3544" w:type="dxa"/>
          </w:tcPr>
          <w:p w14:paraId="18E7DDC7" w14:textId="253BE54B" w:rsidR="0027348A" w:rsidRDefault="0027348A" w:rsidP="0027348A">
            <w:pPr>
              <w:keepNext/>
              <w:spacing w:before="20" w:after="20"/>
            </w:pPr>
            <w:r w:rsidRPr="001E720A">
              <w:t>–</w:t>
            </w:r>
            <w:r>
              <w:t>47</w:t>
            </w:r>
            <w:r w:rsidRPr="001E720A">
              <w:t xml:space="preserve"> dBm/</w:t>
            </w:r>
            <w:r>
              <w:t xml:space="preserve">20 </w:t>
            </w:r>
            <w:r w:rsidRPr="001E720A">
              <w:t>MHz</w:t>
            </w:r>
          </w:p>
        </w:tc>
      </w:tr>
      <w:tr w:rsidR="0027348A" w14:paraId="1A1130D8" w14:textId="77777777" w:rsidTr="00DC2F3C">
        <w:tc>
          <w:tcPr>
            <w:tcW w:w="2122" w:type="dxa"/>
          </w:tcPr>
          <w:p w14:paraId="6C4A824D" w14:textId="77777777" w:rsidR="0027348A" w:rsidRDefault="0027348A" w:rsidP="0027348A">
            <w:pPr>
              <w:keepNext/>
              <w:spacing w:before="20" w:after="20"/>
            </w:pPr>
            <w:r w:rsidRPr="001E720A">
              <w:t xml:space="preserve">&gt; </w:t>
            </w:r>
            <w:r>
              <w:t>20 </w:t>
            </w:r>
            <w:r w:rsidRPr="001E720A">
              <w:t>MHz</w:t>
            </w:r>
          </w:p>
        </w:tc>
        <w:tc>
          <w:tcPr>
            <w:tcW w:w="3544" w:type="dxa"/>
          </w:tcPr>
          <w:p w14:paraId="0175AA41" w14:textId="1F64DE60" w:rsidR="0027348A" w:rsidRDefault="0027348A" w:rsidP="0027348A">
            <w:pPr>
              <w:keepNext/>
              <w:spacing w:before="20" w:after="20"/>
            </w:pPr>
            <w:r w:rsidRPr="001E720A">
              <w:t>–</w:t>
            </w:r>
            <w:r>
              <w:t>38</w:t>
            </w:r>
            <w:r w:rsidRPr="001E720A">
              <w:t xml:space="preserve"> dBm/</w:t>
            </w:r>
            <w:r>
              <w:t xml:space="preserve">20 </w:t>
            </w:r>
            <w:r w:rsidRPr="001E720A">
              <w:t>MHz</w:t>
            </w:r>
          </w:p>
        </w:tc>
      </w:tr>
      <w:bookmarkEnd w:id="91"/>
    </w:tbl>
    <w:p w14:paraId="51066EDF" w14:textId="77777777" w:rsidR="00D55E1F" w:rsidRDefault="00D55E1F" w:rsidP="001A76B8">
      <w:pPr>
        <w:pStyle w:val="Paragraph"/>
        <w:ind w:left="284"/>
      </w:pPr>
    </w:p>
    <w:p w14:paraId="12C9864E" w14:textId="09BA9D72" w:rsidR="003C3B93" w:rsidRPr="00E162C4" w:rsidRDefault="003C3B93" w:rsidP="001A76B8">
      <w:pPr>
        <w:pStyle w:val="Heading2"/>
        <w:ind w:left="284"/>
      </w:pPr>
      <w:bookmarkStart w:id="92" w:name="_Toc178948551"/>
      <w:r>
        <w:t>Amateur services (3300-3600 MHz)</w:t>
      </w:r>
      <w:bookmarkEnd w:id="92"/>
    </w:p>
    <w:p w14:paraId="05EFD462" w14:textId="26BF20B7" w:rsidR="00474A45" w:rsidRDefault="003C3B93" w:rsidP="001A76B8">
      <w:pPr>
        <w:ind w:left="284"/>
      </w:pPr>
      <w:r>
        <w:t xml:space="preserve">The </w:t>
      </w:r>
      <w:hyperlink r:id="rId50" w:history="1">
        <w:r w:rsidRPr="00D632EC">
          <w:rPr>
            <w:rStyle w:val="Hyperlink"/>
            <w:i/>
            <w:iCs/>
          </w:rPr>
          <w:t>Radiocommunications Licence Conditions (Amateur Licence) Determination 2015</w:t>
        </w:r>
      </w:hyperlink>
      <w:r>
        <w:t xml:space="preserve"> allows Advanced Amateur licensees to operate in the 3300–3600 MHz </w:t>
      </w:r>
      <w:r w:rsidR="00645552">
        <w:t>frequency range</w:t>
      </w:r>
      <w:r>
        <w:t xml:space="preserve"> in defined geographical areas. </w:t>
      </w:r>
      <w:r w:rsidR="00474A45">
        <w:t xml:space="preserve">It is noted that amateur operation in metro and regional Australia is not authorised in the 3400-3600 MHz </w:t>
      </w:r>
      <w:r w:rsidR="00645552">
        <w:t>frequency range</w:t>
      </w:r>
      <w:r w:rsidR="00474A45">
        <w:t>.</w:t>
      </w:r>
    </w:p>
    <w:p w14:paraId="58320B4B" w14:textId="15E32AFB" w:rsidR="003C3B93" w:rsidRDefault="003C3B93" w:rsidP="001A76B8">
      <w:pPr>
        <w:ind w:left="284"/>
      </w:pPr>
      <w:r>
        <w:t xml:space="preserve">The </w:t>
      </w:r>
      <w:hyperlink r:id="rId51" w:history="1">
        <w:r w:rsidRPr="00D632EC">
          <w:rPr>
            <w:rStyle w:val="Hyperlink"/>
            <w:i/>
            <w:iCs/>
          </w:rPr>
          <w:t>Australian Radiofrequency Spectrum Plan</w:t>
        </w:r>
      </w:hyperlink>
      <w:r>
        <w:t xml:space="preserve"> sets a secondary status for all Amateur services in the 3300–3600 MHz </w:t>
      </w:r>
      <w:r w:rsidR="00645552">
        <w:t>frequency range</w:t>
      </w:r>
      <w:r>
        <w:t>. This status means that incumbent amateur services must not cause interference to a primary service and cannot claim protection from interference from a primary service. HL WBB is considered a primary service.</w:t>
      </w:r>
      <w:r w:rsidR="00474A45">
        <w:t xml:space="preserve"> </w:t>
      </w:r>
    </w:p>
    <w:p w14:paraId="45B1B466" w14:textId="35031B73" w:rsidR="00751BED" w:rsidRDefault="00751BED" w:rsidP="00751BED">
      <w:pPr>
        <w:ind w:left="284"/>
      </w:pPr>
      <w:r>
        <w:t xml:space="preserve">It is proposed that Amateur Beacon and Repeater licensees coordinate with HL WBB assuming the protection criteria defined in Tables 6 and 7. </w:t>
      </w:r>
    </w:p>
    <w:p w14:paraId="12E8157D" w14:textId="692E898F" w:rsidR="003C3B93" w:rsidRPr="00EC1D2F" w:rsidRDefault="003C3B93" w:rsidP="001A76B8">
      <w:pPr>
        <w:ind w:left="284"/>
      </w:pPr>
      <w:r>
        <w:t xml:space="preserve">Coordination of HL WBB </w:t>
      </w:r>
      <w:r w:rsidR="00751BED">
        <w:t xml:space="preserve">transmitter </w:t>
      </w:r>
      <w:r>
        <w:t xml:space="preserve">with Amateur Beacon or Repeater licences operating in the 3300–3600 MHz </w:t>
      </w:r>
      <w:r w:rsidR="00645552">
        <w:t>frequency range</w:t>
      </w:r>
      <w:r>
        <w:t xml:space="preserve"> can be conducted </w:t>
      </w:r>
      <w:r w:rsidR="00751BED">
        <w:t xml:space="preserve">assuming </w:t>
      </w:r>
      <w:r>
        <w:t>the</w:t>
      </w:r>
      <w:r w:rsidR="00DF3ACD">
        <w:t xml:space="preserve"> notional receiver performance levels and compatibility requirement set out in Schedules 1 and 2 to the </w:t>
      </w:r>
      <w:hyperlink r:id="rId52" w:history="1">
        <w:r w:rsidR="00DF3ACD" w:rsidRPr="00EE4132">
          <w:rPr>
            <w:rStyle w:val="Hyperlink"/>
            <w:i/>
            <w:iCs/>
          </w:rPr>
          <w:t>Radiocommunications Advisory Guidelines (Managing Interference to Spectrum Licensed Receivers — 3.4 GHz Band) 2015</w:t>
        </w:r>
      </w:hyperlink>
      <w:r w:rsidR="00AF55C6">
        <w:t xml:space="preserve"> (RAG Rx),</w:t>
      </w:r>
      <w:r w:rsidR="00DF3ACD">
        <w:t xml:space="preserve"> as in force from time to time, or any instrument made under section 262 of the </w:t>
      </w:r>
      <w:r w:rsidR="00DF3ACD" w:rsidRPr="00EE4132">
        <w:rPr>
          <w:i/>
          <w:iCs/>
        </w:rPr>
        <w:t>Radiocommunications Act 1992</w:t>
      </w:r>
      <w:r w:rsidR="00DF3ACD">
        <w:t xml:space="preserve"> to replace it.</w:t>
      </w:r>
      <w:r w:rsidR="00354EB8">
        <w:t xml:space="preserve"> Alternatively, if more reliable or accurate parameters for the amateur system are known these can be used instead.</w:t>
      </w:r>
      <w:r w:rsidRPr="00C43F60">
        <w:t xml:space="preserve"> In the event coordination indicates that interference may occur</w:t>
      </w:r>
      <w:r>
        <w:t>, it is recommended that the prospective licensees notify</w:t>
      </w:r>
      <w:r>
        <w:rPr>
          <w:rStyle w:val="FootnoteReference"/>
        </w:rPr>
        <w:footnoteReference w:id="7"/>
      </w:r>
      <w:r>
        <w:t xml:space="preserve"> and make reasonable efforts to work with the affected amateur licensees operating to enable coexistence and prevent harmful interference from occurring. However, in the event there is no practical solution, services operated under a HL WBB licence have priority (i.e. Amateur services cannot claim protection from or cause interference to a HL WBB service).</w:t>
      </w:r>
    </w:p>
    <w:p w14:paraId="2EA73B9C" w14:textId="3D5C4838" w:rsidR="00AC4251" w:rsidRPr="00E162C4" w:rsidRDefault="00AC4251" w:rsidP="001A76B8">
      <w:pPr>
        <w:pStyle w:val="Heading2"/>
        <w:ind w:left="284"/>
      </w:pPr>
      <w:bookmarkStart w:id="93" w:name="_Toc178948552"/>
      <w:r>
        <w:t>E</w:t>
      </w:r>
      <w:r w:rsidR="007E4E93">
        <w:t xml:space="preserve">arth </w:t>
      </w:r>
      <w:r>
        <w:t>S</w:t>
      </w:r>
      <w:r w:rsidR="007E4E93">
        <w:t xml:space="preserve">tation </w:t>
      </w:r>
      <w:r>
        <w:t>P</w:t>
      </w:r>
      <w:r w:rsidR="007E4E93">
        <w:t xml:space="preserve">rotection </w:t>
      </w:r>
      <w:r>
        <w:t>Z</w:t>
      </w:r>
      <w:r w:rsidR="007E4E93">
        <w:t>one</w:t>
      </w:r>
      <w:r>
        <w:t>s (3400-4200 MHz)</w:t>
      </w:r>
      <w:bookmarkEnd w:id="93"/>
    </w:p>
    <w:p w14:paraId="60A695A7" w14:textId="2F4C5D08" w:rsidR="00AC4251" w:rsidRDefault="00145466" w:rsidP="001A76B8">
      <w:pPr>
        <w:pStyle w:val="Paragraph"/>
        <w:ind w:left="284"/>
      </w:pPr>
      <w:r>
        <w:t xml:space="preserve">HL </w:t>
      </w:r>
      <w:r w:rsidR="00B416C8">
        <w:t xml:space="preserve">WBB will be restricted from deploying within the Earth station protection zones (ESPZ) specified in RALI MS44 </w:t>
      </w:r>
      <w:hyperlink r:id="rId53" w:history="1">
        <w:r w:rsidR="00B416C8" w:rsidRPr="00B416C8">
          <w:rPr>
            <w:rStyle w:val="Hyperlink"/>
            <w:i/>
            <w:iCs/>
          </w:rPr>
          <w:t>Frequency coordination procedures for the earth station protection zones</w:t>
        </w:r>
      </w:hyperlink>
      <w:r w:rsidR="00B416C8">
        <w:t xml:space="preserve">. </w:t>
      </w:r>
    </w:p>
    <w:p w14:paraId="004F8BE8" w14:textId="6E2B9335" w:rsidR="00145466" w:rsidRDefault="00145466" w:rsidP="001A76B8">
      <w:pPr>
        <w:pStyle w:val="Paragraph"/>
        <w:ind w:left="284"/>
      </w:pPr>
      <w:r>
        <w:t xml:space="preserve">Proposed HL WBB services within </w:t>
      </w:r>
      <w:r w:rsidR="009803FC">
        <w:t>5</w:t>
      </w:r>
      <w:r>
        <w:t>0 km of the coordination points defined in Appendix A of RALI MS44 will need to follow the assessment criteria defined in that RALI. The distance of 50 km is based on the calculation in the table below.</w:t>
      </w:r>
    </w:p>
    <w:p w14:paraId="0E9CE1DB" w14:textId="5AB10D71" w:rsidR="00145466" w:rsidRPr="00E162C4" w:rsidRDefault="00145466" w:rsidP="001A76B8">
      <w:pPr>
        <w:pStyle w:val="Tableheading"/>
        <w:tabs>
          <w:tab w:val="clear" w:pos="964"/>
          <w:tab w:val="num" w:pos="1248"/>
        </w:tabs>
        <w:ind w:left="1248"/>
      </w:pPr>
      <w:r>
        <w:lastRenderedPageBreak/>
        <w:t>ESPZ cull distance calculator</w:t>
      </w:r>
    </w:p>
    <w:tbl>
      <w:tblPr>
        <w:tblStyle w:val="ACMAtablestyle"/>
        <w:tblW w:w="8075" w:type="dxa"/>
        <w:tblInd w:w="222" w:type="dxa"/>
        <w:tblLayout w:type="fixed"/>
        <w:tblLook w:val="01E0" w:firstRow="1" w:lastRow="1" w:firstColumn="1" w:lastColumn="1" w:noHBand="0" w:noVBand="0"/>
        <w:tblCaption w:val="Table title to go here"/>
        <w:tblDescription w:val="Table description to go here"/>
      </w:tblPr>
      <w:tblGrid>
        <w:gridCol w:w="2691"/>
        <w:gridCol w:w="2692"/>
        <w:gridCol w:w="2692"/>
      </w:tblGrid>
      <w:tr w:rsidR="00145466" w:rsidRPr="00E162C4" w14:paraId="396B5E04" w14:textId="77777777" w:rsidTr="00E813F4">
        <w:trPr>
          <w:cnfStyle w:val="100000000000" w:firstRow="1" w:lastRow="0" w:firstColumn="0" w:lastColumn="0" w:oddVBand="0" w:evenVBand="0" w:oddHBand="0" w:evenHBand="0" w:firstRowFirstColumn="0" w:firstRowLastColumn="0" w:lastRowFirstColumn="0" w:lastRowLastColumn="0"/>
        </w:trPr>
        <w:tc>
          <w:tcPr>
            <w:tcW w:w="2691" w:type="dxa"/>
          </w:tcPr>
          <w:p w14:paraId="33914DF3" w14:textId="7BD7E176" w:rsidR="00145466" w:rsidRPr="00E162C4" w:rsidRDefault="00145466" w:rsidP="000C7251">
            <w:pPr>
              <w:pStyle w:val="Tableheaderrow"/>
            </w:pPr>
            <w:r>
              <w:t>Parameter</w:t>
            </w:r>
          </w:p>
        </w:tc>
        <w:tc>
          <w:tcPr>
            <w:tcW w:w="2692" w:type="dxa"/>
          </w:tcPr>
          <w:p w14:paraId="68683060" w14:textId="611BF35B" w:rsidR="00145466" w:rsidRPr="00E162C4" w:rsidRDefault="00145466" w:rsidP="00346FFE">
            <w:pPr>
              <w:pStyle w:val="Tableheaderrow"/>
              <w:jc w:val="center"/>
            </w:pPr>
            <w:r>
              <w:t>Value</w:t>
            </w:r>
          </w:p>
        </w:tc>
        <w:tc>
          <w:tcPr>
            <w:tcW w:w="2692" w:type="dxa"/>
          </w:tcPr>
          <w:p w14:paraId="0014CF8F" w14:textId="2246227C" w:rsidR="00145466" w:rsidRPr="00A85C35" w:rsidRDefault="00145466" w:rsidP="000C7251">
            <w:pPr>
              <w:pStyle w:val="Tableheaderrow"/>
            </w:pPr>
            <w:r>
              <w:t>Reference</w:t>
            </w:r>
          </w:p>
        </w:tc>
      </w:tr>
      <w:tr w:rsidR="00145466" w:rsidRPr="00E162C4" w14:paraId="62870E04" w14:textId="77777777" w:rsidTr="00E813F4">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67029AB7" w14:textId="74115ED6" w:rsidR="00145466" w:rsidRPr="00145466" w:rsidRDefault="00145466" w:rsidP="000C7251">
            <w:pPr>
              <w:pStyle w:val="TableBody"/>
              <w:rPr>
                <w:vertAlign w:val="subscript"/>
              </w:rPr>
            </w:pPr>
            <w:r>
              <w:t>Receiver Gain</w:t>
            </w:r>
          </w:p>
        </w:tc>
        <w:tc>
          <w:tcPr>
            <w:tcW w:w="2692" w:type="dxa"/>
            <w:shd w:val="clear" w:color="auto" w:fill="auto"/>
          </w:tcPr>
          <w:p w14:paraId="31D38C3F" w14:textId="1AA9ED9D" w:rsidR="00145466" w:rsidRDefault="009803FC" w:rsidP="00346FFE">
            <w:pPr>
              <w:pStyle w:val="TableBody"/>
              <w:jc w:val="center"/>
            </w:pPr>
            <w:r>
              <w:t xml:space="preserve">2.6 </w:t>
            </w:r>
            <w:proofErr w:type="spellStart"/>
            <w:r>
              <w:t>dBi</w:t>
            </w:r>
            <w:proofErr w:type="spellEnd"/>
          </w:p>
          <w:p w14:paraId="69F64F18" w14:textId="52B62C6F" w:rsidR="009803FC" w:rsidRPr="00E162C4" w:rsidRDefault="009803FC" w:rsidP="00346FFE">
            <w:pPr>
              <w:pStyle w:val="TableBody"/>
              <w:jc w:val="center"/>
            </w:pPr>
          </w:p>
        </w:tc>
        <w:tc>
          <w:tcPr>
            <w:tcW w:w="2692" w:type="dxa"/>
            <w:shd w:val="clear" w:color="auto" w:fill="auto"/>
          </w:tcPr>
          <w:p w14:paraId="6AECBC86" w14:textId="1D1F4A79" w:rsidR="00145466" w:rsidRDefault="00145466" w:rsidP="000C7251">
            <w:pPr>
              <w:pStyle w:val="TableBody"/>
            </w:pPr>
            <w:r>
              <w:t xml:space="preserve">Recommendation ITU-R S.465, and </w:t>
            </w:r>
          </w:p>
          <w:p w14:paraId="29454C26" w14:textId="4F50D448" w:rsidR="00145466" w:rsidRPr="00E162C4" w:rsidRDefault="00145466" w:rsidP="000C7251">
            <w:pPr>
              <w:pStyle w:val="TableBody"/>
            </w:pPr>
            <w:r>
              <w:t>RALI MS 44 - minimum 15</w:t>
            </w:r>
            <w:r>
              <w:rPr>
                <w:rFonts w:cs="Arial"/>
              </w:rPr>
              <w:t>°</w:t>
            </w:r>
            <w:r>
              <w:t xml:space="preserve"> elevation angle</w:t>
            </w:r>
          </w:p>
        </w:tc>
      </w:tr>
      <w:tr w:rsidR="00145466" w:rsidRPr="00E162C4" w14:paraId="55E23727" w14:textId="77777777" w:rsidTr="00E813F4">
        <w:trPr>
          <w:cnfStyle w:val="000000010000" w:firstRow="0" w:lastRow="0" w:firstColumn="0" w:lastColumn="0" w:oddVBand="0" w:evenVBand="0" w:oddHBand="0" w:evenHBand="1" w:firstRowFirstColumn="0" w:firstRowLastColumn="0" w:lastRowFirstColumn="0" w:lastRowLastColumn="0"/>
        </w:trPr>
        <w:tc>
          <w:tcPr>
            <w:tcW w:w="2691" w:type="dxa"/>
          </w:tcPr>
          <w:p w14:paraId="7231A2D7" w14:textId="64543800" w:rsidR="00145466" w:rsidRPr="00E162C4" w:rsidRDefault="00145466" w:rsidP="000C7251">
            <w:pPr>
              <w:pStyle w:val="TableBody"/>
            </w:pPr>
            <w:r>
              <w:t>EIRP</w:t>
            </w:r>
          </w:p>
        </w:tc>
        <w:tc>
          <w:tcPr>
            <w:tcW w:w="2692" w:type="dxa"/>
          </w:tcPr>
          <w:p w14:paraId="754107D1" w14:textId="6FFEAF38" w:rsidR="00145466" w:rsidRPr="00E162C4" w:rsidRDefault="00145466" w:rsidP="00346FFE">
            <w:pPr>
              <w:pStyle w:val="TableBody"/>
              <w:jc w:val="center"/>
            </w:pPr>
            <w:r>
              <w:t>17 dBm/MHz</w:t>
            </w:r>
          </w:p>
        </w:tc>
        <w:tc>
          <w:tcPr>
            <w:tcW w:w="2692" w:type="dxa"/>
          </w:tcPr>
          <w:p w14:paraId="5AD5C48D" w14:textId="68A20EF2" w:rsidR="00145466" w:rsidRPr="00E162C4" w:rsidRDefault="00145466" w:rsidP="000C7251">
            <w:pPr>
              <w:pStyle w:val="TableBody"/>
            </w:pPr>
            <w:r>
              <w:t>Proposed maximum EIRP for HL WBB</w:t>
            </w:r>
          </w:p>
        </w:tc>
      </w:tr>
      <w:tr w:rsidR="00145466" w:rsidRPr="00E162C4" w14:paraId="74C7069C" w14:textId="77777777" w:rsidTr="00E813F4">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626ABC84" w14:textId="60E95E32" w:rsidR="00145466" w:rsidRPr="00E162C4" w:rsidRDefault="009803FC" w:rsidP="000C7251">
            <w:pPr>
              <w:pStyle w:val="TableBody"/>
            </w:pPr>
            <w:r>
              <w:t>Receiver height</w:t>
            </w:r>
          </w:p>
        </w:tc>
        <w:tc>
          <w:tcPr>
            <w:tcW w:w="2692" w:type="dxa"/>
            <w:shd w:val="clear" w:color="auto" w:fill="auto"/>
          </w:tcPr>
          <w:p w14:paraId="33CEFCA1" w14:textId="6880D266" w:rsidR="00145466" w:rsidRPr="00E162C4" w:rsidRDefault="009803FC" w:rsidP="00346FFE">
            <w:pPr>
              <w:pStyle w:val="TableBody"/>
              <w:jc w:val="center"/>
            </w:pPr>
            <w:r>
              <w:t>100 m</w:t>
            </w:r>
          </w:p>
        </w:tc>
        <w:tc>
          <w:tcPr>
            <w:tcW w:w="2692" w:type="dxa"/>
            <w:shd w:val="clear" w:color="auto" w:fill="auto"/>
          </w:tcPr>
          <w:p w14:paraId="26BE7CD0" w14:textId="7DB60E94" w:rsidR="00145466" w:rsidRPr="00E162C4" w:rsidRDefault="009803FC" w:rsidP="000C7251">
            <w:pPr>
              <w:pStyle w:val="TableBody"/>
            </w:pPr>
            <w:r>
              <w:t>Assumed worst case based on location of Uralla earth station facility</w:t>
            </w:r>
          </w:p>
        </w:tc>
      </w:tr>
      <w:tr w:rsidR="00145466" w:rsidRPr="00E162C4" w14:paraId="33B71737" w14:textId="77777777" w:rsidTr="00E813F4">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5B0A5349" w14:textId="3F3936E9" w:rsidR="00145466" w:rsidRPr="00E162C4" w:rsidRDefault="009803FC" w:rsidP="000C7251">
            <w:pPr>
              <w:pStyle w:val="TableBody"/>
            </w:pPr>
            <w:r>
              <w:t>Transmitter height</w:t>
            </w:r>
          </w:p>
        </w:tc>
        <w:tc>
          <w:tcPr>
            <w:tcW w:w="2692" w:type="dxa"/>
            <w:shd w:val="clear" w:color="auto" w:fill="auto"/>
          </w:tcPr>
          <w:p w14:paraId="3629EC7D" w14:textId="192E1E32" w:rsidR="00145466" w:rsidRPr="00E162C4" w:rsidRDefault="009803FC" w:rsidP="00346FFE">
            <w:pPr>
              <w:pStyle w:val="TableBody"/>
              <w:jc w:val="center"/>
            </w:pPr>
            <w:r>
              <w:t>10 m</w:t>
            </w:r>
          </w:p>
        </w:tc>
        <w:tc>
          <w:tcPr>
            <w:tcW w:w="2692" w:type="dxa"/>
            <w:shd w:val="clear" w:color="auto" w:fill="auto"/>
          </w:tcPr>
          <w:p w14:paraId="01625081" w14:textId="756F54A3" w:rsidR="00145466" w:rsidRPr="00E162C4" w:rsidRDefault="009803FC" w:rsidP="000C7251">
            <w:pPr>
              <w:pStyle w:val="TableBody"/>
            </w:pPr>
            <w:r>
              <w:t>Assumption</w:t>
            </w:r>
          </w:p>
        </w:tc>
      </w:tr>
      <w:tr w:rsidR="00145466" w:rsidRPr="00E162C4" w14:paraId="1DC60E69" w14:textId="77777777" w:rsidTr="00E813F4">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12027539" w14:textId="68033049" w:rsidR="00145466" w:rsidRPr="00E162C4" w:rsidRDefault="009803FC" w:rsidP="000C7251">
            <w:pPr>
              <w:pStyle w:val="TableBody"/>
            </w:pPr>
            <w:r>
              <w:t>Protection criteria</w:t>
            </w:r>
          </w:p>
        </w:tc>
        <w:tc>
          <w:tcPr>
            <w:tcW w:w="2692" w:type="dxa"/>
            <w:shd w:val="clear" w:color="auto" w:fill="auto"/>
          </w:tcPr>
          <w:p w14:paraId="0357BB54" w14:textId="568DAE49" w:rsidR="00145466" w:rsidRPr="00E162C4" w:rsidRDefault="009803FC" w:rsidP="00346FFE">
            <w:pPr>
              <w:pStyle w:val="TableBody"/>
              <w:jc w:val="center"/>
            </w:pPr>
            <w:r>
              <w:t>-128.6 dBm/MHz</w:t>
            </w:r>
          </w:p>
        </w:tc>
        <w:tc>
          <w:tcPr>
            <w:tcW w:w="2692" w:type="dxa"/>
            <w:shd w:val="clear" w:color="auto" w:fill="auto"/>
          </w:tcPr>
          <w:p w14:paraId="57BA3668" w14:textId="3F2BDC2E" w:rsidR="00145466" w:rsidRPr="00E162C4" w:rsidRDefault="009803FC" w:rsidP="000C7251">
            <w:pPr>
              <w:pStyle w:val="TableBody"/>
            </w:pPr>
            <w:r>
              <w:t>RALI MS44</w:t>
            </w:r>
          </w:p>
        </w:tc>
      </w:tr>
      <w:tr w:rsidR="00145466" w:rsidRPr="00E162C4" w14:paraId="0DD313C8" w14:textId="77777777" w:rsidTr="00E813F4">
        <w:trPr>
          <w:cnfStyle w:val="000000010000" w:firstRow="0" w:lastRow="0" w:firstColumn="0" w:lastColumn="0" w:oddVBand="0" w:evenVBand="0" w:oddHBand="0" w:evenHBand="1" w:firstRowFirstColumn="0" w:firstRowLastColumn="0" w:lastRowFirstColumn="0" w:lastRowLastColumn="0"/>
        </w:trPr>
        <w:tc>
          <w:tcPr>
            <w:tcW w:w="2691" w:type="dxa"/>
            <w:shd w:val="clear" w:color="auto" w:fill="auto"/>
          </w:tcPr>
          <w:p w14:paraId="52238D0A" w14:textId="0D104DB9" w:rsidR="00145466" w:rsidRPr="00E162C4" w:rsidRDefault="009803FC" w:rsidP="000C7251">
            <w:pPr>
              <w:pStyle w:val="TableBody"/>
            </w:pPr>
            <w:r>
              <w:t>Required path loss</w:t>
            </w:r>
          </w:p>
        </w:tc>
        <w:tc>
          <w:tcPr>
            <w:tcW w:w="2692" w:type="dxa"/>
            <w:shd w:val="clear" w:color="auto" w:fill="auto"/>
          </w:tcPr>
          <w:p w14:paraId="38E689A2" w14:textId="1EED99F8" w:rsidR="00145466" w:rsidRPr="00E162C4" w:rsidRDefault="00346FFE" w:rsidP="00346FFE">
            <w:pPr>
              <w:pStyle w:val="TableBody"/>
              <w:jc w:val="center"/>
            </w:pPr>
            <w:r>
              <w:t>148.1 dB</w:t>
            </w:r>
          </w:p>
        </w:tc>
        <w:tc>
          <w:tcPr>
            <w:tcW w:w="2692" w:type="dxa"/>
            <w:shd w:val="clear" w:color="auto" w:fill="auto"/>
          </w:tcPr>
          <w:p w14:paraId="7F3ACCE3" w14:textId="1D2857F0" w:rsidR="00145466" w:rsidRPr="00E162C4" w:rsidRDefault="009803FC" w:rsidP="000C7251">
            <w:pPr>
              <w:pStyle w:val="TableBody"/>
            </w:pPr>
            <w:r>
              <w:t>Calculation</w:t>
            </w:r>
          </w:p>
        </w:tc>
      </w:tr>
      <w:tr w:rsidR="009803FC" w:rsidRPr="00E162C4" w14:paraId="0903F852" w14:textId="77777777" w:rsidTr="00E813F4">
        <w:trPr>
          <w:cnfStyle w:val="000000100000" w:firstRow="0" w:lastRow="0" w:firstColumn="0" w:lastColumn="0" w:oddVBand="0" w:evenVBand="0" w:oddHBand="1" w:evenHBand="0" w:firstRowFirstColumn="0" w:firstRowLastColumn="0" w:lastRowFirstColumn="0" w:lastRowLastColumn="0"/>
        </w:trPr>
        <w:tc>
          <w:tcPr>
            <w:tcW w:w="2691" w:type="dxa"/>
            <w:shd w:val="clear" w:color="auto" w:fill="auto"/>
          </w:tcPr>
          <w:p w14:paraId="23486B2B" w14:textId="18DAB28B" w:rsidR="009803FC" w:rsidRDefault="009803FC" w:rsidP="000C7251">
            <w:pPr>
              <w:pStyle w:val="TableBody"/>
            </w:pPr>
            <w:r>
              <w:t>Separation distance</w:t>
            </w:r>
          </w:p>
        </w:tc>
        <w:tc>
          <w:tcPr>
            <w:tcW w:w="2692" w:type="dxa"/>
            <w:shd w:val="clear" w:color="auto" w:fill="auto"/>
          </w:tcPr>
          <w:p w14:paraId="2C440A64" w14:textId="5D626517" w:rsidR="009803FC" w:rsidRPr="00E162C4" w:rsidRDefault="00346FFE" w:rsidP="00346FFE">
            <w:pPr>
              <w:pStyle w:val="TableBody"/>
              <w:jc w:val="center"/>
            </w:pPr>
            <w:r>
              <w:rPr>
                <w:rFonts w:cs="Arial"/>
              </w:rPr>
              <w:t>≈</w:t>
            </w:r>
            <w:r>
              <w:t xml:space="preserve"> 50 km</w:t>
            </w:r>
          </w:p>
        </w:tc>
        <w:tc>
          <w:tcPr>
            <w:tcW w:w="2692" w:type="dxa"/>
            <w:shd w:val="clear" w:color="auto" w:fill="auto"/>
          </w:tcPr>
          <w:p w14:paraId="494F79E4" w14:textId="6F429253" w:rsidR="009803FC" w:rsidRDefault="009803FC" w:rsidP="000C7251">
            <w:pPr>
              <w:pStyle w:val="TableBody"/>
            </w:pPr>
            <w:r>
              <w:t>Assuming free space loos and smooth earth diffraction</w:t>
            </w:r>
            <w:r w:rsidR="00346FFE">
              <w:t xml:space="preserve"> (k = 4/3 and f = 3950 MHz)</w:t>
            </w:r>
          </w:p>
        </w:tc>
      </w:tr>
    </w:tbl>
    <w:p w14:paraId="77D02C6A" w14:textId="0844E921" w:rsidR="00145466" w:rsidRDefault="00145466" w:rsidP="001A76B8">
      <w:pPr>
        <w:pStyle w:val="Paragraph"/>
        <w:ind w:left="284"/>
      </w:pPr>
    </w:p>
    <w:p w14:paraId="6A90C227" w14:textId="1DA507A8" w:rsidR="00896E67" w:rsidRPr="00E162C4" w:rsidRDefault="00896E67" w:rsidP="001A76B8">
      <w:pPr>
        <w:pStyle w:val="Heading2"/>
        <w:ind w:left="284"/>
      </w:pPr>
      <w:bookmarkStart w:id="94" w:name="_Toc178948553"/>
      <w:r>
        <w:t>Fixed satellite service (3400-4200 MHz)</w:t>
      </w:r>
      <w:bookmarkEnd w:id="94"/>
    </w:p>
    <w:p w14:paraId="6D939657" w14:textId="41913283" w:rsidR="000D00B6" w:rsidRPr="000D00B6" w:rsidRDefault="000D00B6" w:rsidP="001A76B8">
      <w:pPr>
        <w:pStyle w:val="Paragraph"/>
        <w:ind w:left="284"/>
      </w:pPr>
      <w:r>
        <w:t xml:space="preserve">Fixed satellite earth station receivers may operate under either an earth receive licence or </w:t>
      </w:r>
      <w:r w:rsidR="00135F48">
        <w:t xml:space="preserve">(proposed to be) </w:t>
      </w:r>
      <w:r>
        <w:t xml:space="preserve">area-wide receive licence (AWL Rx). </w:t>
      </w:r>
      <w:r w:rsidR="00696EF0">
        <w:t xml:space="preserve">The issue of </w:t>
      </w:r>
      <w:r>
        <w:t xml:space="preserve">AWL Rx licences are </w:t>
      </w:r>
      <w:r w:rsidR="00135F48">
        <w:t xml:space="preserve">proposed to be </w:t>
      </w:r>
      <w:r>
        <w:t xml:space="preserve">restricted to the 3750/3800 – 4000 MHz </w:t>
      </w:r>
      <w:r w:rsidR="00645552">
        <w:t>frequency range</w:t>
      </w:r>
      <w:r>
        <w:t xml:space="preserve"> in </w:t>
      </w:r>
      <w:r w:rsidR="00135F48">
        <w:t>regional and metro</w:t>
      </w:r>
      <w:r>
        <w:t xml:space="preserve"> areas. </w:t>
      </w:r>
    </w:p>
    <w:p w14:paraId="23066335" w14:textId="57491364" w:rsidR="00C244EF" w:rsidRDefault="00C244EF" w:rsidP="001A76B8">
      <w:pPr>
        <w:pStyle w:val="Heading3"/>
        <w:ind w:left="284"/>
      </w:pPr>
      <w:r>
        <w:t>3400–3600 MHz </w:t>
      </w:r>
      <w:r w:rsidR="00185350">
        <w:t>frequency range</w:t>
      </w:r>
    </w:p>
    <w:p w14:paraId="4718AD56" w14:textId="347B6F85" w:rsidR="00C244EF" w:rsidRDefault="00C244EF" w:rsidP="001A76B8">
      <w:pPr>
        <w:ind w:left="284"/>
      </w:pPr>
      <w:bookmarkStart w:id="95" w:name="_Hlk148535206"/>
      <w:r>
        <w:t xml:space="preserve">Protection of and </w:t>
      </w:r>
      <w:bookmarkEnd w:id="95"/>
      <w:r>
        <w:t xml:space="preserve">coordination with Earth station receivers operating in the 3400–3600 MHz </w:t>
      </w:r>
      <w:r w:rsidR="00185350">
        <w:t>frequency range</w:t>
      </w:r>
      <w:r>
        <w:t xml:space="preserve"> is detailed in Part 4.2 of the </w:t>
      </w:r>
      <w:hyperlink r:id="rId54" w:history="1">
        <w:r w:rsidRPr="00C34869">
          <w:rPr>
            <w:rStyle w:val="Hyperlink"/>
            <w:i/>
            <w:iCs/>
          </w:rPr>
          <w:t>Radiocommunications Advisory Guidelines (Managing Interference from Spectrum Licensed Transmitters — 3.4 GHz Band) 2015</w:t>
        </w:r>
      </w:hyperlink>
      <w:r>
        <w:t>.</w:t>
      </w:r>
    </w:p>
    <w:p w14:paraId="18BEA837" w14:textId="43B6E6FB" w:rsidR="00C244EF" w:rsidRDefault="00C244EF" w:rsidP="001A76B8">
      <w:pPr>
        <w:ind w:left="284"/>
      </w:pPr>
      <w:r>
        <w:t xml:space="preserve">It is noted that Earth station receivers operate on a secondary basis in the 3400–3600 MHz </w:t>
      </w:r>
      <w:r w:rsidR="00185350">
        <w:t>frequency range</w:t>
      </w:r>
      <w:r>
        <w:t xml:space="preserve">. Therefore, in the event coordination indicates that interference may occur, prospective </w:t>
      </w:r>
      <w:r w:rsidR="00CF1A79">
        <w:t>HL WBB</w:t>
      </w:r>
      <w:r>
        <w:t xml:space="preserve"> licensees must notify</w:t>
      </w:r>
      <w:r>
        <w:rPr>
          <w:rStyle w:val="FootnoteReference"/>
        </w:rPr>
        <w:footnoteReference w:id="8"/>
      </w:r>
      <w:r>
        <w:t xml:space="preserve"> and make reasonable efforts to work with the affected Earth station licensees operating in the 3400–3600 MHz </w:t>
      </w:r>
      <w:r w:rsidR="00185350">
        <w:t>frequency range</w:t>
      </w:r>
      <w:r>
        <w:t xml:space="preserve"> to enable coexistence. If there is no practical solution, services operated under a </w:t>
      </w:r>
      <w:r w:rsidR="00CF1A79">
        <w:t xml:space="preserve">HL WBB </w:t>
      </w:r>
      <w:r>
        <w:t>licence ha</w:t>
      </w:r>
      <w:r w:rsidR="00CF1A79">
        <w:t>s</w:t>
      </w:r>
      <w:r>
        <w:t xml:space="preserve"> priority.</w:t>
      </w:r>
    </w:p>
    <w:p w14:paraId="65481600" w14:textId="55111AD0" w:rsidR="00C244EF" w:rsidRDefault="00C244EF" w:rsidP="001A76B8">
      <w:pPr>
        <w:pStyle w:val="Heading3"/>
        <w:ind w:left="284"/>
      </w:pPr>
      <w:r>
        <w:t>3600–4200 MHz </w:t>
      </w:r>
      <w:r w:rsidR="00185350">
        <w:t>frequency range</w:t>
      </w:r>
    </w:p>
    <w:p w14:paraId="4189BC94" w14:textId="2C11153A" w:rsidR="00CF1A79" w:rsidRDefault="00C244EF" w:rsidP="001A76B8">
      <w:pPr>
        <w:ind w:left="284"/>
      </w:pPr>
      <w:r>
        <w:t xml:space="preserve">Protection of and coordination with Earth station receivers operating in the 3600–4200 MHz </w:t>
      </w:r>
      <w:r w:rsidR="00185350">
        <w:t>frequency range</w:t>
      </w:r>
      <w:r>
        <w:t xml:space="preserve"> is detailed in Part</w:t>
      </w:r>
      <w:r w:rsidR="00520FEB">
        <w:t>s</w:t>
      </w:r>
      <w:r>
        <w:t> 4.3</w:t>
      </w:r>
      <w:r w:rsidR="00520FEB">
        <w:t>, 4.4 and 4.5</w:t>
      </w:r>
      <w:r>
        <w:t xml:space="preserve"> of the </w:t>
      </w:r>
      <w:hyperlink r:id="rId55" w:history="1">
        <w:r w:rsidRPr="00C34869">
          <w:rPr>
            <w:rStyle w:val="Hyperlink"/>
            <w:i/>
            <w:iCs/>
          </w:rPr>
          <w:t>Radiocommunications Advisory Guidelines (Managing Interference from Spectrum Licensed Transmitters — 3.4 GHz Band) 2015</w:t>
        </w:r>
      </w:hyperlink>
      <w:r w:rsidR="009070AF">
        <w:t xml:space="preserve"> – with the modifications detailed below </w:t>
      </w:r>
      <w:r w:rsidR="00520FEB">
        <w:t xml:space="preserve"> </w:t>
      </w:r>
      <w:r w:rsidR="007E4E93">
        <w:t xml:space="preserve">It </w:t>
      </w:r>
      <w:r w:rsidR="00520FEB">
        <w:t xml:space="preserve">is proposed that </w:t>
      </w:r>
      <w:r w:rsidR="00CF1A79">
        <w:t xml:space="preserve">HL WBB cannot be licensed within the spectrum space of an AWL Rx unless agreed to by all </w:t>
      </w:r>
      <w:r w:rsidR="00213B7F">
        <w:t xml:space="preserve">affected </w:t>
      </w:r>
      <w:r w:rsidR="00CF1A79">
        <w:t xml:space="preserve">licensees. </w:t>
      </w:r>
    </w:p>
    <w:p w14:paraId="0CCA1BEE" w14:textId="77777777" w:rsidR="0076442A" w:rsidRDefault="009070AF" w:rsidP="00EE4132">
      <w:pPr>
        <w:spacing w:after="80"/>
        <w:ind w:left="284"/>
      </w:pPr>
      <w:bookmarkStart w:id="96" w:name="_Hlk161240095"/>
      <w:r>
        <w:lastRenderedPageBreak/>
        <w:t xml:space="preserve">The separation distance that coordination with </w:t>
      </w:r>
      <w:r w:rsidR="0076442A">
        <w:t xml:space="preserve">an </w:t>
      </w:r>
      <w:r>
        <w:t>earth receive licence is required has been modified to account for the low power nature of HL WBB</w:t>
      </w:r>
      <w:r w:rsidR="0076442A">
        <w:t>:</w:t>
      </w:r>
    </w:p>
    <w:p w14:paraId="5C78A93F" w14:textId="67841175" w:rsidR="009070AF" w:rsidRDefault="0076442A" w:rsidP="0076442A">
      <w:pPr>
        <w:pStyle w:val="ListParagraph"/>
        <w:numPr>
          <w:ilvl w:val="0"/>
          <w:numId w:val="72"/>
        </w:numPr>
        <w:rPr>
          <w:rFonts w:ascii="Arial" w:eastAsia="Times New Roman" w:hAnsi="Arial"/>
          <w:sz w:val="20"/>
          <w:szCs w:val="24"/>
          <w:lang w:eastAsia="en-AU"/>
        </w:rPr>
      </w:pPr>
      <w:r w:rsidRPr="00EE4132">
        <w:rPr>
          <w:rFonts w:ascii="Arial" w:eastAsia="Times New Roman" w:hAnsi="Arial"/>
          <w:sz w:val="20"/>
          <w:szCs w:val="24"/>
          <w:u w:val="single"/>
          <w:lang w:eastAsia="en-AU"/>
        </w:rPr>
        <w:t>Co-channel:</w:t>
      </w:r>
      <w:r w:rsidRPr="00EE4132">
        <w:rPr>
          <w:rFonts w:ascii="Arial" w:eastAsia="Times New Roman" w:hAnsi="Arial"/>
          <w:sz w:val="20"/>
          <w:szCs w:val="24"/>
          <w:lang w:eastAsia="en-AU"/>
        </w:rPr>
        <w:t xml:space="preserve"> </w:t>
      </w:r>
      <w:r w:rsidR="009919AE">
        <w:rPr>
          <w:rFonts w:ascii="Arial" w:eastAsia="Times New Roman" w:hAnsi="Arial"/>
          <w:sz w:val="20"/>
          <w:szCs w:val="24"/>
          <w:lang w:eastAsia="en-AU"/>
        </w:rPr>
        <w:t>6</w:t>
      </w:r>
      <w:r w:rsidRPr="00EE4132">
        <w:rPr>
          <w:rFonts w:ascii="Arial" w:eastAsia="Times New Roman" w:hAnsi="Arial"/>
          <w:sz w:val="20"/>
          <w:szCs w:val="24"/>
          <w:lang w:eastAsia="en-AU"/>
        </w:rPr>
        <w:t xml:space="preserve">0 km. This is based on the calculation provided in the ESPZ section </w:t>
      </w:r>
      <w:r w:rsidR="009919AE">
        <w:rPr>
          <w:rFonts w:ascii="Arial" w:eastAsia="Times New Roman" w:hAnsi="Arial"/>
          <w:sz w:val="20"/>
          <w:szCs w:val="24"/>
          <w:lang w:eastAsia="en-AU"/>
        </w:rPr>
        <w:t>and a 5</w:t>
      </w:r>
      <w:r w:rsidR="009919AE">
        <w:rPr>
          <w:rFonts w:ascii="Arial" w:eastAsia="Times New Roman" w:hAnsi="Arial" w:cs="Arial"/>
          <w:sz w:val="20"/>
          <w:szCs w:val="24"/>
          <w:lang w:eastAsia="en-AU"/>
        </w:rPr>
        <w:t>°</w:t>
      </w:r>
      <w:r w:rsidR="009919AE">
        <w:rPr>
          <w:rFonts w:ascii="Arial" w:eastAsia="Times New Roman" w:hAnsi="Arial"/>
          <w:sz w:val="20"/>
          <w:szCs w:val="24"/>
          <w:lang w:eastAsia="en-AU"/>
        </w:rPr>
        <w:t xml:space="preserve"> minimum elevation angle for FSS ES</w:t>
      </w:r>
      <w:r w:rsidRPr="00EE4132">
        <w:rPr>
          <w:rFonts w:ascii="Arial" w:eastAsia="Times New Roman" w:hAnsi="Arial"/>
          <w:sz w:val="20"/>
          <w:szCs w:val="24"/>
          <w:lang w:eastAsia="en-AU"/>
        </w:rPr>
        <w:t xml:space="preserve">. </w:t>
      </w:r>
    </w:p>
    <w:p w14:paraId="6A6C8194" w14:textId="77777777" w:rsidR="009919AE" w:rsidRPr="00EE4132" w:rsidRDefault="0076442A" w:rsidP="0076442A">
      <w:pPr>
        <w:pStyle w:val="ListParagraph"/>
        <w:numPr>
          <w:ilvl w:val="0"/>
          <w:numId w:val="72"/>
        </w:numPr>
        <w:rPr>
          <w:rFonts w:ascii="Arial" w:eastAsia="Times New Roman" w:hAnsi="Arial"/>
          <w:sz w:val="20"/>
          <w:szCs w:val="24"/>
          <w:u w:val="single"/>
          <w:lang w:eastAsia="en-AU"/>
        </w:rPr>
      </w:pPr>
      <w:r w:rsidRPr="00EE4132">
        <w:rPr>
          <w:rFonts w:ascii="Arial" w:eastAsia="Times New Roman" w:hAnsi="Arial"/>
          <w:sz w:val="20"/>
          <w:szCs w:val="24"/>
          <w:u w:val="single"/>
          <w:lang w:eastAsia="en-AU"/>
        </w:rPr>
        <w:t xml:space="preserve">Adjacent channel: </w:t>
      </w:r>
    </w:p>
    <w:p w14:paraId="6954C190" w14:textId="173A72FC" w:rsidR="009919AE" w:rsidRDefault="009919AE" w:rsidP="009919AE">
      <w:pPr>
        <w:pStyle w:val="ListParagraph"/>
        <w:numPr>
          <w:ilvl w:val="1"/>
          <w:numId w:val="72"/>
        </w:numPr>
        <w:rPr>
          <w:rFonts w:ascii="Arial" w:eastAsia="Times New Roman" w:hAnsi="Arial"/>
          <w:sz w:val="20"/>
          <w:szCs w:val="24"/>
          <w:lang w:eastAsia="en-AU"/>
        </w:rPr>
      </w:pPr>
      <w:r>
        <w:rPr>
          <w:rFonts w:ascii="Arial" w:eastAsia="Times New Roman" w:hAnsi="Arial"/>
          <w:sz w:val="20"/>
          <w:szCs w:val="24"/>
          <w:lang w:eastAsia="en-AU"/>
        </w:rPr>
        <w:t xml:space="preserve">HL WBB in 3400-3475 MHz </w:t>
      </w:r>
      <w:r w:rsidRPr="009919AE">
        <w:rPr>
          <w:rFonts w:ascii="Arial" w:eastAsia="Times New Roman" w:hAnsi="Arial"/>
          <w:sz w:val="20"/>
          <w:szCs w:val="24"/>
          <w:lang w:eastAsia="en-AU"/>
        </w:rPr>
        <w:sym w:font="Wingdings" w:char="F0E0"/>
      </w:r>
      <w:r>
        <w:rPr>
          <w:rFonts w:ascii="Arial" w:eastAsia="Times New Roman" w:hAnsi="Arial"/>
          <w:sz w:val="20"/>
          <w:szCs w:val="24"/>
          <w:lang w:eastAsia="en-AU"/>
        </w:rPr>
        <w:t xml:space="preserve"> </w:t>
      </w:r>
      <w:r w:rsidR="00643742">
        <w:rPr>
          <w:rFonts w:ascii="Arial" w:eastAsia="Times New Roman" w:hAnsi="Arial"/>
          <w:sz w:val="20"/>
          <w:szCs w:val="24"/>
          <w:lang w:eastAsia="en-AU"/>
        </w:rPr>
        <w:t>2 km</w:t>
      </w:r>
    </w:p>
    <w:p w14:paraId="588592A6" w14:textId="13F1B7E3" w:rsidR="009919AE" w:rsidRDefault="009919AE" w:rsidP="00EE4132">
      <w:pPr>
        <w:pStyle w:val="ListParagraph"/>
        <w:numPr>
          <w:ilvl w:val="1"/>
          <w:numId w:val="72"/>
        </w:numPr>
        <w:spacing w:after="0"/>
        <w:rPr>
          <w:rFonts w:ascii="Arial" w:eastAsia="Times New Roman" w:hAnsi="Arial"/>
          <w:sz w:val="20"/>
          <w:szCs w:val="24"/>
          <w:lang w:eastAsia="en-AU"/>
        </w:rPr>
      </w:pPr>
      <w:r>
        <w:rPr>
          <w:rFonts w:ascii="Arial" w:eastAsia="Times New Roman" w:hAnsi="Arial"/>
          <w:sz w:val="20"/>
          <w:szCs w:val="24"/>
          <w:lang w:eastAsia="en-AU"/>
        </w:rPr>
        <w:t xml:space="preserve">HL WBB in 3950-4000 MHz </w:t>
      </w:r>
      <w:r w:rsidRPr="009919AE">
        <w:rPr>
          <w:rFonts w:ascii="Arial" w:eastAsia="Times New Roman" w:hAnsi="Arial"/>
          <w:sz w:val="20"/>
          <w:szCs w:val="24"/>
          <w:lang w:eastAsia="en-AU"/>
        </w:rPr>
        <w:sym w:font="Wingdings" w:char="F0E0"/>
      </w:r>
      <w:r>
        <w:rPr>
          <w:rFonts w:ascii="Arial" w:eastAsia="Times New Roman" w:hAnsi="Arial"/>
          <w:sz w:val="20"/>
          <w:szCs w:val="24"/>
          <w:lang w:eastAsia="en-AU"/>
        </w:rPr>
        <w:t xml:space="preserve"> </w:t>
      </w:r>
      <w:r w:rsidR="00E81908">
        <w:rPr>
          <w:rFonts w:ascii="Arial" w:eastAsia="Times New Roman" w:hAnsi="Arial"/>
          <w:sz w:val="20"/>
          <w:szCs w:val="24"/>
          <w:lang w:eastAsia="en-AU"/>
        </w:rPr>
        <w:t>5</w:t>
      </w:r>
      <w:r w:rsidR="0076442A">
        <w:rPr>
          <w:rFonts w:ascii="Arial" w:eastAsia="Times New Roman" w:hAnsi="Arial"/>
          <w:sz w:val="20"/>
          <w:szCs w:val="24"/>
          <w:lang w:eastAsia="en-AU"/>
        </w:rPr>
        <w:t xml:space="preserve"> km</w:t>
      </w:r>
      <w:r>
        <w:rPr>
          <w:rFonts w:ascii="Arial" w:eastAsia="Times New Roman" w:hAnsi="Arial"/>
          <w:sz w:val="20"/>
          <w:szCs w:val="24"/>
          <w:lang w:eastAsia="en-AU"/>
        </w:rPr>
        <w:t xml:space="preserve"> </w:t>
      </w:r>
    </w:p>
    <w:p w14:paraId="536C90ED" w14:textId="237F0838" w:rsidR="0076442A" w:rsidRDefault="009919AE" w:rsidP="00F30FF5">
      <w:pPr>
        <w:ind w:left="568"/>
      </w:pPr>
      <w:r w:rsidRPr="009919AE">
        <w:t>Th</w:t>
      </w:r>
      <w:r w:rsidR="00803445">
        <w:t>ese distances are</w:t>
      </w:r>
      <w:r w:rsidRPr="009919AE">
        <w:t xml:space="preserve"> based on the calculation provided in the ESPZ section and a 5</w:t>
      </w:r>
      <w:r w:rsidR="00F30FF5">
        <w:rPr>
          <w:rFonts w:cs="Arial"/>
        </w:rPr>
        <w:t>°</w:t>
      </w:r>
      <w:r w:rsidR="00F30FF5">
        <w:t xml:space="preserve"> </w:t>
      </w:r>
      <w:r w:rsidRPr="009919AE">
        <w:t>minimum elevation angle for FSS ES</w:t>
      </w:r>
      <w:r w:rsidR="00F30FF5">
        <w:t xml:space="preserve">. </w:t>
      </w:r>
      <w:r w:rsidR="00803445">
        <w:t>It also a</w:t>
      </w:r>
      <w:r w:rsidR="00F30FF5">
        <w:t xml:space="preserve">ssumes </w:t>
      </w:r>
      <w:r w:rsidR="00803445">
        <w:t xml:space="preserve">a </w:t>
      </w:r>
      <w:r w:rsidR="00F30FF5">
        <w:t>HL WBB ACLR of 50 dB for 3400</w:t>
      </w:r>
      <w:r w:rsidR="00F30FF5">
        <w:noBreakHyphen/>
        <w:t xml:space="preserve">3475 MHz and </w:t>
      </w:r>
      <w:r w:rsidR="00A522EB">
        <w:t>4</w:t>
      </w:r>
      <w:r w:rsidR="00E81908">
        <w:t>3</w:t>
      </w:r>
      <w:r w:rsidR="00F30FF5">
        <w:t xml:space="preserve"> dB for 3950-4000 MHz.</w:t>
      </w:r>
    </w:p>
    <w:p w14:paraId="3560D748" w14:textId="707F851B" w:rsidR="00803445" w:rsidRDefault="00A522EB" w:rsidP="00DC4B17">
      <w:pPr>
        <w:ind w:left="284" w:firstLine="1"/>
      </w:pPr>
      <w:r>
        <w:t xml:space="preserve">To further assist with the management of </w:t>
      </w:r>
      <w:r w:rsidR="003E144E">
        <w:t xml:space="preserve">adjacent channel </w:t>
      </w:r>
      <w:r>
        <w:t xml:space="preserve">interference, a minimum separation distance between HL WBB and FSS ES is proposed. </w:t>
      </w:r>
      <w:r w:rsidR="003E144E">
        <w:t xml:space="preserve">The minimum separation distance is defined as the </w:t>
      </w:r>
      <w:r w:rsidR="00803445">
        <w:t>distance</w:t>
      </w:r>
      <w:r w:rsidR="00DC4B17">
        <w:t xml:space="preserve"> </w:t>
      </w:r>
      <w:r w:rsidR="003E144E">
        <w:t xml:space="preserve">HL WBB and FSS ES deployments </w:t>
      </w:r>
      <w:r w:rsidR="00DC4B17">
        <w:t xml:space="preserve">are </w:t>
      </w:r>
      <w:r w:rsidR="003E144E">
        <w:t>un</w:t>
      </w:r>
      <w:r w:rsidR="00803445">
        <w:t>likely to coordinate with each other</w:t>
      </w:r>
      <w:r w:rsidR="003E144E">
        <w:t xml:space="preserve"> and the risk of </w:t>
      </w:r>
      <w:r w:rsidR="00803445">
        <w:t>interference</w:t>
      </w:r>
      <w:r w:rsidR="003E144E">
        <w:t xml:space="preserve"> is high</w:t>
      </w:r>
      <w:r w:rsidR="00DC4B17">
        <w:t xml:space="preserve">. </w:t>
      </w:r>
      <w:r w:rsidR="00803445">
        <w:t xml:space="preserve">It is noted that, meeting this minimum separation distance does not remove the need to conduct the usual site-to-site coordination activities between HL WBB and FSS ES. </w:t>
      </w:r>
      <w:r w:rsidR="009329FD">
        <w:t xml:space="preserve">This is expected to cover mange interference for scenarios where FSS ES elevations are lower or other possible scenarios. </w:t>
      </w:r>
      <w:r w:rsidR="00803445">
        <w:t xml:space="preserve"> </w:t>
      </w:r>
    </w:p>
    <w:p w14:paraId="4B6698FD" w14:textId="5084AB2A" w:rsidR="00803445" w:rsidRDefault="00803445" w:rsidP="00DC4B17">
      <w:pPr>
        <w:ind w:left="284" w:firstLine="1"/>
      </w:pPr>
      <w:r>
        <w:t>The minimum separation distance is intended to apply on a first-in-time basis between HL WBB and FSS ES registered on the RRL (whether under an AWL Rx or earth receive licence). A license (or receiver registration for AWL Rx) would not normally be issued within this range without further consideration by the ACMA. For HL WBB this would involve an applicant providing a detailed assessment of in</w:t>
      </w:r>
      <w:r w:rsidR="00695782">
        <w:t>ter</w:t>
      </w:r>
      <w:r>
        <w:t>ference. For FSS ES, it could involve a more detailed assessment of interference or agreement to include a condition of no protection on the service.</w:t>
      </w:r>
    </w:p>
    <w:p w14:paraId="3079EBB7" w14:textId="36E7857E" w:rsidR="00B50224" w:rsidRDefault="009329FD" w:rsidP="00127A53">
      <w:pPr>
        <w:spacing w:after="80"/>
        <w:ind w:left="284" w:firstLine="1"/>
      </w:pPr>
      <w:r>
        <w:t xml:space="preserve">Derivation of the </w:t>
      </w:r>
      <w:r w:rsidR="00803445">
        <w:t>minimum separation distance</w:t>
      </w:r>
      <w:r>
        <w:t xml:space="preserve"> considers </w:t>
      </w:r>
      <w:r w:rsidR="00A50C6F">
        <w:t>the in</w:t>
      </w:r>
      <w:r w:rsidR="00695782">
        <w:t>ter</w:t>
      </w:r>
      <w:r w:rsidR="00A50C6F">
        <w:t>ference scenarios of</w:t>
      </w:r>
      <w:r w:rsidR="00B50224">
        <w:t xml:space="preserve"> </w:t>
      </w:r>
      <w:r>
        <w:t>Rx overload</w:t>
      </w:r>
      <w:r w:rsidR="00395662">
        <w:t xml:space="preserve"> </w:t>
      </w:r>
      <w:r w:rsidR="00B50224">
        <w:t>and unwanted emissions falling within the FSS ES pass band. C</w:t>
      </w:r>
      <w:r w:rsidR="00127A53">
        <w:t>alculations</w:t>
      </w:r>
      <w:r w:rsidR="00B50224">
        <w:t xml:space="preserve"> assume, direct line-of-site</w:t>
      </w:r>
      <w:r w:rsidR="00A50C6F">
        <w:t xml:space="preserve"> (</w:t>
      </w:r>
      <w:r w:rsidR="005013AB">
        <w:t>a</w:t>
      </w:r>
      <w:r w:rsidR="00A50C6F">
        <w:t>s shorter distance</w:t>
      </w:r>
      <w:r w:rsidR="005013AB">
        <w:t>s</w:t>
      </w:r>
      <w:r w:rsidR="00A50C6F">
        <w:t xml:space="preserve"> increase the likelihood of this occurring)</w:t>
      </w:r>
      <w:r w:rsidR="00B50224">
        <w:t xml:space="preserve">, </w:t>
      </w:r>
      <w:r w:rsidR="00512C3C">
        <w:t xml:space="preserve">the minimum gain for FSS ES </w:t>
      </w:r>
      <w:r w:rsidR="00A50C6F">
        <w:t xml:space="preserve">antennas </w:t>
      </w:r>
      <w:r w:rsidR="00512C3C">
        <w:t>(based on Recommendation ITU-R S.465)</w:t>
      </w:r>
      <w:r w:rsidR="00B50224">
        <w:t xml:space="preserve"> and HL WBB</w:t>
      </w:r>
      <w:r w:rsidR="00A50C6F">
        <w:t xml:space="preserve"> unwanted</w:t>
      </w:r>
      <w:r w:rsidR="00B50224">
        <w:t xml:space="preserve"> emission</w:t>
      </w:r>
      <w:r w:rsidR="00A50C6F">
        <w:t>s</w:t>
      </w:r>
      <w:r w:rsidR="00B50224">
        <w:t xml:space="preserve"> for a </w:t>
      </w:r>
      <w:r w:rsidR="00561526">
        <w:t>Medium Range</w:t>
      </w:r>
      <w:r w:rsidR="00B50224">
        <w:t xml:space="preserve"> </w:t>
      </w:r>
      <w:r w:rsidR="005013AB">
        <w:t>BS</w:t>
      </w:r>
      <w:r w:rsidR="00B50224">
        <w:t xml:space="preserve"> from 3GPP TS 38.104. For the Rx overload case</w:t>
      </w:r>
      <w:r w:rsidR="00512C3C">
        <w:t xml:space="preserve"> the RF filter response in Table</w:t>
      </w:r>
      <w:r w:rsidR="00803445">
        <w:t xml:space="preserve"> 1</w:t>
      </w:r>
      <w:r w:rsidR="00512C3C">
        <w:t xml:space="preserve"> of section 4.3 of the RAG Rx</w:t>
      </w:r>
      <w:r w:rsidR="00B50224">
        <w:t xml:space="preserve"> is applied. For the unwanted emission</w:t>
      </w:r>
      <w:r w:rsidR="005013AB">
        <w:t>s</w:t>
      </w:r>
      <w:r w:rsidR="00B50224">
        <w:t xml:space="preserve"> case, it is assumed that the combined filter performance of </w:t>
      </w:r>
      <w:r w:rsidR="00A50C6F">
        <w:t xml:space="preserve">an </w:t>
      </w:r>
      <w:r w:rsidR="00B50224">
        <w:t>FSS ES is such that the unwanted emissions from HL WBB dominate frequency dependant rejection calculations</w:t>
      </w:r>
      <w:r w:rsidR="00803445">
        <w:t xml:space="preserve">. </w:t>
      </w:r>
    </w:p>
    <w:p w14:paraId="418AB8E8" w14:textId="6497CAFE" w:rsidR="00FF31C2" w:rsidRDefault="00803445" w:rsidP="00EE4132">
      <w:pPr>
        <w:spacing w:after="80"/>
        <w:ind w:left="284" w:firstLine="1"/>
      </w:pPr>
      <w:r>
        <w:t>Table 9</w:t>
      </w:r>
      <w:r w:rsidR="00127A53">
        <w:t xml:space="preserve"> </w:t>
      </w:r>
      <w:r w:rsidR="00B50224">
        <w:t xml:space="preserve">and Table 10 </w:t>
      </w:r>
      <w:r w:rsidR="00127A53">
        <w:t>summarise the calculation results</w:t>
      </w:r>
      <w:r>
        <w:t xml:space="preserve">. </w:t>
      </w:r>
      <w:r w:rsidR="008D7047">
        <w:t xml:space="preserve">Based on these </w:t>
      </w:r>
      <w:r w:rsidR="00127A53">
        <w:t>results</w:t>
      </w:r>
      <w:r w:rsidR="008D7047">
        <w:t>, t</w:t>
      </w:r>
      <w:r w:rsidR="00A522EB">
        <w:t>he following minimum separation distances are proposed</w:t>
      </w:r>
      <w:r w:rsidR="00144B48">
        <w:t xml:space="preserve"> for HL WBB in the 3400-3475 MHz and 3950-4000 MHz bands</w:t>
      </w:r>
      <w:r w:rsidR="00A522EB">
        <w:t>:</w:t>
      </w:r>
    </w:p>
    <w:p w14:paraId="3B9FB747" w14:textId="15D43B45" w:rsidR="00FF31C2" w:rsidRPr="008B1348" w:rsidRDefault="00FF31C2" w:rsidP="00FF31C2">
      <w:pPr>
        <w:pStyle w:val="ListParagraph"/>
        <w:numPr>
          <w:ilvl w:val="0"/>
          <w:numId w:val="73"/>
        </w:numPr>
      </w:pPr>
      <w:r w:rsidRPr="00FF31C2">
        <w:rPr>
          <w:rFonts w:ascii="Arial" w:eastAsia="Times New Roman" w:hAnsi="Arial"/>
          <w:sz w:val="20"/>
          <w:szCs w:val="24"/>
          <w:lang w:eastAsia="en-AU"/>
        </w:rPr>
        <w:t xml:space="preserve">channel edge frequency separations </w:t>
      </w:r>
      <w:r w:rsidR="00FD28B5">
        <w:rPr>
          <w:rFonts w:ascii="Arial" w:eastAsia="Times New Roman" w:hAnsi="Arial" w:cs="Arial"/>
          <w:sz w:val="20"/>
          <w:szCs w:val="24"/>
          <w:lang w:eastAsia="en-AU"/>
        </w:rPr>
        <w:t>&lt;</w:t>
      </w:r>
      <w:r w:rsidRPr="00FF31C2">
        <w:rPr>
          <w:rFonts w:ascii="Arial" w:eastAsia="Times New Roman" w:hAnsi="Arial"/>
          <w:sz w:val="20"/>
          <w:szCs w:val="24"/>
          <w:lang w:eastAsia="en-AU"/>
        </w:rPr>
        <w:t xml:space="preserve"> 5 MHz: 350m</w:t>
      </w:r>
      <w:r w:rsidR="0083440D">
        <w:rPr>
          <w:rFonts w:ascii="Arial" w:eastAsia="Times New Roman" w:hAnsi="Arial"/>
          <w:sz w:val="20"/>
          <w:szCs w:val="24"/>
          <w:lang w:eastAsia="en-AU"/>
        </w:rPr>
        <w:t xml:space="preserve"> </w:t>
      </w:r>
      <w:r w:rsidRPr="00FF31C2">
        <w:rPr>
          <w:rFonts w:ascii="Arial" w:eastAsia="Times New Roman" w:hAnsi="Arial"/>
          <w:sz w:val="20"/>
          <w:szCs w:val="24"/>
          <w:lang w:eastAsia="en-AU"/>
        </w:rPr>
        <w:t xml:space="preserve"> </w:t>
      </w:r>
    </w:p>
    <w:p w14:paraId="4932661E" w14:textId="09F28589" w:rsidR="00FF31C2" w:rsidRPr="008B1348" w:rsidRDefault="00FF31C2" w:rsidP="00FF31C2">
      <w:pPr>
        <w:pStyle w:val="ListParagraph"/>
        <w:numPr>
          <w:ilvl w:val="0"/>
          <w:numId w:val="73"/>
        </w:numPr>
      </w:pPr>
      <w:r w:rsidRPr="00FF31C2">
        <w:rPr>
          <w:rFonts w:ascii="Arial" w:eastAsia="Times New Roman" w:hAnsi="Arial"/>
          <w:sz w:val="20"/>
          <w:szCs w:val="24"/>
          <w:lang w:eastAsia="en-AU"/>
        </w:rPr>
        <w:t xml:space="preserve">channel edge frequency separations </w:t>
      </w:r>
      <w:r w:rsidR="00FD28B5">
        <w:rPr>
          <w:rFonts w:ascii="Arial" w:eastAsia="Times New Roman" w:hAnsi="Arial" w:cs="Arial"/>
          <w:sz w:val="20"/>
          <w:szCs w:val="24"/>
          <w:lang w:eastAsia="en-AU"/>
        </w:rPr>
        <w:t>≥</w:t>
      </w:r>
      <w:r w:rsidRPr="00FF31C2">
        <w:rPr>
          <w:rFonts w:ascii="Arial" w:eastAsia="Times New Roman" w:hAnsi="Arial"/>
          <w:sz w:val="20"/>
          <w:szCs w:val="24"/>
          <w:lang w:eastAsia="en-AU"/>
        </w:rPr>
        <w:t xml:space="preserve"> 5 MHz: </w:t>
      </w:r>
      <w:r>
        <w:rPr>
          <w:rFonts w:ascii="Arial" w:eastAsia="Times New Roman" w:hAnsi="Arial"/>
          <w:sz w:val="20"/>
          <w:szCs w:val="24"/>
          <w:lang w:eastAsia="en-AU"/>
        </w:rPr>
        <w:t>220m</w:t>
      </w:r>
      <w:r w:rsidRPr="00FF31C2">
        <w:rPr>
          <w:rFonts w:ascii="Arial" w:eastAsia="Times New Roman" w:hAnsi="Arial"/>
          <w:sz w:val="20"/>
          <w:szCs w:val="24"/>
          <w:lang w:eastAsia="en-AU"/>
        </w:rPr>
        <w:t>.</w:t>
      </w:r>
    </w:p>
    <w:p w14:paraId="7A1DBEF2" w14:textId="6E003322" w:rsidR="00FF31C2" w:rsidRDefault="006C607A" w:rsidP="00FF31C2">
      <w:pPr>
        <w:ind w:left="284"/>
      </w:pPr>
      <w:r w:rsidRPr="00144B48">
        <w:t>Th</w:t>
      </w:r>
      <w:r w:rsidR="00144B48">
        <w:t xml:space="preserve">ese separation distances </w:t>
      </w:r>
      <w:r w:rsidR="00095E7F">
        <w:t xml:space="preserve">above </w:t>
      </w:r>
      <w:r w:rsidR="00FF31C2">
        <w:t xml:space="preserve">are based on </w:t>
      </w:r>
      <w:r w:rsidR="00FF31C2" w:rsidRPr="00FF31C2">
        <w:t>the largest separations calculated in Tables 9 and 10 plus 100 m. The 100 m accounts for the ability for HL WBB operators to deploy transmitters within 100 m of the location specified on the licence.</w:t>
      </w:r>
      <w:r w:rsidR="00FF31C2" w:rsidRPr="008B1348">
        <w:rPr>
          <w:vertAlign w:val="superscript"/>
        </w:rPr>
        <w:footnoteReference w:id="9"/>
      </w:r>
      <w:r w:rsidR="00FF31C2" w:rsidRPr="00FF31C2">
        <w:rPr>
          <w:vertAlign w:val="superscript"/>
        </w:rPr>
        <w:t xml:space="preserve"> </w:t>
      </w:r>
      <w:r w:rsidR="00FF31C2" w:rsidRPr="00FF31C2">
        <w:t xml:space="preserve"> </w:t>
      </w:r>
    </w:p>
    <w:p w14:paraId="0C10E8EB" w14:textId="246B78AA" w:rsidR="00095E7F" w:rsidRDefault="0083440D" w:rsidP="00EE4132">
      <w:pPr>
        <w:ind w:left="284" w:firstLine="1"/>
      </w:pPr>
      <w:r>
        <w:t xml:space="preserve">The minimum separation distances should be measured from the location recorded on the PMP licence and an FSS ES receiver site recorded on the licence and </w:t>
      </w:r>
      <w:r>
        <w:lastRenderedPageBreak/>
        <w:t>operating in the 3400-4200 MHz band. Note for earth receive apparatus licences, earth station locations can also be recorded in special conditions on the licence.</w:t>
      </w:r>
      <w:r w:rsidR="00095E7F">
        <w:t xml:space="preserve"> </w:t>
      </w:r>
    </w:p>
    <w:bookmarkEnd w:id="96"/>
    <w:p w14:paraId="09A52A67" w14:textId="2B4D7FE1" w:rsidR="00F61D7B" w:rsidRDefault="00F61D7B" w:rsidP="00F61D7B">
      <w:pPr>
        <w:pStyle w:val="Tableheading"/>
        <w:tabs>
          <w:tab w:val="clear" w:pos="964"/>
          <w:tab w:val="num" w:pos="1248"/>
        </w:tabs>
        <w:ind w:left="1248"/>
      </w:pPr>
      <w:r>
        <w:t>Separation distance between HL WBB</w:t>
      </w:r>
      <w:r w:rsidR="006C607A">
        <w:t xml:space="preserve"> BS</w:t>
      </w:r>
      <w:r>
        <w:t xml:space="preserve"> and FSS ES (Rx</w:t>
      </w:r>
      <w:r w:rsidR="006C607A">
        <w:t> </w:t>
      </w:r>
      <w:r>
        <w:t>overload)</w:t>
      </w:r>
    </w:p>
    <w:tbl>
      <w:tblPr>
        <w:tblStyle w:val="TableGrid"/>
        <w:tblW w:w="6658" w:type="dxa"/>
        <w:tblCellMar>
          <w:top w:w="85" w:type="dxa"/>
          <w:bottom w:w="85" w:type="dxa"/>
        </w:tblCellMar>
        <w:tblLook w:val="04A0" w:firstRow="1" w:lastRow="0" w:firstColumn="1" w:lastColumn="0" w:noHBand="0" w:noVBand="1"/>
      </w:tblPr>
      <w:tblGrid>
        <w:gridCol w:w="1838"/>
        <w:gridCol w:w="1276"/>
        <w:gridCol w:w="1843"/>
        <w:gridCol w:w="1701"/>
      </w:tblGrid>
      <w:tr w:rsidR="00F61D7B" w:rsidRPr="000147B6" w14:paraId="13655EE8" w14:textId="77777777" w:rsidTr="00EE4132">
        <w:tc>
          <w:tcPr>
            <w:tcW w:w="1838" w:type="dxa"/>
            <w:shd w:val="clear" w:color="auto" w:fill="404040" w:themeFill="text1" w:themeFillTint="BF"/>
          </w:tcPr>
          <w:p w14:paraId="160E8282" w14:textId="3E0D238C" w:rsidR="00F61D7B" w:rsidRPr="003D09A8" w:rsidRDefault="00F61D7B" w:rsidP="00EE4132">
            <w:pPr>
              <w:spacing w:after="0" w:line="240" w:lineRule="auto"/>
              <w:jc w:val="center"/>
              <w:rPr>
                <w:rFonts w:cs="Arial"/>
                <w:b/>
                <w:bCs/>
                <w:color w:val="FFFFFF" w:themeColor="background1"/>
                <w:szCs w:val="20"/>
              </w:rPr>
            </w:pPr>
            <w:r>
              <w:rPr>
                <w:rFonts w:cs="Arial"/>
                <w:b/>
                <w:bCs/>
                <w:color w:val="FFFFFF" w:themeColor="background1"/>
                <w:szCs w:val="20"/>
              </w:rPr>
              <w:t>Channel edge frequency separation (MHz)</w:t>
            </w:r>
          </w:p>
        </w:tc>
        <w:tc>
          <w:tcPr>
            <w:tcW w:w="1276" w:type="dxa"/>
            <w:shd w:val="clear" w:color="auto" w:fill="404040" w:themeFill="text1" w:themeFillTint="BF"/>
          </w:tcPr>
          <w:p w14:paraId="45B17BA9" w14:textId="699E704B" w:rsidR="00F61D7B" w:rsidRPr="003D09A8" w:rsidRDefault="00F61D7B" w:rsidP="00EE4132">
            <w:pPr>
              <w:spacing w:after="0" w:line="240" w:lineRule="auto"/>
              <w:jc w:val="center"/>
              <w:rPr>
                <w:rFonts w:cs="Arial"/>
                <w:b/>
                <w:bCs/>
                <w:color w:val="FFFFFF" w:themeColor="background1"/>
                <w:szCs w:val="20"/>
              </w:rPr>
            </w:pPr>
            <w:r>
              <w:rPr>
                <w:rFonts w:cs="Arial"/>
                <w:b/>
                <w:bCs/>
                <w:color w:val="FFFFFF" w:themeColor="background1"/>
                <w:szCs w:val="20"/>
              </w:rPr>
              <w:t>FDR</w:t>
            </w:r>
            <w:r w:rsidR="009329FD">
              <w:rPr>
                <w:rStyle w:val="FootnoteReference"/>
                <w:rFonts w:cs="Arial"/>
                <w:b/>
                <w:bCs/>
                <w:color w:val="FFFFFF" w:themeColor="background1"/>
                <w:szCs w:val="20"/>
              </w:rPr>
              <w:footnoteReference w:id="10"/>
            </w:r>
            <w:r>
              <w:rPr>
                <w:rFonts w:cs="Arial"/>
                <w:b/>
                <w:bCs/>
                <w:color w:val="FFFFFF" w:themeColor="background1"/>
                <w:szCs w:val="20"/>
              </w:rPr>
              <w:t xml:space="preserve"> (dB)</w:t>
            </w:r>
          </w:p>
        </w:tc>
        <w:tc>
          <w:tcPr>
            <w:tcW w:w="1843" w:type="dxa"/>
            <w:shd w:val="clear" w:color="auto" w:fill="404040" w:themeFill="text1" w:themeFillTint="BF"/>
          </w:tcPr>
          <w:p w14:paraId="41B227B1" w14:textId="7C73D7C1" w:rsidR="00F61D7B" w:rsidRPr="003D09A8" w:rsidRDefault="00F61D7B" w:rsidP="00EE4132">
            <w:pPr>
              <w:spacing w:after="0" w:line="240" w:lineRule="auto"/>
              <w:jc w:val="center"/>
              <w:rPr>
                <w:rFonts w:cs="Arial"/>
                <w:b/>
                <w:bCs/>
                <w:color w:val="FFFFFF" w:themeColor="background1"/>
                <w:szCs w:val="20"/>
              </w:rPr>
            </w:pPr>
            <w:r>
              <w:rPr>
                <w:rFonts w:cs="Arial"/>
                <w:b/>
                <w:bCs/>
                <w:color w:val="FFFFFF" w:themeColor="background1"/>
                <w:szCs w:val="20"/>
              </w:rPr>
              <w:t>Required path loss (dB)</w:t>
            </w:r>
          </w:p>
        </w:tc>
        <w:tc>
          <w:tcPr>
            <w:tcW w:w="1701" w:type="dxa"/>
            <w:shd w:val="clear" w:color="auto" w:fill="404040" w:themeFill="text1" w:themeFillTint="BF"/>
          </w:tcPr>
          <w:p w14:paraId="6AA98A9D" w14:textId="08339F03" w:rsidR="00F61D7B" w:rsidRPr="003D09A8" w:rsidRDefault="00F61D7B" w:rsidP="00EE4132">
            <w:pPr>
              <w:spacing w:after="0" w:line="240" w:lineRule="auto"/>
              <w:jc w:val="center"/>
              <w:rPr>
                <w:rFonts w:cs="Arial"/>
                <w:b/>
                <w:bCs/>
                <w:color w:val="FFFFFF" w:themeColor="background1"/>
                <w:szCs w:val="20"/>
              </w:rPr>
            </w:pPr>
            <w:r>
              <w:rPr>
                <w:rFonts w:cs="Arial"/>
                <w:b/>
                <w:bCs/>
                <w:color w:val="FFFFFF" w:themeColor="background1"/>
                <w:szCs w:val="20"/>
              </w:rPr>
              <w:t>Separation distance (m)</w:t>
            </w:r>
          </w:p>
        </w:tc>
      </w:tr>
      <w:tr w:rsidR="00F61D7B" w:rsidRPr="009317CD" w14:paraId="11ADB346" w14:textId="77777777" w:rsidTr="00EE4132">
        <w:tc>
          <w:tcPr>
            <w:tcW w:w="1838" w:type="dxa"/>
            <w:shd w:val="clear" w:color="auto" w:fill="F2F2F2" w:themeFill="background1" w:themeFillShade="F2"/>
          </w:tcPr>
          <w:p w14:paraId="264F4C8B" w14:textId="49741BE1" w:rsidR="00F61D7B" w:rsidRPr="003D09A8" w:rsidRDefault="00F61D7B" w:rsidP="00EE4132">
            <w:pPr>
              <w:spacing w:after="0" w:line="240" w:lineRule="auto"/>
              <w:jc w:val="center"/>
              <w:rPr>
                <w:rFonts w:cs="Arial"/>
                <w:szCs w:val="20"/>
              </w:rPr>
            </w:pPr>
            <w:r>
              <w:rPr>
                <w:rFonts w:cs="Arial"/>
                <w:szCs w:val="20"/>
              </w:rPr>
              <w:t>0</w:t>
            </w:r>
          </w:p>
        </w:tc>
        <w:tc>
          <w:tcPr>
            <w:tcW w:w="1276" w:type="dxa"/>
            <w:shd w:val="clear" w:color="auto" w:fill="F2F2F2" w:themeFill="background1" w:themeFillShade="F2"/>
          </w:tcPr>
          <w:p w14:paraId="44C00E02" w14:textId="1249C05E" w:rsidR="00F61D7B" w:rsidRPr="00F61D7B" w:rsidRDefault="00F61D7B" w:rsidP="00EE4132">
            <w:pPr>
              <w:spacing w:after="0" w:line="240" w:lineRule="auto"/>
              <w:jc w:val="center"/>
              <w:rPr>
                <w:rFonts w:cs="Arial"/>
                <w:szCs w:val="20"/>
              </w:rPr>
            </w:pPr>
            <w:r>
              <w:rPr>
                <w:rFonts w:cs="Arial"/>
                <w:szCs w:val="20"/>
              </w:rPr>
              <w:t>10.8</w:t>
            </w:r>
          </w:p>
        </w:tc>
        <w:tc>
          <w:tcPr>
            <w:tcW w:w="1843" w:type="dxa"/>
            <w:shd w:val="clear" w:color="auto" w:fill="F2F2F2" w:themeFill="background1" w:themeFillShade="F2"/>
          </w:tcPr>
          <w:p w14:paraId="13D47F82" w14:textId="6343FB6A" w:rsidR="00F61D7B" w:rsidRPr="00F61D7B" w:rsidRDefault="00F61D7B" w:rsidP="00EE4132">
            <w:pPr>
              <w:spacing w:after="0" w:line="240" w:lineRule="auto"/>
              <w:jc w:val="center"/>
              <w:rPr>
                <w:rFonts w:cs="Arial"/>
                <w:szCs w:val="20"/>
              </w:rPr>
            </w:pPr>
            <w:r>
              <w:rPr>
                <w:rFonts w:cs="Arial"/>
                <w:szCs w:val="20"/>
              </w:rPr>
              <w:t>78.2</w:t>
            </w:r>
          </w:p>
        </w:tc>
        <w:tc>
          <w:tcPr>
            <w:tcW w:w="1701" w:type="dxa"/>
            <w:shd w:val="clear" w:color="auto" w:fill="F2F2F2" w:themeFill="background1" w:themeFillShade="F2"/>
          </w:tcPr>
          <w:p w14:paraId="5A2C60FD" w14:textId="25F45B14" w:rsidR="00F61D7B" w:rsidRPr="00F61D7B" w:rsidRDefault="00F61D7B" w:rsidP="00EE4132">
            <w:pPr>
              <w:spacing w:after="0" w:line="240" w:lineRule="auto"/>
              <w:jc w:val="center"/>
              <w:rPr>
                <w:rFonts w:cs="Arial"/>
                <w:szCs w:val="20"/>
              </w:rPr>
            </w:pPr>
            <w:r>
              <w:rPr>
                <w:rFonts w:cs="Arial"/>
                <w:szCs w:val="20"/>
              </w:rPr>
              <w:t>50</w:t>
            </w:r>
          </w:p>
        </w:tc>
      </w:tr>
      <w:tr w:rsidR="00F61D7B" w:rsidRPr="009317CD" w14:paraId="57802893" w14:textId="77777777" w:rsidTr="00EE4132">
        <w:tc>
          <w:tcPr>
            <w:tcW w:w="1838" w:type="dxa"/>
            <w:shd w:val="clear" w:color="auto" w:fill="auto"/>
          </w:tcPr>
          <w:p w14:paraId="183E68E7" w14:textId="06537F4E" w:rsidR="00F61D7B" w:rsidRPr="003D09A8" w:rsidRDefault="00F61D7B" w:rsidP="00EE4132">
            <w:pPr>
              <w:spacing w:after="0" w:line="240" w:lineRule="auto"/>
              <w:jc w:val="center"/>
              <w:rPr>
                <w:rFonts w:cs="Arial"/>
                <w:szCs w:val="20"/>
              </w:rPr>
            </w:pPr>
            <w:r>
              <w:rPr>
                <w:rFonts w:cs="Arial"/>
                <w:szCs w:val="20"/>
              </w:rPr>
              <w:t>10</w:t>
            </w:r>
          </w:p>
        </w:tc>
        <w:tc>
          <w:tcPr>
            <w:tcW w:w="1276" w:type="dxa"/>
            <w:shd w:val="clear" w:color="auto" w:fill="auto"/>
          </w:tcPr>
          <w:p w14:paraId="6D690F37" w14:textId="5D874204" w:rsidR="00F61D7B" w:rsidRPr="00F61D7B" w:rsidRDefault="00F61D7B" w:rsidP="00EE4132">
            <w:pPr>
              <w:spacing w:after="0" w:line="240" w:lineRule="auto"/>
              <w:jc w:val="center"/>
              <w:rPr>
                <w:rFonts w:cs="Arial"/>
                <w:szCs w:val="20"/>
              </w:rPr>
            </w:pPr>
            <w:r>
              <w:rPr>
                <w:rFonts w:cs="Arial"/>
                <w:szCs w:val="20"/>
              </w:rPr>
              <w:t>16.9</w:t>
            </w:r>
          </w:p>
        </w:tc>
        <w:tc>
          <w:tcPr>
            <w:tcW w:w="1843" w:type="dxa"/>
          </w:tcPr>
          <w:p w14:paraId="4C10EDCC" w14:textId="73061FD4" w:rsidR="00F61D7B" w:rsidRPr="00F61D7B" w:rsidRDefault="00F61D7B" w:rsidP="00EE4132">
            <w:pPr>
              <w:spacing w:after="0" w:line="240" w:lineRule="auto"/>
              <w:jc w:val="center"/>
              <w:rPr>
                <w:rFonts w:cs="Arial"/>
                <w:szCs w:val="20"/>
              </w:rPr>
            </w:pPr>
            <w:r>
              <w:rPr>
                <w:rFonts w:cs="Arial"/>
                <w:szCs w:val="20"/>
              </w:rPr>
              <w:t>72.1</w:t>
            </w:r>
          </w:p>
        </w:tc>
        <w:tc>
          <w:tcPr>
            <w:tcW w:w="1701" w:type="dxa"/>
          </w:tcPr>
          <w:p w14:paraId="407F8373" w14:textId="30EBDCF3" w:rsidR="00F61D7B" w:rsidRPr="00F61D7B" w:rsidRDefault="00F61D7B" w:rsidP="00EE4132">
            <w:pPr>
              <w:spacing w:after="0" w:line="240" w:lineRule="auto"/>
              <w:jc w:val="center"/>
              <w:rPr>
                <w:rFonts w:cs="Arial"/>
                <w:szCs w:val="20"/>
              </w:rPr>
            </w:pPr>
            <w:r>
              <w:rPr>
                <w:rFonts w:cs="Arial"/>
                <w:szCs w:val="20"/>
              </w:rPr>
              <w:t>25</w:t>
            </w:r>
          </w:p>
        </w:tc>
      </w:tr>
      <w:tr w:rsidR="00F61D7B" w:rsidRPr="009317CD" w14:paraId="2E5E796D" w14:textId="77777777" w:rsidTr="00EE4132">
        <w:tc>
          <w:tcPr>
            <w:tcW w:w="1838" w:type="dxa"/>
            <w:shd w:val="clear" w:color="auto" w:fill="auto"/>
          </w:tcPr>
          <w:p w14:paraId="34DA3DEE" w14:textId="4314B14B" w:rsidR="00F61D7B" w:rsidRPr="003D09A8" w:rsidRDefault="00F61D7B" w:rsidP="00EE4132">
            <w:pPr>
              <w:spacing w:after="0" w:line="240" w:lineRule="auto"/>
              <w:jc w:val="center"/>
              <w:rPr>
                <w:rFonts w:cs="Arial"/>
                <w:szCs w:val="20"/>
              </w:rPr>
            </w:pPr>
            <w:r>
              <w:rPr>
                <w:rFonts w:cs="Arial"/>
                <w:szCs w:val="20"/>
              </w:rPr>
              <w:t>20</w:t>
            </w:r>
          </w:p>
        </w:tc>
        <w:tc>
          <w:tcPr>
            <w:tcW w:w="1276" w:type="dxa"/>
            <w:shd w:val="clear" w:color="auto" w:fill="auto"/>
          </w:tcPr>
          <w:p w14:paraId="3386A416" w14:textId="6A4F334D" w:rsidR="00F61D7B" w:rsidRPr="00F61D7B" w:rsidRDefault="00F61D7B" w:rsidP="00EE4132">
            <w:pPr>
              <w:spacing w:after="0" w:line="240" w:lineRule="auto"/>
              <w:jc w:val="center"/>
              <w:rPr>
                <w:rFonts w:cs="Arial"/>
                <w:szCs w:val="20"/>
              </w:rPr>
            </w:pPr>
            <w:r>
              <w:rPr>
                <w:rFonts w:cs="Arial"/>
                <w:szCs w:val="20"/>
              </w:rPr>
              <w:t>22.9</w:t>
            </w:r>
          </w:p>
        </w:tc>
        <w:tc>
          <w:tcPr>
            <w:tcW w:w="1843" w:type="dxa"/>
          </w:tcPr>
          <w:p w14:paraId="4F51BB8E" w14:textId="6CFE89F0" w:rsidR="00F61D7B" w:rsidRPr="00F61D7B" w:rsidRDefault="00F61D7B" w:rsidP="00EE4132">
            <w:pPr>
              <w:spacing w:after="0" w:line="240" w:lineRule="auto"/>
              <w:jc w:val="center"/>
              <w:rPr>
                <w:rFonts w:cs="Arial"/>
                <w:szCs w:val="20"/>
              </w:rPr>
            </w:pPr>
            <w:r>
              <w:rPr>
                <w:rFonts w:cs="Arial"/>
                <w:szCs w:val="20"/>
              </w:rPr>
              <w:t>66.1</w:t>
            </w:r>
          </w:p>
        </w:tc>
        <w:tc>
          <w:tcPr>
            <w:tcW w:w="1701" w:type="dxa"/>
          </w:tcPr>
          <w:p w14:paraId="0D950F14" w14:textId="211A7010" w:rsidR="00F61D7B" w:rsidRPr="00F61D7B" w:rsidRDefault="00F61D7B" w:rsidP="00EE4132">
            <w:pPr>
              <w:spacing w:after="0" w:line="240" w:lineRule="auto"/>
              <w:jc w:val="center"/>
              <w:rPr>
                <w:rFonts w:cs="Arial"/>
                <w:szCs w:val="20"/>
              </w:rPr>
            </w:pPr>
            <w:r>
              <w:rPr>
                <w:rFonts w:cs="Arial"/>
                <w:szCs w:val="20"/>
              </w:rPr>
              <w:t>13</w:t>
            </w:r>
          </w:p>
        </w:tc>
      </w:tr>
      <w:tr w:rsidR="00F61D7B" w:rsidRPr="009317CD" w14:paraId="744F38D0" w14:textId="77777777" w:rsidTr="00EE4132">
        <w:tc>
          <w:tcPr>
            <w:tcW w:w="1838" w:type="dxa"/>
            <w:shd w:val="clear" w:color="auto" w:fill="auto"/>
          </w:tcPr>
          <w:p w14:paraId="79651213" w14:textId="20FEAD66" w:rsidR="00F61D7B" w:rsidRPr="003D09A8" w:rsidRDefault="006C607A" w:rsidP="00EE4132">
            <w:pPr>
              <w:spacing w:after="0" w:line="240" w:lineRule="auto"/>
              <w:jc w:val="center"/>
              <w:rPr>
                <w:rFonts w:cs="Arial"/>
                <w:szCs w:val="20"/>
              </w:rPr>
            </w:pPr>
            <w:r>
              <w:rPr>
                <w:rFonts w:cs="Arial"/>
                <w:szCs w:val="20"/>
              </w:rPr>
              <w:t>30</w:t>
            </w:r>
          </w:p>
        </w:tc>
        <w:tc>
          <w:tcPr>
            <w:tcW w:w="1276" w:type="dxa"/>
            <w:shd w:val="clear" w:color="auto" w:fill="auto"/>
          </w:tcPr>
          <w:p w14:paraId="35736E0C" w14:textId="21E9D989" w:rsidR="00F61D7B" w:rsidRPr="00F61D7B" w:rsidRDefault="00E72152" w:rsidP="00EE4132">
            <w:pPr>
              <w:spacing w:after="0" w:line="240" w:lineRule="auto"/>
              <w:jc w:val="center"/>
              <w:rPr>
                <w:rFonts w:cs="Arial"/>
                <w:szCs w:val="20"/>
              </w:rPr>
            </w:pPr>
            <w:r>
              <w:rPr>
                <w:rFonts w:cs="Arial"/>
                <w:szCs w:val="20"/>
              </w:rPr>
              <w:t xml:space="preserve"> </w:t>
            </w:r>
            <w:r w:rsidR="00F61D7B">
              <w:rPr>
                <w:rFonts w:cs="Arial"/>
                <w:szCs w:val="20"/>
              </w:rPr>
              <w:t>29.1</w:t>
            </w:r>
          </w:p>
        </w:tc>
        <w:tc>
          <w:tcPr>
            <w:tcW w:w="1843" w:type="dxa"/>
          </w:tcPr>
          <w:p w14:paraId="285181AD" w14:textId="2EE3B9D5" w:rsidR="00F61D7B" w:rsidRPr="00F61D7B" w:rsidRDefault="00F61D7B" w:rsidP="00EE4132">
            <w:pPr>
              <w:spacing w:after="0" w:line="240" w:lineRule="auto"/>
              <w:jc w:val="center"/>
              <w:rPr>
                <w:rFonts w:cs="Arial"/>
                <w:szCs w:val="20"/>
              </w:rPr>
            </w:pPr>
            <w:r>
              <w:rPr>
                <w:rFonts w:cs="Arial"/>
                <w:szCs w:val="20"/>
              </w:rPr>
              <w:t>59.9</w:t>
            </w:r>
          </w:p>
        </w:tc>
        <w:tc>
          <w:tcPr>
            <w:tcW w:w="1701" w:type="dxa"/>
          </w:tcPr>
          <w:p w14:paraId="59E88FFB" w14:textId="4D74F8D2" w:rsidR="00F61D7B" w:rsidRPr="00F61D7B" w:rsidRDefault="00E72152" w:rsidP="00EE4132">
            <w:pPr>
              <w:spacing w:after="0" w:line="240" w:lineRule="auto"/>
              <w:jc w:val="center"/>
              <w:rPr>
                <w:rFonts w:cs="Arial"/>
                <w:szCs w:val="20"/>
              </w:rPr>
            </w:pPr>
            <w:r>
              <w:rPr>
                <w:rFonts w:cs="Arial"/>
                <w:szCs w:val="20"/>
              </w:rPr>
              <w:t xml:space="preserve"> </w:t>
            </w:r>
            <w:r w:rsidR="00F61D7B">
              <w:rPr>
                <w:rFonts w:cs="Arial"/>
                <w:szCs w:val="20"/>
              </w:rPr>
              <w:t>6</w:t>
            </w:r>
          </w:p>
        </w:tc>
      </w:tr>
    </w:tbl>
    <w:p w14:paraId="29A0FCF3" w14:textId="4364BA7A" w:rsidR="00F61D7B" w:rsidRDefault="00F61D7B" w:rsidP="00A522EB">
      <w:pPr>
        <w:ind w:left="284" w:firstLine="1"/>
        <w:rPr>
          <w:sz w:val="16"/>
          <w:szCs w:val="16"/>
        </w:rPr>
      </w:pPr>
      <w:r w:rsidRPr="00EE4132">
        <w:rPr>
          <w:sz w:val="16"/>
          <w:szCs w:val="16"/>
        </w:rPr>
        <w:t xml:space="preserve">Note: Calculations assume free space loss, EIRP = 34 dBm/50 MHz, Rx overload threshold = -65 dBm, Rx antenna gain = -10 </w:t>
      </w:r>
      <w:proofErr w:type="spellStart"/>
      <w:r w:rsidRPr="00EE4132">
        <w:rPr>
          <w:sz w:val="16"/>
          <w:szCs w:val="16"/>
        </w:rPr>
        <w:t>dBi</w:t>
      </w:r>
      <w:proofErr w:type="spellEnd"/>
    </w:p>
    <w:p w14:paraId="5C22CE78" w14:textId="4282707B" w:rsidR="00144B48" w:rsidRDefault="00144B48" w:rsidP="00144B48">
      <w:pPr>
        <w:pStyle w:val="Tableheading"/>
        <w:tabs>
          <w:tab w:val="clear" w:pos="964"/>
          <w:tab w:val="num" w:pos="1248"/>
        </w:tabs>
        <w:ind w:left="1248"/>
      </w:pPr>
      <w:r>
        <w:t>Separation distance between HL WBB BS and FSS ES (unwanted emissions within FSS ES pass band)</w:t>
      </w:r>
    </w:p>
    <w:tbl>
      <w:tblPr>
        <w:tblStyle w:val="TableGrid"/>
        <w:tblW w:w="6658" w:type="dxa"/>
        <w:tblCellMar>
          <w:top w:w="85" w:type="dxa"/>
          <w:bottom w:w="85" w:type="dxa"/>
        </w:tblCellMar>
        <w:tblLook w:val="04A0" w:firstRow="1" w:lastRow="0" w:firstColumn="1" w:lastColumn="0" w:noHBand="0" w:noVBand="1"/>
      </w:tblPr>
      <w:tblGrid>
        <w:gridCol w:w="1838"/>
        <w:gridCol w:w="1276"/>
        <w:gridCol w:w="1843"/>
        <w:gridCol w:w="1701"/>
      </w:tblGrid>
      <w:tr w:rsidR="00144B48" w:rsidRPr="000147B6" w14:paraId="020B855C" w14:textId="77777777" w:rsidTr="008B1348">
        <w:tc>
          <w:tcPr>
            <w:tcW w:w="1838" w:type="dxa"/>
            <w:shd w:val="clear" w:color="auto" w:fill="404040" w:themeFill="text1" w:themeFillTint="BF"/>
          </w:tcPr>
          <w:p w14:paraId="3E57CBBA" w14:textId="77777777" w:rsidR="00144B48" w:rsidRPr="003D09A8" w:rsidRDefault="00144B48" w:rsidP="008B1348">
            <w:pPr>
              <w:spacing w:after="0" w:line="240" w:lineRule="auto"/>
              <w:jc w:val="center"/>
              <w:rPr>
                <w:rFonts w:cs="Arial"/>
                <w:b/>
                <w:bCs/>
                <w:color w:val="FFFFFF" w:themeColor="background1"/>
                <w:szCs w:val="20"/>
              </w:rPr>
            </w:pPr>
            <w:r>
              <w:rPr>
                <w:rFonts w:cs="Arial"/>
                <w:b/>
                <w:bCs/>
                <w:color w:val="FFFFFF" w:themeColor="background1"/>
                <w:szCs w:val="20"/>
              </w:rPr>
              <w:t>Channel edge frequency separation (MHz)</w:t>
            </w:r>
          </w:p>
        </w:tc>
        <w:tc>
          <w:tcPr>
            <w:tcW w:w="1276" w:type="dxa"/>
            <w:shd w:val="clear" w:color="auto" w:fill="404040" w:themeFill="text1" w:themeFillTint="BF"/>
          </w:tcPr>
          <w:p w14:paraId="492F7B42" w14:textId="77777777" w:rsidR="00144B48" w:rsidRPr="003D09A8" w:rsidRDefault="00144B48" w:rsidP="008B1348">
            <w:pPr>
              <w:spacing w:after="0" w:line="240" w:lineRule="auto"/>
              <w:jc w:val="center"/>
              <w:rPr>
                <w:rFonts w:cs="Arial"/>
                <w:b/>
                <w:bCs/>
                <w:color w:val="FFFFFF" w:themeColor="background1"/>
                <w:szCs w:val="20"/>
              </w:rPr>
            </w:pPr>
            <w:r>
              <w:rPr>
                <w:rFonts w:cs="Arial"/>
                <w:b/>
                <w:bCs/>
                <w:color w:val="FFFFFF" w:themeColor="background1"/>
                <w:szCs w:val="20"/>
              </w:rPr>
              <w:t>FDR</w:t>
            </w:r>
            <w:r>
              <w:rPr>
                <w:rStyle w:val="FootnoteReference"/>
                <w:rFonts w:cs="Arial"/>
                <w:b/>
                <w:bCs/>
                <w:color w:val="FFFFFF" w:themeColor="background1"/>
                <w:szCs w:val="20"/>
              </w:rPr>
              <w:footnoteReference w:id="11"/>
            </w:r>
            <w:r>
              <w:rPr>
                <w:rFonts w:cs="Arial"/>
                <w:b/>
                <w:bCs/>
                <w:color w:val="FFFFFF" w:themeColor="background1"/>
                <w:szCs w:val="20"/>
              </w:rPr>
              <w:t xml:space="preserve"> (dB)</w:t>
            </w:r>
          </w:p>
        </w:tc>
        <w:tc>
          <w:tcPr>
            <w:tcW w:w="1843" w:type="dxa"/>
            <w:shd w:val="clear" w:color="auto" w:fill="404040" w:themeFill="text1" w:themeFillTint="BF"/>
          </w:tcPr>
          <w:p w14:paraId="3D9860E7" w14:textId="77777777" w:rsidR="00144B48" w:rsidRPr="003D09A8" w:rsidRDefault="00144B48" w:rsidP="008B1348">
            <w:pPr>
              <w:spacing w:after="0" w:line="240" w:lineRule="auto"/>
              <w:jc w:val="center"/>
              <w:rPr>
                <w:rFonts w:cs="Arial"/>
                <w:b/>
                <w:bCs/>
                <w:color w:val="FFFFFF" w:themeColor="background1"/>
                <w:szCs w:val="20"/>
              </w:rPr>
            </w:pPr>
            <w:r>
              <w:rPr>
                <w:rFonts w:cs="Arial"/>
                <w:b/>
                <w:bCs/>
                <w:color w:val="FFFFFF" w:themeColor="background1"/>
                <w:szCs w:val="20"/>
              </w:rPr>
              <w:t>Required path loss (dB)</w:t>
            </w:r>
          </w:p>
        </w:tc>
        <w:tc>
          <w:tcPr>
            <w:tcW w:w="1701" w:type="dxa"/>
            <w:shd w:val="clear" w:color="auto" w:fill="404040" w:themeFill="text1" w:themeFillTint="BF"/>
          </w:tcPr>
          <w:p w14:paraId="19CA542A" w14:textId="77777777" w:rsidR="00144B48" w:rsidRPr="003D09A8" w:rsidRDefault="00144B48" w:rsidP="008B1348">
            <w:pPr>
              <w:spacing w:after="0" w:line="240" w:lineRule="auto"/>
              <w:jc w:val="center"/>
              <w:rPr>
                <w:rFonts w:cs="Arial"/>
                <w:b/>
                <w:bCs/>
                <w:color w:val="FFFFFF" w:themeColor="background1"/>
                <w:szCs w:val="20"/>
              </w:rPr>
            </w:pPr>
            <w:r>
              <w:rPr>
                <w:rFonts w:cs="Arial"/>
                <w:b/>
                <w:bCs/>
                <w:color w:val="FFFFFF" w:themeColor="background1"/>
                <w:szCs w:val="20"/>
              </w:rPr>
              <w:t>Separation distance (m)</w:t>
            </w:r>
          </w:p>
        </w:tc>
      </w:tr>
      <w:tr w:rsidR="00144B48" w:rsidRPr="009317CD" w14:paraId="723A2F35" w14:textId="77777777" w:rsidTr="008B1348">
        <w:tc>
          <w:tcPr>
            <w:tcW w:w="1838" w:type="dxa"/>
            <w:shd w:val="clear" w:color="auto" w:fill="F2F2F2" w:themeFill="background1" w:themeFillShade="F2"/>
          </w:tcPr>
          <w:p w14:paraId="0F07D372" w14:textId="6325F31B" w:rsidR="00144B48" w:rsidRPr="003D09A8" w:rsidRDefault="0072366F" w:rsidP="008B1348">
            <w:pPr>
              <w:spacing w:after="0" w:line="240" w:lineRule="auto"/>
              <w:jc w:val="center"/>
              <w:rPr>
                <w:rFonts w:cs="Arial"/>
                <w:szCs w:val="20"/>
              </w:rPr>
            </w:pPr>
            <w:r>
              <w:rPr>
                <w:rFonts w:cs="Arial"/>
                <w:szCs w:val="20"/>
              </w:rPr>
              <w:t xml:space="preserve">&lt; </w:t>
            </w:r>
            <w:r w:rsidR="00144B48">
              <w:rPr>
                <w:rFonts w:cs="Arial"/>
                <w:szCs w:val="20"/>
              </w:rPr>
              <w:t>5</w:t>
            </w:r>
          </w:p>
        </w:tc>
        <w:tc>
          <w:tcPr>
            <w:tcW w:w="1276" w:type="dxa"/>
            <w:shd w:val="clear" w:color="auto" w:fill="F2F2F2" w:themeFill="background1" w:themeFillShade="F2"/>
          </w:tcPr>
          <w:p w14:paraId="3A4778A9" w14:textId="3B7A9CE0" w:rsidR="00144B48" w:rsidRPr="00F61D7B" w:rsidRDefault="00144B48" w:rsidP="008B1348">
            <w:pPr>
              <w:spacing w:after="0" w:line="240" w:lineRule="auto"/>
              <w:jc w:val="center"/>
              <w:rPr>
                <w:rFonts w:cs="Arial"/>
                <w:szCs w:val="20"/>
              </w:rPr>
            </w:pPr>
            <w:r>
              <w:rPr>
                <w:rFonts w:cs="Arial"/>
                <w:szCs w:val="20"/>
              </w:rPr>
              <w:t>43</w:t>
            </w:r>
          </w:p>
        </w:tc>
        <w:tc>
          <w:tcPr>
            <w:tcW w:w="1843" w:type="dxa"/>
            <w:shd w:val="clear" w:color="auto" w:fill="F2F2F2" w:themeFill="background1" w:themeFillShade="F2"/>
          </w:tcPr>
          <w:p w14:paraId="62ECB75F" w14:textId="6898D7BB" w:rsidR="00144B48" w:rsidRPr="00F61D7B" w:rsidRDefault="00144B48" w:rsidP="008B1348">
            <w:pPr>
              <w:spacing w:after="0" w:line="240" w:lineRule="auto"/>
              <w:jc w:val="center"/>
              <w:rPr>
                <w:rFonts w:cs="Arial"/>
                <w:szCs w:val="20"/>
              </w:rPr>
            </w:pPr>
            <w:r>
              <w:rPr>
                <w:rFonts w:cs="Arial"/>
                <w:szCs w:val="20"/>
              </w:rPr>
              <w:t>92.6</w:t>
            </w:r>
          </w:p>
        </w:tc>
        <w:tc>
          <w:tcPr>
            <w:tcW w:w="1701" w:type="dxa"/>
            <w:shd w:val="clear" w:color="auto" w:fill="F2F2F2" w:themeFill="background1" w:themeFillShade="F2"/>
          </w:tcPr>
          <w:p w14:paraId="2E439865" w14:textId="4D33DBC2" w:rsidR="00144B48" w:rsidRPr="00F61D7B" w:rsidRDefault="00144B48" w:rsidP="008B1348">
            <w:pPr>
              <w:spacing w:after="0" w:line="240" w:lineRule="auto"/>
              <w:jc w:val="center"/>
              <w:rPr>
                <w:rFonts w:cs="Arial"/>
                <w:szCs w:val="20"/>
              </w:rPr>
            </w:pPr>
            <w:r>
              <w:rPr>
                <w:rFonts w:cs="Arial"/>
                <w:szCs w:val="20"/>
              </w:rPr>
              <w:t>250</w:t>
            </w:r>
          </w:p>
        </w:tc>
      </w:tr>
      <w:tr w:rsidR="00144B48" w:rsidRPr="009317CD" w14:paraId="073238C3" w14:textId="77777777" w:rsidTr="008B1348">
        <w:tc>
          <w:tcPr>
            <w:tcW w:w="1838" w:type="dxa"/>
            <w:shd w:val="clear" w:color="auto" w:fill="auto"/>
          </w:tcPr>
          <w:p w14:paraId="3D320043" w14:textId="3DAF5223" w:rsidR="00144B48" w:rsidRPr="003D09A8" w:rsidRDefault="00144B48" w:rsidP="008B1348">
            <w:pPr>
              <w:spacing w:after="0" w:line="240" w:lineRule="auto"/>
              <w:jc w:val="center"/>
              <w:rPr>
                <w:rFonts w:cs="Arial"/>
                <w:szCs w:val="20"/>
              </w:rPr>
            </w:pPr>
            <w:r w:rsidRPr="006C607A">
              <w:t>≥</w:t>
            </w:r>
            <w:r>
              <w:t xml:space="preserve"> </w:t>
            </w:r>
            <w:r>
              <w:rPr>
                <w:rFonts w:cs="Arial"/>
                <w:szCs w:val="20"/>
              </w:rPr>
              <w:t>5</w:t>
            </w:r>
          </w:p>
        </w:tc>
        <w:tc>
          <w:tcPr>
            <w:tcW w:w="1276" w:type="dxa"/>
            <w:shd w:val="clear" w:color="auto" w:fill="auto"/>
          </w:tcPr>
          <w:p w14:paraId="4240D57E" w14:textId="32395C00" w:rsidR="00144B48" w:rsidRPr="00F61D7B" w:rsidRDefault="00144B48" w:rsidP="008B1348">
            <w:pPr>
              <w:spacing w:after="0" w:line="240" w:lineRule="auto"/>
              <w:jc w:val="center"/>
              <w:rPr>
                <w:rFonts w:cs="Arial"/>
                <w:szCs w:val="20"/>
              </w:rPr>
            </w:pPr>
            <w:r>
              <w:rPr>
                <w:rFonts w:cs="Arial"/>
                <w:szCs w:val="20"/>
              </w:rPr>
              <w:t>50</w:t>
            </w:r>
          </w:p>
        </w:tc>
        <w:tc>
          <w:tcPr>
            <w:tcW w:w="1843" w:type="dxa"/>
          </w:tcPr>
          <w:p w14:paraId="4C4B23BB" w14:textId="436BEA83" w:rsidR="00144B48" w:rsidRPr="00F61D7B" w:rsidRDefault="00144B48" w:rsidP="008B1348">
            <w:pPr>
              <w:spacing w:after="0" w:line="240" w:lineRule="auto"/>
              <w:jc w:val="center"/>
              <w:rPr>
                <w:rFonts w:cs="Arial"/>
                <w:szCs w:val="20"/>
              </w:rPr>
            </w:pPr>
            <w:r>
              <w:rPr>
                <w:rFonts w:cs="Arial"/>
                <w:szCs w:val="20"/>
              </w:rPr>
              <w:t>85.6</w:t>
            </w:r>
          </w:p>
        </w:tc>
        <w:tc>
          <w:tcPr>
            <w:tcW w:w="1701" w:type="dxa"/>
          </w:tcPr>
          <w:p w14:paraId="79A6986B" w14:textId="311207E4" w:rsidR="00144B48" w:rsidRPr="00F61D7B" w:rsidRDefault="00144B48" w:rsidP="008B1348">
            <w:pPr>
              <w:spacing w:after="0" w:line="240" w:lineRule="auto"/>
              <w:jc w:val="center"/>
              <w:rPr>
                <w:rFonts w:cs="Arial"/>
                <w:szCs w:val="20"/>
              </w:rPr>
            </w:pPr>
            <w:r>
              <w:rPr>
                <w:rFonts w:cs="Arial"/>
                <w:szCs w:val="20"/>
              </w:rPr>
              <w:t>120</w:t>
            </w:r>
          </w:p>
        </w:tc>
      </w:tr>
    </w:tbl>
    <w:p w14:paraId="5F99188F" w14:textId="77777777" w:rsidR="00144B48" w:rsidRDefault="00144B48" w:rsidP="00EE4132">
      <w:pPr>
        <w:spacing w:after="0"/>
        <w:ind w:left="284" w:firstLine="1"/>
        <w:rPr>
          <w:sz w:val="16"/>
          <w:szCs w:val="16"/>
        </w:rPr>
      </w:pPr>
      <w:r w:rsidRPr="008B1348">
        <w:rPr>
          <w:sz w:val="16"/>
          <w:szCs w:val="16"/>
        </w:rPr>
        <w:t xml:space="preserve">Note: Calculations assume free space loss, EIRP = </w:t>
      </w:r>
      <w:r>
        <w:rPr>
          <w:sz w:val="16"/>
          <w:szCs w:val="16"/>
        </w:rPr>
        <w:t>17</w:t>
      </w:r>
      <w:r w:rsidRPr="008B1348">
        <w:rPr>
          <w:sz w:val="16"/>
          <w:szCs w:val="16"/>
        </w:rPr>
        <w:t xml:space="preserve"> dBm/MHz, </w:t>
      </w:r>
    </w:p>
    <w:p w14:paraId="2DA571E2" w14:textId="566E46A5" w:rsidR="00144B48" w:rsidRPr="008B1348" w:rsidRDefault="00144B48" w:rsidP="00144B48">
      <w:pPr>
        <w:ind w:left="284" w:firstLine="1"/>
        <w:rPr>
          <w:sz w:val="16"/>
          <w:szCs w:val="16"/>
        </w:rPr>
      </w:pPr>
      <w:r>
        <w:rPr>
          <w:sz w:val="16"/>
          <w:szCs w:val="16"/>
        </w:rPr>
        <w:t>Interference threshold</w:t>
      </w:r>
      <w:r w:rsidRPr="008B1348">
        <w:rPr>
          <w:sz w:val="16"/>
          <w:szCs w:val="16"/>
        </w:rPr>
        <w:t xml:space="preserve"> = -</w:t>
      </w:r>
      <w:r>
        <w:rPr>
          <w:sz w:val="16"/>
          <w:szCs w:val="16"/>
        </w:rPr>
        <w:t>128.6 dBm/MHz</w:t>
      </w:r>
      <w:r w:rsidRPr="008B1348">
        <w:rPr>
          <w:sz w:val="16"/>
          <w:szCs w:val="16"/>
        </w:rPr>
        <w:t xml:space="preserve"> dBm, Rx antenna gain = -10 </w:t>
      </w:r>
      <w:proofErr w:type="spellStart"/>
      <w:r w:rsidRPr="008B1348">
        <w:rPr>
          <w:sz w:val="16"/>
          <w:szCs w:val="16"/>
        </w:rPr>
        <w:t>dBi</w:t>
      </w:r>
      <w:proofErr w:type="spellEnd"/>
    </w:p>
    <w:p w14:paraId="3A2BE8DA" w14:textId="3835A7CE" w:rsidR="00AC4251" w:rsidRPr="00E162C4" w:rsidRDefault="00AC4251" w:rsidP="001A76B8">
      <w:pPr>
        <w:pStyle w:val="Heading2"/>
        <w:ind w:left="284"/>
      </w:pPr>
      <w:bookmarkStart w:id="97" w:name="_Toc178948554"/>
      <w:r>
        <w:t>Radiolocation services (3100-3500 MHz)</w:t>
      </w:r>
      <w:bookmarkEnd w:id="97"/>
    </w:p>
    <w:p w14:paraId="093D608C" w14:textId="4F30B94D" w:rsidR="00EE58AA" w:rsidRDefault="009839BE" w:rsidP="001A76B8">
      <w:pPr>
        <w:spacing w:after="80"/>
        <w:ind w:left="284"/>
        <w:rPr>
          <w:rFonts w:cs="Arial"/>
        </w:rPr>
      </w:pPr>
      <w:r>
        <w:rPr>
          <w:rFonts w:cs="Arial"/>
        </w:rPr>
        <w:t xml:space="preserve">The same rules that apply to AWLs and 3.4 GHz band SLs are proposed for </w:t>
      </w:r>
      <w:r w:rsidR="00A01E9F">
        <w:rPr>
          <w:rFonts w:cs="Arial"/>
        </w:rPr>
        <w:t>HL</w:t>
      </w:r>
      <w:r>
        <w:rPr>
          <w:rFonts w:cs="Arial"/>
        </w:rPr>
        <w:t xml:space="preserve"> WBB licences. </w:t>
      </w:r>
      <w:r w:rsidR="00EE58AA">
        <w:rPr>
          <w:rFonts w:cs="Arial"/>
        </w:rPr>
        <w:t xml:space="preserve">These means that: </w:t>
      </w:r>
    </w:p>
    <w:p w14:paraId="4ADEBD6E" w14:textId="6ACBBA8B" w:rsidR="00EE58AA" w:rsidRPr="00E162C4" w:rsidRDefault="00EE58AA" w:rsidP="001A76B8">
      <w:pPr>
        <w:pStyle w:val="Bulletlevel1"/>
        <w:tabs>
          <w:tab w:val="clear" w:pos="295"/>
          <w:tab w:val="num" w:pos="579"/>
        </w:tabs>
        <w:ind w:left="579"/>
      </w:pPr>
      <w:r w:rsidRPr="00EE58AA">
        <w:rPr>
          <w:u w:val="single"/>
        </w:rPr>
        <w:t>HL WBB Transmitters</w:t>
      </w:r>
      <w:r>
        <w:t>: R</w:t>
      </w:r>
      <w:r>
        <w:rPr>
          <w:color w:val="000000"/>
          <w:shd w:val="clear" w:color="auto" w:fill="FFFFFF"/>
        </w:rPr>
        <w:t xml:space="preserve">adiocommunications transmitters will not be taken to cause unacceptable interference to radiolocation services if they are operated </w:t>
      </w:r>
      <w:r w:rsidR="00085B2C">
        <w:rPr>
          <w:color w:val="000000"/>
          <w:shd w:val="clear" w:color="auto" w:fill="FFFFFF"/>
        </w:rPr>
        <w:t>in accordance with all conditions on their licence</w:t>
      </w:r>
      <w:r>
        <w:t>.</w:t>
      </w:r>
    </w:p>
    <w:p w14:paraId="5E160AB6" w14:textId="19B9040E" w:rsidR="00EE58AA" w:rsidRDefault="00EE58AA" w:rsidP="001A76B8">
      <w:pPr>
        <w:pStyle w:val="Bulletlevel1last"/>
        <w:tabs>
          <w:tab w:val="clear" w:pos="295"/>
          <w:tab w:val="num" w:pos="579"/>
        </w:tabs>
        <w:spacing w:after="80"/>
        <w:ind w:left="579"/>
      </w:pPr>
      <w:r w:rsidRPr="00EE58AA">
        <w:rPr>
          <w:u w:val="single"/>
        </w:rPr>
        <w:t>HL WBB Receivers</w:t>
      </w:r>
      <w:r>
        <w:t xml:space="preserve">: High power radiolocation services in the 3100-3500 MHz </w:t>
      </w:r>
      <w:r w:rsidR="00185350">
        <w:t>frequency range</w:t>
      </w:r>
      <w:r>
        <w:t xml:space="preserve"> are operated by the Department of Defence on an itinerant basis. These radiolocation services have the potential to disrupt the throughput of receivers operating in-band or adjacent band to radiolocation services, particularly on the uplink channel (base station receiver).</w:t>
      </w:r>
    </w:p>
    <w:p w14:paraId="07E10EE5" w14:textId="79C943D4" w:rsidR="00EE58AA" w:rsidRDefault="00EE58AA" w:rsidP="001A76B8">
      <w:pPr>
        <w:pStyle w:val="Bulletlevel1last"/>
        <w:numPr>
          <w:ilvl w:val="0"/>
          <w:numId w:val="0"/>
        </w:numPr>
        <w:spacing w:after="80"/>
        <w:ind w:left="579"/>
      </w:pPr>
      <w:r>
        <w:t>The Department of Defence is expected to take all reasonable measures to minimise the impact of radiolocation services to other in-band and adjacent band services. However, there will be occasions when interference cannot be fully mitigated.  In such instances the interference may be due to blocking, strong out-of-band radar emissions or other susceptibilities within a fixed or mobile wireless network configuration.</w:t>
      </w:r>
    </w:p>
    <w:p w14:paraId="393C2463" w14:textId="5FC50F22" w:rsidR="00EE58AA" w:rsidRDefault="00EE58AA" w:rsidP="001A76B8">
      <w:pPr>
        <w:pStyle w:val="Bulletlevel1last"/>
        <w:numPr>
          <w:ilvl w:val="0"/>
          <w:numId w:val="0"/>
        </w:numPr>
        <w:ind w:left="579"/>
      </w:pPr>
      <w:r>
        <w:t xml:space="preserve">When planning service deployments, HL WBB apparatus licensees are urged to consider additional measures to reduce the likelihood of impact to services </w:t>
      </w:r>
      <w:r>
        <w:lastRenderedPageBreak/>
        <w:t>operating under their licence.  If such measures are necessary, it is likely that they would only apply in specific areas that are subject to regular radar use. They may include additional RF filtering, network redundancy, or resilience of network configuration where vulnerabilities to radar signal interference are identified.  The ACMA will work with the Department of Defence to make available, where feasible, any additional information that may assist existing or prospective HL WBB apparatus licensees on this matter.</w:t>
      </w:r>
    </w:p>
    <w:p w14:paraId="71B3E72C" w14:textId="1957CD25" w:rsidR="008205A6" w:rsidRDefault="008205A6" w:rsidP="001A76B8">
      <w:pPr>
        <w:pStyle w:val="Heading2"/>
        <w:ind w:left="284"/>
      </w:pPr>
      <w:bookmarkStart w:id="98" w:name="_Toc178948555"/>
      <w:r>
        <w:t>Area-wide licences (3750/3800-4000 MHz)</w:t>
      </w:r>
      <w:bookmarkEnd w:id="98"/>
    </w:p>
    <w:p w14:paraId="1DB88510" w14:textId="4756B624" w:rsidR="008205A6" w:rsidRDefault="008205A6" w:rsidP="001A76B8">
      <w:pPr>
        <w:pStyle w:val="Paragraph"/>
        <w:spacing w:after="80"/>
        <w:ind w:left="284"/>
      </w:pPr>
      <w:bookmarkStart w:id="99" w:name="_Hlk149315305"/>
      <w:r>
        <w:t xml:space="preserve">HL WBB in the 3950-4000 MHz </w:t>
      </w:r>
      <w:r w:rsidR="00185350">
        <w:t>frequency range</w:t>
      </w:r>
      <w:r>
        <w:t xml:space="preserve"> will operate co-channel to AWLs issued in remote areas and adjacent channel to AWLs operated in metro and regional areas. Interference is proposed to be managed as follows:</w:t>
      </w:r>
    </w:p>
    <w:p w14:paraId="33B8B25C" w14:textId="4557413A" w:rsidR="008205A6" w:rsidRDefault="008205A6" w:rsidP="001A76B8">
      <w:pPr>
        <w:pStyle w:val="Bulletlevel1"/>
        <w:tabs>
          <w:tab w:val="clear" w:pos="295"/>
          <w:tab w:val="num" w:pos="579"/>
        </w:tabs>
        <w:ind w:left="579"/>
      </w:pPr>
      <w:r>
        <w:rPr>
          <w:u w:val="single"/>
        </w:rPr>
        <w:t>Adjacent channel interference</w:t>
      </w:r>
      <w:r>
        <w:t>: To avoid the use of guard bands or restricted use bands, it is proposed that adjacent channel interference between HL WBB and AWLs be managed using the same mechanism described for adjacent channel AWLs. That is the use of the fallback synchronisation requirement specified in</w:t>
      </w:r>
      <w:r w:rsidR="00C75225">
        <w:t xml:space="preserve"> section 5 of Schedule 4 to the </w:t>
      </w:r>
      <w:hyperlink r:id="rId56" w:history="1">
        <w:r w:rsidR="00C75225" w:rsidRPr="00C75225">
          <w:rPr>
            <w:rStyle w:val="Hyperlink"/>
            <w:i/>
            <w:iCs/>
          </w:rPr>
          <w:t>Radiocommunications Licence Conditions (Area-Wide Licence) Determination 2020</w:t>
        </w:r>
      </w:hyperlink>
      <w:r w:rsidR="00C75225">
        <w:t xml:space="preserve"> (the AWL LCD). </w:t>
      </w:r>
    </w:p>
    <w:p w14:paraId="3F6E21B1" w14:textId="0B98D035" w:rsidR="00C75225" w:rsidRPr="00C75225" w:rsidRDefault="00C75225" w:rsidP="001A76B8">
      <w:pPr>
        <w:pStyle w:val="Bulletlevel1"/>
        <w:numPr>
          <w:ilvl w:val="0"/>
          <w:numId w:val="0"/>
        </w:numPr>
        <w:ind w:left="579"/>
      </w:pPr>
      <w:r>
        <w:t xml:space="preserve">Under the fallback synchronisation requirement, licensees are free to implement or negotiate alternative measures to manage interference. However, in the event these do not work, or there is no agreement on how to manage the interference, the fallback synchronisation scheme will apply.  </w:t>
      </w:r>
    </w:p>
    <w:p w14:paraId="4B6E5892" w14:textId="17F907D7" w:rsidR="00B20E36" w:rsidRDefault="00C75225" w:rsidP="001A76B8">
      <w:pPr>
        <w:pStyle w:val="Bulletlevel1last"/>
        <w:tabs>
          <w:tab w:val="clear" w:pos="295"/>
          <w:tab w:val="num" w:pos="579"/>
        </w:tabs>
        <w:spacing w:after="80"/>
        <w:ind w:left="579"/>
      </w:pPr>
      <w:r w:rsidRPr="00F17F40">
        <w:rPr>
          <w:u w:val="single"/>
        </w:rPr>
        <w:t>Co-channel interference</w:t>
      </w:r>
      <w:r w:rsidR="008205A6">
        <w:t xml:space="preserve">: </w:t>
      </w:r>
      <w:r w:rsidR="00B20E36">
        <w:t xml:space="preserve">Co-channel interference between HL WBB and AWLs will only occur at the metro and regional area boundary. Due to the low power nature of HL WBB transmitters and remote location of this boundary, </w:t>
      </w:r>
      <w:r w:rsidR="00490B46">
        <w:t xml:space="preserve">no </w:t>
      </w:r>
      <w:r w:rsidR="00B20E36">
        <w:t xml:space="preserve">coordination criteria </w:t>
      </w:r>
      <w:proofErr w:type="gramStart"/>
      <w:r w:rsidR="00B20E36">
        <w:t>is</w:t>
      </w:r>
      <w:proofErr w:type="gramEnd"/>
      <w:r w:rsidR="00B20E36">
        <w:t xml:space="preserve"> proposed. </w:t>
      </w:r>
    </w:p>
    <w:p w14:paraId="4EF992AD" w14:textId="55743AE3" w:rsidR="00361C2D" w:rsidRDefault="00B20E36" w:rsidP="001A76B8">
      <w:pPr>
        <w:pStyle w:val="Bulletlevel1last"/>
        <w:numPr>
          <w:ilvl w:val="0"/>
          <w:numId w:val="0"/>
        </w:numPr>
        <w:ind w:left="579"/>
      </w:pPr>
      <w:r>
        <w:t>HL WBB receivers will be afforded the protect</w:t>
      </w:r>
      <w:r w:rsidR="00CB668A">
        <w:t>ion</w:t>
      </w:r>
      <w:r>
        <w:t xml:space="preserve"> provided by the AWL device boundary criteria. Adherence to the device boundary will also limit how close AWL devices can operate to the metro and regional area boundary. This (along with remote location and low power nature of HL WBB) should be sufficient to manage interference in most cases. However, in the event of </w:t>
      </w:r>
      <w:r w:rsidR="00CB668A">
        <w:t>interference,</w:t>
      </w:r>
      <w:r>
        <w:t xml:space="preserve"> the fallback </w:t>
      </w:r>
      <w:r w:rsidR="00CB668A">
        <w:t>synchronisation</w:t>
      </w:r>
      <w:r>
        <w:t xml:space="preserve"> requirement will apply. </w:t>
      </w:r>
      <w:r w:rsidR="00CB668A">
        <w:t xml:space="preserve">Furthermore, as detailed in the </w:t>
      </w:r>
      <w:r w:rsidR="00CB668A">
        <w:rPr>
          <w:i/>
          <w:iCs/>
        </w:rPr>
        <w:t>remote and supplementary bas</w:t>
      </w:r>
      <w:r w:rsidR="00941683">
        <w:rPr>
          <w:i/>
          <w:iCs/>
        </w:rPr>
        <w:t>e</w:t>
      </w:r>
      <w:r w:rsidR="00CB668A">
        <w:rPr>
          <w:i/>
          <w:iCs/>
        </w:rPr>
        <w:t xml:space="preserve"> stations</w:t>
      </w:r>
      <w:r w:rsidR="00CB668A">
        <w:t xml:space="preserve"> section, user terminals operate on a ‘no interference and no protection basis’.</w:t>
      </w:r>
      <w:r>
        <w:t xml:space="preserve"> </w:t>
      </w:r>
      <w:proofErr w:type="gramStart"/>
      <w:r w:rsidR="00CB668A">
        <w:t>So</w:t>
      </w:r>
      <w:proofErr w:type="gramEnd"/>
      <w:r w:rsidR="00CB668A">
        <w:t xml:space="preserve"> if they are found to cause interference, the operator will need to modify or cease operation to rectify the situation. </w:t>
      </w:r>
      <w:r w:rsidR="00361C2D">
        <w:t xml:space="preserve"> </w:t>
      </w:r>
    </w:p>
    <w:bookmarkEnd w:id="99"/>
    <w:p w14:paraId="7F104BDF" w14:textId="09D8BBF2" w:rsidR="00361C2D" w:rsidRDefault="00361C2D" w:rsidP="001A76B8">
      <w:pPr>
        <w:pStyle w:val="Paragraph"/>
        <w:spacing w:after="80"/>
        <w:ind w:left="284"/>
      </w:pPr>
      <w:r>
        <w:t>It is noted that high power</w:t>
      </w:r>
      <w:r w:rsidR="000B3A41">
        <w:t>ed</w:t>
      </w:r>
      <w:r>
        <w:t xml:space="preserve"> PMP licences can be issued outside the ASMG (i.e. in Australian waters or offshore territories. Due to the low powered nature of HL WBB, the risk of interference </w:t>
      </w:r>
      <w:proofErr w:type="gramStart"/>
      <w:r>
        <w:t>is considered to be</w:t>
      </w:r>
      <w:proofErr w:type="gramEnd"/>
      <w:r>
        <w:t xml:space="preserve"> low. However, in the event it occurs the same rules as with AWLs is proposed to apply.  </w:t>
      </w:r>
    </w:p>
    <w:p w14:paraId="5BE0F3BC" w14:textId="77777777" w:rsidR="007940C2" w:rsidRPr="00E162C4" w:rsidRDefault="007940C2" w:rsidP="00444304">
      <w:pPr>
        <w:pStyle w:val="Heading2"/>
        <w:ind w:left="284"/>
      </w:pPr>
      <w:bookmarkStart w:id="100" w:name="_Ref161136846"/>
      <w:bookmarkStart w:id="101" w:name="_Toc178948556"/>
      <w:r>
        <w:t>3.4 GHz band spectrum licences (3400-3800 MHz)</w:t>
      </w:r>
      <w:bookmarkEnd w:id="100"/>
      <w:bookmarkEnd w:id="101"/>
    </w:p>
    <w:p w14:paraId="5FF34C89" w14:textId="164ECE1A" w:rsidR="007940C2" w:rsidRDefault="007940C2" w:rsidP="00444304">
      <w:pPr>
        <w:pStyle w:val="Paragraph"/>
        <w:ind w:left="284"/>
      </w:pPr>
      <w:bookmarkStart w:id="102" w:name="_Hlk149315290"/>
      <w:r>
        <w:t xml:space="preserve">HL WBB operating in the 3950-4000 MHz </w:t>
      </w:r>
      <w:r w:rsidR="00185350">
        <w:t>frequency range</w:t>
      </w:r>
      <w:r>
        <w:t xml:space="preserve"> are considered to have sufficient frequency separation that coordination with 3.4 GHz band </w:t>
      </w:r>
      <w:r w:rsidR="00CD78D4">
        <w:t>SL</w:t>
      </w:r>
      <w:r>
        <w:t xml:space="preserve"> is not required.  </w:t>
      </w:r>
    </w:p>
    <w:p w14:paraId="13CC0A6D" w14:textId="587331A6" w:rsidR="007940C2" w:rsidRDefault="007940C2" w:rsidP="00444304">
      <w:pPr>
        <w:pStyle w:val="Paragraph"/>
        <w:ind w:left="284"/>
      </w:pPr>
      <w:r>
        <w:t xml:space="preserve">HL WBB in the 3400-3475 MHz </w:t>
      </w:r>
      <w:r w:rsidR="00185350">
        <w:t>frequency range</w:t>
      </w:r>
      <w:r>
        <w:t xml:space="preserve"> will operate both co-channel and adjacent channel to 3.4 GHz band </w:t>
      </w:r>
      <w:r w:rsidR="00CD78D4">
        <w:t>SL</w:t>
      </w:r>
      <w:r>
        <w:t xml:space="preserve">s. The </w:t>
      </w:r>
      <w:r w:rsidR="009202EF">
        <w:t>2021</w:t>
      </w:r>
      <w:r>
        <w:t xml:space="preserve"> TLG considered measures to manage this interference scenario (refer to the </w:t>
      </w:r>
      <w:r>
        <w:rPr>
          <w:i/>
          <w:iCs/>
        </w:rPr>
        <w:t xml:space="preserve">Background </w:t>
      </w:r>
      <w:r>
        <w:t xml:space="preserve">section and Table 1 for further details). </w:t>
      </w:r>
      <w:r w:rsidR="00DB4230">
        <w:t xml:space="preserve">However, there was only a brief period to review the proposed arrangements for HL WBB use. </w:t>
      </w:r>
      <w:r>
        <w:t xml:space="preserve">These outcomes are used as the starting point for the development of interference management arrangements in this paper. </w:t>
      </w:r>
    </w:p>
    <w:bookmarkEnd w:id="102"/>
    <w:p w14:paraId="15B8A53B" w14:textId="6F9B3F0A" w:rsidR="007940C2" w:rsidRDefault="007E4E93" w:rsidP="00444304">
      <w:pPr>
        <w:pStyle w:val="Paragraph"/>
        <w:ind w:left="284"/>
      </w:pPr>
      <w:r>
        <w:lastRenderedPageBreak/>
        <w:t>A</w:t>
      </w:r>
      <w:r w:rsidR="007940C2">
        <w:t xml:space="preserve">s of 23 October 2023, nbn is the only co-channel 3.4 GHz band spectrum licensee and Optus is the only directly adjacent channel 3.4 GHz band spectrum licensee. For this reason, co-channel interference management arrangements focus on the protection of nbn services, while adjacent channel protection arrangements focus on the protection of services provided by mobile network operators.  </w:t>
      </w:r>
    </w:p>
    <w:p w14:paraId="6851855F" w14:textId="5E6F617D" w:rsidR="00EF7A02" w:rsidRDefault="00EF7A02" w:rsidP="00444304">
      <w:pPr>
        <w:pStyle w:val="Paragraph"/>
        <w:spacing w:after="80"/>
        <w:ind w:left="284"/>
      </w:pPr>
      <w:r>
        <w:t xml:space="preserve">The ACMA’s goals in </w:t>
      </w:r>
      <w:r w:rsidR="00431234">
        <w:t>developing protection criteria for this scenario, are to:</w:t>
      </w:r>
    </w:p>
    <w:p w14:paraId="7314B8BC" w14:textId="5228D0B1" w:rsidR="00431234" w:rsidRDefault="00431234" w:rsidP="00444304">
      <w:pPr>
        <w:pStyle w:val="CommentText"/>
        <w:numPr>
          <w:ilvl w:val="0"/>
          <w:numId w:val="31"/>
        </w:numPr>
        <w:tabs>
          <w:tab w:val="left" w:pos="426"/>
        </w:tabs>
        <w:spacing w:after="80"/>
        <w:ind w:left="644"/>
        <w:rPr>
          <w:rFonts w:cs="Arial"/>
          <w:color w:val="000000" w:themeColor="text1"/>
        </w:rPr>
      </w:pPr>
      <w:r>
        <w:rPr>
          <w:rFonts w:cs="Arial"/>
          <w:color w:val="000000" w:themeColor="text1"/>
        </w:rPr>
        <w:t>P</w:t>
      </w:r>
      <w:r w:rsidRPr="002462DF">
        <w:rPr>
          <w:rFonts w:cs="Arial"/>
          <w:color w:val="000000" w:themeColor="text1"/>
        </w:rPr>
        <w:t xml:space="preserve">rovide </w:t>
      </w:r>
      <w:r>
        <w:rPr>
          <w:rFonts w:cs="Arial"/>
          <w:color w:val="000000" w:themeColor="text1"/>
        </w:rPr>
        <w:t>adequate</w:t>
      </w:r>
      <w:r w:rsidRPr="002462DF">
        <w:rPr>
          <w:rFonts w:cs="Arial"/>
          <w:color w:val="000000" w:themeColor="text1"/>
        </w:rPr>
        <w:t xml:space="preserve"> protection to </w:t>
      </w:r>
      <w:r>
        <w:rPr>
          <w:rFonts w:cs="Arial"/>
          <w:color w:val="000000" w:themeColor="text1"/>
        </w:rPr>
        <w:t xml:space="preserve">incumbent nbn </w:t>
      </w:r>
      <w:r w:rsidRPr="002462DF">
        <w:rPr>
          <w:rFonts w:cs="Arial"/>
          <w:color w:val="000000" w:themeColor="text1"/>
        </w:rPr>
        <w:t xml:space="preserve">services </w:t>
      </w:r>
      <w:r>
        <w:rPr>
          <w:rFonts w:cs="Arial"/>
          <w:color w:val="000000" w:themeColor="text1"/>
        </w:rPr>
        <w:t xml:space="preserve">in adjacent areas. </w:t>
      </w:r>
    </w:p>
    <w:p w14:paraId="7CFFF177" w14:textId="02DAF8D6" w:rsidR="00431234" w:rsidRPr="002462DF" w:rsidRDefault="00431234" w:rsidP="00444304">
      <w:pPr>
        <w:pStyle w:val="CommentText"/>
        <w:numPr>
          <w:ilvl w:val="0"/>
          <w:numId w:val="31"/>
        </w:numPr>
        <w:tabs>
          <w:tab w:val="left" w:pos="426"/>
        </w:tabs>
        <w:spacing w:after="80"/>
        <w:ind w:left="644"/>
        <w:rPr>
          <w:rFonts w:cs="Arial"/>
          <w:color w:val="000000" w:themeColor="text1"/>
        </w:rPr>
      </w:pPr>
      <w:r>
        <w:rPr>
          <w:rFonts w:cs="Arial"/>
          <w:color w:val="000000" w:themeColor="text1"/>
        </w:rPr>
        <w:t>E</w:t>
      </w:r>
      <w:r w:rsidRPr="002462DF">
        <w:rPr>
          <w:rFonts w:cs="Arial"/>
          <w:color w:val="000000" w:themeColor="text1"/>
        </w:rPr>
        <w:t xml:space="preserve">nsure </w:t>
      </w:r>
      <w:r>
        <w:rPr>
          <w:rFonts w:cs="Arial"/>
          <w:color w:val="000000" w:themeColor="text1"/>
        </w:rPr>
        <w:t>nbn is</w:t>
      </w:r>
      <w:r w:rsidRPr="002462DF">
        <w:rPr>
          <w:rFonts w:cs="Arial"/>
          <w:color w:val="000000" w:themeColor="text1"/>
        </w:rPr>
        <w:t xml:space="preserve"> not unreasonably constrained in their ability to deploy new and more spectrally efficient technologies in the future</w:t>
      </w:r>
      <w:r>
        <w:rPr>
          <w:rFonts w:cs="Arial"/>
          <w:color w:val="000000" w:themeColor="text1"/>
        </w:rPr>
        <w:t xml:space="preserve"> (e.g., moving from 4G to 5G technologies).</w:t>
      </w:r>
    </w:p>
    <w:p w14:paraId="01DF551A" w14:textId="7C520F01" w:rsidR="00431234" w:rsidRDefault="00431234" w:rsidP="00444304">
      <w:pPr>
        <w:pStyle w:val="CommentText"/>
        <w:numPr>
          <w:ilvl w:val="0"/>
          <w:numId w:val="31"/>
        </w:numPr>
        <w:tabs>
          <w:tab w:val="left" w:pos="426"/>
        </w:tabs>
        <w:ind w:left="644"/>
        <w:rPr>
          <w:rFonts w:cs="Arial"/>
          <w:color w:val="000000" w:themeColor="text1"/>
        </w:rPr>
      </w:pPr>
      <w:r>
        <w:t>M</w:t>
      </w:r>
      <w:r w:rsidRPr="00551E75">
        <w:t xml:space="preserve">inimise the impact on existing 3.4 GHz </w:t>
      </w:r>
      <w:r w:rsidR="00CD78D4">
        <w:t>SL</w:t>
      </w:r>
      <w:r w:rsidRPr="00551E75">
        <w:t>s above 3475 MHz</w:t>
      </w:r>
      <w:r>
        <w:rPr>
          <w:rFonts w:cs="Arial"/>
          <w:color w:val="000000" w:themeColor="text1"/>
        </w:rPr>
        <w:t>.</w:t>
      </w:r>
    </w:p>
    <w:p w14:paraId="593C81AE" w14:textId="0CB056CB" w:rsidR="001259DA" w:rsidRDefault="001259DA" w:rsidP="00444304">
      <w:pPr>
        <w:pStyle w:val="Paragraph"/>
        <w:ind w:left="284"/>
      </w:pPr>
      <w:r>
        <w:t xml:space="preserve">Advice </w:t>
      </w:r>
      <w:r w:rsidR="00523E4A">
        <w:t>wa</w:t>
      </w:r>
      <w:r>
        <w:t xml:space="preserve">s sought from the TLG on </w:t>
      </w:r>
      <w:r w:rsidR="00491A7D">
        <w:t xml:space="preserve">the </w:t>
      </w:r>
      <w:r>
        <w:t xml:space="preserve">measure </w:t>
      </w:r>
      <w:r w:rsidR="00491A7D">
        <w:t xml:space="preserve">proposed </w:t>
      </w:r>
      <w:r w:rsidDel="00491A7D">
        <w:t xml:space="preserve">to </w:t>
      </w:r>
      <w:r>
        <w:t>manage this interference scenario.</w:t>
      </w:r>
    </w:p>
    <w:p w14:paraId="7D2A1C2C" w14:textId="77777777" w:rsidR="009202EF" w:rsidRPr="00E162C4" w:rsidRDefault="009202EF" w:rsidP="00444304">
      <w:pPr>
        <w:pStyle w:val="Heading3"/>
        <w:ind w:left="284"/>
      </w:pPr>
      <w:r>
        <w:t>Managing co-channel</w:t>
      </w:r>
      <w:r w:rsidRPr="00E162C4">
        <w:t xml:space="preserve"> </w:t>
      </w:r>
      <w:r>
        <w:t>interference</w:t>
      </w:r>
    </w:p>
    <w:p w14:paraId="2AE838F3" w14:textId="25366E04" w:rsidR="00C76DFB" w:rsidRDefault="00C76DFB" w:rsidP="00EE4132">
      <w:pPr>
        <w:pStyle w:val="Heading4"/>
        <w:ind w:left="284"/>
      </w:pPr>
      <w:r>
        <w:t>Managing emissions across the urban area boundary</w:t>
      </w:r>
    </w:p>
    <w:p w14:paraId="40FD43E8" w14:textId="63FE6204" w:rsidR="00C76DFB" w:rsidRDefault="00C76DFB" w:rsidP="00EE4132">
      <w:pPr>
        <w:pStyle w:val="Paragraph"/>
        <w:spacing w:after="80"/>
        <w:ind w:left="284"/>
      </w:pPr>
      <w:r>
        <w:t xml:space="preserve">To manage the level of emissions into adjacent area SLs, three possible options </w:t>
      </w:r>
      <w:r w:rsidR="00523E4A">
        <w:t>were</w:t>
      </w:r>
      <w:r>
        <w:t xml:space="preserve"> identified:</w:t>
      </w:r>
    </w:p>
    <w:p w14:paraId="315A55D9" w14:textId="77777777" w:rsidR="00C76DFB" w:rsidRDefault="00C76DFB" w:rsidP="00C76DFB">
      <w:pPr>
        <w:pStyle w:val="Paragraph"/>
        <w:numPr>
          <w:ilvl w:val="0"/>
          <w:numId w:val="74"/>
        </w:numPr>
        <w:spacing w:after="80"/>
      </w:pPr>
      <w:r>
        <w:t xml:space="preserve">PFD </w:t>
      </w:r>
      <w:proofErr w:type="gramStart"/>
      <w:r>
        <w:t>limit;</w:t>
      </w:r>
      <w:proofErr w:type="gramEnd"/>
    </w:p>
    <w:p w14:paraId="0F1E9F5F" w14:textId="19CEF905" w:rsidR="00C76DFB" w:rsidRDefault="00C76DFB" w:rsidP="00C13D07">
      <w:pPr>
        <w:pStyle w:val="Paragraph"/>
        <w:numPr>
          <w:ilvl w:val="0"/>
          <w:numId w:val="74"/>
        </w:numPr>
        <w:spacing w:after="80"/>
      </w:pPr>
      <w:r>
        <w:t xml:space="preserve">direct coordination with adjacent area SL </w:t>
      </w:r>
      <w:proofErr w:type="gramStart"/>
      <w:r>
        <w:t>BS</w:t>
      </w:r>
      <w:r w:rsidR="006B4AD4">
        <w:t>;</w:t>
      </w:r>
      <w:proofErr w:type="gramEnd"/>
    </w:p>
    <w:p w14:paraId="48905ECC" w14:textId="4B0D0A35" w:rsidR="006B4AD4" w:rsidRDefault="006B4AD4" w:rsidP="006B4AD4">
      <w:pPr>
        <w:pStyle w:val="Paragraph"/>
        <w:numPr>
          <w:ilvl w:val="0"/>
          <w:numId w:val="74"/>
        </w:numPr>
      </w:pPr>
      <w:r>
        <w:t>a hybrid PFD-direct coordination approach.</w:t>
      </w:r>
    </w:p>
    <w:p w14:paraId="24D4B5B0" w14:textId="5808A2B0" w:rsidR="00C76DFB" w:rsidRDefault="00C76DFB" w:rsidP="00C76DFB">
      <w:pPr>
        <w:pStyle w:val="Paragraph"/>
        <w:ind w:left="284"/>
      </w:pPr>
      <w:r>
        <w:t xml:space="preserve">Each of these options are detailed further below. </w:t>
      </w:r>
      <w:r w:rsidR="004C3BA7">
        <w:t xml:space="preserve">The </w:t>
      </w:r>
      <w:r w:rsidR="006B4AD4">
        <w:t xml:space="preserve">ACMA staff </w:t>
      </w:r>
      <w:r w:rsidR="004C3BA7">
        <w:t xml:space="preserve">preferred option is the </w:t>
      </w:r>
      <w:r w:rsidR="006B4AD4">
        <w:t xml:space="preserve">PFD limit. </w:t>
      </w:r>
    </w:p>
    <w:p w14:paraId="78A3972F" w14:textId="3B66396A" w:rsidR="00C76DFB" w:rsidRDefault="00C76DFB" w:rsidP="00EE4132">
      <w:pPr>
        <w:pStyle w:val="Paragraph"/>
        <w:spacing w:after="120"/>
        <w:ind w:left="284"/>
      </w:pPr>
      <w:r>
        <w:rPr>
          <w:i/>
          <w:iCs/>
          <w:u w:val="single"/>
        </w:rPr>
        <w:t>PFD limit</w:t>
      </w:r>
    </w:p>
    <w:p w14:paraId="59CC5E2E" w14:textId="5C96204F" w:rsidR="004003E5" w:rsidRDefault="00C76DFB" w:rsidP="00444304">
      <w:pPr>
        <w:pStyle w:val="Paragraph"/>
        <w:ind w:left="284"/>
      </w:pPr>
      <w:r>
        <w:t xml:space="preserve">For this approach to managing emissions into </w:t>
      </w:r>
      <w:r w:rsidR="00B702DD">
        <w:t xml:space="preserve">adjacent area </w:t>
      </w:r>
      <w:r w:rsidR="00CD78D4">
        <w:t>SL</w:t>
      </w:r>
      <w:r w:rsidR="00B702DD">
        <w:t>s</w:t>
      </w:r>
      <w:r>
        <w:t>,</w:t>
      </w:r>
      <w:r w:rsidR="00B702DD">
        <w:t xml:space="preserve"> a PFD limit of </w:t>
      </w:r>
      <w:r w:rsidR="00793F8B">
        <w:t>-</w:t>
      </w:r>
      <w:r w:rsidR="00B702DD">
        <w:t>99.9</w:t>
      </w:r>
      <w:r w:rsidR="00DB4230">
        <w:t> </w:t>
      </w:r>
      <w:r w:rsidR="00B702DD" w:rsidRPr="00D06BAC">
        <w:t>dBm/MHz/m</w:t>
      </w:r>
      <w:r w:rsidR="00B702DD" w:rsidRPr="00707A62">
        <w:rPr>
          <w:vertAlign w:val="superscript"/>
        </w:rPr>
        <w:t>2</w:t>
      </w:r>
      <w:r w:rsidR="00B702DD">
        <w:t xml:space="preserve"> is proposed at the boundary of urban areas. Appendix C details how this limit was derived. </w:t>
      </w:r>
      <w:r w:rsidR="004003E5">
        <w:t xml:space="preserve">It is aimed at managing interference from a HL WBB base station into nbn consumer premise equipment (CPE). This assumes that HL WBB operation is synchronised with adjacent area nbn services, such that base station to base station interference will not occur. </w:t>
      </w:r>
    </w:p>
    <w:p w14:paraId="14756A77" w14:textId="15833FB0" w:rsidR="00767E9E" w:rsidRDefault="00996452" w:rsidP="00C76DFB">
      <w:pPr>
        <w:pStyle w:val="Paragraph"/>
        <w:ind w:left="284"/>
      </w:pPr>
      <w:r>
        <w:t>Originally it was</w:t>
      </w:r>
      <w:r w:rsidR="00B702DD">
        <w:t xml:space="preserve"> proposed th</w:t>
      </w:r>
      <w:r w:rsidR="004003E5">
        <w:t>e PFD</w:t>
      </w:r>
      <w:r w:rsidR="00B702DD">
        <w:t xml:space="preserve"> limit apply at any height between 5-100 metres above ground level</w:t>
      </w:r>
      <w:r w:rsidR="004003E5">
        <w:t xml:space="preserve">. However, it is recognised this may be difficult to </w:t>
      </w:r>
      <w:r>
        <w:t>assess</w:t>
      </w:r>
      <w:r w:rsidR="004003E5">
        <w:t xml:space="preserve"> adherence to in practice. Instead, it is proposed that adherence to the PFD limit be </w:t>
      </w:r>
      <w:r>
        <w:t>considered</w:t>
      </w:r>
      <w:r w:rsidR="004003E5">
        <w:t xml:space="preserve"> at </w:t>
      </w:r>
      <w:r w:rsidR="00C76DFB">
        <w:t xml:space="preserve">a </w:t>
      </w:r>
      <w:r w:rsidR="004003E5">
        <w:t xml:space="preserve">height of </w:t>
      </w:r>
      <w:r w:rsidR="00C76DFB">
        <w:t>10</w:t>
      </w:r>
      <w:r w:rsidR="004003E5">
        <w:t xml:space="preserve"> metres above ground level at urban area boundaries. </w:t>
      </w:r>
      <w:r>
        <w:t xml:space="preserve">This is to account for the location of CPEs at different heights with respect to the HL WBB transmitter (due to changes in terrain) beyond the urban area boundary. </w:t>
      </w:r>
    </w:p>
    <w:p w14:paraId="14B0BC90" w14:textId="275B5CCE" w:rsidR="00767E9E" w:rsidRDefault="00767E9E" w:rsidP="00EE4132">
      <w:pPr>
        <w:pStyle w:val="Paragraph"/>
        <w:ind w:left="284"/>
      </w:pPr>
      <w:r>
        <w:t xml:space="preserve">To simplify the calculation methodology, a process </w:t>
      </w:r>
      <w:proofErr w:type="gramStart"/>
      <w:r>
        <w:t>similar to</w:t>
      </w:r>
      <w:proofErr w:type="gramEnd"/>
      <w:r>
        <w:t xml:space="preserve"> that used for calculating the DBC un the 3.4 GHz band could be used (i.e. use of radials and 100 m increments). A key difference with the PFD approach, is that operators would be free to use detailed clutter information</w:t>
      </w:r>
      <w:r w:rsidR="009F1D25">
        <w:t xml:space="preserve"> (if available) </w:t>
      </w:r>
      <w:r>
        <w:t xml:space="preserve">when calculating propagation loses. </w:t>
      </w:r>
    </w:p>
    <w:p w14:paraId="4335C296" w14:textId="6634880F" w:rsidR="00C76DFB" w:rsidRDefault="00C76DFB" w:rsidP="00C76DFB">
      <w:pPr>
        <w:pStyle w:val="Paragraph"/>
        <w:spacing w:after="120"/>
        <w:ind w:left="284"/>
      </w:pPr>
      <w:r>
        <w:rPr>
          <w:i/>
          <w:iCs/>
          <w:u w:val="single"/>
        </w:rPr>
        <w:t>Direct coordination</w:t>
      </w:r>
    </w:p>
    <w:p w14:paraId="3E5033CE" w14:textId="4123FA1E" w:rsidR="00FB3915" w:rsidRDefault="00C76DFB" w:rsidP="00C76DFB">
      <w:pPr>
        <w:pStyle w:val="Paragraph"/>
        <w:ind w:left="284"/>
      </w:pPr>
      <w:r>
        <w:t>For thi</w:t>
      </w:r>
      <w:r w:rsidR="00FB3915">
        <w:t xml:space="preserve">s approach each HL WBB BS would be coordinated with each adjacent area BS – using a LOP of -115 dBm/MHz. For multi-sector sites, only the sector with the highest gain in the direction of the HL WBB BS would need to be considered. </w:t>
      </w:r>
    </w:p>
    <w:p w14:paraId="0076DB5F" w14:textId="33725014" w:rsidR="00C76DFB" w:rsidRDefault="00FB3915" w:rsidP="00C76DFB">
      <w:pPr>
        <w:pStyle w:val="Paragraph"/>
        <w:ind w:left="284"/>
      </w:pPr>
      <w:r>
        <w:lastRenderedPageBreak/>
        <w:t>This approach affectively assumes systems are not synchronised for the purposes of coordination. The idea is that coordinating with the adjacent area BS in this nature will provide an inherent level of protection to CPEs</w:t>
      </w:r>
      <w:r w:rsidR="00B20144">
        <w:t xml:space="preserve"> – as a BS antenna typically has the same or higher gain and is usually located higher above ground level</w:t>
      </w:r>
      <w:r>
        <w:t xml:space="preserve">. </w:t>
      </w:r>
    </w:p>
    <w:p w14:paraId="405A02D4" w14:textId="20A6AEC8" w:rsidR="00A719C4" w:rsidRDefault="00767E9E" w:rsidP="00767E9E">
      <w:pPr>
        <w:pStyle w:val="Paragraph"/>
        <w:ind w:left="284"/>
      </w:pPr>
      <w:r>
        <w:t xml:space="preserve">The main drawback of this approach is it only considers existing BS deployments in adjacent SL areas. However, given the current density of deployments close to urban boundaries this may not be a significant issue.  </w:t>
      </w:r>
    </w:p>
    <w:p w14:paraId="47E8FD46" w14:textId="0814B711" w:rsidR="006B4AD4" w:rsidRDefault="006B4AD4" w:rsidP="006B4AD4">
      <w:pPr>
        <w:pStyle w:val="Paragraph"/>
        <w:spacing w:after="120"/>
        <w:ind w:left="284"/>
      </w:pPr>
      <w:r>
        <w:rPr>
          <w:i/>
          <w:iCs/>
          <w:u w:val="single"/>
        </w:rPr>
        <w:t>Hybrid approach</w:t>
      </w:r>
    </w:p>
    <w:p w14:paraId="504952B3" w14:textId="5E5630D9" w:rsidR="006B4AD4" w:rsidRDefault="006B4AD4" w:rsidP="006B4AD4">
      <w:pPr>
        <w:pStyle w:val="Paragraph"/>
        <w:ind w:left="284"/>
      </w:pPr>
      <w:r>
        <w:t xml:space="preserve">The hybrid approach involves applying the direct coordination method (DCM) to all proposed deployments and limiting use of the PFD limit to services within 4 km of the urban boundary. The idea of the hybrid approach is that the DCM accounts for possible interference into CPEs that are pointing in the direction of the HL WBB service (the </w:t>
      </w:r>
      <w:proofErr w:type="gramStart"/>
      <w:r>
        <w:t>worst case</w:t>
      </w:r>
      <w:proofErr w:type="gramEnd"/>
      <w:r>
        <w:t xml:space="preserve"> scenario). The requirement to assess the PFD limit within 4km is to account for CPEs that are close to the urban excise boundary but not pointing at the HL WBB service. The distance of 4 km is based on the maximum separation distance required assuming free space loss, a 14 dB BPL, HL WBB EIRP of 17 dBm/MHz, CPE antenna gain of 0 </w:t>
      </w:r>
      <w:proofErr w:type="spellStart"/>
      <w:r>
        <w:t>dBi</w:t>
      </w:r>
      <w:proofErr w:type="spellEnd"/>
      <w:r>
        <w:t xml:space="preserve"> (assumes antenna pointing away from boundary) and a protection level of </w:t>
      </w:r>
      <w:r>
        <w:noBreakHyphen/>
        <w:t xml:space="preserve">112 dBm/MHz (refer to appendix C).  </w:t>
      </w:r>
    </w:p>
    <w:p w14:paraId="2A933F43" w14:textId="6C5063C0" w:rsidR="004003E5" w:rsidRPr="00E162C4" w:rsidRDefault="004003E5" w:rsidP="00444304">
      <w:pPr>
        <w:pStyle w:val="Heading4"/>
        <w:ind w:left="284"/>
      </w:pPr>
      <w:bookmarkStart w:id="103" w:name="_Hlk161388691"/>
      <w:bookmarkStart w:id="104" w:name="_Hlk160698890"/>
      <w:r>
        <w:t>Synchronisation requirement</w:t>
      </w:r>
    </w:p>
    <w:p w14:paraId="1B530D33" w14:textId="1EA54EBB" w:rsidR="006B24AF" w:rsidRDefault="006B24AF" w:rsidP="00444304">
      <w:pPr>
        <w:pStyle w:val="Paragraph"/>
        <w:ind w:left="284"/>
      </w:pPr>
      <w:r>
        <w:t>To ensure BS to BS interference is not an issue,</w:t>
      </w:r>
      <w:r w:rsidR="00E84870">
        <w:t xml:space="preserve"> HL WBB will be required to synchronise with adjacent area SLs</w:t>
      </w:r>
      <w:r w:rsidR="007C5A10">
        <w:t>.</w:t>
      </w:r>
      <w:r w:rsidR="00E84870">
        <w:t xml:space="preserve"> To provide flexibility for nbn to migrate to frame structures optimised for 5G or other next generation technologies, no frame structure will be defined. It will be incumbent on HL WBB licensees to adopt whatever frame structure </w:t>
      </w:r>
      <w:r w:rsidR="00981680">
        <w:t>the adjacent area SL (</w:t>
      </w:r>
      <w:r w:rsidR="00E84870">
        <w:t>nbn</w:t>
      </w:r>
      <w:r w:rsidR="00371464">
        <w:t xml:space="preserve"> co</w:t>
      </w:r>
      <w:r w:rsidR="00981680">
        <w:t>)</w:t>
      </w:r>
      <w:r w:rsidR="00E84870">
        <w:t xml:space="preserve"> is using. </w:t>
      </w:r>
      <w:r w:rsidR="007C5A10">
        <w:t xml:space="preserve"> </w:t>
      </w:r>
    </w:p>
    <w:p w14:paraId="250D2E44" w14:textId="3AA1F997" w:rsidR="009202EF" w:rsidRPr="00D2646B" w:rsidRDefault="00BE1A9C" w:rsidP="00EE4132">
      <w:pPr>
        <w:pStyle w:val="Paragraph"/>
        <w:spacing w:after="80"/>
        <w:ind w:left="284"/>
      </w:pPr>
      <w:r>
        <w:t xml:space="preserve">Further </w:t>
      </w:r>
      <w:r w:rsidR="00626811">
        <w:t xml:space="preserve">consideration </w:t>
      </w:r>
      <w:r>
        <w:t xml:space="preserve">is required on how to make this approach work in practice. Specifically, what process should be used to manage a change in frame structure. </w:t>
      </w:r>
      <w:r w:rsidR="00626811">
        <w:t>Our</w:t>
      </w:r>
      <w:r>
        <w:t xml:space="preserve"> current proposal is that the adjacent area SL (nbn</w:t>
      </w:r>
      <w:r w:rsidR="00371464">
        <w:t xml:space="preserve"> co</w:t>
      </w:r>
      <w:r>
        <w:t>) notify the ACMA of its intention to change frame structure</w:t>
      </w:r>
      <w:r w:rsidR="00626811">
        <w:t xml:space="preserve"> </w:t>
      </w:r>
      <w:r w:rsidR="005B477A">
        <w:t>at least 3</w:t>
      </w:r>
      <w:r w:rsidR="00626811">
        <w:t xml:space="preserve"> months before it occurs</w:t>
      </w:r>
      <w:r>
        <w:t xml:space="preserve">. The ACMA can then notify </w:t>
      </w:r>
      <w:r w:rsidR="00626811">
        <w:t xml:space="preserve">APs and </w:t>
      </w:r>
      <w:r>
        <w:t>relevant licensees</w:t>
      </w:r>
      <w:r w:rsidR="00626811">
        <w:t xml:space="preserve">. The intention being to </w:t>
      </w:r>
      <w:r>
        <w:t xml:space="preserve">provide </w:t>
      </w:r>
      <w:r w:rsidR="00626811">
        <w:t xml:space="preserve">them </w:t>
      </w:r>
      <w:r>
        <w:t xml:space="preserve">with reasonable warning </w:t>
      </w:r>
      <w:r w:rsidR="00626811">
        <w:t>to</w:t>
      </w:r>
      <w:r>
        <w:t xml:space="preserve"> implement changes </w:t>
      </w:r>
      <w:r w:rsidR="00626811">
        <w:t xml:space="preserve">and </w:t>
      </w:r>
      <w:r>
        <w:t>minimis</w:t>
      </w:r>
      <w:r w:rsidR="00626811">
        <w:t>e</w:t>
      </w:r>
      <w:r>
        <w:t xml:space="preserve"> impact on services.  </w:t>
      </w:r>
    </w:p>
    <w:bookmarkEnd w:id="103"/>
    <w:p w14:paraId="3BFB13F8" w14:textId="58940939" w:rsidR="007C5A10" w:rsidRPr="00E162C4" w:rsidRDefault="007C5A10" w:rsidP="00444304">
      <w:pPr>
        <w:pStyle w:val="Heading4"/>
        <w:ind w:left="284"/>
      </w:pPr>
      <w:r>
        <w:t>In-band emission limit</w:t>
      </w:r>
    </w:p>
    <w:p w14:paraId="6EBDE9DE" w14:textId="6074BFC8" w:rsidR="00AA40F9" w:rsidRDefault="00AA40F9" w:rsidP="00444304">
      <w:pPr>
        <w:pStyle w:val="Paragraph"/>
        <w:ind w:left="284"/>
      </w:pPr>
      <w:r>
        <w:t xml:space="preserve">Limiting in-band emissions for HL WBB use in the 3400-3475 MHz </w:t>
      </w:r>
      <w:r w:rsidR="00185350">
        <w:t>frequency range</w:t>
      </w:r>
      <w:r>
        <w:t xml:space="preserve"> can help to reduce the risk of interference. </w:t>
      </w:r>
      <w:r w:rsidR="006B24AF">
        <w:t xml:space="preserve">As mentioned previously a PSD limit of -17 dBm/MHz is proposed for all HL WBB use. </w:t>
      </w:r>
      <w:r>
        <w:t>T</w:t>
      </w:r>
      <w:r w:rsidR="006B24AF">
        <w:t xml:space="preserve">his results in a maximum EIRP of 35.5 dBm/70 MHz. </w:t>
      </w:r>
    </w:p>
    <w:p w14:paraId="2A39D342" w14:textId="2B9CD8CA" w:rsidR="007C5A10" w:rsidRDefault="006B24AF" w:rsidP="00444304">
      <w:pPr>
        <w:pStyle w:val="Paragraph"/>
        <w:ind w:left="284"/>
      </w:pPr>
      <w:r>
        <w:t xml:space="preserve">Arrangements proposed in the 2021 TLG restricted the maximum EIRP to 30 dBm/occupied bandwidth. </w:t>
      </w:r>
      <w:r w:rsidR="00AA40F9">
        <w:t xml:space="preserve">This would </w:t>
      </w:r>
      <w:r w:rsidR="005C24F1">
        <w:t>largely</w:t>
      </w:r>
      <w:r w:rsidR="00AA40F9">
        <w:t xml:space="preserve"> restrict HL WBB BS to the </w:t>
      </w:r>
      <w:r w:rsidR="000B1110">
        <w:t>Local Area</w:t>
      </w:r>
      <w:r w:rsidR="00AA40F9">
        <w:t xml:space="preserve"> BS transmitter class as defined by 3GPP. While this may assist with managing adjacent channel interference it is unlikely to have much impact on the co-channel case. This is because HL WBB device will be required to meet the PFD limit irrespective of the EIRP used. </w:t>
      </w:r>
    </w:p>
    <w:p w14:paraId="204B96D9" w14:textId="45BB3921" w:rsidR="001259DA" w:rsidRPr="008A4E46" w:rsidRDefault="00AA40F9" w:rsidP="00444304">
      <w:pPr>
        <w:pStyle w:val="Paragraph"/>
        <w:ind w:left="284"/>
      </w:pPr>
      <w:r>
        <w:t xml:space="preserve">Given the </w:t>
      </w:r>
      <w:r w:rsidR="001259DA">
        <w:t>difference in maximum EIRP is not significant, t</w:t>
      </w:r>
      <w:r>
        <w:t>o improve flexibility</w:t>
      </w:r>
      <w:r w:rsidR="001259DA">
        <w:t>,</w:t>
      </w:r>
      <w:r>
        <w:t xml:space="preserve"> it is proposed </w:t>
      </w:r>
      <w:r w:rsidR="008A4E46">
        <w:t xml:space="preserve">a maximum EIRP limit is not required for this scenario. Discussion on whether to implement a maximum EIRP limit is considered in the </w:t>
      </w:r>
      <w:r w:rsidR="008A4E46">
        <w:rPr>
          <w:i/>
          <w:iCs/>
        </w:rPr>
        <w:t>other HL WBB licences</w:t>
      </w:r>
      <w:r w:rsidR="008A4E46">
        <w:t xml:space="preserve"> section. </w:t>
      </w:r>
    </w:p>
    <w:p w14:paraId="0C415FED" w14:textId="77777777" w:rsidR="004C3BA7" w:rsidRDefault="004C3BA7">
      <w:pPr>
        <w:spacing w:after="0" w:line="240" w:lineRule="auto"/>
        <w:rPr>
          <w:rFonts w:cs="Arial"/>
          <w:b/>
          <w:i/>
        </w:rPr>
      </w:pPr>
      <w:r>
        <w:br w:type="page"/>
      </w:r>
    </w:p>
    <w:p w14:paraId="7FDACFEC" w14:textId="4DB3F817" w:rsidR="00E86CEC" w:rsidRPr="00E162C4" w:rsidRDefault="009D0E0D" w:rsidP="00444304">
      <w:pPr>
        <w:pStyle w:val="Heading4"/>
        <w:ind w:left="284"/>
      </w:pPr>
      <w:r w:rsidRPr="0082749C">
        <w:lastRenderedPageBreak/>
        <w:t xml:space="preserve">Other </w:t>
      </w:r>
      <w:r w:rsidR="00E86CEC" w:rsidRPr="0082749C">
        <w:t>condition</w:t>
      </w:r>
      <w:r w:rsidRPr="0082749C">
        <w:t>s</w:t>
      </w:r>
      <w:r w:rsidR="00E86CEC">
        <w:t xml:space="preserve"> on operation</w:t>
      </w:r>
    </w:p>
    <w:p w14:paraId="468A6B77" w14:textId="3A8B815A" w:rsidR="00256EDB" w:rsidRPr="0082749C" w:rsidRDefault="009D0E0D" w:rsidP="00444304">
      <w:pPr>
        <w:pStyle w:val="Paragraph"/>
        <w:ind w:left="284"/>
      </w:pPr>
      <w:r w:rsidRPr="0082749C">
        <w:t>The measures specified previously assist in the management of interference from HL</w:t>
      </w:r>
      <w:r w:rsidR="0082749C">
        <w:t> </w:t>
      </w:r>
      <w:r w:rsidRPr="0082749C">
        <w:t xml:space="preserve">WBB into adjacent area services. While this may provide some degree of protection for HL WBB licences, there is </w:t>
      </w:r>
      <w:r w:rsidR="00256EDB" w:rsidRPr="0082749C">
        <w:t xml:space="preserve">still a reasonable risk of interference. This is because macro cell BS </w:t>
      </w:r>
      <w:r w:rsidR="00F95A24">
        <w:t xml:space="preserve">and customer premise equipment (CPEs) </w:t>
      </w:r>
      <w:r w:rsidR="00256EDB" w:rsidRPr="0082749C">
        <w:t xml:space="preserve">are and can be deployed in the adjacent area </w:t>
      </w:r>
      <w:r w:rsidR="00CD78D4">
        <w:t>SL</w:t>
      </w:r>
      <w:r w:rsidR="00256EDB" w:rsidRPr="0082749C">
        <w:t xml:space="preserve">s. </w:t>
      </w:r>
      <w:r w:rsidR="0043042B">
        <w:t xml:space="preserve">How this is managed needs to be considered. </w:t>
      </w:r>
    </w:p>
    <w:p w14:paraId="31C32BC7" w14:textId="35763A3E" w:rsidR="00EF7A02" w:rsidRPr="0082749C" w:rsidRDefault="00EF7A02" w:rsidP="00444304">
      <w:pPr>
        <w:pStyle w:val="Paragraph"/>
        <w:ind w:left="284"/>
      </w:pPr>
      <w:r w:rsidRPr="0082749C">
        <w:t xml:space="preserve">There is </w:t>
      </w:r>
      <w:r w:rsidR="0043042B">
        <w:t xml:space="preserve">a </w:t>
      </w:r>
      <w:r w:rsidRPr="0082749C">
        <w:t xml:space="preserve">unique challenge in this case, as adjacent band nbn services are deployed right up to the urban area boundary (refer to Appendix E for background on this issue). This further increases the risk of interference into HL WBB devices. </w:t>
      </w:r>
      <w:r w:rsidR="00431234" w:rsidRPr="0082749C">
        <w:t xml:space="preserve">It </w:t>
      </w:r>
      <w:r w:rsidR="0082749C">
        <w:t>also presents a challenge</w:t>
      </w:r>
      <w:r w:rsidR="0043042B">
        <w:t xml:space="preserve"> in the</w:t>
      </w:r>
      <w:r w:rsidR="0082749C">
        <w:t xml:space="preserve"> develop</w:t>
      </w:r>
      <w:r w:rsidR="0043042B">
        <w:t>ment of</w:t>
      </w:r>
      <w:r w:rsidR="0082749C">
        <w:t xml:space="preserve"> arrangements that e</w:t>
      </w:r>
      <w:r w:rsidR="0082749C" w:rsidRPr="002462DF">
        <w:rPr>
          <w:color w:val="000000" w:themeColor="text1"/>
        </w:rPr>
        <w:t xml:space="preserve">nsure </w:t>
      </w:r>
      <w:r w:rsidR="0082749C">
        <w:rPr>
          <w:color w:val="000000" w:themeColor="text1"/>
        </w:rPr>
        <w:t>nbn is</w:t>
      </w:r>
      <w:r w:rsidR="0082749C" w:rsidRPr="002462DF">
        <w:rPr>
          <w:color w:val="000000" w:themeColor="text1"/>
        </w:rPr>
        <w:t xml:space="preserve"> not unreasonably constrained in their ability to deploy new and more spectrally efficient technologies in the future</w:t>
      </w:r>
      <w:r w:rsidR="0082749C">
        <w:rPr>
          <w:color w:val="000000" w:themeColor="text1"/>
        </w:rPr>
        <w:t>.</w:t>
      </w:r>
    </w:p>
    <w:p w14:paraId="4ABD53E9" w14:textId="5DF44F63" w:rsidR="00431234" w:rsidRDefault="0043042B" w:rsidP="00444304">
      <w:pPr>
        <w:pStyle w:val="Paragraph"/>
        <w:spacing w:after="80"/>
        <w:ind w:left="284"/>
      </w:pPr>
      <w:r>
        <w:t>Several possible measures have been identified to manage interference from nbn services into HL WBB licences:</w:t>
      </w:r>
    </w:p>
    <w:p w14:paraId="5C2DEEE8" w14:textId="3EB6987B" w:rsidR="0043042B" w:rsidRDefault="0043042B" w:rsidP="00444304">
      <w:pPr>
        <w:pStyle w:val="Bulletlevel1"/>
        <w:tabs>
          <w:tab w:val="clear" w:pos="295"/>
          <w:tab w:val="num" w:pos="579"/>
        </w:tabs>
        <w:ind w:left="579"/>
      </w:pPr>
      <w:r w:rsidRPr="007A05EE">
        <w:rPr>
          <w:u w:val="single"/>
        </w:rPr>
        <w:t>Existing and new nbn CPEs</w:t>
      </w:r>
      <w:r>
        <w:t xml:space="preserve">: It is proposed that HL WBB not be afforded protection from CPEs. </w:t>
      </w:r>
      <w:r w:rsidR="00F95A24">
        <w:t xml:space="preserve">This is to ensure CPEs are not required to modify or cease operation – which would affect the delivery of nbn services. </w:t>
      </w:r>
    </w:p>
    <w:p w14:paraId="21CB690E" w14:textId="6A90F824" w:rsidR="0043042B" w:rsidRDefault="0043042B" w:rsidP="00EE4132">
      <w:pPr>
        <w:pStyle w:val="Bulletlevel1"/>
        <w:tabs>
          <w:tab w:val="clear" w:pos="295"/>
          <w:tab w:val="num" w:pos="579"/>
        </w:tabs>
        <w:spacing w:after="240"/>
        <w:ind w:left="579"/>
      </w:pPr>
      <w:r w:rsidRPr="007A05EE">
        <w:rPr>
          <w:u w:val="single"/>
        </w:rPr>
        <w:t xml:space="preserve">Existing </w:t>
      </w:r>
      <w:r w:rsidR="00E84870">
        <w:rPr>
          <w:u w:val="single"/>
        </w:rPr>
        <w:t xml:space="preserve">and new </w:t>
      </w:r>
      <w:r w:rsidRPr="007A05EE">
        <w:rPr>
          <w:u w:val="single"/>
        </w:rPr>
        <w:t>nbn BS</w:t>
      </w:r>
      <w:r>
        <w:t>:</w:t>
      </w:r>
      <w:r w:rsidR="00F95A24">
        <w:t xml:space="preserve"> </w:t>
      </w:r>
      <w:r w:rsidR="00F95A24" w:rsidRPr="00F95A24">
        <w:t xml:space="preserve">It is </w:t>
      </w:r>
      <w:r w:rsidR="00F95A24">
        <w:t xml:space="preserve">proposed </w:t>
      </w:r>
      <w:r w:rsidR="00F95A24" w:rsidRPr="00F95A24">
        <w:t>that HL WBB not be protected from interference caused by</w:t>
      </w:r>
      <w:r w:rsidR="00F95A24">
        <w:t xml:space="preserve"> nbn BS existing before they are licensed. This ensures there is no impact on existing nbn services. </w:t>
      </w:r>
      <w:r w:rsidR="001C5E3A">
        <w:t xml:space="preserve">HL WBB will need to design their service to account for the existing interference environment. </w:t>
      </w:r>
      <w:r w:rsidR="00E84870">
        <w:t xml:space="preserve">HL WBB are required to synchronise with nbn services. </w:t>
      </w:r>
    </w:p>
    <w:bookmarkEnd w:id="104"/>
    <w:p w14:paraId="67A793A9" w14:textId="77777777" w:rsidR="007940C2" w:rsidRPr="00E162C4" w:rsidRDefault="007940C2" w:rsidP="00444304">
      <w:pPr>
        <w:pStyle w:val="Heading3"/>
        <w:ind w:left="284"/>
      </w:pPr>
      <w:r>
        <w:t>Managing adjacent channel</w:t>
      </w:r>
      <w:r w:rsidRPr="00E162C4">
        <w:t xml:space="preserve"> </w:t>
      </w:r>
      <w:r>
        <w:t>interference</w:t>
      </w:r>
    </w:p>
    <w:p w14:paraId="50A2CC49" w14:textId="77777777" w:rsidR="00C912F9" w:rsidRPr="00E162C4" w:rsidRDefault="00C912F9" w:rsidP="00444304">
      <w:pPr>
        <w:pStyle w:val="Heading4"/>
        <w:ind w:left="284"/>
      </w:pPr>
      <w:r>
        <w:t>Unwanted emission limits</w:t>
      </w:r>
    </w:p>
    <w:p w14:paraId="2EAAAEC9" w14:textId="35001E1E" w:rsidR="00C912F9" w:rsidRPr="00D2646B" w:rsidRDefault="00957139" w:rsidP="00444304">
      <w:pPr>
        <w:pStyle w:val="Paragraph"/>
        <w:ind w:left="284"/>
      </w:pPr>
      <w:r>
        <w:t xml:space="preserve">It is proposed that the unwanted emission limits for HL WBB defined in the </w:t>
      </w:r>
      <w:r>
        <w:rPr>
          <w:i/>
          <w:iCs/>
        </w:rPr>
        <w:t xml:space="preserve">Other HL WBB licences </w:t>
      </w:r>
      <w:r>
        <w:t xml:space="preserve">section apply to HL WBB operating in the 3400-3475 MHz </w:t>
      </w:r>
      <w:r w:rsidR="00185350">
        <w:t>frequency range</w:t>
      </w:r>
      <w:r>
        <w:t xml:space="preserve">. Please refer to that section for further details. </w:t>
      </w:r>
    </w:p>
    <w:p w14:paraId="05E8D1BF" w14:textId="6A85D964" w:rsidR="00CA608C" w:rsidRPr="00E162C4" w:rsidRDefault="00CA608C" w:rsidP="00444304">
      <w:pPr>
        <w:pStyle w:val="Heading4"/>
        <w:ind w:left="284"/>
      </w:pPr>
      <w:r>
        <w:t>Restricted use band</w:t>
      </w:r>
      <w:r w:rsidR="00B9345F">
        <w:t xml:space="preserve"> (RB)</w:t>
      </w:r>
    </w:p>
    <w:p w14:paraId="7F661C26" w14:textId="14EE35C9" w:rsidR="00C912F9" w:rsidRDefault="00C912F9" w:rsidP="00444304">
      <w:pPr>
        <w:pStyle w:val="Paragraph"/>
        <w:spacing w:after="80"/>
        <w:ind w:left="284"/>
      </w:pPr>
      <w:r>
        <w:t>It is recognised that unwanted emission limits alone will not be sufficient to</w:t>
      </w:r>
      <w:r w:rsidR="007940C2">
        <w:t xml:space="preserve"> manage adjacent channel interference</w:t>
      </w:r>
      <w:r>
        <w:t xml:space="preserve"> between HL WBB and 3.4 GHz band </w:t>
      </w:r>
      <w:r w:rsidR="00CD78D4">
        <w:t>SL</w:t>
      </w:r>
      <w:r>
        <w:t>s. For this reason, the following additional measures are proposed:</w:t>
      </w:r>
    </w:p>
    <w:p w14:paraId="6497D663" w14:textId="3E41AD47" w:rsidR="00C912F9" w:rsidRDefault="00C912F9" w:rsidP="00444304">
      <w:pPr>
        <w:pStyle w:val="Bulletlevel1"/>
        <w:tabs>
          <w:tab w:val="clear" w:pos="295"/>
          <w:tab w:val="num" w:pos="579"/>
        </w:tabs>
        <w:ind w:left="579"/>
      </w:pPr>
      <w:r>
        <w:t>O</w:t>
      </w:r>
      <w:r w:rsidR="007940C2" w:rsidRPr="00C912F9">
        <w:t xml:space="preserve">peration </w:t>
      </w:r>
      <w:r w:rsidR="007940C2" w:rsidRPr="00D2646B">
        <w:t xml:space="preserve">of </w:t>
      </w:r>
      <w:r w:rsidR="007940C2">
        <w:t xml:space="preserve">HL WBB services </w:t>
      </w:r>
      <w:r w:rsidR="007940C2" w:rsidRPr="00D2646B">
        <w:t>within the 3400–</w:t>
      </w:r>
      <w:r w:rsidR="007940C2" w:rsidRPr="00C912F9">
        <w:t>347</w:t>
      </w:r>
      <w:r w:rsidR="00B9345F">
        <w:t>5</w:t>
      </w:r>
      <w:r w:rsidR="007940C2" w:rsidRPr="00D2646B">
        <w:t xml:space="preserve"> MHz </w:t>
      </w:r>
      <w:r w:rsidR="00185350">
        <w:t>frequency range</w:t>
      </w:r>
      <w:r w:rsidR="007940C2">
        <w:t xml:space="preserve"> be </w:t>
      </w:r>
      <w:r w:rsidR="007940C2" w:rsidRPr="00D2646B">
        <w:t xml:space="preserve">limited to </w:t>
      </w:r>
      <w:r w:rsidR="00702AB9">
        <w:t xml:space="preserve">indoor operation (at least initially) and </w:t>
      </w:r>
      <w:r w:rsidR="007940C2" w:rsidRPr="00D2646B">
        <w:t xml:space="preserve">urban </w:t>
      </w:r>
      <w:r w:rsidR="00702AB9">
        <w:t xml:space="preserve">excise </w:t>
      </w:r>
      <w:r w:rsidR="007940C2" w:rsidRPr="00D2646B">
        <w:t>areas</w:t>
      </w:r>
      <w:r w:rsidR="007940C2" w:rsidRPr="00C912F9">
        <w:t>.</w:t>
      </w:r>
      <w:r w:rsidR="007940C2" w:rsidRPr="00D2646B">
        <w:t xml:space="preserve"> </w:t>
      </w:r>
    </w:p>
    <w:p w14:paraId="22D8A252" w14:textId="29C61AC8" w:rsidR="007940C2" w:rsidRDefault="00B9345F" w:rsidP="00444304">
      <w:pPr>
        <w:pStyle w:val="Bulletlevel1"/>
        <w:tabs>
          <w:tab w:val="clear" w:pos="295"/>
          <w:tab w:val="num" w:pos="579"/>
        </w:tabs>
        <w:spacing w:after="240"/>
        <w:ind w:left="579"/>
      </w:pPr>
      <w:r>
        <w:t>An RB be applied below 3475 MHz. HL WBB o</w:t>
      </w:r>
      <w:r w:rsidR="007940C2" w:rsidRPr="00C912F9">
        <w:t xml:space="preserve">peration </w:t>
      </w:r>
      <w:r w:rsidR="007940C2" w:rsidRPr="00D2646B">
        <w:t xml:space="preserve">within the </w:t>
      </w:r>
      <w:r>
        <w:t xml:space="preserve">RB </w:t>
      </w:r>
      <w:r w:rsidR="007B2BB5">
        <w:t>will generally not be permitted</w:t>
      </w:r>
      <w:r w:rsidR="00702AB9">
        <w:t xml:space="preserve"> unless there is agreement with the adjacent frequency SL</w:t>
      </w:r>
      <w:r w:rsidR="007B2BB5">
        <w:t>.</w:t>
      </w:r>
      <w:r w:rsidR="00702AB9">
        <w:t xml:space="preserve"> The ACMA </w:t>
      </w:r>
      <w:r w:rsidR="007B2BB5">
        <w:t xml:space="preserve">may </w:t>
      </w:r>
      <w:r w:rsidR="00702AB9">
        <w:t xml:space="preserve">also choose to </w:t>
      </w:r>
      <w:r w:rsidR="007B2BB5">
        <w:t>consider</w:t>
      </w:r>
      <w:r w:rsidR="00702AB9">
        <w:t xml:space="preserve"> use </w:t>
      </w:r>
      <w:r w:rsidR="007B2BB5">
        <w:t xml:space="preserve">on a case-by-case basis if alternative spectrum options are not available or sufficient. </w:t>
      </w:r>
      <w:r w:rsidR="00212DC1">
        <w:t>The licensee of any licence issued</w:t>
      </w:r>
      <w:r w:rsidR="00702AB9">
        <w:t xml:space="preserve"> in an RB will</w:t>
      </w:r>
      <w:r w:rsidR="00212DC1">
        <w:t xml:space="preserve"> take on the risk they may have to modify or cease operation at any time to manage interference with other HL WBB licensees or adjacent area/frequency SLs. </w:t>
      </w:r>
    </w:p>
    <w:p w14:paraId="38D0A574" w14:textId="3CC9996B" w:rsidR="007940C2" w:rsidRDefault="007940C2" w:rsidP="00444304">
      <w:pPr>
        <w:pStyle w:val="Paragraph"/>
        <w:ind w:left="284"/>
      </w:pPr>
      <w:r>
        <w:t>A</w:t>
      </w:r>
      <w:r w:rsidR="005939F0">
        <w:t>n</w:t>
      </w:r>
      <w:r>
        <w:t xml:space="preserve"> </w:t>
      </w:r>
      <w:r w:rsidR="005939F0">
        <w:t>RB</w:t>
      </w:r>
      <w:r>
        <w:t xml:space="preserve"> is proposed to assist in the management of interference between HL WBB and 3.4 GHz band </w:t>
      </w:r>
      <w:r w:rsidR="00CD78D4">
        <w:t>SL</w:t>
      </w:r>
      <w:r>
        <w:t>s. It is proposed for the same reasons a</w:t>
      </w:r>
      <w:r w:rsidR="005939F0">
        <w:t>n RB</w:t>
      </w:r>
      <w:r>
        <w:t xml:space="preserve"> was applied between AWLs and 3.4 GHz band </w:t>
      </w:r>
      <w:r w:rsidR="00CD78D4">
        <w:t>SL</w:t>
      </w:r>
      <w:r>
        <w:t xml:space="preserve">s. That is, it </w:t>
      </w:r>
      <w:r w:rsidR="007166E1">
        <w:t xml:space="preserve">helps to </w:t>
      </w:r>
      <w:r>
        <w:t xml:space="preserve">isolate HL WBB </w:t>
      </w:r>
      <w:r w:rsidR="005939F0">
        <w:t>licences</w:t>
      </w:r>
      <w:r>
        <w:t xml:space="preserve"> from </w:t>
      </w:r>
      <w:r w:rsidR="007166E1">
        <w:t>adjacent band</w:t>
      </w:r>
      <w:r>
        <w:t xml:space="preserve"> </w:t>
      </w:r>
      <w:r w:rsidR="00CD78D4">
        <w:t>SL</w:t>
      </w:r>
      <w:r>
        <w:t xml:space="preserve">s. This </w:t>
      </w:r>
      <w:r w:rsidR="00702AB9">
        <w:t xml:space="preserve">may </w:t>
      </w:r>
      <w:r>
        <w:t xml:space="preserve">allow different frame structures to be </w:t>
      </w:r>
      <w:r w:rsidR="00F34A36">
        <w:t>implemented</w:t>
      </w:r>
      <w:r>
        <w:t>.</w:t>
      </w:r>
      <w:r w:rsidR="00BA73D7">
        <w:t xml:space="preserve"> It </w:t>
      </w:r>
      <w:r w:rsidR="00F34A36">
        <w:t>recognises that</w:t>
      </w:r>
      <w:r w:rsidR="00BA73D7">
        <w:t xml:space="preserve"> HL</w:t>
      </w:r>
      <w:r w:rsidR="00F34A36">
        <w:t> </w:t>
      </w:r>
      <w:r w:rsidR="00BA73D7">
        <w:t xml:space="preserve">WBB licensees and 3.4 GHz band spectrum licensees may have different uplink and downlink requirements and are also likely to have different commercial incentives and timings to adopt new or alternative </w:t>
      </w:r>
      <w:r w:rsidR="00BA73D7">
        <w:lastRenderedPageBreak/>
        <w:t xml:space="preserve">frame structures in the future (for example those based on 6G or other next generation technologies). </w:t>
      </w:r>
    </w:p>
    <w:p w14:paraId="6A0CD965" w14:textId="1F90E543" w:rsidR="00BA73D7" w:rsidRPr="00AD416F" w:rsidRDefault="005939F0" w:rsidP="00444304">
      <w:pPr>
        <w:pStyle w:val="Paragraph"/>
        <w:ind w:left="284"/>
      </w:pPr>
      <w:r>
        <w:t>W</w:t>
      </w:r>
      <w:r w:rsidR="00BA73D7">
        <w:t xml:space="preserve">hile an operator may reach agreement to deploy services in the </w:t>
      </w:r>
      <w:r>
        <w:t>RB</w:t>
      </w:r>
      <w:r w:rsidR="00BA73D7">
        <w:t xml:space="preserve">, it is important to understand they also need to accept the risk that they may need to modify or cease operation </w:t>
      </w:r>
      <w:r>
        <w:t xml:space="preserve">at any time </w:t>
      </w:r>
      <w:r w:rsidR="00BA73D7">
        <w:t xml:space="preserve">to manage interference with 3.4 GHz band </w:t>
      </w:r>
      <w:r w:rsidR="00CD78D4">
        <w:t>SL</w:t>
      </w:r>
      <w:r>
        <w:t>s</w:t>
      </w:r>
      <w:r w:rsidR="00BA73D7">
        <w:t xml:space="preserve"> as well as other HL WBB operators. Refer to the </w:t>
      </w:r>
      <w:r w:rsidR="00BA73D7">
        <w:rPr>
          <w:i/>
          <w:iCs/>
        </w:rPr>
        <w:t xml:space="preserve">Frequency assignment arrangements - Other HL WBB operators </w:t>
      </w:r>
      <w:r w:rsidR="00BA73D7">
        <w:t>section for details on how interference is proposed to be managed between HL WBB licensees. This could be codified in an advisory note attached to any licence issued.</w:t>
      </w:r>
    </w:p>
    <w:p w14:paraId="25F578A5" w14:textId="42BFB208" w:rsidR="005939F0" w:rsidRDefault="007940C2" w:rsidP="00444304">
      <w:pPr>
        <w:ind w:left="284"/>
        <w:rPr>
          <w:rFonts w:cs="Arial"/>
        </w:rPr>
      </w:pPr>
      <w:r>
        <w:rPr>
          <w:rFonts w:cs="Arial"/>
        </w:rPr>
        <w:t xml:space="preserve">The size of an RB is a balance between potential interference from adjacent frequency services and spectrum utility. </w:t>
      </w:r>
      <w:r w:rsidR="005939F0" w:rsidRPr="00406546">
        <w:t>Advice provided in</w:t>
      </w:r>
      <w:r w:rsidR="005939F0">
        <w:t xml:space="preserve"> the 2021</w:t>
      </w:r>
      <w:r w:rsidR="005939F0" w:rsidRPr="00406546">
        <w:t xml:space="preserve"> TLG is that a guard band of 15 MHz is</w:t>
      </w:r>
      <w:r w:rsidR="005939F0">
        <w:t xml:space="preserve"> generally</w:t>
      </w:r>
      <w:r w:rsidR="005939F0" w:rsidRPr="00406546">
        <w:t xml:space="preserve"> sufficient to manage interference between unsynchronised 4G and 5G adjacent band macro cell deployments. Consequently, a 15 MHz </w:t>
      </w:r>
      <w:r w:rsidR="00B9345F">
        <w:t>RB</w:t>
      </w:r>
      <w:r w:rsidR="005939F0" w:rsidRPr="00406546">
        <w:t xml:space="preserve"> has been adopted between AWLs and 3.4 GHz </w:t>
      </w:r>
      <w:r w:rsidR="00CD78D4">
        <w:t>SL</w:t>
      </w:r>
      <w:r w:rsidR="005939F0" w:rsidRPr="00406546">
        <w:t>s.</w:t>
      </w:r>
    </w:p>
    <w:p w14:paraId="5EC4EAE1" w14:textId="1D0F6AD3" w:rsidR="00CA608C" w:rsidRDefault="00CA608C" w:rsidP="00444304">
      <w:pPr>
        <w:pStyle w:val="Paragraph"/>
        <w:ind w:left="284"/>
      </w:pPr>
      <w:r w:rsidRPr="00406546">
        <w:t xml:space="preserve">A typical macro cell deployment has a power spectral density (PSD) in the order of 55-60 dBm/MHz EIRP (based on RRL data for the 3400-3700 MHz </w:t>
      </w:r>
      <w:r w:rsidR="00185350">
        <w:t>frequency range</w:t>
      </w:r>
      <w:r w:rsidRPr="00406546">
        <w:t xml:space="preserve">). However, it is proposed that HL WBB be limited to a PSD of 17 dBm/MHz EIRP – resulting in a maximum EIRP of 35.5 dBm/70 MHz for a device operating in the 3400-3475 MHz </w:t>
      </w:r>
      <w:r w:rsidR="00185350">
        <w:t>frequency range</w:t>
      </w:r>
      <w:r w:rsidRPr="00406546">
        <w:t xml:space="preserve">. This is a much lower EIRP than permitted under an AWL or 3.4 GHz band </w:t>
      </w:r>
      <w:r w:rsidR="00CD78D4">
        <w:t>SL</w:t>
      </w:r>
      <w:r>
        <w:t xml:space="preserve">, suggesting a smaller </w:t>
      </w:r>
      <w:r w:rsidR="00957139">
        <w:t>RB</w:t>
      </w:r>
      <w:r>
        <w:t xml:space="preserve"> may be </w:t>
      </w:r>
      <w:r w:rsidR="00B20144">
        <w:t>possible</w:t>
      </w:r>
      <w:r>
        <w:t xml:space="preserve">. </w:t>
      </w:r>
    </w:p>
    <w:p w14:paraId="3F83F675" w14:textId="77777777" w:rsidR="007166E1" w:rsidRDefault="00CA608C" w:rsidP="00444304">
      <w:pPr>
        <w:ind w:left="284"/>
      </w:pPr>
      <w:r w:rsidRPr="00B34AB2">
        <w:t>Given 4G and 5G operation is most efficient in bandwidths that are an integer multiple of 5 or 10 MHz, a</w:t>
      </w:r>
      <w:r w:rsidR="00941683">
        <w:t>n</w:t>
      </w:r>
      <w:r w:rsidRPr="00B34AB2">
        <w:t xml:space="preserve"> </w:t>
      </w:r>
      <w:r w:rsidR="00B9345F">
        <w:t>RB</w:t>
      </w:r>
      <w:r w:rsidRPr="00B34AB2">
        <w:t xml:space="preserve"> that is some multiple of 5 MHz is considered appropriate. This provides three options for the </w:t>
      </w:r>
      <w:r w:rsidR="00B9345F">
        <w:t xml:space="preserve">RB </w:t>
      </w:r>
      <w:r w:rsidRPr="00B34AB2">
        <w:t>below 3475 MHz: 5, 10 or 15 MHz.</w:t>
      </w:r>
      <w:r w:rsidR="00B9345F">
        <w:t xml:space="preserve"> </w:t>
      </w:r>
    </w:p>
    <w:p w14:paraId="6C14D74A" w14:textId="577C5D61" w:rsidR="007166E1" w:rsidRDefault="007166E1" w:rsidP="00444304">
      <w:pPr>
        <w:ind w:left="284"/>
      </w:pPr>
      <w:r>
        <w:t xml:space="preserve">After considering submissions to V1.0 of the TLG, it is proposed that an RB of 15 MHz be adopted initially. This provides 60 MHz of spectrum for general HL WBB use. The size of the RB could be reviewed in the future as </w:t>
      </w:r>
      <w:r w:rsidRPr="008B1348">
        <w:t xml:space="preserve">HL WBB demand and use cases are better understood. </w:t>
      </w:r>
      <w:r>
        <w:t xml:space="preserve"> </w:t>
      </w:r>
    </w:p>
    <w:p w14:paraId="26B8D9C2" w14:textId="2DB9F7A5" w:rsidR="00CA608C" w:rsidRPr="00E162C4" w:rsidRDefault="0077470C" w:rsidP="00444304">
      <w:pPr>
        <w:pStyle w:val="Heading4"/>
        <w:ind w:left="284"/>
      </w:pPr>
      <w:r>
        <w:t>Other</w:t>
      </w:r>
      <w:r w:rsidR="00CA608C">
        <w:t xml:space="preserve"> condition</w:t>
      </w:r>
      <w:r>
        <w:t>s</w:t>
      </w:r>
      <w:r w:rsidR="00CA608C">
        <w:t xml:space="preserve"> on operation</w:t>
      </w:r>
    </w:p>
    <w:p w14:paraId="714747E7" w14:textId="22BB6567" w:rsidR="007940C2" w:rsidRDefault="00CA608C" w:rsidP="00444304">
      <w:pPr>
        <w:pStyle w:val="Paragraph"/>
        <w:ind w:left="284"/>
      </w:pPr>
      <w:r>
        <w:t xml:space="preserve">It is expected that a combination of the </w:t>
      </w:r>
      <w:r w:rsidR="007166E1">
        <w:t xml:space="preserve">PSD limits, </w:t>
      </w:r>
      <w:r w:rsidR="00B9345F">
        <w:t>RB</w:t>
      </w:r>
      <w:r>
        <w:t xml:space="preserve"> and unwanted emission limits will be sufficient to manage interference in most circumstances. However, in</w:t>
      </w:r>
      <w:r w:rsidR="007940C2" w:rsidRPr="00D2646B">
        <w:t xml:space="preserve"> the </w:t>
      </w:r>
      <w:r>
        <w:t xml:space="preserve">event interference occurs, </w:t>
      </w:r>
      <w:r w:rsidR="00B9345F">
        <w:t xml:space="preserve">it is proposed that HL WBB in the 3400-3475 MHz </w:t>
      </w:r>
      <w:r w:rsidR="00185350">
        <w:t>frequency range</w:t>
      </w:r>
      <w:r w:rsidR="00B9345F">
        <w:t xml:space="preserve"> operate </w:t>
      </w:r>
      <w:r w:rsidRPr="00D2646B">
        <w:t xml:space="preserve">on a </w:t>
      </w:r>
      <w:r w:rsidR="00B9345F">
        <w:t>‘</w:t>
      </w:r>
      <w:r w:rsidR="007940C2" w:rsidRPr="00D2646B">
        <w:t xml:space="preserve">no interference and no </w:t>
      </w:r>
      <w:r w:rsidRPr="00D2646B">
        <w:t>protection</w:t>
      </w:r>
      <w:r w:rsidR="00B9345F">
        <w:t>’</w:t>
      </w:r>
      <w:r w:rsidR="007940C2" w:rsidRPr="00D2646B">
        <w:t xml:space="preserve"> basis to services operating under 3.4 GHz band </w:t>
      </w:r>
      <w:r w:rsidR="00CD78D4">
        <w:t>SL</w:t>
      </w:r>
      <w:r w:rsidRPr="00D2646B">
        <w:t>s</w:t>
      </w:r>
      <w:r w:rsidR="007940C2" w:rsidRPr="00D2646B">
        <w:t>.</w:t>
      </w:r>
      <w:r w:rsidR="007166E1">
        <w:t xml:space="preserve"> This means HL WBB do not have first-in-time status in managing any interference issues. </w:t>
      </w:r>
    </w:p>
    <w:p w14:paraId="64A026A7" w14:textId="51B4A3F6" w:rsidR="00D13439" w:rsidRPr="00E162C4" w:rsidRDefault="00D13439" w:rsidP="00A509B7">
      <w:pPr>
        <w:pStyle w:val="Heading2"/>
        <w:ind w:left="284"/>
      </w:pPr>
      <w:bookmarkStart w:id="105" w:name="_Ref160187583"/>
      <w:bookmarkStart w:id="106" w:name="_Toc178948557"/>
      <w:bookmarkStart w:id="107" w:name="_Hlk150243617"/>
      <w:r>
        <w:t>Radio</w:t>
      </w:r>
      <w:r w:rsidR="00461C21">
        <w:t xml:space="preserve"> </w:t>
      </w:r>
      <w:r>
        <w:t>altimeters (4200-4400 MHz)</w:t>
      </w:r>
      <w:bookmarkEnd w:id="105"/>
      <w:bookmarkEnd w:id="106"/>
    </w:p>
    <w:p w14:paraId="6EF7B34D" w14:textId="2CE5469C" w:rsidR="00D13439" w:rsidRDefault="00060752" w:rsidP="00A509B7">
      <w:pPr>
        <w:pStyle w:val="Paragraph"/>
        <w:ind w:left="284"/>
      </w:pPr>
      <w:r>
        <w:t>A r</w:t>
      </w:r>
      <w:r w:rsidR="00D13439">
        <w:t>adio</w:t>
      </w:r>
      <w:r w:rsidR="00461C21">
        <w:t xml:space="preserve"> </w:t>
      </w:r>
      <w:r w:rsidR="00D13439">
        <w:t>altimeter</w:t>
      </w:r>
      <w:r>
        <w:t xml:space="preserve"> i</w:t>
      </w:r>
      <w:r w:rsidR="00D13439">
        <w:t xml:space="preserve">s an aircraft station used for radionavigation in the 4200-4400 MHz frequency range under the </w:t>
      </w:r>
      <w:hyperlink r:id="rId57" w:history="1">
        <w:r w:rsidR="00D13439" w:rsidRPr="00213B7F">
          <w:rPr>
            <w:rStyle w:val="Hyperlink"/>
            <w:i/>
            <w:iCs/>
          </w:rPr>
          <w:t>Radiocommunications (Aircraft and Aeronautical Mobile Stations) Class Licence 2016</w:t>
        </w:r>
      </w:hyperlink>
      <w:r w:rsidR="00D13439">
        <w:t xml:space="preserve">. The ACMA previously studied the potential for interference from WBB services operating in the 3400-4000 MHz </w:t>
      </w:r>
      <w:r w:rsidR="00185350">
        <w:t>frequency range</w:t>
      </w:r>
      <w:r w:rsidR="00D13439">
        <w:t xml:space="preserve"> into radio</w:t>
      </w:r>
      <w:r w:rsidR="00461C21">
        <w:t xml:space="preserve"> </w:t>
      </w:r>
      <w:r w:rsidR="00D13439">
        <w:t xml:space="preserve">altimeters. The outcomes of this work and measures implemented are detailed on the </w:t>
      </w:r>
      <w:hyperlink r:id="rId58" w:history="1">
        <w:r w:rsidR="00D13439" w:rsidRPr="00213B7F">
          <w:rPr>
            <w:rStyle w:val="Hyperlink"/>
          </w:rPr>
          <w:t>ACMA website</w:t>
        </w:r>
      </w:hyperlink>
      <w:r w:rsidR="00D13439">
        <w:t xml:space="preserve">.  </w:t>
      </w:r>
    </w:p>
    <w:p w14:paraId="1A877790" w14:textId="1EC77CD0" w:rsidR="00BD5ED3" w:rsidRDefault="00EC7957" w:rsidP="00126EAF">
      <w:pPr>
        <w:pStyle w:val="Paragraph"/>
        <w:ind w:left="284"/>
      </w:pPr>
      <w:bookmarkStart w:id="108" w:name="_Hlk150243699"/>
      <w:bookmarkStart w:id="109" w:name="_Hlk161927813"/>
      <w:r>
        <w:t>While</w:t>
      </w:r>
      <w:r w:rsidR="00D13439">
        <w:t xml:space="preserve"> HL WBB will be restricted to much lower EIRPs than WBB systems considered in previous studies, the ACMA </w:t>
      </w:r>
      <w:r w:rsidR="002C400C">
        <w:t>ha</w:t>
      </w:r>
      <w:r w:rsidR="00BD5ED3">
        <w:t>s</w:t>
      </w:r>
      <w:r w:rsidR="00126EAF">
        <w:t xml:space="preserve"> </w:t>
      </w:r>
      <w:r w:rsidR="002C400C">
        <w:t xml:space="preserve">conducted studies to </w:t>
      </w:r>
      <w:r w:rsidR="00BD5ED3">
        <w:t>assess the coexistence requirements</w:t>
      </w:r>
      <w:r w:rsidR="00126EAF">
        <w:t xml:space="preserve"> for th</w:t>
      </w:r>
      <w:r w:rsidR="00060752">
        <w:t>is</w:t>
      </w:r>
      <w:r w:rsidR="00126EAF">
        <w:t xml:space="preserve"> case</w:t>
      </w:r>
      <w:r w:rsidR="00FC7C45">
        <w:t xml:space="preserve"> (the RA study)</w:t>
      </w:r>
      <w:r w:rsidR="00BD5ED3">
        <w:t>.</w:t>
      </w:r>
      <w:r w:rsidR="002C400C">
        <w:t xml:space="preserve"> The study </w:t>
      </w:r>
      <w:r w:rsidR="006C21BA">
        <w:t xml:space="preserve">is at Appendix F and is available as a separate document. </w:t>
      </w:r>
      <w:r w:rsidR="00456B9B">
        <w:t xml:space="preserve"> </w:t>
      </w:r>
      <w:bookmarkEnd w:id="108"/>
    </w:p>
    <w:p w14:paraId="6A29AC59" w14:textId="5336646F" w:rsidR="005D688F" w:rsidRDefault="005D688F" w:rsidP="005D688F">
      <w:pPr>
        <w:pStyle w:val="Paragraph"/>
        <w:ind w:left="284"/>
      </w:pPr>
      <w:r>
        <w:lastRenderedPageBreak/>
        <w:t xml:space="preserve">We note that </w:t>
      </w:r>
      <w:r w:rsidRPr="00111D7C">
        <w:t>the European Commission Committee</w:t>
      </w:r>
      <w:r>
        <w:t xml:space="preserve"> (ECC) has also investigated this issue. The</w:t>
      </w:r>
      <w:r w:rsidR="001431DD">
        <w:t>ir</w:t>
      </w:r>
      <w:r>
        <w:t xml:space="preserve"> final study is currently being consulted on and is available </w:t>
      </w:r>
      <w:hyperlink r:id="rId59" w:history="1">
        <w:r w:rsidRPr="005D688F">
          <w:rPr>
            <w:rStyle w:val="Hyperlink"/>
          </w:rPr>
          <w:t>here</w:t>
        </w:r>
      </w:hyperlink>
      <w:r>
        <w:t xml:space="preserve">. Results from these studies state that no mitigation measures are required for low to medium power devices operating in the 3800-4100 MHz band. </w:t>
      </w:r>
    </w:p>
    <w:p w14:paraId="093CFF2D" w14:textId="2859B67F" w:rsidR="005D688F" w:rsidRPr="0031747D" w:rsidRDefault="005D688F" w:rsidP="00126EAF">
      <w:pPr>
        <w:pStyle w:val="Paragraph"/>
        <w:ind w:left="284"/>
        <w:rPr>
          <w:b/>
        </w:rPr>
      </w:pPr>
      <w:r>
        <w:rPr>
          <w:b/>
          <w:bCs/>
        </w:rPr>
        <w:t>Proposed mitigation measures</w:t>
      </w:r>
    </w:p>
    <w:p w14:paraId="32879F86" w14:textId="660C087C" w:rsidR="003B4F64" w:rsidRDefault="00CD4D5C" w:rsidP="0031747D">
      <w:pPr>
        <w:pStyle w:val="Paragraph"/>
        <w:spacing w:after="80"/>
        <w:ind w:left="284"/>
      </w:pPr>
      <w:r>
        <w:t>Based o</w:t>
      </w:r>
      <w:r w:rsidR="00060752">
        <w:t>n</w:t>
      </w:r>
      <w:r>
        <w:t xml:space="preserve"> the outcomes of the RA study</w:t>
      </w:r>
      <w:r w:rsidR="005D688F">
        <w:t xml:space="preserve"> at Appendix F</w:t>
      </w:r>
      <w:r w:rsidR="003B4F64">
        <w:t xml:space="preserve">, </w:t>
      </w:r>
      <w:r w:rsidR="00070D6E">
        <w:t>in addition to the in-band 17 dBm/MHz EIRP limit</w:t>
      </w:r>
      <w:r w:rsidR="005D688F">
        <w:t xml:space="preserve"> and unwanted emissions limits defined previously</w:t>
      </w:r>
      <w:r w:rsidR="00070D6E">
        <w:t xml:space="preserve">, </w:t>
      </w:r>
      <w:r w:rsidR="003B4F64">
        <w:t xml:space="preserve">the following measures are proposed to </w:t>
      </w:r>
      <w:r w:rsidR="00A3370C">
        <w:t>mitigate potential</w:t>
      </w:r>
      <w:r w:rsidR="003B4F64">
        <w:t xml:space="preserve"> interference from HL WBB transmitters to R</w:t>
      </w:r>
      <w:r w:rsidR="00060752">
        <w:t>A</w:t>
      </w:r>
      <w:r w:rsidR="003B4F64">
        <w:t>s:</w:t>
      </w:r>
    </w:p>
    <w:p w14:paraId="26D5B332" w14:textId="44D2082B" w:rsidR="005E02FA" w:rsidRDefault="005E02FA" w:rsidP="008C4F1C">
      <w:pPr>
        <w:pStyle w:val="Paragraph"/>
        <w:numPr>
          <w:ilvl w:val="0"/>
          <w:numId w:val="82"/>
        </w:numPr>
        <w:spacing w:after="120"/>
        <w:ind w:left="644"/>
      </w:pPr>
      <w:r w:rsidRPr="004D6A11">
        <w:t>No additional mitigation measures are required</w:t>
      </w:r>
      <w:r w:rsidR="00BD08B1">
        <w:t xml:space="preserve"> for UE</w:t>
      </w:r>
      <w:r w:rsidR="00060752">
        <w:t>s</w:t>
      </w:r>
      <w:r w:rsidR="00BD08B1">
        <w:t xml:space="preserve">. </w:t>
      </w:r>
      <w:r w:rsidR="00AD3333">
        <w:t>Interference</w:t>
      </w:r>
      <w:r w:rsidR="001A45C3">
        <w:t xml:space="preserve"> can be </w:t>
      </w:r>
      <w:r w:rsidR="00AD3333">
        <w:t>managed via site management arrangements at airport</w:t>
      </w:r>
      <w:r w:rsidR="00A53C76">
        <w:t>s</w:t>
      </w:r>
      <w:r w:rsidR="00AD3333">
        <w:t xml:space="preserve">. </w:t>
      </w:r>
      <w:r w:rsidR="00C77724" w:rsidRPr="00C77724">
        <w:t>This could include, for example, restricting the use of user terminals that can connect to HL WBB networks in these areas.</w:t>
      </w:r>
    </w:p>
    <w:p w14:paraId="13DA88E4" w14:textId="6F4AD91E" w:rsidR="008C4F1C" w:rsidRPr="004D6A11" w:rsidRDefault="008C4F1C" w:rsidP="0031747D">
      <w:pPr>
        <w:pStyle w:val="Paragraph"/>
        <w:numPr>
          <w:ilvl w:val="0"/>
          <w:numId w:val="82"/>
        </w:numPr>
        <w:spacing w:after="120"/>
        <w:ind w:left="644"/>
      </w:pPr>
      <w:r w:rsidRPr="004D6A11">
        <w:t xml:space="preserve">No additional mitigation measures are required for BS that meet category B spurious emissions limits </w:t>
      </w:r>
      <w:r w:rsidR="00916749">
        <w:t xml:space="preserve">for non-AAS devices </w:t>
      </w:r>
      <w:r w:rsidRPr="004D6A11">
        <w:t>(as defined by 3GPP) across the entire 4200-4400</w:t>
      </w:r>
      <w:r>
        <w:t> </w:t>
      </w:r>
      <w:r w:rsidRPr="004D6A11">
        <w:t xml:space="preserve">MHz </w:t>
      </w:r>
      <w:proofErr w:type="gramStart"/>
      <w:r w:rsidRPr="004D6A11">
        <w:t>band;</w:t>
      </w:r>
      <w:proofErr w:type="gramEnd"/>
    </w:p>
    <w:p w14:paraId="41C25058" w14:textId="07E84684" w:rsidR="008C4F1C" w:rsidRDefault="008C4F1C" w:rsidP="0031747D">
      <w:pPr>
        <w:pStyle w:val="Paragraph"/>
        <w:numPr>
          <w:ilvl w:val="0"/>
          <w:numId w:val="82"/>
        </w:numPr>
        <w:spacing w:after="120"/>
        <w:ind w:left="644"/>
      </w:pPr>
      <w:r w:rsidRPr="004D6A11">
        <w:t xml:space="preserve">For BS that meet </w:t>
      </w:r>
      <w:r>
        <w:t>L</w:t>
      </w:r>
      <w:r w:rsidRPr="004D6A11">
        <w:t xml:space="preserve">ocal </w:t>
      </w:r>
      <w:r>
        <w:t>A</w:t>
      </w:r>
      <w:r w:rsidRPr="004D6A11">
        <w:t xml:space="preserve">rea and </w:t>
      </w:r>
      <w:r>
        <w:t>M</w:t>
      </w:r>
      <w:r w:rsidRPr="004D6A11">
        <w:t xml:space="preserve">edium </w:t>
      </w:r>
      <w:r>
        <w:t>R</w:t>
      </w:r>
      <w:r w:rsidRPr="004D6A11">
        <w:t>ange BS unwanted emissions</w:t>
      </w:r>
      <w:r>
        <w:t xml:space="preserve"> within the 4200-4240 MHz band</w:t>
      </w:r>
      <w:r w:rsidRPr="004D6A11">
        <w:t xml:space="preserve">, a </w:t>
      </w:r>
      <w:proofErr w:type="gramStart"/>
      <w:r w:rsidRPr="004D6A11">
        <w:t>small restricted</w:t>
      </w:r>
      <w:proofErr w:type="gramEnd"/>
      <w:r w:rsidRPr="004D6A11">
        <w:t xml:space="preserve"> zone is </w:t>
      </w:r>
      <w:r>
        <w:t>proposed</w:t>
      </w:r>
      <w:r w:rsidRPr="004D6A11">
        <w:t xml:space="preserve"> </w:t>
      </w:r>
      <w:r>
        <w:t xml:space="preserve">in the area parallel to the </w:t>
      </w:r>
      <w:r w:rsidR="0073700B">
        <w:t xml:space="preserve">landing </w:t>
      </w:r>
      <w:r>
        <w:t xml:space="preserve">glide slope at </w:t>
      </w:r>
      <w:r w:rsidRPr="004D6A11">
        <w:t>airports</w:t>
      </w:r>
      <w:r w:rsidRPr="004D6A11">
        <w:rPr>
          <w:rStyle w:val="FootnoteReference"/>
        </w:rPr>
        <w:footnoteReference w:id="12"/>
      </w:r>
      <w:r w:rsidRPr="004D6A11">
        <w:t xml:space="preserve">. </w:t>
      </w:r>
      <w:r w:rsidR="00A4495B">
        <w:t>This is detailed in Figure 3</w:t>
      </w:r>
      <w:r w:rsidR="00A4495B" w:rsidRPr="004D6A11">
        <w:t xml:space="preserve">. </w:t>
      </w:r>
      <w:r>
        <w:t xml:space="preserve">No restricted zone is required perpendicular to the runway. </w:t>
      </w:r>
    </w:p>
    <w:p w14:paraId="56911EAD" w14:textId="1A932F60" w:rsidR="008C4F1C" w:rsidRDefault="008C4F1C" w:rsidP="0031747D">
      <w:pPr>
        <w:pStyle w:val="Paragraph"/>
        <w:spacing w:after="120"/>
        <w:ind w:left="644"/>
      </w:pPr>
      <w:r w:rsidRPr="004D6A11">
        <w:t>Within</w:t>
      </w:r>
      <w:r>
        <w:t xml:space="preserve"> the restricted zone</w:t>
      </w:r>
      <w:r w:rsidR="00EE3215">
        <w:t>,</w:t>
      </w:r>
      <w:r w:rsidRPr="004D6A11">
        <w:t xml:space="preserve"> it is proposed to implement limits on the EIRP of unwanted emissions </w:t>
      </w:r>
      <w:r>
        <w:t xml:space="preserve">from HL WBB BS </w:t>
      </w:r>
      <w:r w:rsidRPr="004D6A11">
        <w:t>at different elevation angles (with respect to the horizon)</w:t>
      </w:r>
      <w:r w:rsidR="00427A67">
        <w:t xml:space="preserve"> as defined by the equation for </w:t>
      </w:r>
      <w:proofErr w:type="spellStart"/>
      <w:r w:rsidR="00E866AA">
        <w:t>EIRP</w:t>
      </w:r>
      <w:r w:rsidR="00E866AA">
        <w:rPr>
          <w:vertAlign w:val="subscript"/>
        </w:rPr>
        <w:t>lim</w:t>
      </w:r>
      <w:proofErr w:type="spellEnd"/>
      <w:r w:rsidR="00032951">
        <w:t xml:space="preserve"> </w:t>
      </w:r>
      <w:r w:rsidR="00E866AA">
        <w:t>below</w:t>
      </w:r>
      <w:r>
        <w:t xml:space="preserve">. </w:t>
      </w:r>
    </w:p>
    <w:p w14:paraId="1852C378" w14:textId="335AEA40" w:rsidR="008C4F1C" w:rsidRDefault="008C4F1C" w:rsidP="0031747D">
      <w:pPr>
        <w:pStyle w:val="Paragraph"/>
        <w:numPr>
          <w:ilvl w:val="0"/>
          <w:numId w:val="82"/>
        </w:numPr>
        <w:spacing w:after="120"/>
        <w:ind w:left="644"/>
      </w:pPr>
      <w:r>
        <w:t>When coordinating indoor HL WBB BS, licence applicants (or their accredited persons) may apply to the ACMA to have building penetration losses considered. Such a request would need to include suitable information detailing the level of building penetration loss and how this was determined. If the building penetration losses are greater than or equal to 5.6 dB then no additional mitigation measures are required</w:t>
      </w:r>
      <w:r w:rsidR="00742D0F">
        <w:t>.</w:t>
      </w:r>
    </w:p>
    <w:p w14:paraId="3A21864C" w14:textId="77777777" w:rsidR="008C4F1C" w:rsidRPr="004D6A11" w:rsidRDefault="008C4F1C" w:rsidP="008C4F1C">
      <w:pPr>
        <w:pStyle w:val="Figureheading"/>
        <w:spacing w:before="360"/>
      </w:pPr>
      <w:r>
        <w:rPr>
          <w:rFonts w:eastAsiaTheme="minorEastAsia"/>
        </w:rPr>
        <w:t>Diagram of the proposed Restricted zone (not to scale)</w:t>
      </w:r>
    </w:p>
    <w:p w14:paraId="3329D1D3" w14:textId="3E6195A2" w:rsidR="008C4F1C" w:rsidRDefault="00D10733" w:rsidP="008C4F1C">
      <w:pPr>
        <w:pStyle w:val="Paragraph"/>
        <w:spacing w:before="240"/>
      </w:pPr>
      <w:r w:rsidRPr="000218AB">
        <w:rPr>
          <w:noProof/>
        </w:rPr>
        <w:drawing>
          <wp:inline distT="0" distB="0" distL="0" distR="0" wp14:anchorId="68541B50" wp14:editId="78989B1B">
            <wp:extent cx="4871085" cy="1203325"/>
            <wp:effectExtent l="0" t="0" r="5715" b="0"/>
            <wp:docPr id="9" name="Picture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extLst>
                        <a:ext uri="{C183D7F6-B498-43B3-948B-1728B52AA6E4}">
                          <adec:decorative xmlns:adec="http://schemas.microsoft.com/office/drawing/2017/decorative" val="1"/>
                        </a:ext>
                      </a:extLst>
                    </pic:cNvPr>
                    <pic:cNvPicPr/>
                  </pic:nvPicPr>
                  <pic:blipFill>
                    <a:blip r:embed="rId60"/>
                    <a:stretch>
                      <a:fillRect/>
                    </a:stretch>
                  </pic:blipFill>
                  <pic:spPr>
                    <a:xfrm>
                      <a:off x="0" y="0"/>
                      <a:ext cx="4871085" cy="1203325"/>
                    </a:xfrm>
                    <a:prstGeom prst="rect">
                      <a:avLst/>
                    </a:prstGeom>
                  </pic:spPr>
                </pic:pic>
              </a:graphicData>
            </a:graphic>
          </wp:inline>
        </w:drawing>
      </w:r>
      <w:r w:rsidRPr="000218AB">
        <w:rPr>
          <w:noProof/>
        </w:rPr>
        <w:drawing>
          <wp:inline distT="0" distB="0" distL="0" distR="0" wp14:anchorId="4CD41F5A" wp14:editId="11834476">
            <wp:extent cx="4871085" cy="1128395"/>
            <wp:effectExtent l="0" t="0" r="5715" b="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a:extLst>
                        <a:ext uri="{C183D7F6-B498-43B3-948B-1728B52AA6E4}">
                          <adec:decorative xmlns:adec="http://schemas.microsoft.com/office/drawing/2017/decorative" val="1"/>
                        </a:ext>
                      </a:extLst>
                    </pic:cNvPr>
                    <pic:cNvPicPr/>
                  </pic:nvPicPr>
                  <pic:blipFill>
                    <a:blip r:embed="rId61"/>
                    <a:stretch>
                      <a:fillRect/>
                    </a:stretch>
                  </pic:blipFill>
                  <pic:spPr>
                    <a:xfrm>
                      <a:off x="0" y="0"/>
                      <a:ext cx="4871085" cy="1128395"/>
                    </a:xfrm>
                    <a:prstGeom prst="rect">
                      <a:avLst/>
                    </a:prstGeom>
                  </pic:spPr>
                </pic:pic>
              </a:graphicData>
            </a:graphic>
          </wp:inline>
        </w:drawing>
      </w:r>
    </w:p>
    <w:p w14:paraId="7237ADA2" w14:textId="77777777" w:rsidR="004C3BA7" w:rsidRDefault="004C3BA7">
      <w:pPr>
        <w:spacing w:after="0" w:line="240" w:lineRule="auto"/>
        <w:rPr>
          <w:rFonts w:cs="Arial"/>
          <w:i/>
          <w:iCs/>
        </w:rPr>
      </w:pPr>
      <w:r>
        <w:rPr>
          <w:i/>
          <w:iCs/>
        </w:rPr>
        <w:br w:type="page"/>
      </w:r>
    </w:p>
    <w:p w14:paraId="4625D9D4" w14:textId="4E38C057" w:rsidR="00955420" w:rsidRDefault="00955420" w:rsidP="00955420">
      <w:pPr>
        <w:pStyle w:val="Paragraphbeforelist"/>
        <w:spacing w:before="360"/>
        <w:ind w:firstLine="284"/>
      </w:pPr>
      <w:r>
        <w:rPr>
          <w:i/>
          <w:iCs/>
        </w:rPr>
        <w:lastRenderedPageBreak/>
        <w:t>Unwanted emissions EIRP limit – for BS located parallel to the landing glide slope</w:t>
      </w:r>
    </w:p>
    <w:p w14:paraId="377357A9" w14:textId="68EA76E8" w:rsidR="00766362" w:rsidRDefault="00000000" w:rsidP="00766362">
      <w:pPr>
        <w:pStyle w:val="Numberedparagraph"/>
        <w:spacing w:before="240"/>
        <w:ind w:left="851"/>
      </w:pPr>
      <m:oMath>
        <m:sSub>
          <m:sSubPr>
            <m:ctrlPr>
              <w:rPr>
                <w:rFonts w:ascii="Cambria Math" w:eastAsiaTheme="minorHAnsi" w:hAnsi="Cambria Math"/>
                <w:sz w:val="22"/>
                <w:szCs w:val="22"/>
              </w:rPr>
            </m:ctrlPr>
          </m:sSubPr>
          <m:e>
            <m:r>
              <w:rPr>
                <w:rFonts w:ascii="Cambria Math" w:hAnsi="Cambria Math"/>
                <w:sz w:val="22"/>
                <w:szCs w:val="22"/>
              </w:rPr>
              <m:t>EIRP</m:t>
            </m:r>
          </m:e>
          <m:sub>
            <m:r>
              <w:rPr>
                <w:rFonts w:ascii="Cambria Math" w:hAnsi="Cambria Math"/>
                <w:sz w:val="22"/>
                <w:szCs w:val="22"/>
              </w:rPr>
              <m:t>lim</m:t>
            </m:r>
          </m:sub>
        </m:sSub>
        <m:r>
          <m:rPr>
            <m:sty m:val="p"/>
          </m:rPr>
          <w:rPr>
            <w:rFonts w:ascii="Cambria Math" w:hAnsi="Cambria Math"/>
            <w:sz w:val="22"/>
            <w:szCs w:val="22"/>
          </w:rPr>
          <m:t>(28.5</m:t>
        </m:r>
        <m:r>
          <w:rPr>
            <w:rFonts w:ascii="Cambria Math" w:hAnsi="Cambria Math"/>
            <w:sz w:val="22"/>
            <w:szCs w:val="22"/>
          </w:rPr>
          <m:t>&lt;θ&lt;90</m:t>
        </m:r>
        <m:r>
          <m:rPr>
            <m:sty m:val="p"/>
          </m:rPr>
          <w:rPr>
            <w:rFonts w:ascii="Cambria Math" w:hAnsi="Cambria Math"/>
            <w:sz w:val="22"/>
            <w:szCs w:val="22"/>
          </w:rPr>
          <m:t>)=20 log</m:t>
        </m:r>
        <m:d>
          <m:dPr>
            <m:ctrlPr>
              <w:rPr>
                <w:rFonts w:ascii="Cambria Math" w:eastAsiaTheme="minorHAnsi" w:hAnsi="Cambria Math"/>
                <w:sz w:val="22"/>
                <w:szCs w:val="22"/>
              </w:rPr>
            </m:ctrlPr>
          </m:dPr>
          <m:e>
            <m:f>
              <m:fPr>
                <m:ctrlPr>
                  <w:rPr>
                    <w:rFonts w:ascii="Cambria Math" w:eastAsiaTheme="minorHAnsi" w:hAnsi="Cambria Math"/>
                    <w:sz w:val="22"/>
                    <w:szCs w:val="22"/>
                  </w:rPr>
                </m:ctrlPr>
              </m:fPr>
              <m:num>
                <m:r>
                  <m:rPr>
                    <m:sty m:val="p"/>
                  </m:rPr>
                  <w:rPr>
                    <w:rFonts w:ascii="Cambria Math" w:hAnsi="Cambria Math"/>
                    <w:sz w:val="22"/>
                    <w:szCs w:val="22"/>
                  </w:rPr>
                  <m:t>9.189+0.04585</m:t>
                </m:r>
                <m:sSub>
                  <m:sSubPr>
                    <m:ctrlPr>
                      <w:rPr>
                        <w:rFonts w:ascii="Cambria Math" w:eastAsiaTheme="minorHAnsi" w:hAnsi="Cambria Math"/>
                        <w:i/>
                        <w:iCs/>
                        <w:sz w:val="22"/>
                        <w:szCs w:val="22"/>
                      </w:rPr>
                    </m:ctrlPr>
                  </m:sSubPr>
                  <m:e>
                    <m:r>
                      <w:rPr>
                        <w:rFonts w:ascii="Cambria Math" w:hAnsi="Cambria Math"/>
                        <w:sz w:val="22"/>
                        <w:szCs w:val="22"/>
                      </w:rPr>
                      <m:t>x</m:t>
                    </m:r>
                  </m:e>
                  <m:sub>
                    <m:r>
                      <w:rPr>
                        <w:rFonts w:ascii="Cambria Math" w:hAnsi="Cambria Math"/>
                        <w:sz w:val="22"/>
                        <w:szCs w:val="22"/>
                      </w:rPr>
                      <m:t>rt</m:t>
                    </m:r>
                  </m:sub>
                </m:sSub>
              </m:num>
              <m:den>
                <m:func>
                  <m:funcPr>
                    <m:ctrlPr>
                      <w:rPr>
                        <w:rFonts w:ascii="Cambria Math" w:eastAsiaTheme="minorHAnsi" w:hAnsi="Cambria Math"/>
                        <w:sz w:val="22"/>
                        <w:szCs w:val="22"/>
                      </w:rPr>
                    </m:ctrlPr>
                  </m:funcPr>
                  <m:fName>
                    <m:r>
                      <m:rPr>
                        <m:sty m:val="p"/>
                      </m:rPr>
                      <w:rPr>
                        <w:rFonts w:ascii="Cambria Math" w:hAnsi="Cambria Math"/>
                        <w:sz w:val="22"/>
                        <w:szCs w:val="22"/>
                      </w:rPr>
                      <m:t>sin</m:t>
                    </m:r>
                  </m:fName>
                  <m:e>
                    <m:r>
                      <m:rPr>
                        <m:sty m:val="p"/>
                      </m:rPr>
                      <w:rPr>
                        <w:rFonts w:ascii="Cambria Math" w:hAnsi="Cambria Math"/>
                        <w:sz w:val="22"/>
                        <w:szCs w:val="22"/>
                      </w:rPr>
                      <m:t>(</m:t>
                    </m:r>
                    <m:r>
                      <w:rPr>
                        <w:rFonts w:ascii="Cambria Math" w:hAnsi="Cambria Math"/>
                        <w:sz w:val="22"/>
                        <w:szCs w:val="22"/>
                      </w:rPr>
                      <m:t>θ</m:t>
                    </m:r>
                    <m:r>
                      <m:rPr>
                        <m:sty m:val="p"/>
                      </m:rPr>
                      <w:rPr>
                        <w:rFonts w:ascii="Cambria Math" w:hAnsi="Cambria Math"/>
                        <w:sz w:val="22"/>
                        <w:szCs w:val="22"/>
                      </w:rPr>
                      <m:t>)</m:t>
                    </m:r>
                  </m:e>
                </m:func>
                <m:r>
                  <m:rPr>
                    <m:sty m:val="p"/>
                  </m:rPr>
                  <w:rPr>
                    <w:rFonts w:ascii="Cambria Math" w:hAnsi="Cambria Math"/>
                    <w:sz w:val="22"/>
                    <w:szCs w:val="22"/>
                  </w:rPr>
                  <m:t>+</m:t>
                </m:r>
                <m:f>
                  <m:fPr>
                    <m:ctrlPr>
                      <w:rPr>
                        <w:rFonts w:ascii="Cambria Math" w:eastAsiaTheme="minorHAnsi" w:hAnsi="Cambria Math"/>
                        <w:sz w:val="22"/>
                        <w:szCs w:val="22"/>
                      </w:rPr>
                    </m:ctrlPr>
                  </m:fPr>
                  <m:num>
                    <m:func>
                      <m:funcPr>
                        <m:ctrlPr>
                          <w:rPr>
                            <w:rFonts w:ascii="Cambria Math" w:eastAsiaTheme="minorHAnsi" w:hAnsi="Cambria Math"/>
                            <w:sz w:val="22"/>
                            <w:szCs w:val="22"/>
                          </w:rPr>
                        </m:ctrlPr>
                      </m:funcPr>
                      <m:fName>
                        <m:r>
                          <m:rPr>
                            <m:sty m:val="p"/>
                          </m:rPr>
                          <w:rPr>
                            <w:rFonts w:ascii="Cambria Math" w:hAnsi="Cambria Math"/>
                            <w:sz w:val="22"/>
                            <w:szCs w:val="22"/>
                          </w:rPr>
                          <m:t>cos</m:t>
                        </m:r>
                      </m:fName>
                      <m:e>
                        <m:r>
                          <m:rPr>
                            <m:sty m:val="p"/>
                          </m:rPr>
                          <w:rPr>
                            <w:rFonts w:ascii="Cambria Math" w:hAnsi="Cambria Math"/>
                            <w:sz w:val="22"/>
                            <w:szCs w:val="22"/>
                          </w:rPr>
                          <m:t>(</m:t>
                        </m:r>
                        <m:r>
                          <w:rPr>
                            <w:rFonts w:ascii="Cambria Math" w:hAnsi="Cambria Math"/>
                            <w:sz w:val="22"/>
                            <w:szCs w:val="22"/>
                          </w:rPr>
                          <m:t>θ</m:t>
                        </m:r>
                        <m:r>
                          <m:rPr>
                            <m:sty m:val="p"/>
                          </m:rPr>
                          <w:rPr>
                            <w:rFonts w:ascii="Cambria Math" w:hAnsi="Cambria Math"/>
                            <w:sz w:val="22"/>
                            <w:szCs w:val="22"/>
                          </w:rPr>
                          <m:t>)</m:t>
                        </m:r>
                      </m:e>
                    </m:func>
                  </m:num>
                  <m:den>
                    <m:r>
                      <m:rPr>
                        <m:sty m:val="p"/>
                      </m:rPr>
                      <w:rPr>
                        <w:rFonts w:ascii="Cambria Math" w:hAnsi="Cambria Math"/>
                        <w:sz w:val="22"/>
                        <w:szCs w:val="22"/>
                      </w:rPr>
                      <m:t>21.81</m:t>
                    </m:r>
                  </m:den>
                </m:f>
              </m:den>
            </m:f>
          </m:e>
        </m:d>
        <m:r>
          <m:rPr>
            <m:sty m:val="p"/>
          </m:rPr>
          <w:rPr>
            <w:rFonts w:ascii="Cambria Math" w:hAnsi="Cambria Math"/>
            <w:sz w:val="22"/>
            <w:szCs w:val="22"/>
          </w:rPr>
          <m:t>-40.135 </m:t>
        </m:r>
      </m:oMath>
      <w:r w:rsidR="00766362">
        <w:tab/>
      </w:r>
      <w:r w:rsidR="00766362">
        <w:tab/>
      </w:r>
      <m:oMath>
        <m:r>
          <w:rPr>
            <w:rFonts w:ascii="Cambria Math" w:hAnsi="Cambria Math"/>
          </w:rPr>
          <m:t xml:space="preserve"> </m:t>
        </m:r>
      </m:oMath>
      <w:r w:rsidR="00766362">
        <w:t xml:space="preserve">(dBm/MHz) </w:t>
      </w:r>
    </w:p>
    <w:p w14:paraId="5EF6B726" w14:textId="77777777" w:rsidR="00766362" w:rsidRDefault="00000000" w:rsidP="00766362">
      <w:pPr>
        <w:pStyle w:val="Numberedparagraph"/>
        <w:spacing w:before="360"/>
        <w:ind w:left="1419"/>
      </w:pPr>
      <m:oMath>
        <m:sSub>
          <m:sSubPr>
            <m:ctrlPr>
              <w:rPr>
                <w:rFonts w:ascii="Cambria Math" w:eastAsiaTheme="minorHAnsi" w:hAnsi="Cambria Math"/>
              </w:rPr>
            </m:ctrlPr>
          </m:sSubPr>
          <m:e>
            <m:r>
              <w:rPr>
                <w:rFonts w:ascii="Cambria Math" w:hAnsi="Cambria Math"/>
              </w:rPr>
              <m:t>EIRP</m:t>
            </m:r>
          </m:e>
          <m:sub>
            <m:r>
              <w:rPr>
                <w:rFonts w:ascii="Cambria Math" w:hAnsi="Cambria Math"/>
              </w:rPr>
              <m:t>lim</m:t>
            </m:r>
          </m:sub>
        </m:sSub>
      </m:oMath>
      <w:r w:rsidR="00766362">
        <w:t xml:space="preserve"> (</w:t>
      </w:r>
      <w:r w:rsidR="00766362" w:rsidRPr="00653789">
        <w:t xml:space="preserve">dBm/MHz) – unwanted emissions EIRP limit </w:t>
      </w:r>
      <w:r w:rsidR="00766362">
        <w:t xml:space="preserve">within the 4200-4400 MHz frequency band </w:t>
      </w:r>
      <w:r w:rsidR="00766362" w:rsidRPr="00653789">
        <w:t xml:space="preserve">at angle </w:t>
      </w:r>
      <m:oMath>
        <m:r>
          <w:rPr>
            <w:rFonts w:ascii="Cambria Math" w:hAnsi="Cambria Math"/>
          </w:rPr>
          <m:t>θ</m:t>
        </m:r>
      </m:oMath>
      <w:r w:rsidR="00766362" w:rsidRPr="00653789">
        <w:t>(degrees) with respect to the horizon</w:t>
      </w:r>
    </w:p>
    <w:p w14:paraId="39DD14F5" w14:textId="49DF04D1" w:rsidR="00766362" w:rsidDel="005D688F" w:rsidRDefault="00000000" w:rsidP="00766362">
      <w:pPr>
        <w:pStyle w:val="Numberedparagraph"/>
        <w:spacing w:before="240"/>
        <w:ind w:left="1419"/>
      </w:pPr>
      <m:oMath>
        <m:sSub>
          <m:sSubPr>
            <m:ctrlPr>
              <w:rPr>
                <w:rFonts w:ascii="Cambria Math" w:eastAsiaTheme="minorHAnsi" w:hAnsi="Cambria Math"/>
                <w:i/>
              </w:rPr>
            </m:ctrlPr>
          </m:sSubPr>
          <m:e>
            <m:r>
              <w:rPr>
                <w:rFonts w:ascii="Cambria Math" w:hAnsi="Cambria Math"/>
              </w:rPr>
              <m:t>x</m:t>
            </m:r>
          </m:e>
          <m:sub>
            <m:r>
              <w:rPr>
                <w:rFonts w:ascii="Cambria Math" w:hAnsi="Cambria Math"/>
              </w:rPr>
              <m:t>rt</m:t>
            </m:r>
          </m:sub>
        </m:sSub>
      </m:oMath>
      <w:r w:rsidR="00766362">
        <w:t xml:space="preserve"> (metres) –distance from the runway threshold (parallel to the runway centreline)</w:t>
      </w:r>
    </w:p>
    <w:bookmarkEnd w:id="109"/>
    <w:p w14:paraId="0BC8A22B" w14:textId="1B8D321F" w:rsidR="00BD4BBA" w:rsidRDefault="00BD4BBA">
      <w:pPr>
        <w:spacing w:after="0" w:line="240" w:lineRule="auto"/>
        <w:rPr>
          <w:rFonts w:cs="Arial"/>
        </w:rPr>
      </w:pPr>
    </w:p>
    <w:bookmarkEnd w:id="107"/>
    <w:p w14:paraId="660E13E2" w14:textId="58A5863A" w:rsidR="0066229A" w:rsidRDefault="0066229A" w:rsidP="00C87E8A">
      <w:pPr>
        <w:pStyle w:val="Paragraph"/>
      </w:pPr>
    </w:p>
    <w:p w14:paraId="7F1672EF" w14:textId="5C4C93AA" w:rsidR="0066229A" w:rsidRPr="00E162C4" w:rsidRDefault="0066229A" w:rsidP="0066229A">
      <w:pPr>
        <w:pStyle w:val="Heading1"/>
      </w:pPr>
      <w:bookmarkStart w:id="110" w:name="_Toc178948558"/>
      <w:r>
        <w:lastRenderedPageBreak/>
        <w:t>Summary of proposed arrangements</w:t>
      </w:r>
      <w:bookmarkEnd w:id="110"/>
      <w:r>
        <w:t xml:space="preserve"> </w:t>
      </w:r>
    </w:p>
    <w:p w14:paraId="1B443376" w14:textId="755F7962" w:rsidR="0066229A" w:rsidRDefault="00F714D0" w:rsidP="0066229A">
      <w:pPr>
        <w:pStyle w:val="Paragraph"/>
      </w:pPr>
      <w:r>
        <w:t xml:space="preserve">A </w:t>
      </w:r>
      <w:r w:rsidR="002E3E69">
        <w:t>high-level</w:t>
      </w:r>
      <w:r>
        <w:t xml:space="preserve"> summary of the arrangements proposed for HL WBB are provided in Table </w:t>
      </w:r>
      <w:r w:rsidR="008551CF">
        <w:t>11</w:t>
      </w:r>
      <w:r>
        <w:t>.</w:t>
      </w:r>
    </w:p>
    <w:p w14:paraId="73939ABA" w14:textId="216B606D" w:rsidR="00F714D0" w:rsidRPr="00E162C4" w:rsidRDefault="00A509B7" w:rsidP="00F714D0">
      <w:pPr>
        <w:pStyle w:val="Tableheading"/>
        <w:tabs>
          <w:tab w:val="clear" w:pos="964"/>
          <w:tab w:val="num" w:pos="1248"/>
        </w:tabs>
        <w:ind w:left="1248"/>
      </w:pPr>
      <w:r>
        <w:t xml:space="preserve">Summary of proposed arrangements for HL WBB </w:t>
      </w:r>
    </w:p>
    <w:tbl>
      <w:tblPr>
        <w:tblStyle w:val="TableGrid"/>
        <w:tblW w:w="8075" w:type="dxa"/>
        <w:tblCellMar>
          <w:top w:w="85" w:type="dxa"/>
          <w:bottom w:w="85" w:type="dxa"/>
        </w:tblCellMar>
        <w:tblLook w:val="04A0" w:firstRow="1" w:lastRow="0" w:firstColumn="1" w:lastColumn="0" w:noHBand="0" w:noVBand="1"/>
      </w:tblPr>
      <w:tblGrid>
        <w:gridCol w:w="1980"/>
        <w:gridCol w:w="6095"/>
      </w:tblGrid>
      <w:tr w:rsidR="00F714D0" w:rsidRPr="000147B6" w14:paraId="3E7D4A5B" w14:textId="77777777" w:rsidTr="00A509B7">
        <w:tc>
          <w:tcPr>
            <w:tcW w:w="1980" w:type="dxa"/>
            <w:shd w:val="clear" w:color="auto" w:fill="404040" w:themeFill="text1" w:themeFillTint="BF"/>
          </w:tcPr>
          <w:p w14:paraId="18427AA8" w14:textId="77777777" w:rsidR="00F714D0" w:rsidRPr="003D09A8" w:rsidRDefault="00F714D0" w:rsidP="007C0D62">
            <w:pPr>
              <w:spacing w:after="0" w:line="240" w:lineRule="auto"/>
              <w:rPr>
                <w:rFonts w:cs="Arial"/>
                <w:b/>
                <w:bCs/>
                <w:color w:val="FFFFFF" w:themeColor="background1"/>
                <w:szCs w:val="20"/>
              </w:rPr>
            </w:pPr>
            <w:r w:rsidRPr="003D09A8">
              <w:rPr>
                <w:rFonts w:cs="Arial"/>
                <w:b/>
                <w:bCs/>
                <w:color w:val="FFFFFF" w:themeColor="background1"/>
                <w:szCs w:val="20"/>
              </w:rPr>
              <w:t>Item</w:t>
            </w:r>
          </w:p>
        </w:tc>
        <w:tc>
          <w:tcPr>
            <w:tcW w:w="6095" w:type="dxa"/>
            <w:shd w:val="clear" w:color="auto" w:fill="404040" w:themeFill="text1" w:themeFillTint="BF"/>
          </w:tcPr>
          <w:p w14:paraId="496839C6" w14:textId="77777777" w:rsidR="00F714D0" w:rsidRPr="003D09A8" w:rsidRDefault="00F714D0" w:rsidP="007C0D62">
            <w:pPr>
              <w:spacing w:after="0" w:line="240" w:lineRule="auto"/>
              <w:rPr>
                <w:rFonts w:cs="Arial"/>
                <w:b/>
                <w:bCs/>
                <w:color w:val="FFFFFF" w:themeColor="background1"/>
                <w:szCs w:val="20"/>
              </w:rPr>
            </w:pPr>
            <w:r>
              <w:rPr>
                <w:rFonts w:cs="Arial"/>
                <w:b/>
                <w:bCs/>
                <w:color w:val="FFFFFF" w:themeColor="background1"/>
                <w:szCs w:val="20"/>
              </w:rPr>
              <w:t>Description</w:t>
            </w:r>
          </w:p>
        </w:tc>
      </w:tr>
      <w:tr w:rsidR="00F714D0" w:rsidRPr="009317CD" w14:paraId="1D058949" w14:textId="77777777" w:rsidTr="00A509B7">
        <w:tc>
          <w:tcPr>
            <w:tcW w:w="1980" w:type="dxa"/>
            <w:shd w:val="clear" w:color="auto" w:fill="F2F2F2" w:themeFill="background1" w:themeFillShade="F2"/>
          </w:tcPr>
          <w:p w14:paraId="679A4E56" w14:textId="77777777" w:rsidR="00F714D0" w:rsidRPr="003D09A8" w:rsidRDefault="00F714D0" w:rsidP="007C0D62">
            <w:pPr>
              <w:spacing w:after="0" w:line="240" w:lineRule="auto"/>
              <w:rPr>
                <w:rFonts w:cs="Arial"/>
                <w:szCs w:val="20"/>
              </w:rPr>
            </w:pPr>
            <w:r w:rsidRPr="003D09A8">
              <w:rPr>
                <w:rFonts w:cs="Arial"/>
                <w:szCs w:val="20"/>
              </w:rPr>
              <w:t>Licence type</w:t>
            </w:r>
          </w:p>
        </w:tc>
        <w:tc>
          <w:tcPr>
            <w:tcW w:w="6095" w:type="dxa"/>
            <w:shd w:val="clear" w:color="auto" w:fill="F2F2F2" w:themeFill="background1" w:themeFillShade="F2"/>
          </w:tcPr>
          <w:p w14:paraId="25BC2BCF" w14:textId="066E677F" w:rsidR="00F714D0" w:rsidRPr="00A509B7" w:rsidRDefault="00F714D0" w:rsidP="00F714D0">
            <w:pPr>
              <w:pStyle w:val="ListParagraph"/>
              <w:numPr>
                <w:ilvl w:val="0"/>
                <w:numId w:val="35"/>
              </w:numPr>
              <w:spacing w:after="0" w:line="240" w:lineRule="auto"/>
              <w:rPr>
                <w:rFonts w:ascii="Arial" w:hAnsi="Arial" w:cs="Arial"/>
                <w:sz w:val="20"/>
                <w:szCs w:val="20"/>
              </w:rPr>
            </w:pPr>
            <w:r w:rsidRPr="00A509B7">
              <w:rPr>
                <w:rFonts w:ascii="Arial" w:hAnsi="Arial" w:cs="Arial"/>
                <w:sz w:val="20"/>
                <w:szCs w:val="20"/>
              </w:rPr>
              <w:t>PMP licence</w:t>
            </w:r>
            <w:r w:rsidR="003F60D8">
              <w:rPr>
                <w:rFonts w:ascii="Arial" w:hAnsi="Arial" w:cs="Arial"/>
                <w:sz w:val="20"/>
                <w:szCs w:val="20"/>
              </w:rPr>
              <w:t>.</w:t>
            </w:r>
          </w:p>
          <w:p w14:paraId="70C58A8E" w14:textId="5974D826" w:rsidR="00877695" w:rsidRPr="00EE4132" w:rsidRDefault="00F714D0" w:rsidP="00F714D0">
            <w:pPr>
              <w:pStyle w:val="ListParagraph"/>
              <w:numPr>
                <w:ilvl w:val="0"/>
                <w:numId w:val="35"/>
              </w:numPr>
              <w:spacing w:after="0" w:line="240" w:lineRule="auto"/>
              <w:rPr>
                <w:rFonts w:cs="Arial"/>
                <w:szCs w:val="20"/>
              </w:rPr>
            </w:pPr>
            <w:r w:rsidRPr="00A509B7">
              <w:rPr>
                <w:rFonts w:ascii="Arial" w:hAnsi="Arial" w:cs="Arial"/>
                <w:sz w:val="20"/>
                <w:szCs w:val="20"/>
              </w:rPr>
              <w:t xml:space="preserve">Record notional location </w:t>
            </w:r>
            <w:r w:rsidR="003F60D8">
              <w:rPr>
                <w:rFonts w:ascii="Arial" w:hAnsi="Arial" w:cs="Arial"/>
                <w:sz w:val="20"/>
                <w:szCs w:val="20"/>
              </w:rPr>
              <w:t>of</w:t>
            </w:r>
            <w:r w:rsidRPr="00A509B7">
              <w:rPr>
                <w:rFonts w:ascii="Arial" w:hAnsi="Arial" w:cs="Arial"/>
                <w:sz w:val="20"/>
                <w:szCs w:val="20"/>
              </w:rPr>
              <w:t xml:space="preserve"> controlled premise</w:t>
            </w:r>
            <w:r w:rsidR="00BD2AC9">
              <w:rPr>
                <w:rFonts w:ascii="Arial" w:hAnsi="Arial" w:cs="Arial"/>
                <w:sz w:val="20"/>
                <w:szCs w:val="20"/>
              </w:rPr>
              <w:t>s</w:t>
            </w:r>
            <w:r w:rsidRPr="00A509B7">
              <w:rPr>
                <w:rFonts w:ascii="Arial" w:hAnsi="Arial" w:cs="Arial"/>
                <w:sz w:val="20"/>
                <w:szCs w:val="20"/>
              </w:rPr>
              <w:t xml:space="preserve"> on licence, BS deployments permitted</w:t>
            </w:r>
            <w:r w:rsidR="00877695">
              <w:rPr>
                <w:rFonts w:ascii="Arial" w:hAnsi="Arial" w:cs="Arial"/>
                <w:sz w:val="20"/>
                <w:szCs w:val="20"/>
              </w:rPr>
              <w:t>. BS deployment must be both:</w:t>
            </w:r>
          </w:p>
          <w:p w14:paraId="66B3B858" w14:textId="2BDBC2E9" w:rsidR="00877695" w:rsidRPr="00EE4132" w:rsidRDefault="00877695" w:rsidP="00877695">
            <w:pPr>
              <w:pStyle w:val="ListParagraph"/>
              <w:numPr>
                <w:ilvl w:val="1"/>
                <w:numId w:val="35"/>
              </w:numPr>
              <w:spacing w:after="0" w:line="240" w:lineRule="auto"/>
              <w:rPr>
                <w:rFonts w:cs="Arial"/>
                <w:szCs w:val="20"/>
              </w:rPr>
            </w:pPr>
            <w:r>
              <w:rPr>
                <w:rFonts w:ascii="Arial" w:hAnsi="Arial" w:cs="Arial"/>
                <w:sz w:val="20"/>
                <w:szCs w:val="20"/>
              </w:rPr>
              <w:t>within 100 m of the location recorded on the licence; and</w:t>
            </w:r>
          </w:p>
          <w:p w14:paraId="3EE973A0" w14:textId="21933761" w:rsidR="00F714D0" w:rsidRPr="00D22103" w:rsidRDefault="00877695" w:rsidP="00EE4132">
            <w:pPr>
              <w:pStyle w:val="ListParagraph"/>
              <w:numPr>
                <w:ilvl w:val="1"/>
                <w:numId w:val="35"/>
              </w:numPr>
              <w:spacing w:after="0" w:line="240" w:lineRule="auto"/>
              <w:rPr>
                <w:rFonts w:cs="Arial"/>
                <w:szCs w:val="20"/>
              </w:rPr>
            </w:pPr>
            <w:r>
              <w:rPr>
                <w:rFonts w:ascii="Arial" w:hAnsi="Arial" w:cs="Arial"/>
                <w:sz w:val="20"/>
                <w:szCs w:val="20"/>
              </w:rPr>
              <w:t xml:space="preserve">within the bounds of </w:t>
            </w:r>
            <w:r w:rsidR="009E4909">
              <w:rPr>
                <w:rFonts w:ascii="Arial" w:hAnsi="Arial" w:cs="Arial"/>
                <w:sz w:val="20"/>
                <w:szCs w:val="20"/>
              </w:rPr>
              <w:t xml:space="preserve">a </w:t>
            </w:r>
            <w:r w:rsidR="00212DC1">
              <w:rPr>
                <w:rFonts w:ascii="Arial" w:hAnsi="Arial" w:cs="Arial"/>
                <w:sz w:val="20"/>
                <w:szCs w:val="20"/>
              </w:rPr>
              <w:t>controlled premise</w:t>
            </w:r>
            <w:r w:rsidR="005B477A">
              <w:rPr>
                <w:rFonts w:ascii="Arial" w:hAnsi="Arial" w:cs="Arial"/>
                <w:sz w:val="20"/>
                <w:szCs w:val="20"/>
              </w:rPr>
              <w:t>s</w:t>
            </w:r>
            <w:r w:rsidR="003F60D8">
              <w:rPr>
                <w:rFonts w:ascii="Arial" w:hAnsi="Arial" w:cs="Arial"/>
                <w:sz w:val="20"/>
                <w:szCs w:val="20"/>
              </w:rPr>
              <w:t>.</w:t>
            </w:r>
          </w:p>
        </w:tc>
      </w:tr>
      <w:tr w:rsidR="00F714D0" w:rsidRPr="009317CD" w14:paraId="795D8822" w14:textId="77777777" w:rsidTr="00A509B7">
        <w:tc>
          <w:tcPr>
            <w:tcW w:w="1980" w:type="dxa"/>
            <w:shd w:val="clear" w:color="auto" w:fill="auto"/>
          </w:tcPr>
          <w:p w14:paraId="787065EC" w14:textId="77777777" w:rsidR="00F714D0" w:rsidRPr="003D09A8" w:rsidRDefault="00F714D0" w:rsidP="007C0D62">
            <w:pPr>
              <w:spacing w:after="0" w:line="240" w:lineRule="auto"/>
              <w:rPr>
                <w:rFonts w:cs="Arial"/>
                <w:szCs w:val="20"/>
              </w:rPr>
            </w:pPr>
            <w:r w:rsidRPr="003D09A8">
              <w:rPr>
                <w:rFonts w:cs="Arial"/>
                <w:szCs w:val="20"/>
              </w:rPr>
              <w:t>Definitions</w:t>
            </w:r>
          </w:p>
        </w:tc>
        <w:tc>
          <w:tcPr>
            <w:tcW w:w="6095" w:type="dxa"/>
            <w:shd w:val="clear" w:color="auto" w:fill="auto"/>
          </w:tcPr>
          <w:p w14:paraId="0B02F59D" w14:textId="2A0AC30C" w:rsidR="00F714D0" w:rsidRDefault="00F714D0" w:rsidP="007C0D62">
            <w:pPr>
              <w:pStyle w:val="TableBody"/>
              <w:spacing w:after="120"/>
              <w:rPr>
                <w:rFonts w:cs="Arial"/>
                <w:bCs/>
                <w:i/>
                <w:color w:val="000000"/>
                <w:szCs w:val="20"/>
              </w:rPr>
            </w:pPr>
            <w:r w:rsidRPr="00D22103">
              <w:rPr>
                <w:rFonts w:cs="Arial"/>
                <w:b/>
                <w:bCs/>
                <w:i/>
                <w:iCs/>
                <w:color w:val="000000"/>
                <w:szCs w:val="20"/>
              </w:rPr>
              <w:t>Controlled premises</w:t>
            </w:r>
            <w:r w:rsidRPr="003D09A8">
              <w:rPr>
                <w:rFonts w:cs="Arial"/>
                <w:b/>
                <w:i/>
                <w:color w:val="000000"/>
                <w:szCs w:val="20"/>
              </w:rPr>
              <w:t xml:space="preserve"> </w:t>
            </w:r>
            <w:r w:rsidRPr="003D09A8">
              <w:rPr>
                <w:rFonts w:cs="Arial"/>
                <w:bCs/>
                <w:iCs/>
                <w:color w:val="000000"/>
                <w:szCs w:val="20"/>
              </w:rPr>
              <w:t>means premises that are owned by or under the control of a person who is providing a radiocommunications service</w:t>
            </w:r>
            <w:r w:rsidR="003F60D8">
              <w:rPr>
                <w:rFonts w:cs="Arial"/>
                <w:bCs/>
                <w:iCs/>
                <w:color w:val="000000"/>
                <w:szCs w:val="20"/>
              </w:rPr>
              <w:t xml:space="preserve"> (or being provided the service)</w:t>
            </w:r>
            <w:r w:rsidRPr="003D09A8">
              <w:rPr>
                <w:rFonts w:cs="Arial"/>
                <w:bCs/>
                <w:i/>
                <w:color w:val="000000"/>
                <w:szCs w:val="20"/>
              </w:rPr>
              <w:t xml:space="preserve">. </w:t>
            </w:r>
          </w:p>
          <w:p w14:paraId="54297840" w14:textId="77777777" w:rsidR="00F714D0" w:rsidRPr="00A509B7" w:rsidRDefault="00F714D0" w:rsidP="00212DC1">
            <w:pPr>
              <w:pStyle w:val="TableBody"/>
              <w:spacing w:after="80"/>
              <w:rPr>
                <w:rFonts w:cs="Arial"/>
                <w:bCs/>
                <w:iCs/>
                <w:color w:val="000000"/>
                <w:szCs w:val="20"/>
              </w:rPr>
            </w:pPr>
            <w:r w:rsidRPr="00A509B7">
              <w:rPr>
                <w:rFonts w:cs="Arial"/>
                <w:b/>
                <w:i/>
                <w:color w:val="000000"/>
                <w:szCs w:val="20"/>
              </w:rPr>
              <w:t>Indoor</w:t>
            </w:r>
            <w:r w:rsidRPr="00A509B7">
              <w:rPr>
                <w:rFonts w:cs="Arial"/>
                <w:bCs/>
                <w:iCs/>
                <w:color w:val="000000"/>
                <w:szCs w:val="20"/>
              </w:rPr>
              <w:t xml:space="preserve"> means </w:t>
            </w:r>
            <w:r w:rsidR="003F60D8" w:rsidRPr="00A509B7">
              <w:rPr>
                <w:rFonts w:cs="Arial"/>
                <w:bCs/>
                <w:iCs/>
                <w:color w:val="000000"/>
                <w:szCs w:val="20"/>
              </w:rPr>
              <w:t>a space that is:</w:t>
            </w:r>
          </w:p>
          <w:p w14:paraId="06BE06BC" w14:textId="13411D41" w:rsidR="003F60D8" w:rsidRDefault="003F60D8" w:rsidP="003F60D8">
            <w:pPr>
              <w:pStyle w:val="ListParagraph"/>
              <w:numPr>
                <w:ilvl w:val="0"/>
                <w:numId w:val="62"/>
              </w:numPr>
              <w:spacing w:after="0" w:line="240" w:lineRule="auto"/>
              <w:rPr>
                <w:rFonts w:ascii="Arial" w:hAnsi="Arial" w:cs="Arial"/>
                <w:sz w:val="20"/>
                <w:szCs w:val="20"/>
              </w:rPr>
            </w:pPr>
            <w:r>
              <w:rPr>
                <w:rFonts w:ascii="Arial" w:hAnsi="Arial" w:cs="Arial"/>
                <w:sz w:val="20"/>
                <w:szCs w:val="20"/>
              </w:rPr>
              <w:t>e</w:t>
            </w:r>
            <w:r w:rsidRPr="003F60D8">
              <w:rPr>
                <w:rFonts w:ascii="Arial" w:hAnsi="Arial" w:cs="Arial"/>
                <w:sz w:val="20"/>
                <w:szCs w:val="20"/>
              </w:rPr>
              <w:t xml:space="preserve">nclosed by permanent walls on all sides, a permanent </w:t>
            </w:r>
            <w:proofErr w:type="gramStart"/>
            <w:r w:rsidRPr="003F60D8">
              <w:rPr>
                <w:rFonts w:ascii="Arial" w:hAnsi="Arial" w:cs="Arial"/>
                <w:sz w:val="20"/>
                <w:szCs w:val="20"/>
              </w:rPr>
              <w:t>roof</w:t>
            </w:r>
            <w:proofErr w:type="gramEnd"/>
            <w:r w:rsidRPr="003F60D8">
              <w:rPr>
                <w:rFonts w:ascii="Arial" w:hAnsi="Arial" w:cs="Arial"/>
                <w:sz w:val="20"/>
                <w:szCs w:val="20"/>
              </w:rPr>
              <w:t xml:space="preserve"> and a permanent floor; and</w:t>
            </w:r>
          </w:p>
          <w:p w14:paraId="0B954AA6" w14:textId="2FF328D1" w:rsidR="003F60D8" w:rsidRPr="00A509B7" w:rsidRDefault="003F60D8" w:rsidP="00A509B7">
            <w:pPr>
              <w:pStyle w:val="ListParagraph"/>
              <w:numPr>
                <w:ilvl w:val="0"/>
                <w:numId w:val="62"/>
              </w:numPr>
              <w:spacing w:after="120" w:line="240" w:lineRule="auto"/>
              <w:rPr>
                <w:rFonts w:cs="Arial"/>
                <w:szCs w:val="20"/>
              </w:rPr>
            </w:pPr>
            <w:r w:rsidRPr="003F60D8">
              <w:rPr>
                <w:rFonts w:ascii="Arial" w:hAnsi="Arial" w:cs="Arial"/>
                <w:sz w:val="20"/>
                <w:szCs w:val="20"/>
              </w:rPr>
              <w:t>permanently fixed to a location</w:t>
            </w:r>
            <w:r>
              <w:rPr>
                <w:rFonts w:ascii="Arial" w:hAnsi="Arial" w:cs="Arial"/>
                <w:sz w:val="20"/>
                <w:szCs w:val="20"/>
              </w:rPr>
              <w:t>.</w:t>
            </w:r>
          </w:p>
        </w:tc>
      </w:tr>
      <w:tr w:rsidR="00F714D0" w:rsidRPr="009317CD" w14:paraId="4C902788" w14:textId="77777777" w:rsidTr="00A509B7">
        <w:tc>
          <w:tcPr>
            <w:tcW w:w="1980" w:type="dxa"/>
            <w:shd w:val="clear" w:color="auto" w:fill="F2F2F2" w:themeFill="background1" w:themeFillShade="F2"/>
          </w:tcPr>
          <w:p w14:paraId="143C8BA5" w14:textId="0D6A186A" w:rsidR="00F714D0" w:rsidRPr="003D09A8" w:rsidRDefault="00F714D0" w:rsidP="007C0D62">
            <w:pPr>
              <w:spacing w:after="0" w:line="240" w:lineRule="auto"/>
              <w:rPr>
                <w:rFonts w:cs="Arial"/>
                <w:szCs w:val="20"/>
              </w:rPr>
            </w:pPr>
            <w:r>
              <w:rPr>
                <w:rFonts w:cs="Arial"/>
                <w:szCs w:val="20"/>
              </w:rPr>
              <w:t>HL WBB</w:t>
            </w:r>
          </w:p>
        </w:tc>
        <w:tc>
          <w:tcPr>
            <w:tcW w:w="6095" w:type="dxa"/>
            <w:shd w:val="clear" w:color="auto" w:fill="F2F2F2" w:themeFill="background1" w:themeFillShade="F2"/>
          </w:tcPr>
          <w:p w14:paraId="71C60631" w14:textId="77777777" w:rsidR="00F714D0" w:rsidRPr="00D22103" w:rsidRDefault="00F714D0" w:rsidP="00212DC1">
            <w:pPr>
              <w:pStyle w:val="Heading2"/>
              <w:spacing w:before="0" w:after="80"/>
              <w:rPr>
                <w:iCs w:val="0"/>
                <w:sz w:val="20"/>
                <w:szCs w:val="20"/>
                <w:u w:val="single"/>
              </w:rPr>
            </w:pPr>
            <w:bookmarkStart w:id="111" w:name="_Toc178948559"/>
            <w:r>
              <w:rPr>
                <w:iCs w:val="0"/>
                <w:sz w:val="20"/>
                <w:szCs w:val="20"/>
                <w:u w:val="single"/>
              </w:rPr>
              <w:t>General conditions</w:t>
            </w:r>
            <w:bookmarkEnd w:id="111"/>
          </w:p>
          <w:p w14:paraId="54E86A0E" w14:textId="77777777" w:rsidR="00F714D0" w:rsidRPr="00A509B7" w:rsidRDefault="00F714D0" w:rsidP="00A509B7">
            <w:pPr>
              <w:pStyle w:val="ListParagraph"/>
              <w:numPr>
                <w:ilvl w:val="0"/>
                <w:numId w:val="51"/>
              </w:numPr>
              <w:spacing w:after="0" w:line="240" w:lineRule="auto"/>
              <w:rPr>
                <w:b/>
                <w:bCs/>
                <w:iCs/>
                <w:sz w:val="20"/>
                <w:szCs w:val="20"/>
              </w:rPr>
            </w:pPr>
            <w:bookmarkStart w:id="112" w:name="_Hlk165538947"/>
            <w:r w:rsidRPr="00A509B7">
              <w:rPr>
                <w:rFonts w:ascii="Arial" w:hAnsi="Arial" w:cs="Arial"/>
                <w:sz w:val="20"/>
                <w:szCs w:val="20"/>
              </w:rPr>
              <w:t>Power spectral density must not exceed 17 dBm/MHz EIRP.</w:t>
            </w:r>
          </w:p>
          <w:p w14:paraId="61D4AC23" w14:textId="77777777" w:rsidR="00916749" w:rsidRPr="0031747D" w:rsidRDefault="00F714D0" w:rsidP="00A509B7">
            <w:pPr>
              <w:pStyle w:val="ListParagraph"/>
              <w:numPr>
                <w:ilvl w:val="0"/>
                <w:numId w:val="51"/>
              </w:numPr>
              <w:spacing w:after="0" w:line="240" w:lineRule="auto"/>
              <w:rPr>
                <w:b/>
                <w:sz w:val="20"/>
                <w:szCs w:val="20"/>
              </w:rPr>
            </w:pPr>
            <w:r w:rsidRPr="00A509B7">
              <w:rPr>
                <w:rFonts w:ascii="Arial" w:hAnsi="Arial" w:cs="Arial"/>
                <w:sz w:val="20"/>
                <w:szCs w:val="20"/>
              </w:rPr>
              <w:t>Base station transmitters must comply with the unwanted emission limits described in</w:t>
            </w:r>
            <w:r w:rsidR="00916749">
              <w:rPr>
                <w:rFonts w:ascii="Arial" w:hAnsi="Arial" w:cs="Arial"/>
                <w:sz w:val="20"/>
                <w:szCs w:val="20"/>
              </w:rPr>
              <w:t>:</w:t>
            </w:r>
            <w:r w:rsidRPr="00A509B7">
              <w:rPr>
                <w:rFonts w:ascii="Arial" w:hAnsi="Arial" w:cs="Arial"/>
                <w:sz w:val="20"/>
                <w:szCs w:val="20"/>
              </w:rPr>
              <w:t xml:space="preserve"> </w:t>
            </w:r>
            <w:bookmarkStart w:id="113" w:name="_Hlk161396073"/>
          </w:p>
          <w:p w14:paraId="045AD515" w14:textId="205FFE02" w:rsidR="00916749" w:rsidRPr="0031747D" w:rsidRDefault="00F714D0" w:rsidP="004E421C">
            <w:pPr>
              <w:pStyle w:val="ListParagraph"/>
              <w:numPr>
                <w:ilvl w:val="1"/>
                <w:numId w:val="51"/>
              </w:numPr>
              <w:spacing w:after="0" w:line="240" w:lineRule="auto"/>
              <w:ind w:left="736"/>
              <w:rPr>
                <w:b/>
                <w:sz w:val="20"/>
                <w:szCs w:val="20"/>
              </w:rPr>
            </w:pPr>
            <w:r w:rsidRPr="00A509B7">
              <w:rPr>
                <w:rFonts w:ascii="Arial" w:hAnsi="Arial" w:cs="Arial"/>
                <w:sz w:val="20"/>
                <w:szCs w:val="20"/>
              </w:rPr>
              <w:t>Table</w:t>
            </w:r>
            <w:r w:rsidR="008B7749">
              <w:rPr>
                <w:rFonts w:ascii="Arial" w:hAnsi="Arial" w:cs="Arial"/>
                <w:sz w:val="20"/>
                <w:szCs w:val="20"/>
              </w:rPr>
              <w:t>s</w:t>
            </w:r>
            <w:r w:rsidRPr="00A509B7">
              <w:rPr>
                <w:rFonts w:ascii="Arial" w:hAnsi="Arial" w:cs="Arial"/>
                <w:sz w:val="20"/>
                <w:szCs w:val="20"/>
              </w:rPr>
              <w:t xml:space="preserve"> 6.6.4.2.3-2 </w:t>
            </w:r>
            <w:r w:rsidR="008B7749">
              <w:rPr>
                <w:rFonts w:ascii="Arial" w:hAnsi="Arial" w:cs="Arial"/>
                <w:sz w:val="20"/>
                <w:szCs w:val="20"/>
              </w:rPr>
              <w:t>(</w:t>
            </w:r>
            <w:r w:rsidR="00916749">
              <w:rPr>
                <w:rFonts w:ascii="Arial" w:hAnsi="Arial" w:cs="Arial"/>
                <w:sz w:val="20"/>
                <w:szCs w:val="20"/>
              </w:rPr>
              <w:t>unwanted emissions within the profile band</w:t>
            </w:r>
            <w:r w:rsidR="00D3422C">
              <w:rPr>
                <w:rFonts w:ascii="Arial" w:hAnsi="Arial" w:cs="Arial"/>
                <w:sz w:val="20"/>
                <w:szCs w:val="20"/>
              </w:rPr>
              <w:t xml:space="preserve">, limits for </w:t>
            </w:r>
            <w:r w:rsidR="00561526">
              <w:rPr>
                <w:rFonts w:ascii="Arial" w:hAnsi="Arial" w:cs="Arial"/>
                <w:sz w:val="20"/>
                <w:szCs w:val="20"/>
              </w:rPr>
              <w:t>Medium Range</w:t>
            </w:r>
            <w:r w:rsidR="00D3422C">
              <w:rPr>
                <w:rFonts w:ascii="Arial" w:hAnsi="Arial" w:cs="Arial"/>
                <w:sz w:val="20"/>
                <w:szCs w:val="20"/>
              </w:rPr>
              <w:t xml:space="preserve"> </w:t>
            </w:r>
            <w:r w:rsidR="00561526">
              <w:rPr>
                <w:rFonts w:ascii="Arial" w:hAnsi="Arial" w:cs="Arial"/>
                <w:sz w:val="20"/>
                <w:szCs w:val="20"/>
              </w:rPr>
              <w:t>BS</w:t>
            </w:r>
            <w:r w:rsidR="00916749">
              <w:rPr>
                <w:rFonts w:ascii="Arial" w:hAnsi="Arial" w:cs="Arial"/>
                <w:sz w:val="20"/>
                <w:szCs w:val="20"/>
              </w:rPr>
              <w:t>, for non-AAS</w:t>
            </w:r>
            <w:r w:rsidR="008B7749">
              <w:rPr>
                <w:rFonts w:ascii="Arial" w:hAnsi="Arial" w:cs="Arial"/>
                <w:sz w:val="20"/>
                <w:szCs w:val="20"/>
              </w:rPr>
              <w:t xml:space="preserve">) and </w:t>
            </w:r>
            <w:r w:rsidR="00916749" w:rsidRPr="00916749">
              <w:rPr>
                <w:rFonts w:ascii="Arial" w:hAnsi="Arial" w:cs="Arial"/>
                <w:sz w:val="20"/>
                <w:szCs w:val="20"/>
              </w:rPr>
              <w:t>section 9.7.4.2 (for AAS) of 3GPP TS 38.104</w:t>
            </w:r>
          </w:p>
          <w:p w14:paraId="7339766C" w14:textId="3C2E66E0" w:rsidR="00F714D0" w:rsidRPr="00A509B7" w:rsidRDefault="00D20210" w:rsidP="0031747D">
            <w:pPr>
              <w:pStyle w:val="ListParagraph"/>
              <w:numPr>
                <w:ilvl w:val="1"/>
                <w:numId w:val="51"/>
              </w:numPr>
              <w:spacing w:after="0" w:line="240" w:lineRule="auto"/>
              <w:ind w:left="736"/>
              <w:rPr>
                <w:b/>
                <w:bCs/>
                <w:iCs/>
                <w:sz w:val="20"/>
                <w:szCs w:val="20"/>
              </w:rPr>
            </w:pPr>
            <w:r>
              <w:rPr>
                <w:rFonts w:ascii="Arial" w:hAnsi="Arial" w:cs="Arial"/>
                <w:sz w:val="20"/>
                <w:szCs w:val="20"/>
              </w:rPr>
              <w:t xml:space="preserve">6.6.5.2.1-2 </w:t>
            </w:r>
            <w:r w:rsidR="008B7749">
              <w:rPr>
                <w:rFonts w:ascii="Arial" w:hAnsi="Arial" w:cs="Arial"/>
                <w:sz w:val="20"/>
                <w:szCs w:val="20"/>
              </w:rPr>
              <w:t>(spurious</w:t>
            </w:r>
            <w:r>
              <w:rPr>
                <w:rFonts w:ascii="Arial" w:hAnsi="Arial" w:cs="Arial"/>
                <w:sz w:val="20"/>
                <w:szCs w:val="20"/>
              </w:rPr>
              <w:t xml:space="preserve"> emissions in FR1, category B</w:t>
            </w:r>
            <w:r w:rsidR="00916749">
              <w:rPr>
                <w:rFonts w:ascii="Arial" w:hAnsi="Arial" w:cs="Arial"/>
                <w:sz w:val="20"/>
                <w:szCs w:val="20"/>
              </w:rPr>
              <w:t>, for non-AAS</w:t>
            </w:r>
            <w:r w:rsidR="008B7749">
              <w:rPr>
                <w:rFonts w:ascii="Arial" w:hAnsi="Arial" w:cs="Arial"/>
                <w:sz w:val="20"/>
                <w:szCs w:val="20"/>
              </w:rPr>
              <w:t xml:space="preserve">) </w:t>
            </w:r>
            <w:r w:rsidR="00916749">
              <w:rPr>
                <w:rFonts w:ascii="Arial" w:hAnsi="Arial" w:cs="Arial"/>
                <w:sz w:val="20"/>
                <w:szCs w:val="20"/>
              </w:rPr>
              <w:t xml:space="preserve">and section </w:t>
            </w:r>
            <w:r w:rsidR="00916749" w:rsidRPr="00916749">
              <w:rPr>
                <w:rFonts w:ascii="Arial" w:hAnsi="Arial" w:cs="Arial"/>
                <w:sz w:val="20"/>
                <w:szCs w:val="20"/>
              </w:rPr>
              <w:t xml:space="preserve">9.7.5.2.2 (for AAS) </w:t>
            </w:r>
            <w:r w:rsidR="00F714D0" w:rsidRPr="00A509B7">
              <w:rPr>
                <w:rFonts w:ascii="Arial" w:hAnsi="Arial" w:cs="Arial"/>
                <w:sz w:val="20"/>
                <w:szCs w:val="20"/>
              </w:rPr>
              <w:t>of 3GPP TS 38.104</w:t>
            </w:r>
            <w:bookmarkEnd w:id="113"/>
            <w:r w:rsidR="008B7749">
              <w:rPr>
                <w:rFonts w:ascii="Arial" w:hAnsi="Arial" w:cs="Arial"/>
                <w:sz w:val="20"/>
                <w:szCs w:val="20"/>
              </w:rPr>
              <w:t>.</w:t>
            </w:r>
          </w:p>
          <w:p w14:paraId="7E80F72E" w14:textId="5B2D6F79" w:rsidR="00F714D0" w:rsidRPr="00A509B7" w:rsidRDefault="00F714D0" w:rsidP="00A509B7">
            <w:pPr>
              <w:pStyle w:val="ListParagraph"/>
              <w:numPr>
                <w:ilvl w:val="0"/>
                <w:numId w:val="51"/>
              </w:numPr>
              <w:spacing w:after="0" w:line="240" w:lineRule="auto"/>
              <w:rPr>
                <w:b/>
                <w:bCs/>
                <w:iCs/>
                <w:sz w:val="20"/>
                <w:szCs w:val="20"/>
              </w:rPr>
            </w:pPr>
            <w:r w:rsidRPr="00A509B7">
              <w:rPr>
                <w:rFonts w:ascii="Arial" w:hAnsi="Arial" w:cs="Arial"/>
                <w:sz w:val="20"/>
                <w:szCs w:val="20"/>
              </w:rPr>
              <w:t>User equipment transmitters must comply with the unwanted emission limits described in Table</w:t>
            </w:r>
            <w:r w:rsidR="005C2CEE">
              <w:rPr>
                <w:rFonts w:ascii="Arial" w:hAnsi="Arial" w:cs="Arial"/>
                <w:sz w:val="20"/>
                <w:szCs w:val="20"/>
              </w:rPr>
              <w:t>s</w:t>
            </w:r>
            <w:r w:rsidRPr="00A509B7">
              <w:rPr>
                <w:rFonts w:ascii="Arial" w:hAnsi="Arial" w:cs="Arial"/>
                <w:sz w:val="20"/>
                <w:szCs w:val="20"/>
              </w:rPr>
              <w:t xml:space="preserve"> 6.5.2.2-1 </w:t>
            </w:r>
            <w:r w:rsidR="005C2CEE">
              <w:rPr>
                <w:rFonts w:ascii="Arial" w:hAnsi="Arial" w:cs="Arial"/>
                <w:sz w:val="20"/>
                <w:szCs w:val="20"/>
              </w:rPr>
              <w:t>(out-of-band) and</w:t>
            </w:r>
            <w:r w:rsidR="001E50AB">
              <w:rPr>
                <w:rFonts w:ascii="Arial" w:hAnsi="Arial" w:cs="Arial"/>
                <w:sz w:val="20"/>
                <w:szCs w:val="20"/>
              </w:rPr>
              <w:t xml:space="preserve"> 6.5.3</w:t>
            </w:r>
            <w:r w:rsidR="00C072CF">
              <w:rPr>
                <w:rFonts w:ascii="Arial" w:hAnsi="Arial" w:cs="Arial"/>
                <w:sz w:val="20"/>
                <w:szCs w:val="20"/>
              </w:rPr>
              <w:t>.1</w:t>
            </w:r>
            <w:r w:rsidR="001E50AB">
              <w:rPr>
                <w:rFonts w:ascii="Arial" w:hAnsi="Arial" w:cs="Arial"/>
                <w:sz w:val="20"/>
                <w:szCs w:val="20"/>
              </w:rPr>
              <w:t>-2</w:t>
            </w:r>
            <w:r w:rsidR="005C2CEE">
              <w:rPr>
                <w:rFonts w:ascii="Arial" w:hAnsi="Arial" w:cs="Arial"/>
                <w:sz w:val="20"/>
                <w:szCs w:val="20"/>
              </w:rPr>
              <w:t xml:space="preserve"> </w:t>
            </w:r>
            <w:r w:rsidR="001E50AB">
              <w:rPr>
                <w:rFonts w:ascii="Arial" w:hAnsi="Arial" w:cs="Arial"/>
                <w:sz w:val="20"/>
                <w:szCs w:val="20"/>
              </w:rPr>
              <w:t xml:space="preserve">(spurious) </w:t>
            </w:r>
            <w:r w:rsidRPr="00A509B7">
              <w:rPr>
                <w:rFonts w:ascii="Arial" w:hAnsi="Arial" w:cs="Arial"/>
                <w:sz w:val="20"/>
                <w:szCs w:val="20"/>
              </w:rPr>
              <w:t>of 3GPP TS 38.101-</w:t>
            </w:r>
            <w:r w:rsidR="00C072CF">
              <w:rPr>
                <w:rFonts w:ascii="Arial" w:hAnsi="Arial" w:cs="Arial"/>
                <w:sz w:val="20"/>
                <w:szCs w:val="20"/>
              </w:rPr>
              <w:t>1</w:t>
            </w:r>
            <w:r w:rsidRPr="00A509B7">
              <w:rPr>
                <w:rFonts w:ascii="Arial" w:hAnsi="Arial" w:cs="Arial"/>
                <w:sz w:val="20"/>
                <w:szCs w:val="20"/>
              </w:rPr>
              <w:t>.</w:t>
            </w:r>
          </w:p>
          <w:p w14:paraId="349799EC" w14:textId="77777777" w:rsidR="00F714D0" w:rsidRPr="00AC7FF6" w:rsidRDefault="00F714D0" w:rsidP="00A509B7">
            <w:pPr>
              <w:pStyle w:val="ListParagraph"/>
              <w:numPr>
                <w:ilvl w:val="0"/>
                <w:numId w:val="51"/>
              </w:numPr>
              <w:spacing w:after="0" w:line="240" w:lineRule="auto"/>
              <w:rPr>
                <w:b/>
                <w:sz w:val="20"/>
                <w:szCs w:val="20"/>
              </w:rPr>
            </w:pPr>
            <w:r w:rsidRPr="00A509B7">
              <w:rPr>
                <w:rFonts w:ascii="Arial" w:hAnsi="Arial" w:cs="Arial"/>
                <w:sz w:val="20"/>
                <w:szCs w:val="20"/>
              </w:rPr>
              <w:t>UEs operate on a no interference and no protection basis.</w:t>
            </w:r>
          </w:p>
          <w:p w14:paraId="75EF4264" w14:textId="69958A87" w:rsidR="00877695" w:rsidRPr="00A509B7" w:rsidRDefault="00877695" w:rsidP="00A509B7">
            <w:pPr>
              <w:pStyle w:val="ListParagraph"/>
              <w:numPr>
                <w:ilvl w:val="0"/>
                <w:numId w:val="51"/>
              </w:numPr>
              <w:spacing w:after="120" w:line="240" w:lineRule="auto"/>
              <w:rPr>
                <w:b/>
                <w:bCs/>
                <w:iCs/>
                <w:sz w:val="20"/>
                <w:szCs w:val="20"/>
              </w:rPr>
            </w:pPr>
            <w:r>
              <w:rPr>
                <w:rFonts w:ascii="Arial" w:hAnsi="Arial" w:cs="Arial"/>
                <w:sz w:val="20"/>
                <w:szCs w:val="20"/>
              </w:rPr>
              <w:t>HL WBB operate on a NINP basis to other HL WBB services.</w:t>
            </w:r>
          </w:p>
          <w:p w14:paraId="7E5D84D6" w14:textId="1F992713" w:rsidR="00F714D0" w:rsidRPr="00D22103" w:rsidRDefault="00F714D0" w:rsidP="00212DC1">
            <w:pPr>
              <w:pStyle w:val="Heading2"/>
              <w:spacing w:before="0" w:after="80"/>
              <w:rPr>
                <w:iCs w:val="0"/>
                <w:sz w:val="20"/>
                <w:szCs w:val="20"/>
                <w:u w:val="single"/>
              </w:rPr>
            </w:pPr>
            <w:bookmarkStart w:id="114" w:name="_Toc178948560"/>
            <w:bookmarkEnd w:id="112"/>
            <w:r>
              <w:rPr>
                <w:iCs w:val="0"/>
                <w:sz w:val="20"/>
                <w:szCs w:val="20"/>
                <w:u w:val="single"/>
              </w:rPr>
              <w:t xml:space="preserve">Conditions for </w:t>
            </w:r>
            <w:r w:rsidRPr="00D22103">
              <w:rPr>
                <w:iCs w:val="0"/>
                <w:sz w:val="20"/>
                <w:szCs w:val="20"/>
                <w:u w:val="single"/>
              </w:rPr>
              <w:t xml:space="preserve">3400-3475 MHz </w:t>
            </w:r>
            <w:r w:rsidR="00185350" w:rsidRPr="00185350">
              <w:rPr>
                <w:iCs w:val="0"/>
                <w:sz w:val="20"/>
                <w:szCs w:val="20"/>
                <w:u w:val="single"/>
              </w:rPr>
              <w:t>frequency range</w:t>
            </w:r>
            <w:bookmarkEnd w:id="114"/>
          </w:p>
          <w:p w14:paraId="64BE057E" w14:textId="0CF1AFD1" w:rsidR="00F714D0" w:rsidRPr="00A509B7" w:rsidRDefault="00F714D0" w:rsidP="00A509B7">
            <w:pPr>
              <w:pStyle w:val="ListParagraph"/>
              <w:numPr>
                <w:ilvl w:val="0"/>
                <w:numId w:val="52"/>
              </w:numPr>
              <w:spacing w:after="0" w:line="240" w:lineRule="auto"/>
              <w:rPr>
                <w:b/>
                <w:bCs/>
                <w:iCs/>
                <w:sz w:val="20"/>
                <w:szCs w:val="20"/>
              </w:rPr>
            </w:pPr>
            <w:r w:rsidRPr="00A509B7">
              <w:rPr>
                <w:rFonts w:ascii="Arial" w:hAnsi="Arial" w:cs="Arial"/>
                <w:sz w:val="20"/>
                <w:szCs w:val="20"/>
              </w:rPr>
              <w:t>Operation of transmitters is limited to urban areas and within the 3400–34</w:t>
            </w:r>
            <w:r w:rsidR="001028D3">
              <w:rPr>
                <w:rFonts w:ascii="Arial" w:hAnsi="Arial" w:cs="Arial"/>
                <w:sz w:val="20"/>
                <w:szCs w:val="20"/>
              </w:rPr>
              <w:t>6</w:t>
            </w:r>
            <w:r w:rsidRPr="00A509B7">
              <w:rPr>
                <w:rFonts w:ascii="Arial" w:hAnsi="Arial" w:cs="Arial"/>
                <w:sz w:val="20"/>
                <w:szCs w:val="20"/>
              </w:rPr>
              <w:t xml:space="preserve">0 MHz </w:t>
            </w:r>
            <w:r w:rsidR="00185350" w:rsidRPr="00185350">
              <w:rPr>
                <w:rFonts w:ascii="Arial" w:hAnsi="Arial" w:cs="Arial"/>
                <w:sz w:val="20"/>
                <w:szCs w:val="20"/>
              </w:rPr>
              <w:t>frequency range</w:t>
            </w:r>
            <w:r w:rsidRPr="00A509B7">
              <w:rPr>
                <w:rFonts w:ascii="Arial" w:hAnsi="Arial" w:cs="Arial"/>
                <w:sz w:val="20"/>
                <w:szCs w:val="20"/>
              </w:rPr>
              <w:t xml:space="preserve">. </w:t>
            </w:r>
          </w:p>
          <w:p w14:paraId="68E5A76F" w14:textId="6BB1250D" w:rsidR="00F714D0" w:rsidRPr="00A509B7" w:rsidRDefault="001028D3" w:rsidP="00A509B7">
            <w:pPr>
              <w:pStyle w:val="ListParagraph"/>
              <w:numPr>
                <w:ilvl w:val="0"/>
                <w:numId w:val="52"/>
              </w:numPr>
              <w:spacing w:after="0" w:line="240" w:lineRule="auto"/>
              <w:rPr>
                <w:b/>
                <w:bCs/>
                <w:iCs/>
                <w:sz w:val="20"/>
                <w:szCs w:val="20"/>
              </w:rPr>
            </w:pPr>
            <w:r>
              <w:rPr>
                <w:rFonts w:ascii="Arial" w:hAnsi="Arial" w:cs="Arial"/>
                <w:sz w:val="20"/>
                <w:szCs w:val="20"/>
              </w:rPr>
              <w:t>A general policy of only supporting HL WBB o</w:t>
            </w:r>
            <w:r w:rsidR="00F714D0" w:rsidRPr="00A509B7">
              <w:rPr>
                <w:rFonts w:ascii="Arial" w:hAnsi="Arial" w:cs="Arial"/>
                <w:sz w:val="20"/>
                <w:szCs w:val="20"/>
              </w:rPr>
              <w:t>peration within the 34</w:t>
            </w:r>
            <w:r>
              <w:rPr>
                <w:rFonts w:ascii="Arial" w:hAnsi="Arial" w:cs="Arial"/>
                <w:sz w:val="20"/>
                <w:szCs w:val="20"/>
              </w:rPr>
              <w:t>6</w:t>
            </w:r>
            <w:r w:rsidR="00F714D0" w:rsidRPr="00A509B7">
              <w:rPr>
                <w:rFonts w:ascii="Arial" w:hAnsi="Arial" w:cs="Arial"/>
                <w:sz w:val="20"/>
                <w:szCs w:val="20"/>
              </w:rPr>
              <w:t xml:space="preserve">0–3475 MHz </w:t>
            </w:r>
            <w:r w:rsidR="00185350" w:rsidRPr="00185350">
              <w:rPr>
                <w:rFonts w:ascii="Arial" w:hAnsi="Arial" w:cs="Arial"/>
                <w:sz w:val="20"/>
                <w:szCs w:val="20"/>
              </w:rPr>
              <w:t>frequency range</w:t>
            </w:r>
            <w:r w:rsidR="00F714D0" w:rsidRPr="00A509B7">
              <w:rPr>
                <w:rFonts w:ascii="Arial" w:hAnsi="Arial" w:cs="Arial"/>
                <w:sz w:val="20"/>
                <w:szCs w:val="20"/>
              </w:rPr>
              <w:t xml:space="preserve"> </w:t>
            </w:r>
            <w:r>
              <w:rPr>
                <w:rFonts w:ascii="Arial" w:hAnsi="Arial" w:cs="Arial"/>
                <w:sz w:val="20"/>
                <w:szCs w:val="20"/>
              </w:rPr>
              <w:t xml:space="preserve">if there is agreement with adjacent frequency SL. </w:t>
            </w:r>
            <w:r w:rsidR="00A509B7">
              <w:rPr>
                <w:rFonts w:ascii="Arial" w:hAnsi="Arial" w:cs="Arial"/>
                <w:sz w:val="20"/>
                <w:szCs w:val="20"/>
              </w:rPr>
              <w:t>Licensee takes on risk of having to cease o</w:t>
            </w:r>
            <w:r w:rsidR="00BD2AC9">
              <w:rPr>
                <w:rFonts w:ascii="Arial" w:hAnsi="Arial" w:cs="Arial"/>
                <w:sz w:val="20"/>
                <w:szCs w:val="20"/>
              </w:rPr>
              <w:t>r</w:t>
            </w:r>
            <w:r w:rsidR="00A509B7">
              <w:rPr>
                <w:rFonts w:ascii="Arial" w:hAnsi="Arial" w:cs="Arial"/>
                <w:sz w:val="20"/>
                <w:szCs w:val="20"/>
              </w:rPr>
              <w:t xml:space="preserve"> modify operation at any time to manage interference. </w:t>
            </w:r>
            <w:r w:rsidR="00F714D0" w:rsidRPr="00A509B7">
              <w:rPr>
                <w:rFonts w:ascii="Arial" w:hAnsi="Arial" w:cs="Arial"/>
                <w:sz w:val="20"/>
                <w:szCs w:val="20"/>
              </w:rPr>
              <w:t xml:space="preserve"> </w:t>
            </w:r>
          </w:p>
          <w:p w14:paraId="4D554668" w14:textId="1916AB17" w:rsidR="00F714D0" w:rsidRPr="00A509B7" w:rsidRDefault="00BD2AC9" w:rsidP="00A509B7">
            <w:pPr>
              <w:pStyle w:val="ListParagraph"/>
              <w:numPr>
                <w:ilvl w:val="0"/>
                <w:numId w:val="52"/>
              </w:numPr>
              <w:spacing w:after="0" w:line="240" w:lineRule="auto"/>
              <w:rPr>
                <w:b/>
                <w:bCs/>
                <w:iCs/>
                <w:sz w:val="20"/>
                <w:szCs w:val="20"/>
              </w:rPr>
            </w:pPr>
            <w:r>
              <w:rPr>
                <w:rFonts w:ascii="Arial" w:hAnsi="Arial" w:cs="Arial"/>
                <w:sz w:val="20"/>
                <w:szCs w:val="20"/>
              </w:rPr>
              <w:t>Only i</w:t>
            </w:r>
            <w:r w:rsidR="00F714D0" w:rsidRPr="00A509B7">
              <w:rPr>
                <w:rFonts w:ascii="Arial" w:hAnsi="Arial" w:cs="Arial"/>
                <w:sz w:val="20"/>
                <w:szCs w:val="20"/>
              </w:rPr>
              <w:t>ndoor BS deployments</w:t>
            </w:r>
            <w:r>
              <w:rPr>
                <w:rFonts w:ascii="Arial" w:hAnsi="Arial" w:cs="Arial"/>
                <w:sz w:val="20"/>
                <w:szCs w:val="20"/>
              </w:rPr>
              <w:t xml:space="preserve"> are allowed</w:t>
            </w:r>
            <w:r w:rsidR="00F714D0" w:rsidRPr="00A509B7">
              <w:rPr>
                <w:rFonts w:ascii="Arial" w:hAnsi="Arial" w:cs="Arial"/>
                <w:sz w:val="20"/>
                <w:szCs w:val="20"/>
              </w:rPr>
              <w:t>.</w:t>
            </w:r>
          </w:p>
          <w:p w14:paraId="5B7AF200" w14:textId="77777777" w:rsidR="00F714D0" w:rsidRPr="00A509B7" w:rsidRDefault="00F714D0" w:rsidP="00A509B7">
            <w:pPr>
              <w:pStyle w:val="ListParagraph"/>
              <w:numPr>
                <w:ilvl w:val="0"/>
                <w:numId w:val="52"/>
              </w:numPr>
              <w:spacing w:after="0" w:line="240" w:lineRule="auto"/>
              <w:rPr>
                <w:b/>
                <w:bCs/>
                <w:iCs/>
                <w:sz w:val="20"/>
                <w:szCs w:val="20"/>
              </w:rPr>
            </w:pPr>
            <w:r w:rsidRPr="00A509B7">
              <w:rPr>
                <w:rFonts w:ascii="Arial" w:hAnsi="Arial" w:cs="Arial"/>
                <w:sz w:val="20"/>
                <w:szCs w:val="20"/>
              </w:rPr>
              <w:t>HL WBB operation is on a no interference and no protection basis to services operating under a 3.4 GHz band SL.</w:t>
            </w:r>
          </w:p>
          <w:p w14:paraId="16A2CB43" w14:textId="18CF4210" w:rsidR="00F714D0" w:rsidRPr="00A509B7" w:rsidRDefault="00F714D0" w:rsidP="00A509B7">
            <w:pPr>
              <w:pStyle w:val="ListParagraph"/>
              <w:numPr>
                <w:ilvl w:val="0"/>
                <w:numId w:val="52"/>
              </w:numPr>
              <w:spacing w:after="0" w:line="240" w:lineRule="auto"/>
              <w:rPr>
                <w:b/>
                <w:bCs/>
                <w:iCs/>
                <w:sz w:val="20"/>
                <w:szCs w:val="20"/>
              </w:rPr>
            </w:pPr>
            <w:r w:rsidRPr="00A509B7">
              <w:rPr>
                <w:rFonts w:ascii="Arial" w:hAnsi="Arial" w:cs="Arial"/>
                <w:sz w:val="20"/>
                <w:szCs w:val="20"/>
              </w:rPr>
              <w:lastRenderedPageBreak/>
              <w:t xml:space="preserve">The operation of transmitters </w:t>
            </w:r>
            <w:r w:rsidRPr="00A509B7">
              <w:rPr>
                <w:rFonts w:ascii="Arial" w:hAnsi="Arial" w:cs="Arial"/>
                <w:i/>
                <w:iCs/>
                <w:sz w:val="20"/>
                <w:szCs w:val="20"/>
                <w:u w:val="single"/>
              </w:rPr>
              <w:t>must be synchronised</w:t>
            </w:r>
            <w:r w:rsidRPr="00A509B7">
              <w:rPr>
                <w:rFonts w:ascii="Arial" w:hAnsi="Arial" w:cs="Arial"/>
                <w:sz w:val="20"/>
                <w:szCs w:val="20"/>
              </w:rPr>
              <w:t xml:space="preserve"> with the operation of services operating under adjacent area 3.4 GHz </w:t>
            </w:r>
            <w:r w:rsidR="001028D3">
              <w:rPr>
                <w:rFonts w:ascii="Arial" w:hAnsi="Arial" w:cs="Arial"/>
                <w:sz w:val="20"/>
                <w:szCs w:val="20"/>
              </w:rPr>
              <w:t>SLs</w:t>
            </w:r>
            <w:r w:rsidRPr="00A509B7">
              <w:rPr>
                <w:rFonts w:ascii="Arial" w:hAnsi="Arial" w:cs="Arial"/>
                <w:sz w:val="20"/>
                <w:szCs w:val="20"/>
              </w:rPr>
              <w:t xml:space="preserve"> that are directly adjacent to urban excise areas. </w:t>
            </w:r>
          </w:p>
          <w:p w14:paraId="7E5C73F8" w14:textId="2066AF7F" w:rsidR="00F714D0" w:rsidRPr="00A509B7" w:rsidRDefault="00F714D0" w:rsidP="00A509B7">
            <w:pPr>
              <w:pStyle w:val="ListParagraph"/>
              <w:numPr>
                <w:ilvl w:val="0"/>
                <w:numId w:val="52"/>
              </w:numPr>
              <w:spacing w:after="120" w:line="240" w:lineRule="auto"/>
              <w:rPr>
                <w:b/>
                <w:bCs/>
                <w:iCs/>
                <w:sz w:val="20"/>
                <w:szCs w:val="20"/>
              </w:rPr>
            </w:pPr>
            <w:r w:rsidRPr="00A509B7">
              <w:rPr>
                <w:rFonts w:ascii="Arial" w:hAnsi="Arial" w:cs="Arial"/>
                <w:sz w:val="20"/>
                <w:szCs w:val="20"/>
              </w:rPr>
              <w:t>The power flux-density from transmitters on controlled premises must not exceed –99.9 dBm/MHz/m</w:t>
            </w:r>
            <w:r w:rsidRPr="00EE4132">
              <w:rPr>
                <w:rFonts w:ascii="Arial" w:hAnsi="Arial" w:cs="Arial"/>
                <w:sz w:val="20"/>
                <w:szCs w:val="20"/>
                <w:vertAlign w:val="superscript"/>
              </w:rPr>
              <w:t>2</w:t>
            </w:r>
            <w:r w:rsidRPr="00A509B7">
              <w:rPr>
                <w:rFonts w:ascii="Arial" w:hAnsi="Arial" w:cs="Arial"/>
                <w:sz w:val="20"/>
                <w:szCs w:val="20"/>
              </w:rPr>
              <w:t xml:space="preserve"> at the boundary of urban areas at </w:t>
            </w:r>
            <w:r w:rsidR="001028D3">
              <w:rPr>
                <w:rFonts w:ascii="Arial" w:hAnsi="Arial" w:cs="Arial"/>
                <w:sz w:val="20"/>
                <w:szCs w:val="20"/>
              </w:rPr>
              <w:t xml:space="preserve">a </w:t>
            </w:r>
            <w:r w:rsidRPr="00A509B7">
              <w:rPr>
                <w:rFonts w:ascii="Arial" w:hAnsi="Arial" w:cs="Arial"/>
                <w:sz w:val="20"/>
                <w:szCs w:val="20"/>
              </w:rPr>
              <w:t>height</w:t>
            </w:r>
            <w:r w:rsidR="001028D3">
              <w:rPr>
                <w:rFonts w:ascii="Arial" w:hAnsi="Arial" w:cs="Arial"/>
                <w:sz w:val="20"/>
                <w:szCs w:val="20"/>
              </w:rPr>
              <w:t xml:space="preserve"> of 10</w:t>
            </w:r>
            <w:r w:rsidRPr="00A509B7">
              <w:rPr>
                <w:rFonts w:ascii="Arial" w:hAnsi="Arial" w:cs="Arial"/>
                <w:sz w:val="20"/>
                <w:szCs w:val="20"/>
              </w:rPr>
              <w:t xml:space="preserve"> metres above ground level.</w:t>
            </w:r>
            <w:r w:rsidR="001028D3">
              <w:rPr>
                <w:rFonts w:ascii="Arial" w:hAnsi="Arial" w:cs="Arial"/>
                <w:sz w:val="20"/>
                <w:szCs w:val="20"/>
              </w:rPr>
              <w:t xml:space="preserve"> [alternative options also under consideration]</w:t>
            </w:r>
          </w:p>
          <w:p w14:paraId="3BD9FEDC" w14:textId="42E2E298" w:rsidR="00F714D0" w:rsidRPr="00D22103" w:rsidRDefault="00F714D0" w:rsidP="00212DC1">
            <w:pPr>
              <w:pStyle w:val="Heading2"/>
              <w:spacing w:before="0" w:after="80"/>
              <w:rPr>
                <w:iCs w:val="0"/>
                <w:sz w:val="20"/>
                <w:szCs w:val="20"/>
                <w:u w:val="single"/>
              </w:rPr>
            </w:pPr>
            <w:bookmarkStart w:id="115" w:name="_Toc178948561"/>
            <w:r>
              <w:rPr>
                <w:iCs w:val="0"/>
                <w:sz w:val="20"/>
                <w:szCs w:val="20"/>
                <w:u w:val="single"/>
              </w:rPr>
              <w:t xml:space="preserve">Conditions for 3950-4000 </w:t>
            </w:r>
            <w:r w:rsidRPr="00D22103">
              <w:rPr>
                <w:iCs w:val="0"/>
                <w:sz w:val="20"/>
                <w:szCs w:val="20"/>
                <w:u w:val="single"/>
              </w:rPr>
              <w:t xml:space="preserve">MHz </w:t>
            </w:r>
            <w:r w:rsidR="00185350" w:rsidRPr="00185350">
              <w:rPr>
                <w:iCs w:val="0"/>
                <w:sz w:val="20"/>
                <w:szCs w:val="20"/>
                <w:u w:val="single"/>
              </w:rPr>
              <w:t>frequency range</w:t>
            </w:r>
            <w:bookmarkEnd w:id="115"/>
          </w:p>
          <w:p w14:paraId="35130AE0" w14:textId="15EFA468" w:rsidR="00F714D0" w:rsidRPr="00A509B7" w:rsidRDefault="00F714D0" w:rsidP="00A509B7">
            <w:pPr>
              <w:pStyle w:val="ListParagraph"/>
              <w:numPr>
                <w:ilvl w:val="0"/>
                <w:numId w:val="53"/>
              </w:numPr>
              <w:spacing w:after="0" w:line="240" w:lineRule="auto"/>
              <w:rPr>
                <w:b/>
                <w:bCs/>
                <w:iCs/>
                <w:sz w:val="20"/>
                <w:szCs w:val="20"/>
              </w:rPr>
            </w:pPr>
            <w:r w:rsidRPr="00A509B7">
              <w:rPr>
                <w:rFonts w:ascii="Arial" w:hAnsi="Arial" w:cs="Arial"/>
                <w:sz w:val="20"/>
                <w:szCs w:val="20"/>
              </w:rPr>
              <w:t xml:space="preserve">Operation of transmitters is limited to metro and regional Australia and within the 3950-4000 MHz </w:t>
            </w:r>
            <w:r w:rsidR="00185350" w:rsidRPr="00185350">
              <w:rPr>
                <w:rFonts w:ascii="Arial" w:hAnsi="Arial" w:cs="Arial"/>
                <w:sz w:val="20"/>
                <w:szCs w:val="20"/>
              </w:rPr>
              <w:t>frequency range</w:t>
            </w:r>
            <w:r w:rsidRPr="00A509B7">
              <w:rPr>
                <w:rFonts w:ascii="Arial" w:hAnsi="Arial" w:cs="Arial"/>
                <w:sz w:val="20"/>
                <w:szCs w:val="20"/>
              </w:rPr>
              <w:t xml:space="preserve">. </w:t>
            </w:r>
          </w:p>
          <w:p w14:paraId="3694FBC2" w14:textId="77777777" w:rsidR="00F714D0" w:rsidRPr="00A509B7" w:rsidRDefault="00F714D0" w:rsidP="00A509B7">
            <w:pPr>
              <w:pStyle w:val="ListParagraph"/>
              <w:numPr>
                <w:ilvl w:val="0"/>
                <w:numId w:val="53"/>
              </w:numPr>
              <w:spacing w:after="0" w:line="240" w:lineRule="auto"/>
              <w:rPr>
                <w:b/>
                <w:bCs/>
                <w:iCs/>
                <w:sz w:val="20"/>
                <w:szCs w:val="20"/>
              </w:rPr>
            </w:pPr>
            <w:r w:rsidRPr="00A509B7">
              <w:rPr>
                <w:rFonts w:ascii="Arial" w:hAnsi="Arial" w:cs="Arial"/>
                <w:sz w:val="20"/>
                <w:szCs w:val="20"/>
              </w:rPr>
              <w:t>UE operation is on a no interference and no protection basis to other licensed services.</w:t>
            </w:r>
          </w:p>
          <w:p w14:paraId="0C8B06CA" w14:textId="58C391F4" w:rsidR="00F714D0" w:rsidRPr="006F3E84" w:rsidRDefault="00F714D0" w:rsidP="00CB737E">
            <w:pPr>
              <w:pStyle w:val="ListParagraph"/>
              <w:numPr>
                <w:ilvl w:val="0"/>
                <w:numId w:val="53"/>
              </w:numPr>
              <w:spacing w:after="0" w:line="240" w:lineRule="auto"/>
            </w:pPr>
            <w:r w:rsidRPr="00A509B7">
              <w:rPr>
                <w:rFonts w:ascii="Arial" w:hAnsi="Arial" w:cs="Arial"/>
                <w:sz w:val="20"/>
                <w:szCs w:val="20"/>
              </w:rPr>
              <w:t xml:space="preserve">The </w:t>
            </w:r>
            <w:r w:rsidR="00A509B7">
              <w:rPr>
                <w:rFonts w:ascii="Arial" w:hAnsi="Arial" w:cs="Arial"/>
                <w:sz w:val="20"/>
                <w:szCs w:val="20"/>
              </w:rPr>
              <w:t xml:space="preserve">same </w:t>
            </w:r>
            <w:r w:rsidRPr="00A509B7">
              <w:rPr>
                <w:rFonts w:ascii="Arial" w:hAnsi="Arial" w:cs="Arial"/>
                <w:sz w:val="20"/>
                <w:szCs w:val="20"/>
              </w:rPr>
              <w:t xml:space="preserve">fallback synchronisation requirement that applies to AWLs in the 3400-4000 MHz band applies. Refer to </w:t>
            </w:r>
            <w:r w:rsidR="00CB737E" w:rsidRPr="00EE4132">
              <w:rPr>
                <w:rFonts w:ascii="Arial" w:hAnsi="Arial" w:cs="Arial"/>
                <w:i/>
                <w:iCs/>
                <w:sz w:val="20"/>
                <w:szCs w:val="20"/>
              </w:rPr>
              <w:t>Radiocommunications Licence Conditions (Area-Wide Licence) Determination 2020</w:t>
            </w:r>
            <w:r w:rsidR="00CB737E">
              <w:rPr>
                <w:rFonts w:ascii="Arial" w:hAnsi="Arial" w:cs="Arial"/>
                <w:sz w:val="20"/>
                <w:szCs w:val="20"/>
              </w:rPr>
              <w:t xml:space="preserve"> for details</w:t>
            </w:r>
            <w:r w:rsidR="00CB737E" w:rsidRPr="00D70225">
              <w:rPr>
                <w:rFonts w:ascii="Arial" w:hAnsi="Arial" w:cs="Arial"/>
                <w:sz w:val="20"/>
                <w:szCs w:val="20"/>
              </w:rPr>
              <w:t>.</w:t>
            </w:r>
            <w:r w:rsidR="00CB737E">
              <w:rPr>
                <w:b/>
                <w:bCs/>
                <w:iCs/>
                <w:sz w:val="20"/>
                <w:szCs w:val="20"/>
              </w:rPr>
              <w:t xml:space="preserve"> </w:t>
            </w:r>
          </w:p>
        </w:tc>
      </w:tr>
      <w:tr w:rsidR="00F714D0" w:rsidRPr="009317CD" w14:paraId="3E7EBDCF" w14:textId="77777777" w:rsidTr="00A509B7">
        <w:tc>
          <w:tcPr>
            <w:tcW w:w="1980" w:type="dxa"/>
            <w:shd w:val="clear" w:color="auto" w:fill="FFFFFF" w:themeFill="background1"/>
          </w:tcPr>
          <w:p w14:paraId="5149766E" w14:textId="77777777" w:rsidR="00F714D0" w:rsidRDefault="00F714D0" w:rsidP="007C0D62">
            <w:pPr>
              <w:spacing w:after="0" w:line="240" w:lineRule="auto"/>
              <w:rPr>
                <w:rFonts w:cs="Arial"/>
                <w:szCs w:val="20"/>
              </w:rPr>
            </w:pPr>
            <w:r>
              <w:rPr>
                <w:rFonts w:cs="Arial"/>
                <w:szCs w:val="20"/>
              </w:rPr>
              <w:lastRenderedPageBreak/>
              <w:t>Coordination with PTP</w:t>
            </w:r>
          </w:p>
        </w:tc>
        <w:tc>
          <w:tcPr>
            <w:tcW w:w="6095" w:type="dxa"/>
            <w:shd w:val="clear" w:color="auto" w:fill="FFFFFF" w:themeFill="background1"/>
          </w:tcPr>
          <w:p w14:paraId="0A5134A1" w14:textId="1AB5F23B" w:rsidR="00F714D0" w:rsidRPr="00A509B7" w:rsidRDefault="00F714D0" w:rsidP="00A509B7">
            <w:pPr>
              <w:pStyle w:val="ListParagraph"/>
              <w:numPr>
                <w:ilvl w:val="0"/>
                <w:numId w:val="54"/>
              </w:numPr>
              <w:spacing w:after="0" w:line="240" w:lineRule="auto"/>
              <w:rPr>
                <w:b/>
                <w:bCs/>
                <w:iCs/>
                <w:sz w:val="20"/>
                <w:szCs w:val="20"/>
              </w:rPr>
            </w:pPr>
            <w:r w:rsidRPr="00A509B7">
              <w:rPr>
                <w:rFonts w:ascii="Arial" w:hAnsi="Arial" w:cs="Arial"/>
                <w:sz w:val="20"/>
                <w:szCs w:val="20"/>
              </w:rPr>
              <w:t xml:space="preserve">Only applies to HL WBB in 3950-4000 MHz </w:t>
            </w:r>
            <w:r w:rsidR="00185350" w:rsidRPr="00185350">
              <w:rPr>
                <w:rFonts w:ascii="Arial" w:hAnsi="Arial" w:cs="Arial"/>
                <w:sz w:val="20"/>
                <w:szCs w:val="20"/>
              </w:rPr>
              <w:t>frequency range</w:t>
            </w:r>
            <w:r w:rsidRPr="00A509B7">
              <w:rPr>
                <w:rFonts w:ascii="Arial" w:hAnsi="Arial" w:cs="Arial"/>
                <w:sz w:val="20"/>
                <w:szCs w:val="20"/>
              </w:rPr>
              <w:t>.</w:t>
            </w:r>
          </w:p>
          <w:p w14:paraId="685CAFB8" w14:textId="77777777" w:rsidR="00F714D0" w:rsidRPr="00A509B7" w:rsidRDefault="00F714D0" w:rsidP="00A509B7">
            <w:pPr>
              <w:pStyle w:val="ListParagraph"/>
              <w:numPr>
                <w:ilvl w:val="0"/>
                <w:numId w:val="54"/>
              </w:numPr>
              <w:spacing w:after="120" w:line="240" w:lineRule="auto"/>
              <w:rPr>
                <w:b/>
                <w:bCs/>
                <w:iCs/>
                <w:sz w:val="20"/>
                <w:szCs w:val="20"/>
              </w:rPr>
            </w:pPr>
            <w:r w:rsidRPr="00A509B7">
              <w:rPr>
                <w:rFonts w:ascii="Arial" w:hAnsi="Arial" w:cs="Arial"/>
                <w:sz w:val="20"/>
                <w:szCs w:val="20"/>
              </w:rPr>
              <w:t>PTP Rx and HL WBB BS cannot be deployed within 2 km of each other.</w:t>
            </w:r>
          </w:p>
          <w:p w14:paraId="46CE1EA1" w14:textId="77777777" w:rsidR="00F714D0" w:rsidRPr="00D22103" w:rsidRDefault="00F714D0" w:rsidP="00212DC1">
            <w:pPr>
              <w:pStyle w:val="Heading2"/>
              <w:spacing w:before="0" w:after="80"/>
              <w:rPr>
                <w:iCs w:val="0"/>
                <w:sz w:val="20"/>
                <w:szCs w:val="20"/>
                <w:u w:val="single"/>
              </w:rPr>
            </w:pPr>
            <w:bookmarkStart w:id="116" w:name="_Toc178948562"/>
            <w:r>
              <w:rPr>
                <w:iCs w:val="0"/>
                <w:sz w:val="20"/>
                <w:szCs w:val="20"/>
                <w:u w:val="single"/>
              </w:rPr>
              <w:t>Conditions HL WBB BS into PTP Rx</w:t>
            </w:r>
            <w:bookmarkEnd w:id="116"/>
          </w:p>
          <w:p w14:paraId="6C79D8D5" w14:textId="77777777" w:rsidR="00F714D0" w:rsidRPr="00A509B7" w:rsidRDefault="00F714D0" w:rsidP="00A509B7">
            <w:pPr>
              <w:pStyle w:val="ListParagraph"/>
              <w:numPr>
                <w:ilvl w:val="0"/>
                <w:numId w:val="55"/>
              </w:numPr>
              <w:spacing w:after="0" w:line="240" w:lineRule="auto"/>
              <w:rPr>
                <w:b/>
                <w:bCs/>
                <w:iCs/>
                <w:sz w:val="20"/>
                <w:szCs w:val="20"/>
              </w:rPr>
            </w:pPr>
            <w:r w:rsidRPr="00A509B7">
              <w:rPr>
                <w:rFonts w:ascii="Arial" w:hAnsi="Arial" w:cs="Arial"/>
                <w:sz w:val="20"/>
                <w:szCs w:val="20"/>
              </w:rPr>
              <w:t xml:space="preserve">Cull distance: 65 km </w:t>
            </w:r>
          </w:p>
          <w:p w14:paraId="1980551F" w14:textId="77777777" w:rsidR="00F714D0" w:rsidRPr="00A509B7" w:rsidRDefault="00F714D0" w:rsidP="00A509B7">
            <w:pPr>
              <w:pStyle w:val="ListParagraph"/>
              <w:numPr>
                <w:ilvl w:val="0"/>
                <w:numId w:val="55"/>
              </w:numPr>
              <w:spacing w:after="0" w:line="240" w:lineRule="auto"/>
              <w:rPr>
                <w:b/>
                <w:bCs/>
                <w:iCs/>
                <w:sz w:val="20"/>
                <w:szCs w:val="20"/>
              </w:rPr>
            </w:pPr>
            <w:r w:rsidRPr="00A509B7">
              <w:rPr>
                <w:rFonts w:ascii="Arial" w:hAnsi="Arial" w:cs="Arial"/>
                <w:sz w:val="20"/>
                <w:szCs w:val="20"/>
              </w:rPr>
              <w:t>Cull frequency: 2nd adjacent channel (largest system BW).</w:t>
            </w:r>
          </w:p>
          <w:p w14:paraId="6B4E55E8" w14:textId="77777777" w:rsidR="00F714D0" w:rsidRPr="00A509B7" w:rsidRDefault="00F714D0" w:rsidP="00A509B7">
            <w:pPr>
              <w:pStyle w:val="ListParagraph"/>
              <w:numPr>
                <w:ilvl w:val="0"/>
                <w:numId w:val="55"/>
              </w:numPr>
              <w:spacing w:after="0" w:line="240" w:lineRule="auto"/>
              <w:rPr>
                <w:b/>
                <w:bCs/>
                <w:iCs/>
                <w:sz w:val="20"/>
                <w:szCs w:val="20"/>
              </w:rPr>
            </w:pPr>
            <w:r w:rsidRPr="00A509B7">
              <w:rPr>
                <w:rFonts w:ascii="Arial" w:hAnsi="Arial" w:cs="Arial"/>
                <w:sz w:val="20"/>
                <w:szCs w:val="20"/>
              </w:rPr>
              <w:t>Coordinate using notional site location on PMP</w:t>
            </w:r>
          </w:p>
          <w:p w14:paraId="3742A8B5" w14:textId="77777777" w:rsidR="00F714D0" w:rsidRPr="00A509B7" w:rsidRDefault="00F714D0" w:rsidP="00A509B7">
            <w:pPr>
              <w:pStyle w:val="ListParagraph"/>
              <w:numPr>
                <w:ilvl w:val="0"/>
                <w:numId w:val="55"/>
              </w:numPr>
              <w:spacing w:after="120" w:line="240" w:lineRule="auto"/>
              <w:rPr>
                <w:b/>
                <w:bCs/>
                <w:iCs/>
                <w:sz w:val="20"/>
                <w:szCs w:val="20"/>
              </w:rPr>
            </w:pPr>
            <w:r w:rsidRPr="00A509B7">
              <w:rPr>
                <w:rFonts w:ascii="Arial" w:hAnsi="Arial" w:cs="Arial"/>
                <w:sz w:val="20"/>
                <w:szCs w:val="20"/>
              </w:rPr>
              <w:t>PTP Rx protection criteria defined in RALI FX3.</w:t>
            </w:r>
          </w:p>
          <w:p w14:paraId="134EF250" w14:textId="77777777" w:rsidR="00F714D0" w:rsidRPr="00D22103" w:rsidRDefault="00F714D0" w:rsidP="00212DC1">
            <w:pPr>
              <w:pStyle w:val="Heading2"/>
              <w:spacing w:before="0" w:after="80"/>
              <w:rPr>
                <w:iCs w:val="0"/>
                <w:sz w:val="20"/>
                <w:szCs w:val="20"/>
                <w:u w:val="single"/>
              </w:rPr>
            </w:pPr>
            <w:bookmarkStart w:id="117" w:name="_Toc178948563"/>
            <w:r>
              <w:rPr>
                <w:iCs w:val="0"/>
                <w:sz w:val="20"/>
                <w:szCs w:val="20"/>
                <w:u w:val="single"/>
              </w:rPr>
              <w:t>Conditions PTP Tx into HL WBB BS</w:t>
            </w:r>
            <w:bookmarkEnd w:id="117"/>
          </w:p>
          <w:p w14:paraId="56B29046" w14:textId="77777777" w:rsidR="00F714D0" w:rsidRPr="00A509B7" w:rsidRDefault="00F714D0" w:rsidP="00A509B7">
            <w:pPr>
              <w:pStyle w:val="ListParagraph"/>
              <w:numPr>
                <w:ilvl w:val="0"/>
                <w:numId w:val="56"/>
              </w:numPr>
              <w:spacing w:after="0" w:line="240" w:lineRule="auto"/>
              <w:rPr>
                <w:b/>
                <w:bCs/>
                <w:iCs/>
                <w:sz w:val="20"/>
                <w:szCs w:val="20"/>
              </w:rPr>
            </w:pPr>
            <w:r w:rsidRPr="00A509B7">
              <w:rPr>
                <w:rFonts w:ascii="Arial" w:hAnsi="Arial" w:cs="Arial"/>
                <w:sz w:val="20"/>
                <w:szCs w:val="20"/>
              </w:rPr>
              <w:t xml:space="preserve">Cull distance: 60 km </w:t>
            </w:r>
          </w:p>
          <w:p w14:paraId="1B55A386" w14:textId="77777777" w:rsidR="00F714D0" w:rsidRPr="00A509B7" w:rsidRDefault="00F714D0" w:rsidP="00A509B7">
            <w:pPr>
              <w:pStyle w:val="ListParagraph"/>
              <w:numPr>
                <w:ilvl w:val="0"/>
                <w:numId w:val="56"/>
              </w:numPr>
              <w:spacing w:after="0" w:line="240" w:lineRule="auto"/>
              <w:rPr>
                <w:b/>
                <w:bCs/>
                <w:iCs/>
                <w:sz w:val="20"/>
                <w:szCs w:val="20"/>
              </w:rPr>
            </w:pPr>
            <w:r w:rsidRPr="00A509B7">
              <w:rPr>
                <w:rFonts w:ascii="Arial" w:hAnsi="Arial" w:cs="Arial"/>
                <w:sz w:val="20"/>
                <w:szCs w:val="20"/>
              </w:rPr>
              <w:t>Cull frequency: 1st adjacent channel (largest system BW).</w:t>
            </w:r>
          </w:p>
          <w:p w14:paraId="3F6F1A34" w14:textId="77777777" w:rsidR="00F714D0" w:rsidRPr="00A509B7" w:rsidRDefault="00F714D0" w:rsidP="00A509B7">
            <w:pPr>
              <w:pStyle w:val="ListParagraph"/>
              <w:numPr>
                <w:ilvl w:val="0"/>
                <w:numId w:val="56"/>
              </w:numPr>
              <w:spacing w:after="0" w:line="240" w:lineRule="auto"/>
              <w:rPr>
                <w:b/>
                <w:bCs/>
                <w:iCs/>
                <w:sz w:val="20"/>
                <w:szCs w:val="20"/>
              </w:rPr>
            </w:pPr>
            <w:r w:rsidRPr="00A509B7">
              <w:rPr>
                <w:rFonts w:ascii="Arial" w:hAnsi="Arial" w:cs="Arial"/>
                <w:sz w:val="20"/>
                <w:szCs w:val="20"/>
              </w:rPr>
              <w:t>Coordinate using notional site location on PMP.</w:t>
            </w:r>
          </w:p>
          <w:p w14:paraId="244D2485" w14:textId="77777777" w:rsidR="00F714D0" w:rsidRPr="00511209" w:rsidRDefault="00F714D0" w:rsidP="00A509B7">
            <w:pPr>
              <w:pStyle w:val="ListParagraph"/>
              <w:numPr>
                <w:ilvl w:val="0"/>
                <w:numId w:val="56"/>
              </w:numPr>
              <w:spacing w:after="120" w:line="240" w:lineRule="auto"/>
              <w:rPr>
                <w:sz w:val="20"/>
                <w:szCs w:val="20"/>
              </w:rPr>
            </w:pPr>
            <w:r w:rsidRPr="00A509B7">
              <w:rPr>
                <w:rFonts w:ascii="Arial" w:hAnsi="Arial" w:cs="Arial"/>
                <w:sz w:val="20"/>
                <w:szCs w:val="20"/>
              </w:rPr>
              <w:t>Protection criteria defined in Tables 6 and 7.</w:t>
            </w:r>
          </w:p>
        </w:tc>
      </w:tr>
      <w:tr w:rsidR="00751BED" w:rsidRPr="009317CD" w14:paraId="5C7C02D4" w14:textId="77777777" w:rsidTr="00A509B7">
        <w:tc>
          <w:tcPr>
            <w:tcW w:w="1980" w:type="dxa"/>
            <w:shd w:val="clear" w:color="auto" w:fill="F2F2F2" w:themeFill="background1" w:themeFillShade="F2"/>
          </w:tcPr>
          <w:p w14:paraId="1F449095" w14:textId="77777777" w:rsidR="00751BED" w:rsidRDefault="00751BED" w:rsidP="00751BED">
            <w:pPr>
              <w:spacing w:after="0" w:line="240" w:lineRule="auto"/>
              <w:rPr>
                <w:rFonts w:cs="Arial"/>
                <w:szCs w:val="20"/>
              </w:rPr>
            </w:pPr>
            <w:r>
              <w:rPr>
                <w:rFonts w:cs="Arial"/>
                <w:szCs w:val="20"/>
              </w:rPr>
              <w:t>Coordination with Amateurs</w:t>
            </w:r>
          </w:p>
        </w:tc>
        <w:tc>
          <w:tcPr>
            <w:tcW w:w="6095" w:type="dxa"/>
            <w:shd w:val="clear" w:color="auto" w:fill="F2F2F2" w:themeFill="background1" w:themeFillShade="F2"/>
          </w:tcPr>
          <w:p w14:paraId="140E9E1B" w14:textId="77777777" w:rsidR="00751BED" w:rsidRPr="00A509B7" w:rsidRDefault="00751BED" w:rsidP="00751BED">
            <w:pPr>
              <w:pStyle w:val="ListParagraph"/>
              <w:numPr>
                <w:ilvl w:val="0"/>
                <w:numId w:val="57"/>
              </w:numPr>
              <w:spacing w:after="0" w:line="240" w:lineRule="auto"/>
              <w:rPr>
                <w:b/>
                <w:bCs/>
                <w:iCs/>
                <w:sz w:val="20"/>
                <w:szCs w:val="20"/>
              </w:rPr>
            </w:pPr>
            <w:r w:rsidRPr="00A509B7">
              <w:rPr>
                <w:rFonts w:ascii="Arial" w:hAnsi="Arial" w:cs="Arial"/>
                <w:sz w:val="20"/>
                <w:szCs w:val="20"/>
              </w:rPr>
              <w:t xml:space="preserve">Only applies to HL WBB in 3400-3475 MHz </w:t>
            </w:r>
            <w:r w:rsidRPr="00185350">
              <w:rPr>
                <w:rFonts w:ascii="Arial" w:hAnsi="Arial" w:cs="Arial"/>
                <w:sz w:val="20"/>
                <w:szCs w:val="20"/>
              </w:rPr>
              <w:t>frequency range</w:t>
            </w:r>
            <w:r w:rsidRPr="00A509B7">
              <w:rPr>
                <w:rFonts w:ascii="Arial" w:hAnsi="Arial" w:cs="Arial"/>
                <w:sz w:val="20"/>
                <w:szCs w:val="20"/>
              </w:rPr>
              <w:t>.</w:t>
            </w:r>
          </w:p>
          <w:p w14:paraId="0FD4237D" w14:textId="77777777" w:rsidR="00751BED" w:rsidRPr="009A6A62" w:rsidRDefault="00751BED" w:rsidP="00751BED">
            <w:pPr>
              <w:pStyle w:val="ListParagraph"/>
              <w:numPr>
                <w:ilvl w:val="0"/>
                <w:numId w:val="57"/>
              </w:numPr>
              <w:spacing w:after="0" w:line="240" w:lineRule="auto"/>
              <w:rPr>
                <w:b/>
                <w:bCs/>
                <w:iCs/>
                <w:sz w:val="20"/>
                <w:szCs w:val="20"/>
              </w:rPr>
            </w:pPr>
            <w:r w:rsidRPr="00A509B7">
              <w:rPr>
                <w:rFonts w:ascii="Arial" w:hAnsi="Arial" w:cs="Arial"/>
                <w:sz w:val="20"/>
                <w:szCs w:val="20"/>
              </w:rPr>
              <w:t>Amateur services operate on a no interference and no protection basis.</w:t>
            </w:r>
          </w:p>
          <w:p w14:paraId="5862364B" w14:textId="66A89F09" w:rsidR="00751BED" w:rsidRPr="009A6A62" w:rsidRDefault="00751BED" w:rsidP="00751BED">
            <w:pPr>
              <w:spacing w:before="120" w:after="0" w:line="240" w:lineRule="auto"/>
              <w:rPr>
                <w:b/>
                <w:bCs/>
                <w:iCs/>
                <w:szCs w:val="20"/>
                <w:u w:val="single"/>
              </w:rPr>
            </w:pPr>
            <w:r w:rsidRPr="009A6A62">
              <w:rPr>
                <w:b/>
                <w:bCs/>
                <w:iCs/>
                <w:szCs w:val="20"/>
                <w:u w:val="single"/>
              </w:rPr>
              <w:t xml:space="preserve">Coordination </w:t>
            </w:r>
            <w:r w:rsidR="00567E1C">
              <w:rPr>
                <w:b/>
                <w:bCs/>
                <w:iCs/>
                <w:szCs w:val="20"/>
                <w:u w:val="single"/>
              </w:rPr>
              <w:t>in</w:t>
            </w:r>
            <w:r w:rsidRPr="009A6A62">
              <w:rPr>
                <w:b/>
                <w:bCs/>
                <w:iCs/>
                <w:szCs w:val="20"/>
                <w:u w:val="single"/>
              </w:rPr>
              <w:t>to Amateur Rx</w:t>
            </w:r>
          </w:p>
          <w:p w14:paraId="4AC9CAD0" w14:textId="77777777" w:rsidR="00751BED" w:rsidRPr="00A509B7" w:rsidRDefault="00751BED" w:rsidP="00751BED">
            <w:pPr>
              <w:pStyle w:val="ListParagraph"/>
              <w:numPr>
                <w:ilvl w:val="0"/>
                <w:numId w:val="77"/>
              </w:numPr>
              <w:spacing w:after="0" w:line="240" w:lineRule="auto"/>
              <w:rPr>
                <w:b/>
                <w:bCs/>
                <w:iCs/>
                <w:sz w:val="20"/>
                <w:szCs w:val="20"/>
              </w:rPr>
            </w:pPr>
            <w:r>
              <w:rPr>
                <w:rFonts w:ascii="Arial" w:hAnsi="Arial" w:cs="Arial"/>
                <w:sz w:val="20"/>
                <w:szCs w:val="20"/>
              </w:rPr>
              <w:t xml:space="preserve">Performed </w:t>
            </w:r>
            <w:r w:rsidRPr="00A509B7">
              <w:rPr>
                <w:rFonts w:ascii="Arial" w:hAnsi="Arial" w:cs="Arial"/>
                <w:sz w:val="20"/>
                <w:szCs w:val="20"/>
              </w:rPr>
              <w:t xml:space="preserve">using </w:t>
            </w:r>
            <w:r>
              <w:rPr>
                <w:rFonts w:ascii="Arial" w:hAnsi="Arial" w:cs="Arial"/>
                <w:sz w:val="20"/>
                <w:szCs w:val="20"/>
              </w:rPr>
              <w:t xml:space="preserve">the </w:t>
            </w:r>
            <w:r w:rsidRPr="00A509B7">
              <w:rPr>
                <w:rFonts w:ascii="Arial" w:hAnsi="Arial" w:cs="Arial"/>
                <w:sz w:val="20"/>
                <w:szCs w:val="20"/>
              </w:rPr>
              <w:t xml:space="preserve">same </w:t>
            </w:r>
            <w:r w:rsidRPr="00AF55C6">
              <w:rPr>
                <w:rFonts w:ascii="Arial" w:hAnsi="Arial" w:cs="Arial"/>
                <w:sz w:val="20"/>
                <w:szCs w:val="20"/>
              </w:rPr>
              <w:t>notional receiver performance levels and compatibility requirement set out in Schedules 1 and 2 to the</w:t>
            </w:r>
            <w:r>
              <w:rPr>
                <w:rFonts w:ascii="Arial" w:hAnsi="Arial" w:cs="Arial"/>
                <w:sz w:val="20"/>
                <w:szCs w:val="20"/>
              </w:rPr>
              <w:t xml:space="preserve"> RAG Rx</w:t>
            </w:r>
            <w:r w:rsidRPr="00A509B7">
              <w:rPr>
                <w:rFonts w:ascii="Arial" w:hAnsi="Arial" w:cs="Arial"/>
                <w:sz w:val="20"/>
                <w:szCs w:val="20"/>
              </w:rPr>
              <w:t>.</w:t>
            </w:r>
          </w:p>
          <w:p w14:paraId="3A767929" w14:textId="77777777" w:rsidR="00751BED" w:rsidRPr="00A509B7" w:rsidRDefault="00751BED" w:rsidP="00751BED">
            <w:pPr>
              <w:pStyle w:val="ListParagraph"/>
              <w:numPr>
                <w:ilvl w:val="0"/>
                <w:numId w:val="77"/>
              </w:numPr>
              <w:spacing w:after="0" w:line="240" w:lineRule="auto"/>
              <w:rPr>
                <w:b/>
                <w:bCs/>
                <w:iCs/>
                <w:sz w:val="20"/>
                <w:szCs w:val="20"/>
              </w:rPr>
            </w:pPr>
            <w:r w:rsidRPr="00A509B7">
              <w:rPr>
                <w:rFonts w:ascii="Arial" w:hAnsi="Arial" w:cs="Arial"/>
                <w:sz w:val="20"/>
                <w:szCs w:val="20"/>
              </w:rPr>
              <w:t>If coordination suggest interference may occur, notify licensee.</w:t>
            </w:r>
          </w:p>
          <w:p w14:paraId="6E12ED70" w14:textId="77777777" w:rsidR="00751BED" w:rsidRPr="009A6A62" w:rsidRDefault="00751BED" w:rsidP="00751BED">
            <w:pPr>
              <w:pStyle w:val="ListParagraph"/>
              <w:numPr>
                <w:ilvl w:val="0"/>
                <w:numId w:val="77"/>
              </w:numPr>
              <w:spacing w:after="120" w:line="240" w:lineRule="auto"/>
              <w:rPr>
                <w:sz w:val="20"/>
                <w:szCs w:val="20"/>
              </w:rPr>
            </w:pPr>
            <w:r w:rsidRPr="00A509B7">
              <w:rPr>
                <w:rFonts w:ascii="Arial" w:hAnsi="Arial" w:cs="Arial"/>
                <w:sz w:val="20"/>
                <w:szCs w:val="20"/>
              </w:rPr>
              <w:t>Reasonable efforts to enable coexistence. HL WBB has priority if not possible.</w:t>
            </w:r>
          </w:p>
          <w:p w14:paraId="672BCFD4" w14:textId="32BC666A" w:rsidR="00751BED" w:rsidRPr="009A6A62" w:rsidRDefault="00751BED" w:rsidP="00751BED">
            <w:pPr>
              <w:spacing w:before="120" w:after="0" w:line="240" w:lineRule="auto"/>
              <w:rPr>
                <w:b/>
                <w:bCs/>
                <w:iCs/>
                <w:szCs w:val="20"/>
                <w:u w:val="single"/>
              </w:rPr>
            </w:pPr>
            <w:r w:rsidRPr="009A6A62">
              <w:rPr>
                <w:b/>
                <w:bCs/>
                <w:iCs/>
                <w:szCs w:val="20"/>
                <w:u w:val="single"/>
              </w:rPr>
              <w:t xml:space="preserve">Coordination </w:t>
            </w:r>
            <w:r w:rsidR="00567E1C">
              <w:rPr>
                <w:b/>
                <w:bCs/>
                <w:iCs/>
                <w:szCs w:val="20"/>
                <w:u w:val="single"/>
              </w:rPr>
              <w:t>in</w:t>
            </w:r>
            <w:r w:rsidRPr="009A6A62">
              <w:rPr>
                <w:b/>
                <w:bCs/>
                <w:iCs/>
                <w:szCs w:val="20"/>
                <w:u w:val="single"/>
              </w:rPr>
              <w:t xml:space="preserve">to </w:t>
            </w:r>
            <w:r>
              <w:rPr>
                <w:b/>
                <w:bCs/>
                <w:iCs/>
                <w:szCs w:val="20"/>
                <w:u w:val="single"/>
              </w:rPr>
              <w:t>HL WBB</w:t>
            </w:r>
            <w:r w:rsidRPr="009A6A62">
              <w:rPr>
                <w:b/>
                <w:bCs/>
                <w:iCs/>
                <w:szCs w:val="20"/>
                <w:u w:val="single"/>
              </w:rPr>
              <w:t xml:space="preserve"> Rx</w:t>
            </w:r>
          </w:p>
          <w:p w14:paraId="620B0998" w14:textId="26A191CD" w:rsidR="00751BED" w:rsidRPr="006A13F6" w:rsidRDefault="00751BED" w:rsidP="0031747D">
            <w:pPr>
              <w:pStyle w:val="ListParagraph"/>
              <w:numPr>
                <w:ilvl w:val="0"/>
                <w:numId w:val="80"/>
              </w:numPr>
              <w:spacing w:after="120" w:line="240" w:lineRule="auto"/>
              <w:rPr>
                <w:sz w:val="20"/>
                <w:szCs w:val="20"/>
              </w:rPr>
            </w:pPr>
            <w:r>
              <w:rPr>
                <w:rFonts w:ascii="Arial" w:hAnsi="Arial" w:cs="Arial"/>
                <w:sz w:val="20"/>
                <w:szCs w:val="20"/>
              </w:rPr>
              <w:t xml:space="preserve">Performed </w:t>
            </w:r>
            <w:r w:rsidRPr="00A509B7">
              <w:rPr>
                <w:rFonts w:ascii="Arial" w:hAnsi="Arial" w:cs="Arial"/>
                <w:sz w:val="20"/>
                <w:szCs w:val="20"/>
              </w:rPr>
              <w:t xml:space="preserve">using </w:t>
            </w:r>
            <w:r>
              <w:rPr>
                <w:rFonts w:ascii="Arial" w:hAnsi="Arial" w:cs="Arial"/>
                <w:sz w:val="20"/>
                <w:szCs w:val="20"/>
              </w:rPr>
              <w:t>the criteria defined in Tables 6 and 7</w:t>
            </w:r>
            <w:r w:rsidRPr="00A509B7">
              <w:rPr>
                <w:rFonts w:ascii="Arial" w:hAnsi="Arial" w:cs="Arial"/>
                <w:sz w:val="20"/>
                <w:szCs w:val="20"/>
              </w:rPr>
              <w:t>.</w:t>
            </w:r>
          </w:p>
        </w:tc>
      </w:tr>
      <w:tr w:rsidR="00751BED" w:rsidRPr="009317CD" w14:paraId="77C3EB05" w14:textId="77777777" w:rsidTr="00A509B7">
        <w:tc>
          <w:tcPr>
            <w:tcW w:w="1980" w:type="dxa"/>
            <w:shd w:val="clear" w:color="auto" w:fill="FFFFFF" w:themeFill="background1"/>
          </w:tcPr>
          <w:p w14:paraId="1C856D76" w14:textId="77777777" w:rsidR="00751BED" w:rsidRDefault="00751BED" w:rsidP="00751BED">
            <w:pPr>
              <w:spacing w:after="0" w:line="240" w:lineRule="auto"/>
              <w:rPr>
                <w:rFonts w:cs="Arial"/>
                <w:szCs w:val="20"/>
              </w:rPr>
            </w:pPr>
            <w:r>
              <w:rPr>
                <w:rFonts w:cs="Arial"/>
                <w:szCs w:val="20"/>
              </w:rPr>
              <w:t>ESPZs</w:t>
            </w:r>
          </w:p>
        </w:tc>
        <w:tc>
          <w:tcPr>
            <w:tcW w:w="6095" w:type="dxa"/>
            <w:shd w:val="clear" w:color="auto" w:fill="FFFFFF" w:themeFill="background1"/>
          </w:tcPr>
          <w:p w14:paraId="45C517AA" w14:textId="43B34347" w:rsidR="00751BED" w:rsidRPr="00A509B7" w:rsidRDefault="00751BED" w:rsidP="00751BED">
            <w:pPr>
              <w:pStyle w:val="ListParagraph"/>
              <w:numPr>
                <w:ilvl w:val="0"/>
                <w:numId w:val="58"/>
              </w:numPr>
              <w:spacing w:after="0" w:line="240" w:lineRule="auto"/>
              <w:rPr>
                <w:b/>
                <w:bCs/>
                <w:iCs/>
                <w:sz w:val="20"/>
                <w:szCs w:val="20"/>
              </w:rPr>
            </w:pPr>
            <w:r w:rsidRPr="00A509B7">
              <w:rPr>
                <w:rFonts w:ascii="Arial" w:hAnsi="Arial" w:cs="Arial"/>
                <w:sz w:val="20"/>
                <w:szCs w:val="20"/>
              </w:rPr>
              <w:t xml:space="preserve">Only applies to HL WBB in 3950-4000 MHz </w:t>
            </w:r>
            <w:r w:rsidRPr="00185350">
              <w:rPr>
                <w:rFonts w:ascii="Arial" w:hAnsi="Arial" w:cs="Arial"/>
                <w:sz w:val="20"/>
                <w:szCs w:val="20"/>
              </w:rPr>
              <w:t>frequency range</w:t>
            </w:r>
            <w:r w:rsidRPr="00A509B7">
              <w:rPr>
                <w:rFonts w:ascii="Arial" w:hAnsi="Arial" w:cs="Arial"/>
                <w:sz w:val="20"/>
                <w:szCs w:val="20"/>
              </w:rPr>
              <w:t>.</w:t>
            </w:r>
          </w:p>
          <w:p w14:paraId="3529BFC2" w14:textId="77777777" w:rsidR="00751BED" w:rsidRPr="00A509B7" w:rsidRDefault="00751BED" w:rsidP="00751BED">
            <w:pPr>
              <w:pStyle w:val="ListParagraph"/>
              <w:numPr>
                <w:ilvl w:val="0"/>
                <w:numId w:val="58"/>
              </w:numPr>
              <w:spacing w:after="0" w:line="240" w:lineRule="auto"/>
              <w:rPr>
                <w:b/>
                <w:bCs/>
                <w:iCs/>
                <w:sz w:val="20"/>
                <w:szCs w:val="20"/>
              </w:rPr>
            </w:pPr>
            <w:r w:rsidRPr="00A509B7">
              <w:rPr>
                <w:rFonts w:ascii="Arial" w:hAnsi="Arial" w:cs="Arial"/>
                <w:sz w:val="20"/>
                <w:szCs w:val="20"/>
              </w:rPr>
              <w:t>No HL WBB deployments within EPSZs.</w:t>
            </w:r>
          </w:p>
          <w:p w14:paraId="1DAE37A4" w14:textId="15AE5B8A" w:rsidR="00751BED" w:rsidRPr="00A509B7" w:rsidRDefault="00751BED" w:rsidP="00751BED">
            <w:pPr>
              <w:pStyle w:val="ListParagraph"/>
              <w:numPr>
                <w:ilvl w:val="0"/>
                <w:numId w:val="58"/>
              </w:numPr>
              <w:spacing w:after="0" w:line="240" w:lineRule="auto"/>
              <w:rPr>
                <w:b/>
                <w:bCs/>
                <w:iCs/>
                <w:sz w:val="20"/>
                <w:szCs w:val="20"/>
              </w:rPr>
            </w:pPr>
            <w:r w:rsidRPr="00A509B7">
              <w:rPr>
                <w:rFonts w:ascii="Arial" w:hAnsi="Arial" w:cs="Arial"/>
                <w:sz w:val="20"/>
                <w:szCs w:val="20"/>
              </w:rPr>
              <w:t xml:space="preserve">Cull distance: 50 km </w:t>
            </w:r>
            <w:r w:rsidR="00567E1C">
              <w:rPr>
                <w:rFonts w:ascii="Arial" w:hAnsi="Arial" w:cs="Arial"/>
                <w:sz w:val="20"/>
                <w:szCs w:val="20"/>
              </w:rPr>
              <w:t>from</w:t>
            </w:r>
            <w:r w:rsidR="00567E1C" w:rsidRPr="00A509B7">
              <w:rPr>
                <w:rFonts w:ascii="Arial" w:hAnsi="Arial" w:cs="Arial"/>
                <w:sz w:val="20"/>
                <w:szCs w:val="20"/>
              </w:rPr>
              <w:t xml:space="preserve"> </w:t>
            </w:r>
            <w:r w:rsidRPr="00A509B7">
              <w:rPr>
                <w:rFonts w:ascii="Arial" w:hAnsi="Arial" w:cs="Arial"/>
                <w:sz w:val="20"/>
                <w:szCs w:val="20"/>
              </w:rPr>
              <w:t>coordination point in RALI MS44.</w:t>
            </w:r>
          </w:p>
          <w:p w14:paraId="3F9950F7" w14:textId="77777777" w:rsidR="00751BED" w:rsidRPr="006A13F6" w:rsidRDefault="00751BED" w:rsidP="00751BED">
            <w:pPr>
              <w:pStyle w:val="ListParagraph"/>
              <w:numPr>
                <w:ilvl w:val="0"/>
                <w:numId w:val="58"/>
              </w:numPr>
              <w:spacing w:after="120" w:line="240" w:lineRule="auto"/>
              <w:rPr>
                <w:sz w:val="20"/>
                <w:szCs w:val="20"/>
              </w:rPr>
            </w:pPr>
            <w:r w:rsidRPr="00A509B7">
              <w:rPr>
                <w:rFonts w:ascii="Arial" w:hAnsi="Arial" w:cs="Arial"/>
                <w:sz w:val="20"/>
                <w:szCs w:val="20"/>
              </w:rPr>
              <w:t>Coordinate using criteria in RALI MS44.</w:t>
            </w:r>
          </w:p>
        </w:tc>
      </w:tr>
      <w:tr w:rsidR="00751BED" w:rsidRPr="009317CD" w14:paraId="75CE488E" w14:textId="77777777" w:rsidTr="00A509B7">
        <w:tc>
          <w:tcPr>
            <w:tcW w:w="1980" w:type="dxa"/>
            <w:shd w:val="clear" w:color="auto" w:fill="F2F2F2" w:themeFill="background1" w:themeFillShade="F2"/>
          </w:tcPr>
          <w:p w14:paraId="321C101C" w14:textId="77777777" w:rsidR="00751BED" w:rsidRDefault="00751BED" w:rsidP="00751BED">
            <w:pPr>
              <w:spacing w:after="0" w:line="240" w:lineRule="auto"/>
              <w:rPr>
                <w:rFonts w:cs="Arial"/>
                <w:szCs w:val="20"/>
              </w:rPr>
            </w:pPr>
            <w:r>
              <w:rPr>
                <w:rFonts w:cs="Arial"/>
                <w:szCs w:val="20"/>
              </w:rPr>
              <w:t>Coordination with FSS</w:t>
            </w:r>
          </w:p>
        </w:tc>
        <w:tc>
          <w:tcPr>
            <w:tcW w:w="6095" w:type="dxa"/>
            <w:shd w:val="clear" w:color="auto" w:fill="F2F2F2" w:themeFill="background1" w:themeFillShade="F2"/>
          </w:tcPr>
          <w:p w14:paraId="0BDCF4D0" w14:textId="396D40AE" w:rsidR="00751BED" w:rsidRPr="00EE4132" w:rsidRDefault="00751BED" w:rsidP="00751BED">
            <w:pPr>
              <w:pStyle w:val="ListParagraph"/>
              <w:numPr>
                <w:ilvl w:val="0"/>
                <w:numId w:val="59"/>
              </w:numPr>
              <w:spacing w:after="0" w:line="240" w:lineRule="auto"/>
              <w:rPr>
                <w:rFonts w:ascii="Arial" w:hAnsi="Arial" w:cs="Arial"/>
                <w:sz w:val="20"/>
                <w:szCs w:val="20"/>
              </w:rPr>
            </w:pPr>
            <w:r w:rsidRPr="00A509B7">
              <w:rPr>
                <w:rFonts w:ascii="Arial" w:hAnsi="Arial" w:cs="Arial"/>
                <w:sz w:val="20"/>
                <w:szCs w:val="20"/>
              </w:rPr>
              <w:t>Same measures that apply to AWLs</w:t>
            </w:r>
            <w:r w:rsidRPr="00EE4132">
              <w:rPr>
                <w:rFonts w:ascii="Arial" w:hAnsi="Arial" w:cs="Arial"/>
                <w:sz w:val="20"/>
                <w:szCs w:val="20"/>
              </w:rPr>
              <w:t>, except as follows:</w:t>
            </w:r>
          </w:p>
          <w:p w14:paraId="79158847" w14:textId="3A520403" w:rsidR="00751BED" w:rsidRPr="00EE4132" w:rsidRDefault="00751BED" w:rsidP="00751BED">
            <w:pPr>
              <w:pStyle w:val="ListParagraph"/>
              <w:numPr>
                <w:ilvl w:val="1"/>
                <w:numId w:val="59"/>
              </w:numPr>
              <w:spacing w:after="0" w:line="240" w:lineRule="auto"/>
              <w:ind w:left="745"/>
              <w:rPr>
                <w:sz w:val="20"/>
                <w:szCs w:val="20"/>
              </w:rPr>
            </w:pPr>
            <w:r>
              <w:rPr>
                <w:rFonts w:ascii="Arial" w:hAnsi="Arial" w:cs="Arial"/>
                <w:sz w:val="20"/>
                <w:szCs w:val="20"/>
              </w:rPr>
              <w:t>Cull distance for</w:t>
            </w:r>
            <w:r w:rsidRPr="00EE4132">
              <w:rPr>
                <w:rFonts w:ascii="Arial" w:hAnsi="Arial" w:cs="Arial"/>
                <w:sz w:val="20"/>
                <w:szCs w:val="20"/>
              </w:rPr>
              <w:t xml:space="preserve"> earth receive licence</w:t>
            </w:r>
            <w:r>
              <w:rPr>
                <w:rFonts w:ascii="Arial" w:hAnsi="Arial" w:cs="Arial"/>
                <w:sz w:val="20"/>
                <w:szCs w:val="20"/>
              </w:rPr>
              <w:t xml:space="preserve"> coordination</w:t>
            </w:r>
            <w:r w:rsidRPr="00EE4132">
              <w:rPr>
                <w:rFonts w:ascii="Arial" w:hAnsi="Arial" w:cs="Arial"/>
                <w:sz w:val="20"/>
                <w:szCs w:val="20"/>
              </w:rPr>
              <w:t xml:space="preserve">: </w:t>
            </w:r>
          </w:p>
          <w:p w14:paraId="44429FF5" w14:textId="2CE8611F" w:rsidR="00751BED" w:rsidRPr="00EE4132" w:rsidRDefault="00751BED" w:rsidP="00751BED">
            <w:pPr>
              <w:pStyle w:val="ListParagraph"/>
              <w:numPr>
                <w:ilvl w:val="2"/>
                <w:numId w:val="59"/>
              </w:numPr>
              <w:spacing w:after="0" w:line="240" w:lineRule="auto"/>
              <w:ind w:left="1171"/>
              <w:rPr>
                <w:sz w:val="20"/>
                <w:szCs w:val="20"/>
              </w:rPr>
            </w:pPr>
            <w:r w:rsidRPr="00EE4132">
              <w:rPr>
                <w:rFonts w:ascii="Arial" w:hAnsi="Arial" w:cs="Arial"/>
                <w:sz w:val="20"/>
                <w:szCs w:val="20"/>
              </w:rPr>
              <w:t>co-channel</w:t>
            </w:r>
            <w:r>
              <w:rPr>
                <w:rFonts w:ascii="Arial" w:hAnsi="Arial" w:cs="Arial"/>
                <w:sz w:val="20"/>
                <w:szCs w:val="20"/>
              </w:rPr>
              <w:t xml:space="preserve">: </w:t>
            </w:r>
            <w:r w:rsidRPr="00EE4132">
              <w:rPr>
                <w:rFonts w:ascii="Arial" w:hAnsi="Arial" w:cs="Arial"/>
                <w:sz w:val="20"/>
                <w:szCs w:val="20"/>
              </w:rPr>
              <w:t>60 km</w:t>
            </w:r>
          </w:p>
          <w:p w14:paraId="61C86D2E" w14:textId="56CDF0C1" w:rsidR="00751BED" w:rsidRPr="00837768" w:rsidRDefault="00751BED" w:rsidP="00EE4132">
            <w:pPr>
              <w:pStyle w:val="ListParagraph"/>
              <w:numPr>
                <w:ilvl w:val="2"/>
                <w:numId w:val="59"/>
              </w:numPr>
              <w:spacing w:after="0" w:line="240" w:lineRule="auto"/>
              <w:ind w:left="1171"/>
              <w:rPr>
                <w:rFonts w:ascii="Arial" w:hAnsi="Arial" w:cs="Arial"/>
                <w:sz w:val="20"/>
                <w:szCs w:val="20"/>
              </w:rPr>
            </w:pPr>
            <w:r w:rsidRPr="00EE4132">
              <w:rPr>
                <w:rFonts w:ascii="Arial" w:hAnsi="Arial" w:cs="Arial"/>
                <w:sz w:val="20"/>
                <w:szCs w:val="20"/>
              </w:rPr>
              <w:lastRenderedPageBreak/>
              <w:t xml:space="preserve">adjacent channel: </w:t>
            </w:r>
            <w:r>
              <w:rPr>
                <w:rFonts w:ascii="Arial" w:hAnsi="Arial" w:cs="Arial"/>
                <w:sz w:val="20"/>
                <w:szCs w:val="20"/>
              </w:rPr>
              <w:t>2 km for HL WBB in 3400-3475 MHz, 5</w:t>
            </w:r>
            <w:r w:rsidRPr="00EE4132">
              <w:rPr>
                <w:rFonts w:ascii="Arial" w:hAnsi="Arial" w:cs="Arial"/>
                <w:sz w:val="20"/>
                <w:szCs w:val="20"/>
              </w:rPr>
              <w:t xml:space="preserve"> km</w:t>
            </w:r>
            <w:r>
              <w:rPr>
                <w:rFonts w:ascii="Arial" w:hAnsi="Arial" w:cs="Arial"/>
                <w:sz w:val="20"/>
                <w:szCs w:val="20"/>
              </w:rPr>
              <w:t xml:space="preserve"> for HL WBB in 3950-4000 MHz.</w:t>
            </w:r>
            <w:r w:rsidRPr="00EE4132">
              <w:rPr>
                <w:rFonts w:ascii="Arial" w:hAnsi="Arial" w:cs="Arial"/>
                <w:sz w:val="20"/>
                <w:szCs w:val="20"/>
              </w:rPr>
              <w:t xml:space="preserve"> </w:t>
            </w:r>
          </w:p>
          <w:p w14:paraId="55F31716" w14:textId="156C1C00" w:rsidR="00751BED" w:rsidRPr="00EE4132" w:rsidRDefault="00751BED" w:rsidP="00751BED">
            <w:pPr>
              <w:pStyle w:val="ListParagraph"/>
              <w:numPr>
                <w:ilvl w:val="1"/>
                <w:numId w:val="59"/>
              </w:numPr>
              <w:spacing w:after="0" w:line="240" w:lineRule="auto"/>
              <w:ind w:left="745"/>
              <w:rPr>
                <w:sz w:val="20"/>
                <w:szCs w:val="20"/>
              </w:rPr>
            </w:pPr>
            <w:r>
              <w:rPr>
                <w:rFonts w:ascii="Arial" w:hAnsi="Arial" w:cs="Arial"/>
                <w:sz w:val="20"/>
                <w:szCs w:val="20"/>
              </w:rPr>
              <w:t xml:space="preserve">Minimum separation distance HL WBB (in both bands) with earth receive licences and AWL Rx registrations: </w:t>
            </w:r>
          </w:p>
          <w:p w14:paraId="0B715ECD" w14:textId="64A7D5BF" w:rsidR="00751BED" w:rsidRPr="008B1348" w:rsidRDefault="00751BED" w:rsidP="00751BED">
            <w:pPr>
              <w:pStyle w:val="ListParagraph"/>
              <w:numPr>
                <w:ilvl w:val="2"/>
                <w:numId w:val="59"/>
              </w:numPr>
              <w:spacing w:after="0" w:line="240" w:lineRule="auto"/>
              <w:ind w:left="1171"/>
              <w:rPr>
                <w:sz w:val="20"/>
                <w:szCs w:val="20"/>
              </w:rPr>
            </w:pPr>
            <w:r>
              <w:rPr>
                <w:rFonts w:ascii="Arial" w:hAnsi="Arial" w:cs="Arial"/>
                <w:sz w:val="20"/>
                <w:szCs w:val="20"/>
              </w:rPr>
              <w:t xml:space="preserve">Channel edge separation </w:t>
            </w:r>
            <w:r w:rsidRPr="006C607A">
              <w:rPr>
                <w:rFonts w:ascii="Arial" w:eastAsia="Times New Roman" w:hAnsi="Arial"/>
                <w:sz w:val="20"/>
                <w:szCs w:val="24"/>
                <w:lang w:eastAsia="en-AU"/>
              </w:rPr>
              <w:t>≥</w:t>
            </w:r>
            <w:r>
              <w:rPr>
                <w:rFonts w:ascii="Arial" w:eastAsia="Times New Roman" w:hAnsi="Arial"/>
                <w:sz w:val="20"/>
                <w:szCs w:val="24"/>
                <w:lang w:eastAsia="en-AU"/>
              </w:rPr>
              <w:t xml:space="preserve"> 5 MHz</w:t>
            </w:r>
            <w:r>
              <w:rPr>
                <w:rFonts w:ascii="Arial" w:hAnsi="Arial" w:cs="Arial"/>
                <w:sz w:val="20"/>
                <w:szCs w:val="20"/>
              </w:rPr>
              <w:t xml:space="preserve">: 220 m </w:t>
            </w:r>
          </w:p>
          <w:p w14:paraId="79A2CE39" w14:textId="5932CE96" w:rsidR="00751BED" w:rsidRPr="00EE4132" w:rsidRDefault="00751BED" w:rsidP="00EE4132">
            <w:pPr>
              <w:pStyle w:val="ListParagraph"/>
              <w:numPr>
                <w:ilvl w:val="2"/>
                <w:numId w:val="59"/>
              </w:numPr>
              <w:spacing w:after="0" w:line="240" w:lineRule="auto"/>
              <w:ind w:left="1171"/>
              <w:rPr>
                <w:rFonts w:ascii="Arial" w:hAnsi="Arial" w:cs="Arial"/>
                <w:sz w:val="20"/>
                <w:szCs w:val="20"/>
              </w:rPr>
            </w:pPr>
            <w:r>
              <w:rPr>
                <w:rFonts w:ascii="Arial" w:hAnsi="Arial" w:cs="Arial"/>
                <w:sz w:val="20"/>
                <w:szCs w:val="20"/>
              </w:rPr>
              <w:t>Channel edge separation &lt;</w:t>
            </w:r>
            <w:r>
              <w:rPr>
                <w:rFonts w:ascii="Arial" w:eastAsia="Times New Roman" w:hAnsi="Arial"/>
                <w:sz w:val="20"/>
                <w:szCs w:val="24"/>
                <w:lang w:eastAsia="en-AU"/>
              </w:rPr>
              <w:t xml:space="preserve"> 5 MHz: 350 m </w:t>
            </w:r>
            <w:r w:rsidRPr="008B1348">
              <w:rPr>
                <w:rFonts w:ascii="Arial" w:hAnsi="Arial" w:cs="Arial"/>
                <w:sz w:val="20"/>
                <w:szCs w:val="20"/>
              </w:rPr>
              <w:t xml:space="preserve"> </w:t>
            </w:r>
          </w:p>
        </w:tc>
      </w:tr>
      <w:tr w:rsidR="00751BED" w:rsidRPr="009317CD" w14:paraId="57A409E7" w14:textId="77777777" w:rsidTr="00A509B7">
        <w:tc>
          <w:tcPr>
            <w:tcW w:w="1980" w:type="dxa"/>
            <w:shd w:val="clear" w:color="auto" w:fill="FFFFFF" w:themeFill="background1"/>
          </w:tcPr>
          <w:p w14:paraId="05C26680" w14:textId="77777777" w:rsidR="00751BED" w:rsidRDefault="00751BED" w:rsidP="00751BED">
            <w:pPr>
              <w:spacing w:after="0" w:line="240" w:lineRule="auto"/>
              <w:rPr>
                <w:rFonts w:cs="Arial"/>
                <w:szCs w:val="20"/>
              </w:rPr>
            </w:pPr>
            <w:r>
              <w:rPr>
                <w:rFonts w:cs="Arial"/>
                <w:szCs w:val="20"/>
              </w:rPr>
              <w:lastRenderedPageBreak/>
              <w:t>Radiolocation services</w:t>
            </w:r>
          </w:p>
        </w:tc>
        <w:tc>
          <w:tcPr>
            <w:tcW w:w="6095" w:type="dxa"/>
            <w:shd w:val="clear" w:color="auto" w:fill="FFFFFF" w:themeFill="background1"/>
          </w:tcPr>
          <w:p w14:paraId="0DE2FA2B" w14:textId="48CE386E" w:rsidR="00751BED" w:rsidRPr="00A509B7" w:rsidRDefault="00751BED" w:rsidP="00751BED">
            <w:pPr>
              <w:pStyle w:val="ListParagraph"/>
              <w:numPr>
                <w:ilvl w:val="0"/>
                <w:numId w:val="60"/>
              </w:numPr>
              <w:spacing w:after="0" w:line="240" w:lineRule="auto"/>
              <w:rPr>
                <w:b/>
                <w:bCs/>
                <w:iCs/>
                <w:sz w:val="20"/>
                <w:szCs w:val="20"/>
              </w:rPr>
            </w:pPr>
            <w:r w:rsidRPr="00A509B7">
              <w:rPr>
                <w:rFonts w:ascii="Arial" w:hAnsi="Arial" w:cs="Arial"/>
                <w:iCs/>
                <w:sz w:val="20"/>
                <w:szCs w:val="20"/>
              </w:rPr>
              <w:t>Same measures that apply to AWLs.</w:t>
            </w:r>
          </w:p>
        </w:tc>
      </w:tr>
      <w:tr w:rsidR="00751BED" w:rsidRPr="009317CD" w14:paraId="31DFACAB" w14:textId="77777777" w:rsidTr="00A509B7">
        <w:tc>
          <w:tcPr>
            <w:tcW w:w="1980" w:type="dxa"/>
            <w:shd w:val="clear" w:color="auto" w:fill="F2F2F2" w:themeFill="background1" w:themeFillShade="F2"/>
          </w:tcPr>
          <w:p w14:paraId="4B1CCB4B" w14:textId="3A4CE248" w:rsidR="00751BED" w:rsidRDefault="00751BED" w:rsidP="00751BED">
            <w:pPr>
              <w:spacing w:after="0" w:line="240" w:lineRule="auto"/>
              <w:rPr>
                <w:rFonts w:cs="Arial"/>
                <w:szCs w:val="20"/>
              </w:rPr>
            </w:pPr>
            <w:r>
              <w:rPr>
                <w:rFonts w:cs="Arial"/>
                <w:szCs w:val="20"/>
              </w:rPr>
              <w:t xml:space="preserve">Coordination with 3400-4000 MHz </w:t>
            </w:r>
            <w:r>
              <w:t>frequency range</w:t>
            </w:r>
            <w:r>
              <w:rPr>
                <w:rFonts w:cs="Arial"/>
                <w:szCs w:val="20"/>
              </w:rPr>
              <w:t xml:space="preserve"> AWLs</w:t>
            </w:r>
          </w:p>
        </w:tc>
        <w:tc>
          <w:tcPr>
            <w:tcW w:w="6095" w:type="dxa"/>
            <w:shd w:val="clear" w:color="auto" w:fill="F2F2F2" w:themeFill="background1" w:themeFillShade="F2"/>
          </w:tcPr>
          <w:p w14:paraId="2AAFD710" w14:textId="21D14654" w:rsidR="00751BED" w:rsidRPr="00A509B7" w:rsidRDefault="00751BED" w:rsidP="00751BED">
            <w:pPr>
              <w:pStyle w:val="ListParagraph"/>
              <w:numPr>
                <w:ilvl w:val="0"/>
                <w:numId w:val="61"/>
              </w:numPr>
              <w:spacing w:after="0" w:line="240" w:lineRule="auto"/>
              <w:rPr>
                <w:b/>
                <w:bCs/>
                <w:iCs/>
                <w:sz w:val="20"/>
                <w:szCs w:val="20"/>
              </w:rPr>
            </w:pPr>
            <w:r w:rsidRPr="00A509B7">
              <w:rPr>
                <w:rFonts w:ascii="Arial" w:hAnsi="Arial" w:cs="Arial"/>
                <w:sz w:val="20"/>
                <w:szCs w:val="20"/>
              </w:rPr>
              <w:t xml:space="preserve">Only applies to HL WBB in the 3950-4000 MHz </w:t>
            </w:r>
            <w:r w:rsidRPr="00185350">
              <w:rPr>
                <w:rFonts w:ascii="Arial" w:hAnsi="Arial" w:cs="Arial"/>
                <w:sz w:val="20"/>
                <w:szCs w:val="20"/>
              </w:rPr>
              <w:t>frequency range</w:t>
            </w:r>
            <w:r w:rsidRPr="00A509B7">
              <w:rPr>
                <w:rFonts w:ascii="Arial" w:hAnsi="Arial" w:cs="Arial"/>
                <w:sz w:val="20"/>
                <w:szCs w:val="20"/>
              </w:rPr>
              <w:t>.</w:t>
            </w:r>
          </w:p>
          <w:p w14:paraId="36DA39FC" w14:textId="5AC2CC10" w:rsidR="00751BED" w:rsidRPr="00A509B7" w:rsidRDefault="00751BED" w:rsidP="00751BED">
            <w:pPr>
              <w:pStyle w:val="ListParagraph"/>
              <w:numPr>
                <w:ilvl w:val="0"/>
                <w:numId w:val="61"/>
              </w:numPr>
              <w:spacing w:after="0" w:line="240" w:lineRule="auto"/>
              <w:rPr>
                <w:b/>
                <w:bCs/>
                <w:iCs/>
                <w:sz w:val="20"/>
                <w:szCs w:val="20"/>
              </w:rPr>
            </w:pPr>
            <w:r w:rsidRPr="00A509B7">
              <w:rPr>
                <w:rFonts w:ascii="Arial" w:hAnsi="Arial" w:cs="Arial"/>
                <w:sz w:val="20"/>
                <w:szCs w:val="20"/>
              </w:rPr>
              <w:t xml:space="preserve">The </w:t>
            </w:r>
            <w:r>
              <w:rPr>
                <w:rFonts w:ascii="Arial" w:hAnsi="Arial" w:cs="Arial"/>
                <w:sz w:val="20"/>
                <w:szCs w:val="20"/>
              </w:rPr>
              <w:t xml:space="preserve">same </w:t>
            </w:r>
            <w:r w:rsidRPr="00A509B7">
              <w:rPr>
                <w:rFonts w:ascii="Arial" w:hAnsi="Arial" w:cs="Arial"/>
                <w:sz w:val="20"/>
                <w:szCs w:val="20"/>
              </w:rPr>
              <w:t xml:space="preserve">fallback synchronisation requirement that applies to AWLs in the 3400-4000 MHz </w:t>
            </w:r>
            <w:r w:rsidRPr="00185350">
              <w:rPr>
                <w:rFonts w:ascii="Arial" w:hAnsi="Arial" w:cs="Arial"/>
                <w:sz w:val="20"/>
                <w:szCs w:val="20"/>
              </w:rPr>
              <w:t>frequency range</w:t>
            </w:r>
            <w:r w:rsidRPr="00A509B7">
              <w:rPr>
                <w:rFonts w:ascii="Arial" w:hAnsi="Arial" w:cs="Arial"/>
                <w:sz w:val="20"/>
                <w:szCs w:val="20"/>
              </w:rPr>
              <w:t xml:space="preserve"> applies. Refer to </w:t>
            </w:r>
            <w:r w:rsidRPr="008B1348">
              <w:rPr>
                <w:rFonts w:ascii="Arial" w:hAnsi="Arial" w:cs="Arial"/>
                <w:i/>
                <w:iCs/>
                <w:sz w:val="20"/>
                <w:szCs w:val="20"/>
              </w:rPr>
              <w:t>Radiocommunications Licence Conditions (Area-Wide Licence) Determination 2020</w:t>
            </w:r>
            <w:r>
              <w:rPr>
                <w:rFonts w:ascii="Arial" w:hAnsi="Arial" w:cs="Arial"/>
                <w:sz w:val="20"/>
                <w:szCs w:val="20"/>
              </w:rPr>
              <w:t xml:space="preserve"> for details</w:t>
            </w:r>
            <w:r w:rsidRPr="00A509B7">
              <w:rPr>
                <w:rFonts w:ascii="Arial" w:hAnsi="Arial" w:cs="Arial"/>
                <w:sz w:val="20"/>
                <w:szCs w:val="20"/>
              </w:rPr>
              <w:t>.</w:t>
            </w:r>
          </w:p>
          <w:p w14:paraId="6CEF42B9" w14:textId="77777777" w:rsidR="00751BED" w:rsidRPr="00602564" w:rsidRDefault="00751BED" w:rsidP="00751BED">
            <w:pPr>
              <w:pStyle w:val="ListParagraph"/>
              <w:numPr>
                <w:ilvl w:val="0"/>
                <w:numId w:val="61"/>
              </w:numPr>
              <w:spacing w:after="0" w:line="240" w:lineRule="auto"/>
              <w:rPr>
                <w:sz w:val="20"/>
                <w:szCs w:val="20"/>
              </w:rPr>
            </w:pPr>
            <w:r w:rsidRPr="00A509B7">
              <w:rPr>
                <w:rFonts w:ascii="Arial" w:hAnsi="Arial" w:cs="Arial"/>
                <w:sz w:val="20"/>
                <w:szCs w:val="20"/>
              </w:rPr>
              <w:t>HL WBB afforded co-channel protection provided by AWL device boundary criteria. This assumes systems are synchronised.</w:t>
            </w:r>
            <w:r>
              <w:rPr>
                <w:b/>
                <w:bCs/>
                <w:iCs/>
                <w:sz w:val="20"/>
                <w:szCs w:val="20"/>
              </w:rPr>
              <w:t xml:space="preserve"> </w:t>
            </w:r>
          </w:p>
        </w:tc>
      </w:tr>
      <w:tr w:rsidR="00751BED" w:rsidRPr="009317CD" w14:paraId="24B2FC4B" w14:textId="77777777" w:rsidTr="00A509B7">
        <w:tc>
          <w:tcPr>
            <w:tcW w:w="1980" w:type="dxa"/>
            <w:shd w:val="clear" w:color="auto" w:fill="FFFFFF" w:themeFill="background1"/>
          </w:tcPr>
          <w:p w14:paraId="6CEFE087" w14:textId="77777777" w:rsidR="00751BED" w:rsidRDefault="00751BED" w:rsidP="00751BED">
            <w:pPr>
              <w:spacing w:after="0" w:line="240" w:lineRule="auto"/>
              <w:rPr>
                <w:rFonts w:cs="Arial"/>
                <w:szCs w:val="20"/>
              </w:rPr>
            </w:pPr>
            <w:r>
              <w:rPr>
                <w:rFonts w:cs="Arial"/>
                <w:szCs w:val="20"/>
              </w:rPr>
              <w:t>Coordination with high powered PMP operating outside the ASMG</w:t>
            </w:r>
          </w:p>
        </w:tc>
        <w:tc>
          <w:tcPr>
            <w:tcW w:w="6095" w:type="dxa"/>
            <w:shd w:val="clear" w:color="auto" w:fill="FFFFFF" w:themeFill="background1"/>
          </w:tcPr>
          <w:p w14:paraId="49859507" w14:textId="77777777" w:rsidR="00751BED" w:rsidRDefault="00751BED" w:rsidP="00751BED">
            <w:pPr>
              <w:pStyle w:val="Heading2"/>
              <w:numPr>
                <w:ilvl w:val="0"/>
                <w:numId w:val="46"/>
              </w:numPr>
              <w:spacing w:before="0" w:after="0"/>
              <w:ind w:left="360"/>
              <w:rPr>
                <w:b w:val="0"/>
                <w:bCs w:val="0"/>
                <w:iCs w:val="0"/>
                <w:sz w:val="20"/>
                <w:szCs w:val="20"/>
              </w:rPr>
            </w:pPr>
            <w:bookmarkStart w:id="118" w:name="_Toc150243910"/>
            <w:bookmarkStart w:id="119" w:name="_Toc162009204"/>
            <w:bookmarkStart w:id="120" w:name="_Toc178948564"/>
            <w:r>
              <w:rPr>
                <w:b w:val="0"/>
                <w:bCs w:val="0"/>
                <w:iCs w:val="0"/>
                <w:sz w:val="20"/>
                <w:szCs w:val="20"/>
              </w:rPr>
              <w:t>Same measures that apply to AWLs</w:t>
            </w:r>
            <w:bookmarkEnd w:id="118"/>
            <w:bookmarkEnd w:id="119"/>
            <w:bookmarkEnd w:id="120"/>
          </w:p>
        </w:tc>
      </w:tr>
      <w:tr w:rsidR="00751BED" w:rsidRPr="009317CD" w14:paraId="0D585B07" w14:textId="77777777" w:rsidTr="00A509B7">
        <w:tc>
          <w:tcPr>
            <w:tcW w:w="1980" w:type="dxa"/>
            <w:shd w:val="clear" w:color="auto" w:fill="F2F2F2" w:themeFill="background1" w:themeFillShade="F2"/>
          </w:tcPr>
          <w:p w14:paraId="01859F6B" w14:textId="77777777" w:rsidR="00751BED" w:rsidRDefault="00751BED" w:rsidP="00751BED">
            <w:pPr>
              <w:spacing w:after="0" w:line="240" w:lineRule="auto"/>
              <w:rPr>
                <w:rFonts w:cs="Arial"/>
                <w:szCs w:val="20"/>
              </w:rPr>
            </w:pPr>
            <w:r>
              <w:rPr>
                <w:rFonts w:cs="Arial"/>
                <w:szCs w:val="20"/>
              </w:rPr>
              <w:t>Coordination with 3.4 GHz band SLs</w:t>
            </w:r>
          </w:p>
        </w:tc>
        <w:tc>
          <w:tcPr>
            <w:tcW w:w="6095" w:type="dxa"/>
            <w:shd w:val="clear" w:color="auto" w:fill="F2F2F2" w:themeFill="background1" w:themeFillShade="F2"/>
          </w:tcPr>
          <w:p w14:paraId="7E417AFF" w14:textId="77777777" w:rsidR="00751BED" w:rsidRPr="00E71A1A" w:rsidRDefault="00751BED" w:rsidP="00751BED">
            <w:pPr>
              <w:pStyle w:val="Heading2"/>
              <w:spacing w:before="0" w:after="80"/>
              <w:rPr>
                <w:iCs w:val="0"/>
                <w:sz w:val="20"/>
                <w:szCs w:val="20"/>
                <w:u w:val="single"/>
              </w:rPr>
            </w:pPr>
            <w:bookmarkStart w:id="121" w:name="_Toc162009205"/>
            <w:bookmarkStart w:id="122" w:name="_Toc178948565"/>
            <w:r w:rsidRPr="00E71A1A">
              <w:rPr>
                <w:iCs w:val="0"/>
                <w:sz w:val="20"/>
                <w:szCs w:val="20"/>
                <w:u w:val="single"/>
              </w:rPr>
              <w:t>General conditions</w:t>
            </w:r>
            <w:bookmarkEnd w:id="121"/>
            <w:bookmarkEnd w:id="122"/>
          </w:p>
          <w:p w14:paraId="31189282" w14:textId="67D4CDA6" w:rsidR="00751BED" w:rsidRDefault="00751BED" w:rsidP="00751BED">
            <w:pPr>
              <w:pStyle w:val="Heading2"/>
              <w:numPr>
                <w:ilvl w:val="0"/>
                <w:numId w:val="47"/>
              </w:numPr>
              <w:spacing w:before="0" w:after="120"/>
              <w:ind w:left="360"/>
              <w:rPr>
                <w:b w:val="0"/>
                <w:bCs w:val="0"/>
                <w:iCs w:val="0"/>
                <w:sz w:val="20"/>
                <w:szCs w:val="20"/>
              </w:rPr>
            </w:pPr>
            <w:bookmarkStart w:id="123" w:name="_Toc150243912"/>
            <w:bookmarkStart w:id="124" w:name="_Toc162009206"/>
            <w:bookmarkStart w:id="125" w:name="_Toc178948566"/>
            <w:r>
              <w:rPr>
                <w:b w:val="0"/>
                <w:bCs w:val="0"/>
                <w:iCs w:val="0"/>
                <w:sz w:val="20"/>
                <w:szCs w:val="20"/>
              </w:rPr>
              <w:t xml:space="preserve">Only applies to HL WBB in the 3400-3475 MHz </w:t>
            </w:r>
            <w:r w:rsidRPr="00185350">
              <w:rPr>
                <w:b w:val="0"/>
                <w:bCs w:val="0"/>
                <w:iCs w:val="0"/>
                <w:sz w:val="20"/>
                <w:szCs w:val="20"/>
              </w:rPr>
              <w:t>frequency range</w:t>
            </w:r>
            <w:r>
              <w:rPr>
                <w:b w:val="0"/>
                <w:bCs w:val="0"/>
                <w:iCs w:val="0"/>
                <w:sz w:val="20"/>
                <w:szCs w:val="20"/>
              </w:rPr>
              <w:t>.</w:t>
            </w:r>
            <w:bookmarkEnd w:id="123"/>
            <w:bookmarkEnd w:id="124"/>
            <w:bookmarkEnd w:id="125"/>
          </w:p>
          <w:p w14:paraId="16B6155B" w14:textId="53A281DF" w:rsidR="00751BED" w:rsidRPr="00EE4132" w:rsidRDefault="00751BED" w:rsidP="00751BED">
            <w:pPr>
              <w:pStyle w:val="Heading2"/>
              <w:numPr>
                <w:ilvl w:val="0"/>
                <w:numId w:val="47"/>
              </w:numPr>
              <w:spacing w:before="0" w:after="120"/>
              <w:ind w:left="360"/>
              <w:rPr>
                <w:b w:val="0"/>
                <w:bCs w:val="0"/>
                <w:iCs w:val="0"/>
                <w:sz w:val="20"/>
                <w:szCs w:val="20"/>
              </w:rPr>
            </w:pPr>
            <w:bookmarkStart w:id="126" w:name="_Toc162009207"/>
            <w:bookmarkStart w:id="127" w:name="_Toc178948567"/>
            <w:r w:rsidRPr="00EE4132">
              <w:rPr>
                <w:b w:val="0"/>
                <w:bCs w:val="0"/>
                <w:iCs w:val="0"/>
                <w:sz w:val="20"/>
                <w:szCs w:val="20"/>
              </w:rPr>
              <w:t>HL WBB limited to indoor BS only</w:t>
            </w:r>
            <w:r>
              <w:rPr>
                <w:b w:val="0"/>
                <w:bCs w:val="0"/>
                <w:iCs w:val="0"/>
                <w:sz w:val="20"/>
                <w:szCs w:val="20"/>
              </w:rPr>
              <w:t>.</w:t>
            </w:r>
            <w:bookmarkEnd w:id="126"/>
            <w:bookmarkEnd w:id="127"/>
          </w:p>
          <w:p w14:paraId="16B94CA3" w14:textId="77777777" w:rsidR="00751BED" w:rsidRPr="00D22103" w:rsidRDefault="00751BED" w:rsidP="00751BED">
            <w:pPr>
              <w:pStyle w:val="Heading2"/>
              <w:spacing w:before="0" w:after="80"/>
              <w:rPr>
                <w:iCs w:val="0"/>
                <w:sz w:val="20"/>
                <w:szCs w:val="20"/>
                <w:u w:val="single"/>
              </w:rPr>
            </w:pPr>
            <w:bookmarkStart w:id="128" w:name="_Toc162009208"/>
            <w:bookmarkStart w:id="129" w:name="_Toc178948568"/>
            <w:r>
              <w:rPr>
                <w:iCs w:val="0"/>
                <w:sz w:val="20"/>
                <w:szCs w:val="20"/>
                <w:u w:val="single"/>
              </w:rPr>
              <w:t>Conditions HL WBB into adjacent area SLs</w:t>
            </w:r>
            <w:bookmarkEnd w:id="128"/>
            <w:bookmarkEnd w:id="129"/>
          </w:p>
          <w:p w14:paraId="5DBDC0A9" w14:textId="4FD74DAF" w:rsidR="00751BED" w:rsidRPr="00602564" w:rsidRDefault="00751BED" w:rsidP="00751BED">
            <w:pPr>
              <w:pStyle w:val="Heading2"/>
              <w:numPr>
                <w:ilvl w:val="0"/>
                <w:numId w:val="48"/>
              </w:numPr>
              <w:spacing w:before="0" w:after="0"/>
              <w:ind w:left="357" w:hanging="357"/>
              <w:rPr>
                <w:b w:val="0"/>
                <w:bCs w:val="0"/>
                <w:iCs w:val="0"/>
                <w:sz w:val="20"/>
                <w:szCs w:val="20"/>
              </w:rPr>
            </w:pPr>
            <w:bookmarkStart w:id="130" w:name="_Toc150243914"/>
            <w:bookmarkStart w:id="131" w:name="_Toc162009209"/>
            <w:bookmarkStart w:id="132" w:name="_Toc178948569"/>
            <w:r>
              <w:rPr>
                <w:b w:val="0"/>
                <w:bCs w:val="0"/>
                <w:iCs w:val="0"/>
                <w:sz w:val="20"/>
                <w:szCs w:val="20"/>
              </w:rPr>
              <w:t xml:space="preserve">PFD limit as defined for HL WBB </w:t>
            </w:r>
            <w:proofErr w:type="spellStart"/>
            <w:r>
              <w:rPr>
                <w:b w:val="0"/>
                <w:bCs w:val="0"/>
                <w:iCs w:val="0"/>
                <w:sz w:val="20"/>
                <w:szCs w:val="20"/>
              </w:rPr>
              <w:t>tx</w:t>
            </w:r>
            <w:proofErr w:type="spellEnd"/>
            <w:r w:rsidRPr="00602564">
              <w:rPr>
                <w:b w:val="0"/>
                <w:bCs w:val="0"/>
                <w:iCs w:val="0"/>
                <w:sz w:val="20"/>
                <w:szCs w:val="20"/>
              </w:rPr>
              <w:t>.</w:t>
            </w:r>
            <w:bookmarkEnd w:id="130"/>
            <w:r w:rsidRPr="00602564">
              <w:rPr>
                <w:b w:val="0"/>
                <w:bCs w:val="0"/>
                <w:iCs w:val="0"/>
                <w:sz w:val="20"/>
                <w:szCs w:val="20"/>
              </w:rPr>
              <w:t xml:space="preserve"> </w:t>
            </w:r>
            <w:r w:rsidRPr="00BB5E61" w:rsidDel="00916749">
              <w:rPr>
                <w:b w:val="0"/>
                <w:bCs w:val="0"/>
                <w:iCs w:val="0"/>
                <w:sz w:val="20"/>
                <w:szCs w:val="20"/>
              </w:rPr>
              <w:t>[alternative options also under consideration]</w:t>
            </w:r>
            <w:bookmarkEnd w:id="131"/>
            <w:bookmarkEnd w:id="132"/>
          </w:p>
          <w:p w14:paraId="5394FD1E" w14:textId="5CFA69DD" w:rsidR="00751BED" w:rsidRDefault="00751BED" w:rsidP="00751BED">
            <w:pPr>
              <w:pStyle w:val="Heading2"/>
              <w:numPr>
                <w:ilvl w:val="0"/>
                <w:numId w:val="48"/>
              </w:numPr>
              <w:spacing w:before="0" w:after="0"/>
              <w:ind w:left="357" w:hanging="357"/>
              <w:rPr>
                <w:b w:val="0"/>
                <w:bCs w:val="0"/>
                <w:iCs w:val="0"/>
                <w:sz w:val="20"/>
                <w:szCs w:val="20"/>
              </w:rPr>
            </w:pPr>
            <w:bookmarkStart w:id="133" w:name="_Toc150243915"/>
            <w:bookmarkStart w:id="134" w:name="_Toc162009210"/>
            <w:bookmarkStart w:id="135" w:name="_Toc178948570"/>
            <w:r w:rsidRPr="003D09A8">
              <w:rPr>
                <w:b w:val="0"/>
                <w:bCs w:val="0"/>
                <w:iCs w:val="0"/>
                <w:sz w:val="20"/>
                <w:szCs w:val="20"/>
              </w:rPr>
              <w:t xml:space="preserve">The operation of transmitters </w:t>
            </w:r>
            <w:r w:rsidRPr="00212DC1">
              <w:rPr>
                <w:b w:val="0"/>
                <w:bCs w:val="0"/>
                <w:i/>
                <w:sz w:val="20"/>
                <w:szCs w:val="20"/>
                <w:u w:val="single"/>
              </w:rPr>
              <w:t>must be synchronised</w:t>
            </w:r>
            <w:r w:rsidRPr="003D09A8">
              <w:rPr>
                <w:b w:val="0"/>
                <w:bCs w:val="0"/>
                <w:iCs w:val="0"/>
                <w:sz w:val="20"/>
                <w:szCs w:val="20"/>
              </w:rPr>
              <w:t xml:space="preserve"> with the operation of services operating under adjacent area 3.4 GHz </w:t>
            </w:r>
            <w:r>
              <w:rPr>
                <w:b w:val="0"/>
                <w:bCs w:val="0"/>
                <w:iCs w:val="0"/>
                <w:sz w:val="20"/>
                <w:szCs w:val="20"/>
              </w:rPr>
              <w:t>SL</w:t>
            </w:r>
            <w:r>
              <w:rPr>
                <w:b w:val="0"/>
                <w:bCs w:val="0"/>
                <w:sz w:val="20"/>
                <w:szCs w:val="20"/>
              </w:rPr>
              <w:t>.</w:t>
            </w:r>
            <w:bookmarkEnd w:id="133"/>
            <w:r>
              <w:rPr>
                <w:b w:val="0"/>
                <w:bCs w:val="0"/>
                <w:sz w:val="20"/>
                <w:szCs w:val="20"/>
              </w:rPr>
              <w:t xml:space="preserve"> The obligation is on HL WBB licensees to align with adjacent area SL.</w:t>
            </w:r>
            <w:bookmarkEnd w:id="134"/>
            <w:bookmarkEnd w:id="135"/>
            <w:r>
              <w:rPr>
                <w:b w:val="0"/>
                <w:bCs w:val="0"/>
                <w:sz w:val="20"/>
                <w:szCs w:val="20"/>
              </w:rPr>
              <w:t xml:space="preserve"> </w:t>
            </w:r>
          </w:p>
          <w:p w14:paraId="15BF4D0E" w14:textId="77777777" w:rsidR="00751BED" w:rsidRDefault="00751BED" w:rsidP="00751BED">
            <w:pPr>
              <w:pStyle w:val="Heading2"/>
              <w:numPr>
                <w:ilvl w:val="0"/>
                <w:numId w:val="48"/>
              </w:numPr>
              <w:spacing w:before="0" w:after="0"/>
              <w:ind w:left="357" w:hanging="357"/>
              <w:rPr>
                <w:b w:val="0"/>
                <w:bCs w:val="0"/>
                <w:iCs w:val="0"/>
                <w:sz w:val="20"/>
                <w:szCs w:val="20"/>
              </w:rPr>
            </w:pPr>
            <w:bookmarkStart w:id="136" w:name="_Toc150243916"/>
            <w:bookmarkStart w:id="137" w:name="_Toc162009211"/>
            <w:bookmarkStart w:id="138" w:name="_Toc178948571"/>
            <w:r>
              <w:rPr>
                <w:b w:val="0"/>
                <w:bCs w:val="0"/>
                <w:iCs w:val="0"/>
                <w:sz w:val="20"/>
                <w:szCs w:val="20"/>
              </w:rPr>
              <w:t>HL WBB Rx operate on no protection basis to all existing and new CPEs operating under adjacent area 3.4 GHz band SLs.</w:t>
            </w:r>
            <w:bookmarkEnd w:id="136"/>
            <w:bookmarkEnd w:id="137"/>
            <w:bookmarkEnd w:id="138"/>
          </w:p>
          <w:p w14:paraId="66FBCDCD" w14:textId="77777777" w:rsidR="00751BED" w:rsidRPr="00E71A1A" w:rsidRDefault="00751BED" w:rsidP="00751BED">
            <w:pPr>
              <w:pStyle w:val="Heading2"/>
              <w:numPr>
                <w:ilvl w:val="0"/>
                <w:numId w:val="48"/>
              </w:numPr>
              <w:spacing w:before="0" w:after="120"/>
              <w:ind w:left="357" w:hanging="357"/>
              <w:rPr>
                <w:b w:val="0"/>
                <w:bCs w:val="0"/>
                <w:iCs w:val="0"/>
                <w:sz w:val="20"/>
                <w:szCs w:val="20"/>
              </w:rPr>
            </w:pPr>
            <w:bookmarkStart w:id="139" w:name="_Toc150243917"/>
            <w:bookmarkStart w:id="140" w:name="_Toc162009212"/>
            <w:bookmarkStart w:id="141" w:name="_Toc178948572"/>
            <w:r>
              <w:rPr>
                <w:b w:val="0"/>
                <w:bCs w:val="0"/>
                <w:iCs w:val="0"/>
                <w:sz w:val="20"/>
                <w:szCs w:val="20"/>
              </w:rPr>
              <w:t>HL WBB Rx operate on no protection basis to all existing and new BS under adjacent area 3.4 GHz band SLs</w:t>
            </w:r>
            <w:r w:rsidRPr="00602564">
              <w:rPr>
                <w:b w:val="0"/>
                <w:bCs w:val="0"/>
                <w:iCs w:val="0"/>
                <w:sz w:val="20"/>
                <w:szCs w:val="20"/>
              </w:rPr>
              <w:t>.</w:t>
            </w:r>
            <w:bookmarkEnd w:id="139"/>
            <w:bookmarkEnd w:id="140"/>
            <w:bookmarkEnd w:id="141"/>
            <w:r w:rsidRPr="00602564">
              <w:rPr>
                <w:b w:val="0"/>
                <w:bCs w:val="0"/>
                <w:iCs w:val="0"/>
                <w:sz w:val="20"/>
                <w:szCs w:val="20"/>
              </w:rPr>
              <w:t xml:space="preserve"> </w:t>
            </w:r>
          </w:p>
          <w:p w14:paraId="651328C2" w14:textId="77777777" w:rsidR="00751BED" w:rsidRPr="00D22103" w:rsidRDefault="00751BED" w:rsidP="00751BED">
            <w:pPr>
              <w:pStyle w:val="Heading2"/>
              <w:spacing w:before="0" w:after="80"/>
              <w:rPr>
                <w:iCs w:val="0"/>
                <w:sz w:val="20"/>
                <w:szCs w:val="20"/>
                <w:u w:val="single"/>
              </w:rPr>
            </w:pPr>
            <w:bookmarkStart w:id="142" w:name="_Toc150243918"/>
            <w:bookmarkStart w:id="143" w:name="_Toc162009213"/>
            <w:bookmarkStart w:id="144" w:name="_Toc178948573"/>
            <w:r>
              <w:rPr>
                <w:iCs w:val="0"/>
                <w:sz w:val="20"/>
                <w:szCs w:val="20"/>
                <w:u w:val="single"/>
              </w:rPr>
              <w:t>Conditions HL WBB into adjacent frequency SLs</w:t>
            </w:r>
            <w:bookmarkEnd w:id="142"/>
            <w:bookmarkEnd w:id="143"/>
            <w:bookmarkEnd w:id="144"/>
          </w:p>
          <w:p w14:paraId="2B0F7AE9" w14:textId="77777777" w:rsidR="00751BED" w:rsidRDefault="00751BED" w:rsidP="00751BED">
            <w:pPr>
              <w:pStyle w:val="Heading2"/>
              <w:numPr>
                <w:ilvl w:val="0"/>
                <w:numId w:val="49"/>
              </w:numPr>
              <w:spacing w:before="0" w:after="0"/>
              <w:ind w:left="360"/>
              <w:rPr>
                <w:b w:val="0"/>
                <w:bCs w:val="0"/>
                <w:iCs w:val="0"/>
                <w:sz w:val="20"/>
                <w:szCs w:val="20"/>
              </w:rPr>
            </w:pPr>
            <w:bookmarkStart w:id="145" w:name="_Toc150243919"/>
            <w:bookmarkStart w:id="146" w:name="_Toc162009214"/>
            <w:bookmarkStart w:id="147" w:name="_Toc178948574"/>
            <w:r>
              <w:rPr>
                <w:b w:val="0"/>
                <w:bCs w:val="0"/>
                <w:iCs w:val="0"/>
                <w:sz w:val="20"/>
                <w:szCs w:val="20"/>
              </w:rPr>
              <w:t xml:space="preserve">Restricted use band at 3470-3475 MHz. </w:t>
            </w:r>
            <w:r w:rsidRPr="003D09A8">
              <w:rPr>
                <w:b w:val="0"/>
                <w:bCs w:val="0"/>
                <w:iCs w:val="0"/>
                <w:sz w:val="20"/>
                <w:szCs w:val="20"/>
              </w:rPr>
              <w:t>Operation within</w:t>
            </w:r>
            <w:r>
              <w:rPr>
                <w:b w:val="0"/>
                <w:bCs w:val="0"/>
                <w:iCs w:val="0"/>
                <w:sz w:val="20"/>
                <w:szCs w:val="20"/>
              </w:rPr>
              <w:t xml:space="preserve"> restricted use</w:t>
            </w:r>
            <w:r w:rsidRPr="003D09A8">
              <w:rPr>
                <w:b w:val="0"/>
                <w:bCs w:val="0"/>
                <w:iCs w:val="0"/>
                <w:sz w:val="20"/>
                <w:szCs w:val="20"/>
              </w:rPr>
              <w:t xml:space="preserve"> band is possible via agreement with the adjacent band </w:t>
            </w:r>
            <w:r>
              <w:rPr>
                <w:b w:val="0"/>
                <w:bCs w:val="0"/>
                <w:iCs w:val="0"/>
                <w:sz w:val="20"/>
                <w:szCs w:val="20"/>
              </w:rPr>
              <w:t>3.4 GHz band SL.</w:t>
            </w:r>
            <w:bookmarkEnd w:id="145"/>
            <w:bookmarkEnd w:id="146"/>
            <w:bookmarkEnd w:id="147"/>
          </w:p>
          <w:p w14:paraId="0BEB0DB8" w14:textId="77777777" w:rsidR="00751BED" w:rsidRDefault="00751BED" w:rsidP="00751BED">
            <w:pPr>
              <w:pStyle w:val="Heading2"/>
              <w:numPr>
                <w:ilvl w:val="0"/>
                <w:numId w:val="49"/>
              </w:numPr>
              <w:spacing w:before="0" w:after="0"/>
              <w:ind w:left="360"/>
              <w:rPr>
                <w:b w:val="0"/>
                <w:bCs w:val="0"/>
                <w:iCs w:val="0"/>
                <w:sz w:val="20"/>
                <w:szCs w:val="20"/>
              </w:rPr>
            </w:pPr>
            <w:bookmarkStart w:id="148" w:name="_Toc150243920"/>
            <w:bookmarkStart w:id="149" w:name="_Toc162009215"/>
            <w:bookmarkStart w:id="150" w:name="_Toc178948575"/>
            <w:r>
              <w:rPr>
                <w:b w:val="0"/>
                <w:bCs w:val="0"/>
                <w:iCs w:val="0"/>
                <w:sz w:val="20"/>
                <w:szCs w:val="20"/>
              </w:rPr>
              <w:t xml:space="preserve">Unwanted emission limits defined for HL WBB </w:t>
            </w:r>
            <w:proofErr w:type="spellStart"/>
            <w:r>
              <w:rPr>
                <w:b w:val="0"/>
                <w:bCs w:val="0"/>
                <w:iCs w:val="0"/>
                <w:sz w:val="20"/>
                <w:szCs w:val="20"/>
              </w:rPr>
              <w:t>tx</w:t>
            </w:r>
            <w:proofErr w:type="spellEnd"/>
            <w:r>
              <w:rPr>
                <w:b w:val="0"/>
                <w:bCs w:val="0"/>
                <w:iCs w:val="0"/>
                <w:sz w:val="20"/>
                <w:szCs w:val="20"/>
              </w:rPr>
              <w:t>.</w:t>
            </w:r>
            <w:bookmarkEnd w:id="148"/>
            <w:bookmarkEnd w:id="149"/>
            <w:bookmarkEnd w:id="150"/>
          </w:p>
          <w:p w14:paraId="537A13D9" w14:textId="77777777" w:rsidR="00751BED" w:rsidRPr="00E71A1A" w:rsidRDefault="00751BED" w:rsidP="00751BED">
            <w:pPr>
              <w:pStyle w:val="Heading2"/>
              <w:numPr>
                <w:ilvl w:val="0"/>
                <w:numId w:val="49"/>
              </w:numPr>
              <w:spacing w:before="0" w:after="120"/>
              <w:ind w:left="360"/>
              <w:rPr>
                <w:b w:val="0"/>
                <w:bCs w:val="0"/>
                <w:iCs w:val="0"/>
                <w:sz w:val="20"/>
                <w:szCs w:val="20"/>
              </w:rPr>
            </w:pPr>
            <w:bookmarkStart w:id="151" w:name="_Toc150243921"/>
            <w:bookmarkStart w:id="152" w:name="_Toc162009216"/>
            <w:bookmarkStart w:id="153" w:name="_Toc178948576"/>
            <w:r>
              <w:rPr>
                <w:b w:val="0"/>
                <w:bCs w:val="0"/>
                <w:iCs w:val="0"/>
                <w:sz w:val="20"/>
                <w:szCs w:val="20"/>
              </w:rPr>
              <w:t>HL WBB operate on a no interference and protection basis to adjacent band SLs.</w:t>
            </w:r>
            <w:bookmarkEnd w:id="151"/>
            <w:bookmarkEnd w:id="152"/>
            <w:bookmarkEnd w:id="153"/>
          </w:p>
        </w:tc>
      </w:tr>
      <w:tr w:rsidR="00751BED" w:rsidRPr="009317CD" w14:paraId="2BFF4193" w14:textId="77777777" w:rsidTr="00A509B7">
        <w:tc>
          <w:tcPr>
            <w:tcW w:w="1980" w:type="dxa"/>
            <w:shd w:val="clear" w:color="auto" w:fill="FFFFFF" w:themeFill="background1"/>
          </w:tcPr>
          <w:p w14:paraId="11A8E44D" w14:textId="77777777" w:rsidR="00751BED" w:rsidRPr="00E71A1A" w:rsidRDefault="00751BED" w:rsidP="00751BED">
            <w:pPr>
              <w:pStyle w:val="Heading2"/>
              <w:spacing w:before="0" w:after="0"/>
              <w:rPr>
                <w:b w:val="0"/>
                <w:bCs w:val="0"/>
                <w:iCs w:val="0"/>
                <w:sz w:val="20"/>
                <w:szCs w:val="20"/>
              </w:rPr>
            </w:pPr>
            <w:bookmarkStart w:id="154" w:name="_Toc150243922"/>
            <w:bookmarkStart w:id="155" w:name="_Toc162009217"/>
            <w:bookmarkStart w:id="156" w:name="_Toc178948577"/>
            <w:r w:rsidRPr="00E71A1A">
              <w:rPr>
                <w:b w:val="0"/>
                <w:bCs w:val="0"/>
                <w:iCs w:val="0"/>
                <w:sz w:val="20"/>
                <w:szCs w:val="20"/>
              </w:rPr>
              <w:lastRenderedPageBreak/>
              <w:t>Coexistence with radio altimeters</w:t>
            </w:r>
            <w:bookmarkEnd w:id="154"/>
            <w:bookmarkEnd w:id="155"/>
            <w:bookmarkEnd w:id="156"/>
          </w:p>
        </w:tc>
        <w:tc>
          <w:tcPr>
            <w:tcW w:w="6095" w:type="dxa"/>
            <w:shd w:val="clear" w:color="auto" w:fill="FFFFFF" w:themeFill="background1"/>
          </w:tcPr>
          <w:p w14:paraId="174B1FC3" w14:textId="176EB9E0" w:rsidR="00751BED" w:rsidRDefault="00751BED" w:rsidP="00751BED">
            <w:pPr>
              <w:pStyle w:val="Heading2"/>
              <w:numPr>
                <w:ilvl w:val="0"/>
                <w:numId w:val="63"/>
              </w:numPr>
              <w:spacing w:before="0" w:after="0"/>
              <w:ind w:left="360"/>
              <w:rPr>
                <w:b w:val="0"/>
                <w:bCs w:val="0"/>
                <w:iCs w:val="0"/>
                <w:sz w:val="20"/>
                <w:szCs w:val="20"/>
              </w:rPr>
            </w:pPr>
            <w:bookmarkStart w:id="157" w:name="_Toc150243923"/>
            <w:bookmarkStart w:id="158" w:name="_Toc162009218"/>
            <w:bookmarkStart w:id="159" w:name="_Toc178948578"/>
            <w:r>
              <w:rPr>
                <w:b w:val="0"/>
                <w:bCs w:val="0"/>
                <w:iCs w:val="0"/>
                <w:sz w:val="20"/>
                <w:szCs w:val="20"/>
              </w:rPr>
              <w:t xml:space="preserve">Only applies to HL WBB in the 3950-4000 MHz </w:t>
            </w:r>
            <w:r w:rsidRPr="00185350">
              <w:rPr>
                <w:b w:val="0"/>
                <w:bCs w:val="0"/>
                <w:iCs w:val="0"/>
                <w:sz w:val="20"/>
                <w:szCs w:val="20"/>
              </w:rPr>
              <w:t>frequency range</w:t>
            </w:r>
            <w:r>
              <w:rPr>
                <w:b w:val="0"/>
                <w:bCs w:val="0"/>
                <w:iCs w:val="0"/>
                <w:sz w:val="20"/>
                <w:szCs w:val="20"/>
              </w:rPr>
              <w:t>.</w:t>
            </w:r>
            <w:bookmarkEnd w:id="157"/>
            <w:bookmarkEnd w:id="158"/>
            <w:bookmarkEnd w:id="159"/>
          </w:p>
          <w:p w14:paraId="502A6DE1" w14:textId="5901D8BA" w:rsidR="0052650E" w:rsidRDefault="0052650E" w:rsidP="009764B2">
            <w:pPr>
              <w:pStyle w:val="Heading2"/>
              <w:numPr>
                <w:ilvl w:val="0"/>
                <w:numId w:val="63"/>
              </w:numPr>
              <w:spacing w:before="0" w:after="0"/>
              <w:ind w:left="360"/>
              <w:rPr>
                <w:b w:val="0"/>
                <w:bCs w:val="0"/>
                <w:iCs w:val="0"/>
                <w:sz w:val="20"/>
                <w:szCs w:val="20"/>
              </w:rPr>
            </w:pPr>
            <w:bookmarkStart w:id="160" w:name="_Toc178948579"/>
            <w:bookmarkStart w:id="161" w:name="_Toc162009219"/>
            <w:r>
              <w:rPr>
                <w:b w:val="0"/>
                <w:bCs w:val="0"/>
                <w:iCs w:val="0"/>
                <w:sz w:val="20"/>
                <w:szCs w:val="20"/>
              </w:rPr>
              <w:t>In-band</w:t>
            </w:r>
            <w:r w:rsidR="00DA6CAB">
              <w:rPr>
                <w:b w:val="0"/>
                <w:bCs w:val="0"/>
                <w:iCs w:val="0"/>
                <w:sz w:val="20"/>
                <w:szCs w:val="20"/>
              </w:rPr>
              <w:t xml:space="preserve"> PSD limit of 17 dBm/MHz EIRP</w:t>
            </w:r>
            <w:r w:rsidR="00471D35">
              <w:rPr>
                <w:b w:val="0"/>
                <w:bCs w:val="0"/>
                <w:iCs w:val="0"/>
                <w:sz w:val="20"/>
                <w:szCs w:val="20"/>
              </w:rPr>
              <w:t xml:space="preserve"> applies to all transmitters</w:t>
            </w:r>
            <w:r w:rsidR="008E7409">
              <w:rPr>
                <w:b w:val="0"/>
                <w:bCs w:val="0"/>
                <w:iCs w:val="0"/>
                <w:sz w:val="20"/>
                <w:szCs w:val="20"/>
              </w:rPr>
              <w:t>, unwanted emission limits as defined previously apply to all transmitters.</w:t>
            </w:r>
            <w:bookmarkEnd w:id="160"/>
            <w:r w:rsidR="00DA6CAB">
              <w:rPr>
                <w:b w:val="0"/>
                <w:bCs w:val="0"/>
                <w:iCs w:val="0"/>
                <w:sz w:val="20"/>
                <w:szCs w:val="20"/>
              </w:rPr>
              <w:t xml:space="preserve"> </w:t>
            </w:r>
          </w:p>
          <w:p w14:paraId="2EF6E68A" w14:textId="06BF0769" w:rsidR="00EF23C1" w:rsidRDefault="009764B2" w:rsidP="009764B2">
            <w:pPr>
              <w:pStyle w:val="Heading2"/>
              <w:numPr>
                <w:ilvl w:val="0"/>
                <w:numId w:val="63"/>
              </w:numPr>
              <w:spacing w:before="0" w:after="0"/>
              <w:ind w:left="360"/>
              <w:rPr>
                <w:b w:val="0"/>
                <w:bCs w:val="0"/>
                <w:iCs w:val="0"/>
                <w:sz w:val="20"/>
                <w:szCs w:val="20"/>
              </w:rPr>
            </w:pPr>
            <w:bookmarkStart w:id="162" w:name="_Toc178948580"/>
            <w:r>
              <w:rPr>
                <w:b w:val="0"/>
                <w:bCs w:val="0"/>
                <w:iCs w:val="0"/>
                <w:sz w:val="20"/>
                <w:szCs w:val="20"/>
              </w:rPr>
              <w:t xml:space="preserve">No </w:t>
            </w:r>
            <w:r w:rsidR="00EF23C1">
              <w:rPr>
                <w:b w:val="0"/>
                <w:bCs w:val="0"/>
                <w:iCs w:val="0"/>
                <w:sz w:val="20"/>
                <w:szCs w:val="20"/>
              </w:rPr>
              <w:t xml:space="preserve">additional </w:t>
            </w:r>
            <w:r>
              <w:rPr>
                <w:b w:val="0"/>
                <w:bCs w:val="0"/>
                <w:iCs w:val="0"/>
                <w:sz w:val="20"/>
                <w:szCs w:val="20"/>
              </w:rPr>
              <w:t xml:space="preserve">restrictions on </w:t>
            </w:r>
            <w:r w:rsidR="00EF23C1">
              <w:rPr>
                <w:b w:val="0"/>
                <w:bCs w:val="0"/>
                <w:iCs w:val="0"/>
                <w:sz w:val="20"/>
                <w:szCs w:val="20"/>
              </w:rPr>
              <w:t>UEs</w:t>
            </w:r>
            <w:bookmarkEnd w:id="162"/>
            <w:r w:rsidR="00EF23C1">
              <w:rPr>
                <w:b w:val="0"/>
                <w:bCs w:val="0"/>
                <w:iCs w:val="0"/>
                <w:sz w:val="20"/>
                <w:szCs w:val="20"/>
              </w:rPr>
              <w:t xml:space="preserve"> </w:t>
            </w:r>
          </w:p>
          <w:p w14:paraId="5B02BDAF" w14:textId="28E52EB7" w:rsidR="009764B2" w:rsidRPr="0031747D" w:rsidRDefault="00EF23C1" w:rsidP="009764B2">
            <w:pPr>
              <w:pStyle w:val="Heading2"/>
              <w:numPr>
                <w:ilvl w:val="0"/>
                <w:numId w:val="63"/>
              </w:numPr>
              <w:spacing w:before="0" w:after="0"/>
              <w:ind w:left="360"/>
              <w:rPr>
                <w:b w:val="0"/>
                <w:sz w:val="20"/>
                <w:szCs w:val="20"/>
              </w:rPr>
            </w:pPr>
            <w:bookmarkStart w:id="163" w:name="_Toc178948581"/>
            <w:r>
              <w:rPr>
                <w:b w:val="0"/>
                <w:bCs w:val="0"/>
                <w:iCs w:val="0"/>
                <w:sz w:val="20"/>
                <w:szCs w:val="20"/>
              </w:rPr>
              <w:t xml:space="preserve">No additional restrictions on </w:t>
            </w:r>
            <w:r w:rsidR="008F1858">
              <w:rPr>
                <w:b w:val="0"/>
                <w:bCs w:val="0"/>
                <w:iCs w:val="0"/>
                <w:sz w:val="20"/>
                <w:szCs w:val="20"/>
              </w:rPr>
              <w:t xml:space="preserve">BS that </w:t>
            </w:r>
            <w:r w:rsidR="00622801" w:rsidRPr="00622801">
              <w:rPr>
                <w:b w:val="0"/>
                <w:bCs w:val="0"/>
                <w:iCs w:val="0"/>
                <w:sz w:val="20"/>
                <w:szCs w:val="20"/>
              </w:rPr>
              <w:t>meet category B spurious emissions limits (as defined by 3GPP) across the entire 4200-4400 MHz band</w:t>
            </w:r>
            <w:r w:rsidR="009764B2">
              <w:rPr>
                <w:b w:val="0"/>
                <w:bCs w:val="0"/>
                <w:iCs w:val="0"/>
                <w:sz w:val="20"/>
                <w:szCs w:val="20"/>
              </w:rPr>
              <w:t>.</w:t>
            </w:r>
            <w:bookmarkEnd w:id="163"/>
          </w:p>
          <w:p w14:paraId="15FD2849" w14:textId="454692FB" w:rsidR="00751BED" w:rsidRPr="00635C5A" w:rsidRDefault="008E238F" w:rsidP="00751BED">
            <w:pPr>
              <w:pStyle w:val="Heading2"/>
              <w:numPr>
                <w:ilvl w:val="0"/>
                <w:numId w:val="63"/>
              </w:numPr>
              <w:spacing w:before="0" w:after="0"/>
              <w:ind w:left="360"/>
              <w:rPr>
                <w:b w:val="0"/>
                <w:bCs w:val="0"/>
                <w:iCs w:val="0"/>
                <w:sz w:val="20"/>
                <w:szCs w:val="20"/>
              </w:rPr>
            </w:pPr>
            <w:bookmarkStart w:id="164" w:name="_Toc178948582"/>
            <w:r w:rsidRPr="008E238F">
              <w:rPr>
                <w:b w:val="0"/>
                <w:bCs w:val="0"/>
                <w:iCs w:val="0"/>
                <w:sz w:val="20"/>
                <w:szCs w:val="20"/>
              </w:rPr>
              <w:t xml:space="preserve">BS that </w:t>
            </w:r>
            <w:proofErr w:type="gramStart"/>
            <w:r w:rsidRPr="008E238F">
              <w:rPr>
                <w:b w:val="0"/>
                <w:bCs w:val="0"/>
                <w:iCs w:val="0"/>
                <w:sz w:val="20"/>
                <w:szCs w:val="20"/>
              </w:rPr>
              <w:t>meet</w:t>
            </w:r>
            <w:proofErr w:type="gramEnd"/>
            <w:r w:rsidRPr="008E238F">
              <w:rPr>
                <w:b w:val="0"/>
                <w:bCs w:val="0"/>
                <w:iCs w:val="0"/>
                <w:sz w:val="20"/>
                <w:szCs w:val="20"/>
              </w:rPr>
              <w:t xml:space="preserve"> Local Area and Medium Range BS unwanted emissions within the 4200-4240 MHz band</w:t>
            </w:r>
            <w:bookmarkEnd w:id="161"/>
            <w:r w:rsidR="00751BED" w:rsidDel="008E238F">
              <w:rPr>
                <w:b w:val="0"/>
                <w:bCs w:val="0"/>
                <w:iCs w:val="0"/>
                <w:sz w:val="20"/>
                <w:szCs w:val="20"/>
              </w:rPr>
              <w:t xml:space="preserve"> </w:t>
            </w:r>
            <w:r>
              <w:rPr>
                <w:b w:val="0"/>
                <w:bCs w:val="0"/>
                <w:iCs w:val="0"/>
                <w:sz w:val="20"/>
                <w:szCs w:val="20"/>
              </w:rPr>
              <w:t xml:space="preserve">(as defined by 3GPP) must meet </w:t>
            </w:r>
            <w:r w:rsidR="00CC2296">
              <w:rPr>
                <w:b w:val="0"/>
                <w:bCs w:val="0"/>
                <w:iCs w:val="0"/>
                <w:sz w:val="20"/>
                <w:szCs w:val="20"/>
              </w:rPr>
              <w:t>define</w:t>
            </w:r>
            <w:r w:rsidR="00451C0D">
              <w:rPr>
                <w:b w:val="0"/>
                <w:bCs w:val="0"/>
                <w:iCs w:val="0"/>
                <w:sz w:val="20"/>
                <w:szCs w:val="20"/>
              </w:rPr>
              <w:t>d</w:t>
            </w:r>
            <w:r w:rsidR="00CC2296">
              <w:rPr>
                <w:b w:val="0"/>
                <w:bCs w:val="0"/>
                <w:iCs w:val="0"/>
                <w:sz w:val="20"/>
                <w:szCs w:val="20"/>
              </w:rPr>
              <w:t xml:space="preserve"> </w:t>
            </w:r>
            <w:r>
              <w:rPr>
                <w:b w:val="0"/>
                <w:bCs w:val="0"/>
                <w:iCs w:val="0"/>
                <w:sz w:val="20"/>
                <w:szCs w:val="20"/>
              </w:rPr>
              <w:t xml:space="preserve">EIRP </w:t>
            </w:r>
            <w:r w:rsidR="00CC2296">
              <w:rPr>
                <w:b w:val="0"/>
                <w:bCs w:val="0"/>
                <w:iCs w:val="0"/>
                <w:sz w:val="20"/>
                <w:szCs w:val="20"/>
              </w:rPr>
              <w:t>limits above the horizon within</w:t>
            </w:r>
            <w:r w:rsidR="00451C0D">
              <w:rPr>
                <w:b w:val="0"/>
                <w:bCs w:val="0"/>
                <w:iCs w:val="0"/>
                <w:sz w:val="20"/>
                <w:szCs w:val="20"/>
              </w:rPr>
              <w:t xml:space="preserve"> </w:t>
            </w:r>
            <w:r w:rsidR="00DC21A0">
              <w:rPr>
                <w:b w:val="0"/>
                <w:bCs w:val="0"/>
                <w:iCs w:val="0"/>
                <w:sz w:val="20"/>
                <w:szCs w:val="20"/>
              </w:rPr>
              <w:t xml:space="preserve">restricted zones at </w:t>
            </w:r>
            <w:r w:rsidR="00451C0D">
              <w:rPr>
                <w:b w:val="0"/>
                <w:bCs w:val="0"/>
                <w:iCs w:val="0"/>
                <w:sz w:val="20"/>
                <w:szCs w:val="20"/>
              </w:rPr>
              <w:t xml:space="preserve">defined </w:t>
            </w:r>
            <w:r w:rsidR="00DC21A0">
              <w:rPr>
                <w:b w:val="0"/>
                <w:bCs w:val="0"/>
                <w:iCs w:val="0"/>
                <w:sz w:val="20"/>
                <w:szCs w:val="20"/>
              </w:rPr>
              <w:t xml:space="preserve">airports. Refer to the </w:t>
            </w:r>
            <w:r w:rsidR="00DC21A0">
              <w:rPr>
                <w:b w:val="0"/>
                <w:bCs w:val="0"/>
                <w:i/>
                <w:sz w:val="20"/>
                <w:szCs w:val="20"/>
              </w:rPr>
              <w:t>Radio altimeters (4200-4400 MHz)</w:t>
            </w:r>
            <w:r w:rsidR="00DC21A0">
              <w:rPr>
                <w:b w:val="0"/>
                <w:bCs w:val="0"/>
                <w:iCs w:val="0"/>
                <w:sz w:val="20"/>
                <w:szCs w:val="20"/>
              </w:rPr>
              <w:t xml:space="preserve"> section for</w:t>
            </w:r>
            <w:r w:rsidR="00451C0D">
              <w:rPr>
                <w:b w:val="0"/>
                <w:bCs w:val="0"/>
                <w:iCs w:val="0"/>
                <w:sz w:val="20"/>
                <w:szCs w:val="20"/>
              </w:rPr>
              <w:t xml:space="preserve"> further detail</w:t>
            </w:r>
            <w:r w:rsidR="008464A2">
              <w:rPr>
                <w:b w:val="0"/>
                <w:bCs w:val="0"/>
                <w:iCs w:val="0"/>
                <w:sz w:val="20"/>
                <w:szCs w:val="20"/>
              </w:rPr>
              <w:t>s</w:t>
            </w:r>
            <w:r w:rsidR="00451C0D">
              <w:rPr>
                <w:b w:val="0"/>
                <w:bCs w:val="0"/>
                <w:iCs w:val="0"/>
                <w:sz w:val="20"/>
                <w:szCs w:val="20"/>
              </w:rPr>
              <w:t>.</w:t>
            </w:r>
            <w:bookmarkEnd w:id="164"/>
            <w:r w:rsidR="00451C0D">
              <w:rPr>
                <w:b w:val="0"/>
                <w:bCs w:val="0"/>
                <w:iCs w:val="0"/>
                <w:sz w:val="20"/>
                <w:szCs w:val="20"/>
              </w:rPr>
              <w:t xml:space="preserve"> </w:t>
            </w:r>
            <w:r w:rsidR="00751BED">
              <w:rPr>
                <w:b w:val="0"/>
                <w:bCs w:val="0"/>
                <w:iCs w:val="0"/>
                <w:sz w:val="20"/>
                <w:szCs w:val="20"/>
              </w:rPr>
              <w:t xml:space="preserve"> </w:t>
            </w:r>
          </w:p>
        </w:tc>
      </w:tr>
    </w:tbl>
    <w:p w14:paraId="611B39E2" w14:textId="77777777" w:rsidR="0066229A" w:rsidRDefault="0066229A" w:rsidP="00C87E8A">
      <w:pPr>
        <w:pStyle w:val="Paragraph"/>
      </w:pPr>
    </w:p>
    <w:p w14:paraId="06DB0C5B" w14:textId="42EC335E" w:rsidR="00240CE9" w:rsidRPr="00E162C4" w:rsidRDefault="00FF3C69" w:rsidP="00FF3C69">
      <w:pPr>
        <w:pStyle w:val="Heading1"/>
      </w:pPr>
      <w:bookmarkStart w:id="165" w:name="_Toc348105641"/>
      <w:bookmarkStart w:id="166" w:name="_Toc178948583"/>
      <w:r w:rsidRPr="00E162C4">
        <w:lastRenderedPageBreak/>
        <w:t>Appendix A</w:t>
      </w:r>
      <w:bookmarkEnd w:id="165"/>
      <w:r w:rsidR="00023A36" w:rsidRPr="00E162C4">
        <w:t xml:space="preserve">: </w:t>
      </w:r>
      <w:r w:rsidR="00BC5917">
        <w:t xml:space="preserve">Spectrum space identified for </w:t>
      </w:r>
      <w:r w:rsidR="00A01E9F">
        <w:t>HL</w:t>
      </w:r>
      <w:r w:rsidR="00BC5917">
        <w:t xml:space="preserve"> WBB use</w:t>
      </w:r>
      <w:bookmarkEnd w:id="166"/>
    </w:p>
    <w:p w14:paraId="6EE91917" w14:textId="33127E73" w:rsidR="00BC5917" w:rsidRDefault="00BC5917" w:rsidP="007549E4">
      <w:pPr>
        <w:spacing w:line="240" w:lineRule="auto"/>
        <w:rPr>
          <w:rFonts w:cs="Arial"/>
          <w:szCs w:val="20"/>
        </w:rPr>
      </w:pPr>
      <w:r w:rsidRPr="0034255C">
        <w:rPr>
          <w:rFonts w:cs="Arial"/>
          <w:szCs w:val="20"/>
        </w:rPr>
        <w:t xml:space="preserve">The geographical areas </w:t>
      </w:r>
      <w:r>
        <w:rPr>
          <w:rFonts w:cs="Arial"/>
          <w:szCs w:val="20"/>
        </w:rPr>
        <w:t xml:space="preserve">identified for </w:t>
      </w:r>
      <w:r w:rsidR="00A01E9F">
        <w:rPr>
          <w:rFonts w:cs="Arial"/>
          <w:szCs w:val="20"/>
        </w:rPr>
        <w:t>HL</w:t>
      </w:r>
      <w:r>
        <w:rPr>
          <w:rFonts w:cs="Arial"/>
          <w:szCs w:val="20"/>
        </w:rPr>
        <w:t xml:space="preserve"> WBB use </w:t>
      </w:r>
      <w:r w:rsidRPr="00A509B7">
        <w:rPr>
          <w:rFonts w:cs="Arial"/>
          <w:szCs w:val="20"/>
        </w:rPr>
        <w:t xml:space="preserve">in the 3400-3475 MHz and 3950-4000 MHz </w:t>
      </w:r>
      <w:r w:rsidR="00185350" w:rsidRPr="00185350">
        <w:rPr>
          <w:rFonts w:cs="Arial"/>
          <w:szCs w:val="20"/>
        </w:rPr>
        <w:t>frequency range</w:t>
      </w:r>
      <w:r w:rsidRPr="00A509B7">
        <w:rPr>
          <w:rFonts w:cs="Arial"/>
          <w:szCs w:val="20"/>
        </w:rPr>
        <w:t xml:space="preserve"> are detailed in Table </w:t>
      </w:r>
      <w:r w:rsidR="007A05EE" w:rsidRPr="00A509B7">
        <w:rPr>
          <w:rFonts w:cs="Arial"/>
          <w:szCs w:val="20"/>
        </w:rPr>
        <w:t>1</w:t>
      </w:r>
      <w:r w:rsidR="00BB5E61">
        <w:rPr>
          <w:rFonts w:cs="Arial"/>
          <w:szCs w:val="20"/>
        </w:rPr>
        <w:t>2</w:t>
      </w:r>
      <w:r w:rsidRPr="00A509B7">
        <w:rPr>
          <w:rFonts w:cs="Arial"/>
          <w:szCs w:val="20"/>
        </w:rPr>
        <w:t xml:space="preserve"> and illustrated in Figure</w:t>
      </w:r>
      <w:r w:rsidR="005D688F">
        <w:rPr>
          <w:rFonts w:cs="Arial"/>
          <w:szCs w:val="20"/>
        </w:rPr>
        <w:t>s</w:t>
      </w:r>
      <w:r w:rsidRPr="00A509B7">
        <w:rPr>
          <w:rFonts w:cs="Arial"/>
          <w:szCs w:val="20"/>
        </w:rPr>
        <w:t xml:space="preserve"> </w:t>
      </w:r>
      <w:r w:rsidR="005D688F">
        <w:rPr>
          <w:rFonts w:cs="Arial"/>
          <w:szCs w:val="20"/>
        </w:rPr>
        <w:t>4</w:t>
      </w:r>
      <w:r w:rsidR="00081850" w:rsidRPr="00A509B7">
        <w:rPr>
          <w:rFonts w:cs="Arial"/>
          <w:szCs w:val="20"/>
        </w:rPr>
        <w:t xml:space="preserve"> and </w:t>
      </w:r>
      <w:r w:rsidR="005D688F">
        <w:rPr>
          <w:rFonts w:cs="Arial"/>
          <w:szCs w:val="20"/>
        </w:rPr>
        <w:t>5</w:t>
      </w:r>
      <w:r w:rsidRPr="00A509B7">
        <w:rPr>
          <w:rFonts w:cs="Arial"/>
          <w:szCs w:val="20"/>
        </w:rPr>
        <w:t>.</w:t>
      </w:r>
    </w:p>
    <w:p w14:paraId="6F721F0F" w14:textId="371F315D" w:rsidR="00BC5917" w:rsidRPr="007549E4" w:rsidRDefault="007549E4" w:rsidP="007549E4">
      <w:pPr>
        <w:rPr>
          <w:rStyle w:val="Heading3Char"/>
          <w:b w:val="0"/>
          <w:bCs w:val="0"/>
          <w:color w:val="0000FF"/>
          <w:szCs w:val="20"/>
          <w:u w:val="single" w:color="0000FF"/>
        </w:rPr>
      </w:pPr>
      <w:r w:rsidRPr="00576242">
        <w:rPr>
          <w:rFonts w:cs="Arial"/>
          <w:szCs w:val="20"/>
        </w:rPr>
        <w:t xml:space="preserve">The Australian Spectrum Map Grid (ASMG) is used to define </w:t>
      </w:r>
      <w:r>
        <w:rPr>
          <w:rFonts w:cs="Arial"/>
          <w:szCs w:val="20"/>
        </w:rPr>
        <w:t xml:space="preserve">the </w:t>
      </w:r>
      <w:r w:rsidRPr="00576242">
        <w:rPr>
          <w:rFonts w:cs="Arial"/>
          <w:szCs w:val="20"/>
        </w:rPr>
        <w:t xml:space="preserve">geographical areas. The Hierarchical Cell Identification Scheme (HCIS) is a naming convention developed by the ACMA that applies unique ‘names’ to each of the cells that make up the ASMG. The ASMG and HCIS are described in detail in the document </w:t>
      </w:r>
      <w:hyperlink r:id="rId62" w:history="1">
        <w:r w:rsidRPr="00576242">
          <w:rPr>
            <w:rStyle w:val="Hyperlink"/>
            <w:rFonts w:cs="Arial"/>
            <w:i/>
            <w:szCs w:val="20"/>
          </w:rPr>
          <w:t>The Australian spectrum map grid 2012</w:t>
        </w:r>
      </w:hyperlink>
      <w:r w:rsidRPr="00576242">
        <w:rPr>
          <w:rFonts w:cs="Arial"/>
          <w:szCs w:val="20"/>
        </w:rPr>
        <w:t>.</w:t>
      </w:r>
      <w:r>
        <w:rPr>
          <w:rFonts w:cs="Arial"/>
          <w:szCs w:val="20"/>
        </w:rPr>
        <w:t xml:space="preserve"> </w:t>
      </w:r>
      <w:bookmarkStart w:id="167" w:name="_Hlk105062473"/>
      <w:r w:rsidRPr="00576242">
        <w:rPr>
          <w:rFonts w:cs="Arial"/>
          <w:szCs w:val="20"/>
        </w:rPr>
        <w:t xml:space="preserve">The HCIS coordinates </w:t>
      </w:r>
      <w:bookmarkEnd w:id="167"/>
      <w:r w:rsidRPr="00576242">
        <w:rPr>
          <w:rFonts w:cs="Arial"/>
          <w:szCs w:val="20"/>
        </w:rPr>
        <w:t xml:space="preserve">can be converted into a Placemark file (viewable in Google Earth) through a facility on the </w:t>
      </w:r>
      <w:hyperlink r:id="rId63" w:history="1">
        <w:r w:rsidRPr="00576242">
          <w:rPr>
            <w:rStyle w:val="Hyperlink"/>
            <w:rFonts w:cs="Arial"/>
            <w:i/>
            <w:iCs/>
            <w:szCs w:val="20"/>
          </w:rPr>
          <w:t>Convert HCIS area description to Placemark</w:t>
        </w:r>
      </w:hyperlink>
      <w:r w:rsidRPr="00576242">
        <w:rPr>
          <w:rFonts w:cs="Arial"/>
          <w:szCs w:val="20"/>
        </w:rPr>
        <w:t xml:space="preserve"> facility on the ACMA website.</w:t>
      </w:r>
    </w:p>
    <w:p w14:paraId="081E7DDC" w14:textId="6E03F253" w:rsidR="00BC5917" w:rsidRDefault="00BC5917" w:rsidP="00BC5917">
      <w:pPr>
        <w:pStyle w:val="Tableheading"/>
        <w:keepLines/>
      </w:pPr>
      <w:r>
        <w:t xml:space="preserve">Spectrum space identified for </w:t>
      </w:r>
      <w:r w:rsidR="00A01E9F">
        <w:t>HL</w:t>
      </w:r>
      <w:r>
        <w:t xml:space="preserve"> WBB use</w:t>
      </w:r>
    </w:p>
    <w:tbl>
      <w:tblPr>
        <w:tblStyle w:val="TableGrid"/>
        <w:tblW w:w="8217" w:type="dxa"/>
        <w:tblLayout w:type="fixed"/>
        <w:tblLook w:val="04A0" w:firstRow="1" w:lastRow="0" w:firstColumn="1" w:lastColumn="0" w:noHBand="0" w:noVBand="1"/>
        <w:tblCaption w:val="HCIS description of areas"/>
        <w:tblDescription w:val="Table containing a descirption of the different area re-farming options "/>
      </w:tblPr>
      <w:tblGrid>
        <w:gridCol w:w="1838"/>
        <w:gridCol w:w="1276"/>
        <w:gridCol w:w="5103"/>
      </w:tblGrid>
      <w:tr w:rsidR="00BC5917" w14:paraId="73AF9DC6" w14:textId="77777777" w:rsidTr="00BC5917">
        <w:trPr>
          <w:cantSplit/>
          <w:tblHeader/>
        </w:trPr>
        <w:tc>
          <w:tcPr>
            <w:tcW w:w="1838" w:type="dxa"/>
            <w:tcBorders>
              <w:top w:val="single" w:sz="4" w:space="0" w:color="auto"/>
              <w:left w:val="single" w:sz="4" w:space="0" w:color="auto"/>
              <w:bottom w:val="single" w:sz="4" w:space="0" w:color="auto"/>
              <w:right w:val="single" w:sz="4" w:space="0" w:color="auto"/>
            </w:tcBorders>
            <w:shd w:val="clear" w:color="auto" w:fill="404040" w:themeFill="text1" w:themeFillTint="BF"/>
          </w:tcPr>
          <w:p w14:paraId="6EA613D4" w14:textId="140833C8" w:rsidR="00BC5917" w:rsidRDefault="00BC5917" w:rsidP="005C528D">
            <w:pPr>
              <w:pStyle w:val="TableHeading0"/>
              <w:rPr>
                <w:color w:val="FFFFFF" w:themeColor="background1"/>
              </w:rPr>
            </w:pPr>
            <w:r>
              <w:rPr>
                <w:color w:val="FFFFFF" w:themeColor="background1"/>
              </w:rPr>
              <w:t>Frequency range</w:t>
            </w:r>
          </w:p>
        </w:tc>
        <w:tc>
          <w:tcPr>
            <w:tcW w:w="1276"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14CF1AB2" w14:textId="50184FD2" w:rsidR="00BC5917" w:rsidRDefault="009F2C26" w:rsidP="005C528D">
            <w:pPr>
              <w:pStyle w:val="TableHeading0"/>
              <w:rPr>
                <w:color w:val="FFFFFF" w:themeColor="background1"/>
              </w:rPr>
            </w:pPr>
            <w:r>
              <w:rPr>
                <w:color w:val="FFFFFF" w:themeColor="background1"/>
              </w:rPr>
              <w:t>A</w:t>
            </w:r>
            <w:r w:rsidR="00BC5917">
              <w:rPr>
                <w:color w:val="FFFFFF" w:themeColor="background1"/>
              </w:rPr>
              <w:t>rea name</w:t>
            </w:r>
          </w:p>
        </w:tc>
        <w:tc>
          <w:tcPr>
            <w:tcW w:w="5103" w:type="dxa"/>
            <w:tcBorders>
              <w:top w:val="single" w:sz="4" w:space="0" w:color="auto"/>
              <w:left w:val="single" w:sz="4" w:space="0" w:color="auto"/>
              <w:bottom w:val="single" w:sz="4" w:space="0" w:color="auto"/>
              <w:right w:val="single" w:sz="4" w:space="0" w:color="auto"/>
            </w:tcBorders>
            <w:shd w:val="clear" w:color="auto" w:fill="404040" w:themeFill="text1" w:themeFillTint="BF"/>
            <w:vAlign w:val="center"/>
            <w:hideMark/>
          </w:tcPr>
          <w:p w14:paraId="683FD3DC" w14:textId="77777777" w:rsidR="00BC5917" w:rsidRDefault="00BC5917" w:rsidP="005C528D">
            <w:pPr>
              <w:pStyle w:val="TableHeading0"/>
              <w:rPr>
                <w:color w:val="FFFFFF" w:themeColor="background1"/>
              </w:rPr>
            </w:pPr>
            <w:r>
              <w:rPr>
                <w:color w:val="FFFFFF" w:themeColor="background1"/>
              </w:rPr>
              <w:t>HCIS</w:t>
            </w:r>
          </w:p>
        </w:tc>
      </w:tr>
      <w:tr w:rsidR="00BC5917" w14:paraId="38EEB393" w14:textId="77777777" w:rsidTr="00BC5917">
        <w:trPr>
          <w:cantSplit/>
        </w:trPr>
        <w:tc>
          <w:tcPr>
            <w:tcW w:w="1838" w:type="dxa"/>
            <w:vMerge w:val="restart"/>
            <w:tcBorders>
              <w:top w:val="single" w:sz="4" w:space="0" w:color="auto"/>
              <w:left w:val="single" w:sz="4" w:space="0" w:color="auto"/>
              <w:right w:val="single" w:sz="4" w:space="0" w:color="auto"/>
            </w:tcBorders>
          </w:tcPr>
          <w:p w14:paraId="44260A2A" w14:textId="47BF7483" w:rsidR="00BC5917" w:rsidRDefault="00BC5917" w:rsidP="005C528D">
            <w:pPr>
              <w:pStyle w:val="TableBody"/>
              <w:spacing w:line="240" w:lineRule="atLeast"/>
            </w:pPr>
            <w:r>
              <w:t>3400-3475 MHz</w:t>
            </w:r>
          </w:p>
        </w:tc>
        <w:tc>
          <w:tcPr>
            <w:tcW w:w="1276" w:type="dxa"/>
            <w:tcBorders>
              <w:top w:val="single" w:sz="4" w:space="0" w:color="auto"/>
              <w:left w:val="single" w:sz="4" w:space="0" w:color="auto"/>
              <w:bottom w:val="single" w:sz="4" w:space="0" w:color="auto"/>
              <w:right w:val="single" w:sz="4" w:space="0" w:color="auto"/>
            </w:tcBorders>
            <w:hideMark/>
          </w:tcPr>
          <w:p w14:paraId="3344A2A0" w14:textId="74538BC5" w:rsidR="00BC5917" w:rsidRDefault="00BC5917" w:rsidP="005C528D">
            <w:pPr>
              <w:pStyle w:val="TableBody"/>
              <w:spacing w:line="240" w:lineRule="atLeast"/>
            </w:pPr>
            <w:r>
              <w:t>Adelaide</w:t>
            </w:r>
          </w:p>
        </w:tc>
        <w:tc>
          <w:tcPr>
            <w:tcW w:w="5103" w:type="dxa"/>
            <w:tcBorders>
              <w:top w:val="single" w:sz="4" w:space="0" w:color="auto"/>
              <w:left w:val="single" w:sz="4" w:space="0" w:color="auto"/>
              <w:bottom w:val="single" w:sz="4" w:space="0" w:color="auto"/>
              <w:right w:val="single" w:sz="4" w:space="0" w:color="auto"/>
            </w:tcBorders>
            <w:hideMark/>
          </w:tcPr>
          <w:p w14:paraId="6B1FAAF7" w14:textId="77777777" w:rsidR="00BC5917" w:rsidRDefault="00BC5917" w:rsidP="005C528D">
            <w:pPr>
              <w:pStyle w:val="TableBody"/>
              <w:spacing w:line="240" w:lineRule="atLeast"/>
            </w:pPr>
            <w:r>
              <w:t>IW3N, IW3O4, IW3O5, IW3O7, IW3O8, IW6B1, IW6B2, IW6B3, IW6B5, IW6B6</w:t>
            </w:r>
          </w:p>
        </w:tc>
      </w:tr>
      <w:tr w:rsidR="00BC5917" w14:paraId="09FAE360" w14:textId="77777777" w:rsidTr="00BC5917">
        <w:trPr>
          <w:cantSplit/>
        </w:trPr>
        <w:tc>
          <w:tcPr>
            <w:tcW w:w="1838" w:type="dxa"/>
            <w:vMerge/>
            <w:tcBorders>
              <w:left w:val="single" w:sz="4" w:space="0" w:color="auto"/>
              <w:right w:val="single" w:sz="4" w:space="0" w:color="auto"/>
            </w:tcBorders>
          </w:tcPr>
          <w:p w14:paraId="54FF648C" w14:textId="77777777" w:rsidR="00BC5917" w:rsidRDefault="00BC5917" w:rsidP="005C528D">
            <w:pPr>
              <w:pStyle w:val="TableBody"/>
              <w:spacing w:line="240" w:lineRule="atLeast"/>
            </w:pPr>
          </w:p>
        </w:tc>
        <w:tc>
          <w:tcPr>
            <w:tcW w:w="1276" w:type="dxa"/>
            <w:tcBorders>
              <w:top w:val="single" w:sz="4" w:space="0" w:color="auto"/>
              <w:left w:val="single" w:sz="4" w:space="0" w:color="auto"/>
              <w:bottom w:val="single" w:sz="4" w:space="0" w:color="auto"/>
              <w:right w:val="single" w:sz="4" w:space="0" w:color="auto"/>
            </w:tcBorders>
            <w:hideMark/>
          </w:tcPr>
          <w:p w14:paraId="386BF355" w14:textId="0260C201" w:rsidR="00BC5917" w:rsidRDefault="00BC5917" w:rsidP="005C528D">
            <w:pPr>
              <w:pStyle w:val="TableBody"/>
              <w:spacing w:line="240" w:lineRule="atLeast"/>
            </w:pPr>
            <w:r>
              <w:t>Brisbane</w:t>
            </w:r>
          </w:p>
        </w:tc>
        <w:tc>
          <w:tcPr>
            <w:tcW w:w="5103" w:type="dxa"/>
            <w:tcBorders>
              <w:top w:val="single" w:sz="4" w:space="0" w:color="auto"/>
              <w:left w:val="single" w:sz="4" w:space="0" w:color="auto"/>
              <w:bottom w:val="single" w:sz="4" w:space="0" w:color="auto"/>
              <w:right w:val="single" w:sz="4" w:space="0" w:color="auto"/>
            </w:tcBorders>
            <w:hideMark/>
          </w:tcPr>
          <w:p w14:paraId="2062D10F" w14:textId="77777777" w:rsidR="00BC5917" w:rsidRDefault="00BC5917" w:rsidP="005C528D">
            <w:pPr>
              <w:pStyle w:val="TableBody"/>
              <w:spacing w:line="240" w:lineRule="atLeast"/>
            </w:pPr>
            <w:r>
              <w:t>NT9B, NT9C, NT9D, NT9E, NT9F, NT9G, NT9H, NT9K, NT9L, NT8H3, NT8L2, NT8L3, NT8L5, NT8L6, NT8L8, NT8L9, NT9A6, NT9A7, NT9A8, NT9A9, NT9I1, NT9I2, NT9I3, NT9I4, NT9I5, NT9I6, NT9J1, NT9J2, NT9J3, NT9J4, NT9J5, NT9J6, NT9J9, NT9N5, NT9N6, NT9N8, NT9N9, NT9O4, NT9O7, NU3B2, NU3B3, NU3C1, NU3C4</w:t>
            </w:r>
          </w:p>
        </w:tc>
      </w:tr>
      <w:tr w:rsidR="00BC5917" w14:paraId="4B122CA2" w14:textId="77777777" w:rsidTr="00BC5917">
        <w:trPr>
          <w:cantSplit/>
        </w:trPr>
        <w:tc>
          <w:tcPr>
            <w:tcW w:w="1838" w:type="dxa"/>
            <w:vMerge/>
            <w:tcBorders>
              <w:left w:val="single" w:sz="4" w:space="0" w:color="auto"/>
              <w:right w:val="single" w:sz="4" w:space="0" w:color="auto"/>
            </w:tcBorders>
          </w:tcPr>
          <w:p w14:paraId="62F2704D" w14:textId="77777777" w:rsidR="00BC5917" w:rsidRDefault="00BC5917" w:rsidP="005C528D">
            <w:pPr>
              <w:pStyle w:val="TableBody"/>
              <w:spacing w:line="240" w:lineRule="atLeast"/>
            </w:pPr>
          </w:p>
        </w:tc>
        <w:tc>
          <w:tcPr>
            <w:tcW w:w="1276" w:type="dxa"/>
            <w:tcBorders>
              <w:top w:val="single" w:sz="4" w:space="0" w:color="auto"/>
              <w:left w:val="single" w:sz="4" w:space="0" w:color="auto"/>
              <w:bottom w:val="single" w:sz="4" w:space="0" w:color="auto"/>
              <w:right w:val="single" w:sz="4" w:space="0" w:color="auto"/>
            </w:tcBorders>
            <w:hideMark/>
          </w:tcPr>
          <w:p w14:paraId="78F192D1" w14:textId="64C133F0" w:rsidR="00BC5917" w:rsidRDefault="00BC5917" w:rsidP="005C528D">
            <w:pPr>
              <w:pStyle w:val="TableBody"/>
              <w:spacing w:line="240" w:lineRule="atLeast"/>
            </w:pPr>
            <w:r>
              <w:t xml:space="preserve">Canberra </w:t>
            </w:r>
          </w:p>
        </w:tc>
        <w:tc>
          <w:tcPr>
            <w:tcW w:w="5103" w:type="dxa"/>
            <w:tcBorders>
              <w:top w:val="single" w:sz="4" w:space="0" w:color="auto"/>
              <w:left w:val="single" w:sz="4" w:space="0" w:color="auto"/>
              <w:bottom w:val="single" w:sz="4" w:space="0" w:color="auto"/>
              <w:right w:val="single" w:sz="4" w:space="0" w:color="auto"/>
            </w:tcBorders>
            <w:hideMark/>
          </w:tcPr>
          <w:p w14:paraId="669A5DED" w14:textId="77777777" w:rsidR="00BC5917" w:rsidRDefault="00BC5917" w:rsidP="005C528D">
            <w:pPr>
              <w:pStyle w:val="TableBody"/>
              <w:spacing w:line="240" w:lineRule="atLeast"/>
            </w:pPr>
            <w:r>
              <w:t>MW4D, MW4H, MW5A, MW5B, MW5E, MW5F, MW2M5, MW2M6, MW2M7, MW2M8, MW2M9, MW2N4, MW2N5, MW2N7, MW2N8, MW2N9, MW4L1, MW4L2, MW4L3, MW4L5, MW4L6, MW5I1, MW5I2, MW5I3, MW5I4, MW5I5, MW5I6, MW5J1, MW5J2, MW5J4, MW5J5</w:t>
            </w:r>
          </w:p>
        </w:tc>
      </w:tr>
      <w:tr w:rsidR="00BC5917" w14:paraId="4E6B4DB3" w14:textId="77777777" w:rsidTr="00BC5917">
        <w:trPr>
          <w:cantSplit/>
          <w:trHeight w:val="283"/>
        </w:trPr>
        <w:tc>
          <w:tcPr>
            <w:tcW w:w="1838" w:type="dxa"/>
            <w:vMerge/>
            <w:tcBorders>
              <w:left w:val="single" w:sz="4" w:space="0" w:color="auto"/>
              <w:right w:val="single" w:sz="4" w:space="0" w:color="auto"/>
            </w:tcBorders>
          </w:tcPr>
          <w:p w14:paraId="526FD9F2" w14:textId="77777777" w:rsidR="00BC5917" w:rsidRDefault="00BC5917" w:rsidP="005C528D">
            <w:pPr>
              <w:pStyle w:val="TableBody"/>
              <w:spacing w:line="240" w:lineRule="atLeast"/>
            </w:pPr>
          </w:p>
        </w:tc>
        <w:tc>
          <w:tcPr>
            <w:tcW w:w="1276" w:type="dxa"/>
            <w:tcBorders>
              <w:top w:val="single" w:sz="4" w:space="0" w:color="auto"/>
              <w:left w:val="single" w:sz="4" w:space="0" w:color="auto"/>
              <w:bottom w:val="single" w:sz="4" w:space="0" w:color="auto"/>
              <w:right w:val="single" w:sz="4" w:space="0" w:color="auto"/>
            </w:tcBorders>
            <w:hideMark/>
          </w:tcPr>
          <w:p w14:paraId="13470D09" w14:textId="09CB2C51" w:rsidR="00BC5917" w:rsidRDefault="00BC5917" w:rsidP="005C528D">
            <w:pPr>
              <w:pStyle w:val="TableBody"/>
              <w:spacing w:line="240" w:lineRule="atLeast"/>
            </w:pPr>
            <w:r>
              <w:t>Melbourne</w:t>
            </w:r>
          </w:p>
        </w:tc>
        <w:tc>
          <w:tcPr>
            <w:tcW w:w="5103" w:type="dxa"/>
            <w:tcBorders>
              <w:top w:val="single" w:sz="4" w:space="0" w:color="auto"/>
              <w:left w:val="single" w:sz="4" w:space="0" w:color="auto"/>
              <w:bottom w:val="single" w:sz="4" w:space="0" w:color="auto"/>
              <w:right w:val="single" w:sz="4" w:space="0" w:color="auto"/>
            </w:tcBorders>
            <w:hideMark/>
          </w:tcPr>
          <w:p w14:paraId="27CBBF01" w14:textId="77777777" w:rsidR="00BC5917" w:rsidRDefault="00BC5917" w:rsidP="005C528D">
            <w:pPr>
              <w:pStyle w:val="TableBody"/>
              <w:spacing w:line="240" w:lineRule="atLeast"/>
            </w:pPr>
            <w:r>
              <w:t>KX3P, KX3L6, KX3L7, KX3L8, KX3L9, KX6D1, KX6D2, KX6D3, KX6D5, KX6D6, LX1M, LX1I7, LX1N4, LX4A1, LX4A2, LX4A3, LX4A4, LX4A5, LX4B1</w:t>
            </w:r>
          </w:p>
        </w:tc>
      </w:tr>
      <w:tr w:rsidR="00BC5917" w14:paraId="4514E16C" w14:textId="77777777" w:rsidTr="00BC5917">
        <w:trPr>
          <w:cantSplit/>
        </w:trPr>
        <w:tc>
          <w:tcPr>
            <w:tcW w:w="1838" w:type="dxa"/>
            <w:vMerge/>
            <w:tcBorders>
              <w:left w:val="single" w:sz="4" w:space="0" w:color="auto"/>
              <w:right w:val="single" w:sz="4" w:space="0" w:color="auto"/>
            </w:tcBorders>
          </w:tcPr>
          <w:p w14:paraId="798990F7" w14:textId="77777777" w:rsidR="00BC5917" w:rsidRDefault="00BC5917" w:rsidP="005C528D">
            <w:pPr>
              <w:pStyle w:val="TableBody"/>
              <w:spacing w:line="240" w:lineRule="atLeast"/>
            </w:pPr>
          </w:p>
        </w:tc>
        <w:tc>
          <w:tcPr>
            <w:tcW w:w="1276" w:type="dxa"/>
            <w:tcBorders>
              <w:top w:val="single" w:sz="4" w:space="0" w:color="auto"/>
              <w:left w:val="single" w:sz="4" w:space="0" w:color="auto"/>
              <w:bottom w:val="single" w:sz="4" w:space="0" w:color="auto"/>
              <w:right w:val="single" w:sz="4" w:space="0" w:color="auto"/>
            </w:tcBorders>
            <w:hideMark/>
          </w:tcPr>
          <w:p w14:paraId="059098AF" w14:textId="2808ED6F" w:rsidR="00BC5917" w:rsidRDefault="00BC5917" w:rsidP="005C528D">
            <w:pPr>
              <w:pStyle w:val="TableBody"/>
              <w:spacing w:line="240" w:lineRule="atLeast"/>
            </w:pPr>
            <w:r>
              <w:t>Perth</w:t>
            </w:r>
          </w:p>
        </w:tc>
        <w:tc>
          <w:tcPr>
            <w:tcW w:w="5103" w:type="dxa"/>
            <w:tcBorders>
              <w:top w:val="single" w:sz="4" w:space="0" w:color="auto"/>
              <w:left w:val="single" w:sz="4" w:space="0" w:color="auto"/>
              <w:bottom w:val="single" w:sz="4" w:space="0" w:color="auto"/>
              <w:right w:val="single" w:sz="4" w:space="0" w:color="auto"/>
            </w:tcBorders>
            <w:hideMark/>
          </w:tcPr>
          <w:p w14:paraId="173E1E16" w14:textId="77777777" w:rsidR="00BC5917" w:rsidRDefault="00BC5917" w:rsidP="005C528D">
            <w:pPr>
              <w:pStyle w:val="TableBody"/>
              <w:spacing w:line="240" w:lineRule="atLeast"/>
            </w:pPr>
            <w:r>
              <w:t>BV1M, BV1N, BV1O, BV4A, BV4B, BV4C, BV1L5, BV1L8, BV1P1, BV1P2, BV1P4, BV1P5, BV1P7, BV1P8, BV4D1, BV4D2, BV4E1, BV4E2, BV4E3, BV4F1, BV4F2, BV4F3, BV4G1, BV4G2, BV1P9, BV4D3, BV4D4, BV4G3</w:t>
            </w:r>
          </w:p>
        </w:tc>
      </w:tr>
      <w:tr w:rsidR="00BC5917" w14:paraId="12AA8BFF" w14:textId="77777777" w:rsidTr="00BC5917">
        <w:trPr>
          <w:cantSplit/>
        </w:trPr>
        <w:tc>
          <w:tcPr>
            <w:tcW w:w="1838" w:type="dxa"/>
            <w:vMerge/>
            <w:tcBorders>
              <w:left w:val="single" w:sz="4" w:space="0" w:color="auto"/>
              <w:bottom w:val="single" w:sz="4" w:space="0" w:color="auto"/>
              <w:right w:val="single" w:sz="4" w:space="0" w:color="auto"/>
            </w:tcBorders>
          </w:tcPr>
          <w:p w14:paraId="52E9831F" w14:textId="77777777" w:rsidR="00BC5917" w:rsidRDefault="00BC5917" w:rsidP="005C528D">
            <w:pPr>
              <w:pStyle w:val="TableBody"/>
              <w:spacing w:line="240" w:lineRule="atLeast"/>
            </w:pPr>
          </w:p>
        </w:tc>
        <w:tc>
          <w:tcPr>
            <w:tcW w:w="1276" w:type="dxa"/>
            <w:tcBorders>
              <w:top w:val="single" w:sz="4" w:space="0" w:color="auto"/>
              <w:left w:val="single" w:sz="4" w:space="0" w:color="auto"/>
              <w:bottom w:val="single" w:sz="4" w:space="0" w:color="auto"/>
              <w:right w:val="single" w:sz="4" w:space="0" w:color="auto"/>
            </w:tcBorders>
            <w:hideMark/>
          </w:tcPr>
          <w:p w14:paraId="4D18C540" w14:textId="2D8B452C" w:rsidR="00BC5917" w:rsidRDefault="00BC5917" w:rsidP="005C528D">
            <w:pPr>
              <w:pStyle w:val="TableBody"/>
              <w:spacing w:line="240" w:lineRule="atLeast"/>
            </w:pPr>
            <w:r>
              <w:t>Sydney</w:t>
            </w:r>
          </w:p>
        </w:tc>
        <w:tc>
          <w:tcPr>
            <w:tcW w:w="5103" w:type="dxa"/>
            <w:tcBorders>
              <w:top w:val="single" w:sz="4" w:space="0" w:color="auto"/>
              <w:left w:val="single" w:sz="4" w:space="0" w:color="auto"/>
              <w:bottom w:val="single" w:sz="4" w:space="0" w:color="auto"/>
              <w:right w:val="single" w:sz="4" w:space="0" w:color="auto"/>
            </w:tcBorders>
            <w:hideMark/>
          </w:tcPr>
          <w:p w14:paraId="4A53F9FF" w14:textId="77777777" w:rsidR="00BC5917" w:rsidRDefault="00BC5917" w:rsidP="005C528D">
            <w:pPr>
              <w:pStyle w:val="TableBody"/>
              <w:spacing w:line="240" w:lineRule="atLeast"/>
            </w:pPr>
            <w:r>
              <w:t>NV7G, NV7H, NV7J, NV7K, NV7L, NV7M, NV7N, NV7O, NV7P, NW1A, NW1B, NW1C, NW1D, NW1E, NW1F, NW1G, NW1H, MV9P2, MV9P3, MV9P5, MV9P6, MV9P7, MV9P8, MV9P9, MW3D1, MW3D2, MW3D3, MW3D5, MW3D6, MW3D8, MW3D9, MW3H2, MW3H3, MW3H5, MW3H6, MW3H9, MW3L2, MW3L3, NV4O7, NV4O8, NV4O9, NV4P7, NV7F6, NV7F8, NV7F9, NV7I6, NV7I8, NV7I9, NW1I1, NW1I2, NW1I3, NW1J1, NW1J2, NW1J3, NW1K1, NW1K2, NW1K3, NW1L1, NW1L2, NW1L3</w:t>
            </w:r>
          </w:p>
        </w:tc>
      </w:tr>
      <w:tr w:rsidR="00BC5917" w14:paraId="173B7927" w14:textId="77777777" w:rsidTr="00BC5917">
        <w:trPr>
          <w:cantSplit/>
        </w:trPr>
        <w:tc>
          <w:tcPr>
            <w:tcW w:w="1838" w:type="dxa"/>
            <w:tcBorders>
              <w:top w:val="single" w:sz="4" w:space="0" w:color="auto"/>
              <w:left w:val="single" w:sz="4" w:space="0" w:color="auto"/>
              <w:bottom w:val="single" w:sz="4" w:space="0" w:color="auto"/>
              <w:right w:val="single" w:sz="4" w:space="0" w:color="auto"/>
            </w:tcBorders>
          </w:tcPr>
          <w:p w14:paraId="6AFE5F6F" w14:textId="227905A8" w:rsidR="00BC5917" w:rsidRDefault="00BC5917" w:rsidP="005C528D">
            <w:pPr>
              <w:pStyle w:val="TableBody"/>
              <w:spacing w:line="240" w:lineRule="atLeast"/>
            </w:pPr>
            <w:r>
              <w:lastRenderedPageBreak/>
              <w:t>3950-4000 MHz</w:t>
            </w:r>
          </w:p>
        </w:tc>
        <w:tc>
          <w:tcPr>
            <w:tcW w:w="1276" w:type="dxa"/>
            <w:tcBorders>
              <w:top w:val="single" w:sz="4" w:space="0" w:color="auto"/>
              <w:left w:val="single" w:sz="4" w:space="0" w:color="auto"/>
              <w:bottom w:val="single" w:sz="4" w:space="0" w:color="auto"/>
              <w:right w:val="single" w:sz="4" w:space="0" w:color="auto"/>
            </w:tcBorders>
          </w:tcPr>
          <w:p w14:paraId="3BA011F9" w14:textId="375CD69E" w:rsidR="00BC5917" w:rsidRDefault="00BC5917" w:rsidP="005C528D">
            <w:pPr>
              <w:pStyle w:val="TableBody"/>
              <w:spacing w:line="240" w:lineRule="atLeast"/>
            </w:pPr>
            <w:r>
              <w:t>Metro and regional Australia</w:t>
            </w:r>
          </w:p>
        </w:tc>
        <w:tc>
          <w:tcPr>
            <w:tcW w:w="5103" w:type="dxa"/>
            <w:tcBorders>
              <w:top w:val="single" w:sz="4" w:space="0" w:color="auto"/>
              <w:left w:val="single" w:sz="4" w:space="0" w:color="auto"/>
              <w:bottom w:val="single" w:sz="4" w:space="0" w:color="auto"/>
              <w:right w:val="single" w:sz="4" w:space="0" w:color="auto"/>
            </w:tcBorders>
          </w:tcPr>
          <w:p w14:paraId="06DE3F9F" w14:textId="0F34E3D6" w:rsidR="00BC5917" w:rsidRDefault="007549E4" w:rsidP="007549E4">
            <w:r w:rsidRPr="007549E4">
              <w:t>BV, CV, DV, IV, IW, JV, JW, KQ, KV, KW, LR, LV, LW, LX, LY, MS, MW, NT, AU9, AV9, AW3, BU7, BU8, BW1, BW2, BW3, BW5, BW6, CW1, CW2, CW3, CW4, DW1, DW2, DW3, EV1, EV2, EV3, EV4, EV5, EV6, EV7, FV1, FV2, FV3, FV4, FV5, GV1, GV2, GV3, GV6, HV1, HV2, HV3, HV4, HV5, HV6, HV8, HV9, HW3, HW6, JX1, JX2, JX3, JX5, JX6, KO1, KO4, KO5, KO7, KO8, KP1, KP2, KP4, KP5, KP6, KP7, KP8, KP9, KX1, KX2, KX3, KX4, KX5, KX6, KX8, KX9, KY2, KY3, KY6, LP4, LP7, LQ1, LQ2, LQ4, LQ5, LQ7, LQ8, LZ1, LZ2, LZ3, MR1, MR4, MR5, MR7, MR8, MR9, MT1, MT2, MT3, MT6, MT7, MT8, MT9, MU1, MU2, MU3, MU4, MU7, MU8, MU9, MV1, MV2, MV4, MV5, MV6, MV7, MV8, MV9, MX1, MX2, MX3, MX4, MX7, MY1, MY4, MY7, MZ1, NS4, NS7, NS8, NS9, NU1, NU2, NU3, NU4, NU5, NU6, NU8, NU9, NV1, NV2, NV3, NV4, NV5, NV7, NW1, AU6I, AU6J, AU6K, AU6L, AU6M, AU6N, AU6O, AU6P, BU4H, BU4I, BU4J, BU4K, BU4L, BU4M, BU4N, BU4O, BU4P, BU5E, BU5F, BU5G, BU5H, BU5I, BU5J, BU5K, BU5L, BU5M, BU5N, BU5O, BU5P, BU9A, BU9B, BU9E, BU9F, BU9I, BU9J, BU9M, BU9N, MT4A, MT4B, MT4C, MT4D, MT4E, MT4I, MT4M, MT4N, MT5A, MT5B, MT5C, MT5D, MT5F, MT5G, MT5H, MT5J, MT5K, MT5L, MT5N, MT5O, MT5P, MU5A, MU5B, MU5E, MU5F, MU5I, MU5J, MU5M, MU5N, MU5O, MU5P, MU6B, MU6C, MU6D, MU6F, MU6G, MU6H, MU6J, MU6K, MU6L, MU6M, MU6N, MU6O, MU6P, MV3A, MV3B, MV3E, MV3I, MV3M, MV3N, NU7A, NU7B, NU7C, NU7D, NU7E, NU7F, NU7G, NU7H, NU7I, NU7J, NU7L, NU7M, NU7N, NU7O, NU7P, MT4F1, MT4F2, MT4F3, MT4F4, MT4F5, MT4F6, MT4F7, MT4F8, MT4G1, MT4J1, MT4J2, MT4J4, MT4J5, MT4J7, MT4J8, MT4J9, MT4O4, MT4O5, MT4O7, MT4O8, MT4O9, MT4P6, MT4P7, MT4P8, MT4P9, MT5E1, MT5E2, MT5E3, MT5E5, MT5E6, MT5E8, MT5E9, MT5I3, MT5I6, MT5I8, MT5I9, MT5M2, MT5M3, MT5M4, MT5M5, MT5M6, MT5M7, MT5M8, MT5M9, MU5C1, MU5C2, MU5C3, MU5C4, MU5C5, MU5C6, MU5C7, MU5D1, MU5D2, MU5D3, MU5D4, MU5D5, MU5D6, MU5K7, MU6A1, MU6A2, MU6A3, MU6A4, MU6A5, MU6A6, MU6A8, MU6A9, MU6E3, MU6E6, MU6E9, MU6I3, MU6I6, MU6I8, MU6I9, MV3C1, MV3C2, MV3C3, MV3C4, MV3C5, MV3C6, MV3C7, MV3D1, MV3D2, MV3D3, MV3D4, MV3D5, MV3D6, MV3D8, MV3D9, MV3F1, MV3F2, MV3F4, MV3F7, MV3J1, MV3J4, MV3J7, MV3J8, MV3O4, MV3O5, MV3O6, MV3O7, MV3O8, MV3O9, MV3P2, MV3P3, MV3P4, MV3P5, MV3P6, MV3P7, MV3P8, MV3P9, NU7K1, NU7K2, NU7K3, NU7K5, NU7K6, NU7K7, NU7K8, NU7K9</w:t>
            </w:r>
          </w:p>
        </w:tc>
      </w:tr>
    </w:tbl>
    <w:p w14:paraId="33C97FBE" w14:textId="77777777" w:rsidR="00BC5917" w:rsidRDefault="00BC5917" w:rsidP="00BC5917">
      <w:pPr>
        <w:pStyle w:val="Tableorfigurenote"/>
        <w:spacing w:before="120"/>
      </w:pPr>
      <w:r>
        <w:t xml:space="preserve">Note: The HCIS coordinates can be converted into a Placemark file (viewable in Google Earth) through a facility on the </w:t>
      </w:r>
      <w:hyperlink r:id="rId64" w:history="1">
        <w:r>
          <w:rPr>
            <w:rStyle w:val="Hyperlink"/>
          </w:rPr>
          <w:t>ACMA website</w:t>
        </w:r>
      </w:hyperlink>
      <w:r>
        <w:t>.</w:t>
      </w:r>
    </w:p>
    <w:p w14:paraId="5F23B9B2" w14:textId="1A08DA45" w:rsidR="00081850" w:rsidRDefault="00081850" w:rsidP="00081850">
      <w:pPr>
        <w:pStyle w:val="ACMAFigureHeader"/>
        <w:numPr>
          <w:ilvl w:val="0"/>
          <w:numId w:val="21"/>
        </w:numPr>
        <w:spacing w:after="60"/>
      </w:pPr>
      <w:r>
        <w:lastRenderedPageBreak/>
        <w:t xml:space="preserve">Illustration of spectrum space for </w:t>
      </w:r>
      <w:r w:rsidR="00A01E9F">
        <w:t>HL</w:t>
      </w:r>
      <w:r>
        <w:t xml:space="preserve"> WBB in 3400</w:t>
      </w:r>
      <w:r w:rsidR="007549E4">
        <w:noBreakHyphen/>
      </w:r>
      <w:r>
        <w:t>3475</w:t>
      </w:r>
      <w:r w:rsidR="007549E4">
        <w:t> </w:t>
      </w:r>
      <w:r>
        <w:t xml:space="preserve">MHz </w:t>
      </w:r>
      <w:r w:rsidR="00185350">
        <w:t>frequency range</w:t>
      </w:r>
      <w:r>
        <w:t xml:space="preserve"> (purple areas) </w:t>
      </w:r>
    </w:p>
    <w:p w14:paraId="7897BA73" w14:textId="77777777" w:rsidR="00081850" w:rsidRDefault="00081850" w:rsidP="00081850">
      <w:pPr>
        <w:spacing w:after="60"/>
        <w:ind w:right="-1260"/>
      </w:pPr>
      <w:r>
        <w:rPr>
          <w:noProof/>
        </w:rPr>
        <w:drawing>
          <wp:inline distT="0" distB="0" distL="0" distR="0" wp14:anchorId="24C74A5C" wp14:editId="01E9158D">
            <wp:extent cx="2552700" cy="2655934"/>
            <wp:effectExtent l="0" t="0" r="0" b="0"/>
            <wp:docPr id="8" name="Picture 8" descr="Illustration of Adelaid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llustration of Adelaide urban excise areas (purple areas) "/>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53874" cy="2657155"/>
                    </a:xfrm>
                    <a:prstGeom prst="rect">
                      <a:avLst/>
                    </a:prstGeom>
                    <a:noFill/>
                    <a:ln>
                      <a:noFill/>
                    </a:ln>
                  </pic:spPr>
                </pic:pic>
              </a:graphicData>
            </a:graphic>
          </wp:inline>
        </w:drawing>
      </w:r>
      <w:r>
        <w:t xml:space="preserve"> </w:t>
      </w:r>
      <w:r>
        <w:rPr>
          <w:noProof/>
        </w:rPr>
        <w:drawing>
          <wp:inline distT="0" distB="0" distL="0" distR="0" wp14:anchorId="1AE6E881" wp14:editId="2AFE2E03">
            <wp:extent cx="2381250" cy="2642721"/>
            <wp:effectExtent l="0" t="0" r="0" b="5715"/>
            <wp:docPr id="7" name="Picture 7" descr="Illustration of Brisbane and Gold Coast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llustration of Brisbane and Gold Coast urban excise areas (purple areas) "/>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86673" cy="2648739"/>
                    </a:xfrm>
                    <a:prstGeom prst="rect">
                      <a:avLst/>
                    </a:prstGeom>
                    <a:noFill/>
                    <a:ln>
                      <a:noFill/>
                    </a:ln>
                  </pic:spPr>
                </pic:pic>
              </a:graphicData>
            </a:graphic>
          </wp:inline>
        </w:drawing>
      </w:r>
    </w:p>
    <w:p w14:paraId="6FD8D758" w14:textId="77777777" w:rsidR="00081850" w:rsidRDefault="00081850" w:rsidP="00081850">
      <w:pPr>
        <w:spacing w:after="60"/>
        <w:ind w:right="-1260"/>
      </w:pPr>
      <w:r>
        <w:rPr>
          <w:noProof/>
        </w:rPr>
        <w:drawing>
          <wp:inline distT="0" distB="0" distL="0" distR="0" wp14:anchorId="69D110A2" wp14:editId="69847CF4">
            <wp:extent cx="2553252" cy="2590800"/>
            <wp:effectExtent l="0" t="0" r="0" b="0"/>
            <wp:docPr id="6" name="Picture 6" descr="Illustration of Canberra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llustration of Canberra urban excise areas (purple areas) "/>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54217" cy="2591779"/>
                    </a:xfrm>
                    <a:prstGeom prst="rect">
                      <a:avLst/>
                    </a:prstGeom>
                    <a:noFill/>
                    <a:ln>
                      <a:noFill/>
                    </a:ln>
                  </pic:spPr>
                </pic:pic>
              </a:graphicData>
            </a:graphic>
          </wp:inline>
        </w:drawing>
      </w:r>
      <w:r>
        <w:t xml:space="preserve"> </w:t>
      </w:r>
      <w:r>
        <w:rPr>
          <w:noProof/>
        </w:rPr>
        <w:drawing>
          <wp:inline distT="0" distB="0" distL="0" distR="0" wp14:anchorId="5D4A4F11" wp14:editId="19433A82">
            <wp:extent cx="2400300" cy="2588559"/>
            <wp:effectExtent l="0" t="0" r="0" b="2540"/>
            <wp:docPr id="5" name="Picture 5" descr="Illustration of Melbourne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Illustration of Melbourne urban excise areas (purple areas) "/>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403793" cy="2592326"/>
                    </a:xfrm>
                    <a:prstGeom prst="rect">
                      <a:avLst/>
                    </a:prstGeom>
                    <a:noFill/>
                    <a:ln>
                      <a:noFill/>
                    </a:ln>
                  </pic:spPr>
                </pic:pic>
              </a:graphicData>
            </a:graphic>
          </wp:inline>
        </w:drawing>
      </w:r>
    </w:p>
    <w:p w14:paraId="6CCA37B0" w14:textId="77777777" w:rsidR="00081850" w:rsidRDefault="00081850" w:rsidP="00081850">
      <w:pPr>
        <w:spacing w:after="60"/>
        <w:ind w:right="-1260"/>
      </w:pPr>
      <w:r>
        <w:rPr>
          <w:noProof/>
        </w:rPr>
        <w:drawing>
          <wp:inline distT="0" distB="0" distL="0" distR="0" wp14:anchorId="499C1046" wp14:editId="2C607575">
            <wp:extent cx="2558109" cy="2981325"/>
            <wp:effectExtent l="0" t="0" r="0" b="0"/>
            <wp:docPr id="3" name="Picture 3" descr="Illustration of Sydney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llustration of Sydney urban excise areas (purple areas) "/>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560310" cy="2983890"/>
                    </a:xfrm>
                    <a:prstGeom prst="rect">
                      <a:avLst/>
                    </a:prstGeom>
                    <a:noFill/>
                    <a:ln>
                      <a:noFill/>
                    </a:ln>
                  </pic:spPr>
                </pic:pic>
              </a:graphicData>
            </a:graphic>
          </wp:inline>
        </w:drawing>
      </w:r>
      <w:r>
        <w:rPr>
          <w:noProof/>
        </w:rPr>
        <w:t xml:space="preserve"> </w:t>
      </w:r>
      <w:r>
        <w:rPr>
          <w:noProof/>
        </w:rPr>
        <w:drawing>
          <wp:inline distT="0" distB="0" distL="0" distR="0" wp14:anchorId="5E38C3B3" wp14:editId="49DE2C29">
            <wp:extent cx="2388834" cy="2990745"/>
            <wp:effectExtent l="0" t="0" r="0" b="635"/>
            <wp:docPr id="4" name="Picture 4" descr="Illustration of Perth urban excise areas (purpl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llustration of Perth urban excise areas (purple areas) "/>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389675" cy="2991798"/>
                    </a:xfrm>
                    <a:prstGeom prst="rect">
                      <a:avLst/>
                    </a:prstGeom>
                    <a:noFill/>
                    <a:ln>
                      <a:noFill/>
                    </a:ln>
                  </pic:spPr>
                </pic:pic>
              </a:graphicData>
            </a:graphic>
          </wp:inline>
        </w:drawing>
      </w:r>
      <w:r>
        <w:t xml:space="preserve"> </w:t>
      </w:r>
    </w:p>
    <w:p w14:paraId="3C394560" w14:textId="0B4D17F4" w:rsidR="007549E4" w:rsidRDefault="007549E4" w:rsidP="007549E4">
      <w:pPr>
        <w:pStyle w:val="ACMAFigureHeader"/>
        <w:numPr>
          <w:ilvl w:val="0"/>
          <w:numId w:val="21"/>
        </w:numPr>
        <w:spacing w:after="60"/>
      </w:pPr>
      <w:r>
        <w:lastRenderedPageBreak/>
        <w:t xml:space="preserve">Illustration of spectrum space for </w:t>
      </w:r>
      <w:r w:rsidR="00A01E9F">
        <w:t>HL</w:t>
      </w:r>
      <w:r>
        <w:t xml:space="preserve"> WBB in 3950</w:t>
      </w:r>
      <w:r>
        <w:noBreakHyphen/>
        <w:t xml:space="preserve">4000 MHz </w:t>
      </w:r>
      <w:r w:rsidR="00185350">
        <w:t>frequency range</w:t>
      </w:r>
      <w:r>
        <w:t xml:space="preserve"> (purple areas) </w:t>
      </w:r>
    </w:p>
    <w:p w14:paraId="362FB446" w14:textId="0B1D60EA" w:rsidR="00081850" w:rsidRDefault="007549E4" w:rsidP="00851F3F">
      <w:r>
        <w:rPr>
          <w:noProof/>
        </w:rPr>
        <w:drawing>
          <wp:inline distT="0" distB="0" distL="0" distR="0" wp14:anchorId="5BA61B98" wp14:editId="73E61AD6">
            <wp:extent cx="4871085" cy="4757420"/>
            <wp:effectExtent l="0" t="0" r="5715" b="5080"/>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a:extLst>
                        <a:ext uri="{C183D7F6-B498-43B3-948B-1728B52AA6E4}">
                          <adec:decorative xmlns:adec="http://schemas.microsoft.com/office/drawing/2017/decorative" val="1"/>
                        </a:ext>
                      </a:extLst>
                    </pic:cNvPr>
                    <pic:cNvPicPr/>
                  </pic:nvPicPr>
                  <pic:blipFill>
                    <a:blip r:embed="rId71"/>
                    <a:stretch>
                      <a:fillRect/>
                    </a:stretch>
                  </pic:blipFill>
                  <pic:spPr>
                    <a:xfrm>
                      <a:off x="0" y="0"/>
                      <a:ext cx="4871085" cy="4757420"/>
                    </a:xfrm>
                    <a:prstGeom prst="rect">
                      <a:avLst/>
                    </a:prstGeom>
                  </pic:spPr>
                </pic:pic>
              </a:graphicData>
            </a:graphic>
          </wp:inline>
        </w:drawing>
      </w:r>
    </w:p>
    <w:p w14:paraId="011BB4F9" w14:textId="1EFA5E45" w:rsidR="00E76F2D" w:rsidRDefault="00E76F2D" w:rsidP="00851F3F"/>
    <w:p w14:paraId="2C014A22" w14:textId="6D86FC7D" w:rsidR="00E76F2D" w:rsidRPr="00E162C4" w:rsidRDefault="00E76F2D" w:rsidP="00E76F2D">
      <w:pPr>
        <w:pStyle w:val="Heading1"/>
      </w:pPr>
      <w:bookmarkStart w:id="168" w:name="_Toc178948584"/>
      <w:r w:rsidRPr="00E162C4">
        <w:lastRenderedPageBreak/>
        <w:t xml:space="preserve">Appendix </w:t>
      </w:r>
      <w:r>
        <w:t>B</w:t>
      </w:r>
      <w:r w:rsidRPr="00E162C4">
        <w:t xml:space="preserve">: </w:t>
      </w:r>
      <w:r w:rsidR="005C56F8">
        <w:t>Notification requirements</w:t>
      </w:r>
      <w:bookmarkEnd w:id="168"/>
    </w:p>
    <w:p w14:paraId="7C4B80C1" w14:textId="77777777" w:rsidR="005C56F8" w:rsidRDefault="005C56F8" w:rsidP="005C56F8">
      <w:pPr>
        <w:spacing w:after="80" w:line="240" w:lineRule="auto"/>
      </w:pPr>
      <w:r>
        <w:t xml:space="preserve">When notifying licensees, the following information (as a minimum) must be provided: </w:t>
      </w:r>
    </w:p>
    <w:p w14:paraId="4FCD7A80" w14:textId="04F94240" w:rsidR="005C56F8" w:rsidRDefault="005C56F8" w:rsidP="005C56F8">
      <w:pPr>
        <w:pStyle w:val="Bulletlevel1"/>
      </w:pPr>
      <w:r>
        <w:t>The reason the licensee is being notified, for example:</w:t>
      </w:r>
    </w:p>
    <w:p w14:paraId="6F8F2B02" w14:textId="12477074" w:rsidR="005C56F8" w:rsidRDefault="005C56F8" w:rsidP="005C56F8">
      <w:pPr>
        <w:pStyle w:val="Bulletlevel1"/>
        <w:numPr>
          <w:ilvl w:val="0"/>
          <w:numId w:val="0"/>
        </w:numPr>
        <w:ind w:left="568"/>
      </w:pPr>
      <w:r>
        <w:t xml:space="preserve">In accordance with section [section number] of RALI </w:t>
      </w:r>
      <w:proofErr w:type="gramStart"/>
      <w:r>
        <w:t>MS[</w:t>
      </w:r>
      <w:proofErr w:type="gramEnd"/>
      <w:r>
        <w:t>HL WBB], [the licensee] is being notified of a proposed new area-wide licensed service that will be operated within [X] MHz of [one/a number] of your existing licensed point to multipoint services.</w:t>
      </w:r>
    </w:p>
    <w:p w14:paraId="170F1489" w14:textId="0D040B62" w:rsidR="005C56F8" w:rsidRDefault="005C56F8" w:rsidP="005C56F8">
      <w:pPr>
        <w:pStyle w:val="Bulletlevel1last"/>
        <w:spacing w:after="80"/>
      </w:pPr>
      <w:r>
        <w:t>Information identifying the affected licensed service or services (e.g., licence number, site ID)</w:t>
      </w:r>
    </w:p>
    <w:p w14:paraId="6F355B42" w14:textId="24FC2849" w:rsidR="005C56F8" w:rsidRDefault="005C56F8" w:rsidP="005C56F8">
      <w:pPr>
        <w:pStyle w:val="Bulletlevel1last"/>
        <w:spacing w:after="80"/>
      </w:pPr>
      <w:r>
        <w:t>Details of the proposed area-wide licensed service required for the coordination of services (e.g., location, transmitter characteristics, receiver characteristics etc); and</w:t>
      </w:r>
    </w:p>
    <w:p w14:paraId="17B57465" w14:textId="067402E7" w:rsidR="005C56F8" w:rsidRDefault="005C56F8" w:rsidP="005C56F8">
      <w:pPr>
        <w:pStyle w:val="Bulletlevel1last"/>
      </w:pPr>
      <w:r>
        <w:t>Contact details of an appropriate person for further discussion of the issue</w:t>
      </w:r>
    </w:p>
    <w:p w14:paraId="2BA0088C" w14:textId="3574B847" w:rsidR="008906DC" w:rsidRDefault="008906DC" w:rsidP="008906DC">
      <w:pPr>
        <w:pStyle w:val="Bulletlevel1last"/>
        <w:numPr>
          <w:ilvl w:val="0"/>
          <w:numId w:val="0"/>
        </w:numPr>
        <w:ind w:left="295" w:hanging="295"/>
      </w:pPr>
    </w:p>
    <w:p w14:paraId="283E6466" w14:textId="28B5FACF" w:rsidR="002405A2" w:rsidRDefault="002405A2" w:rsidP="008906DC">
      <w:pPr>
        <w:pStyle w:val="Paragraph"/>
      </w:pPr>
      <w:r>
        <w:t xml:space="preserve"> </w:t>
      </w:r>
      <w:r w:rsidR="008906DC">
        <w:t xml:space="preserve"> </w:t>
      </w:r>
    </w:p>
    <w:p w14:paraId="62F9C6C1" w14:textId="234AC5CA" w:rsidR="002405A2" w:rsidRDefault="002405A2" w:rsidP="008906DC">
      <w:pPr>
        <w:pStyle w:val="Paragraph"/>
      </w:pPr>
    </w:p>
    <w:p w14:paraId="3ED96D6E" w14:textId="7FD8217F" w:rsidR="002405A2" w:rsidRPr="00E162C4" w:rsidRDefault="002405A2" w:rsidP="002405A2">
      <w:pPr>
        <w:pStyle w:val="Heading1"/>
      </w:pPr>
      <w:bookmarkStart w:id="169" w:name="_Toc178948585"/>
      <w:r w:rsidRPr="00E162C4">
        <w:lastRenderedPageBreak/>
        <w:t xml:space="preserve">Appendix </w:t>
      </w:r>
      <w:r w:rsidR="00B9345F">
        <w:t>C</w:t>
      </w:r>
      <w:r w:rsidRPr="00E162C4">
        <w:t xml:space="preserve">: </w:t>
      </w:r>
      <w:r>
        <w:t>Development of PFD limits</w:t>
      </w:r>
      <w:bookmarkEnd w:id="169"/>
    </w:p>
    <w:p w14:paraId="3647EFA0" w14:textId="088A35E6" w:rsidR="002405A2" w:rsidRDefault="002405A2" w:rsidP="002405A2">
      <w:pPr>
        <w:pStyle w:val="Paragraph"/>
      </w:pPr>
      <w:r>
        <w:t xml:space="preserve">This section provides detail on how </w:t>
      </w:r>
      <w:r w:rsidR="002F26EC">
        <w:t xml:space="preserve">the </w:t>
      </w:r>
      <w:r>
        <w:t xml:space="preserve">ACMA developed the </w:t>
      </w:r>
      <w:r w:rsidR="002F26EC">
        <w:t>power flux density (</w:t>
      </w:r>
      <w:r>
        <w:t>PFD</w:t>
      </w:r>
      <w:r w:rsidR="002F26EC">
        <w:t>)</w:t>
      </w:r>
      <w:r>
        <w:t xml:space="preserve"> limits for HL WBB operating in the 3400-3475 MHz </w:t>
      </w:r>
      <w:r w:rsidR="00185350">
        <w:t>frequency range</w:t>
      </w:r>
      <w:r>
        <w:t xml:space="preserve">.  </w:t>
      </w:r>
    </w:p>
    <w:p w14:paraId="6BBCF003" w14:textId="184AFA39" w:rsidR="008906DC" w:rsidRDefault="00B702DD" w:rsidP="008906DC">
      <w:pPr>
        <w:pStyle w:val="Tableheading"/>
        <w:spacing w:before="480"/>
      </w:pPr>
      <w:r>
        <w:t>Derivation of proposed</w:t>
      </w:r>
      <w:r w:rsidR="008906DC">
        <w:t xml:space="preserve"> PFD limit at urban </w:t>
      </w:r>
      <w:r>
        <w:t>area</w:t>
      </w:r>
      <w:r w:rsidR="008906DC">
        <w:t xml:space="preserve"> boundaries</w:t>
      </w:r>
      <w:r w:rsidR="00720FCE">
        <w:t xml:space="preserve"> (BS</w:t>
      </w:r>
      <w:r w:rsidR="00720FCE">
        <w:sym w:font="Wingdings" w:char="F0E0"/>
      </w:r>
      <w:r w:rsidR="00720FCE">
        <w:t>CPE)</w:t>
      </w:r>
    </w:p>
    <w:tbl>
      <w:tblPr>
        <w:tblStyle w:val="TableGrid"/>
        <w:tblW w:w="8898" w:type="dxa"/>
        <w:tblInd w:w="-113" w:type="dxa"/>
        <w:tblCellMar>
          <w:top w:w="85" w:type="dxa"/>
          <w:bottom w:w="85" w:type="dxa"/>
        </w:tblCellMar>
        <w:tblLook w:val="04A0" w:firstRow="1" w:lastRow="0" w:firstColumn="1" w:lastColumn="0" w:noHBand="0" w:noVBand="1"/>
      </w:tblPr>
      <w:tblGrid>
        <w:gridCol w:w="846"/>
        <w:gridCol w:w="2097"/>
        <w:gridCol w:w="2127"/>
        <w:gridCol w:w="3828"/>
      </w:tblGrid>
      <w:tr w:rsidR="008906DC" w:rsidRPr="00DE2932" w14:paraId="49043FC9" w14:textId="77777777" w:rsidTr="00E813F4">
        <w:tc>
          <w:tcPr>
            <w:tcW w:w="846" w:type="dxa"/>
            <w:shd w:val="clear" w:color="auto" w:fill="595959" w:themeFill="text1" w:themeFillTint="A6"/>
          </w:tcPr>
          <w:p w14:paraId="4A5091C2" w14:textId="77777777" w:rsidR="008906DC" w:rsidRPr="00DE2932" w:rsidRDefault="008906DC" w:rsidP="008F79B3">
            <w:pPr>
              <w:spacing w:after="0"/>
              <w:jc w:val="center"/>
              <w:rPr>
                <w:b/>
                <w:bCs/>
                <w:color w:val="FFFFFF" w:themeColor="background1"/>
              </w:rPr>
            </w:pPr>
            <w:r w:rsidRPr="00DE2932">
              <w:rPr>
                <w:b/>
                <w:bCs/>
                <w:color w:val="FFFFFF" w:themeColor="background1"/>
              </w:rPr>
              <w:t>Item</w:t>
            </w:r>
          </w:p>
        </w:tc>
        <w:tc>
          <w:tcPr>
            <w:tcW w:w="2097" w:type="dxa"/>
            <w:shd w:val="clear" w:color="auto" w:fill="595959" w:themeFill="text1" w:themeFillTint="A6"/>
          </w:tcPr>
          <w:p w14:paraId="0FF4A442" w14:textId="77777777" w:rsidR="008906DC" w:rsidRPr="00DE2932" w:rsidRDefault="008906DC" w:rsidP="008F79B3">
            <w:pPr>
              <w:spacing w:after="0"/>
              <w:rPr>
                <w:b/>
                <w:bCs/>
                <w:color w:val="FFFFFF" w:themeColor="background1"/>
              </w:rPr>
            </w:pPr>
            <w:r w:rsidRPr="00DE2932">
              <w:rPr>
                <w:b/>
                <w:bCs/>
                <w:color w:val="FFFFFF" w:themeColor="background1"/>
              </w:rPr>
              <w:t>Parameter</w:t>
            </w:r>
          </w:p>
        </w:tc>
        <w:tc>
          <w:tcPr>
            <w:tcW w:w="2127" w:type="dxa"/>
            <w:shd w:val="clear" w:color="auto" w:fill="595959" w:themeFill="text1" w:themeFillTint="A6"/>
          </w:tcPr>
          <w:p w14:paraId="374E3738" w14:textId="77777777" w:rsidR="008906DC" w:rsidRPr="00DE2932" w:rsidRDefault="008906DC" w:rsidP="008F79B3">
            <w:pPr>
              <w:spacing w:after="0"/>
              <w:rPr>
                <w:b/>
                <w:bCs/>
                <w:color w:val="FFFFFF" w:themeColor="background1"/>
              </w:rPr>
            </w:pPr>
            <w:r w:rsidRPr="00DE2932">
              <w:rPr>
                <w:b/>
                <w:bCs/>
                <w:color w:val="FFFFFF" w:themeColor="background1"/>
              </w:rPr>
              <w:t>Value</w:t>
            </w:r>
          </w:p>
        </w:tc>
        <w:tc>
          <w:tcPr>
            <w:tcW w:w="3828" w:type="dxa"/>
            <w:shd w:val="clear" w:color="auto" w:fill="595959" w:themeFill="text1" w:themeFillTint="A6"/>
          </w:tcPr>
          <w:p w14:paraId="4EA91E82" w14:textId="77777777" w:rsidR="008906DC" w:rsidRPr="00DE2932" w:rsidRDefault="008906DC" w:rsidP="008F79B3">
            <w:pPr>
              <w:spacing w:after="0"/>
              <w:rPr>
                <w:b/>
                <w:bCs/>
                <w:color w:val="FFFFFF" w:themeColor="background1"/>
              </w:rPr>
            </w:pPr>
            <w:r w:rsidRPr="00DE2932">
              <w:rPr>
                <w:b/>
                <w:bCs/>
                <w:color w:val="FFFFFF" w:themeColor="background1"/>
              </w:rPr>
              <w:t>Reference</w:t>
            </w:r>
          </w:p>
        </w:tc>
      </w:tr>
      <w:tr w:rsidR="008906DC" w14:paraId="595F96D9" w14:textId="77777777" w:rsidTr="00E813F4">
        <w:tc>
          <w:tcPr>
            <w:tcW w:w="846" w:type="dxa"/>
            <w:shd w:val="clear" w:color="auto" w:fill="F2F2F2" w:themeFill="background1" w:themeFillShade="F2"/>
          </w:tcPr>
          <w:p w14:paraId="430FE4B3" w14:textId="77777777" w:rsidR="008906DC" w:rsidRPr="00506474" w:rsidRDefault="008906DC" w:rsidP="008F79B3">
            <w:pPr>
              <w:spacing w:after="0"/>
              <w:jc w:val="center"/>
              <w:rPr>
                <w:b/>
                <w:bCs/>
              </w:rPr>
            </w:pPr>
            <w:r w:rsidRPr="00506474">
              <w:rPr>
                <w:b/>
                <w:bCs/>
              </w:rPr>
              <w:t>A</w:t>
            </w:r>
          </w:p>
        </w:tc>
        <w:tc>
          <w:tcPr>
            <w:tcW w:w="2097" w:type="dxa"/>
          </w:tcPr>
          <w:p w14:paraId="53C58955" w14:textId="7733C643" w:rsidR="008906DC" w:rsidRDefault="008906DC" w:rsidP="008F79B3">
            <w:pPr>
              <w:spacing w:after="0"/>
            </w:pPr>
            <w:r>
              <w:t>C</w:t>
            </w:r>
            <w:r w:rsidR="002F26EC">
              <w:t>onsumer premise Equipment (CPE)</w:t>
            </w:r>
            <w:r>
              <w:t xml:space="preserve"> antenna gain</w:t>
            </w:r>
          </w:p>
        </w:tc>
        <w:tc>
          <w:tcPr>
            <w:tcW w:w="2127" w:type="dxa"/>
          </w:tcPr>
          <w:p w14:paraId="5C3267B4" w14:textId="77777777" w:rsidR="008906DC" w:rsidRDefault="008906DC" w:rsidP="008F79B3">
            <w:pPr>
              <w:spacing w:after="0"/>
            </w:pPr>
            <w:r>
              <w:t xml:space="preserve">20 </w:t>
            </w:r>
            <w:proofErr w:type="spellStart"/>
            <w:r>
              <w:t>dBi</w:t>
            </w:r>
            <w:proofErr w:type="spellEnd"/>
          </w:p>
        </w:tc>
        <w:tc>
          <w:tcPr>
            <w:tcW w:w="3828" w:type="dxa"/>
          </w:tcPr>
          <w:p w14:paraId="29C3C3D1" w14:textId="77777777" w:rsidR="008906DC" w:rsidRDefault="00B702DD" w:rsidP="008F79B3">
            <w:pPr>
              <w:spacing w:after="0"/>
            </w:pPr>
            <w:r>
              <w:t xml:space="preserve">Typical </w:t>
            </w:r>
            <w:proofErr w:type="gramStart"/>
            <w:r>
              <w:t>a</w:t>
            </w:r>
            <w:r w:rsidR="008906DC">
              <w:t>ntenna</w:t>
            </w:r>
            <w:proofErr w:type="gramEnd"/>
            <w:r w:rsidR="008906DC">
              <w:t xml:space="preserve"> gain for </w:t>
            </w:r>
            <w:r w:rsidR="008906DC" w:rsidRPr="00096E81">
              <w:t>nbn</w:t>
            </w:r>
            <w:r w:rsidR="008906DC">
              <w:t xml:space="preserve"> </w:t>
            </w:r>
            <w:r>
              <w:t>b</w:t>
            </w:r>
            <w:r w:rsidR="008906DC">
              <w:t>42 CPE</w:t>
            </w:r>
          </w:p>
          <w:p w14:paraId="14C15ED4" w14:textId="73D377AB" w:rsidR="008906DC" w:rsidRDefault="008906DC" w:rsidP="008F79B3">
            <w:pPr>
              <w:spacing w:after="0"/>
            </w:pPr>
          </w:p>
        </w:tc>
      </w:tr>
      <w:tr w:rsidR="008906DC" w14:paraId="322B8F33" w14:textId="77777777" w:rsidTr="00E813F4">
        <w:tc>
          <w:tcPr>
            <w:tcW w:w="846" w:type="dxa"/>
            <w:shd w:val="clear" w:color="auto" w:fill="F2F2F2" w:themeFill="background1" w:themeFillShade="F2"/>
          </w:tcPr>
          <w:p w14:paraId="432AE6A3" w14:textId="77777777" w:rsidR="008906DC" w:rsidRPr="00506474" w:rsidRDefault="008906DC" w:rsidP="008F79B3">
            <w:pPr>
              <w:spacing w:after="0"/>
              <w:jc w:val="center"/>
              <w:rPr>
                <w:b/>
                <w:bCs/>
              </w:rPr>
            </w:pPr>
            <w:r w:rsidRPr="00506474">
              <w:rPr>
                <w:b/>
                <w:bCs/>
              </w:rPr>
              <w:t>B</w:t>
            </w:r>
          </w:p>
        </w:tc>
        <w:tc>
          <w:tcPr>
            <w:tcW w:w="2097" w:type="dxa"/>
          </w:tcPr>
          <w:p w14:paraId="5FDED2F4" w14:textId="77777777" w:rsidR="008906DC" w:rsidRDefault="008906DC" w:rsidP="008F79B3">
            <w:pPr>
              <w:spacing w:after="0"/>
            </w:pPr>
            <w:r>
              <w:rPr>
                <w:rFonts w:eastAsiaTheme="minorEastAsia"/>
              </w:rPr>
              <w:t>Effective antenna aperture</w:t>
            </w:r>
          </w:p>
        </w:tc>
        <w:tc>
          <w:tcPr>
            <w:tcW w:w="2127" w:type="dxa"/>
          </w:tcPr>
          <w:p w14:paraId="024FCF62" w14:textId="42697838" w:rsidR="008906DC" w:rsidRPr="004E3262" w:rsidRDefault="008906DC" w:rsidP="008F79B3">
            <w:pPr>
              <w:spacing w:after="0"/>
            </w:pPr>
            <w:r>
              <w:t>-1</w:t>
            </w:r>
            <w:r w:rsidR="00512E33">
              <w:t>2.1</w:t>
            </w:r>
            <w:r>
              <w:t xml:space="preserve"> dB(m</w:t>
            </w:r>
            <w:r>
              <w:rPr>
                <w:vertAlign w:val="superscript"/>
              </w:rPr>
              <w:t>2</w:t>
            </w:r>
            <w:r>
              <w:t>)</w:t>
            </w:r>
          </w:p>
        </w:tc>
        <w:tc>
          <w:tcPr>
            <w:tcW w:w="3828" w:type="dxa"/>
          </w:tcPr>
          <w:p w14:paraId="4AD395ED" w14:textId="77777777" w:rsidR="008906DC" w:rsidRDefault="008906DC" w:rsidP="008F79B3">
            <w:pPr>
              <w:spacing w:after="0"/>
            </w:pPr>
            <w:r>
              <w:t>Equation 2, for frequency of 3400 MHz</w:t>
            </w:r>
          </w:p>
        </w:tc>
      </w:tr>
      <w:tr w:rsidR="008906DC" w14:paraId="4989B62C" w14:textId="77777777" w:rsidTr="00E813F4">
        <w:tc>
          <w:tcPr>
            <w:tcW w:w="846" w:type="dxa"/>
            <w:shd w:val="clear" w:color="auto" w:fill="F2F2F2" w:themeFill="background1" w:themeFillShade="F2"/>
          </w:tcPr>
          <w:p w14:paraId="4C2169CC" w14:textId="77777777" w:rsidR="008906DC" w:rsidRPr="00506474" w:rsidRDefault="008906DC" w:rsidP="008F79B3">
            <w:pPr>
              <w:spacing w:after="0"/>
              <w:jc w:val="center"/>
              <w:rPr>
                <w:b/>
                <w:bCs/>
              </w:rPr>
            </w:pPr>
            <w:r w:rsidRPr="00506474">
              <w:rPr>
                <w:b/>
                <w:bCs/>
              </w:rPr>
              <w:t>C</w:t>
            </w:r>
          </w:p>
        </w:tc>
        <w:tc>
          <w:tcPr>
            <w:tcW w:w="2097" w:type="dxa"/>
          </w:tcPr>
          <w:p w14:paraId="38E4A1E2" w14:textId="77777777" w:rsidR="008906DC" w:rsidRDefault="008906DC" w:rsidP="008F79B3">
            <w:pPr>
              <w:spacing w:after="0"/>
            </w:pPr>
            <w:r>
              <w:t>CPE noise figure</w:t>
            </w:r>
          </w:p>
        </w:tc>
        <w:tc>
          <w:tcPr>
            <w:tcW w:w="2127" w:type="dxa"/>
          </w:tcPr>
          <w:p w14:paraId="36232EB9" w14:textId="77777777" w:rsidR="008906DC" w:rsidRDefault="008906DC" w:rsidP="008F79B3">
            <w:pPr>
              <w:spacing w:after="0"/>
            </w:pPr>
            <w:r>
              <w:t>7 dB</w:t>
            </w:r>
          </w:p>
        </w:tc>
        <w:tc>
          <w:tcPr>
            <w:tcW w:w="3828" w:type="dxa"/>
          </w:tcPr>
          <w:p w14:paraId="7EC43DF4" w14:textId="2808366C" w:rsidR="008906DC" w:rsidRDefault="008906DC" w:rsidP="008F79B3">
            <w:pPr>
              <w:spacing w:after="0"/>
            </w:pPr>
            <w:r>
              <w:t>Representative noise figure</w:t>
            </w:r>
            <w:r w:rsidR="002F26EC">
              <w:t xml:space="preserve"> of nbn CPE</w:t>
            </w:r>
          </w:p>
        </w:tc>
      </w:tr>
      <w:tr w:rsidR="008906DC" w14:paraId="70D6824B" w14:textId="77777777" w:rsidTr="00E813F4">
        <w:tc>
          <w:tcPr>
            <w:tcW w:w="846" w:type="dxa"/>
            <w:shd w:val="clear" w:color="auto" w:fill="F2F2F2" w:themeFill="background1" w:themeFillShade="F2"/>
          </w:tcPr>
          <w:p w14:paraId="431E8BA1" w14:textId="77777777" w:rsidR="008906DC" w:rsidRPr="00506474" w:rsidRDefault="008906DC" w:rsidP="008F79B3">
            <w:pPr>
              <w:spacing w:after="0"/>
              <w:jc w:val="center"/>
              <w:rPr>
                <w:b/>
                <w:bCs/>
              </w:rPr>
            </w:pPr>
            <w:r w:rsidRPr="00506474">
              <w:rPr>
                <w:b/>
                <w:bCs/>
              </w:rPr>
              <w:t>D</w:t>
            </w:r>
          </w:p>
        </w:tc>
        <w:tc>
          <w:tcPr>
            <w:tcW w:w="2097" w:type="dxa"/>
          </w:tcPr>
          <w:p w14:paraId="05DF6A92" w14:textId="77777777" w:rsidR="008906DC" w:rsidRDefault="008906DC" w:rsidP="008F79B3">
            <w:pPr>
              <w:spacing w:after="0"/>
            </w:pPr>
            <w:r>
              <w:t>Thermal noise</w:t>
            </w:r>
          </w:p>
        </w:tc>
        <w:tc>
          <w:tcPr>
            <w:tcW w:w="2127" w:type="dxa"/>
          </w:tcPr>
          <w:p w14:paraId="670816AA" w14:textId="77777777" w:rsidR="008906DC" w:rsidRDefault="008906DC" w:rsidP="008F79B3">
            <w:pPr>
              <w:spacing w:after="0"/>
            </w:pPr>
            <w:r>
              <w:t>-114 dBm/MHz</w:t>
            </w:r>
          </w:p>
        </w:tc>
        <w:tc>
          <w:tcPr>
            <w:tcW w:w="3828" w:type="dxa"/>
          </w:tcPr>
          <w:p w14:paraId="3C5A575E" w14:textId="77777777" w:rsidR="008906DC" w:rsidRDefault="008906DC" w:rsidP="008F79B3">
            <w:pPr>
              <w:spacing w:after="0"/>
            </w:pPr>
            <w:r>
              <w:t xml:space="preserve">= </w:t>
            </w:r>
            <w:proofErr w:type="spellStart"/>
            <w:r>
              <w:t>kTB</w:t>
            </w:r>
            <w:proofErr w:type="spellEnd"/>
            <w:r>
              <w:t>, assuming T = 293 K</w:t>
            </w:r>
          </w:p>
        </w:tc>
      </w:tr>
      <w:tr w:rsidR="008906DC" w14:paraId="3D8E063F" w14:textId="77777777" w:rsidTr="00E813F4">
        <w:tc>
          <w:tcPr>
            <w:tcW w:w="846" w:type="dxa"/>
            <w:shd w:val="clear" w:color="auto" w:fill="F2F2F2" w:themeFill="background1" w:themeFillShade="F2"/>
          </w:tcPr>
          <w:p w14:paraId="70516C95" w14:textId="77777777" w:rsidR="008906DC" w:rsidRPr="00506474" w:rsidRDefault="008906DC" w:rsidP="008F79B3">
            <w:pPr>
              <w:spacing w:after="0"/>
              <w:jc w:val="center"/>
              <w:rPr>
                <w:b/>
                <w:bCs/>
              </w:rPr>
            </w:pPr>
            <w:r w:rsidRPr="00506474">
              <w:rPr>
                <w:b/>
                <w:bCs/>
              </w:rPr>
              <w:t>E</w:t>
            </w:r>
          </w:p>
        </w:tc>
        <w:tc>
          <w:tcPr>
            <w:tcW w:w="2097" w:type="dxa"/>
          </w:tcPr>
          <w:p w14:paraId="7EBF7B59" w14:textId="77777777" w:rsidR="008906DC" w:rsidRDefault="008906DC" w:rsidP="008F79B3">
            <w:pPr>
              <w:spacing w:after="0"/>
            </w:pPr>
            <w:r>
              <w:t>I/N</w:t>
            </w:r>
          </w:p>
        </w:tc>
        <w:tc>
          <w:tcPr>
            <w:tcW w:w="2127" w:type="dxa"/>
          </w:tcPr>
          <w:p w14:paraId="12EC02D7" w14:textId="77777777" w:rsidR="008906DC" w:rsidRDefault="008906DC" w:rsidP="008F79B3">
            <w:pPr>
              <w:spacing w:after="0"/>
            </w:pPr>
            <w:r>
              <w:t>-5 dB</w:t>
            </w:r>
          </w:p>
        </w:tc>
        <w:tc>
          <w:tcPr>
            <w:tcW w:w="3828" w:type="dxa"/>
          </w:tcPr>
          <w:p w14:paraId="0335AF2D" w14:textId="77777777" w:rsidR="008906DC" w:rsidRDefault="008906DC" w:rsidP="008F79B3">
            <w:pPr>
              <w:spacing w:after="0"/>
            </w:pPr>
            <w:r>
              <w:t>Provided by nbn</w:t>
            </w:r>
          </w:p>
        </w:tc>
      </w:tr>
      <w:tr w:rsidR="008906DC" w14:paraId="53EC458E" w14:textId="77777777" w:rsidTr="00E813F4">
        <w:tc>
          <w:tcPr>
            <w:tcW w:w="846" w:type="dxa"/>
            <w:shd w:val="clear" w:color="auto" w:fill="F2F2F2" w:themeFill="background1" w:themeFillShade="F2"/>
          </w:tcPr>
          <w:p w14:paraId="0C9281DF" w14:textId="77777777" w:rsidR="008906DC" w:rsidRPr="00506474" w:rsidRDefault="008906DC" w:rsidP="008F79B3">
            <w:pPr>
              <w:spacing w:after="0"/>
              <w:jc w:val="center"/>
              <w:rPr>
                <w:b/>
                <w:bCs/>
              </w:rPr>
            </w:pPr>
            <w:r w:rsidRPr="00506474">
              <w:rPr>
                <w:b/>
                <w:bCs/>
              </w:rPr>
              <w:t>F</w:t>
            </w:r>
          </w:p>
        </w:tc>
        <w:tc>
          <w:tcPr>
            <w:tcW w:w="2097" w:type="dxa"/>
          </w:tcPr>
          <w:p w14:paraId="6B8D1077" w14:textId="77777777" w:rsidR="008906DC" w:rsidRDefault="008906DC" w:rsidP="008F79B3">
            <w:pPr>
              <w:spacing w:after="0"/>
            </w:pPr>
            <w:r>
              <w:t xml:space="preserve">Max. interference </w:t>
            </w:r>
          </w:p>
        </w:tc>
        <w:tc>
          <w:tcPr>
            <w:tcW w:w="2127" w:type="dxa"/>
          </w:tcPr>
          <w:p w14:paraId="1DBD97E0" w14:textId="77777777" w:rsidR="008906DC" w:rsidRDefault="008906DC" w:rsidP="008F79B3">
            <w:pPr>
              <w:spacing w:after="0"/>
            </w:pPr>
            <w:r>
              <w:t>-112 dBm/MHz</w:t>
            </w:r>
          </w:p>
        </w:tc>
        <w:tc>
          <w:tcPr>
            <w:tcW w:w="3828" w:type="dxa"/>
          </w:tcPr>
          <w:p w14:paraId="0D781C8F" w14:textId="77777777" w:rsidR="008906DC" w:rsidRDefault="008906DC" w:rsidP="008F79B3">
            <w:pPr>
              <w:spacing w:after="0"/>
            </w:pPr>
            <w:r>
              <w:t>=C+D+E</w:t>
            </w:r>
          </w:p>
        </w:tc>
      </w:tr>
      <w:tr w:rsidR="008906DC" w14:paraId="33203DBD" w14:textId="77777777" w:rsidTr="00E813F4">
        <w:tc>
          <w:tcPr>
            <w:tcW w:w="846" w:type="dxa"/>
            <w:shd w:val="clear" w:color="auto" w:fill="F2F2F2" w:themeFill="background1" w:themeFillShade="F2"/>
          </w:tcPr>
          <w:p w14:paraId="2A354DDA" w14:textId="77777777" w:rsidR="008906DC" w:rsidRPr="00506474" w:rsidRDefault="008906DC" w:rsidP="008F79B3">
            <w:pPr>
              <w:spacing w:after="0"/>
              <w:jc w:val="center"/>
              <w:rPr>
                <w:b/>
                <w:bCs/>
              </w:rPr>
            </w:pPr>
            <w:r w:rsidRPr="00506474">
              <w:rPr>
                <w:b/>
                <w:bCs/>
              </w:rPr>
              <w:t>G</w:t>
            </w:r>
          </w:p>
        </w:tc>
        <w:tc>
          <w:tcPr>
            <w:tcW w:w="2097" w:type="dxa"/>
          </w:tcPr>
          <w:p w14:paraId="59F861EF" w14:textId="77777777" w:rsidR="008906DC" w:rsidRDefault="008906DC" w:rsidP="008F79B3">
            <w:pPr>
              <w:spacing w:after="0"/>
            </w:pPr>
            <w:r>
              <w:t>PFD limit</w:t>
            </w:r>
          </w:p>
        </w:tc>
        <w:tc>
          <w:tcPr>
            <w:tcW w:w="2127" w:type="dxa"/>
          </w:tcPr>
          <w:p w14:paraId="28D20171" w14:textId="77777777" w:rsidR="008906DC" w:rsidRPr="00340F7D" w:rsidRDefault="008906DC" w:rsidP="008F79B3">
            <w:pPr>
              <w:spacing w:after="0"/>
            </w:pPr>
            <w:r>
              <w:t>-99.9 dBm/(m</w:t>
            </w:r>
            <w:proofErr w:type="gramStart"/>
            <w:r>
              <w:rPr>
                <w:vertAlign w:val="superscript"/>
              </w:rPr>
              <w:t>2</w:t>
            </w:r>
            <w:r>
              <w:t>.MHz</w:t>
            </w:r>
            <w:proofErr w:type="gramEnd"/>
            <w:r>
              <w:t>)</w:t>
            </w:r>
          </w:p>
        </w:tc>
        <w:tc>
          <w:tcPr>
            <w:tcW w:w="3828" w:type="dxa"/>
          </w:tcPr>
          <w:p w14:paraId="1B8E09F2" w14:textId="77777777" w:rsidR="008906DC" w:rsidRDefault="008906DC" w:rsidP="008F79B3">
            <w:pPr>
              <w:spacing w:after="0"/>
            </w:pPr>
            <w:r>
              <w:t>Equation 1, assumes non-AAS</w:t>
            </w:r>
          </w:p>
        </w:tc>
      </w:tr>
    </w:tbl>
    <w:p w14:paraId="1E8AF211" w14:textId="4BBA8FC2" w:rsidR="00720FCE" w:rsidRDefault="00720FCE" w:rsidP="00720FCE">
      <w:pPr>
        <w:pStyle w:val="Tableheading"/>
        <w:spacing w:before="480"/>
      </w:pPr>
      <w:r>
        <w:t>Derivation of proposed PFD limit at urban area boundaries (BS</w:t>
      </w:r>
      <w:r>
        <w:sym w:font="Wingdings" w:char="F0E0"/>
      </w:r>
      <w:r>
        <w:t>BS)</w:t>
      </w:r>
    </w:p>
    <w:tbl>
      <w:tblPr>
        <w:tblStyle w:val="TableGrid"/>
        <w:tblW w:w="8898" w:type="dxa"/>
        <w:tblInd w:w="-113" w:type="dxa"/>
        <w:tblCellMar>
          <w:top w:w="85" w:type="dxa"/>
          <w:bottom w:w="85" w:type="dxa"/>
        </w:tblCellMar>
        <w:tblLook w:val="04A0" w:firstRow="1" w:lastRow="0" w:firstColumn="1" w:lastColumn="0" w:noHBand="0" w:noVBand="1"/>
      </w:tblPr>
      <w:tblGrid>
        <w:gridCol w:w="846"/>
        <w:gridCol w:w="2097"/>
        <w:gridCol w:w="2127"/>
        <w:gridCol w:w="3828"/>
      </w:tblGrid>
      <w:tr w:rsidR="00720FCE" w:rsidRPr="00DE2932" w14:paraId="609B8284" w14:textId="77777777" w:rsidTr="00E813F4">
        <w:tc>
          <w:tcPr>
            <w:tcW w:w="846" w:type="dxa"/>
            <w:shd w:val="clear" w:color="auto" w:fill="595959" w:themeFill="text1" w:themeFillTint="A6"/>
          </w:tcPr>
          <w:p w14:paraId="537545F9" w14:textId="77777777" w:rsidR="00720FCE" w:rsidRPr="00DE2932" w:rsidRDefault="00720FCE" w:rsidP="008F79B3">
            <w:pPr>
              <w:spacing w:after="0"/>
              <w:jc w:val="center"/>
              <w:rPr>
                <w:b/>
                <w:bCs/>
                <w:color w:val="FFFFFF" w:themeColor="background1"/>
              </w:rPr>
            </w:pPr>
            <w:r w:rsidRPr="00DE2932">
              <w:rPr>
                <w:b/>
                <w:bCs/>
                <w:color w:val="FFFFFF" w:themeColor="background1"/>
              </w:rPr>
              <w:t>Item</w:t>
            </w:r>
          </w:p>
        </w:tc>
        <w:tc>
          <w:tcPr>
            <w:tcW w:w="2097" w:type="dxa"/>
            <w:shd w:val="clear" w:color="auto" w:fill="595959" w:themeFill="text1" w:themeFillTint="A6"/>
          </w:tcPr>
          <w:p w14:paraId="550A4C74" w14:textId="77777777" w:rsidR="00720FCE" w:rsidRPr="00DE2932" w:rsidRDefault="00720FCE" w:rsidP="008F79B3">
            <w:pPr>
              <w:spacing w:after="0"/>
              <w:rPr>
                <w:b/>
                <w:bCs/>
                <w:color w:val="FFFFFF" w:themeColor="background1"/>
              </w:rPr>
            </w:pPr>
            <w:r w:rsidRPr="00DE2932">
              <w:rPr>
                <w:b/>
                <w:bCs/>
                <w:color w:val="FFFFFF" w:themeColor="background1"/>
              </w:rPr>
              <w:t>Parameter</w:t>
            </w:r>
          </w:p>
        </w:tc>
        <w:tc>
          <w:tcPr>
            <w:tcW w:w="2127" w:type="dxa"/>
            <w:shd w:val="clear" w:color="auto" w:fill="595959" w:themeFill="text1" w:themeFillTint="A6"/>
          </w:tcPr>
          <w:p w14:paraId="0723E6AB" w14:textId="77777777" w:rsidR="00720FCE" w:rsidRPr="00DE2932" w:rsidRDefault="00720FCE" w:rsidP="008F79B3">
            <w:pPr>
              <w:spacing w:after="0"/>
              <w:rPr>
                <w:b/>
                <w:bCs/>
                <w:color w:val="FFFFFF" w:themeColor="background1"/>
              </w:rPr>
            </w:pPr>
            <w:r w:rsidRPr="00DE2932">
              <w:rPr>
                <w:b/>
                <w:bCs/>
                <w:color w:val="FFFFFF" w:themeColor="background1"/>
              </w:rPr>
              <w:t>Value</w:t>
            </w:r>
          </w:p>
        </w:tc>
        <w:tc>
          <w:tcPr>
            <w:tcW w:w="3828" w:type="dxa"/>
            <w:shd w:val="clear" w:color="auto" w:fill="595959" w:themeFill="text1" w:themeFillTint="A6"/>
          </w:tcPr>
          <w:p w14:paraId="0754F083" w14:textId="77777777" w:rsidR="00720FCE" w:rsidRPr="00DE2932" w:rsidRDefault="00720FCE" w:rsidP="008F79B3">
            <w:pPr>
              <w:spacing w:after="0"/>
              <w:rPr>
                <w:b/>
                <w:bCs/>
                <w:color w:val="FFFFFF" w:themeColor="background1"/>
              </w:rPr>
            </w:pPr>
            <w:r w:rsidRPr="00DE2932">
              <w:rPr>
                <w:b/>
                <w:bCs/>
                <w:color w:val="FFFFFF" w:themeColor="background1"/>
              </w:rPr>
              <w:t>Reference</w:t>
            </w:r>
          </w:p>
        </w:tc>
      </w:tr>
      <w:tr w:rsidR="00720FCE" w14:paraId="280D7EAB" w14:textId="77777777" w:rsidTr="00E813F4">
        <w:tc>
          <w:tcPr>
            <w:tcW w:w="846" w:type="dxa"/>
            <w:shd w:val="clear" w:color="auto" w:fill="F2F2F2" w:themeFill="background1" w:themeFillShade="F2"/>
          </w:tcPr>
          <w:p w14:paraId="48EAF33F" w14:textId="77777777" w:rsidR="00720FCE" w:rsidRPr="00506474" w:rsidRDefault="00720FCE" w:rsidP="008F79B3">
            <w:pPr>
              <w:spacing w:after="0"/>
              <w:jc w:val="center"/>
              <w:rPr>
                <w:b/>
                <w:bCs/>
              </w:rPr>
            </w:pPr>
            <w:r w:rsidRPr="00506474">
              <w:rPr>
                <w:b/>
                <w:bCs/>
              </w:rPr>
              <w:t>A</w:t>
            </w:r>
          </w:p>
        </w:tc>
        <w:tc>
          <w:tcPr>
            <w:tcW w:w="2097" w:type="dxa"/>
          </w:tcPr>
          <w:p w14:paraId="788283F0" w14:textId="1CD20DFF" w:rsidR="00720FCE" w:rsidRDefault="00720FCE" w:rsidP="008F79B3">
            <w:pPr>
              <w:spacing w:after="0"/>
            </w:pPr>
            <w:r>
              <w:t>Base station antenna gain</w:t>
            </w:r>
          </w:p>
        </w:tc>
        <w:tc>
          <w:tcPr>
            <w:tcW w:w="2127" w:type="dxa"/>
          </w:tcPr>
          <w:p w14:paraId="420C760A" w14:textId="43352C63" w:rsidR="00720FCE" w:rsidRDefault="00720FCE" w:rsidP="008F79B3">
            <w:pPr>
              <w:spacing w:after="0"/>
            </w:pPr>
            <w:r>
              <w:t xml:space="preserve">25 </w:t>
            </w:r>
            <w:proofErr w:type="spellStart"/>
            <w:r>
              <w:t>dBi</w:t>
            </w:r>
            <w:proofErr w:type="spellEnd"/>
          </w:p>
        </w:tc>
        <w:tc>
          <w:tcPr>
            <w:tcW w:w="3828" w:type="dxa"/>
          </w:tcPr>
          <w:p w14:paraId="73192E2E" w14:textId="21E9FD39" w:rsidR="00720FCE" w:rsidRDefault="00720FCE" w:rsidP="008F79B3">
            <w:pPr>
              <w:spacing w:after="0"/>
            </w:pPr>
            <w:r>
              <w:t xml:space="preserve">Maximum </w:t>
            </w:r>
            <w:proofErr w:type="gramStart"/>
            <w:r>
              <w:t>antenna</w:t>
            </w:r>
            <w:proofErr w:type="gramEnd"/>
            <w:r>
              <w:t xml:space="preserve"> gain on RRL for nbn base stations (assumes a Lens antenna)</w:t>
            </w:r>
          </w:p>
        </w:tc>
      </w:tr>
      <w:tr w:rsidR="00720FCE" w14:paraId="136D5EA6" w14:textId="77777777" w:rsidTr="00E813F4">
        <w:tc>
          <w:tcPr>
            <w:tcW w:w="846" w:type="dxa"/>
            <w:shd w:val="clear" w:color="auto" w:fill="F2F2F2" w:themeFill="background1" w:themeFillShade="F2"/>
          </w:tcPr>
          <w:p w14:paraId="28C12596" w14:textId="77777777" w:rsidR="00720FCE" w:rsidRPr="00506474" w:rsidRDefault="00720FCE" w:rsidP="008F79B3">
            <w:pPr>
              <w:spacing w:after="0"/>
              <w:jc w:val="center"/>
              <w:rPr>
                <w:b/>
                <w:bCs/>
              </w:rPr>
            </w:pPr>
            <w:r w:rsidRPr="00506474">
              <w:rPr>
                <w:b/>
                <w:bCs/>
              </w:rPr>
              <w:t>B</w:t>
            </w:r>
          </w:p>
        </w:tc>
        <w:tc>
          <w:tcPr>
            <w:tcW w:w="2097" w:type="dxa"/>
          </w:tcPr>
          <w:p w14:paraId="14CBBF91" w14:textId="77777777" w:rsidR="00720FCE" w:rsidRDefault="00720FCE" w:rsidP="008F79B3">
            <w:pPr>
              <w:spacing w:after="0"/>
            </w:pPr>
            <w:r>
              <w:rPr>
                <w:rFonts w:eastAsiaTheme="minorEastAsia"/>
              </w:rPr>
              <w:t>Effective antenna aperture</w:t>
            </w:r>
          </w:p>
        </w:tc>
        <w:tc>
          <w:tcPr>
            <w:tcW w:w="2127" w:type="dxa"/>
          </w:tcPr>
          <w:p w14:paraId="6780C982" w14:textId="112DB0E2" w:rsidR="00720FCE" w:rsidRPr="004E3262" w:rsidRDefault="00720FCE" w:rsidP="008F79B3">
            <w:pPr>
              <w:spacing w:after="0"/>
            </w:pPr>
            <w:r>
              <w:t>-</w:t>
            </w:r>
            <w:r w:rsidR="002A743B">
              <w:t>7.1</w:t>
            </w:r>
            <w:r>
              <w:t xml:space="preserve"> dB(m</w:t>
            </w:r>
            <w:r>
              <w:rPr>
                <w:vertAlign w:val="superscript"/>
              </w:rPr>
              <w:t>2</w:t>
            </w:r>
            <w:r>
              <w:t>)</w:t>
            </w:r>
          </w:p>
        </w:tc>
        <w:tc>
          <w:tcPr>
            <w:tcW w:w="3828" w:type="dxa"/>
          </w:tcPr>
          <w:p w14:paraId="52BF6408" w14:textId="77777777" w:rsidR="00720FCE" w:rsidRDefault="00720FCE" w:rsidP="008F79B3">
            <w:pPr>
              <w:spacing w:after="0"/>
            </w:pPr>
            <w:r>
              <w:t>Equation 2, for frequency of 3400 MHz</w:t>
            </w:r>
          </w:p>
        </w:tc>
      </w:tr>
      <w:tr w:rsidR="00720FCE" w14:paraId="024D7887" w14:textId="77777777" w:rsidTr="00E813F4">
        <w:tc>
          <w:tcPr>
            <w:tcW w:w="846" w:type="dxa"/>
            <w:shd w:val="clear" w:color="auto" w:fill="F2F2F2" w:themeFill="background1" w:themeFillShade="F2"/>
          </w:tcPr>
          <w:p w14:paraId="65D4D4AD" w14:textId="77777777" w:rsidR="00720FCE" w:rsidRPr="00506474" w:rsidRDefault="00720FCE" w:rsidP="008F79B3">
            <w:pPr>
              <w:spacing w:after="0"/>
              <w:jc w:val="center"/>
              <w:rPr>
                <w:b/>
                <w:bCs/>
              </w:rPr>
            </w:pPr>
            <w:r w:rsidRPr="00506474">
              <w:rPr>
                <w:b/>
                <w:bCs/>
              </w:rPr>
              <w:t>C</w:t>
            </w:r>
          </w:p>
        </w:tc>
        <w:tc>
          <w:tcPr>
            <w:tcW w:w="2097" w:type="dxa"/>
          </w:tcPr>
          <w:p w14:paraId="30EFF0E7" w14:textId="051860E8" w:rsidR="00720FCE" w:rsidRDefault="00720FCE" w:rsidP="008F79B3">
            <w:pPr>
              <w:spacing w:after="0"/>
            </w:pPr>
            <w:r>
              <w:t>noise figure</w:t>
            </w:r>
          </w:p>
        </w:tc>
        <w:tc>
          <w:tcPr>
            <w:tcW w:w="2127" w:type="dxa"/>
          </w:tcPr>
          <w:p w14:paraId="7FF991A6" w14:textId="77F267FE" w:rsidR="00720FCE" w:rsidRDefault="002A743B" w:rsidP="008F79B3">
            <w:pPr>
              <w:spacing w:after="0"/>
            </w:pPr>
            <w:r>
              <w:t>5</w:t>
            </w:r>
            <w:r w:rsidR="00720FCE">
              <w:t xml:space="preserve"> dB</w:t>
            </w:r>
          </w:p>
        </w:tc>
        <w:tc>
          <w:tcPr>
            <w:tcW w:w="3828" w:type="dxa"/>
          </w:tcPr>
          <w:p w14:paraId="2455954D" w14:textId="06EBFEE2" w:rsidR="00720FCE" w:rsidRDefault="00720FCE" w:rsidP="008F79B3">
            <w:pPr>
              <w:spacing w:after="0"/>
            </w:pPr>
            <w:r>
              <w:t>Recommendation ITU-R M.2292</w:t>
            </w:r>
          </w:p>
        </w:tc>
      </w:tr>
      <w:tr w:rsidR="00720FCE" w14:paraId="5EF6C958" w14:textId="77777777" w:rsidTr="00E813F4">
        <w:tc>
          <w:tcPr>
            <w:tcW w:w="846" w:type="dxa"/>
            <w:shd w:val="clear" w:color="auto" w:fill="F2F2F2" w:themeFill="background1" w:themeFillShade="F2"/>
          </w:tcPr>
          <w:p w14:paraId="71158671" w14:textId="77777777" w:rsidR="00720FCE" w:rsidRPr="00506474" w:rsidRDefault="00720FCE" w:rsidP="008F79B3">
            <w:pPr>
              <w:spacing w:after="0"/>
              <w:jc w:val="center"/>
              <w:rPr>
                <w:b/>
                <w:bCs/>
              </w:rPr>
            </w:pPr>
            <w:r w:rsidRPr="00506474">
              <w:rPr>
                <w:b/>
                <w:bCs/>
              </w:rPr>
              <w:t>D</w:t>
            </w:r>
          </w:p>
        </w:tc>
        <w:tc>
          <w:tcPr>
            <w:tcW w:w="2097" w:type="dxa"/>
          </w:tcPr>
          <w:p w14:paraId="61D38E1E" w14:textId="77777777" w:rsidR="00720FCE" w:rsidRDefault="00720FCE" w:rsidP="008F79B3">
            <w:pPr>
              <w:spacing w:after="0"/>
            </w:pPr>
            <w:r>
              <w:t>Thermal noise</w:t>
            </w:r>
          </w:p>
        </w:tc>
        <w:tc>
          <w:tcPr>
            <w:tcW w:w="2127" w:type="dxa"/>
          </w:tcPr>
          <w:p w14:paraId="0C00096A" w14:textId="77777777" w:rsidR="00720FCE" w:rsidRDefault="00720FCE" w:rsidP="008F79B3">
            <w:pPr>
              <w:spacing w:after="0"/>
            </w:pPr>
            <w:r>
              <w:t>-114 dBm/MHz</w:t>
            </w:r>
          </w:p>
        </w:tc>
        <w:tc>
          <w:tcPr>
            <w:tcW w:w="3828" w:type="dxa"/>
          </w:tcPr>
          <w:p w14:paraId="7875EC4A" w14:textId="77777777" w:rsidR="00720FCE" w:rsidRDefault="00720FCE" w:rsidP="008F79B3">
            <w:pPr>
              <w:spacing w:after="0"/>
            </w:pPr>
            <w:r>
              <w:t xml:space="preserve">= </w:t>
            </w:r>
            <w:proofErr w:type="spellStart"/>
            <w:r>
              <w:t>kTB</w:t>
            </w:r>
            <w:proofErr w:type="spellEnd"/>
            <w:r>
              <w:t>, assuming T = 293 K</w:t>
            </w:r>
          </w:p>
        </w:tc>
      </w:tr>
      <w:tr w:rsidR="00720FCE" w14:paraId="5C8865E7" w14:textId="77777777" w:rsidTr="00E813F4">
        <w:tc>
          <w:tcPr>
            <w:tcW w:w="846" w:type="dxa"/>
            <w:shd w:val="clear" w:color="auto" w:fill="F2F2F2" w:themeFill="background1" w:themeFillShade="F2"/>
          </w:tcPr>
          <w:p w14:paraId="3C97158D" w14:textId="77777777" w:rsidR="00720FCE" w:rsidRPr="00506474" w:rsidRDefault="00720FCE" w:rsidP="008F79B3">
            <w:pPr>
              <w:spacing w:after="0"/>
              <w:jc w:val="center"/>
              <w:rPr>
                <w:b/>
                <w:bCs/>
              </w:rPr>
            </w:pPr>
            <w:r w:rsidRPr="00506474">
              <w:rPr>
                <w:b/>
                <w:bCs/>
              </w:rPr>
              <w:t>E</w:t>
            </w:r>
          </w:p>
        </w:tc>
        <w:tc>
          <w:tcPr>
            <w:tcW w:w="2097" w:type="dxa"/>
          </w:tcPr>
          <w:p w14:paraId="0B22A13C" w14:textId="77777777" w:rsidR="00720FCE" w:rsidRDefault="00720FCE" w:rsidP="008F79B3">
            <w:pPr>
              <w:spacing w:after="0"/>
            </w:pPr>
            <w:r>
              <w:t>I/N</w:t>
            </w:r>
          </w:p>
        </w:tc>
        <w:tc>
          <w:tcPr>
            <w:tcW w:w="2127" w:type="dxa"/>
          </w:tcPr>
          <w:p w14:paraId="4A903A8F" w14:textId="16DB9BE8" w:rsidR="00720FCE" w:rsidRDefault="00720FCE" w:rsidP="008F79B3">
            <w:pPr>
              <w:spacing w:after="0"/>
            </w:pPr>
            <w:r>
              <w:t>-6 dB</w:t>
            </w:r>
          </w:p>
        </w:tc>
        <w:tc>
          <w:tcPr>
            <w:tcW w:w="3828" w:type="dxa"/>
          </w:tcPr>
          <w:p w14:paraId="1A236FE5" w14:textId="0DBDB8F6" w:rsidR="00720FCE" w:rsidRDefault="00720FCE" w:rsidP="008F79B3">
            <w:pPr>
              <w:spacing w:after="0"/>
            </w:pPr>
            <w:r>
              <w:t>Recommendation ITU-R M.2292</w:t>
            </w:r>
          </w:p>
        </w:tc>
      </w:tr>
      <w:tr w:rsidR="00720FCE" w14:paraId="535CC46D" w14:textId="77777777" w:rsidTr="00E813F4">
        <w:tc>
          <w:tcPr>
            <w:tcW w:w="846" w:type="dxa"/>
            <w:shd w:val="clear" w:color="auto" w:fill="F2F2F2" w:themeFill="background1" w:themeFillShade="F2"/>
          </w:tcPr>
          <w:p w14:paraId="77BA3438" w14:textId="77777777" w:rsidR="00720FCE" w:rsidRPr="00506474" w:rsidRDefault="00720FCE" w:rsidP="008F79B3">
            <w:pPr>
              <w:spacing w:after="0"/>
              <w:jc w:val="center"/>
              <w:rPr>
                <w:b/>
                <w:bCs/>
              </w:rPr>
            </w:pPr>
            <w:r w:rsidRPr="00506474">
              <w:rPr>
                <w:b/>
                <w:bCs/>
              </w:rPr>
              <w:t>F</w:t>
            </w:r>
          </w:p>
        </w:tc>
        <w:tc>
          <w:tcPr>
            <w:tcW w:w="2097" w:type="dxa"/>
          </w:tcPr>
          <w:p w14:paraId="3D72385D" w14:textId="77777777" w:rsidR="00720FCE" w:rsidRDefault="00720FCE" w:rsidP="008F79B3">
            <w:pPr>
              <w:spacing w:after="0"/>
            </w:pPr>
            <w:r>
              <w:t xml:space="preserve">Max. interference </w:t>
            </w:r>
          </w:p>
        </w:tc>
        <w:tc>
          <w:tcPr>
            <w:tcW w:w="2127" w:type="dxa"/>
          </w:tcPr>
          <w:p w14:paraId="61E9108A" w14:textId="0EAE0D72" w:rsidR="00720FCE" w:rsidRDefault="00720FCE" w:rsidP="008F79B3">
            <w:pPr>
              <w:spacing w:after="0"/>
            </w:pPr>
            <w:r>
              <w:t>-11</w:t>
            </w:r>
            <w:r w:rsidR="002A743B">
              <w:t>5</w:t>
            </w:r>
            <w:r>
              <w:t xml:space="preserve"> dBm/MHz</w:t>
            </w:r>
          </w:p>
        </w:tc>
        <w:tc>
          <w:tcPr>
            <w:tcW w:w="3828" w:type="dxa"/>
          </w:tcPr>
          <w:p w14:paraId="452C6648" w14:textId="77777777" w:rsidR="00720FCE" w:rsidRDefault="00720FCE" w:rsidP="008F79B3">
            <w:pPr>
              <w:spacing w:after="0"/>
            </w:pPr>
            <w:r>
              <w:t>=C+D+E</w:t>
            </w:r>
          </w:p>
        </w:tc>
      </w:tr>
      <w:tr w:rsidR="00720FCE" w14:paraId="69800CCD" w14:textId="77777777" w:rsidTr="00E813F4">
        <w:tc>
          <w:tcPr>
            <w:tcW w:w="846" w:type="dxa"/>
            <w:shd w:val="clear" w:color="auto" w:fill="F2F2F2" w:themeFill="background1" w:themeFillShade="F2"/>
          </w:tcPr>
          <w:p w14:paraId="28E8757F" w14:textId="77777777" w:rsidR="00720FCE" w:rsidRPr="00506474" w:rsidRDefault="00720FCE" w:rsidP="008F79B3">
            <w:pPr>
              <w:spacing w:after="0"/>
              <w:jc w:val="center"/>
              <w:rPr>
                <w:b/>
                <w:bCs/>
              </w:rPr>
            </w:pPr>
            <w:r w:rsidRPr="00506474">
              <w:rPr>
                <w:b/>
                <w:bCs/>
              </w:rPr>
              <w:t>G</w:t>
            </w:r>
          </w:p>
        </w:tc>
        <w:tc>
          <w:tcPr>
            <w:tcW w:w="2097" w:type="dxa"/>
          </w:tcPr>
          <w:p w14:paraId="78F05230" w14:textId="77777777" w:rsidR="00720FCE" w:rsidRDefault="00720FCE" w:rsidP="008F79B3">
            <w:pPr>
              <w:spacing w:after="0"/>
            </w:pPr>
            <w:r>
              <w:t>PFD limit</w:t>
            </w:r>
          </w:p>
        </w:tc>
        <w:tc>
          <w:tcPr>
            <w:tcW w:w="2127" w:type="dxa"/>
          </w:tcPr>
          <w:p w14:paraId="368DFF76" w14:textId="35D5D4B6" w:rsidR="00720FCE" w:rsidRPr="00340F7D" w:rsidRDefault="00720FCE" w:rsidP="008F79B3">
            <w:pPr>
              <w:spacing w:after="0"/>
            </w:pPr>
            <w:r>
              <w:t>-</w:t>
            </w:r>
            <w:r w:rsidR="00512E33">
              <w:t>108</w:t>
            </w:r>
            <w:r>
              <w:t xml:space="preserve"> dBm/(m</w:t>
            </w:r>
            <w:proofErr w:type="gramStart"/>
            <w:r>
              <w:rPr>
                <w:vertAlign w:val="superscript"/>
              </w:rPr>
              <w:t>2</w:t>
            </w:r>
            <w:r>
              <w:t>.MHz</w:t>
            </w:r>
            <w:proofErr w:type="gramEnd"/>
            <w:r>
              <w:t>)</w:t>
            </w:r>
          </w:p>
        </w:tc>
        <w:tc>
          <w:tcPr>
            <w:tcW w:w="3828" w:type="dxa"/>
          </w:tcPr>
          <w:p w14:paraId="008E2DCF" w14:textId="77777777" w:rsidR="00720FCE" w:rsidRDefault="00720FCE" w:rsidP="008F79B3">
            <w:pPr>
              <w:spacing w:after="0"/>
            </w:pPr>
            <w:r>
              <w:t>Equation 1, assumes non-AAS</w:t>
            </w:r>
          </w:p>
        </w:tc>
      </w:tr>
    </w:tbl>
    <w:p w14:paraId="707813ED" w14:textId="77777777" w:rsidR="00720FCE" w:rsidRDefault="00720FCE" w:rsidP="00720FCE">
      <w:pPr>
        <w:spacing w:before="240" w:line="240" w:lineRule="auto"/>
      </w:pPr>
    </w:p>
    <w:p w14:paraId="76ED57AB" w14:textId="5152E170" w:rsidR="008906DC" w:rsidRDefault="00720FCE">
      <w:pPr>
        <w:spacing w:after="0" w:line="240" w:lineRule="auto"/>
      </w:pPr>
      <w:r>
        <w:br w:type="page"/>
      </w:r>
    </w:p>
    <w:p w14:paraId="0A493D6D" w14:textId="1DE38F59" w:rsidR="008906DC" w:rsidRDefault="00B702DD" w:rsidP="008906DC">
      <w:pPr>
        <w:pStyle w:val="Tableheading"/>
      </w:pPr>
      <w:bookmarkStart w:id="170" w:name="_Hlk161654693"/>
      <w:r>
        <w:lastRenderedPageBreak/>
        <w:t>Derivation of proposed</w:t>
      </w:r>
      <w:r w:rsidR="008906DC">
        <w:t xml:space="preserve"> PFD limit at controlled premise boundary</w:t>
      </w:r>
    </w:p>
    <w:tbl>
      <w:tblPr>
        <w:tblStyle w:val="TableGrid"/>
        <w:tblW w:w="8898" w:type="dxa"/>
        <w:tblInd w:w="-113" w:type="dxa"/>
        <w:tblCellMar>
          <w:top w:w="85" w:type="dxa"/>
          <w:bottom w:w="85" w:type="dxa"/>
        </w:tblCellMar>
        <w:tblLook w:val="04A0" w:firstRow="1" w:lastRow="0" w:firstColumn="1" w:lastColumn="0" w:noHBand="0" w:noVBand="1"/>
      </w:tblPr>
      <w:tblGrid>
        <w:gridCol w:w="846"/>
        <w:gridCol w:w="2097"/>
        <w:gridCol w:w="2127"/>
        <w:gridCol w:w="3828"/>
      </w:tblGrid>
      <w:tr w:rsidR="008906DC" w14:paraId="01F5DD78" w14:textId="77777777" w:rsidTr="00E813F4">
        <w:tc>
          <w:tcPr>
            <w:tcW w:w="846" w:type="dxa"/>
            <w:shd w:val="clear" w:color="auto" w:fill="595959" w:themeFill="text1" w:themeFillTint="A6"/>
          </w:tcPr>
          <w:p w14:paraId="36C62D47" w14:textId="77777777" w:rsidR="008906DC" w:rsidRPr="00506474" w:rsidRDefault="008906DC" w:rsidP="008F79B3">
            <w:pPr>
              <w:spacing w:after="0"/>
              <w:jc w:val="center"/>
              <w:rPr>
                <w:b/>
                <w:bCs/>
                <w:color w:val="FFFFFF" w:themeColor="background1"/>
              </w:rPr>
            </w:pPr>
            <w:r w:rsidRPr="00506474">
              <w:rPr>
                <w:b/>
                <w:bCs/>
                <w:color w:val="FFFFFF" w:themeColor="background1"/>
              </w:rPr>
              <w:t>I</w:t>
            </w:r>
            <w:r>
              <w:rPr>
                <w:b/>
                <w:bCs/>
                <w:color w:val="FFFFFF" w:themeColor="background1"/>
              </w:rPr>
              <w:t>tem</w:t>
            </w:r>
          </w:p>
        </w:tc>
        <w:tc>
          <w:tcPr>
            <w:tcW w:w="2097" w:type="dxa"/>
            <w:shd w:val="clear" w:color="auto" w:fill="595959" w:themeFill="text1" w:themeFillTint="A6"/>
          </w:tcPr>
          <w:p w14:paraId="6BC3DCD9" w14:textId="77777777" w:rsidR="008906DC" w:rsidRPr="00506474" w:rsidRDefault="008906DC" w:rsidP="008F79B3">
            <w:pPr>
              <w:spacing w:after="0"/>
              <w:rPr>
                <w:b/>
                <w:bCs/>
                <w:color w:val="FFFFFF" w:themeColor="background1"/>
              </w:rPr>
            </w:pPr>
            <w:r w:rsidRPr="00506474">
              <w:rPr>
                <w:b/>
                <w:bCs/>
                <w:color w:val="FFFFFF" w:themeColor="background1"/>
              </w:rPr>
              <w:t>Parameter</w:t>
            </w:r>
          </w:p>
        </w:tc>
        <w:tc>
          <w:tcPr>
            <w:tcW w:w="2127" w:type="dxa"/>
            <w:shd w:val="clear" w:color="auto" w:fill="595959" w:themeFill="text1" w:themeFillTint="A6"/>
          </w:tcPr>
          <w:p w14:paraId="53FC6BCA" w14:textId="77777777" w:rsidR="008906DC" w:rsidRPr="00506474" w:rsidRDefault="008906DC" w:rsidP="008F79B3">
            <w:pPr>
              <w:spacing w:after="0"/>
              <w:rPr>
                <w:b/>
                <w:bCs/>
                <w:color w:val="FFFFFF" w:themeColor="background1"/>
              </w:rPr>
            </w:pPr>
            <w:r w:rsidRPr="00506474">
              <w:rPr>
                <w:b/>
                <w:bCs/>
                <w:color w:val="FFFFFF" w:themeColor="background1"/>
              </w:rPr>
              <w:t>Value</w:t>
            </w:r>
          </w:p>
        </w:tc>
        <w:tc>
          <w:tcPr>
            <w:tcW w:w="3828" w:type="dxa"/>
            <w:shd w:val="clear" w:color="auto" w:fill="595959" w:themeFill="text1" w:themeFillTint="A6"/>
          </w:tcPr>
          <w:p w14:paraId="15C00112" w14:textId="77777777" w:rsidR="008906DC" w:rsidRPr="00506474" w:rsidRDefault="008906DC" w:rsidP="008F79B3">
            <w:pPr>
              <w:spacing w:after="0"/>
              <w:rPr>
                <w:b/>
                <w:bCs/>
                <w:color w:val="FFFFFF" w:themeColor="background1"/>
              </w:rPr>
            </w:pPr>
            <w:r w:rsidRPr="00506474">
              <w:rPr>
                <w:b/>
                <w:bCs/>
                <w:color w:val="FFFFFF" w:themeColor="background1"/>
              </w:rPr>
              <w:t>Reference</w:t>
            </w:r>
          </w:p>
        </w:tc>
      </w:tr>
      <w:tr w:rsidR="008906DC" w14:paraId="4D43AE1D" w14:textId="77777777" w:rsidTr="00E813F4">
        <w:tc>
          <w:tcPr>
            <w:tcW w:w="846" w:type="dxa"/>
            <w:shd w:val="clear" w:color="auto" w:fill="F2F2F2" w:themeFill="background1" w:themeFillShade="F2"/>
          </w:tcPr>
          <w:p w14:paraId="503DF479" w14:textId="77777777" w:rsidR="008906DC" w:rsidRPr="00506474" w:rsidRDefault="008906DC" w:rsidP="008F79B3">
            <w:pPr>
              <w:spacing w:after="0"/>
              <w:jc w:val="center"/>
              <w:rPr>
                <w:b/>
                <w:bCs/>
              </w:rPr>
            </w:pPr>
            <w:r w:rsidRPr="00506474">
              <w:rPr>
                <w:b/>
                <w:bCs/>
              </w:rPr>
              <w:t>A</w:t>
            </w:r>
          </w:p>
        </w:tc>
        <w:tc>
          <w:tcPr>
            <w:tcW w:w="2097" w:type="dxa"/>
          </w:tcPr>
          <w:p w14:paraId="73D8A26B" w14:textId="77777777" w:rsidR="008906DC" w:rsidRDefault="008906DC" w:rsidP="008F79B3">
            <w:pPr>
              <w:spacing w:after="0"/>
            </w:pPr>
            <w:r>
              <w:t>MS antenna gain</w:t>
            </w:r>
          </w:p>
        </w:tc>
        <w:tc>
          <w:tcPr>
            <w:tcW w:w="2127" w:type="dxa"/>
          </w:tcPr>
          <w:p w14:paraId="58DBD942" w14:textId="77777777" w:rsidR="008906DC" w:rsidRDefault="008906DC" w:rsidP="008F79B3">
            <w:pPr>
              <w:spacing w:after="0"/>
            </w:pPr>
            <w:r>
              <w:t xml:space="preserve">-4 </w:t>
            </w:r>
            <w:proofErr w:type="spellStart"/>
            <w:r>
              <w:t>dBi</w:t>
            </w:r>
            <w:proofErr w:type="spellEnd"/>
          </w:p>
        </w:tc>
        <w:tc>
          <w:tcPr>
            <w:tcW w:w="3828" w:type="dxa"/>
          </w:tcPr>
          <w:p w14:paraId="052A9285" w14:textId="77777777" w:rsidR="008906DC" w:rsidRDefault="008906DC" w:rsidP="008F79B3">
            <w:pPr>
              <w:spacing w:after="0"/>
            </w:pPr>
            <w:r>
              <w:t xml:space="preserve">Recommendation ITU-R M.2292 </w:t>
            </w:r>
          </w:p>
        </w:tc>
      </w:tr>
      <w:tr w:rsidR="008906DC" w14:paraId="2A8A0DE9" w14:textId="77777777" w:rsidTr="00E813F4">
        <w:tc>
          <w:tcPr>
            <w:tcW w:w="846" w:type="dxa"/>
            <w:shd w:val="clear" w:color="auto" w:fill="F2F2F2" w:themeFill="background1" w:themeFillShade="F2"/>
          </w:tcPr>
          <w:p w14:paraId="387B7869" w14:textId="77777777" w:rsidR="008906DC" w:rsidRPr="00506474" w:rsidRDefault="008906DC" w:rsidP="008F79B3">
            <w:pPr>
              <w:spacing w:after="0"/>
              <w:jc w:val="center"/>
              <w:rPr>
                <w:b/>
                <w:bCs/>
              </w:rPr>
            </w:pPr>
            <w:r w:rsidRPr="00506474">
              <w:rPr>
                <w:b/>
                <w:bCs/>
              </w:rPr>
              <w:t>B</w:t>
            </w:r>
          </w:p>
        </w:tc>
        <w:tc>
          <w:tcPr>
            <w:tcW w:w="2097" w:type="dxa"/>
          </w:tcPr>
          <w:p w14:paraId="73C720DE" w14:textId="77777777" w:rsidR="008906DC" w:rsidRDefault="008906DC" w:rsidP="008F79B3">
            <w:pPr>
              <w:spacing w:after="0"/>
            </w:pPr>
            <w:r>
              <w:rPr>
                <w:rFonts w:eastAsiaTheme="minorEastAsia"/>
              </w:rPr>
              <w:t>Effective antenna aperture</w:t>
            </w:r>
          </w:p>
        </w:tc>
        <w:tc>
          <w:tcPr>
            <w:tcW w:w="2127" w:type="dxa"/>
          </w:tcPr>
          <w:p w14:paraId="3944E4DA" w14:textId="77777777" w:rsidR="008906DC" w:rsidRDefault="008906DC" w:rsidP="008F79B3">
            <w:pPr>
              <w:spacing w:after="0"/>
            </w:pPr>
            <w:r>
              <w:t>-36.1 dB(m</w:t>
            </w:r>
            <w:r>
              <w:rPr>
                <w:vertAlign w:val="superscript"/>
              </w:rPr>
              <w:t>2</w:t>
            </w:r>
            <w:r>
              <w:t>)</w:t>
            </w:r>
          </w:p>
        </w:tc>
        <w:tc>
          <w:tcPr>
            <w:tcW w:w="3828" w:type="dxa"/>
          </w:tcPr>
          <w:p w14:paraId="230C50F2" w14:textId="77777777" w:rsidR="008906DC" w:rsidRDefault="008906DC" w:rsidP="008F79B3">
            <w:pPr>
              <w:spacing w:after="0"/>
            </w:pPr>
            <w:r>
              <w:t>Equation 2, for frequency of 3400 MHz</w:t>
            </w:r>
          </w:p>
        </w:tc>
      </w:tr>
      <w:tr w:rsidR="008906DC" w14:paraId="214AF972" w14:textId="77777777" w:rsidTr="00E813F4">
        <w:tc>
          <w:tcPr>
            <w:tcW w:w="846" w:type="dxa"/>
            <w:shd w:val="clear" w:color="auto" w:fill="F2F2F2" w:themeFill="background1" w:themeFillShade="F2"/>
          </w:tcPr>
          <w:p w14:paraId="0D446DC1" w14:textId="77777777" w:rsidR="008906DC" w:rsidRPr="00506474" w:rsidRDefault="008906DC" w:rsidP="008F79B3">
            <w:pPr>
              <w:spacing w:after="0"/>
              <w:jc w:val="center"/>
              <w:rPr>
                <w:b/>
                <w:bCs/>
              </w:rPr>
            </w:pPr>
            <w:r w:rsidRPr="00506474">
              <w:rPr>
                <w:b/>
                <w:bCs/>
              </w:rPr>
              <w:t>C</w:t>
            </w:r>
          </w:p>
        </w:tc>
        <w:tc>
          <w:tcPr>
            <w:tcW w:w="2097" w:type="dxa"/>
          </w:tcPr>
          <w:p w14:paraId="15332AE1" w14:textId="77777777" w:rsidR="008906DC" w:rsidRDefault="008906DC" w:rsidP="008F79B3">
            <w:pPr>
              <w:spacing w:after="0"/>
            </w:pPr>
            <w:r>
              <w:t>Body loss</w:t>
            </w:r>
          </w:p>
        </w:tc>
        <w:tc>
          <w:tcPr>
            <w:tcW w:w="2127" w:type="dxa"/>
          </w:tcPr>
          <w:p w14:paraId="6700C231" w14:textId="77777777" w:rsidR="008906DC" w:rsidRDefault="008906DC" w:rsidP="008F79B3">
            <w:pPr>
              <w:spacing w:after="0"/>
            </w:pPr>
            <w:r>
              <w:t>4 dB</w:t>
            </w:r>
          </w:p>
        </w:tc>
        <w:tc>
          <w:tcPr>
            <w:tcW w:w="3828" w:type="dxa"/>
          </w:tcPr>
          <w:p w14:paraId="2326C471" w14:textId="77777777" w:rsidR="008906DC" w:rsidRDefault="008906DC" w:rsidP="008F79B3">
            <w:pPr>
              <w:spacing w:after="0"/>
            </w:pPr>
            <w:r>
              <w:t>Recommendation ITU-R M.2292</w:t>
            </w:r>
          </w:p>
        </w:tc>
      </w:tr>
      <w:tr w:rsidR="008906DC" w14:paraId="06177E64" w14:textId="77777777" w:rsidTr="00E813F4">
        <w:tc>
          <w:tcPr>
            <w:tcW w:w="846" w:type="dxa"/>
            <w:shd w:val="clear" w:color="auto" w:fill="F2F2F2" w:themeFill="background1" w:themeFillShade="F2"/>
          </w:tcPr>
          <w:p w14:paraId="54504E73" w14:textId="77777777" w:rsidR="008906DC" w:rsidRPr="00506474" w:rsidRDefault="008906DC" w:rsidP="008F79B3">
            <w:pPr>
              <w:spacing w:after="0"/>
              <w:jc w:val="center"/>
              <w:rPr>
                <w:b/>
                <w:bCs/>
              </w:rPr>
            </w:pPr>
            <w:r w:rsidRPr="00506474">
              <w:rPr>
                <w:b/>
                <w:bCs/>
              </w:rPr>
              <w:t>D</w:t>
            </w:r>
          </w:p>
        </w:tc>
        <w:tc>
          <w:tcPr>
            <w:tcW w:w="2097" w:type="dxa"/>
          </w:tcPr>
          <w:p w14:paraId="27DE68EC" w14:textId="77777777" w:rsidR="008906DC" w:rsidRDefault="008906DC" w:rsidP="008F79B3">
            <w:pPr>
              <w:spacing w:after="0"/>
            </w:pPr>
            <w:r>
              <w:t>MS noise figure</w:t>
            </w:r>
          </w:p>
        </w:tc>
        <w:tc>
          <w:tcPr>
            <w:tcW w:w="2127" w:type="dxa"/>
          </w:tcPr>
          <w:p w14:paraId="1A6BE2BB" w14:textId="77777777" w:rsidR="008906DC" w:rsidRDefault="008906DC" w:rsidP="008F79B3">
            <w:pPr>
              <w:spacing w:after="0"/>
            </w:pPr>
            <w:r>
              <w:t>9 dB</w:t>
            </w:r>
          </w:p>
        </w:tc>
        <w:tc>
          <w:tcPr>
            <w:tcW w:w="3828" w:type="dxa"/>
          </w:tcPr>
          <w:p w14:paraId="37E5CDDE" w14:textId="77777777" w:rsidR="008906DC" w:rsidRDefault="008906DC" w:rsidP="008F79B3">
            <w:pPr>
              <w:spacing w:after="0"/>
            </w:pPr>
            <w:r>
              <w:t>Recommendation ITU-R M.2292</w:t>
            </w:r>
          </w:p>
        </w:tc>
      </w:tr>
      <w:tr w:rsidR="008906DC" w14:paraId="4A977212" w14:textId="77777777" w:rsidTr="00E813F4">
        <w:tc>
          <w:tcPr>
            <w:tcW w:w="846" w:type="dxa"/>
            <w:shd w:val="clear" w:color="auto" w:fill="F2F2F2" w:themeFill="background1" w:themeFillShade="F2"/>
          </w:tcPr>
          <w:p w14:paraId="4E587368" w14:textId="77777777" w:rsidR="008906DC" w:rsidRPr="00506474" w:rsidRDefault="008906DC" w:rsidP="008F79B3">
            <w:pPr>
              <w:spacing w:after="0"/>
              <w:jc w:val="center"/>
              <w:rPr>
                <w:b/>
                <w:bCs/>
              </w:rPr>
            </w:pPr>
            <w:r w:rsidRPr="00506474">
              <w:rPr>
                <w:b/>
                <w:bCs/>
              </w:rPr>
              <w:t>E</w:t>
            </w:r>
          </w:p>
        </w:tc>
        <w:tc>
          <w:tcPr>
            <w:tcW w:w="2097" w:type="dxa"/>
          </w:tcPr>
          <w:p w14:paraId="325035A6" w14:textId="77777777" w:rsidR="008906DC" w:rsidRDefault="008906DC" w:rsidP="008F79B3">
            <w:pPr>
              <w:spacing w:after="0"/>
            </w:pPr>
            <w:r>
              <w:t>Thermal noise</w:t>
            </w:r>
          </w:p>
        </w:tc>
        <w:tc>
          <w:tcPr>
            <w:tcW w:w="2127" w:type="dxa"/>
          </w:tcPr>
          <w:p w14:paraId="4A26E51D" w14:textId="77777777" w:rsidR="008906DC" w:rsidRDefault="008906DC" w:rsidP="008F79B3">
            <w:pPr>
              <w:spacing w:after="0"/>
            </w:pPr>
            <w:r>
              <w:t>-114 dBm/MHz</w:t>
            </w:r>
          </w:p>
        </w:tc>
        <w:tc>
          <w:tcPr>
            <w:tcW w:w="3828" w:type="dxa"/>
          </w:tcPr>
          <w:p w14:paraId="51307222" w14:textId="77777777" w:rsidR="008906DC" w:rsidRDefault="008906DC" w:rsidP="008F79B3">
            <w:pPr>
              <w:spacing w:after="0"/>
            </w:pPr>
            <w:r>
              <w:t xml:space="preserve">= </w:t>
            </w:r>
            <w:proofErr w:type="spellStart"/>
            <w:r>
              <w:t>kTB</w:t>
            </w:r>
            <w:proofErr w:type="spellEnd"/>
            <w:r>
              <w:t>, assuming T = 293 K</w:t>
            </w:r>
          </w:p>
        </w:tc>
      </w:tr>
      <w:tr w:rsidR="008906DC" w14:paraId="42229B0C" w14:textId="77777777" w:rsidTr="00E813F4">
        <w:tc>
          <w:tcPr>
            <w:tcW w:w="846" w:type="dxa"/>
            <w:shd w:val="clear" w:color="auto" w:fill="F2F2F2" w:themeFill="background1" w:themeFillShade="F2"/>
          </w:tcPr>
          <w:p w14:paraId="2EFFEFB6" w14:textId="77777777" w:rsidR="008906DC" w:rsidRPr="00506474" w:rsidRDefault="008906DC" w:rsidP="008F79B3">
            <w:pPr>
              <w:spacing w:after="0"/>
              <w:jc w:val="center"/>
              <w:rPr>
                <w:b/>
                <w:bCs/>
              </w:rPr>
            </w:pPr>
            <w:r w:rsidRPr="00506474">
              <w:rPr>
                <w:b/>
                <w:bCs/>
              </w:rPr>
              <w:t>F</w:t>
            </w:r>
          </w:p>
        </w:tc>
        <w:tc>
          <w:tcPr>
            <w:tcW w:w="2097" w:type="dxa"/>
          </w:tcPr>
          <w:p w14:paraId="2B9BE46C" w14:textId="77777777" w:rsidR="008906DC" w:rsidRDefault="008906DC" w:rsidP="008F79B3">
            <w:pPr>
              <w:spacing w:after="0"/>
            </w:pPr>
            <w:r>
              <w:t>I/N</w:t>
            </w:r>
          </w:p>
        </w:tc>
        <w:tc>
          <w:tcPr>
            <w:tcW w:w="2127" w:type="dxa"/>
          </w:tcPr>
          <w:p w14:paraId="1696CBC5" w14:textId="77777777" w:rsidR="008906DC" w:rsidRDefault="008906DC" w:rsidP="008F79B3">
            <w:pPr>
              <w:spacing w:after="0"/>
            </w:pPr>
            <w:r>
              <w:t>0 dB</w:t>
            </w:r>
          </w:p>
        </w:tc>
        <w:tc>
          <w:tcPr>
            <w:tcW w:w="3828" w:type="dxa"/>
          </w:tcPr>
          <w:p w14:paraId="3213F173" w14:textId="396318F6" w:rsidR="008906DC" w:rsidRDefault="008906DC" w:rsidP="008F79B3">
            <w:pPr>
              <w:spacing w:after="0"/>
            </w:pPr>
            <w:r>
              <w:t>Proposal. Actual level seen would be lower further away from boundary</w:t>
            </w:r>
          </w:p>
        </w:tc>
      </w:tr>
      <w:tr w:rsidR="008906DC" w14:paraId="1BE423BB" w14:textId="77777777" w:rsidTr="00E813F4">
        <w:tc>
          <w:tcPr>
            <w:tcW w:w="846" w:type="dxa"/>
            <w:shd w:val="clear" w:color="auto" w:fill="F2F2F2" w:themeFill="background1" w:themeFillShade="F2"/>
          </w:tcPr>
          <w:p w14:paraId="44A30622" w14:textId="77777777" w:rsidR="008906DC" w:rsidRPr="00506474" w:rsidRDefault="008906DC" w:rsidP="008F79B3">
            <w:pPr>
              <w:spacing w:after="0"/>
              <w:jc w:val="center"/>
              <w:rPr>
                <w:b/>
                <w:bCs/>
              </w:rPr>
            </w:pPr>
            <w:r w:rsidRPr="00506474">
              <w:rPr>
                <w:b/>
                <w:bCs/>
              </w:rPr>
              <w:t>G</w:t>
            </w:r>
          </w:p>
        </w:tc>
        <w:tc>
          <w:tcPr>
            <w:tcW w:w="2097" w:type="dxa"/>
          </w:tcPr>
          <w:p w14:paraId="3D2F19F9" w14:textId="77777777" w:rsidR="008906DC" w:rsidRDefault="008906DC" w:rsidP="008F79B3">
            <w:pPr>
              <w:spacing w:after="0"/>
            </w:pPr>
            <w:r>
              <w:t xml:space="preserve">Max. interference </w:t>
            </w:r>
          </w:p>
        </w:tc>
        <w:tc>
          <w:tcPr>
            <w:tcW w:w="2127" w:type="dxa"/>
          </w:tcPr>
          <w:p w14:paraId="53043435" w14:textId="77777777" w:rsidR="008906DC" w:rsidRDefault="008906DC" w:rsidP="008F79B3">
            <w:pPr>
              <w:spacing w:after="0"/>
            </w:pPr>
            <w:r>
              <w:t>-101 dBm/MHz</w:t>
            </w:r>
          </w:p>
        </w:tc>
        <w:tc>
          <w:tcPr>
            <w:tcW w:w="3828" w:type="dxa"/>
          </w:tcPr>
          <w:p w14:paraId="6353AB6B" w14:textId="77777777" w:rsidR="008906DC" w:rsidRDefault="008906DC" w:rsidP="008F79B3">
            <w:pPr>
              <w:spacing w:after="0"/>
            </w:pPr>
            <w:r>
              <w:t>=C+D+E+F</w:t>
            </w:r>
          </w:p>
        </w:tc>
      </w:tr>
      <w:tr w:rsidR="008906DC" w14:paraId="65C799C3" w14:textId="77777777" w:rsidTr="00E813F4">
        <w:tc>
          <w:tcPr>
            <w:tcW w:w="846" w:type="dxa"/>
            <w:shd w:val="clear" w:color="auto" w:fill="F2F2F2" w:themeFill="background1" w:themeFillShade="F2"/>
          </w:tcPr>
          <w:p w14:paraId="1A3B7A14" w14:textId="77777777" w:rsidR="008906DC" w:rsidRPr="00506474" w:rsidRDefault="008906DC" w:rsidP="008F79B3">
            <w:pPr>
              <w:spacing w:after="0"/>
              <w:jc w:val="center"/>
              <w:rPr>
                <w:b/>
                <w:bCs/>
              </w:rPr>
            </w:pPr>
            <w:r>
              <w:rPr>
                <w:b/>
                <w:bCs/>
              </w:rPr>
              <w:t>H</w:t>
            </w:r>
          </w:p>
        </w:tc>
        <w:tc>
          <w:tcPr>
            <w:tcW w:w="2097" w:type="dxa"/>
          </w:tcPr>
          <w:p w14:paraId="76C70D21" w14:textId="77777777" w:rsidR="008906DC" w:rsidRDefault="008906DC" w:rsidP="008F79B3">
            <w:pPr>
              <w:spacing w:after="0"/>
            </w:pPr>
            <w:r>
              <w:t>PFD limit</w:t>
            </w:r>
          </w:p>
        </w:tc>
        <w:tc>
          <w:tcPr>
            <w:tcW w:w="2127" w:type="dxa"/>
          </w:tcPr>
          <w:p w14:paraId="4D4FB036" w14:textId="77777777" w:rsidR="008906DC" w:rsidRPr="00340F7D" w:rsidRDefault="008906DC" w:rsidP="008F79B3">
            <w:pPr>
              <w:spacing w:after="0"/>
            </w:pPr>
            <w:r>
              <w:t>-64.9 dBm/(m</w:t>
            </w:r>
            <w:proofErr w:type="gramStart"/>
            <w:r>
              <w:rPr>
                <w:vertAlign w:val="superscript"/>
              </w:rPr>
              <w:t>2</w:t>
            </w:r>
            <w:r>
              <w:t>.MHz</w:t>
            </w:r>
            <w:proofErr w:type="gramEnd"/>
            <w:r>
              <w:t>)</w:t>
            </w:r>
          </w:p>
        </w:tc>
        <w:tc>
          <w:tcPr>
            <w:tcW w:w="3828" w:type="dxa"/>
          </w:tcPr>
          <w:p w14:paraId="0527DFF6" w14:textId="77777777" w:rsidR="008906DC" w:rsidRDefault="008906DC" w:rsidP="008F79B3">
            <w:pPr>
              <w:spacing w:after="0"/>
            </w:pPr>
            <w:r>
              <w:t>Equation 1, assumes non-AAS</w:t>
            </w:r>
          </w:p>
        </w:tc>
      </w:tr>
    </w:tbl>
    <w:p w14:paraId="3562ACED" w14:textId="77777777" w:rsidR="008906DC" w:rsidRDefault="008906DC" w:rsidP="008906DC"/>
    <w:p w14:paraId="2590C6D5" w14:textId="77777777" w:rsidR="008906DC" w:rsidRDefault="008906DC" w:rsidP="008906DC">
      <w:pPr>
        <w:spacing w:after="0" w:line="240" w:lineRule="auto"/>
        <w:rPr>
          <w:rFonts w:cs="Arial"/>
          <w:highlight w:val="yellow"/>
        </w:rPr>
      </w:pPr>
    </w:p>
    <w:p w14:paraId="3E289ED6" w14:textId="77777777" w:rsidR="008906DC" w:rsidRDefault="008906DC" w:rsidP="008906DC">
      <w:pPr>
        <w:keepNext/>
        <w:keepLines/>
      </w:pPr>
      <w:r>
        <w:t>The equation for power flux density is:</w:t>
      </w:r>
    </w:p>
    <w:p w14:paraId="37626031" w14:textId="77777777" w:rsidR="008906DC" w:rsidRDefault="008906DC" w:rsidP="008906DC">
      <w:pPr>
        <w:keepNext/>
        <w:keepLines/>
      </w:pPr>
    </w:p>
    <w:p w14:paraId="54111995" w14:textId="77777777" w:rsidR="008906DC" w:rsidRDefault="008906DC" w:rsidP="008906DC">
      <w:pPr>
        <w:keepNext/>
        <w:keepLines/>
        <w:jc w:val="center"/>
        <w:rPr>
          <w:rFonts w:eastAsiaTheme="minorEastAsia"/>
        </w:rPr>
      </w:pPr>
      <m:oMath>
        <m:r>
          <m:rPr>
            <m:sty m:val="p"/>
          </m:rPr>
          <w:rPr>
            <w:rFonts w:ascii="Cambria Math" w:hAnsi="Cambria Math"/>
          </w:rPr>
          <m:t>Φ</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r</m:t>
                </m:r>
              </m:sub>
            </m:sSub>
          </m:num>
          <m:den>
            <m:sSub>
              <m:sSubPr>
                <m:ctrlPr>
                  <w:rPr>
                    <w:rFonts w:ascii="Cambria Math" w:hAnsi="Cambria Math"/>
                    <w:i/>
                  </w:rPr>
                </m:ctrlPr>
              </m:sSubPr>
              <m:e>
                <m:r>
                  <w:rPr>
                    <w:rFonts w:ascii="Cambria Math" w:hAnsi="Cambria Math"/>
                  </w:rPr>
                  <m:t>A</m:t>
                </m:r>
              </m:e>
              <m:sub>
                <m:r>
                  <w:rPr>
                    <w:rFonts w:ascii="Cambria Math" w:hAnsi="Cambria Math"/>
                  </w:rPr>
                  <m:t>eff</m:t>
                </m:r>
              </m:sub>
            </m:sSub>
          </m:den>
        </m:f>
      </m:oMath>
      <w:r>
        <w:rPr>
          <w:rFonts w:eastAsiaTheme="minorEastAsia"/>
        </w:rPr>
        <w:t xml:space="preserve">          </w:t>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rPr>
        <w:tab/>
      </w:r>
      <w:r>
        <w:rPr>
          <w:rFonts w:eastAsiaTheme="minorEastAsia"/>
          <w:b/>
          <w:bCs/>
        </w:rPr>
        <w:t>equation 1</w:t>
      </w:r>
    </w:p>
    <w:p w14:paraId="2F0F448B" w14:textId="77777777" w:rsidR="008906DC" w:rsidRDefault="008906DC" w:rsidP="008906DC">
      <w:pPr>
        <w:keepNext/>
        <w:keepLines/>
        <w:ind w:firstLine="720"/>
        <w:rPr>
          <w:rFonts w:eastAsiaTheme="minorEastAsia"/>
        </w:rPr>
      </w:pPr>
      <w:r>
        <w:rPr>
          <w:rFonts w:eastAsiaTheme="minorEastAsia"/>
        </w:rPr>
        <w:t>Where:</w:t>
      </w:r>
    </w:p>
    <w:p w14:paraId="77C5530C" w14:textId="77777777" w:rsidR="008906DC" w:rsidRDefault="008906DC" w:rsidP="008906DC">
      <w:pPr>
        <w:keepNext/>
        <w:keepLines/>
        <w:rPr>
          <w:rFonts w:eastAsiaTheme="minorEastAsia"/>
        </w:rPr>
      </w:pPr>
      <w:r>
        <w:rPr>
          <w:rFonts w:eastAsiaTheme="minorEastAsia"/>
        </w:rPr>
        <w:tab/>
      </w:r>
      <w:r>
        <w:rPr>
          <w:rFonts w:eastAsiaTheme="minorEastAsia"/>
        </w:rPr>
        <w:tab/>
      </w:r>
      <w:r>
        <w:rPr>
          <w:rFonts w:eastAsiaTheme="minorEastAsia"/>
        </w:rPr>
        <w:tab/>
      </w:r>
      <m:oMath>
        <m:r>
          <m:rPr>
            <m:sty m:val="p"/>
          </m:rPr>
          <w:rPr>
            <w:rFonts w:ascii="Cambria Math" w:eastAsiaTheme="minorEastAsia" w:hAnsi="Cambria Math"/>
          </w:rPr>
          <m:t>Φ</m:t>
        </m:r>
      </m:oMath>
      <w:r>
        <w:rPr>
          <w:rFonts w:eastAsiaTheme="minorEastAsia"/>
        </w:rPr>
        <w:t>: Power flux density (W/m</w:t>
      </w:r>
      <w:r>
        <w:rPr>
          <w:rFonts w:eastAsiaTheme="minorEastAsia"/>
          <w:vertAlign w:val="superscript"/>
        </w:rPr>
        <w:t>2</w:t>
      </w:r>
      <w:r>
        <w:rPr>
          <w:rFonts w:eastAsiaTheme="minorEastAsia"/>
        </w:rPr>
        <w:t>)</w:t>
      </w:r>
    </w:p>
    <w:p w14:paraId="680FE94B" w14:textId="77777777" w:rsidR="008906DC" w:rsidRDefault="008906DC" w:rsidP="008906DC">
      <w:pPr>
        <w:keepNext/>
        <w:keepLines/>
        <w:rPr>
          <w:rFonts w:eastAsiaTheme="minorEastAsia"/>
        </w:rPr>
      </w:pPr>
      <w:r>
        <w:rPr>
          <w:rFonts w:eastAsiaTheme="minorEastAsia"/>
        </w:rPr>
        <w:tab/>
      </w:r>
      <w:r>
        <w:rPr>
          <w:rFonts w:eastAsiaTheme="minorEastAsia"/>
        </w:rPr>
        <w:tab/>
      </w: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r</m:t>
            </m:r>
          </m:sub>
        </m:sSub>
      </m:oMath>
      <w:r>
        <w:rPr>
          <w:rFonts w:eastAsiaTheme="minorEastAsia"/>
        </w:rPr>
        <w:t>: Received power (W)</w:t>
      </w:r>
    </w:p>
    <w:p w14:paraId="4575DEDA" w14:textId="77777777" w:rsidR="008906DC" w:rsidRPr="00EC78A7" w:rsidRDefault="008906DC" w:rsidP="008906DC">
      <w:pPr>
        <w:keepNext/>
        <w:keepLines/>
        <w:rPr>
          <w:rFonts w:eastAsiaTheme="minorEastAsia"/>
        </w:rPr>
      </w:pPr>
      <w:r>
        <w:rPr>
          <w:rFonts w:eastAsiaTheme="minorEastAsia"/>
        </w:rPr>
        <w:tab/>
      </w:r>
      <w:r>
        <w:rPr>
          <w:rFonts w:eastAsiaTheme="minorEastAsia"/>
        </w:rPr>
        <w:tab/>
      </w:r>
      <w:r>
        <w:rPr>
          <w:rFonts w:eastAsiaTheme="minorEastAsia"/>
        </w:rPr>
        <w:tab/>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eff</m:t>
            </m:r>
          </m:sub>
        </m:sSub>
      </m:oMath>
      <w:r>
        <w:rPr>
          <w:rFonts w:eastAsiaTheme="minorEastAsia"/>
        </w:rPr>
        <w:t>: Effective antenna aperture (m</w:t>
      </w:r>
      <w:r>
        <w:rPr>
          <w:rFonts w:eastAsiaTheme="minorEastAsia"/>
          <w:vertAlign w:val="superscript"/>
        </w:rPr>
        <w:t>2</w:t>
      </w:r>
      <w:r>
        <w:rPr>
          <w:rFonts w:eastAsiaTheme="minorEastAsia"/>
        </w:rPr>
        <w:t>)</w:t>
      </w:r>
    </w:p>
    <w:p w14:paraId="55F32DA8" w14:textId="77777777" w:rsidR="008906DC" w:rsidRDefault="008906DC" w:rsidP="008906DC">
      <w:pPr>
        <w:keepNext/>
        <w:keepLines/>
        <w:rPr>
          <w:rFonts w:eastAsiaTheme="minorEastAsia"/>
          <w:i/>
        </w:rPr>
      </w:pPr>
    </w:p>
    <w:p w14:paraId="6D2B656A" w14:textId="77777777" w:rsidR="008906DC" w:rsidRDefault="008906DC" w:rsidP="008906DC">
      <w:pPr>
        <w:spacing w:after="0" w:line="240" w:lineRule="auto"/>
        <w:rPr>
          <w:rFonts w:eastAsiaTheme="minorEastAsia"/>
        </w:rPr>
      </w:pPr>
    </w:p>
    <w:p w14:paraId="34DE761D" w14:textId="77777777" w:rsidR="008906DC" w:rsidRPr="00CA55DF" w:rsidRDefault="008906DC" w:rsidP="008906DC">
      <w:pPr>
        <w:rPr>
          <w:rFonts w:eastAsiaTheme="minorEastAsia"/>
        </w:rPr>
      </w:pPr>
      <w:r w:rsidRPr="00CA55DF">
        <w:rPr>
          <w:rFonts w:eastAsiaTheme="minorEastAsia"/>
        </w:rPr>
        <w:t xml:space="preserve">The equation for </w:t>
      </w:r>
      <w:r>
        <w:rPr>
          <w:rFonts w:eastAsiaTheme="minorEastAsia"/>
        </w:rPr>
        <w:t>effective antenna aperture is:</w:t>
      </w:r>
    </w:p>
    <w:p w14:paraId="556611DF" w14:textId="77777777" w:rsidR="008906DC" w:rsidRPr="0084680B" w:rsidRDefault="00000000" w:rsidP="008906DC">
      <w:pPr>
        <w:jc w:val="center"/>
        <w:rPr>
          <w:rFonts w:eastAsiaTheme="minorEastAsia"/>
          <w:i/>
        </w:rPr>
      </w:pP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eff</m:t>
            </m:r>
          </m:sub>
        </m:sSub>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G</m:t>
            </m:r>
            <m:sSup>
              <m:sSupPr>
                <m:ctrlPr>
                  <w:rPr>
                    <w:rFonts w:ascii="Cambria Math" w:eastAsiaTheme="minorEastAsia" w:hAnsi="Cambria Math"/>
                    <w:i/>
                  </w:rPr>
                </m:ctrlPr>
              </m:sSupPr>
              <m:e>
                <m:r>
                  <w:rPr>
                    <w:rFonts w:ascii="Cambria Math" w:eastAsiaTheme="minorEastAsia" w:hAnsi="Cambria Math"/>
                  </w:rPr>
                  <m:t>λ</m:t>
                </m:r>
              </m:e>
              <m:sup>
                <m:r>
                  <w:rPr>
                    <w:rFonts w:ascii="Cambria Math" w:eastAsiaTheme="minorEastAsia" w:hAnsi="Cambria Math"/>
                  </w:rPr>
                  <m:t>2</m:t>
                </m:r>
              </m:sup>
            </m:sSup>
          </m:num>
          <m:den>
            <m:r>
              <w:rPr>
                <w:rFonts w:ascii="Cambria Math" w:eastAsiaTheme="minorEastAsia" w:hAnsi="Cambria Math"/>
              </w:rPr>
              <m:t>4π</m:t>
            </m:r>
          </m:den>
        </m:f>
      </m:oMath>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i/>
        </w:rPr>
        <w:tab/>
      </w:r>
      <w:r w:rsidR="008906DC">
        <w:rPr>
          <w:rFonts w:eastAsiaTheme="minorEastAsia"/>
          <w:b/>
          <w:bCs/>
        </w:rPr>
        <w:t>equation 2</w:t>
      </w:r>
    </w:p>
    <w:p w14:paraId="47C881F6" w14:textId="77777777" w:rsidR="008906DC" w:rsidRDefault="008906DC" w:rsidP="008906DC">
      <w:pPr>
        <w:rPr>
          <w:rFonts w:eastAsiaTheme="minorEastAsia"/>
        </w:rPr>
      </w:pPr>
      <w:r>
        <w:rPr>
          <w:rFonts w:eastAsiaTheme="minorEastAsia"/>
        </w:rPr>
        <w:tab/>
        <w:t>Where:</w:t>
      </w:r>
    </w:p>
    <w:p w14:paraId="722E8E0F" w14:textId="77777777" w:rsidR="008906DC" w:rsidRDefault="008906DC" w:rsidP="008906DC">
      <w:pPr>
        <w:rPr>
          <w:rFonts w:eastAsiaTheme="minorEastAsia"/>
        </w:rPr>
      </w:pPr>
      <w:r>
        <w:rPr>
          <w:rFonts w:eastAsiaTheme="minorEastAsia"/>
        </w:rPr>
        <w:tab/>
      </w:r>
      <w:r>
        <w:rPr>
          <w:rFonts w:eastAsiaTheme="minorEastAsia"/>
        </w:rPr>
        <w:tab/>
      </w:r>
      <w:r>
        <w:rPr>
          <w:rFonts w:eastAsiaTheme="minorEastAsia"/>
        </w:rPr>
        <w:tab/>
      </w:r>
      <m:oMath>
        <m:r>
          <w:rPr>
            <w:rFonts w:ascii="Cambria Math" w:eastAsiaTheme="minorEastAsia" w:hAnsi="Cambria Math"/>
          </w:rPr>
          <m:t>G</m:t>
        </m:r>
      </m:oMath>
      <w:r>
        <w:rPr>
          <w:rFonts w:eastAsiaTheme="minorEastAsia"/>
        </w:rPr>
        <w:t xml:space="preserve">: Gain of the receiving antenna </w:t>
      </w:r>
    </w:p>
    <w:p w14:paraId="3DD34722" w14:textId="1D7F5BAC" w:rsidR="008906DC" w:rsidRPr="008906DC" w:rsidRDefault="008906DC" w:rsidP="008906DC">
      <w:pPr>
        <w:rPr>
          <w:rFonts w:eastAsiaTheme="minorEastAsia"/>
        </w:rPr>
      </w:pPr>
      <w:r>
        <w:rPr>
          <w:rFonts w:eastAsiaTheme="minorEastAsia"/>
        </w:rPr>
        <w:tab/>
      </w:r>
      <w:r>
        <w:rPr>
          <w:rFonts w:eastAsiaTheme="minorEastAsia"/>
        </w:rPr>
        <w:tab/>
      </w:r>
      <w:r>
        <w:rPr>
          <w:rFonts w:eastAsiaTheme="minorEastAsia"/>
        </w:rPr>
        <w:tab/>
      </w:r>
      <m:oMath>
        <m:r>
          <w:rPr>
            <w:rFonts w:ascii="Cambria Math" w:eastAsiaTheme="minorEastAsia" w:hAnsi="Cambria Math"/>
          </w:rPr>
          <m:t>λ</m:t>
        </m:r>
      </m:oMath>
      <w:r>
        <w:rPr>
          <w:rFonts w:eastAsiaTheme="minorEastAsia"/>
        </w:rPr>
        <w:t>: wavelength (m)</w:t>
      </w:r>
      <w:r>
        <w:t xml:space="preserve"> </w:t>
      </w:r>
    </w:p>
    <w:bookmarkEnd w:id="170"/>
    <w:p w14:paraId="59CE5854" w14:textId="77777777" w:rsidR="008906DC" w:rsidRPr="00E162C4" w:rsidRDefault="008906DC" w:rsidP="008906DC">
      <w:pPr>
        <w:pStyle w:val="Bulletlevel1last"/>
        <w:numPr>
          <w:ilvl w:val="0"/>
          <w:numId w:val="0"/>
        </w:numPr>
        <w:ind w:left="295" w:hanging="295"/>
      </w:pPr>
    </w:p>
    <w:p w14:paraId="264C6839" w14:textId="5B946EF6" w:rsidR="007C5A10" w:rsidRPr="00E162C4" w:rsidRDefault="004E0874" w:rsidP="007C5A10">
      <w:pPr>
        <w:pStyle w:val="Heading1"/>
      </w:pPr>
      <w:bookmarkStart w:id="171" w:name="_Toc178948586"/>
      <w:r w:rsidRPr="00E162C4">
        <w:lastRenderedPageBreak/>
        <w:t xml:space="preserve">Appendix </w:t>
      </w:r>
      <w:r w:rsidR="00B9345F">
        <w:t>D</w:t>
      </w:r>
      <w:r w:rsidRPr="00E162C4">
        <w:t xml:space="preserve">: </w:t>
      </w:r>
      <w:r w:rsidR="007C5A10">
        <w:t>Synchronisation requir</w:t>
      </w:r>
      <w:r w:rsidR="00BF43CF">
        <w:t>e</w:t>
      </w:r>
      <w:r w:rsidR="007C5A10">
        <w:t>ment</w:t>
      </w:r>
      <w:bookmarkEnd w:id="171"/>
    </w:p>
    <w:p w14:paraId="7ACC1D69" w14:textId="326C173F" w:rsidR="00A94D09" w:rsidRDefault="00A94D09" w:rsidP="007C5A10">
      <w:pPr>
        <w:pStyle w:val="Paragraph"/>
        <w:rPr>
          <w:b/>
          <w:bCs/>
        </w:rPr>
      </w:pPr>
      <w:r>
        <w:rPr>
          <w:b/>
          <w:bCs/>
        </w:rPr>
        <w:t>No longer used</w:t>
      </w:r>
    </w:p>
    <w:p w14:paraId="5C4709A1" w14:textId="30BB076F" w:rsidR="007C5A10" w:rsidRDefault="007C5A10" w:rsidP="006B24AF">
      <w:pPr>
        <w:pStyle w:val="Paragraph"/>
        <w:spacing w:after="120"/>
        <w:ind w:left="852" w:hanging="568"/>
        <w:rPr>
          <w:sz w:val="16"/>
          <w:szCs w:val="16"/>
        </w:rPr>
      </w:pPr>
      <w:r w:rsidRPr="006B24AF">
        <w:rPr>
          <w:sz w:val="16"/>
          <w:szCs w:val="16"/>
        </w:rPr>
        <w:t xml:space="preserve">  </w:t>
      </w:r>
    </w:p>
    <w:p w14:paraId="7A46042A" w14:textId="25E1B8B8" w:rsidR="00EF7A02" w:rsidRPr="00E162C4" w:rsidRDefault="00EF7A02" w:rsidP="00EF7A02">
      <w:pPr>
        <w:pStyle w:val="Heading1"/>
      </w:pPr>
      <w:bookmarkStart w:id="172" w:name="_Toc178948587"/>
      <w:r w:rsidRPr="00E162C4">
        <w:lastRenderedPageBreak/>
        <w:t xml:space="preserve">Appendix </w:t>
      </w:r>
      <w:r>
        <w:t>E</w:t>
      </w:r>
      <w:r w:rsidRPr="00E162C4">
        <w:t xml:space="preserve">: </w:t>
      </w:r>
      <w:r>
        <w:t>Development of urban areas in 3400-3475 MHz band</w:t>
      </w:r>
      <w:bookmarkEnd w:id="172"/>
    </w:p>
    <w:p w14:paraId="330ED22D" w14:textId="21FA7A47" w:rsidR="00431234" w:rsidRDefault="00431234" w:rsidP="00431234">
      <w:pPr>
        <w:pStyle w:val="Paragraph"/>
      </w:pPr>
      <w:r>
        <w:t xml:space="preserve">In 2015, as a result of the </w:t>
      </w:r>
      <w:hyperlink r:id="rId72" w:history="1">
        <w:r w:rsidRPr="00AB1846">
          <w:rPr>
            <w:rStyle w:val="Hyperlink"/>
            <w:i/>
            <w:iCs/>
          </w:rPr>
          <w:t>Australian Communications and Media Authority (3.5 GHz frequency band) Direction 2014</w:t>
        </w:r>
      </w:hyperlink>
      <w:r>
        <w:t>, nbn</w:t>
      </w:r>
      <w:r w:rsidRPr="006825DD">
        <w:t xml:space="preserve"> were issued </w:t>
      </w:r>
      <w:r>
        <w:t xml:space="preserve">apparatus </w:t>
      </w:r>
      <w:r w:rsidRPr="006825DD">
        <w:t>licences that covered urban excise and surrounding areas. Since that time</w:t>
      </w:r>
      <w:r>
        <w:t>,</w:t>
      </w:r>
      <w:r w:rsidRPr="006825DD">
        <w:t xml:space="preserve"> they have deployed </w:t>
      </w:r>
      <w:r>
        <w:t xml:space="preserve">terrestrial wireless broadband </w:t>
      </w:r>
      <w:r w:rsidRPr="006825DD">
        <w:t xml:space="preserve">services at </w:t>
      </w:r>
      <w:r>
        <w:t>about 1000 locations</w:t>
      </w:r>
      <w:r w:rsidRPr="006825DD">
        <w:t xml:space="preserve"> </w:t>
      </w:r>
      <w:r>
        <w:t>(based on RRL data) under the licences issued.</w:t>
      </w:r>
      <w:r w:rsidRPr="006825DD">
        <w:t xml:space="preserve"> </w:t>
      </w:r>
    </w:p>
    <w:p w14:paraId="486BFF55" w14:textId="32B20816" w:rsidR="00AB1846" w:rsidRDefault="0029735C" w:rsidP="00431234">
      <w:pPr>
        <w:pStyle w:val="Paragraph"/>
      </w:pPr>
      <w:r>
        <w:t>In 2021, a</w:t>
      </w:r>
      <w:r w:rsidR="00431234">
        <w:t xml:space="preserve">s part of the </w:t>
      </w:r>
      <w:hyperlink r:id="rId73" w:history="1">
        <w:r w:rsidR="00431234" w:rsidRPr="0029735C">
          <w:rPr>
            <w:rStyle w:val="Hyperlink"/>
          </w:rPr>
          <w:t xml:space="preserve">process to convert </w:t>
        </w:r>
        <w:proofErr w:type="spellStart"/>
        <w:r w:rsidR="00431234" w:rsidRPr="0029735C">
          <w:rPr>
            <w:rStyle w:val="Hyperlink"/>
          </w:rPr>
          <w:t>nbn’s</w:t>
        </w:r>
        <w:proofErr w:type="spellEnd"/>
        <w:r w:rsidR="00431234" w:rsidRPr="0029735C">
          <w:rPr>
            <w:rStyle w:val="Hyperlink"/>
          </w:rPr>
          <w:t xml:space="preserve"> 3.5 GHz apparatus licence</w:t>
        </w:r>
        <w:r w:rsidR="00AB1846">
          <w:rPr>
            <w:rStyle w:val="Hyperlink"/>
          </w:rPr>
          <w:t>s to spectrum licence</w:t>
        </w:r>
        <w:r w:rsidRPr="0029735C">
          <w:rPr>
            <w:rStyle w:val="Hyperlink"/>
          </w:rPr>
          <w:t>s</w:t>
        </w:r>
      </w:hyperlink>
      <w:r>
        <w:t xml:space="preserve">, nbn agreed to surrender licences it held in urban areas of the 3400-3475 MHz </w:t>
      </w:r>
      <w:r w:rsidR="00185350">
        <w:t>frequency range</w:t>
      </w:r>
      <w:r>
        <w:t xml:space="preserve">. This related to the areas </w:t>
      </w:r>
      <w:r w:rsidR="00AB1846">
        <w:t xml:space="preserve">it </w:t>
      </w:r>
      <w:r>
        <w:t>deploy</w:t>
      </w:r>
      <w:r w:rsidR="00AB1846">
        <w:t>s</w:t>
      </w:r>
      <w:r>
        <w:t xml:space="preserve"> fixed line solutions, consequently it was not needed as part of their fixed wireless broadband solution. The ACMA then committed to work with stakeholders to make that spectrum available for other WBB use cases. </w:t>
      </w:r>
    </w:p>
    <w:p w14:paraId="57D65F4D" w14:textId="18AEEF27" w:rsidR="0029735C" w:rsidRDefault="0029735C" w:rsidP="00431234">
      <w:pPr>
        <w:pStyle w:val="Paragraph"/>
      </w:pPr>
      <w:r>
        <w:t xml:space="preserve">It is noted that </w:t>
      </w:r>
      <w:bookmarkStart w:id="173" w:name="_Hlk150329387"/>
      <w:r>
        <w:t xml:space="preserve">a key part of </w:t>
      </w:r>
      <w:proofErr w:type="spellStart"/>
      <w:r>
        <w:t>nbn’s</w:t>
      </w:r>
      <w:proofErr w:type="spellEnd"/>
      <w:r>
        <w:t xml:space="preserve"> agreement to surrender licences was that </w:t>
      </w:r>
      <w:r w:rsidR="00AB1846">
        <w:t>suitable measures be put in place to provide protection of its existing and planned services</w:t>
      </w:r>
      <w:bookmarkEnd w:id="173"/>
      <w:r w:rsidR="00AB1846">
        <w:t xml:space="preserve">. </w:t>
      </w:r>
    </w:p>
    <w:p w14:paraId="0D69B464" w14:textId="39415D43" w:rsidR="00431234" w:rsidRDefault="00431234" w:rsidP="00431234">
      <w:pPr>
        <w:pStyle w:val="Paragraph"/>
        <w:rPr>
          <w:color w:val="000000" w:themeColor="text1"/>
        </w:rPr>
      </w:pPr>
      <w:r>
        <w:rPr>
          <w:color w:val="000000" w:themeColor="text1"/>
        </w:rPr>
        <w:t xml:space="preserve">To maximise their size, urban areas were defined to include those areas of capital cities that </w:t>
      </w:r>
      <w:r w:rsidRPr="000B56EB">
        <w:t>were not part of</w:t>
      </w:r>
      <w:r>
        <w:t xml:space="preserve"> </w:t>
      </w:r>
      <w:proofErr w:type="spellStart"/>
      <w:r>
        <w:t>nbn’s</w:t>
      </w:r>
      <w:proofErr w:type="spellEnd"/>
      <w:r>
        <w:t xml:space="preserve"> </w:t>
      </w:r>
      <w:r w:rsidRPr="000B56EB">
        <w:t xml:space="preserve">terrestrial </w:t>
      </w:r>
      <w:r>
        <w:t xml:space="preserve">fixed </w:t>
      </w:r>
      <w:r w:rsidRPr="000B56EB">
        <w:t xml:space="preserve">wireless service area. </w:t>
      </w:r>
      <w:r>
        <w:rPr>
          <w:color w:val="000000" w:themeColor="text1"/>
        </w:rPr>
        <w:t xml:space="preserve">This means </w:t>
      </w:r>
      <w:proofErr w:type="gramStart"/>
      <w:r>
        <w:rPr>
          <w:color w:val="000000" w:themeColor="text1"/>
        </w:rPr>
        <w:t>a large number of</w:t>
      </w:r>
      <w:proofErr w:type="gramEnd"/>
      <w:r>
        <w:rPr>
          <w:color w:val="000000" w:themeColor="text1"/>
        </w:rPr>
        <w:t xml:space="preserve"> nbn services are located near the urban area boundary with little or no geographical separation between them. This creates a challenging coexistence environment. </w:t>
      </w:r>
    </w:p>
    <w:p w14:paraId="2B3A203E" w14:textId="338CBDEC" w:rsidR="00431234" w:rsidRDefault="00431234" w:rsidP="00431234">
      <w:pPr>
        <w:pStyle w:val="Paragraph"/>
      </w:pPr>
      <w:r>
        <w:rPr>
          <w:color w:val="000000" w:themeColor="text1"/>
        </w:rPr>
        <w:t xml:space="preserve">This situation is different to the typical scenario where an operator is issued a licence where the boundaries are pre-defined, and they are aware of possible future co-frequency use in adjacent areas. In such cases, an operator can </w:t>
      </w:r>
      <w:r>
        <w:t xml:space="preserve">design their network and deploy services that take this into account. Often this involves some form of geographical separation between services and shared area boundaries – </w:t>
      </w:r>
      <w:r w:rsidR="00A332C2">
        <w:t>something</w:t>
      </w:r>
      <w:r>
        <w:t xml:space="preserve"> that many existing </w:t>
      </w:r>
      <w:r w:rsidR="0062400F">
        <w:t>nbn</w:t>
      </w:r>
      <w:r>
        <w:t xml:space="preserve"> services gain limited benefit from with urban areas.  </w:t>
      </w:r>
    </w:p>
    <w:p w14:paraId="6FF3C209" w14:textId="6D224514" w:rsidR="00431234" w:rsidRPr="0029735C" w:rsidRDefault="00431234" w:rsidP="00431234">
      <w:pPr>
        <w:pStyle w:val="Paragraph"/>
      </w:pPr>
      <w:r w:rsidRPr="0029735C">
        <w:t xml:space="preserve">To account for this while recognising the benefits of the services provided by </w:t>
      </w:r>
      <w:r w:rsidR="0029735C">
        <w:t>nbn</w:t>
      </w:r>
      <w:r w:rsidRPr="0029735C">
        <w:t xml:space="preserve">, measures need to be put in place to achieve coexistence through managing interference between </w:t>
      </w:r>
      <w:r w:rsidR="0029735C">
        <w:t>existing and future nbn</w:t>
      </w:r>
      <w:r w:rsidRPr="0029735C">
        <w:t xml:space="preserve"> services and future uses/users of urban areas. </w:t>
      </w:r>
    </w:p>
    <w:p w14:paraId="7567D977" w14:textId="01ADEA1C" w:rsidR="00431234" w:rsidRPr="00AB1846" w:rsidRDefault="00431234" w:rsidP="00431234">
      <w:pPr>
        <w:pStyle w:val="Paragraph"/>
      </w:pPr>
      <w:r w:rsidRPr="00AB1846">
        <w:t xml:space="preserve">It is important to note that there will naturally be a trade-off between the level of protection provided to </w:t>
      </w:r>
      <w:r w:rsidR="0029735C" w:rsidRPr="00AB1846">
        <w:t>nbn</w:t>
      </w:r>
      <w:r w:rsidRPr="00AB1846">
        <w:t xml:space="preserve"> services and the utility that can be derives from use of spectrum in </w:t>
      </w:r>
      <w:r w:rsidR="0029735C" w:rsidRPr="00AB1846">
        <w:t>urban areas</w:t>
      </w:r>
      <w:r w:rsidRPr="00AB1846">
        <w:t xml:space="preserve">. For example, a more conservative protection criteria for </w:t>
      </w:r>
      <w:r w:rsidR="0029735C" w:rsidRPr="00AB1846">
        <w:t>nbn</w:t>
      </w:r>
      <w:r w:rsidRPr="00AB1846">
        <w:t xml:space="preserve"> services corresponds to a reduction in utility of spectrum available in urban areas. Consequently, a suitable balance needs to be identified. </w:t>
      </w:r>
    </w:p>
    <w:p w14:paraId="6B1AAE13" w14:textId="40093C00" w:rsidR="00EF7A02" w:rsidRDefault="00EF7A02" w:rsidP="00EF7A02">
      <w:pPr>
        <w:pStyle w:val="Paragraph"/>
      </w:pPr>
    </w:p>
    <w:p w14:paraId="184524B4" w14:textId="1B8B434F" w:rsidR="000B1618" w:rsidRPr="00E162C4" w:rsidRDefault="000B1618" w:rsidP="000B1618">
      <w:pPr>
        <w:pStyle w:val="Heading1"/>
      </w:pPr>
      <w:bookmarkStart w:id="174" w:name="_Toc178948588"/>
      <w:r w:rsidRPr="00E162C4">
        <w:lastRenderedPageBreak/>
        <w:t xml:space="preserve">Appendix </w:t>
      </w:r>
      <w:r>
        <w:t>F</w:t>
      </w:r>
      <w:r w:rsidRPr="00E162C4">
        <w:t xml:space="preserve">: </w:t>
      </w:r>
      <w:r>
        <w:t>HL WBB and radio altimeter coexistence study</w:t>
      </w:r>
      <w:bookmarkEnd w:id="174"/>
    </w:p>
    <w:p w14:paraId="60550DB9" w14:textId="6789E13C" w:rsidR="00EF7A02" w:rsidRPr="006B24AF" w:rsidRDefault="000B1618" w:rsidP="000B1618">
      <w:pPr>
        <w:pStyle w:val="Paragraph"/>
        <w:spacing w:after="120"/>
        <w:rPr>
          <w:sz w:val="16"/>
          <w:szCs w:val="16"/>
        </w:rPr>
      </w:pPr>
      <w:r>
        <w:t xml:space="preserve">[Study </w:t>
      </w:r>
      <w:r w:rsidR="00BE0669">
        <w:t>provided as</w:t>
      </w:r>
      <w:r>
        <w:t xml:space="preserve"> a separate document] </w:t>
      </w:r>
    </w:p>
    <w:p w14:paraId="1A81B96C" w14:textId="77777777" w:rsidR="007C5A10" w:rsidRPr="00E162C4" w:rsidRDefault="007C5A10" w:rsidP="008906DC">
      <w:pPr>
        <w:pStyle w:val="Bulletlevel1last"/>
        <w:numPr>
          <w:ilvl w:val="0"/>
          <w:numId w:val="0"/>
        </w:numPr>
        <w:ind w:left="295" w:hanging="295"/>
      </w:pPr>
    </w:p>
    <w:p w14:paraId="05FF3E2F" w14:textId="0DDF3DDF" w:rsidR="00E76F2D" w:rsidRDefault="00E76F2D" w:rsidP="00851F3F"/>
    <w:sectPr w:rsidR="00E76F2D" w:rsidSect="008F0F69">
      <w:headerReference w:type="even" r:id="rId74"/>
      <w:headerReference w:type="default" r:id="rId75"/>
      <w:footerReference w:type="even" r:id="rId76"/>
      <w:footerReference w:type="default" r:id="rId77"/>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D5B3B9" w14:textId="77777777" w:rsidR="00C00904" w:rsidRDefault="00C00904">
      <w:r>
        <w:separator/>
      </w:r>
    </w:p>
  </w:endnote>
  <w:endnote w:type="continuationSeparator" w:id="0">
    <w:p w14:paraId="2440F386" w14:textId="77777777" w:rsidR="00C00904" w:rsidRDefault="00C00904">
      <w:r>
        <w:continuationSeparator/>
      </w:r>
    </w:p>
  </w:endnote>
  <w:endnote w:type="continuationNotice" w:id="1">
    <w:p w14:paraId="102D285D" w14:textId="77777777" w:rsidR="00C00904" w:rsidRDefault="00C0090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Malgun Gothic"/>
    <w:panose1 w:val="00000000000000000000"/>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5.0.0">
    <w:altName w:val="Times New Roman"/>
    <w:charset w:val="00"/>
    <w:family w:val="roman"/>
    <w:pitch w:val="default"/>
    <w:sig w:usb0="00000000" w:usb1="00000000" w:usb2="00000000" w:usb3="00000000" w:csb0="0004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86F1A" w14:textId="77777777" w:rsidR="005E250B" w:rsidRDefault="005E250B" w:rsidP="005E250B">
    <w:pPr>
      <w:pStyle w:val="Footer"/>
      <w:jc w:val="right"/>
    </w:pPr>
    <w:r w:rsidRPr="005E250B">
      <w:rPr>
        <w:noProof/>
        <w:vertAlign w:val="subscript"/>
      </w:rPr>
      <w:drawing>
        <wp:inline distT="0" distB="0" distL="0" distR="0" wp14:anchorId="4847C622" wp14:editId="0488CEF6">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74A60" w14:textId="77777777" w:rsidR="00C053A1" w:rsidRDefault="00C053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257E2" w14:textId="77777777" w:rsidR="00C053A1" w:rsidRDefault="00C053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14BCC" w14:textId="77777777" w:rsidR="00971914" w:rsidRPr="00622A3B" w:rsidRDefault="00971914"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iv</w:t>
    </w:r>
    <w:r w:rsidRPr="002E4DDC">
      <w:rPr>
        <w:color w:val="505050"/>
      </w:rPr>
      <w:fldChar w:fldCharType="end"/>
    </w:r>
  </w:p>
  <w:p w14:paraId="16C5BC42" w14:textId="77777777" w:rsidR="00C053A1" w:rsidRPr="00A5474E" w:rsidRDefault="00C053A1"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13B968" w14:textId="77777777" w:rsidR="00971914" w:rsidRPr="00622A3B" w:rsidRDefault="00971914"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v</w:t>
    </w:r>
    <w:r w:rsidRPr="002E4DDC">
      <w:rPr>
        <w:color w:val="505050"/>
      </w:rPr>
      <w:fldChar w:fldCharType="end"/>
    </w:r>
  </w:p>
  <w:p w14:paraId="79BCC92F" w14:textId="77777777" w:rsidR="00C053A1" w:rsidRPr="00A5474E" w:rsidRDefault="00C053A1"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8EB4D" w14:textId="77777777" w:rsidR="00C053A1" w:rsidRPr="00622A3B" w:rsidRDefault="00C053A1"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D1A43">
      <w:rPr>
        <w:noProof/>
        <w:color w:val="505050"/>
      </w:rPr>
      <w:t>iii</w:t>
    </w:r>
    <w:r w:rsidRPr="002E4DDC">
      <w:rPr>
        <w:color w:val="505050"/>
      </w:rPr>
      <w:fldChar w:fldCharType="end"/>
    </w:r>
  </w:p>
  <w:p w14:paraId="7247D76A" w14:textId="77777777" w:rsidR="00C053A1" w:rsidRPr="00A5474E" w:rsidRDefault="00C053A1"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C3046" w14:textId="77777777" w:rsidR="00C053A1" w:rsidRPr="00622A3B" w:rsidRDefault="00C053A1"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D1A43">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6F74C71E" w14:textId="77777777" w:rsidR="00C053A1" w:rsidRPr="00A5474E" w:rsidRDefault="00C053A1"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911F45" w14:textId="77777777" w:rsidR="00C053A1" w:rsidRPr="00622A3B" w:rsidRDefault="00C053A1"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D1A43">
      <w:rPr>
        <w:noProof/>
        <w:color w:val="505050"/>
      </w:rPr>
      <w:t>1</w:t>
    </w:r>
    <w:r w:rsidRPr="00575AC5">
      <w:rPr>
        <w:color w:val="505050"/>
      </w:rPr>
      <w:fldChar w:fldCharType="end"/>
    </w:r>
  </w:p>
  <w:p w14:paraId="3269679E" w14:textId="77777777" w:rsidR="00C053A1" w:rsidRPr="00A5474E" w:rsidRDefault="00C053A1"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20B1B4" w14:textId="77777777" w:rsidR="00C00904" w:rsidRDefault="00C00904" w:rsidP="00EA0969">
      <w:pPr>
        <w:spacing w:after="0"/>
      </w:pPr>
      <w:r>
        <w:separator/>
      </w:r>
    </w:p>
  </w:footnote>
  <w:footnote w:type="continuationSeparator" w:id="0">
    <w:p w14:paraId="7EF35144" w14:textId="77777777" w:rsidR="00C00904" w:rsidRDefault="00C00904">
      <w:r>
        <w:continuationSeparator/>
      </w:r>
    </w:p>
  </w:footnote>
  <w:footnote w:type="continuationNotice" w:id="1">
    <w:p w14:paraId="222C23B0" w14:textId="77777777" w:rsidR="00C00904" w:rsidRDefault="00C00904">
      <w:pPr>
        <w:spacing w:after="0" w:line="240" w:lineRule="auto"/>
      </w:pPr>
    </w:p>
  </w:footnote>
  <w:footnote w:id="2">
    <w:p w14:paraId="7B5868DB" w14:textId="4086F1D0" w:rsidR="00E902A1" w:rsidRDefault="00E902A1">
      <w:pPr>
        <w:pStyle w:val="FootnoteText"/>
      </w:pPr>
      <w:r>
        <w:rPr>
          <w:rStyle w:val="FootnoteReference"/>
        </w:rPr>
        <w:footnoteRef/>
      </w:r>
      <w:r>
        <w:t xml:space="preserve"> Industry 4.0 or the fourth industrial revolution refers to the </w:t>
      </w:r>
      <w:r w:rsidRPr="001B2D2A">
        <w:t>transform</w:t>
      </w:r>
      <w:r>
        <w:t>ation of</w:t>
      </w:r>
      <w:r w:rsidRPr="001B2D2A">
        <w:t xml:space="preserve"> how businesses operate by connecting the physical with the digital world. Artificial intelligence, advanced automation and robotics are examples of Industry 4.0 technologies.</w:t>
      </w:r>
      <w:r>
        <w:t xml:space="preserve"> </w:t>
      </w:r>
    </w:p>
  </w:footnote>
  <w:footnote w:id="3">
    <w:p w14:paraId="64B08929" w14:textId="3FD2B0C3" w:rsidR="00AA17A5" w:rsidRDefault="00AA17A5" w:rsidP="00AA17A5">
      <w:pPr>
        <w:pStyle w:val="FootnoteText"/>
      </w:pPr>
      <w:r>
        <w:rPr>
          <w:rStyle w:val="FootnoteReference"/>
        </w:rPr>
        <w:footnoteRef/>
      </w:r>
      <w:r>
        <w:t xml:space="preserve"> Definition of the term ‘controlled premises’ is the same as that used for class licensed WBB services in the 24.25-25.51 GHz </w:t>
      </w:r>
      <w:r w:rsidR="00185350">
        <w:t>frequency range</w:t>
      </w:r>
      <w:r>
        <w:t xml:space="preserve">, refer to the interpretation section of the </w:t>
      </w:r>
      <w:hyperlink r:id="rId1" w:history="1">
        <w:r w:rsidRPr="007C0D62">
          <w:rPr>
            <w:rStyle w:val="Hyperlink"/>
            <w:i/>
            <w:iCs/>
          </w:rPr>
          <w:t>Radiocommunications (Low Interference Potential Devices) Class Licence 2015</w:t>
        </w:r>
      </w:hyperlink>
    </w:p>
  </w:footnote>
  <w:footnote w:id="4">
    <w:p w14:paraId="3A18880B" w14:textId="5498192C" w:rsidR="00793F8B" w:rsidRDefault="00793F8B">
      <w:pPr>
        <w:pStyle w:val="FootnoteText"/>
      </w:pPr>
      <w:r>
        <w:rPr>
          <w:rStyle w:val="FootnoteReference"/>
        </w:rPr>
        <w:footnoteRef/>
      </w:r>
      <w:r>
        <w:t xml:space="preserve"> Refer to the interpretation section of the </w:t>
      </w:r>
      <w:hyperlink r:id="rId2" w:history="1">
        <w:r w:rsidRPr="007A05EE">
          <w:rPr>
            <w:rStyle w:val="Hyperlink"/>
            <w:i/>
            <w:iCs/>
          </w:rPr>
          <w:t>Radiocommunications (Low Interference Potential Devices) Class Licence 2015</w:t>
        </w:r>
      </w:hyperlink>
    </w:p>
  </w:footnote>
  <w:footnote w:id="5">
    <w:p w14:paraId="1F0D2E56" w14:textId="1ED27F70" w:rsidR="00114E37" w:rsidRDefault="00114E37">
      <w:pPr>
        <w:pStyle w:val="FootnoteText"/>
      </w:pPr>
      <w:r>
        <w:rPr>
          <w:rStyle w:val="FootnoteReference"/>
        </w:rPr>
        <w:footnoteRef/>
      </w:r>
      <w:r>
        <w:t xml:space="preserve"> In the context of a PMP licence a remote station includes user terminals and other devices that communicate with a base station. </w:t>
      </w:r>
    </w:p>
  </w:footnote>
  <w:footnote w:id="6">
    <w:p w14:paraId="621958C5" w14:textId="7203CD8D" w:rsidR="008E42B0" w:rsidRDefault="008E42B0">
      <w:pPr>
        <w:pStyle w:val="FootnoteText"/>
      </w:pPr>
      <w:r>
        <w:rPr>
          <w:rStyle w:val="FootnoteReference"/>
        </w:rPr>
        <w:footnoteRef/>
      </w:r>
      <w:r>
        <w:t xml:space="preserve"> </w:t>
      </w:r>
      <w:bookmarkStart w:id="89" w:name="_Hlk75263250"/>
      <w:r w:rsidRPr="00253EFD">
        <w:rPr>
          <w:rFonts w:hint="eastAsia"/>
        </w:rPr>
        <w:t>C</w:t>
      </w:r>
      <w:r w:rsidRPr="00253EFD">
        <w:t>haracteristics of terrestrial component of IMT for sharing and compatibility studies in preparation for WRC-23</w:t>
      </w:r>
      <w:bookmarkEnd w:id="89"/>
    </w:p>
  </w:footnote>
  <w:footnote w:id="7">
    <w:p w14:paraId="6C8D1CB2" w14:textId="0002B66E" w:rsidR="003C3B93" w:rsidRDefault="003C3B93" w:rsidP="003C3B93">
      <w:pPr>
        <w:pStyle w:val="FootnoteText"/>
      </w:pPr>
      <w:r>
        <w:rPr>
          <w:rStyle w:val="FootnoteReference"/>
        </w:rPr>
        <w:footnoteRef/>
      </w:r>
      <w:r>
        <w:t xml:space="preserve"> </w:t>
      </w:r>
      <w:r w:rsidRPr="00C34869">
        <w:t xml:space="preserve">Refer to </w:t>
      </w:r>
      <w:r w:rsidRPr="00C2711B">
        <w:t xml:space="preserve">Appendix </w:t>
      </w:r>
      <w:r w:rsidR="005C56F8">
        <w:t>B</w:t>
      </w:r>
      <w:r w:rsidRPr="00C2711B">
        <w:t xml:space="preserve"> for details of the</w:t>
      </w:r>
      <w:r w:rsidRPr="00C34869">
        <w:t xml:space="preserve"> notification requirements.</w:t>
      </w:r>
    </w:p>
  </w:footnote>
  <w:footnote w:id="8">
    <w:p w14:paraId="04996315" w14:textId="0B73B281" w:rsidR="00C244EF" w:rsidRDefault="00C244EF" w:rsidP="00C244EF">
      <w:pPr>
        <w:pStyle w:val="FootnoteText"/>
      </w:pPr>
      <w:r>
        <w:rPr>
          <w:rStyle w:val="FootnoteReference"/>
        </w:rPr>
        <w:footnoteRef/>
      </w:r>
      <w:r>
        <w:t xml:space="preserve"> </w:t>
      </w:r>
      <w:r w:rsidRPr="00C34869">
        <w:t xml:space="preserve">Refer to </w:t>
      </w:r>
      <w:r w:rsidRPr="006130BC">
        <w:t xml:space="preserve">Appendix </w:t>
      </w:r>
      <w:r>
        <w:t>B</w:t>
      </w:r>
      <w:r w:rsidRPr="00C34869">
        <w:t xml:space="preserve"> for details o</w:t>
      </w:r>
      <w:r>
        <w:t>f</w:t>
      </w:r>
      <w:r w:rsidRPr="00C34869">
        <w:t xml:space="preserve"> the notification requirements.</w:t>
      </w:r>
    </w:p>
  </w:footnote>
  <w:footnote w:id="9">
    <w:p w14:paraId="63114544" w14:textId="77777777" w:rsidR="00FF31C2" w:rsidRDefault="00FF31C2" w:rsidP="00FF31C2">
      <w:pPr>
        <w:pStyle w:val="FootnoteText"/>
      </w:pPr>
      <w:r>
        <w:rPr>
          <w:rStyle w:val="FootnoteReference"/>
        </w:rPr>
        <w:footnoteRef/>
      </w:r>
      <w:r>
        <w:t xml:space="preserve"> It is noted that since any HL WBB transmitters also </w:t>
      </w:r>
      <w:r>
        <w:t xml:space="preserve">have to be within the bounds of a controlled premise, this means the actual distance may be less than 100 m. </w:t>
      </w:r>
    </w:p>
  </w:footnote>
  <w:footnote w:id="10">
    <w:p w14:paraId="7E46EFB1" w14:textId="1C3AA71C" w:rsidR="009329FD" w:rsidRDefault="009329FD">
      <w:pPr>
        <w:pStyle w:val="FootnoteText"/>
      </w:pPr>
      <w:r>
        <w:rPr>
          <w:rStyle w:val="FootnoteReference"/>
        </w:rPr>
        <w:footnoteRef/>
      </w:r>
      <w:r>
        <w:t xml:space="preserve"> Frequency Dependant Rejection</w:t>
      </w:r>
    </w:p>
  </w:footnote>
  <w:footnote w:id="11">
    <w:p w14:paraId="3F0EA924" w14:textId="77777777" w:rsidR="00144B48" w:rsidRDefault="00144B48" w:rsidP="00144B48">
      <w:pPr>
        <w:pStyle w:val="FootnoteText"/>
      </w:pPr>
      <w:r>
        <w:rPr>
          <w:rStyle w:val="FootnoteReference"/>
        </w:rPr>
        <w:footnoteRef/>
      </w:r>
      <w:r>
        <w:t xml:space="preserve"> Frequency Dependant Rejection</w:t>
      </w:r>
    </w:p>
  </w:footnote>
  <w:footnote w:id="12">
    <w:p w14:paraId="5997F723" w14:textId="77777777" w:rsidR="008C4F1C" w:rsidRDefault="008C4F1C" w:rsidP="008C4F1C">
      <w:pPr>
        <w:pStyle w:val="FootnoteText"/>
      </w:pPr>
      <w:r>
        <w:rPr>
          <w:rStyle w:val="FootnoteReference"/>
        </w:rPr>
        <w:footnoteRef/>
      </w:r>
      <w:r>
        <w:t xml:space="preserve"> The list of airports that the restricted zone applies is intended to be the same as those defined for 3.4 GHz spectrum licences and area-wide licences.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78E7A" w14:textId="77777777" w:rsidR="00C053A1" w:rsidRPr="00A5474E" w:rsidRDefault="0021426C" w:rsidP="00A5474E">
    <w:pPr>
      <w:pStyle w:val="Header"/>
    </w:pPr>
    <w:r>
      <w:rPr>
        <w:noProof/>
      </w:rPr>
      <w:drawing>
        <wp:inline distT="0" distB="0" distL="0" distR="0" wp14:anchorId="001E5DE2" wp14:editId="28044E97">
          <wp:extent cx="6210300" cy="571134"/>
          <wp:effectExtent l="0" t="0" r="0"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08738" w14:textId="77777777" w:rsidR="00C053A1" w:rsidRPr="00A5474E" w:rsidRDefault="00C053A1"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8E0486" w14:textId="77777777" w:rsidR="00C053A1" w:rsidRDefault="00C053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72F58" w14:textId="77777777" w:rsidR="00C053A1" w:rsidRDefault="00C053A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1B757F81" w14:textId="77777777" w:rsidTr="003B0421">
      <w:trPr>
        <w:trHeight w:hRule="exact" w:val="988"/>
      </w:trPr>
      <w:tc>
        <w:tcPr>
          <w:tcW w:w="7678" w:type="dxa"/>
          <w:shd w:val="clear" w:color="auto" w:fill="auto"/>
        </w:tcPr>
        <w:p w14:paraId="06057C12" w14:textId="77777777" w:rsidR="00971914" w:rsidRDefault="00971914" w:rsidP="00971914">
          <w:pPr>
            <w:pStyle w:val="Header"/>
          </w:pPr>
        </w:p>
      </w:tc>
    </w:tr>
    <w:tr w:rsidR="00971914" w14:paraId="48B67A55" w14:textId="77777777" w:rsidTr="003B0421">
      <w:tc>
        <w:tcPr>
          <w:tcW w:w="7678" w:type="dxa"/>
          <w:shd w:val="clear" w:color="auto" w:fill="auto"/>
        </w:tcPr>
        <w:p w14:paraId="05A93DDA" w14:textId="77777777" w:rsidR="00971914" w:rsidRDefault="00971914" w:rsidP="00971914">
          <w:pPr>
            <w:pStyle w:val="GridTable31"/>
          </w:pPr>
          <w:r>
            <w:t xml:space="preserve">Contents </w:t>
          </w:r>
          <w:r w:rsidRPr="00915B1C">
            <w:rPr>
              <w:b w:val="0"/>
              <w:spacing w:val="0"/>
              <w:sz w:val="28"/>
              <w:szCs w:val="28"/>
            </w:rPr>
            <w:t>(Continued)</w:t>
          </w:r>
        </w:p>
      </w:tc>
    </w:tr>
    <w:tr w:rsidR="00971914" w14:paraId="17AD6E63" w14:textId="77777777" w:rsidTr="003B0421">
      <w:trPr>
        <w:trHeight w:val="1220"/>
      </w:trPr>
      <w:tc>
        <w:tcPr>
          <w:tcW w:w="7678" w:type="dxa"/>
          <w:shd w:val="clear" w:color="auto" w:fill="auto"/>
        </w:tcPr>
        <w:p w14:paraId="1B7FFA2E" w14:textId="77777777" w:rsidR="00971914" w:rsidRDefault="00971914" w:rsidP="00971914"/>
      </w:tc>
    </w:tr>
  </w:tbl>
  <w:p w14:paraId="73707DDD" w14:textId="77777777" w:rsidR="00971914" w:rsidRDefault="00971914"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0BD34C6C" w14:textId="77777777" w:rsidTr="003B0421">
      <w:trPr>
        <w:trHeight w:hRule="exact" w:val="988"/>
      </w:trPr>
      <w:tc>
        <w:tcPr>
          <w:tcW w:w="7678" w:type="dxa"/>
          <w:shd w:val="clear" w:color="auto" w:fill="auto"/>
        </w:tcPr>
        <w:p w14:paraId="45C759F8" w14:textId="77777777" w:rsidR="00971914" w:rsidRDefault="00971914" w:rsidP="00971914">
          <w:pPr>
            <w:pStyle w:val="Header"/>
          </w:pPr>
        </w:p>
      </w:tc>
    </w:tr>
    <w:tr w:rsidR="00971914" w14:paraId="3CCFBFC9" w14:textId="77777777" w:rsidTr="003B0421">
      <w:tc>
        <w:tcPr>
          <w:tcW w:w="7678" w:type="dxa"/>
          <w:shd w:val="clear" w:color="auto" w:fill="auto"/>
        </w:tcPr>
        <w:p w14:paraId="44279018" w14:textId="77777777" w:rsidR="00971914" w:rsidRDefault="00971914" w:rsidP="00971914">
          <w:pPr>
            <w:pStyle w:val="GridTable31"/>
          </w:pPr>
          <w:r>
            <w:t xml:space="preserve">Contents </w:t>
          </w:r>
          <w:r w:rsidRPr="00915B1C">
            <w:rPr>
              <w:b w:val="0"/>
              <w:spacing w:val="0"/>
              <w:sz w:val="28"/>
              <w:szCs w:val="28"/>
            </w:rPr>
            <w:t>(Continued)</w:t>
          </w:r>
        </w:p>
      </w:tc>
    </w:tr>
    <w:tr w:rsidR="00971914" w14:paraId="7B1B9431" w14:textId="77777777" w:rsidTr="003B0421">
      <w:trPr>
        <w:trHeight w:val="1220"/>
      </w:trPr>
      <w:tc>
        <w:tcPr>
          <w:tcW w:w="7678" w:type="dxa"/>
          <w:shd w:val="clear" w:color="auto" w:fill="auto"/>
        </w:tcPr>
        <w:p w14:paraId="08FD5E69" w14:textId="77777777" w:rsidR="00971914" w:rsidRDefault="00971914" w:rsidP="00971914"/>
      </w:tc>
    </w:tr>
  </w:tbl>
  <w:p w14:paraId="6C1128E3" w14:textId="77777777" w:rsidR="00C053A1" w:rsidRPr="00A5474E" w:rsidRDefault="00C053A1"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D3D231" w14:textId="77777777" w:rsidR="00C053A1" w:rsidRDefault="00C053A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59CEE1" w14:textId="77777777" w:rsidR="00C053A1" w:rsidRDefault="00C05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51B60EB2"/>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E552FEB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2F340AF"/>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6"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BE6170D"/>
    <w:multiLevelType w:val="hybridMultilevel"/>
    <w:tmpl w:val="71509726"/>
    <w:lvl w:ilvl="0" w:tplc="FFFFFFFF">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0C112C7F"/>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9" w15:restartNumberingAfterBreak="0">
    <w:nsid w:val="0C2C2BA4"/>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10" w15:restartNumberingAfterBreak="0">
    <w:nsid w:val="0C327B64"/>
    <w:multiLevelType w:val="hybridMultilevel"/>
    <w:tmpl w:val="1980BE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77F228C"/>
    <w:multiLevelType w:val="hybridMultilevel"/>
    <w:tmpl w:val="23688E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19115EAB"/>
    <w:multiLevelType w:val="hybridMultilevel"/>
    <w:tmpl w:val="8D4E6FCE"/>
    <w:lvl w:ilvl="0" w:tplc="C12654DA">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13" w15:restartNumberingAfterBreak="0">
    <w:nsid w:val="1A1F5B4E"/>
    <w:multiLevelType w:val="hybridMultilevel"/>
    <w:tmpl w:val="29BEA758"/>
    <w:lvl w:ilvl="0" w:tplc="675CBEC4">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1D395291"/>
    <w:multiLevelType w:val="hybridMultilevel"/>
    <w:tmpl w:val="A824EDF6"/>
    <w:lvl w:ilvl="0" w:tplc="FFFFFFFF">
      <w:start w:val="1"/>
      <w:numFmt w:val="lowerLetter"/>
      <w:lvlText w:val="(%1)"/>
      <w:lvlJc w:val="left"/>
      <w:pPr>
        <w:ind w:left="93" w:hanging="360"/>
      </w:pPr>
      <w:rPr>
        <w:rFonts w:hint="default"/>
      </w:rPr>
    </w:lvl>
    <w:lvl w:ilvl="1" w:tplc="FFFFFFFF" w:tentative="1">
      <w:start w:val="1"/>
      <w:numFmt w:val="lowerLetter"/>
      <w:lvlText w:val="%2."/>
      <w:lvlJc w:val="left"/>
      <w:pPr>
        <w:ind w:left="813" w:hanging="360"/>
      </w:pPr>
    </w:lvl>
    <w:lvl w:ilvl="2" w:tplc="FFFFFFFF" w:tentative="1">
      <w:start w:val="1"/>
      <w:numFmt w:val="lowerRoman"/>
      <w:lvlText w:val="%3."/>
      <w:lvlJc w:val="right"/>
      <w:pPr>
        <w:ind w:left="1533" w:hanging="180"/>
      </w:pPr>
    </w:lvl>
    <w:lvl w:ilvl="3" w:tplc="FFFFFFFF" w:tentative="1">
      <w:start w:val="1"/>
      <w:numFmt w:val="decimal"/>
      <w:lvlText w:val="%4."/>
      <w:lvlJc w:val="left"/>
      <w:pPr>
        <w:ind w:left="2253" w:hanging="360"/>
      </w:pPr>
    </w:lvl>
    <w:lvl w:ilvl="4" w:tplc="FFFFFFFF" w:tentative="1">
      <w:start w:val="1"/>
      <w:numFmt w:val="lowerLetter"/>
      <w:lvlText w:val="%5."/>
      <w:lvlJc w:val="left"/>
      <w:pPr>
        <w:ind w:left="2973" w:hanging="360"/>
      </w:pPr>
    </w:lvl>
    <w:lvl w:ilvl="5" w:tplc="FFFFFFFF" w:tentative="1">
      <w:start w:val="1"/>
      <w:numFmt w:val="lowerRoman"/>
      <w:lvlText w:val="%6."/>
      <w:lvlJc w:val="right"/>
      <w:pPr>
        <w:ind w:left="3693" w:hanging="180"/>
      </w:pPr>
    </w:lvl>
    <w:lvl w:ilvl="6" w:tplc="FFFFFFFF" w:tentative="1">
      <w:start w:val="1"/>
      <w:numFmt w:val="decimal"/>
      <w:lvlText w:val="%7."/>
      <w:lvlJc w:val="left"/>
      <w:pPr>
        <w:ind w:left="4413" w:hanging="360"/>
      </w:pPr>
    </w:lvl>
    <w:lvl w:ilvl="7" w:tplc="FFFFFFFF" w:tentative="1">
      <w:start w:val="1"/>
      <w:numFmt w:val="lowerLetter"/>
      <w:lvlText w:val="%8."/>
      <w:lvlJc w:val="left"/>
      <w:pPr>
        <w:ind w:left="5133" w:hanging="360"/>
      </w:pPr>
    </w:lvl>
    <w:lvl w:ilvl="8" w:tplc="FFFFFFFF" w:tentative="1">
      <w:start w:val="1"/>
      <w:numFmt w:val="lowerRoman"/>
      <w:lvlText w:val="%9."/>
      <w:lvlJc w:val="right"/>
      <w:pPr>
        <w:ind w:left="5853" w:hanging="180"/>
      </w:pPr>
    </w:lvl>
  </w:abstractNum>
  <w:abstractNum w:abstractNumId="15" w15:restartNumberingAfterBreak="0">
    <w:nsid w:val="1F3312A9"/>
    <w:multiLevelType w:val="hybridMultilevel"/>
    <w:tmpl w:val="0C2C564E"/>
    <w:lvl w:ilvl="0" w:tplc="1210446E">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6" w15:restartNumberingAfterBreak="0">
    <w:nsid w:val="20812492"/>
    <w:multiLevelType w:val="hybridMultilevel"/>
    <w:tmpl w:val="71509726"/>
    <w:lvl w:ilvl="0" w:tplc="FFFFFFFF">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20C426D8"/>
    <w:multiLevelType w:val="hybridMultilevel"/>
    <w:tmpl w:val="D242D788"/>
    <w:lvl w:ilvl="0" w:tplc="FFFFFFFF">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217F2DE5"/>
    <w:multiLevelType w:val="hybridMultilevel"/>
    <w:tmpl w:val="367C86CC"/>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25027DE4"/>
    <w:multiLevelType w:val="hybridMultilevel"/>
    <w:tmpl w:val="CD1C28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287E22F1"/>
    <w:multiLevelType w:val="hybridMultilevel"/>
    <w:tmpl w:val="EA86B800"/>
    <w:lvl w:ilvl="0" w:tplc="FFFFFFFF">
      <w:start w:val="1"/>
      <w:numFmt w:val="lowerLetter"/>
      <w:lvlText w:val="(%1)"/>
      <w:lvlJc w:val="left"/>
      <w:pPr>
        <w:ind w:left="360" w:hanging="360"/>
      </w:pPr>
      <w:rPr>
        <w:rFonts w:ascii="Arial" w:hAnsi="Arial" w:cs="Arial" w:hint="default"/>
        <w:b w:val="0"/>
        <w:bCs w:val="0"/>
      </w:rPr>
    </w:lvl>
    <w:lvl w:ilvl="1" w:tplc="0B54121E">
      <w:start w:val="1"/>
      <w:numFmt w:val="lowerRoman"/>
      <w:lvlText w:val="(%2)"/>
      <w:lvlJc w:val="left"/>
      <w:pPr>
        <w:ind w:left="1080" w:hanging="360"/>
      </w:pPr>
      <w:rPr>
        <w:rFonts w:ascii="Arial" w:hAnsi="Arial" w:cs="Arial" w:hint="default"/>
      </w:rPr>
    </w:lvl>
    <w:lvl w:ilvl="2" w:tplc="0C090011">
      <w:start w:val="1"/>
      <w:numFmt w:val="decimal"/>
      <w:lvlText w:val="%3)"/>
      <w:lvlJc w:val="left"/>
      <w:pPr>
        <w:ind w:left="1980" w:hanging="36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29D5144B"/>
    <w:multiLevelType w:val="hybridMultilevel"/>
    <w:tmpl w:val="E9F862A8"/>
    <w:lvl w:ilvl="0" w:tplc="420C40BA">
      <w:start w:val="1"/>
      <w:numFmt w:val="lowerLetter"/>
      <w:lvlText w:val="(%1)"/>
      <w:lvlJc w:val="left"/>
      <w:pPr>
        <w:ind w:left="720" w:hanging="360"/>
      </w:pPr>
      <w:rPr>
        <w:rFonts w:hint="default"/>
      </w:rPr>
    </w:lvl>
    <w:lvl w:ilvl="1" w:tplc="420C40BA">
      <w:start w:val="1"/>
      <w:numFmt w:val="lowerLetter"/>
      <w:lvlText w:val="(%2)"/>
      <w:lvlJc w:val="left"/>
      <w:pPr>
        <w:ind w:left="312" w:hanging="360"/>
      </w:pPr>
      <w:rPr>
        <w:rFonts w:hint="default"/>
      </w:rPr>
    </w:lvl>
    <w:lvl w:ilvl="2" w:tplc="C0B430A8">
      <w:start w:val="1"/>
      <w:numFmt w:val="lowerRoman"/>
      <w:lvlText w:val="(%3)"/>
      <w:lvlJc w:val="left"/>
      <w:pPr>
        <w:ind w:left="2160" w:hanging="18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29F14290"/>
    <w:multiLevelType w:val="hybridMultilevel"/>
    <w:tmpl w:val="63447EFE"/>
    <w:lvl w:ilvl="0" w:tplc="395CEA0C">
      <w:start w:val="1"/>
      <w:numFmt w:val="lowerLetter"/>
      <w:lvlText w:val="(%1)"/>
      <w:lvlJc w:val="left"/>
      <w:pPr>
        <w:ind w:left="360" w:hanging="360"/>
      </w:pPr>
      <w:rPr>
        <w:rFonts w:ascii="Arial" w:hAnsi="Arial" w:cs="Arial" w:hint="default"/>
        <w:b w:val="0"/>
        <w:bCs w:val="0"/>
        <w:sz w:val="20"/>
        <w:szCs w:val="2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2B8B2483"/>
    <w:multiLevelType w:val="hybridMultilevel"/>
    <w:tmpl w:val="CDDE63FE"/>
    <w:lvl w:ilvl="0" w:tplc="0C09000F">
      <w:start w:val="1"/>
      <w:numFmt w:val="decimal"/>
      <w:lvlText w:val="%1."/>
      <w:lvlJc w:val="left"/>
      <w:pPr>
        <w:ind w:left="644" w:hanging="360"/>
      </w:pPr>
    </w:lvl>
    <w:lvl w:ilvl="1" w:tplc="0C090019" w:tentative="1">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24" w15:restartNumberingAfterBreak="0">
    <w:nsid w:val="2D734CF9"/>
    <w:multiLevelType w:val="hybridMultilevel"/>
    <w:tmpl w:val="5A062676"/>
    <w:lvl w:ilvl="0" w:tplc="1210446E">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25"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26" w15:restartNumberingAfterBreak="0">
    <w:nsid w:val="2EE961CC"/>
    <w:multiLevelType w:val="hybridMultilevel"/>
    <w:tmpl w:val="48E29312"/>
    <w:lvl w:ilvl="0" w:tplc="1210446E">
      <w:start w:val="1"/>
      <w:numFmt w:val="bullet"/>
      <w:lvlText w:val=""/>
      <w:lvlJc w:val="left"/>
      <w:pPr>
        <w:ind w:left="2160" w:hanging="360"/>
      </w:pPr>
      <w:rPr>
        <w:rFonts w:ascii="Symbol" w:hAnsi="Symbol" w:hint="default"/>
      </w:rPr>
    </w:lvl>
    <w:lvl w:ilvl="1" w:tplc="0C090003" w:tentative="1">
      <w:start w:val="1"/>
      <w:numFmt w:val="bullet"/>
      <w:lvlText w:val="o"/>
      <w:lvlJc w:val="left"/>
      <w:pPr>
        <w:ind w:left="2880" w:hanging="360"/>
      </w:pPr>
      <w:rPr>
        <w:rFonts w:ascii="Courier New" w:hAnsi="Courier New" w:cs="Courier New" w:hint="default"/>
      </w:rPr>
    </w:lvl>
    <w:lvl w:ilvl="2" w:tplc="0C090005" w:tentative="1">
      <w:start w:val="1"/>
      <w:numFmt w:val="bullet"/>
      <w:lvlText w:val=""/>
      <w:lvlJc w:val="left"/>
      <w:pPr>
        <w:ind w:left="3600" w:hanging="360"/>
      </w:pPr>
      <w:rPr>
        <w:rFonts w:ascii="Wingdings" w:hAnsi="Wingdings" w:hint="default"/>
      </w:rPr>
    </w:lvl>
    <w:lvl w:ilvl="3" w:tplc="0C090001" w:tentative="1">
      <w:start w:val="1"/>
      <w:numFmt w:val="bullet"/>
      <w:lvlText w:val=""/>
      <w:lvlJc w:val="left"/>
      <w:pPr>
        <w:ind w:left="4320" w:hanging="360"/>
      </w:pPr>
      <w:rPr>
        <w:rFonts w:ascii="Symbol" w:hAnsi="Symbol" w:hint="default"/>
      </w:rPr>
    </w:lvl>
    <w:lvl w:ilvl="4" w:tplc="0C090003" w:tentative="1">
      <w:start w:val="1"/>
      <w:numFmt w:val="bullet"/>
      <w:lvlText w:val="o"/>
      <w:lvlJc w:val="left"/>
      <w:pPr>
        <w:ind w:left="5040" w:hanging="360"/>
      </w:pPr>
      <w:rPr>
        <w:rFonts w:ascii="Courier New" w:hAnsi="Courier New" w:cs="Courier New"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27" w15:restartNumberingAfterBreak="0">
    <w:nsid w:val="2F5A5080"/>
    <w:multiLevelType w:val="hybridMultilevel"/>
    <w:tmpl w:val="BE2AF6CE"/>
    <w:lvl w:ilvl="0" w:tplc="D05E2434">
      <w:start w:val="1"/>
      <w:numFmt w:val="bullet"/>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28" w15:restartNumberingAfterBreak="0">
    <w:nsid w:val="31971AF9"/>
    <w:multiLevelType w:val="hybridMultilevel"/>
    <w:tmpl w:val="26806B42"/>
    <w:lvl w:ilvl="0" w:tplc="1D6E6B2A">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35D209DF"/>
    <w:multiLevelType w:val="hybridMultilevel"/>
    <w:tmpl w:val="D242D788"/>
    <w:lvl w:ilvl="0" w:tplc="3E28F14A">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37545E1F"/>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31" w15:restartNumberingAfterBreak="0">
    <w:nsid w:val="3BFD27EA"/>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32" w15:restartNumberingAfterBreak="0">
    <w:nsid w:val="3DCE4225"/>
    <w:multiLevelType w:val="hybridMultilevel"/>
    <w:tmpl w:val="755472A8"/>
    <w:lvl w:ilvl="0" w:tplc="0C090011">
      <w:start w:val="1"/>
      <w:numFmt w:val="decimal"/>
      <w:lvlText w:val="%1)"/>
      <w:lvlJc w:val="left"/>
      <w:pPr>
        <w:ind w:left="644" w:hanging="360"/>
      </w:pPr>
    </w:lvl>
    <w:lvl w:ilvl="1" w:tplc="FEFCB65E">
      <w:start w:val="1"/>
      <w:numFmt w:val="lowerLetter"/>
      <w:lvlText w:val="(%2)"/>
      <w:lvlJc w:val="left"/>
      <w:pPr>
        <w:ind w:left="1364" w:hanging="360"/>
      </w:pPr>
      <w:rPr>
        <w:rFonts w:hint="default"/>
      </w:r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3" w15:restartNumberingAfterBreak="0">
    <w:nsid w:val="41576BC3"/>
    <w:multiLevelType w:val="hybridMultilevel"/>
    <w:tmpl w:val="879276BA"/>
    <w:lvl w:ilvl="0" w:tplc="01B280B8">
      <w:start w:val="1"/>
      <w:numFmt w:val="lowerLetter"/>
      <w:lvlText w:val="(%1)"/>
      <w:lvlJc w:val="left"/>
      <w:pPr>
        <w:ind w:left="360" w:hanging="360"/>
      </w:pPr>
      <w:rPr>
        <w:rFonts w:ascii="Arial" w:hAnsi="Arial" w:cs="Arial" w:hint="default"/>
        <w:b w:val="0"/>
        <w:bCs w:val="0"/>
      </w:rPr>
    </w:lvl>
    <w:lvl w:ilvl="1" w:tplc="40207E76">
      <w:start w:val="1"/>
      <w:numFmt w:val="lowerRoman"/>
      <w:lvlText w:val="(%2)"/>
      <w:lvlJc w:val="left"/>
      <w:pPr>
        <w:ind w:left="1080" w:hanging="360"/>
      </w:pPr>
      <w:rPr>
        <w:rFonts w:ascii="Arial" w:hAnsi="Arial" w:cs="Arial" w:hint="default"/>
        <w:b w:val="0"/>
        <w:bCs w:val="0"/>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4231248A"/>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35" w15:restartNumberingAfterBreak="0">
    <w:nsid w:val="445363BB"/>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36" w15:restartNumberingAfterBreak="0">
    <w:nsid w:val="44C4636E"/>
    <w:multiLevelType w:val="hybridMultilevel"/>
    <w:tmpl w:val="A074067E"/>
    <w:lvl w:ilvl="0" w:tplc="420C40BA">
      <w:start w:val="1"/>
      <w:numFmt w:val="lowerLetter"/>
      <w:lvlText w:val="(%1)"/>
      <w:lvlJc w:val="left"/>
      <w:pPr>
        <w:ind w:left="568" w:hanging="360"/>
      </w:pPr>
      <w:rPr>
        <w:rFonts w:hint="default"/>
      </w:rPr>
    </w:lvl>
    <w:lvl w:ilvl="1" w:tplc="0C090019" w:tentative="1">
      <w:start w:val="1"/>
      <w:numFmt w:val="lowerLetter"/>
      <w:lvlText w:val="%2."/>
      <w:lvlJc w:val="left"/>
      <w:pPr>
        <w:ind w:left="1288" w:hanging="360"/>
      </w:pPr>
    </w:lvl>
    <w:lvl w:ilvl="2" w:tplc="0C09001B" w:tentative="1">
      <w:start w:val="1"/>
      <w:numFmt w:val="lowerRoman"/>
      <w:lvlText w:val="%3."/>
      <w:lvlJc w:val="right"/>
      <w:pPr>
        <w:ind w:left="2008" w:hanging="180"/>
      </w:pPr>
    </w:lvl>
    <w:lvl w:ilvl="3" w:tplc="0C09000F" w:tentative="1">
      <w:start w:val="1"/>
      <w:numFmt w:val="decimal"/>
      <w:lvlText w:val="%4."/>
      <w:lvlJc w:val="left"/>
      <w:pPr>
        <w:ind w:left="2728" w:hanging="360"/>
      </w:pPr>
    </w:lvl>
    <w:lvl w:ilvl="4" w:tplc="0C090019" w:tentative="1">
      <w:start w:val="1"/>
      <w:numFmt w:val="lowerLetter"/>
      <w:lvlText w:val="%5."/>
      <w:lvlJc w:val="left"/>
      <w:pPr>
        <w:ind w:left="3448" w:hanging="360"/>
      </w:pPr>
    </w:lvl>
    <w:lvl w:ilvl="5" w:tplc="0C09001B" w:tentative="1">
      <w:start w:val="1"/>
      <w:numFmt w:val="lowerRoman"/>
      <w:lvlText w:val="%6."/>
      <w:lvlJc w:val="right"/>
      <w:pPr>
        <w:ind w:left="4168" w:hanging="180"/>
      </w:pPr>
    </w:lvl>
    <w:lvl w:ilvl="6" w:tplc="0C09000F" w:tentative="1">
      <w:start w:val="1"/>
      <w:numFmt w:val="decimal"/>
      <w:lvlText w:val="%7."/>
      <w:lvlJc w:val="left"/>
      <w:pPr>
        <w:ind w:left="4888" w:hanging="360"/>
      </w:pPr>
    </w:lvl>
    <w:lvl w:ilvl="7" w:tplc="0C090019" w:tentative="1">
      <w:start w:val="1"/>
      <w:numFmt w:val="lowerLetter"/>
      <w:lvlText w:val="%8."/>
      <w:lvlJc w:val="left"/>
      <w:pPr>
        <w:ind w:left="5608" w:hanging="360"/>
      </w:pPr>
    </w:lvl>
    <w:lvl w:ilvl="8" w:tplc="0C09001B" w:tentative="1">
      <w:start w:val="1"/>
      <w:numFmt w:val="lowerRoman"/>
      <w:lvlText w:val="%9."/>
      <w:lvlJc w:val="right"/>
      <w:pPr>
        <w:ind w:left="6328" w:hanging="180"/>
      </w:pPr>
    </w:lvl>
  </w:abstractNum>
  <w:abstractNum w:abstractNumId="37" w15:restartNumberingAfterBreak="0">
    <w:nsid w:val="454B1AE3"/>
    <w:multiLevelType w:val="hybridMultilevel"/>
    <w:tmpl w:val="A824EDF6"/>
    <w:lvl w:ilvl="0" w:tplc="FFFFFFFF">
      <w:start w:val="1"/>
      <w:numFmt w:val="lowerLetter"/>
      <w:lvlText w:val="(%1)"/>
      <w:lvlJc w:val="left"/>
      <w:pPr>
        <w:ind w:left="312" w:hanging="360"/>
      </w:pPr>
      <w:rPr>
        <w:rFonts w:hint="default"/>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38" w15:restartNumberingAfterBreak="0">
    <w:nsid w:val="47275F41"/>
    <w:multiLevelType w:val="hybridMultilevel"/>
    <w:tmpl w:val="28280612"/>
    <w:lvl w:ilvl="0" w:tplc="1210446E">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39" w15:restartNumberingAfterBreak="0">
    <w:nsid w:val="4B375207"/>
    <w:multiLevelType w:val="hybridMultilevel"/>
    <w:tmpl w:val="367C86CC"/>
    <w:lvl w:ilvl="0" w:tplc="FFFFFFFF">
      <w:start w:val="1"/>
      <w:numFmt w:val="lowerLetter"/>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0" w15:restartNumberingAfterBreak="0">
    <w:nsid w:val="4B8F63B5"/>
    <w:multiLevelType w:val="hybridMultilevel"/>
    <w:tmpl w:val="EC90EC82"/>
    <w:lvl w:ilvl="0" w:tplc="0C09000F">
      <w:start w:val="1"/>
      <w:numFmt w:val="decimal"/>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15:restartNumberingAfterBreak="0">
    <w:nsid w:val="4CE12443"/>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42" w15:restartNumberingAfterBreak="0">
    <w:nsid w:val="4F204DF2"/>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43" w15:restartNumberingAfterBreak="0">
    <w:nsid w:val="4F4E35B7"/>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44" w15:restartNumberingAfterBreak="0">
    <w:nsid w:val="4F73415B"/>
    <w:multiLevelType w:val="hybridMultilevel"/>
    <w:tmpl w:val="B80662AE"/>
    <w:lvl w:ilvl="0" w:tplc="33AA54D0">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5" w15:restartNumberingAfterBreak="0">
    <w:nsid w:val="51724D8B"/>
    <w:multiLevelType w:val="hybridMultilevel"/>
    <w:tmpl w:val="76AC0F5E"/>
    <w:lvl w:ilvl="0" w:tplc="121044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46"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79B30AB"/>
    <w:multiLevelType w:val="hybridMultilevel"/>
    <w:tmpl w:val="B5AAF004"/>
    <w:lvl w:ilvl="0" w:tplc="44EEC084">
      <w:start w:val="1"/>
      <w:numFmt w:val="bullet"/>
      <w:lvlText w:val="&gt;"/>
      <w:lvlJc w:val="left"/>
      <w:pPr>
        <w:ind w:left="780" w:hanging="360"/>
      </w:pPr>
      <w:rPr>
        <w:rFonts w:ascii="HelveticaNeueLT Std" w:hAnsi="HelveticaNeueLT Std"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48" w15:restartNumberingAfterBreak="0">
    <w:nsid w:val="58644D0C"/>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49" w15:restartNumberingAfterBreak="0">
    <w:nsid w:val="59B23818"/>
    <w:multiLevelType w:val="hybridMultilevel"/>
    <w:tmpl w:val="583A24B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5B6906D4"/>
    <w:multiLevelType w:val="hybridMultilevel"/>
    <w:tmpl w:val="5036A89E"/>
    <w:lvl w:ilvl="0" w:tplc="121044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15:restartNumberingAfterBreak="0">
    <w:nsid w:val="5C10177B"/>
    <w:multiLevelType w:val="hybridMultilevel"/>
    <w:tmpl w:val="A824EDF6"/>
    <w:lvl w:ilvl="0" w:tplc="FFFFFFFF">
      <w:start w:val="1"/>
      <w:numFmt w:val="lowerLetter"/>
      <w:lvlText w:val="(%1)"/>
      <w:lvlJc w:val="left"/>
      <w:pPr>
        <w:ind w:left="312" w:hanging="360"/>
      </w:pPr>
      <w:rPr>
        <w:rFonts w:hint="default"/>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52" w15:restartNumberingAfterBreak="0">
    <w:nsid w:val="5F7E2F67"/>
    <w:multiLevelType w:val="hybridMultilevel"/>
    <w:tmpl w:val="0FFE0206"/>
    <w:lvl w:ilvl="0" w:tplc="1210446E">
      <w:start w:val="1"/>
      <w:numFmt w:val="bullet"/>
      <w:lvlText w:val=""/>
      <w:lvlJc w:val="left"/>
      <w:pPr>
        <w:ind w:left="644" w:hanging="360"/>
      </w:pPr>
      <w:rPr>
        <w:rFonts w:ascii="Symbol" w:hAnsi="Symbol" w:hint="default"/>
      </w:rPr>
    </w:lvl>
    <w:lvl w:ilvl="1" w:tplc="1210446E">
      <w:start w:val="1"/>
      <w:numFmt w:val="bullet"/>
      <w:lvlText w:val=""/>
      <w:lvlJc w:val="left"/>
      <w:pPr>
        <w:ind w:left="1364" w:hanging="360"/>
      </w:pPr>
      <w:rPr>
        <w:rFonts w:ascii="Symbol" w:hAnsi="Symbol"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53" w15:restartNumberingAfterBreak="0">
    <w:nsid w:val="61B46FE2"/>
    <w:multiLevelType w:val="hybridMultilevel"/>
    <w:tmpl w:val="199CE708"/>
    <w:lvl w:ilvl="0" w:tplc="0C090001">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54" w15:restartNumberingAfterBreak="0">
    <w:nsid w:val="63201846"/>
    <w:multiLevelType w:val="hybridMultilevel"/>
    <w:tmpl w:val="D242D788"/>
    <w:lvl w:ilvl="0" w:tplc="FFFFFFFF">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5071478"/>
    <w:multiLevelType w:val="hybridMultilevel"/>
    <w:tmpl w:val="16D2B96E"/>
    <w:lvl w:ilvl="0" w:tplc="3A9CF91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675A4242"/>
    <w:multiLevelType w:val="hybridMultilevel"/>
    <w:tmpl w:val="2CD65D5C"/>
    <w:lvl w:ilvl="0" w:tplc="1210446E">
      <w:start w:val="1"/>
      <w:numFmt w:val="bullet"/>
      <w:lvlText w:val=""/>
      <w:lvlJc w:val="left"/>
      <w:pPr>
        <w:ind w:left="645" w:hanging="360"/>
      </w:pPr>
      <w:rPr>
        <w:rFonts w:ascii="Symbol" w:hAnsi="Symbol" w:hint="default"/>
      </w:rPr>
    </w:lvl>
    <w:lvl w:ilvl="1" w:tplc="0C090003">
      <w:start w:val="1"/>
      <w:numFmt w:val="bullet"/>
      <w:lvlText w:val="o"/>
      <w:lvlJc w:val="left"/>
      <w:pPr>
        <w:ind w:left="1365" w:hanging="360"/>
      </w:pPr>
      <w:rPr>
        <w:rFonts w:ascii="Courier New" w:hAnsi="Courier New" w:cs="Courier New" w:hint="default"/>
      </w:rPr>
    </w:lvl>
    <w:lvl w:ilvl="2" w:tplc="0C090005" w:tentative="1">
      <w:start w:val="1"/>
      <w:numFmt w:val="bullet"/>
      <w:lvlText w:val=""/>
      <w:lvlJc w:val="left"/>
      <w:pPr>
        <w:ind w:left="2085" w:hanging="360"/>
      </w:pPr>
      <w:rPr>
        <w:rFonts w:ascii="Wingdings" w:hAnsi="Wingdings" w:hint="default"/>
      </w:rPr>
    </w:lvl>
    <w:lvl w:ilvl="3" w:tplc="0C090001" w:tentative="1">
      <w:start w:val="1"/>
      <w:numFmt w:val="bullet"/>
      <w:lvlText w:val=""/>
      <w:lvlJc w:val="left"/>
      <w:pPr>
        <w:ind w:left="2805" w:hanging="360"/>
      </w:pPr>
      <w:rPr>
        <w:rFonts w:ascii="Symbol" w:hAnsi="Symbol" w:hint="default"/>
      </w:rPr>
    </w:lvl>
    <w:lvl w:ilvl="4" w:tplc="0C090003" w:tentative="1">
      <w:start w:val="1"/>
      <w:numFmt w:val="bullet"/>
      <w:lvlText w:val="o"/>
      <w:lvlJc w:val="left"/>
      <w:pPr>
        <w:ind w:left="3525" w:hanging="360"/>
      </w:pPr>
      <w:rPr>
        <w:rFonts w:ascii="Courier New" w:hAnsi="Courier New" w:cs="Courier New" w:hint="default"/>
      </w:rPr>
    </w:lvl>
    <w:lvl w:ilvl="5" w:tplc="0C090005" w:tentative="1">
      <w:start w:val="1"/>
      <w:numFmt w:val="bullet"/>
      <w:lvlText w:val=""/>
      <w:lvlJc w:val="left"/>
      <w:pPr>
        <w:ind w:left="4245" w:hanging="360"/>
      </w:pPr>
      <w:rPr>
        <w:rFonts w:ascii="Wingdings" w:hAnsi="Wingdings" w:hint="default"/>
      </w:rPr>
    </w:lvl>
    <w:lvl w:ilvl="6" w:tplc="0C090001" w:tentative="1">
      <w:start w:val="1"/>
      <w:numFmt w:val="bullet"/>
      <w:lvlText w:val=""/>
      <w:lvlJc w:val="left"/>
      <w:pPr>
        <w:ind w:left="4965" w:hanging="360"/>
      </w:pPr>
      <w:rPr>
        <w:rFonts w:ascii="Symbol" w:hAnsi="Symbol" w:hint="default"/>
      </w:rPr>
    </w:lvl>
    <w:lvl w:ilvl="7" w:tplc="0C090003" w:tentative="1">
      <w:start w:val="1"/>
      <w:numFmt w:val="bullet"/>
      <w:lvlText w:val="o"/>
      <w:lvlJc w:val="left"/>
      <w:pPr>
        <w:ind w:left="5685" w:hanging="360"/>
      </w:pPr>
      <w:rPr>
        <w:rFonts w:ascii="Courier New" w:hAnsi="Courier New" w:cs="Courier New" w:hint="default"/>
      </w:rPr>
    </w:lvl>
    <w:lvl w:ilvl="8" w:tplc="0C090005" w:tentative="1">
      <w:start w:val="1"/>
      <w:numFmt w:val="bullet"/>
      <w:lvlText w:val=""/>
      <w:lvlJc w:val="left"/>
      <w:pPr>
        <w:ind w:left="6405" w:hanging="360"/>
      </w:pPr>
      <w:rPr>
        <w:rFonts w:ascii="Wingdings" w:hAnsi="Wingdings" w:hint="default"/>
      </w:rPr>
    </w:lvl>
  </w:abstractNum>
  <w:abstractNum w:abstractNumId="58" w15:restartNumberingAfterBreak="0">
    <w:nsid w:val="69791623"/>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59" w15:restartNumberingAfterBreak="0">
    <w:nsid w:val="6C647B24"/>
    <w:multiLevelType w:val="hybridMultilevel"/>
    <w:tmpl w:val="F23697D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E17401E"/>
    <w:multiLevelType w:val="hybridMultilevel"/>
    <w:tmpl w:val="A824EDF6"/>
    <w:lvl w:ilvl="0" w:tplc="FFFFFFFF">
      <w:start w:val="1"/>
      <w:numFmt w:val="lowerLetter"/>
      <w:lvlText w:val="(%1)"/>
      <w:lvlJc w:val="left"/>
      <w:pPr>
        <w:ind w:left="312" w:hanging="360"/>
      </w:pPr>
      <w:rPr>
        <w:rFonts w:hint="default"/>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62" w15:restartNumberingAfterBreak="0">
    <w:nsid w:val="6F3C148D"/>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63" w15:restartNumberingAfterBreak="0">
    <w:nsid w:val="71BF7B19"/>
    <w:multiLevelType w:val="hybridMultilevel"/>
    <w:tmpl w:val="8D4E6FCE"/>
    <w:lvl w:ilvl="0" w:tplc="FFFFFFFF">
      <w:start w:val="1"/>
      <w:numFmt w:val="lowerLetter"/>
      <w:lvlText w:val="(%1)"/>
      <w:lvlJc w:val="left"/>
      <w:pPr>
        <w:ind w:left="312" w:hanging="360"/>
      </w:pPr>
      <w:rPr>
        <w:rFonts w:hint="default"/>
        <w:b w:val="0"/>
        <w:bCs w:val="0"/>
        <w:sz w:val="20"/>
        <w:szCs w:val="20"/>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abstractNum w:abstractNumId="64" w15:restartNumberingAfterBreak="0">
    <w:nsid w:val="72F86F74"/>
    <w:multiLevelType w:val="hybridMultilevel"/>
    <w:tmpl w:val="263A035A"/>
    <w:lvl w:ilvl="0" w:tplc="0C090011">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5" w15:restartNumberingAfterBreak="0">
    <w:nsid w:val="737232EA"/>
    <w:multiLevelType w:val="hybridMultilevel"/>
    <w:tmpl w:val="A824EDF6"/>
    <w:lvl w:ilvl="0" w:tplc="420C40BA">
      <w:start w:val="1"/>
      <w:numFmt w:val="lowerLetter"/>
      <w:lvlText w:val="(%1)"/>
      <w:lvlJc w:val="left"/>
      <w:pPr>
        <w:ind w:left="312" w:hanging="360"/>
      </w:pPr>
      <w:rPr>
        <w:rFonts w:hint="default"/>
      </w:rPr>
    </w:lvl>
    <w:lvl w:ilvl="1" w:tplc="0C090019" w:tentative="1">
      <w:start w:val="1"/>
      <w:numFmt w:val="lowerLetter"/>
      <w:lvlText w:val="%2."/>
      <w:lvlJc w:val="left"/>
      <w:pPr>
        <w:ind w:left="1032" w:hanging="360"/>
      </w:pPr>
    </w:lvl>
    <w:lvl w:ilvl="2" w:tplc="0C09001B" w:tentative="1">
      <w:start w:val="1"/>
      <w:numFmt w:val="lowerRoman"/>
      <w:lvlText w:val="%3."/>
      <w:lvlJc w:val="right"/>
      <w:pPr>
        <w:ind w:left="1752" w:hanging="180"/>
      </w:pPr>
    </w:lvl>
    <w:lvl w:ilvl="3" w:tplc="0C09000F" w:tentative="1">
      <w:start w:val="1"/>
      <w:numFmt w:val="decimal"/>
      <w:lvlText w:val="%4."/>
      <w:lvlJc w:val="left"/>
      <w:pPr>
        <w:ind w:left="2472" w:hanging="360"/>
      </w:pPr>
    </w:lvl>
    <w:lvl w:ilvl="4" w:tplc="0C090019" w:tentative="1">
      <w:start w:val="1"/>
      <w:numFmt w:val="lowerLetter"/>
      <w:lvlText w:val="%5."/>
      <w:lvlJc w:val="left"/>
      <w:pPr>
        <w:ind w:left="3192" w:hanging="360"/>
      </w:pPr>
    </w:lvl>
    <w:lvl w:ilvl="5" w:tplc="0C09001B" w:tentative="1">
      <w:start w:val="1"/>
      <w:numFmt w:val="lowerRoman"/>
      <w:lvlText w:val="%6."/>
      <w:lvlJc w:val="right"/>
      <w:pPr>
        <w:ind w:left="3912" w:hanging="180"/>
      </w:pPr>
    </w:lvl>
    <w:lvl w:ilvl="6" w:tplc="0C09000F" w:tentative="1">
      <w:start w:val="1"/>
      <w:numFmt w:val="decimal"/>
      <w:lvlText w:val="%7."/>
      <w:lvlJc w:val="left"/>
      <w:pPr>
        <w:ind w:left="4632" w:hanging="360"/>
      </w:pPr>
    </w:lvl>
    <w:lvl w:ilvl="7" w:tplc="0C090019" w:tentative="1">
      <w:start w:val="1"/>
      <w:numFmt w:val="lowerLetter"/>
      <w:lvlText w:val="%8."/>
      <w:lvlJc w:val="left"/>
      <w:pPr>
        <w:ind w:left="5352" w:hanging="360"/>
      </w:pPr>
    </w:lvl>
    <w:lvl w:ilvl="8" w:tplc="0C09001B" w:tentative="1">
      <w:start w:val="1"/>
      <w:numFmt w:val="lowerRoman"/>
      <w:lvlText w:val="%9."/>
      <w:lvlJc w:val="right"/>
      <w:pPr>
        <w:ind w:left="6072" w:hanging="180"/>
      </w:pPr>
    </w:lvl>
  </w:abstractNum>
  <w:abstractNum w:abstractNumId="66" w15:restartNumberingAfterBreak="0">
    <w:nsid w:val="74F05A53"/>
    <w:multiLevelType w:val="hybridMultilevel"/>
    <w:tmpl w:val="71509726"/>
    <w:lvl w:ilvl="0" w:tplc="1400C192">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7" w15:restartNumberingAfterBreak="0">
    <w:nsid w:val="753B265E"/>
    <w:multiLevelType w:val="hybridMultilevel"/>
    <w:tmpl w:val="34C62034"/>
    <w:lvl w:ilvl="0" w:tplc="B1A22DB8">
      <w:start w:val="1"/>
      <w:numFmt w:val="lowerLetter"/>
      <w:lvlText w:val="(%1)"/>
      <w:lvlJc w:val="left"/>
      <w:pPr>
        <w:ind w:left="360" w:hanging="360"/>
      </w:pPr>
      <w:rPr>
        <w:rFonts w:ascii="Arial" w:hAnsi="Arial" w:cs="Arial" w:hint="default"/>
        <w:b w:val="0"/>
        <w:b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7A69594E"/>
    <w:multiLevelType w:val="hybridMultilevel"/>
    <w:tmpl w:val="7D0A46F6"/>
    <w:lvl w:ilvl="0" w:tplc="1210446E">
      <w:start w:val="1"/>
      <w:numFmt w:val="bullet"/>
      <w:lvlText w:val=""/>
      <w:lvlJc w:val="left"/>
      <w:pPr>
        <w:ind w:left="644" w:hanging="360"/>
      </w:pPr>
      <w:rPr>
        <w:rFonts w:ascii="Symbol" w:hAnsi="Symbol" w:hint="default"/>
      </w:rPr>
    </w:lvl>
    <w:lvl w:ilvl="1" w:tplc="0C090003">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69" w15:restartNumberingAfterBreak="0">
    <w:nsid w:val="7C5A4D87"/>
    <w:multiLevelType w:val="hybridMultilevel"/>
    <w:tmpl w:val="EA846B78"/>
    <w:lvl w:ilvl="0" w:tplc="1210446E">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70" w15:restartNumberingAfterBreak="0">
    <w:nsid w:val="7DE05DC6"/>
    <w:multiLevelType w:val="hybridMultilevel"/>
    <w:tmpl w:val="A3741BA4"/>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1" w15:restartNumberingAfterBreak="0">
    <w:nsid w:val="7FC04138"/>
    <w:multiLevelType w:val="hybridMultilevel"/>
    <w:tmpl w:val="A824EDF6"/>
    <w:lvl w:ilvl="0" w:tplc="FFFFFFFF">
      <w:start w:val="1"/>
      <w:numFmt w:val="lowerLetter"/>
      <w:lvlText w:val="(%1)"/>
      <w:lvlJc w:val="left"/>
      <w:pPr>
        <w:ind w:left="312" w:hanging="360"/>
      </w:pPr>
      <w:rPr>
        <w:rFonts w:hint="default"/>
      </w:rPr>
    </w:lvl>
    <w:lvl w:ilvl="1" w:tplc="FFFFFFFF" w:tentative="1">
      <w:start w:val="1"/>
      <w:numFmt w:val="lowerLetter"/>
      <w:lvlText w:val="%2."/>
      <w:lvlJc w:val="left"/>
      <w:pPr>
        <w:ind w:left="1032" w:hanging="360"/>
      </w:pPr>
    </w:lvl>
    <w:lvl w:ilvl="2" w:tplc="FFFFFFFF" w:tentative="1">
      <w:start w:val="1"/>
      <w:numFmt w:val="lowerRoman"/>
      <w:lvlText w:val="%3."/>
      <w:lvlJc w:val="right"/>
      <w:pPr>
        <w:ind w:left="1752" w:hanging="180"/>
      </w:pPr>
    </w:lvl>
    <w:lvl w:ilvl="3" w:tplc="FFFFFFFF" w:tentative="1">
      <w:start w:val="1"/>
      <w:numFmt w:val="decimal"/>
      <w:lvlText w:val="%4."/>
      <w:lvlJc w:val="left"/>
      <w:pPr>
        <w:ind w:left="2472" w:hanging="360"/>
      </w:pPr>
    </w:lvl>
    <w:lvl w:ilvl="4" w:tplc="FFFFFFFF" w:tentative="1">
      <w:start w:val="1"/>
      <w:numFmt w:val="lowerLetter"/>
      <w:lvlText w:val="%5."/>
      <w:lvlJc w:val="left"/>
      <w:pPr>
        <w:ind w:left="3192" w:hanging="360"/>
      </w:pPr>
    </w:lvl>
    <w:lvl w:ilvl="5" w:tplc="FFFFFFFF" w:tentative="1">
      <w:start w:val="1"/>
      <w:numFmt w:val="lowerRoman"/>
      <w:lvlText w:val="%6."/>
      <w:lvlJc w:val="right"/>
      <w:pPr>
        <w:ind w:left="3912" w:hanging="180"/>
      </w:pPr>
    </w:lvl>
    <w:lvl w:ilvl="6" w:tplc="FFFFFFFF" w:tentative="1">
      <w:start w:val="1"/>
      <w:numFmt w:val="decimal"/>
      <w:lvlText w:val="%7."/>
      <w:lvlJc w:val="left"/>
      <w:pPr>
        <w:ind w:left="4632" w:hanging="360"/>
      </w:pPr>
    </w:lvl>
    <w:lvl w:ilvl="7" w:tplc="FFFFFFFF" w:tentative="1">
      <w:start w:val="1"/>
      <w:numFmt w:val="lowerLetter"/>
      <w:lvlText w:val="%8."/>
      <w:lvlJc w:val="left"/>
      <w:pPr>
        <w:ind w:left="5352" w:hanging="360"/>
      </w:pPr>
    </w:lvl>
    <w:lvl w:ilvl="8" w:tplc="FFFFFFFF" w:tentative="1">
      <w:start w:val="1"/>
      <w:numFmt w:val="lowerRoman"/>
      <w:lvlText w:val="%9."/>
      <w:lvlJc w:val="right"/>
      <w:pPr>
        <w:ind w:left="6072" w:hanging="180"/>
      </w:pPr>
    </w:lvl>
  </w:abstractNum>
  <w:num w:numId="1" w16cid:durableId="1940794340">
    <w:abstractNumId w:val="3"/>
  </w:num>
  <w:num w:numId="2" w16cid:durableId="961808067">
    <w:abstractNumId w:val="1"/>
  </w:num>
  <w:num w:numId="3" w16cid:durableId="823132573">
    <w:abstractNumId w:val="2"/>
  </w:num>
  <w:num w:numId="4" w16cid:durableId="1435860948">
    <w:abstractNumId w:val="0"/>
  </w:num>
  <w:num w:numId="5" w16cid:durableId="1458793115">
    <w:abstractNumId w:val="25"/>
  </w:num>
  <w:num w:numId="6" w16cid:durableId="1170756036">
    <w:abstractNumId w:val="56"/>
  </w:num>
  <w:num w:numId="7" w16cid:durableId="1179462982">
    <w:abstractNumId w:val="46"/>
  </w:num>
  <w:num w:numId="8" w16cid:durableId="2010865431">
    <w:abstractNumId w:val="55"/>
  </w:num>
  <w:num w:numId="9" w16cid:durableId="153958827">
    <w:abstractNumId w:val="60"/>
  </w:num>
  <w:num w:numId="10" w16cid:durableId="770122694">
    <w:abstractNumId w:val="6"/>
  </w:num>
  <w:num w:numId="11" w16cid:durableId="1981958685">
    <w:abstractNumId w:val="4"/>
  </w:num>
  <w:num w:numId="12" w16cid:durableId="454564071">
    <w:abstractNumId w:val="3"/>
  </w:num>
  <w:num w:numId="13" w16cid:durableId="1550874486">
    <w:abstractNumId w:val="2"/>
    <w:lvlOverride w:ilvl="0">
      <w:startOverride w:val="1"/>
    </w:lvlOverride>
  </w:num>
  <w:num w:numId="14" w16cid:durableId="825971527">
    <w:abstractNumId w:val="2"/>
    <w:lvlOverride w:ilvl="0">
      <w:startOverride w:val="1"/>
    </w:lvlOverride>
  </w:num>
  <w:num w:numId="15" w16cid:durableId="889999444">
    <w:abstractNumId w:val="2"/>
    <w:lvlOverride w:ilvl="0">
      <w:startOverride w:val="1"/>
    </w:lvlOverride>
  </w:num>
  <w:num w:numId="16" w16cid:durableId="271406163">
    <w:abstractNumId w:val="27"/>
  </w:num>
  <w:num w:numId="17" w16cid:durableId="1271475918">
    <w:abstractNumId w:val="2"/>
    <w:lvlOverride w:ilvl="0">
      <w:startOverride w:val="1"/>
    </w:lvlOverride>
  </w:num>
  <w:num w:numId="18" w16cid:durableId="2118475825">
    <w:abstractNumId w:val="3"/>
  </w:num>
  <w:num w:numId="19" w16cid:durableId="1206605668">
    <w:abstractNumId w:val="3"/>
  </w:num>
  <w:num w:numId="20" w16cid:durableId="2113042280">
    <w:abstractNumId w:val="45"/>
  </w:num>
  <w:num w:numId="21" w16cid:durableId="50883630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342900323">
    <w:abstractNumId w:val="36"/>
  </w:num>
  <w:num w:numId="23" w16cid:durableId="221065444">
    <w:abstractNumId w:val="65"/>
  </w:num>
  <w:num w:numId="24" w16cid:durableId="631061567">
    <w:abstractNumId w:val="37"/>
  </w:num>
  <w:num w:numId="25" w16cid:durableId="1526943972">
    <w:abstractNumId w:val="46"/>
  </w:num>
  <w:num w:numId="26" w16cid:durableId="1274483531">
    <w:abstractNumId w:val="46"/>
  </w:num>
  <w:num w:numId="27" w16cid:durableId="137262964">
    <w:abstractNumId w:val="51"/>
  </w:num>
  <w:num w:numId="28" w16cid:durableId="1379815576">
    <w:abstractNumId w:val="23"/>
  </w:num>
  <w:num w:numId="29" w16cid:durableId="1057751546">
    <w:abstractNumId w:val="32"/>
  </w:num>
  <w:num w:numId="30" w16cid:durableId="1432161302">
    <w:abstractNumId w:val="21"/>
  </w:num>
  <w:num w:numId="31" w16cid:durableId="1315572121">
    <w:abstractNumId w:val="40"/>
  </w:num>
  <w:num w:numId="32" w16cid:durableId="968166470">
    <w:abstractNumId w:val="70"/>
  </w:num>
  <w:num w:numId="33" w16cid:durableId="224680330">
    <w:abstractNumId w:val="71"/>
  </w:num>
  <w:num w:numId="34" w16cid:durableId="1530529668">
    <w:abstractNumId w:val="61"/>
  </w:num>
  <w:num w:numId="35" w16cid:durableId="252592529">
    <w:abstractNumId w:val="39"/>
  </w:num>
  <w:num w:numId="36" w16cid:durableId="358043172">
    <w:abstractNumId w:val="14"/>
  </w:num>
  <w:num w:numId="37" w16cid:durableId="2128087330">
    <w:abstractNumId w:val="12"/>
  </w:num>
  <w:num w:numId="38" w16cid:durableId="436752876">
    <w:abstractNumId w:val="9"/>
  </w:num>
  <w:num w:numId="39" w16cid:durableId="178550300">
    <w:abstractNumId w:val="42"/>
  </w:num>
  <w:num w:numId="40" w16cid:durableId="1472094544">
    <w:abstractNumId w:val="58"/>
  </w:num>
  <w:num w:numId="41" w16cid:durableId="2029135347">
    <w:abstractNumId w:val="30"/>
  </w:num>
  <w:num w:numId="42" w16cid:durableId="364720721">
    <w:abstractNumId w:val="63"/>
  </w:num>
  <w:num w:numId="43" w16cid:durableId="108941026">
    <w:abstractNumId w:val="48"/>
  </w:num>
  <w:num w:numId="44" w16cid:durableId="1773552818">
    <w:abstractNumId w:val="35"/>
  </w:num>
  <w:num w:numId="45" w16cid:durableId="415595530">
    <w:abstractNumId w:val="8"/>
  </w:num>
  <w:num w:numId="46" w16cid:durableId="1817605356">
    <w:abstractNumId w:val="43"/>
  </w:num>
  <w:num w:numId="47" w16cid:durableId="1289164040">
    <w:abstractNumId w:val="62"/>
  </w:num>
  <w:num w:numId="48" w16cid:durableId="1999721444">
    <w:abstractNumId w:val="5"/>
  </w:num>
  <w:num w:numId="49" w16cid:durableId="405302123">
    <w:abstractNumId w:val="31"/>
  </w:num>
  <w:num w:numId="50" w16cid:durableId="948858394">
    <w:abstractNumId w:val="41"/>
  </w:num>
  <w:num w:numId="51" w16cid:durableId="729885513">
    <w:abstractNumId w:val="33"/>
  </w:num>
  <w:num w:numId="52" w16cid:durableId="1168180671">
    <w:abstractNumId w:val="67"/>
  </w:num>
  <w:num w:numId="53" w16cid:durableId="638805731">
    <w:abstractNumId w:val="13"/>
  </w:num>
  <w:num w:numId="54" w16cid:durableId="1898785482">
    <w:abstractNumId w:val="22"/>
  </w:num>
  <w:num w:numId="55" w16cid:durableId="1025595889">
    <w:abstractNumId w:val="44"/>
  </w:num>
  <w:num w:numId="56" w16cid:durableId="1061906075">
    <w:abstractNumId w:val="28"/>
  </w:num>
  <w:num w:numId="57" w16cid:durableId="663626522">
    <w:abstractNumId w:val="66"/>
  </w:num>
  <w:num w:numId="58" w16cid:durableId="1234049713">
    <w:abstractNumId w:val="29"/>
  </w:num>
  <w:num w:numId="59" w16cid:durableId="993603338">
    <w:abstractNumId w:val="20"/>
  </w:num>
  <w:num w:numId="60" w16cid:durableId="1375346637">
    <w:abstractNumId w:val="54"/>
  </w:num>
  <w:num w:numId="61" w16cid:durableId="640964134">
    <w:abstractNumId w:val="17"/>
  </w:num>
  <w:num w:numId="62" w16cid:durableId="940604385">
    <w:abstractNumId w:val="18"/>
  </w:num>
  <w:num w:numId="63" w16cid:durableId="1873764563">
    <w:abstractNumId w:val="34"/>
  </w:num>
  <w:num w:numId="64" w16cid:durableId="1526092667">
    <w:abstractNumId w:val="3"/>
  </w:num>
  <w:num w:numId="65" w16cid:durableId="1903329062">
    <w:abstractNumId w:val="3"/>
  </w:num>
  <w:num w:numId="66" w16cid:durableId="1590382307">
    <w:abstractNumId w:val="3"/>
  </w:num>
  <w:num w:numId="67" w16cid:durableId="246813896">
    <w:abstractNumId w:val="59"/>
  </w:num>
  <w:num w:numId="68" w16cid:durableId="1869637444">
    <w:abstractNumId w:val="52"/>
  </w:num>
  <w:num w:numId="69" w16cid:durableId="855079522">
    <w:abstractNumId w:val="50"/>
  </w:num>
  <w:num w:numId="70" w16cid:durableId="79109396">
    <w:abstractNumId w:val="26"/>
  </w:num>
  <w:num w:numId="71" w16cid:durableId="2019844646">
    <w:abstractNumId w:val="19"/>
  </w:num>
  <w:num w:numId="72" w16cid:durableId="1288510726">
    <w:abstractNumId w:val="24"/>
  </w:num>
  <w:num w:numId="73" w16cid:durableId="1285652354">
    <w:abstractNumId w:val="57"/>
  </w:num>
  <w:num w:numId="74" w16cid:durableId="978655164">
    <w:abstractNumId w:val="69"/>
  </w:num>
  <w:num w:numId="75" w16cid:durableId="60645504">
    <w:abstractNumId w:val="53"/>
  </w:num>
  <w:num w:numId="76" w16cid:durableId="2052264889">
    <w:abstractNumId w:val="38"/>
  </w:num>
  <w:num w:numId="77" w16cid:durableId="448017180">
    <w:abstractNumId w:val="7"/>
  </w:num>
  <w:num w:numId="78" w16cid:durableId="1783305790">
    <w:abstractNumId w:val="10"/>
  </w:num>
  <w:num w:numId="79" w16cid:durableId="1350908337">
    <w:abstractNumId w:val="68"/>
  </w:num>
  <w:num w:numId="80" w16cid:durableId="542327931">
    <w:abstractNumId w:val="16"/>
  </w:num>
  <w:num w:numId="81" w16cid:durableId="128061641">
    <w:abstractNumId w:val="15"/>
  </w:num>
  <w:num w:numId="82" w16cid:durableId="1009916966">
    <w:abstractNumId w:val="47"/>
  </w:num>
  <w:num w:numId="83" w16cid:durableId="1587493104">
    <w:abstractNumId w:val="64"/>
  </w:num>
  <w:num w:numId="84" w16cid:durableId="794176710">
    <w:abstractNumId w:val="49"/>
  </w:num>
  <w:num w:numId="85" w16cid:durableId="1938512265">
    <w:abstractNumId w:val="11"/>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trackRevisions/>
  <w:defaultTabStop w:val="284"/>
  <w:evenAndOddHeaders/>
  <w:drawingGridHorizontalSpacing w:val="100"/>
  <w:displayHorizontalDrawingGridEvery w:val="2"/>
  <w:characterSpacingControl w:val="doNotCompress"/>
  <w:hdrShapeDefaults>
    <o:shapedefaults v:ext="edit" spidmax="2050">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7560"/>
    <w:rsid w:val="00007C3A"/>
    <w:rsid w:val="00010667"/>
    <w:rsid w:val="000129D5"/>
    <w:rsid w:val="00014DB7"/>
    <w:rsid w:val="00015AE7"/>
    <w:rsid w:val="00016E21"/>
    <w:rsid w:val="0001719C"/>
    <w:rsid w:val="0002224E"/>
    <w:rsid w:val="00023A36"/>
    <w:rsid w:val="000245E5"/>
    <w:rsid w:val="00026F91"/>
    <w:rsid w:val="0002714F"/>
    <w:rsid w:val="00027DA2"/>
    <w:rsid w:val="00032621"/>
    <w:rsid w:val="00032951"/>
    <w:rsid w:val="00033229"/>
    <w:rsid w:val="000346F8"/>
    <w:rsid w:val="0004101D"/>
    <w:rsid w:val="00044FBF"/>
    <w:rsid w:val="0004764C"/>
    <w:rsid w:val="00050096"/>
    <w:rsid w:val="0005011A"/>
    <w:rsid w:val="00050294"/>
    <w:rsid w:val="0005045A"/>
    <w:rsid w:val="00051C1E"/>
    <w:rsid w:val="000539F9"/>
    <w:rsid w:val="00054C27"/>
    <w:rsid w:val="00054FA1"/>
    <w:rsid w:val="00055EC3"/>
    <w:rsid w:val="000563CE"/>
    <w:rsid w:val="0005754B"/>
    <w:rsid w:val="000602B3"/>
    <w:rsid w:val="00060752"/>
    <w:rsid w:val="000659B6"/>
    <w:rsid w:val="0006686F"/>
    <w:rsid w:val="0006722A"/>
    <w:rsid w:val="00067AF0"/>
    <w:rsid w:val="0007014B"/>
    <w:rsid w:val="00070D6E"/>
    <w:rsid w:val="00072387"/>
    <w:rsid w:val="00072ED0"/>
    <w:rsid w:val="000732CF"/>
    <w:rsid w:val="00075B96"/>
    <w:rsid w:val="00081850"/>
    <w:rsid w:val="0008196A"/>
    <w:rsid w:val="00085B2C"/>
    <w:rsid w:val="000863BF"/>
    <w:rsid w:val="00090FC4"/>
    <w:rsid w:val="000915ED"/>
    <w:rsid w:val="0009209D"/>
    <w:rsid w:val="0009463C"/>
    <w:rsid w:val="00095E7F"/>
    <w:rsid w:val="000969BD"/>
    <w:rsid w:val="000969BF"/>
    <w:rsid w:val="000A0C22"/>
    <w:rsid w:val="000A1400"/>
    <w:rsid w:val="000A3C43"/>
    <w:rsid w:val="000A4A51"/>
    <w:rsid w:val="000A5D2B"/>
    <w:rsid w:val="000B1110"/>
    <w:rsid w:val="000B1618"/>
    <w:rsid w:val="000B3502"/>
    <w:rsid w:val="000B372B"/>
    <w:rsid w:val="000B3A41"/>
    <w:rsid w:val="000B3CCE"/>
    <w:rsid w:val="000B4664"/>
    <w:rsid w:val="000B5812"/>
    <w:rsid w:val="000B5DE3"/>
    <w:rsid w:val="000C06E6"/>
    <w:rsid w:val="000C0A57"/>
    <w:rsid w:val="000C230C"/>
    <w:rsid w:val="000C2549"/>
    <w:rsid w:val="000C6AB4"/>
    <w:rsid w:val="000D00B6"/>
    <w:rsid w:val="000D55D7"/>
    <w:rsid w:val="000D6A0C"/>
    <w:rsid w:val="000D6E34"/>
    <w:rsid w:val="000D71D9"/>
    <w:rsid w:val="000D76E0"/>
    <w:rsid w:val="000D7E3D"/>
    <w:rsid w:val="000D7E8B"/>
    <w:rsid w:val="000E0D29"/>
    <w:rsid w:val="000E4449"/>
    <w:rsid w:val="000E6097"/>
    <w:rsid w:val="000F2A1C"/>
    <w:rsid w:val="00102392"/>
    <w:rsid w:val="001028D3"/>
    <w:rsid w:val="00103035"/>
    <w:rsid w:val="00103829"/>
    <w:rsid w:val="00103B23"/>
    <w:rsid w:val="00105910"/>
    <w:rsid w:val="00111D7C"/>
    <w:rsid w:val="00111FCE"/>
    <w:rsid w:val="00111FED"/>
    <w:rsid w:val="001123AB"/>
    <w:rsid w:val="00114E37"/>
    <w:rsid w:val="001229A5"/>
    <w:rsid w:val="00123458"/>
    <w:rsid w:val="0012450B"/>
    <w:rsid w:val="0012489B"/>
    <w:rsid w:val="00124908"/>
    <w:rsid w:val="001259DA"/>
    <w:rsid w:val="00126EAF"/>
    <w:rsid w:val="0012744C"/>
    <w:rsid w:val="00127A53"/>
    <w:rsid w:val="00127C52"/>
    <w:rsid w:val="00127F67"/>
    <w:rsid w:val="00130017"/>
    <w:rsid w:val="00130F91"/>
    <w:rsid w:val="00132591"/>
    <w:rsid w:val="00133794"/>
    <w:rsid w:val="001349ED"/>
    <w:rsid w:val="00135F48"/>
    <w:rsid w:val="00137424"/>
    <w:rsid w:val="00140318"/>
    <w:rsid w:val="00141AD9"/>
    <w:rsid w:val="00142661"/>
    <w:rsid w:val="001431DD"/>
    <w:rsid w:val="0014408F"/>
    <w:rsid w:val="00144B48"/>
    <w:rsid w:val="00145466"/>
    <w:rsid w:val="00146CE6"/>
    <w:rsid w:val="00150953"/>
    <w:rsid w:val="001526C7"/>
    <w:rsid w:val="00152903"/>
    <w:rsid w:val="00153FD5"/>
    <w:rsid w:val="0015614F"/>
    <w:rsid w:val="00156E21"/>
    <w:rsid w:val="001577C2"/>
    <w:rsid w:val="001633C4"/>
    <w:rsid w:val="001637DF"/>
    <w:rsid w:val="00163C24"/>
    <w:rsid w:val="001661E2"/>
    <w:rsid w:val="001704D5"/>
    <w:rsid w:val="00171591"/>
    <w:rsid w:val="00173981"/>
    <w:rsid w:val="0017645D"/>
    <w:rsid w:val="0017714B"/>
    <w:rsid w:val="0017719D"/>
    <w:rsid w:val="001826ED"/>
    <w:rsid w:val="00182ECC"/>
    <w:rsid w:val="00183FD7"/>
    <w:rsid w:val="00185350"/>
    <w:rsid w:val="0018564C"/>
    <w:rsid w:val="00185CAB"/>
    <w:rsid w:val="001875B7"/>
    <w:rsid w:val="00187CB3"/>
    <w:rsid w:val="0019050A"/>
    <w:rsid w:val="001910D4"/>
    <w:rsid w:val="00195B05"/>
    <w:rsid w:val="001976E3"/>
    <w:rsid w:val="00197BC5"/>
    <w:rsid w:val="001A408B"/>
    <w:rsid w:val="001A44EC"/>
    <w:rsid w:val="001A45C3"/>
    <w:rsid w:val="001A463B"/>
    <w:rsid w:val="001A48B2"/>
    <w:rsid w:val="001A76B8"/>
    <w:rsid w:val="001B0984"/>
    <w:rsid w:val="001B3480"/>
    <w:rsid w:val="001B58AA"/>
    <w:rsid w:val="001B6962"/>
    <w:rsid w:val="001B6D35"/>
    <w:rsid w:val="001B7E48"/>
    <w:rsid w:val="001C00E8"/>
    <w:rsid w:val="001C17CE"/>
    <w:rsid w:val="001C30D5"/>
    <w:rsid w:val="001C36CA"/>
    <w:rsid w:val="001C44D1"/>
    <w:rsid w:val="001C5E3A"/>
    <w:rsid w:val="001C6AEE"/>
    <w:rsid w:val="001C7630"/>
    <w:rsid w:val="001D429D"/>
    <w:rsid w:val="001D6D15"/>
    <w:rsid w:val="001E0A70"/>
    <w:rsid w:val="001E0BEE"/>
    <w:rsid w:val="001E3AF0"/>
    <w:rsid w:val="001E50AB"/>
    <w:rsid w:val="001E5579"/>
    <w:rsid w:val="001E5F55"/>
    <w:rsid w:val="001E6511"/>
    <w:rsid w:val="001F03A3"/>
    <w:rsid w:val="001F1EAC"/>
    <w:rsid w:val="001F2DD9"/>
    <w:rsid w:val="001F3DB1"/>
    <w:rsid w:val="001F50F7"/>
    <w:rsid w:val="001F7558"/>
    <w:rsid w:val="00201EE2"/>
    <w:rsid w:val="002036DB"/>
    <w:rsid w:val="00204762"/>
    <w:rsid w:val="00205B57"/>
    <w:rsid w:val="00212DC1"/>
    <w:rsid w:val="002131C7"/>
    <w:rsid w:val="00213B7F"/>
    <w:rsid w:val="0021426C"/>
    <w:rsid w:val="002157E0"/>
    <w:rsid w:val="00216047"/>
    <w:rsid w:val="00216A57"/>
    <w:rsid w:val="00217448"/>
    <w:rsid w:val="00222818"/>
    <w:rsid w:val="0022334F"/>
    <w:rsid w:val="002238E5"/>
    <w:rsid w:val="002244B2"/>
    <w:rsid w:val="002247E9"/>
    <w:rsid w:val="00226819"/>
    <w:rsid w:val="0022777B"/>
    <w:rsid w:val="00232624"/>
    <w:rsid w:val="00232C5C"/>
    <w:rsid w:val="00233101"/>
    <w:rsid w:val="00233817"/>
    <w:rsid w:val="0023539A"/>
    <w:rsid w:val="00235F17"/>
    <w:rsid w:val="002367FF"/>
    <w:rsid w:val="00237EC9"/>
    <w:rsid w:val="00240293"/>
    <w:rsid w:val="002405A2"/>
    <w:rsid w:val="00240CE9"/>
    <w:rsid w:val="00242087"/>
    <w:rsid w:val="0024241B"/>
    <w:rsid w:val="002434BA"/>
    <w:rsid w:val="00244006"/>
    <w:rsid w:val="00244F03"/>
    <w:rsid w:val="00246089"/>
    <w:rsid w:val="00246093"/>
    <w:rsid w:val="00246702"/>
    <w:rsid w:val="00246C40"/>
    <w:rsid w:val="00247C59"/>
    <w:rsid w:val="00247EA7"/>
    <w:rsid w:val="00247F2E"/>
    <w:rsid w:val="00250ADC"/>
    <w:rsid w:val="00250B07"/>
    <w:rsid w:val="00253061"/>
    <w:rsid w:val="00254CA5"/>
    <w:rsid w:val="00255AFD"/>
    <w:rsid w:val="00256EDB"/>
    <w:rsid w:val="00257553"/>
    <w:rsid w:val="00260FB2"/>
    <w:rsid w:val="002614B6"/>
    <w:rsid w:val="00262128"/>
    <w:rsid w:val="002622C4"/>
    <w:rsid w:val="0026506A"/>
    <w:rsid w:val="00265A22"/>
    <w:rsid w:val="002662EC"/>
    <w:rsid w:val="00266719"/>
    <w:rsid w:val="002668A7"/>
    <w:rsid w:val="002676FE"/>
    <w:rsid w:val="002678F1"/>
    <w:rsid w:val="00267EC4"/>
    <w:rsid w:val="00267FD5"/>
    <w:rsid w:val="00270A84"/>
    <w:rsid w:val="0027165D"/>
    <w:rsid w:val="0027348A"/>
    <w:rsid w:val="002736D4"/>
    <w:rsid w:val="00273CEB"/>
    <w:rsid w:val="00274D32"/>
    <w:rsid w:val="00281C89"/>
    <w:rsid w:val="00282052"/>
    <w:rsid w:val="0028282F"/>
    <w:rsid w:val="00284BC6"/>
    <w:rsid w:val="002913EC"/>
    <w:rsid w:val="0029413F"/>
    <w:rsid w:val="0029593B"/>
    <w:rsid w:val="0029648B"/>
    <w:rsid w:val="0029735C"/>
    <w:rsid w:val="00297FC5"/>
    <w:rsid w:val="002A0417"/>
    <w:rsid w:val="002A0564"/>
    <w:rsid w:val="002A0A3B"/>
    <w:rsid w:val="002A16D8"/>
    <w:rsid w:val="002A1BC8"/>
    <w:rsid w:val="002A26D9"/>
    <w:rsid w:val="002A2AB6"/>
    <w:rsid w:val="002A2B39"/>
    <w:rsid w:val="002A3EF2"/>
    <w:rsid w:val="002A743B"/>
    <w:rsid w:val="002B0507"/>
    <w:rsid w:val="002B0DED"/>
    <w:rsid w:val="002B19A2"/>
    <w:rsid w:val="002B381A"/>
    <w:rsid w:val="002B4FCC"/>
    <w:rsid w:val="002B7408"/>
    <w:rsid w:val="002B7CFD"/>
    <w:rsid w:val="002C0530"/>
    <w:rsid w:val="002C1532"/>
    <w:rsid w:val="002C210F"/>
    <w:rsid w:val="002C2FA5"/>
    <w:rsid w:val="002C3F9C"/>
    <w:rsid w:val="002C400C"/>
    <w:rsid w:val="002C4C36"/>
    <w:rsid w:val="002C64B2"/>
    <w:rsid w:val="002C6EEF"/>
    <w:rsid w:val="002C726F"/>
    <w:rsid w:val="002D1880"/>
    <w:rsid w:val="002D1FE9"/>
    <w:rsid w:val="002D244C"/>
    <w:rsid w:val="002D3600"/>
    <w:rsid w:val="002D45CE"/>
    <w:rsid w:val="002D5B67"/>
    <w:rsid w:val="002D63F8"/>
    <w:rsid w:val="002D7039"/>
    <w:rsid w:val="002E11DF"/>
    <w:rsid w:val="002E1D76"/>
    <w:rsid w:val="002E1D89"/>
    <w:rsid w:val="002E2D88"/>
    <w:rsid w:val="002E3E69"/>
    <w:rsid w:val="002E4478"/>
    <w:rsid w:val="002E4DDC"/>
    <w:rsid w:val="002E4EC0"/>
    <w:rsid w:val="002F26EC"/>
    <w:rsid w:val="002F28AC"/>
    <w:rsid w:val="002F60D9"/>
    <w:rsid w:val="002F6B7C"/>
    <w:rsid w:val="00301138"/>
    <w:rsid w:val="00302480"/>
    <w:rsid w:val="00302758"/>
    <w:rsid w:val="00303C77"/>
    <w:rsid w:val="00305C48"/>
    <w:rsid w:val="00311977"/>
    <w:rsid w:val="00313438"/>
    <w:rsid w:val="00316444"/>
    <w:rsid w:val="003165E6"/>
    <w:rsid w:val="0031747D"/>
    <w:rsid w:val="003176ED"/>
    <w:rsid w:val="00317783"/>
    <w:rsid w:val="003177BE"/>
    <w:rsid w:val="003215B5"/>
    <w:rsid w:val="003221CF"/>
    <w:rsid w:val="003233ED"/>
    <w:rsid w:val="00323597"/>
    <w:rsid w:val="00324D9F"/>
    <w:rsid w:val="003253EE"/>
    <w:rsid w:val="00325CA1"/>
    <w:rsid w:val="00327414"/>
    <w:rsid w:val="00327948"/>
    <w:rsid w:val="0033000F"/>
    <w:rsid w:val="00332011"/>
    <w:rsid w:val="00332518"/>
    <w:rsid w:val="00332925"/>
    <w:rsid w:val="00332E3F"/>
    <w:rsid w:val="003332ED"/>
    <w:rsid w:val="003341E9"/>
    <w:rsid w:val="003363A1"/>
    <w:rsid w:val="003368DC"/>
    <w:rsid w:val="00341B93"/>
    <w:rsid w:val="00343FAC"/>
    <w:rsid w:val="0034490B"/>
    <w:rsid w:val="00345927"/>
    <w:rsid w:val="00346FFE"/>
    <w:rsid w:val="00350295"/>
    <w:rsid w:val="00350584"/>
    <w:rsid w:val="00350DD4"/>
    <w:rsid w:val="00351857"/>
    <w:rsid w:val="003545E8"/>
    <w:rsid w:val="00354EB8"/>
    <w:rsid w:val="003610E1"/>
    <w:rsid w:val="00361C2D"/>
    <w:rsid w:val="00362379"/>
    <w:rsid w:val="00364146"/>
    <w:rsid w:val="003671BE"/>
    <w:rsid w:val="00371464"/>
    <w:rsid w:val="00372485"/>
    <w:rsid w:val="00373200"/>
    <w:rsid w:val="003749B5"/>
    <w:rsid w:val="00375EF5"/>
    <w:rsid w:val="00375F44"/>
    <w:rsid w:val="003767A5"/>
    <w:rsid w:val="003803BD"/>
    <w:rsid w:val="00381D15"/>
    <w:rsid w:val="00383369"/>
    <w:rsid w:val="00383D01"/>
    <w:rsid w:val="00385254"/>
    <w:rsid w:val="00390D91"/>
    <w:rsid w:val="003921D3"/>
    <w:rsid w:val="003933E8"/>
    <w:rsid w:val="00393C08"/>
    <w:rsid w:val="00394031"/>
    <w:rsid w:val="00395662"/>
    <w:rsid w:val="00396DC2"/>
    <w:rsid w:val="003A04DB"/>
    <w:rsid w:val="003A10CA"/>
    <w:rsid w:val="003A10F6"/>
    <w:rsid w:val="003A372C"/>
    <w:rsid w:val="003A5F5B"/>
    <w:rsid w:val="003A789A"/>
    <w:rsid w:val="003B12EC"/>
    <w:rsid w:val="003B2AAF"/>
    <w:rsid w:val="003B31E5"/>
    <w:rsid w:val="003B3903"/>
    <w:rsid w:val="003B40AC"/>
    <w:rsid w:val="003B4D73"/>
    <w:rsid w:val="003B4F64"/>
    <w:rsid w:val="003C03B8"/>
    <w:rsid w:val="003C3B93"/>
    <w:rsid w:val="003C5F23"/>
    <w:rsid w:val="003C65F3"/>
    <w:rsid w:val="003C77E0"/>
    <w:rsid w:val="003D09A8"/>
    <w:rsid w:val="003D0B35"/>
    <w:rsid w:val="003D17D7"/>
    <w:rsid w:val="003D2678"/>
    <w:rsid w:val="003D3452"/>
    <w:rsid w:val="003D41CF"/>
    <w:rsid w:val="003D71A3"/>
    <w:rsid w:val="003E0D0A"/>
    <w:rsid w:val="003E144E"/>
    <w:rsid w:val="003E2B8A"/>
    <w:rsid w:val="003E4F06"/>
    <w:rsid w:val="003F10EE"/>
    <w:rsid w:val="003F16F6"/>
    <w:rsid w:val="003F377B"/>
    <w:rsid w:val="003F4DC7"/>
    <w:rsid w:val="003F4DD3"/>
    <w:rsid w:val="003F5235"/>
    <w:rsid w:val="003F60D8"/>
    <w:rsid w:val="0040001E"/>
    <w:rsid w:val="004003E5"/>
    <w:rsid w:val="00401391"/>
    <w:rsid w:val="004027E4"/>
    <w:rsid w:val="00404A7D"/>
    <w:rsid w:val="00406546"/>
    <w:rsid w:val="004100B4"/>
    <w:rsid w:val="00410354"/>
    <w:rsid w:val="0041071D"/>
    <w:rsid w:val="004109E0"/>
    <w:rsid w:val="00414AFC"/>
    <w:rsid w:val="004151A7"/>
    <w:rsid w:val="00415310"/>
    <w:rsid w:val="00417941"/>
    <w:rsid w:val="00420B82"/>
    <w:rsid w:val="00420E42"/>
    <w:rsid w:val="00421709"/>
    <w:rsid w:val="00421B0C"/>
    <w:rsid w:val="00423763"/>
    <w:rsid w:val="004254C8"/>
    <w:rsid w:val="0042762F"/>
    <w:rsid w:val="00427A67"/>
    <w:rsid w:val="00427DC7"/>
    <w:rsid w:val="0043042B"/>
    <w:rsid w:val="00431234"/>
    <w:rsid w:val="00431551"/>
    <w:rsid w:val="00431613"/>
    <w:rsid w:val="00431792"/>
    <w:rsid w:val="0043297A"/>
    <w:rsid w:val="00432EB2"/>
    <w:rsid w:val="0043309F"/>
    <w:rsid w:val="00434163"/>
    <w:rsid w:val="00435301"/>
    <w:rsid w:val="00437074"/>
    <w:rsid w:val="0043714F"/>
    <w:rsid w:val="004417ED"/>
    <w:rsid w:val="004438B5"/>
    <w:rsid w:val="00444304"/>
    <w:rsid w:val="004451C9"/>
    <w:rsid w:val="00446804"/>
    <w:rsid w:val="00447037"/>
    <w:rsid w:val="0045124D"/>
    <w:rsid w:val="00451C0D"/>
    <w:rsid w:val="00454596"/>
    <w:rsid w:val="00454765"/>
    <w:rsid w:val="0045605D"/>
    <w:rsid w:val="00456B9B"/>
    <w:rsid w:val="00457C55"/>
    <w:rsid w:val="0046106E"/>
    <w:rsid w:val="0046135B"/>
    <w:rsid w:val="00461C21"/>
    <w:rsid w:val="00461D47"/>
    <w:rsid w:val="00464A2E"/>
    <w:rsid w:val="004718CC"/>
    <w:rsid w:val="00471D35"/>
    <w:rsid w:val="00474459"/>
    <w:rsid w:val="00474A45"/>
    <w:rsid w:val="00481695"/>
    <w:rsid w:val="00486074"/>
    <w:rsid w:val="00486FF6"/>
    <w:rsid w:val="0049044B"/>
    <w:rsid w:val="00490B46"/>
    <w:rsid w:val="004919ED"/>
    <w:rsid w:val="00491A7D"/>
    <w:rsid w:val="00494966"/>
    <w:rsid w:val="00495A96"/>
    <w:rsid w:val="00495BB3"/>
    <w:rsid w:val="00495EF3"/>
    <w:rsid w:val="00496AFD"/>
    <w:rsid w:val="004A0A83"/>
    <w:rsid w:val="004A480A"/>
    <w:rsid w:val="004A56BB"/>
    <w:rsid w:val="004A5F90"/>
    <w:rsid w:val="004A70D6"/>
    <w:rsid w:val="004B1751"/>
    <w:rsid w:val="004B1E02"/>
    <w:rsid w:val="004B4D93"/>
    <w:rsid w:val="004B5330"/>
    <w:rsid w:val="004B57FC"/>
    <w:rsid w:val="004B7168"/>
    <w:rsid w:val="004B7FDD"/>
    <w:rsid w:val="004C0253"/>
    <w:rsid w:val="004C181D"/>
    <w:rsid w:val="004C30BF"/>
    <w:rsid w:val="004C3BA7"/>
    <w:rsid w:val="004C5285"/>
    <w:rsid w:val="004C6FC1"/>
    <w:rsid w:val="004D2084"/>
    <w:rsid w:val="004D27DF"/>
    <w:rsid w:val="004D2B8B"/>
    <w:rsid w:val="004D56FF"/>
    <w:rsid w:val="004D5F89"/>
    <w:rsid w:val="004E0874"/>
    <w:rsid w:val="004E39D3"/>
    <w:rsid w:val="004E421C"/>
    <w:rsid w:val="004E47AA"/>
    <w:rsid w:val="004E508A"/>
    <w:rsid w:val="004E5D09"/>
    <w:rsid w:val="004E616D"/>
    <w:rsid w:val="004F1BDE"/>
    <w:rsid w:val="004F2CEE"/>
    <w:rsid w:val="004F3FF6"/>
    <w:rsid w:val="004F42E2"/>
    <w:rsid w:val="004F4C4C"/>
    <w:rsid w:val="004F556E"/>
    <w:rsid w:val="004F591C"/>
    <w:rsid w:val="004F6D09"/>
    <w:rsid w:val="004F7F44"/>
    <w:rsid w:val="005013AB"/>
    <w:rsid w:val="005037B4"/>
    <w:rsid w:val="005079BF"/>
    <w:rsid w:val="00510703"/>
    <w:rsid w:val="0051269A"/>
    <w:rsid w:val="00512C3C"/>
    <w:rsid w:val="00512E33"/>
    <w:rsid w:val="00514460"/>
    <w:rsid w:val="005148B2"/>
    <w:rsid w:val="005162C8"/>
    <w:rsid w:val="00516688"/>
    <w:rsid w:val="00520FEB"/>
    <w:rsid w:val="005219E7"/>
    <w:rsid w:val="00523E4A"/>
    <w:rsid w:val="0052650E"/>
    <w:rsid w:val="00526D9F"/>
    <w:rsid w:val="00527194"/>
    <w:rsid w:val="0053188A"/>
    <w:rsid w:val="00531B9A"/>
    <w:rsid w:val="00531D15"/>
    <w:rsid w:val="0053645A"/>
    <w:rsid w:val="00536CBB"/>
    <w:rsid w:val="00537604"/>
    <w:rsid w:val="00537CEF"/>
    <w:rsid w:val="00542377"/>
    <w:rsid w:val="005432CC"/>
    <w:rsid w:val="0054342A"/>
    <w:rsid w:val="00544913"/>
    <w:rsid w:val="005476EB"/>
    <w:rsid w:val="00547718"/>
    <w:rsid w:val="005507CF"/>
    <w:rsid w:val="005509C3"/>
    <w:rsid w:val="00551782"/>
    <w:rsid w:val="005518AE"/>
    <w:rsid w:val="0055359D"/>
    <w:rsid w:val="00555C6C"/>
    <w:rsid w:val="00561526"/>
    <w:rsid w:val="005622CB"/>
    <w:rsid w:val="005635D6"/>
    <w:rsid w:val="00563EF1"/>
    <w:rsid w:val="0056504D"/>
    <w:rsid w:val="0056558B"/>
    <w:rsid w:val="00566AB4"/>
    <w:rsid w:val="00567E1C"/>
    <w:rsid w:val="00573812"/>
    <w:rsid w:val="00575AC5"/>
    <w:rsid w:val="0057605D"/>
    <w:rsid w:val="005812D6"/>
    <w:rsid w:val="00581347"/>
    <w:rsid w:val="00581AC9"/>
    <w:rsid w:val="00581CFF"/>
    <w:rsid w:val="00583E3A"/>
    <w:rsid w:val="005849F8"/>
    <w:rsid w:val="00584B51"/>
    <w:rsid w:val="00590088"/>
    <w:rsid w:val="00593336"/>
    <w:rsid w:val="005938DF"/>
    <w:rsid w:val="005939F0"/>
    <w:rsid w:val="00594E9C"/>
    <w:rsid w:val="0059657E"/>
    <w:rsid w:val="00597197"/>
    <w:rsid w:val="005973F3"/>
    <w:rsid w:val="005A099B"/>
    <w:rsid w:val="005A27EB"/>
    <w:rsid w:val="005A2D9C"/>
    <w:rsid w:val="005A55FE"/>
    <w:rsid w:val="005A5F98"/>
    <w:rsid w:val="005A6A11"/>
    <w:rsid w:val="005B0DAC"/>
    <w:rsid w:val="005B2F0D"/>
    <w:rsid w:val="005B477A"/>
    <w:rsid w:val="005B4AED"/>
    <w:rsid w:val="005B56F0"/>
    <w:rsid w:val="005C24F1"/>
    <w:rsid w:val="005C2CEE"/>
    <w:rsid w:val="005C2F74"/>
    <w:rsid w:val="005C34EF"/>
    <w:rsid w:val="005C45AA"/>
    <w:rsid w:val="005C539B"/>
    <w:rsid w:val="005C56F8"/>
    <w:rsid w:val="005C641D"/>
    <w:rsid w:val="005D04C0"/>
    <w:rsid w:val="005D2502"/>
    <w:rsid w:val="005D40BB"/>
    <w:rsid w:val="005D47F3"/>
    <w:rsid w:val="005D49BF"/>
    <w:rsid w:val="005D4AA5"/>
    <w:rsid w:val="005D539D"/>
    <w:rsid w:val="005D688F"/>
    <w:rsid w:val="005D6F4E"/>
    <w:rsid w:val="005D7C73"/>
    <w:rsid w:val="005D7D41"/>
    <w:rsid w:val="005E02FA"/>
    <w:rsid w:val="005E250B"/>
    <w:rsid w:val="005E3646"/>
    <w:rsid w:val="005E3ACD"/>
    <w:rsid w:val="005E5E47"/>
    <w:rsid w:val="005E7226"/>
    <w:rsid w:val="005E7A57"/>
    <w:rsid w:val="005F032F"/>
    <w:rsid w:val="005F24B0"/>
    <w:rsid w:val="005F3DB9"/>
    <w:rsid w:val="006004D3"/>
    <w:rsid w:val="006006B2"/>
    <w:rsid w:val="00604315"/>
    <w:rsid w:val="00604E26"/>
    <w:rsid w:val="0060523F"/>
    <w:rsid w:val="006052CF"/>
    <w:rsid w:val="00606973"/>
    <w:rsid w:val="0060708F"/>
    <w:rsid w:val="00607B8D"/>
    <w:rsid w:val="00610533"/>
    <w:rsid w:val="0061113C"/>
    <w:rsid w:val="006112FE"/>
    <w:rsid w:val="00611D59"/>
    <w:rsid w:val="00611F5C"/>
    <w:rsid w:val="006130F2"/>
    <w:rsid w:val="006142C5"/>
    <w:rsid w:val="0061616D"/>
    <w:rsid w:val="00616E09"/>
    <w:rsid w:val="00620A6B"/>
    <w:rsid w:val="00622801"/>
    <w:rsid w:val="00622A3B"/>
    <w:rsid w:val="00622EEA"/>
    <w:rsid w:val="0062396C"/>
    <w:rsid w:val="00623F35"/>
    <w:rsid w:val="00623FF9"/>
    <w:rsid w:val="0062400F"/>
    <w:rsid w:val="0062437D"/>
    <w:rsid w:val="00626811"/>
    <w:rsid w:val="00627C49"/>
    <w:rsid w:val="00627D4E"/>
    <w:rsid w:val="00627F80"/>
    <w:rsid w:val="006329FD"/>
    <w:rsid w:val="00632B89"/>
    <w:rsid w:val="00633136"/>
    <w:rsid w:val="0063346D"/>
    <w:rsid w:val="00633CAA"/>
    <w:rsid w:val="00634478"/>
    <w:rsid w:val="00634BCD"/>
    <w:rsid w:val="00637FEE"/>
    <w:rsid w:val="00641B06"/>
    <w:rsid w:val="006423CE"/>
    <w:rsid w:val="006430C7"/>
    <w:rsid w:val="00643742"/>
    <w:rsid w:val="00643F14"/>
    <w:rsid w:val="00644373"/>
    <w:rsid w:val="00645552"/>
    <w:rsid w:val="00645915"/>
    <w:rsid w:val="00646CC4"/>
    <w:rsid w:val="00651980"/>
    <w:rsid w:val="006519C3"/>
    <w:rsid w:val="00651BD0"/>
    <w:rsid w:val="00652097"/>
    <w:rsid w:val="00652B30"/>
    <w:rsid w:val="0065503F"/>
    <w:rsid w:val="00656345"/>
    <w:rsid w:val="00656DC6"/>
    <w:rsid w:val="00660EC6"/>
    <w:rsid w:val="0066229A"/>
    <w:rsid w:val="00664110"/>
    <w:rsid w:val="00664D17"/>
    <w:rsid w:val="0066547E"/>
    <w:rsid w:val="00665D45"/>
    <w:rsid w:val="00666520"/>
    <w:rsid w:val="00667C5B"/>
    <w:rsid w:val="00674E37"/>
    <w:rsid w:val="0067558E"/>
    <w:rsid w:val="00675708"/>
    <w:rsid w:val="00675F21"/>
    <w:rsid w:val="00676BA4"/>
    <w:rsid w:val="00676D00"/>
    <w:rsid w:val="0067714E"/>
    <w:rsid w:val="0068552B"/>
    <w:rsid w:val="00686620"/>
    <w:rsid w:val="006868E5"/>
    <w:rsid w:val="00691EB8"/>
    <w:rsid w:val="00692CDE"/>
    <w:rsid w:val="00693073"/>
    <w:rsid w:val="00693626"/>
    <w:rsid w:val="00695782"/>
    <w:rsid w:val="00696097"/>
    <w:rsid w:val="00696EF0"/>
    <w:rsid w:val="00696F70"/>
    <w:rsid w:val="006977FF"/>
    <w:rsid w:val="006A01FA"/>
    <w:rsid w:val="006A0E9E"/>
    <w:rsid w:val="006A25C6"/>
    <w:rsid w:val="006A25C7"/>
    <w:rsid w:val="006A3ECF"/>
    <w:rsid w:val="006A4AAD"/>
    <w:rsid w:val="006A4C3D"/>
    <w:rsid w:val="006A4CCA"/>
    <w:rsid w:val="006A6DA2"/>
    <w:rsid w:val="006A729D"/>
    <w:rsid w:val="006A7AB2"/>
    <w:rsid w:val="006B0765"/>
    <w:rsid w:val="006B090F"/>
    <w:rsid w:val="006B0912"/>
    <w:rsid w:val="006B24AF"/>
    <w:rsid w:val="006B261D"/>
    <w:rsid w:val="006B2BAC"/>
    <w:rsid w:val="006B4AD4"/>
    <w:rsid w:val="006B52DE"/>
    <w:rsid w:val="006B5717"/>
    <w:rsid w:val="006B582F"/>
    <w:rsid w:val="006B5EB2"/>
    <w:rsid w:val="006B7DE2"/>
    <w:rsid w:val="006C0CEB"/>
    <w:rsid w:val="006C1631"/>
    <w:rsid w:val="006C21BA"/>
    <w:rsid w:val="006C3B1E"/>
    <w:rsid w:val="006C47FD"/>
    <w:rsid w:val="006C5C19"/>
    <w:rsid w:val="006C5FD4"/>
    <w:rsid w:val="006C607A"/>
    <w:rsid w:val="006C70A0"/>
    <w:rsid w:val="006D0EC0"/>
    <w:rsid w:val="006D27CB"/>
    <w:rsid w:val="006D2F08"/>
    <w:rsid w:val="006D576C"/>
    <w:rsid w:val="006D5865"/>
    <w:rsid w:val="006E03CD"/>
    <w:rsid w:val="006E085E"/>
    <w:rsid w:val="006E1567"/>
    <w:rsid w:val="006E4B1B"/>
    <w:rsid w:val="006E5256"/>
    <w:rsid w:val="006E5445"/>
    <w:rsid w:val="006E6128"/>
    <w:rsid w:val="006E7D93"/>
    <w:rsid w:val="006F0135"/>
    <w:rsid w:val="006F03BB"/>
    <w:rsid w:val="006F7CE7"/>
    <w:rsid w:val="0070133D"/>
    <w:rsid w:val="007029A3"/>
    <w:rsid w:val="00702AB9"/>
    <w:rsid w:val="007061E8"/>
    <w:rsid w:val="0070644B"/>
    <w:rsid w:val="00706E4E"/>
    <w:rsid w:val="00707312"/>
    <w:rsid w:val="007078E0"/>
    <w:rsid w:val="0070791C"/>
    <w:rsid w:val="00711120"/>
    <w:rsid w:val="0071383C"/>
    <w:rsid w:val="007141A7"/>
    <w:rsid w:val="00715722"/>
    <w:rsid w:val="00715BAF"/>
    <w:rsid w:val="007166E1"/>
    <w:rsid w:val="00720BA7"/>
    <w:rsid w:val="00720FCE"/>
    <w:rsid w:val="00721032"/>
    <w:rsid w:val="00721B55"/>
    <w:rsid w:val="00721DE3"/>
    <w:rsid w:val="00722F44"/>
    <w:rsid w:val="0072366F"/>
    <w:rsid w:val="00726CE4"/>
    <w:rsid w:val="00726D33"/>
    <w:rsid w:val="00731397"/>
    <w:rsid w:val="0073291F"/>
    <w:rsid w:val="00734143"/>
    <w:rsid w:val="0073700B"/>
    <w:rsid w:val="00737936"/>
    <w:rsid w:val="00737E47"/>
    <w:rsid w:val="00740EAC"/>
    <w:rsid w:val="00741031"/>
    <w:rsid w:val="00741C4B"/>
    <w:rsid w:val="0074234A"/>
    <w:rsid w:val="00742C69"/>
    <w:rsid w:val="00742D0F"/>
    <w:rsid w:val="007431AB"/>
    <w:rsid w:val="00744888"/>
    <w:rsid w:val="00744956"/>
    <w:rsid w:val="00745A5C"/>
    <w:rsid w:val="0074605F"/>
    <w:rsid w:val="00747E94"/>
    <w:rsid w:val="00751BED"/>
    <w:rsid w:val="00752D28"/>
    <w:rsid w:val="0075355D"/>
    <w:rsid w:val="007549E4"/>
    <w:rsid w:val="00754C83"/>
    <w:rsid w:val="00755797"/>
    <w:rsid w:val="007561AA"/>
    <w:rsid w:val="00761E5C"/>
    <w:rsid w:val="00762507"/>
    <w:rsid w:val="00762964"/>
    <w:rsid w:val="00763BD9"/>
    <w:rsid w:val="0076442A"/>
    <w:rsid w:val="0076461C"/>
    <w:rsid w:val="00765DF8"/>
    <w:rsid w:val="00766362"/>
    <w:rsid w:val="00766749"/>
    <w:rsid w:val="00767C1B"/>
    <w:rsid w:val="00767E9E"/>
    <w:rsid w:val="00770B3F"/>
    <w:rsid w:val="007714A9"/>
    <w:rsid w:val="00772C95"/>
    <w:rsid w:val="007732F2"/>
    <w:rsid w:val="0077470C"/>
    <w:rsid w:val="00774F88"/>
    <w:rsid w:val="00774FDB"/>
    <w:rsid w:val="007758F8"/>
    <w:rsid w:val="00776CC6"/>
    <w:rsid w:val="00777BA2"/>
    <w:rsid w:val="00781408"/>
    <w:rsid w:val="00784F7F"/>
    <w:rsid w:val="00786315"/>
    <w:rsid w:val="007878BD"/>
    <w:rsid w:val="00793F8B"/>
    <w:rsid w:val="007940C2"/>
    <w:rsid w:val="00796F25"/>
    <w:rsid w:val="00796FE2"/>
    <w:rsid w:val="007A05EE"/>
    <w:rsid w:val="007A0B43"/>
    <w:rsid w:val="007A2E64"/>
    <w:rsid w:val="007A2E98"/>
    <w:rsid w:val="007A3BA3"/>
    <w:rsid w:val="007A3F89"/>
    <w:rsid w:val="007A5D7C"/>
    <w:rsid w:val="007A6024"/>
    <w:rsid w:val="007A6CC0"/>
    <w:rsid w:val="007A6DBB"/>
    <w:rsid w:val="007A6E6F"/>
    <w:rsid w:val="007A7FEC"/>
    <w:rsid w:val="007B00DF"/>
    <w:rsid w:val="007B1499"/>
    <w:rsid w:val="007B1BBF"/>
    <w:rsid w:val="007B2960"/>
    <w:rsid w:val="007B2BB5"/>
    <w:rsid w:val="007B355D"/>
    <w:rsid w:val="007B3BB9"/>
    <w:rsid w:val="007B7980"/>
    <w:rsid w:val="007C0DEF"/>
    <w:rsid w:val="007C1AF4"/>
    <w:rsid w:val="007C5A10"/>
    <w:rsid w:val="007C5D5A"/>
    <w:rsid w:val="007C607F"/>
    <w:rsid w:val="007C79DD"/>
    <w:rsid w:val="007C7ED6"/>
    <w:rsid w:val="007D1A97"/>
    <w:rsid w:val="007D2CD6"/>
    <w:rsid w:val="007D3063"/>
    <w:rsid w:val="007D3CEB"/>
    <w:rsid w:val="007D518D"/>
    <w:rsid w:val="007E4749"/>
    <w:rsid w:val="007E4E93"/>
    <w:rsid w:val="007E56E6"/>
    <w:rsid w:val="007E5E72"/>
    <w:rsid w:val="007E60D1"/>
    <w:rsid w:val="007E7683"/>
    <w:rsid w:val="007F49FA"/>
    <w:rsid w:val="007F54C4"/>
    <w:rsid w:val="007F5BE1"/>
    <w:rsid w:val="007F6E9A"/>
    <w:rsid w:val="00800CCD"/>
    <w:rsid w:val="0080101E"/>
    <w:rsid w:val="00801FEB"/>
    <w:rsid w:val="00803445"/>
    <w:rsid w:val="00803BA5"/>
    <w:rsid w:val="008044D4"/>
    <w:rsid w:val="008049AF"/>
    <w:rsid w:val="00807720"/>
    <w:rsid w:val="00810AB4"/>
    <w:rsid w:val="00810D0C"/>
    <w:rsid w:val="00812183"/>
    <w:rsid w:val="00813C81"/>
    <w:rsid w:val="00817334"/>
    <w:rsid w:val="00817B56"/>
    <w:rsid w:val="008205A6"/>
    <w:rsid w:val="008205FD"/>
    <w:rsid w:val="00820B11"/>
    <w:rsid w:val="0082127E"/>
    <w:rsid w:val="00821A88"/>
    <w:rsid w:val="00822573"/>
    <w:rsid w:val="0082322E"/>
    <w:rsid w:val="0082377C"/>
    <w:rsid w:val="0082495D"/>
    <w:rsid w:val="0082749C"/>
    <w:rsid w:val="00831AC3"/>
    <w:rsid w:val="0083440D"/>
    <w:rsid w:val="00835EF6"/>
    <w:rsid w:val="00835F07"/>
    <w:rsid w:val="00836E2F"/>
    <w:rsid w:val="00836FCE"/>
    <w:rsid w:val="008376B7"/>
    <w:rsid w:val="00837768"/>
    <w:rsid w:val="008408FF"/>
    <w:rsid w:val="00844189"/>
    <w:rsid w:val="0084549D"/>
    <w:rsid w:val="008455A9"/>
    <w:rsid w:val="008464A2"/>
    <w:rsid w:val="00847799"/>
    <w:rsid w:val="008500E5"/>
    <w:rsid w:val="00850D1F"/>
    <w:rsid w:val="00850DC1"/>
    <w:rsid w:val="00851F3F"/>
    <w:rsid w:val="008523D5"/>
    <w:rsid w:val="0085246D"/>
    <w:rsid w:val="00852B7F"/>
    <w:rsid w:val="008551CF"/>
    <w:rsid w:val="00856EDC"/>
    <w:rsid w:val="00857A5B"/>
    <w:rsid w:val="008623B5"/>
    <w:rsid w:val="00862BF3"/>
    <w:rsid w:val="00870ABA"/>
    <w:rsid w:val="008710E1"/>
    <w:rsid w:val="008716E5"/>
    <w:rsid w:val="00877695"/>
    <w:rsid w:val="00877F21"/>
    <w:rsid w:val="00880DB4"/>
    <w:rsid w:val="00881CA9"/>
    <w:rsid w:val="00883628"/>
    <w:rsid w:val="00885544"/>
    <w:rsid w:val="00885A17"/>
    <w:rsid w:val="008861E5"/>
    <w:rsid w:val="0088634E"/>
    <w:rsid w:val="00890063"/>
    <w:rsid w:val="008906DC"/>
    <w:rsid w:val="00893AB8"/>
    <w:rsid w:val="00896E67"/>
    <w:rsid w:val="008976E6"/>
    <w:rsid w:val="008977CC"/>
    <w:rsid w:val="008A04C8"/>
    <w:rsid w:val="008A4066"/>
    <w:rsid w:val="008A4E46"/>
    <w:rsid w:val="008A5556"/>
    <w:rsid w:val="008A6913"/>
    <w:rsid w:val="008A6E42"/>
    <w:rsid w:val="008B005A"/>
    <w:rsid w:val="008B2C1B"/>
    <w:rsid w:val="008B3413"/>
    <w:rsid w:val="008B70F3"/>
    <w:rsid w:val="008B71C4"/>
    <w:rsid w:val="008B74FA"/>
    <w:rsid w:val="008B76DF"/>
    <w:rsid w:val="008B7749"/>
    <w:rsid w:val="008C10F4"/>
    <w:rsid w:val="008C300C"/>
    <w:rsid w:val="008C3CDB"/>
    <w:rsid w:val="008C4C0F"/>
    <w:rsid w:val="008C4F1C"/>
    <w:rsid w:val="008C65F7"/>
    <w:rsid w:val="008C77A8"/>
    <w:rsid w:val="008C7C2E"/>
    <w:rsid w:val="008D0D13"/>
    <w:rsid w:val="008D231C"/>
    <w:rsid w:val="008D4253"/>
    <w:rsid w:val="008D6714"/>
    <w:rsid w:val="008D7047"/>
    <w:rsid w:val="008E0428"/>
    <w:rsid w:val="008E0841"/>
    <w:rsid w:val="008E238F"/>
    <w:rsid w:val="008E3E0E"/>
    <w:rsid w:val="008E42B0"/>
    <w:rsid w:val="008E4767"/>
    <w:rsid w:val="008E5889"/>
    <w:rsid w:val="008E5F16"/>
    <w:rsid w:val="008E62AC"/>
    <w:rsid w:val="008E7409"/>
    <w:rsid w:val="008E7A8C"/>
    <w:rsid w:val="008F0F69"/>
    <w:rsid w:val="008F1430"/>
    <w:rsid w:val="008F1858"/>
    <w:rsid w:val="008F51C6"/>
    <w:rsid w:val="008F607E"/>
    <w:rsid w:val="0090153C"/>
    <w:rsid w:val="0090203B"/>
    <w:rsid w:val="00903285"/>
    <w:rsid w:val="009033EC"/>
    <w:rsid w:val="00903C8A"/>
    <w:rsid w:val="00906F40"/>
    <w:rsid w:val="009070AF"/>
    <w:rsid w:val="0090731E"/>
    <w:rsid w:val="009118DF"/>
    <w:rsid w:val="00914E33"/>
    <w:rsid w:val="00915B1C"/>
    <w:rsid w:val="00916749"/>
    <w:rsid w:val="00916A73"/>
    <w:rsid w:val="009174F3"/>
    <w:rsid w:val="0091797D"/>
    <w:rsid w:val="00917DB1"/>
    <w:rsid w:val="009202EF"/>
    <w:rsid w:val="00920A0A"/>
    <w:rsid w:val="00923CBA"/>
    <w:rsid w:val="00926292"/>
    <w:rsid w:val="00926703"/>
    <w:rsid w:val="00927691"/>
    <w:rsid w:val="00927A5F"/>
    <w:rsid w:val="009301AD"/>
    <w:rsid w:val="00930510"/>
    <w:rsid w:val="00932335"/>
    <w:rsid w:val="009329FD"/>
    <w:rsid w:val="009358C4"/>
    <w:rsid w:val="00935B63"/>
    <w:rsid w:val="00936E95"/>
    <w:rsid w:val="00936EEB"/>
    <w:rsid w:val="0094078F"/>
    <w:rsid w:val="00940803"/>
    <w:rsid w:val="00940FA3"/>
    <w:rsid w:val="00941683"/>
    <w:rsid w:val="00941FB0"/>
    <w:rsid w:val="00942577"/>
    <w:rsid w:val="009426D4"/>
    <w:rsid w:val="009434D4"/>
    <w:rsid w:val="00946832"/>
    <w:rsid w:val="00946E32"/>
    <w:rsid w:val="00947F25"/>
    <w:rsid w:val="00950159"/>
    <w:rsid w:val="009503F6"/>
    <w:rsid w:val="0095490B"/>
    <w:rsid w:val="00955420"/>
    <w:rsid w:val="00957139"/>
    <w:rsid w:val="0096087B"/>
    <w:rsid w:val="00960A33"/>
    <w:rsid w:val="00961769"/>
    <w:rsid w:val="00965D31"/>
    <w:rsid w:val="00971914"/>
    <w:rsid w:val="00971EAF"/>
    <w:rsid w:val="00973BE9"/>
    <w:rsid w:val="00973CB6"/>
    <w:rsid w:val="00974363"/>
    <w:rsid w:val="009764B2"/>
    <w:rsid w:val="009803FC"/>
    <w:rsid w:val="00981680"/>
    <w:rsid w:val="00981898"/>
    <w:rsid w:val="00982D6E"/>
    <w:rsid w:val="009839BE"/>
    <w:rsid w:val="00984296"/>
    <w:rsid w:val="009854BE"/>
    <w:rsid w:val="00990FA9"/>
    <w:rsid w:val="009919AE"/>
    <w:rsid w:val="00992BB6"/>
    <w:rsid w:val="00993B47"/>
    <w:rsid w:val="0099577C"/>
    <w:rsid w:val="00996375"/>
    <w:rsid w:val="00996452"/>
    <w:rsid w:val="009A01C1"/>
    <w:rsid w:val="009A021C"/>
    <w:rsid w:val="009A0D2C"/>
    <w:rsid w:val="009A25CC"/>
    <w:rsid w:val="009A2DF0"/>
    <w:rsid w:val="009A3704"/>
    <w:rsid w:val="009A455F"/>
    <w:rsid w:val="009B24A5"/>
    <w:rsid w:val="009B2601"/>
    <w:rsid w:val="009B4123"/>
    <w:rsid w:val="009B4E9E"/>
    <w:rsid w:val="009B53C9"/>
    <w:rsid w:val="009B6592"/>
    <w:rsid w:val="009C1690"/>
    <w:rsid w:val="009C2480"/>
    <w:rsid w:val="009C50BB"/>
    <w:rsid w:val="009C6881"/>
    <w:rsid w:val="009C7140"/>
    <w:rsid w:val="009C7759"/>
    <w:rsid w:val="009D043D"/>
    <w:rsid w:val="009D07C8"/>
    <w:rsid w:val="009D0E0D"/>
    <w:rsid w:val="009D44B2"/>
    <w:rsid w:val="009D4C85"/>
    <w:rsid w:val="009D6C71"/>
    <w:rsid w:val="009E0631"/>
    <w:rsid w:val="009E16D0"/>
    <w:rsid w:val="009E1717"/>
    <w:rsid w:val="009E2051"/>
    <w:rsid w:val="009E234A"/>
    <w:rsid w:val="009E38D4"/>
    <w:rsid w:val="009E38FD"/>
    <w:rsid w:val="009E4909"/>
    <w:rsid w:val="009E7547"/>
    <w:rsid w:val="009F13D6"/>
    <w:rsid w:val="009F1D25"/>
    <w:rsid w:val="009F2B14"/>
    <w:rsid w:val="009F2C26"/>
    <w:rsid w:val="009F3559"/>
    <w:rsid w:val="009F3808"/>
    <w:rsid w:val="009F39C0"/>
    <w:rsid w:val="009F43D3"/>
    <w:rsid w:val="009F4C6B"/>
    <w:rsid w:val="009F580A"/>
    <w:rsid w:val="009F5DD1"/>
    <w:rsid w:val="009F78A8"/>
    <w:rsid w:val="00A01157"/>
    <w:rsid w:val="00A014C0"/>
    <w:rsid w:val="00A017E0"/>
    <w:rsid w:val="00A01E9F"/>
    <w:rsid w:val="00A02AD6"/>
    <w:rsid w:val="00A07096"/>
    <w:rsid w:val="00A07318"/>
    <w:rsid w:val="00A11370"/>
    <w:rsid w:val="00A13936"/>
    <w:rsid w:val="00A1569C"/>
    <w:rsid w:val="00A208BA"/>
    <w:rsid w:val="00A22354"/>
    <w:rsid w:val="00A224CE"/>
    <w:rsid w:val="00A22522"/>
    <w:rsid w:val="00A22A53"/>
    <w:rsid w:val="00A24AFD"/>
    <w:rsid w:val="00A24F5C"/>
    <w:rsid w:val="00A32F96"/>
    <w:rsid w:val="00A332C2"/>
    <w:rsid w:val="00A3370C"/>
    <w:rsid w:val="00A33A71"/>
    <w:rsid w:val="00A33F8A"/>
    <w:rsid w:val="00A34821"/>
    <w:rsid w:val="00A37390"/>
    <w:rsid w:val="00A4061D"/>
    <w:rsid w:val="00A40871"/>
    <w:rsid w:val="00A412AB"/>
    <w:rsid w:val="00A4193E"/>
    <w:rsid w:val="00A427F6"/>
    <w:rsid w:val="00A43E52"/>
    <w:rsid w:val="00A440E0"/>
    <w:rsid w:val="00A442EF"/>
    <w:rsid w:val="00A4495B"/>
    <w:rsid w:val="00A46142"/>
    <w:rsid w:val="00A46BA6"/>
    <w:rsid w:val="00A4758F"/>
    <w:rsid w:val="00A509B7"/>
    <w:rsid w:val="00A50C6F"/>
    <w:rsid w:val="00A51168"/>
    <w:rsid w:val="00A51D1A"/>
    <w:rsid w:val="00A522EB"/>
    <w:rsid w:val="00A52D88"/>
    <w:rsid w:val="00A53C76"/>
    <w:rsid w:val="00A5418D"/>
    <w:rsid w:val="00A5474E"/>
    <w:rsid w:val="00A55272"/>
    <w:rsid w:val="00A62D51"/>
    <w:rsid w:val="00A64234"/>
    <w:rsid w:val="00A64E97"/>
    <w:rsid w:val="00A67D74"/>
    <w:rsid w:val="00A70ADF"/>
    <w:rsid w:val="00A71466"/>
    <w:rsid w:val="00A719C4"/>
    <w:rsid w:val="00A71DD7"/>
    <w:rsid w:val="00A74095"/>
    <w:rsid w:val="00A74B5E"/>
    <w:rsid w:val="00A74E70"/>
    <w:rsid w:val="00A76176"/>
    <w:rsid w:val="00A80576"/>
    <w:rsid w:val="00A8157E"/>
    <w:rsid w:val="00A81BED"/>
    <w:rsid w:val="00A81EC4"/>
    <w:rsid w:val="00A81EED"/>
    <w:rsid w:val="00A824E8"/>
    <w:rsid w:val="00A82661"/>
    <w:rsid w:val="00A84A32"/>
    <w:rsid w:val="00A856EC"/>
    <w:rsid w:val="00A85C35"/>
    <w:rsid w:val="00A8617B"/>
    <w:rsid w:val="00A921D6"/>
    <w:rsid w:val="00A928C9"/>
    <w:rsid w:val="00A92CE6"/>
    <w:rsid w:val="00A93EAB"/>
    <w:rsid w:val="00A94D09"/>
    <w:rsid w:val="00A967FD"/>
    <w:rsid w:val="00AA052D"/>
    <w:rsid w:val="00AA1609"/>
    <w:rsid w:val="00AA17A5"/>
    <w:rsid w:val="00AA2DE5"/>
    <w:rsid w:val="00AA40F9"/>
    <w:rsid w:val="00AA559E"/>
    <w:rsid w:val="00AA5AC2"/>
    <w:rsid w:val="00AB0176"/>
    <w:rsid w:val="00AB156C"/>
    <w:rsid w:val="00AB1846"/>
    <w:rsid w:val="00AB2D9B"/>
    <w:rsid w:val="00AB44CE"/>
    <w:rsid w:val="00AB61C7"/>
    <w:rsid w:val="00AB6814"/>
    <w:rsid w:val="00AB7369"/>
    <w:rsid w:val="00AC04BA"/>
    <w:rsid w:val="00AC0E39"/>
    <w:rsid w:val="00AC32C7"/>
    <w:rsid w:val="00AC332E"/>
    <w:rsid w:val="00AC3D86"/>
    <w:rsid w:val="00AC4251"/>
    <w:rsid w:val="00AC7FF6"/>
    <w:rsid w:val="00AD0C5F"/>
    <w:rsid w:val="00AD0E81"/>
    <w:rsid w:val="00AD3082"/>
    <w:rsid w:val="00AD32B4"/>
    <w:rsid w:val="00AD3333"/>
    <w:rsid w:val="00AD416F"/>
    <w:rsid w:val="00AD4AD0"/>
    <w:rsid w:val="00AD4C74"/>
    <w:rsid w:val="00AD5436"/>
    <w:rsid w:val="00AD60CD"/>
    <w:rsid w:val="00AD6C8C"/>
    <w:rsid w:val="00AE0734"/>
    <w:rsid w:val="00AE091D"/>
    <w:rsid w:val="00AE3B60"/>
    <w:rsid w:val="00AE45F3"/>
    <w:rsid w:val="00AE53A1"/>
    <w:rsid w:val="00AE665F"/>
    <w:rsid w:val="00AE77BC"/>
    <w:rsid w:val="00AF2484"/>
    <w:rsid w:val="00AF55C6"/>
    <w:rsid w:val="00AF63E7"/>
    <w:rsid w:val="00AF6E17"/>
    <w:rsid w:val="00B010AA"/>
    <w:rsid w:val="00B0130C"/>
    <w:rsid w:val="00B0165D"/>
    <w:rsid w:val="00B01B60"/>
    <w:rsid w:val="00B021A5"/>
    <w:rsid w:val="00B02930"/>
    <w:rsid w:val="00B031F3"/>
    <w:rsid w:val="00B04396"/>
    <w:rsid w:val="00B04726"/>
    <w:rsid w:val="00B052A4"/>
    <w:rsid w:val="00B103B5"/>
    <w:rsid w:val="00B1235C"/>
    <w:rsid w:val="00B125DE"/>
    <w:rsid w:val="00B1339E"/>
    <w:rsid w:val="00B13FDD"/>
    <w:rsid w:val="00B1407A"/>
    <w:rsid w:val="00B1595B"/>
    <w:rsid w:val="00B20144"/>
    <w:rsid w:val="00B20E36"/>
    <w:rsid w:val="00B22EB2"/>
    <w:rsid w:val="00B259F2"/>
    <w:rsid w:val="00B27442"/>
    <w:rsid w:val="00B31167"/>
    <w:rsid w:val="00B32960"/>
    <w:rsid w:val="00B329D8"/>
    <w:rsid w:val="00B32BB9"/>
    <w:rsid w:val="00B32EE3"/>
    <w:rsid w:val="00B33AE1"/>
    <w:rsid w:val="00B347C0"/>
    <w:rsid w:val="00B34AB2"/>
    <w:rsid w:val="00B350DB"/>
    <w:rsid w:val="00B3776A"/>
    <w:rsid w:val="00B37C38"/>
    <w:rsid w:val="00B4093A"/>
    <w:rsid w:val="00B416C8"/>
    <w:rsid w:val="00B4288C"/>
    <w:rsid w:val="00B43262"/>
    <w:rsid w:val="00B44100"/>
    <w:rsid w:val="00B46CBA"/>
    <w:rsid w:val="00B46F94"/>
    <w:rsid w:val="00B47ACB"/>
    <w:rsid w:val="00B50224"/>
    <w:rsid w:val="00B53A85"/>
    <w:rsid w:val="00B57530"/>
    <w:rsid w:val="00B576CB"/>
    <w:rsid w:val="00B6003C"/>
    <w:rsid w:val="00B600D2"/>
    <w:rsid w:val="00B61175"/>
    <w:rsid w:val="00B61F03"/>
    <w:rsid w:val="00B626E4"/>
    <w:rsid w:val="00B64F05"/>
    <w:rsid w:val="00B6531C"/>
    <w:rsid w:val="00B6781A"/>
    <w:rsid w:val="00B702DD"/>
    <w:rsid w:val="00B7242B"/>
    <w:rsid w:val="00B72A56"/>
    <w:rsid w:val="00B72F4A"/>
    <w:rsid w:val="00B74CD9"/>
    <w:rsid w:val="00B83C27"/>
    <w:rsid w:val="00B84BC3"/>
    <w:rsid w:val="00B84BDD"/>
    <w:rsid w:val="00B91C94"/>
    <w:rsid w:val="00B92812"/>
    <w:rsid w:val="00B9345F"/>
    <w:rsid w:val="00BA2A8E"/>
    <w:rsid w:val="00BA3488"/>
    <w:rsid w:val="00BA36F7"/>
    <w:rsid w:val="00BA3BA4"/>
    <w:rsid w:val="00BA66BC"/>
    <w:rsid w:val="00BA73D7"/>
    <w:rsid w:val="00BB15D1"/>
    <w:rsid w:val="00BB1A96"/>
    <w:rsid w:val="00BB255D"/>
    <w:rsid w:val="00BB396C"/>
    <w:rsid w:val="00BB45A1"/>
    <w:rsid w:val="00BB5E61"/>
    <w:rsid w:val="00BB601C"/>
    <w:rsid w:val="00BB6335"/>
    <w:rsid w:val="00BB6CD0"/>
    <w:rsid w:val="00BB7686"/>
    <w:rsid w:val="00BB7802"/>
    <w:rsid w:val="00BB7FFA"/>
    <w:rsid w:val="00BC23F9"/>
    <w:rsid w:val="00BC3421"/>
    <w:rsid w:val="00BC5917"/>
    <w:rsid w:val="00BC732C"/>
    <w:rsid w:val="00BC7560"/>
    <w:rsid w:val="00BD08B1"/>
    <w:rsid w:val="00BD12D2"/>
    <w:rsid w:val="00BD2AC9"/>
    <w:rsid w:val="00BD3C58"/>
    <w:rsid w:val="00BD3FB3"/>
    <w:rsid w:val="00BD4421"/>
    <w:rsid w:val="00BD4526"/>
    <w:rsid w:val="00BD4BBA"/>
    <w:rsid w:val="00BD5224"/>
    <w:rsid w:val="00BD5ED3"/>
    <w:rsid w:val="00BE0669"/>
    <w:rsid w:val="00BE1526"/>
    <w:rsid w:val="00BE1A9C"/>
    <w:rsid w:val="00BE2580"/>
    <w:rsid w:val="00BE266D"/>
    <w:rsid w:val="00BE3938"/>
    <w:rsid w:val="00BE4C11"/>
    <w:rsid w:val="00BE5A1C"/>
    <w:rsid w:val="00BE71C0"/>
    <w:rsid w:val="00BF1798"/>
    <w:rsid w:val="00BF43CF"/>
    <w:rsid w:val="00BF610C"/>
    <w:rsid w:val="00BF795F"/>
    <w:rsid w:val="00C0060B"/>
    <w:rsid w:val="00C00904"/>
    <w:rsid w:val="00C00E0D"/>
    <w:rsid w:val="00C01A6C"/>
    <w:rsid w:val="00C0277D"/>
    <w:rsid w:val="00C02F26"/>
    <w:rsid w:val="00C0506E"/>
    <w:rsid w:val="00C053A1"/>
    <w:rsid w:val="00C072CF"/>
    <w:rsid w:val="00C10F4A"/>
    <w:rsid w:val="00C1351D"/>
    <w:rsid w:val="00C13A8A"/>
    <w:rsid w:val="00C13CA7"/>
    <w:rsid w:val="00C143A2"/>
    <w:rsid w:val="00C14E37"/>
    <w:rsid w:val="00C16198"/>
    <w:rsid w:val="00C2083D"/>
    <w:rsid w:val="00C221F8"/>
    <w:rsid w:val="00C24466"/>
    <w:rsid w:val="00C244EF"/>
    <w:rsid w:val="00C24942"/>
    <w:rsid w:val="00C24A53"/>
    <w:rsid w:val="00C26162"/>
    <w:rsid w:val="00C268F1"/>
    <w:rsid w:val="00C34A05"/>
    <w:rsid w:val="00C35CCE"/>
    <w:rsid w:val="00C370F2"/>
    <w:rsid w:val="00C4032F"/>
    <w:rsid w:val="00C41F21"/>
    <w:rsid w:val="00C4288F"/>
    <w:rsid w:val="00C44047"/>
    <w:rsid w:val="00C45155"/>
    <w:rsid w:val="00C4610F"/>
    <w:rsid w:val="00C50571"/>
    <w:rsid w:val="00C50BE9"/>
    <w:rsid w:val="00C52942"/>
    <w:rsid w:val="00C52966"/>
    <w:rsid w:val="00C5498F"/>
    <w:rsid w:val="00C55235"/>
    <w:rsid w:val="00C55ABF"/>
    <w:rsid w:val="00C63AA3"/>
    <w:rsid w:val="00C64802"/>
    <w:rsid w:val="00C64CD0"/>
    <w:rsid w:val="00C65F61"/>
    <w:rsid w:val="00C6684F"/>
    <w:rsid w:val="00C70E70"/>
    <w:rsid w:val="00C714E2"/>
    <w:rsid w:val="00C71D74"/>
    <w:rsid w:val="00C7238D"/>
    <w:rsid w:val="00C74A23"/>
    <w:rsid w:val="00C75225"/>
    <w:rsid w:val="00C75423"/>
    <w:rsid w:val="00C75F8D"/>
    <w:rsid w:val="00C76DFB"/>
    <w:rsid w:val="00C77380"/>
    <w:rsid w:val="00C77724"/>
    <w:rsid w:val="00C817A7"/>
    <w:rsid w:val="00C82808"/>
    <w:rsid w:val="00C86A5C"/>
    <w:rsid w:val="00C87469"/>
    <w:rsid w:val="00C87E8A"/>
    <w:rsid w:val="00C912F9"/>
    <w:rsid w:val="00C913D6"/>
    <w:rsid w:val="00C9219A"/>
    <w:rsid w:val="00C92499"/>
    <w:rsid w:val="00C953C6"/>
    <w:rsid w:val="00C97736"/>
    <w:rsid w:val="00CA0E1C"/>
    <w:rsid w:val="00CA345A"/>
    <w:rsid w:val="00CA608C"/>
    <w:rsid w:val="00CB100E"/>
    <w:rsid w:val="00CB139F"/>
    <w:rsid w:val="00CB1E82"/>
    <w:rsid w:val="00CB4A81"/>
    <w:rsid w:val="00CB4BA8"/>
    <w:rsid w:val="00CB52D7"/>
    <w:rsid w:val="00CB668A"/>
    <w:rsid w:val="00CB737E"/>
    <w:rsid w:val="00CC1264"/>
    <w:rsid w:val="00CC126E"/>
    <w:rsid w:val="00CC2296"/>
    <w:rsid w:val="00CC23AC"/>
    <w:rsid w:val="00CC6732"/>
    <w:rsid w:val="00CD3A0A"/>
    <w:rsid w:val="00CD4D5C"/>
    <w:rsid w:val="00CD4E6B"/>
    <w:rsid w:val="00CD6ACF"/>
    <w:rsid w:val="00CD78D4"/>
    <w:rsid w:val="00CE0101"/>
    <w:rsid w:val="00CE3C96"/>
    <w:rsid w:val="00CE4F37"/>
    <w:rsid w:val="00CE51A8"/>
    <w:rsid w:val="00CE7B67"/>
    <w:rsid w:val="00CF0BB6"/>
    <w:rsid w:val="00CF0BFE"/>
    <w:rsid w:val="00CF1066"/>
    <w:rsid w:val="00CF11FB"/>
    <w:rsid w:val="00CF1A79"/>
    <w:rsid w:val="00CF1EF6"/>
    <w:rsid w:val="00CF369B"/>
    <w:rsid w:val="00D00AC3"/>
    <w:rsid w:val="00D00E28"/>
    <w:rsid w:val="00D0269E"/>
    <w:rsid w:val="00D03276"/>
    <w:rsid w:val="00D050C5"/>
    <w:rsid w:val="00D0557C"/>
    <w:rsid w:val="00D05D6C"/>
    <w:rsid w:val="00D10733"/>
    <w:rsid w:val="00D13439"/>
    <w:rsid w:val="00D136D3"/>
    <w:rsid w:val="00D15810"/>
    <w:rsid w:val="00D16D4E"/>
    <w:rsid w:val="00D16FE3"/>
    <w:rsid w:val="00D176BC"/>
    <w:rsid w:val="00D20210"/>
    <w:rsid w:val="00D21950"/>
    <w:rsid w:val="00D2536D"/>
    <w:rsid w:val="00D25CE2"/>
    <w:rsid w:val="00D2646B"/>
    <w:rsid w:val="00D27F41"/>
    <w:rsid w:val="00D30E08"/>
    <w:rsid w:val="00D30F2A"/>
    <w:rsid w:val="00D3422C"/>
    <w:rsid w:val="00D35AEC"/>
    <w:rsid w:val="00D36441"/>
    <w:rsid w:val="00D373F1"/>
    <w:rsid w:val="00D4064E"/>
    <w:rsid w:val="00D43B47"/>
    <w:rsid w:val="00D44E9B"/>
    <w:rsid w:val="00D47AEB"/>
    <w:rsid w:val="00D50DB9"/>
    <w:rsid w:val="00D51302"/>
    <w:rsid w:val="00D52C43"/>
    <w:rsid w:val="00D55770"/>
    <w:rsid w:val="00D55E1F"/>
    <w:rsid w:val="00D61243"/>
    <w:rsid w:val="00D636C3"/>
    <w:rsid w:val="00D63B22"/>
    <w:rsid w:val="00D6507F"/>
    <w:rsid w:val="00D66F1D"/>
    <w:rsid w:val="00D70225"/>
    <w:rsid w:val="00D730BC"/>
    <w:rsid w:val="00D73912"/>
    <w:rsid w:val="00D741B9"/>
    <w:rsid w:val="00D77328"/>
    <w:rsid w:val="00D81830"/>
    <w:rsid w:val="00D819D6"/>
    <w:rsid w:val="00D84065"/>
    <w:rsid w:val="00D85226"/>
    <w:rsid w:val="00D87A08"/>
    <w:rsid w:val="00D87B94"/>
    <w:rsid w:val="00D90962"/>
    <w:rsid w:val="00D92D49"/>
    <w:rsid w:val="00D92EC1"/>
    <w:rsid w:val="00D93D65"/>
    <w:rsid w:val="00D955F3"/>
    <w:rsid w:val="00D96DEA"/>
    <w:rsid w:val="00DA3A0B"/>
    <w:rsid w:val="00DA4E41"/>
    <w:rsid w:val="00DA6CAB"/>
    <w:rsid w:val="00DA704A"/>
    <w:rsid w:val="00DA78D2"/>
    <w:rsid w:val="00DB117A"/>
    <w:rsid w:val="00DB3DAD"/>
    <w:rsid w:val="00DB4230"/>
    <w:rsid w:val="00DB5173"/>
    <w:rsid w:val="00DB6B22"/>
    <w:rsid w:val="00DB73B0"/>
    <w:rsid w:val="00DB7873"/>
    <w:rsid w:val="00DC187B"/>
    <w:rsid w:val="00DC21A0"/>
    <w:rsid w:val="00DC23A8"/>
    <w:rsid w:val="00DC2F3C"/>
    <w:rsid w:val="00DC4B17"/>
    <w:rsid w:val="00DD0711"/>
    <w:rsid w:val="00DD115D"/>
    <w:rsid w:val="00DD1A43"/>
    <w:rsid w:val="00DD1E63"/>
    <w:rsid w:val="00DD73C2"/>
    <w:rsid w:val="00DE18B2"/>
    <w:rsid w:val="00DE2DBB"/>
    <w:rsid w:val="00DE319B"/>
    <w:rsid w:val="00DE3C6B"/>
    <w:rsid w:val="00DE55BF"/>
    <w:rsid w:val="00DF1063"/>
    <w:rsid w:val="00DF34FE"/>
    <w:rsid w:val="00DF3ACD"/>
    <w:rsid w:val="00DF3DEC"/>
    <w:rsid w:val="00DF56AA"/>
    <w:rsid w:val="00DF56AF"/>
    <w:rsid w:val="00DF5F22"/>
    <w:rsid w:val="00DF7826"/>
    <w:rsid w:val="00DF78E7"/>
    <w:rsid w:val="00DF7AD4"/>
    <w:rsid w:val="00E04218"/>
    <w:rsid w:val="00E04A01"/>
    <w:rsid w:val="00E07CFD"/>
    <w:rsid w:val="00E110E0"/>
    <w:rsid w:val="00E12B62"/>
    <w:rsid w:val="00E15371"/>
    <w:rsid w:val="00E162C4"/>
    <w:rsid w:val="00E21056"/>
    <w:rsid w:val="00E228D2"/>
    <w:rsid w:val="00E24104"/>
    <w:rsid w:val="00E2492D"/>
    <w:rsid w:val="00E259C2"/>
    <w:rsid w:val="00E302D0"/>
    <w:rsid w:val="00E327EC"/>
    <w:rsid w:val="00E3470A"/>
    <w:rsid w:val="00E35707"/>
    <w:rsid w:val="00E35967"/>
    <w:rsid w:val="00E36AA1"/>
    <w:rsid w:val="00E41ECB"/>
    <w:rsid w:val="00E42676"/>
    <w:rsid w:val="00E42D3D"/>
    <w:rsid w:val="00E51792"/>
    <w:rsid w:val="00E5426D"/>
    <w:rsid w:val="00E54E86"/>
    <w:rsid w:val="00E54FDB"/>
    <w:rsid w:val="00E5617D"/>
    <w:rsid w:val="00E563D7"/>
    <w:rsid w:val="00E57A92"/>
    <w:rsid w:val="00E62505"/>
    <w:rsid w:val="00E62F2B"/>
    <w:rsid w:val="00E63C8C"/>
    <w:rsid w:val="00E6545E"/>
    <w:rsid w:val="00E663F4"/>
    <w:rsid w:val="00E666F2"/>
    <w:rsid w:val="00E66DD4"/>
    <w:rsid w:val="00E6732D"/>
    <w:rsid w:val="00E71872"/>
    <w:rsid w:val="00E72152"/>
    <w:rsid w:val="00E748CC"/>
    <w:rsid w:val="00E74F15"/>
    <w:rsid w:val="00E75415"/>
    <w:rsid w:val="00E76F2D"/>
    <w:rsid w:val="00E775B1"/>
    <w:rsid w:val="00E77682"/>
    <w:rsid w:val="00E810A7"/>
    <w:rsid w:val="00E813F4"/>
    <w:rsid w:val="00E8152A"/>
    <w:rsid w:val="00E817E7"/>
    <w:rsid w:val="00E81908"/>
    <w:rsid w:val="00E84870"/>
    <w:rsid w:val="00E8574F"/>
    <w:rsid w:val="00E85C6F"/>
    <w:rsid w:val="00E866AA"/>
    <w:rsid w:val="00E86CDA"/>
    <w:rsid w:val="00E86CEC"/>
    <w:rsid w:val="00E87DC0"/>
    <w:rsid w:val="00E902A1"/>
    <w:rsid w:val="00E93629"/>
    <w:rsid w:val="00E93B5C"/>
    <w:rsid w:val="00E94CEC"/>
    <w:rsid w:val="00EA04EF"/>
    <w:rsid w:val="00EA0923"/>
    <w:rsid w:val="00EA0969"/>
    <w:rsid w:val="00EA1121"/>
    <w:rsid w:val="00EA1F68"/>
    <w:rsid w:val="00EA53C3"/>
    <w:rsid w:val="00EA6377"/>
    <w:rsid w:val="00EA6C79"/>
    <w:rsid w:val="00EA6F19"/>
    <w:rsid w:val="00EB0587"/>
    <w:rsid w:val="00EB11BC"/>
    <w:rsid w:val="00EB4E06"/>
    <w:rsid w:val="00EB5CC3"/>
    <w:rsid w:val="00EB7090"/>
    <w:rsid w:val="00EC1BBE"/>
    <w:rsid w:val="00EC2ADB"/>
    <w:rsid w:val="00EC2B68"/>
    <w:rsid w:val="00EC3AEF"/>
    <w:rsid w:val="00EC4375"/>
    <w:rsid w:val="00EC5CD7"/>
    <w:rsid w:val="00EC6274"/>
    <w:rsid w:val="00EC7957"/>
    <w:rsid w:val="00ED0B61"/>
    <w:rsid w:val="00ED5CC1"/>
    <w:rsid w:val="00EE0986"/>
    <w:rsid w:val="00EE3215"/>
    <w:rsid w:val="00EE4132"/>
    <w:rsid w:val="00EE58AA"/>
    <w:rsid w:val="00EE5FB3"/>
    <w:rsid w:val="00EE66C1"/>
    <w:rsid w:val="00EE7F79"/>
    <w:rsid w:val="00EF0310"/>
    <w:rsid w:val="00EF23C1"/>
    <w:rsid w:val="00EF504C"/>
    <w:rsid w:val="00EF715A"/>
    <w:rsid w:val="00EF7A02"/>
    <w:rsid w:val="00F0222A"/>
    <w:rsid w:val="00F02B96"/>
    <w:rsid w:val="00F02B9A"/>
    <w:rsid w:val="00F03F1A"/>
    <w:rsid w:val="00F06A8E"/>
    <w:rsid w:val="00F06E14"/>
    <w:rsid w:val="00F13CF2"/>
    <w:rsid w:val="00F179D4"/>
    <w:rsid w:val="00F17F40"/>
    <w:rsid w:val="00F22A23"/>
    <w:rsid w:val="00F22AB8"/>
    <w:rsid w:val="00F23DB4"/>
    <w:rsid w:val="00F24FEF"/>
    <w:rsid w:val="00F25718"/>
    <w:rsid w:val="00F30FF5"/>
    <w:rsid w:val="00F31788"/>
    <w:rsid w:val="00F31D8D"/>
    <w:rsid w:val="00F32682"/>
    <w:rsid w:val="00F32BA8"/>
    <w:rsid w:val="00F33C56"/>
    <w:rsid w:val="00F347C7"/>
    <w:rsid w:val="00F34848"/>
    <w:rsid w:val="00F3488C"/>
    <w:rsid w:val="00F34A36"/>
    <w:rsid w:val="00F359C8"/>
    <w:rsid w:val="00F361D7"/>
    <w:rsid w:val="00F36D45"/>
    <w:rsid w:val="00F37012"/>
    <w:rsid w:val="00F42B85"/>
    <w:rsid w:val="00F42D46"/>
    <w:rsid w:val="00F4496C"/>
    <w:rsid w:val="00F44F3A"/>
    <w:rsid w:val="00F50EA5"/>
    <w:rsid w:val="00F51F10"/>
    <w:rsid w:val="00F52139"/>
    <w:rsid w:val="00F527DA"/>
    <w:rsid w:val="00F529A5"/>
    <w:rsid w:val="00F5310D"/>
    <w:rsid w:val="00F53848"/>
    <w:rsid w:val="00F5558B"/>
    <w:rsid w:val="00F55719"/>
    <w:rsid w:val="00F609F3"/>
    <w:rsid w:val="00F60F00"/>
    <w:rsid w:val="00F614C0"/>
    <w:rsid w:val="00F61D7B"/>
    <w:rsid w:val="00F65F24"/>
    <w:rsid w:val="00F714D0"/>
    <w:rsid w:val="00F72ECD"/>
    <w:rsid w:val="00F73D1B"/>
    <w:rsid w:val="00F740D7"/>
    <w:rsid w:val="00F76D28"/>
    <w:rsid w:val="00F82AE2"/>
    <w:rsid w:val="00F83848"/>
    <w:rsid w:val="00F90BC6"/>
    <w:rsid w:val="00F914E7"/>
    <w:rsid w:val="00F92B87"/>
    <w:rsid w:val="00F92E73"/>
    <w:rsid w:val="00F94281"/>
    <w:rsid w:val="00F95A24"/>
    <w:rsid w:val="00F95DF0"/>
    <w:rsid w:val="00F9657D"/>
    <w:rsid w:val="00F975E9"/>
    <w:rsid w:val="00FA1A4E"/>
    <w:rsid w:val="00FA1B7D"/>
    <w:rsid w:val="00FA309C"/>
    <w:rsid w:val="00FA6506"/>
    <w:rsid w:val="00FA6F87"/>
    <w:rsid w:val="00FB20B5"/>
    <w:rsid w:val="00FB33D1"/>
    <w:rsid w:val="00FB3915"/>
    <w:rsid w:val="00FB5FA8"/>
    <w:rsid w:val="00FB6AC4"/>
    <w:rsid w:val="00FB751B"/>
    <w:rsid w:val="00FC07B9"/>
    <w:rsid w:val="00FC16AE"/>
    <w:rsid w:val="00FC34C9"/>
    <w:rsid w:val="00FC4E21"/>
    <w:rsid w:val="00FC5F6D"/>
    <w:rsid w:val="00FC7093"/>
    <w:rsid w:val="00FC72A5"/>
    <w:rsid w:val="00FC7C45"/>
    <w:rsid w:val="00FD0107"/>
    <w:rsid w:val="00FD1205"/>
    <w:rsid w:val="00FD1A9C"/>
    <w:rsid w:val="00FD28B5"/>
    <w:rsid w:val="00FD2C2F"/>
    <w:rsid w:val="00FD3110"/>
    <w:rsid w:val="00FD39CF"/>
    <w:rsid w:val="00FD3B31"/>
    <w:rsid w:val="00FE02C4"/>
    <w:rsid w:val="00FE0A2C"/>
    <w:rsid w:val="00FE1823"/>
    <w:rsid w:val="00FE1C0B"/>
    <w:rsid w:val="00FE220A"/>
    <w:rsid w:val="00FE2B5C"/>
    <w:rsid w:val="00FE487A"/>
    <w:rsid w:val="00FE5AE3"/>
    <w:rsid w:val="00FF0569"/>
    <w:rsid w:val="00FF206E"/>
    <w:rsid w:val="00FF2483"/>
    <w:rsid w:val="00FF31C2"/>
    <w:rsid w:val="00FF3AB9"/>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red,#4d4d4f"/>
    </o:shapedefaults>
    <o:shapelayout v:ext="edit">
      <o:idmap v:ext="edit" data="2"/>
    </o:shapelayout>
  </w:shapeDefaults>
  <w:decimalSymbol w:val="."/>
  <w:listSeparator w:val=","/>
  <w14:docId w14:val="28658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23"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390D91"/>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qFormat/>
    <w:rsid w:val="005B2F0D"/>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C87E8A"/>
    <w:pPr>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rsid w:val="00566AB4"/>
    <w:rPr>
      <w:rFonts w:ascii="Arial" w:hAnsi="Arial"/>
      <w:vertAlign w:val="superscript"/>
    </w:rPr>
  </w:style>
  <w:style w:type="paragraph" w:styleId="FootnoteText">
    <w:name w:val="footnote text"/>
    <w:aliases w:val="Footnote text,ACMA Footnote Text,ABA Footnote Text,footnote text,Footnote Text Char1,Footnote Text Char Char,Footnote Text Char1 Char Char,Footnote Text Char Char Char Char,Footnote Text Char1 Char Char Char Char,f"/>
    <w:basedOn w:val="Normal"/>
    <w:link w:val="FootnoteTextChar"/>
    <w:uiPriority w:val="23"/>
    <w:rsid w:val="00C24466"/>
    <w:pPr>
      <w:spacing w:after="0" w:line="200" w:lineRule="atLeast"/>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semiHidden/>
    <w:rsid w:val="00EE7F79"/>
    <w:rPr>
      <w:sz w:val="16"/>
      <w:szCs w:val="16"/>
    </w:rPr>
  </w:style>
  <w:style w:type="paragraph" w:styleId="CommentText">
    <w:name w:val="annotation text"/>
    <w:basedOn w:val="Normal"/>
    <w:link w:val="CommentTextChar"/>
    <w:rsid w:val="00EE7F79"/>
    <w:pPr>
      <w:spacing w:line="240" w:lineRule="auto"/>
    </w:pPr>
    <w:rPr>
      <w:szCs w:val="20"/>
    </w:rPr>
  </w:style>
  <w:style w:type="character" w:customStyle="1" w:styleId="CommentTextChar">
    <w:name w:val="Comment Text Char"/>
    <w:basedOn w:val="DefaultParagraphFont"/>
    <w:link w:val="CommentText"/>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semiHidden/>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qFormat/>
    <w:rsid w:val="003F10EE"/>
    <w:pPr>
      <w:numPr>
        <w:numId w:val="7"/>
      </w:numPr>
      <w:spacing w:after="160"/>
    </w:pPr>
    <w:rPr>
      <w:rFonts w:ascii="Arial" w:hAnsi="Arial"/>
      <w:b/>
      <w:bCs/>
      <w:color w:val="323232"/>
      <w:sz w:val="20"/>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F5310D"/>
    <w:rPr>
      <w:rFonts w:ascii="Arial" w:hAnsi="Arial" w:cs="Arial"/>
      <w:bCs/>
      <w:color w:val="323232"/>
      <w:kern w:val="32"/>
      <w:sz w:val="53"/>
      <w:szCs w:val="32"/>
    </w:rPr>
  </w:style>
  <w:style w:type="character" w:customStyle="1" w:styleId="Heading2Char">
    <w:name w:val="Heading 2 Char"/>
    <w:aliases w:val="RIS Heading 2 Char"/>
    <w:basedOn w:val="DefaultParagraphFont"/>
    <w:link w:val="Heading2"/>
    <w:uiPriority w:val="1"/>
    <w:rsid w:val="00800CCD"/>
    <w:rPr>
      <w:rFonts w:ascii="Arial" w:hAnsi="Arial" w:cs="Arial"/>
      <w:b/>
      <w:bCs/>
      <w:iCs/>
      <w:sz w:val="28"/>
      <w:szCs w:val="28"/>
    </w:rPr>
  </w:style>
  <w:style w:type="character" w:styleId="UnresolvedMention">
    <w:name w:val="Unresolved Mention"/>
    <w:basedOn w:val="DefaultParagraphFont"/>
    <w:uiPriority w:val="99"/>
    <w:semiHidden/>
    <w:unhideWhenUsed/>
    <w:rsid w:val="006B52DE"/>
    <w:rPr>
      <w:color w:val="605E5C"/>
      <w:shd w:val="clear" w:color="auto" w:fill="E1DFDD"/>
    </w:rPr>
  </w:style>
  <w:style w:type="character" w:customStyle="1" w:styleId="Heading3Char">
    <w:name w:val="Heading 3 Char"/>
    <w:basedOn w:val="DefaultParagraphFont"/>
    <w:link w:val="Heading3"/>
    <w:uiPriority w:val="2"/>
    <w:rsid w:val="00390D91"/>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D43B47"/>
    <w:pPr>
      <w:ind w:left="590" w:hanging="295"/>
    </w:pPr>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801FEB"/>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3803BD"/>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StylePr>
    <w:tblStylePr w:type="band2Horz">
      <w:rPr>
        <w:rFonts w:ascii="Arial" w:hAnsi="Arial"/>
        <w:sz w:val="20"/>
      </w:rPr>
      <w:tblPr/>
      <w:tcPr>
        <w:shd w:val="clear" w:color="auto" w:fill="F2F2F2" w:themeFill="background1" w:themeFillShade="F2"/>
      </w:tcPr>
    </w:tblStylePr>
  </w:style>
  <w:style w:type="paragraph" w:customStyle="1" w:styleId="Tableheading">
    <w:name w:val="Table heading"/>
    <w:basedOn w:val="ACMATableHeader"/>
    <w:next w:val="Paragraph"/>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Protectivemarking">
    <w:name w:val="Protective marking"/>
    <w:basedOn w:val="Normal"/>
    <w:uiPriority w:val="99"/>
    <w:qFormat/>
    <w:rsid w:val="00390D91"/>
    <w:pPr>
      <w:tabs>
        <w:tab w:val="left" w:pos="720"/>
      </w:tabs>
      <w:spacing w:after="0" w:line="240" w:lineRule="auto"/>
      <w:jc w:val="center"/>
    </w:pPr>
    <w:rPr>
      <w:rFonts w:cs="Arial"/>
      <w:b/>
      <w:bCs/>
      <w:color w:val="FF0000"/>
      <w:sz w:val="32"/>
      <w:lang w:eastAsia="en-US"/>
    </w:rPr>
  </w:style>
  <w:style w:type="paragraph" w:styleId="Revision">
    <w:name w:val="Revision"/>
    <w:hidden/>
    <w:semiHidden/>
    <w:rsid w:val="00023A36"/>
    <w:rPr>
      <w:rFonts w:ascii="Arial" w:hAnsi="Arial"/>
      <w:sz w:val="20"/>
    </w:rPr>
  </w:style>
  <w:style w:type="paragraph" w:styleId="ListParagraph">
    <w:name w:val="List Paragraph"/>
    <w:aliases w:val="List Paragraph1,Recommendation"/>
    <w:basedOn w:val="Normal"/>
    <w:link w:val="ListParagraphChar"/>
    <w:uiPriority w:val="34"/>
    <w:qFormat/>
    <w:rsid w:val="00BC5917"/>
    <w:pPr>
      <w:spacing w:after="200" w:line="276" w:lineRule="auto"/>
      <w:ind w:left="720"/>
      <w:contextualSpacing/>
    </w:pPr>
    <w:rPr>
      <w:rFonts w:ascii="Calibri" w:eastAsia="Calibri" w:hAnsi="Calibri"/>
      <w:sz w:val="22"/>
      <w:szCs w:val="22"/>
      <w:lang w:eastAsia="en-US"/>
    </w:rPr>
  </w:style>
  <w:style w:type="character" w:customStyle="1" w:styleId="ListParagraphChar">
    <w:name w:val="List Paragraph Char"/>
    <w:aliases w:val="List Paragraph1 Char,Recommendation Char"/>
    <w:basedOn w:val="DefaultParagraphFont"/>
    <w:link w:val="ListParagraph"/>
    <w:uiPriority w:val="34"/>
    <w:locked/>
    <w:rsid w:val="00BC5917"/>
    <w:rPr>
      <w:rFonts w:ascii="Calibri" w:eastAsia="Calibri" w:hAnsi="Calibri"/>
      <w:sz w:val="22"/>
      <w:szCs w:val="22"/>
      <w:lang w:eastAsia="en-US"/>
    </w:rPr>
  </w:style>
  <w:style w:type="paragraph" w:customStyle="1" w:styleId="TableHeading0">
    <w:name w:val="Table Heading"/>
    <w:basedOn w:val="Normal"/>
    <w:qFormat/>
    <w:rsid w:val="00BC5917"/>
    <w:pPr>
      <w:spacing w:after="0"/>
    </w:pPr>
    <w:rPr>
      <w:b/>
    </w:rPr>
  </w:style>
  <w:style w:type="paragraph" w:customStyle="1" w:styleId="Caption-table">
    <w:name w:val="Caption - table"/>
    <w:basedOn w:val="Caption"/>
    <w:next w:val="Normal"/>
    <w:link w:val="Caption-tableChar"/>
    <w:qFormat/>
    <w:rsid w:val="00D55E1F"/>
    <w:pPr>
      <w:keepNext/>
      <w:numPr>
        <w:numId w:val="0"/>
      </w:numPr>
      <w:spacing w:after="120"/>
    </w:pPr>
    <w:rPr>
      <w:bCs w:val="0"/>
      <w:iCs/>
      <w:color w:val="auto"/>
      <w:szCs w:val="18"/>
    </w:rPr>
  </w:style>
  <w:style w:type="character" w:customStyle="1" w:styleId="Caption-tableChar">
    <w:name w:val="Caption - table Char"/>
    <w:basedOn w:val="DefaultParagraphFont"/>
    <w:link w:val="Caption-table"/>
    <w:rsid w:val="00D55E1F"/>
    <w:rPr>
      <w:rFonts w:ascii="Arial" w:hAnsi="Arial"/>
      <w:b/>
      <w:iCs/>
      <w:sz w:val="20"/>
      <w:szCs w:val="18"/>
    </w:rPr>
  </w:style>
  <w:style w:type="character" w:customStyle="1" w:styleId="FootnoteTextChar">
    <w:name w:val="Footnote Text Char"/>
    <w:aliases w:val="Footnote text Char,ACMA Footnote Text Char,ABA Footnote Text Char,footnote text Char,Footnote Text Char1 Char,Footnote Text Char Char Char,Footnote Text Char1 Char Char Char,Footnote Text Char Char Char Char Char,f Char"/>
    <w:basedOn w:val="DefaultParagraphFont"/>
    <w:link w:val="FootnoteText"/>
    <w:uiPriority w:val="23"/>
    <w:rsid w:val="003C3B93"/>
    <w:rPr>
      <w:rFonts w:ascii="Arial" w:hAnsi="Arial"/>
      <w:sz w:val="16"/>
      <w:szCs w:val="16"/>
    </w:rPr>
  </w:style>
  <w:style w:type="character" w:customStyle="1" w:styleId="ListBulletChar">
    <w:name w:val="List Bullet Char"/>
    <w:aliases w:val="List Bullet 1 Char"/>
    <w:basedOn w:val="DefaultParagraphFont"/>
    <w:link w:val="ListBullet"/>
    <w:rsid w:val="00885A17"/>
    <w:rPr>
      <w:rFonts w:ascii="Arial" w:hAnsi="Arial"/>
      <w:sz w:val="20"/>
    </w:rPr>
  </w:style>
  <w:style w:type="paragraph" w:customStyle="1" w:styleId="Numberedparagraph">
    <w:name w:val="Numbered paragraph"/>
    <w:basedOn w:val="Normal"/>
    <w:qFormat/>
    <w:rsid w:val="00955420"/>
    <w:pPr>
      <w:tabs>
        <w:tab w:val="num" w:pos="567"/>
      </w:tabs>
      <w:ind w:hanging="567"/>
    </w:pPr>
    <w:rPr>
      <w:rFonts w:cs="Arial"/>
    </w:rPr>
  </w:style>
  <w:style w:type="character" w:customStyle="1" w:styleId="charsectno">
    <w:name w:val="charsectno"/>
    <w:basedOn w:val="DefaultParagraphFont"/>
    <w:rsid w:val="008205F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43148">
      <w:bodyDiv w:val="1"/>
      <w:marLeft w:val="0"/>
      <w:marRight w:val="0"/>
      <w:marTop w:val="0"/>
      <w:marBottom w:val="0"/>
      <w:divBdr>
        <w:top w:val="none" w:sz="0" w:space="0" w:color="auto"/>
        <w:left w:val="none" w:sz="0" w:space="0" w:color="auto"/>
        <w:bottom w:val="none" w:sz="0" w:space="0" w:color="auto"/>
        <w:right w:val="none" w:sz="0" w:space="0" w:color="auto"/>
      </w:divBdr>
    </w:div>
    <w:div w:id="18163992">
      <w:bodyDiv w:val="1"/>
      <w:marLeft w:val="0"/>
      <w:marRight w:val="0"/>
      <w:marTop w:val="0"/>
      <w:marBottom w:val="0"/>
      <w:divBdr>
        <w:top w:val="none" w:sz="0" w:space="0" w:color="auto"/>
        <w:left w:val="none" w:sz="0" w:space="0" w:color="auto"/>
        <w:bottom w:val="none" w:sz="0" w:space="0" w:color="auto"/>
        <w:right w:val="none" w:sz="0" w:space="0" w:color="auto"/>
      </w:divBdr>
    </w:div>
    <w:div w:id="36399285">
      <w:bodyDiv w:val="1"/>
      <w:marLeft w:val="0"/>
      <w:marRight w:val="0"/>
      <w:marTop w:val="0"/>
      <w:marBottom w:val="0"/>
      <w:divBdr>
        <w:top w:val="none" w:sz="0" w:space="0" w:color="auto"/>
        <w:left w:val="none" w:sz="0" w:space="0" w:color="auto"/>
        <w:bottom w:val="none" w:sz="0" w:space="0" w:color="auto"/>
        <w:right w:val="none" w:sz="0" w:space="0" w:color="auto"/>
      </w:divBdr>
    </w:div>
    <w:div w:id="173424159">
      <w:bodyDiv w:val="1"/>
      <w:marLeft w:val="0"/>
      <w:marRight w:val="0"/>
      <w:marTop w:val="0"/>
      <w:marBottom w:val="0"/>
      <w:divBdr>
        <w:top w:val="none" w:sz="0" w:space="0" w:color="auto"/>
        <w:left w:val="none" w:sz="0" w:space="0" w:color="auto"/>
        <w:bottom w:val="none" w:sz="0" w:space="0" w:color="auto"/>
        <w:right w:val="none" w:sz="0" w:space="0" w:color="auto"/>
      </w:divBdr>
    </w:div>
    <w:div w:id="227499197">
      <w:bodyDiv w:val="1"/>
      <w:marLeft w:val="0"/>
      <w:marRight w:val="0"/>
      <w:marTop w:val="0"/>
      <w:marBottom w:val="0"/>
      <w:divBdr>
        <w:top w:val="none" w:sz="0" w:space="0" w:color="auto"/>
        <w:left w:val="none" w:sz="0" w:space="0" w:color="auto"/>
        <w:bottom w:val="none" w:sz="0" w:space="0" w:color="auto"/>
        <w:right w:val="none" w:sz="0" w:space="0" w:color="auto"/>
      </w:divBdr>
    </w:div>
    <w:div w:id="245115607">
      <w:bodyDiv w:val="1"/>
      <w:marLeft w:val="0"/>
      <w:marRight w:val="0"/>
      <w:marTop w:val="0"/>
      <w:marBottom w:val="0"/>
      <w:divBdr>
        <w:top w:val="none" w:sz="0" w:space="0" w:color="auto"/>
        <w:left w:val="none" w:sz="0" w:space="0" w:color="auto"/>
        <w:bottom w:val="none" w:sz="0" w:space="0" w:color="auto"/>
        <w:right w:val="none" w:sz="0" w:space="0" w:color="auto"/>
      </w:divBdr>
    </w:div>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360741670">
      <w:bodyDiv w:val="1"/>
      <w:marLeft w:val="0"/>
      <w:marRight w:val="0"/>
      <w:marTop w:val="0"/>
      <w:marBottom w:val="0"/>
      <w:divBdr>
        <w:top w:val="none" w:sz="0" w:space="0" w:color="auto"/>
        <w:left w:val="none" w:sz="0" w:space="0" w:color="auto"/>
        <w:bottom w:val="none" w:sz="0" w:space="0" w:color="auto"/>
        <w:right w:val="none" w:sz="0" w:space="0" w:color="auto"/>
      </w:divBdr>
    </w:div>
    <w:div w:id="572202537">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645627207">
      <w:bodyDiv w:val="1"/>
      <w:marLeft w:val="0"/>
      <w:marRight w:val="0"/>
      <w:marTop w:val="0"/>
      <w:marBottom w:val="0"/>
      <w:divBdr>
        <w:top w:val="none" w:sz="0" w:space="0" w:color="auto"/>
        <w:left w:val="none" w:sz="0" w:space="0" w:color="auto"/>
        <w:bottom w:val="none" w:sz="0" w:space="0" w:color="auto"/>
        <w:right w:val="none" w:sz="0" w:space="0" w:color="auto"/>
      </w:divBdr>
    </w:div>
    <w:div w:id="777875840">
      <w:bodyDiv w:val="1"/>
      <w:marLeft w:val="0"/>
      <w:marRight w:val="0"/>
      <w:marTop w:val="0"/>
      <w:marBottom w:val="0"/>
      <w:divBdr>
        <w:top w:val="none" w:sz="0" w:space="0" w:color="auto"/>
        <w:left w:val="none" w:sz="0" w:space="0" w:color="auto"/>
        <w:bottom w:val="none" w:sz="0" w:space="0" w:color="auto"/>
        <w:right w:val="none" w:sz="0" w:space="0" w:color="auto"/>
      </w:divBdr>
    </w:div>
    <w:div w:id="951209052">
      <w:bodyDiv w:val="1"/>
      <w:marLeft w:val="0"/>
      <w:marRight w:val="0"/>
      <w:marTop w:val="0"/>
      <w:marBottom w:val="0"/>
      <w:divBdr>
        <w:top w:val="none" w:sz="0" w:space="0" w:color="auto"/>
        <w:left w:val="none" w:sz="0" w:space="0" w:color="auto"/>
        <w:bottom w:val="none" w:sz="0" w:space="0" w:color="auto"/>
        <w:right w:val="none" w:sz="0" w:space="0" w:color="auto"/>
      </w:divBdr>
    </w:div>
    <w:div w:id="1071267404">
      <w:bodyDiv w:val="1"/>
      <w:marLeft w:val="0"/>
      <w:marRight w:val="0"/>
      <w:marTop w:val="0"/>
      <w:marBottom w:val="0"/>
      <w:divBdr>
        <w:top w:val="none" w:sz="0" w:space="0" w:color="auto"/>
        <w:left w:val="none" w:sz="0" w:space="0" w:color="auto"/>
        <w:bottom w:val="none" w:sz="0" w:space="0" w:color="auto"/>
        <w:right w:val="none" w:sz="0" w:space="0" w:color="auto"/>
      </w:divBdr>
    </w:div>
    <w:div w:id="1101678634">
      <w:bodyDiv w:val="1"/>
      <w:marLeft w:val="0"/>
      <w:marRight w:val="0"/>
      <w:marTop w:val="0"/>
      <w:marBottom w:val="0"/>
      <w:divBdr>
        <w:top w:val="none" w:sz="0" w:space="0" w:color="auto"/>
        <w:left w:val="none" w:sz="0" w:space="0" w:color="auto"/>
        <w:bottom w:val="none" w:sz="0" w:space="0" w:color="auto"/>
        <w:right w:val="none" w:sz="0" w:space="0" w:color="auto"/>
      </w:divBdr>
    </w:div>
    <w:div w:id="1173951153">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17885715">
      <w:bodyDiv w:val="1"/>
      <w:marLeft w:val="0"/>
      <w:marRight w:val="0"/>
      <w:marTop w:val="0"/>
      <w:marBottom w:val="0"/>
      <w:divBdr>
        <w:top w:val="none" w:sz="0" w:space="0" w:color="auto"/>
        <w:left w:val="none" w:sz="0" w:space="0" w:color="auto"/>
        <w:bottom w:val="none" w:sz="0" w:space="0" w:color="auto"/>
        <w:right w:val="none" w:sz="0" w:space="0" w:color="auto"/>
      </w:divBdr>
    </w:div>
    <w:div w:id="1537112922">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720739757">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acma.gov.au/consultations/2019-08/optimising-3400-3575-mhz-band-consultation-122019" TargetMode="External"/><Relationship Id="rId21" Type="http://schemas.openxmlformats.org/officeDocument/2006/relationships/footer" Target="footer4.xml"/><Relationship Id="rId42" Type="http://schemas.openxmlformats.org/officeDocument/2006/relationships/hyperlink" Target="https://www.acma.gov.au/consultations/2023-06/allocation-area-wide-apparatus-licences-38-ghz-band" TargetMode="External"/><Relationship Id="rId47" Type="http://schemas.openxmlformats.org/officeDocument/2006/relationships/hyperlink" Target="https://www.acma.gov.au/fees-apparatus-licences" TargetMode="External"/><Relationship Id="rId63" Type="http://schemas.openxmlformats.org/officeDocument/2006/relationships/hyperlink" Target="https://www.acma.gov.au/convert-hcis-area-description-placemark-0" TargetMode="External"/><Relationship Id="rId68" Type="http://schemas.openxmlformats.org/officeDocument/2006/relationships/image" Target="media/image12.jpeg"/><Relationship Id="rId16" Type="http://schemas.openxmlformats.org/officeDocument/2006/relationships/header" Target="header4.xml"/><Relationship Id="rId11" Type="http://schemas.openxmlformats.org/officeDocument/2006/relationships/hyperlink" Target="http://i.creativecommons.org/l/by/3.0/88x31.png" TargetMode="External"/><Relationship Id="rId24" Type="http://schemas.openxmlformats.org/officeDocument/2006/relationships/hyperlink" Target="https://www.acma.gov.au/consultations/2022-03/proposed-spectrum-re-allocation-declaration-34-ghz-and-37-ghz-bands-ifc-102022" TargetMode="External"/><Relationship Id="rId32" Type="http://schemas.openxmlformats.org/officeDocument/2006/relationships/hyperlink" Target="https://www.acma.gov.au/consultations/2021-08/planning-wireless-broadband-use-urban-areas-3400-3475-mhz-band-consultation-312021" TargetMode="External"/><Relationship Id="rId37" Type="http://schemas.openxmlformats.org/officeDocument/2006/relationships/hyperlink" Target="https://www.ofcom.org.uk/__data/assets/pdf_file/0017/272051/Consultation-Shared-Access-Licence.pdf" TargetMode="External"/><Relationship Id="rId40" Type="http://schemas.openxmlformats.org/officeDocument/2006/relationships/hyperlink" Target="https://cept.org/ecc/groups/ecc/ecc-pt1/client/meeting-documents" TargetMode="External"/><Relationship Id="rId45" Type="http://schemas.openxmlformats.org/officeDocument/2006/relationships/hyperlink" Target="https://www.acma.gov.au/consultations/2023-06/allocation-area-wide-apparatus-licences-38-ghz-band" TargetMode="External"/><Relationship Id="rId53" Type="http://schemas.openxmlformats.org/officeDocument/2006/relationships/hyperlink" Target="https://www.acma.gov.au/publications/2019-08/instruction/frequency-coordination-procedures-earth-station-protection-zones" TargetMode="External"/><Relationship Id="rId58" Type="http://schemas.openxmlformats.org/officeDocument/2006/relationships/hyperlink" Target="https://www.acma.gov.au/5g-and-aviation-services-australia" TargetMode="External"/><Relationship Id="rId66" Type="http://schemas.openxmlformats.org/officeDocument/2006/relationships/image" Target="media/image10.png"/><Relationship Id="rId74" Type="http://schemas.openxmlformats.org/officeDocument/2006/relationships/header" Target="header7.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8.png"/><Relationship Id="rId19" Type="http://schemas.openxmlformats.org/officeDocument/2006/relationships/header" Target="header5.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s://www.acma.gov.au/sites/default/files/2021-08/2021%203.4%20GHz%20TLG%20package.zip" TargetMode="External"/><Relationship Id="rId30" Type="http://schemas.openxmlformats.org/officeDocument/2006/relationships/image" Target="media/image4.emf"/><Relationship Id="rId35" Type="http://schemas.openxmlformats.org/officeDocument/2006/relationships/hyperlink" Target="https://view.officeapps.live.com/op/view.aspx?src=https%3A%2F%2Fwww.acma.gov.au%2Fsites%2Fdefault%2Ffiles%2F2021-08%2FPlanning%2520for%2520wireless%2520broadband%2520use%2520of%2520urban%2520areas%2520in%2520the%25203400-3475%2520MHz%2520band%2520-%2520options%2520paper.docx&amp;wdOrigin=BROWSELINK" TargetMode="External"/><Relationship Id="rId43" Type="http://schemas.openxmlformats.org/officeDocument/2006/relationships/hyperlink" Target="https://www.acma.gov.au/australian-spectrum-map-grid" TargetMode="External"/><Relationship Id="rId48" Type="http://schemas.openxmlformats.org/officeDocument/2006/relationships/image" Target="media/image6.png"/><Relationship Id="rId56" Type="http://schemas.openxmlformats.org/officeDocument/2006/relationships/hyperlink" Target="https://www.legislation.gov.au/Series/F2020L00070" TargetMode="External"/><Relationship Id="rId64" Type="http://schemas.openxmlformats.org/officeDocument/2006/relationships/hyperlink" Target="https://acma.gov.au/convert-hcis-area-description-placemark-0" TargetMode="External"/><Relationship Id="rId69" Type="http://schemas.openxmlformats.org/officeDocument/2006/relationships/image" Target="media/image13.jpeg"/><Relationship Id="rId77" Type="http://schemas.openxmlformats.org/officeDocument/2006/relationships/footer" Target="footer8.xml"/><Relationship Id="rId8" Type="http://schemas.openxmlformats.org/officeDocument/2006/relationships/header" Target="header1.xml"/><Relationship Id="rId51" Type="http://schemas.openxmlformats.org/officeDocument/2006/relationships/hyperlink" Target="https://www.acma.gov.au/australian-radiofrequency-spectrum-plan" TargetMode="External"/><Relationship Id="rId72" Type="http://schemas.openxmlformats.org/officeDocument/2006/relationships/hyperlink" Target="https://www.legislation.gov.au/Details/F2014L01399"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acma.gov.au/spectrum-licence-technical-liaison-groups" TargetMode="External"/><Relationship Id="rId33" Type="http://schemas.openxmlformats.org/officeDocument/2006/relationships/hyperlink" Target="https://www.acma.gov.au/consultations/2022-03/proposed-spectrum-re-allocation-declaration-34-ghz-and-37-ghz-bands-ifc-102022" TargetMode="External"/><Relationship Id="rId38" Type="http://schemas.openxmlformats.org/officeDocument/2006/relationships/hyperlink" Target="https://www.acma.gov.au/sites/default/files/2023-06/Wireless%20broadband%20and%20radio%20altimeters%20coexistence_Outcomes%20paper.pdf" TargetMode="External"/><Relationship Id="rId46" Type="http://schemas.openxmlformats.org/officeDocument/2006/relationships/hyperlink" Target="https://www.acma.gov.au/consultations/2023-06/allocation-area-wide-apparatus-licences-38-ghz-band" TargetMode="External"/><Relationship Id="rId59" Type="http://schemas.openxmlformats.org/officeDocument/2006/relationships/hyperlink" Target="https://cept.org/files/9522/Draft-CEPT-Report-088.docx" TargetMode="External"/><Relationship Id="rId67" Type="http://schemas.openxmlformats.org/officeDocument/2006/relationships/image" Target="media/image11.jpeg"/><Relationship Id="rId20" Type="http://schemas.openxmlformats.org/officeDocument/2006/relationships/header" Target="header6.xml"/><Relationship Id="rId41" Type="http://schemas.openxmlformats.org/officeDocument/2006/relationships/image" Target="media/image5.png"/><Relationship Id="rId54" Type="http://schemas.openxmlformats.org/officeDocument/2006/relationships/hyperlink" Target="https://www.legislation.gov.au/Details/F2018C00558" TargetMode="External"/><Relationship Id="rId62" Type="http://schemas.openxmlformats.org/officeDocument/2006/relationships/hyperlink" Target="https://www.acma.gov.au/australian-spectrum-map-grid" TargetMode="External"/><Relationship Id="rId70" Type="http://schemas.openxmlformats.org/officeDocument/2006/relationships/image" Target="media/image14.jpeg"/><Relationship Id="rId75"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s://www.acma.gov.au/consultations/2021-08/planning-wireless-broadband-use-urban-areas-3400-3475-mhz-band-consultation-312021" TargetMode="External"/><Relationship Id="rId36" Type="http://schemas.openxmlformats.org/officeDocument/2006/relationships/hyperlink" Target="https://web.acma.gov.au/rrl/licence_image.extract_pdf?pLICENCE_NO=10917464" TargetMode="External"/><Relationship Id="rId49" Type="http://schemas.openxmlformats.org/officeDocument/2006/relationships/hyperlink" Target="https://www.legislation.gov.au/Series/F2015L01430" TargetMode="External"/><Relationship Id="rId57" Type="http://schemas.openxmlformats.org/officeDocument/2006/relationships/hyperlink" Target="https://www.legislation.gov.au/Details/F2021C00648" TargetMode="External"/><Relationship Id="rId10" Type="http://schemas.openxmlformats.org/officeDocument/2006/relationships/header" Target="header2.xml"/><Relationship Id="rId31" Type="http://schemas.openxmlformats.org/officeDocument/2006/relationships/hyperlink" Target="https://www.acma.gov.au/sites/default/files/2021-08/2021%203.4%20GHz%20TLG%20package.zip" TargetMode="External"/><Relationship Id="rId44" Type="http://schemas.openxmlformats.org/officeDocument/2006/relationships/hyperlink" Target="https://www.legislation.gov.au/Details/F2023C00725" TargetMode="External"/><Relationship Id="rId52" Type="http://schemas.openxmlformats.org/officeDocument/2006/relationships/hyperlink" Target="https://www.legislation.gov.au/F2015L00729/latest/versions" TargetMode="External"/><Relationship Id="rId60" Type="http://schemas.openxmlformats.org/officeDocument/2006/relationships/image" Target="media/image7.png"/><Relationship Id="rId65" Type="http://schemas.openxmlformats.org/officeDocument/2006/relationships/image" Target="media/image9.jpeg"/><Relationship Id="rId73" Type="http://schemas.openxmlformats.org/officeDocument/2006/relationships/hyperlink" Target="https://www.acma.gov.au/consultations/2019-08/optimising-3400-3575-mhz-band-consultation-122019"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creativecommons.org/licenses/by/4.0/" TargetMode="External"/><Relationship Id="rId18" Type="http://schemas.openxmlformats.org/officeDocument/2006/relationships/footer" Target="footer3.xml"/><Relationship Id="rId39" Type="http://schemas.openxmlformats.org/officeDocument/2006/relationships/hyperlink" Target="https://www.acma.gov.au/consultations/2023-06/allocation-area-wide-apparatus-licences-38-ghz-band" TargetMode="External"/><Relationship Id="rId34" Type="http://schemas.openxmlformats.org/officeDocument/2006/relationships/hyperlink" Target="https://view.officeapps.live.com/op/view.aspx?src=https%3A%2F%2Fwww.acma.gov.au%2Fsites%2Fdefault%2Ffiles%2F2021-08%2FPlanning%2520for%2520wireless%2520broadband%2520use%2520of%2520urban%2520areas%2520in%2520the%25203400-3475%2520MHz%2520band%2520-%2520options%2520paper.docx&amp;wdOrigin=BROWSELINK" TargetMode="External"/><Relationship Id="rId50" Type="http://schemas.openxmlformats.org/officeDocument/2006/relationships/hyperlink" Target="https://www.legislation.gov.au/Series/F2015L01113" TargetMode="External"/><Relationship Id="rId55" Type="http://schemas.openxmlformats.org/officeDocument/2006/relationships/hyperlink" Target="https://www.legislation.gov.au/Details/F2018C00558" TargetMode="External"/><Relationship Id="rId76" Type="http://schemas.openxmlformats.org/officeDocument/2006/relationships/footer" Target="footer7.xml"/><Relationship Id="rId7" Type="http://schemas.openxmlformats.org/officeDocument/2006/relationships/endnotes" Target="endnotes.xml"/><Relationship Id="rId71" Type="http://schemas.openxmlformats.org/officeDocument/2006/relationships/image" Target="media/image15.png"/><Relationship Id="rId2" Type="http://schemas.openxmlformats.org/officeDocument/2006/relationships/numbering" Target="numbering.xml"/><Relationship Id="rId29" Type="http://schemas.openxmlformats.org/officeDocument/2006/relationships/hyperlink" Target="https://www.acma.gov.au/consultations/2022-03/proposed-spectrum-re-allocation-declaration-34-ghz-and-37-ghz-bands-ifc-102022"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www.legislation.gov.au/Details/F2023C00524" TargetMode="External"/><Relationship Id="rId1" Type="http://schemas.openxmlformats.org/officeDocument/2006/relationships/hyperlink" Target="https://www.legislation.gov.au/Details/F2023C00524"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F8262-1C21-46BC-9DE5-9254E2ABE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21365</Words>
  <Characters>110033</Characters>
  <Application>Microsoft Office Word</Application>
  <DocSecurity>0</DocSecurity>
  <Lines>2558</Lines>
  <Paragraphs>1194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130204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2024-10-10T00:40:00Z</dcterms:created>
  <dcterms:modified xsi:type="dcterms:W3CDTF">2024-10-10T00:40:00Z</dcterms:modified>
  <cp:category/>
</cp:coreProperties>
</file>