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5C05" w14:textId="4CCB0AF0" w:rsidR="00A950D4" w:rsidRDefault="00A950D4" w:rsidP="00A950D4">
      <w:pPr>
        <w:pStyle w:val="Reporttitle"/>
      </w:pPr>
      <w:r>
        <w:t xml:space="preserve">Proposal to make the Telecommunications (Customer Communications for Outages) </w:t>
      </w:r>
      <w:r w:rsidR="00E63A64">
        <w:br/>
      </w:r>
      <w:r>
        <w:t>Industry Standard 2024</w:t>
      </w:r>
    </w:p>
    <w:p w14:paraId="0E5A7172" w14:textId="3833D977" w:rsidR="00F06E14" w:rsidRPr="00A17B1B" w:rsidRDefault="00ED1769" w:rsidP="00F06E14">
      <w:pPr>
        <w:pStyle w:val="Reportsubtitle"/>
      </w:pPr>
      <w:r>
        <w:t>Consultation</w:t>
      </w:r>
      <w:r w:rsidR="00BD4421" w:rsidRPr="00A17B1B">
        <w:t xml:space="preserve"> </w:t>
      </w:r>
      <w:r w:rsidR="00A950D4">
        <w:t>paper</w:t>
      </w:r>
    </w:p>
    <w:p w14:paraId="3EBEEA6C" w14:textId="061EF6BE" w:rsidR="00C97736" w:rsidRPr="00A17B1B" w:rsidRDefault="007031FA" w:rsidP="00EC2B68">
      <w:pPr>
        <w:pStyle w:val="Reportdate"/>
        <w:spacing w:after="720"/>
        <w:rPr>
          <w:rFonts w:cs="Arial"/>
        </w:rPr>
        <w:sectPr w:rsidR="00C97736" w:rsidRPr="00A17B1B"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r>
        <w:t>SePTEMBER</w:t>
      </w:r>
      <w:r w:rsidR="00BD4421" w:rsidRPr="00A17B1B">
        <w:t xml:space="preserve"> 20</w:t>
      </w:r>
      <w:r w:rsidR="000971BD" w:rsidRPr="00A17B1B">
        <w:t>2</w:t>
      </w:r>
      <w:r w:rsidR="00306491">
        <w:t>4</w:t>
      </w:r>
    </w:p>
    <w:p w14:paraId="3D33FA11" w14:textId="77777777" w:rsidR="00284A74" w:rsidRPr="00A17B1B" w:rsidRDefault="00284A74" w:rsidP="00284A74">
      <w:pPr>
        <w:pStyle w:val="ACMACorporateAddressHeader"/>
      </w:pPr>
      <w:r w:rsidRPr="00A17B1B">
        <w:lastRenderedPageBreak/>
        <w:t>Canberra</w:t>
      </w:r>
    </w:p>
    <w:p w14:paraId="0E0D26EF"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299B609D" w14:textId="77777777" w:rsidR="00284A74" w:rsidRPr="00A17B1B" w:rsidRDefault="00284A74" w:rsidP="00284A74">
      <w:pPr>
        <w:pStyle w:val="ACMACorporateAddresses"/>
      </w:pPr>
      <w:r w:rsidRPr="00A17B1B">
        <w:t>PO Box 78</w:t>
      </w:r>
      <w:r w:rsidRPr="00A17B1B">
        <w:br/>
        <w:t>Belconnen ACT 2616</w:t>
      </w:r>
    </w:p>
    <w:p w14:paraId="48D62CF1"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5B870572" w14:textId="77777777" w:rsidR="00284A74" w:rsidRPr="00A17B1B" w:rsidRDefault="00284A74" w:rsidP="00284A74">
      <w:pPr>
        <w:pStyle w:val="ACMACorporateAddressHeader"/>
      </w:pPr>
      <w:r w:rsidRPr="00A17B1B">
        <w:t>Melbourne</w:t>
      </w:r>
    </w:p>
    <w:p w14:paraId="65E8D5D5"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30602A0A"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74399D6B"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6158FF44" w14:textId="77777777" w:rsidR="00284A74" w:rsidRPr="00A17B1B" w:rsidRDefault="00284A74" w:rsidP="00284A74">
      <w:pPr>
        <w:pStyle w:val="ACMACorporateAddressHeader"/>
      </w:pPr>
      <w:r w:rsidRPr="00A17B1B">
        <w:t>Sydney</w:t>
      </w:r>
    </w:p>
    <w:p w14:paraId="2E45B509"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433EF23C"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60DFCB13"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047E8B98" w14:textId="77777777" w:rsidR="00284A74" w:rsidRPr="00A17B1B" w:rsidRDefault="00284A74" w:rsidP="005A62E5">
      <w:pPr>
        <w:pStyle w:val="ACMACopyrightHeader"/>
        <w:spacing w:before="4200"/>
      </w:pPr>
      <w:r w:rsidRPr="00A17B1B">
        <w:t>Copyright notice</w:t>
      </w:r>
    </w:p>
    <w:p w14:paraId="05BE0B15" w14:textId="77777777" w:rsidR="00284A74" w:rsidRPr="00A17B1B" w:rsidRDefault="00284A74" w:rsidP="00284A74">
      <w:pPr>
        <w:pStyle w:val="ACMACClogo"/>
      </w:pPr>
      <w:r w:rsidRPr="00A17B1B">
        <w:rPr>
          <w:noProof/>
        </w:rPr>
        <w:drawing>
          <wp:inline distT="0" distB="0" distL="0" distR="0" wp14:anchorId="6BD5A144" wp14:editId="7D988C6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6BBD555" w14:textId="77777777" w:rsidR="00284A74" w:rsidRPr="00A17B1B" w:rsidRDefault="00761185" w:rsidP="00284A74">
      <w:pPr>
        <w:pStyle w:val="ACMACorporateAddresses"/>
        <w:rPr>
          <w:rStyle w:val="Hyperlink"/>
        </w:rPr>
      </w:pPr>
      <w:hyperlink r:id="rId13" w:history="1">
        <w:r w:rsidR="00284A74" w:rsidRPr="00A17B1B">
          <w:rPr>
            <w:rStyle w:val="Hyperlink"/>
          </w:rPr>
          <w:t>https://creativecommons.org/licenses/by/4.0/</w:t>
        </w:r>
      </w:hyperlink>
    </w:p>
    <w:p w14:paraId="4EF3FA44"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00D4DB1F" w14:textId="77777777" w:rsidR="00AA1F0B" w:rsidRPr="00E162C4" w:rsidRDefault="00AA1F0B" w:rsidP="00AA1F0B">
      <w:pPr>
        <w:pStyle w:val="ACMACorporateAddresses"/>
      </w:pPr>
      <w:r w:rsidRPr="00E162C4">
        <w:t>All other rights are reserved.</w:t>
      </w:r>
    </w:p>
    <w:p w14:paraId="00E6F4A1"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37437917"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328939F6"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53CE77A6" w14:textId="1CC28059" w:rsidR="005C5592" w:rsidRDefault="00DF0799">
      <w:pPr>
        <w:pStyle w:val="TOC1"/>
        <w:rPr>
          <w:rFonts w:asciiTheme="minorHAnsi" w:eastAsiaTheme="minorEastAsia" w:hAnsiTheme="minorHAnsi" w:cstheme="minorBidi"/>
          <w:b w:val="0"/>
          <w:spacing w:val="0"/>
          <w:kern w:val="2"/>
          <w:sz w:val="22"/>
          <w:szCs w:val="22"/>
          <w14:ligatures w14:val="standardContextual"/>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77387610" w:history="1">
        <w:r w:rsidR="005C5592" w:rsidRPr="00AC24D0">
          <w:rPr>
            <w:rStyle w:val="Hyperlink"/>
          </w:rPr>
          <w:t>Executive summary</w:t>
        </w:r>
        <w:r w:rsidR="005C5592">
          <w:rPr>
            <w:webHidden/>
          </w:rPr>
          <w:tab/>
        </w:r>
        <w:r w:rsidR="005C5592">
          <w:rPr>
            <w:webHidden/>
          </w:rPr>
          <w:fldChar w:fldCharType="begin"/>
        </w:r>
        <w:r w:rsidR="005C5592">
          <w:rPr>
            <w:webHidden/>
          </w:rPr>
          <w:instrText xml:space="preserve"> PAGEREF _Toc177387610 \h </w:instrText>
        </w:r>
        <w:r w:rsidR="005C5592">
          <w:rPr>
            <w:webHidden/>
          </w:rPr>
        </w:r>
        <w:r w:rsidR="005C5592">
          <w:rPr>
            <w:webHidden/>
          </w:rPr>
          <w:fldChar w:fldCharType="separate"/>
        </w:r>
        <w:r w:rsidR="005C5592">
          <w:rPr>
            <w:webHidden/>
          </w:rPr>
          <w:t>1</w:t>
        </w:r>
        <w:r w:rsidR="005C5592">
          <w:rPr>
            <w:webHidden/>
          </w:rPr>
          <w:fldChar w:fldCharType="end"/>
        </w:r>
      </w:hyperlink>
    </w:p>
    <w:p w14:paraId="32D101F5" w14:textId="37EDC8D3" w:rsidR="005C5592" w:rsidRDefault="00761185">
      <w:pPr>
        <w:pStyle w:val="TOC1"/>
        <w:rPr>
          <w:rFonts w:asciiTheme="minorHAnsi" w:eastAsiaTheme="minorEastAsia" w:hAnsiTheme="minorHAnsi" w:cstheme="minorBidi"/>
          <w:b w:val="0"/>
          <w:spacing w:val="0"/>
          <w:kern w:val="2"/>
          <w:sz w:val="22"/>
          <w:szCs w:val="22"/>
          <w14:ligatures w14:val="standardContextual"/>
        </w:rPr>
      </w:pPr>
      <w:hyperlink w:anchor="_Toc177387611" w:history="1">
        <w:r w:rsidR="005C5592" w:rsidRPr="00AC24D0">
          <w:rPr>
            <w:rStyle w:val="Hyperlink"/>
          </w:rPr>
          <w:t>Issues for comment</w:t>
        </w:r>
        <w:r w:rsidR="005C5592">
          <w:rPr>
            <w:webHidden/>
          </w:rPr>
          <w:tab/>
        </w:r>
        <w:r w:rsidR="005C5592">
          <w:rPr>
            <w:webHidden/>
          </w:rPr>
          <w:fldChar w:fldCharType="begin"/>
        </w:r>
        <w:r w:rsidR="005C5592">
          <w:rPr>
            <w:webHidden/>
          </w:rPr>
          <w:instrText xml:space="preserve"> PAGEREF _Toc177387611 \h </w:instrText>
        </w:r>
        <w:r w:rsidR="005C5592">
          <w:rPr>
            <w:webHidden/>
          </w:rPr>
        </w:r>
        <w:r w:rsidR="005C5592">
          <w:rPr>
            <w:webHidden/>
          </w:rPr>
          <w:fldChar w:fldCharType="separate"/>
        </w:r>
        <w:r w:rsidR="005C5592">
          <w:rPr>
            <w:webHidden/>
          </w:rPr>
          <w:t>2</w:t>
        </w:r>
        <w:r w:rsidR="005C5592">
          <w:rPr>
            <w:webHidden/>
          </w:rPr>
          <w:fldChar w:fldCharType="end"/>
        </w:r>
      </w:hyperlink>
    </w:p>
    <w:p w14:paraId="1744E800" w14:textId="21F95C16" w:rsidR="005C5592" w:rsidRDefault="00761185">
      <w:pPr>
        <w:pStyle w:val="TOC3"/>
        <w:tabs>
          <w:tab w:val="left" w:pos="885"/>
        </w:tabs>
        <w:rPr>
          <w:rFonts w:asciiTheme="minorHAnsi" w:eastAsiaTheme="minorEastAsia" w:hAnsiTheme="minorHAnsi" w:cstheme="minorBidi"/>
          <w:kern w:val="2"/>
          <w14:ligatures w14:val="standardContextual"/>
        </w:rPr>
      </w:pPr>
      <w:hyperlink w:anchor="_Toc177387612" w:history="1">
        <w:r w:rsidR="005C5592" w:rsidRPr="00AC24D0">
          <w:rPr>
            <w:rStyle w:val="Hyperlink"/>
          </w:rPr>
          <w:t>1.</w:t>
        </w:r>
        <w:r w:rsidR="005C5592">
          <w:rPr>
            <w:rFonts w:asciiTheme="minorHAnsi" w:eastAsiaTheme="minorEastAsia" w:hAnsiTheme="minorHAnsi" w:cstheme="minorBidi"/>
            <w:kern w:val="2"/>
            <w14:ligatures w14:val="standardContextual"/>
          </w:rPr>
          <w:tab/>
        </w:r>
        <w:r w:rsidR="005C5592" w:rsidRPr="00AC24D0">
          <w:rPr>
            <w:rStyle w:val="Hyperlink"/>
          </w:rPr>
          <w:t>Objectives and requirements of the direction</w:t>
        </w:r>
        <w:r w:rsidR="005C5592">
          <w:rPr>
            <w:webHidden/>
          </w:rPr>
          <w:tab/>
        </w:r>
        <w:r w:rsidR="005C5592">
          <w:rPr>
            <w:webHidden/>
          </w:rPr>
          <w:fldChar w:fldCharType="begin"/>
        </w:r>
        <w:r w:rsidR="005C5592">
          <w:rPr>
            <w:webHidden/>
          </w:rPr>
          <w:instrText xml:space="preserve"> PAGEREF _Toc177387612 \h </w:instrText>
        </w:r>
        <w:r w:rsidR="005C5592">
          <w:rPr>
            <w:webHidden/>
          </w:rPr>
        </w:r>
        <w:r w:rsidR="005C5592">
          <w:rPr>
            <w:webHidden/>
          </w:rPr>
          <w:fldChar w:fldCharType="separate"/>
        </w:r>
        <w:r w:rsidR="005C5592">
          <w:rPr>
            <w:webHidden/>
          </w:rPr>
          <w:t>2</w:t>
        </w:r>
        <w:r w:rsidR="005C5592">
          <w:rPr>
            <w:webHidden/>
          </w:rPr>
          <w:fldChar w:fldCharType="end"/>
        </w:r>
      </w:hyperlink>
    </w:p>
    <w:p w14:paraId="4985133A" w14:textId="7019C3D6" w:rsidR="005C5592" w:rsidRDefault="00761185">
      <w:pPr>
        <w:pStyle w:val="TOC3"/>
        <w:tabs>
          <w:tab w:val="left" w:pos="885"/>
        </w:tabs>
        <w:rPr>
          <w:rFonts w:asciiTheme="minorHAnsi" w:eastAsiaTheme="minorEastAsia" w:hAnsiTheme="minorHAnsi" w:cstheme="minorBidi"/>
          <w:kern w:val="2"/>
          <w14:ligatures w14:val="standardContextual"/>
        </w:rPr>
      </w:pPr>
      <w:hyperlink w:anchor="_Toc177387613" w:history="1">
        <w:r w:rsidR="005C5592" w:rsidRPr="00AC24D0">
          <w:rPr>
            <w:rStyle w:val="Hyperlink"/>
          </w:rPr>
          <w:t>2.</w:t>
        </w:r>
        <w:r w:rsidR="005C5592">
          <w:rPr>
            <w:rFonts w:asciiTheme="minorHAnsi" w:eastAsiaTheme="minorEastAsia" w:hAnsiTheme="minorHAnsi" w:cstheme="minorBidi"/>
            <w:kern w:val="2"/>
            <w14:ligatures w14:val="standardContextual"/>
          </w:rPr>
          <w:tab/>
        </w:r>
        <w:r w:rsidR="005C5592" w:rsidRPr="00AC24D0">
          <w:rPr>
            <w:rStyle w:val="Hyperlink"/>
          </w:rPr>
          <w:t>Definition of a major outage and a significant local outage</w:t>
        </w:r>
        <w:r w:rsidR="005C5592">
          <w:rPr>
            <w:webHidden/>
          </w:rPr>
          <w:tab/>
        </w:r>
        <w:r w:rsidR="005C5592">
          <w:rPr>
            <w:webHidden/>
          </w:rPr>
          <w:fldChar w:fldCharType="begin"/>
        </w:r>
        <w:r w:rsidR="005C5592">
          <w:rPr>
            <w:webHidden/>
          </w:rPr>
          <w:instrText xml:space="preserve"> PAGEREF _Toc177387613 \h </w:instrText>
        </w:r>
        <w:r w:rsidR="005C5592">
          <w:rPr>
            <w:webHidden/>
          </w:rPr>
        </w:r>
        <w:r w:rsidR="005C5592">
          <w:rPr>
            <w:webHidden/>
          </w:rPr>
          <w:fldChar w:fldCharType="separate"/>
        </w:r>
        <w:r w:rsidR="005C5592">
          <w:rPr>
            <w:webHidden/>
          </w:rPr>
          <w:t>2</w:t>
        </w:r>
        <w:r w:rsidR="005C5592">
          <w:rPr>
            <w:webHidden/>
          </w:rPr>
          <w:fldChar w:fldCharType="end"/>
        </w:r>
      </w:hyperlink>
    </w:p>
    <w:p w14:paraId="113F8000" w14:textId="5AF0AC05" w:rsidR="005C5592" w:rsidRDefault="00761185">
      <w:pPr>
        <w:pStyle w:val="TOC3"/>
        <w:tabs>
          <w:tab w:val="left" w:pos="885"/>
        </w:tabs>
        <w:rPr>
          <w:rFonts w:asciiTheme="minorHAnsi" w:eastAsiaTheme="minorEastAsia" w:hAnsiTheme="minorHAnsi" w:cstheme="minorBidi"/>
          <w:kern w:val="2"/>
          <w14:ligatures w14:val="standardContextual"/>
        </w:rPr>
      </w:pPr>
      <w:hyperlink w:anchor="_Toc177387614" w:history="1">
        <w:r w:rsidR="005C5592" w:rsidRPr="00AC24D0">
          <w:rPr>
            <w:rStyle w:val="Hyperlink"/>
          </w:rPr>
          <w:t>3.</w:t>
        </w:r>
        <w:r w:rsidR="005C5592">
          <w:rPr>
            <w:rFonts w:asciiTheme="minorHAnsi" w:eastAsiaTheme="minorEastAsia" w:hAnsiTheme="minorHAnsi" w:cstheme="minorBidi"/>
            <w:kern w:val="2"/>
            <w14:ligatures w14:val="standardContextual"/>
          </w:rPr>
          <w:tab/>
        </w:r>
        <w:r w:rsidR="005C5592" w:rsidRPr="00AC24D0">
          <w:rPr>
            <w:rStyle w:val="Hyperlink"/>
          </w:rPr>
          <w:t>Exemptions for certain carriers and carriage service providers</w:t>
        </w:r>
        <w:r w:rsidR="005C5592">
          <w:rPr>
            <w:webHidden/>
          </w:rPr>
          <w:tab/>
        </w:r>
        <w:r w:rsidR="005C5592">
          <w:rPr>
            <w:webHidden/>
          </w:rPr>
          <w:fldChar w:fldCharType="begin"/>
        </w:r>
        <w:r w:rsidR="005C5592">
          <w:rPr>
            <w:webHidden/>
          </w:rPr>
          <w:instrText xml:space="preserve"> PAGEREF _Toc177387614 \h </w:instrText>
        </w:r>
        <w:r w:rsidR="005C5592">
          <w:rPr>
            <w:webHidden/>
          </w:rPr>
        </w:r>
        <w:r w:rsidR="005C5592">
          <w:rPr>
            <w:webHidden/>
          </w:rPr>
          <w:fldChar w:fldCharType="separate"/>
        </w:r>
        <w:r w:rsidR="005C5592">
          <w:rPr>
            <w:webHidden/>
          </w:rPr>
          <w:t>2</w:t>
        </w:r>
        <w:r w:rsidR="005C5592">
          <w:rPr>
            <w:webHidden/>
          </w:rPr>
          <w:fldChar w:fldCharType="end"/>
        </w:r>
      </w:hyperlink>
    </w:p>
    <w:p w14:paraId="4C1E3101" w14:textId="28ED0C71" w:rsidR="005C5592" w:rsidRDefault="00761185">
      <w:pPr>
        <w:pStyle w:val="TOC3"/>
        <w:tabs>
          <w:tab w:val="left" w:pos="885"/>
        </w:tabs>
        <w:rPr>
          <w:rFonts w:asciiTheme="minorHAnsi" w:eastAsiaTheme="minorEastAsia" w:hAnsiTheme="minorHAnsi" w:cstheme="minorBidi"/>
          <w:kern w:val="2"/>
          <w14:ligatures w14:val="standardContextual"/>
        </w:rPr>
      </w:pPr>
      <w:hyperlink w:anchor="_Toc177387615" w:history="1">
        <w:r w:rsidR="005C5592" w:rsidRPr="00AC24D0">
          <w:rPr>
            <w:rStyle w:val="Hyperlink"/>
          </w:rPr>
          <w:t>4.</w:t>
        </w:r>
        <w:r w:rsidR="005C5592">
          <w:rPr>
            <w:rFonts w:asciiTheme="minorHAnsi" w:eastAsiaTheme="minorEastAsia" w:hAnsiTheme="minorHAnsi" w:cstheme="minorBidi"/>
            <w:kern w:val="2"/>
            <w14:ligatures w14:val="standardContextual"/>
          </w:rPr>
          <w:tab/>
        </w:r>
        <w:r w:rsidR="005C5592" w:rsidRPr="00AC24D0">
          <w:rPr>
            <w:rStyle w:val="Hyperlink"/>
          </w:rPr>
          <w:t>Different classes of customers</w:t>
        </w:r>
        <w:r w:rsidR="005C5592">
          <w:rPr>
            <w:webHidden/>
          </w:rPr>
          <w:tab/>
        </w:r>
        <w:r w:rsidR="005C5592">
          <w:rPr>
            <w:webHidden/>
          </w:rPr>
          <w:fldChar w:fldCharType="begin"/>
        </w:r>
        <w:r w:rsidR="005C5592">
          <w:rPr>
            <w:webHidden/>
          </w:rPr>
          <w:instrText xml:space="preserve"> PAGEREF _Toc177387615 \h </w:instrText>
        </w:r>
        <w:r w:rsidR="005C5592">
          <w:rPr>
            <w:webHidden/>
          </w:rPr>
        </w:r>
        <w:r w:rsidR="005C5592">
          <w:rPr>
            <w:webHidden/>
          </w:rPr>
          <w:fldChar w:fldCharType="separate"/>
        </w:r>
        <w:r w:rsidR="005C5592">
          <w:rPr>
            <w:webHidden/>
          </w:rPr>
          <w:t>3</w:t>
        </w:r>
        <w:r w:rsidR="005C5592">
          <w:rPr>
            <w:webHidden/>
          </w:rPr>
          <w:fldChar w:fldCharType="end"/>
        </w:r>
      </w:hyperlink>
    </w:p>
    <w:p w14:paraId="3D4AC543" w14:textId="47F7441F" w:rsidR="005C5592" w:rsidRDefault="00761185">
      <w:pPr>
        <w:pStyle w:val="TOC3"/>
        <w:tabs>
          <w:tab w:val="left" w:pos="885"/>
        </w:tabs>
        <w:rPr>
          <w:rFonts w:asciiTheme="minorHAnsi" w:eastAsiaTheme="minorEastAsia" w:hAnsiTheme="minorHAnsi" w:cstheme="minorBidi"/>
          <w:kern w:val="2"/>
          <w14:ligatures w14:val="standardContextual"/>
        </w:rPr>
      </w:pPr>
      <w:hyperlink w:anchor="_Toc177387616" w:history="1">
        <w:r w:rsidR="005C5592" w:rsidRPr="00AC24D0">
          <w:rPr>
            <w:rStyle w:val="Hyperlink"/>
          </w:rPr>
          <w:t>5.</w:t>
        </w:r>
        <w:r w:rsidR="005C5592">
          <w:rPr>
            <w:rFonts w:asciiTheme="minorHAnsi" w:eastAsiaTheme="minorEastAsia" w:hAnsiTheme="minorHAnsi" w:cstheme="minorBidi"/>
            <w:kern w:val="2"/>
            <w14:ligatures w14:val="standardContextual"/>
          </w:rPr>
          <w:tab/>
        </w:r>
        <w:r w:rsidR="005C5592" w:rsidRPr="00AC24D0">
          <w:rPr>
            <w:rStyle w:val="Hyperlink"/>
          </w:rPr>
          <w:t>Feasibility and cost</w:t>
        </w:r>
        <w:r w:rsidR="005C5592">
          <w:rPr>
            <w:webHidden/>
          </w:rPr>
          <w:tab/>
        </w:r>
        <w:r w:rsidR="005C5592">
          <w:rPr>
            <w:webHidden/>
          </w:rPr>
          <w:fldChar w:fldCharType="begin"/>
        </w:r>
        <w:r w:rsidR="005C5592">
          <w:rPr>
            <w:webHidden/>
          </w:rPr>
          <w:instrText xml:space="preserve"> PAGEREF _Toc177387616 \h </w:instrText>
        </w:r>
        <w:r w:rsidR="005C5592">
          <w:rPr>
            <w:webHidden/>
          </w:rPr>
        </w:r>
        <w:r w:rsidR="005C5592">
          <w:rPr>
            <w:webHidden/>
          </w:rPr>
          <w:fldChar w:fldCharType="separate"/>
        </w:r>
        <w:r w:rsidR="005C5592">
          <w:rPr>
            <w:webHidden/>
          </w:rPr>
          <w:t>3</w:t>
        </w:r>
        <w:r w:rsidR="005C5592">
          <w:rPr>
            <w:webHidden/>
          </w:rPr>
          <w:fldChar w:fldCharType="end"/>
        </w:r>
      </w:hyperlink>
    </w:p>
    <w:p w14:paraId="787E6345" w14:textId="7C8FA690" w:rsidR="005C5592" w:rsidRDefault="00761185">
      <w:pPr>
        <w:pStyle w:val="TOC3"/>
        <w:tabs>
          <w:tab w:val="left" w:pos="885"/>
        </w:tabs>
        <w:rPr>
          <w:rFonts w:asciiTheme="minorHAnsi" w:eastAsiaTheme="minorEastAsia" w:hAnsiTheme="minorHAnsi" w:cstheme="minorBidi"/>
          <w:kern w:val="2"/>
          <w14:ligatures w14:val="standardContextual"/>
        </w:rPr>
      </w:pPr>
      <w:hyperlink w:anchor="_Toc177387617" w:history="1">
        <w:r w:rsidR="005C5592" w:rsidRPr="00AC24D0">
          <w:rPr>
            <w:rStyle w:val="Hyperlink"/>
          </w:rPr>
          <w:t>6.</w:t>
        </w:r>
        <w:r w:rsidR="005C5592">
          <w:rPr>
            <w:rFonts w:asciiTheme="minorHAnsi" w:eastAsiaTheme="minorEastAsia" w:hAnsiTheme="minorHAnsi" w:cstheme="minorBidi"/>
            <w:kern w:val="2"/>
            <w14:ligatures w14:val="standardContextual"/>
          </w:rPr>
          <w:tab/>
        </w:r>
        <w:r w:rsidR="005C5592" w:rsidRPr="00AC24D0">
          <w:rPr>
            <w:rStyle w:val="Hyperlink"/>
          </w:rPr>
          <w:t>Commencement</w:t>
        </w:r>
        <w:r w:rsidR="005C5592">
          <w:rPr>
            <w:webHidden/>
          </w:rPr>
          <w:tab/>
        </w:r>
        <w:r w:rsidR="005C5592">
          <w:rPr>
            <w:webHidden/>
          </w:rPr>
          <w:fldChar w:fldCharType="begin"/>
        </w:r>
        <w:r w:rsidR="005C5592">
          <w:rPr>
            <w:webHidden/>
          </w:rPr>
          <w:instrText xml:space="preserve"> PAGEREF _Toc177387617 \h </w:instrText>
        </w:r>
        <w:r w:rsidR="005C5592">
          <w:rPr>
            <w:webHidden/>
          </w:rPr>
        </w:r>
        <w:r w:rsidR="005C5592">
          <w:rPr>
            <w:webHidden/>
          </w:rPr>
          <w:fldChar w:fldCharType="separate"/>
        </w:r>
        <w:r w:rsidR="005C5592">
          <w:rPr>
            <w:webHidden/>
          </w:rPr>
          <w:t>3</w:t>
        </w:r>
        <w:r w:rsidR="005C5592">
          <w:rPr>
            <w:webHidden/>
          </w:rPr>
          <w:fldChar w:fldCharType="end"/>
        </w:r>
      </w:hyperlink>
    </w:p>
    <w:p w14:paraId="23B3364B" w14:textId="69588D7C" w:rsidR="005C5592" w:rsidRDefault="00761185">
      <w:pPr>
        <w:pStyle w:val="TOC3"/>
        <w:tabs>
          <w:tab w:val="left" w:pos="885"/>
        </w:tabs>
        <w:rPr>
          <w:rFonts w:asciiTheme="minorHAnsi" w:eastAsiaTheme="minorEastAsia" w:hAnsiTheme="minorHAnsi" w:cstheme="minorBidi"/>
          <w:kern w:val="2"/>
          <w14:ligatures w14:val="standardContextual"/>
        </w:rPr>
      </w:pPr>
      <w:hyperlink w:anchor="_Toc177387618" w:history="1">
        <w:r w:rsidR="005C5592" w:rsidRPr="00AC24D0">
          <w:rPr>
            <w:rStyle w:val="Hyperlink"/>
          </w:rPr>
          <w:t>7.</w:t>
        </w:r>
        <w:r w:rsidR="005C5592">
          <w:rPr>
            <w:rFonts w:asciiTheme="minorHAnsi" w:eastAsiaTheme="minorEastAsia" w:hAnsiTheme="minorHAnsi" w:cstheme="minorBidi"/>
            <w:kern w:val="2"/>
            <w14:ligatures w14:val="standardContextual"/>
          </w:rPr>
          <w:tab/>
        </w:r>
        <w:r w:rsidR="005C5592" w:rsidRPr="00AC24D0">
          <w:rPr>
            <w:rStyle w:val="Hyperlink"/>
          </w:rPr>
          <w:t>Additional/preferable requirements</w:t>
        </w:r>
        <w:r w:rsidR="005C5592">
          <w:rPr>
            <w:webHidden/>
          </w:rPr>
          <w:tab/>
        </w:r>
        <w:r w:rsidR="005C5592">
          <w:rPr>
            <w:webHidden/>
          </w:rPr>
          <w:fldChar w:fldCharType="begin"/>
        </w:r>
        <w:r w:rsidR="005C5592">
          <w:rPr>
            <w:webHidden/>
          </w:rPr>
          <w:instrText xml:space="preserve"> PAGEREF _Toc177387618 \h </w:instrText>
        </w:r>
        <w:r w:rsidR="005C5592">
          <w:rPr>
            <w:webHidden/>
          </w:rPr>
        </w:r>
        <w:r w:rsidR="005C5592">
          <w:rPr>
            <w:webHidden/>
          </w:rPr>
          <w:fldChar w:fldCharType="separate"/>
        </w:r>
        <w:r w:rsidR="005C5592">
          <w:rPr>
            <w:webHidden/>
          </w:rPr>
          <w:t>3</w:t>
        </w:r>
        <w:r w:rsidR="005C5592">
          <w:rPr>
            <w:webHidden/>
          </w:rPr>
          <w:fldChar w:fldCharType="end"/>
        </w:r>
      </w:hyperlink>
    </w:p>
    <w:p w14:paraId="2D36A833" w14:textId="4AFBA844" w:rsidR="005C5592" w:rsidRDefault="00761185">
      <w:pPr>
        <w:pStyle w:val="TOC1"/>
        <w:rPr>
          <w:rFonts w:asciiTheme="minorHAnsi" w:eastAsiaTheme="minorEastAsia" w:hAnsiTheme="minorHAnsi" w:cstheme="minorBidi"/>
          <w:b w:val="0"/>
          <w:spacing w:val="0"/>
          <w:kern w:val="2"/>
          <w:sz w:val="22"/>
          <w:szCs w:val="22"/>
          <w14:ligatures w14:val="standardContextual"/>
        </w:rPr>
      </w:pPr>
      <w:hyperlink w:anchor="_Toc177387619" w:history="1">
        <w:r w:rsidR="005C5592" w:rsidRPr="00AC24D0">
          <w:rPr>
            <w:rStyle w:val="Hyperlink"/>
          </w:rPr>
          <w:t>The draft standard</w:t>
        </w:r>
        <w:r w:rsidR="005C5592">
          <w:rPr>
            <w:webHidden/>
          </w:rPr>
          <w:tab/>
        </w:r>
        <w:r w:rsidR="005C5592">
          <w:rPr>
            <w:webHidden/>
          </w:rPr>
          <w:fldChar w:fldCharType="begin"/>
        </w:r>
        <w:r w:rsidR="005C5592">
          <w:rPr>
            <w:webHidden/>
          </w:rPr>
          <w:instrText xml:space="preserve"> PAGEREF _Toc177387619 \h </w:instrText>
        </w:r>
        <w:r w:rsidR="005C5592">
          <w:rPr>
            <w:webHidden/>
          </w:rPr>
        </w:r>
        <w:r w:rsidR="005C5592">
          <w:rPr>
            <w:webHidden/>
          </w:rPr>
          <w:fldChar w:fldCharType="separate"/>
        </w:r>
        <w:r w:rsidR="005C5592">
          <w:rPr>
            <w:webHidden/>
          </w:rPr>
          <w:t>4</w:t>
        </w:r>
        <w:r w:rsidR="005C5592">
          <w:rPr>
            <w:webHidden/>
          </w:rPr>
          <w:fldChar w:fldCharType="end"/>
        </w:r>
      </w:hyperlink>
    </w:p>
    <w:p w14:paraId="24DF74E9" w14:textId="092EBFA5" w:rsidR="005C5592" w:rsidRDefault="00761185">
      <w:pPr>
        <w:pStyle w:val="TOC2"/>
        <w:rPr>
          <w:rFonts w:asciiTheme="minorHAnsi" w:eastAsiaTheme="minorEastAsia" w:hAnsiTheme="minorHAnsi" w:cstheme="minorBidi"/>
          <w:spacing w:val="0"/>
          <w:kern w:val="2"/>
          <w:sz w:val="22"/>
          <w:szCs w:val="22"/>
          <w14:ligatures w14:val="standardContextual"/>
        </w:rPr>
      </w:pPr>
      <w:hyperlink w:anchor="_Toc177387620" w:history="1">
        <w:r w:rsidR="005C5592" w:rsidRPr="00AC24D0">
          <w:rPr>
            <w:rStyle w:val="Hyperlink"/>
          </w:rPr>
          <w:t>Objective</w:t>
        </w:r>
        <w:r w:rsidR="005C5592">
          <w:rPr>
            <w:webHidden/>
          </w:rPr>
          <w:tab/>
        </w:r>
        <w:r w:rsidR="005C5592">
          <w:rPr>
            <w:webHidden/>
          </w:rPr>
          <w:fldChar w:fldCharType="begin"/>
        </w:r>
        <w:r w:rsidR="005C5592">
          <w:rPr>
            <w:webHidden/>
          </w:rPr>
          <w:instrText xml:space="preserve"> PAGEREF _Toc177387620 \h </w:instrText>
        </w:r>
        <w:r w:rsidR="005C5592">
          <w:rPr>
            <w:webHidden/>
          </w:rPr>
        </w:r>
        <w:r w:rsidR="005C5592">
          <w:rPr>
            <w:webHidden/>
          </w:rPr>
          <w:fldChar w:fldCharType="separate"/>
        </w:r>
        <w:r w:rsidR="005C5592">
          <w:rPr>
            <w:webHidden/>
          </w:rPr>
          <w:t>4</w:t>
        </w:r>
        <w:r w:rsidR="005C5592">
          <w:rPr>
            <w:webHidden/>
          </w:rPr>
          <w:fldChar w:fldCharType="end"/>
        </w:r>
      </w:hyperlink>
    </w:p>
    <w:p w14:paraId="2B94D3F4" w14:textId="4F8761F5" w:rsidR="005C5592" w:rsidRDefault="00761185">
      <w:pPr>
        <w:pStyle w:val="TOC2"/>
        <w:rPr>
          <w:rFonts w:asciiTheme="minorHAnsi" w:eastAsiaTheme="minorEastAsia" w:hAnsiTheme="minorHAnsi" w:cstheme="minorBidi"/>
          <w:spacing w:val="0"/>
          <w:kern w:val="2"/>
          <w:sz w:val="22"/>
          <w:szCs w:val="22"/>
          <w14:ligatures w14:val="standardContextual"/>
        </w:rPr>
      </w:pPr>
      <w:hyperlink w:anchor="_Toc177387621" w:history="1">
        <w:r w:rsidR="005C5592" w:rsidRPr="00AC24D0">
          <w:rPr>
            <w:rStyle w:val="Hyperlink"/>
          </w:rPr>
          <w:t>The direction</w:t>
        </w:r>
        <w:r w:rsidR="005C5592">
          <w:rPr>
            <w:webHidden/>
          </w:rPr>
          <w:tab/>
        </w:r>
        <w:r w:rsidR="005C5592">
          <w:rPr>
            <w:webHidden/>
          </w:rPr>
          <w:fldChar w:fldCharType="begin"/>
        </w:r>
        <w:r w:rsidR="005C5592">
          <w:rPr>
            <w:webHidden/>
          </w:rPr>
          <w:instrText xml:space="preserve"> PAGEREF _Toc177387621 \h </w:instrText>
        </w:r>
        <w:r w:rsidR="005C5592">
          <w:rPr>
            <w:webHidden/>
          </w:rPr>
        </w:r>
        <w:r w:rsidR="005C5592">
          <w:rPr>
            <w:webHidden/>
          </w:rPr>
          <w:fldChar w:fldCharType="separate"/>
        </w:r>
        <w:r w:rsidR="005C5592">
          <w:rPr>
            <w:webHidden/>
          </w:rPr>
          <w:t>4</w:t>
        </w:r>
        <w:r w:rsidR="005C5592">
          <w:rPr>
            <w:webHidden/>
          </w:rPr>
          <w:fldChar w:fldCharType="end"/>
        </w:r>
      </w:hyperlink>
    </w:p>
    <w:p w14:paraId="07941228" w14:textId="0E1F10D2" w:rsidR="005C5592" w:rsidRDefault="00761185">
      <w:pPr>
        <w:pStyle w:val="TOC2"/>
        <w:rPr>
          <w:rFonts w:asciiTheme="minorHAnsi" w:eastAsiaTheme="minorEastAsia" w:hAnsiTheme="minorHAnsi" w:cstheme="minorBidi"/>
          <w:spacing w:val="0"/>
          <w:kern w:val="2"/>
          <w:sz w:val="22"/>
          <w:szCs w:val="22"/>
          <w14:ligatures w14:val="standardContextual"/>
        </w:rPr>
      </w:pPr>
      <w:hyperlink w:anchor="_Toc177387622" w:history="1">
        <w:r w:rsidR="005C5592" w:rsidRPr="00AC24D0">
          <w:rPr>
            <w:rStyle w:val="Hyperlink"/>
          </w:rPr>
          <w:t>The review into the Optus outage of 8 November 2023</w:t>
        </w:r>
        <w:r w:rsidR="005C5592">
          <w:rPr>
            <w:webHidden/>
          </w:rPr>
          <w:tab/>
        </w:r>
        <w:r w:rsidR="005C5592">
          <w:rPr>
            <w:webHidden/>
          </w:rPr>
          <w:fldChar w:fldCharType="begin"/>
        </w:r>
        <w:r w:rsidR="005C5592">
          <w:rPr>
            <w:webHidden/>
          </w:rPr>
          <w:instrText xml:space="preserve"> PAGEREF _Toc177387622 \h </w:instrText>
        </w:r>
        <w:r w:rsidR="005C5592">
          <w:rPr>
            <w:webHidden/>
          </w:rPr>
        </w:r>
        <w:r w:rsidR="005C5592">
          <w:rPr>
            <w:webHidden/>
          </w:rPr>
          <w:fldChar w:fldCharType="separate"/>
        </w:r>
        <w:r w:rsidR="005C5592">
          <w:rPr>
            <w:webHidden/>
          </w:rPr>
          <w:t>5</w:t>
        </w:r>
        <w:r w:rsidR="005C5592">
          <w:rPr>
            <w:webHidden/>
          </w:rPr>
          <w:fldChar w:fldCharType="end"/>
        </w:r>
      </w:hyperlink>
    </w:p>
    <w:p w14:paraId="56894C31" w14:textId="48FD2B70" w:rsidR="005C5592" w:rsidRDefault="00761185">
      <w:pPr>
        <w:pStyle w:val="TOC2"/>
        <w:rPr>
          <w:rFonts w:asciiTheme="minorHAnsi" w:eastAsiaTheme="minorEastAsia" w:hAnsiTheme="minorHAnsi" w:cstheme="minorBidi"/>
          <w:spacing w:val="0"/>
          <w:kern w:val="2"/>
          <w:sz w:val="22"/>
          <w:szCs w:val="22"/>
          <w14:ligatures w14:val="standardContextual"/>
        </w:rPr>
      </w:pPr>
      <w:hyperlink w:anchor="_Toc177387623" w:history="1">
        <w:r w:rsidR="005C5592" w:rsidRPr="00AC24D0">
          <w:rPr>
            <w:rStyle w:val="Hyperlink"/>
          </w:rPr>
          <w:t>The government response to the review</w:t>
        </w:r>
        <w:r w:rsidR="005C5592">
          <w:rPr>
            <w:webHidden/>
          </w:rPr>
          <w:tab/>
        </w:r>
        <w:r w:rsidR="005C5592">
          <w:rPr>
            <w:webHidden/>
          </w:rPr>
          <w:fldChar w:fldCharType="begin"/>
        </w:r>
        <w:r w:rsidR="005C5592">
          <w:rPr>
            <w:webHidden/>
          </w:rPr>
          <w:instrText xml:space="preserve"> PAGEREF _Toc177387623 \h </w:instrText>
        </w:r>
        <w:r w:rsidR="005C5592">
          <w:rPr>
            <w:webHidden/>
          </w:rPr>
        </w:r>
        <w:r w:rsidR="005C5592">
          <w:rPr>
            <w:webHidden/>
          </w:rPr>
          <w:fldChar w:fldCharType="separate"/>
        </w:r>
        <w:r w:rsidR="005C5592">
          <w:rPr>
            <w:webHidden/>
          </w:rPr>
          <w:t>6</w:t>
        </w:r>
        <w:r w:rsidR="005C5592">
          <w:rPr>
            <w:webHidden/>
          </w:rPr>
          <w:fldChar w:fldCharType="end"/>
        </w:r>
      </w:hyperlink>
    </w:p>
    <w:p w14:paraId="6C3CCE76" w14:textId="3FD7C22D" w:rsidR="005C5592" w:rsidRDefault="00761185">
      <w:pPr>
        <w:pStyle w:val="TOC1"/>
        <w:rPr>
          <w:rFonts w:asciiTheme="minorHAnsi" w:eastAsiaTheme="minorEastAsia" w:hAnsiTheme="minorHAnsi" w:cstheme="minorBidi"/>
          <w:b w:val="0"/>
          <w:spacing w:val="0"/>
          <w:kern w:val="2"/>
          <w:sz w:val="22"/>
          <w:szCs w:val="22"/>
          <w14:ligatures w14:val="standardContextual"/>
        </w:rPr>
      </w:pPr>
      <w:hyperlink w:anchor="_Toc177387624" w:history="1">
        <w:r w:rsidR="005C5592" w:rsidRPr="00AC24D0">
          <w:rPr>
            <w:rStyle w:val="Hyperlink"/>
          </w:rPr>
          <w:t>Invitation to comment</w:t>
        </w:r>
        <w:r w:rsidR="005C5592">
          <w:rPr>
            <w:webHidden/>
          </w:rPr>
          <w:tab/>
        </w:r>
        <w:r w:rsidR="005C5592">
          <w:rPr>
            <w:webHidden/>
          </w:rPr>
          <w:fldChar w:fldCharType="begin"/>
        </w:r>
        <w:r w:rsidR="005C5592">
          <w:rPr>
            <w:webHidden/>
          </w:rPr>
          <w:instrText xml:space="preserve"> PAGEREF _Toc177387624 \h </w:instrText>
        </w:r>
        <w:r w:rsidR="005C5592">
          <w:rPr>
            <w:webHidden/>
          </w:rPr>
        </w:r>
        <w:r w:rsidR="005C5592">
          <w:rPr>
            <w:webHidden/>
          </w:rPr>
          <w:fldChar w:fldCharType="separate"/>
        </w:r>
        <w:r w:rsidR="005C5592">
          <w:rPr>
            <w:webHidden/>
          </w:rPr>
          <w:t>7</w:t>
        </w:r>
        <w:r w:rsidR="005C5592">
          <w:rPr>
            <w:webHidden/>
          </w:rPr>
          <w:fldChar w:fldCharType="end"/>
        </w:r>
      </w:hyperlink>
    </w:p>
    <w:p w14:paraId="73C97CD3" w14:textId="0CA52C16" w:rsidR="005C5592" w:rsidRDefault="00761185">
      <w:pPr>
        <w:pStyle w:val="TOC2"/>
        <w:rPr>
          <w:rFonts w:asciiTheme="minorHAnsi" w:eastAsiaTheme="minorEastAsia" w:hAnsiTheme="minorHAnsi" w:cstheme="minorBidi"/>
          <w:spacing w:val="0"/>
          <w:kern w:val="2"/>
          <w:sz w:val="22"/>
          <w:szCs w:val="22"/>
          <w14:ligatures w14:val="standardContextual"/>
        </w:rPr>
      </w:pPr>
      <w:hyperlink w:anchor="_Toc177387625" w:history="1">
        <w:r w:rsidR="005C5592" w:rsidRPr="00AC24D0">
          <w:rPr>
            <w:rStyle w:val="Hyperlink"/>
          </w:rPr>
          <w:t>Making a submission</w:t>
        </w:r>
        <w:r w:rsidR="005C5592">
          <w:rPr>
            <w:webHidden/>
          </w:rPr>
          <w:tab/>
        </w:r>
        <w:r w:rsidR="005C5592">
          <w:rPr>
            <w:webHidden/>
          </w:rPr>
          <w:fldChar w:fldCharType="begin"/>
        </w:r>
        <w:r w:rsidR="005C5592">
          <w:rPr>
            <w:webHidden/>
          </w:rPr>
          <w:instrText xml:space="preserve"> PAGEREF _Toc177387625 \h </w:instrText>
        </w:r>
        <w:r w:rsidR="005C5592">
          <w:rPr>
            <w:webHidden/>
          </w:rPr>
        </w:r>
        <w:r w:rsidR="005C5592">
          <w:rPr>
            <w:webHidden/>
          </w:rPr>
          <w:fldChar w:fldCharType="separate"/>
        </w:r>
        <w:r w:rsidR="005C5592">
          <w:rPr>
            <w:webHidden/>
          </w:rPr>
          <w:t>7</w:t>
        </w:r>
        <w:r w:rsidR="005C5592">
          <w:rPr>
            <w:webHidden/>
          </w:rPr>
          <w:fldChar w:fldCharType="end"/>
        </w:r>
      </w:hyperlink>
    </w:p>
    <w:p w14:paraId="13C6A384" w14:textId="121736A2" w:rsidR="005C5592" w:rsidRDefault="00761185">
      <w:pPr>
        <w:pStyle w:val="TOC3"/>
        <w:rPr>
          <w:rFonts w:asciiTheme="minorHAnsi" w:eastAsiaTheme="minorEastAsia" w:hAnsiTheme="minorHAnsi" w:cstheme="minorBidi"/>
          <w:kern w:val="2"/>
          <w14:ligatures w14:val="standardContextual"/>
        </w:rPr>
      </w:pPr>
      <w:hyperlink w:anchor="_Toc177387626" w:history="1">
        <w:r w:rsidR="005C5592" w:rsidRPr="00AC24D0">
          <w:rPr>
            <w:rStyle w:val="Hyperlink"/>
          </w:rPr>
          <w:t>Publication of submissions</w:t>
        </w:r>
        <w:r w:rsidR="005C5592">
          <w:rPr>
            <w:webHidden/>
          </w:rPr>
          <w:tab/>
        </w:r>
        <w:r w:rsidR="005C5592">
          <w:rPr>
            <w:webHidden/>
          </w:rPr>
          <w:fldChar w:fldCharType="begin"/>
        </w:r>
        <w:r w:rsidR="005C5592">
          <w:rPr>
            <w:webHidden/>
          </w:rPr>
          <w:instrText xml:space="preserve"> PAGEREF _Toc177387626 \h </w:instrText>
        </w:r>
        <w:r w:rsidR="005C5592">
          <w:rPr>
            <w:webHidden/>
          </w:rPr>
        </w:r>
        <w:r w:rsidR="005C5592">
          <w:rPr>
            <w:webHidden/>
          </w:rPr>
          <w:fldChar w:fldCharType="separate"/>
        </w:r>
        <w:r w:rsidR="005C5592">
          <w:rPr>
            <w:webHidden/>
          </w:rPr>
          <w:t>7</w:t>
        </w:r>
        <w:r w:rsidR="005C5592">
          <w:rPr>
            <w:webHidden/>
          </w:rPr>
          <w:fldChar w:fldCharType="end"/>
        </w:r>
      </w:hyperlink>
    </w:p>
    <w:p w14:paraId="467BB1FB" w14:textId="69536871" w:rsidR="005C5592" w:rsidRDefault="00761185">
      <w:pPr>
        <w:pStyle w:val="TOC3"/>
        <w:rPr>
          <w:rFonts w:asciiTheme="minorHAnsi" w:eastAsiaTheme="minorEastAsia" w:hAnsiTheme="minorHAnsi" w:cstheme="minorBidi"/>
          <w:kern w:val="2"/>
          <w14:ligatures w14:val="standardContextual"/>
        </w:rPr>
      </w:pPr>
      <w:hyperlink w:anchor="_Toc177387627" w:history="1">
        <w:r w:rsidR="005C5592" w:rsidRPr="00AC24D0">
          <w:rPr>
            <w:rStyle w:val="Hyperlink"/>
          </w:rPr>
          <w:t>Privacy</w:t>
        </w:r>
        <w:r w:rsidR="005C5592">
          <w:rPr>
            <w:webHidden/>
          </w:rPr>
          <w:tab/>
        </w:r>
        <w:r w:rsidR="005C5592">
          <w:rPr>
            <w:webHidden/>
          </w:rPr>
          <w:fldChar w:fldCharType="begin"/>
        </w:r>
        <w:r w:rsidR="005C5592">
          <w:rPr>
            <w:webHidden/>
          </w:rPr>
          <w:instrText xml:space="preserve"> PAGEREF _Toc177387627 \h </w:instrText>
        </w:r>
        <w:r w:rsidR="005C5592">
          <w:rPr>
            <w:webHidden/>
          </w:rPr>
        </w:r>
        <w:r w:rsidR="005C5592">
          <w:rPr>
            <w:webHidden/>
          </w:rPr>
          <w:fldChar w:fldCharType="separate"/>
        </w:r>
        <w:r w:rsidR="005C5592">
          <w:rPr>
            <w:webHidden/>
          </w:rPr>
          <w:t>7</w:t>
        </w:r>
        <w:r w:rsidR="005C5592">
          <w:rPr>
            <w:webHidden/>
          </w:rPr>
          <w:fldChar w:fldCharType="end"/>
        </w:r>
      </w:hyperlink>
    </w:p>
    <w:p w14:paraId="3FF546E6" w14:textId="1267B869" w:rsidR="004D56FF" w:rsidRPr="00A17B1B" w:rsidRDefault="00DF0799">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r w:rsidRPr="00A17B1B">
        <w:rPr>
          <w:rFonts w:cs="Arial"/>
        </w:rPr>
        <w:fldChar w:fldCharType="end"/>
      </w:r>
    </w:p>
    <w:p w14:paraId="3FADC790" w14:textId="77777777" w:rsidR="009D6C71" w:rsidRPr="00A17B1B" w:rsidRDefault="009D6C71" w:rsidP="009174F3">
      <w:pPr>
        <w:pStyle w:val="Execsummaryheading"/>
      </w:pPr>
      <w:bookmarkStart w:id="0" w:name="_Toc177387610"/>
      <w:r w:rsidRPr="00A17B1B">
        <w:lastRenderedPageBreak/>
        <w:t>Executive summary</w:t>
      </w:r>
      <w:bookmarkEnd w:id="0"/>
    </w:p>
    <w:p w14:paraId="194A5E87" w14:textId="77777777" w:rsidR="00A950D4" w:rsidRDefault="00A950D4" w:rsidP="007C6820">
      <w:pPr>
        <w:pStyle w:val="Executivesummarysubheading"/>
      </w:pPr>
    </w:p>
    <w:p w14:paraId="47F0AF16" w14:textId="07553706" w:rsidR="00A950D4" w:rsidRDefault="000D20E5" w:rsidP="00A950D4">
      <w:pPr>
        <w:pStyle w:val="Paragraph"/>
      </w:pPr>
      <w:r>
        <w:t>We are</w:t>
      </w:r>
      <w:r w:rsidR="00A950D4">
        <w:t xml:space="preserve"> making new rules to improve the information provided to users of </w:t>
      </w:r>
      <w:r>
        <w:br/>
      </w:r>
      <w:r w:rsidR="00A950D4">
        <w:t xml:space="preserve">communications services when there is a major outage </w:t>
      </w:r>
      <w:r w:rsidR="00D735F1">
        <w:t xml:space="preserve">or significant local outage </w:t>
      </w:r>
      <w:r w:rsidR="00A950D4">
        <w:t>in telecommunications networks.</w:t>
      </w:r>
    </w:p>
    <w:p w14:paraId="1C56682C" w14:textId="787FA57C" w:rsidR="00A950D4" w:rsidRDefault="000A2325" w:rsidP="001B6596">
      <w:pPr>
        <w:pStyle w:val="Paragraph"/>
      </w:pPr>
      <w:r>
        <w:t>Reliable</w:t>
      </w:r>
      <w:r w:rsidR="00D97165">
        <w:t xml:space="preserve"> access to</w:t>
      </w:r>
      <w:r w:rsidR="00052C0D" w:rsidRPr="00052C0D">
        <w:t xml:space="preserve"> phone and internet services is necessary to support work, education, health, entertainment, social </w:t>
      </w:r>
      <w:proofErr w:type="gramStart"/>
      <w:r w:rsidR="00052C0D" w:rsidRPr="00052C0D">
        <w:t>connection</w:t>
      </w:r>
      <w:proofErr w:type="gramEnd"/>
      <w:r w:rsidR="00052C0D" w:rsidRPr="00052C0D">
        <w:t xml:space="preserve"> and government services</w:t>
      </w:r>
      <w:r w:rsidR="00052C0D">
        <w:t>.</w:t>
      </w:r>
      <w:r w:rsidR="00EC58AC">
        <w:t xml:space="preserve"> </w:t>
      </w:r>
      <w:r w:rsidR="00870E26">
        <w:t>N</w:t>
      </w:r>
      <w:r w:rsidR="002D7209">
        <w:t>etwork outages</w:t>
      </w:r>
      <w:r w:rsidR="00C16AF4">
        <w:t xml:space="preserve"> </w:t>
      </w:r>
      <w:r w:rsidR="002D7209">
        <w:t xml:space="preserve">disrupt </w:t>
      </w:r>
      <w:r w:rsidR="002D7209" w:rsidRPr="002D7209">
        <w:t>our home and work lives</w:t>
      </w:r>
      <w:r w:rsidR="007E74BA">
        <w:t xml:space="preserve"> and </w:t>
      </w:r>
      <w:r w:rsidR="00DF5A8E">
        <w:t xml:space="preserve">can </w:t>
      </w:r>
      <w:r w:rsidR="002D7209">
        <w:t>pose</w:t>
      </w:r>
      <w:r w:rsidR="007031FA">
        <w:t xml:space="preserve"> significant </w:t>
      </w:r>
      <w:r w:rsidR="002D7209">
        <w:t>risk</w:t>
      </w:r>
      <w:r w:rsidR="000D20E5">
        <w:t>s</w:t>
      </w:r>
      <w:r w:rsidR="002D7209">
        <w:t xml:space="preserve"> to the health and safety of our community</w:t>
      </w:r>
      <w:r w:rsidR="00DF5A8E">
        <w:t>.</w:t>
      </w:r>
    </w:p>
    <w:p w14:paraId="76124502" w14:textId="260AC602" w:rsidR="002D7209" w:rsidRPr="00A950D4" w:rsidRDefault="002D7209" w:rsidP="007031FA">
      <w:pPr>
        <w:pStyle w:val="Paragraph"/>
      </w:pPr>
      <w:r>
        <w:t xml:space="preserve">While </w:t>
      </w:r>
      <w:r w:rsidRPr="002D7209">
        <w:t xml:space="preserve">no </w:t>
      </w:r>
      <w:r>
        <w:t xml:space="preserve">telecommunications </w:t>
      </w:r>
      <w:r w:rsidRPr="002D7209">
        <w:t>network will ever be fully</w:t>
      </w:r>
      <w:r>
        <w:t xml:space="preserve"> </w:t>
      </w:r>
      <w:r w:rsidR="00F446B2">
        <w:t>resistant to the technical faults and failures that cause outages,</w:t>
      </w:r>
      <w:r>
        <w:t xml:space="preserve"> </w:t>
      </w:r>
      <w:r w:rsidR="000D20E5">
        <w:t>telcos providing</w:t>
      </w:r>
      <w:r w:rsidR="00A20FA3">
        <w:t xml:space="preserve"> constructive and regular information to </w:t>
      </w:r>
      <w:r w:rsidR="00F32D74">
        <w:t xml:space="preserve">end-users and </w:t>
      </w:r>
      <w:r w:rsidR="00A20FA3">
        <w:t xml:space="preserve">the public will help to </w:t>
      </w:r>
      <w:r w:rsidR="00B65C69">
        <w:t>mitigate the impact</w:t>
      </w:r>
      <w:r w:rsidR="00B46FCE">
        <w:t>.</w:t>
      </w:r>
      <w:r w:rsidR="00A20FA3">
        <w:t xml:space="preserve"> </w:t>
      </w:r>
    </w:p>
    <w:p w14:paraId="7E751730" w14:textId="645584DC" w:rsidR="008660C5" w:rsidRDefault="00EE076E" w:rsidP="007031FA">
      <w:pPr>
        <w:pStyle w:val="Paragraph"/>
      </w:pPr>
      <w:r>
        <w:t>In March 2024, the Department of Infrastructure, Transport, Regional Development, Communications and the Arts</w:t>
      </w:r>
      <w:r w:rsidR="00A904D8">
        <w:t xml:space="preserve"> published the </w:t>
      </w:r>
      <w:hyperlink r:id="rId23" w:history="1">
        <w:r w:rsidR="008660C5" w:rsidRPr="001B6596">
          <w:rPr>
            <w:rStyle w:val="Hyperlink"/>
            <w:bCs/>
            <w:i/>
            <w:iCs/>
          </w:rPr>
          <w:t>Review into the Optus outage of 8 November 2023 – Final Report</w:t>
        </w:r>
      </w:hyperlink>
      <w:r w:rsidR="00F17514">
        <w:t xml:space="preserve">. </w:t>
      </w:r>
      <w:r w:rsidR="000D20E5">
        <w:t>T</w:t>
      </w:r>
      <w:r w:rsidR="00C96AF3">
        <w:t xml:space="preserve">he review considered the adequacy </w:t>
      </w:r>
      <w:r w:rsidR="005D73E2" w:rsidRPr="005D73E2">
        <w:t>of requirements for customer communication in national service outages</w:t>
      </w:r>
      <w:r w:rsidR="000D20E5">
        <w:t xml:space="preserve">. It </w:t>
      </w:r>
      <w:r w:rsidR="005D73E2">
        <w:t xml:space="preserve">recommended that </w:t>
      </w:r>
      <w:r w:rsidR="000D20E5">
        <w:t>we</w:t>
      </w:r>
      <w:r w:rsidR="001B0867" w:rsidRPr="001B0867">
        <w:t xml:space="preserve"> develop a standard or determination requiring carriers to communicate information to customers during and about outages</w:t>
      </w:r>
      <w:r w:rsidR="000D20E5">
        <w:t>,</w:t>
      </w:r>
      <w:r w:rsidR="008D2D40">
        <w:t xml:space="preserve"> with </w:t>
      </w:r>
      <w:r w:rsidR="000D20E5">
        <w:t>a</w:t>
      </w:r>
      <w:r w:rsidR="00037911" w:rsidRPr="00037911">
        <w:t xml:space="preserve"> focus on communications between the affected network provider and its customers </w:t>
      </w:r>
      <w:r w:rsidR="000D20E5">
        <w:t>and</w:t>
      </w:r>
      <w:r w:rsidR="00037911" w:rsidRPr="00037911">
        <w:t xml:space="preserve"> other stakeholders.</w:t>
      </w:r>
    </w:p>
    <w:p w14:paraId="46B036DD" w14:textId="2545DDAA" w:rsidR="00154101" w:rsidRDefault="007114C8" w:rsidP="0022213D">
      <w:pPr>
        <w:pStyle w:val="Paragraph"/>
      </w:pPr>
      <w:r>
        <w:t xml:space="preserve">On </w:t>
      </w:r>
      <w:r w:rsidR="79BE8BCD">
        <w:t>21 August 2024</w:t>
      </w:r>
      <w:r>
        <w:t>, the Minister for Communications directed</w:t>
      </w:r>
      <w:r w:rsidR="002E05DA">
        <w:rPr>
          <w:rStyle w:val="FootnoteReference"/>
        </w:rPr>
        <w:footnoteReference w:id="2"/>
      </w:r>
      <w:r>
        <w:t xml:space="preserve"> the ACMA to make industry standard</w:t>
      </w:r>
      <w:r w:rsidR="00AE12C7">
        <w:t>s</w:t>
      </w:r>
      <w:r>
        <w:t xml:space="preserve"> </w:t>
      </w:r>
      <w:r w:rsidR="000D20E5">
        <w:t>outlining the</w:t>
      </w:r>
      <w:r w:rsidR="008A48F2" w:rsidRPr="008A48F2">
        <w:t xml:space="preserve"> information to be provided, or made available, by carriers and carriage service providers</w:t>
      </w:r>
      <w:r w:rsidR="00471A6D">
        <w:t xml:space="preserve"> for </w:t>
      </w:r>
      <w:r w:rsidR="008A48F2" w:rsidRPr="008A48F2">
        <w:t xml:space="preserve">major outages </w:t>
      </w:r>
      <w:r w:rsidR="007D7AB2">
        <w:t xml:space="preserve">and significant local outages </w:t>
      </w:r>
      <w:r w:rsidR="008A48F2" w:rsidRPr="008A48F2">
        <w:t xml:space="preserve">that impact a telecommunications network used to supply carriage services to </w:t>
      </w:r>
      <w:r w:rsidR="003B4988">
        <w:t>end-users</w:t>
      </w:r>
      <w:r w:rsidR="008A48F2" w:rsidRPr="008A48F2">
        <w:t>.</w:t>
      </w:r>
      <w:r w:rsidR="00AB7150">
        <w:t xml:space="preserve"> </w:t>
      </w:r>
    </w:p>
    <w:p w14:paraId="6B7D94D6" w14:textId="3416D2AC" w:rsidR="792DA9BD" w:rsidRDefault="00471A6D" w:rsidP="75DF6408">
      <w:pPr>
        <w:pStyle w:val="Paragraph"/>
      </w:pPr>
      <w:r>
        <w:t>T</w:t>
      </w:r>
      <w:r w:rsidR="007114C8">
        <w:t xml:space="preserve">he industry standard </w:t>
      </w:r>
      <w:r w:rsidR="00946997">
        <w:t xml:space="preserve">for major outages </w:t>
      </w:r>
      <w:r w:rsidR="007114C8">
        <w:t xml:space="preserve">must be determined by </w:t>
      </w:r>
      <w:r w:rsidR="00946997">
        <w:t>14 November</w:t>
      </w:r>
      <w:r w:rsidR="007114C8">
        <w:t xml:space="preserve"> 2024 and commence by </w:t>
      </w:r>
      <w:r w:rsidR="00946997">
        <w:t>31 December</w:t>
      </w:r>
      <w:r w:rsidR="007114C8">
        <w:t xml:space="preserve"> 2024</w:t>
      </w:r>
      <w:r w:rsidR="00085498">
        <w:t>. T</w:t>
      </w:r>
      <w:r w:rsidR="006D037C">
        <w:t xml:space="preserve">he industry standard for significant local outages must be </w:t>
      </w:r>
      <w:r w:rsidR="009560A5">
        <w:t>determined by 30 April 2025 and commence by 30 June 2025.</w:t>
      </w:r>
      <w:r w:rsidR="00650614">
        <w:t xml:space="preserve"> </w:t>
      </w:r>
      <w:r w:rsidR="009560A5">
        <w:t xml:space="preserve">We </w:t>
      </w:r>
      <w:r w:rsidR="00804360">
        <w:t xml:space="preserve">are proposing </w:t>
      </w:r>
      <w:r w:rsidR="009560A5">
        <w:t xml:space="preserve">to make </w:t>
      </w:r>
      <w:r w:rsidR="00085498">
        <w:t>one</w:t>
      </w:r>
      <w:r w:rsidR="007C74ED">
        <w:t xml:space="preserve"> industry standard to cover </w:t>
      </w:r>
      <w:r w:rsidR="00804360">
        <w:t>both major and significant local outages</w:t>
      </w:r>
      <w:r w:rsidR="00085498">
        <w:t>. H</w:t>
      </w:r>
      <w:r w:rsidR="000316D1">
        <w:t>owever</w:t>
      </w:r>
      <w:r w:rsidR="00653317">
        <w:t>,</w:t>
      </w:r>
      <w:r w:rsidR="000316D1">
        <w:t xml:space="preserve"> the</w:t>
      </w:r>
      <w:r w:rsidR="001377D7">
        <w:t xml:space="preserve"> commencement date for the rules about significant local outages will be </w:t>
      </w:r>
      <w:r w:rsidR="00CF53E3">
        <w:t>30 June</w:t>
      </w:r>
      <w:r w:rsidR="00653317">
        <w:t xml:space="preserve"> 2025, consistent with the </w:t>
      </w:r>
      <w:r w:rsidR="00085498">
        <w:t>m</w:t>
      </w:r>
      <w:r w:rsidR="00653317">
        <w:t xml:space="preserve">inister’s </w:t>
      </w:r>
      <w:r w:rsidR="00085498">
        <w:t>d</w:t>
      </w:r>
      <w:r w:rsidR="00653317">
        <w:t>irection.</w:t>
      </w:r>
    </w:p>
    <w:p w14:paraId="5AD60AAB" w14:textId="15EC2B71" w:rsidR="006164DD" w:rsidRDefault="006164DD" w:rsidP="0022213D">
      <w:pPr>
        <w:pStyle w:val="Paragraph"/>
      </w:pPr>
      <w:r w:rsidRPr="006164DD">
        <w:t xml:space="preserve">Under the </w:t>
      </w:r>
      <w:r w:rsidRPr="00E23140">
        <w:rPr>
          <w:i/>
          <w:iCs/>
        </w:rPr>
        <w:t>Tel</w:t>
      </w:r>
      <w:r w:rsidR="00E23140" w:rsidRPr="00E23140">
        <w:rPr>
          <w:i/>
          <w:iCs/>
        </w:rPr>
        <w:t>ecommunications</w:t>
      </w:r>
      <w:r w:rsidRPr="00E23140">
        <w:rPr>
          <w:i/>
          <w:iCs/>
        </w:rPr>
        <w:t xml:space="preserve"> Act</w:t>
      </w:r>
      <w:r w:rsidR="00E23140" w:rsidRPr="00E23140">
        <w:rPr>
          <w:i/>
          <w:iCs/>
        </w:rPr>
        <w:t xml:space="preserve"> 199</w:t>
      </w:r>
      <w:r w:rsidR="00E23140">
        <w:rPr>
          <w:i/>
          <w:iCs/>
        </w:rPr>
        <w:t>7</w:t>
      </w:r>
      <w:r w:rsidRPr="006164DD">
        <w:t>, compliance with industry standards is mandatory. A range of enforcement options apply to non-compliance with industry standards, including infringement notices and civil penalties.</w:t>
      </w:r>
    </w:p>
    <w:p w14:paraId="642BA2B6" w14:textId="31F17579" w:rsidR="007114C8" w:rsidRDefault="007114C8" w:rsidP="007114C8">
      <w:pPr>
        <w:pStyle w:val="Paragraph"/>
      </w:pPr>
      <w:r>
        <w:t xml:space="preserve">The ACMA invites </w:t>
      </w:r>
      <w:r w:rsidR="0075276F">
        <w:t>comments</w:t>
      </w:r>
      <w:r>
        <w:t xml:space="preserve"> on the draft Telecommunications (</w:t>
      </w:r>
      <w:r w:rsidR="00EE7568">
        <w:t>Customer</w:t>
      </w:r>
      <w:r w:rsidR="004C70D9">
        <w:t xml:space="preserve"> Communications</w:t>
      </w:r>
      <w:r w:rsidR="003B772F">
        <w:t xml:space="preserve"> for Outages</w:t>
      </w:r>
      <w:r>
        <w:t>) Industry Standard 2024.</w:t>
      </w:r>
      <w:r w:rsidR="00974CFC">
        <w:t xml:space="preserve"> </w:t>
      </w:r>
    </w:p>
    <w:p w14:paraId="09B3BEC2" w14:textId="77777777" w:rsidR="00A950D4" w:rsidRPr="00A950D4" w:rsidRDefault="00A950D4" w:rsidP="007C6820">
      <w:pPr>
        <w:pStyle w:val="Executivesummarysubheading"/>
        <w:rPr>
          <w:b w:val="0"/>
          <w:bCs/>
          <w:i w:val="0"/>
          <w:iCs/>
        </w:rPr>
      </w:pPr>
    </w:p>
    <w:p w14:paraId="67D88AE7" w14:textId="46F8B34D" w:rsidR="004B2960" w:rsidRDefault="004B2960" w:rsidP="004B2960">
      <w:pPr>
        <w:pStyle w:val="Heading1"/>
      </w:pPr>
      <w:bookmarkStart w:id="1" w:name="_Toc92265082"/>
      <w:bookmarkStart w:id="2" w:name="_Toc177387611"/>
      <w:r w:rsidRPr="00E162C4">
        <w:lastRenderedPageBreak/>
        <w:t>Issues for comment</w:t>
      </w:r>
      <w:bookmarkEnd w:id="1"/>
      <w:bookmarkEnd w:id="2"/>
    </w:p>
    <w:p w14:paraId="78260A96" w14:textId="3C41D94E" w:rsidR="002D2160" w:rsidRDefault="002D2160" w:rsidP="007031FA">
      <w:pPr>
        <w:pStyle w:val="Paragraphbeforelist"/>
        <w:spacing w:after="240"/>
      </w:pPr>
      <w:r>
        <w:t xml:space="preserve">We invite comments on the </w:t>
      </w:r>
      <w:r w:rsidR="00E63441">
        <w:t xml:space="preserve">draft </w:t>
      </w:r>
      <w:r w:rsidR="00085498">
        <w:t>s</w:t>
      </w:r>
      <w:r w:rsidRPr="00F46062">
        <w:t>tandard</w:t>
      </w:r>
      <w:r>
        <w:t>, including:</w:t>
      </w:r>
    </w:p>
    <w:p w14:paraId="66710D55" w14:textId="03991D9C" w:rsidR="002D2160" w:rsidRDefault="002D2160" w:rsidP="00653C4D">
      <w:pPr>
        <w:pStyle w:val="Heading3"/>
        <w:numPr>
          <w:ilvl w:val="0"/>
          <w:numId w:val="40"/>
        </w:numPr>
      </w:pPr>
      <w:bookmarkStart w:id="3" w:name="_Toc177387612"/>
      <w:r>
        <w:t xml:space="preserve">Objectives and requirements of the </w:t>
      </w:r>
      <w:r w:rsidR="00085498">
        <w:t>d</w:t>
      </w:r>
      <w:r>
        <w:t>irection</w:t>
      </w:r>
      <w:bookmarkEnd w:id="3"/>
    </w:p>
    <w:p w14:paraId="05E162C8" w14:textId="27422995" w:rsidR="003F5D9B" w:rsidRDefault="003F5D9B" w:rsidP="00527D87">
      <w:pPr>
        <w:pStyle w:val="Paragraphbeforelist"/>
        <w:spacing w:after="240"/>
      </w:pPr>
      <w:r>
        <w:t xml:space="preserve">The </w:t>
      </w:r>
      <w:r w:rsidR="00085498">
        <w:t>d</w:t>
      </w:r>
      <w:r>
        <w:t xml:space="preserve">irection sets out the objectives and requirements of the </w:t>
      </w:r>
      <w:r w:rsidR="00085498">
        <w:t>s</w:t>
      </w:r>
      <w:r>
        <w:t xml:space="preserve">tandard. It requires </w:t>
      </w:r>
      <w:r w:rsidR="00831891">
        <w:t xml:space="preserve">the provision of </w:t>
      </w:r>
      <w:r w:rsidR="00C8404F">
        <w:t>timely</w:t>
      </w:r>
      <w:r w:rsidR="00424455">
        <w:t xml:space="preserve">, </w:t>
      </w:r>
      <w:proofErr w:type="gramStart"/>
      <w:r w:rsidR="00424455">
        <w:t>relevant</w:t>
      </w:r>
      <w:proofErr w:type="gramEnd"/>
      <w:r w:rsidR="00831891" w:rsidRPr="00D76520">
        <w:t xml:space="preserve"> and appropriate </w:t>
      </w:r>
      <w:r w:rsidR="00831891">
        <w:t xml:space="preserve">information about </w:t>
      </w:r>
      <w:r w:rsidR="00CC1D68">
        <w:t>major outages</w:t>
      </w:r>
      <w:r w:rsidR="00E460DD">
        <w:t xml:space="preserve"> </w:t>
      </w:r>
      <w:r w:rsidR="004D4A78">
        <w:t xml:space="preserve">and significant local outages </w:t>
      </w:r>
      <w:r w:rsidR="00E460DD">
        <w:t>in telecommunications networks</w:t>
      </w:r>
      <w:r w:rsidR="006C7FE7">
        <w:t>. This is</w:t>
      </w:r>
      <w:r w:rsidR="00477E59">
        <w:t xml:space="preserve"> to be </w:t>
      </w:r>
      <w:r w:rsidR="003E40C4">
        <w:t>made available</w:t>
      </w:r>
      <w:r w:rsidR="00CD2BD5">
        <w:t xml:space="preserve"> to </w:t>
      </w:r>
      <w:r w:rsidR="003B2702">
        <w:t>en</w:t>
      </w:r>
      <w:r w:rsidR="00BE6F5A">
        <w:t>d-users</w:t>
      </w:r>
      <w:r w:rsidR="0086680B">
        <w:t xml:space="preserve"> of telecommunications </w:t>
      </w:r>
      <w:r w:rsidR="002D7CCD">
        <w:t>services</w:t>
      </w:r>
      <w:r w:rsidR="00491A35">
        <w:t xml:space="preserve"> and shared with </w:t>
      </w:r>
      <w:r w:rsidR="00170427">
        <w:t>other carriers and carriage service providers</w:t>
      </w:r>
      <w:r w:rsidR="00AB2802">
        <w:t xml:space="preserve">. It also permits </w:t>
      </w:r>
      <w:r w:rsidR="006C7FE7">
        <w:t>us</w:t>
      </w:r>
      <w:r w:rsidR="00F46FF1" w:rsidRPr="00F46FF1">
        <w:t xml:space="preserve"> </w:t>
      </w:r>
      <w:r w:rsidR="00F46FF1">
        <w:t>to make rules and requirements about</w:t>
      </w:r>
      <w:r w:rsidR="00863BA2">
        <w:t xml:space="preserve"> the content </w:t>
      </w:r>
      <w:r w:rsidR="00175FC6">
        <w:t xml:space="preserve">and frequency </w:t>
      </w:r>
      <w:r w:rsidR="00863BA2">
        <w:t xml:space="preserve">of </w:t>
      </w:r>
      <w:r w:rsidR="00DD622C">
        <w:t>communications</w:t>
      </w:r>
      <w:r w:rsidR="00175FC6">
        <w:t xml:space="preserve"> and </w:t>
      </w:r>
      <w:r w:rsidR="0034205B">
        <w:t>channels used to communicate</w:t>
      </w:r>
      <w:r w:rsidR="00175FC6">
        <w:t>.</w:t>
      </w:r>
    </w:p>
    <w:p w14:paraId="56C4694D" w14:textId="39A89B09" w:rsidR="00EA0333" w:rsidRDefault="61DA4CFA" w:rsidP="007031FA">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75DF6408">
        <w:rPr>
          <w:b/>
          <w:bCs/>
        </w:rPr>
        <w:t xml:space="preserve">Question </w:t>
      </w:r>
      <w:r w:rsidR="006A4F98">
        <w:rPr>
          <w:b/>
          <w:bCs/>
        </w:rPr>
        <w:t>1</w:t>
      </w:r>
      <w:r w:rsidRPr="75DF6408">
        <w:rPr>
          <w:b/>
          <w:bCs/>
        </w:rPr>
        <w:t>:</w:t>
      </w:r>
      <w:r>
        <w:t xml:space="preserve"> </w:t>
      </w:r>
      <w:r w:rsidR="00EA0333">
        <w:t xml:space="preserve">Does the draft </w:t>
      </w:r>
      <w:r w:rsidR="00085498">
        <w:t>s</w:t>
      </w:r>
      <w:r w:rsidR="00EA0333">
        <w:t xml:space="preserve">tandard fulfil the objectives and </w:t>
      </w:r>
      <w:r w:rsidR="6CFDDD8C">
        <w:t xml:space="preserve">content </w:t>
      </w:r>
      <w:r w:rsidR="00EA0333">
        <w:t xml:space="preserve">requirements of the </w:t>
      </w:r>
      <w:r w:rsidR="00FD679A">
        <w:t>d</w:t>
      </w:r>
      <w:r w:rsidR="00EA0333">
        <w:t>irection?</w:t>
      </w:r>
      <w:r w:rsidR="524AD0EF">
        <w:t xml:space="preserve"> </w:t>
      </w:r>
      <w:r w:rsidR="00527D87">
        <w:t>If not, please explain why and describe any alternative and/or additional approaches that could be used to meet the</w:t>
      </w:r>
      <w:r w:rsidR="006A4F98">
        <w:t>se</w:t>
      </w:r>
      <w:r w:rsidR="00527D87">
        <w:t>.</w:t>
      </w:r>
    </w:p>
    <w:p w14:paraId="5CC9519B" w14:textId="40009B17" w:rsidR="004F2C11" w:rsidRPr="00A5395E" w:rsidRDefault="00A073B3" w:rsidP="00653C4D">
      <w:pPr>
        <w:pStyle w:val="Heading3"/>
        <w:numPr>
          <w:ilvl w:val="0"/>
          <w:numId w:val="40"/>
        </w:numPr>
      </w:pPr>
      <w:bookmarkStart w:id="4" w:name="_Toc177387613"/>
      <w:r w:rsidRPr="00A5395E">
        <w:t xml:space="preserve">Definition of a major outage </w:t>
      </w:r>
      <w:r w:rsidR="00794CE4">
        <w:t>and a significant local outage</w:t>
      </w:r>
      <w:bookmarkEnd w:id="4"/>
    </w:p>
    <w:p w14:paraId="0B0E4264" w14:textId="327DBF23" w:rsidR="00547470" w:rsidRPr="007031FA" w:rsidRDefault="004068BA" w:rsidP="007031FA">
      <w:pPr>
        <w:rPr>
          <w:sz w:val="22"/>
          <w:szCs w:val="22"/>
        </w:rPr>
      </w:pPr>
      <w:r w:rsidRPr="007031FA">
        <w:rPr>
          <w:sz w:val="22"/>
          <w:szCs w:val="22"/>
        </w:rPr>
        <w:t>The term</w:t>
      </w:r>
      <w:r w:rsidR="007578AF" w:rsidRPr="007031FA">
        <w:rPr>
          <w:sz w:val="22"/>
          <w:szCs w:val="22"/>
        </w:rPr>
        <w:t>s</w:t>
      </w:r>
      <w:r w:rsidRPr="007031FA">
        <w:rPr>
          <w:sz w:val="22"/>
          <w:szCs w:val="22"/>
        </w:rPr>
        <w:t xml:space="preserve"> </w:t>
      </w:r>
      <w:r w:rsidR="006414C2" w:rsidRPr="007031FA">
        <w:rPr>
          <w:sz w:val="22"/>
          <w:szCs w:val="22"/>
        </w:rPr>
        <w:t>‘</w:t>
      </w:r>
      <w:r w:rsidRPr="007031FA">
        <w:rPr>
          <w:sz w:val="22"/>
          <w:szCs w:val="22"/>
        </w:rPr>
        <w:t>major</w:t>
      </w:r>
      <w:r w:rsidR="00C37453" w:rsidRPr="007031FA">
        <w:rPr>
          <w:sz w:val="22"/>
          <w:szCs w:val="22"/>
        </w:rPr>
        <w:t xml:space="preserve"> outage</w:t>
      </w:r>
      <w:r w:rsidR="006414C2" w:rsidRPr="007031FA">
        <w:rPr>
          <w:sz w:val="22"/>
          <w:szCs w:val="22"/>
        </w:rPr>
        <w:t>’</w:t>
      </w:r>
      <w:r w:rsidR="00C37453" w:rsidRPr="007031FA">
        <w:rPr>
          <w:sz w:val="22"/>
          <w:szCs w:val="22"/>
        </w:rPr>
        <w:t xml:space="preserve"> </w:t>
      </w:r>
      <w:r w:rsidR="007578AF" w:rsidRPr="007031FA">
        <w:rPr>
          <w:sz w:val="22"/>
          <w:szCs w:val="22"/>
        </w:rPr>
        <w:t>and ‘significant local outage’ were</w:t>
      </w:r>
      <w:r w:rsidR="00C37453" w:rsidRPr="007031FA">
        <w:rPr>
          <w:sz w:val="22"/>
          <w:szCs w:val="22"/>
        </w:rPr>
        <w:t xml:space="preserve"> not defined in the </w:t>
      </w:r>
      <w:r w:rsidR="00085498">
        <w:rPr>
          <w:sz w:val="22"/>
          <w:szCs w:val="22"/>
        </w:rPr>
        <w:t>d</w:t>
      </w:r>
      <w:r w:rsidR="00C37453" w:rsidRPr="007031FA">
        <w:rPr>
          <w:sz w:val="22"/>
          <w:szCs w:val="22"/>
        </w:rPr>
        <w:t>irection</w:t>
      </w:r>
      <w:r w:rsidR="006414C2" w:rsidRPr="007031FA">
        <w:rPr>
          <w:sz w:val="22"/>
          <w:szCs w:val="22"/>
        </w:rPr>
        <w:t xml:space="preserve">. </w:t>
      </w:r>
      <w:r w:rsidR="00956562" w:rsidRPr="007031FA">
        <w:rPr>
          <w:sz w:val="22"/>
          <w:szCs w:val="22"/>
        </w:rPr>
        <w:t>T</w:t>
      </w:r>
      <w:r w:rsidR="00C37453" w:rsidRPr="007031FA">
        <w:rPr>
          <w:sz w:val="22"/>
          <w:szCs w:val="22"/>
        </w:rPr>
        <w:t xml:space="preserve">he </w:t>
      </w:r>
      <w:r w:rsidR="00085498">
        <w:rPr>
          <w:sz w:val="22"/>
          <w:szCs w:val="22"/>
        </w:rPr>
        <w:t>e</w:t>
      </w:r>
      <w:r w:rsidR="00E02467" w:rsidRPr="007031FA">
        <w:rPr>
          <w:sz w:val="22"/>
          <w:szCs w:val="22"/>
        </w:rPr>
        <w:t>xplanatory</w:t>
      </w:r>
      <w:r w:rsidR="00E90CC0" w:rsidRPr="007031FA">
        <w:rPr>
          <w:sz w:val="22"/>
          <w:szCs w:val="22"/>
        </w:rPr>
        <w:t xml:space="preserve"> </w:t>
      </w:r>
      <w:r w:rsidR="00085498">
        <w:rPr>
          <w:sz w:val="22"/>
          <w:szCs w:val="22"/>
        </w:rPr>
        <w:t>s</w:t>
      </w:r>
      <w:r w:rsidR="00E90CC0" w:rsidRPr="007031FA">
        <w:rPr>
          <w:sz w:val="22"/>
          <w:szCs w:val="22"/>
        </w:rPr>
        <w:t xml:space="preserve">tatement to the </w:t>
      </w:r>
      <w:r w:rsidR="00085498">
        <w:rPr>
          <w:sz w:val="22"/>
          <w:szCs w:val="22"/>
        </w:rPr>
        <w:t>d</w:t>
      </w:r>
      <w:r w:rsidR="00E90CC0" w:rsidRPr="007031FA">
        <w:rPr>
          <w:sz w:val="22"/>
          <w:szCs w:val="22"/>
        </w:rPr>
        <w:t xml:space="preserve">irection </w:t>
      </w:r>
      <w:r w:rsidR="00547470" w:rsidRPr="007031FA">
        <w:rPr>
          <w:sz w:val="22"/>
          <w:szCs w:val="22"/>
        </w:rPr>
        <w:t xml:space="preserve">states that </w:t>
      </w:r>
      <w:r w:rsidR="001C6AA1" w:rsidRPr="007031FA">
        <w:rPr>
          <w:sz w:val="22"/>
          <w:szCs w:val="22"/>
        </w:rPr>
        <w:t>the intention is that the term</w:t>
      </w:r>
      <w:r w:rsidR="00563E2F" w:rsidRPr="007031FA">
        <w:rPr>
          <w:sz w:val="22"/>
          <w:szCs w:val="22"/>
        </w:rPr>
        <w:t>s</w:t>
      </w:r>
      <w:r w:rsidR="001C6AA1" w:rsidRPr="007031FA">
        <w:rPr>
          <w:sz w:val="22"/>
          <w:szCs w:val="22"/>
        </w:rPr>
        <w:t xml:space="preserve"> will be defined by the ACMA in making the </w:t>
      </w:r>
      <w:r w:rsidR="00085498">
        <w:rPr>
          <w:sz w:val="22"/>
          <w:szCs w:val="22"/>
        </w:rPr>
        <w:t>s</w:t>
      </w:r>
      <w:r w:rsidR="001C6AA1" w:rsidRPr="007031FA">
        <w:rPr>
          <w:sz w:val="22"/>
          <w:szCs w:val="22"/>
        </w:rPr>
        <w:t xml:space="preserve">tandard, including through consultation. The </w:t>
      </w:r>
      <w:r w:rsidR="00085498">
        <w:rPr>
          <w:sz w:val="22"/>
          <w:szCs w:val="22"/>
        </w:rPr>
        <w:t>s</w:t>
      </w:r>
      <w:r w:rsidR="00555874" w:rsidRPr="007031FA">
        <w:rPr>
          <w:sz w:val="22"/>
          <w:szCs w:val="22"/>
        </w:rPr>
        <w:t>tandard</w:t>
      </w:r>
      <w:r w:rsidR="001C6AA1" w:rsidRPr="007031FA">
        <w:rPr>
          <w:sz w:val="22"/>
          <w:szCs w:val="22"/>
        </w:rPr>
        <w:t xml:space="preserve"> is not intended to cover all outages but rather those that cause significant disruption</w:t>
      </w:r>
      <w:r w:rsidR="007C7E1C" w:rsidRPr="007031FA">
        <w:rPr>
          <w:sz w:val="22"/>
          <w:szCs w:val="22"/>
        </w:rPr>
        <w:t>,</w:t>
      </w:r>
      <w:r w:rsidR="0086359B" w:rsidRPr="007031FA">
        <w:rPr>
          <w:sz w:val="22"/>
          <w:szCs w:val="22"/>
        </w:rPr>
        <w:t xml:space="preserve"> including those that are lesser</w:t>
      </w:r>
      <w:r w:rsidR="0065092C" w:rsidRPr="007031FA">
        <w:rPr>
          <w:sz w:val="22"/>
          <w:szCs w:val="22"/>
        </w:rPr>
        <w:t xml:space="preserve"> in scale but have a significant impact on local communities.</w:t>
      </w:r>
    </w:p>
    <w:p w14:paraId="2F1490ED" w14:textId="3649A42A" w:rsidR="00631AF9" w:rsidRPr="00335B44" w:rsidRDefault="007C7E1C" w:rsidP="007031FA">
      <w:pPr>
        <w:rPr>
          <w:sz w:val="22"/>
          <w:szCs w:val="22"/>
        </w:rPr>
      </w:pPr>
      <w:r w:rsidRPr="00335B44">
        <w:rPr>
          <w:sz w:val="22"/>
          <w:szCs w:val="22"/>
        </w:rPr>
        <w:t>Our</w:t>
      </w:r>
      <w:r w:rsidR="00351952" w:rsidRPr="00335B44">
        <w:rPr>
          <w:sz w:val="22"/>
          <w:szCs w:val="22"/>
        </w:rPr>
        <w:t xml:space="preserve"> objective in defining a</w:t>
      </w:r>
      <w:r w:rsidR="00631AF9" w:rsidRPr="00335B44">
        <w:rPr>
          <w:sz w:val="22"/>
          <w:szCs w:val="22"/>
        </w:rPr>
        <w:t xml:space="preserve"> major outage</w:t>
      </w:r>
      <w:r w:rsidR="00351952" w:rsidRPr="00335B44">
        <w:rPr>
          <w:sz w:val="22"/>
          <w:szCs w:val="22"/>
        </w:rPr>
        <w:t xml:space="preserve"> is that it</w:t>
      </w:r>
      <w:r w:rsidR="00631AF9" w:rsidRPr="00335B44">
        <w:rPr>
          <w:sz w:val="22"/>
          <w:szCs w:val="22"/>
        </w:rPr>
        <w:t xml:space="preserve"> should be clear and easy to apply in a</w:t>
      </w:r>
      <w:r w:rsidR="0003151F" w:rsidRPr="00335B44">
        <w:rPr>
          <w:sz w:val="22"/>
          <w:szCs w:val="22"/>
        </w:rPr>
        <w:t xml:space="preserve"> </w:t>
      </w:r>
      <w:r w:rsidR="00631AF9" w:rsidRPr="00335B44">
        <w:rPr>
          <w:sz w:val="22"/>
          <w:szCs w:val="22"/>
        </w:rPr>
        <w:t xml:space="preserve">short timeframe by </w:t>
      </w:r>
      <w:r w:rsidR="5443EFC6" w:rsidRPr="00335B44">
        <w:rPr>
          <w:sz w:val="22"/>
          <w:szCs w:val="22"/>
        </w:rPr>
        <w:t>carriers and</w:t>
      </w:r>
      <w:r w:rsidR="00631AF9" w:rsidRPr="00335B44">
        <w:rPr>
          <w:sz w:val="22"/>
          <w:szCs w:val="22"/>
        </w:rPr>
        <w:t xml:space="preserve"> </w:t>
      </w:r>
      <w:r w:rsidR="5443EFC6" w:rsidRPr="00335B44">
        <w:rPr>
          <w:sz w:val="22"/>
          <w:szCs w:val="22"/>
        </w:rPr>
        <w:t>carriage</w:t>
      </w:r>
      <w:r w:rsidR="00631AF9" w:rsidRPr="00335B44">
        <w:rPr>
          <w:sz w:val="22"/>
          <w:szCs w:val="22"/>
        </w:rPr>
        <w:t xml:space="preserve"> </w:t>
      </w:r>
      <w:r w:rsidR="5443EFC6" w:rsidRPr="00335B44">
        <w:rPr>
          <w:sz w:val="22"/>
          <w:szCs w:val="22"/>
        </w:rPr>
        <w:t>service providers</w:t>
      </w:r>
      <w:r w:rsidR="00631AF9" w:rsidRPr="00335B44">
        <w:rPr>
          <w:sz w:val="22"/>
          <w:szCs w:val="22"/>
        </w:rPr>
        <w:t xml:space="preserve"> who are also trying to diagnose and resolve the service outage.</w:t>
      </w:r>
      <w:r w:rsidR="0065092C" w:rsidRPr="00335B44">
        <w:rPr>
          <w:sz w:val="22"/>
          <w:szCs w:val="22"/>
        </w:rPr>
        <w:t xml:space="preserve"> </w:t>
      </w:r>
      <w:r w:rsidR="00A97F85" w:rsidRPr="00335B44">
        <w:rPr>
          <w:sz w:val="22"/>
          <w:szCs w:val="22"/>
        </w:rPr>
        <w:t xml:space="preserve">The </w:t>
      </w:r>
      <w:r w:rsidR="00085498">
        <w:rPr>
          <w:sz w:val="22"/>
          <w:szCs w:val="22"/>
        </w:rPr>
        <w:t>explanatory statement</w:t>
      </w:r>
      <w:r w:rsidR="00A97F85" w:rsidRPr="00335B44">
        <w:rPr>
          <w:sz w:val="22"/>
          <w:szCs w:val="22"/>
        </w:rPr>
        <w:t xml:space="preserve"> </w:t>
      </w:r>
      <w:r w:rsidR="00141AC4" w:rsidRPr="00335B44">
        <w:rPr>
          <w:sz w:val="22"/>
          <w:szCs w:val="22"/>
        </w:rPr>
        <w:t>advises</w:t>
      </w:r>
      <w:r w:rsidR="00EB0DAC" w:rsidRPr="00335B44">
        <w:rPr>
          <w:sz w:val="22"/>
          <w:szCs w:val="22"/>
        </w:rPr>
        <w:t xml:space="preserve"> the ACMA </w:t>
      </w:r>
      <w:r w:rsidR="00141AC4" w:rsidRPr="00335B44">
        <w:rPr>
          <w:sz w:val="22"/>
          <w:szCs w:val="22"/>
        </w:rPr>
        <w:t>to</w:t>
      </w:r>
      <w:r w:rsidR="00EB0DAC" w:rsidRPr="00335B44">
        <w:rPr>
          <w:sz w:val="22"/>
          <w:szCs w:val="22"/>
        </w:rPr>
        <w:t xml:space="preserve"> ensure that the definition</w:t>
      </w:r>
      <w:r w:rsidR="00370B23" w:rsidRPr="00335B44">
        <w:rPr>
          <w:sz w:val="22"/>
          <w:szCs w:val="22"/>
        </w:rPr>
        <w:t xml:space="preserve"> is objective, quantifiable and measurable. </w:t>
      </w:r>
    </w:p>
    <w:p w14:paraId="3ACFEDD0" w14:textId="61F48899" w:rsidR="00794CE4" w:rsidRPr="00335B44" w:rsidRDefault="00794CE4" w:rsidP="007031FA">
      <w:pPr>
        <w:rPr>
          <w:sz w:val="22"/>
          <w:szCs w:val="22"/>
        </w:rPr>
      </w:pPr>
      <w:r w:rsidRPr="00335B44">
        <w:rPr>
          <w:sz w:val="22"/>
          <w:szCs w:val="22"/>
        </w:rPr>
        <w:t xml:space="preserve">The </w:t>
      </w:r>
      <w:r w:rsidR="007D1508">
        <w:rPr>
          <w:sz w:val="22"/>
          <w:szCs w:val="22"/>
        </w:rPr>
        <w:t xml:space="preserve">proposed </w:t>
      </w:r>
      <w:r w:rsidRPr="00335B44">
        <w:rPr>
          <w:sz w:val="22"/>
          <w:szCs w:val="22"/>
        </w:rPr>
        <w:t>definition</w:t>
      </w:r>
      <w:r w:rsidR="00F97E54" w:rsidRPr="00335B44">
        <w:rPr>
          <w:sz w:val="22"/>
          <w:szCs w:val="22"/>
        </w:rPr>
        <w:t xml:space="preserve">s of </w:t>
      </w:r>
      <w:r w:rsidR="00F5758E">
        <w:rPr>
          <w:sz w:val="22"/>
          <w:szCs w:val="22"/>
        </w:rPr>
        <w:t>‘</w:t>
      </w:r>
      <w:r w:rsidR="00F97E54" w:rsidRPr="00335B44">
        <w:rPr>
          <w:sz w:val="22"/>
          <w:szCs w:val="22"/>
        </w:rPr>
        <w:t xml:space="preserve">major </w:t>
      </w:r>
      <w:r w:rsidR="00F96859" w:rsidRPr="00335B44">
        <w:rPr>
          <w:sz w:val="22"/>
          <w:szCs w:val="22"/>
        </w:rPr>
        <w:t>outage</w:t>
      </w:r>
      <w:r w:rsidR="00F5758E">
        <w:rPr>
          <w:sz w:val="22"/>
          <w:szCs w:val="22"/>
        </w:rPr>
        <w:t>’</w:t>
      </w:r>
      <w:r w:rsidR="00F96859" w:rsidRPr="00335B44">
        <w:rPr>
          <w:sz w:val="22"/>
          <w:szCs w:val="22"/>
        </w:rPr>
        <w:t xml:space="preserve"> </w:t>
      </w:r>
      <w:r w:rsidR="00F97E54" w:rsidRPr="00335B44">
        <w:rPr>
          <w:sz w:val="22"/>
          <w:szCs w:val="22"/>
        </w:rPr>
        <w:t xml:space="preserve">and </w:t>
      </w:r>
      <w:r w:rsidR="00F5758E">
        <w:rPr>
          <w:sz w:val="22"/>
          <w:szCs w:val="22"/>
        </w:rPr>
        <w:t>‘</w:t>
      </w:r>
      <w:r w:rsidR="00F97E54" w:rsidRPr="00335B44">
        <w:rPr>
          <w:sz w:val="22"/>
          <w:szCs w:val="22"/>
        </w:rPr>
        <w:t>significant local outage</w:t>
      </w:r>
      <w:r w:rsidR="00F5758E">
        <w:rPr>
          <w:sz w:val="22"/>
          <w:szCs w:val="22"/>
        </w:rPr>
        <w:t>’</w:t>
      </w:r>
      <w:r w:rsidR="00F97E54" w:rsidRPr="00335B44">
        <w:rPr>
          <w:sz w:val="22"/>
          <w:szCs w:val="22"/>
        </w:rPr>
        <w:t xml:space="preserve"> </w:t>
      </w:r>
      <w:r w:rsidR="00D06CA1" w:rsidRPr="00335B44">
        <w:rPr>
          <w:sz w:val="22"/>
          <w:szCs w:val="22"/>
        </w:rPr>
        <w:t xml:space="preserve">are set out in </w:t>
      </w:r>
      <w:r w:rsidR="00F5758E">
        <w:rPr>
          <w:sz w:val="22"/>
          <w:szCs w:val="22"/>
        </w:rPr>
        <w:br/>
      </w:r>
      <w:r w:rsidR="00AA4BEE" w:rsidRPr="00335B44">
        <w:rPr>
          <w:sz w:val="22"/>
          <w:szCs w:val="22"/>
        </w:rPr>
        <w:t>section 5</w:t>
      </w:r>
      <w:r w:rsidR="00D06CA1" w:rsidRPr="00335B44">
        <w:rPr>
          <w:sz w:val="22"/>
          <w:szCs w:val="22"/>
        </w:rPr>
        <w:t xml:space="preserve"> of </w:t>
      </w:r>
      <w:r w:rsidR="00056933" w:rsidRPr="00335B44">
        <w:rPr>
          <w:sz w:val="22"/>
          <w:szCs w:val="22"/>
        </w:rPr>
        <w:t>the</w:t>
      </w:r>
      <w:r w:rsidR="00F5758E">
        <w:rPr>
          <w:sz w:val="22"/>
          <w:szCs w:val="22"/>
        </w:rPr>
        <w:t xml:space="preserve"> </w:t>
      </w:r>
      <w:r w:rsidR="00E63441">
        <w:rPr>
          <w:sz w:val="22"/>
          <w:szCs w:val="22"/>
        </w:rPr>
        <w:t xml:space="preserve">draft </w:t>
      </w:r>
      <w:r w:rsidR="00F5758E">
        <w:rPr>
          <w:sz w:val="22"/>
          <w:szCs w:val="22"/>
        </w:rPr>
        <w:t>s</w:t>
      </w:r>
      <w:r w:rsidR="00056933" w:rsidRPr="00335B44">
        <w:rPr>
          <w:sz w:val="22"/>
          <w:szCs w:val="22"/>
        </w:rPr>
        <w:t>tandard.</w:t>
      </w:r>
      <w:r w:rsidR="224898CA" w:rsidRPr="00335B44">
        <w:rPr>
          <w:sz w:val="22"/>
          <w:szCs w:val="22"/>
        </w:rPr>
        <w:t xml:space="preserve"> </w:t>
      </w:r>
      <w:r w:rsidR="00A437AA" w:rsidRPr="00335B44">
        <w:rPr>
          <w:sz w:val="22"/>
          <w:szCs w:val="22"/>
        </w:rPr>
        <w:t>We</w:t>
      </w:r>
      <w:r w:rsidR="224898CA" w:rsidRPr="00335B44">
        <w:rPr>
          <w:sz w:val="22"/>
          <w:szCs w:val="22"/>
        </w:rPr>
        <w:t xml:space="preserve"> propose that the </w:t>
      </w:r>
      <w:r w:rsidR="00F5758E">
        <w:rPr>
          <w:sz w:val="22"/>
          <w:szCs w:val="22"/>
        </w:rPr>
        <w:t>s</w:t>
      </w:r>
      <w:r w:rsidR="224898CA" w:rsidRPr="00335B44">
        <w:rPr>
          <w:sz w:val="22"/>
          <w:szCs w:val="22"/>
        </w:rPr>
        <w:t xml:space="preserve">tandard applies only to outages caused by network failures within the telecommunications network, and not from natural disasters </w:t>
      </w:r>
      <w:r w:rsidR="0890C549" w:rsidRPr="00335B44">
        <w:rPr>
          <w:sz w:val="22"/>
          <w:szCs w:val="22"/>
        </w:rPr>
        <w:t>(</w:t>
      </w:r>
      <w:r w:rsidR="006C7795" w:rsidRPr="00335B44">
        <w:rPr>
          <w:sz w:val="22"/>
          <w:szCs w:val="22"/>
        </w:rPr>
        <w:t xml:space="preserve">such as fire, flood, </w:t>
      </w:r>
      <w:proofErr w:type="gramStart"/>
      <w:r w:rsidR="006C7795" w:rsidRPr="00335B44">
        <w:rPr>
          <w:sz w:val="22"/>
          <w:szCs w:val="22"/>
        </w:rPr>
        <w:t>storm</w:t>
      </w:r>
      <w:proofErr w:type="gramEnd"/>
      <w:r w:rsidR="00A437AA" w:rsidRPr="00335B44">
        <w:rPr>
          <w:sz w:val="22"/>
          <w:szCs w:val="22"/>
        </w:rPr>
        <w:t xml:space="preserve"> </w:t>
      </w:r>
      <w:r w:rsidR="004C6043">
        <w:rPr>
          <w:sz w:val="22"/>
          <w:szCs w:val="22"/>
        </w:rPr>
        <w:t>or</w:t>
      </w:r>
      <w:r w:rsidR="004C6043" w:rsidRPr="00335B44">
        <w:rPr>
          <w:sz w:val="22"/>
          <w:szCs w:val="22"/>
        </w:rPr>
        <w:t xml:space="preserve"> </w:t>
      </w:r>
      <w:r w:rsidR="006C7795" w:rsidRPr="00335B44">
        <w:rPr>
          <w:sz w:val="22"/>
          <w:szCs w:val="22"/>
        </w:rPr>
        <w:t>earthquake</w:t>
      </w:r>
      <w:r w:rsidR="0890C549" w:rsidRPr="00335B44">
        <w:rPr>
          <w:sz w:val="22"/>
          <w:szCs w:val="22"/>
        </w:rPr>
        <w:t xml:space="preserve">). </w:t>
      </w:r>
      <w:r w:rsidR="0890C549" w:rsidRPr="00F50D0C">
        <w:rPr>
          <w:sz w:val="22"/>
          <w:szCs w:val="22"/>
        </w:rPr>
        <w:t xml:space="preserve">There would be nothing </w:t>
      </w:r>
      <w:r w:rsidR="00F77821">
        <w:rPr>
          <w:sz w:val="22"/>
          <w:szCs w:val="22"/>
        </w:rPr>
        <w:t>to prevent</w:t>
      </w:r>
      <w:r w:rsidR="00F77821" w:rsidRPr="00F50D0C">
        <w:rPr>
          <w:sz w:val="22"/>
          <w:szCs w:val="22"/>
        </w:rPr>
        <w:t xml:space="preserve"> </w:t>
      </w:r>
      <w:r w:rsidR="0890C549" w:rsidRPr="00F50D0C">
        <w:rPr>
          <w:sz w:val="22"/>
          <w:szCs w:val="22"/>
        </w:rPr>
        <w:t xml:space="preserve">providers from adhering to the principles or actions proposed in the </w:t>
      </w:r>
      <w:r w:rsidR="00F5758E">
        <w:rPr>
          <w:sz w:val="22"/>
          <w:szCs w:val="22"/>
        </w:rPr>
        <w:t>s</w:t>
      </w:r>
      <w:r w:rsidR="0890C549" w:rsidRPr="00335B44">
        <w:rPr>
          <w:sz w:val="22"/>
          <w:szCs w:val="22"/>
        </w:rPr>
        <w:t xml:space="preserve">tandard during </w:t>
      </w:r>
      <w:r w:rsidR="00A437AA" w:rsidRPr="00335B44">
        <w:rPr>
          <w:sz w:val="22"/>
          <w:szCs w:val="22"/>
        </w:rPr>
        <w:t>such events</w:t>
      </w:r>
      <w:r w:rsidR="00F5758E">
        <w:rPr>
          <w:sz w:val="22"/>
          <w:szCs w:val="22"/>
        </w:rPr>
        <w:t xml:space="preserve">. However, </w:t>
      </w:r>
      <w:r w:rsidR="0890C549" w:rsidRPr="00335B44">
        <w:rPr>
          <w:sz w:val="22"/>
          <w:szCs w:val="22"/>
        </w:rPr>
        <w:t xml:space="preserve">these would not be </w:t>
      </w:r>
      <w:r w:rsidR="000A6C82">
        <w:rPr>
          <w:sz w:val="22"/>
          <w:szCs w:val="22"/>
        </w:rPr>
        <w:t>mandated</w:t>
      </w:r>
      <w:r w:rsidR="000A6C82" w:rsidRPr="00335B44">
        <w:rPr>
          <w:sz w:val="22"/>
          <w:szCs w:val="22"/>
        </w:rPr>
        <w:t xml:space="preserve"> </w:t>
      </w:r>
      <w:r w:rsidR="26672EDE" w:rsidRPr="00335B44">
        <w:rPr>
          <w:sz w:val="22"/>
          <w:szCs w:val="22"/>
        </w:rPr>
        <w:t xml:space="preserve">under the </w:t>
      </w:r>
      <w:r w:rsidR="00F5758E">
        <w:rPr>
          <w:sz w:val="22"/>
          <w:szCs w:val="22"/>
        </w:rPr>
        <w:t>s</w:t>
      </w:r>
      <w:r w:rsidR="26672EDE" w:rsidRPr="00335B44">
        <w:rPr>
          <w:sz w:val="22"/>
          <w:szCs w:val="22"/>
        </w:rPr>
        <w:t>tandard.</w:t>
      </w:r>
    </w:p>
    <w:p w14:paraId="4948F59D" w14:textId="103E32C1" w:rsidR="00D60393" w:rsidRDefault="2A8E7EAB" w:rsidP="007031FA">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4B3157BE">
        <w:rPr>
          <w:b/>
          <w:bCs/>
        </w:rPr>
        <w:t xml:space="preserve">Question </w:t>
      </w:r>
      <w:r w:rsidR="007C7E1C">
        <w:rPr>
          <w:b/>
          <w:bCs/>
        </w:rPr>
        <w:t>2</w:t>
      </w:r>
      <w:r w:rsidRPr="4B3157BE">
        <w:rPr>
          <w:b/>
          <w:bCs/>
        </w:rPr>
        <w:t>:</w:t>
      </w:r>
      <w:r>
        <w:t xml:space="preserve"> </w:t>
      </w:r>
      <w:r w:rsidR="004F4978">
        <w:t xml:space="preserve">Is </w:t>
      </w:r>
      <w:r w:rsidR="005748E1">
        <w:t>the definition of a major outage appropriate</w:t>
      </w:r>
      <w:r w:rsidR="008A1B1B">
        <w:t xml:space="preserve">? </w:t>
      </w:r>
      <w:r w:rsidR="005F5E55">
        <w:t>If not, why not?</w:t>
      </w:r>
      <w:r w:rsidR="0036608E">
        <w:t xml:space="preserve"> </w:t>
      </w:r>
    </w:p>
    <w:p w14:paraId="402B1A04" w14:textId="77777777" w:rsidR="00AD321F" w:rsidRDefault="00D74A0B" w:rsidP="0075130F">
      <w:pPr>
        <w:pStyle w:val="Paragraphbeforelist"/>
        <w:spacing w:after="240"/>
      </w:pPr>
      <w:r>
        <w:t>A</w:t>
      </w:r>
      <w:r w:rsidR="00B038B2">
        <w:t xml:space="preserve"> significant local outage </w:t>
      </w:r>
      <w:r>
        <w:t>has been defined without reference to</w:t>
      </w:r>
      <w:r w:rsidR="00B038B2">
        <w:t xml:space="preserve"> a distinct </w:t>
      </w:r>
      <w:r w:rsidR="00A6535E">
        <w:t xml:space="preserve">local </w:t>
      </w:r>
      <w:r w:rsidR="00B038B2">
        <w:t>geographic area</w:t>
      </w:r>
      <w:r w:rsidR="00052C29">
        <w:t xml:space="preserve">. </w:t>
      </w:r>
    </w:p>
    <w:p w14:paraId="4D9B467A" w14:textId="557D3F50" w:rsidR="0075130F" w:rsidRDefault="00AD321F" w:rsidP="00AD321F">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00AD321F">
        <w:rPr>
          <w:b/>
          <w:bCs/>
        </w:rPr>
        <w:t>Question 3:</w:t>
      </w:r>
      <w:r>
        <w:t xml:space="preserve"> </w:t>
      </w:r>
      <w:r w:rsidR="00111E09">
        <w:t xml:space="preserve">Does the </w:t>
      </w:r>
      <w:r w:rsidR="00A84BC6">
        <w:t>definition</w:t>
      </w:r>
      <w:r w:rsidR="00D51596">
        <w:t xml:space="preserve"> of ‘significant local outage</w:t>
      </w:r>
      <w:r w:rsidR="00F5758E">
        <w:t>’</w:t>
      </w:r>
      <w:r w:rsidR="00A84BC6">
        <w:t xml:space="preserve"> meet the objective of the </w:t>
      </w:r>
      <w:r w:rsidR="00FD679A">
        <w:t>d</w:t>
      </w:r>
      <w:r w:rsidR="00A84BC6">
        <w:t xml:space="preserve">irection </w:t>
      </w:r>
      <w:r w:rsidR="00DB4BD2">
        <w:t xml:space="preserve">that it </w:t>
      </w:r>
      <w:r w:rsidR="00F77821">
        <w:t xml:space="preserve">should </w:t>
      </w:r>
      <w:r w:rsidR="00DB4BD2">
        <w:t>capt</w:t>
      </w:r>
      <w:r w:rsidR="00B76E19">
        <w:t>ure outages that are lesser in scale than major outages</w:t>
      </w:r>
      <w:r w:rsidR="04E07C92">
        <w:t>,</w:t>
      </w:r>
      <w:r w:rsidR="00716959">
        <w:t xml:space="preserve"> but have a significant impact on local communities</w:t>
      </w:r>
      <w:r w:rsidR="795A832E">
        <w:t>?</w:t>
      </w:r>
    </w:p>
    <w:p w14:paraId="67FEF361" w14:textId="77777777" w:rsidR="00AD321F" w:rsidRDefault="00AD321F" w:rsidP="00AD321F">
      <w:pPr>
        <w:pStyle w:val="Paragraphbeforelist"/>
        <w:spacing w:after="0"/>
      </w:pPr>
    </w:p>
    <w:p w14:paraId="7B411E61" w14:textId="032F73AA" w:rsidR="0075130F" w:rsidRDefault="56DD83AD" w:rsidP="007031FA">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75DF6408">
        <w:rPr>
          <w:b/>
          <w:bCs/>
        </w:rPr>
        <w:t xml:space="preserve">Question </w:t>
      </w:r>
      <w:r w:rsidR="00AD321F">
        <w:rPr>
          <w:b/>
          <w:bCs/>
        </w:rPr>
        <w:t>4</w:t>
      </w:r>
      <w:r w:rsidRPr="75DF6408">
        <w:rPr>
          <w:b/>
          <w:bCs/>
        </w:rPr>
        <w:t>:</w:t>
      </w:r>
      <w:r>
        <w:t xml:space="preserve"> </w:t>
      </w:r>
      <w:r w:rsidR="0036608E">
        <w:t>Is it appropriate to exempt</w:t>
      </w:r>
      <w:r w:rsidR="00F52663">
        <w:t xml:space="preserve"> planned outages </w:t>
      </w:r>
      <w:r w:rsidR="0056469B">
        <w:t xml:space="preserve">and outages </w:t>
      </w:r>
      <w:r w:rsidR="00F52663">
        <w:t>caused by natural disasters from the definition</w:t>
      </w:r>
      <w:r w:rsidR="6BB07B3E">
        <w:t xml:space="preserve">s? </w:t>
      </w:r>
    </w:p>
    <w:p w14:paraId="246E0552" w14:textId="554DE6BA" w:rsidR="005A566E" w:rsidRDefault="00962081" w:rsidP="007031FA">
      <w:pPr>
        <w:pStyle w:val="Heading3"/>
        <w:numPr>
          <w:ilvl w:val="0"/>
          <w:numId w:val="40"/>
        </w:numPr>
        <w:spacing w:after="120"/>
        <w:ind w:left="357" w:hanging="357"/>
      </w:pPr>
      <w:r>
        <w:lastRenderedPageBreak/>
        <w:t xml:space="preserve"> </w:t>
      </w:r>
      <w:bookmarkStart w:id="5" w:name="_Toc177387614"/>
      <w:r w:rsidR="008D653F">
        <w:t>Exemptions for certain carriers and carriage service providers</w:t>
      </w:r>
      <w:bookmarkEnd w:id="5"/>
    </w:p>
    <w:p w14:paraId="48470078" w14:textId="6600D3DD" w:rsidR="00996384" w:rsidRPr="00243424" w:rsidRDefault="0797F8A4" w:rsidP="007031FA">
      <w:pPr>
        <w:pBdr>
          <w:top w:val="single" w:sz="4" w:space="1" w:color="auto"/>
          <w:left w:val="single" w:sz="4" w:space="4" w:color="auto"/>
          <w:bottom w:val="single" w:sz="4" w:space="1" w:color="auto"/>
          <w:right w:val="single" w:sz="4" w:space="4" w:color="auto"/>
        </w:pBdr>
        <w:shd w:val="clear" w:color="auto" w:fill="F2F2F2" w:themeFill="background1" w:themeFillShade="F2"/>
        <w:rPr>
          <w:sz w:val="22"/>
          <w:szCs w:val="22"/>
        </w:rPr>
      </w:pPr>
      <w:r w:rsidRPr="75DF6408">
        <w:rPr>
          <w:b/>
          <w:bCs/>
          <w:sz w:val="22"/>
          <w:szCs w:val="22"/>
        </w:rPr>
        <w:t xml:space="preserve">Question </w:t>
      </w:r>
      <w:r w:rsidR="00AD321F">
        <w:rPr>
          <w:b/>
          <w:bCs/>
          <w:sz w:val="22"/>
          <w:szCs w:val="22"/>
        </w:rPr>
        <w:t>5</w:t>
      </w:r>
      <w:r w:rsidRPr="75DF6408">
        <w:rPr>
          <w:b/>
          <w:bCs/>
          <w:sz w:val="22"/>
          <w:szCs w:val="22"/>
        </w:rPr>
        <w:t xml:space="preserve">: </w:t>
      </w:r>
      <w:r w:rsidR="00D450AE" w:rsidRPr="75DF6408">
        <w:rPr>
          <w:sz w:val="22"/>
          <w:szCs w:val="22"/>
        </w:rPr>
        <w:t xml:space="preserve">Are there certain classes of carrier and carriage service provider that should be exempt from the </w:t>
      </w:r>
      <w:r w:rsidR="000D7D7B" w:rsidRPr="75DF6408">
        <w:rPr>
          <w:sz w:val="22"/>
          <w:szCs w:val="22"/>
        </w:rPr>
        <w:t xml:space="preserve">requirements </w:t>
      </w:r>
      <w:r w:rsidR="00AF5F69">
        <w:rPr>
          <w:sz w:val="22"/>
          <w:szCs w:val="22"/>
        </w:rPr>
        <w:t>of</w:t>
      </w:r>
      <w:r w:rsidR="000D7D7B" w:rsidRPr="75DF6408">
        <w:rPr>
          <w:sz w:val="22"/>
          <w:szCs w:val="22"/>
        </w:rPr>
        <w:t xml:space="preserve"> the </w:t>
      </w:r>
      <w:r w:rsidR="00FD679A">
        <w:rPr>
          <w:sz w:val="22"/>
          <w:szCs w:val="22"/>
        </w:rPr>
        <w:t>s</w:t>
      </w:r>
      <w:r w:rsidR="000D7D7B" w:rsidRPr="75DF6408">
        <w:rPr>
          <w:sz w:val="22"/>
          <w:szCs w:val="22"/>
        </w:rPr>
        <w:t xml:space="preserve">tandard? </w:t>
      </w:r>
      <w:r w:rsidR="007971C0" w:rsidRPr="75DF6408">
        <w:rPr>
          <w:sz w:val="22"/>
          <w:szCs w:val="22"/>
        </w:rPr>
        <w:t>Please explain your answer and give reasons for your</w:t>
      </w:r>
      <w:r w:rsidR="00243424" w:rsidRPr="75DF6408">
        <w:rPr>
          <w:sz w:val="22"/>
          <w:szCs w:val="22"/>
        </w:rPr>
        <w:t xml:space="preserve"> position.</w:t>
      </w:r>
    </w:p>
    <w:p w14:paraId="2AEA6D48" w14:textId="34718EE7" w:rsidR="008D653F" w:rsidRPr="00E10061" w:rsidRDefault="00A82045" w:rsidP="007031FA">
      <w:pPr>
        <w:pStyle w:val="Heading3"/>
        <w:numPr>
          <w:ilvl w:val="0"/>
          <w:numId w:val="40"/>
        </w:numPr>
        <w:spacing w:after="120"/>
        <w:ind w:left="357" w:hanging="357"/>
      </w:pPr>
      <w:bookmarkStart w:id="6" w:name="_Toc177387615"/>
      <w:r w:rsidRPr="00E10061">
        <w:t xml:space="preserve">Different classes of </w:t>
      </w:r>
      <w:r w:rsidR="00AF5F69">
        <w:t>customers</w:t>
      </w:r>
      <w:bookmarkEnd w:id="6"/>
    </w:p>
    <w:p w14:paraId="37FF960C" w14:textId="70EC2154" w:rsidR="005A566E" w:rsidRDefault="5BEC39C0" w:rsidP="007031FA">
      <w:pPr>
        <w:pStyle w:val="Paragraphbeforelist"/>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75DF6408">
        <w:rPr>
          <w:b/>
          <w:bCs/>
        </w:rPr>
        <w:t xml:space="preserve">Question </w:t>
      </w:r>
      <w:r w:rsidR="00AD321F">
        <w:rPr>
          <w:b/>
          <w:bCs/>
        </w:rPr>
        <w:t>6</w:t>
      </w:r>
      <w:r w:rsidRPr="75DF6408">
        <w:rPr>
          <w:b/>
          <w:bCs/>
        </w:rPr>
        <w:t xml:space="preserve">: </w:t>
      </w:r>
      <w:r w:rsidR="008938B3">
        <w:t xml:space="preserve">Should the </w:t>
      </w:r>
      <w:r w:rsidR="000663E8">
        <w:t>s</w:t>
      </w:r>
      <w:r w:rsidR="008938B3">
        <w:t xml:space="preserve">tandard </w:t>
      </w:r>
      <w:r w:rsidR="00216C50">
        <w:t>deal with</w:t>
      </w:r>
      <w:r w:rsidR="00C21EF8">
        <w:t xml:space="preserve"> matters differently for</w:t>
      </w:r>
      <w:r w:rsidR="008938B3">
        <w:t xml:space="preserve"> </w:t>
      </w:r>
      <w:r w:rsidR="00127998">
        <w:t>different classes of end-users of carriage services supplied</w:t>
      </w:r>
      <w:r w:rsidR="00745006">
        <w:t xml:space="preserve"> by carriers and carriage service providers?</w:t>
      </w:r>
    </w:p>
    <w:p w14:paraId="63EB4882" w14:textId="7E35F248" w:rsidR="00450570" w:rsidRPr="00450570" w:rsidRDefault="00450570" w:rsidP="000663E8">
      <w:pPr>
        <w:pStyle w:val="Heading3"/>
        <w:numPr>
          <w:ilvl w:val="0"/>
          <w:numId w:val="40"/>
        </w:numPr>
        <w:spacing w:after="120"/>
        <w:ind w:left="357" w:hanging="357"/>
      </w:pPr>
      <w:bookmarkStart w:id="7" w:name="_Toc177387616"/>
      <w:r w:rsidRPr="00450570">
        <w:t>Feasibility and cost</w:t>
      </w:r>
      <w:bookmarkEnd w:id="7"/>
    </w:p>
    <w:p w14:paraId="54498FF2" w14:textId="674D787F" w:rsidR="00450570" w:rsidRPr="00450570" w:rsidRDefault="3FA81807" w:rsidP="005C5287">
      <w:pPr>
        <w:pBdr>
          <w:top w:val="single" w:sz="4" w:space="1" w:color="auto"/>
          <w:left w:val="single" w:sz="4" w:space="4" w:color="auto"/>
          <w:bottom w:val="single" w:sz="4" w:space="1" w:color="auto"/>
          <w:right w:val="single" w:sz="4" w:space="4" w:color="auto"/>
        </w:pBdr>
        <w:shd w:val="clear" w:color="auto" w:fill="F2F2F2" w:themeFill="background1" w:themeFillShade="F2"/>
        <w:rPr>
          <w:sz w:val="22"/>
          <w:szCs w:val="22"/>
        </w:rPr>
      </w:pPr>
      <w:r w:rsidRPr="75DF6408">
        <w:rPr>
          <w:b/>
          <w:bCs/>
          <w:sz w:val="22"/>
          <w:szCs w:val="22"/>
        </w:rPr>
        <w:t xml:space="preserve">Question </w:t>
      </w:r>
      <w:r w:rsidR="00AD321F">
        <w:rPr>
          <w:b/>
          <w:bCs/>
          <w:sz w:val="22"/>
          <w:szCs w:val="22"/>
        </w:rPr>
        <w:t>7</w:t>
      </w:r>
      <w:r w:rsidRPr="75DF6408">
        <w:rPr>
          <w:sz w:val="22"/>
          <w:szCs w:val="22"/>
        </w:rPr>
        <w:t xml:space="preserve">: </w:t>
      </w:r>
      <w:r w:rsidR="00450570" w:rsidRPr="75DF6408">
        <w:rPr>
          <w:sz w:val="22"/>
          <w:szCs w:val="22"/>
        </w:rPr>
        <w:t>Are the proposed requirements robust and feasible?</w:t>
      </w:r>
    </w:p>
    <w:p w14:paraId="7F79FB7D" w14:textId="77777777" w:rsidR="00AF5F69" w:rsidRDefault="00AF5F69" w:rsidP="000663E8">
      <w:pPr>
        <w:spacing w:after="0" w:line="260" w:lineRule="atLeast"/>
        <w:rPr>
          <w:b/>
          <w:bCs/>
          <w:sz w:val="22"/>
          <w:szCs w:val="22"/>
        </w:rPr>
      </w:pPr>
    </w:p>
    <w:p w14:paraId="6804B0F0" w14:textId="087847E6" w:rsidR="00C31E91" w:rsidRPr="003C034C" w:rsidRDefault="6A18E664" w:rsidP="005C5287">
      <w:pPr>
        <w:pBdr>
          <w:top w:val="single" w:sz="4" w:space="1" w:color="auto"/>
          <w:left w:val="single" w:sz="4" w:space="4" w:color="auto"/>
          <w:bottom w:val="single" w:sz="4" w:space="1" w:color="auto"/>
          <w:right w:val="single" w:sz="4" w:space="4" w:color="auto"/>
        </w:pBdr>
        <w:shd w:val="clear" w:color="auto" w:fill="F2F2F2" w:themeFill="background1" w:themeFillShade="F2"/>
        <w:spacing w:line="260" w:lineRule="atLeast"/>
        <w:rPr>
          <w:sz w:val="22"/>
          <w:szCs w:val="22"/>
        </w:rPr>
      </w:pPr>
      <w:r w:rsidRPr="75DF6408">
        <w:rPr>
          <w:b/>
          <w:bCs/>
          <w:sz w:val="22"/>
          <w:szCs w:val="22"/>
        </w:rPr>
        <w:t xml:space="preserve">Question </w:t>
      </w:r>
      <w:r w:rsidR="00AD321F">
        <w:rPr>
          <w:b/>
          <w:bCs/>
          <w:sz w:val="22"/>
          <w:szCs w:val="22"/>
        </w:rPr>
        <w:t>8</w:t>
      </w:r>
      <w:r w:rsidRPr="75DF6408">
        <w:rPr>
          <w:b/>
          <w:bCs/>
          <w:sz w:val="22"/>
          <w:szCs w:val="22"/>
        </w:rPr>
        <w:t>:</w:t>
      </w:r>
      <w:r w:rsidRPr="75DF6408">
        <w:rPr>
          <w:sz w:val="22"/>
          <w:szCs w:val="22"/>
        </w:rPr>
        <w:t xml:space="preserve"> </w:t>
      </w:r>
      <w:r w:rsidR="00C31E91" w:rsidRPr="003C034C">
        <w:rPr>
          <w:sz w:val="22"/>
          <w:szCs w:val="22"/>
        </w:rPr>
        <w:t xml:space="preserve">For </w:t>
      </w:r>
      <w:r w:rsidR="00C31E91">
        <w:rPr>
          <w:sz w:val="22"/>
          <w:szCs w:val="22"/>
        </w:rPr>
        <w:t xml:space="preserve">carriers and </w:t>
      </w:r>
      <w:r w:rsidR="00C31E91" w:rsidRPr="003C034C">
        <w:rPr>
          <w:sz w:val="22"/>
          <w:szCs w:val="22"/>
        </w:rPr>
        <w:t>carriage service providers, what are the likely costs and benefits of implementation for your organisation</w:t>
      </w:r>
      <w:r w:rsidR="00AF5F69">
        <w:rPr>
          <w:sz w:val="22"/>
          <w:szCs w:val="22"/>
        </w:rPr>
        <w:t>?</w:t>
      </w:r>
      <w:r w:rsidR="00C31E91" w:rsidRPr="003C034C">
        <w:rPr>
          <w:sz w:val="22"/>
          <w:szCs w:val="22"/>
        </w:rPr>
        <w:t xml:space="preserve"> (</w:t>
      </w:r>
      <w:r w:rsidR="00AF5F69">
        <w:rPr>
          <w:sz w:val="22"/>
          <w:szCs w:val="22"/>
        </w:rPr>
        <w:t>P</w:t>
      </w:r>
      <w:r w:rsidR="00C31E91" w:rsidRPr="003C034C">
        <w:rPr>
          <w:sz w:val="22"/>
          <w:szCs w:val="22"/>
        </w:rPr>
        <w:t>lease provide specific cost estimates in your response</w:t>
      </w:r>
      <w:r w:rsidR="00AF5F69">
        <w:rPr>
          <w:sz w:val="22"/>
          <w:szCs w:val="22"/>
        </w:rPr>
        <w:t>.</w:t>
      </w:r>
      <w:r w:rsidR="00C31E91" w:rsidRPr="003C034C">
        <w:rPr>
          <w:sz w:val="22"/>
          <w:szCs w:val="22"/>
        </w:rPr>
        <w:t>)</w:t>
      </w:r>
      <w:r w:rsidR="00C31E91">
        <w:rPr>
          <w:sz w:val="22"/>
          <w:szCs w:val="22"/>
        </w:rPr>
        <w:t xml:space="preserve"> Are there alternative ways to achieve the objective of the </w:t>
      </w:r>
      <w:r w:rsidR="000663E8">
        <w:rPr>
          <w:sz w:val="22"/>
          <w:szCs w:val="22"/>
        </w:rPr>
        <w:t>d</w:t>
      </w:r>
      <w:r w:rsidR="00C31E91">
        <w:rPr>
          <w:sz w:val="22"/>
          <w:szCs w:val="22"/>
        </w:rPr>
        <w:t xml:space="preserve">irection </w:t>
      </w:r>
      <w:r w:rsidR="00AF5F69">
        <w:rPr>
          <w:sz w:val="22"/>
          <w:szCs w:val="22"/>
        </w:rPr>
        <w:t xml:space="preserve">that </w:t>
      </w:r>
      <w:r w:rsidR="00E749AC">
        <w:rPr>
          <w:sz w:val="22"/>
          <w:szCs w:val="22"/>
        </w:rPr>
        <w:t>would be consistent with its</w:t>
      </w:r>
      <w:r w:rsidR="00AA0640">
        <w:rPr>
          <w:sz w:val="22"/>
          <w:szCs w:val="22"/>
        </w:rPr>
        <w:t xml:space="preserve"> terms</w:t>
      </w:r>
      <w:r w:rsidR="00111E17">
        <w:rPr>
          <w:sz w:val="22"/>
          <w:szCs w:val="22"/>
        </w:rPr>
        <w:t xml:space="preserve"> and provide for</w:t>
      </w:r>
      <w:r w:rsidR="007F0C35">
        <w:rPr>
          <w:sz w:val="22"/>
          <w:szCs w:val="22"/>
        </w:rPr>
        <w:t xml:space="preserve"> </w:t>
      </w:r>
      <w:r w:rsidR="00C31E91">
        <w:rPr>
          <w:sz w:val="22"/>
          <w:szCs w:val="22"/>
        </w:rPr>
        <w:t xml:space="preserve">lesser costs or greater benefits? </w:t>
      </w:r>
    </w:p>
    <w:p w14:paraId="1704CD51" w14:textId="1F1F3954" w:rsidR="00C31E91" w:rsidRPr="003C034C" w:rsidRDefault="00AF5F69" w:rsidP="00C31E91">
      <w:pPr>
        <w:spacing w:line="260" w:lineRule="atLeast"/>
        <w:rPr>
          <w:sz w:val="22"/>
          <w:szCs w:val="22"/>
        </w:rPr>
      </w:pPr>
      <w:r>
        <w:rPr>
          <w:sz w:val="22"/>
          <w:szCs w:val="22"/>
        </w:rPr>
        <w:t>We</w:t>
      </w:r>
      <w:r w:rsidR="00C31E91" w:rsidRPr="003C034C">
        <w:rPr>
          <w:sz w:val="22"/>
          <w:szCs w:val="22"/>
        </w:rPr>
        <w:t xml:space="preserve"> welcome detailed information about issues, </w:t>
      </w:r>
      <w:proofErr w:type="gramStart"/>
      <w:r w:rsidR="00C31E91" w:rsidRPr="003C034C">
        <w:rPr>
          <w:sz w:val="22"/>
          <w:szCs w:val="22"/>
        </w:rPr>
        <w:t>costs</w:t>
      </w:r>
      <w:proofErr w:type="gramEnd"/>
      <w:r w:rsidR="00C31E91" w:rsidRPr="003C034C">
        <w:rPr>
          <w:sz w:val="22"/>
          <w:szCs w:val="22"/>
        </w:rPr>
        <w:t xml:space="preserve"> and benefits from an economic and social </w:t>
      </w:r>
      <w:r w:rsidR="00CC11F1">
        <w:rPr>
          <w:sz w:val="22"/>
          <w:szCs w:val="22"/>
        </w:rPr>
        <w:t>view</w:t>
      </w:r>
      <w:r w:rsidR="00CC11F1" w:rsidRPr="003C034C">
        <w:rPr>
          <w:sz w:val="22"/>
          <w:szCs w:val="22"/>
        </w:rPr>
        <w:t xml:space="preserve"> </w:t>
      </w:r>
      <w:r w:rsidR="00C31E91" w:rsidRPr="003C034C">
        <w:rPr>
          <w:sz w:val="22"/>
          <w:szCs w:val="22"/>
        </w:rPr>
        <w:t xml:space="preserve">against </w:t>
      </w:r>
      <w:r>
        <w:rPr>
          <w:sz w:val="22"/>
          <w:szCs w:val="22"/>
        </w:rPr>
        <w:t>the</w:t>
      </w:r>
      <w:r w:rsidRPr="003C034C">
        <w:rPr>
          <w:sz w:val="22"/>
          <w:szCs w:val="22"/>
        </w:rPr>
        <w:t xml:space="preserve"> </w:t>
      </w:r>
      <w:r w:rsidR="00C31E91" w:rsidRPr="003C034C">
        <w:rPr>
          <w:sz w:val="22"/>
          <w:szCs w:val="22"/>
        </w:rPr>
        <w:t xml:space="preserve">requirements of the </w:t>
      </w:r>
      <w:r w:rsidR="00186BAD">
        <w:rPr>
          <w:sz w:val="22"/>
          <w:szCs w:val="22"/>
        </w:rPr>
        <w:t>draft</w:t>
      </w:r>
      <w:r w:rsidR="00CC2507">
        <w:rPr>
          <w:sz w:val="22"/>
          <w:szCs w:val="22"/>
        </w:rPr>
        <w:t xml:space="preserve"> </w:t>
      </w:r>
      <w:r w:rsidR="00FD679A">
        <w:rPr>
          <w:sz w:val="22"/>
          <w:szCs w:val="22"/>
        </w:rPr>
        <w:t>s</w:t>
      </w:r>
      <w:r w:rsidR="00CC2507">
        <w:rPr>
          <w:sz w:val="22"/>
          <w:szCs w:val="22"/>
        </w:rPr>
        <w:t>tandard</w:t>
      </w:r>
      <w:r w:rsidR="00C31E91" w:rsidRPr="003C034C">
        <w:rPr>
          <w:sz w:val="22"/>
          <w:szCs w:val="22"/>
        </w:rPr>
        <w:t>.</w:t>
      </w:r>
    </w:p>
    <w:p w14:paraId="27423B49" w14:textId="2369A13A" w:rsidR="008437A2" w:rsidRDefault="008437A2" w:rsidP="00653C4D">
      <w:pPr>
        <w:pStyle w:val="Heading3"/>
        <w:numPr>
          <w:ilvl w:val="0"/>
          <w:numId w:val="40"/>
        </w:numPr>
      </w:pPr>
      <w:bookmarkStart w:id="8" w:name="_Toc177387617"/>
      <w:r>
        <w:t>Commencement</w:t>
      </w:r>
      <w:bookmarkEnd w:id="8"/>
    </w:p>
    <w:p w14:paraId="32E92AC0" w14:textId="4E74F056" w:rsidR="008437A2" w:rsidRDefault="008437A2" w:rsidP="008437A2">
      <w:pPr>
        <w:pStyle w:val="Numberlistlevel1"/>
        <w:numPr>
          <w:ilvl w:val="0"/>
          <w:numId w:val="0"/>
        </w:numPr>
        <w:spacing w:after="240"/>
      </w:pPr>
      <w:r w:rsidRPr="00E63441">
        <w:t xml:space="preserve">The </w:t>
      </w:r>
      <w:r w:rsidR="00CC11F1" w:rsidRPr="00E63441">
        <w:t>d</w:t>
      </w:r>
      <w:r w:rsidRPr="00E63441">
        <w:t xml:space="preserve">irection requires that the </w:t>
      </w:r>
      <w:r w:rsidR="00CC11F1" w:rsidRPr="00E63441">
        <w:t>s</w:t>
      </w:r>
      <w:r w:rsidRPr="00E63441">
        <w:t xml:space="preserve">tandard </w:t>
      </w:r>
      <w:r w:rsidR="00795EA8" w:rsidRPr="00E63441">
        <w:t xml:space="preserve">for major outages </w:t>
      </w:r>
      <w:r w:rsidRPr="00E63441">
        <w:t xml:space="preserve">(which must be determined by </w:t>
      </w:r>
      <w:r w:rsidR="00CC11F1" w:rsidRPr="00E63441">
        <w:br/>
      </w:r>
      <w:r w:rsidR="00342B4E" w:rsidRPr="00E63441">
        <w:t>14 November</w:t>
      </w:r>
      <w:r w:rsidRPr="00E63441">
        <w:t xml:space="preserve"> 2024) commence at the earliest opportunity, but no later than </w:t>
      </w:r>
      <w:r w:rsidR="00CC11F1" w:rsidRPr="00E63441">
        <w:br/>
      </w:r>
      <w:r w:rsidR="00786D7C" w:rsidRPr="00E63441">
        <w:t>3</w:t>
      </w:r>
      <w:r w:rsidR="00342B4E" w:rsidRPr="00E63441">
        <w:t>1</w:t>
      </w:r>
      <w:r w:rsidR="00786D7C" w:rsidRPr="00E63441">
        <w:t xml:space="preserve"> </w:t>
      </w:r>
      <w:r w:rsidR="00342B4E" w:rsidRPr="00E63441">
        <w:t>December</w:t>
      </w:r>
      <w:r w:rsidR="00786D7C" w:rsidRPr="00E63441">
        <w:t> 2024</w:t>
      </w:r>
      <w:r w:rsidRPr="00E63441">
        <w:t>.</w:t>
      </w:r>
      <w:r>
        <w:t xml:space="preserve"> </w:t>
      </w:r>
    </w:p>
    <w:p w14:paraId="557C3708" w14:textId="67B53F58" w:rsidR="008437A2" w:rsidRDefault="494A4DCB" w:rsidP="005C5287">
      <w:pPr>
        <w:pStyle w:val="Numberlistlevel1"/>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75DF6408">
        <w:rPr>
          <w:b/>
          <w:bCs/>
        </w:rPr>
        <w:t xml:space="preserve">Question </w:t>
      </w:r>
      <w:r w:rsidR="00AD321F">
        <w:rPr>
          <w:b/>
          <w:bCs/>
        </w:rPr>
        <w:t>9</w:t>
      </w:r>
      <w:r w:rsidRPr="75DF6408">
        <w:rPr>
          <w:b/>
          <w:bCs/>
        </w:rPr>
        <w:t>:</w:t>
      </w:r>
      <w:r>
        <w:t xml:space="preserve"> </w:t>
      </w:r>
      <w:r w:rsidR="008437A2">
        <w:t xml:space="preserve">We are seeking views, and the reasons for them, on the earliest practical date for the </w:t>
      </w:r>
      <w:r w:rsidR="004F28E9">
        <w:t>s</w:t>
      </w:r>
      <w:r w:rsidR="008437A2">
        <w:t xml:space="preserve">tandard </w:t>
      </w:r>
      <w:r w:rsidR="00DA5615">
        <w:t xml:space="preserve">for major outages </w:t>
      </w:r>
      <w:r w:rsidR="008437A2">
        <w:t>to commence in full</w:t>
      </w:r>
      <w:r w:rsidR="004F28E9">
        <w:t>. T</w:t>
      </w:r>
      <w:r w:rsidR="008437A2">
        <w:t xml:space="preserve">his must be no later than </w:t>
      </w:r>
      <w:r w:rsidR="004F28E9">
        <w:br/>
      </w:r>
      <w:r w:rsidR="003E06E2">
        <w:t>3</w:t>
      </w:r>
      <w:r w:rsidR="00342B4E">
        <w:t>1</w:t>
      </w:r>
      <w:r w:rsidR="003E06E2">
        <w:t xml:space="preserve"> </w:t>
      </w:r>
      <w:r w:rsidR="00342B4E">
        <w:t>December</w:t>
      </w:r>
      <w:r w:rsidR="008437A2">
        <w:t> 2024.</w:t>
      </w:r>
    </w:p>
    <w:p w14:paraId="65FE8912" w14:textId="32AB0E87" w:rsidR="00DA5615" w:rsidRDefault="00DA5615" w:rsidP="00AF6DBF">
      <w:pPr>
        <w:pStyle w:val="Numberlistlevel1"/>
        <w:numPr>
          <w:ilvl w:val="0"/>
          <w:numId w:val="0"/>
        </w:numPr>
        <w:spacing w:after="240"/>
      </w:pPr>
      <w:r w:rsidRPr="0009787B">
        <w:t xml:space="preserve">The </w:t>
      </w:r>
      <w:r w:rsidR="000663E8" w:rsidRPr="0009787B">
        <w:t>d</w:t>
      </w:r>
      <w:r w:rsidRPr="0009787B">
        <w:t xml:space="preserve">irection requires the </w:t>
      </w:r>
      <w:r w:rsidR="005C5287" w:rsidRPr="0009787B">
        <w:t>s</w:t>
      </w:r>
      <w:r w:rsidRPr="0009787B">
        <w:t xml:space="preserve">tandard for significant local outages (which must be determined by 30 April 2025) </w:t>
      </w:r>
      <w:r w:rsidR="003E5C05" w:rsidRPr="0009787B">
        <w:t>commence at the earliest opportunity</w:t>
      </w:r>
      <w:r w:rsidR="00E56DF8" w:rsidRPr="0009787B">
        <w:t>,</w:t>
      </w:r>
      <w:r w:rsidR="003E5C05" w:rsidRPr="0009787B">
        <w:t xml:space="preserve"> but no later than 30 June 2025.</w:t>
      </w:r>
    </w:p>
    <w:p w14:paraId="391DFD2D" w14:textId="04596B75" w:rsidR="004262BF" w:rsidRDefault="003E5C05" w:rsidP="005C5287">
      <w:pPr>
        <w:pStyle w:val="Numberlistlevel1"/>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rsidRPr="00A6467B">
        <w:rPr>
          <w:b/>
          <w:bCs/>
        </w:rPr>
        <w:t xml:space="preserve">Question </w:t>
      </w:r>
      <w:r w:rsidR="00AD321F">
        <w:rPr>
          <w:b/>
          <w:bCs/>
        </w:rPr>
        <w:t>10</w:t>
      </w:r>
      <w:r w:rsidRPr="00A6467B">
        <w:rPr>
          <w:b/>
          <w:bCs/>
        </w:rPr>
        <w:t>:</w:t>
      </w:r>
      <w:r>
        <w:t xml:space="preserve"> </w:t>
      </w:r>
      <w:r w:rsidR="004262BF">
        <w:t xml:space="preserve">We are seeking views, and the reasons for them, on the earliest practical date for the </w:t>
      </w:r>
      <w:r w:rsidR="00611C93">
        <w:t>s</w:t>
      </w:r>
      <w:r w:rsidR="004262BF">
        <w:t xml:space="preserve">tandard for significant local outages to commence in full, noting that this must be no later than </w:t>
      </w:r>
      <w:r w:rsidR="00D828A0">
        <w:t>30 June 2025</w:t>
      </w:r>
      <w:r w:rsidR="004262BF">
        <w:t>.</w:t>
      </w:r>
    </w:p>
    <w:p w14:paraId="5F8EF371" w14:textId="1A3C810E" w:rsidR="00CE5F97" w:rsidRDefault="00CE5F97" w:rsidP="00653C4D">
      <w:pPr>
        <w:pStyle w:val="Heading3"/>
        <w:numPr>
          <w:ilvl w:val="0"/>
          <w:numId w:val="40"/>
        </w:numPr>
      </w:pPr>
      <w:bookmarkStart w:id="9" w:name="_Toc177387618"/>
      <w:r>
        <w:t>Additional/</w:t>
      </w:r>
      <w:r w:rsidR="005C5287">
        <w:t xml:space="preserve">preferable </w:t>
      </w:r>
      <w:r>
        <w:t>requirements</w:t>
      </w:r>
      <w:bookmarkEnd w:id="9"/>
    </w:p>
    <w:p w14:paraId="50C887DD" w14:textId="779DE44A" w:rsidR="00CE5F97" w:rsidRPr="00D04C0C" w:rsidRDefault="00CE5F97" w:rsidP="00631FA7">
      <w:pPr>
        <w:spacing w:after="120"/>
        <w:rPr>
          <w:sz w:val="22"/>
          <w:szCs w:val="22"/>
        </w:rPr>
      </w:pPr>
      <w:r w:rsidRPr="75DF6408">
        <w:rPr>
          <w:sz w:val="22"/>
          <w:szCs w:val="22"/>
        </w:rPr>
        <w:t xml:space="preserve">The </w:t>
      </w:r>
      <w:r w:rsidR="00FD679A">
        <w:rPr>
          <w:sz w:val="22"/>
          <w:szCs w:val="22"/>
        </w:rPr>
        <w:t>d</w:t>
      </w:r>
      <w:r w:rsidRPr="75DF6408">
        <w:rPr>
          <w:sz w:val="22"/>
          <w:szCs w:val="22"/>
        </w:rPr>
        <w:t xml:space="preserve">irection sets out what the </w:t>
      </w:r>
      <w:r w:rsidR="00FD679A">
        <w:rPr>
          <w:sz w:val="22"/>
          <w:szCs w:val="22"/>
        </w:rPr>
        <w:t>s</w:t>
      </w:r>
      <w:r w:rsidRPr="75DF6408">
        <w:rPr>
          <w:sz w:val="22"/>
          <w:szCs w:val="22"/>
        </w:rPr>
        <w:t>tandard must contain and limits additional inclusions by the ACMA</w:t>
      </w:r>
      <w:r w:rsidR="0015709A">
        <w:rPr>
          <w:sz w:val="22"/>
          <w:szCs w:val="22"/>
        </w:rPr>
        <w:t>,</w:t>
      </w:r>
      <w:r w:rsidRPr="75DF6408">
        <w:rPr>
          <w:sz w:val="22"/>
          <w:szCs w:val="22"/>
        </w:rPr>
        <w:t xml:space="preserve"> except to meet the objectives. </w:t>
      </w:r>
    </w:p>
    <w:p w14:paraId="0A1E1537" w14:textId="365A52E4" w:rsidR="00CE5F97" w:rsidRPr="00D04C0C" w:rsidRDefault="1EC55F83" w:rsidP="005C5287">
      <w:pPr>
        <w:pBdr>
          <w:top w:val="single" w:sz="4" w:space="1" w:color="auto"/>
          <w:left w:val="single" w:sz="4" w:space="4" w:color="auto"/>
          <w:bottom w:val="single" w:sz="4" w:space="1" w:color="auto"/>
          <w:right w:val="single" w:sz="4" w:space="4" w:color="auto"/>
        </w:pBdr>
        <w:shd w:val="clear" w:color="auto" w:fill="F2F2F2" w:themeFill="background1" w:themeFillShade="F2"/>
        <w:spacing w:after="80"/>
        <w:rPr>
          <w:sz w:val="22"/>
          <w:szCs w:val="22"/>
        </w:rPr>
      </w:pPr>
      <w:r w:rsidRPr="75DF6408">
        <w:rPr>
          <w:b/>
          <w:bCs/>
          <w:sz w:val="22"/>
          <w:szCs w:val="22"/>
        </w:rPr>
        <w:t xml:space="preserve">Question </w:t>
      </w:r>
      <w:r w:rsidR="0015709A">
        <w:rPr>
          <w:b/>
          <w:bCs/>
          <w:sz w:val="22"/>
          <w:szCs w:val="22"/>
        </w:rPr>
        <w:t>1</w:t>
      </w:r>
      <w:r w:rsidR="00AD321F">
        <w:rPr>
          <w:b/>
          <w:bCs/>
          <w:sz w:val="22"/>
          <w:szCs w:val="22"/>
        </w:rPr>
        <w:t>1</w:t>
      </w:r>
      <w:r w:rsidRPr="75DF6408">
        <w:rPr>
          <w:b/>
          <w:bCs/>
          <w:sz w:val="22"/>
          <w:szCs w:val="22"/>
        </w:rPr>
        <w:t>:</w:t>
      </w:r>
      <w:r w:rsidRPr="75DF6408">
        <w:rPr>
          <w:sz w:val="22"/>
          <w:szCs w:val="22"/>
        </w:rPr>
        <w:t xml:space="preserve"> </w:t>
      </w:r>
      <w:r w:rsidR="0015709A">
        <w:rPr>
          <w:sz w:val="22"/>
          <w:szCs w:val="22"/>
        </w:rPr>
        <w:t>We are</w:t>
      </w:r>
      <w:r w:rsidR="00CE5F97" w:rsidRPr="75DF6408">
        <w:rPr>
          <w:sz w:val="22"/>
          <w:szCs w:val="22"/>
        </w:rPr>
        <w:t xml:space="preserve"> seeking feedback on whether there are:</w:t>
      </w:r>
    </w:p>
    <w:p w14:paraId="3F208651" w14:textId="39D0D0ED" w:rsidR="00CE5F97" w:rsidRPr="00D04C0C" w:rsidRDefault="0015709A" w:rsidP="005C5287">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80"/>
        <w:rPr>
          <w:sz w:val="22"/>
          <w:szCs w:val="22"/>
        </w:rPr>
      </w:pPr>
      <w:r>
        <w:rPr>
          <w:sz w:val="22"/>
          <w:szCs w:val="22"/>
        </w:rPr>
        <w:t>A</w:t>
      </w:r>
      <w:r w:rsidR="00CE5F97" w:rsidRPr="75DF6408">
        <w:rPr>
          <w:sz w:val="22"/>
          <w:szCs w:val="22"/>
        </w:rPr>
        <w:t xml:space="preserve">dditional matters </w:t>
      </w:r>
      <w:r w:rsidR="1B97EBFE" w:rsidRPr="75DF6408">
        <w:rPr>
          <w:sz w:val="22"/>
          <w:szCs w:val="22"/>
        </w:rPr>
        <w:t xml:space="preserve">aligned to the objectives </w:t>
      </w:r>
      <w:r w:rsidR="00CE5F97" w:rsidRPr="75DF6408">
        <w:rPr>
          <w:sz w:val="22"/>
          <w:szCs w:val="22"/>
        </w:rPr>
        <w:t xml:space="preserve">which should be included in the </w:t>
      </w:r>
      <w:r w:rsidR="00FD679A">
        <w:rPr>
          <w:sz w:val="22"/>
          <w:szCs w:val="22"/>
        </w:rPr>
        <w:t>s</w:t>
      </w:r>
      <w:r w:rsidR="00CE5F97" w:rsidRPr="75DF6408">
        <w:rPr>
          <w:sz w:val="22"/>
          <w:szCs w:val="22"/>
        </w:rPr>
        <w:t>tandard?</w:t>
      </w:r>
    </w:p>
    <w:p w14:paraId="5DCDB920" w14:textId="58C8EB34" w:rsidR="00CE5F97" w:rsidRPr="00D04C0C" w:rsidRDefault="0015709A" w:rsidP="005C5287">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357" w:hanging="357"/>
        <w:rPr>
          <w:sz w:val="22"/>
          <w:szCs w:val="22"/>
        </w:rPr>
      </w:pPr>
      <w:r>
        <w:rPr>
          <w:sz w:val="22"/>
          <w:szCs w:val="22"/>
        </w:rPr>
        <w:t>M</w:t>
      </w:r>
      <w:r w:rsidR="00CE5F97" w:rsidRPr="00D04C0C">
        <w:rPr>
          <w:sz w:val="22"/>
          <w:szCs w:val="22"/>
        </w:rPr>
        <w:t xml:space="preserve">atters included in the </w:t>
      </w:r>
      <w:r w:rsidR="0009787B">
        <w:rPr>
          <w:sz w:val="22"/>
          <w:szCs w:val="22"/>
        </w:rPr>
        <w:t xml:space="preserve">draft </w:t>
      </w:r>
      <w:r w:rsidR="00FD679A">
        <w:rPr>
          <w:sz w:val="22"/>
          <w:szCs w:val="22"/>
        </w:rPr>
        <w:t>s</w:t>
      </w:r>
      <w:r w:rsidR="00CE5F97" w:rsidRPr="00D04C0C">
        <w:rPr>
          <w:sz w:val="22"/>
          <w:szCs w:val="22"/>
        </w:rPr>
        <w:t xml:space="preserve">tandard </w:t>
      </w:r>
      <w:r w:rsidR="00027D88">
        <w:rPr>
          <w:sz w:val="22"/>
          <w:szCs w:val="22"/>
        </w:rPr>
        <w:t>for which</w:t>
      </w:r>
      <w:r w:rsidR="005E1EA6">
        <w:rPr>
          <w:sz w:val="22"/>
          <w:szCs w:val="22"/>
        </w:rPr>
        <w:t xml:space="preserve"> alternative</w:t>
      </w:r>
      <w:r w:rsidR="00C31275">
        <w:rPr>
          <w:sz w:val="22"/>
          <w:szCs w:val="22"/>
        </w:rPr>
        <w:t xml:space="preserve"> arrangements</w:t>
      </w:r>
      <w:r w:rsidR="004D2F36" w:rsidRPr="00D04C0C">
        <w:rPr>
          <w:sz w:val="22"/>
          <w:szCs w:val="22"/>
        </w:rPr>
        <w:t xml:space="preserve"> </w:t>
      </w:r>
      <w:r w:rsidR="00CE5F97" w:rsidRPr="00D04C0C">
        <w:rPr>
          <w:sz w:val="22"/>
          <w:szCs w:val="22"/>
        </w:rPr>
        <w:t>should be considered?</w:t>
      </w:r>
    </w:p>
    <w:p w14:paraId="12EF4967" w14:textId="76CE060E" w:rsidR="00CE5F97" w:rsidRPr="00996384" w:rsidRDefault="00CE5F97" w:rsidP="005C5287">
      <w:pPr>
        <w:pBdr>
          <w:top w:val="single" w:sz="4" w:space="1" w:color="auto"/>
          <w:left w:val="single" w:sz="4" w:space="4" w:color="auto"/>
          <w:bottom w:val="single" w:sz="4" w:space="1" w:color="auto"/>
          <w:right w:val="single" w:sz="4" w:space="4" w:color="auto"/>
        </w:pBdr>
        <w:shd w:val="clear" w:color="auto" w:fill="F2F2F2" w:themeFill="background1" w:themeFillShade="F2"/>
        <w:rPr>
          <w:sz w:val="22"/>
          <w:szCs w:val="22"/>
        </w:rPr>
      </w:pPr>
      <w:r w:rsidRPr="00D04C0C">
        <w:rPr>
          <w:sz w:val="22"/>
          <w:szCs w:val="22"/>
        </w:rPr>
        <w:t>Please provide evidence to support your position.</w:t>
      </w:r>
      <w:bookmarkStart w:id="10" w:name="_Toc173245580"/>
      <w:bookmarkEnd w:id="10"/>
    </w:p>
    <w:p w14:paraId="4D476416" w14:textId="3D0F0794" w:rsidR="005E4186" w:rsidRDefault="005E4186" w:rsidP="005E4186">
      <w:pPr>
        <w:pStyle w:val="Heading1"/>
      </w:pPr>
      <w:bookmarkStart w:id="11" w:name="_Toc148087414"/>
      <w:bookmarkStart w:id="12" w:name="_Toc177387619"/>
      <w:bookmarkStart w:id="13" w:name="_Toc166836488"/>
      <w:r>
        <w:lastRenderedPageBreak/>
        <w:t xml:space="preserve">The </w:t>
      </w:r>
      <w:r w:rsidR="00223BBB">
        <w:t xml:space="preserve">draft </w:t>
      </w:r>
      <w:r w:rsidR="000663E8">
        <w:t>s</w:t>
      </w:r>
      <w:r>
        <w:t>tandard</w:t>
      </w:r>
      <w:bookmarkEnd w:id="11"/>
      <w:bookmarkEnd w:id="12"/>
    </w:p>
    <w:p w14:paraId="46D76C7E" w14:textId="77777777" w:rsidR="005E4186" w:rsidRPr="00673E8A" w:rsidRDefault="005E4186" w:rsidP="00673E8A">
      <w:pPr>
        <w:pStyle w:val="Heading2"/>
      </w:pPr>
      <w:bookmarkStart w:id="14" w:name="_Toc148087415"/>
      <w:bookmarkStart w:id="15" w:name="_Toc177387620"/>
      <w:r w:rsidRPr="00673E8A">
        <w:t>Objective</w:t>
      </w:r>
      <w:bookmarkEnd w:id="14"/>
      <w:bookmarkEnd w:id="15"/>
      <w:r w:rsidRPr="00673E8A">
        <w:t xml:space="preserve"> </w:t>
      </w:r>
    </w:p>
    <w:p w14:paraId="4AEFECBE" w14:textId="20F2312F" w:rsidR="008E7DED" w:rsidRDefault="005E4186" w:rsidP="005C5287">
      <w:pPr>
        <w:pStyle w:val="Paragraphbeforelist"/>
      </w:pPr>
      <w:r>
        <w:t xml:space="preserve">The </w:t>
      </w:r>
      <w:r w:rsidR="00FB5650">
        <w:t>objective</w:t>
      </w:r>
      <w:r w:rsidR="00472744">
        <w:t>s</w:t>
      </w:r>
      <w:r w:rsidR="00FB5650">
        <w:t xml:space="preserve"> of the </w:t>
      </w:r>
      <w:r w:rsidR="000663E8">
        <w:t>s</w:t>
      </w:r>
      <w:r>
        <w:t xml:space="preserve">tandard </w:t>
      </w:r>
      <w:r w:rsidR="00472744">
        <w:t>are</w:t>
      </w:r>
      <w:r w:rsidR="001504D1">
        <w:t>:</w:t>
      </w:r>
    </w:p>
    <w:p w14:paraId="250B0182" w14:textId="212294D4" w:rsidR="00472744" w:rsidRDefault="00472744" w:rsidP="00611C93">
      <w:pPr>
        <w:pStyle w:val="Paragraph"/>
        <w:numPr>
          <w:ilvl w:val="0"/>
          <w:numId w:val="37"/>
        </w:numPr>
        <w:spacing w:after="60"/>
        <w:ind w:left="357" w:hanging="357"/>
      </w:pPr>
      <w:r>
        <w:t xml:space="preserve">that communications with </w:t>
      </w:r>
      <w:r w:rsidR="001A1E87">
        <w:t xml:space="preserve">end-users </w:t>
      </w:r>
      <w:r>
        <w:t xml:space="preserve">during </w:t>
      </w:r>
      <w:r w:rsidR="00A24F75">
        <w:t xml:space="preserve">– </w:t>
      </w:r>
      <w:r>
        <w:t xml:space="preserve">or in relation to </w:t>
      </w:r>
      <w:r w:rsidR="00A24F75">
        <w:t xml:space="preserve">– </w:t>
      </w:r>
      <w:r>
        <w:t xml:space="preserve">a major outage </w:t>
      </w:r>
      <w:r w:rsidR="00487DFB">
        <w:t xml:space="preserve">or significant local outage </w:t>
      </w:r>
      <w:r>
        <w:t xml:space="preserve">in a telecommunications network used to supply carriage </w:t>
      </w:r>
      <w:r w:rsidR="00A24F75">
        <w:br/>
      </w:r>
      <w:r>
        <w:t>services</w:t>
      </w:r>
      <w:r w:rsidR="00A24F75">
        <w:t xml:space="preserve"> </w:t>
      </w:r>
      <w:r>
        <w:t xml:space="preserve">will: </w:t>
      </w:r>
    </w:p>
    <w:p w14:paraId="3245948C" w14:textId="6EFFF1BF" w:rsidR="00472744" w:rsidRDefault="00472744" w:rsidP="000C4C15">
      <w:pPr>
        <w:pStyle w:val="Paragraph"/>
        <w:numPr>
          <w:ilvl w:val="0"/>
          <w:numId w:val="38"/>
        </w:numPr>
        <w:spacing w:after="120"/>
        <w:ind w:left="714" w:hanging="357"/>
      </w:pPr>
      <w:r>
        <w:t xml:space="preserve">be timely and </w:t>
      </w:r>
      <w:proofErr w:type="gramStart"/>
      <w:r>
        <w:t>up-to-date</w:t>
      </w:r>
      <w:proofErr w:type="gramEnd"/>
    </w:p>
    <w:p w14:paraId="32607ACE" w14:textId="6BEA1210" w:rsidR="00472744" w:rsidRDefault="00472744" w:rsidP="000C4C15">
      <w:pPr>
        <w:pStyle w:val="Paragraph"/>
        <w:numPr>
          <w:ilvl w:val="0"/>
          <w:numId w:val="38"/>
        </w:numPr>
        <w:spacing w:after="120"/>
        <w:ind w:left="714" w:hanging="357"/>
      </w:pPr>
      <w:r>
        <w:t xml:space="preserve">be accessible, and made through a mix of public and direct communication channels </w:t>
      </w:r>
    </w:p>
    <w:p w14:paraId="3A53F04D" w14:textId="2DEA7D16" w:rsidR="00472744" w:rsidRDefault="00472744" w:rsidP="000C4C15">
      <w:pPr>
        <w:pStyle w:val="Paragraph"/>
        <w:numPr>
          <w:ilvl w:val="0"/>
          <w:numId w:val="38"/>
        </w:numPr>
        <w:spacing w:after="120"/>
        <w:ind w:left="714" w:hanging="357"/>
      </w:pPr>
      <w:r>
        <w:t xml:space="preserve">identify, as appropriate, methods for </w:t>
      </w:r>
      <w:r w:rsidR="00A24F75">
        <w:t>customers</w:t>
      </w:r>
      <w:r>
        <w:t xml:space="preserve"> to seek a real-time or near real-time update or assistance </w:t>
      </w:r>
    </w:p>
    <w:p w14:paraId="41368E0B" w14:textId="3FFC6072" w:rsidR="00472744" w:rsidRDefault="00472744" w:rsidP="000C4C15">
      <w:pPr>
        <w:pStyle w:val="Paragraph"/>
        <w:numPr>
          <w:ilvl w:val="0"/>
          <w:numId w:val="38"/>
        </w:numPr>
        <w:spacing w:after="120"/>
        <w:ind w:left="714" w:hanging="357"/>
      </w:pPr>
      <w:r>
        <w:t xml:space="preserve">include information that the telecommunications network is subject to a major outage or significant local outage </w:t>
      </w:r>
    </w:p>
    <w:p w14:paraId="64F40E31" w14:textId="14B47698" w:rsidR="00472744" w:rsidRDefault="00472744" w:rsidP="000C4C15">
      <w:pPr>
        <w:pStyle w:val="Paragraph"/>
        <w:numPr>
          <w:ilvl w:val="0"/>
          <w:numId w:val="38"/>
        </w:numPr>
        <w:spacing w:after="120"/>
        <w:ind w:left="714" w:hanging="357"/>
      </w:pPr>
      <w:r>
        <w:t xml:space="preserve">include available information about the status, scale, </w:t>
      </w:r>
      <w:proofErr w:type="gramStart"/>
      <w:r>
        <w:t>cause</w:t>
      </w:r>
      <w:proofErr w:type="gramEnd"/>
      <w:r>
        <w:t xml:space="preserve"> and estimated timing for rectification of the major outage or significant local outage</w:t>
      </w:r>
    </w:p>
    <w:p w14:paraId="1A1D14DF" w14:textId="37322F7D" w:rsidR="001504D1" w:rsidRDefault="00472744" w:rsidP="00611C93">
      <w:pPr>
        <w:pStyle w:val="Paragraph"/>
        <w:numPr>
          <w:ilvl w:val="0"/>
          <w:numId w:val="38"/>
        </w:numPr>
        <w:spacing w:after="120"/>
        <w:ind w:left="714" w:hanging="357"/>
      </w:pPr>
      <w:r>
        <w:t>provide prompt notification when services are restored</w:t>
      </w:r>
      <w:r w:rsidR="001F78E9">
        <w:t>.</w:t>
      </w:r>
    </w:p>
    <w:p w14:paraId="379F8A93" w14:textId="411DE009" w:rsidR="001504D1" w:rsidRDefault="00B27CBE" w:rsidP="00611C93">
      <w:pPr>
        <w:pStyle w:val="Paragraph"/>
        <w:numPr>
          <w:ilvl w:val="0"/>
          <w:numId w:val="37"/>
        </w:numPr>
        <w:spacing w:after="120"/>
        <w:ind w:left="357" w:hanging="357"/>
      </w:pPr>
      <w:r w:rsidRPr="00B27CBE">
        <w:t xml:space="preserve">that carriers and carriage service providers must share information about major outages with other carriers, carriage service providers and relevant stakeholders to enable effective communication with </w:t>
      </w:r>
      <w:r w:rsidR="005B37BA">
        <w:t>customers</w:t>
      </w:r>
      <w:r w:rsidRPr="00B27CBE">
        <w:t xml:space="preserve"> affected by the major outage or significant local outage</w:t>
      </w:r>
    </w:p>
    <w:p w14:paraId="4276AF33" w14:textId="41F81A58" w:rsidR="006C25FD" w:rsidRPr="00D763BB" w:rsidRDefault="00D763BB" w:rsidP="00D763BB">
      <w:pPr>
        <w:pStyle w:val="ListParagraph"/>
        <w:numPr>
          <w:ilvl w:val="0"/>
          <w:numId w:val="37"/>
        </w:numPr>
        <w:rPr>
          <w:rFonts w:cs="Arial"/>
          <w:sz w:val="22"/>
        </w:rPr>
      </w:pPr>
      <w:r w:rsidRPr="00D763BB">
        <w:rPr>
          <w:rFonts w:cs="Arial"/>
          <w:sz w:val="22"/>
        </w:rPr>
        <w:t xml:space="preserve">that carriers and carriage service providers make information about their process for communicating about major outages publicly available and easily accessible. </w:t>
      </w:r>
    </w:p>
    <w:p w14:paraId="6BEAD592" w14:textId="2B371380" w:rsidR="005E4186" w:rsidRDefault="005B37BA" w:rsidP="005E4186">
      <w:pPr>
        <w:pStyle w:val="Paragraph"/>
      </w:pPr>
      <w:r>
        <w:t xml:space="preserve">The </w:t>
      </w:r>
      <w:r w:rsidR="00FD679A">
        <w:t>s</w:t>
      </w:r>
      <w:r>
        <w:t xml:space="preserve">tandard </w:t>
      </w:r>
      <w:r w:rsidR="005E4186">
        <w:t xml:space="preserve">will also allow direct enforcement of rules governing how </w:t>
      </w:r>
      <w:r w:rsidR="00B604F6">
        <w:t xml:space="preserve">carriers and carriage service providers communicate with </w:t>
      </w:r>
      <w:r>
        <w:t>customers</w:t>
      </w:r>
      <w:r w:rsidR="00B604F6">
        <w:t xml:space="preserve"> when there is a major outage</w:t>
      </w:r>
      <w:r w:rsidR="00BD6C03">
        <w:t xml:space="preserve"> in telecommunications networks</w:t>
      </w:r>
      <w:r w:rsidR="00B604F6">
        <w:t>.</w:t>
      </w:r>
    </w:p>
    <w:p w14:paraId="18D1FB55" w14:textId="3941E282" w:rsidR="00547F5F" w:rsidRPr="00673E8A" w:rsidRDefault="00547F5F" w:rsidP="00673E8A">
      <w:pPr>
        <w:pStyle w:val="Heading2"/>
      </w:pPr>
      <w:bookmarkStart w:id="16" w:name="_Toc177387621"/>
      <w:r w:rsidRPr="00673E8A">
        <w:t xml:space="preserve">The </w:t>
      </w:r>
      <w:r w:rsidR="000663E8">
        <w:t>d</w:t>
      </w:r>
      <w:r w:rsidRPr="00673E8A">
        <w:t>irection</w:t>
      </w:r>
      <w:bookmarkEnd w:id="16"/>
    </w:p>
    <w:p w14:paraId="1E959605" w14:textId="06920530" w:rsidR="00CF448C" w:rsidRPr="006A195B" w:rsidRDefault="00547F5F" w:rsidP="005B37BA">
      <w:pPr>
        <w:pStyle w:val="Paragraphbeforelist"/>
        <w:rPr>
          <w:i/>
          <w:iCs/>
        </w:rPr>
      </w:pPr>
      <w:r>
        <w:t xml:space="preserve">The </w:t>
      </w:r>
      <w:r w:rsidR="000663E8">
        <w:t>d</w:t>
      </w:r>
      <w:r>
        <w:t xml:space="preserve">irection provides the legal authority for a new industry standard to be made under section 125AA of the </w:t>
      </w:r>
      <w:r w:rsidRPr="00611C93">
        <w:rPr>
          <w:i/>
          <w:iCs/>
        </w:rPr>
        <w:t>Telecommunications Act 1997</w:t>
      </w:r>
      <w:r>
        <w:t xml:space="preserve">. </w:t>
      </w:r>
      <w:r w:rsidR="00CF448C">
        <w:t xml:space="preserve">It </w:t>
      </w:r>
      <w:r w:rsidR="005B37BA">
        <w:t>requires</w:t>
      </w:r>
      <w:r w:rsidR="00CF448C">
        <w:t xml:space="preserve"> </w:t>
      </w:r>
      <w:r w:rsidR="069337D3">
        <w:t>(</w:t>
      </w:r>
      <w:r w:rsidR="0921A824">
        <w:t xml:space="preserve">see </w:t>
      </w:r>
      <w:r w:rsidR="069337D3">
        <w:t xml:space="preserve">section 6(2)) </w:t>
      </w:r>
      <w:r w:rsidR="005B37BA">
        <w:t>the</w:t>
      </w:r>
      <w:r w:rsidR="00CF448C">
        <w:t xml:space="preserve"> </w:t>
      </w:r>
      <w:r w:rsidR="000663E8">
        <w:t>s</w:t>
      </w:r>
      <w:r w:rsidR="00CF448C">
        <w:t xml:space="preserve">tandard to </w:t>
      </w:r>
      <w:r w:rsidR="00CF448C" w:rsidRPr="005B37BA">
        <w:t>include</w:t>
      </w:r>
      <w:r w:rsidR="00CF448C">
        <w:t xml:space="preserve"> rules for </w:t>
      </w:r>
      <w:r w:rsidR="00E50437">
        <w:t xml:space="preserve">carriers and </w:t>
      </w:r>
      <w:r w:rsidR="00CF448C">
        <w:t>CSPs on the following matters:</w:t>
      </w:r>
    </w:p>
    <w:p w14:paraId="5281B523" w14:textId="00F2C193" w:rsidR="00D10248" w:rsidRPr="00796E1C" w:rsidRDefault="005B37BA" w:rsidP="00796E1C">
      <w:pPr>
        <w:pStyle w:val="Executivesummarysubheading"/>
        <w:numPr>
          <w:ilvl w:val="0"/>
          <w:numId w:val="28"/>
        </w:numPr>
        <w:spacing w:before="120"/>
        <w:ind w:left="357" w:hanging="357"/>
        <w:rPr>
          <w:b w:val="0"/>
          <w:bCs/>
          <w:i w:val="0"/>
          <w:iCs/>
        </w:rPr>
      </w:pPr>
      <w:r>
        <w:rPr>
          <w:b w:val="0"/>
          <w:bCs/>
          <w:i w:val="0"/>
          <w:iCs/>
        </w:rPr>
        <w:t>R</w:t>
      </w:r>
      <w:r w:rsidR="00D10248" w:rsidRPr="00796E1C">
        <w:rPr>
          <w:b w:val="0"/>
          <w:bCs/>
          <w:i w:val="0"/>
          <w:iCs/>
        </w:rPr>
        <w:t xml:space="preserve">equirements for carriers and carriage service providers to attempt to notify </w:t>
      </w:r>
      <w:r>
        <w:rPr>
          <w:b w:val="0"/>
          <w:bCs/>
          <w:i w:val="0"/>
          <w:iCs/>
        </w:rPr>
        <w:t>customers</w:t>
      </w:r>
      <w:r w:rsidR="00D10248" w:rsidRPr="00796E1C">
        <w:rPr>
          <w:b w:val="0"/>
          <w:bCs/>
          <w:i w:val="0"/>
          <w:iCs/>
        </w:rPr>
        <w:t xml:space="preserve"> and the public as soon as possible after the carrier or carriage service provider suspects a major outage or significant local outage is taking place</w:t>
      </w:r>
      <w:r>
        <w:rPr>
          <w:b w:val="0"/>
          <w:bCs/>
          <w:i w:val="0"/>
          <w:iCs/>
        </w:rPr>
        <w:t>.</w:t>
      </w:r>
      <w:r w:rsidR="00D10248" w:rsidRPr="00796E1C">
        <w:rPr>
          <w:b w:val="0"/>
          <w:bCs/>
          <w:i w:val="0"/>
          <w:iCs/>
        </w:rPr>
        <w:t xml:space="preserve"> </w:t>
      </w:r>
    </w:p>
    <w:p w14:paraId="550ED249" w14:textId="28EDA756" w:rsidR="00D10248" w:rsidRPr="00796E1C" w:rsidRDefault="005B37BA" w:rsidP="00796E1C">
      <w:pPr>
        <w:pStyle w:val="Executivesummarysubheading"/>
        <w:numPr>
          <w:ilvl w:val="0"/>
          <w:numId w:val="28"/>
        </w:numPr>
        <w:spacing w:before="120"/>
        <w:ind w:left="357" w:hanging="357"/>
        <w:rPr>
          <w:b w:val="0"/>
          <w:bCs/>
          <w:i w:val="0"/>
          <w:iCs/>
        </w:rPr>
      </w:pPr>
      <w:r>
        <w:rPr>
          <w:b w:val="0"/>
          <w:bCs/>
          <w:i w:val="0"/>
          <w:iCs/>
        </w:rPr>
        <w:t>R</w:t>
      </w:r>
      <w:r w:rsidR="00D10248" w:rsidRPr="00796E1C">
        <w:rPr>
          <w:b w:val="0"/>
          <w:bCs/>
          <w:i w:val="0"/>
          <w:iCs/>
        </w:rPr>
        <w:t xml:space="preserve">equirements to provide timely updates to </w:t>
      </w:r>
      <w:r>
        <w:rPr>
          <w:b w:val="0"/>
          <w:bCs/>
          <w:i w:val="0"/>
          <w:iCs/>
        </w:rPr>
        <w:t>customers</w:t>
      </w:r>
      <w:r w:rsidR="00D10248" w:rsidRPr="00796E1C">
        <w:rPr>
          <w:b w:val="0"/>
          <w:bCs/>
          <w:i w:val="0"/>
          <w:iCs/>
        </w:rPr>
        <w:t>, at relevant frequencies, during or in relation to the major outage or significant local outage</w:t>
      </w:r>
      <w:r>
        <w:rPr>
          <w:b w:val="0"/>
          <w:bCs/>
          <w:i w:val="0"/>
          <w:iCs/>
        </w:rPr>
        <w:t>.</w:t>
      </w:r>
    </w:p>
    <w:p w14:paraId="34A61ACE" w14:textId="75A57BEF" w:rsidR="00D10248" w:rsidRPr="00796E1C" w:rsidRDefault="005B37BA" w:rsidP="00796E1C">
      <w:pPr>
        <w:pStyle w:val="Executivesummarysubheading"/>
        <w:numPr>
          <w:ilvl w:val="0"/>
          <w:numId w:val="28"/>
        </w:numPr>
        <w:spacing w:before="120"/>
        <w:ind w:left="357" w:hanging="357"/>
        <w:rPr>
          <w:b w:val="0"/>
          <w:bCs/>
          <w:i w:val="0"/>
          <w:iCs/>
        </w:rPr>
      </w:pPr>
      <w:r>
        <w:rPr>
          <w:b w:val="0"/>
          <w:bCs/>
          <w:i w:val="0"/>
          <w:iCs/>
        </w:rPr>
        <w:t>R</w:t>
      </w:r>
      <w:r w:rsidR="00D10248" w:rsidRPr="00796E1C">
        <w:rPr>
          <w:b w:val="0"/>
          <w:bCs/>
          <w:i w:val="0"/>
          <w:iCs/>
        </w:rPr>
        <w:t>equirements to provide accessible communications through a variety of channels</w:t>
      </w:r>
      <w:r>
        <w:rPr>
          <w:b w:val="0"/>
          <w:bCs/>
          <w:i w:val="0"/>
          <w:iCs/>
        </w:rPr>
        <w:t xml:space="preserve"> –</w:t>
      </w:r>
      <w:r w:rsidR="00D10248" w:rsidRPr="00796E1C">
        <w:rPr>
          <w:b w:val="0"/>
          <w:bCs/>
          <w:i w:val="0"/>
          <w:iCs/>
        </w:rPr>
        <w:t xml:space="preserve"> for example, the relevant carrier or carriage service provider’s website, social media, call centres, applications, email, telecommunication, television, </w:t>
      </w:r>
      <w:proofErr w:type="gramStart"/>
      <w:r w:rsidR="00D10248" w:rsidRPr="00796E1C">
        <w:rPr>
          <w:b w:val="0"/>
          <w:bCs/>
          <w:i w:val="0"/>
          <w:iCs/>
        </w:rPr>
        <w:t>radio</w:t>
      </w:r>
      <w:proofErr w:type="gramEnd"/>
      <w:r w:rsidR="00D10248" w:rsidRPr="00796E1C">
        <w:rPr>
          <w:b w:val="0"/>
          <w:bCs/>
          <w:i w:val="0"/>
          <w:iCs/>
        </w:rPr>
        <w:t xml:space="preserve"> and other media.</w:t>
      </w:r>
    </w:p>
    <w:p w14:paraId="518E07B4" w14:textId="68C30D64" w:rsidR="00D10248" w:rsidRPr="00796E1C" w:rsidRDefault="005B37BA" w:rsidP="00796E1C">
      <w:pPr>
        <w:pStyle w:val="Executivesummarysubheading"/>
        <w:numPr>
          <w:ilvl w:val="0"/>
          <w:numId w:val="28"/>
        </w:numPr>
        <w:spacing w:before="120"/>
        <w:ind w:left="357" w:hanging="357"/>
        <w:rPr>
          <w:b w:val="0"/>
          <w:bCs/>
          <w:i w:val="0"/>
          <w:iCs/>
        </w:rPr>
      </w:pPr>
      <w:r>
        <w:rPr>
          <w:b w:val="0"/>
          <w:bCs/>
          <w:i w:val="0"/>
          <w:iCs/>
        </w:rPr>
        <w:t>R</w:t>
      </w:r>
      <w:r w:rsidR="00D10248" w:rsidRPr="00796E1C">
        <w:rPr>
          <w:b w:val="0"/>
          <w:bCs/>
          <w:i w:val="0"/>
          <w:iCs/>
        </w:rPr>
        <w:t>equirements relating to the content of communications</w:t>
      </w:r>
      <w:r>
        <w:rPr>
          <w:b w:val="0"/>
          <w:bCs/>
          <w:i w:val="0"/>
          <w:iCs/>
        </w:rPr>
        <w:t xml:space="preserve"> –</w:t>
      </w:r>
      <w:r w:rsidR="00D10248" w:rsidRPr="00796E1C">
        <w:rPr>
          <w:b w:val="0"/>
          <w:bCs/>
          <w:i w:val="0"/>
          <w:iCs/>
        </w:rPr>
        <w:t xml:space="preserve"> for example, on the status, scale and cause of the major outage or significant local outage</w:t>
      </w:r>
      <w:r>
        <w:rPr>
          <w:b w:val="0"/>
          <w:bCs/>
          <w:i w:val="0"/>
          <w:iCs/>
        </w:rPr>
        <w:t>,</w:t>
      </w:r>
      <w:r w:rsidR="00D10248" w:rsidRPr="00796E1C">
        <w:rPr>
          <w:b w:val="0"/>
          <w:bCs/>
          <w:i w:val="0"/>
          <w:iCs/>
        </w:rPr>
        <w:t xml:space="preserve"> and estimated timeframes for rectification</w:t>
      </w:r>
      <w:r>
        <w:rPr>
          <w:b w:val="0"/>
          <w:bCs/>
          <w:i w:val="0"/>
          <w:iCs/>
        </w:rPr>
        <w:t>.</w:t>
      </w:r>
    </w:p>
    <w:p w14:paraId="50CA72D6" w14:textId="0EA04908" w:rsidR="00D10248" w:rsidRPr="00796E1C" w:rsidRDefault="005B37BA" w:rsidP="00796E1C">
      <w:pPr>
        <w:pStyle w:val="Executivesummarysubheading"/>
        <w:numPr>
          <w:ilvl w:val="0"/>
          <w:numId w:val="28"/>
        </w:numPr>
        <w:spacing w:before="120"/>
        <w:ind w:left="357" w:hanging="357"/>
        <w:rPr>
          <w:b w:val="0"/>
          <w:bCs/>
          <w:i w:val="0"/>
          <w:iCs/>
        </w:rPr>
      </w:pPr>
      <w:r>
        <w:rPr>
          <w:b w:val="0"/>
          <w:bCs/>
          <w:i w:val="0"/>
          <w:iCs/>
        </w:rPr>
        <w:t>R</w:t>
      </w:r>
      <w:r w:rsidR="00D10248" w:rsidRPr="00796E1C">
        <w:rPr>
          <w:b w:val="0"/>
          <w:bCs/>
          <w:i w:val="0"/>
          <w:iCs/>
        </w:rPr>
        <w:t>equirements to provide prompt notification when services are restored</w:t>
      </w:r>
      <w:r>
        <w:rPr>
          <w:b w:val="0"/>
          <w:bCs/>
          <w:i w:val="0"/>
          <w:iCs/>
        </w:rPr>
        <w:t xml:space="preserve">. </w:t>
      </w:r>
    </w:p>
    <w:p w14:paraId="01A44B8C" w14:textId="497A596B" w:rsidR="00D10248" w:rsidRPr="00796E1C" w:rsidRDefault="006C2920" w:rsidP="00796E1C">
      <w:pPr>
        <w:pStyle w:val="Executivesummarysubheading"/>
        <w:numPr>
          <w:ilvl w:val="0"/>
          <w:numId w:val="28"/>
        </w:numPr>
        <w:spacing w:before="120"/>
        <w:ind w:left="357" w:hanging="357"/>
        <w:rPr>
          <w:b w:val="0"/>
          <w:bCs/>
          <w:i w:val="0"/>
          <w:iCs/>
        </w:rPr>
      </w:pPr>
      <w:r>
        <w:rPr>
          <w:b w:val="0"/>
          <w:bCs/>
          <w:i w:val="0"/>
          <w:iCs/>
        </w:rPr>
        <w:lastRenderedPageBreak/>
        <w:t>R</w:t>
      </w:r>
      <w:r w:rsidR="00D10248" w:rsidRPr="00796E1C">
        <w:rPr>
          <w:b w:val="0"/>
          <w:bCs/>
          <w:i w:val="0"/>
          <w:iCs/>
        </w:rPr>
        <w:t>equirements for carriers and carriage service providers to share information about major outages or significant local outages with other carriers, carriage service providers and relevant stakeholders</w:t>
      </w:r>
      <w:r>
        <w:rPr>
          <w:b w:val="0"/>
          <w:bCs/>
          <w:i w:val="0"/>
          <w:iCs/>
        </w:rPr>
        <w:t xml:space="preserve">, to </w:t>
      </w:r>
      <w:r w:rsidR="00D10248" w:rsidRPr="00796E1C">
        <w:rPr>
          <w:b w:val="0"/>
          <w:bCs/>
          <w:i w:val="0"/>
          <w:iCs/>
        </w:rPr>
        <w:t xml:space="preserve">enable communications with </w:t>
      </w:r>
      <w:r>
        <w:rPr>
          <w:b w:val="0"/>
          <w:bCs/>
          <w:i w:val="0"/>
          <w:iCs/>
        </w:rPr>
        <w:t>customers</w:t>
      </w:r>
      <w:r w:rsidR="00D10248" w:rsidRPr="00796E1C">
        <w:rPr>
          <w:b w:val="0"/>
          <w:bCs/>
          <w:i w:val="0"/>
          <w:iCs/>
        </w:rPr>
        <w:t xml:space="preserve"> affected by </w:t>
      </w:r>
      <w:r>
        <w:rPr>
          <w:b w:val="0"/>
          <w:bCs/>
          <w:i w:val="0"/>
          <w:iCs/>
        </w:rPr>
        <w:br/>
      </w:r>
      <w:r w:rsidR="00D10248" w:rsidRPr="00796E1C">
        <w:rPr>
          <w:b w:val="0"/>
          <w:bCs/>
          <w:i w:val="0"/>
          <w:iCs/>
        </w:rPr>
        <w:t xml:space="preserve">the </w:t>
      </w:r>
      <w:r>
        <w:rPr>
          <w:b w:val="0"/>
          <w:bCs/>
          <w:i w:val="0"/>
          <w:iCs/>
        </w:rPr>
        <w:t>o</w:t>
      </w:r>
      <w:r w:rsidR="00D10248" w:rsidRPr="00796E1C">
        <w:rPr>
          <w:b w:val="0"/>
          <w:bCs/>
          <w:i w:val="0"/>
          <w:iCs/>
        </w:rPr>
        <w:t>utag</w:t>
      </w:r>
      <w:r>
        <w:rPr>
          <w:b w:val="0"/>
          <w:bCs/>
          <w:i w:val="0"/>
          <w:iCs/>
        </w:rPr>
        <w:t>e.</w:t>
      </w:r>
      <w:r w:rsidR="00D10248" w:rsidRPr="00796E1C">
        <w:rPr>
          <w:b w:val="0"/>
          <w:bCs/>
          <w:i w:val="0"/>
          <w:iCs/>
        </w:rPr>
        <w:t xml:space="preserve">  </w:t>
      </w:r>
    </w:p>
    <w:p w14:paraId="291D7799" w14:textId="5D6C849F" w:rsidR="00BC6A95" w:rsidRPr="00796E1C" w:rsidRDefault="006C2920" w:rsidP="00611C93">
      <w:pPr>
        <w:pStyle w:val="Executivesummarysubheading"/>
        <w:numPr>
          <w:ilvl w:val="0"/>
          <w:numId w:val="28"/>
        </w:numPr>
        <w:spacing w:before="120" w:after="240"/>
        <w:ind w:left="357" w:hanging="357"/>
        <w:rPr>
          <w:b w:val="0"/>
          <w:bCs/>
          <w:i w:val="0"/>
          <w:iCs/>
        </w:rPr>
      </w:pPr>
      <w:r>
        <w:rPr>
          <w:b w:val="0"/>
          <w:bCs/>
          <w:i w:val="0"/>
          <w:iCs/>
        </w:rPr>
        <w:t>O</w:t>
      </w:r>
      <w:r w:rsidR="00D10248" w:rsidRPr="00796E1C">
        <w:rPr>
          <w:b w:val="0"/>
          <w:bCs/>
          <w:i w:val="0"/>
          <w:iCs/>
        </w:rPr>
        <w:t xml:space="preserve">ther matters the ACMA </w:t>
      </w:r>
      <w:r>
        <w:rPr>
          <w:b w:val="0"/>
          <w:bCs/>
          <w:i w:val="0"/>
          <w:iCs/>
        </w:rPr>
        <w:t>believes will help achieve</w:t>
      </w:r>
      <w:r w:rsidR="00D10248" w:rsidRPr="00796E1C">
        <w:rPr>
          <w:b w:val="0"/>
          <w:bCs/>
          <w:i w:val="0"/>
          <w:iCs/>
        </w:rPr>
        <w:t xml:space="preserve"> the objectives set out at </w:t>
      </w:r>
      <w:r>
        <w:rPr>
          <w:b w:val="0"/>
          <w:bCs/>
          <w:i w:val="0"/>
          <w:iCs/>
        </w:rPr>
        <w:br/>
      </w:r>
      <w:r w:rsidR="00D10248" w:rsidRPr="00796E1C">
        <w:rPr>
          <w:b w:val="0"/>
          <w:bCs/>
          <w:i w:val="0"/>
          <w:iCs/>
        </w:rPr>
        <w:t>subsection 6(1).</w:t>
      </w:r>
    </w:p>
    <w:p w14:paraId="074426D5" w14:textId="7E32E93F" w:rsidR="00C90D61" w:rsidRDefault="004E2BD4" w:rsidP="00547F5F">
      <w:pPr>
        <w:pStyle w:val="Paragraphbeforelist"/>
      </w:pPr>
      <w:r>
        <w:t xml:space="preserve">The </w:t>
      </w:r>
      <w:r w:rsidR="000663E8">
        <w:t>d</w:t>
      </w:r>
      <w:r>
        <w:t xml:space="preserve">irection also allows </w:t>
      </w:r>
      <w:r w:rsidR="006C2920">
        <w:t>us</w:t>
      </w:r>
      <w:r>
        <w:t xml:space="preserve"> to </w:t>
      </w:r>
      <w:r w:rsidR="0078146A" w:rsidRPr="0078146A">
        <w:t xml:space="preserve">define any terms that </w:t>
      </w:r>
      <w:r w:rsidR="006C2920">
        <w:t>we</w:t>
      </w:r>
      <w:r w:rsidR="006C2920" w:rsidRPr="0078146A">
        <w:t xml:space="preserve"> </w:t>
      </w:r>
      <w:r w:rsidR="0078146A" w:rsidRPr="0078146A">
        <w:t>consider appropriate or necessary</w:t>
      </w:r>
      <w:r w:rsidR="00B3775A">
        <w:t>.</w:t>
      </w:r>
    </w:p>
    <w:p w14:paraId="57989289" w14:textId="5E113FE2" w:rsidR="008542C4" w:rsidRDefault="008542C4" w:rsidP="008B2319">
      <w:pPr>
        <w:pStyle w:val="Heading2"/>
      </w:pPr>
      <w:bookmarkStart w:id="17" w:name="_Toc177387622"/>
      <w:r>
        <w:t xml:space="preserve">The </w:t>
      </w:r>
      <w:r w:rsidR="008B2319">
        <w:t xml:space="preserve">review into the </w:t>
      </w:r>
      <w:r>
        <w:t>Optus outage of 8 November 2023</w:t>
      </w:r>
      <w:bookmarkEnd w:id="17"/>
    </w:p>
    <w:p w14:paraId="37A9E148" w14:textId="4D00391C" w:rsidR="00DA3751" w:rsidRDefault="002C7861" w:rsidP="008F3C68">
      <w:pPr>
        <w:pStyle w:val="Paragraph"/>
      </w:pPr>
      <w:r w:rsidRPr="002C7861">
        <w:t xml:space="preserve">The </w:t>
      </w:r>
      <w:r w:rsidR="00A422E2">
        <w:t xml:space="preserve">national </w:t>
      </w:r>
      <w:r w:rsidRPr="002C7861">
        <w:t xml:space="preserve">Optus outage </w:t>
      </w:r>
      <w:r w:rsidR="00A422E2">
        <w:t>of</w:t>
      </w:r>
      <w:r w:rsidRPr="002C7861">
        <w:t xml:space="preserve"> 8 November 2023 disrupt</w:t>
      </w:r>
      <w:r w:rsidR="00A422E2">
        <w:t>ed</w:t>
      </w:r>
      <w:r w:rsidRPr="002C7861">
        <w:t xml:space="preserve"> services for customers </w:t>
      </w:r>
      <w:r w:rsidR="00EC1614">
        <w:t xml:space="preserve">of Optus </w:t>
      </w:r>
      <w:r w:rsidRPr="002C7861">
        <w:t xml:space="preserve">and </w:t>
      </w:r>
      <w:r w:rsidR="00E53195">
        <w:t>its</w:t>
      </w:r>
      <w:r w:rsidRPr="002C7861">
        <w:t xml:space="preserve"> resellers. </w:t>
      </w:r>
      <w:r w:rsidR="00D04A1D">
        <w:t>It</w:t>
      </w:r>
      <w:r w:rsidRPr="002C7861">
        <w:t xml:space="preserve"> interrupted critical services for consumers and businesses</w:t>
      </w:r>
      <w:r w:rsidR="000C5160">
        <w:t>,</w:t>
      </w:r>
      <w:r w:rsidRPr="002C7861">
        <w:t xml:space="preserve"> as well as essential government</w:t>
      </w:r>
      <w:r w:rsidR="000C5160">
        <w:t xml:space="preserve"> and </w:t>
      </w:r>
      <w:r w:rsidRPr="002C7861">
        <w:t>public health and safety infrastructure</w:t>
      </w:r>
      <w:r w:rsidR="000C5160">
        <w:t xml:space="preserve">. It </w:t>
      </w:r>
      <w:r w:rsidR="00D04A1D">
        <w:t>was</w:t>
      </w:r>
      <w:r w:rsidRPr="002C7861">
        <w:t xml:space="preserve"> estimated to have affected around 10 million customers and nearly half a million businesses.</w:t>
      </w:r>
      <w:r w:rsidR="000E4A2D">
        <w:rPr>
          <w:rStyle w:val="FootnoteReference"/>
        </w:rPr>
        <w:footnoteReference w:id="3"/>
      </w:r>
      <w:r w:rsidR="000E4A2D">
        <w:t xml:space="preserve"> </w:t>
      </w:r>
    </w:p>
    <w:p w14:paraId="6EDBC0CD" w14:textId="689031EB" w:rsidR="00DA3751" w:rsidRDefault="00F95EFF" w:rsidP="008F3C68">
      <w:pPr>
        <w:pStyle w:val="Paragraph"/>
      </w:pPr>
      <w:r w:rsidRPr="00F95EFF">
        <w:t>On 9 November 2023, the Australian Government announced it would undertake a post-incident review into the Optus outage.</w:t>
      </w:r>
      <w:r w:rsidR="00C6145B">
        <w:t xml:space="preserve"> The review was conducted by</w:t>
      </w:r>
      <w:r w:rsidR="003B3670" w:rsidRPr="003B3670">
        <w:t xml:space="preserve"> </w:t>
      </w:r>
      <w:r w:rsidR="008F3C68">
        <w:t xml:space="preserve">the Department </w:t>
      </w:r>
      <w:r w:rsidR="00C6145B">
        <w:t xml:space="preserve">and led by Richard Bean. </w:t>
      </w:r>
      <w:r w:rsidR="00BA3FCD">
        <w:t>The objective of the review was</w:t>
      </w:r>
      <w:r w:rsidR="006B5701">
        <w:t xml:space="preserve"> to determine </w:t>
      </w:r>
      <w:r w:rsidR="00BA3FCD" w:rsidRPr="00BA3FCD">
        <w:t>what industry, government and the community c</w:t>
      </w:r>
      <w:r w:rsidR="006B5701">
        <w:t>ould</w:t>
      </w:r>
      <w:r w:rsidR="00BA3FCD" w:rsidRPr="00BA3FCD">
        <w:t xml:space="preserve"> learn from the event, with a focus on emergency calls, along with customer communications, complaints</w:t>
      </w:r>
      <w:r w:rsidR="000C5160">
        <w:rPr>
          <w:b/>
          <w:i/>
        </w:rPr>
        <w:t>-</w:t>
      </w:r>
      <w:proofErr w:type="gramStart"/>
      <w:r w:rsidR="00BA3FCD" w:rsidRPr="00BA3FCD">
        <w:t>handling</w:t>
      </w:r>
      <w:proofErr w:type="gramEnd"/>
      <w:r w:rsidR="00BA3FCD" w:rsidRPr="00BA3FCD">
        <w:t xml:space="preserve"> and compensation processes.</w:t>
      </w:r>
    </w:p>
    <w:p w14:paraId="7F806664" w14:textId="70ED6840" w:rsidR="00DA3751" w:rsidRDefault="00DA3751" w:rsidP="00ED5F37">
      <w:pPr>
        <w:pStyle w:val="Paragraph"/>
        <w:rPr>
          <w:iCs/>
        </w:rPr>
      </w:pPr>
      <w:r>
        <w:rPr>
          <w:iCs/>
        </w:rPr>
        <w:t xml:space="preserve">The </w:t>
      </w:r>
      <w:hyperlink r:id="rId24" w:history="1">
        <w:r w:rsidR="00312124" w:rsidRPr="00ED5F37">
          <w:rPr>
            <w:rStyle w:val="Hyperlink"/>
            <w:bCs/>
            <w:i/>
            <w:iCs/>
          </w:rPr>
          <w:t>Review into the Optus outage of 8 November 2023 – Final Report</w:t>
        </w:r>
      </w:hyperlink>
      <w:r w:rsidR="00312124">
        <w:rPr>
          <w:iCs/>
        </w:rPr>
        <w:t xml:space="preserve"> was</w:t>
      </w:r>
      <w:r w:rsidR="009034A4">
        <w:rPr>
          <w:iCs/>
        </w:rPr>
        <w:t xml:space="preserve"> published in March 2024</w:t>
      </w:r>
      <w:r w:rsidR="00536B99">
        <w:rPr>
          <w:iCs/>
        </w:rPr>
        <w:t>. It</w:t>
      </w:r>
      <w:r w:rsidR="009034A4">
        <w:rPr>
          <w:iCs/>
        </w:rPr>
        <w:t xml:space="preserve"> </w:t>
      </w:r>
      <w:r>
        <w:rPr>
          <w:iCs/>
        </w:rPr>
        <w:t>noted that t</w:t>
      </w:r>
      <w:r w:rsidRPr="002E5062">
        <w:rPr>
          <w:iCs/>
        </w:rPr>
        <w:t xml:space="preserve">he Optus outage had a significant impact on a range of Australians, affecting emergency services, government services, </w:t>
      </w:r>
      <w:proofErr w:type="gramStart"/>
      <w:r w:rsidRPr="002E5062">
        <w:rPr>
          <w:iCs/>
        </w:rPr>
        <w:t>businesses</w:t>
      </w:r>
      <w:proofErr w:type="gramEnd"/>
      <w:r w:rsidRPr="002E5062">
        <w:rPr>
          <w:iCs/>
        </w:rPr>
        <w:t xml:space="preserve"> and vulnerable people</w:t>
      </w:r>
      <w:r w:rsidR="00F02BA4">
        <w:rPr>
          <w:iCs/>
        </w:rPr>
        <w:t>,</w:t>
      </w:r>
      <w:r>
        <w:rPr>
          <w:iCs/>
        </w:rPr>
        <w:t xml:space="preserve"> and that </w:t>
      </w:r>
      <w:r w:rsidR="00D366D6">
        <w:rPr>
          <w:iCs/>
        </w:rPr>
        <w:t>it</w:t>
      </w:r>
      <w:r w:rsidRPr="00BC6651">
        <w:rPr>
          <w:iCs/>
        </w:rPr>
        <w:t xml:space="preserve"> was a source of frustration and distress for many</w:t>
      </w:r>
      <w:r>
        <w:rPr>
          <w:iCs/>
        </w:rPr>
        <w:t>.</w:t>
      </w:r>
    </w:p>
    <w:p w14:paraId="54C85316" w14:textId="47B55AEA" w:rsidR="00A62D5F" w:rsidRDefault="003B776D" w:rsidP="00611C93">
      <w:pPr>
        <w:pStyle w:val="Paragraph"/>
      </w:pPr>
      <w:r>
        <w:t xml:space="preserve">The review </w:t>
      </w:r>
      <w:r w:rsidR="00C74FB3">
        <w:t xml:space="preserve">received submissions </w:t>
      </w:r>
      <w:r w:rsidR="0095012F" w:rsidRPr="0095012F">
        <w:t>from personal and business customers expressing their dissatisfaction with Optus’</w:t>
      </w:r>
      <w:r w:rsidR="00D366D6" w:rsidRPr="005F6A58">
        <w:rPr>
          <w:bCs/>
          <w:iCs/>
        </w:rPr>
        <w:t>s</w:t>
      </w:r>
      <w:r w:rsidR="0095012F" w:rsidRPr="005F6A58">
        <w:rPr>
          <w:iCs/>
        </w:rPr>
        <w:t xml:space="preserve"> </w:t>
      </w:r>
      <w:r w:rsidR="0095012F" w:rsidRPr="0095012F">
        <w:t xml:space="preserve">handling of the </w:t>
      </w:r>
      <w:r w:rsidR="00F02BA4" w:rsidRPr="0095012F">
        <w:t>outage</w:t>
      </w:r>
      <w:r w:rsidR="00D366D6">
        <w:rPr>
          <w:b/>
          <w:i/>
        </w:rPr>
        <w:t xml:space="preserve">. </w:t>
      </w:r>
      <w:r w:rsidR="00D366D6" w:rsidRPr="005F6A58">
        <w:rPr>
          <w:bCs/>
          <w:iCs/>
        </w:rPr>
        <w:t>It</w:t>
      </w:r>
      <w:r w:rsidR="00D366D6">
        <w:rPr>
          <w:b/>
          <w:i/>
        </w:rPr>
        <w:t xml:space="preserve"> </w:t>
      </w:r>
      <w:r w:rsidR="00CF4203">
        <w:t xml:space="preserve">noted that </w:t>
      </w:r>
      <w:r w:rsidR="00F867F9" w:rsidRPr="00F867F9">
        <w:t xml:space="preserve">letters and emails were sent to the Minister for Communications by members of the public, </w:t>
      </w:r>
      <w:r w:rsidR="00CA4837">
        <w:t>with many</w:t>
      </w:r>
      <w:r w:rsidR="00CA4837" w:rsidRPr="00F867F9">
        <w:t xml:space="preserve"> </w:t>
      </w:r>
      <w:r w:rsidR="00F867F9" w:rsidRPr="00F867F9">
        <w:t>expressing dissatisfaction with communications from Optus.</w:t>
      </w:r>
    </w:p>
    <w:p w14:paraId="4A13CE10" w14:textId="2CE87224" w:rsidR="00BF180B" w:rsidRDefault="00E20C48" w:rsidP="00611C93">
      <w:pPr>
        <w:pStyle w:val="Paragraph"/>
      </w:pPr>
      <w:r>
        <w:t>Consumer</w:t>
      </w:r>
      <w:r w:rsidR="00BF180B" w:rsidRPr="00BF180B">
        <w:t xml:space="preserve"> </w:t>
      </w:r>
      <w:r w:rsidR="00BF180B" w:rsidRPr="00E20C48">
        <w:t>advocates</w:t>
      </w:r>
      <w:r w:rsidR="00BF180B">
        <w:t xml:space="preserve"> advised the review that they </w:t>
      </w:r>
      <w:r w:rsidR="00BF180B" w:rsidRPr="00E20C48">
        <w:t>consider</w:t>
      </w:r>
      <w:r w:rsidR="0037349C">
        <w:t>ed</w:t>
      </w:r>
      <w:r w:rsidR="00BF180B" w:rsidRPr="00E20C48">
        <w:t xml:space="preserve"> Optus’</w:t>
      </w:r>
      <w:r w:rsidR="00D366D6" w:rsidRPr="005F6A58">
        <w:rPr>
          <w:bCs/>
          <w:iCs/>
        </w:rPr>
        <w:t>s</w:t>
      </w:r>
      <w:r w:rsidR="00BF180B" w:rsidRPr="005F6A58">
        <w:rPr>
          <w:bCs/>
          <w:iCs/>
        </w:rPr>
        <w:t xml:space="preserve"> </w:t>
      </w:r>
      <w:r w:rsidR="00BF180B" w:rsidRPr="00E20C48">
        <w:t xml:space="preserve">communications with its customers during the outage </w:t>
      </w:r>
      <w:r w:rsidR="00BF180B">
        <w:t>to be in</w:t>
      </w:r>
      <w:r w:rsidR="00BF180B" w:rsidRPr="00E20C48">
        <w:t xml:space="preserve">adequate, with the lack of timely and clear information causing distress. They also noted that when an outage like this occurs, it has a greater impact on vulnerable </w:t>
      </w:r>
      <w:r w:rsidR="002F100D">
        <w:t xml:space="preserve">community </w:t>
      </w:r>
      <w:r w:rsidR="00BF180B" w:rsidRPr="00E20C48">
        <w:t>members who already face challenges in accessing communications services</w:t>
      </w:r>
      <w:r w:rsidR="00D366D6">
        <w:t xml:space="preserve">. This includes </w:t>
      </w:r>
      <w:r w:rsidR="00BF180B" w:rsidRPr="00E20C48">
        <w:t xml:space="preserve">those living with disabilities or on lower incomes, as well as those in regional, </w:t>
      </w:r>
      <w:proofErr w:type="gramStart"/>
      <w:r w:rsidR="00BF180B" w:rsidRPr="00E20C48">
        <w:t>rural</w:t>
      </w:r>
      <w:proofErr w:type="gramEnd"/>
      <w:r w:rsidR="00BF180B" w:rsidRPr="00E20C48">
        <w:t xml:space="preserve"> or remote areas.</w:t>
      </w:r>
    </w:p>
    <w:p w14:paraId="29B8F1A0" w14:textId="6C6F9B21" w:rsidR="00A62D5F" w:rsidRDefault="00A62D5F" w:rsidP="00611C93">
      <w:pPr>
        <w:pStyle w:val="Paragraphbeforelist"/>
      </w:pPr>
      <w:r>
        <w:t xml:space="preserve">The </w:t>
      </w:r>
      <w:r w:rsidR="00D366D6">
        <w:t>r</w:t>
      </w:r>
      <w:r>
        <w:t>eview found that:</w:t>
      </w:r>
    </w:p>
    <w:p w14:paraId="7BE4F626" w14:textId="4480ACAF" w:rsidR="00DA3751" w:rsidRDefault="00563A75" w:rsidP="00611C93">
      <w:pPr>
        <w:pStyle w:val="Bulletlevel1"/>
      </w:pPr>
      <w:r w:rsidRPr="00563A75">
        <w:t>Communication during the Optus outage was inadequate</w:t>
      </w:r>
      <w:r w:rsidR="00CC142B">
        <w:t>.</w:t>
      </w:r>
    </w:p>
    <w:p w14:paraId="1C6BC495" w14:textId="4FA8E907" w:rsidR="00EA36A9" w:rsidRPr="00EA36A9" w:rsidRDefault="00EA36A9" w:rsidP="00BA1FD8">
      <w:pPr>
        <w:pStyle w:val="Bulletlevel1"/>
      </w:pPr>
      <w:r w:rsidRPr="00EA36A9">
        <w:t xml:space="preserve">There are no set requirements for the way in which service providers communicate with their customers. Each provider has its own approach. Competitive pressures alone do not appear to be improving consumer communications and consumer outcomes through the course of recent crises. </w:t>
      </w:r>
    </w:p>
    <w:p w14:paraId="56E92E3C" w14:textId="6D61468B" w:rsidR="00563A75" w:rsidRDefault="00EA36A9" w:rsidP="000663E8">
      <w:pPr>
        <w:pStyle w:val="Bulletlevel1"/>
      </w:pPr>
      <w:r w:rsidRPr="00EA36A9">
        <w:t>The combination of the delays in advising customers, the lack of detailed answers and explanations as to the cause and impact of the outage across the day and the absence of timeframes regarding its rectification, call into question the adequacy of the current voluntary communication guidance.</w:t>
      </w:r>
    </w:p>
    <w:p w14:paraId="038D21C8" w14:textId="6C9D1D9A" w:rsidR="002B19F9" w:rsidRDefault="00175B8F" w:rsidP="00BA1FD8">
      <w:pPr>
        <w:pStyle w:val="Paragraphbeforelist"/>
        <w:spacing w:after="0"/>
      </w:pPr>
      <w:r>
        <w:lastRenderedPageBreak/>
        <w:t>Th</w:t>
      </w:r>
      <w:r w:rsidR="00240C5B">
        <w:t>ese findings</w:t>
      </w:r>
      <w:r>
        <w:t xml:space="preserve"> led to </w:t>
      </w:r>
      <w:r w:rsidR="00240C5B" w:rsidRPr="00D366D6">
        <w:t>recommendation</w:t>
      </w:r>
      <w:r w:rsidR="008333A7">
        <w:t xml:space="preserve"> 10 in </w:t>
      </w:r>
      <w:r w:rsidR="00D366D6">
        <w:t xml:space="preserve">the </w:t>
      </w:r>
      <w:r w:rsidR="00FD679A">
        <w:t>f</w:t>
      </w:r>
      <w:r w:rsidR="00D366D6">
        <w:t xml:space="preserve">inal </w:t>
      </w:r>
      <w:r w:rsidR="00FD679A">
        <w:t>r</w:t>
      </w:r>
      <w:r w:rsidR="00D366D6">
        <w:t>eport</w:t>
      </w:r>
      <w:r w:rsidR="00856229">
        <w:t>:</w:t>
      </w:r>
    </w:p>
    <w:p w14:paraId="2B5F1F95" w14:textId="2AAAE7B0" w:rsidR="002B19F9" w:rsidRPr="000663E8" w:rsidRDefault="002B19F9" w:rsidP="000663E8">
      <w:pPr>
        <w:pStyle w:val="Executivesummarysubheading"/>
        <w:spacing w:before="120"/>
        <w:ind w:left="567"/>
        <w:rPr>
          <w:b w:val="0"/>
          <w:bCs/>
          <w:i w:val="0"/>
          <w:iCs/>
          <w:sz w:val="20"/>
          <w:szCs w:val="20"/>
        </w:rPr>
      </w:pPr>
      <w:r w:rsidRPr="000663E8">
        <w:rPr>
          <w:b w:val="0"/>
          <w:bCs/>
          <w:i w:val="0"/>
          <w:iCs/>
          <w:sz w:val="20"/>
          <w:szCs w:val="20"/>
        </w:rPr>
        <w:t>The ACMA should develop a standard or determination requiring carriers to communicate specific information to customers during and about outages. The Communications Alliance Emergency Communications Protocol – Industry Guideline G663:2022 or one or more of the carriers’ existing internal communications protocols could be used as a base but there needs to be an explicit focus on communications between the affected network provider and its customers as well as other stakeholders.</w:t>
      </w:r>
    </w:p>
    <w:p w14:paraId="123AA020" w14:textId="4515C1C9" w:rsidR="00CF0FD3" w:rsidRPr="001F4D6C" w:rsidRDefault="001F4D6C" w:rsidP="001F4D6C">
      <w:pPr>
        <w:pStyle w:val="Heading2"/>
      </w:pPr>
      <w:bookmarkStart w:id="18" w:name="_Toc177387623"/>
      <w:r w:rsidRPr="001F4D6C">
        <w:t xml:space="preserve">The </w:t>
      </w:r>
      <w:r w:rsidR="00752866">
        <w:t>g</w:t>
      </w:r>
      <w:r w:rsidRPr="001F4D6C">
        <w:t>overnment response to the review</w:t>
      </w:r>
      <w:bookmarkEnd w:id="18"/>
    </w:p>
    <w:p w14:paraId="19C3F855" w14:textId="358B4B2F" w:rsidR="00DA3751" w:rsidRPr="007031FA" w:rsidRDefault="00A472DB" w:rsidP="00611C93">
      <w:pPr>
        <w:pStyle w:val="Paragraph"/>
        <w:rPr>
          <w:bCs/>
          <w:iCs/>
        </w:rPr>
      </w:pPr>
      <w:r w:rsidRPr="00D366D6">
        <w:rPr>
          <w:bCs/>
          <w:iCs/>
        </w:rPr>
        <w:t xml:space="preserve">In April 2024, the Australian </w:t>
      </w:r>
      <w:r w:rsidR="00D366D6" w:rsidRPr="00D366D6">
        <w:rPr>
          <w:iCs/>
        </w:rPr>
        <w:t>G</w:t>
      </w:r>
      <w:r w:rsidRPr="00D366D6">
        <w:rPr>
          <w:bCs/>
          <w:iCs/>
        </w:rPr>
        <w:t xml:space="preserve">overnment </w:t>
      </w:r>
      <w:r w:rsidR="005868CB" w:rsidRPr="00D366D6">
        <w:rPr>
          <w:bCs/>
          <w:iCs/>
        </w:rPr>
        <w:t xml:space="preserve">published its </w:t>
      </w:r>
      <w:hyperlink r:id="rId25" w:history="1">
        <w:r w:rsidR="00E12984" w:rsidRPr="00BA1FD8">
          <w:rPr>
            <w:rStyle w:val="Hyperlink"/>
            <w:bCs/>
            <w:i/>
          </w:rPr>
          <w:t>Response to the Bean Review Final Report</w:t>
        </w:r>
      </w:hyperlink>
      <w:r w:rsidR="00D366D6" w:rsidRPr="00BA1FD8">
        <w:rPr>
          <w:b/>
          <w:bCs/>
          <w:iCs/>
        </w:rPr>
        <w:t xml:space="preserve">, </w:t>
      </w:r>
      <w:r w:rsidR="00A233F9" w:rsidRPr="00D366D6">
        <w:rPr>
          <w:bCs/>
          <w:iCs/>
        </w:rPr>
        <w:t>noting</w:t>
      </w:r>
      <w:r w:rsidR="0041113B" w:rsidRPr="00D366D6">
        <w:rPr>
          <w:bCs/>
          <w:iCs/>
        </w:rPr>
        <w:t xml:space="preserve"> that </w:t>
      </w:r>
      <w:r w:rsidR="00D366D6" w:rsidRPr="00D366D6">
        <w:rPr>
          <w:iCs/>
        </w:rPr>
        <w:t>‘</w:t>
      </w:r>
      <w:r w:rsidR="0041113B" w:rsidRPr="00D366D6">
        <w:rPr>
          <w:bCs/>
          <w:iCs/>
        </w:rPr>
        <w:t>it is critical we respond to the lessons of this incident to reduce the risk of further outages and the impacts they have on our community and the day-to-day services we rely on</w:t>
      </w:r>
      <w:r w:rsidR="00D366D6" w:rsidRPr="00D366D6">
        <w:rPr>
          <w:iCs/>
        </w:rPr>
        <w:t>’</w:t>
      </w:r>
      <w:r w:rsidR="0041113B" w:rsidRPr="00D366D6">
        <w:rPr>
          <w:bCs/>
          <w:iCs/>
        </w:rPr>
        <w:t xml:space="preserve">. </w:t>
      </w:r>
    </w:p>
    <w:p w14:paraId="6E2DE1C8" w14:textId="46432B55" w:rsidR="00CA715B" w:rsidRDefault="00B132C0" w:rsidP="00752866">
      <w:pPr>
        <w:pStyle w:val="Paragraph"/>
      </w:pPr>
      <w:r>
        <w:t xml:space="preserve">The government agreed with recommendation 10 </w:t>
      </w:r>
      <w:r w:rsidR="00681DBC">
        <w:t xml:space="preserve">of the </w:t>
      </w:r>
      <w:r w:rsidR="000663E8">
        <w:t>report</w:t>
      </w:r>
      <w:r w:rsidR="00681DBC">
        <w:t xml:space="preserve"> </w:t>
      </w:r>
      <w:r w:rsidR="00FB5B3C">
        <w:t xml:space="preserve">and </w:t>
      </w:r>
      <w:r w:rsidR="00FB5B3C" w:rsidRPr="00FB5B3C">
        <w:t>acknowledge</w:t>
      </w:r>
      <w:r w:rsidR="00FB5B3C">
        <w:t>d</w:t>
      </w:r>
      <w:r w:rsidR="00FB5B3C" w:rsidRPr="00FB5B3C">
        <w:t xml:space="preserve"> the public’s dissatisfaction with Optus’</w:t>
      </w:r>
      <w:r w:rsidR="00D366D6">
        <w:t>s</w:t>
      </w:r>
      <w:r w:rsidR="00FB5B3C" w:rsidRPr="00FB5B3C">
        <w:t xml:space="preserve"> communications on the day of the outage</w:t>
      </w:r>
      <w:r w:rsidR="007005A7">
        <w:t>.</w:t>
      </w:r>
      <w:r w:rsidR="00A4335C">
        <w:t xml:space="preserve"> </w:t>
      </w:r>
      <w:r w:rsidR="00D366D6">
        <w:t>It noted</w:t>
      </w:r>
      <w:r w:rsidR="00681DBC">
        <w:t xml:space="preserve"> that </w:t>
      </w:r>
      <w:r w:rsidR="00D366D6">
        <w:t>‘</w:t>
      </w:r>
      <w:r w:rsidR="00CA715B" w:rsidRPr="00B5524B">
        <w:t>there is a strong, and reasonable demand for service providers to communicate with customers in a timely manner about outages. This enables consumers to make what alternative arrangements they can and helps alleviate the uncertainty that develops without this information</w:t>
      </w:r>
      <w:r w:rsidR="0085020D">
        <w:t>’</w:t>
      </w:r>
      <w:r w:rsidR="00CA715B" w:rsidRPr="00B5524B">
        <w:t>.</w:t>
      </w:r>
    </w:p>
    <w:p w14:paraId="11FB4881" w14:textId="71769C43" w:rsidR="00D436B2" w:rsidRDefault="000D576B" w:rsidP="007A4514">
      <w:pPr>
        <w:pStyle w:val="Paragraph"/>
      </w:pPr>
      <w:r>
        <w:t>I</w:t>
      </w:r>
      <w:r w:rsidR="00BD71AB">
        <w:t>n</w:t>
      </w:r>
      <w:r>
        <w:t xml:space="preserve"> relation to recommendation 10 of the </w:t>
      </w:r>
      <w:r w:rsidR="00FD679A">
        <w:t>r</w:t>
      </w:r>
      <w:r w:rsidR="00BD71AB">
        <w:t>eport, t</w:t>
      </w:r>
      <w:r w:rsidR="000322BF" w:rsidRPr="000322BF">
        <w:t xml:space="preserve">he </w:t>
      </w:r>
      <w:r w:rsidR="00DC340C">
        <w:t>government</w:t>
      </w:r>
      <w:r w:rsidR="000322BF" w:rsidRPr="000322BF">
        <w:t xml:space="preserve"> </w:t>
      </w:r>
      <w:r w:rsidR="0085020D">
        <w:t>directed</w:t>
      </w:r>
      <w:r w:rsidR="000322BF" w:rsidRPr="000322BF">
        <w:t xml:space="preserve"> the ACMA to develop an industry standard requiring telecommunications providers (carriers and carriage service providers) to communicate information to customers during and about outages. </w:t>
      </w:r>
    </w:p>
    <w:p w14:paraId="416C0F7F" w14:textId="6917E684" w:rsidR="000E72C9" w:rsidRDefault="0026166B" w:rsidP="00815F35">
      <w:pPr>
        <w:pStyle w:val="Paragraph"/>
      </w:pPr>
      <w:r w:rsidRPr="75DF6408">
        <w:t xml:space="preserve">On </w:t>
      </w:r>
      <w:r w:rsidR="1B8AE931" w:rsidRPr="75DF6408">
        <w:t xml:space="preserve">21 </w:t>
      </w:r>
      <w:r w:rsidR="00D73877">
        <w:t>August</w:t>
      </w:r>
      <w:r w:rsidR="1B8AE931" w:rsidRPr="75DF6408">
        <w:t xml:space="preserve"> </w:t>
      </w:r>
      <w:r w:rsidR="002B271B" w:rsidRPr="75DF6408">
        <w:t xml:space="preserve">2024, the </w:t>
      </w:r>
      <w:r w:rsidR="00FD679A">
        <w:t>m</w:t>
      </w:r>
      <w:r w:rsidR="002B271B" w:rsidRPr="75DF6408">
        <w:t>inister</w:t>
      </w:r>
      <w:r w:rsidR="00A96FF7" w:rsidRPr="75DF6408">
        <w:t xml:space="preserve"> directed</w:t>
      </w:r>
      <w:r w:rsidR="002B271B" w:rsidRPr="75DF6408">
        <w:t xml:space="preserve"> the ACMA </w:t>
      </w:r>
      <w:r w:rsidR="00A96FF7" w:rsidRPr="75DF6408">
        <w:t>to make</w:t>
      </w:r>
      <w:r w:rsidR="000E72C9" w:rsidRPr="75DF6408">
        <w:t xml:space="preserve"> the </w:t>
      </w:r>
      <w:r w:rsidR="00A61CCC" w:rsidRPr="75DF6408">
        <w:t>Telecommunications (Customer Communications for Outages</w:t>
      </w:r>
      <w:r w:rsidR="000C5AD1" w:rsidRPr="75DF6408">
        <w:t>)</w:t>
      </w:r>
      <w:r w:rsidR="00A61CCC" w:rsidRPr="75DF6408">
        <w:t xml:space="preserve"> Industry Standard 2024</w:t>
      </w:r>
      <w:r w:rsidR="002B271B" w:rsidRPr="75DF6408">
        <w:t>.</w:t>
      </w:r>
      <w:r w:rsidR="00A61CCC" w:rsidRPr="75DF6408">
        <w:t xml:space="preserve"> </w:t>
      </w:r>
    </w:p>
    <w:p w14:paraId="38423094" w14:textId="77777777" w:rsidR="004B2960" w:rsidRPr="00E162C4" w:rsidRDefault="004B2960" w:rsidP="004B2960">
      <w:pPr>
        <w:pStyle w:val="Heading1"/>
      </w:pPr>
      <w:bookmarkStart w:id="19" w:name="_Toc92265098"/>
      <w:bookmarkStart w:id="20" w:name="_Toc177387624"/>
      <w:bookmarkStart w:id="21" w:name="_Toc348105641"/>
      <w:bookmarkEnd w:id="13"/>
      <w:r w:rsidRPr="00E162C4">
        <w:lastRenderedPageBreak/>
        <w:t>Invitation to comment</w:t>
      </w:r>
      <w:bookmarkEnd w:id="19"/>
      <w:bookmarkEnd w:id="20"/>
    </w:p>
    <w:p w14:paraId="5E4E6E50" w14:textId="77777777" w:rsidR="004B2960" w:rsidRPr="00E162C4" w:rsidRDefault="004B2960" w:rsidP="004B2960">
      <w:pPr>
        <w:pStyle w:val="Heading2"/>
      </w:pPr>
      <w:bookmarkStart w:id="22" w:name="_Toc433122131"/>
      <w:bookmarkStart w:id="23" w:name="_Toc348105637"/>
      <w:bookmarkStart w:id="24" w:name="_Toc300909556"/>
      <w:bookmarkStart w:id="25" w:name="_Toc298924673"/>
      <w:bookmarkStart w:id="26" w:name="_Toc92265099"/>
      <w:bookmarkStart w:id="27" w:name="_Toc177387625"/>
      <w:bookmarkStart w:id="28" w:name="_Toc348105638"/>
      <w:bookmarkStart w:id="29" w:name="_Toc300909557"/>
      <w:bookmarkStart w:id="30" w:name="_Toc298924674"/>
      <w:bookmarkStart w:id="31" w:name="_Toc274296357"/>
      <w:r w:rsidRPr="00E162C4">
        <w:t>Making a submission</w:t>
      </w:r>
      <w:bookmarkEnd w:id="22"/>
      <w:bookmarkEnd w:id="23"/>
      <w:bookmarkEnd w:id="24"/>
      <w:bookmarkEnd w:id="25"/>
      <w:bookmarkEnd w:id="26"/>
      <w:bookmarkEnd w:id="27"/>
    </w:p>
    <w:p w14:paraId="01EAD705" w14:textId="5ECF4BCA" w:rsidR="004B2960" w:rsidRPr="00E162C4" w:rsidRDefault="004B2960" w:rsidP="004B2960">
      <w:pPr>
        <w:pStyle w:val="Paragraph"/>
      </w:pPr>
      <w:r w:rsidRPr="00E162C4">
        <w:t xml:space="preserve">We invite comments on the issues set out in this </w:t>
      </w:r>
      <w:r w:rsidR="004D3F8D">
        <w:t>consultation</w:t>
      </w:r>
      <w:r w:rsidR="004D3F8D" w:rsidRPr="00E162C4">
        <w:t xml:space="preserve"> </w:t>
      </w:r>
      <w:r w:rsidRPr="00E162C4">
        <w:t xml:space="preserve">paper. </w:t>
      </w:r>
    </w:p>
    <w:p w14:paraId="29479A22" w14:textId="77777777" w:rsidR="004B2960" w:rsidRPr="00E162C4" w:rsidRDefault="00761185" w:rsidP="004B2960">
      <w:pPr>
        <w:pStyle w:val="Bulletlevel1"/>
      </w:pPr>
      <w:hyperlink r:id="rId26" w:history="1">
        <w:r w:rsidR="004B2960" w:rsidRPr="00E162C4">
          <w:rPr>
            <w:rStyle w:val="Hyperlink"/>
          </w:rPr>
          <w:t>Online submissions</w:t>
        </w:r>
      </w:hyperlink>
      <w:r w:rsidR="004B2960" w:rsidRPr="00E162C4">
        <w:t xml:space="preserve"> can be made by uploading a document. Submissions in PDF, Microsoft Word or Rich Text Format are preferred.</w:t>
      </w:r>
    </w:p>
    <w:p w14:paraId="3AF0D07D" w14:textId="77777777" w:rsidR="004B2960" w:rsidRPr="00E162C4" w:rsidRDefault="004B2960" w:rsidP="004B2960">
      <w:pPr>
        <w:pStyle w:val="Bulletlevel1"/>
      </w:pPr>
      <w:r w:rsidRPr="00E162C4">
        <w:t xml:space="preserve">Submissions by post can be </w:t>
      </w:r>
      <w:r w:rsidRPr="004B2960">
        <w:t>sent</w:t>
      </w:r>
      <w:r w:rsidRPr="00E162C4">
        <w:t xml:space="preserve"> to: </w:t>
      </w:r>
    </w:p>
    <w:p w14:paraId="437B167D" w14:textId="4BF5CFB5" w:rsidR="004B2960" w:rsidRPr="00A63969" w:rsidRDefault="004B2960" w:rsidP="004B2960">
      <w:pPr>
        <w:pStyle w:val="Bulletlevel1last"/>
        <w:numPr>
          <w:ilvl w:val="0"/>
          <w:numId w:val="0"/>
        </w:numPr>
        <w:ind w:left="284"/>
      </w:pPr>
      <w:r w:rsidRPr="004B0832">
        <w:t>The Manager</w:t>
      </w:r>
      <w:r w:rsidRPr="004B0832">
        <w:br/>
      </w:r>
      <w:r w:rsidR="004B0832" w:rsidRPr="00A63969">
        <w:t>National Interests Section</w:t>
      </w:r>
      <w:r w:rsidRPr="00A63969">
        <w:br/>
        <w:t>Australian Communications and Media Authority</w:t>
      </w:r>
      <w:r w:rsidRPr="00A63969">
        <w:br/>
        <w:t xml:space="preserve">PO </w:t>
      </w:r>
      <w:r w:rsidR="00AF1AA8" w:rsidRPr="00A63969">
        <w:rPr>
          <w:color w:val="1A1A1A"/>
          <w:shd w:val="clear" w:color="auto" w:fill="F9F9F9"/>
        </w:rPr>
        <w:t>13112 Law Courts</w:t>
      </w:r>
      <w:r w:rsidRPr="00A63969">
        <w:br/>
      </w:r>
      <w:r w:rsidR="0088787B" w:rsidRPr="00A63969">
        <w:rPr>
          <w:color w:val="1A1A1A"/>
          <w:shd w:val="clear" w:color="auto" w:fill="F9F9F9"/>
        </w:rPr>
        <w:t>Melbourne Victoria 8010</w:t>
      </w:r>
    </w:p>
    <w:p w14:paraId="641A9366" w14:textId="62CE743A" w:rsidR="004B2960" w:rsidRPr="00E162C4" w:rsidRDefault="004B2960" w:rsidP="004B2960">
      <w:pPr>
        <w:pStyle w:val="Paragraph"/>
      </w:pPr>
      <w:r w:rsidRPr="00E162C4">
        <w:t>The closing date for submissions is</w:t>
      </w:r>
      <w:r w:rsidR="00FD679A">
        <w:t xml:space="preserve"> </w:t>
      </w:r>
      <w:r w:rsidR="00AD321F">
        <w:rPr>
          <w:b/>
          <w:bCs/>
        </w:rPr>
        <w:t>5 pm (AEDT)</w:t>
      </w:r>
      <w:r w:rsidR="007931F7">
        <w:rPr>
          <w:b/>
          <w:bCs/>
        </w:rPr>
        <w:t xml:space="preserve"> on</w:t>
      </w:r>
      <w:r w:rsidR="00FD679A" w:rsidRPr="00FD679A">
        <w:rPr>
          <w:b/>
          <w:bCs/>
        </w:rPr>
        <w:t xml:space="preserve"> </w:t>
      </w:r>
      <w:r w:rsidR="007931F7">
        <w:rPr>
          <w:b/>
          <w:bCs/>
        </w:rPr>
        <w:t>Sunday 20 October</w:t>
      </w:r>
      <w:r w:rsidR="00FD679A" w:rsidRPr="00FD679A">
        <w:rPr>
          <w:b/>
          <w:bCs/>
        </w:rPr>
        <w:t xml:space="preserve"> 2024</w:t>
      </w:r>
      <w:r w:rsidR="00FD679A">
        <w:t>.</w:t>
      </w:r>
    </w:p>
    <w:p w14:paraId="6A958FA9" w14:textId="45F5146E" w:rsidR="004B2960" w:rsidRPr="00E162C4" w:rsidRDefault="00BC6DC1" w:rsidP="004B2960">
      <w:pPr>
        <w:pStyle w:val="Paragraph"/>
        <w:rPr>
          <w:szCs w:val="20"/>
        </w:rPr>
      </w:pPr>
      <w:r>
        <w:t>You can email c</w:t>
      </w:r>
      <w:r w:rsidR="004B2960" w:rsidRPr="00E162C4">
        <w:t xml:space="preserve">onsultation enquiries </w:t>
      </w:r>
      <w:r w:rsidR="004B2960" w:rsidRPr="00E162C4">
        <w:rPr>
          <w:szCs w:val="20"/>
        </w:rPr>
        <w:t xml:space="preserve">to </w:t>
      </w:r>
      <w:hyperlink r:id="rId27" w:history="1">
        <w:r w:rsidR="00DB7422" w:rsidRPr="006A7088">
          <w:rPr>
            <w:rStyle w:val="Hyperlink"/>
            <w:szCs w:val="20"/>
          </w:rPr>
          <w:t>national.interests@acma.gov.au</w:t>
        </w:r>
      </w:hyperlink>
      <w:r>
        <w:rPr>
          <w:szCs w:val="20"/>
        </w:rPr>
        <w:t>.</w:t>
      </w:r>
    </w:p>
    <w:p w14:paraId="06B53DE9" w14:textId="77777777" w:rsidR="004B2960" w:rsidRPr="00E162C4" w:rsidRDefault="004B2960" w:rsidP="004B2960">
      <w:pPr>
        <w:pStyle w:val="Heading3"/>
      </w:pPr>
      <w:bookmarkStart w:id="32" w:name="_Toc348105639"/>
      <w:bookmarkStart w:id="33" w:name="_Toc300909558"/>
      <w:bookmarkStart w:id="34" w:name="_Toc177387626"/>
      <w:bookmarkStart w:id="35" w:name="_Hlk59627494"/>
      <w:bookmarkEnd w:id="28"/>
      <w:bookmarkEnd w:id="29"/>
      <w:r w:rsidRPr="00E162C4">
        <w:t>Publication of submissions</w:t>
      </w:r>
      <w:bookmarkEnd w:id="30"/>
      <w:bookmarkEnd w:id="31"/>
      <w:bookmarkEnd w:id="32"/>
      <w:bookmarkEnd w:id="33"/>
      <w:bookmarkEnd w:id="34"/>
    </w:p>
    <w:p w14:paraId="7214BC41" w14:textId="77777777" w:rsidR="004B2960" w:rsidRPr="00E162C4" w:rsidRDefault="004B2960" w:rsidP="004B2960">
      <w:pPr>
        <w:pStyle w:val="Paragraph"/>
      </w:pPr>
      <w:bookmarkStart w:id="36" w:name="_Toc348105640"/>
      <w:bookmarkStart w:id="37" w:name="_Toc300909559"/>
      <w:bookmarkStart w:id="38" w:name="_Toc265246234"/>
      <w:r w:rsidRPr="00E162C4">
        <w:t xml:space="preserve">We publish submissions on our website, including personal information (such as names and contact details), except for information that you have claimed (and we have accepted) is confidential. </w:t>
      </w:r>
    </w:p>
    <w:p w14:paraId="2086F4B0" w14:textId="77777777" w:rsidR="004B2960" w:rsidRPr="00E162C4" w:rsidRDefault="004B2960" w:rsidP="004B2960">
      <w:pPr>
        <w:pStyle w:val="Paragraph"/>
      </w:pPr>
      <w:r w:rsidRPr="00E162C4">
        <w:t>Confidential information will not be published or otherwise released unless required or authorised by law.</w:t>
      </w:r>
    </w:p>
    <w:p w14:paraId="7465CD24" w14:textId="77777777" w:rsidR="004B2960" w:rsidRPr="00E162C4" w:rsidRDefault="004B2960" w:rsidP="004B2960">
      <w:pPr>
        <w:pStyle w:val="Heading3"/>
      </w:pPr>
      <w:bookmarkStart w:id="39" w:name="_Toc177387627"/>
      <w:r w:rsidRPr="00E162C4">
        <w:t>Privacy</w:t>
      </w:r>
      <w:bookmarkEnd w:id="39"/>
    </w:p>
    <w:p w14:paraId="007BC9AE" w14:textId="77777777" w:rsidR="004B2960" w:rsidRPr="004B2960" w:rsidRDefault="004B2960" w:rsidP="004B2960">
      <w:pPr>
        <w:pStyle w:val="Paragraph"/>
      </w:pPr>
      <w:r w:rsidRPr="00E162C4">
        <w:t xml:space="preserve">View information about our </w:t>
      </w:r>
      <w:r w:rsidRPr="004B2960">
        <w:t xml:space="preserve">policy on the </w:t>
      </w:r>
      <w:hyperlink r:id="rId28" w:history="1">
        <w:r w:rsidRPr="004B2960">
          <w:rPr>
            <w:rStyle w:val="Hyperlink"/>
            <w:color w:val="auto"/>
            <w:u w:val="none"/>
          </w:rPr>
          <w:t>publication of submissions</w:t>
        </w:r>
      </w:hyperlink>
      <w:r w:rsidRPr="004B2960">
        <w:t>, including collection of personal information during consultation and how we handle that information.</w:t>
      </w:r>
    </w:p>
    <w:bookmarkEnd w:id="36"/>
    <w:bookmarkEnd w:id="37"/>
    <w:bookmarkEnd w:id="38"/>
    <w:p w14:paraId="27F4C565" w14:textId="77777777" w:rsidR="004B2960" w:rsidRPr="00E162C4" w:rsidRDefault="004B2960" w:rsidP="004B2960">
      <w:pPr>
        <w:pStyle w:val="Paragraph"/>
      </w:pPr>
      <w:r w:rsidRPr="004B2960">
        <w:t xml:space="preserve">Information on the </w:t>
      </w:r>
      <w:r w:rsidRPr="002C64C6">
        <w:rPr>
          <w:i/>
          <w:iCs/>
        </w:rPr>
        <w:t>Privacy Act 1988</w:t>
      </w:r>
      <w:r w:rsidRPr="004B2960">
        <w:t>, how to access or correct personal information, how to make a privacy complaint an</w:t>
      </w:r>
      <w:r w:rsidRPr="00E162C4">
        <w:t xml:space="preserve">d how we will deal with any complaints, is available in our </w:t>
      </w:r>
      <w:hyperlink r:id="rId29" w:history="1">
        <w:r w:rsidRPr="00E162C4">
          <w:rPr>
            <w:rStyle w:val="Hyperlink"/>
          </w:rPr>
          <w:t>privacy policy</w:t>
        </w:r>
      </w:hyperlink>
      <w:r w:rsidRPr="00E162C4">
        <w:t xml:space="preserve">. </w:t>
      </w:r>
    </w:p>
    <w:bookmarkEnd w:id="21"/>
    <w:bookmarkEnd w:id="35"/>
    <w:p w14:paraId="289EB6C0" w14:textId="62F21817" w:rsidR="00FF3C69" w:rsidRPr="00A17B1B" w:rsidRDefault="00FF3C69" w:rsidP="00D414E9">
      <w:pPr>
        <w:pStyle w:val="Paragraph"/>
      </w:pPr>
    </w:p>
    <w:sectPr w:rsidR="00FF3C69" w:rsidRPr="00A17B1B" w:rsidSect="005A62E5">
      <w:headerReference w:type="even" r:id="rId30"/>
      <w:headerReference w:type="default" r:id="rId31"/>
      <w:footerReference w:type="even" r:id="rId32"/>
      <w:footerReference w:type="default" r:id="rId33"/>
      <w:pgSz w:w="11906" w:h="16838" w:code="9"/>
      <w:pgMar w:top="1418" w:right="1418"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26E9" w14:textId="77777777" w:rsidR="00EC4CE6" w:rsidRDefault="00EC4CE6">
      <w:r>
        <w:separator/>
      </w:r>
    </w:p>
  </w:endnote>
  <w:endnote w:type="continuationSeparator" w:id="0">
    <w:p w14:paraId="1D507D23" w14:textId="77777777" w:rsidR="00EC4CE6" w:rsidRDefault="00EC4CE6">
      <w:r>
        <w:continuationSeparator/>
      </w:r>
    </w:p>
  </w:endnote>
  <w:endnote w:type="continuationNotice" w:id="1">
    <w:p w14:paraId="4FBAE48E" w14:textId="77777777" w:rsidR="00EC4CE6" w:rsidRDefault="00EC4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9DED" w14:textId="77777777" w:rsidR="005E250B" w:rsidRDefault="005E250B" w:rsidP="005E250B">
    <w:pPr>
      <w:pStyle w:val="Footer"/>
      <w:jc w:val="right"/>
    </w:pPr>
    <w:r w:rsidRPr="005E250B">
      <w:rPr>
        <w:noProof/>
        <w:vertAlign w:val="subscript"/>
      </w:rPr>
      <w:drawing>
        <wp:inline distT="0" distB="0" distL="0" distR="0" wp14:anchorId="57657103" wp14:editId="69AD7101">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560F"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89A6"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6C0A"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37EA31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85FA"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368B3F1"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2CE4"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149"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8693"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1084" w14:textId="77777777" w:rsidR="00EC4CE6" w:rsidRDefault="00EC4CE6" w:rsidP="00DB3A64">
      <w:pPr>
        <w:spacing w:after="0"/>
      </w:pPr>
      <w:r>
        <w:separator/>
      </w:r>
    </w:p>
  </w:footnote>
  <w:footnote w:type="continuationSeparator" w:id="0">
    <w:p w14:paraId="68936DB5" w14:textId="77777777" w:rsidR="00EC4CE6" w:rsidRDefault="00EC4CE6">
      <w:r>
        <w:continuationSeparator/>
      </w:r>
    </w:p>
  </w:footnote>
  <w:footnote w:type="continuationNotice" w:id="1">
    <w:p w14:paraId="2EA79995" w14:textId="77777777" w:rsidR="00EC4CE6" w:rsidRDefault="00EC4CE6">
      <w:pPr>
        <w:spacing w:after="0" w:line="240" w:lineRule="auto"/>
      </w:pPr>
    </w:p>
  </w:footnote>
  <w:footnote w:id="2">
    <w:p w14:paraId="1B021DAC" w14:textId="5DBE6929" w:rsidR="002E05DA" w:rsidRDefault="002E05DA">
      <w:pPr>
        <w:pStyle w:val="FootnoteText"/>
      </w:pPr>
      <w:r>
        <w:rPr>
          <w:rStyle w:val="FootnoteReference"/>
        </w:rPr>
        <w:footnoteRef/>
      </w:r>
      <w:r>
        <w:t xml:space="preserve"> </w:t>
      </w:r>
      <w:hyperlink r:id="rId1" w:history="1">
        <w:r w:rsidR="00B31796" w:rsidRPr="000A5A2A">
          <w:rPr>
            <w:rStyle w:val="Hyperlink"/>
          </w:rPr>
          <w:t>https://www.legislation.gov.au/F2024L01060/asmade/text</w:t>
        </w:r>
      </w:hyperlink>
      <w:r w:rsidR="001E2954">
        <w:t>.</w:t>
      </w:r>
    </w:p>
  </w:footnote>
  <w:footnote w:id="3">
    <w:p w14:paraId="15989182" w14:textId="0EC54709" w:rsidR="000E4A2D" w:rsidRDefault="000E4A2D">
      <w:pPr>
        <w:pStyle w:val="FootnoteText"/>
      </w:pPr>
      <w:r>
        <w:rPr>
          <w:rStyle w:val="FootnoteReference"/>
        </w:rPr>
        <w:footnoteRef/>
      </w:r>
      <w:r>
        <w:t xml:space="preserve"> </w:t>
      </w:r>
      <w:hyperlink r:id="rId2" w:history="1">
        <w:r w:rsidR="00253900" w:rsidRPr="00AD321F">
          <w:rPr>
            <w:rStyle w:val="Hyperlink"/>
            <w:i/>
            <w:iCs/>
          </w:rPr>
          <w:t>Review into the Optus outage of 8 November 2023 – Final Report</w:t>
        </w:r>
      </w:hyperlink>
      <w:r w:rsidR="00E90B98">
        <w:t xml:space="preserve">, </w:t>
      </w:r>
      <w:r w:rsidR="00387475">
        <w:t>page 12</w:t>
      </w:r>
      <w:r w:rsidR="00AD321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94E8" w14:textId="77777777" w:rsidR="00C053A1" w:rsidRPr="005A62E5" w:rsidRDefault="005A62E5" w:rsidP="005A62E5">
    <w:pPr>
      <w:pStyle w:val="Header"/>
    </w:pPr>
    <w:r>
      <w:rPr>
        <w:noProof/>
      </w:rPr>
      <w:drawing>
        <wp:inline distT="0" distB="0" distL="0" distR="0" wp14:anchorId="4C66F162" wp14:editId="37AAF45E">
          <wp:extent cx="3229598" cy="3810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6C03"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11F4"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1313"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00C2A54" w14:textId="77777777" w:rsidTr="00F4079A">
      <w:trPr>
        <w:trHeight w:hRule="exact" w:val="988"/>
      </w:trPr>
      <w:tc>
        <w:tcPr>
          <w:tcW w:w="7678" w:type="dxa"/>
          <w:shd w:val="clear" w:color="auto" w:fill="auto"/>
        </w:tcPr>
        <w:p w14:paraId="1F16FD9D" w14:textId="77777777" w:rsidR="00971914" w:rsidRDefault="00971914" w:rsidP="00971914">
          <w:pPr>
            <w:pStyle w:val="Header"/>
          </w:pPr>
        </w:p>
      </w:tc>
    </w:tr>
    <w:tr w:rsidR="00971914" w14:paraId="6658C9C7" w14:textId="77777777" w:rsidTr="00F4079A">
      <w:tc>
        <w:tcPr>
          <w:tcW w:w="7678" w:type="dxa"/>
          <w:shd w:val="clear" w:color="auto" w:fill="auto"/>
        </w:tcPr>
        <w:p w14:paraId="7DC0BE7D" w14:textId="77777777" w:rsidR="00971914" w:rsidRDefault="00971914" w:rsidP="00971914">
          <w:pPr>
            <w:pStyle w:val="GridTable31"/>
          </w:pPr>
          <w:r>
            <w:t xml:space="preserve">Contents </w:t>
          </w:r>
          <w:r w:rsidRPr="00915B1C">
            <w:rPr>
              <w:b w:val="0"/>
              <w:spacing w:val="0"/>
              <w:sz w:val="28"/>
              <w:szCs w:val="28"/>
            </w:rPr>
            <w:t>(Continued)</w:t>
          </w:r>
        </w:p>
      </w:tc>
    </w:tr>
    <w:tr w:rsidR="00971914" w14:paraId="3193903A" w14:textId="77777777" w:rsidTr="00F4079A">
      <w:trPr>
        <w:trHeight w:val="1220"/>
      </w:trPr>
      <w:tc>
        <w:tcPr>
          <w:tcW w:w="7678" w:type="dxa"/>
          <w:shd w:val="clear" w:color="auto" w:fill="auto"/>
        </w:tcPr>
        <w:p w14:paraId="7741C79C" w14:textId="77777777" w:rsidR="00971914" w:rsidRDefault="00971914" w:rsidP="00971914"/>
      </w:tc>
    </w:tr>
  </w:tbl>
  <w:p w14:paraId="0510D1EC"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8CCF1E4" w14:textId="77777777" w:rsidTr="00F4079A">
      <w:trPr>
        <w:trHeight w:hRule="exact" w:val="988"/>
      </w:trPr>
      <w:tc>
        <w:tcPr>
          <w:tcW w:w="7678" w:type="dxa"/>
          <w:shd w:val="clear" w:color="auto" w:fill="auto"/>
        </w:tcPr>
        <w:p w14:paraId="7183CFEF" w14:textId="77777777" w:rsidR="00971914" w:rsidRDefault="00971914" w:rsidP="00971914">
          <w:pPr>
            <w:pStyle w:val="Header"/>
          </w:pPr>
        </w:p>
      </w:tc>
    </w:tr>
    <w:tr w:rsidR="00971914" w14:paraId="6071A7B3" w14:textId="77777777" w:rsidTr="00F4079A">
      <w:tc>
        <w:tcPr>
          <w:tcW w:w="7678" w:type="dxa"/>
          <w:shd w:val="clear" w:color="auto" w:fill="auto"/>
        </w:tcPr>
        <w:p w14:paraId="1968B197" w14:textId="77777777" w:rsidR="00971914" w:rsidRDefault="00971914" w:rsidP="00971914">
          <w:pPr>
            <w:pStyle w:val="GridTable31"/>
          </w:pPr>
          <w:r>
            <w:t xml:space="preserve">Contents </w:t>
          </w:r>
          <w:r w:rsidRPr="00915B1C">
            <w:rPr>
              <w:b w:val="0"/>
              <w:spacing w:val="0"/>
              <w:sz w:val="28"/>
              <w:szCs w:val="28"/>
            </w:rPr>
            <w:t>(Continued)</w:t>
          </w:r>
        </w:p>
      </w:tc>
    </w:tr>
    <w:tr w:rsidR="00971914" w14:paraId="17F42252" w14:textId="77777777" w:rsidTr="00F4079A">
      <w:trPr>
        <w:trHeight w:val="1220"/>
      </w:trPr>
      <w:tc>
        <w:tcPr>
          <w:tcW w:w="7678" w:type="dxa"/>
          <w:shd w:val="clear" w:color="auto" w:fill="auto"/>
        </w:tcPr>
        <w:p w14:paraId="033B6090" w14:textId="77777777" w:rsidR="00971914" w:rsidRDefault="00971914" w:rsidP="00971914"/>
      </w:tc>
    </w:tr>
  </w:tbl>
  <w:p w14:paraId="0BD56B80"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E94"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97A4"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5A8206D"/>
    <w:multiLevelType w:val="hybridMultilevel"/>
    <w:tmpl w:val="3AEE303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B485EA5"/>
    <w:multiLevelType w:val="hybridMultilevel"/>
    <w:tmpl w:val="7C86836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BF83485"/>
    <w:multiLevelType w:val="multilevel"/>
    <w:tmpl w:val="10725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5F40057"/>
    <w:multiLevelType w:val="hybridMultilevel"/>
    <w:tmpl w:val="591E2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5237B1"/>
    <w:multiLevelType w:val="multilevel"/>
    <w:tmpl w:val="75EA2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F7254E"/>
    <w:multiLevelType w:val="hybridMultilevel"/>
    <w:tmpl w:val="1AB288C4"/>
    <w:lvl w:ilvl="0" w:tplc="34EA6AC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3D5E44"/>
    <w:multiLevelType w:val="hybridMultilevel"/>
    <w:tmpl w:val="611A7F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15D2AFE"/>
    <w:multiLevelType w:val="hybridMultilevel"/>
    <w:tmpl w:val="F74A5E7C"/>
    <w:lvl w:ilvl="0" w:tplc="34EA6AC4">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50A388C"/>
    <w:multiLevelType w:val="hybridMultilevel"/>
    <w:tmpl w:val="39DC00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94769"/>
    <w:multiLevelType w:val="hybridMultilevel"/>
    <w:tmpl w:val="78B428E4"/>
    <w:lvl w:ilvl="0" w:tplc="B3ECEB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E7880"/>
    <w:multiLevelType w:val="hybridMultilevel"/>
    <w:tmpl w:val="32B84BEC"/>
    <w:lvl w:ilvl="0" w:tplc="34EA6AC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7591E"/>
    <w:multiLevelType w:val="hybridMultilevel"/>
    <w:tmpl w:val="44083C3A"/>
    <w:lvl w:ilvl="0" w:tplc="B3ECEB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4D7254E"/>
    <w:multiLevelType w:val="hybridMultilevel"/>
    <w:tmpl w:val="E108A220"/>
    <w:lvl w:ilvl="0" w:tplc="0C09001B">
      <w:start w:val="1"/>
      <w:numFmt w:val="lowerRoman"/>
      <w:lvlText w:val="%1."/>
      <w:lvlJc w:val="right"/>
      <w:pPr>
        <w:ind w:left="1702" w:hanging="360"/>
      </w:pPr>
      <w:rPr>
        <w:rFonts w:hint="default"/>
      </w:rPr>
    </w:lvl>
    <w:lvl w:ilvl="1" w:tplc="FFFFFFFF" w:tentative="1">
      <w:start w:val="1"/>
      <w:numFmt w:val="lowerLetter"/>
      <w:lvlText w:val="%2."/>
      <w:lvlJc w:val="left"/>
      <w:pPr>
        <w:ind w:left="2422" w:hanging="360"/>
      </w:pPr>
    </w:lvl>
    <w:lvl w:ilvl="2" w:tplc="FFFFFFFF" w:tentative="1">
      <w:start w:val="1"/>
      <w:numFmt w:val="lowerRoman"/>
      <w:lvlText w:val="%3."/>
      <w:lvlJc w:val="right"/>
      <w:pPr>
        <w:ind w:left="3142" w:hanging="180"/>
      </w:pPr>
    </w:lvl>
    <w:lvl w:ilvl="3" w:tplc="FFFFFFFF" w:tentative="1">
      <w:start w:val="1"/>
      <w:numFmt w:val="decimal"/>
      <w:lvlText w:val="%4."/>
      <w:lvlJc w:val="left"/>
      <w:pPr>
        <w:ind w:left="3862" w:hanging="360"/>
      </w:pPr>
    </w:lvl>
    <w:lvl w:ilvl="4" w:tplc="FFFFFFFF" w:tentative="1">
      <w:start w:val="1"/>
      <w:numFmt w:val="lowerLetter"/>
      <w:lvlText w:val="%5."/>
      <w:lvlJc w:val="left"/>
      <w:pPr>
        <w:ind w:left="4582" w:hanging="360"/>
      </w:pPr>
    </w:lvl>
    <w:lvl w:ilvl="5" w:tplc="FFFFFFFF" w:tentative="1">
      <w:start w:val="1"/>
      <w:numFmt w:val="lowerRoman"/>
      <w:lvlText w:val="%6."/>
      <w:lvlJc w:val="right"/>
      <w:pPr>
        <w:ind w:left="5302" w:hanging="180"/>
      </w:pPr>
    </w:lvl>
    <w:lvl w:ilvl="6" w:tplc="FFFFFFFF" w:tentative="1">
      <w:start w:val="1"/>
      <w:numFmt w:val="decimal"/>
      <w:lvlText w:val="%7."/>
      <w:lvlJc w:val="left"/>
      <w:pPr>
        <w:ind w:left="6022" w:hanging="360"/>
      </w:pPr>
    </w:lvl>
    <w:lvl w:ilvl="7" w:tplc="FFFFFFFF" w:tentative="1">
      <w:start w:val="1"/>
      <w:numFmt w:val="lowerLetter"/>
      <w:lvlText w:val="%8."/>
      <w:lvlJc w:val="left"/>
      <w:pPr>
        <w:ind w:left="6742" w:hanging="360"/>
      </w:pPr>
    </w:lvl>
    <w:lvl w:ilvl="8" w:tplc="FFFFFFFF" w:tentative="1">
      <w:start w:val="1"/>
      <w:numFmt w:val="lowerRoman"/>
      <w:lvlText w:val="%9."/>
      <w:lvlJc w:val="right"/>
      <w:pPr>
        <w:ind w:left="7462" w:hanging="180"/>
      </w:pPr>
    </w:lvl>
  </w:abstractNum>
  <w:abstractNum w:abstractNumId="25"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E510A9"/>
    <w:multiLevelType w:val="hybridMultilevel"/>
    <w:tmpl w:val="3AEE303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9"/>
  </w:num>
  <w:num w:numId="6" w16cid:durableId="818768531">
    <w:abstractNumId w:val="20"/>
  </w:num>
  <w:num w:numId="7" w16cid:durableId="636617026">
    <w:abstractNumId w:val="17"/>
  </w:num>
  <w:num w:numId="8" w16cid:durableId="227307242">
    <w:abstractNumId w:val="19"/>
  </w:num>
  <w:num w:numId="9" w16cid:durableId="1325478460">
    <w:abstractNumId w:val="22"/>
  </w:num>
  <w:num w:numId="10" w16cid:durableId="26877423">
    <w:abstractNumId w:val="5"/>
  </w:num>
  <w:num w:numId="11" w16cid:durableId="529613017">
    <w:abstractNumId w:val="2"/>
    <w:lvlOverride w:ilvl="0">
      <w:startOverride w:val="1"/>
    </w:lvlOverride>
  </w:num>
  <w:num w:numId="12" w16cid:durableId="506287035">
    <w:abstractNumId w:val="2"/>
    <w:lvlOverride w:ilvl="0">
      <w:startOverride w:val="1"/>
    </w:lvlOverride>
  </w:num>
  <w:num w:numId="13" w16cid:durableId="44449778">
    <w:abstractNumId w:val="27"/>
  </w:num>
  <w:num w:numId="14" w16cid:durableId="319240718">
    <w:abstractNumId w:val="25"/>
  </w:num>
  <w:num w:numId="15" w16cid:durableId="1091731347">
    <w:abstractNumId w:val="6"/>
  </w:num>
  <w:num w:numId="16" w16cid:durableId="1733236431">
    <w:abstractNumId w:val="10"/>
  </w:num>
  <w:num w:numId="17" w16cid:durableId="1480268017">
    <w:abstractNumId w:val="2"/>
    <w:lvlOverride w:ilvl="0">
      <w:startOverride w:val="1"/>
    </w:lvlOverride>
  </w:num>
  <w:num w:numId="18" w16cid:durableId="964309664">
    <w:abstractNumId w:val="2"/>
    <w:lvlOverride w:ilvl="0">
      <w:startOverride w:val="1"/>
    </w:lvlOverride>
  </w:num>
  <w:num w:numId="19" w16cid:durableId="1025836865">
    <w:abstractNumId w:val="2"/>
    <w:lvlOverride w:ilvl="0">
      <w:startOverride w:val="1"/>
    </w:lvlOverride>
  </w:num>
  <w:num w:numId="20" w16cid:durableId="1678726611">
    <w:abstractNumId w:val="2"/>
    <w:lvlOverride w:ilvl="0">
      <w:startOverride w:val="1"/>
    </w:lvlOverride>
  </w:num>
  <w:num w:numId="21" w16cid:durableId="475730963">
    <w:abstractNumId w:val="2"/>
    <w:lvlOverride w:ilvl="0">
      <w:startOverride w:val="1"/>
    </w:lvlOverride>
  </w:num>
  <w:num w:numId="22" w16cid:durableId="1304847979">
    <w:abstractNumId w:val="2"/>
    <w:lvlOverride w:ilvl="0">
      <w:startOverride w:val="1"/>
    </w:lvlOverride>
  </w:num>
  <w:num w:numId="23" w16cid:durableId="682896078">
    <w:abstractNumId w:val="3"/>
  </w:num>
  <w:num w:numId="24" w16cid:durableId="2078937965">
    <w:abstractNumId w:val="2"/>
  </w:num>
  <w:num w:numId="25" w16cid:durableId="405108578">
    <w:abstractNumId w:val="13"/>
  </w:num>
  <w:num w:numId="26" w16cid:durableId="863516246">
    <w:abstractNumId w:val="15"/>
  </w:num>
  <w:num w:numId="27" w16cid:durableId="1888687578">
    <w:abstractNumId w:val="26"/>
  </w:num>
  <w:num w:numId="28" w16cid:durableId="2041316349">
    <w:abstractNumId w:val="11"/>
  </w:num>
  <w:num w:numId="29" w16cid:durableId="795216548">
    <w:abstractNumId w:val="16"/>
  </w:num>
  <w:num w:numId="30" w16cid:durableId="909730878">
    <w:abstractNumId w:val="23"/>
  </w:num>
  <w:num w:numId="31" w16cid:durableId="378863954">
    <w:abstractNumId w:val="2"/>
  </w:num>
  <w:num w:numId="32" w16cid:durableId="825974077">
    <w:abstractNumId w:val="4"/>
  </w:num>
  <w:num w:numId="33" w16cid:durableId="1360356218">
    <w:abstractNumId w:val="2"/>
  </w:num>
  <w:num w:numId="34" w16cid:durableId="2058774811">
    <w:abstractNumId w:val="2"/>
  </w:num>
  <w:num w:numId="35" w16cid:durableId="1094210698">
    <w:abstractNumId w:val="2"/>
  </w:num>
  <w:num w:numId="36" w16cid:durableId="761611846">
    <w:abstractNumId w:val="2"/>
  </w:num>
  <w:num w:numId="37" w16cid:durableId="1150973955">
    <w:abstractNumId w:val="18"/>
  </w:num>
  <w:num w:numId="38" w16cid:durableId="1579747791">
    <w:abstractNumId w:val="24"/>
  </w:num>
  <w:num w:numId="39" w16cid:durableId="746657969">
    <w:abstractNumId w:val="21"/>
  </w:num>
  <w:num w:numId="40" w16cid:durableId="1890336496">
    <w:abstractNumId w:val="14"/>
  </w:num>
  <w:num w:numId="41" w16cid:durableId="885600745">
    <w:abstractNumId w:val="8"/>
  </w:num>
  <w:num w:numId="42" w16cid:durableId="1784612030">
    <w:abstractNumId w:val="12"/>
  </w:num>
  <w:num w:numId="43" w16cid:durableId="4137466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D4"/>
    <w:rsid w:val="00001FC9"/>
    <w:rsid w:val="0000711B"/>
    <w:rsid w:val="00010667"/>
    <w:rsid w:val="000129D5"/>
    <w:rsid w:val="00015993"/>
    <w:rsid w:val="00015AE7"/>
    <w:rsid w:val="00016E21"/>
    <w:rsid w:val="0001719C"/>
    <w:rsid w:val="000203A5"/>
    <w:rsid w:val="00020F20"/>
    <w:rsid w:val="0002224E"/>
    <w:rsid w:val="00022911"/>
    <w:rsid w:val="000245E5"/>
    <w:rsid w:val="00025E48"/>
    <w:rsid w:val="00026962"/>
    <w:rsid w:val="00026F91"/>
    <w:rsid w:val="00027D88"/>
    <w:rsid w:val="00031466"/>
    <w:rsid w:val="0003151F"/>
    <w:rsid w:val="000316D1"/>
    <w:rsid w:val="000322BF"/>
    <w:rsid w:val="0003613B"/>
    <w:rsid w:val="00037911"/>
    <w:rsid w:val="00041D4A"/>
    <w:rsid w:val="0004764C"/>
    <w:rsid w:val="0005011A"/>
    <w:rsid w:val="0005045A"/>
    <w:rsid w:val="0005195F"/>
    <w:rsid w:val="00051C1E"/>
    <w:rsid w:val="0005254A"/>
    <w:rsid w:val="00052C0D"/>
    <w:rsid w:val="00052C29"/>
    <w:rsid w:val="000539F9"/>
    <w:rsid w:val="00054584"/>
    <w:rsid w:val="00054C27"/>
    <w:rsid w:val="00055EC3"/>
    <w:rsid w:val="000563CE"/>
    <w:rsid w:val="00056933"/>
    <w:rsid w:val="00060DB7"/>
    <w:rsid w:val="000659B6"/>
    <w:rsid w:val="00065DA5"/>
    <w:rsid w:val="000663E8"/>
    <w:rsid w:val="0006686F"/>
    <w:rsid w:val="0006722A"/>
    <w:rsid w:val="00072045"/>
    <w:rsid w:val="00072AE3"/>
    <w:rsid w:val="000732CF"/>
    <w:rsid w:val="00075B96"/>
    <w:rsid w:val="00076154"/>
    <w:rsid w:val="000777AC"/>
    <w:rsid w:val="0008196A"/>
    <w:rsid w:val="00085498"/>
    <w:rsid w:val="000915ED"/>
    <w:rsid w:val="0009209D"/>
    <w:rsid w:val="0009463C"/>
    <w:rsid w:val="000969BD"/>
    <w:rsid w:val="000969BF"/>
    <w:rsid w:val="000971BD"/>
    <w:rsid w:val="000974B5"/>
    <w:rsid w:val="000974C9"/>
    <w:rsid w:val="0009787B"/>
    <w:rsid w:val="000A0C22"/>
    <w:rsid w:val="000A1400"/>
    <w:rsid w:val="000A2325"/>
    <w:rsid w:val="000A3C43"/>
    <w:rsid w:val="000A4A51"/>
    <w:rsid w:val="000A59D2"/>
    <w:rsid w:val="000A5D2B"/>
    <w:rsid w:val="000A6C82"/>
    <w:rsid w:val="000B4664"/>
    <w:rsid w:val="000B5DE3"/>
    <w:rsid w:val="000C0A57"/>
    <w:rsid w:val="000C230C"/>
    <w:rsid w:val="000C4C15"/>
    <w:rsid w:val="000C5160"/>
    <w:rsid w:val="000C5AD1"/>
    <w:rsid w:val="000C6AB4"/>
    <w:rsid w:val="000D06A4"/>
    <w:rsid w:val="000D1C70"/>
    <w:rsid w:val="000D20E5"/>
    <w:rsid w:val="000D2DE1"/>
    <w:rsid w:val="000D576B"/>
    <w:rsid w:val="000D71D9"/>
    <w:rsid w:val="000D76E0"/>
    <w:rsid w:val="000D7D7B"/>
    <w:rsid w:val="000D7E8B"/>
    <w:rsid w:val="000E3E8D"/>
    <w:rsid w:val="000E4449"/>
    <w:rsid w:val="000E4A2D"/>
    <w:rsid w:val="000E6097"/>
    <w:rsid w:val="000E72C9"/>
    <w:rsid w:val="0010267F"/>
    <w:rsid w:val="00103829"/>
    <w:rsid w:val="00105DC1"/>
    <w:rsid w:val="00106605"/>
    <w:rsid w:val="001068E6"/>
    <w:rsid w:val="0010710F"/>
    <w:rsid w:val="00111E09"/>
    <w:rsid w:val="00111E17"/>
    <w:rsid w:val="00111FCE"/>
    <w:rsid w:val="0011279B"/>
    <w:rsid w:val="00113F84"/>
    <w:rsid w:val="00117569"/>
    <w:rsid w:val="001229A5"/>
    <w:rsid w:val="00122C4C"/>
    <w:rsid w:val="0012489B"/>
    <w:rsid w:val="0012645C"/>
    <w:rsid w:val="00127998"/>
    <w:rsid w:val="00130017"/>
    <w:rsid w:val="00130F91"/>
    <w:rsid w:val="001349ED"/>
    <w:rsid w:val="00137424"/>
    <w:rsid w:val="001377D7"/>
    <w:rsid w:val="0014008C"/>
    <w:rsid w:val="00140318"/>
    <w:rsid w:val="00141AC4"/>
    <w:rsid w:val="00141AD9"/>
    <w:rsid w:val="00146CE6"/>
    <w:rsid w:val="001504D1"/>
    <w:rsid w:val="00152903"/>
    <w:rsid w:val="00152F4B"/>
    <w:rsid w:val="001535C3"/>
    <w:rsid w:val="00153FD5"/>
    <w:rsid w:val="00154101"/>
    <w:rsid w:val="00154B1F"/>
    <w:rsid w:val="0015614F"/>
    <w:rsid w:val="00156B68"/>
    <w:rsid w:val="0015709A"/>
    <w:rsid w:val="001577C2"/>
    <w:rsid w:val="001609E0"/>
    <w:rsid w:val="001633C4"/>
    <w:rsid w:val="00165F30"/>
    <w:rsid w:val="00167E57"/>
    <w:rsid w:val="00170427"/>
    <w:rsid w:val="001704D5"/>
    <w:rsid w:val="00171591"/>
    <w:rsid w:val="00173981"/>
    <w:rsid w:val="00175B8F"/>
    <w:rsid w:val="00175FC6"/>
    <w:rsid w:val="0017719D"/>
    <w:rsid w:val="00181180"/>
    <w:rsid w:val="001828BD"/>
    <w:rsid w:val="00183FD7"/>
    <w:rsid w:val="0018445D"/>
    <w:rsid w:val="00185128"/>
    <w:rsid w:val="00185CAB"/>
    <w:rsid w:val="00185D74"/>
    <w:rsid w:val="00186BAD"/>
    <w:rsid w:val="001875B7"/>
    <w:rsid w:val="00187CB3"/>
    <w:rsid w:val="0019050A"/>
    <w:rsid w:val="001910D4"/>
    <w:rsid w:val="001976E3"/>
    <w:rsid w:val="001A0724"/>
    <w:rsid w:val="001A0902"/>
    <w:rsid w:val="001A15E4"/>
    <w:rsid w:val="001A1E87"/>
    <w:rsid w:val="001A44EC"/>
    <w:rsid w:val="001B0867"/>
    <w:rsid w:val="001B28D9"/>
    <w:rsid w:val="001B2ED4"/>
    <w:rsid w:val="001B58AA"/>
    <w:rsid w:val="001B6596"/>
    <w:rsid w:val="001B7E48"/>
    <w:rsid w:val="001C17CE"/>
    <w:rsid w:val="001C36CA"/>
    <w:rsid w:val="001C44D1"/>
    <w:rsid w:val="001C6AA1"/>
    <w:rsid w:val="001C6AEE"/>
    <w:rsid w:val="001C6BD7"/>
    <w:rsid w:val="001C7630"/>
    <w:rsid w:val="001D1D16"/>
    <w:rsid w:val="001D3300"/>
    <w:rsid w:val="001D3EB7"/>
    <w:rsid w:val="001D4DD0"/>
    <w:rsid w:val="001D6D15"/>
    <w:rsid w:val="001E2954"/>
    <w:rsid w:val="001E5585"/>
    <w:rsid w:val="001E6F78"/>
    <w:rsid w:val="001F0550"/>
    <w:rsid w:val="001F1BC6"/>
    <w:rsid w:val="001F4D6C"/>
    <w:rsid w:val="001F6CAA"/>
    <w:rsid w:val="001F7558"/>
    <w:rsid w:val="001F78E9"/>
    <w:rsid w:val="00205B57"/>
    <w:rsid w:val="002157E0"/>
    <w:rsid w:val="00216A57"/>
    <w:rsid w:val="00216C50"/>
    <w:rsid w:val="00216CC7"/>
    <w:rsid w:val="00217448"/>
    <w:rsid w:val="0022213D"/>
    <w:rsid w:val="00222531"/>
    <w:rsid w:val="0022334F"/>
    <w:rsid w:val="00223BBB"/>
    <w:rsid w:val="00226819"/>
    <w:rsid w:val="00231554"/>
    <w:rsid w:val="00231AB9"/>
    <w:rsid w:val="00233101"/>
    <w:rsid w:val="00233129"/>
    <w:rsid w:val="00233817"/>
    <w:rsid w:val="0023418E"/>
    <w:rsid w:val="00236158"/>
    <w:rsid w:val="002367FF"/>
    <w:rsid w:val="00240C5B"/>
    <w:rsid w:val="00240CE9"/>
    <w:rsid w:val="0024287F"/>
    <w:rsid w:val="00243424"/>
    <w:rsid w:val="002434BA"/>
    <w:rsid w:val="00245D24"/>
    <w:rsid w:val="00245DEE"/>
    <w:rsid w:val="00246089"/>
    <w:rsid w:val="00246093"/>
    <w:rsid w:val="00246702"/>
    <w:rsid w:val="00247773"/>
    <w:rsid w:val="00247C59"/>
    <w:rsid w:val="00247F2E"/>
    <w:rsid w:val="00250ADC"/>
    <w:rsid w:val="00250B07"/>
    <w:rsid w:val="0025164D"/>
    <w:rsid w:val="00253900"/>
    <w:rsid w:val="00257553"/>
    <w:rsid w:val="00260FB2"/>
    <w:rsid w:val="0026166B"/>
    <w:rsid w:val="00262128"/>
    <w:rsid w:val="00265F81"/>
    <w:rsid w:val="00266123"/>
    <w:rsid w:val="0027165D"/>
    <w:rsid w:val="00273CEB"/>
    <w:rsid w:val="00274B92"/>
    <w:rsid w:val="00277A9E"/>
    <w:rsid w:val="00280A84"/>
    <w:rsid w:val="00281C89"/>
    <w:rsid w:val="0028282F"/>
    <w:rsid w:val="00282863"/>
    <w:rsid w:val="00284A74"/>
    <w:rsid w:val="00294707"/>
    <w:rsid w:val="0029592E"/>
    <w:rsid w:val="0029593B"/>
    <w:rsid w:val="00297FC5"/>
    <w:rsid w:val="002A0417"/>
    <w:rsid w:val="002A16D8"/>
    <w:rsid w:val="002A1B2D"/>
    <w:rsid w:val="002A1BC8"/>
    <w:rsid w:val="002A3EF2"/>
    <w:rsid w:val="002A41C7"/>
    <w:rsid w:val="002A6B00"/>
    <w:rsid w:val="002B0DED"/>
    <w:rsid w:val="002B19A2"/>
    <w:rsid w:val="002B19F9"/>
    <w:rsid w:val="002B271B"/>
    <w:rsid w:val="002B381A"/>
    <w:rsid w:val="002B4FCC"/>
    <w:rsid w:val="002B7408"/>
    <w:rsid w:val="002B7CFD"/>
    <w:rsid w:val="002C210F"/>
    <w:rsid w:val="002C64C6"/>
    <w:rsid w:val="002C683E"/>
    <w:rsid w:val="002C7861"/>
    <w:rsid w:val="002D1DE5"/>
    <w:rsid w:val="002D2160"/>
    <w:rsid w:val="002D2B33"/>
    <w:rsid w:val="002D3600"/>
    <w:rsid w:val="002D6EF1"/>
    <w:rsid w:val="002D70C1"/>
    <w:rsid w:val="002D7209"/>
    <w:rsid w:val="002D76FF"/>
    <w:rsid w:val="002D7CCD"/>
    <w:rsid w:val="002E05DA"/>
    <w:rsid w:val="002E3E86"/>
    <w:rsid w:val="002E4DDC"/>
    <w:rsid w:val="002E5062"/>
    <w:rsid w:val="002F100D"/>
    <w:rsid w:val="002F5692"/>
    <w:rsid w:val="00302480"/>
    <w:rsid w:val="00302758"/>
    <w:rsid w:val="003061D5"/>
    <w:rsid w:val="00306491"/>
    <w:rsid w:val="0030662D"/>
    <w:rsid w:val="003070AF"/>
    <w:rsid w:val="00312124"/>
    <w:rsid w:val="003125DD"/>
    <w:rsid w:val="00312EBA"/>
    <w:rsid w:val="0031593D"/>
    <w:rsid w:val="00316276"/>
    <w:rsid w:val="003165E6"/>
    <w:rsid w:val="003215B5"/>
    <w:rsid w:val="003221CF"/>
    <w:rsid w:val="003233ED"/>
    <w:rsid w:val="00324D9F"/>
    <w:rsid w:val="00326FDE"/>
    <w:rsid w:val="00327948"/>
    <w:rsid w:val="0033000F"/>
    <w:rsid w:val="00332011"/>
    <w:rsid w:val="00332518"/>
    <w:rsid w:val="00332925"/>
    <w:rsid w:val="00332E15"/>
    <w:rsid w:val="003332ED"/>
    <w:rsid w:val="00335865"/>
    <w:rsid w:val="00335B44"/>
    <w:rsid w:val="003368DC"/>
    <w:rsid w:val="0033784F"/>
    <w:rsid w:val="0034205B"/>
    <w:rsid w:val="00342B4E"/>
    <w:rsid w:val="00345927"/>
    <w:rsid w:val="00345B92"/>
    <w:rsid w:val="00350584"/>
    <w:rsid w:val="00351857"/>
    <w:rsid w:val="00351952"/>
    <w:rsid w:val="003525DB"/>
    <w:rsid w:val="00353263"/>
    <w:rsid w:val="00353F6A"/>
    <w:rsid w:val="00354273"/>
    <w:rsid w:val="003545E8"/>
    <w:rsid w:val="0035466C"/>
    <w:rsid w:val="0036025C"/>
    <w:rsid w:val="003610E1"/>
    <w:rsid w:val="00362148"/>
    <w:rsid w:val="00362E38"/>
    <w:rsid w:val="00365F81"/>
    <w:rsid w:val="0036608E"/>
    <w:rsid w:val="003671BE"/>
    <w:rsid w:val="00367821"/>
    <w:rsid w:val="0037038A"/>
    <w:rsid w:val="00370B23"/>
    <w:rsid w:val="0037102C"/>
    <w:rsid w:val="00372485"/>
    <w:rsid w:val="00373200"/>
    <w:rsid w:val="0037349C"/>
    <w:rsid w:val="00373787"/>
    <w:rsid w:val="00375EF5"/>
    <w:rsid w:val="003767A5"/>
    <w:rsid w:val="003817A2"/>
    <w:rsid w:val="00381D15"/>
    <w:rsid w:val="00383AA2"/>
    <w:rsid w:val="00385254"/>
    <w:rsid w:val="0038583C"/>
    <w:rsid w:val="00387475"/>
    <w:rsid w:val="00392CC3"/>
    <w:rsid w:val="00393CE1"/>
    <w:rsid w:val="003979B4"/>
    <w:rsid w:val="003A04DB"/>
    <w:rsid w:val="003A10CA"/>
    <w:rsid w:val="003A4B5A"/>
    <w:rsid w:val="003A5F5B"/>
    <w:rsid w:val="003A6A26"/>
    <w:rsid w:val="003A789A"/>
    <w:rsid w:val="003B12EC"/>
    <w:rsid w:val="003B2702"/>
    <w:rsid w:val="003B3670"/>
    <w:rsid w:val="003B3A31"/>
    <w:rsid w:val="003B4988"/>
    <w:rsid w:val="003B71C8"/>
    <w:rsid w:val="003B772F"/>
    <w:rsid w:val="003B776D"/>
    <w:rsid w:val="003C02C0"/>
    <w:rsid w:val="003C28C5"/>
    <w:rsid w:val="003C4631"/>
    <w:rsid w:val="003C72E9"/>
    <w:rsid w:val="003C77E0"/>
    <w:rsid w:val="003D0CAD"/>
    <w:rsid w:val="003D17D7"/>
    <w:rsid w:val="003D2678"/>
    <w:rsid w:val="003D3D7B"/>
    <w:rsid w:val="003D4CD1"/>
    <w:rsid w:val="003D6259"/>
    <w:rsid w:val="003D71A3"/>
    <w:rsid w:val="003E06E2"/>
    <w:rsid w:val="003E0873"/>
    <w:rsid w:val="003E08AF"/>
    <w:rsid w:val="003E2B50"/>
    <w:rsid w:val="003E2B8A"/>
    <w:rsid w:val="003E40C4"/>
    <w:rsid w:val="003E5B7B"/>
    <w:rsid w:val="003E5C05"/>
    <w:rsid w:val="003F10EE"/>
    <w:rsid w:val="003F16F6"/>
    <w:rsid w:val="003F1B47"/>
    <w:rsid w:val="003F3237"/>
    <w:rsid w:val="003F4DC7"/>
    <w:rsid w:val="003F5235"/>
    <w:rsid w:val="003F5D9B"/>
    <w:rsid w:val="004027E4"/>
    <w:rsid w:val="004068BA"/>
    <w:rsid w:val="00406C63"/>
    <w:rsid w:val="0041071D"/>
    <w:rsid w:val="0041113B"/>
    <w:rsid w:val="00414AFC"/>
    <w:rsid w:val="004151A7"/>
    <w:rsid w:val="00415310"/>
    <w:rsid w:val="00421709"/>
    <w:rsid w:val="00423763"/>
    <w:rsid w:val="00424455"/>
    <w:rsid w:val="004262BF"/>
    <w:rsid w:val="0042762F"/>
    <w:rsid w:val="00427DC7"/>
    <w:rsid w:val="00427F0A"/>
    <w:rsid w:val="00431613"/>
    <w:rsid w:val="00431792"/>
    <w:rsid w:val="0043297A"/>
    <w:rsid w:val="00432EB2"/>
    <w:rsid w:val="0043714F"/>
    <w:rsid w:val="004438B5"/>
    <w:rsid w:val="00444700"/>
    <w:rsid w:val="00447037"/>
    <w:rsid w:val="00450570"/>
    <w:rsid w:val="0045077A"/>
    <w:rsid w:val="004511C5"/>
    <w:rsid w:val="0045124D"/>
    <w:rsid w:val="00454596"/>
    <w:rsid w:val="0045535F"/>
    <w:rsid w:val="0045605D"/>
    <w:rsid w:val="0046135B"/>
    <w:rsid w:val="00461D47"/>
    <w:rsid w:val="004629F8"/>
    <w:rsid w:val="00464D85"/>
    <w:rsid w:val="004718CC"/>
    <w:rsid w:val="00471A6D"/>
    <w:rsid w:val="00472744"/>
    <w:rsid w:val="0047535C"/>
    <w:rsid w:val="00477E59"/>
    <w:rsid w:val="00481695"/>
    <w:rsid w:val="00487DFB"/>
    <w:rsid w:val="00491A35"/>
    <w:rsid w:val="00495344"/>
    <w:rsid w:val="00495A96"/>
    <w:rsid w:val="00495BB3"/>
    <w:rsid w:val="0049620E"/>
    <w:rsid w:val="004962DC"/>
    <w:rsid w:val="00497370"/>
    <w:rsid w:val="004A56BB"/>
    <w:rsid w:val="004A6F2D"/>
    <w:rsid w:val="004A70D6"/>
    <w:rsid w:val="004B0832"/>
    <w:rsid w:val="004B1751"/>
    <w:rsid w:val="004B1BB1"/>
    <w:rsid w:val="004B2960"/>
    <w:rsid w:val="004C0253"/>
    <w:rsid w:val="004C3C6F"/>
    <w:rsid w:val="004C6043"/>
    <w:rsid w:val="004C70D9"/>
    <w:rsid w:val="004D2B9A"/>
    <w:rsid w:val="004D2F36"/>
    <w:rsid w:val="004D3AC6"/>
    <w:rsid w:val="004D3F8D"/>
    <w:rsid w:val="004D4A78"/>
    <w:rsid w:val="004D4D2A"/>
    <w:rsid w:val="004D56FF"/>
    <w:rsid w:val="004D6731"/>
    <w:rsid w:val="004E2BD4"/>
    <w:rsid w:val="004E39D3"/>
    <w:rsid w:val="004E508A"/>
    <w:rsid w:val="004E59CE"/>
    <w:rsid w:val="004E616D"/>
    <w:rsid w:val="004E73C3"/>
    <w:rsid w:val="004F1BDE"/>
    <w:rsid w:val="004F28E9"/>
    <w:rsid w:val="004F2C11"/>
    <w:rsid w:val="004F2CEE"/>
    <w:rsid w:val="004F2D64"/>
    <w:rsid w:val="004F4978"/>
    <w:rsid w:val="004F556E"/>
    <w:rsid w:val="004F591C"/>
    <w:rsid w:val="004F6038"/>
    <w:rsid w:val="004F7F44"/>
    <w:rsid w:val="00502946"/>
    <w:rsid w:val="005029AB"/>
    <w:rsid w:val="005037B4"/>
    <w:rsid w:val="005079BF"/>
    <w:rsid w:val="0051269A"/>
    <w:rsid w:val="005144FA"/>
    <w:rsid w:val="005161DB"/>
    <w:rsid w:val="005219E7"/>
    <w:rsid w:val="00521B18"/>
    <w:rsid w:val="00521ED4"/>
    <w:rsid w:val="00524C23"/>
    <w:rsid w:val="00525B37"/>
    <w:rsid w:val="00527D87"/>
    <w:rsid w:val="00527FD6"/>
    <w:rsid w:val="00531B9A"/>
    <w:rsid w:val="00531D15"/>
    <w:rsid w:val="0053463C"/>
    <w:rsid w:val="005369FD"/>
    <w:rsid w:val="00536B99"/>
    <w:rsid w:val="00537604"/>
    <w:rsid w:val="0054189B"/>
    <w:rsid w:val="00542377"/>
    <w:rsid w:val="00547470"/>
    <w:rsid w:val="005476EB"/>
    <w:rsid w:val="00547F5F"/>
    <w:rsid w:val="00551782"/>
    <w:rsid w:val="00552DDE"/>
    <w:rsid w:val="00555874"/>
    <w:rsid w:val="005571C9"/>
    <w:rsid w:val="00563A75"/>
    <w:rsid w:val="00563E2F"/>
    <w:rsid w:val="00563EF1"/>
    <w:rsid w:val="0056469B"/>
    <w:rsid w:val="00566AB4"/>
    <w:rsid w:val="005748E1"/>
    <w:rsid w:val="00575AC5"/>
    <w:rsid w:val="0057605D"/>
    <w:rsid w:val="00581347"/>
    <w:rsid w:val="00581AC9"/>
    <w:rsid w:val="005849F8"/>
    <w:rsid w:val="005868CB"/>
    <w:rsid w:val="0059073E"/>
    <w:rsid w:val="005934B5"/>
    <w:rsid w:val="005938DF"/>
    <w:rsid w:val="00594E9C"/>
    <w:rsid w:val="00596810"/>
    <w:rsid w:val="005A099B"/>
    <w:rsid w:val="005A156F"/>
    <w:rsid w:val="005A1E0E"/>
    <w:rsid w:val="005A21FB"/>
    <w:rsid w:val="005A2D9C"/>
    <w:rsid w:val="005A40AB"/>
    <w:rsid w:val="005A55FE"/>
    <w:rsid w:val="005A566E"/>
    <w:rsid w:val="005A5E6D"/>
    <w:rsid w:val="005A61EC"/>
    <w:rsid w:val="005A62E5"/>
    <w:rsid w:val="005A6A11"/>
    <w:rsid w:val="005B2E64"/>
    <w:rsid w:val="005B37BA"/>
    <w:rsid w:val="005B47D6"/>
    <w:rsid w:val="005C191D"/>
    <w:rsid w:val="005C3B6A"/>
    <w:rsid w:val="005C4275"/>
    <w:rsid w:val="005C5287"/>
    <w:rsid w:val="005C5592"/>
    <w:rsid w:val="005C6C3E"/>
    <w:rsid w:val="005C6D10"/>
    <w:rsid w:val="005D2502"/>
    <w:rsid w:val="005D40BB"/>
    <w:rsid w:val="005D47F3"/>
    <w:rsid w:val="005D49BF"/>
    <w:rsid w:val="005D4AA5"/>
    <w:rsid w:val="005D6F4E"/>
    <w:rsid w:val="005D73E2"/>
    <w:rsid w:val="005D7C73"/>
    <w:rsid w:val="005E1EA6"/>
    <w:rsid w:val="005E232C"/>
    <w:rsid w:val="005E250B"/>
    <w:rsid w:val="005E3ACD"/>
    <w:rsid w:val="005E4186"/>
    <w:rsid w:val="005E7226"/>
    <w:rsid w:val="005E7A57"/>
    <w:rsid w:val="005F1E3B"/>
    <w:rsid w:val="005F24B0"/>
    <w:rsid w:val="005F5E55"/>
    <w:rsid w:val="005F67EA"/>
    <w:rsid w:val="005F6A58"/>
    <w:rsid w:val="005F7C91"/>
    <w:rsid w:val="0060112F"/>
    <w:rsid w:val="00601B57"/>
    <w:rsid w:val="00604315"/>
    <w:rsid w:val="00604E26"/>
    <w:rsid w:val="0060523F"/>
    <w:rsid w:val="006052CF"/>
    <w:rsid w:val="006072E8"/>
    <w:rsid w:val="00607B8D"/>
    <w:rsid w:val="006115D8"/>
    <w:rsid w:val="00611C93"/>
    <w:rsid w:val="00611F5C"/>
    <w:rsid w:val="006164DD"/>
    <w:rsid w:val="00616E09"/>
    <w:rsid w:val="00622A3B"/>
    <w:rsid w:val="00622EEA"/>
    <w:rsid w:val="00623207"/>
    <w:rsid w:val="0062396C"/>
    <w:rsid w:val="00623B21"/>
    <w:rsid w:val="00623FF9"/>
    <w:rsid w:val="00627D4E"/>
    <w:rsid w:val="00631AF9"/>
    <w:rsid w:val="00631FA7"/>
    <w:rsid w:val="00632AFB"/>
    <w:rsid w:val="00632B89"/>
    <w:rsid w:val="0063346D"/>
    <w:rsid w:val="00634478"/>
    <w:rsid w:val="00636722"/>
    <w:rsid w:val="006401E9"/>
    <w:rsid w:val="006414C2"/>
    <w:rsid w:val="00644373"/>
    <w:rsid w:val="00645162"/>
    <w:rsid w:val="00645915"/>
    <w:rsid w:val="00646CCD"/>
    <w:rsid w:val="00650614"/>
    <w:rsid w:val="0065092C"/>
    <w:rsid w:val="00651519"/>
    <w:rsid w:val="006519C3"/>
    <w:rsid w:val="00652B30"/>
    <w:rsid w:val="00653281"/>
    <w:rsid w:val="00653317"/>
    <w:rsid w:val="00653C4D"/>
    <w:rsid w:val="00656345"/>
    <w:rsid w:val="00656DC6"/>
    <w:rsid w:val="006600F8"/>
    <w:rsid w:val="00660EC6"/>
    <w:rsid w:val="00661AC5"/>
    <w:rsid w:val="00664110"/>
    <w:rsid w:val="00664D17"/>
    <w:rsid w:val="00666520"/>
    <w:rsid w:val="00666A5C"/>
    <w:rsid w:val="00667C5B"/>
    <w:rsid w:val="00672476"/>
    <w:rsid w:val="00673E8A"/>
    <w:rsid w:val="00677BC3"/>
    <w:rsid w:val="00681DBC"/>
    <w:rsid w:val="006827C4"/>
    <w:rsid w:val="00691EB8"/>
    <w:rsid w:val="00692CDE"/>
    <w:rsid w:val="00693073"/>
    <w:rsid w:val="006977FF"/>
    <w:rsid w:val="006A01FA"/>
    <w:rsid w:val="006A0E9E"/>
    <w:rsid w:val="006A25C7"/>
    <w:rsid w:val="006A2996"/>
    <w:rsid w:val="006A4AAD"/>
    <w:rsid w:val="006A4F98"/>
    <w:rsid w:val="006A6DA2"/>
    <w:rsid w:val="006A7AB2"/>
    <w:rsid w:val="006B2192"/>
    <w:rsid w:val="006B3D98"/>
    <w:rsid w:val="006B3F11"/>
    <w:rsid w:val="006B52DE"/>
    <w:rsid w:val="006B5497"/>
    <w:rsid w:val="006B5701"/>
    <w:rsid w:val="006B5717"/>
    <w:rsid w:val="006B582F"/>
    <w:rsid w:val="006B5EB2"/>
    <w:rsid w:val="006C0CEB"/>
    <w:rsid w:val="006C1631"/>
    <w:rsid w:val="006C25FD"/>
    <w:rsid w:val="006C2920"/>
    <w:rsid w:val="006C2E4D"/>
    <w:rsid w:val="006C3B1E"/>
    <w:rsid w:val="006C47FD"/>
    <w:rsid w:val="006C509F"/>
    <w:rsid w:val="006C5C19"/>
    <w:rsid w:val="006C70A0"/>
    <w:rsid w:val="006C7795"/>
    <w:rsid w:val="006C7FE7"/>
    <w:rsid w:val="006D037C"/>
    <w:rsid w:val="006D0B40"/>
    <w:rsid w:val="006D13CD"/>
    <w:rsid w:val="006D247C"/>
    <w:rsid w:val="006D27CB"/>
    <w:rsid w:val="006D2F08"/>
    <w:rsid w:val="006D2F19"/>
    <w:rsid w:val="006D4D99"/>
    <w:rsid w:val="006D576C"/>
    <w:rsid w:val="006D5865"/>
    <w:rsid w:val="006D75BB"/>
    <w:rsid w:val="006E34A6"/>
    <w:rsid w:val="006E4B1B"/>
    <w:rsid w:val="006E5445"/>
    <w:rsid w:val="006E7D93"/>
    <w:rsid w:val="007005A7"/>
    <w:rsid w:val="00700AC2"/>
    <w:rsid w:val="00700F41"/>
    <w:rsid w:val="007029A3"/>
    <w:rsid w:val="00702EA1"/>
    <w:rsid w:val="007031FA"/>
    <w:rsid w:val="007032A0"/>
    <w:rsid w:val="00706E4E"/>
    <w:rsid w:val="0070791C"/>
    <w:rsid w:val="00710185"/>
    <w:rsid w:val="007114C8"/>
    <w:rsid w:val="00711ACA"/>
    <w:rsid w:val="00711EA2"/>
    <w:rsid w:val="00711FFD"/>
    <w:rsid w:val="007133E4"/>
    <w:rsid w:val="0071383C"/>
    <w:rsid w:val="007140FF"/>
    <w:rsid w:val="007141A7"/>
    <w:rsid w:val="007152CD"/>
    <w:rsid w:val="00715722"/>
    <w:rsid w:val="00716959"/>
    <w:rsid w:val="00717961"/>
    <w:rsid w:val="00721032"/>
    <w:rsid w:val="00721B55"/>
    <w:rsid w:val="007255A8"/>
    <w:rsid w:val="00726CE4"/>
    <w:rsid w:val="00726F3B"/>
    <w:rsid w:val="00733E91"/>
    <w:rsid w:val="00734143"/>
    <w:rsid w:val="00737019"/>
    <w:rsid w:val="0073784A"/>
    <w:rsid w:val="00737E47"/>
    <w:rsid w:val="00740EAC"/>
    <w:rsid w:val="00744956"/>
    <w:rsid w:val="00745006"/>
    <w:rsid w:val="00745A5C"/>
    <w:rsid w:val="0074605F"/>
    <w:rsid w:val="00746124"/>
    <w:rsid w:val="00747CC4"/>
    <w:rsid w:val="00747E94"/>
    <w:rsid w:val="0075021B"/>
    <w:rsid w:val="0075130F"/>
    <w:rsid w:val="0075276F"/>
    <w:rsid w:val="007527F4"/>
    <w:rsid w:val="00752866"/>
    <w:rsid w:val="00754C83"/>
    <w:rsid w:val="007554F0"/>
    <w:rsid w:val="007578AF"/>
    <w:rsid w:val="00760BC1"/>
    <w:rsid w:val="00761185"/>
    <w:rsid w:val="00761E5C"/>
    <w:rsid w:val="007620B3"/>
    <w:rsid w:val="00765DF8"/>
    <w:rsid w:val="00766749"/>
    <w:rsid w:val="00767C1B"/>
    <w:rsid w:val="007714A9"/>
    <w:rsid w:val="00774F88"/>
    <w:rsid w:val="00774FDB"/>
    <w:rsid w:val="007775FC"/>
    <w:rsid w:val="00777BA2"/>
    <w:rsid w:val="00781408"/>
    <w:rsid w:val="0078146A"/>
    <w:rsid w:val="00784F7F"/>
    <w:rsid w:val="00786D7C"/>
    <w:rsid w:val="007878BD"/>
    <w:rsid w:val="007910EB"/>
    <w:rsid w:val="00792DF8"/>
    <w:rsid w:val="007931F7"/>
    <w:rsid w:val="00794CE4"/>
    <w:rsid w:val="0079517A"/>
    <w:rsid w:val="00795EA8"/>
    <w:rsid w:val="00796E1C"/>
    <w:rsid w:val="00796F25"/>
    <w:rsid w:val="007971C0"/>
    <w:rsid w:val="007A1928"/>
    <w:rsid w:val="007A25C0"/>
    <w:rsid w:val="007A2E98"/>
    <w:rsid w:val="007A3BA3"/>
    <w:rsid w:val="007A4514"/>
    <w:rsid w:val="007A6CC0"/>
    <w:rsid w:val="007A7A99"/>
    <w:rsid w:val="007A7FEC"/>
    <w:rsid w:val="007B1298"/>
    <w:rsid w:val="007B1499"/>
    <w:rsid w:val="007B1BBF"/>
    <w:rsid w:val="007B2960"/>
    <w:rsid w:val="007B355D"/>
    <w:rsid w:val="007B5371"/>
    <w:rsid w:val="007B7980"/>
    <w:rsid w:val="007C06D8"/>
    <w:rsid w:val="007C0DEF"/>
    <w:rsid w:val="007C5D5A"/>
    <w:rsid w:val="007C607F"/>
    <w:rsid w:val="007C6820"/>
    <w:rsid w:val="007C6E44"/>
    <w:rsid w:val="007C74ED"/>
    <w:rsid w:val="007C7516"/>
    <w:rsid w:val="007C79DD"/>
    <w:rsid w:val="007C7E1C"/>
    <w:rsid w:val="007D1508"/>
    <w:rsid w:val="007D1A97"/>
    <w:rsid w:val="007D2CD6"/>
    <w:rsid w:val="007D3063"/>
    <w:rsid w:val="007D3311"/>
    <w:rsid w:val="007D3CEB"/>
    <w:rsid w:val="007D7AB2"/>
    <w:rsid w:val="007E3375"/>
    <w:rsid w:val="007E38DC"/>
    <w:rsid w:val="007E74BA"/>
    <w:rsid w:val="007E7683"/>
    <w:rsid w:val="007E7998"/>
    <w:rsid w:val="007F0C35"/>
    <w:rsid w:val="007F1FAA"/>
    <w:rsid w:val="007F39EC"/>
    <w:rsid w:val="007F4802"/>
    <w:rsid w:val="007F49FA"/>
    <w:rsid w:val="007F54C4"/>
    <w:rsid w:val="007F6E9A"/>
    <w:rsid w:val="00800CCD"/>
    <w:rsid w:val="00804360"/>
    <w:rsid w:val="008044D4"/>
    <w:rsid w:val="00810AB4"/>
    <w:rsid w:val="00815F35"/>
    <w:rsid w:val="00817B56"/>
    <w:rsid w:val="00820475"/>
    <w:rsid w:val="00821A88"/>
    <w:rsid w:val="0082495D"/>
    <w:rsid w:val="00825E60"/>
    <w:rsid w:val="00827819"/>
    <w:rsid w:val="008279E1"/>
    <w:rsid w:val="00827B1F"/>
    <w:rsid w:val="00830E12"/>
    <w:rsid w:val="00831891"/>
    <w:rsid w:val="00831AC3"/>
    <w:rsid w:val="0083297B"/>
    <w:rsid w:val="008333A7"/>
    <w:rsid w:val="00834FC2"/>
    <w:rsid w:val="00836FCE"/>
    <w:rsid w:val="00837054"/>
    <w:rsid w:val="008408FF"/>
    <w:rsid w:val="00841359"/>
    <w:rsid w:val="00841F09"/>
    <w:rsid w:val="0084356D"/>
    <w:rsid w:val="008437A2"/>
    <w:rsid w:val="00846452"/>
    <w:rsid w:val="0085020D"/>
    <w:rsid w:val="00851F3F"/>
    <w:rsid w:val="00852AB9"/>
    <w:rsid w:val="00853833"/>
    <w:rsid w:val="008542C4"/>
    <w:rsid w:val="0085618F"/>
    <w:rsid w:val="00856229"/>
    <w:rsid w:val="0085688F"/>
    <w:rsid w:val="00856EDC"/>
    <w:rsid w:val="00860AD3"/>
    <w:rsid w:val="00860F8D"/>
    <w:rsid w:val="008623B5"/>
    <w:rsid w:val="0086359B"/>
    <w:rsid w:val="00863BA2"/>
    <w:rsid w:val="008660C5"/>
    <w:rsid w:val="0086680B"/>
    <w:rsid w:val="00870ABA"/>
    <w:rsid w:val="00870E26"/>
    <w:rsid w:val="008710E1"/>
    <w:rsid w:val="008716E5"/>
    <w:rsid w:val="0087238D"/>
    <w:rsid w:val="00881412"/>
    <w:rsid w:val="00881CA9"/>
    <w:rsid w:val="0088339A"/>
    <w:rsid w:val="00883628"/>
    <w:rsid w:val="00885544"/>
    <w:rsid w:val="00885C17"/>
    <w:rsid w:val="0088634E"/>
    <w:rsid w:val="0088733B"/>
    <w:rsid w:val="0088787B"/>
    <w:rsid w:val="00893191"/>
    <w:rsid w:val="008938B3"/>
    <w:rsid w:val="00893AB8"/>
    <w:rsid w:val="008A04C8"/>
    <w:rsid w:val="008A1B1B"/>
    <w:rsid w:val="008A3971"/>
    <w:rsid w:val="008A48F2"/>
    <w:rsid w:val="008A5D50"/>
    <w:rsid w:val="008A6913"/>
    <w:rsid w:val="008B2319"/>
    <w:rsid w:val="008B70F3"/>
    <w:rsid w:val="008B71C3"/>
    <w:rsid w:val="008B71C4"/>
    <w:rsid w:val="008B76DF"/>
    <w:rsid w:val="008C10F4"/>
    <w:rsid w:val="008C65F7"/>
    <w:rsid w:val="008C7FC4"/>
    <w:rsid w:val="008D2D40"/>
    <w:rsid w:val="008D4F22"/>
    <w:rsid w:val="008D653F"/>
    <w:rsid w:val="008E3162"/>
    <w:rsid w:val="008E3764"/>
    <w:rsid w:val="008E4767"/>
    <w:rsid w:val="008E7A8C"/>
    <w:rsid w:val="008E7DED"/>
    <w:rsid w:val="008F3C68"/>
    <w:rsid w:val="008F5236"/>
    <w:rsid w:val="0090203B"/>
    <w:rsid w:val="00902432"/>
    <w:rsid w:val="00903285"/>
    <w:rsid w:val="009034A4"/>
    <w:rsid w:val="00906922"/>
    <w:rsid w:val="00906F40"/>
    <w:rsid w:val="0090731E"/>
    <w:rsid w:val="00915B1C"/>
    <w:rsid w:val="0091659E"/>
    <w:rsid w:val="009166AA"/>
    <w:rsid w:val="009174F3"/>
    <w:rsid w:val="0091797D"/>
    <w:rsid w:val="00923CBA"/>
    <w:rsid w:val="009242EB"/>
    <w:rsid w:val="00926703"/>
    <w:rsid w:val="009269BB"/>
    <w:rsid w:val="00927691"/>
    <w:rsid w:val="00927A5F"/>
    <w:rsid w:val="00930510"/>
    <w:rsid w:val="00935B63"/>
    <w:rsid w:val="00937ABB"/>
    <w:rsid w:val="0094026C"/>
    <w:rsid w:val="0094078F"/>
    <w:rsid w:val="00940FA3"/>
    <w:rsid w:val="00941FB0"/>
    <w:rsid w:val="009426D4"/>
    <w:rsid w:val="0094271B"/>
    <w:rsid w:val="00946997"/>
    <w:rsid w:val="00947F25"/>
    <w:rsid w:val="0095012F"/>
    <w:rsid w:val="00950159"/>
    <w:rsid w:val="00951789"/>
    <w:rsid w:val="009520CB"/>
    <w:rsid w:val="00953CD6"/>
    <w:rsid w:val="009547E2"/>
    <w:rsid w:val="0095490B"/>
    <w:rsid w:val="009559FB"/>
    <w:rsid w:val="009560A5"/>
    <w:rsid w:val="00956562"/>
    <w:rsid w:val="009606F4"/>
    <w:rsid w:val="00960A33"/>
    <w:rsid w:val="00962081"/>
    <w:rsid w:val="00971914"/>
    <w:rsid w:val="009721C0"/>
    <w:rsid w:val="00973BF5"/>
    <w:rsid w:val="00974363"/>
    <w:rsid w:val="00974CFC"/>
    <w:rsid w:val="00981898"/>
    <w:rsid w:val="0098335C"/>
    <w:rsid w:val="009840EC"/>
    <w:rsid w:val="00985116"/>
    <w:rsid w:val="00994B73"/>
    <w:rsid w:val="0099577C"/>
    <w:rsid w:val="00995F48"/>
    <w:rsid w:val="00996384"/>
    <w:rsid w:val="009B24A5"/>
    <w:rsid w:val="009B2601"/>
    <w:rsid w:val="009B4E9E"/>
    <w:rsid w:val="009C1690"/>
    <w:rsid w:val="009C6881"/>
    <w:rsid w:val="009C7759"/>
    <w:rsid w:val="009D043D"/>
    <w:rsid w:val="009D07C8"/>
    <w:rsid w:val="009D1D05"/>
    <w:rsid w:val="009D2529"/>
    <w:rsid w:val="009D6C71"/>
    <w:rsid w:val="009E0631"/>
    <w:rsid w:val="009E0636"/>
    <w:rsid w:val="009E06C5"/>
    <w:rsid w:val="009E16D0"/>
    <w:rsid w:val="009E2051"/>
    <w:rsid w:val="009E38FD"/>
    <w:rsid w:val="009F13D6"/>
    <w:rsid w:val="009F4C6B"/>
    <w:rsid w:val="009F78A8"/>
    <w:rsid w:val="009F7B85"/>
    <w:rsid w:val="00A000D0"/>
    <w:rsid w:val="00A02AD6"/>
    <w:rsid w:val="00A05F99"/>
    <w:rsid w:val="00A06953"/>
    <w:rsid w:val="00A07096"/>
    <w:rsid w:val="00A07318"/>
    <w:rsid w:val="00A073B3"/>
    <w:rsid w:val="00A11370"/>
    <w:rsid w:val="00A121EE"/>
    <w:rsid w:val="00A1266F"/>
    <w:rsid w:val="00A13FE9"/>
    <w:rsid w:val="00A17B1B"/>
    <w:rsid w:val="00A20262"/>
    <w:rsid w:val="00A20FA3"/>
    <w:rsid w:val="00A224CE"/>
    <w:rsid w:val="00A22522"/>
    <w:rsid w:val="00A233F9"/>
    <w:rsid w:val="00A2440D"/>
    <w:rsid w:val="00A24882"/>
    <w:rsid w:val="00A24AFD"/>
    <w:rsid w:val="00A24F5C"/>
    <w:rsid w:val="00A24F75"/>
    <w:rsid w:val="00A26608"/>
    <w:rsid w:val="00A27BC8"/>
    <w:rsid w:val="00A32F96"/>
    <w:rsid w:val="00A33452"/>
    <w:rsid w:val="00A3522B"/>
    <w:rsid w:val="00A3732B"/>
    <w:rsid w:val="00A37354"/>
    <w:rsid w:val="00A40871"/>
    <w:rsid w:val="00A412AB"/>
    <w:rsid w:val="00A4193E"/>
    <w:rsid w:val="00A422E2"/>
    <w:rsid w:val="00A4335C"/>
    <w:rsid w:val="00A437AA"/>
    <w:rsid w:val="00A440E0"/>
    <w:rsid w:val="00A442EF"/>
    <w:rsid w:val="00A457CA"/>
    <w:rsid w:val="00A459F3"/>
    <w:rsid w:val="00A472DB"/>
    <w:rsid w:val="00A51D1A"/>
    <w:rsid w:val="00A5395E"/>
    <w:rsid w:val="00A5418D"/>
    <w:rsid w:val="00A5474E"/>
    <w:rsid w:val="00A5565F"/>
    <w:rsid w:val="00A61CCC"/>
    <w:rsid w:val="00A61DB1"/>
    <w:rsid w:val="00A62D5F"/>
    <w:rsid w:val="00A63969"/>
    <w:rsid w:val="00A64234"/>
    <w:rsid w:val="00A6467B"/>
    <w:rsid w:val="00A6535E"/>
    <w:rsid w:val="00A70ADF"/>
    <w:rsid w:val="00A71466"/>
    <w:rsid w:val="00A731DE"/>
    <w:rsid w:val="00A74B5E"/>
    <w:rsid w:val="00A76A77"/>
    <w:rsid w:val="00A81BED"/>
    <w:rsid w:val="00A81EC4"/>
    <w:rsid w:val="00A82045"/>
    <w:rsid w:val="00A824E8"/>
    <w:rsid w:val="00A84BC6"/>
    <w:rsid w:val="00A86089"/>
    <w:rsid w:val="00A875B1"/>
    <w:rsid w:val="00A904D8"/>
    <w:rsid w:val="00A907EF"/>
    <w:rsid w:val="00A937F6"/>
    <w:rsid w:val="00A9476D"/>
    <w:rsid w:val="00A950D4"/>
    <w:rsid w:val="00A967FD"/>
    <w:rsid w:val="00A96FF7"/>
    <w:rsid w:val="00A97F85"/>
    <w:rsid w:val="00AA0507"/>
    <w:rsid w:val="00AA0640"/>
    <w:rsid w:val="00AA0E2A"/>
    <w:rsid w:val="00AA1F0B"/>
    <w:rsid w:val="00AA2DE5"/>
    <w:rsid w:val="00AA4BEE"/>
    <w:rsid w:val="00AA7042"/>
    <w:rsid w:val="00AB156C"/>
    <w:rsid w:val="00AB21CC"/>
    <w:rsid w:val="00AB2802"/>
    <w:rsid w:val="00AB5A0D"/>
    <w:rsid w:val="00AB6814"/>
    <w:rsid w:val="00AB7150"/>
    <w:rsid w:val="00AC04BA"/>
    <w:rsid w:val="00AC0E39"/>
    <w:rsid w:val="00AD1061"/>
    <w:rsid w:val="00AD3082"/>
    <w:rsid w:val="00AD321F"/>
    <w:rsid w:val="00AD32B4"/>
    <w:rsid w:val="00AD4AD0"/>
    <w:rsid w:val="00AD5436"/>
    <w:rsid w:val="00AD60B3"/>
    <w:rsid w:val="00AD60CD"/>
    <w:rsid w:val="00AD6496"/>
    <w:rsid w:val="00AD6C8C"/>
    <w:rsid w:val="00AE091D"/>
    <w:rsid w:val="00AE12C7"/>
    <w:rsid w:val="00AE2579"/>
    <w:rsid w:val="00AE2EB5"/>
    <w:rsid w:val="00AE3B60"/>
    <w:rsid w:val="00AE53A1"/>
    <w:rsid w:val="00AE6B40"/>
    <w:rsid w:val="00AF1AA8"/>
    <w:rsid w:val="00AF2484"/>
    <w:rsid w:val="00AF330B"/>
    <w:rsid w:val="00AF5F69"/>
    <w:rsid w:val="00AF63E7"/>
    <w:rsid w:val="00AF6DBF"/>
    <w:rsid w:val="00AF6E17"/>
    <w:rsid w:val="00B00AF6"/>
    <w:rsid w:val="00B0165D"/>
    <w:rsid w:val="00B01668"/>
    <w:rsid w:val="00B01B60"/>
    <w:rsid w:val="00B031F3"/>
    <w:rsid w:val="00B038B2"/>
    <w:rsid w:val="00B052A4"/>
    <w:rsid w:val="00B120D6"/>
    <w:rsid w:val="00B125DE"/>
    <w:rsid w:val="00B132C0"/>
    <w:rsid w:val="00B13FDD"/>
    <w:rsid w:val="00B22EB2"/>
    <w:rsid w:val="00B23349"/>
    <w:rsid w:val="00B27442"/>
    <w:rsid w:val="00B27CBE"/>
    <w:rsid w:val="00B31167"/>
    <w:rsid w:val="00B31796"/>
    <w:rsid w:val="00B31AAA"/>
    <w:rsid w:val="00B329D8"/>
    <w:rsid w:val="00B32BB9"/>
    <w:rsid w:val="00B33AE1"/>
    <w:rsid w:val="00B3775A"/>
    <w:rsid w:val="00B37C38"/>
    <w:rsid w:val="00B40EB1"/>
    <w:rsid w:val="00B4288C"/>
    <w:rsid w:val="00B43262"/>
    <w:rsid w:val="00B44100"/>
    <w:rsid w:val="00B44BB1"/>
    <w:rsid w:val="00B46CBA"/>
    <w:rsid w:val="00B46F94"/>
    <w:rsid w:val="00B46FCE"/>
    <w:rsid w:val="00B474C3"/>
    <w:rsid w:val="00B51656"/>
    <w:rsid w:val="00B52C73"/>
    <w:rsid w:val="00B5524B"/>
    <w:rsid w:val="00B56533"/>
    <w:rsid w:val="00B6003C"/>
    <w:rsid w:val="00B604F6"/>
    <w:rsid w:val="00B61F03"/>
    <w:rsid w:val="00B626E4"/>
    <w:rsid w:val="00B65C69"/>
    <w:rsid w:val="00B661A0"/>
    <w:rsid w:val="00B72A7C"/>
    <w:rsid w:val="00B72F4A"/>
    <w:rsid w:val="00B76E19"/>
    <w:rsid w:val="00B77FFA"/>
    <w:rsid w:val="00B81719"/>
    <w:rsid w:val="00B83C27"/>
    <w:rsid w:val="00B84BC3"/>
    <w:rsid w:val="00B84BDD"/>
    <w:rsid w:val="00B864A5"/>
    <w:rsid w:val="00B92460"/>
    <w:rsid w:val="00B92812"/>
    <w:rsid w:val="00BA1FD8"/>
    <w:rsid w:val="00BA3A68"/>
    <w:rsid w:val="00BA3FCD"/>
    <w:rsid w:val="00BA7DEE"/>
    <w:rsid w:val="00BB1EC9"/>
    <w:rsid w:val="00BB45A1"/>
    <w:rsid w:val="00BB4CF2"/>
    <w:rsid w:val="00BB7686"/>
    <w:rsid w:val="00BC23F9"/>
    <w:rsid w:val="00BC3421"/>
    <w:rsid w:val="00BC4D72"/>
    <w:rsid w:val="00BC6143"/>
    <w:rsid w:val="00BC6651"/>
    <w:rsid w:val="00BC6A95"/>
    <w:rsid w:val="00BC6DC1"/>
    <w:rsid w:val="00BC732C"/>
    <w:rsid w:val="00BD41F7"/>
    <w:rsid w:val="00BD4421"/>
    <w:rsid w:val="00BD6527"/>
    <w:rsid w:val="00BD6C03"/>
    <w:rsid w:val="00BD71AB"/>
    <w:rsid w:val="00BD7249"/>
    <w:rsid w:val="00BE0923"/>
    <w:rsid w:val="00BE2580"/>
    <w:rsid w:val="00BE266D"/>
    <w:rsid w:val="00BE35CB"/>
    <w:rsid w:val="00BE3938"/>
    <w:rsid w:val="00BE4C11"/>
    <w:rsid w:val="00BE6805"/>
    <w:rsid w:val="00BE6F5A"/>
    <w:rsid w:val="00BE71C0"/>
    <w:rsid w:val="00BF065F"/>
    <w:rsid w:val="00BF0C47"/>
    <w:rsid w:val="00BF180B"/>
    <w:rsid w:val="00BF610C"/>
    <w:rsid w:val="00C0060B"/>
    <w:rsid w:val="00C01A6C"/>
    <w:rsid w:val="00C0277D"/>
    <w:rsid w:val="00C03B60"/>
    <w:rsid w:val="00C045A7"/>
    <w:rsid w:val="00C053A1"/>
    <w:rsid w:val="00C063AD"/>
    <w:rsid w:val="00C06553"/>
    <w:rsid w:val="00C06FAC"/>
    <w:rsid w:val="00C076F3"/>
    <w:rsid w:val="00C16198"/>
    <w:rsid w:val="00C1625E"/>
    <w:rsid w:val="00C16AF4"/>
    <w:rsid w:val="00C2083D"/>
    <w:rsid w:val="00C212F3"/>
    <w:rsid w:val="00C21EF8"/>
    <w:rsid w:val="00C21F08"/>
    <w:rsid w:val="00C24A53"/>
    <w:rsid w:val="00C31275"/>
    <w:rsid w:val="00C318B5"/>
    <w:rsid w:val="00C31E91"/>
    <w:rsid w:val="00C32704"/>
    <w:rsid w:val="00C34A05"/>
    <w:rsid w:val="00C350E8"/>
    <w:rsid w:val="00C35CCE"/>
    <w:rsid w:val="00C37453"/>
    <w:rsid w:val="00C4032F"/>
    <w:rsid w:val="00C43B22"/>
    <w:rsid w:val="00C44047"/>
    <w:rsid w:val="00C45155"/>
    <w:rsid w:val="00C51044"/>
    <w:rsid w:val="00C5313F"/>
    <w:rsid w:val="00C5498F"/>
    <w:rsid w:val="00C55235"/>
    <w:rsid w:val="00C55D36"/>
    <w:rsid w:val="00C57EF0"/>
    <w:rsid w:val="00C6145B"/>
    <w:rsid w:val="00C61901"/>
    <w:rsid w:val="00C64CD0"/>
    <w:rsid w:val="00C6684F"/>
    <w:rsid w:val="00C70E70"/>
    <w:rsid w:val="00C71EB4"/>
    <w:rsid w:val="00C726F0"/>
    <w:rsid w:val="00C74FB3"/>
    <w:rsid w:val="00C75F8D"/>
    <w:rsid w:val="00C77380"/>
    <w:rsid w:val="00C80DFA"/>
    <w:rsid w:val="00C82940"/>
    <w:rsid w:val="00C8404F"/>
    <w:rsid w:val="00C87E8A"/>
    <w:rsid w:val="00C90D61"/>
    <w:rsid w:val="00C91E4E"/>
    <w:rsid w:val="00C92973"/>
    <w:rsid w:val="00C93197"/>
    <w:rsid w:val="00C952A4"/>
    <w:rsid w:val="00C96AF3"/>
    <w:rsid w:val="00C97736"/>
    <w:rsid w:val="00CA345A"/>
    <w:rsid w:val="00CA4837"/>
    <w:rsid w:val="00CA715B"/>
    <w:rsid w:val="00CB1E82"/>
    <w:rsid w:val="00CB4BA8"/>
    <w:rsid w:val="00CB52D7"/>
    <w:rsid w:val="00CB6F08"/>
    <w:rsid w:val="00CB7B48"/>
    <w:rsid w:val="00CC11F1"/>
    <w:rsid w:val="00CC142B"/>
    <w:rsid w:val="00CC1BE0"/>
    <w:rsid w:val="00CC1D68"/>
    <w:rsid w:val="00CC2507"/>
    <w:rsid w:val="00CC4CA6"/>
    <w:rsid w:val="00CC6732"/>
    <w:rsid w:val="00CD2BD5"/>
    <w:rsid w:val="00CE0BB5"/>
    <w:rsid w:val="00CE0CDA"/>
    <w:rsid w:val="00CE3C96"/>
    <w:rsid w:val="00CE51A8"/>
    <w:rsid w:val="00CE5650"/>
    <w:rsid w:val="00CE5F97"/>
    <w:rsid w:val="00CF0E88"/>
    <w:rsid w:val="00CF0FD3"/>
    <w:rsid w:val="00CF20D7"/>
    <w:rsid w:val="00CF34E2"/>
    <w:rsid w:val="00CF369B"/>
    <w:rsid w:val="00CF4203"/>
    <w:rsid w:val="00CF448C"/>
    <w:rsid w:val="00CF4C1C"/>
    <w:rsid w:val="00CF53E3"/>
    <w:rsid w:val="00D00E28"/>
    <w:rsid w:val="00D01D6D"/>
    <w:rsid w:val="00D0269E"/>
    <w:rsid w:val="00D03023"/>
    <w:rsid w:val="00D04A1D"/>
    <w:rsid w:val="00D04C0C"/>
    <w:rsid w:val="00D05D6C"/>
    <w:rsid w:val="00D06133"/>
    <w:rsid w:val="00D06CA1"/>
    <w:rsid w:val="00D10248"/>
    <w:rsid w:val="00D15593"/>
    <w:rsid w:val="00D15810"/>
    <w:rsid w:val="00D16290"/>
    <w:rsid w:val="00D16D4E"/>
    <w:rsid w:val="00D16FE3"/>
    <w:rsid w:val="00D177E3"/>
    <w:rsid w:val="00D20762"/>
    <w:rsid w:val="00D241A3"/>
    <w:rsid w:val="00D273EE"/>
    <w:rsid w:val="00D27F41"/>
    <w:rsid w:val="00D36441"/>
    <w:rsid w:val="00D366D6"/>
    <w:rsid w:val="00D4064E"/>
    <w:rsid w:val="00D414E9"/>
    <w:rsid w:val="00D42EF0"/>
    <w:rsid w:val="00D4323D"/>
    <w:rsid w:val="00D436B2"/>
    <w:rsid w:val="00D44E9B"/>
    <w:rsid w:val="00D450AE"/>
    <w:rsid w:val="00D45FD2"/>
    <w:rsid w:val="00D4762F"/>
    <w:rsid w:val="00D47AEB"/>
    <w:rsid w:val="00D50DB9"/>
    <w:rsid w:val="00D51302"/>
    <w:rsid w:val="00D514BB"/>
    <w:rsid w:val="00D51596"/>
    <w:rsid w:val="00D51722"/>
    <w:rsid w:val="00D52C43"/>
    <w:rsid w:val="00D60393"/>
    <w:rsid w:val="00D60571"/>
    <w:rsid w:val="00D62DB8"/>
    <w:rsid w:val="00D6507F"/>
    <w:rsid w:val="00D65954"/>
    <w:rsid w:val="00D730BC"/>
    <w:rsid w:val="00D735F1"/>
    <w:rsid w:val="00D73877"/>
    <w:rsid w:val="00D73912"/>
    <w:rsid w:val="00D74A0B"/>
    <w:rsid w:val="00D763BB"/>
    <w:rsid w:val="00D828A0"/>
    <w:rsid w:val="00D84A7B"/>
    <w:rsid w:val="00D85226"/>
    <w:rsid w:val="00D858BB"/>
    <w:rsid w:val="00D85E48"/>
    <w:rsid w:val="00D87B94"/>
    <w:rsid w:val="00D90B7A"/>
    <w:rsid w:val="00D92D49"/>
    <w:rsid w:val="00D92EC1"/>
    <w:rsid w:val="00D96DEA"/>
    <w:rsid w:val="00D97165"/>
    <w:rsid w:val="00DA1662"/>
    <w:rsid w:val="00DA1838"/>
    <w:rsid w:val="00DA3751"/>
    <w:rsid w:val="00DA4E41"/>
    <w:rsid w:val="00DA5615"/>
    <w:rsid w:val="00DB117A"/>
    <w:rsid w:val="00DB28C0"/>
    <w:rsid w:val="00DB3A64"/>
    <w:rsid w:val="00DB418E"/>
    <w:rsid w:val="00DB444D"/>
    <w:rsid w:val="00DB4BD2"/>
    <w:rsid w:val="00DB5173"/>
    <w:rsid w:val="00DB7422"/>
    <w:rsid w:val="00DB7873"/>
    <w:rsid w:val="00DC187B"/>
    <w:rsid w:val="00DC244E"/>
    <w:rsid w:val="00DC340C"/>
    <w:rsid w:val="00DC4D3B"/>
    <w:rsid w:val="00DC7DEF"/>
    <w:rsid w:val="00DD0F60"/>
    <w:rsid w:val="00DD1A43"/>
    <w:rsid w:val="00DD344D"/>
    <w:rsid w:val="00DD622C"/>
    <w:rsid w:val="00DD73C2"/>
    <w:rsid w:val="00DE0A53"/>
    <w:rsid w:val="00DE2764"/>
    <w:rsid w:val="00DE2FF3"/>
    <w:rsid w:val="00DE319B"/>
    <w:rsid w:val="00DF0799"/>
    <w:rsid w:val="00DF2237"/>
    <w:rsid w:val="00DF2725"/>
    <w:rsid w:val="00DF276B"/>
    <w:rsid w:val="00DF34FE"/>
    <w:rsid w:val="00DF56AA"/>
    <w:rsid w:val="00DF56AF"/>
    <w:rsid w:val="00DF5A8E"/>
    <w:rsid w:val="00DF78E7"/>
    <w:rsid w:val="00E00A33"/>
    <w:rsid w:val="00E02467"/>
    <w:rsid w:val="00E10061"/>
    <w:rsid w:val="00E110E0"/>
    <w:rsid w:val="00E111F8"/>
    <w:rsid w:val="00E11E68"/>
    <w:rsid w:val="00E12984"/>
    <w:rsid w:val="00E15371"/>
    <w:rsid w:val="00E20C48"/>
    <w:rsid w:val="00E23140"/>
    <w:rsid w:val="00E23372"/>
    <w:rsid w:val="00E24104"/>
    <w:rsid w:val="00E26406"/>
    <w:rsid w:val="00E302D0"/>
    <w:rsid w:val="00E30E3F"/>
    <w:rsid w:val="00E32157"/>
    <w:rsid w:val="00E35273"/>
    <w:rsid w:val="00E35707"/>
    <w:rsid w:val="00E35E51"/>
    <w:rsid w:val="00E36AA1"/>
    <w:rsid w:val="00E41ECB"/>
    <w:rsid w:val="00E42676"/>
    <w:rsid w:val="00E45F41"/>
    <w:rsid w:val="00E460DD"/>
    <w:rsid w:val="00E50437"/>
    <w:rsid w:val="00E53195"/>
    <w:rsid w:val="00E54FDB"/>
    <w:rsid w:val="00E5617D"/>
    <w:rsid w:val="00E563D7"/>
    <w:rsid w:val="00E56DF8"/>
    <w:rsid w:val="00E612B5"/>
    <w:rsid w:val="00E61475"/>
    <w:rsid w:val="00E63441"/>
    <w:rsid w:val="00E63A64"/>
    <w:rsid w:val="00E663F4"/>
    <w:rsid w:val="00E66601"/>
    <w:rsid w:val="00E666F2"/>
    <w:rsid w:val="00E66DD4"/>
    <w:rsid w:val="00E748CC"/>
    <w:rsid w:val="00E749AC"/>
    <w:rsid w:val="00E75415"/>
    <w:rsid w:val="00E767B0"/>
    <w:rsid w:val="00E775B1"/>
    <w:rsid w:val="00E8152A"/>
    <w:rsid w:val="00E90B98"/>
    <w:rsid w:val="00E90CC0"/>
    <w:rsid w:val="00E93629"/>
    <w:rsid w:val="00E93B5C"/>
    <w:rsid w:val="00E94CEC"/>
    <w:rsid w:val="00EA0333"/>
    <w:rsid w:val="00EA04EF"/>
    <w:rsid w:val="00EA0850"/>
    <w:rsid w:val="00EA08C3"/>
    <w:rsid w:val="00EA2AAB"/>
    <w:rsid w:val="00EA36A9"/>
    <w:rsid w:val="00EA6F19"/>
    <w:rsid w:val="00EB0DAC"/>
    <w:rsid w:val="00EB6303"/>
    <w:rsid w:val="00EB7090"/>
    <w:rsid w:val="00EB7AF5"/>
    <w:rsid w:val="00EC1614"/>
    <w:rsid w:val="00EC1BBE"/>
    <w:rsid w:val="00EC2B68"/>
    <w:rsid w:val="00EC3AEF"/>
    <w:rsid w:val="00EC4CE6"/>
    <w:rsid w:val="00EC58AC"/>
    <w:rsid w:val="00EC5CD7"/>
    <w:rsid w:val="00EC7A49"/>
    <w:rsid w:val="00EC7DBB"/>
    <w:rsid w:val="00ED14C1"/>
    <w:rsid w:val="00ED1769"/>
    <w:rsid w:val="00ED19E4"/>
    <w:rsid w:val="00ED2043"/>
    <w:rsid w:val="00ED5F37"/>
    <w:rsid w:val="00ED6A09"/>
    <w:rsid w:val="00EE004C"/>
    <w:rsid w:val="00EE076E"/>
    <w:rsid w:val="00EE2FE5"/>
    <w:rsid w:val="00EE5FB3"/>
    <w:rsid w:val="00EE7568"/>
    <w:rsid w:val="00EE7F79"/>
    <w:rsid w:val="00EF29C7"/>
    <w:rsid w:val="00EF715A"/>
    <w:rsid w:val="00F01BC3"/>
    <w:rsid w:val="00F02BA4"/>
    <w:rsid w:val="00F03236"/>
    <w:rsid w:val="00F04366"/>
    <w:rsid w:val="00F05210"/>
    <w:rsid w:val="00F05A2A"/>
    <w:rsid w:val="00F06E14"/>
    <w:rsid w:val="00F10640"/>
    <w:rsid w:val="00F118BF"/>
    <w:rsid w:val="00F17514"/>
    <w:rsid w:val="00F179D4"/>
    <w:rsid w:val="00F26009"/>
    <w:rsid w:val="00F32D74"/>
    <w:rsid w:val="00F33C56"/>
    <w:rsid w:val="00F347C7"/>
    <w:rsid w:val="00F34848"/>
    <w:rsid w:val="00F3798A"/>
    <w:rsid w:val="00F4079A"/>
    <w:rsid w:val="00F41E3B"/>
    <w:rsid w:val="00F42D46"/>
    <w:rsid w:val="00F42DCC"/>
    <w:rsid w:val="00F446B2"/>
    <w:rsid w:val="00F4496C"/>
    <w:rsid w:val="00F44F3A"/>
    <w:rsid w:val="00F452C5"/>
    <w:rsid w:val="00F45DD5"/>
    <w:rsid w:val="00F45F52"/>
    <w:rsid w:val="00F46062"/>
    <w:rsid w:val="00F46DD3"/>
    <w:rsid w:val="00F46FF1"/>
    <w:rsid w:val="00F50D0C"/>
    <w:rsid w:val="00F51F10"/>
    <w:rsid w:val="00F52108"/>
    <w:rsid w:val="00F52663"/>
    <w:rsid w:val="00F529A5"/>
    <w:rsid w:val="00F5758E"/>
    <w:rsid w:val="00F60F00"/>
    <w:rsid w:val="00F614C0"/>
    <w:rsid w:val="00F61C77"/>
    <w:rsid w:val="00F64238"/>
    <w:rsid w:val="00F6475F"/>
    <w:rsid w:val="00F7389C"/>
    <w:rsid w:val="00F74AFB"/>
    <w:rsid w:val="00F7717D"/>
    <w:rsid w:val="00F77821"/>
    <w:rsid w:val="00F82FCD"/>
    <w:rsid w:val="00F83848"/>
    <w:rsid w:val="00F867F9"/>
    <w:rsid w:val="00F91D08"/>
    <w:rsid w:val="00F95EFF"/>
    <w:rsid w:val="00F96859"/>
    <w:rsid w:val="00F975E9"/>
    <w:rsid w:val="00F979BA"/>
    <w:rsid w:val="00F97E54"/>
    <w:rsid w:val="00FA1B7D"/>
    <w:rsid w:val="00FB32EA"/>
    <w:rsid w:val="00FB5650"/>
    <w:rsid w:val="00FB5B3C"/>
    <w:rsid w:val="00FB7DC7"/>
    <w:rsid w:val="00FC07B9"/>
    <w:rsid w:val="00FC2588"/>
    <w:rsid w:val="00FC4E21"/>
    <w:rsid w:val="00FC5F6D"/>
    <w:rsid w:val="00FD0107"/>
    <w:rsid w:val="00FD18F0"/>
    <w:rsid w:val="00FD2C2F"/>
    <w:rsid w:val="00FD3B31"/>
    <w:rsid w:val="00FD3F3B"/>
    <w:rsid w:val="00FD679A"/>
    <w:rsid w:val="00FD71D9"/>
    <w:rsid w:val="00FD731A"/>
    <w:rsid w:val="00FE1823"/>
    <w:rsid w:val="00FE487A"/>
    <w:rsid w:val="00FE76CB"/>
    <w:rsid w:val="00FF0569"/>
    <w:rsid w:val="00FF206E"/>
    <w:rsid w:val="00FF25E4"/>
    <w:rsid w:val="00FF3C69"/>
    <w:rsid w:val="00FF6E0A"/>
    <w:rsid w:val="02E50526"/>
    <w:rsid w:val="04E07C92"/>
    <w:rsid w:val="069337D3"/>
    <w:rsid w:val="06F17B81"/>
    <w:rsid w:val="0797F8A4"/>
    <w:rsid w:val="0890C549"/>
    <w:rsid w:val="0921A824"/>
    <w:rsid w:val="0ADB6B50"/>
    <w:rsid w:val="0B485DE7"/>
    <w:rsid w:val="0BB3B9CB"/>
    <w:rsid w:val="0F3BA143"/>
    <w:rsid w:val="107BCCA5"/>
    <w:rsid w:val="108B0999"/>
    <w:rsid w:val="138F34CA"/>
    <w:rsid w:val="1442FB1A"/>
    <w:rsid w:val="173EB01E"/>
    <w:rsid w:val="1AB4AE23"/>
    <w:rsid w:val="1B8AE931"/>
    <w:rsid w:val="1B97EBFE"/>
    <w:rsid w:val="1BA38DD2"/>
    <w:rsid w:val="1EC55F83"/>
    <w:rsid w:val="224898CA"/>
    <w:rsid w:val="2276030F"/>
    <w:rsid w:val="23F65043"/>
    <w:rsid w:val="24652C6B"/>
    <w:rsid w:val="26672EDE"/>
    <w:rsid w:val="27F18A5B"/>
    <w:rsid w:val="2A19FE80"/>
    <w:rsid w:val="2A8E7EAB"/>
    <w:rsid w:val="2E22CA70"/>
    <w:rsid w:val="2F1D692E"/>
    <w:rsid w:val="301D66D0"/>
    <w:rsid w:val="30BDF286"/>
    <w:rsid w:val="33F98D73"/>
    <w:rsid w:val="3F2A1AEE"/>
    <w:rsid w:val="3FA81807"/>
    <w:rsid w:val="4039F4F3"/>
    <w:rsid w:val="4229B96F"/>
    <w:rsid w:val="440F82BC"/>
    <w:rsid w:val="494A4DCB"/>
    <w:rsid w:val="4ACB2C9F"/>
    <w:rsid w:val="4B3157BE"/>
    <w:rsid w:val="4D8AD0FE"/>
    <w:rsid w:val="514D3815"/>
    <w:rsid w:val="51B59462"/>
    <w:rsid w:val="524AD0EF"/>
    <w:rsid w:val="5443EFC6"/>
    <w:rsid w:val="56DD83AD"/>
    <w:rsid w:val="594D5D48"/>
    <w:rsid w:val="5A26C5CC"/>
    <w:rsid w:val="5A7229A1"/>
    <w:rsid w:val="5BEC39C0"/>
    <w:rsid w:val="5CAF7707"/>
    <w:rsid w:val="61DA4CFA"/>
    <w:rsid w:val="626762E1"/>
    <w:rsid w:val="63A043D9"/>
    <w:rsid w:val="69B0371B"/>
    <w:rsid w:val="6A18E664"/>
    <w:rsid w:val="6BB07B3E"/>
    <w:rsid w:val="6CFDDD8C"/>
    <w:rsid w:val="6E402C2C"/>
    <w:rsid w:val="732CE361"/>
    <w:rsid w:val="74185C80"/>
    <w:rsid w:val="7536734B"/>
    <w:rsid w:val="75DF6408"/>
    <w:rsid w:val="75E9325C"/>
    <w:rsid w:val="77CA9C80"/>
    <w:rsid w:val="792DA9BD"/>
    <w:rsid w:val="795A832E"/>
    <w:rsid w:val="79BA7C6C"/>
    <w:rsid w:val="79BE8BCD"/>
    <w:rsid w:val="7DD9CDB6"/>
    <w:rsid w:val="7FBE29D6"/>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44C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B296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1ACA"/>
    <w:pPr>
      <w:keepNext/>
      <w:spacing w:before="320" w:after="60" w:line="280" w:lineRule="atLeast"/>
      <w:outlineLvl w:val="1"/>
    </w:pPr>
    <w:rPr>
      <w:rFonts w:cs="Arial"/>
      <w:b/>
      <w:bCs/>
      <w:iCs/>
      <w:sz w:val="28"/>
      <w:szCs w:val="28"/>
    </w:rPr>
  </w:style>
  <w:style w:type="paragraph" w:styleId="Heading3">
    <w:name w:val="heading 3"/>
    <w:basedOn w:val="Normal"/>
    <w:next w:val="Normal"/>
    <w:link w:val="Heading3Char"/>
    <w:uiPriority w:val="2"/>
    <w:qFormat/>
    <w:rsid w:val="00711ACA"/>
    <w:pPr>
      <w:keepNext/>
      <w:spacing w:before="60" w:after="60" w:line="280" w:lineRule="atLeast"/>
      <w:outlineLvl w:val="2"/>
    </w:pPr>
    <w:rPr>
      <w:rFonts w:cs="Arial"/>
      <w:b/>
      <w:bCs/>
      <w:sz w:val="22"/>
      <w:szCs w:val="26"/>
    </w:rPr>
  </w:style>
  <w:style w:type="paragraph" w:styleId="Heading4">
    <w:name w:val="heading 4"/>
    <w:basedOn w:val="BodySubHeader"/>
    <w:next w:val="Normal"/>
    <w:uiPriority w:val="2"/>
    <w:qFormat/>
    <w:rsid w:val="00711ACA"/>
    <w:pPr>
      <w:spacing w:line="280" w:lineRule="atLeast"/>
      <w:outlineLvl w:val="3"/>
    </w:pPr>
    <w:rPr>
      <w:rFonts w:cs="Arial"/>
      <w:sz w:val="22"/>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uiPriority w:val="99"/>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4B2960"/>
    <w:pPr>
      <w:numPr>
        <w:numId w:val="3"/>
      </w:numPr>
      <w:spacing w:after="80" w:line="260" w:lineRule="atLeast"/>
      <w:ind w:left="284" w:hanging="284"/>
    </w:pPr>
    <w:rPr>
      <w:sz w:val="22"/>
    </w:r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aliases w:val="Footnote text"/>
    <w:basedOn w:val="Normal"/>
    <w:link w:val="FootnoteTextChar"/>
    <w:uiPriority w:val="99"/>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711ACA"/>
    <w:pPr>
      <w:numPr>
        <w:numId w:val="13"/>
      </w:numPr>
      <w:spacing w:line="280" w:lineRule="atLeast"/>
      <w:ind w:left="284" w:hanging="284"/>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711ACA"/>
    <w:pPr>
      <w:spacing w:line="280" w:lineRule="atLeast"/>
      <w:ind w:left="360" w:hanging="360"/>
    </w:pPr>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711ACA"/>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711ACA"/>
    <w:rPr>
      <w:rFonts w:ascii="Arial" w:hAnsi="Arial" w:cs="Arial"/>
      <w:b/>
      <w:bCs/>
      <w:sz w:val="22"/>
      <w:szCs w:val="26"/>
    </w:rPr>
  </w:style>
  <w:style w:type="paragraph" w:customStyle="1" w:styleId="Paragraph">
    <w:name w:val="Paragraph"/>
    <w:basedOn w:val="Normal"/>
    <w:qFormat/>
    <w:rsid w:val="00711ACA"/>
    <w:pPr>
      <w:spacing w:line="280" w:lineRule="atLeast"/>
    </w:pPr>
    <w:rPr>
      <w:rFonts w:cs="Arial"/>
      <w:sz w:val="22"/>
    </w:rPr>
  </w:style>
  <w:style w:type="paragraph" w:customStyle="1" w:styleId="Bulletlevel2">
    <w:name w:val="Bullet level 2"/>
    <w:basedOn w:val="ListBullet2"/>
    <w:uiPriority w:val="7"/>
    <w:qFormat/>
    <w:rsid w:val="00711ACA"/>
    <w:pPr>
      <w:numPr>
        <w:numId w:val="15"/>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711ACA"/>
    <w:pPr>
      <w:numPr>
        <w:numId w:val="14"/>
      </w:numPr>
      <w:spacing w:line="280" w:lineRule="atLeast"/>
      <w:ind w:left="284" w:hanging="284"/>
    </w:pPr>
    <w:rPr>
      <w:sz w:val="22"/>
    </w:rPr>
  </w:style>
  <w:style w:type="paragraph" w:customStyle="1" w:styleId="Numberlistlevel2">
    <w:name w:val="Number list level 2"/>
    <w:basedOn w:val="ListNumber2"/>
    <w:uiPriority w:val="11"/>
    <w:qFormat/>
    <w:rsid w:val="00711ACA"/>
    <w:pPr>
      <w:spacing w:line="280" w:lineRule="atLeast"/>
      <w:ind w:left="738" w:hanging="284"/>
    </w:pPr>
    <w:rPr>
      <w:sz w:val="22"/>
    </w:rPr>
  </w:style>
  <w:style w:type="paragraph" w:customStyle="1" w:styleId="Numberlistlast">
    <w:name w:val="Number list last"/>
    <w:basedOn w:val="ListNumberLast"/>
    <w:uiPriority w:val="10"/>
    <w:qFormat/>
    <w:rsid w:val="00711ACA"/>
    <w:pPr>
      <w:spacing w:line="280" w:lineRule="atLeast"/>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6"/>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711ACA"/>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711ACA"/>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711ACA"/>
    <w:pPr>
      <w:spacing w:after="80"/>
    </w:pPr>
  </w:style>
  <w:style w:type="character" w:customStyle="1" w:styleId="FootnoteTextChar">
    <w:name w:val="Footnote Text Char"/>
    <w:aliases w:val="Footnote text Char"/>
    <w:basedOn w:val="DefaultParagraphFont"/>
    <w:link w:val="FootnoteText"/>
    <w:uiPriority w:val="99"/>
    <w:locked/>
    <w:rsid w:val="007114C8"/>
    <w:rPr>
      <w:rFonts w:ascii="Arial" w:hAnsi="Arial"/>
      <w:sz w:val="16"/>
      <w:szCs w:val="16"/>
    </w:rPr>
  </w:style>
  <w:style w:type="paragraph" w:styleId="ListParagraph">
    <w:name w:val="List Paragraph"/>
    <w:basedOn w:val="Normal"/>
    <w:uiPriority w:val="34"/>
    <w:qFormat/>
    <w:rsid w:val="004D2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546">
      <w:bodyDiv w:val="1"/>
      <w:marLeft w:val="0"/>
      <w:marRight w:val="0"/>
      <w:marTop w:val="0"/>
      <w:marBottom w:val="0"/>
      <w:divBdr>
        <w:top w:val="none" w:sz="0" w:space="0" w:color="auto"/>
        <w:left w:val="none" w:sz="0" w:space="0" w:color="auto"/>
        <w:bottom w:val="none" w:sz="0" w:space="0" w:color="auto"/>
        <w:right w:val="none" w:sz="0" w:space="0" w:color="auto"/>
      </w:divBdr>
    </w:div>
    <w:div w:id="150756394">
      <w:bodyDiv w:val="1"/>
      <w:marLeft w:val="0"/>
      <w:marRight w:val="0"/>
      <w:marTop w:val="0"/>
      <w:marBottom w:val="0"/>
      <w:divBdr>
        <w:top w:val="none" w:sz="0" w:space="0" w:color="auto"/>
        <w:left w:val="none" w:sz="0" w:space="0" w:color="auto"/>
        <w:bottom w:val="none" w:sz="0" w:space="0" w:color="auto"/>
        <w:right w:val="none" w:sz="0" w:space="0" w:color="auto"/>
      </w:divBdr>
    </w:div>
    <w:div w:id="340281183">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98559591">
      <w:bodyDiv w:val="1"/>
      <w:marLeft w:val="0"/>
      <w:marRight w:val="0"/>
      <w:marTop w:val="0"/>
      <w:marBottom w:val="0"/>
      <w:divBdr>
        <w:top w:val="none" w:sz="0" w:space="0" w:color="auto"/>
        <w:left w:val="none" w:sz="0" w:space="0" w:color="auto"/>
        <w:bottom w:val="none" w:sz="0" w:space="0" w:color="auto"/>
        <w:right w:val="none" w:sz="0" w:space="0" w:color="auto"/>
      </w:divBdr>
    </w:div>
    <w:div w:id="659845681">
      <w:bodyDiv w:val="1"/>
      <w:marLeft w:val="0"/>
      <w:marRight w:val="0"/>
      <w:marTop w:val="0"/>
      <w:marBottom w:val="0"/>
      <w:divBdr>
        <w:top w:val="none" w:sz="0" w:space="0" w:color="auto"/>
        <w:left w:val="none" w:sz="0" w:space="0" w:color="auto"/>
        <w:bottom w:val="none" w:sz="0" w:space="0" w:color="auto"/>
        <w:right w:val="none" w:sz="0" w:space="0" w:color="auto"/>
      </w:divBdr>
    </w:div>
    <w:div w:id="723799132">
      <w:bodyDiv w:val="1"/>
      <w:marLeft w:val="0"/>
      <w:marRight w:val="0"/>
      <w:marTop w:val="0"/>
      <w:marBottom w:val="0"/>
      <w:divBdr>
        <w:top w:val="none" w:sz="0" w:space="0" w:color="auto"/>
        <w:left w:val="none" w:sz="0" w:space="0" w:color="auto"/>
        <w:bottom w:val="none" w:sz="0" w:space="0" w:color="auto"/>
        <w:right w:val="none" w:sz="0" w:space="0" w:color="auto"/>
      </w:divBdr>
    </w:div>
    <w:div w:id="883568110">
      <w:bodyDiv w:val="1"/>
      <w:marLeft w:val="0"/>
      <w:marRight w:val="0"/>
      <w:marTop w:val="0"/>
      <w:marBottom w:val="0"/>
      <w:divBdr>
        <w:top w:val="none" w:sz="0" w:space="0" w:color="auto"/>
        <w:left w:val="none" w:sz="0" w:space="0" w:color="auto"/>
        <w:bottom w:val="none" w:sz="0" w:space="0" w:color="auto"/>
        <w:right w:val="none" w:sz="0" w:space="0" w:color="auto"/>
      </w:divBdr>
    </w:div>
    <w:div w:id="969555214">
      <w:bodyDiv w:val="1"/>
      <w:marLeft w:val="0"/>
      <w:marRight w:val="0"/>
      <w:marTop w:val="0"/>
      <w:marBottom w:val="0"/>
      <w:divBdr>
        <w:top w:val="none" w:sz="0" w:space="0" w:color="auto"/>
        <w:left w:val="none" w:sz="0" w:space="0" w:color="auto"/>
        <w:bottom w:val="none" w:sz="0" w:space="0" w:color="auto"/>
        <w:right w:val="none" w:sz="0" w:space="0" w:color="auto"/>
      </w:divBdr>
    </w:div>
    <w:div w:id="1006440268">
      <w:bodyDiv w:val="1"/>
      <w:marLeft w:val="0"/>
      <w:marRight w:val="0"/>
      <w:marTop w:val="0"/>
      <w:marBottom w:val="0"/>
      <w:divBdr>
        <w:top w:val="none" w:sz="0" w:space="0" w:color="auto"/>
        <w:left w:val="none" w:sz="0" w:space="0" w:color="auto"/>
        <w:bottom w:val="none" w:sz="0" w:space="0" w:color="auto"/>
        <w:right w:val="none" w:sz="0" w:space="0" w:color="auto"/>
      </w:divBdr>
    </w:div>
    <w:div w:id="1086421001">
      <w:bodyDiv w:val="1"/>
      <w:marLeft w:val="0"/>
      <w:marRight w:val="0"/>
      <w:marTop w:val="0"/>
      <w:marBottom w:val="0"/>
      <w:divBdr>
        <w:top w:val="none" w:sz="0" w:space="0" w:color="auto"/>
        <w:left w:val="none" w:sz="0" w:space="0" w:color="auto"/>
        <w:bottom w:val="none" w:sz="0" w:space="0" w:color="auto"/>
        <w:right w:val="none" w:sz="0" w:space="0" w:color="auto"/>
      </w:divBdr>
    </w:div>
    <w:div w:id="126507231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35632537">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02376323">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acma.gov.au/have-your-say"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infrastructure.gov.au/department/media/publications/australian-government-response-bean-review-final-report-review-optus-outage-8-november-2023-april"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acma.gov.au/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infrastructure.gov.au/department/media/publications/review-optus-outage-8-november-2023-final-report"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infrastructure.gov.au/department/media/publications/review-optus-outage-8-november-2023-final-report" TargetMode="External"/><Relationship Id="rId28" Type="http://schemas.openxmlformats.org/officeDocument/2006/relationships/hyperlink" Target="https://www.acma.gov.au/publication-submissions"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mailto:national.interests@acma.gov.au"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frastructure.gov.au/department/media/publications/review-optus-outage-8-november-2023-final-report" TargetMode="External"/><Relationship Id="rId1" Type="http://schemas.openxmlformats.org/officeDocument/2006/relationships/hyperlink" Target="https://www.legislation.gov.au/F2024L01060/asmade/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2704</Words>
  <Characters>15201</Characters>
  <Application>Microsoft Office Word</Application>
  <DocSecurity>4</DocSecurity>
  <Lines>301</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17837</CharactersWithSpaces>
  <SharedDoc>false</SharedDoc>
  <HyperlinkBase/>
  <HLinks>
    <vt:vector size="162" baseType="variant">
      <vt:variant>
        <vt:i4>2097192</vt:i4>
      </vt:variant>
      <vt:variant>
        <vt:i4>132</vt:i4>
      </vt:variant>
      <vt:variant>
        <vt:i4>0</vt:i4>
      </vt:variant>
      <vt:variant>
        <vt:i4>5</vt:i4>
      </vt:variant>
      <vt:variant>
        <vt:lpwstr>https://www.acma.gov.au/privacy-policy</vt:lpwstr>
      </vt:variant>
      <vt:variant>
        <vt:lpwstr/>
      </vt:variant>
      <vt:variant>
        <vt:i4>3473455</vt:i4>
      </vt:variant>
      <vt:variant>
        <vt:i4>129</vt:i4>
      </vt:variant>
      <vt:variant>
        <vt:i4>0</vt:i4>
      </vt:variant>
      <vt:variant>
        <vt:i4>5</vt:i4>
      </vt:variant>
      <vt:variant>
        <vt:lpwstr>https://www.acma.gov.au/publication-submissions</vt:lpwstr>
      </vt:variant>
      <vt:variant>
        <vt:lpwstr/>
      </vt:variant>
      <vt:variant>
        <vt:i4>7340108</vt:i4>
      </vt:variant>
      <vt:variant>
        <vt:i4>126</vt:i4>
      </vt:variant>
      <vt:variant>
        <vt:i4>0</vt:i4>
      </vt:variant>
      <vt:variant>
        <vt:i4>5</vt:i4>
      </vt:variant>
      <vt:variant>
        <vt:lpwstr>mailto:national.interests@acma.gov.au</vt:lpwstr>
      </vt:variant>
      <vt:variant>
        <vt:lpwstr/>
      </vt:variant>
      <vt:variant>
        <vt:i4>5308427</vt:i4>
      </vt:variant>
      <vt:variant>
        <vt:i4>123</vt:i4>
      </vt:variant>
      <vt:variant>
        <vt:i4>0</vt:i4>
      </vt:variant>
      <vt:variant>
        <vt:i4>5</vt:i4>
      </vt:variant>
      <vt:variant>
        <vt:lpwstr>https://www.acma.gov.au/have-your-say</vt:lpwstr>
      </vt:variant>
      <vt:variant>
        <vt:lpwstr/>
      </vt:variant>
      <vt:variant>
        <vt:i4>5963857</vt:i4>
      </vt:variant>
      <vt:variant>
        <vt:i4>120</vt:i4>
      </vt:variant>
      <vt:variant>
        <vt:i4>0</vt:i4>
      </vt:variant>
      <vt:variant>
        <vt:i4>5</vt:i4>
      </vt:variant>
      <vt:variant>
        <vt:lpwstr>https://www.infrastructure.gov.au/department/media/publications/australian-government-response-bean-review-final-report-review-optus-outage-8-november-2023-april</vt:lpwstr>
      </vt:variant>
      <vt:variant>
        <vt:lpwstr/>
      </vt:variant>
      <vt:variant>
        <vt:i4>4259919</vt:i4>
      </vt:variant>
      <vt:variant>
        <vt:i4>117</vt:i4>
      </vt:variant>
      <vt:variant>
        <vt:i4>0</vt:i4>
      </vt:variant>
      <vt:variant>
        <vt:i4>5</vt:i4>
      </vt:variant>
      <vt:variant>
        <vt:lpwstr>https://www.infrastructure.gov.au/department/media/publications/review-optus-outage-8-november-2023-final-report</vt:lpwstr>
      </vt:variant>
      <vt:variant>
        <vt:lpwstr/>
      </vt:variant>
      <vt:variant>
        <vt:i4>4259919</vt:i4>
      </vt:variant>
      <vt:variant>
        <vt:i4>114</vt:i4>
      </vt:variant>
      <vt:variant>
        <vt:i4>0</vt:i4>
      </vt:variant>
      <vt:variant>
        <vt:i4>5</vt:i4>
      </vt:variant>
      <vt:variant>
        <vt:lpwstr>https://www.infrastructure.gov.au/department/media/publications/review-optus-outage-8-november-2023-final-report</vt:lpwstr>
      </vt:variant>
      <vt:variant>
        <vt:lpwstr/>
      </vt:variant>
      <vt:variant>
        <vt:i4>2031667</vt:i4>
      </vt:variant>
      <vt:variant>
        <vt:i4>107</vt:i4>
      </vt:variant>
      <vt:variant>
        <vt:i4>0</vt:i4>
      </vt:variant>
      <vt:variant>
        <vt:i4>5</vt:i4>
      </vt:variant>
      <vt:variant>
        <vt:lpwstr/>
      </vt:variant>
      <vt:variant>
        <vt:lpwstr>_Toc173245589</vt:lpwstr>
      </vt:variant>
      <vt:variant>
        <vt:i4>2031667</vt:i4>
      </vt:variant>
      <vt:variant>
        <vt:i4>101</vt:i4>
      </vt:variant>
      <vt:variant>
        <vt:i4>0</vt:i4>
      </vt:variant>
      <vt:variant>
        <vt:i4>5</vt:i4>
      </vt:variant>
      <vt:variant>
        <vt:lpwstr/>
      </vt:variant>
      <vt:variant>
        <vt:lpwstr>_Toc173245588</vt:lpwstr>
      </vt:variant>
      <vt:variant>
        <vt:i4>2031667</vt:i4>
      </vt:variant>
      <vt:variant>
        <vt:i4>95</vt:i4>
      </vt:variant>
      <vt:variant>
        <vt:i4>0</vt:i4>
      </vt:variant>
      <vt:variant>
        <vt:i4>5</vt:i4>
      </vt:variant>
      <vt:variant>
        <vt:lpwstr/>
      </vt:variant>
      <vt:variant>
        <vt:lpwstr>_Toc173245587</vt:lpwstr>
      </vt:variant>
      <vt:variant>
        <vt:i4>2031667</vt:i4>
      </vt:variant>
      <vt:variant>
        <vt:i4>89</vt:i4>
      </vt:variant>
      <vt:variant>
        <vt:i4>0</vt:i4>
      </vt:variant>
      <vt:variant>
        <vt:i4>5</vt:i4>
      </vt:variant>
      <vt:variant>
        <vt:lpwstr/>
      </vt:variant>
      <vt:variant>
        <vt:lpwstr>_Toc173245586</vt:lpwstr>
      </vt:variant>
      <vt:variant>
        <vt:i4>2031667</vt:i4>
      </vt:variant>
      <vt:variant>
        <vt:i4>83</vt:i4>
      </vt:variant>
      <vt:variant>
        <vt:i4>0</vt:i4>
      </vt:variant>
      <vt:variant>
        <vt:i4>5</vt:i4>
      </vt:variant>
      <vt:variant>
        <vt:lpwstr/>
      </vt:variant>
      <vt:variant>
        <vt:lpwstr>_Toc173245585</vt:lpwstr>
      </vt:variant>
      <vt:variant>
        <vt:i4>2031667</vt:i4>
      </vt:variant>
      <vt:variant>
        <vt:i4>77</vt:i4>
      </vt:variant>
      <vt:variant>
        <vt:i4>0</vt:i4>
      </vt:variant>
      <vt:variant>
        <vt:i4>5</vt:i4>
      </vt:variant>
      <vt:variant>
        <vt:lpwstr/>
      </vt:variant>
      <vt:variant>
        <vt:lpwstr>_Toc173245584</vt:lpwstr>
      </vt:variant>
      <vt:variant>
        <vt:i4>2031667</vt:i4>
      </vt:variant>
      <vt:variant>
        <vt:i4>71</vt:i4>
      </vt:variant>
      <vt:variant>
        <vt:i4>0</vt:i4>
      </vt:variant>
      <vt:variant>
        <vt:i4>5</vt:i4>
      </vt:variant>
      <vt:variant>
        <vt:lpwstr/>
      </vt:variant>
      <vt:variant>
        <vt:lpwstr>_Toc173245583</vt:lpwstr>
      </vt:variant>
      <vt:variant>
        <vt:i4>2031667</vt:i4>
      </vt:variant>
      <vt:variant>
        <vt:i4>65</vt:i4>
      </vt:variant>
      <vt:variant>
        <vt:i4>0</vt:i4>
      </vt:variant>
      <vt:variant>
        <vt:i4>5</vt:i4>
      </vt:variant>
      <vt:variant>
        <vt:lpwstr/>
      </vt:variant>
      <vt:variant>
        <vt:lpwstr>_Toc173245582</vt:lpwstr>
      </vt:variant>
      <vt:variant>
        <vt:i4>2031667</vt:i4>
      </vt:variant>
      <vt:variant>
        <vt:i4>59</vt:i4>
      </vt:variant>
      <vt:variant>
        <vt:i4>0</vt:i4>
      </vt:variant>
      <vt:variant>
        <vt:i4>5</vt:i4>
      </vt:variant>
      <vt:variant>
        <vt:lpwstr/>
      </vt:variant>
      <vt:variant>
        <vt:lpwstr>_Toc173245581</vt:lpwstr>
      </vt:variant>
      <vt:variant>
        <vt:i4>1048627</vt:i4>
      </vt:variant>
      <vt:variant>
        <vt:i4>53</vt:i4>
      </vt:variant>
      <vt:variant>
        <vt:i4>0</vt:i4>
      </vt:variant>
      <vt:variant>
        <vt:i4>5</vt:i4>
      </vt:variant>
      <vt:variant>
        <vt:lpwstr/>
      </vt:variant>
      <vt:variant>
        <vt:lpwstr>_Toc173245579</vt:lpwstr>
      </vt:variant>
      <vt:variant>
        <vt:i4>1048627</vt:i4>
      </vt:variant>
      <vt:variant>
        <vt:i4>47</vt:i4>
      </vt:variant>
      <vt:variant>
        <vt:i4>0</vt:i4>
      </vt:variant>
      <vt:variant>
        <vt:i4>5</vt:i4>
      </vt:variant>
      <vt:variant>
        <vt:lpwstr/>
      </vt:variant>
      <vt:variant>
        <vt:lpwstr>_Toc173245578</vt:lpwstr>
      </vt:variant>
      <vt:variant>
        <vt:i4>1048627</vt:i4>
      </vt:variant>
      <vt:variant>
        <vt:i4>41</vt:i4>
      </vt:variant>
      <vt:variant>
        <vt:i4>0</vt:i4>
      </vt:variant>
      <vt:variant>
        <vt:i4>5</vt:i4>
      </vt:variant>
      <vt:variant>
        <vt:lpwstr/>
      </vt:variant>
      <vt:variant>
        <vt:lpwstr>_Toc173245577</vt:lpwstr>
      </vt:variant>
      <vt:variant>
        <vt:i4>1048627</vt:i4>
      </vt:variant>
      <vt:variant>
        <vt:i4>35</vt:i4>
      </vt:variant>
      <vt:variant>
        <vt:i4>0</vt:i4>
      </vt:variant>
      <vt:variant>
        <vt:i4>5</vt:i4>
      </vt:variant>
      <vt:variant>
        <vt:lpwstr/>
      </vt:variant>
      <vt:variant>
        <vt:lpwstr>_Toc173245576</vt:lpwstr>
      </vt:variant>
      <vt:variant>
        <vt:i4>1048627</vt:i4>
      </vt:variant>
      <vt:variant>
        <vt:i4>29</vt:i4>
      </vt:variant>
      <vt:variant>
        <vt:i4>0</vt:i4>
      </vt:variant>
      <vt:variant>
        <vt:i4>5</vt:i4>
      </vt:variant>
      <vt:variant>
        <vt:lpwstr/>
      </vt:variant>
      <vt:variant>
        <vt:lpwstr>_Toc173245575</vt:lpwstr>
      </vt:variant>
      <vt:variant>
        <vt:i4>1048627</vt:i4>
      </vt:variant>
      <vt:variant>
        <vt:i4>23</vt:i4>
      </vt:variant>
      <vt:variant>
        <vt:i4>0</vt:i4>
      </vt:variant>
      <vt:variant>
        <vt:i4>5</vt:i4>
      </vt:variant>
      <vt:variant>
        <vt:lpwstr/>
      </vt:variant>
      <vt:variant>
        <vt:lpwstr>_Toc173245574</vt:lpwstr>
      </vt:variant>
      <vt:variant>
        <vt:i4>1048627</vt:i4>
      </vt:variant>
      <vt:variant>
        <vt:i4>17</vt:i4>
      </vt:variant>
      <vt:variant>
        <vt:i4>0</vt:i4>
      </vt:variant>
      <vt:variant>
        <vt:i4>5</vt:i4>
      </vt:variant>
      <vt:variant>
        <vt:lpwstr/>
      </vt:variant>
      <vt:variant>
        <vt:lpwstr>_Toc173245573</vt:lpwstr>
      </vt:variant>
      <vt:variant>
        <vt:i4>1048627</vt:i4>
      </vt:variant>
      <vt:variant>
        <vt:i4>11</vt:i4>
      </vt:variant>
      <vt:variant>
        <vt:i4>0</vt:i4>
      </vt:variant>
      <vt:variant>
        <vt:i4>5</vt:i4>
      </vt:variant>
      <vt:variant>
        <vt:lpwstr/>
      </vt:variant>
      <vt:variant>
        <vt:lpwstr>_Toc173245572</vt:lpwstr>
      </vt:variant>
      <vt:variant>
        <vt:i4>1048627</vt:i4>
      </vt:variant>
      <vt:variant>
        <vt:i4>5</vt:i4>
      </vt:variant>
      <vt:variant>
        <vt:i4>0</vt:i4>
      </vt:variant>
      <vt:variant>
        <vt:i4>5</vt:i4>
      </vt:variant>
      <vt:variant>
        <vt:lpwstr/>
      </vt:variant>
      <vt:variant>
        <vt:lpwstr>_Toc173245571</vt:lpwstr>
      </vt:variant>
      <vt:variant>
        <vt:i4>5308424</vt:i4>
      </vt:variant>
      <vt:variant>
        <vt:i4>0</vt:i4>
      </vt:variant>
      <vt:variant>
        <vt:i4>0</vt:i4>
      </vt:variant>
      <vt:variant>
        <vt:i4>5</vt:i4>
      </vt:variant>
      <vt:variant>
        <vt:lpwstr>https://creativecommons.org/licenses/by/4.0/</vt:lpwstr>
      </vt:variant>
      <vt:variant>
        <vt:lpwstr/>
      </vt:variant>
      <vt:variant>
        <vt:i4>2949182</vt:i4>
      </vt:variant>
      <vt:variant>
        <vt:i4>0</vt:i4>
      </vt:variant>
      <vt:variant>
        <vt:i4>0</vt:i4>
      </vt:variant>
      <vt:variant>
        <vt:i4>5</vt:i4>
      </vt:variant>
      <vt:variant>
        <vt:lpwstr>https://www.legislation.gov.au/F2024L01060/asmade/text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2024-09-16T23:37:00Z</dcterms:created>
  <dcterms:modified xsi:type="dcterms:W3CDTF">2024-09-16T23:37:00Z</dcterms:modified>
  <cp:category/>
</cp:coreProperties>
</file>