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1EAF" w14:textId="77777777" w:rsidR="00354874" w:rsidRPr="00A51D1A" w:rsidRDefault="00354874" w:rsidP="00354874">
      <w:pPr>
        <w:pStyle w:val="Reporttitle"/>
      </w:pPr>
      <w:r w:rsidRPr="001529C2">
        <w:t>Low power open narrowcasting</w:t>
      </w:r>
    </w:p>
    <w:p w14:paraId="2C15E2DD" w14:textId="5649EE3E" w:rsidR="00354874" w:rsidRDefault="00354874" w:rsidP="00354874">
      <w:pPr>
        <w:pStyle w:val="Reportdate"/>
        <w:spacing w:after="200"/>
        <w:rPr>
          <w:caps w:val="0"/>
          <w:spacing w:val="-28"/>
          <w:sz w:val="53"/>
        </w:rPr>
      </w:pPr>
      <w:r>
        <w:rPr>
          <w:caps w:val="0"/>
          <w:spacing w:val="-28"/>
          <w:sz w:val="53"/>
        </w:rPr>
        <w:t xml:space="preserve">Licence </w:t>
      </w:r>
      <w:r w:rsidR="00295D66">
        <w:rPr>
          <w:caps w:val="0"/>
          <w:spacing w:val="-28"/>
          <w:sz w:val="53"/>
        </w:rPr>
        <w:t>c</w:t>
      </w:r>
      <w:r>
        <w:rPr>
          <w:caps w:val="0"/>
          <w:spacing w:val="-28"/>
          <w:sz w:val="53"/>
        </w:rPr>
        <w:t>onditions guide</w:t>
      </w:r>
    </w:p>
    <w:p w14:paraId="5EACF01B" w14:textId="5932B74D" w:rsidR="00354874" w:rsidRPr="000D76E0" w:rsidRDefault="00950AB6" w:rsidP="00354874">
      <w:pPr>
        <w:pStyle w:val="Reportdate"/>
        <w:spacing w:after="720"/>
        <w:rPr>
          <w:rFonts w:cs="Arial"/>
        </w:rPr>
        <w:sectPr w:rsidR="00354874" w:rsidRPr="000D76E0"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September </w:t>
      </w:r>
      <w:r w:rsidR="00354874">
        <w:t>2024</w:t>
      </w:r>
    </w:p>
    <w:p w14:paraId="2B842203" w14:textId="77777777" w:rsidR="00354874" w:rsidRPr="00A17B1B" w:rsidRDefault="00354874" w:rsidP="00354874">
      <w:pPr>
        <w:pStyle w:val="ACMACorporateAddressHeader"/>
      </w:pPr>
      <w:r w:rsidRPr="00A17B1B">
        <w:lastRenderedPageBreak/>
        <w:t>Canberra</w:t>
      </w:r>
    </w:p>
    <w:p w14:paraId="07199DA4" w14:textId="77777777" w:rsidR="00354874" w:rsidRPr="00A17B1B" w:rsidRDefault="00354874" w:rsidP="00354874">
      <w:pPr>
        <w:pStyle w:val="ACMACorporateAddresses"/>
      </w:pPr>
      <w:r>
        <w:t>Level 3</w:t>
      </w:r>
      <w:r>
        <w:br/>
        <w:t>40 Cameron Avenue</w:t>
      </w:r>
      <w:r w:rsidRPr="00A17B1B">
        <w:t xml:space="preserve"> </w:t>
      </w:r>
      <w:r w:rsidRPr="00A17B1B">
        <w:br/>
        <w:t>Belconnen ACT</w:t>
      </w:r>
    </w:p>
    <w:p w14:paraId="7CC15A2A" w14:textId="77777777" w:rsidR="00354874" w:rsidRPr="00A17B1B" w:rsidRDefault="00354874" w:rsidP="00354874">
      <w:pPr>
        <w:pStyle w:val="ACMACorporateAddresses"/>
      </w:pPr>
      <w:bookmarkStart w:id="0" w:name="_Int_y6GymEdo"/>
      <w:r>
        <w:t>PO</w:t>
      </w:r>
      <w:bookmarkEnd w:id="0"/>
      <w:r>
        <w:t xml:space="preserve"> Box 78</w:t>
      </w:r>
      <w:r>
        <w:br/>
        <w:t>Belconnen ACT 2616</w:t>
      </w:r>
    </w:p>
    <w:p w14:paraId="20AD094D" w14:textId="77777777" w:rsidR="00354874" w:rsidRPr="00A17B1B" w:rsidRDefault="00354874" w:rsidP="00354874">
      <w:pPr>
        <w:pStyle w:val="ACMACorporateAddresses"/>
      </w:pPr>
      <w:r w:rsidRPr="00A17B1B">
        <w:t>T</w:t>
      </w:r>
      <w:r w:rsidRPr="00A17B1B">
        <w:tab/>
        <w:t>+61 2 6219 5555</w:t>
      </w:r>
      <w:r w:rsidRPr="00A17B1B">
        <w:br/>
        <w:t>F</w:t>
      </w:r>
      <w:r w:rsidRPr="00A17B1B">
        <w:tab/>
        <w:t>+61 2 6219 5353</w:t>
      </w:r>
    </w:p>
    <w:p w14:paraId="294A952F" w14:textId="77777777" w:rsidR="00354874" w:rsidRPr="00A17B1B" w:rsidRDefault="00354874" w:rsidP="00354874">
      <w:pPr>
        <w:pStyle w:val="ACMACorporateAddressHeader"/>
      </w:pPr>
      <w:r w:rsidRPr="00A17B1B">
        <w:t>Melbourne</w:t>
      </w:r>
    </w:p>
    <w:p w14:paraId="2D49E71F" w14:textId="77777777" w:rsidR="00354874" w:rsidRPr="00A17B1B" w:rsidRDefault="00354874" w:rsidP="003548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073448D6" w14:textId="77777777" w:rsidR="00354874" w:rsidRPr="00A17B1B" w:rsidRDefault="00354874" w:rsidP="00354874">
      <w:pPr>
        <w:pStyle w:val="ACMACorporateAddresses"/>
      </w:pPr>
      <w:r w:rsidRPr="00A17B1B">
        <w:t>PO Box 13112</w:t>
      </w:r>
      <w:r w:rsidRPr="00A17B1B">
        <w:br/>
        <w:t xml:space="preserve">Law Courts </w:t>
      </w:r>
      <w:r w:rsidRPr="00A17B1B">
        <w:br/>
        <w:t>Melbourne VIC 8010</w:t>
      </w:r>
    </w:p>
    <w:p w14:paraId="7BDAF289" w14:textId="77777777" w:rsidR="00354874" w:rsidRPr="00A17B1B" w:rsidRDefault="00354874" w:rsidP="00354874">
      <w:pPr>
        <w:pStyle w:val="ACMACorporateAddresses"/>
      </w:pPr>
      <w:r w:rsidRPr="00A17B1B">
        <w:t>T</w:t>
      </w:r>
      <w:r w:rsidRPr="00A17B1B">
        <w:tab/>
        <w:t>+61 3 9963 6800</w:t>
      </w:r>
      <w:r w:rsidRPr="00A17B1B">
        <w:br/>
        <w:t>F</w:t>
      </w:r>
      <w:r w:rsidRPr="00A17B1B">
        <w:tab/>
        <w:t>+61 3 9963 6899</w:t>
      </w:r>
    </w:p>
    <w:p w14:paraId="199765D6" w14:textId="77777777" w:rsidR="00354874" w:rsidRPr="00A17B1B" w:rsidRDefault="00354874" w:rsidP="00354874">
      <w:pPr>
        <w:pStyle w:val="ACMACorporateAddressHeader"/>
      </w:pPr>
      <w:r w:rsidRPr="00A17B1B">
        <w:t>Sydney</w:t>
      </w:r>
    </w:p>
    <w:p w14:paraId="602A8427" w14:textId="77777777" w:rsidR="00354874" w:rsidRPr="00A17B1B" w:rsidRDefault="00354874" w:rsidP="00354874">
      <w:pPr>
        <w:pStyle w:val="ACMACorporateAddresses"/>
      </w:pPr>
      <w:r w:rsidRPr="00A17B1B">
        <w:t xml:space="preserve">Level 5 </w:t>
      </w:r>
      <w:r w:rsidRPr="00A17B1B">
        <w:br/>
        <w:t>The Bay Centre</w:t>
      </w:r>
      <w:r w:rsidRPr="00A17B1B">
        <w:br/>
        <w:t xml:space="preserve">65 Pirrama Road </w:t>
      </w:r>
      <w:r w:rsidRPr="00A17B1B">
        <w:br/>
        <w:t>Pyrmont NSW</w:t>
      </w:r>
    </w:p>
    <w:p w14:paraId="5A1CBBF6" w14:textId="77777777" w:rsidR="00354874" w:rsidRPr="00A17B1B" w:rsidRDefault="00354874" w:rsidP="00354874">
      <w:pPr>
        <w:pStyle w:val="ACMACorporateAddresses"/>
      </w:pPr>
      <w:r w:rsidRPr="00A17B1B">
        <w:t>PO Box Q500</w:t>
      </w:r>
      <w:r w:rsidRPr="00A17B1B">
        <w:br/>
        <w:t xml:space="preserve">Queen Victoria Building </w:t>
      </w:r>
      <w:r w:rsidRPr="00A17B1B">
        <w:br/>
        <w:t>NSW 1230</w:t>
      </w:r>
    </w:p>
    <w:p w14:paraId="1B63A682" w14:textId="77777777" w:rsidR="00354874" w:rsidRDefault="00354874" w:rsidP="00354874">
      <w:pPr>
        <w:pStyle w:val="ACMACorporateAddresses"/>
      </w:pPr>
      <w:r w:rsidRPr="00A17B1B">
        <w:t>T</w:t>
      </w:r>
      <w:r w:rsidRPr="00A17B1B">
        <w:tab/>
        <w:t>+61 2 9334 7700</w:t>
      </w:r>
      <w:r w:rsidRPr="00A17B1B">
        <w:br/>
        <w:t>F</w:t>
      </w:r>
      <w:r w:rsidRPr="00A17B1B">
        <w:tab/>
        <w:t>+61 2 9334 7799</w:t>
      </w:r>
    </w:p>
    <w:p w14:paraId="58F79068" w14:textId="77777777" w:rsidR="00354874" w:rsidRDefault="00354874" w:rsidP="00354874">
      <w:pPr>
        <w:pStyle w:val="ACMACorporateAddresses"/>
      </w:pPr>
    </w:p>
    <w:p w14:paraId="2C6BD50D" w14:textId="77777777" w:rsidR="00354874" w:rsidRDefault="00354874" w:rsidP="00354874">
      <w:pPr>
        <w:pStyle w:val="ACMACorporateAddresses"/>
      </w:pPr>
    </w:p>
    <w:p w14:paraId="3FD92372" w14:textId="77777777" w:rsidR="00354874" w:rsidRDefault="00354874" w:rsidP="00354874">
      <w:pPr>
        <w:pStyle w:val="ACMACorporateAddresses"/>
      </w:pPr>
    </w:p>
    <w:p w14:paraId="0831B072" w14:textId="77777777" w:rsidR="00354874" w:rsidRDefault="00354874" w:rsidP="00354874">
      <w:pPr>
        <w:pStyle w:val="ACMACorporateAddresses"/>
      </w:pPr>
    </w:p>
    <w:p w14:paraId="754ACBB2" w14:textId="77777777" w:rsidR="00354874" w:rsidRDefault="00354874" w:rsidP="00354874">
      <w:pPr>
        <w:pStyle w:val="ACMACorporateAddresses"/>
      </w:pPr>
    </w:p>
    <w:p w14:paraId="5175540A" w14:textId="77777777" w:rsidR="00354874" w:rsidRDefault="00354874" w:rsidP="00354874">
      <w:pPr>
        <w:pStyle w:val="ACMACorporateAddresses"/>
      </w:pPr>
    </w:p>
    <w:p w14:paraId="1D25DE86" w14:textId="77777777" w:rsidR="00354874" w:rsidRDefault="00354874" w:rsidP="00354874">
      <w:pPr>
        <w:pStyle w:val="ACMACorporateAddresses"/>
      </w:pPr>
    </w:p>
    <w:p w14:paraId="50D67AD1" w14:textId="77777777" w:rsidR="00354874" w:rsidRDefault="00354874" w:rsidP="00354874">
      <w:pPr>
        <w:pStyle w:val="ACMACorporateAddresses"/>
      </w:pPr>
    </w:p>
    <w:p w14:paraId="4F329059" w14:textId="77777777" w:rsidR="00354874" w:rsidRDefault="00354874" w:rsidP="00354874">
      <w:pPr>
        <w:pStyle w:val="ACMACorporateAddresses"/>
      </w:pPr>
    </w:p>
    <w:p w14:paraId="61D879CD" w14:textId="77777777" w:rsidR="00354874" w:rsidRDefault="00354874" w:rsidP="00354874">
      <w:pPr>
        <w:pStyle w:val="ACMACorporateAddresses"/>
      </w:pPr>
    </w:p>
    <w:p w14:paraId="48C594A6" w14:textId="77777777" w:rsidR="00354874" w:rsidRDefault="00354874" w:rsidP="00354874">
      <w:pPr>
        <w:pStyle w:val="ACMACorporateAddresses"/>
      </w:pPr>
    </w:p>
    <w:p w14:paraId="5EE482B6" w14:textId="77777777" w:rsidR="00354874" w:rsidRDefault="00354874" w:rsidP="00354874">
      <w:pPr>
        <w:pStyle w:val="ACMACorporateAddresses"/>
      </w:pPr>
    </w:p>
    <w:p w14:paraId="7F777B39" w14:textId="77777777" w:rsidR="00354874" w:rsidRDefault="00354874" w:rsidP="00354874">
      <w:pPr>
        <w:pStyle w:val="ACMACorporateAddresses"/>
      </w:pPr>
    </w:p>
    <w:p w14:paraId="25BF2442" w14:textId="77777777" w:rsidR="00354874" w:rsidRDefault="00354874" w:rsidP="00354874">
      <w:pPr>
        <w:pStyle w:val="ACMACorporateAddresses"/>
      </w:pPr>
    </w:p>
    <w:p w14:paraId="30DEB6D8" w14:textId="77777777" w:rsidR="00354874" w:rsidRPr="00A17B1B" w:rsidRDefault="00354874" w:rsidP="00354874">
      <w:pPr>
        <w:pStyle w:val="ACMACorporateAddresses"/>
      </w:pPr>
      <w:r w:rsidRPr="00A17B1B">
        <w:t>Copyright notice</w:t>
      </w:r>
    </w:p>
    <w:p w14:paraId="6B193F27" w14:textId="77777777" w:rsidR="00354874" w:rsidRPr="00A17B1B" w:rsidRDefault="00354874" w:rsidP="00354874">
      <w:pPr>
        <w:pStyle w:val="ACMACClogo"/>
      </w:pPr>
      <w:r w:rsidRPr="00A17B1B">
        <w:rPr>
          <w:noProof/>
        </w:rPr>
        <w:drawing>
          <wp:inline distT="0" distB="0" distL="0" distR="0" wp14:anchorId="7159CC0C" wp14:editId="1CF5E44B">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298AE55" w14:textId="77777777" w:rsidR="00354874" w:rsidRPr="00A17B1B" w:rsidRDefault="00767413" w:rsidP="00354874">
      <w:pPr>
        <w:pStyle w:val="ACMACorporateAddresses"/>
        <w:rPr>
          <w:rStyle w:val="Hyperlink"/>
        </w:rPr>
      </w:pPr>
      <w:hyperlink r:id="rId13" w:history="1">
        <w:r w:rsidR="00354874" w:rsidRPr="00A17B1B">
          <w:rPr>
            <w:rStyle w:val="Hyperlink"/>
          </w:rPr>
          <w:t>https://creativecommons.org/licenses/by/4.0/</w:t>
        </w:r>
      </w:hyperlink>
    </w:p>
    <w:p w14:paraId="7664D3C2" w14:textId="6A6C3347" w:rsidR="00354874" w:rsidRPr="00E162C4" w:rsidRDefault="00354874" w:rsidP="00354874">
      <w:pPr>
        <w:pStyle w:val="ACMACorporateAddresses"/>
      </w:pPr>
      <w:r>
        <w:t xml:space="preserve">Except for the Commonwealth Coat of Arms, logos, emblems, images, other third-party </w:t>
      </w:r>
      <w:r w:rsidR="4F2DB47F">
        <w:t>material,</w:t>
      </w:r>
      <w:r>
        <w:t xml:space="preserve"> or devices protected by a trademark, this content is made available under the terms of the Creative Commons Attribution 4.0 International (CC BY 4.0) licence. </w:t>
      </w:r>
    </w:p>
    <w:p w14:paraId="151CB45D" w14:textId="77777777" w:rsidR="00354874" w:rsidRPr="00E162C4" w:rsidRDefault="00354874" w:rsidP="00354874">
      <w:pPr>
        <w:pStyle w:val="ACMACorporateAddresses"/>
      </w:pPr>
      <w:r w:rsidRPr="00E162C4">
        <w:t>All other rights are reserved.</w:t>
      </w:r>
    </w:p>
    <w:p w14:paraId="09400312" w14:textId="77777777" w:rsidR="00354874" w:rsidRDefault="00354874" w:rsidP="00354874">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77C26E40" w14:textId="77777777" w:rsidR="00354874" w:rsidRPr="00D04C32" w:rsidRDefault="00354874" w:rsidP="00354874">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790C8D99" w14:textId="77777777" w:rsidR="00354874" w:rsidRDefault="00354874" w:rsidP="00354874">
      <w:pPr>
        <w:pStyle w:val="ACMACorporateAddresses"/>
        <w:rPr>
          <w:rStyle w:val="Hyperlink"/>
        </w:rPr>
      </w:pPr>
    </w:p>
    <w:p w14:paraId="71A12CA0" w14:textId="77777777" w:rsidR="00354874" w:rsidRPr="00D16FE3" w:rsidRDefault="00354874" w:rsidP="00354874">
      <w:pPr>
        <w:pStyle w:val="ACMACorporateAddresses"/>
        <w:sectPr w:rsidR="00354874" w:rsidRPr="00D16FE3">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7068590E" w14:textId="7E765C54" w:rsidR="00DE756F" w:rsidRDefault="00354874">
      <w:pPr>
        <w:pStyle w:val="TOC1"/>
        <w:rPr>
          <w:rFonts w:asciiTheme="minorHAnsi" w:eastAsiaTheme="minorEastAsia" w:hAnsiTheme="minorHAnsi" w:cstheme="minorBidi"/>
          <w:b w:val="0"/>
          <w:spacing w:val="0"/>
          <w:kern w:val="2"/>
          <w:sz w:val="22"/>
          <w:szCs w:val="22"/>
          <w14:ligatures w14:val="standardContextual"/>
        </w:rPr>
      </w:pPr>
      <w:r>
        <w:rPr>
          <w:rFonts w:cs="Arial"/>
          <w:b w:val="0"/>
        </w:rPr>
        <w:lastRenderedPageBreak/>
        <w:fldChar w:fldCharType="begin"/>
      </w:r>
      <w:r>
        <w:rPr>
          <w:rFonts w:cs="Arial"/>
          <w:b w:val="0"/>
        </w:rPr>
        <w:instrText xml:space="preserve"> TOC \o "1-3" \h \z \t "Exec summary heading,1" </w:instrText>
      </w:r>
      <w:r>
        <w:rPr>
          <w:rFonts w:cs="Arial"/>
          <w:b w:val="0"/>
        </w:rPr>
        <w:fldChar w:fldCharType="separate"/>
      </w:r>
      <w:hyperlink w:anchor="_Toc178590228" w:history="1">
        <w:r w:rsidR="00DE756F" w:rsidRPr="005E5D30">
          <w:rPr>
            <w:rStyle w:val="Hyperlink"/>
          </w:rPr>
          <w:t>LPON licence conditions guide</w:t>
        </w:r>
        <w:r w:rsidR="00DE756F">
          <w:rPr>
            <w:webHidden/>
          </w:rPr>
          <w:tab/>
        </w:r>
        <w:r w:rsidR="00DE756F">
          <w:rPr>
            <w:webHidden/>
          </w:rPr>
          <w:fldChar w:fldCharType="begin"/>
        </w:r>
        <w:r w:rsidR="00DE756F">
          <w:rPr>
            <w:webHidden/>
          </w:rPr>
          <w:instrText xml:space="preserve"> PAGEREF _Toc178590228 \h </w:instrText>
        </w:r>
        <w:r w:rsidR="00DE756F">
          <w:rPr>
            <w:webHidden/>
          </w:rPr>
        </w:r>
        <w:r w:rsidR="00DE756F">
          <w:rPr>
            <w:webHidden/>
          </w:rPr>
          <w:fldChar w:fldCharType="separate"/>
        </w:r>
        <w:r w:rsidR="00DE756F">
          <w:rPr>
            <w:webHidden/>
          </w:rPr>
          <w:t>1</w:t>
        </w:r>
        <w:r w:rsidR="00DE756F">
          <w:rPr>
            <w:webHidden/>
          </w:rPr>
          <w:fldChar w:fldCharType="end"/>
        </w:r>
      </w:hyperlink>
    </w:p>
    <w:p w14:paraId="6E2D4EF7" w14:textId="530FBFB4" w:rsidR="00DE756F" w:rsidRDefault="00DE756F">
      <w:pPr>
        <w:pStyle w:val="TOC2"/>
        <w:rPr>
          <w:rFonts w:asciiTheme="minorHAnsi" w:eastAsiaTheme="minorEastAsia" w:hAnsiTheme="minorHAnsi" w:cstheme="minorBidi"/>
          <w:spacing w:val="0"/>
          <w:kern w:val="2"/>
          <w:sz w:val="22"/>
          <w:szCs w:val="22"/>
          <w14:ligatures w14:val="standardContextual"/>
        </w:rPr>
      </w:pPr>
      <w:hyperlink w:anchor="_Toc178590229" w:history="1">
        <w:r w:rsidRPr="005E5D30">
          <w:rPr>
            <w:rStyle w:val="Hyperlink"/>
          </w:rPr>
          <w:t>Why is understanding licence conditions important?</w:t>
        </w:r>
        <w:r>
          <w:rPr>
            <w:webHidden/>
          </w:rPr>
          <w:tab/>
        </w:r>
        <w:r>
          <w:rPr>
            <w:webHidden/>
          </w:rPr>
          <w:fldChar w:fldCharType="begin"/>
        </w:r>
        <w:r>
          <w:rPr>
            <w:webHidden/>
          </w:rPr>
          <w:instrText xml:space="preserve"> PAGEREF _Toc178590229 \h </w:instrText>
        </w:r>
        <w:r>
          <w:rPr>
            <w:webHidden/>
          </w:rPr>
        </w:r>
        <w:r>
          <w:rPr>
            <w:webHidden/>
          </w:rPr>
          <w:fldChar w:fldCharType="separate"/>
        </w:r>
        <w:r>
          <w:rPr>
            <w:webHidden/>
          </w:rPr>
          <w:t>1</w:t>
        </w:r>
        <w:r>
          <w:rPr>
            <w:webHidden/>
          </w:rPr>
          <w:fldChar w:fldCharType="end"/>
        </w:r>
      </w:hyperlink>
    </w:p>
    <w:p w14:paraId="5B3B54B0" w14:textId="6540E5AC" w:rsidR="00DE756F" w:rsidRDefault="00DE756F">
      <w:pPr>
        <w:pStyle w:val="TOC1"/>
        <w:rPr>
          <w:rFonts w:asciiTheme="minorHAnsi" w:eastAsiaTheme="minorEastAsia" w:hAnsiTheme="minorHAnsi" w:cstheme="minorBidi"/>
          <w:b w:val="0"/>
          <w:spacing w:val="0"/>
          <w:kern w:val="2"/>
          <w:sz w:val="22"/>
          <w:szCs w:val="22"/>
          <w14:ligatures w14:val="standardContextual"/>
        </w:rPr>
      </w:pPr>
      <w:hyperlink w:anchor="_Toc178590230" w:history="1">
        <w:r w:rsidRPr="005E5D30">
          <w:rPr>
            <w:rStyle w:val="Hyperlink"/>
          </w:rPr>
          <w:t>About this guide</w:t>
        </w:r>
        <w:r>
          <w:rPr>
            <w:webHidden/>
          </w:rPr>
          <w:tab/>
        </w:r>
        <w:r>
          <w:rPr>
            <w:webHidden/>
          </w:rPr>
          <w:fldChar w:fldCharType="begin"/>
        </w:r>
        <w:r>
          <w:rPr>
            <w:webHidden/>
          </w:rPr>
          <w:instrText xml:space="preserve"> PAGEREF _Toc178590230 \h </w:instrText>
        </w:r>
        <w:r>
          <w:rPr>
            <w:webHidden/>
          </w:rPr>
        </w:r>
        <w:r>
          <w:rPr>
            <w:webHidden/>
          </w:rPr>
          <w:fldChar w:fldCharType="separate"/>
        </w:r>
        <w:r>
          <w:rPr>
            <w:webHidden/>
          </w:rPr>
          <w:t>2</w:t>
        </w:r>
        <w:r>
          <w:rPr>
            <w:webHidden/>
          </w:rPr>
          <w:fldChar w:fldCharType="end"/>
        </w:r>
      </w:hyperlink>
    </w:p>
    <w:p w14:paraId="0E2CC0A1" w14:textId="3277545B" w:rsidR="00DE756F" w:rsidRDefault="00DE756F">
      <w:pPr>
        <w:pStyle w:val="TOC2"/>
        <w:rPr>
          <w:rFonts w:asciiTheme="minorHAnsi" w:eastAsiaTheme="minorEastAsia" w:hAnsiTheme="minorHAnsi" w:cstheme="minorBidi"/>
          <w:spacing w:val="0"/>
          <w:kern w:val="2"/>
          <w:sz w:val="22"/>
          <w:szCs w:val="22"/>
          <w14:ligatures w14:val="standardContextual"/>
        </w:rPr>
      </w:pPr>
      <w:hyperlink w:anchor="_Toc178590231" w:history="1">
        <w:r w:rsidRPr="005E5D30">
          <w:rPr>
            <w:rStyle w:val="Hyperlink"/>
          </w:rPr>
          <w:t>Important note</w:t>
        </w:r>
        <w:r>
          <w:rPr>
            <w:webHidden/>
          </w:rPr>
          <w:tab/>
        </w:r>
        <w:r>
          <w:rPr>
            <w:webHidden/>
          </w:rPr>
          <w:fldChar w:fldCharType="begin"/>
        </w:r>
        <w:r>
          <w:rPr>
            <w:webHidden/>
          </w:rPr>
          <w:instrText xml:space="preserve"> PAGEREF _Toc178590231 \h </w:instrText>
        </w:r>
        <w:r>
          <w:rPr>
            <w:webHidden/>
          </w:rPr>
        </w:r>
        <w:r>
          <w:rPr>
            <w:webHidden/>
          </w:rPr>
          <w:fldChar w:fldCharType="separate"/>
        </w:r>
        <w:r>
          <w:rPr>
            <w:webHidden/>
          </w:rPr>
          <w:t>2</w:t>
        </w:r>
        <w:r>
          <w:rPr>
            <w:webHidden/>
          </w:rPr>
          <w:fldChar w:fldCharType="end"/>
        </w:r>
      </w:hyperlink>
    </w:p>
    <w:p w14:paraId="65E6880C" w14:textId="28AC91E2" w:rsidR="00DE756F" w:rsidRDefault="00DE756F">
      <w:pPr>
        <w:pStyle w:val="TOC1"/>
        <w:rPr>
          <w:rFonts w:asciiTheme="minorHAnsi" w:eastAsiaTheme="minorEastAsia" w:hAnsiTheme="minorHAnsi" w:cstheme="minorBidi"/>
          <w:b w:val="0"/>
          <w:spacing w:val="0"/>
          <w:kern w:val="2"/>
          <w:sz w:val="22"/>
          <w:szCs w:val="22"/>
          <w14:ligatures w14:val="standardContextual"/>
        </w:rPr>
      </w:pPr>
      <w:hyperlink w:anchor="_Toc178590232" w:history="1">
        <w:r w:rsidRPr="005E5D30">
          <w:rPr>
            <w:rStyle w:val="Hyperlink"/>
          </w:rPr>
          <w:t>Introduction</w:t>
        </w:r>
        <w:r>
          <w:rPr>
            <w:webHidden/>
          </w:rPr>
          <w:tab/>
        </w:r>
        <w:r>
          <w:rPr>
            <w:webHidden/>
          </w:rPr>
          <w:fldChar w:fldCharType="begin"/>
        </w:r>
        <w:r>
          <w:rPr>
            <w:webHidden/>
          </w:rPr>
          <w:instrText xml:space="preserve"> PAGEREF _Toc178590232 \h </w:instrText>
        </w:r>
        <w:r>
          <w:rPr>
            <w:webHidden/>
          </w:rPr>
        </w:r>
        <w:r>
          <w:rPr>
            <w:webHidden/>
          </w:rPr>
          <w:fldChar w:fldCharType="separate"/>
        </w:r>
        <w:r>
          <w:rPr>
            <w:webHidden/>
          </w:rPr>
          <w:t>3</w:t>
        </w:r>
        <w:r>
          <w:rPr>
            <w:webHidden/>
          </w:rPr>
          <w:fldChar w:fldCharType="end"/>
        </w:r>
      </w:hyperlink>
    </w:p>
    <w:p w14:paraId="57FE30F7" w14:textId="7DD84A4F" w:rsidR="00DE756F" w:rsidRDefault="00DE756F">
      <w:pPr>
        <w:pStyle w:val="TOC2"/>
        <w:rPr>
          <w:rFonts w:asciiTheme="minorHAnsi" w:eastAsiaTheme="minorEastAsia" w:hAnsiTheme="minorHAnsi" w:cstheme="minorBidi"/>
          <w:spacing w:val="0"/>
          <w:kern w:val="2"/>
          <w:sz w:val="22"/>
          <w:szCs w:val="22"/>
          <w14:ligatures w14:val="standardContextual"/>
        </w:rPr>
      </w:pPr>
      <w:hyperlink w:anchor="_Toc178590233" w:history="1">
        <w:r w:rsidRPr="005E5D30">
          <w:rPr>
            <w:rStyle w:val="Hyperlink"/>
          </w:rPr>
          <w:t>LPON compliance</w:t>
        </w:r>
        <w:r>
          <w:rPr>
            <w:webHidden/>
          </w:rPr>
          <w:tab/>
        </w:r>
        <w:r>
          <w:rPr>
            <w:webHidden/>
          </w:rPr>
          <w:fldChar w:fldCharType="begin"/>
        </w:r>
        <w:r>
          <w:rPr>
            <w:webHidden/>
          </w:rPr>
          <w:instrText xml:space="preserve"> PAGEREF _Toc178590233 \h </w:instrText>
        </w:r>
        <w:r>
          <w:rPr>
            <w:webHidden/>
          </w:rPr>
        </w:r>
        <w:r>
          <w:rPr>
            <w:webHidden/>
          </w:rPr>
          <w:fldChar w:fldCharType="separate"/>
        </w:r>
        <w:r>
          <w:rPr>
            <w:webHidden/>
          </w:rPr>
          <w:t>3</w:t>
        </w:r>
        <w:r>
          <w:rPr>
            <w:webHidden/>
          </w:rPr>
          <w:fldChar w:fldCharType="end"/>
        </w:r>
      </w:hyperlink>
    </w:p>
    <w:p w14:paraId="4DA95031" w14:textId="37F8B58E" w:rsidR="00DE756F" w:rsidRDefault="00DE756F">
      <w:pPr>
        <w:pStyle w:val="TOC1"/>
        <w:rPr>
          <w:rFonts w:asciiTheme="minorHAnsi" w:eastAsiaTheme="minorEastAsia" w:hAnsiTheme="minorHAnsi" w:cstheme="minorBidi"/>
          <w:b w:val="0"/>
          <w:spacing w:val="0"/>
          <w:kern w:val="2"/>
          <w:sz w:val="22"/>
          <w:szCs w:val="22"/>
          <w14:ligatures w14:val="standardContextual"/>
        </w:rPr>
      </w:pPr>
      <w:hyperlink w:anchor="_Toc178590234" w:history="1">
        <w:r w:rsidRPr="005E5D30">
          <w:rPr>
            <w:rStyle w:val="Hyperlink"/>
          </w:rPr>
          <w:t>Power and coverage</w:t>
        </w:r>
        <w:r>
          <w:rPr>
            <w:webHidden/>
          </w:rPr>
          <w:tab/>
        </w:r>
        <w:r>
          <w:rPr>
            <w:webHidden/>
          </w:rPr>
          <w:fldChar w:fldCharType="begin"/>
        </w:r>
        <w:r>
          <w:rPr>
            <w:webHidden/>
          </w:rPr>
          <w:instrText xml:space="preserve"> PAGEREF _Toc178590234 \h </w:instrText>
        </w:r>
        <w:r>
          <w:rPr>
            <w:webHidden/>
          </w:rPr>
        </w:r>
        <w:r>
          <w:rPr>
            <w:webHidden/>
          </w:rPr>
          <w:fldChar w:fldCharType="separate"/>
        </w:r>
        <w:r>
          <w:rPr>
            <w:webHidden/>
          </w:rPr>
          <w:t>5</w:t>
        </w:r>
        <w:r>
          <w:rPr>
            <w:webHidden/>
          </w:rPr>
          <w:fldChar w:fldCharType="end"/>
        </w:r>
      </w:hyperlink>
    </w:p>
    <w:p w14:paraId="7376472F" w14:textId="351D9220" w:rsidR="00DE756F" w:rsidRDefault="00DE756F">
      <w:pPr>
        <w:pStyle w:val="TOC1"/>
        <w:rPr>
          <w:rFonts w:asciiTheme="minorHAnsi" w:eastAsiaTheme="minorEastAsia" w:hAnsiTheme="minorHAnsi" w:cstheme="minorBidi"/>
          <w:b w:val="0"/>
          <w:spacing w:val="0"/>
          <w:kern w:val="2"/>
          <w:sz w:val="22"/>
          <w:szCs w:val="22"/>
          <w14:ligatures w14:val="standardContextual"/>
        </w:rPr>
      </w:pPr>
      <w:hyperlink w:anchor="_Toc178590235" w:history="1">
        <w:r w:rsidRPr="005E5D30">
          <w:rPr>
            <w:rStyle w:val="Hyperlink"/>
          </w:rPr>
          <w:t>UIOLI conditions</w:t>
        </w:r>
        <w:r>
          <w:rPr>
            <w:webHidden/>
          </w:rPr>
          <w:tab/>
        </w:r>
        <w:r>
          <w:rPr>
            <w:webHidden/>
          </w:rPr>
          <w:fldChar w:fldCharType="begin"/>
        </w:r>
        <w:r>
          <w:rPr>
            <w:webHidden/>
          </w:rPr>
          <w:instrText xml:space="preserve"> PAGEREF _Toc178590235 \h </w:instrText>
        </w:r>
        <w:r>
          <w:rPr>
            <w:webHidden/>
          </w:rPr>
        </w:r>
        <w:r>
          <w:rPr>
            <w:webHidden/>
          </w:rPr>
          <w:fldChar w:fldCharType="separate"/>
        </w:r>
        <w:r>
          <w:rPr>
            <w:webHidden/>
          </w:rPr>
          <w:t>7</w:t>
        </w:r>
        <w:r>
          <w:rPr>
            <w:webHidden/>
          </w:rPr>
          <w:fldChar w:fldCharType="end"/>
        </w:r>
      </w:hyperlink>
    </w:p>
    <w:p w14:paraId="1B95B8AF" w14:textId="4492AE9F" w:rsidR="00DE756F" w:rsidRDefault="00DE756F">
      <w:pPr>
        <w:pStyle w:val="TOC2"/>
        <w:rPr>
          <w:rFonts w:asciiTheme="minorHAnsi" w:eastAsiaTheme="minorEastAsia" w:hAnsiTheme="minorHAnsi" w:cstheme="minorBidi"/>
          <w:spacing w:val="0"/>
          <w:kern w:val="2"/>
          <w:sz w:val="22"/>
          <w:szCs w:val="22"/>
          <w14:ligatures w14:val="standardContextual"/>
        </w:rPr>
      </w:pPr>
      <w:hyperlink w:anchor="_Toc178590236" w:history="1">
        <w:r w:rsidRPr="005E5D30">
          <w:rPr>
            <w:rStyle w:val="Hyperlink"/>
          </w:rPr>
          <w:t>You must start a service within 6 months</w:t>
        </w:r>
        <w:r>
          <w:rPr>
            <w:webHidden/>
          </w:rPr>
          <w:tab/>
        </w:r>
        <w:r>
          <w:rPr>
            <w:webHidden/>
          </w:rPr>
          <w:fldChar w:fldCharType="begin"/>
        </w:r>
        <w:r>
          <w:rPr>
            <w:webHidden/>
          </w:rPr>
          <w:instrText xml:space="preserve"> PAGEREF _Toc178590236 \h </w:instrText>
        </w:r>
        <w:r>
          <w:rPr>
            <w:webHidden/>
          </w:rPr>
        </w:r>
        <w:r>
          <w:rPr>
            <w:webHidden/>
          </w:rPr>
          <w:fldChar w:fldCharType="separate"/>
        </w:r>
        <w:r>
          <w:rPr>
            <w:webHidden/>
          </w:rPr>
          <w:t>7</w:t>
        </w:r>
        <w:r>
          <w:rPr>
            <w:webHidden/>
          </w:rPr>
          <w:fldChar w:fldCharType="end"/>
        </w:r>
      </w:hyperlink>
    </w:p>
    <w:p w14:paraId="59DAC68C" w14:textId="5560614E" w:rsidR="00DE756F" w:rsidRDefault="00DE756F">
      <w:pPr>
        <w:pStyle w:val="TOC2"/>
        <w:rPr>
          <w:rFonts w:asciiTheme="minorHAnsi" w:eastAsiaTheme="minorEastAsia" w:hAnsiTheme="minorHAnsi" w:cstheme="minorBidi"/>
          <w:spacing w:val="0"/>
          <w:kern w:val="2"/>
          <w:sz w:val="22"/>
          <w:szCs w:val="22"/>
          <w14:ligatures w14:val="standardContextual"/>
        </w:rPr>
      </w:pPr>
      <w:hyperlink w:anchor="_Toc178590237" w:history="1">
        <w:r w:rsidRPr="005E5D30">
          <w:rPr>
            <w:rStyle w:val="Hyperlink"/>
          </w:rPr>
          <w:t>You must use the service with reasonable regularity</w:t>
        </w:r>
        <w:r>
          <w:rPr>
            <w:webHidden/>
          </w:rPr>
          <w:tab/>
        </w:r>
        <w:r>
          <w:rPr>
            <w:webHidden/>
          </w:rPr>
          <w:fldChar w:fldCharType="begin"/>
        </w:r>
        <w:r>
          <w:rPr>
            <w:webHidden/>
          </w:rPr>
          <w:instrText xml:space="preserve"> PAGEREF _Toc178590237 \h </w:instrText>
        </w:r>
        <w:r>
          <w:rPr>
            <w:webHidden/>
          </w:rPr>
        </w:r>
        <w:r>
          <w:rPr>
            <w:webHidden/>
          </w:rPr>
          <w:fldChar w:fldCharType="separate"/>
        </w:r>
        <w:r>
          <w:rPr>
            <w:webHidden/>
          </w:rPr>
          <w:t>7</w:t>
        </w:r>
        <w:r>
          <w:rPr>
            <w:webHidden/>
          </w:rPr>
          <w:fldChar w:fldCharType="end"/>
        </w:r>
      </w:hyperlink>
    </w:p>
    <w:p w14:paraId="38FFD2CF" w14:textId="7E1E33BF" w:rsidR="00DE756F" w:rsidRDefault="00DE756F">
      <w:pPr>
        <w:pStyle w:val="TOC3"/>
        <w:rPr>
          <w:rFonts w:asciiTheme="minorHAnsi" w:eastAsiaTheme="minorEastAsia" w:hAnsiTheme="minorHAnsi" w:cstheme="minorBidi"/>
          <w:kern w:val="2"/>
          <w14:ligatures w14:val="standardContextual"/>
        </w:rPr>
      </w:pPr>
      <w:hyperlink w:anchor="_Toc178590238" w:history="1">
        <w:r w:rsidRPr="005E5D30">
          <w:rPr>
            <w:rStyle w:val="Hyperlink"/>
          </w:rPr>
          <w:t>Services should be happening on a frequent or habitual basis</w:t>
        </w:r>
        <w:r>
          <w:rPr>
            <w:webHidden/>
          </w:rPr>
          <w:tab/>
        </w:r>
        <w:r>
          <w:rPr>
            <w:webHidden/>
          </w:rPr>
          <w:fldChar w:fldCharType="begin"/>
        </w:r>
        <w:r>
          <w:rPr>
            <w:webHidden/>
          </w:rPr>
          <w:instrText xml:space="preserve"> PAGEREF _Toc178590238 \h </w:instrText>
        </w:r>
        <w:r>
          <w:rPr>
            <w:webHidden/>
          </w:rPr>
        </w:r>
        <w:r>
          <w:rPr>
            <w:webHidden/>
          </w:rPr>
          <w:fldChar w:fldCharType="separate"/>
        </w:r>
        <w:r>
          <w:rPr>
            <w:webHidden/>
          </w:rPr>
          <w:t>8</w:t>
        </w:r>
        <w:r>
          <w:rPr>
            <w:webHidden/>
          </w:rPr>
          <w:fldChar w:fldCharType="end"/>
        </w:r>
      </w:hyperlink>
    </w:p>
    <w:p w14:paraId="494722E5" w14:textId="7E2ED8C9" w:rsidR="00DE756F" w:rsidRDefault="00DE756F">
      <w:pPr>
        <w:pStyle w:val="TOC3"/>
        <w:rPr>
          <w:rFonts w:asciiTheme="minorHAnsi" w:eastAsiaTheme="minorEastAsia" w:hAnsiTheme="minorHAnsi" w:cstheme="minorBidi"/>
          <w:kern w:val="2"/>
          <w14:ligatures w14:val="standardContextual"/>
        </w:rPr>
      </w:pPr>
      <w:hyperlink w:anchor="_Toc178590239" w:history="1">
        <w:r w:rsidRPr="005E5D30">
          <w:rPr>
            <w:rStyle w:val="Hyperlink"/>
          </w:rPr>
          <w:t>Services need to be occurring more than once a year</w:t>
        </w:r>
        <w:r>
          <w:rPr>
            <w:webHidden/>
          </w:rPr>
          <w:tab/>
        </w:r>
        <w:r>
          <w:rPr>
            <w:webHidden/>
          </w:rPr>
          <w:fldChar w:fldCharType="begin"/>
        </w:r>
        <w:r>
          <w:rPr>
            <w:webHidden/>
          </w:rPr>
          <w:instrText xml:space="preserve"> PAGEREF _Toc178590239 \h </w:instrText>
        </w:r>
        <w:r>
          <w:rPr>
            <w:webHidden/>
          </w:rPr>
        </w:r>
        <w:r>
          <w:rPr>
            <w:webHidden/>
          </w:rPr>
          <w:fldChar w:fldCharType="separate"/>
        </w:r>
        <w:r>
          <w:rPr>
            <w:webHidden/>
          </w:rPr>
          <w:t>8</w:t>
        </w:r>
        <w:r>
          <w:rPr>
            <w:webHidden/>
          </w:rPr>
          <w:fldChar w:fldCharType="end"/>
        </w:r>
      </w:hyperlink>
    </w:p>
    <w:p w14:paraId="491280E9" w14:textId="41E4AF88" w:rsidR="00DE756F" w:rsidRDefault="00DE756F">
      <w:pPr>
        <w:pStyle w:val="TOC3"/>
        <w:rPr>
          <w:rFonts w:asciiTheme="minorHAnsi" w:eastAsiaTheme="minorEastAsia" w:hAnsiTheme="minorHAnsi" w:cstheme="minorBidi"/>
          <w:kern w:val="2"/>
          <w14:ligatures w14:val="standardContextual"/>
        </w:rPr>
      </w:pPr>
      <w:hyperlink w:anchor="_Toc178590240" w:history="1">
        <w:r w:rsidRPr="005E5D30">
          <w:rPr>
            <w:rStyle w:val="Hyperlink"/>
          </w:rPr>
          <w:t>Services must be provided for listeners</w:t>
        </w:r>
        <w:r>
          <w:rPr>
            <w:webHidden/>
          </w:rPr>
          <w:tab/>
        </w:r>
        <w:r>
          <w:rPr>
            <w:webHidden/>
          </w:rPr>
          <w:fldChar w:fldCharType="begin"/>
        </w:r>
        <w:r>
          <w:rPr>
            <w:webHidden/>
          </w:rPr>
          <w:instrText xml:space="preserve"> PAGEREF _Toc178590240 \h </w:instrText>
        </w:r>
        <w:r>
          <w:rPr>
            <w:webHidden/>
          </w:rPr>
        </w:r>
        <w:r>
          <w:rPr>
            <w:webHidden/>
          </w:rPr>
          <w:fldChar w:fldCharType="separate"/>
        </w:r>
        <w:r>
          <w:rPr>
            <w:webHidden/>
          </w:rPr>
          <w:t>8</w:t>
        </w:r>
        <w:r>
          <w:rPr>
            <w:webHidden/>
          </w:rPr>
          <w:fldChar w:fldCharType="end"/>
        </w:r>
      </w:hyperlink>
    </w:p>
    <w:p w14:paraId="65E83CB0" w14:textId="18D85C9D" w:rsidR="00DE756F" w:rsidRDefault="00DE756F">
      <w:pPr>
        <w:pStyle w:val="TOC2"/>
        <w:rPr>
          <w:rFonts w:asciiTheme="minorHAnsi" w:eastAsiaTheme="minorEastAsia" w:hAnsiTheme="minorHAnsi" w:cstheme="minorBidi"/>
          <w:spacing w:val="0"/>
          <w:kern w:val="2"/>
          <w:sz w:val="22"/>
          <w:szCs w:val="22"/>
          <w14:ligatures w14:val="standardContextual"/>
        </w:rPr>
      </w:pPr>
      <w:hyperlink w:anchor="_Toc178590241" w:history="1">
        <w:r w:rsidRPr="005E5D30">
          <w:rPr>
            <w:rStyle w:val="Hyperlink"/>
          </w:rPr>
          <w:t>You must keep service records</w:t>
        </w:r>
        <w:r>
          <w:rPr>
            <w:webHidden/>
          </w:rPr>
          <w:tab/>
        </w:r>
        <w:r>
          <w:rPr>
            <w:webHidden/>
          </w:rPr>
          <w:fldChar w:fldCharType="begin"/>
        </w:r>
        <w:r>
          <w:rPr>
            <w:webHidden/>
          </w:rPr>
          <w:instrText xml:space="preserve"> PAGEREF _Toc178590241 \h </w:instrText>
        </w:r>
        <w:r>
          <w:rPr>
            <w:webHidden/>
          </w:rPr>
        </w:r>
        <w:r>
          <w:rPr>
            <w:webHidden/>
          </w:rPr>
          <w:fldChar w:fldCharType="separate"/>
        </w:r>
        <w:r>
          <w:rPr>
            <w:webHidden/>
          </w:rPr>
          <w:t>9</w:t>
        </w:r>
        <w:r>
          <w:rPr>
            <w:webHidden/>
          </w:rPr>
          <w:fldChar w:fldCharType="end"/>
        </w:r>
      </w:hyperlink>
    </w:p>
    <w:p w14:paraId="196D282C" w14:textId="65A26CF6" w:rsidR="00DE756F" w:rsidRDefault="00DE756F">
      <w:pPr>
        <w:pStyle w:val="TOC1"/>
        <w:rPr>
          <w:rFonts w:asciiTheme="minorHAnsi" w:eastAsiaTheme="minorEastAsia" w:hAnsiTheme="minorHAnsi" w:cstheme="minorBidi"/>
          <w:b w:val="0"/>
          <w:spacing w:val="0"/>
          <w:kern w:val="2"/>
          <w:sz w:val="22"/>
          <w:szCs w:val="22"/>
          <w14:ligatures w14:val="standardContextual"/>
        </w:rPr>
      </w:pPr>
      <w:hyperlink w:anchor="_Toc178590242" w:history="1">
        <w:r w:rsidRPr="005E5D30">
          <w:rPr>
            <w:rStyle w:val="Hyperlink"/>
          </w:rPr>
          <w:t>Other licence conditions: technical characteristics</w:t>
        </w:r>
        <w:r>
          <w:rPr>
            <w:webHidden/>
          </w:rPr>
          <w:tab/>
        </w:r>
        <w:r>
          <w:rPr>
            <w:webHidden/>
          </w:rPr>
          <w:fldChar w:fldCharType="begin"/>
        </w:r>
        <w:r>
          <w:rPr>
            <w:webHidden/>
          </w:rPr>
          <w:instrText xml:space="preserve"> PAGEREF _Toc178590242 \h </w:instrText>
        </w:r>
        <w:r>
          <w:rPr>
            <w:webHidden/>
          </w:rPr>
        </w:r>
        <w:r>
          <w:rPr>
            <w:webHidden/>
          </w:rPr>
          <w:fldChar w:fldCharType="separate"/>
        </w:r>
        <w:r>
          <w:rPr>
            <w:webHidden/>
          </w:rPr>
          <w:t>11</w:t>
        </w:r>
        <w:r>
          <w:rPr>
            <w:webHidden/>
          </w:rPr>
          <w:fldChar w:fldCharType="end"/>
        </w:r>
      </w:hyperlink>
    </w:p>
    <w:p w14:paraId="0BAAD99C" w14:textId="06046A9E" w:rsidR="00DE756F" w:rsidRDefault="00DE756F">
      <w:pPr>
        <w:pStyle w:val="TOC1"/>
        <w:rPr>
          <w:rFonts w:asciiTheme="minorHAnsi" w:eastAsiaTheme="minorEastAsia" w:hAnsiTheme="minorHAnsi" w:cstheme="minorBidi"/>
          <w:b w:val="0"/>
          <w:spacing w:val="0"/>
          <w:kern w:val="2"/>
          <w:sz w:val="22"/>
          <w:szCs w:val="22"/>
          <w14:ligatures w14:val="standardContextual"/>
        </w:rPr>
      </w:pPr>
      <w:hyperlink w:anchor="_Toc178590243" w:history="1">
        <w:r w:rsidRPr="005E5D30">
          <w:rPr>
            <w:rStyle w:val="Hyperlink"/>
          </w:rPr>
          <w:t>Conclusions</w:t>
        </w:r>
        <w:r>
          <w:rPr>
            <w:webHidden/>
          </w:rPr>
          <w:tab/>
        </w:r>
        <w:r>
          <w:rPr>
            <w:webHidden/>
          </w:rPr>
          <w:fldChar w:fldCharType="begin"/>
        </w:r>
        <w:r>
          <w:rPr>
            <w:webHidden/>
          </w:rPr>
          <w:instrText xml:space="preserve"> PAGEREF _Toc178590243 \h </w:instrText>
        </w:r>
        <w:r>
          <w:rPr>
            <w:webHidden/>
          </w:rPr>
        </w:r>
        <w:r>
          <w:rPr>
            <w:webHidden/>
          </w:rPr>
          <w:fldChar w:fldCharType="separate"/>
        </w:r>
        <w:r>
          <w:rPr>
            <w:webHidden/>
          </w:rPr>
          <w:t>12</w:t>
        </w:r>
        <w:r>
          <w:rPr>
            <w:webHidden/>
          </w:rPr>
          <w:fldChar w:fldCharType="end"/>
        </w:r>
      </w:hyperlink>
    </w:p>
    <w:p w14:paraId="346ADCEF" w14:textId="6552DA68" w:rsidR="00DE756F" w:rsidRDefault="00DE756F">
      <w:pPr>
        <w:pStyle w:val="TOC1"/>
        <w:rPr>
          <w:rFonts w:asciiTheme="minorHAnsi" w:eastAsiaTheme="minorEastAsia" w:hAnsiTheme="minorHAnsi" w:cstheme="minorBidi"/>
          <w:b w:val="0"/>
          <w:spacing w:val="0"/>
          <w:kern w:val="2"/>
          <w:sz w:val="22"/>
          <w:szCs w:val="22"/>
          <w14:ligatures w14:val="standardContextual"/>
        </w:rPr>
      </w:pPr>
      <w:hyperlink w:anchor="_Toc178590244" w:history="1">
        <w:r w:rsidRPr="005E5D30">
          <w:rPr>
            <w:rStyle w:val="Hyperlink"/>
          </w:rPr>
          <w:t>More information</w:t>
        </w:r>
        <w:r>
          <w:rPr>
            <w:webHidden/>
          </w:rPr>
          <w:tab/>
        </w:r>
        <w:r>
          <w:rPr>
            <w:webHidden/>
          </w:rPr>
          <w:fldChar w:fldCharType="begin"/>
        </w:r>
        <w:r>
          <w:rPr>
            <w:webHidden/>
          </w:rPr>
          <w:instrText xml:space="preserve"> PAGEREF _Toc178590244 \h </w:instrText>
        </w:r>
        <w:r>
          <w:rPr>
            <w:webHidden/>
          </w:rPr>
        </w:r>
        <w:r>
          <w:rPr>
            <w:webHidden/>
          </w:rPr>
          <w:fldChar w:fldCharType="separate"/>
        </w:r>
        <w:r>
          <w:rPr>
            <w:webHidden/>
          </w:rPr>
          <w:t>13</w:t>
        </w:r>
        <w:r>
          <w:rPr>
            <w:webHidden/>
          </w:rPr>
          <w:fldChar w:fldCharType="end"/>
        </w:r>
      </w:hyperlink>
    </w:p>
    <w:p w14:paraId="02AA9D90" w14:textId="1772CC4C" w:rsidR="00DE756F" w:rsidRDefault="00DE756F">
      <w:pPr>
        <w:pStyle w:val="TOC1"/>
        <w:rPr>
          <w:rFonts w:asciiTheme="minorHAnsi" w:eastAsiaTheme="minorEastAsia" w:hAnsiTheme="minorHAnsi" w:cstheme="minorBidi"/>
          <w:b w:val="0"/>
          <w:spacing w:val="0"/>
          <w:kern w:val="2"/>
          <w:sz w:val="22"/>
          <w:szCs w:val="22"/>
          <w14:ligatures w14:val="standardContextual"/>
        </w:rPr>
      </w:pPr>
      <w:hyperlink w:anchor="_Toc178590245" w:history="1">
        <w:r w:rsidRPr="005E5D30">
          <w:rPr>
            <w:rStyle w:val="Hyperlink"/>
          </w:rPr>
          <w:t>Appendix A</w:t>
        </w:r>
        <w:r>
          <w:rPr>
            <w:webHidden/>
          </w:rPr>
          <w:tab/>
        </w:r>
        <w:r>
          <w:rPr>
            <w:webHidden/>
          </w:rPr>
          <w:fldChar w:fldCharType="begin"/>
        </w:r>
        <w:r>
          <w:rPr>
            <w:webHidden/>
          </w:rPr>
          <w:instrText xml:space="preserve"> PAGEREF _Toc178590245 \h </w:instrText>
        </w:r>
        <w:r>
          <w:rPr>
            <w:webHidden/>
          </w:rPr>
        </w:r>
        <w:r>
          <w:rPr>
            <w:webHidden/>
          </w:rPr>
          <w:fldChar w:fldCharType="separate"/>
        </w:r>
        <w:r>
          <w:rPr>
            <w:webHidden/>
          </w:rPr>
          <w:t>14</w:t>
        </w:r>
        <w:r>
          <w:rPr>
            <w:webHidden/>
          </w:rPr>
          <w:fldChar w:fldCharType="end"/>
        </w:r>
      </w:hyperlink>
    </w:p>
    <w:p w14:paraId="1DF61784" w14:textId="666B3D88" w:rsidR="00354874" w:rsidRPr="000D76E0" w:rsidRDefault="00354874" w:rsidP="00354874">
      <w:pPr>
        <w:rPr>
          <w:rFonts w:cs="Arial"/>
        </w:rPr>
        <w:sectPr w:rsidR="00354874" w:rsidRPr="000D76E0" w:rsidSect="00C77380">
          <w:headerReference w:type="even" r:id="rId18"/>
          <w:headerReference w:type="default" r:id="rId19"/>
          <w:footerReference w:type="even" r:id="rId20"/>
          <w:footerReference w:type="default" r:id="rId21"/>
          <w:footerReference w:type="first" r:id="rId22"/>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1FB05A3E" w14:textId="11DD602B" w:rsidR="00BD1D64" w:rsidRPr="009174F3" w:rsidRDefault="7FAE609D" w:rsidP="005835E5">
      <w:pPr>
        <w:pStyle w:val="Execsummaryheading"/>
      </w:pPr>
      <w:r>
        <w:lastRenderedPageBreak/>
        <w:t xml:space="preserve"> </w:t>
      </w:r>
      <w:bookmarkStart w:id="1" w:name="_Toc178590228"/>
      <w:r>
        <w:t>LPON licen</w:t>
      </w:r>
      <w:r w:rsidR="001238B5">
        <w:t>ce conditions guide</w:t>
      </w:r>
      <w:bookmarkEnd w:id="1"/>
    </w:p>
    <w:p w14:paraId="649B5CD8" w14:textId="0CCC4DE0" w:rsidR="00BD1D64" w:rsidRPr="00F97BF9" w:rsidRDefault="371B990A" w:rsidP="00BD1D64">
      <w:pPr>
        <w:pStyle w:val="Paragraph"/>
      </w:pPr>
      <w:r>
        <w:t xml:space="preserve">If you are a </w:t>
      </w:r>
      <w:r w:rsidR="001238B5">
        <w:t>l</w:t>
      </w:r>
      <w:r w:rsidR="00BD1D64">
        <w:t>ow power open narrowcasting (LPON)</w:t>
      </w:r>
      <w:r w:rsidR="5AE0F376">
        <w:t xml:space="preserve"> licensee, this guide is for you.</w:t>
      </w:r>
    </w:p>
    <w:p w14:paraId="7931BBF5" w14:textId="6F71D190" w:rsidR="00BD1D64" w:rsidRPr="00F97BF9" w:rsidRDefault="5AE0F376" w:rsidP="00BD1D64">
      <w:pPr>
        <w:pStyle w:val="Paragraph"/>
      </w:pPr>
      <w:r>
        <w:t xml:space="preserve">LPON transmitter licences can be used to provide </w:t>
      </w:r>
      <w:r w:rsidR="00BD1D64">
        <w:t xml:space="preserve">niche radio broadcasting services. </w:t>
      </w:r>
      <w:r w:rsidR="00A0F540">
        <w:t xml:space="preserve"> </w:t>
      </w:r>
    </w:p>
    <w:p w14:paraId="51C6F0FC" w14:textId="693851D7" w:rsidR="00BD1D64" w:rsidRPr="00F97BF9" w:rsidRDefault="00A0F540" w:rsidP="00BD1D64">
      <w:pPr>
        <w:pStyle w:val="Paragraph"/>
      </w:pPr>
      <w:r>
        <w:t>LPON transmitter licences allow you</w:t>
      </w:r>
      <w:r w:rsidR="4C27FAE4">
        <w:t xml:space="preserve"> (</w:t>
      </w:r>
      <w:r>
        <w:t>as the licensee</w:t>
      </w:r>
      <w:r w:rsidR="21416A61">
        <w:t>)</w:t>
      </w:r>
      <w:r>
        <w:t xml:space="preserve"> the ability to deliver LPON services </w:t>
      </w:r>
      <w:bookmarkStart w:id="2" w:name="_Hlk164754663"/>
      <w:r w:rsidR="00BD1D64">
        <w:t xml:space="preserve">to specific locations or at certain times, or to be targeted to special interest groups such as tourist information and ethnic and religious programming. </w:t>
      </w:r>
    </w:p>
    <w:p w14:paraId="710E1181" w14:textId="48FF1B79" w:rsidR="00BD1D64" w:rsidRPr="00F97BF9" w:rsidRDefault="001238B5" w:rsidP="00BD1D64">
      <w:pPr>
        <w:pStyle w:val="Paragraph"/>
      </w:pPr>
      <w:r>
        <w:t>We</w:t>
      </w:r>
      <w:r w:rsidR="00BD1D64">
        <w:t xml:space="preserve"> issue LPON</w:t>
      </w:r>
      <w:r w:rsidR="3C9B7EE4">
        <w:t xml:space="preserve"> transmitter</w:t>
      </w:r>
      <w:r w:rsidR="00BD1D64">
        <w:t xml:space="preserve"> licences and regulate them to ensure compliance with licence conditions.</w:t>
      </w:r>
    </w:p>
    <w:bookmarkEnd w:id="2"/>
    <w:p w14:paraId="43C27135" w14:textId="6FD84672" w:rsidR="00BD1D64" w:rsidRDefault="00BD1D64" w:rsidP="00BD1D64">
      <w:pPr>
        <w:pStyle w:val="Paragraphbeforelist"/>
        <w:spacing w:before="240"/>
      </w:pPr>
      <w:r>
        <w:t xml:space="preserve">LPON licence conditions are set out in the </w:t>
      </w:r>
      <w:hyperlink r:id="rId23">
        <w:r w:rsidRPr="005835E5">
          <w:rPr>
            <w:rStyle w:val="Hyperlink"/>
          </w:rPr>
          <w:t>Radiocommunications Licence Conditions (Broadcasting Licence) Determination 2015</w:t>
        </w:r>
      </w:hyperlink>
      <w:r>
        <w:t xml:space="preserve"> (LPON </w:t>
      </w:r>
      <w:bookmarkStart w:id="3" w:name="_Int_TAfcpKb4"/>
      <w:r>
        <w:t>LCD</w:t>
      </w:r>
      <w:bookmarkEnd w:id="3"/>
      <w:r w:rsidR="1088CF4E">
        <w:t>)</w:t>
      </w:r>
      <w:r w:rsidR="001238B5">
        <w:t xml:space="preserve">. Other </w:t>
      </w:r>
      <w:r>
        <w:t>conditions</w:t>
      </w:r>
      <w:r w:rsidR="005D706B">
        <w:t xml:space="preserve"> </w:t>
      </w:r>
      <w:r w:rsidR="61863082">
        <w:t xml:space="preserve">may be </w:t>
      </w:r>
      <w:r w:rsidR="005D706B">
        <w:t>attached to</w:t>
      </w:r>
      <w:r>
        <w:t xml:space="preserve"> the licence.</w:t>
      </w:r>
    </w:p>
    <w:p w14:paraId="1764E791" w14:textId="05440E98" w:rsidR="00BD1D64" w:rsidRPr="0069609E" w:rsidRDefault="00BD1D64" w:rsidP="00BD1D64">
      <w:pPr>
        <w:pStyle w:val="Heading2"/>
      </w:pPr>
      <w:bookmarkStart w:id="4" w:name="_Toc51266045"/>
      <w:bookmarkStart w:id="5" w:name="_Toc178590229"/>
      <w:r>
        <w:t>Why is</w:t>
      </w:r>
      <w:r w:rsidR="15B16CE2">
        <w:t xml:space="preserve"> understanding licence conditions</w:t>
      </w:r>
      <w:r>
        <w:t xml:space="preserve"> important?</w:t>
      </w:r>
      <w:bookmarkEnd w:id="4"/>
      <w:bookmarkEnd w:id="5"/>
    </w:p>
    <w:p w14:paraId="15146418" w14:textId="3C991EEE" w:rsidR="00BD1D64" w:rsidRDefault="00BD1D64" w:rsidP="00BD1D64">
      <w:pPr>
        <w:pStyle w:val="Paragraph"/>
      </w:pPr>
      <w:bookmarkStart w:id="6" w:name="_Hlk51665644"/>
      <w:r>
        <w:t xml:space="preserve">Breaching licence conditions can result in the ACMA undertaking compliance and enforcement activities </w:t>
      </w:r>
      <w:r w:rsidR="76A9A29B">
        <w:t xml:space="preserve">against you as licensee. This can include </w:t>
      </w:r>
      <w:r>
        <w:t>warning notices, fines, licence cancellation and court proceedings.</w:t>
      </w:r>
      <w:r w:rsidR="5B30102F">
        <w:t xml:space="preserve"> To avoid this, it’s important that you operate your transmitter in compliance with its licence conditions. This guide explains </w:t>
      </w:r>
      <w:r w:rsidR="22F6D26F">
        <w:t>some key things that you</w:t>
      </w:r>
      <w:r w:rsidR="5B30102F">
        <w:t xml:space="preserve"> need to know. </w:t>
      </w:r>
    </w:p>
    <w:p w14:paraId="4A50ABF5" w14:textId="4595D141" w:rsidR="00BD1D64" w:rsidRDefault="00BD1D64">
      <w:pPr>
        <w:pStyle w:val="Heading1"/>
      </w:pPr>
      <w:bookmarkStart w:id="7" w:name="_Toc178590230"/>
      <w:bookmarkEnd w:id="6"/>
      <w:r>
        <w:lastRenderedPageBreak/>
        <w:t xml:space="preserve">About this </w:t>
      </w:r>
      <w:r w:rsidR="1909CA57">
        <w:t>guide</w:t>
      </w:r>
      <w:bookmarkEnd w:id="7"/>
    </w:p>
    <w:p w14:paraId="13E1BB89" w14:textId="14B55EF5" w:rsidR="00BD1D64" w:rsidRDefault="00BD1D64" w:rsidP="00BD1D64">
      <w:pPr>
        <w:pStyle w:val="Paragraph"/>
      </w:pPr>
      <w:r>
        <w:t xml:space="preserve">This </w:t>
      </w:r>
      <w:r w:rsidR="1D89572D">
        <w:t>guide</w:t>
      </w:r>
      <w:r>
        <w:t xml:space="preserve"> has been developed and published following the completion of </w:t>
      </w:r>
      <w:r w:rsidR="006072CF">
        <w:t xml:space="preserve">3 </w:t>
      </w:r>
      <w:r>
        <w:t>years of LPON audit programs by ACMA staff. Through the audits</w:t>
      </w:r>
      <w:r w:rsidR="006072CF">
        <w:t>,</w:t>
      </w:r>
      <w:r>
        <w:t xml:space="preserve"> we have identified </w:t>
      </w:r>
      <w:bookmarkStart w:id="8" w:name="_Int_fjDy2CLX"/>
      <w:proofErr w:type="gramStart"/>
      <w:r>
        <w:t>a number of</w:t>
      </w:r>
      <w:bookmarkEnd w:id="8"/>
      <w:proofErr w:type="gramEnd"/>
      <w:r>
        <w:t xml:space="preserve"> common compliance issues and licence condition misunderstandings</w:t>
      </w:r>
      <w:r w:rsidR="77EC60C7">
        <w:t xml:space="preserve"> among </w:t>
      </w:r>
      <w:r w:rsidR="001238B5">
        <w:br/>
      </w:r>
      <w:r w:rsidR="77EC60C7">
        <w:t>LPON licensees</w:t>
      </w:r>
      <w:r>
        <w:t>.</w:t>
      </w:r>
    </w:p>
    <w:p w14:paraId="55E42EF7" w14:textId="3B8F976A" w:rsidR="00BD1D64" w:rsidRDefault="00BD1D64" w:rsidP="00BD1D64">
      <w:pPr>
        <w:pStyle w:val="Paragraphbeforelist"/>
      </w:pPr>
      <w:r>
        <w:t xml:space="preserve">This </w:t>
      </w:r>
      <w:r w:rsidR="522B0F68">
        <w:t>guide</w:t>
      </w:r>
      <w:r>
        <w:t xml:space="preserve"> </w:t>
      </w:r>
      <w:r w:rsidR="006072CF">
        <w:t>should</w:t>
      </w:r>
      <w:r>
        <w:t xml:space="preserve"> assist </w:t>
      </w:r>
      <w:r w:rsidR="28EB7507">
        <w:t xml:space="preserve">you as a </w:t>
      </w:r>
      <w:r>
        <w:t xml:space="preserve">LPON licensee to better understand </w:t>
      </w:r>
      <w:r w:rsidR="753817F8">
        <w:t>your obligations</w:t>
      </w:r>
      <w:r>
        <w:t xml:space="preserve"> about record keeping, </w:t>
      </w:r>
      <w:r w:rsidR="319FD682">
        <w:t xml:space="preserve">operating </w:t>
      </w:r>
      <w:r w:rsidR="69E1ABC8">
        <w:t>your</w:t>
      </w:r>
      <w:r w:rsidR="319FD682">
        <w:t xml:space="preserve"> transmitter with </w:t>
      </w:r>
      <w:r>
        <w:t xml:space="preserve">reasonable regularity, commencement of a service, service </w:t>
      </w:r>
      <w:bookmarkStart w:id="9" w:name="_Int_vw8gmUY8"/>
      <w:r>
        <w:t>location and power</w:t>
      </w:r>
      <w:bookmarkEnd w:id="9"/>
      <w:r>
        <w:t xml:space="preserve"> and coverage.</w:t>
      </w:r>
    </w:p>
    <w:p w14:paraId="2DEA9C6A" w14:textId="77777777" w:rsidR="00BD1D64" w:rsidRPr="001A0E3B" w:rsidRDefault="00BD1D64" w:rsidP="00BD1D64">
      <w:pPr>
        <w:pStyle w:val="Heading2"/>
      </w:pPr>
      <w:bookmarkStart w:id="10" w:name="_Toc178590231"/>
      <w:r w:rsidRPr="001A0E3B">
        <w:t>Important note</w:t>
      </w:r>
      <w:bookmarkEnd w:id="10"/>
    </w:p>
    <w:p w14:paraId="1C7F4A74" w14:textId="0F20C800" w:rsidR="00BD1D64" w:rsidRDefault="00BD1D64" w:rsidP="00BD1D64">
      <w:pPr>
        <w:pStyle w:val="Paragraph"/>
      </w:pPr>
      <w:r>
        <w:t>The information contained in this paper is provided as a guide for LPON licensees</w:t>
      </w:r>
      <w:r w:rsidR="006072CF">
        <w:t xml:space="preserve">. It </w:t>
      </w:r>
      <w:r>
        <w:t>should not be relied on as the only source of information,</w:t>
      </w:r>
      <w:r w:rsidRPr="00B57E47">
        <w:t xml:space="preserve"> </w:t>
      </w:r>
      <w:r>
        <w:t>nor does it constitute legal advice. Compliance examples provided in this paper are not prescriptive</w:t>
      </w:r>
      <w:r w:rsidR="006072CF">
        <w:t>;</w:t>
      </w:r>
      <w:r>
        <w:t xml:space="preserve"> rather</w:t>
      </w:r>
      <w:r w:rsidR="006072CF">
        <w:t>,</w:t>
      </w:r>
      <w:r>
        <w:t xml:space="preserve"> they are intended to assist licensees in understanding how to comply with their obligations. </w:t>
      </w:r>
    </w:p>
    <w:p w14:paraId="5A58039B" w14:textId="77777777" w:rsidR="00BD1D64" w:rsidRDefault="00BD1D64" w:rsidP="00BD1D64">
      <w:pPr>
        <w:pStyle w:val="Paragraphbeforelist"/>
      </w:pPr>
      <w:r>
        <w:t>LPON licences are subject to regulatory provisions in the following legislation:</w:t>
      </w:r>
    </w:p>
    <w:p w14:paraId="7D8F2560" w14:textId="77777777" w:rsidR="00BD1D64" w:rsidRPr="00AF6924" w:rsidRDefault="00767413" w:rsidP="00F460A5">
      <w:pPr>
        <w:pStyle w:val="Bulletlevel1"/>
        <w:rPr>
          <w:i/>
          <w:iCs/>
        </w:rPr>
      </w:pPr>
      <w:hyperlink r:id="rId24" w:history="1">
        <w:r w:rsidR="00BD1D64" w:rsidRPr="00AF6924">
          <w:rPr>
            <w:rStyle w:val="Hyperlink"/>
            <w:i/>
            <w:iCs/>
          </w:rPr>
          <w:t>Broadcasting Services Act 1992</w:t>
        </w:r>
      </w:hyperlink>
      <w:r w:rsidR="00BD1D64" w:rsidRPr="00AF6924">
        <w:rPr>
          <w:i/>
          <w:iCs/>
        </w:rPr>
        <w:t xml:space="preserve"> </w:t>
      </w:r>
    </w:p>
    <w:p w14:paraId="7799CC6E" w14:textId="77777777" w:rsidR="00BD1D64" w:rsidRPr="00AF6924" w:rsidRDefault="00767413" w:rsidP="00F460A5">
      <w:pPr>
        <w:pStyle w:val="Bulletlevel1"/>
        <w:rPr>
          <w:i/>
          <w:iCs/>
        </w:rPr>
      </w:pPr>
      <w:hyperlink r:id="rId25" w:history="1">
        <w:r w:rsidR="00BD1D64" w:rsidRPr="00AF6924">
          <w:rPr>
            <w:rStyle w:val="Hyperlink"/>
            <w:i/>
            <w:iCs/>
          </w:rPr>
          <w:t>Radiocommunications Act 1992</w:t>
        </w:r>
      </w:hyperlink>
    </w:p>
    <w:p w14:paraId="6244A234" w14:textId="77777777" w:rsidR="00BD1D64" w:rsidRPr="00CE2493" w:rsidRDefault="00767413" w:rsidP="00F460A5">
      <w:pPr>
        <w:pStyle w:val="Bulletlevel1"/>
        <w:rPr>
          <w:rStyle w:val="Hyperlink"/>
          <w:color w:val="auto"/>
          <w:u w:val="none"/>
        </w:rPr>
      </w:pPr>
      <w:hyperlink r:id="rId26" w:history="1">
        <w:r w:rsidR="00BD1D64" w:rsidRPr="003077E5">
          <w:rPr>
            <w:rStyle w:val="Hyperlink"/>
          </w:rPr>
          <w:t>Australian Communications Authority (LPON Transmitter Licences) Direction No. 2 of 2000</w:t>
        </w:r>
      </w:hyperlink>
    </w:p>
    <w:p w14:paraId="343B5512" w14:textId="5603EE22" w:rsidR="00BD1D64" w:rsidRPr="003077E5" w:rsidRDefault="00767413" w:rsidP="00F460A5">
      <w:pPr>
        <w:pStyle w:val="Bulletlevel1last"/>
      </w:pPr>
      <w:hyperlink r:id="rId27" w:history="1">
        <w:r w:rsidR="00CE2493" w:rsidRPr="00CE2493">
          <w:rPr>
            <w:rStyle w:val="Hyperlink"/>
          </w:rPr>
          <w:t>Radiocommunications Licence Conditions (Broadcasting Licence) Determination 2015</w:t>
        </w:r>
      </w:hyperlink>
      <w:r w:rsidR="00CE2493" w:rsidRPr="00CE2493">
        <w:rPr>
          <w:rStyle w:val="Hyperlink"/>
          <w:color w:val="auto"/>
          <w:u w:val="none"/>
        </w:rPr>
        <w:t>.</w:t>
      </w:r>
    </w:p>
    <w:p w14:paraId="633B697B" w14:textId="1C124997" w:rsidR="00BD1D64" w:rsidRDefault="00BD1D64" w:rsidP="00BD1D64">
      <w:pPr>
        <w:pStyle w:val="Paragraph"/>
      </w:pPr>
      <w:r>
        <w:t>Other helpful links are also given in the</w:t>
      </w:r>
      <w:r w:rsidR="00CF77AF">
        <w:t xml:space="preserve"> </w:t>
      </w:r>
      <w:hyperlink w:anchor="_More_information" w:history="1">
        <w:r w:rsidR="00CF77AF" w:rsidRPr="00CF77AF">
          <w:rPr>
            <w:rStyle w:val="Hyperlink"/>
          </w:rPr>
          <w:t>More information</w:t>
        </w:r>
      </w:hyperlink>
      <w:r>
        <w:t xml:space="preserve"> section of this paper.</w:t>
      </w:r>
    </w:p>
    <w:p w14:paraId="794A7AA2" w14:textId="77777777" w:rsidR="00BD1D64" w:rsidRDefault="00BD1D64" w:rsidP="00BD1D64">
      <w:pPr>
        <w:pStyle w:val="Paragraph"/>
      </w:pPr>
    </w:p>
    <w:p w14:paraId="394F88B8" w14:textId="77777777" w:rsidR="00BD1D64" w:rsidRDefault="00BD1D64" w:rsidP="00BD1D64">
      <w:pPr>
        <w:pStyle w:val="Paragraph"/>
      </w:pPr>
    </w:p>
    <w:p w14:paraId="3B3CDC07" w14:textId="77777777" w:rsidR="00BD1D64" w:rsidRDefault="00BD1D64" w:rsidP="00BD1D64">
      <w:pPr>
        <w:pStyle w:val="Paragraph"/>
      </w:pPr>
    </w:p>
    <w:p w14:paraId="28D1C293" w14:textId="77777777" w:rsidR="00BD1D64" w:rsidRDefault="00BD1D64" w:rsidP="00BD1D64">
      <w:pPr>
        <w:pStyle w:val="Paragraph"/>
      </w:pPr>
    </w:p>
    <w:p w14:paraId="12224690" w14:textId="77777777" w:rsidR="00BD1D64" w:rsidRDefault="00BD1D64" w:rsidP="00BD1D64">
      <w:pPr>
        <w:pStyle w:val="Paragraph"/>
      </w:pPr>
    </w:p>
    <w:p w14:paraId="47F9CEE4" w14:textId="77777777" w:rsidR="00BD1D64" w:rsidRDefault="00BD1D64" w:rsidP="00BD1D64">
      <w:pPr>
        <w:pStyle w:val="Paragraph"/>
      </w:pPr>
    </w:p>
    <w:p w14:paraId="5582CCBB" w14:textId="77777777" w:rsidR="00BD1D64" w:rsidRDefault="00BD1D64" w:rsidP="00BD1D64">
      <w:pPr>
        <w:pStyle w:val="Paragraph"/>
      </w:pPr>
    </w:p>
    <w:p w14:paraId="15F4FBDA" w14:textId="77777777" w:rsidR="00BD1D64" w:rsidRDefault="00BD1D64" w:rsidP="00BD1D64">
      <w:pPr>
        <w:pStyle w:val="Paragraph"/>
      </w:pPr>
    </w:p>
    <w:p w14:paraId="726E8C78" w14:textId="77777777" w:rsidR="00BD1D64" w:rsidRDefault="00BD1D64" w:rsidP="00BD1D64">
      <w:pPr>
        <w:pStyle w:val="Paragraph"/>
      </w:pPr>
    </w:p>
    <w:p w14:paraId="160FD33A" w14:textId="77777777" w:rsidR="00BD1D64" w:rsidRDefault="00BD1D64" w:rsidP="00BD1D64">
      <w:pPr>
        <w:pStyle w:val="Heading1"/>
      </w:pPr>
      <w:bookmarkStart w:id="11" w:name="_Toc178590232"/>
      <w:r>
        <w:lastRenderedPageBreak/>
        <w:t>Introduction</w:t>
      </w:r>
      <w:bookmarkEnd w:id="11"/>
    </w:p>
    <w:p w14:paraId="782726D1" w14:textId="1A1F3EBE" w:rsidR="00BD1D64" w:rsidRDefault="76E061C9" w:rsidP="00BD1D64">
      <w:pPr>
        <w:pStyle w:val="Paragraphbeforelist"/>
      </w:pPr>
      <w:r>
        <w:t xml:space="preserve">Transmitters used to provide </w:t>
      </w:r>
      <w:r w:rsidR="001238B5">
        <w:t>l</w:t>
      </w:r>
      <w:r w:rsidR="00BD1D64">
        <w:t xml:space="preserve">ow </w:t>
      </w:r>
      <w:r w:rsidR="001238B5">
        <w:t>p</w:t>
      </w:r>
      <w:r w:rsidR="00BD1D64">
        <w:t xml:space="preserve">ower </w:t>
      </w:r>
      <w:r w:rsidR="001238B5">
        <w:t>o</w:t>
      </w:r>
      <w:r w:rsidR="00BD1D64">
        <w:t xml:space="preserve">pen </w:t>
      </w:r>
      <w:r w:rsidR="001238B5">
        <w:t>n</w:t>
      </w:r>
      <w:r w:rsidR="00BD1D64">
        <w:t>arrowcast</w:t>
      </w:r>
      <w:r w:rsidR="001238B5">
        <w:t>ing</w:t>
      </w:r>
      <w:r w:rsidR="00BD1D64">
        <w:t xml:space="preserve"> (LPON) services are subject to a range of </w:t>
      </w:r>
      <w:hyperlink r:id="rId28">
        <w:r w:rsidR="00BD1D64" w:rsidRPr="005835E5">
          <w:rPr>
            <w:rStyle w:val="Hyperlink"/>
          </w:rPr>
          <w:t>licence conditions</w:t>
        </w:r>
      </w:hyperlink>
      <w:r w:rsidR="00BD1D64">
        <w:t>, including:</w:t>
      </w:r>
    </w:p>
    <w:p w14:paraId="11091C76" w14:textId="0DC75B77" w:rsidR="00BD1D64" w:rsidRDefault="00BD1D64" w:rsidP="00F460A5">
      <w:pPr>
        <w:pStyle w:val="Bulletlevel1"/>
      </w:pPr>
      <w:r>
        <w:t>exclusion zones</w:t>
      </w:r>
    </w:p>
    <w:p w14:paraId="25958A26" w14:textId="36D2F0BA" w:rsidR="00BD1D64" w:rsidRDefault="00BD1D64" w:rsidP="00F460A5">
      <w:pPr>
        <w:pStyle w:val="Bulletlevel1"/>
      </w:pPr>
      <w:r>
        <w:t xml:space="preserve">power and coverage limitations </w:t>
      </w:r>
    </w:p>
    <w:p w14:paraId="74E19EE1" w14:textId="4EF0FD74" w:rsidR="00BD1D64" w:rsidRDefault="00BD1D64" w:rsidP="00F460A5">
      <w:pPr>
        <w:pStyle w:val="Bulletlevel1"/>
      </w:pPr>
      <w:r>
        <w:t>limited protection from interference</w:t>
      </w:r>
    </w:p>
    <w:p w14:paraId="0E991E18" w14:textId="7D1509A1" w:rsidR="00BD1D64" w:rsidRDefault="00BD1D64" w:rsidP="00F460A5">
      <w:pPr>
        <w:pStyle w:val="Bulletlevel1"/>
      </w:pPr>
      <w:r>
        <w:t>no security of tenure</w:t>
      </w:r>
    </w:p>
    <w:p w14:paraId="2324380A" w14:textId="52400A94" w:rsidR="00BD1D64" w:rsidRDefault="00BD1D64" w:rsidP="00F460A5">
      <w:pPr>
        <w:pStyle w:val="Bulletlevel1"/>
      </w:pPr>
      <w:r>
        <w:t xml:space="preserve">minimum separation distance requirements </w:t>
      </w:r>
    </w:p>
    <w:p w14:paraId="3F86AFC0" w14:textId="1C9A35BD" w:rsidR="00BD1D64" w:rsidRDefault="00BD1D64" w:rsidP="00F460A5">
      <w:pPr>
        <w:pStyle w:val="Bulletlevel1"/>
      </w:pPr>
      <w:r>
        <w:t xml:space="preserve">not being operated as a community or commercial radio broadcasting service </w:t>
      </w:r>
    </w:p>
    <w:p w14:paraId="2D11239B" w14:textId="77777777" w:rsidR="00BD1D64" w:rsidRDefault="00BD1D64" w:rsidP="00F460A5">
      <w:pPr>
        <w:pStyle w:val="Bulletlevel1last"/>
      </w:pPr>
      <w:r>
        <w:t>use it or lose it requirements (UIOLI).</w:t>
      </w:r>
    </w:p>
    <w:p w14:paraId="7555064C" w14:textId="10A275FD" w:rsidR="00BD1D64" w:rsidRDefault="00BD1D64" w:rsidP="00BD1D64">
      <w:pPr>
        <w:pStyle w:val="Paragraph"/>
      </w:pPr>
      <w:r>
        <w:t>The guide</w:t>
      </w:r>
      <w:r w:rsidR="799F50F0">
        <w:t xml:space="preserve"> aims to</w:t>
      </w:r>
      <w:r>
        <w:t xml:space="preserve"> assist</w:t>
      </w:r>
      <w:r w:rsidR="7B0F77BD">
        <w:t xml:space="preserve"> LPON</w:t>
      </w:r>
      <w:r>
        <w:t xml:space="preserve"> licensees</w:t>
      </w:r>
      <w:r w:rsidR="70E2291F">
        <w:t xml:space="preserve"> by</w:t>
      </w:r>
      <w:r>
        <w:t xml:space="preserve"> increasing regulatory awareness and</w:t>
      </w:r>
      <w:r w:rsidR="62A9CACD">
        <w:t xml:space="preserve"> explaining</w:t>
      </w:r>
      <w:r>
        <w:t xml:space="preserve"> how to meet</w:t>
      </w:r>
      <w:r w:rsidR="7286D905">
        <w:t xml:space="preserve"> your</w:t>
      </w:r>
      <w:r>
        <w:t xml:space="preserve"> obligations as an LPON licensee.</w:t>
      </w:r>
    </w:p>
    <w:p w14:paraId="1802A3F2" w14:textId="77777777" w:rsidR="004D6017" w:rsidRDefault="00BD1D64" w:rsidP="00BD1D64">
      <w:pPr>
        <w:pStyle w:val="Paragraph"/>
      </w:pPr>
      <w:r>
        <w:t xml:space="preserve">The guide focuses on the conditions contained in the </w:t>
      </w:r>
      <w:hyperlink r:id="rId29">
        <w:r w:rsidRPr="61DFC356">
          <w:rPr>
            <w:rStyle w:val="Hyperlink"/>
          </w:rPr>
          <w:t>Radiocommunications Licence Conditions (Broadcasting Licence) Determination 2015</w:t>
        </w:r>
      </w:hyperlink>
      <w:r>
        <w:t xml:space="preserve"> and the </w:t>
      </w:r>
      <w:hyperlink r:id="rId30" w:history="1">
        <w:r w:rsidR="004D6017" w:rsidRPr="004D6017">
          <w:rPr>
            <w:rStyle w:val="Hyperlink"/>
          </w:rPr>
          <w:t>Australian Communications Authority (LPON Transmitter Licences) Direction No. 2 of 2000</w:t>
        </w:r>
      </w:hyperlink>
      <w:r w:rsidR="004D6017">
        <w:t>.</w:t>
      </w:r>
    </w:p>
    <w:p w14:paraId="59DF87FF" w14:textId="16B5846E" w:rsidR="00BD1D64" w:rsidRDefault="004D6017" w:rsidP="00BD1D64">
      <w:pPr>
        <w:pStyle w:val="Paragraph"/>
      </w:pPr>
      <w:r>
        <w:t xml:space="preserve">It is not intended to provide guidance in relation to compliance with the </w:t>
      </w:r>
      <w:hyperlink r:id="rId31" w:history="1">
        <w:r w:rsidRPr="00F460A5">
          <w:rPr>
            <w:rStyle w:val="Hyperlink"/>
            <w:i/>
            <w:iCs/>
          </w:rPr>
          <w:t>Broadcasting Services Act 1992</w:t>
        </w:r>
      </w:hyperlink>
      <w:r>
        <w:t xml:space="preserve">. </w:t>
      </w:r>
    </w:p>
    <w:p w14:paraId="6F711B2C" w14:textId="0F433B72" w:rsidR="00BD1D64" w:rsidRDefault="06D2416A" w:rsidP="00F460A5">
      <w:pPr>
        <w:pStyle w:val="Paragraphbeforelist"/>
      </w:pPr>
      <w:proofErr w:type="gramStart"/>
      <w:r>
        <w:t>In the course of</w:t>
      </w:r>
      <w:proofErr w:type="gramEnd"/>
      <w:r>
        <w:t xml:space="preserve"> recent audits conducted by the ACMA, </w:t>
      </w:r>
      <w:r w:rsidR="00BD1D64">
        <w:t xml:space="preserve">identified compliance </w:t>
      </w:r>
      <w:r w:rsidR="001238B5">
        <w:br/>
      </w:r>
      <w:r w:rsidR="00BD1D64">
        <w:t>concerns include</w:t>
      </w:r>
      <w:r w:rsidR="1AAC82FD">
        <w:t>d</w:t>
      </w:r>
      <w:r w:rsidR="00BD1D64">
        <w:t>:</w:t>
      </w:r>
    </w:p>
    <w:p w14:paraId="612C6982" w14:textId="77B406B3" w:rsidR="00BD1D64" w:rsidRDefault="004D6017" w:rsidP="00F460A5">
      <w:pPr>
        <w:pStyle w:val="Bulletlevel1"/>
      </w:pPr>
      <w:r>
        <w:t>t</w:t>
      </w:r>
      <w:r w:rsidR="00BD1D64">
        <w:t>ransmitter power levels</w:t>
      </w:r>
    </w:p>
    <w:p w14:paraId="7FD88A3F" w14:textId="1D3EE74B" w:rsidR="00BD1D64" w:rsidRDefault="004D6017" w:rsidP="00F460A5">
      <w:pPr>
        <w:pStyle w:val="Bulletlevel1"/>
      </w:pPr>
      <w:r>
        <w:t>f</w:t>
      </w:r>
      <w:r w:rsidR="00BD1D64">
        <w:t>ield strength limitations</w:t>
      </w:r>
    </w:p>
    <w:p w14:paraId="313C93EA" w14:textId="0649DB0E" w:rsidR="00BD1D64" w:rsidRDefault="004D6017" w:rsidP="00F460A5">
      <w:pPr>
        <w:pStyle w:val="Bulletlevel1"/>
      </w:pPr>
      <w:r>
        <w:t>t</w:t>
      </w:r>
      <w:r w:rsidR="00BD1D64">
        <w:t>he requirements and form of a logbook (part of the UIOLI requirements)</w:t>
      </w:r>
    </w:p>
    <w:p w14:paraId="7C0349C0" w14:textId="1C2ACAA0" w:rsidR="00BD1D64" w:rsidRDefault="004D6017" w:rsidP="00F460A5">
      <w:pPr>
        <w:pStyle w:val="Bulletlevel1"/>
      </w:pPr>
      <w:r>
        <w:t>t</w:t>
      </w:r>
      <w:r w:rsidR="00BD1D64">
        <w:t>he commencement and regularity of service (</w:t>
      </w:r>
      <w:r>
        <w:t>as above</w:t>
      </w:r>
      <w:r w:rsidR="00BD1D64">
        <w:t>)</w:t>
      </w:r>
    </w:p>
    <w:p w14:paraId="25315179" w14:textId="3FCCFD6E" w:rsidR="00BD1D64" w:rsidRDefault="001238B5" w:rsidP="001238B5">
      <w:pPr>
        <w:pStyle w:val="Bulletlevel1last"/>
      </w:pPr>
      <w:r>
        <w:t>t</w:t>
      </w:r>
      <w:r w:rsidR="00BD1D64">
        <w:t>he location of the transmitter and other technical characteristics</w:t>
      </w:r>
      <w:r w:rsidR="004D6017">
        <w:t>.</w:t>
      </w:r>
    </w:p>
    <w:p w14:paraId="17DE46AF" w14:textId="161BA79D" w:rsidR="00BD1D64" w:rsidRDefault="00BD1D64" w:rsidP="004D6017">
      <w:pPr>
        <w:pStyle w:val="Paragraph"/>
      </w:pPr>
      <w:r>
        <w:t>These requirements ensure that services are provided to the public under LPON licences, risks of interference are mitigated and that licences are used for intended purposes. This supports the primary object</w:t>
      </w:r>
      <w:r w:rsidR="00075C71">
        <w:t>s</w:t>
      </w:r>
      <w:r>
        <w:t xml:space="preserve"> of the </w:t>
      </w:r>
      <w:hyperlink r:id="rId32" w:history="1">
        <w:r>
          <w:rPr>
            <w:rStyle w:val="Hyperlink"/>
            <w:i/>
            <w:iCs/>
          </w:rPr>
          <w:t>Radiocommunications</w:t>
        </w:r>
      </w:hyperlink>
      <w:r>
        <w:rPr>
          <w:rStyle w:val="Hyperlink"/>
          <w:i/>
          <w:iCs/>
        </w:rPr>
        <w:t xml:space="preserve"> Act 1992</w:t>
      </w:r>
      <w:r>
        <w:rPr>
          <w:i/>
          <w:iCs/>
        </w:rPr>
        <w:t>,</w:t>
      </w:r>
      <w:r>
        <w:t xml:space="preserve"> one of which is to maximise the overall public benefit derived from using the radiofrequency spectrum by ensuring the efficient allocation and use of the spectrum.</w:t>
      </w:r>
    </w:p>
    <w:p w14:paraId="454A67F0" w14:textId="5BA14E52" w:rsidR="00BD1D64" w:rsidRDefault="00075C71" w:rsidP="00BD1D64">
      <w:pPr>
        <w:pStyle w:val="Paragraph"/>
      </w:pPr>
      <w:r>
        <w:t>You can find t</w:t>
      </w:r>
      <w:r w:rsidR="00BD1D64">
        <w:t xml:space="preserve">he relevant provisions in the Radiocommunications Licence Conditions (Broadcasting Licence) Determination 2015 and the </w:t>
      </w:r>
      <w:r w:rsidR="00BD1D64" w:rsidRPr="003A6295">
        <w:rPr>
          <w:u w:color="0000FF"/>
        </w:rPr>
        <w:t xml:space="preserve">Australian Communications Authority (LPON Transmitter Licences) Direction No. 2 of </w:t>
      </w:r>
      <w:r w:rsidR="00BD1D64" w:rsidRPr="00181C34">
        <w:rPr>
          <w:u w:color="0000FF"/>
        </w:rPr>
        <w:t>2000</w:t>
      </w:r>
      <w:r w:rsidR="00BD1D64" w:rsidRPr="006330A1">
        <w:rPr>
          <w:u w:color="0000FF"/>
        </w:rPr>
        <w:t xml:space="preserve"> </w:t>
      </w:r>
      <w:r w:rsidR="00BD1D64">
        <w:t xml:space="preserve">in </w:t>
      </w:r>
      <w:hyperlink w:anchor="_Appendix_A" w:history="1">
        <w:r w:rsidR="00BD1D64" w:rsidRPr="00075C71">
          <w:rPr>
            <w:rStyle w:val="Hyperlink"/>
          </w:rPr>
          <w:t>Appendix A</w:t>
        </w:r>
      </w:hyperlink>
      <w:r w:rsidR="00BD1D64">
        <w:t>.</w:t>
      </w:r>
    </w:p>
    <w:p w14:paraId="52823D26" w14:textId="77777777" w:rsidR="00BD1D64" w:rsidRPr="00F97BF9" w:rsidRDefault="00BD1D64" w:rsidP="00BD1D64">
      <w:pPr>
        <w:pStyle w:val="Heading2"/>
      </w:pPr>
      <w:bookmarkStart w:id="12" w:name="_Toc51266048"/>
      <w:bookmarkStart w:id="13" w:name="_Toc178590233"/>
      <w:r w:rsidRPr="00F97BF9">
        <w:t xml:space="preserve">LPON </w:t>
      </w:r>
      <w:r>
        <w:t>c</w:t>
      </w:r>
      <w:r w:rsidRPr="00F97BF9">
        <w:t>ompliance</w:t>
      </w:r>
      <w:bookmarkEnd w:id="12"/>
      <w:bookmarkEnd w:id="13"/>
    </w:p>
    <w:p w14:paraId="6970C846" w14:textId="6879F295" w:rsidR="00BD1D64" w:rsidRPr="00EC2282" w:rsidRDefault="00075C71" w:rsidP="00BD1D64">
      <w:pPr>
        <w:pStyle w:val="Paragraphbeforelist"/>
      </w:pPr>
      <w:r>
        <w:t>We</w:t>
      </w:r>
      <w:r w:rsidR="00BD1D64" w:rsidRPr="00EC2282">
        <w:t xml:space="preserve"> may investigate when: </w:t>
      </w:r>
    </w:p>
    <w:p w14:paraId="26C00DBB" w14:textId="263CD1E7" w:rsidR="00BD1D64" w:rsidRPr="00EC2282" w:rsidRDefault="00BD1D64" w:rsidP="00F460A5">
      <w:pPr>
        <w:pStyle w:val="Bulletlevel1"/>
      </w:pPr>
      <w:r>
        <w:t>we become aware a licensee may be in breach of a licence condition</w:t>
      </w:r>
    </w:p>
    <w:p w14:paraId="30DB92C8" w14:textId="0286EA08" w:rsidR="00BD1D64" w:rsidRDefault="00BD1D64" w:rsidP="00F460A5">
      <w:pPr>
        <w:pStyle w:val="Bulletlevel1"/>
      </w:pPr>
      <w:r>
        <w:t>a valid complaint is made to the ACMA</w:t>
      </w:r>
    </w:p>
    <w:p w14:paraId="729ABFF2" w14:textId="77777777" w:rsidR="00BD1D64" w:rsidRDefault="00BD1D64" w:rsidP="00F460A5">
      <w:pPr>
        <w:pStyle w:val="Bulletlevel1last"/>
      </w:pPr>
      <w:r>
        <w:t>where we suspect non-compliance.</w:t>
      </w:r>
    </w:p>
    <w:p w14:paraId="35C29715" w14:textId="38ACA017" w:rsidR="00BD1D64" w:rsidRPr="00BC6E65" w:rsidRDefault="00BD1D64" w:rsidP="00BD1D64">
      <w:pPr>
        <w:spacing w:after="360"/>
        <w:rPr>
          <w:rFonts w:cs="Arial"/>
        </w:rPr>
      </w:pPr>
      <w:r w:rsidRPr="62F7AD00">
        <w:rPr>
          <w:rFonts w:cs="Arial"/>
        </w:rPr>
        <w:lastRenderedPageBreak/>
        <w:t xml:space="preserve">We undertake all compliance and enforcement activities in accordance with our </w:t>
      </w:r>
      <w:hyperlink r:id="rId33">
        <w:r w:rsidRPr="62F7AD00">
          <w:rPr>
            <w:rStyle w:val="Hyperlink"/>
          </w:rPr>
          <w:t>compliance and enforcement policy</w:t>
        </w:r>
      </w:hyperlink>
      <w:r w:rsidRPr="62F7AD00">
        <w:rPr>
          <w:rFonts w:cs="Arial"/>
        </w:rPr>
        <w:t xml:space="preserve"> and have a graduated strategic and risk-based approach to compliance and enforcement</w:t>
      </w:r>
      <w:r w:rsidR="149BF4CF" w:rsidRPr="62F7AD00">
        <w:rPr>
          <w:rFonts w:cs="Arial"/>
        </w:rPr>
        <w:t xml:space="preserve">. </w:t>
      </w:r>
    </w:p>
    <w:p w14:paraId="052AD753" w14:textId="457AA7FE" w:rsidR="00BD1D64" w:rsidRDefault="48B90798">
      <w:pPr>
        <w:spacing w:after="360"/>
        <w:rPr>
          <w:rFonts w:cs="Arial"/>
        </w:rPr>
      </w:pPr>
      <w:r w:rsidRPr="005835E5">
        <w:rPr>
          <w:rFonts w:cs="Arial"/>
        </w:rPr>
        <w:t>Th</w:t>
      </w:r>
      <w:r w:rsidR="001238B5">
        <w:rPr>
          <w:rFonts w:cs="Arial"/>
        </w:rPr>
        <w:t>is</w:t>
      </w:r>
      <w:r w:rsidRPr="005835E5">
        <w:rPr>
          <w:rFonts w:cs="Arial"/>
        </w:rPr>
        <w:t xml:space="preserve"> means that i</w:t>
      </w:r>
      <w:r w:rsidR="00BD1D64" w:rsidRPr="005835E5">
        <w:rPr>
          <w:rFonts w:cs="Arial"/>
        </w:rPr>
        <w:t>n the first instance, we seek to work with licensees and educate them on their regulatory obligations prior to undertaking compliance actions. Where licensees remain non-compliant, we will take appropriate compliance and enforcement actions.</w:t>
      </w:r>
      <w:r w:rsidR="6AB1E778" w:rsidRPr="005835E5">
        <w:rPr>
          <w:rFonts w:cs="Arial"/>
        </w:rPr>
        <w:t xml:space="preserve"> This can start with a warning notice, and progress to fines and prosecutions in court if non-compliance continues. </w:t>
      </w:r>
    </w:p>
    <w:p w14:paraId="47BF4DAF" w14:textId="77777777" w:rsidR="00BD1D64" w:rsidRPr="00AF63EF" w:rsidRDefault="00BD1D64" w:rsidP="00BD1D64">
      <w:pPr>
        <w:spacing w:after="360"/>
        <w:rPr>
          <w:rFonts w:cs="Arial"/>
        </w:rPr>
      </w:pPr>
    </w:p>
    <w:p w14:paraId="1114176E" w14:textId="77777777" w:rsidR="00BD1D64" w:rsidRDefault="00BD1D64" w:rsidP="00BD1D64">
      <w:pPr>
        <w:pStyle w:val="Paragraph"/>
      </w:pPr>
      <w:r>
        <w:t xml:space="preserve"> </w:t>
      </w:r>
    </w:p>
    <w:p w14:paraId="4AD39D2B" w14:textId="745D46C7" w:rsidR="00BD1D64" w:rsidRDefault="00BD1D64" w:rsidP="00BD1D64">
      <w:pPr>
        <w:pStyle w:val="Heading1"/>
      </w:pPr>
      <w:bookmarkStart w:id="14" w:name="_Hlk164848948"/>
      <w:bookmarkStart w:id="15" w:name="_Toc178590234"/>
      <w:r>
        <w:lastRenderedPageBreak/>
        <w:t xml:space="preserve">Power and </w:t>
      </w:r>
      <w:r w:rsidR="004F43ED">
        <w:t>c</w:t>
      </w:r>
      <w:r>
        <w:t>overage</w:t>
      </w:r>
      <w:bookmarkEnd w:id="15"/>
    </w:p>
    <w:p w14:paraId="4B4AD06C" w14:textId="7E0FB461" w:rsidR="00BD1D64" w:rsidRDefault="00BD1D64" w:rsidP="00F460A5">
      <w:pPr>
        <w:pStyle w:val="Paragraph"/>
      </w:pPr>
      <w:bookmarkStart w:id="16" w:name="_Hlk51665837"/>
      <w:r>
        <w:t xml:space="preserve">LPON licences are subject to conditions </w:t>
      </w:r>
      <w:r w:rsidR="007351FF">
        <w:t xml:space="preserve">that </w:t>
      </w:r>
      <w:r>
        <w:t>limit the transmitter output power and coverage area of the</w:t>
      </w:r>
      <w:r w:rsidR="62E50261">
        <w:t xml:space="preserve"> relevant radio</w:t>
      </w:r>
      <w:r>
        <w:t xml:space="preserve"> station. These conditions are designed to ensure LPON services are limited in their coverage as low-powered services</w:t>
      </w:r>
      <w:r w:rsidR="7B62C334">
        <w:t xml:space="preserve"> </w:t>
      </w:r>
      <w:r>
        <w:t xml:space="preserve">and do not cause interference to other LPON services or </w:t>
      </w:r>
      <w:r w:rsidR="75DE3F33">
        <w:t xml:space="preserve">other </w:t>
      </w:r>
      <w:r>
        <w:t xml:space="preserve">licensed </w:t>
      </w:r>
      <w:r w:rsidR="50ACAFD8">
        <w:t xml:space="preserve">users of the spectrum.  </w:t>
      </w:r>
    </w:p>
    <w:p w14:paraId="33415C07" w14:textId="5D0CFF12" w:rsidR="00BD1D64" w:rsidRDefault="608EB888" w:rsidP="00F460A5">
      <w:pPr>
        <w:pStyle w:val="Paragraph"/>
      </w:pPr>
      <w:r>
        <w:t>As a LPON</w:t>
      </w:r>
      <w:r w:rsidR="00BD1D64">
        <w:t xml:space="preserve"> licensee</w:t>
      </w:r>
      <w:r w:rsidR="3C5D2FFD">
        <w:t xml:space="preserve">, it is your </w:t>
      </w:r>
      <w:r w:rsidR="00BD1D64">
        <w:t xml:space="preserve">obligation to ensure </w:t>
      </w:r>
      <w:r w:rsidR="506E0A03">
        <w:t xml:space="preserve">your </w:t>
      </w:r>
      <w:r w:rsidR="00BD1D64">
        <w:t xml:space="preserve">LPON </w:t>
      </w:r>
      <w:r w:rsidR="684B88AB">
        <w:t xml:space="preserve">radio </w:t>
      </w:r>
      <w:r w:rsidR="00BD1D64">
        <w:t>station remains compliant with each of these conditions.</w:t>
      </w:r>
    </w:p>
    <w:p w14:paraId="6D74577A" w14:textId="490E50C7" w:rsidR="00BD1D64" w:rsidRDefault="00BD1D64" w:rsidP="00BD1D64">
      <w:pPr>
        <w:pStyle w:val="Paragraph"/>
      </w:pPr>
      <w:r>
        <w:t>LPON licences are allocated in accordance with the</w:t>
      </w:r>
      <w:r w:rsidR="032DEB7B">
        <w:t xml:space="preserve"> ACMA’s </w:t>
      </w:r>
      <w:hyperlink r:id="rId34" w:anchor="lpon-licence-conditions" w:history="1">
        <w:r w:rsidRPr="005835E5">
          <w:rPr>
            <w:rStyle w:val="Hyperlink"/>
          </w:rPr>
          <w:t>LP</w:t>
        </w:r>
        <w:r w:rsidRPr="005835E5">
          <w:rPr>
            <w:rStyle w:val="Hyperlink"/>
          </w:rPr>
          <w:t>O</w:t>
        </w:r>
        <w:r w:rsidRPr="005835E5">
          <w:rPr>
            <w:rStyle w:val="Hyperlink"/>
          </w:rPr>
          <w:t xml:space="preserve">N </w:t>
        </w:r>
        <w:r w:rsidR="003D08C0">
          <w:rPr>
            <w:rStyle w:val="Hyperlink"/>
          </w:rPr>
          <w:t>p</w:t>
        </w:r>
        <w:r w:rsidRPr="005835E5">
          <w:rPr>
            <w:rStyle w:val="Hyperlink"/>
          </w:rPr>
          <w:t xml:space="preserve">lanning </w:t>
        </w:r>
        <w:r w:rsidR="003D08C0">
          <w:rPr>
            <w:rStyle w:val="Hyperlink"/>
          </w:rPr>
          <w:t>m</w:t>
        </w:r>
        <w:r w:rsidRPr="005835E5">
          <w:rPr>
            <w:rStyle w:val="Hyperlink"/>
          </w:rPr>
          <w:t>odel</w:t>
        </w:r>
      </w:hyperlink>
      <w:r w:rsidR="0054271F">
        <w:t xml:space="preserve">, </w:t>
      </w:r>
      <w:r>
        <w:t xml:space="preserve">which provides limitations on the frequency of LPON services, the proximity to other FM broadcasting services and the separation requirements from other LPON services. </w:t>
      </w:r>
    </w:p>
    <w:p w14:paraId="234CC27B" w14:textId="5A194CF1" w:rsidR="00BD1D64" w:rsidRDefault="00BD1D64" w:rsidP="00F460A5">
      <w:pPr>
        <w:pStyle w:val="Paragraph"/>
      </w:pPr>
      <w:r>
        <w:t>The transmitter output power condition is distinct from the field strength condition</w:t>
      </w:r>
      <w:r w:rsidR="0054271F">
        <w:t xml:space="preserve">. However, </w:t>
      </w:r>
      <w:r>
        <w:t>both conditions are designed to limit coverage to no more than 2</w:t>
      </w:r>
      <w:r w:rsidR="0054271F">
        <w:t xml:space="preserve"> </w:t>
      </w:r>
      <w:r>
        <w:t xml:space="preserve">km in </w:t>
      </w:r>
      <w:r w:rsidR="003D08C0">
        <w:br/>
      </w:r>
      <w:r>
        <w:t>any direction (or 10</w:t>
      </w:r>
      <w:r w:rsidR="0054271F">
        <w:t xml:space="preserve"> </w:t>
      </w:r>
      <w:r>
        <w:t xml:space="preserve">km in a non-residential area) in accordance with </w:t>
      </w:r>
      <w:r w:rsidR="5F795B59">
        <w:t xml:space="preserve">the ACMA’s </w:t>
      </w:r>
      <w:r>
        <w:t xml:space="preserve">planning models. </w:t>
      </w:r>
    </w:p>
    <w:p w14:paraId="52CDB689" w14:textId="77777777" w:rsidR="00BD1D64" w:rsidRDefault="00BD1D64" w:rsidP="00F460A5">
      <w:pPr>
        <w:pStyle w:val="Paragraphbeforelist"/>
      </w:pPr>
      <w:r>
        <w:t>The transmitter output power condition:</w:t>
      </w:r>
    </w:p>
    <w:p w14:paraId="38E0750B" w14:textId="6E1E53AD" w:rsidR="00BD1D64" w:rsidRDefault="00BD1D64" w:rsidP="005835E5">
      <w:pPr>
        <w:pStyle w:val="Bulletlevel1"/>
        <w:numPr>
          <w:ilvl w:val="0"/>
          <w:numId w:val="0"/>
        </w:numPr>
      </w:pPr>
      <w:r>
        <w:t>In a residential area, permits you</w:t>
      </w:r>
      <w:r w:rsidR="144DEA5F">
        <w:t xml:space="preserve"> (as licensee)</w:t>
      </w:r>
      <w:r>
        <w:t xml:space="preserve"> to operate the station using a maximum transmitter power not exceeding 1 watt</w:t>
      </w:r>
    </w:p>
    <w:p w14:paraId="15F70795" w14:textId="1A7532B9" w:rsidR="00BD1D64" w:rsidRPr="00E0224D" w:rsidRDefault="00BD1D64" w:rsidP="005835E5">
      <w:pPr>
        <w:pStyle w:val="Bulletlevel1last"/>
        <w:numPr>
          <w:ilvl w:val="0"/>
          <w:numId w:val="0"/>
        </w:numPr>
      </w:pPr>
      <w:r>
        <w:t>In a non-residential area, permits you</w:t>
      </w:r>
      <w:r w:rsidR="28BDB55B">
        <w:t xml:space="preserve"> (as licensee)</w:t>
      </w:r>
      <w:r>
        <w:t xml:space="preserve"> to operate the station using a maximum transmitter power not exceeding 10 watts.</w:t>
      </w:r>
      <w:r>
        <w:rPr>
          <w:rStyle w:val="FootnoteReference"/>
        </w:rPr>
        <w:footnoteReference w:id="1"/>
      </w:r>
    </w:p>
    <w:p w14:paraId="40EA97C6" w14:textId="0B92F70A" w:rsidR="00BD1D64" w:rsidRDefault="00BD1D64" w:rsidP="00F460A5">
      <w:pPr>
        <w:pStyle w:val="Paragraph"/>
      </w:pPr>
      <w:r>
        <w:t>In both instances</w:t>
      </w:r>
      <w:r w:rsidR="0054271F">
        <w:t>,</w:t>
      </w:r>
      <w:r>
        <w:t xml:space="preserve"> the condition is limiting the power output of the transmitter. Separately</w:t>
      </w:r>
      <w:r w:rsidR="0054271F">
        <w:t>,</w:t>
      </w:r>
      <w:r>
        <w:t xml:space="preserve"> the e</w:t>
      </w:r>
      <w:r w:rsidRPr="00E0224D">
        <w:t>quivalent isotropic radiated power</w:t>
      </w:r>
      <w:r>
        <w:t xml:space="preserve"> (EIRP) is usually permitted to </w:t>
      </w:r>
      <w:r w:rsidR="00F9672A">
        <w:br/>
      </w:r>
      <w:r>
        <w:t>be 1.64 watts or 16.4 watts in a non-residential area.</w:t>
      </w:r>
      <w:r>
        <w:rPr>
          <w:rStyle w:val="FootnoteReference"/>
          <w:color w:val="000000"/>
        </w:rPr>
        <w:footnoteReference w:id="2"/>
      </w:r>
      <w:r>
        <w:t xml:space="preserve"> </w:t>
      </w:r>
    </w:p>
    <w:p w14:paraId="02CD6D10" w14:textId="4B9A42F2" w:rsidR="00BD1D64" w:rsidRDefault="00BD1D64" w:rsidP="00F460A5">
      <w:pPr>
        <w:pStyle w:val="Paragraph"/>
        <w:rPr>
          <w:color w:val="000000"/>
        </w:rPr>
      </w:pPr>
      <w:r w:rsidRPr="61DFC356">
        <w:t>The field strength condition is</w:t>
      </w:r>
      <w:r>
        <w:t xml:space="preserve"> also</w:t>
      </w:r>
      <w:r w:rsidRPr="61DFC356">
        <w:t xml:space="preserve"> designed to ensure that a LPON service is </w:t>
      </w:r>
      <w:r w:rsidR="0054271F">
        <w:br/>
      </w:r>
      <w:r w:rsidRPr="61DFC356">
        <w:t>not covering more than 2 km in a residential area or more than 10 km in a non-residential area.</w:t>
      </w:r>
      <w:r>
        <w:rPr>
          <w:rStyle w:val="FootnoteReference"/>
          <w:color w:val="000000" w:themeColor="text1"/>
        </w:rPr>
        <w:footnoteReference w:id="3"/>
      </w:r>
    </w:p>
    <w:p w14:paraId="1DDDA208" w14:textId="2C6C51C0" w:rsidR="00BD1D64" w:rsidRDefault="00BD1D64" w:rsidP="00F460A5">
      <w:pPr>
        <w:pStyle w:val="Paragraphbeforelist"/>
      </w:pPr>
      <w:r>
        <w:t xml:space="preserve">The </w:t>
      </w:r>
      <w:r w:rsidR="259ED468">
        <w:t xml:space="preserve">licence </w:t>
      </w:r>
      <w:r>
        <w:t>conditions state that:</w:t>
      </w:r>
    </w:p>
    <w:p w14:paraId="5A9DCE9F" w14:textId="2A383B71" w:rsidR="00BD1D64" w:rsidRDefault="00BD1D64" w:rsidP="00F460A5">
      <w:pPr>
        <w:pStyle w:val="Bulletlevel1"/>
      </w:pPr>
      <w:r w:rsidRPr="00817F34">
        <w:t>If the licensee operates a narrowcasting service station to provide a low power open narrowcasting service in a residential area, the field strength must not exceed 48</w:t>
      </w:r>
      <w:r>
        <w:t xml:space="preserve"> decibels microvolt per metre squared (</w:t>
      </w:r>
      <w:proofErr w:type="spellStart"/>
      <w:r w:rsidRPr="00817F34">
        <w:t>dB</w:t>
      </w:r>
      <w:r>
        <w:t>µ</w:t>
      </w:r>
      <w:r w:rsidRPr="00817F34">
        <w:t>V</w:t>
      </w:r>
      <w:proofErr w:type="spellEnd"/>
      <w:r w:rsidRPr="00817F34">
        <w:t>/m</w:t>
      </w:r>
      <w:r>
        <w:rPr>
          <w:vertAlign w:val="superscript"/>
        </w:rPr>
        <w:t>2</w:t>
      </w:r>
      <w:r>
        <w:t>)</w:t>
      </w:r>
      <w:r w:rsidRPr="00817F34">
        <w:t xml:space="preserve"> when measured at 10 m above ground level </w:t>
      </w:r>
      <w:r w:rsidRPr="00F460A5">
        <w:t>at any location</w:t>
      </w:r>
      <w:r w:rsidRPr="00817F34">
        <w:t xml:space="preserve"> more than 2 k</w:t>
      </w:r>
      <w:r w:rsidR="00F9672A">
        <w:t>m</w:t>
      </w:r>
      <w:r w:rsidRPr="00817F34">
        <w:t xml:space="preserve"> from the station’s antenna.</w:t>
      </w:r>
    </w:p>
    <w:p w14:paraId="730C7FB4" w14:textId="79095303" w:rsidR="00BD1D64" w:rsidRDefault="00BD1D64" w:rsidP="00F460A5">
      <w:pPr>
        <w:pStyle w:val="Bulletlevel1last"/>
      </w:pPr>
      <w:r>
        <w:t xml:space="preserve">If the licensee operates a narrowcasting service station to provide a low power open narrowcasting service in a non-residential area, the field strength must not exceed </w:t>
      </w:r>
      <w:r w:rsidRPr="00817F34">
        <w:t>48</w:t>
      </w:r>
      <w:r>
        <w:t xml:space="preserve"> d</w:t>
      </w:r>
      <w:r w:rsidR="00F9672A">
        <w:t>B</w:t>
      </w:r>
      <w:r>
        <w:t xml:space="preserve"> above one microvolt per metre squared (</w:t>
      </w:r>
      <w:proofErr w:type="spellStart"/>
      <w:r w:rsidRPr="00817F34">
        <w:t>dB</w:t>
      </w:r>
      <w:r>
        <w:t>µ</w:t>
      </w:r>
      <w:r w:rsidRPr="00817F34">
        <w:t>V</w:t>
      </w:r>
      <w:proofErr w:type="spellEnd"/>
      <w:r w:rsidRPr="00817F34">
        <w:t>/m</w:t>
      </w:r>
      <w:r>
        <w:rPr>
          <w:vertAlign w:val="superscript"/>
        </w:rPr>
        <w:t>2</w:t>
      </w:r>
      <w:r>
        <w:t xml:space="preserve">) when measured at 10 m above ground level </w:t>
      </w:r>
      <w:r w:rsidRPr="00F460A5">
        <w:t>at any location</w:t>
      </w:r>
      <w:r>
        <w:t xml:space="preserve"> more than 10 k</w:t>
      </w:r>
      <w:r w:rsidR="00F9672A">
        <w:t>m</w:t>
      </w:r>
      <w:r>
        <w:t xml:space="preserve"> from the station’s antenna.</w:t>
      </w:r>
    </w:p>
    <w:p w14:paraId="418C0358" w14:textId="77777777" w:rsidR="00BD1D64" w:rsidRDefault="00BD1D64" w:rsidP="00F460A5">
      <w:pPr>
        <w:pStyle w:val="Paragraphbeforelist"/>
      </w:pPr>
      <w:r>
        <w:t xml:space="preserve">Example: </w:t>
      </w:r>
    </w:p>
    <w:p w14:paraId="336910A0" w14:textId="3A0A755E" w:rsidR="00BD1D64" w:rsidRDefault="00BD1D64" w:rsidP="00F460A5">
      <w:pPr>
        <w:pStyle w:val="Bulletlevel1"/>
      </w:pPr>
      <w:r>
        <w:lastRenderedPageBreak/>
        <w:t xml:space="preserve">An LPON station with a transmitter output power of 2 watts and cable losses of </w:t>
      </w:r>
      <w:r w:rsidR="00F9672A">
        <w:br/>
      </w:r>
      <w:r>
        <w:t>3</w:t>
      </w:r>
      <w:r w:rsidR="00F9672A">
        <w:t xml:space="preserve"> </w:t>
      </w:r>
      <w:r>
        <w:t xml:space="preserve">dB and a folded dipole antenna </w:t>
      </w:r>
      <w:r w:rsidRPr="00F460A5">
        <w:t>breaches</w:t>
      </w:r>
      <w:r>
        <w:t xml:space="preserve"> the transmitter output power condition but may not breach the field strength condition.</w:t>
      </w:r>
    </w:p>
    <w:p w14:paraId="60AF92CE" w14:textId="77777777" w:rsidR="00BD1D64" w:rsidRDefault="00BD1D64" w:rsidP="00F460A5">
      <w:pPr>
        <w:pStyle w:val="Bulletlevel1last"/>
      </w:pPr>
      <w:r w:rsidRPr="009672C6">
        <w:t xml:space="preserve">An LPON station with a transmitter output power of 1 watt and advantageous topographical conditions with low clutter loss may be compliant with the transmitter output power condition but </w:t>
      </w:r>
      <w:r w:rsidRPr="00F460A5">
        <w:t>breach</w:t>
      </w:r>
      <w:r w:rsidRPr="009672C6">
        <w:t xml:space="preserve"> the field strength condition.</w:t>
      </w:r>
      <w:bookmarkEnd w:id="14"/>
    </w:p>
    <w:p w14:paraId="4A9FCA05" w14:textId="23180C2E" w:rsidR="00BD1D64" w:rsidRPr="0032219B" w:rsidRDefault="00BD1D64" w:rsidP="00F460A5">
      <w:pPr>
        <w:pStyle w:val="Paragraph"/>
        <w:rPr>
          <w:color w:val="000000"/>
        </w:rPr>
      </w:pPr>
      <w:r w:rsidRPr="62F7AD00">
        <w:t xml:space="preserve">These examples demonstrate that each licence provides for coverage of </w:t>
      </w:r>
      <w:r w:rsidRPr="00F460A5">
        <w:t>no more than</w:t>
      </w:r>
      <w:r w:rsidRPr="62F7AD00">
        <w:t xml:space="preserve"> 2</w:t>
      </w:r>
      <w:r w:rsidR="00B4648F">
        <w:t xml:space="preserve"> </w:t>
      </w:r>
      <w:r w:rsidRPr="62F7AD00">
        <w:t>km, or 10</w:t>
      </w:r>
      <w:r w:rsidR="00B4648F">
        <w:t xml:space="preserve"> </w:t>
      </w:r>
      <w:r w:rsidRPr="62F7AD00">
        <w:t>km in a non-residential area, but licensees are not guaranteed that coverage distance from their licensed site</w:t>
      </w:r>
      <w:r w:rsidR="3F24E894" w:rsidRPr="62F7AD00">
        <w:t xml:space="preserve">. </w:t>
      </w:r>
      <w:r w:rsidR="00B4648F">
        <w:t>L</w:t>
      </w:r>
      <w:r w:rsidRPr="62F7AD00">
        <w:t xml:space="preserve">icensees are not permitted to exceed power limits to achieve </w:t>
      </w:r>
      <w:r w:rsidR="007A1633">
        <w:t>certain</w:t>
      </w:r>
      <w:r w:rsidR="007A1633" w:rsidRPr="62F7AD00">
        <w:t xml:space="preserve"> </w:t>
      </w:r>
      <w:r w:rsidRPr="62F7AD00">
        <w:t>coverage distances.</w:t>
      </w:r>
    </w:p>
    <w:p w14:paraId="6F15EBD8" w14:textId="77777777" w:rsidR="00BD1D64" w:rsidRPr="00AF6924" w:rsidRDefault="00BD1D64" w:rsidP="00BD1D64">
      <w:pPr>
        <w:pStyle w:val="Heading1"/>
      </w:pPr>
      <w:bookmarkStart w:id="17" w:name="_Toc178590235"/>
      <w:r>
        <w:lastRenderedPageBreak/>
        <w:t>UIOLI conditions</w:t>
      </w:r>
      <w:bookmarkEnd w:id="17"/>
    </w:p>
    <w:bookmarkEnd w:id="16"/>
    <w:p w14:paraId="3705A8FE" w14:textId="533C374A" w:rsidR="00BD1D64" w:rsidRPr="00AF6924" w:rsidRDefault="00BD1D64" w:rsidP="00BD1D64">
      <w:pPr>
        <w:pStyle w:val="Paragraph"/>
      </w:pPr>
      <w:r>
        <w:t>The UIOLI conditions are important for the operation of an LPON licence and prevent systemic compliance issues such as licence hoarding.</w:t>
      </w:r>
    </w:p>
    <w:p w14:paraId="6F30E4EC" w14:textId="06943F4E" w:rsidR="00BD1D64" w:rsidRDefault="00BD1D64" w:rsidP="00BD1D64">
      <w:pPr>
        <w:pStyle w:val="Paragraphbeforelist"/>
      </w:pPr>
      <w:r>
        <w:t xml:space="preserve">There are </w:t>
      </w:r>
      <w:r w:rsidR="00B4648F">
        <w:t xml:space="preserve">3 </w:t>
      </w:r>
      <w:r>
        <w:t>important criteria in the UIOLI conditions:</w:t>
      </w:r>
    </w:p>
    <w:p w14:paraId="41CB2AF8" w14:textId="77777777" w:rsidR="00BD1D64" w:rsidRPr="00B05897" w:rsidRDefault="00BD1D64" w:rsidP="00BD1D64">
      <w:pPr>
        <w:pStyle w:val="Numberlistlevel1"/>
      </w:pPr>
      <w:r>
        <w:t>y</w:t>
      </w:r>
      <w:r w:rsidRPr="00B05897">
        <w:t xml:space="preserve">ou must start broadcasting within </w:t>
      </w:r>
      <w:r>
        <w:t>six</w:t>
      </w:r>
      <w:r w:rsidRPr="00B05897">
        <w:t xml:space="preserve"> months of getting your licence</w:t>
      </w:r>
    </w:p>
    <w:p w14:paraId="2A3C420A" w14:textId="77777777" w:rsidR="00BD1D64" w:rsidRPr="00B05897" w:rsidRDefault="00BD1D64" w:rsidP="00BD1D64">
      <w:pPr>
        <w:pStyle w:val="Numberlistlevel1"/>
      </w:pPr>
      <w:r>
        <w:t>y</w:t>
      </w:r>
      <w:r w:rsidRPr="00B05897">
        <w:t xml:space="preserve">ou need to use it regularly </w:t>
      </w:r>
    </w:p>
    <w:p w14:paraId="64BE3A38" w14:textId="77777777" w:rsidR="00BD1D64" w:rsidRPr="00AF6924" w:rsidRDefault="00BD1D64" w:rsidP="00F460A5">
      <w:pPr>
        <w:pStyle w:val="Numberlistlast"/>
      </w:pPr>
      <w:r>
        <w:t>y</w:t>
      </w:r>
      <w:r w:rsidRPr="00AF6924">
        <w:t>ou must keep records</w:t>
      </w:r>
      <w:r>
        <w:t>.</w:t>
      </w:r>
    </w:p>
    <w:p w14:paraId="6C7A06B9" w14:textId="1370AEF4" w:rsidR="00BD1D64" w:rsidRDefault="00BD1D64" w:rsidP="00BD1D64">
      <w:pPr>
        <w:pStyle w:val="Heading2"/>
      </w:pPr>
      <w:bookmarkStart w:id="18" w:name="_Toc51266050"/>
      <w:bookmarkStart w:id="19" w:name="_Toc178590236"/>
      <w:r>
        <w:t xml:space="preserve">You must start a service within </w:t>
      </w:r>
      <w:r w:rsidR="00DF3D36">
        <w:t xml:space="preserve">6 </w:t>
      </w:r>
      <w:r>
        <w:t>months</w:t>
      </w:r>
      <w:bookmarkEnd w:id="18"/>
      <w:bookmarkEnd w:id="19"/>
    </w:p>
    <w:p w14:paraId="2060D0A2" w14:textId="3FE43186" w:rsidR="00BD1D64" w:rsidRPr="00AF6924" w:rsidRDefault="00BD1D64" w:rsidP="00BD1D64">
      <w:pPr>
        <w:pStyle w:val="Paragraph"/>
      </w:pPr>
      <w:r>
        <w:t>U</w:t>
      </w:r>
      <w:r w:rsidRPr="004C7631">
        <w:t xml:space="preserve">nless </w:t>
      </w:r>
      <w:r>
        <w:t>you have</w:t>
      </w:r>
      <w:r w:rsidRPr="004C7631">
        <w:t xml:space="preserve"> a reasonable excuse for not doing so, </w:t>
      </w:r>
      <w:r w:rsidR="47D577AD">
        <w:t>you</w:t>
      </w:r>
      <w:r>
        <w:t xml:space="preserve"> </w:t>
      </w:r>
      <w:r w:rsidRPr="004C7631">
        <w:t xml:space="preserve">must commence the service within </w:t>
      </w:r>
      <w:r w:rsidR="00DF3D36">
        <w:t>6</w:t>
      </w:r>
      <w:r w:rsidR="00DF3D36" w:rsidRPr="004C7631">
        <w:t xml:space="preserve"> </w:t>
      </w:r>
      <w:r w:rsidRPr="004C7631">
        <w:t xml:space="preserve">months </w:t>
      </w:r>
      <w:r>
        <w:t xml:space="preserve">from </w:t>
      </w:r>
      <w:r w:rsidRPr="004C7631">
        <w:t xml:space="preserve">the day the licence </w:t>
      </w:r>
      <w:r>
        <w:t>was</w:t>
      </w:r>
      <w:r w:rsidRPr="004C7631">
        <w:t xml:space="preserve"> issued</w:t>
      </w:r>
      <w:r>
        <w:t>.</w:t>
      </w:r>
      <w:r w:rsidRPr="005835E5">
        <w:rPr>
          <w:rStyle w:val="FootnoteReference"/>
          <w:sz w:val="24"/>
        </w:rPr>
        <w:footnoteReference w:id="4"/>
      </w:r>
      <w:r w:rsidRPr="001C104D">
        <w:t xml:space="preserve"> </w:t>
      </w:r>
      <w:r w:rsidRPr="00AF6924">
        <w:t xml:space="preserve">This </w:t>
      </w:r>
      <w:r>
        <w:t xml:space="preserve">is intended to </w:t>
      </w:r>
      <w:r w:rsidRPr="00AF6924">
        <w:t>allow enough time to set</w:t>
      </w:r>
      <w:r w:rsidR="00DF3D36">
        <w:t xml:space="preserve"> </w:t>
      </w:r>
      <w:r w:rsidRPr="00AF6924">
        <w:t xml:space="preserve">up infrastructure for broadcasting. </w:t>
      </w:r>
    </w:p>
    <w:p w14:paraId="3D30A035" w14:textId="77777777" w:rsidR="00BD1D64" w:rsidRDefault="00BD1D64" w:rsidP="00BD1D64">
      <w:pPr>
        <w:pStyle w:val="Paragraphbeforelist"/>
      </w:pPr>
      <w:r>
        <w:t>You must have evidence of:</w:t>
      </w:r>
    </w:p>
    <w:p w14:paraId="0D7EE46D" w14:textId="66637555" w:rsidR="00BD1D64" w:rsidRDefault="00BD1D64" w:rsidP="00BD1D64">
      <w:pPr>
        <w:pStyle w:val="Bulletlevel1"/>
        <w:numPr>
          <w:ilvl w:val="0"/>
          <w:numId w:val="23"/>
        </w:numPr>
      </w:pPr>
      <w:r>
        <w:t>transmitter set</w:t>
      </w:r>
      <w:r w:rsidR="00DF3D36">
        <w:t xml:space="preserve"> </w:t>
      </w:r>
      <w:r>
        <w:t>up at the specified location</w:t>
      </w:r>
    </w:p>
    <w:p w14:paraId="580DF4E6" w14:textId="77777777" w:rsidR="00BD1D64" w:rsidRDefault="00BD1D64" w:rsidP="00BD1D64">
      <w:pPr>
        <w:pStyle w:val="Bulletlevel1last"/>
        <w:numPr>
          <w:ilvl w:val="0"/>
          <w:numId w:val="23"/>
        </w:numPr>
      </w:pPr>
      <w:r w:rsidRPr="00AF6924">
        <w:t xml:space="preserve">technical details of the frequency </w:t>
      </w:r>
      <w:r>
        <w:t>the service is being provided on.</w:t>
      </w:r>
    </w:p>
    <w:p w14:paraId="2A790A73" w14:textId="7E2F1BF0" w:rsidR="00BD1D64" w:rsidRDefault="00BD1D64" w:rsidP="00BD1D64">
      <w:pPr>
        <w:pStyle w:val="Bulletlevel1last"/>
        <w:numPr>
          <w:ilvl w:val="0"/>
          <w:numId w:val="0"/>
        </w:numPr>
      </w:pPr>
      <w:r>
        <w:t xml:space="preserve">If you are unable to commence a service within the </w:t>
      </w:r>
      <w:r w:rsidR="00DF3D36">
        <w:t xml:space="preserve">6 </w:t>
      </w:r>
      <w:r>
        <w:t>months</w:t>
      </w:r>
      <w:r w:rsidR="00DF3D36">
        <w:t>,</w:t>
      </w:r>
      <w:r>
        <w:t xml:space="preserve"> you can ask the ACMA in writing to extend the </w:t>
      </w:r>
      <w:r w:rsidR="00DF3D36">
        <w:t>6</w:t>
      </w:r>
      <w:r>
        <w:t>-month period. To be considered</w:t>
      </w:r>
      <w:r w:rsidR="00644AF5">
        <w:t>,</w:t>
      </w:r>
      <w:r>
        <w:t xml:space="preserve"> your request must be supported by reasons and evidence</w:t>
      </w:r>
      <w:r w:rsidR="33300105">
        <w:t xml:space="preserve">, and be received by the ACMA before the </w:t>
      </w:r>
      <w:r w:rsidR="003D08C0">
        <w:br/>
      </w:r>
      <w:r w:rsidR="33300105">
        <w:t>6</w:t>
      </w:r>
      <w:r w:rsidR="003D08C0">
        <w:t>-</w:t>
      </w:r>
      <w:r w:rsidR="33300105">
        <w:t>month period elapses</w:t>
      </w:r>
      <w:r>
        <w:t xml:space="preserve">. Requests for extensions can be sent via email </w:t>
      </w:r>
      <w:r>
        <w:br/>
        <w:t xml:space="preserve">to </w:t>
      </w:r>
      <w:hyperlink r:id="rId35">
        <w:r w:rsidRPr="005835E5">
          <w:rPr>
            <w:rStyle w:val="Hyperlink"/>
          </w:rPr>
          <w:t>info@acma.gov.au</w:t>
        </w:r>
      </w:hyperlink>
      <w:r w:rsidR="00644AF5">
        <w:t>.</w:t>
      </w:r>
    </w:p>
    <w:p w14:paraId="7AD2E98E" w14:textId="77777777" w:rsidR="003D08C0" w:rsidRDefault="00BD1D64" w:rsidP="003D08C0">
      <w:pPr>
        <w:pStyle w:val="Paragraph"/>
      </w:pPr>
      <w:r>
        <w:t>Financial reasons are not a valid reason for delay. In making an application for an extension</w:t>
      </w:r>
      <w:r w:rsidR="007A1633">
        <w:t>,</w:t>
      </w:r>
      <w:r>
        <w:t xml:space="preserve"> you </w:t>
      </w:r>
      <w:r w:rsidR="007A1633">
        <w:t xml:space="preserve">need to </w:t>
      </w:r>
      <w:r>
        <w:t xml:space="preserve">provide evidence that you have made genuine steps towards establishing a service. You will also need to indicate how much additional time you are seeking to commence the service. </w:t>
      </w:r>
      <w:r w:rsidR="00A95D62">
        <w:t xml:space="preserve">We </w:t>
      </w:r>
      <w:r>
        <w:t>consider that commercial impediments</w:t>
      </w:r>
      <w:r w:rsidR="00A95D62">
        <w:t xml:space="preserve"> –</w:t>
      </w:r>
      <w:r>
        <w:t xml:space="preserve"> including being unable to negotiate a lease or access the licensed location </w:t>
      </w:r>
      <w:r w:rsidR="00A95D62">
        <w:t xml:space="preserve">– </w:t>
      </w:r>
      <w:r>
        <w:t xml:space="preserve">do not constitute a valid reason for delay. This is the case even where you acquire the licences by transfer. You should conduct your due diligence about a licence and its site arrangements prior to acquiring it. </w:t>
      </w:r>
    </w:p>
    <w:p w14:paraId="4743F78D" w14:textId="50FFA7BD" w:rsidR="00BD1D64" w:rsidRDefault="00BD1D64" w:rsidP="003D08C0">
      <w:pPr>
        <w:pStyle w:val="Paragraph"/>
      </w:pPr>
      <w:r>
        <w:t xml:space="preserve">All relevant circumstances will be considered in determining whether to exercise our discretion to extend the period beyond </w:t>
      </w:r>
      <w:r w:rsidR="00D77693">
        <w:t xml:space="preserve">6 </w:t>
      </w:r>
      <w:r>
        <w:t>months.</w:t>
      </w:r>
    </w:p>
    <w:p w14:paraId="6D2BFC54" w14:textId="77777777" w:rsidR="00BD1D64" w:rsidRDefault="00BD1D64" w:rsidP="00BD1D64">
      <w:pPr>
        <w:pStyle w:val="Heading2"/>
      </w:pPr>
      <w:bookmarkStart w:id="20" w:name="_Toc51266051"/>
      <w:bookmarkStart w:id="21" w:name="_Toc178590237"/>
      <w:r>
        <w:t>You must use the service with reasonable regularity</w:t>
      </w:r>
      <w:bookmarkEnd w:id="20"/>
      <w:bookmarkEnd w:id="21"/>
    </w:p>
    <w:p w14:paraId="4B7C08CB" w14:textId="476981F6" w:rsidR="00BD1D64" w:rsidRPr="00043601" w:rsidRDefault="3F768FF7" w:rsidP="00BD1D64">
      <w:pPr>
        <w:pStyle w:val="Paragraph"/>
      </w:pPr>
      <w:r w:rsidRPr="00B12871">
        <w:t>You</w:t>
      </w:r>
      <w:r w:rsidR="00BD1D64" w:rsidRPr="00B12871">
        <w:t xml:space="preserve"> must </w:t>
      </w:r>
      <w:r w:rsidR="00BD1D64">
        <w:t>provide</w:t>
      </w:r>
      <w:r w:rsidR="00BD1D64" w:rsidRPr="00B12871">
        <w:t xml:space="preserve"> the service with </w:t>
      </w:r>
      <w:r w:rsidR="00BD1D64" w:rsidRPr="00043601">
        <w:t>reasonable regularity for the duration of the licence</w:t>
      </w:r>
      <w:r w:rsidR="00BD1D64">
        <w:t>.</w:t>
      </w:r>
      <w:r w:rsidR="00BD1D64" w:rsidRPr="005835E5">
        <w:rPr>
          <w:rStyle w:val="FootnoteReference"/>
          <w:sz w:val="24"/>
        </w:rPr>
        <w:footnoteReference w:id="5"/>
      </w:r>
    </w:p>
    <w:p w14:paraId="706A2B56" w14:textId="53310448" w:rsidR="00BD1D64" w:rsidRPr="00D5612F" w:rsidRDefault="00BD1D64" w:rsidP="00BD1D64">
      <w:pPr>
        <w:pStyle w:val="Paragraph"/>
      </w:pPr>
      <w:r w:rsidRPr="00D5612F">
        <w:t xml:space="preserve">To meet the </w:t>
      </w:r>
      <w:r>
        <w:t>‘</w:t>
      </w:r>
      <w:r w:rsidRPr="00D5612F">
        <w:t>reasonable regularity</w:t>
      </w:r>
      <w:r>
        <w:t>’</w:t>
      </w:r>
      <w:r w:rsidRPr="00D5612F">
        <w:t xml:space="preserve"> requirement</w:t>
      </w:r>
      <w:r>
        <w:t>,</w:t>
      </w:r>
      <w:r w:rsidRPr="00D5612F">
        <w:t xml:space="preserve"> there are key factors you should consider</w:t>
      </w:r>
      <w:r w:rsidR="00774279">
        <w:t>.</w:t>
      </w:r>
    </w:p>
    <w:p w14:paraId="340D690B" w14:textId="77777777" w:rsidR="00BD1D64" w:rsidRPr="00AF6924" w:rsidRDefault="00BD1D64" w:rsidP="00BD1D64">
      <w:pPr>
        <w:pStyle w:val="Heading3"/>
        <w:rPr>
          <w:rStyle w:val="Heading3Char"/>
          <w:b/>
          <w:bCs/>
        </w:rPr>
      </w:pPr>
      <w:bookmarkStart w:id="22" w:name="_Toc178590238"/>
      <w:r w:rsidRPr="005835E5">
        <w:rPr>
          <w:rStyle w:val="Heading3Char"/>
          <w:b/>
          <w:bCs/>
        </w:rPr>
        <w:lastRenderedPageBreak/>
        <w:t>Services should be happening on a frequent or habitual basis</w:t>
      </w:r>
      <w:bookmarkEnd w:id="22"/>
    </w:p>
    <w:p w14:paraId="53283479" w14:textId="27F08DA1" w:rsidR="34E6DCCA" w:rsidRDefault="34E6DCCA" w:rsidP="005835E5">
      <w:pPr>
        <w:pStyle w:val="Paragraph"/>
        <w:keepNext/>
        <w:keepLines/>
      </w:pPr>
      <w:r>
        <w:t>The phrase ‘reaso</w:t>
      </w:r>
      <w:r w:rsidR="5ACAA55B">
        <w:t>n</w:t>
      </w:r>
      <w:r>
        <w:t xml:space="preserve">able regularity’ is not defined in the </w:t>
      </w:r>
      <w:r w:rsidR="3701CCD5">
        <w:t>legislative scheme</w:t>
      </w:r>
      <w:r>
        <w:t xml:space="preserve">. </w:t>
      </w:r>
      <w:r w:rsidR="003D08C0">
        <w:t>T</w:t>
      </w:r>
      <w:r>
        <w:t xml:space="preserve">he </w:t>
      </w:r>
      <w:r w:rsidR="003D08C0">
        <w:br/>
      </w:r>
      <w:r>
        <w:t xml:space="preserve">ACMA takes the view that there is no fixed minimum number of hours </w:t>
      </w:r>
      <w:r w:rsidR="0CE20DD5">
        <w:t>making up</w:t>
      </w:r>
      <w:r>
        <w:t xml:space="preserve"> ‘reasonable regularity’. </w:t>
      </w:r>
    </w:p>
    <w:p w14:paraId="50DFB55C" w14:textId="3884A343" w:rsidR="34E6DCCA" w:rsidRDefault="34E6DCCA" w:rsidP="005835E5">
      <w:pPr>
        <w:pStyle w:val="Paragraph"/>
        <w:keepNext/>
        <w:keepLines/>
      </w:pPr>
      <w:r>
        <w:t>What ‘reasonable</w:t>
      </w:r>
      <w:r w:rsidR="3118102E">
        <w:t xml:space="preserve"> regularity</w:t>
      </w:r>
      <w:r>
        <w:t xml:space="preserve">’ </w:t>
      </w:r>
      <w:r w:rsidR="003D08C0">
        <w:t xml:space="preserve">is </w:t>
      </w:r>
      <w:r>
        <w:t xml:space="preserve">will be informed by all the circumstances </w:t>
      </w:r>
      <w:r w:rsidR="0C97130B">
        <w:t>and</w:t>
      </w:r>
      <w:r>
        <w:t xml:space="preserve"> by the purpose of the condition, which is to ensure that people are making meaningful use of the licence.</w:t>
      </w:r>
    </w:p>
    <w:p w14:paraId="2500F4C9" w14:textId="6DEEC2E3" w:rsidR="1DF27021" w:rsidRDefault="1DF27021" w:rsidP="005835E5">
      <w:pPr>
        <w:pStyle w:val="Paragraph"/>
        <w:keepNext/>
        <w:keepLines/>
      </w:pPr>
      <w:r>
        <w:t xml:space="preserve">There have been two recent cases before the Administrative Appeals Tribunal that have considered what ‘reasonable regularity’ means. </w:t>
      </w:r>
    </w:p>
    <w:p w14:paraId="5C80063F" w14:textId="66746992" w:rsidR="009D10B3" w:rsidRDefault="00BD1D64" w:rsidP="00BD1D64">
      <w:pPr>
        <w:pStyle w:val="Paragraph"/>
        <w:spacing w:after="120"/>
      </w:pPr>
      <w:r>
        <w:t xml:space="preserve">In the decision by the Administrative Appeals Tribunal (AAT), </w:t>
      </w:r>
      <w:hyperlink r:id="rId36">
        <w:proofErr w:type="spellStart"/>
        <w:r w:rsidRPr="005835E5">
          <w:rPr>
            <w:rStyle w:val="Hyperlink"/>
          </w:rPr>
          <w:t>Futr</w:t>
        </w:r>
        <w:r w:rsidRPr="005835E5">
          <w:rPr>
            <w:rStyle w:val="Hyperlink"/>
          </w:rPr>
          <w:t>e</w:t>
        </w:r>
        <w:r w:rsidRPr="005835E5">
          <w:rPr>
            <w:rStyle w:val="Hyperlink"/>
          </w:rPr>
          <w:t>nds</w:t>
        </w:r>
        <w:proofErr w:type="spellEnd"/>
        <w:r w:rsidRPr="005835E5">
          <w:rPr>
            <w:rStyle w:val="Hyperlink"/>
          </w:rPr>
          <w:t xml:space="preserve"> Pty Ltd and Australian Communications and Media Authority</w:t>
        </w:r>
      </w:hyperlink>
      <w:r w:rsidRPr="005835E5">
        <w:rPr>
          <w:i/>
          <w:iCs/>
        </w:rPr>
        <w:t xml:space="preserve"> </w:t>
      </w:r>
      <w:r>
        <w:t xml:space="preserve">in April 2020, the ACMA’s </w:t>
      </w:r>
      <w:r w:rsidR="27A1D018">
        <w:t>interpretation</w:t>
      </w:r>
      <w:r>
        <w:t xml:space="preserve"> of ‘with reasonable regularity for the duration of the licence’ was considered and upheld. </w:t>
      </w:r>
    </w:p>
    <w:p w14:paraId="0183ACEE" w14:textId="631C59A6" w:rsidR="00BD1D64" w:rsidRDefault="00BD1D64" w:rsidP="00BD1D64">
      <w:pPr>
        <w:pStyle w:val="Paragraph"/>
        <w:spacing w:after="120"/>
      </w:pPr>
      <w:r>
        <w:t>The AAT found that the context in which</w:t>
      </w:r>
      <w:r w:rsidR="4A7065D0">
        <w:t xml:space="preserve"> the term</w:t>
      </w:r>
      <w:r>
        <w:t xml:space="preserve"> </w:t>
      </w:r>
      <w:r w:rsidR="0CABEAC3">
        <w:t>‘</w:t>
      </w:r>
      <w:r>
        <w:t>regularity</w:t>
      </w:r>
      <w:r w:rsidR="45F94A78">
        <w:t>’</w:t>
      </w:r>
      <w:r>
        <w:t xml:space="preserve"> is used in subsection paragraph 4.11(1)(b) of the </w:t>
      </w:r>
      <w:hyperlink r:id="rId37" w:history="1">
        <w:r w:rsidR="4E2F5AAC" w:rsidRPr="005835E5">
          <w:rPr>
            <w:rStyle w:val="Hyperlink"/>
          </w:rPr>
          <w:t>Australian Communications Authority (LPON Transmitter Licences) Direction No. 2 of 2000</w:t>
        </w:r>
      </w:hyperlink>
      <w:r w:rsidR="4E2F5AAC">
        <w:t xml:space="preserve"> </w:t>
      </w:r>
      <w:r>
        <w:t xml:space="preserve">is: </w:t>
      </w:r>
    </w:p>
    <w:p w14:paraId="338DE973" w14:textId="77777777" w:rsidR="00BD1D64" w:rsidRPr="00F460A5" w:rsidRDefault="00BD1D64" w:rsidP="62F7AD00">
      <w:pPr>
        <w:pStyle w:val="Paragraph"/>
        <w:spacing w:after="120"/>
        <w:ind w:firstLine="284"/>
        <w:rPr>
          <w:sz w:val="18"/>
          <w:szCs w:val="18"/>
        </w:rPr>
      </w:pPr>
      <w:r w:rsidRPr="00F460A5">
        <w:rPr>
          <w:sz w:val="18"/>
          <w:szCs w:val="18"/>
        </w:rPr>
        <w:t>Used, done, or happening on a frequent or habitual basis.</w:t>
      </w:r>
      <w:r w:rsidRPr="00F460A5">
        <w:rPr>
          <w:rStyle w:val="FootnoteReference"/>
          <w:sz w:val="18"/>
          <w:szCs w:val="18"/>
        </w:rPr>
        <w:footnoteReference w:id="6"/>
      </w:r>
    </w:p>
    <w:p w14:paraId="6641A317" w14:textId="77777777" w:rsidR="00BD1D64" w:rsidRPr="00AF6924" w:rsidRDefault="00BD1D64" w:rsidP="00BD1D64">
      <w:pPr>
        <w:pStyle w:val="Paragraph"/>
      </w:pPr>
      <w:r w:rsidRPr="00AF6924">
        <w:t>This reflects the purpose of the UIOLI conditions in ensuring LPON services are not hoarded or unused.</w:t>
      </w:r>
    </w:p>
    <w:p w14:paraId="7F1A852D" w14:textId="3419D8B4" w:rsidR="00BD1D64" w:rsidRDefault="00BD1D64" w:rsidP="00BD1D64">
      <w:pPr>
        <w:pStyle w:val="Paragraph"/>
      </w:pPr>
      <w:r>
        <w:t xml:space="preserve">This meaning of reasonable regularity was further supported by the AAT’s decision in July 2020 in the case of </w:t>
      </w:r>
      <w:hyperlink r:id="rId38">
        <w:r w:rsidRPr="005835E5">
          <w:rPr>
            <w:rStyle w:val="Hyperlink"/>
          </w:rPr>
          <w:t xml:space="preserve">W&amp;A </w:t>
        </w:r>
        <w:proofErr w:type="spellStart"/>
        <w:r w:rsidRPr="005835E5">
          <w:rPr>
            <w:rStyle w:val="Hyperlink"/>
          </w:rPr>
          <w:t>Willmington</w:t>
        </w:r>
        <w:proofErr w:type="spellEnd"/>
        <w:r w:rsidRPr="005835E5">
          <w:rPr>
            <w:rStyle w:val="Hyperlink"/>
          </w:rPr>
          <w:t xml:space="preserve"> and Australian Communications and Media Authority</w:t>
        </w:r>
      </w:hyperlink>
      <w:r w:rsidR="009D10B3">
        <w:t>.</w:t>
      </w:r>
      <w:r w:rsidRPr="005835E5">
        <w:rPr>
          <w:i/>
          <w:iCs/>
        </w:rPr>
        <w:t xml:space="preserve"> </w:t>
      </w:r>
      <w:r w:rsidR="009D10B3">
        <w:t xml:space="preserve">It </w:t>
      </w:r>
      <w:r>
        <w:t xml:space="preserve">again agreed with the ACMA’s cancellation of LPON licences not being used with reasonable </w:t>
      </w:r>
      <w:proofErr w:type="gramStart"/>
      <w:r>
        <w:t>regularity</w:t>
      </w:r>
      <w:r w:rsidR="009D10B3">
        <w:t>,</w:t>
      </w:r>
      <w:r>
        <w:t xml:space="preserve"> and</w:t>
      </w:r>
      <w:proofErr w:type="gramEnd"/>
      <w:r>
        <w:t xml:space="preserve"> defined </w:t>
      </w:r>
      <w:r w:rsidR="009D10B3">
        <w:t>‘</w:t>
      </w:r>
      <w:r>
        <w:t>reasonable regularity</w:t>
      </w:r>
      <w:r w:rsidR="009D10B3">
        <w:t>’</w:t>
      </w:r>
      <w:r>
        <w:t xml:space="preserve"> as</w:t>
      </w:r>
      <w:r w:rsidR="2C5F6E5A">
        <w:t xml:space="preserve"> meaning</w:t>
      </w:r>
      <w:r>
        <w:t xml:space="preserve"> </w:t>
      </w:r>
      <w:r w:rsidR="009D10B3">
        <w:t>‘</w:t>
      </w:r>
      <w:r>
        <w:t>a frequent or habitual service</w:t>
      </w:r>
      <w:r w:rsidR="009D10B3">
        <w:t>’</w:t>
      </w:r>
      <w:r>
        <w:t>.</w:t>
      </w:r>
      <w:r w:rsidRPr="005835E5">
        <w:rPr>
          <w:i/>
          <w:iCs/>
        </w:rPr>
        <w:t xml:space="preserve"> </w:t>
      </w:r>
    </w:p>
    <w:p w14:paraId="7B17FF72" w14:textId="7093E699" w:rsidR="00BD1D64" w:rsidRPr="00650E16" w:rsidRDefault="00BD1D64" w:rsidP="00BD1D64">
      <w:pPr>
        <w:pStyle w:val="Heading3"/>
      </w:pPr>
      <w:bookmarkStart w:id="23" w:name="_Toc178590239"/>
      <w:r>
        <w:t>Services need to be occurring more than once a year</w:t>
      </w:r>
      <w:bookmarkEnd w:id="23"/>
    </w:p>
    <w:p w14:paraId="62AFB3BF" w14:textId="63553A27" w:rsidR="00BD1D64" w:rsidRPr="00667E97" w:rsidRDefault="00BD1D64" w:rsidP="00BD1D64">
      <w:pPr>
        <w:pStyle w:val="Paragraph"/>
      </w:pPr>
      <w:r>
        <w:t xml:space="preserve">The decision in the case of </w:t>
      </w:r>
      <w:r w:rsidR="003D08C0">
        <w:t>‘</w:t>
      </w:r>
      <w:proofErr w:type="spellStart"/>
      <w:r w:rsidRPr="003D08C0">
        <w:t>Futrends</w:t>
      </w:r>
      <w:proofErr w:type="spellEnd"/>
      <w:r w:rsidRPr="003D08C0">
        <w:t xml:space="preserve"> Pty Ltd and Australian Communications and Media Authority</w:t>
      </w:r>
      <w:r w:rsidR="003D08C0">
        <w:t>’</w:t>
      </w:r>
      <w:r w:rsidRPr="005835E5">
        <w:rPr>
          <w:i/>
          <w:iCs/>
        </w:rPr>
        <w:t xml:space="preserve"> </w:t>
      </w:r>
      <w:r w:rsidRPr="009C4925">
        <w:t xml:space="preserve">notes that the provision in paragraph 4.11(1)(a) of the </w:t>
      </w:r>
      <w:r w:rsidR="3341BB81" w:rsidRPr="009C4925">
        <w:t>D</w:t>
      </w:r>
      <w:r w:rsidRPr="009C4925">
        <w:t xml:space="preserve">irection </w:t>
      </w:r>
      <w:r w:rsidR="45C258D7" w:rsidRPr="009C4925">
        <w:t>(</w:t>
      </w:r>
      <w:r w:rsidRPr="009C4925">
        <w:t xml:space="preserve">requiring commencement of a service within </w:t>
      </w:r>
      <w:r w:rsidR="00F24454">
        <w:t>6</w:t>
      </w:r>
      <w:r w:rsidR="00F24454" w:rsidRPr="009C4925">
        <w:t xml:space="preserve"> </w:t>
      </w:r>
      <w:r w:rsidRPr="009C4925">
        <w:t>months of the issue of the licence</w:t>
      </w:r>
      <w:r w:rsidR="57D907D7" w:rsidRPr="009C4925">
        <w:t>)</w:t>
      </w:r>
      <w:r w:rsidRPr="009C4925">
        <w:t xml:space="preserve"> strongly suggests</w:t>
      </w:r>
      <w:r w:rsidRPr="00DB24D4">
        <w:t xml:space="preserve"> that </w:t>
      </w:r>
      <w:r>
        <w:t>serv</w:t>
      </w:r>
      <w:r w:rsidRPr="00667E97">
        <w:t xml:space="preserve">ices provided at intervals of longer than </w:t>
      </w:r>
      <w:r w:rsidR="00F24454">
        <w:t>6</w:t>
      </w:r>
      <w:r w:rsidR="00F24454" w:rsidRPr="00667E97">
        <w:t xml:space="preserve"> </w:t>
      </w:r>
      <w:r w:rsidRPr="00667E97">
        <w:t>months would not meet the ‘reasonable regularity’ requirement.</w:t>
      </w:r>
      <w:r w:rsidRPr="00AF6924">
        <w:rPr>
          <w:vertAlign w:val="superscript"/>
        </w:rPr>
        <w:footnoteReference w:id="7"/>
      </w:r>
    </w:p>
    <w:p w14:paraId="098F7FA1" w14:textId="4492705F" w:rsidR="00BD1D64" w:rsidRPr="00AF6924" w:rsidRDefault="00BD1D64" w:rsidP="00BD1D64">
      <w:pPr>
        <w:spacing w:before="240"/>
      </w:pPr>
      <w:r w:rsidRPr="62F7AD00">
        <w:t xml:space="preserve">The decision by the AAT in </w:t>
      </w:r>
      <w:hyperlink r:id="rId39" w:history="1">
        <w:r w:rsidRPr="00F460A5">
          <w:rPr>
            <w:rStyle w:val="Hyperlink"/>
          </w:rPr>
          <w:t xml:space="preserve">W&amp;A </w:t>
        </w:r>
        <w:proofErr w:type="spellStart"/>
        <w:r w:rsidRPr="00F460A5">
          <w:rPr>
            <w:rStyle w:val="Hyperlink"/>
          </w:rPr>
          <w:t>Willmington</w:t>
        </w:r>
        <w:proofErr w:type="spellEnd"/>
        <w:r w:rsidRPr="00F460A5">
          <w:rPr>
            <w:rStyle w:val="Hyperlink"/>
          </w:rPr>
          <w:t xml:space="preserve"> and Australian Communications and Media Authority</w:t>
        </w:r>
      </w:hyperlink>
      <w:r w:rsidRPr="62F7AD00">
        <w:rPr>
          <w:i/>
          <w:iCs/>
        </w:rPr>
        <w:t xml:space="preserve"> </w:t>
      </w:r>
      <w:r w:rsidRPr="62F7AD00">
        <w:t xml:space="preserve">notes that transmissions a year apart </w:t>
      </w:r>
      <w:r w:rsidR="00E255A6">
        <w:t>‘</w:t>
      </w:r>
      <w:r w:rsidRPr="00F460A5">
        <w:t>cannot be considered to have been provided with reasonable regularity</w:t>
      </w:r>
      <w:r w:rsidR="00E255A6">
        <w:t>’</w:t>
      </w:r>
      <w:r w:rsidRPr="00F460A5">
        <w:t>.</w:t>
      </w:r>
      <w:r w:rsidRPr="00F460A5">
        <w:rPr>
          <w:rStyle w:val="FootnoteReference"/>
        </w:rPr>
        <w:footnoteReference w:id="8"/>
      </w:r>
    </w:p>
    <w:p w14:paraId="612003C6" w14:textId="77777777" w:rsidR="00BD1D64" w:rsidRPr="00AF6924" w:rsidRDefault="00BD1D64" w:rsidP="00BD1D64">
      <w:pPr>
        <w:pStyle w:val="Heading3"/>
        <w:rPr>
          <w:rStyle w:val="Heading3Char"/>
        </w:rPr>
      </w:pPr>
      <w:bookmarkStart w:id="24" w:name="_Toc178590240"/>
      <w:r w:rsidRPr="00AF6924">
        <w:t>Services must be provided for listeners</w:t>
      </w:r>
      <w:bookmarkEnd w:id="24"/>
    </w:p>
    <w:p w14:paraId="243DBD4A" w14:textId="77777777" w:rsidR="00BD1D64" w:rsidRDefault="00BD1D64" w:rsidP="00BD1D64">
      <w:pPr>
        <w:pStyle w:val="Paragraph"/>
      </w:pPr>
      <w:r>
        <w:t xml:space="preserve">The previous decisions by the AAT </w:t>
      </w:r>
      <w:r w:rsidRPr="00B45E8D">
        <w:t xml:space="preserve">also </w:t>
      </w:r>
      <w:r>
        <w:t xml:space="preserve">demonstrate that transmissions for short periods </w:t>
      </w:r>
      <w:r w:rsidRPr="00AF6924">
        <w:t>may</w:t>
      </w:r>
      <w:r w:rsidRPr="00AF6924">
        <w:rPr>
          <w:b/>
          <w:bCs/>
          <w:i/>
          <w:iCs/>
        </w:rPr>
        <w:t xml:space="preserve"> </w:t>
      </w:r>
      <w:r w:rsidRPr="00F460A5">
        <w:t>not</w:t>
      </w:r>
      <w:r>
        <w:t xml:space="preserve"> satisfy the requirement of ‘reasonable regularity’</w:t>
      </w:r>
      <w:r>
        <w:rPr>
          <w:rStyle w:val="FootnoteReference"/>
          <w:sz w:val="24"/>
        </w:rPr>
        <w:footnoteReference w:id="9"/>
      </w:r>
      <w:r>
        <w:t xml:space="preserve">, as transmitting for </w:t>
      </w:r>
      <w:r>
        <w:lastRenderedPageBreak/>
        <w:t xml:space="preserve">short periods or making test transmissions to meet licence conditions is not a provision of a service to listeners. </w:t>
      </w:r>
    </w:p>
    <w:p w14:paraId="6F938B1C" w14:textId="698FB4E9" w:rsidR="00BD1D64" w:rsidRDefault="00BD1D64" w:rsidP="00BD1D64">
      <w:pPr>
        <w:pStyle w:val="Paragraph"/>
      </w:pPr>
      <w:r>
        <w:t>The requirement</w:t>
      </w:r>
      <w:r w:rsidR="45A8AC93">
        <w:t xml:space="preserve"> of ‘reasonable regularity’ </w:t>
      </w:r>
      <w:r>
        <w:t>is for the licensee to provide the service to which the licence relates.</w:t>
      </w:r>
      <w:r w:rsidRPr="005835E5">
        <w:rPr>
          <w:rStyle w:val="FootnoteReference"/>
          <w:sz w:val="24"/>
        </w:rPr>
        <w:footnoteReference w:id="10"/>
      </w:r>
    </w:p>
    <w:p w14:paraId="0A4C991A" w14:textId="77777777" w:rsidR="00BD1D64" w:rsidRDefault="00BD1D64" w:rsidP="00BD1D64">
      <w:pPr>
        <w:pStyle w:val="Heading2"/>
      </w:pPr>
      <w:bookmarkStart w:id="27" w:name="_Toc51266052"/>
      <w:bookmarkStart w:id="28" w:name="_Toc178590241"/>
      <w:r>
        <w:t>You must keep service records</w:t>
      </w:r>
      <w:bookmarkEnd w:id="27"/>
      <w:bookmarkEnd w:id="28"/>
      <w:r>
        <w:t xml:space="preserve"> </w:t>
      </w:r>
    </w:p>
    <w:p w14:paraId="379A2B86" w14:textId="3419D056" w:rsidR="00BD1D64" w:rsidRDefault="14B18886" w:rsidP="00BD1D64">
      <w:pPr>
        <w:pStyle w:val="Paragraph"/>
      </w:pPr>
      <w:r>
        <w:t xml:space="preserve">As </w:t>
      </w:r>
      <w:r w:rsidR="003D08C0">
        <w:t xml:space="preserve">the </w:t>
      </w:r>
      <w:r w:rsidR="00BD1D64" w:rsidRPr="00E352CD">
        <w:t>licensee</w:t>
      </w:r>
      <w:r w:rsidR="1B92ED65" w:rsidRPr="00E352CD">
        <w:t xml:space="preserve">, you </w:t>
      </w:r>
      <w:r w:rsidR="00BD1D64" w:rsidRPr="00E352CD">
        <w:t>must maintain records of the commencement, hours of operation and provision of the service</w:t>
      </w:r>
      <w:r w:rsidR="00BD1D64">
        <w:t>.</w:t>
      </w:r>
      <w:r w:rsidR="00BD1D64" w:rsidRPr="005835E5">
        <w:rPr>
          <w:rStyle w:val="FootnoteReference"/>
          <w:sz w:val="24"/>
        </w:rPr>
        <w:footnoteReference w:id="11"/>
      </w:r>
    </w:p>
    <w:p w14:paraId="30848C8C" w14:textId="77777777" w:rsidR="00BD1D64" w:rsidRDefault="00BD1D64" w:rsidP="00BD1D64">
      <w:pPr>
        <w:pStyle w:val="Paragraphbeforelist"/>
      </w:pPr>
      <w:r>
        <w:t>This means that, for each licence held, you must:</w:t>
      </w:r>
    </w:p>
    <w:p w14:paraId="68109AAB" w14:textId="56C9A08A" w:rsidR="00BD1D64" w:rsidRPr="00B05897" w:rsidRDefault="00BD1D64" w:rsidP="00BD1D64">
      <w:pPr>
        <w:pStyle w:val="Bulletlevel1"/>
        <w:numPr>
          <w:ilvl w:val="0"/>
          <w:numId w:val="22"/>
        </w:numPr>
      </w:pPr>
      <w:r>
        <w:t>k</w:t>
      </w:r>
      <w:r w:rsidRPr="00B05897">
        <w:t>eep a logbook of the hours/events of operation</w:t>
      </w:r>
    </w:p>
    <w:p w14:paraId="600A7AB8" w14:textId="1020A727" w:rsidR="00BD1D64" w:rsidRPr="00B05897" w:rsidRDefault="00BD1D64" w:rsidP="00BD1D64">
      <w:pPr>
        <w:pStyle w:val="Bulletlevel1"/>
        <w:numPr>
          <w:ilvl w:val="0"/>
          <w:numId w:val="22"/>
        </w:numPr>
      </w:pPr>
      <w:r>
        <w:t>k</w:t>
      </w:r>
      <w:r w:rsidRPr="00B05897">
        <w:t xml:space="preserve">eep visual and audio broadcast recordings </w:t>
      </w:r>
    </w:p>
    <w:p w14:paraId="0D12D491" w14:textId="77777777" w:rsidR="00BD1D64" w:rsidRPr="00AF6924" w:rsidRDefault="00BD1D64" w:rsidP="00BD1D64">
      <w:pPr>
        <w:pStyle w:val="Bulletlevel1last"/>
        <w:numPr>
          <w:ilvl w:val="0"/>
          <w:numId w:val="22"/>
        </w:numPr>
      </w:pPr>
      <w:r>
        <w:t>d</w:t>
      </w:r>
      <w:r w:rsidRPr="00AF6924">
        <w:t>ocument the nature of the service being provided, whether daily or for special</w:t>
      </w:r>
      <w:r>
        <w:t> </w:t>
      </w:r>
      <w:r w:rsidRPr="00AF6924">
        <w:t>events.</w:t>
      </w:r>
    </w:p>
    <w:p w14:paraId="26716B7C" w14:textId="752FA99D" w:rsidR="00BD1D64" w:rsidRDefault="00BD1D64" w:rsidP="005835E5">
      <w:pPr>
        <w:pStyle w:val="Paragraph"/>
        <w:rPr>
          <w:rFonts w:cs="Times New Roman"/>
        </w:rPr>
      </w:pPr>
      <w:r w:rsidRPr="005835E5">
        <w:rPr>
          <w:rFonts w:cs="Times New Roman"/>
        </w:rPr>
        <w:t xml:space="preserve">The decisions by the AAT in the cases of </w:t>
      </w:r>
      <w:hyperlink r:id="rId40">
        <w:proofErr w:type="spellStart"/>
        <w:r w:rsidRPr="005835E5">
          <w:rPr>
            <w:rStyle w:val="Hyperlink"/>
          </w:rPr>
          <w:t>Futrends</w:t>
        </w:r>
        <w:proofErr w:type="spellEnd"/>
        <w:r w:rsidRPr="005835E5">
          <w:rPr>
            <w:rStyle w:val="Hyperlink"/>
          </w:rPr>
          <w:t xml:space="preserve"> Pty Ltd and Australian Communications and Media Authority</w:t>
        </w:r>
      </w:hyperlink>
      <w:r w:rsidRPr="005835E5">
        <w:rPr>
          <w:i/>
          <w:iCs/>
        </w:rPr>
        <w:t xml:space="preserve"> </w:t>
      </w:r>
      <w:r>
        <w:t xml:space="preserve">and </w:t>
      </w:r>
      <w:hyperlink r:id="rId41">
        <w:r w:rsidRPr="005835E5">
          <w:rPr>
            <w:rStyle w:val="Hyperlink"/>
          </w:rPr>
          <w:t xml:space="preserve">W&amp;A </w:t>
        </w:r>
        <w:proofErr w:type="spellStart"/>
        <w:r w:rsidRPr="005835E5">
          <w:rPr>
            <w:rStyle w:val="Hyperlink"/>
          </w:rPr>
          <w:t>Willmington</w:t>
        </w:r>
        <w:proofErr w:type="spellEnd"/>
        <w:r w:rsidRPr="005835E5">
          <w:rPr>
            <w:rStyle w:val="Hyperlink"/>
          </w:rPr>
          <w:t xml:space="preserve"> and Australian Communications and Media Authority</w:t>
        </w:r>
      </w:hyperlink>
      <w:r w:rsidRPr="005835E5">
        <w:rPr>
          <w:i/>
          <w:iCs/>
        </w:rPr>
        <w:t xml:space="preserve"> </w:t>
      </w:r>
      <w:r>
        <w:t xml:space="preserve">demonstrate </w:t>
      </w:r>
      <w:r w:rsidR="4B1001DD">
        <w:t xml:space="preserve">to LPON licensees </w:t>
      </w:r>
      <w:r>
        <w:t>the importance of record keeping</w:t>
      </w:r>
      <w:r w:rsidR="59A05179">
        <w:t xml:space="preserve">. Records are critical </w:t>
      </w:r>
      <w:r>
        <w:t xml:space="preserve">evidence of </w:t>
      </w:r>
      <w:r w:rsidRPr="005835E5">
        <w:rPr>
          <w:rFonts w:cs="Times New Roman"/>
        </w:rPr>
        <w:t>when the service commenced, its hours of operation and what types of services are being provided.</w:t>
      </w:r>
    </w:p>
    <w:p w14:paraId="68353F59" w14:textId="44BF7423" w:rsidR="00BD1D64" w:rsidRDefault="00BD1D64" w:rsidP="005835E5">
      <w:pPr>
        <w:pStyle w:val="Paragraph"/>
        <w:rPr>
          <w:rFonts w:cs="Times New Roman"/>
        </w:rPr>
      </w:pPr>
      <w:r w:rsidRPr="005835E5">
        <w:rPr>
          <w:rFonts w:cs="Times New Roman"/>
        </w:rPr>
        <w:t xml:space="preserve">Following our recent LPON audits it has become clear that significant confusion exists about the content, form and time periods which apply to the record keeping requirements for LPON </w:t>
      </w:r>
      <w:r w:rsidR="4992449D" w:rsidRPr="005835E5">
        <w:rPr>
          <w:rFonts w:cs="Times New Roman"/>
        </w:rPr>
        <w:t xml:space="preserve">radio </w:t>
      </w:r>
      <w:r w:rsidRPr="005835E5">
        <w:rPr>
          <w:rFonts w:cs="Times New Roman"/>
        </w:rPr>
        <w:t>stations.</w:t>
      </w:r>
    </w:p>
    <w:p w14:paraId="5DCC2839" w14:textId="77777777" w:rsidR="00BD1D64" w:rsidRDefault="00BD1D64" w:rsidP="00F460A5">
      <w:pPr>
        <w:pStyle w:val="Paragraphbeforelist"/>
      </w:pPr>
      <w:r>
        <w:t>Logbooks should provide us with sufficient information to easily identify:</w:t>
      </w:r>
    </w:p>
    <w:p w14:paraId="7C300C50" w14:textId="562FB33F" w:rsidR="00BD1D64" w:rsidRDefault="00BD1D64" w:rsidP="00F460A5">
      <w:pPr>
        <w:pStyle w:val="Bulletlevel1"/>
      </w:pPr>
      <w:r>
        <w:t>which licence the log relates to</w:t>
      </w:r>
    </w:p>
    <w:p w14:paraId="5A5551B2" w14:textId="5220E7A2" w:rsidR="00BD1D64" w:rsidRDefault="00BD1D64" w:rsidP="00F460A5">
      <w:pPr>
        <w:pStyle w:val="Bulletlevel1"/>
      </w:pPr>
      <w:r>
        <w:t>what the nature of that service is</w:t>
      </w:r>
    </w:p>
    <w:p w14:paraId="162C0497" w14:textId="3902A24D" w:rsidR="00BD1D64" w:rsidRDefault="00BD1D64" w:rsidP="00F460A5">
      <w:pPr>
        <w:pStyle w:val="Bulletlevel1"/>
      </w:pPr>
      <w:r>
        <w:t>on what date the service commenced</w:t>
      </w:r>
    </w:p>
    <w:p w14:paraId="31B8D00D" w14:textId="2193F853" w:rsidR="00BD1D64" w:rsidRDefault="00BD1D64" w:rsidP="00F460A5">
      <w:pPr>
        <w:pStyle w:val="Bulletlevel1"/>
      </w:pPr>
      <w:r>
        <w:t>its times of use (hours and dates)</w:t>
      </w:r>
    </w:p>
    <w:p w14:paraId="1A12493C" w14:textId="77777777" w:rsidR="00BD1D64" w:rsidRDefault="00BD1D64" w:rsidP="00F460A5">
      <w:pPr>
        <w:pStyle w:val="Bulletlevel1last"/>
      </w:pPr>
      <w:r>
        <w:t xml:space="preserve">any </w:t>
      </w:r>
      <w:r w:rsidRPr="001C18AE">
        <w:t>periods</w:t>
      </w:r>
      <w:r>
        <w:t xml:space="preserve"> of downtime.</w:t>
      </w:r>
    </w:p>
    <w:p w14:paraId="4A90335A" w14:textId="75448999" w:rsidR="00BD1D64" w:rsidRDefault="00BD1D64" w:rsidP="00F460A5">
      <w:pPr>
        <w:pStyle w:val="Paragraph"/>
      </w:pPr>
      <w:r>
        <w:t>The requirement to maintain a logbook is linked to an individual</w:t>
      </w:r>
      <w:r w:rsidR="2EEFDED9">
        <w:t xml:space="preserve"> transmitter</w:t>
      </w:r>
      <w:r>
        <w:t xml:space="preserve"> licence and therefore each licence held by a licensee must have a logbook. A </w:t>
      </w:r>
      <w:r w:rsidR="000C1BFD">
        <w:t>l</w:t>
      </w:r>
      <w:r>
        <w:t>ogbook is not limited in duration and should contain the entire period from the commencement of the service to the present day.</w:t>
      </w:r>
    </w:p>
    <w:p w14:paraId="190ED226" w14:textId="77777777" w:rsidR="00BD1D64" w:rsidRDefault="00BD1D64" w:rsidP="00F460A5">
      <w:pPr>
        <w:pStyle w:val="Paragraph"/>
      </w:pPr>
      <w:r>
        <w:t>If you have authorised a third party to use your licence, you have not contracted out of your obligations to maintain records. If the third party fails to maintain records, compliance action may be taken against you as the licence holder.</w:t>
      </w:r>
    </w:p>
    <w:p w14:paraId="68A0B619" w14:textId="77777777" w:rsidR="00BD1D64" w:rsidRDefault="00BD1D64" w:rsidP="00F460A5">
      <w:pPr>
        <w:pStyle w:val="Paragraph"/>
      </w:pPr>
      <w:r>
        <w:t>If you re-transmit another service for part or all your regular programming, your logbook must contain details of that service.</w:t>
      </w:r>
    </w:p>
    <w:p w14:paraId="0A678E04" w14:textId="2A41E59D" w:rsidR="00BD1D64" w:rsidRDefault="03525F8C" w:rsidP="00F460A5">
      <w:pPr>
        <w:pStyle w:val="Paragraph"/>
      </w:pPr>
      <w:r>
        <w:lastRenderedPageBreak/>
        <w:t>For LPON stations that are used to provide music (e</w:t>
      </w:r>
      <w:r w:rsidR="003D08C0">
        <w:t>.</w:t>
      </w:r>
      <w:r>
        <w:t>g</w:t>
      </w:r>
      <w:r w:rsidR="003D08C0">
        <w:t>.,</w:t>
      </w:r>
      <w:r>
        <w:t xml:space="preserve"> genres of limited appeal), a</w:t>
      </w:r>
      <w:r w:rsidR="00BD1D64">
        <w:t xml:space="preserve"> stand</w:t>
      </w:r>
      <w:r w:rsidR="5FCA98FA">
        <w:t>-</w:t>
      </w:r>
      <w:r w:rsidR="00BD1D64">
        <w:t>alone song list that is randomly shuffled does not constitute a logbook</w:t>
      </w:r>
      <w:r w:rsidR="003D08C0">
        <w:t>. H</w:t>
      </w:r>
      <w:r w:rsidR="00BD1D64">
        <w:t>owever</w:t>
      </w:r>
      <w:r w:rsidR="003D08C0">
        <w:t>,</w:t>
      </w:r>
      <w:r w:rsidR="00BD1D64">
        <w:t xml:space="preserve"> a logbook that refers to a song list </w:t>
      </w:r>
      <w:r w:rsidR="44785E6F">
        <w:t xml:space="preserve">broadcast by the LPON station over a specific </w:t>
      </w:r>
      <w:proofErr w:type="gramStart"/>
      <w:r w:rsidR="44785E6F">
        <w:t>period of time</w:t>
      </w:r>
      <w:proofErr w:type="gramEnd"/>
      <w:r w:rsidR="44785E6F">
        <w:t xml:space="preserve"> </w:t>
      </w:r>
      <w:r w:rsidR="00BD1D64">
        <w:t xml:space="preserve">can be compliant. </w:t>
      </w:r>
    </w:p>
    <w:p w14:paraId="7876C30E" w14:textId="3D128237" w:rsidR="00BD1D64" w:rsidRDefault="00BD1D64" w:rsidP="00F460A5">
      <w:pPr>
        <w:pStyle w:val="Paragraph"/>
      </w:pPr>
      <w:r>
        <w:t>A record of times a transmitter is turned on and off also falls short of the</w:t>
      </w:r>
      <w:r w:rsidR="7E598572">
        <w:t xml:space="preserve"> record keeping </w:t>
      </w:r>
      <w:r>
        <w:t>requirements.</w:t>
      </w:r>
    </w:p>
    <w:p w14:paraId="7F25F874" w14:textId="77777777" w:rsidR="00BD1D64" w:rsidRDefault="00BD1D64" w:rsidP="00F460A5">
      <w:pPr>
        <w:pStyle w:val="Paragraph"/>
      </w:pPr>
      <w:r>
        <w:t xml:space="preserve">The following is an example of an appropriate form of a logbook, which in this case would be supplemented by a song list. Note this is not prescriptive and is only provided to assist you with understanding how to comply with the requirements. </w:t>
      </w:r>
    </w:p>
    <w:p w14:paraId="6EB96A75" w14:textId="77777777" w:rsidR="00BD1D64" w:rsidRDefault="00BD1D64" w:rsidP="00BD1D64">
      <w:pPr>
        <w:pStyle w:val="Tableheading"/>
      </w:pPr>
      <w:r>
        <w:t>Example week of LPON logbook</w:t>
      </w:r>
    </w:p>
    <w:p w14:paraId="5A35EF22" w14:textId="77777777" w:rsidR="00BD1D64" w:rsidRPr="00AF6924" w:rsidRDefault="00BD1D64" w:rsidP="00BD1D64">
      <w:pPr>
        <w:pStyle w:val="Tableheading"/>
        <w:numPr>
          <w:ilvl w:val="0"/>
          <w:numId w:val="0"/>
        </w:numPr>
        <w:ind w:left="964"/>
      </w:pPr>
      <w:r w:rsidRPr="0036673E">
        <w:rPr>
          <w:noProof/>
        </w:rPr>
        <w:drawing>
          <wp:anchor distT="0" distB="0" distL="114300" distR="114300" simplePos="0" relativeHeight="251659264" behindDoc="0" locked="0" layoutInCell="1" allowOverlap="1" wp14:anchorId="4B4DCC7D" wp14:editId="3E5A5559">
            <wp:simplePos x="0" y="0"/>
            <wp:positionH relativeFrom="page">
              <wp:posOffset>570230</wp:posOffset>
            </wp:positionH>
            <wp:positionV relativeFrom="paragraph">
              <wp:posOffset>206375</wp:posOffset>
            </wp:positionV>
            <wp:extent cx="5822315" cy="4657725"/>
            <wp:effectExtent l="0" t="0" r="6985"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22315" cy="4657725"/>
                    </a:xfrm>
                    <a:prstGeom prst="rect">
                      <a:avLst/>
                    </a:prstGeom>
                    <a:noFill/>
                    <a:ln>
                      <a:noFill/>
                    </a:ln>
                  </pic:spPr>
                </pic:pic>
              </a:graphicData>
            </a:graphic>
          </wp:anchor>
        </w:drawing>
      </w:r>
      <w:r>
        <w:t xml:space="preserve"> </w:t>
      </w:r>
    </w:p>
    <w:p w14:paraId="6223C317" w14:textId="0BC9CBAF" w:rsidR="00BD1D64" w:rsidRDefault="00BD1D64" w:rsidP="00BD1D64">
      <w:pPr>
        <w:pStyle w:val="Heading1"/>
      </w:pPr>
      <w:bookmarkStart w:id="29" w:name="_Toc51266053"/>
      <w:bookmarkStart w:id="30" w:name="_Toc178590242"/>
      <w:r>
        <w:lastRenderedPageBreak/>
        <w:t xml:space="preserve">Other </w:t>
      </w:r>
      <w:r w:rsidR="00973C20">
        <w:t>l</w:t>
      </w:r>
      <w:r>
        <w:t xml:space="preserve">icence </w:t>
      </w:r>
      <w:r w:rsidR="00973C20">
        <w:t>c</w:t>
      </w:r>
      <w:r>
        <w:t>onditions</w:t>
      </w:r>
      <w:r w:rsidR="00973C20">
        <w:t>:</w:t>
      </w:r>
      <w:r>
        <w:t xml:space="preserve"> </w:t>
      </w:r>
      <w:r w:rsidR="00973C20">
        <w:t>t</w:t>
      </w:r>
      <w:r>
        <w:t xml:space="preserve">echnical </w:t>
      </w:r>
      <w:r w:rsidR="00973C20">
        <w:t>c</w:t>
      </w:r>
      <w:r>
        <w:t>haracteristics</w:t>
      </w:r>
      <w:bookmarkEnd w:id="30"/>
    </w:p>
    <w:p w14:paraId="11003E19" w14:textId="67BEC549" w:rsidR="00BD1D64" w:rsidRDefault="00BD1D64" w:rsidP="00BD1D64">
      <w:pPr>
        <w:pStyle w:val="Paragraph"/>
      </w:pPr>
      <w:r>
        <w:t xml:space="preserve">Licensees are required to comply with all the conditions on a licence, including the technical characteristics, which includes antenna type and transmitter location. If a licensee transmits outside these parameters, </w:t>
      </w:r>
      <w:r w:rsidR="0EE86DD1">
        <w:t>it is</w:t>
      </w:r>
      <w:r>
        <w:t xml:space="preserve"> illegally transmitting in contravention of the Radiocommunications Act. </w:t>
      </w:r>
    </w:p>
    <w:p w14:paraId="515AF868" w14:textId="77777777" w:rsidR="00BD1D64" w:rsidRDefault="00BD1D64" w:rsidP="00BD1D64">
      <w:pPr>
        <w:pStyle w:val="Paragraph"/>
      </w:pPr>
      <w:r>
        <w:t>The Radiocommunications Act prohibits the use of a radiocommunications device otherwise than as authorised by a licence.</w:t>
      </w:r>
      <w:r>
        <w:rPr>
          <w:rStyle w:val="FootnoteReference"/>
        </w:rPr>
        <w:footnoteReference w:id="12"/>
      </w:r>
      <w:r>
        <w:t xml:space="preserve"> As the recent decision by the Federal Court in </w:t>
      </w:r>
      <w:hyperlink r:id="rId43" w:history="1">
        <w:r w:rsidRPr="00F460A5">
          <w:rPr>
            <w:rStyle w:val="Hyperlink"/>
          </w:rPr>
          <w:t xml:space="preserve">ACMA v </w:t>
        </w:r>
        <w:proofErr w:type="spellStart"/>
        <w:r w:rsidRPr="00F460A5">
          <w:rPr>
            <w:rStyle w:val="Hyperlink"/>
          </w:rPr>
          <w:t>Phaze</w:t>
        </w:r>
        <w:proofErr w:type="spellEnd"/>
        <w:r w:rsidRPr="00F460A5">
          <w:rPr>
            <w:rStyle w:val="Hyperlink"/>
          </w:rPr>
          <w:t xml:space="preserve"> Broadcasting</w:t>
        </w:r>
        <w:r w:rsidRPr="00A24FAC">
          <w:rPr>
            <w:rStyle w:val="Hyperlink"/>
          </w:rPr>
          <w:t xml:space="preserve"> [2024] FCA 473</w:t>
        </w:r>
      </w:hyperlink>
      <w:r>
        <w:t xml:space="preserve"> demonstrates, </w:t>
      </w:r>
      <w:r w:rsidRPr="00F460A5">
        <w:t>the technical characteristics on a licence form part of these licence conditions</w:t>
      </w:r>
      <w:r>
        <w:t xml:space="preserve"> and LPON licensees are only authorised to operate transmitters from the site indicated on their licence. </w:t>
      </w:r>
    </w:p>
    <w:p w14:paraId="29F897E2" w14:textId="770ED4AC" w:rsidR="00BD1D64" w:rsidRDefault="00BD1D64" w:rsidP="00BD1D64">
      <w:pPr>
        <w:pStyle w:val="Paragraph"/>
      </w:pPr>
      <w:r>
        <w:t xml:space="preserve">LPON licences are assigned licences, meaning each licence specifies a transmitter location. If your transmitter is not at that location, </w:t>
      </w:r>
      <w:r w:rsidRPr="00F460A5">
        <w:t>you are not licensed</w:t>
      </w:r>
      <w:r>
        <w:t>, even if the transmitter is within 2</w:t>
      </w:r>
      <w:r w:rsidR="002B6F66">
        <w:t xml:space="preserve"> </w:t>
      </w:r>
      <w:r>
        <w:t>km of the licensed site (or 10</w:t>
      </w:r>
      <w:r w:rsidR="002B6F66">
        <w:t xml:space="preserve"> </w:t>
      </w:r>
      <w:r>
        <w:t>km in non-residential areas), or you own all the licences in the surrounding geographic area.</w:t>
      </w:r>
    </w:p>
    <w:p w14:paraId="40E7745F" w14:textId="0CB1C221" w:rsidR="00BD1D64" w:rsidRDefault="00BD1D64" w:rsidP="00BD1D64">
      <w:pPr>
        <w:pStyle w:val="Paragraph"/>
      </w:pPr>
      <w:r>
        <w:t>This also means that if you are planning to relocate a transmitter</w:t>
      </w:r>
      <w:r w:rsidR="002E11C4">
        <w:t>,</w:t>
      </w:r>
      <w:r>
        <w:t xml:space="preserve"> you should ensure that you have completed</w:t>
      </w:r>
      <w:r w:rsidR="002E11C4">
        <w:t xml:space="preserve"> a</w:t>
      </w:r>
      <w:r>
        <w:t xml:space="preserve"> </w:t>
      </w:r>
      <w:hyperlink r:id="rId44" w:anchor="apply-to-change-the-location-of-an-existing-lpon-site">
        <w:r w:rsidRPr="005835E5">
          <w:rPr>
            <w:rStyle w:val="Hyperlink"/>
          </w:rPr>
          <w:t>licence variation request</w:t>
        </w:r>
      </w:hyperlink>
      <w:r>
        <w:t xml:space="preserve">, and the request has been approved </w:t>
      </w:r>
      <w:r w:rsidR="2FE402B6">
        <w:t xml:space="preserve">by the ACMA </w:t>
      </w:r>
      <w:r>
        <w:t>before the transmitter is moved.</w:t>
      </w:r>
    </w:p>
    <w:bookmarkEnd w:id="29"/>
    <w:p w14:paraId="0A682DFE" w14:textId="48562595" w:rsidR="00BD1D64" w:rsidRDefault="00BD1D64" w:rsidP="00BD1D64">
      <w:pPr>
        <w:pStyle w:val="Paragraph"/>
      </w:pPr>
      <w:r>
        <w:t xml:space="preserve">We encourage you to familiarise yourself with all conditions of your licence to ensure you </w:t>
      </w:r>
      <w:r w:rsidR="002E11C4">
        <w:t xml:space="preserve">can </w:t>
      </w:r>
      <w:r>
        <w:t xml:space="preserve">comply with them. If you need to request changes to your licence, further information is available on </w:t>
      </w:r>
      <w:hyperlink r:id="rId45">
        <w:r w:rsidRPr="62F7AD00">
          <w:rPr>
            <w:rStyle w:val="Hyperlink"/>
          </w:rPr>
          <w:t>our website</w:t>
        </w:r>
      </w:hyperlink>
      <w:r>
        <w:t xml:space="preserve">. </w:t>
      </w:r>
    </w:p>
    <w:p w14:paraId="59B915B4" w14:textId="77777777" w:rsidR="00BD1D64" w:rsidRDefault="00BD1D64" w:rsidP="00BD1D64">
      <w:pPr>
        <w:pStyle w:val="Paragraph"/>
        <w:keepNext/>
        <w:keepLines/>
      </w:pPr>
    </w:p>
    <w:p w14:paraId="2C828F94" w14:textId="77777777" w:rsidR="00BD1D64" w:rsidRDefault="00BD1D64" w:rsidP="00BD1D64">
      <w:pPr>
        <w:pStyle w:val="Paragraph"/>
        <w:keepNext/>
        <w:keepLines/>
      </w:pPr>
    </w:p>
    <w:p w14:paraId="27CAFDE7" w14:textId="77777777" w:rsidR="00BD1D64" w:rsidRDefault="00BD1D64" w:rsidP="00BD1D64">
      <w:pPr>
        <w:pStyle w:val="Paragraph"/>
        <w:keepNext/>
        <w:keepLines/>
      </w:pPr>
    </w:p>
    <w:p w14:paraId="317B584B" w14:textId="77777777" w:rsidR="00BD1D64" w:rsidRDefault="00BD1D64" w:rsidP="00BD1D64">
      <w:pPr>
        <w:pStyle w:val="Heading1"/>
      </w:pPr>
      <w:bookmarkStart w:id="31" w:name="_Toc178590243"/>
      <w:r>
        <w:lastRenderedPageBreak/>
        <w:t>Conclusions</w:t>
      </w:r>
      <w:bookmarkEnd w:id="31"/>
    </w:p>
    <w:p w14:paraId="63F6F2C3" w14:textId="5293CFF7" w:rsidR="00BD1D64" w:rsidRDefault="00BD1D64" w:rsidP="00BD1D64">
      <w:pPr>
        <w:pStyle w:val="Paragraph"/>
      </w:pPr>
      <w:r>
        <w:t>Our LPON audit program, along with previous AAT decisions and the recent Federal Court decision</w:t>
      </w:r>
      <w:r w:rsidR="77E15C6E">
        <w:t xml:space="preserve"> in the </w:t>
      </w:r>
      <w:proofErr w:type="spellStart"/>
      <w:r w:rsidR="77E15C6E">
        <w:t>Phaze</w:t>
      </w:r>
      <w:proofErr w:type="spellEnd"/>
      <w:r w:rsidR="77E15C6E">
        <w:t xml:space="preserve"> FM case</w:t>
      </w:r>
      <w:r>
        <w:t xml:space="preserve">, are useful to assist LPON licensees to better understand how to comply with LPON licence conditions. </w:t>
      </w:r>
    </w:p>
    <w:p w14:paraId="13CC018D" w14:textId="7100997B" w:rsidR="00BD1D64" w:rsidRPr="00AF6924" w:rsidRDefault="00BD1D64" w:rsidP="00F460A5">
      <w:pPr>
        <w:pStyle w:val="Paragraphbeforelist"/>
      </w:pPr>
      <w:r>
        <w:t xml:space="preserve">The ACMA wishes to assist LPON licensees in maintaining a compliant service and has published this guide </w:t>
      </w:r>
      <w:bookmarkStart w:id="32" w:name="_Int_VRRUBXjQ"/>
      <w:proofErr w:type="gramStart"/>
      <w:r>
        <w:t>in an effort to</w:t>
      </w:r>
      <w:bookmarkEnd w:id="32"/>
      <w:proofErr w:type="gramEnd"/>
      <w:r>
        <w:t xml:space="preserve"> explain the requirements and limitations for: </w:t>
      </w:r>
    </w:p>
    <w:p w14:paraId="1464487B" w14:textId="0B6331BD" w:rsidR="00BD1D64" w:rsidRPr="00B05897" w:rsidRDefault="00BD1D64" w:rsidP="00F460A5">
      <w:pPr>
        <w:pStyle w:val="Bulletlevel1"/>
      </w:pPr>
      <w:r w:rsidRPr="00B05897">
        <w:t>LPON</w:t>
      </w:r>
      <w:r>
        <w:t xml:space="preserve"> services power and coverage</w:t>
      </w:r>
    </w:p>
    <w:p w14:paraId="663D4A62" w14:textId="5571031C" w:rsidR="00BD1D64" w:rsidRDefault="00BD1D64" w:rsidP="00F460A5">
      <w:pPr>
        <w:pStyle w:val="Bulletlevel1"/>
      </w:pPr>
      <w:r>
        <w:t>UIOLI and record keeping requirements</w:t>
      </w:r>
    </w:p>
    <w:p w14:paraId="585B782D" w14:textId="77777777" w:rsidR="00BD1D64" w:rsidRDefault="00BD1D64" w:rsidP="00F460A5">
      <w:pPr>
        <w:pStyle w:val="Bulletlevel1last"/>
      </w:pPr>
      <w:r>
        <w:t>the technical characteristics on a licence which form part of the licence conditions, including the requirement to only transmit from the licensed site.</w:t>
      </w:r>
    </w:p>
    <w:p w14:paraId="481E49BD" w14:textId="7C6BE3E3" w:rsidR="00BD1D64" w:rsidRPr="00AF6924" w:rsidRDefault="00112336" w:rsidP="00BD1D64">
      <w:pPr>
        <w:pStyle w:val="Paragraph"/>
      </w:pPr>
      <w:r>
        <w:t>We</w:t>
      </w:r>
      <w:r w:rsidR="00BD1D64">
        <w:t xml:space="preserve"> provide a range of information to LPON licensees, including this guide, to make it easy to understand and comply with the licence conditions. </w:t>
      </w:r>
      <w:r w:rsidR="12AC5048">
        <w:t xml:space="preserve">If you have </w:t>
      </w:r>
      <w:r w:rsidR="00DE756F">
        <w:t xml:space="preserve">any </w:t>
      </w:r>
      <w:r w:rsidR="12AC5048">
        <w:t xml:space="preserve">questions, you can contact us </w:t>
      </w:r>
      <w:r w:rsidR="00DE756F">
        <w:t>on</w:t>
      </w:r>
      <w:r w:rsidR="12AC5048">
        <w:t xml:space="preserve"> the details below. </w:t>
      </w:r>
    </w:p>
    <w:p w14:paraId="4CFFA702" w14:textId="77777777" w:rsidR="00BD1D64" w:rsidRPr="00AF63EF" w:rsidRDefault="00BD1D64" w:rsidP="00BD1D64">
      <w:pPr>
        <w:pStyle w:val="Paragraph"/>
      </w:pPr>
    </w:p>
    <w:p w14:paraId="06B6DF48" w14:textId="77777777" w:rsidR="00BD1D64" w:rsidRDefault="00BD1D64" w:rsidP="00BD1D64">
      <w:pPr>
        <w:spacing w:before="240" w:after="120"/>
      </w:pPr>
    </w:p>
    <w:p w14:paraId="30A081AF" w14:textId="77777777" w:rsidR="00BD1D64" w:rsidRPr="00921E6E" w:rsidRDefault="00BD1D64" w:rsidP="00BD1D64">
      <w:pPr>
        <w:spacing w:line="240" w:lineRule="auto"/>
        <w:rPr>
          <w:rFonts w:cs="Arial"/>
        </w:rPr>
      </w:pPr>
    </w:p>
    <w:p w14:paraId="189BD6B7" w14:textId="77777777" w:rsidR="00BD1D64" w:rsidRDefault="00BD1D64" w:rsidP="00BD1D64">
      <w:pPr>
        <w:spacing w:before="240" w:after="120"/>
      </w:pPr>
    </w:p>
    <w:p w14:paraId="2D88F08A" w14:textId="77777777" w:rsidR="00BD1D64" w:rsidRPr="00921E6E" w:rsidRDefault="00BD1D64" w:rsidP="00BD1D64">
      <w:pPr>
        <w:spacing w:line="240" w:lineRule="auto"/>
        <w:rPr>
          <w:rFonts w:cs="Arial"/>
        </w:rPr>
      </w:pPr>
    </w:p>
    <w:p w14:paraId="7980B19A" w14:textId="77777777" w:rsidR="00BD1D64" w:rsidRPr="008D1FBF" w:rsidRDefault="00BD1D64" w:rsidP="00BD1D64">
      <w:pPr>
        <w:rPr>
          <w14:shadow w14:blurRad="50800" w14:dist="63500" w14:dir="5400000" w14:sx="3000" w14:sy="3000" w14:kx="0" w14:ky="0" w14:algn="ctr">
            <w14:schemeClr w14:val="tx1"/>
          </w14:shadow>
        </w:rPr>
      </w:pPr>
    </w:p>
    <w:p w14:paraId="592A481F" w14:textId="77777777" w:rsidR="00BD1D64" w:rsidRPr="00921E6E" w:rsidRDefault="00BD1D64" w:rsidP="00BD1D64">
      <w:pPr>
        <w:pStyle w:val="Heading1"/>
      </w:pPr>
      <w:bookmarkStart w:id="33" w:name="_More_information"/>
      <w:bookmarkStart w:id="34" w:name="_Toc51266055"/>
      <w:bookmarkStart w:id="35" w:name="_Toc178590244"/>
      <w:bookmarkEnd w:id="33"/>
      <w:r w:rsidRPr="00921E6E">
        <w:lastRenderedPageBreak/>
        <w:t>More information</w:t>
      </w:r>
      <w:bookmarkEnd w:id="34"/>
      <w:bookmarkEnd w:id="35"/>
    </w:p>
    <w:p w14:paraId="461DABBF" w14:textId="77777777" w:rsidR="00BD1D64" w:rsidRPr="00707CBE" w:rsidRDefault="00BD1D64" w:rsidP="00BD1D64">
      <w:pPr>
        <w:pStyle w:val="Bodysubheader0"/>
        <w:spacing w:after="80"/>
        <w:rPr>
          <w:i w:val="0"/>
          <w:iCs/>
        </w:rPr>
      </w:pPr>
      <w:r w:rsidRPr="00707CBE">
        <w:rPr>
          <w:i w:val="0"/>
          <w:iCs/>
        </w:rPr>
        <w:t>LPON licence information</w:t>
      </w:r>
    </w:p>
    <w:p w14:paraId="7B529A18" w14:textId="4517AC10" w:rsidR="00BD1D64" w:rsidRDefault="00495E57" w:rsidP="00BD1D64">
      <w:pPr>
        <w:pStyle w:val="ListBullet"/>
        <w:tabs>
          <w:tab w:val="clear" w:pos="295"/>
          <w:tab w:val="num" w:pos="360"/>
        </w:tabs>
        <w:spacing w:after="240"/>
        <w:ind w:left="360" w:hanging="360"/>
      </w:pPr>
      <w:r>
        <w:rPr>
          <w:rFonts w:cs="Arial"/>
          <w:szCs w:val="20"/>
        </w:rPr>
        <w:t>g</w:t>
      </w:r>
      <w:r w:rsidR="00BD1D64">
        <w:rPr>
          <w:rFonts w:cs="Arial"/>
          <w:szCs w:val="20"/>
        </w:rPr>
        <w:t xml:space="preserve">o to </w:t>
      </w:r>
      <w:r w:rsidR="00BD1D64" w:rsidRPr="0039030C">
        <w:rPr>
          <w:rFonts w:cs="Arial"/>
          <w:szCs w:val="20"/>
        </w:rPr>
        <w:t xml:space="preserve"> </w:t>
      </w:r>
      <w:hyperlink r:id="rId46" w:history="1">
        <w:r w:rsidR="00BD1D64">
          <w:rPr>
            <w:rStyle w:val="Hyperlink"/>
          </w:rPr>
          <w:t>www.acma.gov.au/low-power-open-narrowcasting-licences</w:t>
        </w:r>
      </w:hyperlink>
      <w:r w:rsidR="00177D62" w:rsidRPr="00F460A5">
        <w:rPr>
          <w:rStyle w:val="Hyperlink"/>
          <w:color w:val="auto"/>
          <w:u w:val="none"/>
        </w:rPr>
        <w:t>.</w:t>
      </w:r>
    </w:p>
    <w:p w14:paraId="2AEE9783" w14:textId="77777777" w:rsidR="00BD1D64" w:rsidRPr="00707CBE" w:rsidRDefault="00BD1D64" w:rsidP="00BD1D64">
      <w:pPr>
        <w:pStyle w:val="Bodysubheader0"/>
        <w:spacing w:after="80"/>
        <w:rPr>
          <w:i w:val="0"/>
          <w:iCs/>
        </w:rPr>
      </w:pPr>
      <w:r w:rsidRPr="00707CBE">
        <w:rPr>
          <w:i w:val="0"/>
          <w:iCs/>
        </w:rPr>
        <w:t xml:space="preserve">The Administrative Appeals decision reports </w:t>
      </w:r>
    </w:p>
    <w:p w14:paraId="1E373BC2" w14:textId="77777777" w:rsidR="00BD1D64" w:rsidRPr="00177D62" w:rsidRDefault="00767413" w:rsidP="00BD1D64">
      <w:pPr>
        <w:pStyle w:val="FootnoteText"/>
        <w:numPr>
          <w:ilvl w:val="0"/>
          <w:numId w:val="16"/>
        </w:numPr>
        <w:spacing w:after="80" w:line="240" w:lineRule="atLeast"/>
        <w:rPr>
          <w:sz w:val="20"/>
          <w:szCs w:val="20"/>
        </w:rPr>
      </w:pPr>
      <w:hyperlink r:id="rId47" w:history="1">
        <w:r w:rsidR="00BD1D64" w:rsidRPr="00F460A5">
          <w:rPr>
            <w:rStyle w:val="Hyperlink"/>
            <w:sz w:val="20"/>
            <w:szCs w:val="20"/>
          </w:rPr>
          <w:t xml:space="preserve">W&amp;A </w:t>
        </w:r>
        <w:proofErr w:type="spellStart"/>
        <w:r w:rsidR="00BD1D64" w:rsidRPr="00F460A5">
          <w:rPr>
            <w:rStyle w:val="Hyperlink"/>
            <w:sz w:val="20"/>
            <w:szCs w:val="20"/>
          </w:rPr>
          <w:t>Willmington</w:t>
        </w:r>
        <w:proofErr w:type="spellEnd"/>
        <w:r w:rsidR="00BD1D64" w:rsidRPr="00F460A5">
          <w:rPr>
            <w:rStyle w:val="Hyperlink"/>
            <w:sz w:val="20"/>
            <w:szCs w:val="20"/>
          </w:rPr>
          <w:t xml:space="preserve"> and Australian Communications and Media Authority</w:t>
        </w:r>
      </w:hyperlink>
    </w:p>
    <w:p w14:paraId="47FC39AC" w14:textId="0C3A2C2A" w:rsidR="00BD1D64" w:rsidRPr="00177D62" w:rsidRDefault="00767413" w:rsidP="00BD1D64">
      <w:pPr>
        <w:pStyle w:val="Bodysubheader0"/>
        <w:numPr>
          <w:ilvl w:val="0"/>
          <w:numId w:val="16"/>
        </w:numPr>
        <w:spacing w:after="240"/>
        <w:rPr>
          <w:b w:val="0"/>
          <w:bCs/>
          <w:i w:val="0"/>
          <w:szCs w:val="20"/>
        </w:rPr>
      </w:pPr>
      <w:hyperlink r:id="rId48" w:history="1">
        <w:proofErr w:type="spellStart"/>
        <w:r w:rsidR="00BD1D64" w:rsidRPr="00F460A5">
          <w:rPr>
            <w:rStyle w:val="Hyperlink"/>
            <w:b w:val="0"/>
            <w:bCs/>
            <w:i w:val="0"/>
            <w:szCs w:val="20"/>
          </w:rPr>
          <w:t>Futrends</w:t>
        </w:r>
        <w:proofErr w:type="spellEnd"/>
        <w:r w:rsidR="00BD1D64" w:rsidRPr="00F460A5">
          <w:rPr>
            <w:rStyle w:val="Hyperlink"/>
            <w:b w:val="0"/>
            <w:bCs/>
            <w:i w:val="0"/>
            <w:szCs w:val="20"/>
          </w:rPr>
          <w:t xml:space="preserve"> Pty Ltd and Australian Communications and Media Authority</w:t>
        </w:r>
      </w:hyperlink>
      <w:r w:rsidR="00177D62" w:rsidRPr="00F460A5">
        <w:rPr>
          <w:rStyle w:val="Hyperlink"/>
          <w:b w:val="0"/>
          <w:bCs/>
          <w:i w:val="0"/>
          <w:color w:val="auto"/>
          <w:szCs w:val="20"/>
          <w:u w:val="none"/>
        </w:rPr>
        <w:t>.</w:t>
      </w:r>
    </w:p>
    <w:p w14:paraId="323D5E2B" w14:textId="078AD6BA" w:rsidR="00BD1D64" w:rsidRPr="00707CBE" w:rsidRDefault="00BD1D64" w:rsidP="62F7AD00">
      <w:pPr>
        <w:pStyle w:val="Bodysubheader0"/>
        <w:spacing w:after="80"/>
        <w:rPr>
          <w:i w:val="0"/>
        </w:rPr>
      </w:pPr>
      <w:r w:rsidRPr="62F7AD00">
        <w:rPr>
          <w:i w:val="0"/>
        </w:rPr>
        <w:t xml:space="preserve">Keep </w:t>
      </w:r>
      <w:proofErr w:type="gramStart"/>
      <w:r w:rsidR="47DE3D82" w:rsidRPr="62F7AD00">
        <w:rPr>
          <w:i w:val="0"/>
        </w:rPr>
        <w:t>up</w:t>
      </w:r>
      <w:r w:rsidR="00177D62">
        <w:rPr>
          <w:i w:val="0"/>
        </w:rPr>
        <w:t>-</w:t>
      </w:r>
      <w:r w:rsidR="47DE3D82" w:rsidRPr="62F7AD00">
        <w:rPr>
          <w:i w:val="0"/>
        </w:rPr>
        <w:t>to</w:t>
      </w:r>
      <w:r w:rsidR="00177D62">
        <w:rPr>
          <w:i w:val="0"/>
        </w:rPr>
        <w:t>-</w:t>
      </w:r>
      <w:r w:rsidR="47DE3D82" w:rsidRPr="62F7AD00">
        <w:rPr>
          <w:i w:val="0"/>
        </w:rPr>
        <w:t>date</w:t>
      </w:r>
      <w:proofErr w:type="gramEnd"/>
    </w:p>
    <w:p w14:paraId="77525390" w14:textId="7D66BC19" w:rsidR="00BD1D64" w:rsidRDefault="00767413" w:rsidP="00BD1D64">
      <w:pPr>
        <w:pStyle w:val="ListBullet"/>
        <w:numPr>
          <w:ilvl w:val="0"/>
          <w:numId w:val="15"/>
        </w:numPr>
        <w:rPr>
          <w:rFonts w:cs="Arial"/>
          <w:szCs w:val="20"/>
        </w:rPr>
      </w:pPr>
      <w:hyperlink r:id="rId49" w:history="1">
        <w:r w:rsidR="00177D62">
          <w:rPr>
            <w:rStyle w:val="Hyperlink"/>
            <w:rFonts w:cs="Arial"/>
            <w:szCs w:val="20"/>
          </w:rPr>
          <w:t>s</w:t>
        </w:r>
        <w:r w:rsidR="00BD1D64" w:rsidRPr="00177D62">
          <w:rPr>
            <w:rStyle w:val="Hyperlink"/>
            <w:rFonts w:cs="Arial"/>
            <w:szCs w:val="20"/>
          </w:rPr>
          <w:t>ubscribe to an ACMA newsletter</w:t>
        </w:r>
      </w:hyperlink>
      <w:r w:rsidR="00BD1D64">
        <w:rPr>
          <w:rFonts w:cs="Arial"/>
          <w:szCs w:val="20"/>
        </w:rPr>
        <w:t xml:space="preserve"> </w:t>
      </w:r>
    </w:p>
    <w:p w14:paraId="2C5CA124" w14:textId="09959AD4" w:rsidR="00BD1D64" w:rsidRPr="00921E6E" w:rsidRDefault="00767413" w:rsidP="00BD1D64">
      <w:pPr>
        <w:pStyle w:val="ListBullet"/>
        <w:numPr>
          <w:ilvl w:val="0"/>
          <w:numId w:val="15"/>
        </w:numPr>
        <w:rPr>
          <w:rFonts w:cs="Arial"/>
          <w:szCs w:val="20"/>
        </w:rPr>
      </w:pPr>
      <w:hyperlink r:id="rId50" w:history="1">
        <w:r w:rsidR="00177D62" w:rsidRPr="00177D62">
          <w:rPr>
            <w:rStyle w:val="Hyperlink"/>
            <w:rFonts w:cs="Arial"/>
            <w:szCs w:val="20"/>
          </w:rPr>
          <w:t>f</w:t>
        </w:r>
        <w:r w:rsidR="00BD1D64" w:rsidRPr="00177D62">
          <w:rPr>
            <w:rStyle w:val="Hyperlink"/>
            <w:rFonts w:cs="Arial"/>
            <w:szCs w:val="20"/>
          </w:rPr>
          <w:t>ollow us on</w:t>
        </w:r>
        <w:r w:rsidR="00177D62" w:rsidRPr="00177D62">
          <w:rPr>
            <w:rStyle w:val="Hyperlink"/>
            <w:rFonts w:cs="Arial"/>
            <w:szCs w:val="20"/>
          </w:rPr>
          <w:t xml:space="preserve"> X</w:t>
        </w:r>
      </w:hyperlink>
      <w:r w:rsidR="00177D62">
        <w:rPr>
          <w:rFonts w:cs="Arial"/>
          <w:szCs w:val="20"/>
        </w:rPr>
        <w:t xml:space="preserve"> (formerly Twitter)</w:t>
      </w:r>
    </w:p>
    <w:p w14:paraId="789EB638" w14:textId="31402F5D" w:rsidR="00BD1D64" w:rsidRPr="00921E6E" w:rsidRDefault="00767413" w:rsidP="00BD1D64">
      <w:pPr>
        <w:pStyle w:val="ListBullet"/>
        <w:numPr>
          <w:ilvl w:val="0"/>
          <w:numId w:val="15"/>
        </w:numPr>
        <w:rPr>
          <w:rFonts w:cs="Arial"/>
          <w:szCs w:val="20"/>
        </w:rPr>
      </w:pPr>
      <w:hyperlink w:history="1">
        <w:r w:rsidR="00495E57" w:rsidRPr="00495E57">
          <w:rPr>
            <w:rStyle w:val="Hyperlink"/>
            <w:rFonts w:cs="Arial"/>
            <w:szCs w:val="20"/>
          </w:rPr>
          <w:t>‘like’ us on Facebook</w:t>
        </w:r>
      </w:hyperlink>
      <w:r w:rsidR="00BD1D64" w:rsidRPr="00921E6E">
        <w:rPr>
          <w:rFonts w:cs="Arial"/>
          <w:szCs w:val="20"/>
        </w:rPr>
        <w:t xml:space="preserve"> </w:t>
      </w:r>
    </w:p>
    <w:p w14:paraId="7BC181DE" w14:textId="788AC2F7" w:rsidR="00BD1D64" w:rsidRPr="00921E6E" w:rsidRDefault="00767413" w:rsidP="00BD1D64">
      <w:pPr>
        <w:pStyle w:val="ListBullet"/>
        <w:numPr>
          <w:ilvl w:val="0"/>
          <w:numId w:val="15"/>
        </w:numPr>
        <w:spacing w:after="240"/>
        <w:rPr>
          <w:rFonts w:cs="Arial"/>
          <w:szCs w:val="20"/>
        </w:rPr>
      </w:pPr>
      <w:hyperlink r:id="rId51" w:history="1">
        <w:r w:rsidR="00495E57">
          <w:rPr>
            <w:rStyle w:val="Hyperlink"/>
            <w:rFonts w:cs="Arial"/>
            <w:szCs w:val="20"/>
          </w:rPr>
          <w:t>v</w:t>
        </w:r>
        <w:r w:rsidR="00BD1D64" w:rsidRPr="00495E57">
          <w:rPr>
            <w:rStyle w:val="Hyperlink"/>
            <w:rFonts w:cs="Arial"/>
            <w:szCs w:val="20"/>
          </w:rPr>
          <w:t>iew us on</w:t>
        </w:r>
        <w:r w:rsidR="00495E57" w:rsidRPr="00495E57">
          <w:rPr>
            <w:rStyle w:val="Hyperlink"/>
            <w:rFonts w:cs="Arial"/>
            <w:szCs w:val="20"/>
          </w:rPr>
          <w:t xml:space="preserve"> YouTube</w:t>
        </w:r>
      </w:hyperlink>
      <w:r w:rsidR="00495E57">
        <w:rPr>
          <w:rFonts w:cs="Arial"/>
          <w:szCs w:val="20"/>
        </w:rPr>
        <w:t>.</w:t>
      </w:r>
      <w:r w:rsidR="00BD1D64" w:rsidRPr="00921E6E">
        <w:rPr>
          <w:rFonts w:cs="Arial"/>
          <w:szCs w:val="20"/>
        </w:rPr>
        <w:t xml:space="preserve"> </w:t>
      </w:r>
    </w:p>
    <w:p w14:paraId="49A027D8" w14:textId="77777777" w:rsidR="00BD1D64" w:rsidRPr="00707CBE" w:rsidRDefault="00BD1D64" w:rsidP="00BD1D64">
      <w:pPr>
        <w:pStyle w:val="Bodysubheader0"/>
        <w:spacing w:after="80"/>
        <w:rPr>
          <w:i w:val="0"/>
          <w:iCs/>
        </w:rPr>
      </w:pPr>
      <w:r w:rsidRPr="00707CBE">
        <w:rPr>
          <w:i w:val="0"/>
          <w:iCs/>
        </w:rPr>
        <w:t>Contact ACMA</w:t>
      </w:r>
    </w:p>
    <w:p w14:paraId="20256F99" w14:textId="3E9E5D2D" w:rsidR="00BD1D64" w:rsidRDefault="00177D62" w:rsidP="00BD1D64">
      <w:pPr>
        <w:pStyle w:val="ListBullet"/>
        <w:numPr>
          <w:ilvl w:val="0"/>
          <w:numId w:val="15"/>
        </w:numPr>
        <w:tabs>
          <w:tab w:val="clear" w:pos="295"/>
        </w:tabs>
      </w:pPr>
      <w:r>
        <w:t>e</w:t>
      </w:r>
      <w:r w:rsidR="00BD1D64">
        <w:t xml:space="preserve">mail: </w:t>
      </w:r>
      <w:hyperlink r:id="rId52" w:history="1">
        <w:r w:rsidR="00BD1D64" w:rsidRPr="00EA42AC">
          <w:rPr>
            <w:rStyle w:val="Hyperlink"/>
          </w:rPr>
          <w:t>info@acma.gov.au</w:t>
        </w:r>
      </w:hyperlink>
    </w:p>
    <w:p w14:paraId="57370A29" w14:textId="6E6E9035" w:rsidR="00BD1D64" w:rsidRDefault="00177D62" w:rsidP="00BD1D64">
      <w:pPr>
        <w:pStyle w:val="ListBullet"/>
        <w:numPr>
          <w:ilvl w:val="0"/>
          <w:numId w:val="15"/>
        </w:numPr>
        <w:tabs>
          <w:tab w:val="clear" w:pos="295"/>
        </w:tabs>
      </w:pPr>
      <w:r>
        <w:t>p</w:t>
      </w:r>
      <w:r w:rsidR="00BD1D64">
        <w:t>hone: 1300 850 115</w:t>
      </w:r>
      <w:r>
        <w:t>.</w:t>
      </w:r>
    </w:p>
    <w:p w14:paraId="758DAEF8" w14:textId="77777777" w:rsidR="00BD1D64" w:rsidRDefault="00BD1D64" w:rsidP="00BD1D64">
      <w:pPr>
        <w:pStyle w:val="Heading1"/>
      </w:pPr>
      <w:bookmarkStart w:id="36" w:name="_Appendix_A"/>
      <w:bookmarkStart w:id="37" w:name="_Toc51266056"/>
      <w:bookmarkStart w:id="38" w:name="_Toc178590245"/>
      <w:bookmarkEnd w:id="36"/>
      <w:r>
        <w:lastRenderedPageBreak/>
        <w:t>Appendix A</w:t>
      </w:r>
      <w:bookmarkEnd w:id="37"/>
      <w:bookmarkEnd w:id="38"/>
    </w:p>
    <w:p w14:paraId="577E4565" w14:textId="77777777" w:rsidR="00BD1D64" w:rsidRPr="00725094" w:rsidRDefault="00767413" w:rsidP="00BD1D64">
      <w:pPr>
        <w:rPr>
          <w:rFonts w:cs="Arial"/>
          <w:szCs w:val="20"/>
        </w:rPr>
      </w:pPr>
      <w:hyperlink r:id="rId53" w:history="1">
        <w:r w:rsidR="00BD1D64" w:rsidRPr="00725094">
          <w:rPr>
            <w:rStyle w:val="Hyperlink"/>
            <w:rFonts w:cs="Arial"/>
            <w:szCs w:val="20"/>
          </w:rPr>
          <w:t>Radiocommunications Licence Conditions (Broadcasting Licence) Determination 2015</w:t>
        </w:r>
      </w:hyperlink>
      <w:r w:rsidR="00BD1D64" w:rsidRPr="00725094">
        <w:rPr>
          <w:rFonts w:cs="Arial"/>
          <w:szCs w:val="20"/>
        </w:rPr>
        <w:t xml:space="preserve"> </w:t>
      </w:r>
    </w:p>
    <w:p w14:paraId="223923B6" w14:textId="77777777" w:rsidR="00BD1D64" w:rsidRPr="00725094" w:rsidRDefault="00BD1D64" w:rsidP="00BD1D64">
      <w:pPr>
        <w:pStyle w:val="hr"/>
        <w:keepNext/>
        <w:spacing w:before="360" w:beforeAutospacing="0" w:after="0" w:afterAutospacing="0"/>
        <w:ind w:left="964" w:hanging="964"/>
        <w:rPr>
          <w:rFonts w:ascii="Arial" w:hAnsi="Arial" w:cs="Arial"/>
          <w:b/>
          <w:bCs/>
          <w:color w:val="000000"/>
          <w:sz w:val="20"/>
          <w:szCs w:val="20"/>
        </w:rPr>
      </w:pPr>
      <w:bookmarkStart w:id="39" w:name="_Toc239837738"/>
      <w:r w:rsidRPr="00725094">
        <w:rPr>
          <w:rFonts w:ascii="Arial" w:hAnsi="Arial" w:cs="Arial"/>
          <w:b/>
          <w:bCs/>
          <w:color w:val="000000"/>
          <w:sz w:val="20"/>
          <w:szCs w:val="20"/>
        </w:rPr>
        <w:t>4.11 Certain low power open narrowcasting services — other conditions</w:t>
      </w:r>
      <w:bookmarkEnd w:id="39"/>
    </w:p>
    <w:p w14:paraId="051BC5CD" w14:textId="77777777" w:rsidR="00BD1D64" w:rsidRPr="00725094" w:rsidRDefault="00BD1D64" w:rsidP="00BD1D64">
      <w:pPr>
        <w:pStyle w:val="zr1"/>
        <w:keepNext/>
        <w:spacing w:before="120" w:beforeAutospacing="0" w:after="0" w:afterAutospacing="0" w:line="260" w:lineRule="atLeast"/>
        <w:ind w:left="964" w:hanging="964"/>
        <w:jc w:val="both"/>
        <w:rPr>
          <w:rFonts w:ascii="Arial" w:hAnsi="Arial" w:cs="Arial"/>
          <w:color w:val="000000"/>
          <w:sz w:val="20"/>
          <w:szCs w:val="20"/>
        </w:rPr>
      </w:pPr>
      <w:r w:rsidRPr="00725094">
        <w:rPr>
          <w:rFonts w:ascii="Arial" w:hAnsi="Arial" w:cs="Arial"/>
          <w:color w:val="000000"/>
          <w:sz w:val="20"/>
          <w:szCs w:val="20"/>
        </w:rPr>
        <w:t>         (1)   A licence that authorises the operation of a narrowcasting service station at a carrier frequency within the range 87.5 to 88.0 MHz (inclusive) to provide a low power open narrowcasting service is subject to the following conditions:</w:t>
      </w:r>
    </w:p>
    <w:p w14:paraId="1580044B" w14:textId="77777777" w:rsidR="00BD1D64" w:rsidRPr="00725094" w:rsidRDefault="00BD1D64" w:rsidP="00BD1D64">
      <w:pPr>
        <w:pStyle w:val="zp1"/>
        <w:keepNext/>
        <w:spacing w:before="60" w:beforeAutospacing="0" w:after="0" w:afterAutospacing="0" w:line="260" w:lineRule="atLeast"/>
        <w:ind w:left="1418" w:hanging="1418"/>
        <w:jc w:val="both"/>
        <w:rPr>
          <w:rFonts w:ascii="Arial" w:hAnsi="Arial" w:cs="Arial"/>
          <w:color w:val="000000"/>
          <w:sz w:val="20"/>
          <w:szCs w:val="20"/>
        </w:rPr>
      </w:pPr>
      <w:r w:rsidRPr="00725094">
        <w:rPr>
          <w:rFonts w:ascii="Arial" w:hAnsi="Arial" w:cs="Arial"/>
          <w:color w:val="000000"/>
          <w:sz w:val="20"/>
          <w:szCs w:val="20"/>
        </w:rPr>
        <w:t xml:space="preserve">                (a)    if the licence is issued otherwise than upon renewal under section 130 of the Act – unless the licensee has a reasonable excuse for not doing so, the licensee must commence the service within 6 months beginning on the day the licence is </w:t>
      </w:r>
      <w:proofErr w:type="gramStart"/>
      <w:r w:rsidRPr="00725094">
        <w:rPr>
          <w:rFonts w:ascii="Arial" w:hAnsi="Arial" w:cs="Arial"/>
          <w:color w:val="000000"/>
          <w:sz w:val="20"/>
          <w:szCs w:val="20"/>
        </w:rPr>
        <w:t>issued;</w:t>
      </w:r>
      <w:proofErr w:type="gramEnd"/>
    </w:p>
    <w:p w14:paraId="6B317B46" w14:textId="77777777" w:rsidR="00BD1D64" w:rsidRPr="00725094" w:rsidRDefault="00BD1D64" w:rsidP="00BD1D64">
      <w:pPr>
        <w:pStyle w:val="p1"/>
        <w:spacing w:before="60" w:beforeAutospacing="0" w:after="0" w:afterAutospacing="0" w:line="260" w:lineRule="atLeast"/>
        <w:ind w:left="1418" w:hanging="1418"/>
        <w:jc w:val="both"/>
        <w:rPr>
          <w:rFonts w:ascii="Arial" w:hAnsi="Arial" w:cs="Arial"/>
          <w:color w:val="000000"/>
          <w:sz w:val="20"/>
          <w:szCs w:val="20"/>
        </w:rPr>
      </w:pPr>
      <w:r w:rsidRPr="00725094">
        <w:rPr>
          <w:rFonts w:ascii="Arial" w:hAnsi="Arial" w:cs="Arial"/>
          <w:color w:val="000000"/>
          <w:sz w:val="20"/>
          <w:szCs w:val="20"/>
        </w:rPr>
        <w:t xml:space="preserve">               (b)    subject to paragraph (a), the licensee must provide the service with reasonable regularity for the duration of the </w:t>
      </w:r>
      <w:proofErr w:type="gramStart"/>
      <w:r w:rsidRPr="00725094">
        <w:rPr>
          <w:rFonts w:ascii="Arial" w:hAnsi="Arial" w:cs="Arial"/>
          <w:color w:val="000000"/>
          <w:sz w:val="20"/>
          <w:szCs w:val="20"/>
        </w:rPr>
        <w:t>licence;</w:t>
      </w:r>
      <w:proofErr w:type="gramEnd"/>
    </w:p>
    <w:p w14:paraId="645317F3" w14:textId="77777777" w:rsidR="00BD1D64" w:rsidRPr="00725094" w:rsidRDefault="00BD1D64" w:rsidP="00BD1D64">
      <w:pPr>
        <w:pStyle w:val="p1"/>
        <w:spacing w:before="60" w:beforeAutospacing="0" w:after="0" w:afterAutospacing="0" w:line="260" w:lineRule="atLeast"/>
        <w:ind w:left="1418" w:hanging="1418"/>
        <w:jc w:val="both"/>
        <w:rPr>
          <w:rFonts w:ascii="Arial" w:hAnsi="Arial" w:cs="Arial"/>
          <w:color w:val="000000"/>
          <w:sz w:val="20"/>
          <w:szCs w:val="20"/>
        </w:rPr>
      </w:pPr>
      <w:r w:rsidRPr="00725094">
        <w:rPr>
          <w:rFonts w:ascii="Arial" w:hAnsi="Arial" w:cs="Arial"/>
          <w:color w:val="000000"/>
          <w:sz w:val="20"/>
          <w:szCs w:val="20"/>
        </w:rPr>
        <w:t xml:space="preserve">                (c)    the licensee must maintain records of the commencement, hours of operation and provision of the service.  </w:t>
      </w:r>
    </w:p>
    <w:p w14:paraId="62CAB84A" w14:textId="77777777" w:rsidR="00BD1D64" w:rsidRPr="00725094" w:rsidRDefault="00BD1D64" w:rsidP="00BD1D64">
      <w:pPr>
        <w:pStyle w:val="note"/>
        <w:spacing w:before="120" w:beforeAutospacing="0" w:after="0" w:afterAutospacing="0" w:line="220" w:lineRule="atLeast"/>
        <w:ind w:left="964"/>
        <w:jc w:val="both"/>
        <w:rPr>
          <w:rFonts w:ascii="Arial" w:hAnsi="Arial" w:cs="Arial"/>
          <w:color w:val="000000"/>
          <w:sz w:val="20"/>
          <w:szCs w:val="20"/>
        </w:rPr>
      </w:pPr>
      <w:r w:rsidRPr="00725094">
        <w:rPr>
          <w:rFonts w:ascii="Arial" w:hAnsi="Arial" w:cs="Arial"/>
          <w:i/>
          <w:iCs/>
          <w:color w:val="000000"/>
          <w:sz w:val="20"/>
          <w:szCs w:val="20"/>
        </w:rPr>
        <w:t>Note</w:t>
      </w:r>
      <w:r w:rsidRPr="00725094">
        <w:rPr>
          <w:rFonts w:ascii="Arial" w:hAnsi="Arial" w:cs="Arial"/>
          <w:color w:val="000000"/>
          <w:sz w:val="20"/>
          <w:szCs w:val="20"/>
        </w:rPr>
        <w:t xml:space="preserve">   See clauses 6 and 9 of the </w:t>
      </w:r>
      <w:r w:rsidRPr="00725094">
        <w:rPr>
          <w:rFonts w:ascii="Arial" w:hAnsi="Arial" w:cs="Arial"/>
          <w:i/>
          <w:iCs/>
          <w:color w:val="000000"/>
          <w:sz w:val="20"/>
          <w:szCs w:val="20"/>
        </w:rPr>
        <w:t>Australian Communications Authority (LPON Transmitter Licences) Direction No. 2 of 2000</w:t>
      </w:r>
      <w:r w:rsidRPr="00725094">
        <w:rPr>
          <w:rFonts w:ascii="Arial" w:hAnsi="Arial" w:cs="Arial"/>
          <w:color w:val="000000"/>
          <w:sz w:val="20"/>
          <w:szCs w:val="20"/>
        </w:rPr>
        <w:t>.</w:t>
      </w:r>
    </w:p>
    <w:p w14:paraId="160CE81F" w14:textId="77777777" w:rsidR="00BD1D64" w:rsidRPr="00725094" w:rsidRDefault="00BD1D64" w:rsidP="00BD1D64">
      <w:pPr>
        <w:pStyle w:val="zr1"/>
        <w:keepNext/>
        <w:spacing w:before="120" w:beforeAutospacing="0" w:after="0" w:afterAutospacing="0" w:line="260" w:lineRule="atLeast"/>
        <w:ind w:left="964" w:hanging="964"/>
        <w:jc w:val="both"/>
        <w:rPr>
          <w:rFonts w:ascii="Arial" w:hAnsi="Arial" w:cs="Arial"/>
          <w:color w:val="000000"/>
          <w:sz w:val="20"/>
          <w:szCs w:val="20"/>
        </w:rPr>
      </w:pPr>
      <w:r w:rsidRPr="00725094">
        <w:rPr>
          <w:rFonts w:ascii="Arial" w:hAnsi="Arial" w:cs="Arial"/>
          <w:color w:val="000000"/>
          <w:sz w:val="20"/>
          <w:szCs w:val="20"/>
        </w:rPr>
        <w:t>         (2)   The ACMA may extend the 6-month period referred to in paragraph 4.11(1)(a) if, in the ACMA’s opinion, there is a valid reason for a delay by a licensee in complying with that paragraph.</w:t>
      </w:r>
    </w:p>
    <w:p w14:paraId="08319CB2" w14:textId="77777777" w:rsidR="00BD1D64" w:rsidRPr="00725094" w:rsidRDefault="00BD1D64" w:rsidP="00BD1D64">
      <w:pPr>
        <w:pStyle w:val="note"/>
        <w:spacing w:before="120" w:beforeAutospacing="0" w:after="0" w:afterAutospacing="0" w:line="220" w:lineRule="atLeast"/>
        <w:ind w:left="964"/>
        <w:jc w:val="both"/>
        <w:rPr>
          <w:rFonts w:ascii="Arial" w:hAnsi="Arial" w:cs="Arial"/>
          <w:color w:val="000000"/>
          <w:sz w:val="20"/>
          <w:szCs w:val="20"/>
        </w:rPr>
      </w:pPr>
      <w:r w:rsidRPr="00725094">
        <w:rPr>
          <w:rFonts w:ascii="Arial" w:hAnsi="Arial" w:cs="Arial"/>
          <w:i/>
          <w:iCs/>
          <w:color w:val="000000"/>
          <w:sz w:val="20"/>
          <w:szCs w:val="20"/>
        </w:rPr>
        <w:t>Note</w:t>
      </w:r>
      <w:r w:rsidRPr="00725094">
        <w:rPr>
          <w:rFonts w:ascii="Arial" w:hAnsi="Arial" w:cs="Arial"/>
          <w:color w:val="000000"/>
          <w:sz w:val="20"/>
          <w:szCs w:val="20"/>
        </w:rPr>
        <w:t xml:space="preserve">   See subclause 8(1) of the </w:t>
      </w:r>
      <w:r w:rsidRPr="00725094">
        <w:rPr>
          <w:rFonts w:ascii="Arial" w:hAnsi="Arial" w:cs="Arial"/>
          <w:i/>
          <w:iCs/>
          <w:color w:val="000000"/>
          <w:sz w:val="20"/>
          <w:szCs w:val="20"/>
        </w:rPr>
        <w:t>Australian Communications Authority (LPON Transmitter Licences) Direction No. 2 of 2000</w:t>
      </w:r>
      <w:r w:rsidRPr="00725094">
        <w:rPr>
          <w:rFonts w:ascii="Arial" w:hAnsi="Arial" w:cs="Arial"/>
          <w:color w:val="000000"/>
          <w:sz w:val="20"/>
          <w:szCs w:val="20"/>
        </w:rPr>
        <w:t xml:space="preserve">. </w:t>
      </w:r>
    </w:p>
    <w:p w14:paraId="72550B50" w14:textId="77777777" w:rsidR="00BD1D64" w:rsidRPr="00725094" w:rsidRDefault="00BD1D64" w:rsidP="00BD1D64">
      <w:pPr>
        <w:pStyle w:val="zr1"/>
        <w:keepNext/>
        <w:spacing w:before="120" w:beforeAutospacing="0" w:after="0" w:afterAutospacing="0" w:line="260" w:lineRule="atLeast"/>
        <w:ind w:left="964" w:hanging="964"/>
        <w:jc w:val="both"/>
        <w:rPr>
          <w:rFonts w:ascii="Arial" w:hAnsi="Arial" w:cs="Arial"/>
          <w:color w:val="000000"/>
          <w:sz w:val="20"/>
          <w:szCs w:val="20"/>
        </w:rPr>
      </w:pPr>
      <w:r w:rsidRPr="00725094">
        <w:rPr>
          <w:rFonts w:ascii="Arial" w:hAnsi="Arial" w:cs="Arial"/>
          <w:color w:val="000000"/>
          <w:sz w:val="20"/>
          <w:szCs w:val="20"/>
        </w:rPr>
        <w:t>         (3)   For the purposes of subsection (2), valid reason for a delay does not include:</w:t>
      </w:r>
    </w:p>
    <w:p w14:paraId="439FF42C" w14:textId="77777777" w:rsidR="00BD1D64" w:rsidRPr="00725094" w:rsidRDefault="00BD1D64" w:rsidP="00BD1D64">
      <w:pPr>
        <w:pStyle w:val="p1"/>
        <w:spacing w:before="60" w:beforeAutospacing="0" w:after="0" w:afterAutospacing="0" w:line="260" w:lineRule="atLeast"/>
        <w:ind w:left="1418" w:hanging="1418"/>
        <w:jc w:val="both"/>
        <w:rPr>
          <w:rFonts w:ascii="Arial" w:hAnsi="Arial" w:cs="Arial"/>
          <w:color w:val="000000"/>
          <w:sz w:val="20"/>
          <w:szCs w:val="20"/>
        </w:rPr>
      </w:pPr>
      <w:r w:rsidRPr="00725094">
        <w:rPr>
          <w:rFonts w:ascii="Arial" w:hAnsi="Arial" w:cs="Arial"/>
          <w:color w:val="000000"/>
          <w:sz w:val="20"/>
          <w:szCs w:val="20"/>
        </w:rPr>
        <w:t xml:space="preserve">                (a)    that the licence was obtained within the 6-month period within which to comply with the condition, pursuant to a transfer from a relative or associate of the </w:t>
      </w:r>
      <w:proofErr w:type="gramStart"/>
      <w:r w:rsidRPr="00725094">
        <w:rPr>
          <w:rFonts w:ascii="Arial" w:hAnsi="Arial" w:cs="Arial"/>
          <w:color w:val="000000"/>
          <w:sz w:val="20"/>
          <w:szCs w:val="20"/>
        </w:rPr>
        <w:t>licensee;</w:t>
      </w:r>
      <w:proofErr w:type="gramEnd"/>
    </w:p>
    <w:p w14:paraId="6A671C6A" w14:textId="77777777" w:rsidR="00BD1D64" w:rsidRPr="00725094" w:rsidRDefault="00BD1D64" w:rsidP="00BD1D64">
      <w:pPr>
        <w:pStyle w:val="p1"/>
        <w:spacing w:before="60" w:beforeAutospacing="0" w:after="0" w:afterAutospacing="0" w:line="260" w:lineRule="atLeast"/>
        <w:ind w:left="1418" w:hanging="1418"/>
        <w:jc w:val="both"/>
        <w:rPr>
          <w:rFonts w:ascii="Arial" w:hAnsi="Arial" w:cs="Arial"/>
          <w:color w:val="000000"/>
          <w:sz w:val="20"/>
          <w:szCs w:val="20"/>
        </w:rPr>
      </w:pPr>
      <w:r w:rsidRPr="00725094">
        <w:rPr>
          <w:rFonts w:ascii="Arial" w:hAnsi="Arial" w:cs="Arial"/>
          <w:color w:val="000000"/>
          <w:sz w:val="20"/>
          <w:szCs w:val="20"/>
        </w:rPr>
        <w:t xml:space="preserve">               (b)    financial </w:t>
      </w:r>
      <w:proofErr w:type="gramStart"/>
      <w:r w:rsidRPr="00725094">
        <w:rPr>
          <w:rFonts w:ascii="Arial" w:hAnsi="Arial" w:cs="Arial"/>
          <w:color w:val="000000"/>
          <w:sz w:val="20"/>
          <w:szCs w:val="20"/>
        </w:rPr>
        <w:t>reasons;</w:t>
      </w:r>
      <w:proofErr w:type="gramEnd"/>
    </w:p>
    <w:p w14:paraId="10BA05F2" w14:textId="77777777" w:rsidR="00BD1D64" w:rsidRPr="00725094" w:rsidRDefault="00BD1D64" w:rsidP="00BD1D64">
      <w:pPr>
        <w:pStyle w:val="p1"/>
        <w:tabs>
          <w:tab w:val="left" w:pos="1418"/>
        </w:tabs>
        <w:spacing w:before="60" w:beforeAutospacing="0" w:after="0" w:afterAutospacing="0" w:line="260" w:lineRule="atLeast"/>
        <w:ind w:left="1418" w:hanging="1418"/>
        <w:jc w:val="both"/>
        <w:rPr>
          <w:rFonts w:ascii="Arial" w:hAnsi="Arial" w:cs="Arial"/>
          <w:color w:val="000000"/>
          <w:sz w:val="20"/>
          <w:szCs w:val="20"/>
        </w:rPr>
      </w:pPr>
      <w:r w:rsidRPr="00725094">
        <w:rPr>
          <w:rFonts w:ascii="Arial" w:hAnsi="Arial" w:cs="Arial"/>
          <w:color w:val="000000"/>
          <w:sz w:val="20"/>
          <w:szCs w:val="20"/>
        </w:rPr>
        <w:t>                (c)    that the licence is subject to an arrangement contingent on the disposal</w:t>
      </w:r>
      <w:r>
        <w:rPr>
          <w:rFonts w:ascii="Arial" w:hAnsi="Arial" w:cs="Arial"/>
          <w:color w:val="000000"/>
          <w:sz w:val="20"/>
          <w:szCs w:val="20"/>
        </w:rPr>
        <w:t xml:space="preserve"> </w:t>
      </w:r>
      <w:r w:rsidRPr="00725094">
        <w:rPr>
          <w:rFonts w:ascii="Arial" w:hAnsi="Arial" w:cs="Arial"/>
          <w:color w:val="000000"/>
          <w:sz w:val="20"/>
          <w:szCs w:val="20"/>
        </w:rPr>
        <w:t xml:space="preserve">of another licence held by the licensee.  </w:t>
      </w:r>
    </w:p>
    <w:p w14:paraId="4B82DCEB" w14:textId="77777777" w:rsidR="00BD1D64" w:rsidRPr="00725094" w:rsidRDefault="00BD1D64" w:rsidP="00BD1D64">
      <w:pPr>
        <w:pStyle w:val="note"/>
        <w:spacing w:before="120" w:beforeAutospacing="0" w:after="0" w:afterAutospacing="0" w:line="220" w:lineRule="atLeast"/>
        <w:ind w:left="964"/>
        <w:jc w:val="both"/>
        <w:rPr>
          <w:rFonts w:ascii="Arial" w:hAnsi="Arial" w:cs="Arial"/>
          <w:color w:val="000000"/>
          <w:sz w:val="20"/>
          <w:szCs w:val="20"/>
        </w:rPr>
      </w:pPr>
      <w:r w:rsidRPr="00725094">
        <w:rPr>
          <w:rFonts w:ascii="Arial" w:hAnsi="Arial" w:cs="Arial"/>
          <w:i/>
          <w:iCs/>
          <w:color w:val="000000"/>
          <w:sz w:val="20"/>
          <w:szCs w:val="20"/>
        </w:rPr>
        <w:t>Note</w:t>
      </w:r>
      <w:r w:rsidRPr="00725094">
        <w:rPr>
          <w:rFonts w:ascii="Arial" w:hAnsi="Arial" w:cs="Arial"/>
          <w:color w:val="000000"/>
          <w:sz w:val="20"/>
          <w:szCs w:val="20"/>
        </w:rPr>
        <w:t xml:space="preserve">   See subclause 8(2) of the </w:t>
      </w:r>
      <w:r w:rsidRPr="00725094">
        <w:rPr>
          <w:rFonts w:ascii="Arial" w:hAnsi="Arial" w:cs="Arial"/>
          <w:i/>
          <w:iCs/>
          <w:color w:val="000000"/>
          <w:sz w:val="20"/>
          <w:szCs w:val="20"/>
        </w:rPr>
        <w:t>Australian Communications Authority (LPON Transmitter Licences) Direction No. 2 of 2000</w:t>
      </w:r>
      <w:r w:rsidRPr="00725094">
        <w:rPr>
          <w:rFonts w:ascii="Arial" w:hAnsi="Arial" w:cs="Arial"/>
          <w:color w:val="000000"/>
          <w:sz w:val="20"/>
          <w:szCs w:val="20"/>
        </w:rPr>
        <w:t>.  Subclause 8(3) provides that this list of matters that are not valid reasons for a delay “is not exhaustive and there may be other reasons that do not constitute valid reasons for a delay”.</w:t>
      </w:r>
    </w:p>
    <w:p w14:paraId="76621290" w14:textId="77777777" w:rsidR="00BD1D64" w:rsidRPr="00725094" w:rsidRDefault="00BD1D64" w:rsidP="00BD1D64">
      <w:pPr>
        <w:pStyle w:val="r2"/>
        <w:keepNext/>
        <w:keepLines/>
        <w:spacing w:before="180" w:beforeAutospacing="0" w:after="0" w:afterAutospacing="0" w:line="260" w:lineRule="atLeast"/>
        <w:ind w:left="964" w:hanging="964"/>
        <w:jc w:val="both"/>
        <w:rPr>
          <w:rFonts w:ascii="Arial" w:hAnsi="Arial" w:cs="Arial"/>
          <w:color w:val="000000"/>
          <w:sz w:val="20"/>
          <w:szCs w:val="20"/>
        </w:rPr>
      </w:pPr>
      <w:r w:rsidRPr="00725094">
        <w:rPr>
          <w:rFonts w:ascii="Arial" w:hAnsi="Arial" w:cs="Arial"/>
          <w:color w:val="000000"/>
          <w:sz w:val="20"/>
          <w:szCs w:val="20"/>
        </w:rPr>
        <w:t>         (4)   In this section:</w:t>
      </w:r>
    </w:p>
    <w:p w14:paraId="2B6F0D6F" w14:textId="77777777" w:rsidR="00BD1D64" w:rsidRPr="00725094" w:rsidRDefault="00BD1D64" w:rsidP="00BD1D64">
      <w:pPr>
        <w:pStyle w:val="zdefinition"/>
        <w:keepNext/>
        <w:keepLines/>
        <w:spacing w:before="80" w:beforeAutospacing="0" w:after="0" w:afterAutospacing="0" w:line="260" w:lineRule="atLeast"/>
        <w:ind w:left="964"/>
        <w:jc w:val="both"/>
        <w:rPr>
          <w:rFonts w:ascii="Arial" w:hAnsi="Arial" w:cs="Arial"/>
          <w:color w:val="000000"/>
          <w:sz w:val="20"/>
          <w:szCs w:val="20"/>
        </w:rPr>
      </w:pPr>
      <w:r w:rsidRPr="00725094">
        <w:rPr>
          <w:rFonts w:ascii="Arial" w:hAnsi="Arial" w:cs="Arial"/>
          <w:b/>
          <w:bCs/>
          <w:i/>
          <w:iCs/>
          <w:color w:val="000000"/>
          <w:sz w:val="20"/>
          <w:szCs w:val="20"/>
        </w:rPr>
        <w:t>associate</w:t>
      </w:r>
      <w:r w:rsidRPr="00725094">
        <w:rPr>
          <w:rFonts w:ascii="Arial" w:hAnsi="Arial" w:cs="Arial"/>
          <w:color w:val="000000"/>
          <w:sz w:val="20"/>
          <w:szCs w:val="20"/>
        </w:rPr>
        <w:t xml:space="preserve"> means:</w:t>
      </w:r>
    </w:p>
    <w:p w14:paraId="5E631D2F" w14:textId="77777777" w:rsidR="00BD1D64" w:rsidRPr="00725094" w:rsidRDefault="00BD1D64" w:rsidP="00BD1D64">
      <w:pPr>
        <w:pStyle w:val="zp1"/>
        <w:keepNext/>
        <w:keepLines/>
        <w:spacing w:before="60" w:beforeAutospacing="0" w:after="0" w:afterAutospacing="0" w:line="260" w:lineRule="atLeast"/>
        <w:ind w:left="1418" w:hanging="1418"/>
        <w:jc w:val="both"/>
        <w:rPr>
          <w:rFonts w:ascii="Arial" w:hAnsi="Arial" w:cs="Arial"/>
          <w:color w:val="000000"/>
          <w:sz w:val="20"/>
          <w:szCs w:val="20"/>
        </w:rPr>
      </w:pPr>
      <w:r w:rsidRPr="00725094">
        <w:rPr>
          <w:rFonts w:ascii="Arial" w:hAnsi="Arial" w:cs="Arial"/>
          <w:color w:val="000000"/>
          <w:sz w:val="20"/>
          <w:szCs w:val="20"/>
        </w:rPr>
        <w:t>                (a)    in relation to a body corporate:</w:t>
      </w:r>
    </w:p>
    <w:p w14:paraId="1B638751" w14:textId="77777777" w:rsidR="00BD1D64" w:rsidRPr="00725094" w:rsidRDefault="00BD1D64" w:rsidP="00BD1D64">
      <w:pPr>
        <w:pStyle w:val="p2"/>
        <w:keepNext/>
        <w:keepLines/>
        <w:spacing w:before="60" w:beforeAutospacing="0" w:after="0" w:afterAutospacing="0" w:line="260" w:lineRule="atLeast"/>
        <w:ind w:left="1985" w:hanging="1985"/>
        <w:jc w:val="both"/>
        <w:rPr>
          <w:rFonts w:ascii="Arial" w:hAnsi="Arial" w:cs="Arial"/>
          <w:color w:val="000000"/>
          <w:sz w:val="20"/>
          <w:szCs w:val="20"/>
        </w:rPr>
      </w:pPr>
      <w:r w:rsidRPr="00725094">
        <w:rPr>
          <w:rFonts w:ascii="Arial" w:hAnsi="Arial" w:cs="Arial"/>
          <w:color w:val="000000"/>
          <w:sz w:val="20"/>
          <w:szCs w:val="20"/>
        </w:rPr>
        <w:t>                          (</w:t>
      </w:r>
      <w:proofErr w:type="spellStart"/>
      <w:r w:rsidRPr="00725094">
        <w:rPr>
          <w:rFonts w:ascii="Arial" w:hAnsi="Arial" w:cs="Arial"/>
          <w:color w:val="000000"/>
          <w:sz w:val="20"/>
          <w:szCs w:val="20"/>
        </w:rPr>
        <w:t>i</w:t>
      </w:r>
      <w:proofErr w:type="spellEnd"/>
      <w:r w:rsidRPr="00725094">
        <w:rPr>
          <w:rFonts w:ascii="Arial" w:hAnsi="Arial" w:cs="Arial"/>
          <w:color w:val="000000"/>
          <w:sz w:val="20"/>
          <w:szCs w:val="20"/>
        </w:rPr>
        <w:t>)    a director or secretary of the body corporate; or</w:t>
      </w:r>
    </w:p>
    <w:p w14:paraId="544AEFD6" w14:textId="77777777" w:rsidR="00BD1D64" w:rsidRPr="00725094" w:rsidRDefault="00BD1D64" w:rsidP="00BD1D64">
      <w:pPr>
        <w:pStyle w:val="p2"/>
        <w:keepNext/>
        <w:keepLines/>
        <w:spacing w:before="60" w:beforeAutospacing="0" w:after="0" w:afterAutospacing="0" w:line="260" w:lineRule="atLeast"/>
        <w:ind w:left="1985" w:hanging="1985"/>
        <w:jc w:val="both"/>
        <w:rPr>
          <w:rFonts w:ascii="Arial" w:hAnsi="Arial" w:cs="Arial"/>
          <w:color w:val="000000"/>
          <w:sz w:val="20"/>
          <w:szCs w:val="20"/>
        </w:rPr>
      </w:pPr>
      <w:r w:rsidRPr="00725094">
        <w:rPr>
          <w:rFonts w:ascii="Arial" w:hAnsi="Arial" w:cs="Arial"/>
          <w:color w:val="000000"/>
          <w:sz w:val="20"/>
          <w:szCs w:val="20"/>
        </w:rPr>
        <w:t>                         (ii)    a related body corporate; or</w:t>
      </w:r>
    </w:p>
    <w:p w14:paraId="59DFD489" w14:textId="77777777" w:rsidR="00BD1D64" w:rsidRPr="00725094" w:rsidRDefault="00BD1D64" w:rsidP="00BD1D64">
      <w:pPr>
        <w:pStyle w:val="p2"/>
        <w:keepNext/>
        <w:keepLines/>
        <w:spacing w:before="60" w:beforeAutospacing="0" w:after="0" w:afterAutospacing="0" w:line="260" w:lineRule="atLeast"/>
        <w:ind w:left="1985" w:hanging="1985"/>
        <w:jc w:val="both"/>
        <w:rPr>
          <w:rFonts w:ascii="Arial" w:hAnsi="Arial" w:cs="Arial"/>
          <w:color w:val="000000"/>
          <w:sz w:val="20"/>
          <w:szCs w:val="20"/>
        </w:rPr>
      </w:pPr>
      <w:r w:rsidRPr="00725094">
        <w:rPr>
          <w:rFonts w:ascii="Arial" w:hAnsi="Arial" w:cs="Arial"/>
          <w:color w:val="000000"/>
          <w:sz w:val="20"/>
          <w:szCs w:val="20"/>
        </w:rPr>
        <w:t>                        (iii)    a director or secretary of a related body corporate; or</w:t>
      </w:r>
    </w:p>
    <w:p w14:paraId="7AE965E8" w14:textId="77777777" w:rsidR="00BD1D64" w:rsidRPr="00725094" w:rsidRDefault="00BD1D64" w:rsidP="00BD1D64">
      <w:pPr>
        <w:pStyle w:val="p2"/>
        <w:spacing w:before="60" w:beforeAutospacing="0" w:after="0" w:afterAutospacing="0" w:line="260" w:lineRule="atLeast"/>
        <w:ind w:left="1985" w:hanging="1985"/>
        <w:jc w:val="both"/>
        <w:rPr>
          <w:rFonts w:ascii="Arial" w:hAnsi="Arial" w:cs="Arial"/>
          <w:color w:val="000000"/>
          <w:sz w:val="20"/>
          <w:szCs w:val="20"/>
        </w:rPr>
      </w:pPr>
      <w:r w:rsidRPr="00725094">
        <w:rPr>
          <w:rFonts w:ascii="Arial" w:hAnsi="Arial" w:cs="Arial"/>
          <w:color w:val="000000"/>
          <w:sz w:val="20"/>
          <w:szCs w:val="20"/>
        </w:rPr>
        <w:t>                        (iv)    a business partner of the body corporate; or</w:t>
      </w:r>
    </w:p>
    <w:p w14:paraId="66F762D3" w14:textId="77777777" w:rsidR="00BD1D64" w:rsidRPr="00725094" w:rsidRDefault="00BD1D64" w:rsidP="00BD1D64">
      <w:pPr>
        <w:pStyle w:val="p2"/>
        <w:spacing w:before="60" w:beforeAutospacing="0" w:after="0" w:afterAutospacing="0" w:line="260" w:lineRule="atLeast"/>
        <w:ind w:left="1985" w:hanging="1985"/>
        <w:jc w:val="both"/>
        <w:rPr>
          <w:rFonts w:ascii="Arial" w:hAnsi="Arial" w:cs="Arial"/>
          <w:color w:val="000000"/>
          <w:sz w:val="20"/>
          <w:szCs w:val="20"/>
        </w:rPr>
      </w:pPr>
      <w:r w:rsidRPr="00725094">
        <w:rPr>
          <w:rFonts w:ascii="Arial" w:hAnsi="Arial" w:cs="Arial"/>
          <w:color w:val="000000"/>
          <w:sz w:val="20"/>
          <w:szCs w:val="20"/>
        </w:rPr>
        <w:t>                         (v)    an individual who controls at least 15% of the voting power in, or holds at least 15% of the issued shares of, the body corporate; and</w:t>
      </w:r>
    </w:p>
    <w:p w14:paraId="3B972812" w14:textId="77777777" w:rsidR="00BD1D64" w:rsidRPr="00725094" w:rsidRDefault="00BD1D64" w:rsidP="00BD1D64">
      <w:pPr>
        <w:pStyle w:val="zp1"/>
        <w:keepNext/>
        <w:spacing w:before="60" w:beforeAutospacing="0" w:after="0" w:afterAutospacing="0" w:line="260" w:lineRule="atLeast"/>
        <w:ind w:left="1418" w:hanging="1418"/>
        <w:jc w:val="both"/>
        <w:rPr>
          <w:rFonts w:ascii="Arial" w:hAnsi="Arial" w:cs="Arial"/>
          <w:color w:val="000000"/>
          <w:sz w:val="20"/>
          <w:szCs w:val="20"/>
        </w:rPr>
      </w:pPr>
      <w:r w:rsidRPr="00725094">
        <w:rPr>
          <w:rFonts w:ascii="Arial" w:hAnsi="Arial" w:cs="Arial"/>
          <w:color w:val="000000"/>
          <w:sz w:val="20"/>
          <w:szCs w:val="20"/>
        </w:rPr>
        <w:lastRenderedPageBreak/>
        <w:t>               (b)    in relation to an individual:</w:t>
      </w:r>
    </w:p>
    <w:p w14:paraId="30E91833" w14:textId="77777777" w:rsidR="00BD1D64" w:rsidRPr="00725094" w:rsidRDefault="00BD1D64" w:rsidP="00BD1D64">
      <w:pPr>
        <w:pStyle w:val="p2"/>
        <w:spacing w:before="60" w:beforeAutospacing="0" w:after="0" w:afterAutospacing="0" w:line="260" w:lineRule="atLeast"/>
        <w:ind w:left="1985" w:hanging="1985"/>
        <w:jc w:val="both"/>
        <w:rPr>
          <w:rFonts w:ascii="Arial" w:hAnsi="Arial" w:cs="Arial"/>
          <w:color w:val="000000"/>
          <w:sz w:val="20"/>
          <w:szCs w:val="20"/>
        </w:rPr>
      </w:pPr>
      <w:r w:rsidRPr="00725094">
        <w:rPr>
          <w:rFonts w:ascii="Arial" w:hAnsi="Arial" w:cs="Arial"/>
          <w:color w:val="000000"/>
          <w:sz w:val="20"/>
          <w:szCs w:val="20"/>
        </w:rPr>
        <w:t>                          (</w:t>
      </w:r>
      <w:proofErr w:type="spellStart"/>
      <w:r w:rsidRPr="00725094">
        <w:rPr>
          <w:rFonts w:ascii="Arial" w:hAnsi="Arial" w:cs="Arial"/>
          <w:color w:val="000000"/>
          <w:sz w:val="20"/>
          <w:szCs w:val="20"/>
        </w:rPr>
        <w:t>i</w:t>
      </w:r>
      <w:proofErr w:type="spellEnd"/>
      <w:r w:rsidRPr="00725094">
        <w:rPr>
          <w:rFonts w:ascii="Arial" w:hAnsi="Arial" w:cs="Arial"/>
          <w:color w:val="000000"/>
          <w:sz w:val="20"/>
          <w:szCs w:val="20"/>
        </w:rPr>
        <w:t>)    a business partner of the individual; or</w:t>
      </w:r>
    </w:p>
    <w:p w14:paraId="79523850" w14:textId="77777777" w:rsidR="00BD1D64" w:rsidRPr="00725094" w:rsidRDefault="00BD1D64" w:rsidP="00BD1D64">
      <w:pPr>
        <w:pStyle w:val="p2"/>
        <w:spacing w:before="60" w:beforeAutospacing="0" w:after="0" w:afterAutospacing="0" w:line="260" w:lineRule="atLeast"/>
        <w:ind w:left="1985" w:hanging="1985"/>
        <w:jc w:val="both"/>
        <w:rPr>
          <w:rFonts w:ascii="Arial" w:hAnsi="Arial" w:cs="Arial"/>
          <w:color w:val="000000"/>
          <w:sz w:val="20"/>
          <w:szCs w:val="20"/>
        </w:rPr>
      </w:pPr>
      <w:r w:rsidRPr="00725094">
        <w:rPr>
          <w:rFonts w:ascii="Arial" w:hAnsi="Arial" w:cs="Arial"/>
          <w:color w:val="000000"/>
          <w:sz w:val="20"/>
          <w:szCs w:val="20"/>
        </w:rPr>
        <w:t>                         (ii)    a body corporate in which the individual controls at least 15% of the voting power or of which the individual holds at least 15% of the issued shares; or</w:t>
      </w:r>
    </w:p>
    <w:p w14:paraId="62474275" w14:textId="77777777" w:rsidR="00BD1D64" w:rsidRPr="00725094" w:rsidRDefault="00BD1D64" w:rsidP="00BD1D64">
      <w:pPr>
        <w:pStyle w:val="p2"/>
        <w:spacing w:before="60" w:beforeAutospacing="0" w:after="0" w:afterAutospacing="0" w:line="260" w:lineRule="atLeast"/>
        <w:ind w:left="1985" w:hanging="1985"/>
        <w:jc w:val="both"/>
        <w:rPr>
          <w:rFonts w:ascii="Arial" w:hAnsi="Arial" w:cs="Arial"/>
          <w:color w:val="000000"/>
          <w:sz w:val="20"/>
          <w:szCs w:val="20"/>
        </w:rPr>
      </w:pPr>
      <w:r w:rsidRPr="00725094">
        <w:rPr>
          <w:rFonts w:ascii="Arial" w:hAnsi="Arial" w:cs="Arial"/>
          <w:color w:val="000000"/>
          <w:sz w:val="20"/>
          <w:szCs w:val="20"/>
        </w:rPr>
        <w:t>                        (iii)    a body corporate of which the individual is a director or secretary; or</w:t>
      </w:r>
    </w:p>
    <w:p w14:paraId="62CD63D5" w14:textId="77777777" w:rsidR="00BD1D64" w:rsidRPr="00725094" w:rsidRDefault="00BD1D64" w:rsidP="00BD1D64">
      <w:pPr>
        <w:pStyle w:val="p2"/>
        <w:spacing w:before="60" w:beforeAutospacing="0" w:after="0" w:afterAutospacing="0" w:line="260" w:lineRule="atLeast"/>
        <w:ind w:left="1985" w:hanging="1985"/>
        <w:jc w:val="both"/>
        <w:rPr>
          <w:rFonts w:ascii="Arial" w:hAnsi="Arial" w:cs="Arial"/>
          <w:color w:val="000000"/>
          <w:sz w:val="20"/>
          <w:szCs w:val="20"/>
        </w:rPr>
      </w:pPr>
      <w:r w:rsidRPr="00725094">
        <w:rPr>
          <w:rFonts w:ascii="Arial" w:hAnsi="Arial" w:cs="Arial"/>
          <w:color w:val="000000"/>
          <w:sz w:val="20"/>
          <w:szCs w:val="20"/>
        </w:rPr>
        <w:t xml:space="preserve">                        (iv)    a body corporate that is a related body corporate of a body corporate of which the individual is a director or secretary.  </w:t>
      </w:r>
    </w:p>
    <w:p w14:paraId="7C7BE0B4" w14:textId="77777777" w:rsidR="00BD1D64" w:rsidRPr="00725094" w:rsidRDefault="00BD1D64" w:rsidP="00BD1D64">
      <w:pPr>
        <w:pStyle w:val="definition0"/>
        <w:spacing w:before="80" w:beforeAutospacing="0" w:after="0" w:afterAutospacing="0" w:line="260" w:lineRule="atLeast"/>
        <w:ind w:left="964"/>
        <w:jc w:val="both"/>
        <w:rPr>
          <w:rFonts w:ascii="Arial" w:hAnsi="Arial" w:cs="Arial"/>
          <w:color w:val="000000"/>
          <w:sz w:val="20"/>
          <w:szCs w:val="20"/>
        </w:rPr>
      </w:pPr>
      <w:r w:rsidRPr="00725094">
        <w:rPr>
          <w:rFonts w:ascii="Arial" w:hAnsi="Arial" w:cs="Arial"/>
          <w:b/>
          <w:bCs/>
          <w:i/>
          <w:iCs/>
          <w:color w:val="000000"/>
          <w:sz w:val="20"/>
          <w:szCs w:val="20"/>
        </w:rPr>
        <w:t>related body corporate</w:t>
      </w:r>
      <w:r w:rsidRPr="00725094">
        <w:rPr>
          <w:rFonts w:ascii="Arial" w:hAnsi="Arial" w:cs="Arial"/>
          <w:color w:val="000000"/>
          <w:sz w:val="20"/>
          <w:szCs w:val="20"/>
        </w:rPr>
        <w:t xml:space="preserve"> has the same meaning as in the </w:t>
      </w:r>
      <w:r w:rsidRPr="00725094">
        <w:rPr>
          <w:rFonts w:ascii="Arial" w:hAnsi="Arial" w:cs="Arial"/>
          <w:i/>
          <w:iCs/>
          <w:color w:val="000000"/>
          <w:sz w:val="20"/>
          <w:szCs w:val="20"/>
        </w:rPr>
        <w:t>Corporations Act 2001</w:t>
      </w:r>
      <w:r w:rsidRPr="00725094">
        <w:rPr>
          <w:rFonts w:ascii="Arial" w:hAnsi="Arial" w:cs="Arial"/>
          <w:color w:val="000000"/>
          <w:sz w:val="20"/>
          <w:szCs w:val="20"/>
        </w:rPr>
        <w:t>.</w:t>
      </w:r>
    </w:p>
    <w:p w14:paraId="37686309" w14:textId="77777777" w:rsidR="00BD1D64" w:rsidRPr="00725094" w:rsidRDefault="00BD1D64" w:rsidP="00BD1D64">
      <w:pPr>
        <w:pStyle w:val="zdefinition"/>
        <w:keepNext/>
        <w:spacing w:before="80" w:beforeAutospacing="0" w:after="0" w:afterAutospacing="0" w:line="260" w:lineRule="atLeast"/>
        <w:ind w:left="964"/>
        <w:jc w:val="both"/>
        <w:rPr>
          <w:rFonts w:ascii="Arial" w:hAnsi="Arial" w:cs="Arial"/>
          <w:color w:val="000000"/>
          <w:sz w:val="20"/>
          <w:szCs w:val="20"/>
        </w:rPr>
      </w:pPr>
      <w:r w:rsidRPr="00725094">
        <w:rPr>
          <w:rFonts w:ascii="Arial" w:hAnsi="Arial" w:cs="Arial"/>
          <w:b/>
          <w:bCs/>
          <w:i/>
          <w:iCs/>
          <w:color w:val="000000"/>
          <w:sz w:val="20"/>
          <w:szCs w:val="20"/>
        </w:rPr>
        <w:t>relative</w:t>
      </w:r>
      <w:r w:rsidRPr="00725094">
        <w:rPr>
          <w:rFonts w:ascii="Arial" w:hAnsi="Arial" w:cs="Arial"/>
          <w:color w:val="000000"/>
          <w:sz w:val="20"/>
          <w:szCs w:val="20"/>
        </w:rPr>
        <w:t>, in relation to a person, means:</w:t>
      </w:r>
    </w:p>
    <w:p w14:paraId="3AAC1DAC" w14:textId="77777777" w:rsidR="00BD1D64" w:rsidRPr="00725094" w:rsidRDefault="00BD1D64" w:rsidP="00BD1D64">
      <w:pPr>
        <w:pStyle w:val="p1"/>
        <w:spacing w:before="60" w:beforeAutospacing="0" w:after="0" w:afterAutospacing="0" w:line="260" w:lineRule="atLeast"/>
        <w:ind w:left="1418" w:hanging="1418"/>
        <w:jc w:val="both"/>
        <w:rPr>
          <w:rFonts w:ascii="Arial" w:hAnsi="Arial" w:cs="Arial"/>
          <w:color w:val="000000"/>
          <w:sz w:val="20"/>
          <w:szCs w:val="20"/>
        </w:rPr>
      </w:pPr>
      <w:r w:rsidRPr="00725094">
        <w:rPr>
          <w:rFonts w:ascii="Arial" w:hAnsi="Arial" w:cs="Arial"/>
          <w:color w:val="000000"/>
          <w:sz w:val="20"/>
          <w:szCs w:val="20"/>
        </w:rPr>
        <w:t>                (a)    the person’s spouse; or</w:t>
      </w:r>
    </w:p>
    <w:p w14:paraId="77FB1B4F" w14:textId="77777777" w:rsidR="00BD1D64" w:rsidRPr="00725094" w:rsidRDefault="00BD1D64" w:rsidP="00BD1D64">
      <w:pPr>
        <w:pStyle w:val="p1"/>
        <w:spacing w:before="60" w:beforeAutospacing="0" w:after="0" w:afterAutospacing="0" w:line="260" w:lineRule="atLeast"/>
        <w:ind w:left="1418" w:hanging="1418"/>
        <w:jc w:val="both"/>
        <w:rPr>
          <w:rFonts w:ascii="Arial" w:hAnsi="Arial" w:cs="Arial"/>
          <w:color w:val="000000"/>
          <w:sz w:val="20"/>
          <w:szCs w:val="20"/>
        </w:rPr>
      </w:pPr>
      <w:r w:rsidRPr="00725094">
        <w:rPr>
          <w:rFonts w:ascii="Arial" w:hAnsi="Arial" w:cs="Arial"/>
          <w:color w:val="000000"/>
          <w:sz w:val="20"/>
          <w:szCs w:val="20"/>
        </w:rPr>
        <w:t>               (b)    the person’s parent, grandparent, brother, sister, uncle, aunt, nephew, niece, lineal descendant or adopted child; or</w:t>
      </w:r>
    </w:p>
    <w:p w14:paraId="77539F01" w14:textId="77777777" w:rsidR="00BD1D64" w:rsidRPr="00725094" w:rsidRDefault="00BD1D64" w:rsidP="00BD1D64">
      <w:pPr>
        <w:pStyle w:val="p1"/>
        <w:spacing w:before="60" w:beforeAutospacing="0" w:after="0" w:afterAutospacing="0" w:line="260" w:lineRule="atLeast"/>
        <w:ind w:left="1418" w:hanging="1418"/>
        <w:jc w:val="both"/>
        <w:rPr>
          <w:rFonts w:ascii="Arial" w:hAnsi="Arial" w:cs="Arial"/>
          <w:color w:val="000000"/>
          <w:sz w:val="20"/>
          <w:szCs w:val="20"/>
        </w:rPr>
      </w:pPr>
      <w:r w:rsidRPr="00725094">
        <w:rPr>
          <w:rFonts w:ascii="Arial" w:hAnsi="Arial" w:cs="Arial"/>
          <w:color w:val="000000"/>
          <w:sz w:val="20"/>
          <w:szCs w:val="20"/>
        </w:rPr>
        <w:t xml:space="preserve">                (c)    the spouse of a relative mentioned in paragraph (b).  </w:t>
      </w:r>
    </w:p>
    <w:p w14:paraId="5E07EC90" w14:textId="77777777" w:rsidR="00BD1D64" w:rsidRPr="00725094" w:rsidRDefault="00BD1D64" w:rsidP="00BD1D64">
      <w:pPr>
        <w:pStyle w:val="definition0"/>
        <w:spacing w:before="80" w:beforeAutospacing="0" w:after="0" w:afterAutospacing="0" w:line="260" w:lineRule="atLeast"/>
        <w:ind w:left="964"/>
        <w:jc w:val="both"/>
        <w:rPr>
          <w:rFonts w:ascii="Arial" w:hAnsi="Arial" w:cs="Arial"/>
          <w:color w:val="000000"/>
          <w:sz w:val="20"/>
          <w:szCs w:val="20"/>
        </w:rPr>
      </w:pPr>
      <w:r w:rsidRPr="00725094">
        <w:rPr>
          <w:rFonts w:ascii="Arial" w:hAnsi="Arial" w:cs="Arial"/>
          <w:b/>
          <w:bCs/>
          <w:i/>
          <w:iCs/>
          <w:color w:val="000000"/>
          <w:sz w:val="20"/>
          <w:szCs w:val="20"/>
        </w:rPr>
        <w:t>spouse</w:t>
      </w:r>
      <w:r w:rsidRPr="00725094">
        <w:rPr>
          <w:rFonts w:ascii="Arial" w:hAnsi="Arial" w:cs="Arial"/>
          <w:color w:val="000000"/>
          <w:sz w:val="20"/>
          <w:szCs w:val="20"/>
        </w:rPr>
        <w:t xml:space="preserve">, in relation to a person, includes a de facto partner of the person, within the meaning given by section 2D of the </w:t>
      </w:r>
      <w:r w:rsidRPr="00725094">
        <w:rPr>
          <w:rFonts w:ascii="Arial" w:hAnsi="Arial" w:cs="Arial"/>
          <w:i/>
          <w:iCs/>
          <w:color w:val="000000"/>
          <w:sz w:val="20"/>
          <w:szCs w:val="20"/>
        </w:rPr>
        <w:t>Acts Interpretation Act 1901</w:t>
      </w:r>
      <w:r w:rsidRPr="00725094">
        <w:rPr>
          <w:rFonts w:ascii="Arial" w:hAnsi="Arial" w:cs="Arial"/>
          <w:color w:val="000000"/>
          <w:sz w:val="20"/>
          <w:szCs w:val="20"/>
        </w:rPr>
        <w:t xml:space="preserve">.  </w:t>
      </w:r>
    </w:p>
    <w:p w14:paraId="710B2C3F" w14:textId="77777777" w:rsidR="00BD1D64" w:rsidRPr="00725094" w:rsidRDefault="00BD1D64" w:rsidP="00BD1D64">
      <w:pPr>
        <w:pStyle w:val="note"/>
        <w:spacing w:before="120" w:beforeAutospacing="0" w:after="0" w:afterAutospacing="0" w:line="220" w:lineRule="atLeast"/>
        <w:ind w:left="964"/>
        <w:jc w:val="both"/>
        <w:rPr>
          <w:rFonts w:ascii="Arial" w:hAnsi="Arial" w:cs="Arial"/>
          <w:color w:val="000000"/>
          <w:sz w:val="20"/>
          <w:szCs w:val="20"/>
        </w:rPr>
      </w:pPr>
      <w:r w:rsidRPr="00725094">
        <w:rPr>
          <w:rFonts w:ascii="Arial" w:hAnsi="Arial" w:cs="Arial"/>
          <w:i/>
          <w:iCs/>
          <w:color w:val="000000"/>
          <w:sz w:val="20"/>
          <w:szCs w:val="20"/>
        </w:rPr>
        <w:t>Note </w:t>
      </w:r>
      <w:r w:rsidRPr="00725094">
        <w:rPr>
          <w:rFonts w:ascii="Arial" w:hAnsi="Arial" w:cs="Arial"/>
          <w:color w:val="000000"/>
          <w:sz w:val="20"/>
          <w:szCs w:val="20"/>
        </w:rPr>
        <w:t xml:space="preserve">  On 20 December 2000, the Minister gave to the Australian Communications Authority the </w:t>
      </w:r>
      <w:r w:rsidRPr="00725094">
        <w:rPr>
          <w:rFonts w:ascii="Arial" w:hAnsi="Arial" w:cs="Arial"/>
          <w:i/>
          <w:iCs/>
          <w:color w:val="000000"/>
          <w:sz w:val="20"/>
          <w:szCs w:val="20"/>
        </w:rPr>
        <w:t>Australian Communications Authority (LPON Transmitter Licences) Direction No. 2 of 2000</w:t>
      </w:r>
      <w:r w:rsidRPr="00725094">
        <w:rPr>
          <w:rFonts w:ascii="Arial" w:hAnsi="Arial" w:cs="Arial"/>
          <w:color w:val="000000"/>
          <w:sz w:val="20"/>
          <w:szCs w:val="20"/>
        </w:rPr>
        <w:t xml:space="preserve"> (</w:t>
      </w:r>
      <w:r w:rsidRPr="00725094">
        <w:rPr>
          <w:rFonts w:ascii="Arial" w:hAnsi="Arial" w:cs="Arial"/>
          <w:b/>
          <w:bCs/>
          <w:i/>
          <w:iCs/>
          <w:color w:val="000000"/>
          <w:sz w:val="20"/>
          <w:szCs w:val="20"/>
        </w:rPr>
        <w:t>Direction</w:t>
      </w:r>
      <w:r w:rsidRPr="00725094">
        <w:rPr>
          <w:rFonts w:ascii="Arial" w:hAnsi="Arial" w:cs="Arial"/>
          <w:color w:val="000000"/>
          <w:sz w:val="20"/>
          <w:szCs w:val="20"/>
        </w:rPr>
        <w:t xml:space="preserve">), under subsection 12 (1) of the </w:t>
      </w:r>
      <w:r w:rsidRPr="00725094">
        <w:rPr>
          <w:rFonts w:ascii="Arial" w:hAnsi="Arial" w:cs="Arial"/>
          <w:i/>
          <w:iCs/>
          <w:color w:val="000000"/>
          <w:sz w:val="20"/>
          <w:szCs w:val="20"/>
        </w:rPr>
        <w:t>Australian Communications Authority Act 1997</w:t>
      </w:r>
      <w:r w:rsidRPr="00725094">
        <w:rPr>
          <w:rFonts w:ascii="Arial" w:hAnsi="Arial" w:cs="Arial"/>
          <w:color w:val="000000"/>
          <w:sz w:val="20"/>
          <w:szCs w:val="20"/>
        </w:rPr>
        <w:t xml:space="preserve">.  The Direction is continued in force under item 8 of Schedule 4 to the </w:t>
      </w:r>
      <w:r w:rsidRPr="00725094">
        <w:rPr>
          <w:rFonts w:ascii="Arial" w:hAnsi="Arial" w:cs="Arial"/>
          <w:i/>
          <w:iCs/>
          <w:color w:val="000000"/>
          <w:sz w:val="20"/>
          <w:szCs w:val="20"/>
        </w:rPr>
        <w:t>Australian Communications and Media Authority (Consequential and Transitional Provisions) Act 2005</w:t>
      </w:r>
      <w:r w:rsidRPr="00725094">
        <w:rPr>
          <w:rFonts w:ascii="Arial" w:hAnsi="Arial" w:cs="Arial"/>
          <w:color w:val="000000"/>
          <w:sz w:val="20"/>
          <w:szCs w:val="20"/>
        </w:rPr>
        <w:t>.  The Direction makes provision for how the ACMA exercises its powers and performs its functions in relation to imposing conditions on certain licences.</w:t>
      </w:r>
    </w:p>
    <w:p w14:paraId="54AD6838" w14:textId="77777777" w:rsidR="00BD1D64" w:rsidRPr="00725094" w:rsidRDefault="00BD1D64" w:rsidP="00BD1D64">
      <w:pPr>
        <w:pStyle w:val="pagebreak"/>
        <w:spacing w:before="0" w:beforeAutospacing="0" w:after="0" w:afterAutospacing="0"/>
        <w:rPr>
          <w:rFonts w:ascii="Arial" w:hAnsi="Arial" w:cs="Arial"/>
          <w:color w:val="000000"/>
          <w:sz w:val="20"/>
          <w:szCs w:val="20"/>
        </w:rPr>
      </w:pPr>
      <w:r w:rsidRPr="00725094">
        <w:rPr>
          <w:rFonts w:ascii="Arial" w:hAnsi="Arial" w:cs="Arial"/>
          <w:color w:val="000000"/>
          <w:sz w:val="20"/>
          <w:szCs w:val="20"/>
        </w:rPr>
        <w:t> </w:t>
      </w:r>
    </w:p>
    <w:p w14:paraId="1B840596" w14:textId="77777777" w:rsidR="00BD1D64" w:rsidRPr="00725094" w:rsidRDefault="00767413" w:rsidP="00BD1D64">
      <w:pPr>
        <w:rPr>
          <w:rFonts w:cs="Arial"/>
          <w:szCs w:val="20"/>
        </w:rPr>
      </w:pPr>
      <w:hyperlink r:id="rId54" w:history="1">
        <w:r w:rsidR="00BD1D64" w:rsidRPr="00F97BF9">
          <w:rPr>
            <w:rStyle w:val="Hyperlink"/>
          </w:rPr>
          <w:t>Australian Communications Authority (LPON Transmitter Licences) Direction No. 2 of 2000</w:t>
        </w:r>
      </w:hyperlink>
    </w:p>
    <w:p w14:paraId="32D70BC8" w14:textId="77777777" w:rsidR="00BD1D64" w:rsidRPr="00725094" w:rsidRDefault="00BD1D64" w:rsidP="00BD1D64">
      <w:pPr>
        <w:pStyle w:val="BodyTextIndent"/>
        <w:keepNext/>
        <w:widowControl/>
        <w:tabs>
          <w:tab w:val="clear" w:pos="691"/>
          <w:tab w:val="left" w:pos="720"/>
        </w:tabs>
        <w:spacing w:before="240" w:after="120"/>
        <w:ind w:left="0" w:firstLine="0"/>
        <w:rPr>
          <w:rFonts w:ascii="Arial" w:hAnsi="Arial" w:cs="Arial"/>
          <w:sz w:val="20"/>
        </w:rPr>
      </w:pPr>
      <w:r w:rsidRPr="00725094">
        <w:rPr>
          <w:rFonts w:ascii="Arial" w:hAnsi="Arial" w:cs="Arial"/>
          <w:sz w:val="20"/>
        </w:rPr>
        <w:t>7.</w:t>
      </w:r>
      <w:r>
        <w:rPr>
          <w:rFonts w:ascii="Arial" w:hAnsi="Arial" w:cs="Arial"/>
          <w:sz w:val="20"/>
        </w:rPr>
        <w:t xml:space="preserve"> </w:t>
      </w:r>
      <w:r w:rsidRPr="00725094">
        <w:rPr>
          <w:rFonts w:ascii="Arial" w:hAnsi="Arial" w:cs="Arial"/>
          <w:sz w:val="20"/>
        </w:rPr>
        <w:t xml:space="preserve">Direction – renewal of LPON </w:t>
      </w:r>
      <w:proofErr w:type="spellStart"/>
      <w:r w:rsidRPr="00725094">
        <w:rPr>
          <w:rFonts w:ascii="Arial" w:hAnsi="Arial" w:cs="Arial"/>
          <w:sz w:val="20"/>
        </w:rPr>
        <w:t>licences</w:t>
      </w:r>
      <w:proofErr w:type="spellEnd"/>
      <w:r w:rsidRPr="00725094">
        <w:rPr>
          <w:rFonts w:ascii="Arial" w:hAnsi="Arial" w:cs="Arial"/>
          <w:sz w:val="20"/>
        </w:rPr>
        <w:t xml:space="preserve"> within 6 months</w:t>
      </w:r>
    </w:p>
    <w:p w14:paraId="7EEBCBA6" w14:textId="77777777" w:rsidR="00BD1D64" w:rsidRPr="00725094" w:rsidRDefault="00BD1D64" w:rsidP="00BD1D64">
      <w:pPr>
        <w:spacing w:before="120" w:after="120"/>
        <w:rPr>
          <w:rFonts w:cs="Arial"/>
          <w:snapToGrid w:val="0"/>
          <w:szCs w:val="20"/>
          <w:lang w:val="en-US"/>
        </w:rPr>
      </w:pPr>
      <w:r w:rsidRPr="00725094">
        <w:rPr>
          <w:rFonts w:cs="Arial"/>
          <w:snapToGrid w:val="0"/>
          <w:szCs w:val="20"/>
          <w:lang w:val="en-US"/>
        </w:rPr>
        <w:t xml:space="preserve">The ACA must make any apparatus </w:t>
      </w:r>
      <w:proofErr w:type="spellStart"/>
      <w:r w:rsidRPr="00725094">
        <w:rPr>
          <w:rFonts w:cs="Arial"/>
          <w:snapToGrid w:val="0"/>
          <w:szCs w:val="20"/>
          <w:lang w:val="en-US"/>
        </w:rPr>
        <w:t>licence</w:t>
      </w:r>
      <w:proofErr w:type="spellEnd"/>
      <w:r w:rsidRPr="00725094">
        <w:rPr>
          <w:rFonts w:cs="Arial"/>
          <w:snapToGrid w:val="0"/>
          <w:szCs w:val="20"/>
          <w:lang w:val="en-US"/>
        </w:rPr>
        <w:t xml:space="preserve"> for a low power open narrowcasting service issued upon renewal within 6 months of the commencement of this Direction subject to conditions that have the effect of requiring a licensee of a low power open narrowcasting service to:</w:t>
      </w:r>
    </w:p>
    <w:p w14:paraId="36F090E6" w14:textId="77777777" w:rsidR="00BD1D64" w:rsidRPr="00725094" w:rsidRDefault="00BD1D64" w:rsidP="00BD1D64">
      <w:pPr>
        <w:spacing w:before="120" w:after="120"/>
        <w:ind w:left="1134" w:hanging="567"/>
        <w:rPr>
          <w:rFonts w:cs="Arial"/>
          <w:snapToGrid w:val="0"/>
          <w:szCs w:val="20"/>
          <w:lang w:val="en-US"/>
        </w:rPr>
      </w:pPr>
      <w:r w:rsidRPr="00725094">
        <w:rPr>
          <w:rFonts w:cs="Arial"/>
          <w:snapToGrid w:val="0"/>
          <w:szCs w:val="20"/>
          <w:lang w:val="en-US"/>
        </w:rPr>
        <w:t>(a)</w:t>
      </w:r>
      <w:r w:rsidRPr="00725094">
        <w:rPr>
          <w:rFonts w:cs="Arial"/>
          <w:snapToGrid w:val="0"/>
          <w:szCs w:val="20"/>
          <w:lang w:val="en-US"/>
        </w:rPr>
        <w:tab/>
        <w:t xml:space="preserve">commence to provide a service using a transmitter </w:t>
      </w:r>
      <w:proofErr w:type="spellStart"/>
      <w:r w:rsidRPr="00725094">
        <w:rPr>
          <w:rFonts w:cs="Arial"/>
          <w:snapToGrid w:val="0"/>
          <w:szCs w:val="20"/>
          <w:lang w:val="en-US"/>
        </w:rPr>
        <w:t>authorised</w:t>
      </w:r>
      <w:proofErr w:type="spellEnd"/>
      <w:r w:rsidRPr="00725094">
        <w:rPr>
          <w:rFonts w:cs="Arial"/>
          <w:snapToGrid w:val="0"/>
          <w:szCs w:val="20"/>
          <w:lang w:val="en-US"/>
        </w:rPr>
        <w:t xml:space="preserve"> under the </w:t>
      </w:r>
      <w:proofErr w:type="spellStart"/>
      <w:r w:rsidRPr="00725094">
        <w:rPr>
          <w:rFonts w:cs="Arial"/>
          <w:snapToGrid w:val="0"/>
          <w:szCs w:val="20"/>
          <w:lang w:val="en-US"/>
        </w:rPr>
        <w:t>licence</w:t>
      </w:r>
      <w:proofErr w:type="spellEnd"/>
      <w:r w:rsidRPr="00725094">
        <w:rPr>
          <w:rFonts w:cs="Arial"/>
          <w:snapToGrid w:val="0"/>
          <w:szCs w:val="20"/>
          <w:lang w:val="en-US"/>
        </w:rPr>
        <w:t xml:space="preserve"> within 6 months of the renewal of the </w:t>
      </w:r>
      <w:proofErr w:type="spellStart"/>
      <w:r w:rsidRPr="00725094">
        <w:rPr>
          <w:rFonts w:cs="Arial"/>
          <w:snapToGrid w:val="0"/>
          <w:szCs w:val="20"/>
          <w:lang w:val="en-US"/>
        </w:rPr>
        <w:t>licence</w:t>
      </w:r>
      <w:proofErr w:type="spellEnd"/>
      <w:r w:rsidRPr="00725094">
        <w:rPr>
          <w:rFonts w:cs="Arial"/>
          <w:snapToGrid w:val="0"/>
          <w:szCs w:val="20"/>
          <w:lang w:val="en-US"/>
        </w:rPr>
        <w:t xml:space="preserve"> unless the licensee has a reasonable excuse for not doing so; and</w:t>
      </w:r>
    </w:p>
    <w:p w14:paraId="45F3891E" w14:textId="77777777" w:rsidR="00BD1D64" w:rsidRPr="00725094" w:rsidRDefault="00BD1D64" w:rsidP="00BD1D64">
      <w:pPr>
        <w:spacing w:before="120" w:after="120"/>
        <w:ind w:left="1134" w:hanging="567"/>
        <w:rPr>
          <w:rFonts w:cs="Arial"/>
          <w:szCs w:val="20"/>
          <w:lang w:val="en-US"/>
        </w:rPr>
      </w:pPr>
      <w:r w:rsidRPr="00725094">
        <w:rPr>
          <w:rFonts w:cs="Arial"/>
          <w:snapToGrid w:val="0"/>
          <w:szCs w:val="20"/>
          <w:lang w:val="en-US"/>
        </w:rPr>
        <w:t>(b)</w:t>
      </w:r>
      <w:r w:rsidRPr="00725094">
        <w:rPr>
          <w:rFonts w:cs="Arial"/>
          <w:snapToGrid w:val="0"/>
          <w:szCs w:val="20"/>
          <w:lang w:val="en-US"/>
        </w:rPr>
        <w:tab/>
      </w:r>
      <w:r w:rsidRPr="00725094">
        <w:rPr>
          <w:rFonts w:cs="Arial"/>
          <w:szCs w:val="20"/>
        </w:rPr>
        <w:t xml:space="preserve">continue to </w:t>
      </w:r>
      <w:r w:rsidRPr="00725094">
        <w:rPr>
          <w:rFonts w:cs="Arial"/>
          <w:snapToGrid w:val="0"/>
          <w:szCs w:val="20"/>
          <w:lang w:val="en-US"/>
        </w:rPr>
        <w:t>provide</w:t>
      </w:r>
      <w:r w:rsidRPr="00725094">
        <w:rPr>
          <w:rFonts w:cs="Arial"/>
          <w:szCs w:val="20"/>
        </w:rPr>
        <w:t xml:space="preserve"> a service </w:t>
      </w:r>
      <w:r w:rsidRPr="00725094">
        <w:rPr>
          <w:rFonts w:cs="Arial"/>
          <w:szCs w:val="20"/>
          <w:lang w:val="en-US"/>
        </w:rPr>
        <w:t xml:space="preserve">throughout the term of the </w:t>
      </w:r>
      <w:proofErr w:type="spellStart"/>
      <w:r w:rsidRPr="00725094">
        <w:rPr>
          <w:rFonts w:cs="Arial"/>
          <w:szCs w:val="20"/>
          <w:lang w:val="en-US"/>
        </w:rPr>
        <w:t>licence</w:t>
      </w:r>
      <w:proofErr w:type="spellEnd"/>
      <w:r w:rsidRPr="00725094">
        <w:rPr>
          <w:rFonts w:cs="Arial"/>
          <w:szCs w:val="20"/>
          <w:lang w:val="en-US"/>
        </w:rPr>
        <w:t xml:space="preserve"> with reasonable regularity; and</w:t>
      </w:r>
    </w:p>
    <w:p w14:paraId="2AE01B44" w14:textId="77777777" w:rsidR="00BD1D64" w:rsidRPr="00725094" w:rsidRDefault="00BD1D64" w:rsidP="00BD1D64">
      <w:pPr>
        <w:spacing w:before="120" w:after="120"/>
        <w:ind w:left="1134" w:hanging="567"/>
        <w:rPr>
          <w:rFonts w:cs="Arial"/>
          <w:snapToGrid w:val="0"/>
          <w:szCs w:val="20"/>
          <w:lang w:val="en-US"/>
        </w:rPr>
      </w:pPr>
      <w:r w:rsidRPr="00725094">
        <w:rPr>
          <w:rFonts w:cs="Arial"/>
          <w:szCs w:val="20"/>
          <w:lang w:val="en-US"/>
        </w:rPr>
        <w:t>(c)</w:t>
      </w:r>
      <w:r w:rsidRPr="00725094">
        <w:rPr>
          <w:rFonts w:cs="Arial"/>
          <w:szCs w:val="20"/>
          <w:lang w:val="en-US"/>
        </w:rPr>
        <w:tab/>
      </w:r>
      <w:r w:rsidRPr="00725094">
        <w:rPr>
          <w:rFonts w:cs="Arial"/>
          <w:szCs w:val="20"/>
        </w:rPr>
        <w:t>maintain records of the commencement, hours of operation and provision of a service under the licence.</w:t>
      </w:r>
    </w:p>
    <w:p w14:paraId="7282D199" w14:textId="77777777" w:rsidR="00BD1D64" w:rsidRPr="00725094" w:rsidRDefault="00BD1D64" w:rsidP="00BD1D64">
      <w:pPr>
        <w:spacing w:before="240" w:after="120"/>
        <w:rPr>
          <w:rFonts w:cs="Arial"/>
          <w:b/>
          <w:snapToGrid w:val="0"/>
          <w:szCs w:val="20"/>
          <w:lang w:val="en-US"/>
        </w:rPr>
      </w:pPr>
      <w:r w:rsidRPr="00725094">
        <w:rPr>
          <w:rFonts w:cs="Arial"/>
          <w:b/>
          <w:snapToGrid w:val="0"/>
          <w:szCs w:val="20"/>
          <w:lang w:val="en-US"/>
        </w:rPr>
        <w:t>8.</w:t>
      </w:r>
      <w:r>
        <w:rPr>
          <w:rFonts w:cs="Arial"/>
          <w:b/>
          <w:snapToGrid w:val="0"/>
          <w:szCs w:val="20"/>
          <w:lang w:val="en-US"/>
        </w:rPr>
        <w:t xml:space="preserve"> </w:t>
      </w:r>
      <w:r w:rsidRPr="00725094">
        <w:rPr>
          <w:rFonts w:cs="Arial"/>
          <w:b/>
          <w:snapToGrid w:val="0"/>
          <w:szCs w:val="20"/>
          <w:lang w:val="en-US"/>
        </w:rPr>
        <w:t>Direction – extension of 6-month start-up period</w:t>
      </w:r>
    </w:p>
    <w:p w14:paraId="1FAFC8E1" w14:textId="77777777" w:rsidR="00BD1D64" w:rsidRPr="00725094" w:rsidRDefault="00BD1D64" w:rsidP="00BD1D64">
      <w:pPr>
        <w:spacing w:before="120" w:after="120"/>
        <w:rPr>
          <w:rFonts w:cs="Arial"/>
          <w:snapToGrid w:val="0"/>
          <w:szCs w:val="20"/>
          <w:lang w:val="en-US"/>
        </w:rPr>
      </w:pPr>
      <w:r w:rsidRPr="00725094">
        <w:rPr>
          <w:rFonts w:cs="Arial"/>
          <w:snapToGrid w:val="0"/>
          <w:szCs w:val="20"/>
          <w:lang w:val="en-US"/>
        </w:rPr>
        <w:t>(1)</w:t>
      </w:r>
      <w:r w:rsidRPr="00725094">
        <w:rPr>
          <w:rFonts w:cs="Arial"/>
          <w:snapToGrid w:val="0"/>
          <w:szCs w:val="20"/>
          <w:lang w:val="en-US"/>
        </w:rPr>
        <w:tab/>
        <w:t>The ACA may allow for an extension of the 6-month period referred to in clause 5(a), 6(a) or 7(a) if in the ACA's opinion there is a valid reason for a delay by a licensee complying with those clauses.</w:t>
      </w:r>
    </w:p>
    <w:p w14:paraId="35BA219A" w14:textId="77777777" w:rsidR="00BD1D64" w:rsidRPr="00725094" w:rsidRDefault="00BD1D64" w:rsidP="00BD1D64">
      <w:pPr>
        <w:keepNext/>
        <w:keepLines/>
        <w:spacing w:before="120" w:after="120"/>
        <w:rPr>
          <w:rFonts w:cs="Arial"/>
          <w:snapToGrid w:val="0"/>
          <w:szCs w:val="20"/>
          <w:lang w:val="en-US"/>
        </w:rPr>
      </w:pPr>
      <w:r w:rsidRPr="00725094">
        <w:rPr>
          <w:rFonts w:cs="Arial"/>
          <w:snapToGrid w:val="0"/>
          <w:szCs w:val="20"/>
          <w:lang w:val="en-US"/>
        </w:rPr>
        <w:lastRenderedPageBreak/>
        <w:t>(2)</w:t>
      </w:r>
      <w:r w:rsidRPr="00725094">
        <w:rPr>
          <w:rFonts w:cs="Arial"/>
          <w:snapToGrid w:val="0"/>
          <w:szCs w:val="20"/>
          <w:lang w:val="en-US"/>
        </w:rPr>
        <w:tab/>
        <w:t>The following, inter alia, shall not constitute valid reasons for a delay:</w:t>
      </w:r>
    </w:p>
    <w:p w14:paraId="40A7DDD2" w14:textId="77777777" w:rsidR="00BD1D64" w:rsidRPr="00725094" w:rsidRDefault="00BD1D64" w:rsidP="00BD1D64">
      <w:pPr>
        <w:keepNext/>
        <w:keepLines/>
        <w:spacing w:before="120" w:after="120"/>
        <w:ind w:left="1134" w:hanging="567"/>
        <w:rPr>
          <w:rFonts w:cs="Arial"/>
          <w:snapToGrid w:val="0"/>
          <w:szCs w:val="20"/>
          <w:lang w:val="en-US"/>
        </w:rPr>
      </w:pPr>
      <w:r w:rsidRPr="00725094">
        <w:rPr>
          <w:rFonts w:cs="Arial"/>
          <w:snapToGrid w:val="0"/>
          <w:szCs w:val="20"/>
          <w:lang w:val="en-US"/>
        </w:rPr>
        <w:t>(a)</w:t>
      </w:r>
      <w:r w:rsidRPr="00725094">
        <w:rPr>
          <w:rFonts w:cs="Arial"/>
          <w:snapToGrid w:val="0"/>
          <w:szCs w:val="20"/>
          <w:lang w:val="en-US"/>
        </w:rPr>
        <w:tab/>
        <w:t xml:space="preserve">the </w:t>
      </w:r>
      <w:proofErr w:type="spellStart"/>
      <w:r w:rsidRPr="00725094">
        <w:rPr>
          <w:rFonts w:cs="Arial"/>
          <w:snapToGrid w:val="0"/>
          <w:szCs w:val="20"/>
          <w:lang w:val="en-US"/>
        </w:rPr>
        <w:t>licence</w:t>
      </w:r>
      <w:proofErr w:type="spellEnd"/>
      <w:r w:rsidRPr="00725094">
        <w:rPr>
          <w:rFonts w:cs="Arial"/>
          <w:snapToGrid w:val="0"/>
          <w:szCs w:val="20"/>
          <w:lang w:val="en-US"/>
        </w:rPr>
        <w:t xml:space="preserve"> has been obtained within the 6-month period pursuant to a transfer to a relative or associate; or</w:t>
      </w:r>
    </w:p>
    <w:p w14:paraId="02F5A912" w14:textId="77777777" w:rsidR="00BD1D64" w:rsidRPr="00725094" w:rsidRDefault="00BD1D64" w:rsidP="00BD1D64">
      <w:pPr>
        <w:keepNext/>
        <w:keepLines/>
        <w:spacing w:before="120" w:after="120"/>
        <w:ind w:left="567"/>
        <w:rPr>
          <w:rFonts w:cs="Arial"/>
          <w:snapToGrid w:val="0"/>
          <w:szCs w:val="20"/>
          <w:lang w:val="en-US"/>
        </w:rPr>
      </w:pPr>
      <w:r w:rsidRPr="00725094">
        <w:rPr>
          <w:rFonts w:cs="Arial"/>
          <w:snapToGrid w:val="0"/>
          <w:szCs w:val="20"/>
          <w:lang w:val="en-US"/>
        </w:rPr>
        <w:t>(b)</w:t>
      </w:r>
      <w:r w:rsidRPr="00725094">
        <w:rPr>
          <w:rFonts w:cs="Arial"/>
          <w:snapToGrid w:val="0"/>
          <w:szCs w:val="20"/>
          <w:lang w:val="en-US"/>
        </w:rPr>
        <w:tab/>
      </w:r>
      <w:r>
        <w:rPr>
          <w:rFonts w:cs="Arial"/>
          <w:snapToGrid w:val="0"/>
          <w:szCs w:val="20"/>
          <w:lang w:val="en-US"/>
        </w:rPr>
        <w:tab/>
      </w:r>
      <w:r w:rsidRPr="00725094">
        <w:rPr>
          <w:rFonts w:cs="Arial"/>
          <w:snapToGrid w:val="0"/>
          <w:szCs w:val="20"/>
          <w:lang w:val="en-US"/>
        </w:rPr>
        <w:t>financial reasons; or</w:t>
      </w:r>
    </w:p>
    <w:p w14:paraId="2563BA9C" w14:textId="77777777" w:rsidR="00BD1D64" w:rsidRPr="00725094" w:rsidRDefault="00BD1D64" w:rsidP="00BD1D64">
      <w:pPr>
        <w:keepNext/>
        <w:keepLines/>
        <w:spacing w:before="120" w:after="120"/>
        <w:ind w:left="1134" w:hanging="567"/>
        <w:rPr>
          <w:rFonts w:cs="Arial"/>
          <w:snapToGrid w:val="0"/>
          <w:szCs w:val="20"/>
          <w:lang w:val="en-US"/>
        </w:rPr>
      </w:pPr>
      <w:r w:rsidRPr="00725094">
        <w:rPr>
          <w:rFonts w:cs="Arial"/>
          <w:snapToGrid w:val="0"/>
          <w:szCs w:val="20"/>
          <w:lang w:val="en-US"/>
        </w:rPr>
        <w:t>(c)</w:t>
      </w:r>
      <w:r w:rsidRPr="00725094">
        <w:rPr>
          <w:rFonts w:cs="Arial"/>
          <w:snapToGrid w:val="0"/>
          <w:szCs w:val="20"/>
          <w:lang w:val="en-US"/>
        </w:rPr>
        <w:tab/>
        <w:t xml:space="preserve">the </w:t>
      </w:r>
      <w:proofErr w:type="spellStart"/>
      <w:r w:rsidRPr="00725094">
        <w:rPr>
          <w:rFonts w:cs="Arial"/>
          <w:snapToGrid w:val="0"/>
          <w:szCs w:val="20"/>
          <w:lang w:val="en-US"/>
        </w:rPr>
        <w:t>licence</w:t>
      </w:r>
      <w:proofErr w:type="spellEnd"/>
      <w:r w:rsidRPr="00725094">
        <w:rPr>
          <w:rFonts w:cs="Arial"/>
          <w:snapToGrid w:val="0"/>
          <w:szCs w:val="20"/>
          <w:lang w:val="en-US"/>
        </w:rPr>
        <w:t xml:space="preserve"> is subject to an arrangement contingent on the disposal of another </w:t>
      </w:r>
      <w:proofErr w:type="spellStart"/>
      <w:r w:rsidRPr="00725094">
        <w:rPr>
          <w:rFonts w:cs="Arial"/>
          <w:snapToGrid w:val="0"/>
          <w:szCs w:val="20"/>
          <w:lang w:val="en-US"/>
        </w:rPr>
        <w:t>licence</w:t>
      </w:r>
      <w:proofErr w:type="spellEnd"/>
      <w:r w:rsidRPr="00725094">
        <w:rPr>
          <w:rFonts w:cs="Arial"/>
          <w:snapToGrid w:val="0"/>
          <w:szCs w:val="20"/>
          <w:lang w:val="en-US"/>
        </w:rPr>
        <w:t xml:space="preserve"> held by the licensee.</w:t>
      </w:r>
    </w:p>
    <w:p w14:paraId="7DFAA672" w14:textId="77777777" w:rsidR="00BD1D64" w:rsidRPr="00725094" w:rsidRDefault="00BD1D64" w:rsidP="00BD1D64">
      <w:pPr>
        <w:spacing w:before="120" w:after="120"/>
        <w:rPr>
          <w:rFonts w:cs="Arial"/>
          <w:snapToGrid w:val="0"/>
          <w:szCs w:val="20"/>
          <w:lang w:val="en-US"/>
        </w:rPr>
      </w:pPr>
      <w:r w:rsidRPr="00725094">
        <w:rPr>
          <w:rFonts w:cs="Arial"/>
          <w:snapToGrid w:val="0"/>
          <w:szCs w:val="20"/>
          <w:lang w:val="en-US"/>
        </w:rPr>
        <w:t>(3)</w:t>
      </w:r>
      <w:r w:rsidRPr="00725094">
        <w:rPr>
          <w:rFonts w:cs="Arial"/>
          <w:snapToGrid w:val="0"/>
          <w:szCs w:val="20"/>
          <w:lang w:val="en-US"/>
        </w:rPr>
        <w:tab/>
        <w:t>To remove any doubt, subsection (2) is not exhaustive and there may be other reasons that do not constitute valid reasons for a delay in commencing to provide a service.</w:t>
      </w:r>
    </w:p>
    <w:p w14:paraId="13D067F7" w14:textId="77777777" w:rsidR="00BD1D64" w:rsidRPr="003A6295" w:rsidRDefault="00BD1D64" w:rsidP="00BD1D64">
      <w:pPr>
        <w:keepNext/>
        <w:spacing w:before="240" w:after="120"/>
        <w:rPr>
          <w:rFonts w:ascii="Times New Roman" w:hAnsi="Times New Roman"/>
          <w:b/>
          <w:snapToGrid w:val="0"/>
          <w:szCs w:val="20"/>
          <w:lang w:val="en-US"/>
        </w:rPr>
      </w:pPr>
      <w:r w:rsidRPr="003A6295">
        <w:rPr>
          <w:b/>
          <w:snapToGrid w:val="0"/>
          <w:szCs w:val="20"/>
          <w:lang w:val="en-US"/>
        </w:rPr>
        <w:t>10.</w:t>
      </w:r>
      <w:r>
        <w:rPr>
          <w:b/>
          <w:snapToGrid w:val="0"/>
          <w:szCs w:val="20"/>
          <w:lang w:val="en-US"/>
        </w:rPr>
        <w:t xml:space="preserve"> </w:t>
      </w:r>
      <w:r w:rsidRPr="003A6295">
        <w:rPr>
          <w:b/>
          <w:snapToGrid w:val="0"/>
          <w:szCs w:val="20"/>
          <w:lang w:val="en-US"/>
        </w:rPr>
        <w:t xml:space="preserve">Direction – cancellation of LPON </w:t>
      </w:r>
      <w:proofErr w:type="spellStart"/>
      <w:r w:rsidRPr="003A6295">
        <w:rPr>
          <w:b/>
          <w:snapToGrid w:val="0"/>
          <w:szCs w:val="20"/>
          <w:lang w:val="en-US"/>
        </w:rPr>
        <w:t>licences</w:t>
      </w:r>
      <w:proofErr w:type="spellEnd"/>
    </w:p>
    <w:p w14:paraId="3D312EA5" w14:textId="77777777" w:rsidR="00BD1D64" w:rsidRPr="003A6295" w:rsidRDefault="00BD1D64" w:rsidP="00BD1D64">
      <w:pPr>
        <w:spacing w:before="120" w:after="120"/>
        <w:rPr>
          <w:snapToGrid w:val="0"/>
          <w:szCs w:val="20"/>
          <w:lang w:val="en-US"/>
        </w:rPr>
      </w:pPr>
      <w:r w:rsidRPr="003A6295">
        <w:rPr>
          <w:snapToGrid w:val="0"/>
          <w:szCs w:val="20"/>
          <w:lang w:val="en-US"/>
        </w:rPr>
        <w:t>(1)</w:t>
      </w:r>
      <w:r w:rsidRPr="003A6295">
        <w:rPr>
          <w:snapToGrid w:val="0"/>
          <w:szCs w:val="20"/>
          <w:lang w:val="en-US"/>
        </w:rPr>
        <w:tab/>
        <w:t xml:space="preserve">The ACA may consider cancelling an apparatus </w:t>
      </w:r>
      <w:proofErr w:type="spellStart"/>
      <w:r w:rsidRPr="003A6295">
        <w:rPr>
          <w:snapToGrid w:val="0"/>
          <w:szCs w:val="20"/>
          <w:lang w:val="en-US"/>
        </w:rPr>
        <w:t>licence</w:t>
      </w:r>
      <w:proofErr w:type="spellEnd"/>
      <w:r w:rsidRPr="003A6295">
        <w:rPr>
          <w:snapToGrid w:val="0"/>
          <w:szCs w:val="20"/>
          <w:lang w:val="en-US"/>
        </w:rPr>
        <w:t xml:space="preserve"> for a low power open narrowcasting service for contravention of any conditions included in the </w:t>
      </w:r>
      <w:proofErr w:type="spellStart"/>
      <w:r w:rsidRPr="003A6295">
        <w:rPr>
          <w:snapToGrid w:val="0"/>
          <w:szCs w:val="20"/>
          <w:lang w:val="en-US"/>
        </w:rPr>
        <w:t>licence</w:t>
      </w:r>
      <w:proofErr w:type="spellEnd"/>
      <w:r w:rsidRPr="003A6295">
        <w:rPr>
          <w:snapToGrid w:val="0"/>
          <w:szCs w:val="20"/>
          <w:lang w:val="en-US"/>
        </w:rPr>
        <w:t xml:space="preserve"> because of section 5, 6, 7 or 9 where it has received a written statement from any person (“</w:t>
      </w:r>
      <w:r w:rsidRPr="003A6295">
        <w:rPr>
          <w:b/>
          <w:i/>
          <w:snapToGrid w:val="0"/>
          <w:szCs w:val="20"/>
          <w:lang w:val="en-US"/>
        </w:rPr>
        <w:t>the complainant</w:t>
      </w:r>
      <w:r w:rsidRPr="003A6295">
        <w:rPr>
          <w:snapToGrid w:val="0"/>
          <w:szCs w:val="20"/>
          <w:lang w:val="en-US"/>
        </w:rPr>
        <w:t>”) specifying the following details:</w:t>
      </w:r>
    </w:p>
    <w:p w14:paraId="22D74776" w14:textId="77777777" w:rsidR="00BD1D64" w:rsidRPr="003A6295" w:rsidRDefault="00BD1D64" w:rsidP="00BD1D64">
      <w:pPr>
        <w:numPr>
          <w:ilvl w:val="0"/>
          <w:numId w:val="17"/>
        </w:numPr>
        <w:spacing w:before="120" w:after="120" w:line="240" w:lineRule="auto"/>
        <w:ind w:left="1134" w:hanging="567"/>
        <w:rPr>
          <w:snapToGrid w:val="0"/>
          <w:szCs w:val="20"/>
          <w:lang w:val="en-US"/>
        </w:rPr>
      </w:pPr>
      <w:r w:rsidRPr="003A6295">
        <w:rPr>
          <w:snapToGrid w:val="0"/>
          <w:szCs w:val="20"/>
          <w:lang w:val="en-US"/>
        </w:rPr>
        <w:t>the name and contact details of the complainant and their interest in the matter; and</w:t>
      </w:r>
    </w:p>
    <w:p w14:paraId="37DD3357" w14:textId="77777777" w:rsidR="00BD1D64" w:rsidRPr="003A6295" w:rsidRDefault="00BD1D64" w:rsidP="62F7AD00">
      <w:pPr>
        <w:numPr>
          <w:ilvl w:val="0"/>
          <w:numId w:val="17"/>
        </w:numPr>
        <w:spacing w:before="120" w:after="120" w:line="240" w:lineRule="auto"/>
        <w:ind w:left="567" w:firstLine="0"/>
        <w:rPr>
          <w:snapToGrid w:val="0"/>
          <w:lang w:val="en-US"/>
        </w:rPr>
      </w:pPr>
      <w:r w:rsidRPr="62F7AD00">
        <w:rPr>
          <w:snapToGrid w:val="0"/>
          <w:lang w:val="en-US"/>
        </w:rPr>
        <w:t xml:space="preserve">the </w:t>
      </w:r>
      <w:bookmarkStart w:id="40" w:name="_Int_0fgESUfK"/>
      <w:r w:rsidRPr="62F7AD00">
        <w:rPr>
          <w:snapToGrid w:val="0"/>
          <w:lang w:val="en-US"/>
        </w:rPr>
        <w:t>purported breach</w:t>
      </w:r>
      <w:bookmarkEnd w:id="40"/>
      <w:r w:rsidRPr="62F7AD00">
        <w:rPr>
          <w:snapToGrid w:val="0"/>
          <w:lang w:val="en-US"/>
        </w:rPr>
        <w:t xml:space="preserve"> of condition and the supporting evidence.</w:t>
      </w:r>
    </w:p>
    <w:p w14:paraId="3C07504C" w14:textId="77777777" w:rsidR="00BD1D64" w:rsidRPr="003A6295" w:rsidRDefault="00BD1D64" w:rsidP="00BD1D64">
      <w:pPr>
        <w:spacing w:before="120" w:after="120"/>
        <w:rPr>
          <w:snapToGrid w:val="0"/>
          <w:szCs w:val="20"/>
          <w:lang w:val="en-US"/>
        </w:rPr>
      </w:pPr>
      <w:r w:rsidRPr="003A6295">
        <w:rPr>
          <w:snapToGrid w:val="0"/>
          <w:szCs w:val="20"/>
          <w:lang w:val="en-US"/>
        </w:rPr>
        <w:t>(2)</w:t>
      </w:r>
      <w:r w:rsidRPr="003A6295">
        <w:rPr>
          <w:snapToGrid w:val="0"/>
          <w:szCs w:val="20"/>
          <w:lang w:val="en-US"/>
        </w:rPr>
        <w:tab/>
        <w:t xml:space="preserve">The statement must be made on the form approved by the ACA for this purpose </w:t>
      </w:r>
      <w:r w:rsidRPr="003A6295">
        <w:rPr>
          <w:i/>
          <w:snapToGrid w:val="0"/>
          <w:szCs w:val="20"/>
          <w:lang w:val="en-US"/>
        </w:rPr>
        <w:t>(</w:t>
      </w:r>
      <w:r w:rsidRPr="003A6295">
        <w:rPr>
          <w:b/>
          <w:i/>
          <w:snapToGrid w:val="0"/>
          <w:szCs w:val="20"/>
          <w:lang w:val="en-US"/>
        </w:rPr>
        <w:t>the complaint form</w:t>
      </w:r>
      <w:r w:rsidRPr="003A6295">
        <w:rPr>
          <w:i/>
          <w:snapToGrid w:val="0"/>
          <w:szCs w:val="20"/>
          <w:lang w:val="en-US"/>
        </w:rPr>
        <w:t>)</w:t>
      </w:r>
      <w:r w:rsidRPr="003A6295">
        <w:rPr>
          <w:snapToGrid w:val="0"/>
          <w:szCs w:val="20"/>
          <w:lang w:val="en-US"/>
        </w:rPr>
        <w:t xml:space="preserve"> and must be accompanied by a statutory declaration as to the truth of the contents of the statement.</w:t>
      </w:r>
    </w:p>
    <w:p w14:paraId="7FA03638" w14:textId="77777777" w:rsidR="00BD1D64" w:rsidRPr="002433B3" w:rsidRDefault="00BD1D64" w:rsidP="62F7AD00">
      <w:pPr>
        <w:spacing w:before="120" w:after="120"/>
        <w:rPr>
          <w:snapToGrid w:val="0"/>
          <w:lang w:val="en-US"/>
        </w:rPr>
      </w:pPr>
      <w:r w:rsidRPr="62F7AD00">
        <w:rPr>
          <w:snapToGrid w:val="0"/>
          <w:lang w:val="en-US"/>
        </w:rPr>
        <w:t>(3)</w:t>
      </w:r>
      <w:r w:rsidRPr="002433B3">
        <w:rPr>
          <w:snapToGrid w:val="0"/>
          <w:szCs w:val="20"/>
          <w:lang w:val="en-US"/>
        </w:rPr>
        <w:tab/>
      </w:r>
      <w:r w:rsidRPr="62F7AD00">
        <w:rPr>
          <w:snapToGrid w:val="0"/>
          <w:lang w:val="en-US"/>
        </w:rPr>
        <w:t xml:space="preserve">The ACA must give the licensee written notice that it has received a complaint and must provide details of what is contained in the complaint which gives the licensee a clear understanding of the substance of the complaint.  The licensee must be given </w:t>
      </w:r>
      <w:bookmarkStart w:id="41" w:name="_Int_zRnzHMz3"/>
      <w:r w:rsidRPr="62F7AD00">
        <w:rPr>
          <w:snapToGrid w:val="0"/>
          <w:lang w:val="en-US"/>
        </w:rPr>
        <w:t>30 days</w:t>
      </w:r>
      <w:bookmarkEnd w:id="41"/>
      <w:r w:rsidRPr="62F7AD00">
        <w:rPr>
          <w:snapToGrid w:val="0"/>
          <w:lang w:val="en-US"/>
        </w:rPr>
        <w:t xml:space="preserve"> from the date on which the licensee is advised of the </w:t>
      </w:r>
      <w:bookmarkStart w:id="42" w:name="_Int_BrOIpICI"/>
      <w:r w:rsidRPr="62F7AD00">
        <w:rPr>
          <w:snapToGrid w:val="0"/>
          <w:lang w:val="en-US"/>
        </w:rPr>
        <w:t>complaint</w:t>
      </w:r>
      <w:bookmarkEnd w:id="42"/>
      <w:r w:rsidRPr="62F7AD00">
        <w:rPr>
          <w:snapToGrid w:val="0"/>
          <w:lang w:val="en-US"/>
        </w:rPr>
        <w:t xml:space="preserve"> in which to respond.</w:t>
      </w:r>
    </w:p>
    <w:p w14:paraId="404CEE8A" w14:textId="79E306FC" w:rsidR="00BD1D64" w:rsidRPr="003A6295" w:rsidRDefault="00BD1D64" w:rsidP="00BD1D64">
      <w:pPr>
        <w:spacing w:before="120" w:after="120"/>
      </w:pPr>
      <w:r>
        <w:t>(</w:t>
      </w:r>
      <w:r w:rsidR="0943F201">
        <w:t>4) ￼</w:t>
      </w:r>
      <w:r>
        <w:t xml:space="preserve">In considering </w:t>
      </w:r>
      <w:bookmarkStart w:id="43" w:name="_Int_jul5DpNj"/>
      <w:proofErr w:type="gramStart"/>
      <w:r>
        <w:t>whether or not</w:t>
      </w:r>
      <w:bookmarkEnd w:id="43"/>
      <w:proofErr w:type="gramEnd"/>
      <w:r>
        <w:t xml:space="preserve"> to cancel an apparatus licence for a low power open narrowcasting service for contravention of any conditions included in the licence because of sections 5, 6, 7 and 9 of this Direction, the ACA must have regard to:</w:t>
      </w:r>
    </w:p>
    <w:p w14:paraId="6268090F" w14:textId="77777777" w:rsidR="00BD1D64" w:rsidRPr="003A6295" w:rsidRDefault="00BD1D64" w:rsidP="00BD1D64">
      <w:pPr>
        <w:numPr>
          <w:ilvl w:val="0"/>
          <w:numId w:val="18"/>
        </w:numPr>
        <w:spacing w:before="120" w:after="120" w:line="240" w:lineRule="auto"/>
        <w:ind w:left="1134" w:hanging="567"/>
        <w:rPr>
          <w:snapToGrid w:val="0"/>
          <w:szCs w:val="20"/>
          <w:lang w:val="en-US"/>
        </w:rPr>
      </w:pPr>
      <w:r w:rsidRPr="003A6295">
        <w:rPr>
          <w:snapToGrid w:val="0"/>
          <w:szCs w:val="20"/>
          <w:lang w:val="en-US"/>
        </w:rPr>
        <w:t xml:space="preserve">arrangements made by the licensee for access and use of a site for the purpose of providing the </w:t>
      </w:r>
      <w:proofErr w:type="gramStart"/>
      <w:r w:rsidRPr="003A6295">
        <w:rPr>
          <w:snapToGrid w:val="0"/>
          <w:szCs w:val="20"/>
          <w:lang w:val="en-US"/>
        </w:rPr>
        <w:t>service;</w:t>
      </w:r>
      <w:proofErr w:type="gramEnd"/>
    </w:p>
    <w:p w14:paraId="4C3077FD" w14:textId="77777777" w:rsidR="00BD1D64" w:rsidRPr="003A6295" w:rsidRDefault="00BD1D64" w:rsidP="00BD1D64">
      <w:pPr>
        <w:numPr>
          <w:ilvl w:val="0"/>
          <w:numId w:val="18"/>
        </w:numPr>
        <w:spacing w:before="120" w:after="120" w:line="240" w:lineRule="auto"/>
        <w:ind w:left="1134" w:hanging="567"/>
        <w:rPr>
          <w:snapToGrid w:val="0"/>
          <w:szCs w:val="20"/>
          <w:lang w:val="en-US"/>
        </w:rPr>
      </w:pPr>
      <w:r w:rsidRPr="003A6295">
        <w:rPr>
          <w:snapToGrid w:val="0"/>
          <w:szCs w:val="20"/>
          <w:lang w:val="en-US"/>
        </w:rPr>
        <w:t xml:space="preserve">ownership, purchase, lease or hire, or other arrangements made by the licensee for the use of a transmitter on the site for the purpose of providing the </w:t>
      </w:r>
      <w:proofErr w:type="gramStart"/>
      <w:r w:rsidRPr="003A6295">
        <w:rPr>
          <w:snapToGrid w:val="0"/>
          <w:szCs w:val="20"/>
          <w:lang w:val="en-US"/>
        </w:rPr>
        <w:t>service;</w:t>
      </w:r>
      <w:proofErr w:type="gramEnd"/>
    </w:p>
    <w:p w14:paraId="7A780231" w14:textId="77777777" w:rsidR="00BD1D64" w:rsidRPr="003A6295" w:rsidRDefault="00BD1D64" w:rsidP="00BD1D64">
      <w:pPr>
        <w:numPr>
          <w:ilvl w:val="0"/>
          <w:numId w:val="18"/>
        </w:numPr>
        <w:spacing w:before="120" w:after="120" w:line="240" w:lineRule="auto"/>
        <w:ind w:left="1134" w:hanging="567"/>
        <w:rPr>
          <w:snapToGrid w:val="0"/>
          <w:szCs w:val="20"/>
          <w:lang w:val="en-US"/>
        </w:rPr>
      </w:pPr>
      <w:r w:rsidRPr="003A6295">
        <w:rPr>
          <w:snapToGrid w:val="0"/>
          <w:szCs w:val="20"/>
          <w:lang w:val="en-US"/>
        </w:rPr>
        <w:t xml:space="preserve">arrangements made by the licensee to obtain programs for use in providing the </w:t>
      </w:r>
      <w:proofErr w:type="gramStart"/>
      <w:r w:rsidRPr="003A6295">
        <w:rPr>
          <w:snapToGrid w:val="0"/>
          <w:szCs w:val="20"/>
          <w:lang w:val="en-US"/>
        </w:rPr>
        <w:t>service;</w:t>
      </w:r>
      <w:proofErr w:type="gramEnd"/>
      <w:r w:rsidRPr="003A6295">
        <w:rPr>
          <w:snapToGrid w:val="0"/>
          <w:szCs w:val="20"/>
          <w:lang w:val="en-US"/>
        </w:rPr>
        <w:t xml:space="preserve"> </w:t>
      </w:r>
    </w:p>
    <w:p w14:paraId="68F91778" w14:textId="77777777" w:rsidR="00BD1D64" w:rsidRPr="003A6295" w:rsidRDefault="00BD1D64" w:rsidP="00BD1D64">
      <w:pPr>
        <w:numPr>
          <w:ilvl w:val="0"/>
          <w:numId w:val="18"/>
        </w:numPr>
        <w:spacing w:before="120" w:after="120" w:line="240" w:lineRule="auto"/>
        <w:ind w:left="1134" w:hanging="567"/>
        <w:rPr>
          <w:snapToGrid w:val="0"/>
          <w:szCs w:val="20"/>
          <w:lang w:val="en-US"/>
        </w:rPr>
      </w:pPr>
      <w:r w:rsidRPr="003A6295">
        <w:rPr>
          <w:snapToGrid w:val="0"/>
          <w:szCs w:val="20"/>
          <w:lang w:val="en-US"/>
        </w:rPr>
        <w:t xml:space="preserve">the regularity and continuity of programs broadcast by the licensee from the </w:t>
      </w:r>
      <w:proofErr w:type="gramStart"/>
      <w:r w:rsidRPr="003A6295">
        <w:rPr>
          <w:snapToGrid w:val="0"/>
          <w:szCs w:val="20"/>
          <w:lang w:val="en-US"/>
        </w:rPr>
        <w:t>site;</w:t>
      </w:r>
      <w:proofErr w:type="gramEnd"/>
    </w:p>
    <w:p w14:paraId="37065898" w14:textId="77777777" w:rsidR="00BD1D64" w:rsidRPr="003A6295" w:rsidRDefault="00BD1D64" w:rsidP="00BD1D64">
      <w:pPr>
        <w:numPr>
          <w:ilvl w:val="0"/>
          <w:numId w:val="18"/>
        </w:numPr>
        <w:spacing w:before="120" w:after="120" w:line="240" w:lineRule="auto"/>
        <w:ind w:left="1134" w:hanging="567"/>
        <w:rPr>
          <w:snapToGrid w:val="0"/>
          <w:szCs w:val="20"/>
          <w:lang w:val="en-US"/>
        </w:rPr>
      </w:pPr>
      <w:r w:rsidRPr="003A6295">
        <w:rPr>
          <w:snapToGrid w:val="0"/>
          <w:szCs w:val="20"/>
          <w:lang w:val="en-US"/>
        </w:rPr>
        <w:t xml:space="preserve">the nature of the service to which the </w:t>
      </w:r>
      <w:proofErr w:type="spellStart"/>
      <w:r w:rsidRPr="003A6295">
        <w:rPr>
          <w:snapToGrid w:val="0"/>
          <w:szCs w:val="20"/>
          <w:lang w:val="en-US"/>
        </w:rPr>
        <w:t>licence</w:t>
      </w:r>
      <w:proofErr w:type="spellEnd"/>
      <w:r w:rsidRPr="003A6295">
        <w:rPr>
          <w:snapToGrid w:val="0"/>
          <w:szCs w:val="20"/>
          <w:lang w:val="en-US"/>
        </w:rPr>
        <w:t xml:space="preserve"> relates, and which is being provided by the </w:t>
      </w:r>
      <w:proofErr w:type="gramStart"/>
      <w:r w:rsidRPr="003A6295">
        <w:rPr>
          <w:snapToGrid w:val="0"/>
          <w:szCs w:val="20"/>
          <w:lang w:val="en-US"/>
        </w:rPr>
        <w:t>licensee;</w:t>
      </w:r>
      <w:proofErr w:type="gramEnd"/>
    </w:p>
    <w:p w14:paraId="09819EAE" w14:textId="77777777" w:rsidR="00BD1D64" w:rsidRPr="003A6295" w:rsidRDefault="00BD1D64" w:rsidP="00BD1D64">
      <w:pPr>
        <w:numPr>
          <w:ilvl w:val="0"/>
          <w:numId w:val="18"/>
        </w:numPr>
        <w:spacing w:before="120" w:after="120" w:line="240" w:lineRule="auto"/>
        <w:ind w:left="1134" w:hanging="567"/>
        <w:rPr>
          <w:snapToGrid w:val="0"/>
          <w:szCs w:val="20"/>
          <w:lang w:val="en-US"/>
        </w:rPr>
      </w:pPr>
      <w:r w:rsidRPr="003A6295">
        <w:rPr>
          <w:snapToGrid w:val="0"/>
          <w:szCs w:val="20"/>
          <w:lang w:val="en-US"/>
        </w:rPr>
        <w:t xml:space="preserve">the maintenance of records of the commencement, hours of operation and provision of a service under the </w:t>
      </w:r>
      <w:proofErr w:type="spellStart"/>
      <w:r w:rsidRPr="003A6295">
        <w:rPr>
          <w:snapToGrid w:val="0"/>
          <w:szCs w:val="20"/>
          <w:lang w:val="en-US"/>
        </w:rPr>
        <w:t>licence</w:t>
      </w:r>
      <w:proofErr w:type="spellEnd"/>
      <w:r w:rsidRPr="003A6295">
        <w:rPr>
          <w:snapToGrid w:val="0"/>
          <w:szCs w:val="20"/>
          <w:lang w:val="en-US"/>
        </w:rPr>
        <w:t>; and</w:t>
      </w:r>
    </w:p>
    <w:p w14:paraId="4CB13C6C" w14:textId="77777777" w:rsidR="00BD1D64" w:rsidRPr="003A6295" w:rsidRDefault="00BD1D64" w:rsidP="62F7AD00">
      <w:pPr>
        <w:numPr>
          <w:ilvl w:val="0"/>
          <w:numId w:val="18"/>
        </w:numPr>
        <w:spacing w:before="120" w:after="120" w:line="240" w:lineRule="auto"/>
        <w:ind w:left="1134" w:hanging="567"/>
        <w:rPr>
          <w:snapToGrid w:val="0"/>
          <w:lang w:val="en-US"/>
        </w:rPr>
      </w:pPr>
      <w:r w:rsidRPr="62F7AD00">
        <w:rPr>
          <w:snapToGrid w:val="0"/>
          <w:lang w:val="en-US"/>
        </w:rPr>
        <w:t xml:space="preserve">other </w:t>
      </w:r>
      <w:bookmarkStart w:id="44" w:name="_Int_x38dNfWc"/>
      <w:r w:rsidRPr="62F7AD00">
        <w:rPr>
          <w:snapToGrid w:val="0"/>
          <w:lang w:val="en-US"/>
        </w:rPr>
        <w:t>such matters</w:t>
      </w:r>
      <w:bookmarkEnd w:id="44"/>
      <w:r w:rsidRPr="62F7AD00">
        <w:rPr>
          <w:snapToGrid w:val="0"/>
          <w:lang w:val="en-US"/>
        </w:rPr>
        <w:t xml:space="preserve"> as the ACA considers relevant.</w:t>
      </w:r>
    </w:p>
    <w:p w14:paraId="4667D273" w14:textId="277E2CBF" w:rsidR="00BD1D64" w:rsidRPr="003A6295" w:rsidRDefault="00BD1D64" w:rsidP="00BD1D64">
      <w:pPr>
        <w:keepNext/>
        <w:keepLines/>
        <w:spacing w:before="120" w:after="120"/>
      </w:pPr>
      <w:r>
        <w:lastRenderedPageBreak/>
        <w:t>(</w:t>
      </w:r>
      <w:r w:rsidR="584A8080">
        <w:t>5) ￼</w:t>
      </w:r>
      <w:r>
        <w:t>In considering whether a condition included in an apparatus licence because of clauses 5(b), 6(b), 7(b) or 9(b) requiring continued provision of a service has been complied with, the ACA must have regard to:</w:t>
      </w:r>
    </w:p>
    <w:p w14:paraId="1801701A" w14:textId="77777777" w:rsidR="00BD1D64" w:rsidRPr="003A6295" w:rsidRDefault="00BD1D64" w:rsidP="00BD1D64">
      <w:pPr>
        <w:keepNext/>
        <w:keepLines/>
        <w:numPr>
          <w:ilvl w:val="0"/>
          <w:numId w:val="19"/>
        </w:numPr>
        <w:spacing w:before="120" w:after="120" w:line="240" w:lineRule="auto"/>
        <w:ind w:left="1134" w:hanging="567"/>
        <w:rPr>
          <w:szCs w:val="20"/>
        </w:rPr>
      </w:pPr>
      <w:r w:rsidRPr="003A6295">
        <w:rPr>
          <w:szCs w:val="20"/>
        </w:rPr>
        <w:t xml:space="preserve">the period for which a service has not been provided in relation to the period in which it could have been </w:t>
      </w:r>
      <w:proofErr w:type="gramStart"/>
      <w:r w:rsidRPr="003A6295">
        <w:rPr>
          <w:szCs w:val="20"/>
        </w:rPr>
        <w:t>provided;</w:t>
      </w:r>
      <w:proofErr w:type="gramEnd"/>
    </w:p>
    <w:p w14:paraId="0A36659F" w14:textId="77777777" w:rsidR="00BD1D64" w:rsidRPr="003A6295" w:rsidRDefault="00BD1D64" w:rsidP="00BD1D64">
      <w:pPr>
        <w:keepNext/>
        <w:keepLines/>
        <w:numPr>
          <w:ilvl w:val="0"/>
          <w:numId w:val="19"/>
        </w:numPr>
        <w:spacing w:before="120" w:after="120" w:line="240" w:lineRule="auto"/>
        <w:ind w:left="1134" w:hanging="567"/>
        <w:rPr>
          <w:szCs w:val="20"/>
        </w:rPr>
      </w:pPr>
      <w:r w:rsidRPr="003A6295">
        <w:rPr>
          <w:szCs w:val="20"/>
        </w:rPr>
        <w:t>whether any circumstances existed which gave rise to a failure to continue to provide a service that were beyond the reasonable control of the licensee or persons with whom arrangements existed under paragraph 10(4)(b</w:t>
      </w:r>
      <w:proofErr w:type="gramStart"/>
      <w:r w:rsidRPr="003A6295">
        <w:rPr>
          <w:szCs w:val="20"/>
        </w:rPr>
        <w:t>);</w:t>
      </w:r>
      <w:proofErr w:type="gramEnd"/>
    </w:p>
    <w:p w14:paraId="63E545DF" w14:textId="77777777" w:rsidR="00BD1D64" w:rsidRPr="003A6295" w:rsidRDefault="00BD1D64" w:rsidP="00BD1D64">
      <w:pPr>
        <w:keepNext/>
        <w:keepLines/>
        <w:numPr>
          <w:ilvl w:val="0"/>
          <w:numId w:val="19"/>
        </w:numPr>
        <w:spacing w:before="120" w:after="120" w:line="240" w:lineRule="auto"/>
        <w:ind w:left="1134" w:hanging="567"/>
        <w:rPr>
          <w:szCs w:val="20"/>
        </w:rPr>
      </w:pPr>
      <w:r w:rsidRPr="003A6295">
        <w:rPr>
          <w:szCs w:val="20"/>
        </w:rPr>
        <w:t xml:space="preserve">the number of other apparatus licences for low power open narrowcasting services held by the licensee and the level of services provided under those </w:t>
      </w:r>
      <w:proofErr w:type="gramStart"/>
      <w:r w:rsidRPr="003A6295">
        <w:rPr>
          <w:szCs w:val="20"/>
        </w:rPr>
        <w:t>licences;</w:t>
      </w:r>
      <w:proofErr w:type="gramEnd"/>
    </w:p>
    <w:p w14:paraId="6DB6764B" w14:textId="77777777" w:rsidR="00BD1D64" w:rsidRPr="003A6295" w:rsidRDefault="00BD1D64" w:rsidP="00BD1D64">
      <w:pPr>
        <w:keepNext/>
        <w:keepLines/>
        <w:numPr>
          <w:ilvl w:val="0"/>
          <w:numId w:val="19"/>
        </w:numPr>
        <w:spacing w:before="120" w:after="120" w:line="240" w:lineRule="auto"/>
        <w:ind w:left="1134" w:hanging="567"/>
        <w:rPr>
          <w:snapToGrid w:val="0"/>
          <w:szCs w:val="20"/>
          <w:lang w:val="en-US"/>
        </w:rPr>
      </w:pPr>
      <w:r w:rsidRPr="003A6295">
        <w:rPr>
          <w:szCs w:val="20"/>
        </w:rPr>
        <w:t>such other matters as the ACA considers relevant.</w:t>
      </w:r>
    </w:p>
    <w:p w14:paraId="0BE505DF" w14:textId="77777777" w:rsidR="00BD1D64" w:rsidRPr="003A6295" w:rsidRDefault="00BD1D64" w:rsidP="00BD1D64">
      <w:pPr>
        <w:keepNext/>
        <w:keepLines/>
        <w:spacing w:before="240" w:after="120"/>
        <w:rPr>
          <w:b/>
          <w:snapToGrid w:val="0"/>
          <w:szCs w:val="20"/>
          <w:lang w:val="en-US"/>
        </w:rPr>
      </w:pPr>
      <w:r w:rsidRPr="003A6295">
        <w:rPr>
          <w:b/>
          <w:snapToGrid w:val="0"/>
          <w:szCs w:val="20"/>
          <w:lang w:val="en-US"/>
        </w:rPr>
        <w:t>11.</w:t>
      </w:r>
      <w:r w:rsidRPr="003A6295">
        <w:rPr>
          <w:b/>
          <w:snapToGrid w:val="0"/>
          <w:szCs w:val="20"/>
          <w:lang w:val="en-US"/>
        </w:rPr>
        <w:tab/>
      </w:r>
      <w:r>
        <w:rPr>
          <w:b/>
          <w:snapToGrid w:val="0"/>
          <w:szCs w:val="20"/>
          <w:lang w:val="en-US"/>
        </w:rPr>
        <w:t xml:space="preserve"> </w:t>
      </w:r>
      <w:r w:rsidRPr="003A6295">
        <w:rPr>
          <w:b/>
          <w:snapToGrid w:val="0"/>
          <w:szCs w:val="20"/>
          <w:lang w:val="en-US"/>
        </w:rPr>
        <w:t xml:space="preserve">Direction – no issue of a </w:t>
      </w:r>
      <w:proofErr w:type="spellStart"/>
      <w:r w:rsidRPr="003A6295">
        <w:rPr>
          <w:b/>
          <w:snapToGrid w:val="0"/>
          <w:szCs w:val="20"/>
          <w:lang w:val="en-US"/>
        </w:rPr>
        <w:t>licence</w:t>
      </w:r>
      <w:proofErr w:type="spellEnd"/>
      <w:r w:rsidRPr="003A6295">
        <w:rPr>
          <w:b/>
          <w:snapToGrid w:val="0"/>
          <w:szCs w:val="20"/>
          <w:lang w:val="en-US"/>
        </w:rPr>
        <w:t xml:space="preserve"> on similar terms</w:t>
      </w:r>
    </w:p>
    <w:p w14:paraId="71E4EC99" w14:textId="45661A74" w:rsidR="00FF3C69" w:rsidRPr="00354874" w:rsidRDefault="00BD1D64" w:rsidP="007F1CD6">
      <w:pPr>
        <w:keepNext/>
        <w:keepLines/>
        <w:spacing w:before="120" w:after="120"/>
      </w:pPr>
      <w:r w:rsidRPr="62F7AD00">
        <w:rPr>
          <w:snapToGrid w:val="0"/>
          <w:lang w:val="en-US"/>
        </w:rPr>
        <w:t xml:space="preserve">The ACA must not grant an apparatus </w:t>
      </w:r>
      <w:proofErr w:type="spellStart"/>
      <w:r w:rsidRPr="62F7AD00">
        <w:rPr>
          <w:snapToGrid w:val="0"/>
          <w:lang w:val="en-US"/>
        </w:rPr>
        <w:t>licence</w:t>
      </w:r>
      <w:proofErr w:type="spellEnd"/>
      <w:r w:rsidRPr="62F7AD00">
        <w:rPr>
          <w:snapToGrid w:val="0"/>
          <w:lang w:val="en-US"/>
        </w:rPr>
        <w:t xml:space="preserve"> for a low power open narrowcasting service on similar terms or including similar details to that of an existing </w:t>
      </w:r>
      <w:proofErr w:type="spellStart"/>
      <w:r w:rsidRPr="62F7AD00">
        <w:rPr>
          <w:snapToGrid w:val="0"/>
          <w:lang w:val="en-US"/>
        </w:rPr>
        <w:t>licence</w:t>
      </w:r>
      <w:proofErr w:type="spellEnd"/>
      <w:r w:rsidRPr="62F7AD00">
        <w:rPr>
          <w:snapToGrid w:val="0"/>
          <w:lang w:val="en-US"/>
        </w:rPr>
        <w:t xml:space="preserve"> during the period in which a complaint is being assessed in relation to the existing </w:t>
      </w:r>
      <w:proofErr w:type="spellStart"/>
      <w:r w:rsidRPr="62F7AD00">
        <w:rPr>
          <w:snapToGrid w:val="0"/>
          <w:lang w:val="en-US"/>
        </w:rPr>
        <w:t>licence</w:t>
      </w:r>
      <w:proofErr w:type="spellEnd"/>
      <w:r w:rsidR="16EF65B2" w:rsidRPr="62F7AD00">
        <w:rPr>
          <w:snapToGrid w:val="0"/>
          <w:lang w:val="en-US"/>
        </w:rPr>
        <w:t xml:space="preserve">. </w:t>
      </w:r>
      <w:r w:rsidRPr="62F7AD00">
        <w:rPr>
          <w:snapToGrid w:val="0"/>
          <w:lang w:val="en-US"/>
        </w:rPr>
        <w:t xml:space="preserve">This applies to an application by any person. </w:t>
      </w:r>
    </w:p>
    <w:sectPr w:rsidR="00FF3C69" w:rsidRPr="00354874" w:rsidSect="00C77380">
      <w:headerReference w:type="even" r:id="rId55"/>
      <w:headerReference w:type="default" r:id="rId56"/>
      <w:footerReference w:type="even" r:id="rId57"/>
      <w:footerReference w:type="default" r:id="rId58"/>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C967" w14:textId="77777777" w:rsidR="003753B1" w:rsidRDefault="003753B1">
      <w:r>
        <w:separator/>
      </w:r>
    </w:p>
  </w:endnote>
  <w:endnote w:type="continuationSeparator" w:id="0">
    <w:p w14:paraId="496BAC4B" w14:textId="77777777" w:rsidR="003753B1" w:rsidRDefault="0037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2645" w14:textId="77777777" w:rsidR="00354874" w:rsidRDefault="00354874" w:rsidP="005E250B">
    <w:pPr>
      <w:pStyle w:val="Footer"/>
      <w:jc w:val="right"/>
    </w:pPr>
    <w:r w:rsidRPr="005E250B">
      <w:rPr>
        <w:noProof/>
        <w:vertAlign w:val="subscript"/>
      </w:rPr>
      <w:drawing>
        <wp:inline distT="0" distB="0" distL="0" distR="0" wp14:anchorId="4C72E457" wp14:editId="6EAECAA0">
          <wp:extent cx="1066800" cy="277368"/>
          <wp:effectExtent l="0" t="0" r="0" b="0"/>
          <wp:docPr id="10" name="Picture 10"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F567" w14:textId="77777777" w:rsidR="00354874" w:rsidRDefault="00354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4D0B" w14:textId="77777777" w:rsidR="00354874" w:rsidRDefault="003548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4286" w14:textId="77777777" w:rsidR="00354874" w:rsidRPr="00622A3B" w:rsidRDefault="0035487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0093DB30" w14:textId="77777777" w:rsidR="00354874" w:rsidRPr="00A5474E" w:rsidRDefault="00354874"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ADC3" w14:textId="77777777" w:rsidR="00354874" w:rsidRPr="00622A3B" w:rsidRDefault="0035487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7D47F591" w14:textId="77777777" w:rsidR="00354874" w:rsidRPr="00A5474E" w:rsidRDefault="00354874"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A835" w14:textId="77777777" w:rsidR="00354874" w:rsidRPr="00622A3B" w:rsidRDefault="00354874"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147DE082" w14:textId="77777777" w:rsidR="00354874" w:rsidRPr="00A5474E" w:rsidRDefault="00354874"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CF43"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FA104E6"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C8AB"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0C9C2E07"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AA0F" w14:textId="77777777" w:rsidR="003753B1" w:rsidRDefault="003753B1" w:rsidP="00DB3A64">
      <w:pPr>
        <w:spacing w:after="0"/>
      </w:pPr>
      <w:r>
        <w:separator/>
      </w:r>
    </w:p>
  </w:footnote>
  <w:footnote w:type="continuationSeparator" w:id="0">
    <w:p w14:paraId="5EC3F316" w14:textId="77777777" w:rsidR="003753B1" w:rsidRDefault="003753B1">
      <w:r>
        <w:continuationSeparator/>
      </w:r>
    </w:p>
  </w:footnote>
  <w:footnote w:id="1">
    <w:p w14:paraId="45B43715" w14:textId="77777777" w:rsidR="00BD1D64" w:rsidRDefault="00BD1D64" w:rsidP="00BD1D64">
      <w:pPr>
        <w:pStyle w:val="FootnoteText"/>
      </w:pPr>
      <w:r>
        <w:rPr>
          <w:rStyle w:val="FootnoteReference"/>
        </w:rPr>
        <w:footnoteRef/>
      </w:r>
      <w:r>
        <w:t xml:space="preserve"> </w:t>
      </w:r>
      <w:r w:rsidRPr="00104303">
        <w:t>Subsection 4.</w:t>
      </w:r>
      <w:r>
        <w:t>9 and 4.10</w:t>
      </w:r>
      <w:r w:rsidRPr="00104303">
        <w:t xml:space="preserve"> of the </w:t>
      </w:r>
      <w:hyperlink r:id="rId1" w:history="1">
        <w:r w:rsidRPr="00AF6924">
          <w:rPr>
            <w:rStyle w:val="Hyperlink"/>
          </w:rPr>
          <w:t>Radiocommunications Licence Conditions (Broadcasting Licence) Determination 2015</w:t>
        </w:r>
      </w:hyperlink>
      <w:r w:rsidRPr="00AF6924">
        <w:rPr>
          <w:rStyle w:val="Hyperlink"/>
          <w:color w:val="auto"/>
          <w:u w:val="none"/>
        </w:rPr>
        <w:t>.</w:t>
      </w:r>
    </w:p>
  </w:footnote>
  <w:footnote w:id="2">
    <w:p w14:paraId="2DB20C61" w14:textId="543A6D94" w:rsidR="00BD1D64" w:rsidRDefault="00BD1D64" w:rsidP="00BD1D64">
      <w:pPr>
        <w:pStyle w:val="FootnoteText"/>
      </w:pPr>
      <w:r>
        <w:rPr>
          <w:rStyle w:val="FootnoteReference"/>
        </w:rPr>
        <w:footnoteRef/>
      </w:r>
      <w:r>
        <w:t xml:space="preserve"> </w:t>
      </w:r>
      <w:r w:rsidRPr="00205BE9">
        <w:t>Calculated on the basis that the antenna gain is 2.2</w:t>
      </w:r>
      <w:r w:rsidR="00F9672A">
        <w:t xml:space="preserve"> </w:t>
      </w:r>
      <w:proofErr w:type="spellStart"/>
      <w:r w:rsidRPr="00205BE9">
        <w:t>dbi</w:t>
      </w:r>
      <w:proofErr w:type="spellEnd"/>
      <w:r w:rsidRPr="00205BE9">
        <w:t xml:space="preserve"> (gain over an isotropic antenna)</w:t>
      </w:r>
      <w:r>
        <w:t>.</w:t>
      </w:r>
    </w:p>
  </w:footnote>
  <w:footnote w:id="3">
    <w:p w14:paraId="2291A05C" w14:textId="343898F5" w:rsidR="00BD1D64" w:rsidRDefault="00BD1D64" w:rsidP="00BD1D64">
      <w:pPr>
        <w:pStyle w:val="FootnoteText"/>
      </w:pPr>
      <w:r>
        <w:rPr>
          <w:rStyle w:val="FootnoteReference"/>
        </w:rPr>
        <w:footnoteRef/>
      </w:r>
      <w:r>
        <w:t xml:space="preserve"> A residential area is an </w:t>
      </w:r>
      <w:r w:rsidRPr="00D455C9">
        <w:t>area within 20 km of the boundary of an urban centre or locality</w:t>
      </w:r>
      <w:r>
        <w:t xml:space="preserve">. – </w:t>
      </w:r>
      <w:hyperlink r:id="rId2" w:history="1">
        <w:r w:rsidRPr="00AF6924">
          <w:rPr>
            <w:rStyle w:val="Hyperlink"/>
          </w:rPr>
          <w:t>Radiocommunications Licence Conditions (Broadcasting Licence) Determination 2015</w:t>
        </w:r>
      </w:hyperlink>
      <w:r w:rsidRPr="00AF6924">
        <w:rPr>
          <w:rStyle w:val="Hyperlink"/>
          <w:color w:val="auto"/>
          <w:u w:val="none"/>
        </w:rPr>
        <w:t>.</w:t>
      </w:r>
    </w:p>
  </w:footnote>
  <w:footnote w:id="4">
    <w:p w14:paraId="47C1A8F6" w14:textId="77777777" w:rsidR="00BD1D64" w:rsidRDefault="00BD1D64" w:rsidP="00BD1D64">
      <w:pPr>
        <w:pStyle w:val="FootnoteText"/>
      </w:pPr>
      <w:r>
        <w:rPr>
          <w:rStyle w:val="FootnoteReference"/>
        </w:rPr>
        <w:footnoteRef/>
      </w:r>
      <w:r>
        <w:t xml:space="preserve"> </w:t>
      </w:r>
      <w:r w:rsidRPr="00104303">
        <w:t xml:space="preserve">Subsection 4.11(1)a) of the </w:t>
      </w:r>
      <w:hyperlink r:id="rId3" w:history="1">
        <w:r w:rsidRPr="00AF6924">
          <w:rPr>
            <w:rStyle w:val="Hyperlink"/>
          </w:rPr>
          <w:t>Radiocommunications Licence Conditions (Broadcasting Licence) Determination 2015</w:t>
        </w:r>
      </w:hyperlink>
      <w:r w:rsidRPr="00AF6924">
        <w:rPr>
          <w:rStyle w:val="Hyperlink"/>
          <w:color w:val="auto"/>
          <w:u w:val="none"/>
        </w:rPr>
        <w:t>.</w:t>
      </w:r>
      <w:r>
        <w:rPr>
          <w:sz w:val="24"/>
        </w:rPr>
        <w:t xml:space="preserve"> </w:t>
      </w:r>
    </w:p>
  </w:footnote>
  <w:footnote w:id="5">
    <w:p w14:paraId="6B7BC067" w14:textId="41FBA5D9" w:rsidR="00BD1D64" w:rsidRPr="0029135A" w:rsidRDefault="00BD1D64" w:rsidP="00BD1D64">
      <w:pPr>
        <w:pStyle w:val="FootnoteText"/>
      </w:pPr>
      <w:r>
        <w:rPr>
          <w:rStyle w:val="FootnoteReference"/>
        </w:rPr>
        <w:footnoteRef/>
      </w:r>
      <w:r>
        <w:t xml:space="preserve"> Refer</w:t>
      </w:r>
      <w:r w:rsidR="009D10B3">
        <w:t xml:space="preserve"> subsection 4.11(1)b) of the </w:t>
      </w:r>
      <w:hyperlink r:id="rId4" w:history="1">
        <w:r w:rsidRPr="00AF6924">
          <w:rPr>
            <w:rStyle w:val="Hyperlink"/>
          </w:rPr>
          <w:t>Radiocommunications Licence Conditions (Broadcasting Licence) Determination 2015</w:t>
        </w:r>
      </w:hyperlink>
      <w:r w:rsidRPr="00AF6924">
        <w:rPr>
          <w:rStyle w:val="Hyperlink"/>
          <w:color w:val="auto"/>
          <w:u w:val="none"/>
        </w:rPr>
        <w:t>.</w:t>
      </w:r>
    </w:p>
  </w:footnote>
  <w:footnote w:id="6">
    <w:p w14:paraId="059123DC" w14:textId="77777777" w:rsidR="00BD1D64" w:rsidRPr="00126A35" w:rsidRDefault="00BD1D64" w:rsidP="00BD1D64">
      <w:pPr>
        <w:pStyle w:val="FootnoteText"/>
      </w:pPr>
      <w:r w:rsidRPr="00126A35">
        <w:rPr>
          <w:rStyle w:val="FootnoteReference"/>
        </w:rPr>
        <w:footnoteRef/>
      </w:r>
      <w:r w:rsidRPr="00126A35">
        <w:t xml:space="preserve"> </w:t>
      </w:r>
      <w:hyperlink r:id="rId5" w:history="1">
        <w:proofErr w:type="spellStart"/>
        <w:r w:rsidRPr="00F460A5">
          <w:rPr>
            <w:rStyle w:val="Hyperlink"/>
          </w:rPr>
          <w:t>Futrends</w:t>
        </w:r>
        <w:proofErr w:type="spellEnd"/>
        <w:r w:rsidRPr="00F460A5">
          <w:rPr>
            <w:rStyle w:val="Hyperlink"/>
          </w:rPr>
          <w:t xml:space="preserve"> Pty Ltd and Australian Communications and Media Authority</w:t>
        </w:r>
      </w:hyperlink>
      <w:r w:rsidRPr="00126A35">
        <w:rPr>
          <w:rStyle w:val="Hyperlink"/>
          <w:color w:val="auto"/>
          <w:u w:val="none"/>
        </w:rPr>
        <w:t>.</w:t>
      </w:r>
    </w:p>
  </w:footnote>
  <w:footnote w:id="7">
    <w:p w14:paraId="2C196CE4" w14:textId="3C4385FB" w:rsidR="00BD1D64" w:rsidRPr="00126A35" w:rsidRDefault="00BD1D64" w:rsidP="00BD1D64">
      <w:pPr>
        <w:pStyle w:val="FootnoteText"/>
      </w:pPr>
      <w:r w:rsidRPr="00126A35">
        <w:rPr>
          <w:rStyle w:val="FootnoteReference"/>
        </w:rPr>
        <w:footnoteRef/>
      </w:r>
      <w:r w:rsidRPr="00126A35">
        <w:t xml:space="preserve"> </w:t>
      </w:r>
      <w:hyperlink r:id="rId6" w:history="1">
        <w:proofErr w:type="spellStart"/>
        <w:r w:rsidRPr="00F460A5">
          <w:rPr>
            <w:rStyle w:val="Hyperlink"/>
          </w:rPr>
          <w:t>Futrends</w:t>
        </w:r>
        <w:proofErr w:type="spellEnd"/>
        <w:r w:rsidRPr="00F460A5">
          <w:rPr>
            <w:rStyle w:val="Hyperlink"/>
          </w:rPr>
          <w:t xml:space="preserve"> Pty Ltd and Australian Communications and Media Authority</w:t>
        </w:r>
      </w:hyperlink>
      <w:r w:rsidR="00126A35" w:rsidRPr="00F460A5">
        <w:rPr>
          <w:rStyle w:val="Hyperlink"/>
          <w:color w:val="auto"/>
          <w:u w:val="none"/>
        </w:rPr>
        <w:t>.</w:t>
      </w:r>
    </w:p>
  </w:footnote>
  <w:footnote w:id="8">
    <w:p w14:paraId="6673229E" w14:textId="64557259" w:rsidR="00BD1D64" w:rsidRPr="00126A35" w:rsidRDefault="00BD1D64" w:rsidP="00BD1D64">
      <w:pPr>
        <w:pStyle w:val="FootnoteText"/>
      </w:pPr>
      <w:r w:rsidRPr="00126A35">
        <w:rPr>
          <w:rStyle w:val="FootnoteReference"/>
        </w:rPr>
        <w:footnoteRef/>
      </w:r>
      <w:r w:rsidRPr="00126A35">
        <w:t xml:space="preserve"> </w:t>
      </w:r>
      <w:hyperlink r:id="rId7" w:history="1">
        <w:r w:rsidRPr="00F460A5">
          <w:rPr>
            <w:rStyle w:val="Hyperlink"/>
          </w:rPr>
          <w:t xml:space="preserve">W&amp;A </w:t>
        </w:r>
        <w:proofErr w:type="spellStart"/>
        <w:r w:rsidRPr="00F460A5">
          <w:rPr>
            <w:rStyle w:val="Hyperlink"/>
          </w:rPr>
          <w:t>Willmington</w:t>
        </w:r>
        <w:proofErr w:type="spellEnd"/>
        <w:r w:rsidRPr="00F460A5">
          <w:rPr>
            <w:rStyle w:val="Hyperlink"/>
          </w:rPr>
          <w:t xml:space="preserve"> and Australian Communications and Media Authority</w:t>
        </w:r>
      </w:hyperlink>
      <w:r w:rsidR="00126A35" w:rsidRPr="00F460A5">
        <w:rPr>
          <w:rStyle w:val="Hyperlink"/>
          <w:color w:val="auto"/>
          <w:u w:val="none"/>
        </w:rPr>
        <w:t>.</w:t>
      </w:r>
    </w:p>
  </w:footnote>
  <w:footnote w:id="9">
    <w:p w14:paraId="6A0405A6" w14:textId="1967948F" w:rsidR="00BD1D64" w:rsidRPr="00126A35" w:rsidRDefault="00BD1D64" w:rsidP="00BD1D64">
      <w:pPr>
        <w:pStyle w:val="FootnoteText"/>
      </w:pPr>
      <w:r w:rsidRPr="00126A35">
        <w:rPr>
          <w:rStyle w:val="FootnoteReference"/>
        </w:rPr>
        <w:footnoteRef/>
      </w:r>
      <w:r w:rsidRPr="00126A35">
        <w:t xml:space="preserve"> </w:t>
      </w:r>
      <w:hyperlink r:id="rId8" w:history="1">
        <w:proofErr w:type="spellStart"/>
        <w:r w:rsidRPr="00F460A5">
          <w:rPr>
            <w:rStyle w:val="Hyperlink"/>
          </w:rPr>
          <w:t>Futrends</w:t>
        </w:r>
        <w:proofErr w:type="spellEnd"/>
        <w:r w:rsidRPr="00F460A5">
          <w:rPr>
            <w:rStyle w:val="Hyperlink"/>
          </w:rPr>
          <w:t xml:space="preserve"> Pty Ltd and Australian Communications and Media Authority</w:t>
        </w:r>
      </w:hyperlink>
      <w:r w:rsidR="00126A35" w:rsidRPr="00F460A5">
        <w:rPr>
          <w:rStyle w:val="Hyperlink"/>
          <w:color w:val="auto"/>
          <w:u w:val="none"/>
        </w:rPr>
        <w:t>.</w:t>
      </w:r>
    </w:p>
  </w:footnote>
  <w:footnote w:id="10">
    <w:p w14:paraId="3759B3FB" w14:textId="5AB2A8D6" w:rsidR="00BD1D64" w:rsidRPr="00126A35" w:rsidRDefault="00BD1D64" w:rsidP="00BD1D64">
      <w:pPr>
        <w:pStyle w:val="FootnoteText"/>
      </w:pPr>
      <w:r w:rsidRPr="00126A35">
        <w:rPr>
          <w:rStyle w:val="FootnoteReference"/>
        </w:rPr>
        <w:footnoteRef/>
      </w:r>
      <w:r w:rsidRPr="00126A35">
        <w:t xml:space="preserve"> </w:t>
      </w:r>
      <w:bookmarkStart w:id="25" w:name="_Hlk51192912"/>
      <w:bookmarkStart w:id="26" w:name="_Hlk51192913"/>
      <w:r w:rsidRPr="00F460A5">
        <w:fldChar w:fldCharType="begin"/>
      </w:r>
      <w:r w:rsidRPr="00F460A5">
        <w:instrText xml:space="preserve"> HYPERLINK "http://www.austlii.edu.au/cgi-bin/viewdoc/au/cases/cth/AATA/2020/2102.html?context=1;query=W%20&amp;%20A%20Willmington%20Pty%20Ltd%20;mask_path=au/cases/cth/AATA" </w:instrText>
      </w:r>
      <w:r w:rsidRPr="00F460A5">
        <w:fldChar w:fldCharType="separate"/>
      </w:r>
      <w:r w:rsidRPr="00F460A5">
        <w:rPr>
          <w:rStyle w:val="Hyperlink"/>
        </w:rPr>
        <w:t xml:space="preserve">W&amp;A </w:t>
      </w:r>
      <w:proofErr w:type="spellStart"/>
      <w:r w:rsidRPr="00F460A5">
        <w:rPr>
          <w:rStyle w:val="Hyperlink"/>
        </w:rPr>
        <w:t>Willmington</w:t>
      </w:r>
      <w:proofErr w:type="spellEnd"/>
      <w:r w:rsidRPr="00F460A5">
        <w:rPr>
          <w:rStyle w:val="Hyperlink"/>
        </w:rPr>
        <w:t xml:space="preserve"> and Australian Communications and Media Authority</w:t>
      </w:r>
      <w:r w:rsidRPr="00F460A5">
        <w:fldChar w:fldCharType="end"/>
      </w:r>
      <w:bookmarkEnd w:id="25"/>
      <w:bookmarkEnd w:id="26"/>
      <w:r w:rsidR="00126A35">
        <w:t>.</w:t>
      </w:r>
    </w:p>
  </w:footnote>
  <w:footnote w:id="11">
    <w:p w14:paraId="075A75A2" w14:textId="77777777" w:rsidR="00BD1D64" w:rsidRDefault="00BD1D64" w:rsidP="00BD1D64">
      <w:pPr>
        <w:pStyle w:val="FootnoteText"/>
      </w:pPr>
      <w:r>
        <w:rPr>
          <w:rStyle w:val="FootnoteReference"/>
        </w:rPr>
        <w:footnoteRef/>
      </w:r>
      <w:r>
        <w:t xml:space="preserve"> </w:t>
      </w:r>
      <w:r w:rsidRPr="00EE2F3A">
        <w:t xml:space="preserve">Subsection 4.11(1)c) of the </w:t>
      </w:r>
      <w:hyperlink r:id="rId9" w:history="1">
        <w:r w:rsidRPr="00AF6924">
          <w:rPr>
            <w:rStyle w:val="Hyperlink"/>
          </w:rPr>
          <w:t>Radiocommunications Licence Conditions (Broadcasting Licence) Determination 2015</w:t>
        </w:r>
      </w:hyperlink>
      <w:r w:rsidRPr="00AF6924">
        <w:rPr>
          <w:rStyle w:val="Hyperlink"/>
          <w:color w:val="auto"/>
          <w:u w:val="none"/>
        </w:rPr>
        <w:t>.</w:t>
      </w:r>
    </w:p>
  </w:footnote>
  <w:footnote w:id="12">
    <w:p w14:paraId="345F8C56" w14:textId="639C2F2B" w:rsidR="00BD1D64" w:rsidRDefault="00BD1D64" w:rsidP="00BD1D64">
      <w:pPr>
        <w:pStyle w:val="FootnoteText"/>
      </w:pPr>
      <w:r>
        <w:rPr>
          <w:rStyle w:val="FootnoteReference"/>
        </w:rPr>
        <w:footnoteRef/>
      </w:r>
      <w:r>
        <w:t xml:space="preserve"> Section 46 of the Radiocommunications Act</w:t>
      </w:r>
      <w:r w:rsidR="002E11C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9DA3" w14:textId="77777777" w:rsidR="00354874" w:rsidRPr="00A5474E" w:rsidRDefault="00354874" w:rsidP="00A5474E">
    <w:pPr>
      <w:pStyle w:val="Header"/>
    </w:pPr>
    <w:r>
      <w:rPr>
        <w:noProof/>
      </w:rPr>
      <w:drawing>
        <wp:inline distT="0" distB="0" distL="0" distR="0" wp14:anchorId="639C0D25" wp14:editId="74B12F5C">
          <wp:extent cx="6283434" cy="578076"/>
          <wp:effectExtent l="0" t="0" r="3175" b="0"/>
          <wp:docPr id="9" name="Picture 9"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D9D4" w14:textId="77777777" w:rsidR="00354874" w:rsidRPr="00A5474E" w:rsidRDefault="00354874"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174C" w14:textId="77777777" w:rsidR="00354874" w:rsidRDefault="003548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D245" w14:textId="77777777" w:rsidR="00354874" w:rsidRDefault="003548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354874" w14:paraId="617A78FD" w14:textId="77777777" w:rsidTr="001A63CA">
      <w:trPr>
        <w:trHeight w:hRule="exact" w:val="988"/>
      </w:trPr>
      <w:tc>
        <w:tcPr>
          <w:tcW w:w="7678" w:type="dxa"/>
          <w:shd w:val="clear" w:color="auto" w:fill="auto"/>
        </w:tcPr>
        <w:p w14:paraId="521DEF84" w14:textId="77777777" w:rsidR="00354874" w:rsidRDefault="00354874" w:rsidP="00971914">
          <w:pPr>
            <w:pStyle w:val="Header"/>
          </w:pPr>
        </w:p>
      </w:tc>
    </w:tr>
    <w:tr w:rsidR="00354874" w14:paraId="01104924" w14:textId="77777777" w:rsidTr="001A63CA">
      <w:tc>
        <w:tcPr>
          <w:tcW w:w="7678" w:type="dxa"/>
          <w:shd w:val="clear" w:color="auto" w:fill="auto"/>
        </w:tcPr>
        <w:p w14:paraId="32805A2D" w14:textId="77777777" w:rsidR="00354874" w:rsidRDefault="00354874" w:rsidP="00971914">
          <w:pPr>
            <w:pStyle w:val="GridTable31"/>
          </w:pPr>
          <w:r>
            <w:t xml:space="preserve">Contents </w:t>
          </w:r>
          <w:r w:rsidRPr="00915B1C">
            <w:rPr>
              <w:b w:val="0"/>
              <w:spacing w:val="0"/>
              <w:sz w:val="28"/>
              <w:szCs w:val="28"/>
            </w:rPr>
            <w:t>(Continued)</w:t>
          </w:r>
        </w:p>
      </w:tc>
    </w:tr>
    <w:tr w:rsidR="00354874" w14:paraId="745A7217" w14:textId="77777777" w:rsidTr="001A63CA">
      <w:trPr>
        <w:trHeight w:val="1220"/>
      </w:trPr>
      <w:tc>
        <w:tcPr>
          <w:tcW w:w="7678" w:type="dxa"/>
          <w:shd w:val="clear" w:color="auto" w:fill="auto"/>
        </w:tcPr>
        <w:p w14:paraId="68D2A6EB" w14:textId="77777777" w:rsidR="00354874" w:rsidRDefault="00354874" w:rsidP="00971914"/>
      </w:tc>
    </w:tr>
  </w:tbl>
  <w:p w14:paraId="4CD7D72A" w14:textId="77777777" w:rsidR="00354874" w:rsidRDefault="0035487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354874" w14:paraId="79611DAE" w14:textId="77777777" w:rsidTr="001A63CA">
      <w:trPr>
        <w:trHeight w:hRule="exact" w:val="988"/>
      </w:trPr>
      <w:tc>
        <w:tcPr>
          <w:tcW w:w="7678" w:type="dxa"/>
          <w:shd w:val="clear" w:color="auto" w:fill="auto"/>
        </w:tcPr>
        <w:p w14:paraId="5F0C63E4" w14:textId="77777777" w:rsidR="00354874" w:rsidRDefault="00354874" w:rsidP="00971914">
          <w:pPr>
            <w:pStyle w:val="Header"/>
          </w:pPr>
        </w:p>
      </w:tc>
    </w:tr>
    <w:tr w:rsidR="00354874" w14:paraId="693C2F7F" w14:textId="77777777" w:rsidTr="001A63CA">
      <w:tc>
        <w:tcPr>
          <w:tcW w:w="7678" w:type="dxa"/>
          <w:shd w:val="clear" w:color="auto" w:fill="auto"/>
        </w:tcPr>
        <w:p w14:paraId="1DBCA615" w14:textId="77777777" w:rsidR="00354874" w:rsidRDefault="00354874" w:rsidP="00971914">
          <w:pPr>
            <w:pStyle w:val="GridTable31"/>
          </w:pPr>
          <w:r>
            <w:t xml:space="preserve">Contents </w:t>
          </w:r>
          <w:r w:rsidRPr="00915B1C">
            <w:rPr>
              <w:b w:val="0"/>
              <w:spacing w:val="0"/>
              <w:sz w:val="28"/>
              <w:szCs w:val="28"/>
            </w:rPr>
            <w:t>(Continued)</w:t>
          </w:r>
        </w:p>
      </w:tc>
    </w:tr>
    <w:tr w:rsidR="00354874" w14:paraId="51E183D4" w14:textId="77777777" w:rsidTr="001A63CA">
      <w:trPr>
        <w:trHeight w:val="1220"/>
      </w:trPr>
      <w:tc>
        <w:tcPr>
          <w:tcW w:w="7678" w:type="dxa"/>
          <w:shd w:val="clear" w:color="auto" w:fill="auto"/>
        </w:tcPr>
        <w:p w14:paraId="44F6F9FF" w14:textId="77777777" w:rsidR="00354874" w:rsidRDefault="00354874" w:rsidP="00971914"/>
      </w:tc>
    </w:tr>
  </w:tbl>
  <w:p w14:paraId="538B2DD6" w14:textId="77777777" w:rsidR="00354874" w:rsidRPr="00A5474E" w:rsidRDefault="00354874"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9B4"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76B0"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B45A8"/>
    <w:multiLevelType w:val="hybridMultilevel"/>
    <w:tmpl w:val="1A825A20"/>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90745F"/>
    <w:multiLevelType w:val="singleLevel"/>
    <w:tmpl w:val="3822C58C"/>
    <w:lvl w:ilvl="0">
      <w:start w:val="1"/>
      <w:numFmt w:val="lowerLetter"/>
      <w:lvlText w:val="(%1)"/>
      <w:lvlJc w:val="left"/>
      <w:pPr>
        <w:tabs>
          <w:tab w:val="num" w:pos="360"/>
        </w:tabs>
        <w:ind w:left="360" w:hanging="360"/>
      </w:pPr>
    </w:lvl>
  </w:abstractNum>
  <w:abstractNum w:abstractNumId="7" w15:restartNumberingAfterBreak="0">
    <w:nsid w:val="1C094A85"/>
    <w:multiLevelType w:val="hybridMultilevel"/>
    <w:tmpl w:val="19345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BF5F68"/>
    <w:multiLevelType w:val="hybridMultilevel"/>
    <w:tmpl w:val="E76E1828"/>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0D224C"/>
    <w:multiLevelType w:val="multilevel"/>
    <w:tmpl w:val="D2E65F6E"/>
    <w:lvl w:ilvl="0">
      <w:start w:val="1"/>
      <w:numFmt w:val="decimal"/>
      <w:lvlText w:val="%1."/>
      <w:lvlJc w:val="left"/>
      <w:pPr>
        <w:ind w:left="862" w:hanging="720"/>
      </w:pPr>
      <w:rPr>
        <w:rFonts w:cs="Times New Roman" w:hint="default"/>
      </w:rPr>
    </w:lvl>
    <w:lvl w:ilvl="1">
      <w:start w:val="2"/>
      <w:numFmt w:val="decimal"/>
      <w:isLgl/>
      <w:lvlText w:val="%1.%2"/>
      <w:lvlJc w:val="left"/>
      <w:pPr>
        <w:ind w:left="2916" w:hanging="435"/>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8163" w:hanging="720"/>
      </w:pPr>
      <w:rPr>
        <w:rFonts w:hint="default"/>
      </w:rPr>
    </w:lvl>
    <w:lvl w:ilvl="4">
      <w:start w:val="1"/>
      <w:numFmt w:val="decimal"/>
      <w:isLgl/>
      <w:lvlText w:val="%1.%2.%3.%4.%5"/>
      <w:lvlJc w:val="left"/>
      <w:pPr>
        <w:ind w:left="11004" w:hanging="1080"/>
      </w:pPr>
      <w:rPr>
        <w:rFonts w:hint="default"/>
      </w:rPr>
    </w:lvl>
    <w:lvl w:ilvl="5">
      <w:start w:val="1"/>
      <w:numFmt w:val="decimal"/>
      <w:isLgl/>
      <w:lvlText w:val="%1.%2.%3.%4.%5.%6"/>
      <w:lvlJc w:val="left"/>
      <w:pPr>
        <w:ind w:left="13485" w:hanging="1080"/>
      </w:pPr>
      <w:rPr>
        <w:rFonts w:hint="default"/>
      </w:rPr>
    </w:lvl>
    <w:lvl w:ilvl="6">
      <w:start w:val="1"/>
      <w:numFmt w:val="decimal"/>
      <w:isLgl/>
      <w:lvlText w:val="%1.%2.%3.%4.%5.%6.%7"/>
      <w:lvlJc w:val="left"/>
      <w:pPr>
        <w:ind w:left="16326" w:hanging="1440"/>
      </w:pPr>
      <w:rPr>
        <w:rFonts w:hint="default"/>
      </w:rPr>
    </w:lvl>
    <w:lvl w:ilvl="7">
      <w:start w:val="1"/>
      <w:numFmt w:val="decimal"/>
      <w:isLgl/>
      <w:lvlText w:val="%1.%2.%3.%4.%5.%6.%7.%8"/>
      <w:lvlJc w:val="left"/>
      <w:pPr>
        <w:ind w:left="18807" w:hanging="1440"/>
      </w:pPr>
      <w:rPr>
        <w:rFonts w:hint="default"/>
      </w:rPr>
    </w:lvl>
    <w:lvl w:ilvl="8">
      <w:start w:val="1"/>
      <w:numFmt w:val="decimal"/>
      <w:isLgl/>
      <w:lvlText w:val="%1.%2.%3.%4.%5.%6.%7.%8.%9"/>
      <w:lvlJc w:val="left"/>
      <w:pPr>
        <w:ind w:left="21648" w:hanging="1800"/>
      </w:pPr>
      <w:rPr>
        <w:rFonts w:hint="default"/>
      </w:rPr>
    </w:lvl>
  </w:abstractNum>
  <w:abstractNum w:abstractNumId="10" w15:restartNumberingAfterBreak="0">
    <w:nsid w:val="290025F7"/>
    <w:multiLevelType w:val="singleLevel"/>
    <w:tmpl w:val="4FD032BA"/>
    <w:lvl w:ilvl="0">
      <w:start w:val="1"/>
      <w:numFmt w:val="lowerLetter"/>
      <w:lvlText w:val="(%1)"/>
      <w:lvlJc w:val="left"/>
      <w:pPr>
        <w:tabs>
          <w:tab w:val="num" w:pos="1080"/>
        </w:tabs>
        <w:ind w:left="1080" w:hanging="360"/>
      </w:pPr>
    </w:lvl>
  </w:abstractNum>
  <w:abstractNum w:abstractNumId="11" w15:restartNumberingAfterBreak="0">
    <w:nsid w:val="2C946EC3"/>
    <w:multiLevelType w:val="hybridMultilevel"/>
    <w:tmpl w:val="E7AC59BC"/>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9274342"/>
    <w:multiLevelType w:val="singleLevel"/>
    <w:tmpl w:val="E552FEBA"/>
    <w:lvl w:ilvl="0">
      <w:start w:val="1"/>
      <w:numFmt w:val="bullet"/>
      <w:lvlText w:val="&gt;"/>
      <w:lvlJc w:val="left"/>
      <w:pPr>
        <w:tabs>
          <w:tab w:val="num" w:pos="295"/>
        </w:tabs>
        <w:ind w:left="295" w:hanging="295"/>
      </w:pPr>
      <w:rPr>
        <w:rFonts w:ascii="HelveticaNeueLT Std Lt" w:hAnsi="HelveticaNeueLT Std Lt" w:hint="default"/>
        <w:sz w:val="20"/>
      </w:rPr>
    </w:lvl>
  </w:abstractNum>
  <w:abstractNum w:abstractNumId="14" w15:restartNumberingAfterBreak="0">
    <w:nsid w:val="3F0A2DCB"/>
    <w:multiLevelType w:val="singleLevel"/>
    <w:tmpl w:val="3822C58C"/>
    <w:lvl w:ilvl="0">
      <w:start w:val="1"/>
      <w:numFmt w:val="lowerLetter"/>
      <w:lvlText w:val="(%1)"/>
      <w:lvlJc w:val="left"/>
      <w:pPr>
        <w:tabs>
          <w:tab w:val="num" w:pos="360"/>
        </w:tabs>
        <w:ind w:left="360" w:hanging="360"/>
      </w:pPr>
    </w:lvl>
  </w:abstractNum>
  <w:abstractNum w:abstractNumId="15" w15:restartNumberingAfterBreak="0">
    <w:nsid w:val="46B00375"/>
    <w:multiLevelType w:val="hybridMultilevel"/>
    <w:tmpl w:val="9CAAA8DC"/>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EC7829"/>
    <w:multiLevelType w:val="hybridMultilevel"/>
    <w:tmpl w:val="3042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7169E"/>
    <w:multiLevelType w:val="hybridMultilevel"/>
    <w:tmpl w:val="16EEFA20"/>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76A71B3"/>
    <w:multiLevelType w:val="hybridMultilevel"/>
    <w:tmpl w:val="4846FAB2"/>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AE762D"/>
    <w:multiLevelType w:val="hybridMultilevel"/>
    <w:tmpl w:val="D19846E6"/>
    <w:lvl w:ilvl="0" w:tplc="44EEC084">
      <w:start w:val="1"/>
      <w:numFmt w:val="bullet"/>
      <w:lvlText w:val="&gt;"/>
      <w:lvlJc w:val="left"/>
      <w:pPr>
        <w:ind w:left="1021" w:hanging="360"/>
      </w:pPr>
      <w:rPr>
        <w:rFonts w:ascii="HelveticaNeueLT Std" w:hAnsi="HelveticaNeueLT Std"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4" w15:restartNumberingAfterBreak="0">
    <w:nsid w:val="7BFB2778"/>
    <w:multiLevelType w:val="hybridMultilevel"/>
    <w:tmpl w:val="C9A0A95C"/>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12"/>
  </w:num>
  <w:num w:numId="6" w16cid:durableId="818768531">
    <w:abstractNumId w:val="19"/>
  </w:num>
  <w:num w:numId="7" w16cid:durableId="636617026">
    <w:abstractNumId w:val="17"/>
  </w:num>
  <w:num w:numId="8" w16cid:durableId="227307242">
    <w:abstractNumId w:val="18"/>
  </w:num>
  <w:num w:numId="9" w16cid:durableId="1325478460">
    <w:abstractNumId w:val="20"/>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 w:numId="13" w16cid:durableId="940454884">
    <w:abstractNumId w:val="16"/>
  </w:num>
  <w:num w:numId="14" w16cid:durableId="1898585973">
    <w:abstractNumId w:val="9"/>
  </w:num>
  <w:num w:numId="15" w16cid:durableId="2110544132">
    <w:abstractNumId w:val="13"/>
  </w:num>
  <w:num w:numId="16" w16cid:durableId="1081486016">
    <w:abstractNumId w:val="21"/>
  </w:num>
  <w:num w:numId="17" w16cid:durableId="417750350">
    <w:abstractNumId w:val="6"/>
    <w:lvlOverride w:ilvl="0">
      <w:startOverride w:val="1"/>
    </w:lvlOverride>
  </w:num>
  <w:num w:numId="18" w16cid:durableId="1120686712">
    <w:abstractNumId w:val="10"/>
    <w:lvlOverride w:ilvl="0">
      <w:startOverride w:val="1"/>
    </w:lvlOverride>
  </w:num>
  <w:num w:numId="19" w16cid:durableId="1405105978">
    <w:abstractNumId w:val="14"/>
    <w:lvlOverride w:ilvl="0">
      <w:startOverride w:val="1"/>
    </w:lvlOverride>
  </w:num>
  <w:num w:numId="20" w16cid:durableId="571886424">
    <w:abstractNumId w:val="5"/>
  </w:num>
  <w:num w:numId="21" w16cid:durableId="974062731">
    <w:abstractNumId w:val="11"/>
  </w:num>
  <w:num w:numId="22" w16cid:durableId="160200886">
    <w:abstractNumId w:val="24"/>
  </w:num>
  <w:num w:numId="23" w16cid:durableId="715277874">
    <w:abstractNumId w:val="8"/>
  </w:num>
  <w:num w:numId="24" w16cid:durableId="791290287">
    <w:abstractNumId w:val="15"/>
  </w:num>
  <w:num w:numId="25" w16cid:durableId="1637878763">
    <w:abstractNumId w:val="22"/>
  </w:num>
  <w:num w:numId="26" w16cid:durableId="1664045788">
    <w:abstractNumId w:val="7"/>
  </w:num>
  <w:num w:numId="27" w16cid:durableId="1183472215">
    <w:abstractNumId w:val="23"/>
  </w:num>
  <w:num w:numId="28" w16cid:durableId="172617777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74"/>
    <w:rsid w:val="00010667"/>
    <w:rsid w:val="000129D5"/>
    <w:rsid w:val="00015AE7"/>
    <w:rsid w:val="00016E21"/>
    <w:rsid w:val="0001719C"/>
    <w:rsid w:val="0002224E"/>
    <w:rsid w:val="000245E5"/>
    <w:rsid w:val="00026F91"/>
    <w:rsid w:val="00034915"/>
    <w:rsid w:val="0004764C"/>
    <w:rsid w:val="0005011A"/>
    <w:rsid w:val="0005045A"/>
    <w:rsid w:val="00051C1E"/>
    <w:rsid w:val="000539F9"/>
    <w:rsid w:val="00054C27"/>
    <w:rsid w:val="00055EC3"/>
    <w:rsid w:val="000563CE"/>
    <w:rsid w:val="000659B6"/>
    <w:rsid w:val="0006686F"/>
    <w:rsid w:val="0006722A"/>
    <w:rsid w:val="000732CF"/>
    <w:rsid w:val="00075B96"/>
    <w:rsid w:val="00075C71"/>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C0A57"/>
    <w:rsid w:val="000C1BFD"/>
    <w:rsid w:val="000C230C"/>
    <w:rsid w:val="000C6AB4"/>
    <w:rsid w:val="000D71D9"/>
    <w:rsid w:val="000D76E0"/>
    <w:rsid w:val="000D7E8B"/>
    <w:rsid w:val="000E4449"/>
    <w:rsid w:val="000E6097"/>
    <w:rsid w:val="0010267F"/>
    <w:rsid w:val="00103829"/>
    <w:rsid w:val="00111FCE"/>
    <w:rsid w:val="00112336"/>
    <w:rsid w:val="00113F84"/>
    <w:rsid w:val="001229A5"/>
    <w:rsid w:val="00122C4C"/>
    <w:rsid w:val="001238B5"/>
    <w:rsid w:val="0012489B"/>
    <w:rsid w:val="00126A35"/>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77D62"/>
    <w:rsid w:val="00181180"/>
    <w:rsid w:val="00183FD7"/>
    <w:rsid w:val="00185CAB"/>
    <w:rsid w:val="001875B7"/>
    <w:rsid w:val="00187CB3"/>
    <w:rsid w:val="0019050A"/>
    <w:rsid w:val="001906A3"/>
    <w:rsid w:val="001910D4"/>
    <w:rsid w:val="001976E3"/>
    <w:rsid w:val="001A44EC"/>
    <w:rsid w:val="001B28D9"/>
    <w:rsid w:val="001B58AA"/>
    <w:rsid w:val="001B7E48"/>
    <w:rsid w:val="001C17CE"/>
    <w:rsid w:val="001C36CA"/>
    <w:rsid w:val="001C44D1"/>
    <w:rsid w:val="001C6AEE"/>
    <w:rsid w:val="001C7630"/>
    <w:rsid w:val="001D4DD0"/>
    <w:rsid w:val="001D6D15"/>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84A74"/>
    <w:rsid w:val="0029593B"/>
    <w:rsid w:val="00295D66"/>
    <w:rsid w:val="00297FC5"/>
    <w:rsid w:val="002A0417"/>
    <w:rsid w:val="002A16D8"/>
    <w:rsid w:val="002A1BC8"/>
    <w:rsid w:val="002A3EF2"/>
    <w:rsid w:val="002B0DED"/>
    <w:rsid w:val="002B19A2"/>
    <w:rsid w:val="002B381A"/>
    <w:rsid w:val="002B4FCC"/>
    <w:rsid w:val="002B6F66"/>
    <w:rsid w:val="002B7408"/>
    <w:rsid w:val="002B7CFD"/>
    <w:rsid w:val="002C210F"/>
    <w:rsid w:val="002D3600"/>
    <w:rsid w:val="002E11C4"/>
    <w:rsid w:val="002E4DDC"/>
    <w:rsid w:val="00302480"/>
    <w:rsid w:val="00302758"/>
    <w:rsid w:val="00306491"/>
    <w:rsid w:val="003125DD"/>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54874"/>
    <w:rsid w:val="003610E1"/>
    <w:rsid w:val="003671BE"/>
    <w:rsid w:val="00372485"/>
    <w:rsid w:val="00373200"/>
    <w:rsid w:val="003753B1"/>
    <w:rsid w:val="00375EF5"/>
    <w:rsid w:val="003767A5"/>
    <w:rsid w:val="00381D15"/>
    <w:rsid w:val="00385254"/>
    <w:rsid w:val="003A04DB"/>
    <w:rsid w:val="003A5F5B"/>
    <w:rsid w:val="003A789A"/>
    <w:rsid w:val="003B12EC"/>
    <w:rsid w:val="003C77E0"/>
    <w:rsid w:val="003D08C0"/>
    <w:rsid w:val="003D17D7"/>
    <w:rsid w:val="003D2678"/>
    <w:rsid w:val="003D71A3"/>
    <w:rsid w:val="003E2B8A"/>
    <w:rsid w:val="003F10EE"/>
    <w:rsid w:val="003F16F6"/>
    <w:rsid w:val="003F1B47"/>
    <w:rsid w:val="003F1C25"/>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1C5"/>
    <w:rsid w:val="0045124D"/>
    <w:rsid w:val="00454596"/>
    <w:rsid w:val="0045605D"/>
    <w:rsid w:val="0046135B"/>
    <w:rsid w:val="00461D47"/>
    <w:rsid w:val="004718CC"/>
    <w:rsid w:val="00481695"/>
    <w:rsid w:val="00495A96"/>
    <w:rsid w:val="00495BB3"/>
    <w:rsid w:val="00495E57"/>
    <w:rsid w:val="004962DC"/>
    <w:rsid w:val="004A36E6"/>
    <w:rsid w:val="004A56BB"/>
    <w:rsid w:val="004A70D6"/>
    <w:rsid w:val="004B1751"/>
    <w:rsid w:val="004C0253"/>
    <w:rsid w:val="004D56FF"/>
    <w:rsid w:val="004D6017"/>
    <w:rsid w:val="004E39D3"/>
    <w:rsid w:val="004E508A"/>
    <w:rsid w:val="004E616D"/>
    <w:rsid w:val="004F1BDE"/>
    <w:rsid w:val="004F2CEE"/>
    <w:rsid w:val="004F43ED"/>
    <w:rsid w:val="004F556E"/>
    <w:rsid w:val="004F591C"/>
    <w:rsid w:val="004F7F44"/>
    <w:rsid w:val="005037B4"/>
    <w:rsid w:val="005079BF"/>
    <w:rsid w:val="0051269A"/>
    <w:rsid w:val="005144FA"/>
    <w:rsid w:val="005219E7"/>
    <w:rsid w:val="00521ED4"/>
    <w:rsid w:val="00525B37"/>
    <w:rsid w:val="00526A67"/>
    <w:rsid w:val="00531B9A"/>
    <w:rsid w:val="00531D15"/>
    <w:rsid w:val="00537604"/>
    <w:rsid w:val="00542377"/>
    <w:rsid w:val="0054271F"/>
    <w:rsid w:val="005476EB"/>
    <w:rsid w:val="00551782"/>
    <w:rsid w:val="00563EF1"/>
    <w:rsid w:val="00566AB4"/>
    <w:rsid w:val="00575AC5"/>
    <w:rsid w:val="0057605D"/>
    <w:rsid w:val="00581347"/>
    <w:rsid w:val="00581AC9"/>
    <w:rsid w:val="005835E5"/>
    <w:rsid w:val="005849F8"/>
    <w:rsid w:val="005938DF"/>
    <w:rsid w:val="00594E9C"/>
    <w:rsid w:val="005A099B"/>
    <w:rsid w:val="005A2D9C"/>
    <w:rsid w:val="005A55FE"/>
    <w:rsid w:val="005A6A11"/>
    <w:rsid w:val="005D2502"/>
    <w:rsid w:val="005D40BB"/>
    <w:rsid w:val="005D47F3"/>
    <w:rsid w:val="005D49BF"/>
    <w:rsid w:val="005D4AA5"/>
    <w:rsid w:val="005D6F4E"/>
    <w:rsid w:val="005D706B"/>
    <w:rsid w:val="005D7C73"/>
    <w:rsid w:val="005E250B"/>
    <w:rsid w:val="005E3ACD"/>
    <w:rsid w:val="005E7226"/>
    <w:rsid w:val="005E7A57"/>
    <w:rsid w:val="005F24B0"/>
    <w:rsid w:val="00601B57"/>
    <w:rsid w:val="00604315"/>
    <w:rsid w:val="00604E26"/>
    <w:rsid w:val="0060523F"/>
    <w:rsid w:val="006052CF"/>
    <w:rsid w:val="006072CF"/>
    <w:rsid w:val="00607B8D"/>
    <w:rsid w:val="00611F5C"/>
    <w:rsid w:val="00616E09"/>
    <w:rsid w:val="00622A3B"/>
    <w:rsid w:val="00622EEA"/>
    <w:rsid w:val="0062396C"/>
    <w:rsid w:val="00623FF9"/>
    <w:rsid w:val="00627D4E"/>
    <w:rsid w:val="00632B89"/>
    <w:rsid w:val="0063346D"/>
    <w:rsid w:val="00634478"/>
    <w:rsid w:val="00644373"/>
    <w:rsid w:val="00644AF5"/>
    <w:rsid w:val="00645915"/>
    <w:rsid w:val="006519C3"/>
    <w:rsid w:val="00652B30"/>
    <w:rsid w:val="00656345"/>
    <w:rsid w:val="00656DC6"/>
    <w:rsid w:val="00660EC6"/>
    <w:rsid w:val="00664110"/>
    <w:rsid w:val="00664D17"/>
    <w:rsid w:val="00666520"/>
    <w:rsid w:val="00667C5B"/>
    <w:rsid w:val="00681032"/>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978"/>
    <w:rsid w:val="006C5C19"/>
    <w:rsid w:val="006C70A0"/>
    <w:rsid w:val="006D27CB"/>
    <w:rsid w:val="006D2F08"/>
    <w:rsid w:val="006D576C"/>
    <w:rsid w:val="006D5865"/>
    <w:rsid w:val="006D6F5D"/>
    <w:rsid w:val="006E4B1B"/>
    <w:rsid w:val="006E5445"/>
    <w:rsid w:val="006E7D93"/>
    <w:rsid w:val="007029A3"/>
    <w:rsid w:val="00702EA1"/>
    <w:rsid w:val="00706E4E"/>
    <w:rsid w:val="0070791C"/>
    <w:rsid w:val="00710185"/>
    <w:rsid w:val="0071383C"/>
    <w:rsid w:val="007141A7"/>
    <w:rsid w:val="007152CD"/>
    <w:rsid w:val="00715722"/>
    <w:rsid w:val="00721032"/>
    <w:rsid w:val="00721B55"/>
    <w:rsid w:val="00726CE4"/>
    <w:rsid w:val="00734143"/>
    <w:rsid w:val="007351FF"/>
    <w:rsid w:val="00737E47"/>
    <w:rsid w:val="00740EAC"/>
    <w:rsid w:val="00744956"/>
    <w:rsid w:val="00745A5C"/>
    <w:rsid w:val="0074605F"/>
    <w:rsid w:val="00747E94"/>
    <w:rsid w:val="00754C83"/>
    <w:rsid w:val="00761E5C"/>
    <w:rsid w:val="00765DF8"/>
    <w:rsid w:val="00766749"/>
    <w:rsid w:val="00767413"/>
    <w:rsid w:val="00767C1B"/>
    <w:rsid w:val="007714A9"/>
    <w:rsid w:val="00774279"/>
    <w:rsid w:val="00774F88"/>
    <w:rsid w:val="00774FDB"/>
    <w:rsid w:val="00777562"/>
    <w:rsid w:val="007775FC"/>
    <w:rsid w:val="00777BA2"/>
    <w:rsid w:val="00781408"/>
    <w:rsid w:val="00784F7F"/>
    <w:rsid w:val="007878BD"/>
    <w:rsid w:val="00796F25"/>
    <w:rsid w:val="007A1633"/>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3375"/>
    <w:rsid w:val="007E7683"/>
    <w:rsid w:val="007F1CD6"/>
    <w:rsid w:val="007F49FA"/>
    <w:rsid w:val="007F54C4"/>
    <w:rsid w:val="007F6E9A"/>
    <w:rsid w:val="00800CCD"/>
    <w:rsid w:val="008044D4"/>
    <w:rsid w:val="00810AB4"/>
    <w:rsid w:val="00817B56"/>
    <w:rsid w:val="00821A88"/>
    <w:rsid w:val="0082495D"/>
    <w:rsid w:val="00831AC3"/>
    <w:rsid w:val="00836FCE"/>
    <w:rsid w:val="008377B8"/>
    <w:rsid w:val="008408FF"/>
    <w:rsid w:val="00851F3F"/>
    <w:rsid w:val="0085618F"/>
    <w:rsid w:val="00856EDC"/>
    <w:rsid w:val="008623B5"/>
    <w:rsid w:val="00870ABA"/>
    <w:rsid w:val="008710E1"/>
    <w:rsid w:val="008716E5"/>
    <w:rsid w:val="00881CA9"/>
    <w:rsid w:val="0088339A"/>
    <w:rsid w:val="00883628"/>
    <w:rsid w:val="00885544"/>
    <w:rsid w:val="0088634E"/>
    <w:rsid w:val="00893AB8"/>
    <w:rsid w:val="008A04C8"/>
    <w:rsid w:val="008A6913"/>
    <w:rsid w:val="008B70F3"/>
    <w:rsid w:val="008B71C4"/>
    <w:rsid w:val="008B76DF"/>
    <w:rsid w:val="008C10F4"/>
    <w:rsid w:val="008C1884"/>
    <w:rsid w:val="008C65F7"/>
    <w:rsid w:val="008E4767"/>
    <w:rsid w:val="008E7A8C"/>
    <w:rsid w:val="0090203B"/>
    <w:rsid w:val="00902432"/>
    <w:rsid w:val="00903285"/>
    <w:rsid w:val="00906F40"/>
    <w:rsid w:val="0090731E"/>
    <w:rsid w:val="00915B1C"/>
    <w:rsid w:val="009174F3"/>
    <w:rsid w:val="0091797D"/>
    <w:rsid w:val="00923CBA"/>
    <w:rsid w:val="009242EB"/>
    <w:rsid w:val="00926703"/>
    <w:rsid w:val="00927691"/>
    <w:rsid w:val="00927A5F"/>
    <w:rsid w:val="00930510"/>
    <w:rsid w:val="00934A5E"/>
    <w:rsid w:val="00935B63"/>
    <w:rsid w:val="0094078F"/>
    <w:rsid w:val="00940FA3"/>
    <w:rsid w:val="00941FB0"/>
    <w:rsid w:val="009426D4"/>
    <w:rsid w:val="00947F25"/>
    <w:rsid w:val="00950159"/>
    <w:rsid w:val="00950AB6"/>
    <w:rsid w:val="0095490B"/>
    <w:rsid w:val="00960A33"/>
    <w:rsid w:val="00971914"/>
    <w:rsid w:val="00973C20"/>
    <w:rsid w:val="00974363"/>
    <w:rsid w:val="00981898"/>
    <w:rsid w:val="0099577C"/>
    <w:rsid w:val="00996956"/>
    <w:rsid w:val="009B24A5"/>
    <w:rsid w:val="009B2601"/>
    <w:rsid w:val="009B4E9E"/>
    <w:rsid w:val="009C1690"/>
    <w:rsid w:val="009C6881"/>
    <w:rsid w:val="009C7759"/>
    <w:rsid w:val="009D043D"/>
    <w:rsid w:val="009D07C8"/>
    <w:rsid w:val="009D10B3"/>
    <w:rsid w:val="009D1D05"/>
    <w:rsid w:val="009D6C71"/>
    <w:rsid w:val="009E050D"/>
    <w:rsid w:val="009E0631"/>
    <w:rsid w:val="009E16D0"/>
    <w:rsid w:val="009E2051"/>
    <w:rsid w:val="009E38FD"/>
    <w:rsid w:val="009F13D6"/>
    <w:rsid w:val="009F4C6B"/>
    <w:rsid w:val="009F78A8"/>
    <w:rsid w:val="00A02AD6"/>
    <w:rsid w:val="00A068AD"/>
    <w:rsid w:val="00A07096"/>
    <w:rsid w:val="00A07318"/>
    <w:rsid w:val="00A0F540"/>
    <w:rsid w:val="00A11370"/>
    <w:rsid w:val="00A17B1B"/>
    <w:rsid w:val="00A224CE"/>
    <w:rsid w:val="00A22522"/>
    <w:rsid w:val="00A2440D"/>
    <w:rsid w:val="00A24882"/>
    <w:rsid w:val="00A24AFD"/>
    <w:rsid w:val="00A24F5C"/>
    <w:rsid w:val="00A24FA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95D62"/>
    <w:rsid w:val="00A967FD"/>
    <w:rsid w:val="00AA1F0B"/>
    <w:rsid w:val="00AA2DE5"/>
    <w:rsid w:val="00AB156C"/>
    <w:rsid w:val="00AB579D"/>
    <w:rsid w:val="00AB5A0D"/>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1A0"/>
    <w:rsid w:val="00B22EB2"/>
    <w:rsid w:val="00B27442"/>
    <w:rsid w:val="00B31167"/>
    <w:rsid w:val="00B329D8"/>
    <w:rsid w:val="00B32BB9"/>
    <w:rsid w:val="00B33AE1"/>
    <w:rsid w:val="00B37C38"/>
    <w:rsid w:val="00B4288C"/>
    <w:rsid w:val="00B43262"/>
    <w:rsid w:val="00B44100"/>
    <w:rsid w:val="00B4648F"/>
    <w:rsid w:val="00B46CBA"/>
    <w:rsid w:val="00B46F94"/>
    <w:rsid w:val="00B6003C"/>
    <w:rsid w:val="00B61F03"/>
    <w:rsid w:val="00B626E4"/>
    <w:rsid w:val="00B67E02"/>
    <w:rsid w:val="00B72F4A"/>
    <w:rsid w:val="00B83C27"/>
    <w:rsid w:val="00B84BC3"/>
    <w:rsid w:val="00B84BDD"/>
    <w:rsid w:val="00B92812"/>
    <w:rsid w:val="00BB05FC"/>
    <w:rsid w:val="00BB45A1"/>
    <w:rsid w:val="00BB7686"/>
    <w:rsid w:val="00BC1C82"/>
    <w:rsid w:val="00BC23F9"/>
    <w:rsid w:val="00BC3421"/>
    <w:rsid w:val="00BC732C"/>
    <w:rsid w:val="00BD1D64"/>
    <w:rsid w:val="00BD4421"/>
    <w:rsid w:val="00BD7249"/>
    <w:rsid w:val="00BE2580"/>
    <w:rsid w:val="00BE266D"/>
    <w:rsid w:val="00BE35CB"/>
    <w:rsid w:val="00BE3938"/>
    <w:rsid w:val="00BE4C11"/>
    <w:rsid w:val="00BE6805"/>
    <w:rsid w:val="00BE71C0"/>
    <w:rsid w:val="00BF610C"/>
    <w:rsid w:val="00C0060B"/>
    <w:rsid w:val="00C01A6C"/>
    <w:rsid w:val="00C0277D"/>
    <w:rsid w:val="00C053A1"/>
    <w:rsid w:val="00C15C31"/>
    <w:rsid w:val="00C16198"/>
    <w:rsid w:val="00C2083D"/>
    <w:rsid w:val="00C24A53"/>
    <w:rsid w:val="00C34A05"/>
    <w:rsid w:val="00C35CCE"/>
    <w:rsid w:val="00C4032F"/>
    <w:rsid w:val="00C44047"/>
    <w:rsid w:val="00C45155"/>
    <w:rsid w:val="00C5469F"/>
    <w:rsid w:val="00C5498F"/>
    <w:rsid w:val="00C55235"/>
    <w:rsid w:val="00C55D36"/>
    <w:rsid w:val="00C64CD0"/>
    <w:rsid w:val="00C6684F"/>
    <w:rsid w:val="00C6722F"/>
    <w:rsid w:val="00C70E70"/>
    <w:rsid w:val="00C75F8D"/>
    <w:rsid w:val="00C77380"/>
    <w:rsid w:val="00C82940"/>
    <w:rsid w:val="00C87E8A"/>
    <w:rsid w:val="00C97736"/>
    <w:rsid w:val="00CA345A"/>
    <w:rsid w:val="00CB1E82"/>
    <w:rsid w:val="00CB4BA8"/>
    <w:rsid w:val="00CB52D7"/>
    <w:rsid w:val="00CC6732"/>
    <w:rsid w:val="00CE0BB5"/>
    <w:rsid w:val="00CE2493"/>
    <w:rsid w:val="00CE3C96"/>
    <w:rsid w:val="00CE51A8"/>
    <w:rsid w:val="00CF369B"/>
    <w:rsid w:val="00CF77AF"/>
    <w:rsid w:val="00D00E28"/>
    <w:rsid w:val="00D0269E"/>
    <w:rsid w:val="00D05D6C"/>
    <w:rsid w:val="00D15810"/>
    <w:rsid w:val="00D16D4E"/>
    <w:rsid w:val="00D16FE3"/>
    <w:rsid w:val="00D27F41"/>
    <w:rsid w:val="00D36441"/>
    <w:rsid w:val="00D4064E"/>
    <w:rsid w:val="00D414E9"/>
    <w:rsid w:val="00D42EF0"/>
    <w:rsid w:val="00D44E9B"/>
    <w:rsid w:val="00D45FD2"/>
    <w:rsid w:val="00D47AEB"/>
    <w:rsid w:val="00D50DB9"/>
    <w:rsid w:val="00D51302"/>
    <w:rsid w:val="00D52C43"/>
    <w:rsid w:val="00D6507F"/>
    <w:rsid w:val="00D730BC"/>
    <w:rsid w:val="00D73912"/>
    <w:rsid w:val="00D77693"/>
    <w:rsid w:val="00D85226"/>
    <w:rsid w:val="00D87B94"/>
    <w:rsid w:val="00D92D49"/>
    <w:rsid w:val="00D92EC1"/>
    <w:rsid w:val="00D95269"/>
    <w:rsid w:val="00D96DEA"/>
    <w:rsid w:val="00DA4E41"/>
    <w:rsid w:val="00DB117A"/>
    <w:rsid w:val="00DB3A64"/>
    <w:rsid w:val="00DB5173"/>
    <w:rsid w:val="00DB7873"/>
    <w:rsid w:val="00DC187B"/>
    <w:rsid w:val="00DC7DEF"/>
    <w:rsid w:val="00DD1A43"/>
    <w:rsid w:val="00DD73C2"/>
    <w:rsid w:val="00DE319B"/>
    <w:rsid w:val="00DE756F"/>
    <w:rsid w:val="00DF0799"/>
    <w:rsid w:val="00DF2237"/>
    <w:rsid w:val="00DF34FE"/>
    <w:rsid w:val="00DF3D36"/>
    <w:rsid w:val="00DF56AA"/>
    <w:rsid w:val="00DF56AF"/>
    <w:rsid w:val="00DF78E7"/>
    <w:rsid w:val="00E110E0"/>
    <w:rsid w:val="00E11E68"/>
    <w:rsid w:val="00E15371"/>
    <w:rsid w:val="00E23372"/>
    <w:rsid w:val="00E24104"/>
    <w:rsid w:val="00E255A6"/>
    <w:rsid w:val="00E302D0"/>
    <w:rsid w:val="00E35707"/>
    <w:rsid w:val="00E36AA1"/>
    <w:rsid w:val="00E41ECB"/>
    <w:rsid w:val="00E42676"/>
    <w:rsid w:val="00E54FDB"/>
    <w:rsid w:val="00E5617D"/>
    <w:rsid w:val="00E5633C"/>
    <w:rsid w:val="00E563D7"/>
    <w:rsid w:val="00E663F4"/>
    <w:rsid w:val="00E666F2"/>
    <w:rsid w:val="00E66DD4"/>
    <w:rsid w:val="00E748CC"/>
    <w:rsid w:val="00E75415"/>
    <w:rsid w:val="00E775B1"/>
    <w:rsid w:val="00E8152A"/>
    <w:rsid w:val="00E93629"/>
    <w:rsid w:val="00E93B5C"/>
    <w:rsid w:val="00E94CEC"/>
    <w:rsid w:val="00EA04EF"/>
    <w:rsid w:val="00EA6F19"/>
    <w:rsid w:val="00EB7090"/>
    <w:rsid w:val="00EB7D1C"/>
    <w:rsid w:val="00EC1BBE"/>
    <w:rsid w:val="00EC2B68"/>
    <w:rsid w:val="00EC3AEF"/>
    <w:rsid w:val="00EC5CD7"/>
    <w:rsid w:val="00EE5FB3"/>
    <w:rsid w:val="00EE7F79"/>
    <w:rsid w:val="00EF715A"/>
    <w:rsid w:val="00F01BC3"/>
    <w:rsid w:val="00F04366"/>
    <w:rsid w:val="00F06E14"/>
    <w:rsid w:val="00F179D4"/>
    <w:rsid w:val="00F24454"/>
    <w:rsid w:val="00F33C56"/>
    <w:rsid w:val="00F347C7"/>
    <w:rsid w:val="00F34848"/>
    <w:rsid w:val="00F42D46"/>
    <w:rsid w:val="00F4496C"/>
    <w:rsid w:val="00F44F3A"/>
    <w:rsid w:val="00F45DD5"/>
    <w:rsid w:val="00F460A5"/>
    <w:rsid w:val="00F51F10"/>
    <w:rsid w:val="00F529A5"/>
    <w:rsid w:val="00F60F00"/>
    <w:rsid w:val="00F614C0"/>
    <w:rsid w:val="00F61C77"/>
    <w:rsid w:val="00F83848"/>
    <w:rsid w:val="00F9672A"/>
    <w:rsid w:val="00F975E9"/>
    <w:rsid w:val="00FA1B7D"/>
    <w:rsid w:val="00FC07B9"/>
    <w:rsid w:val="00FC4E21"/>
    <w:rsid w:val="00FC5F6D"/>
    <w:rsid w:val="00FD0107"/>
    <w:rsid w:val="00FD2C2F"/>
    <w:rsid w:val="00FD3B31"/>
    <w:rsid w:val="00FE1823"/>
    <w:rsid w:val="00FE487A"/>
    <w:rsid w:val="00FF0569"/>
    <w:rsid w:val="00FF206E"/>
    <w:rsid w:val="00FF3C69"/>
    <w:rsid w:val="00FF6E0A"/>
    <w:rsid w:val="032DEB7B"/>
    <w:rsid w:val="03525F8C"/>
    <w:rsid w:val="05D947FC"/>
    <w:rsid w:val="06D2416A"/>
    <w:rsid w:val="072AB5E2"/>
    <w:rsid w:val="0776B4DB"/>
    <w:rsid w:val="08203C59"/>
    <w:rsid w:val="08E0D5EE"/>
    <w:rsid w:val="0943F201"/>
    <w:rsid w:val="0BFFAAF9"/>
    <w:rsid w:val="0C97130B"/>
    <w:rsid w:val="0CABEAC3"/>
    <w:rsid w:val="0CE20DD5"/>
    <w:rsid w:val="0EE86DD1"/>
    <w:rsid w:val="1088CF4E"/>
    <w:rsid w:val="11843EA8"/>
    <w:rsid w:val="12AC5048"/>
    <w:rsid w:val="144DEA5F"/>
    <w:rsid w:val="149BF4CF"/>
    <w:rsid w:val="14AA91ED"/>
    <w:rsid w:val="14B18886"/>
    <w:rsid w:val="15B16CE2"/>
    <w:rsid w:val="16EF65B2"/>
    <w:rsid w:val="1909CA57"/>
    <w:rsid w:val="1AAC82FD"/>
    <w:rsid w:val="1B92ED65"/>
    <w:rsid w:val="1D89572D"/>
    <w:rsid w:val="1DF27021"/>
    <w:rsid w:val="1FE776C8"/>
    <w:rsid w:val="20962479"/>
    <w:rsid w:val="21416A61"/>
    <w:rsid w:val="22F6D26F"/>
    <w:rsid w:val="23081B83"/>
    <w:rsid w:val="2442C242"/>
    <w:rsid w:val="259ED468"/>
    <w:rsid w:val="262A53A0"/>
    <w:rsid w:val="276B78A9"/>
    <w:rsid w:val="27A1D018"/>
    <w:rsid w:val="28029C96"/>
    <w:rsid w:val="28BDB55B"/>
    <w:rsid w:val="28EB7507"/>
    <w:rsid w:val="2B42C31F"/>
    <w:rsid w:val="2C5F6E5A"/>
    <w:rsid w:val="2C8CE5B5"/>
    <w:rsid w:val="2CABF769"/>
    <w:rsid w:val="2D2E8691"/>
    <w:rsid w:val="2EEFDED9"/>
    <w:rsid w:val="2FBDC155"/>
    <w:rsid w:val="2FE402B6"/>
    <w:rsid w:val="3036E925"/>
    <w:rsid w:val="30FCE6EC"/>
    <w:rsid w:val="3118102E"/>
    <w:rsid w:val="3126CBB9"/>
    <w:rsid w:val="319FD682"/>
    <w:rsid w:val="32A617CD"/>
    <w:rsid w:val="33300105"/>
    <w:rsid w:val="3341BB81"/>
    <w:rsid w:val="336E89E7"/>
    <w:rsid w:val="33AF40E8"/>
    <w:rsid w:val="33B410C8"/>
    <w:rsid w:val="34A66335"/>
    <w:rsid w:val="34E6DCCA"/>
    <w:rsid w:val="35E60F6E"/>
    <w:rsid w:val="35F6BDA0"/>
    <w:rsid w:val="3701CCD5"/>
    <w:rsid w:val="371B990A"/>
    <w:rsid w:val="3A5151FF"/>
    <w:rsid w:val="3A586059"/>
    <w:rsid w:val="3BF547B9"/>
    <w:rsid w:val="3C094B48"/>
    <w:rsid w:val="3C5D2FFD"/>
    <w:rsid w:val="3C9B7EE4"/>
    <w:rsid w:val="3CA79241"/>
    <w:rsid w:val="3D580AC4"/>
    <w:rsid w:val="3E7E03BF"/>
    <w:rsid w:val="3F11B53B"/>
    <w:rsid w:val="3F24E894"/>
    <w:rsid w:val="3F768FF7"/>
    <w:rsid w:val="40DB650B"/>
    <w:rsid w:val="418584CB"/>
    <w:rsid w:val="44785E6F"/>
    <w:rsid w:val="45A8AC93"/>
    <w:rsid w:val="45C258D7"/>
    <w:rsid w:val="45F94A78"/>
    <w:rsid w:val="47D577AD"/>
    <w:rsid w:val="47DE3D82"/>
    <w:rsid w:val="48B90798"/>
    <w:rsid w:val="4992449D"/>
    <w:rsid w:val="49CCA5EB"/>
    <w:rsid w:val="49EC9F0A"/>
    <w:rsid w:val="4A7065D0"/>
    <w:rsid w:val="4AA75076"/>
    <w:rsid w:val="4B1001DD"/>
    <w:rsid w:val="4B7F7E42"/>
    <w:rsid w:val="4C27FAE4"/>
    <w:rsid w:val="4CAB5257"/>
    <w:rsid w:val="4D0D74DC"/>
    <w:rsid w:val="4DEE3ED3"/>
    <w:rsid w:val="4E2F5AAC"/>
    <w:rsid w:val="4E898D6E"/>
    <w:rsid w:val="4F2DB47F"/>
    <w:rsid w:val="4F5C70DC"/>
    <w:rsid w:val="506E0A03"/>
    <w:rsid w:val="50ACAFD8"/>
    <w:rsid w:val="50C5635B"/>
    <w:rsid w:val="50F357E4"/>
    <w:rsid w:val="522B0F68"/>
    <w:rsid w:val="544C459E"/>
    <w:rsid w:val="563B3CAC"/>
    <w:rsid w:val="57D907D7"/>
    <w:rsid w:val="57F28CE6"/>
    <w:rsid w:val="584A8080"/>
    <w:rsid w:val="59A05179"/>
    <w:rsid w:val="5ABAE215"/>
    <w:rsid w:val="5ACAA55B"/>
    <w:rsid w:val="5AE0F376"/>
    <w:rsid w:val="5B30102F"/>
    <w:rsid w:val="5C539E8B"/>
    <w:rsid w:val="5CD19AEB"/>
    <w:rsid w:val="5DA387D3"/>
    <w:rsid w:val="5F09EF40"/>
    <w:rsid w:val="5F795B59"/>
    <w:rsid w:val="5FC00C3E"/>
    <w:rsid w:val="5FCA98FA"/>
    <w:rsid w:val="6066189B"/>
    <w:rsid w:val="608EB888"/>
    <w:rsid w:val="61863082"/>
    <w:rsid w:val="62190EF3"/>
    <w:rsid w:val="62A9CACD"/>
    <w:rsid w:val="62E50261"/>
    <w:rsid w:val="62F7AD00"/>
    <w:rsid w:val="6684E19C"/>
    <w:rsid w:val="66F533F6"/>
    <w:rsid w:val="684B88AB"/>
    <w:rsid w:val="69E1ABC8"/>
    <w:rsid w:val="6AB1E778"/>
    <w:rsid w:val="6B524A57"/>
    <w:rsid w:val="6B6C3BC0"/>
    <w:rsid w:val="6CA6261F"/>
    <w:rsid w:val="6F452716"/>
    <w:rsid w:val="6F953EDB"/>
    <w:rsid w:val="6FC1700A"/>
    <w:rsid w:val="702B4674"/>
    <w:rsid w:val="708144E2"/>
    <w:rsid w:val="70E2291F"/>
    <w:rsid w:val="7175B653"/>
    <w:rsid w:val="71D5733D"/>
    <w:rsid w:val="7286D905"/>
    <w:rsid w:val="7293AC23"/>
    <w:rsid w:val="73BB8C2E"/>
    <w:rsid w:val="753817F8"/>
    <w:rsid w:val="75DE3F33"/>
    <w:rsid w:val="76602B39"/>
    <w:rsid w:val="76A9A29B"/>
    <w:rsid w:val="76E061C9"/>
    <w:rsid w:val="77AA995E"/>
    <w:rsid w:val="77AE6F48"/>
    <w:rsid w:val="77E15C6E"/>
    <w:rsid w:val="77EC60C7"/>
    <w:rsid w:val="787FC1EF"/>
    <w:rsid w:val="78D165FC"/>
    <w:rsid w:val="799F50F0"/>
    <w:rsid w:val="7B0F77BD"/>
    <w:rsid w:val="7B62C334"/>
    <w:rsid w:val="7CA37839"/>
    <w:rsid w:val="7CBE1A12"/>
    <w:rsid w:val="7E30F0C4"/>
    <w:rsid w:val="7E598572"/>
    <w:rsid w:val="7F8494E1"/>
    <w:rsid w:val="7FAE609D"/>
    <w:rsid w:val="7FB735B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34F6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54874"/>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uiPriority w:val="99"/>
    <w:rsid w:val="00566AB4"/>
    <w:rPr>
      <w:rFonts w:ascii="Arial" w:hAnsi="Arial"/>
      <w:vertAlign w:val="superscript"/>
    </w:rPr>
  </w:style>
  <w:style w:type="paragraph" w:styleId="FootnoteText">
    <w:name w:val="footnote text"/>
    <w:aliases w:val="Footnote text,ACMA Footnote Text,ABA Footnote Text,footnote text,Footnote Text Char Char,Footnote Text Char1 Char Char,Footnote Text Char Char Char Char,Footnote Text Char1 Char Char Char Char,Footnote Text Char2 Char Char,f"/>
    <w:basedOn w:val="Normal"/>
    <w:link w:val="FootnoteTextChar"/>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CE0BB5"/>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character" w:customStyle="1" w:styleId="FootnoteTextChar">
    <w:name w:val="Footnote Text Char"/>
    <w:aliases w:val="Footnote text Char,ACMA Footnote Text Char,ABA Footnote Text Char,footnote text Char,Footnote Text Char Char Char,Footnote Text Char1 Char Char Char,Footnote Text Char Char Char Char Char,Footnote Text Char1 Char Char Char Char Char"/>
    <w:basedOn w:val="DefaultParagraphFont"/>
    <w:link w:val="FootnoteText"/>
    <w:rsid w:val="00354874"/>
    <w:rPr>
      <w:rFonts w:ascii="Arial" w:hAnsi="Arial"/>
      <w:sz w:val="16"/>
      <w:szCs w:val="16"/>
    </w:rPr>
  </w:style>
  <w:style w:type="paragraph" w:styleId="ListParagraph">
    <w:name w:val="List Paragraph"/>
    <w:basedOn w:val="Normal"/>
    <w:semiHidden/>
    <w:rsid w:val="00354874"/>
    <w:pPr>
      <w:ind w:left="720"/>
      <w:contextualSpacing/>
    </w:pPr>
  </w:style>
  <w:style w:type="paragraph" w:customStyle="1" w:styleId="hr">
    <w:name w:val="hr"/>
    <w:basedOn w:val="Normal"/>
    <w:rsid w:val="00354874"/>
    <w:pPr>
      <w:spacing w:before="100" w:beforeAutospacing="1" w:after="100" w:afterAutospacing="1" w:line="240" w:lineRule="auto"/>
    </w:pPr>
    <w:rPr>
      <w:rFonts w:ascii="Times New Roman" w:hAnsi="Times New Roman"/>
      <w:sz w:val="24"/>
    </w:rPr>
  </w:style>
  <w:style w:type="paragraph" w:customStyle="1" w:styleId="p1">
    <w:name w:val="p1"/>
    <w:basedOn w:val="Normal"/>
    <w:rsid w:val="00354874"/>
    <w:pPr>
      <w:spacing w:before="100" w:beforeAutospacing="1" w:after="100" w:afterAutospacing="1" w:line="240" w:lineRule="auto"/>
    </w:pPr>
    <w:rPr>
      <w:rFonts w:ascii="Times New Roman" w:hAnsi="Times New Roman"/>
      <w:sz w:val="24"/>
    </w:rPr>
  </w:style>
  <w:style w:type="paragraph" w:customStyle="1" w:styleId="p2">
    <w:name w:val="p2"/>
    <w:basedOn w:val="Normal"/>
    <w:rsid w:val="00354874"/>
    <w:pPr>
      <w:spacing w:before="100" w:beforeAutospacing="1" w:after="100" w:afterAutospacing="1" w:line="240" w:lineRule="auto"/>
    </w:pPr>
    <w:rPr>
      <w:rFonts w:ascii="Times New Roman" w:hAnsi="Times New Roman"/>
      <w:sz w:val="24"/>
    </w:rPr>
  </w:style>
  <w:style w:type="paragraph" w:customStyle="1" w:styleId="zr1">
    <w:name w:val="zr1"/>
    <w:basedOn w:val="Normal"/>
    <w:rsid w:val="00354874"/>
    <w:pPr>
      <w:spacing w:before="100" w:beforeAutospacing="1" w:after="100" w:afterAutospacing="1" w:line="240" w:lineRule="auto"/>
    </w:pPr>
    <w:rPr>
      <w:rFonts w:ascii="Times New Roman" w:hAnsi="Times New Roman"/>
      <w:sz w:val="24"/>
    </w:rPr>
  </w:style>
  <w:style w:type="paragraph" w:customStyle="1" w:styleId="zp1">
    <w:name w:val="zp1"/>
    <w:basedOn w:val="Normal"/>
    <w:rsid w:val="00354874"/>
    <w:pPr>
      <w:spacing w:before="100" w:beforeAutospacing="1" w:after="100" w:afterAutospacing="1" w:line="240" w:lineRule="auto"/>
    </w:pPr>
    <w:rPr>
      <w:rFonts w:ascii="Times New Roman" w:hAnsi="Times New Roman"/>
      <w:sz w:val="24"/>
    </w:rPr>
  </w:style>
  <w:style w:type="paragraph" w:customStyle="1" w:styleId="note">
    <w:name w:val="note"/>
    <w:basedOn w:val="Normal"/>
    <w:rsid w:val="00354874"/>
    <w:pPr>
      <w:spacing w:before="100" w:beforeAutospacing="1" w:after="100" w:afterAutospacing="1" w:line="240" w:lineRule="auto"/>
    </w:pPr>
    <w:rPr>
      <w:rFonts w:ascii="Times New Roman" w:hAnsi="Times New Roman"/>
      <w:sz w:val="24"/>
    </w:rPr>
  </w:style>
  <w:style w:type="paragraph" w:customStyle="1" w:styleId="r2">
    <w:name w:val="r2"/>
    <w:basedOn w:val="Normal"/>
    <w:rsid w:val="00354874"/>
    <w:pPr>
      <w:spacing w:before="100" w:beforeAutospacing="1" w:after="100" w:afterAutospacing="1" w:line="240" w:lineRule="auto"/>
    </w:pPr>
    <w:rPr>
      <w:rFonts w:ascii="Times New Roman" w:hAnsi="Times New Roman"/>
      <w:sz w:val="24"/>
    </w:rPr>
  </w:style>
  <w:style w:type="paragraph" w:customStyle="1" w:styleId="zdefinition">
    <w:name w:val="zdefinition"/>
    <w:basedOn w:val="Normal"/>
    <w:rsid w:val="00354874"/>
    <w:pPr>
      <w:spacing w:before="100" w:beforeAutospacing="1" w:after="100" w:afterAutospacing="1" w:line="240" w:lineRule="auto"/>
    </w:pPr>
    <w:rPr>
      <w:rFonts w:ascii="Times New Roman" w:hAnsi="Times New Roman"/>
      <w:sz w:val="24"/>
    </w:rPr>
  </w:style>
  <w:style w:type="paragraph" w:customStyle="1" w:styleId="definition0">
    <w:name w:val="definition0"/>
    <w:basedOn w:val="Normal"/>
    <w:rsid w:val="00354874"/>
    <w:pPr>
      <w:spacing w:before="100" w:beforeAutospacing="1" w:after="100" w:afterAutospacing="1" w:line="240" w:lineRule="auto"/>
    </w:pPr>
    <w:rPr>
      <w:rFonts w:ascii="Times New Roman" w:hAnsi="Times New Roman"/>
      <w:sz w:val="24"/>
    </w:rPr>
  </w:style>
  <w:style w:type="paragraph" w:customStyle="1" w:styleId="pagebreak">
    <w:name w:val="pagebreak"/>
    <w:basedOn w:val="Normal"/>
    <w:rsid w:val="00354874"/>
    <w:pPr>
      <w:spacing w:before="100" w:beforeAutospacing="1" w:after="100" w:afterAutospacing="1" w:line="240" w:lineRule="auto"/>
    </w:pPr>
    <w:rPr>
      <w:rFonts w:ascii="Times New Roman" w:hAnsi="Times New Roman"/>
      <w:sz w:val="24"/>
    </w:rPr>
  </w:style>
  <w:style w:type="paragraph" w:customStyle="1" w:styleId="Bodysubheader0">
    <w:name w:val="Body sub header"/>
    <w:basedOn w:val="Normal"/>
    <w:next w:val="Normal"/>
    <w:rsid w:val="00354874"/>
    <w:pPr>
      <w:spacing w:after="0"/>
    </w:pPr>
    <w:rPr>
      <w:b/>
      <w:i/>
    </w:rPr>
  </w:style>
  <w:style w:type="paragraph" w:styleId="BodyTextIndent">
    <w:name w:val="Body Text Indent"/>
    <w:basedOn w:val="Normal"/>
    <w:link w:val="BodyTextIndentChar"/>
    <w:semiHidden/>
    <w:unhideWhenUsed/>
    <w:rsid w:val="00354874"/>
    <w:pPr>
      <w:widowControl w:val="0"/>
      <w:tabs>
        <w:tab w:val="left" w:pos="691"/>
        <w:tab w:val="left" w:pos="1400"/>
      </w:tabs>
      <w:snapToGrid w:val="0"/>
      <w:spacing w:after="0" w:line="240" w:lineRule="auto"/>
      <w:ind w:left="1400" w:hanging="709"/>
    </w:pPr>
    <w:rPr>
      <w:rFonts w:ascii="Times New Roman" w:hAnsi="Times New Roman"/>
      <w:b/>
      <w:sz w:val="24"/>
      <w:szCs w:val="20"/>
      <w:lang w:val="en-US" w:eastAsia="en-US"/>
    </w:rPr>
  </w:style>
  <w:style w:type="character" w:customStyle="1" w:styleId="BodyTextIndentChar">
    <w:name w:val="Body Text Indent Char"/>
    <w:basedOn w:val="DefaultParagraphFont"/>
    <w:link w:val="BodyTextIndent"/>
    <w:semiHidden/>
    <w:rsid w:val="00354874"/>
    <w:rPr>
      <w:b/>
      <w:szCs w:val="20"/>
      <w:lang w:val="en-US" w:eastAsia="en-US"/>
    </w:rPr>
  </w:style>
  <w:style w:type="paragraph" w:styleId="BodyTextIndent2">
    <w:name w:val="Body Text Indent 2"/>
    <w:basedOn w:val="Normal"/>
    <w:link w:val="BodyTextIndent2Char"/>
    <w:semiHidden/>
    <w:unhideWhenUsed/>
    <w:rsid w:val="00354874"/>
    <w:pPr>
      <w:spacing w:after="120" w:line="480" w:lineRule="auto"/>
      <w:ind w:left="283"/>
    </w:pPr>
  </w:style>
  <w:style w:type="character" w:customStyle="1" w:styleId="BodyTextIndent2Char">
    <w:name w:val="Body Text Indent 2 Char"/>
    <w:basedOn w:val="DefaultParagraphFont"/>
    <w:link w:val="BodyTextIndent2"/>
    <w:semiHidden/>
    <w:rsid w:val="0035487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legislation.gov.au/Details/F2006B00135" TargetMode="External"/><Relationship Id="rId39" Type="http://schemas.openxmlformats.org/officeDocument/2006/relationships/hyperlink" Target="http://www.austlii.edu.au/cgi-bin/viewdoc/au/cases/cth/AATA/2020/2102.html?context=1;query=W%20&amp;%20A%20Willmington%20Pty%20Ltd%20;mask_path=au/cases/cth/AATA" TargetMode="External"/><Relationship Id="rId21" Type="http://schemas.openxmlformats.org/officeDocument/2006/relationships/footer" Target="footer5.xml"/><Relationship Id="rId34" Type="http://schemas.openxmlformats.org/officeDocument/2006/relationships/hyperlink" Target="https://www.acma.gov.au/low-power-open-narrowcasting-licences" TargetMode="External"/><Relationship Id="rId42" Type="http://schemas.openxmlformats.org/officeDocument/2006/relationships/image" Target="media/image4.emf"/><Relationship Id="rId47" Type="http://schemas.openxmlformats.org/officeDocument/2006/relationships/hyperlink" Target="http://www.austlii.edu.au/cgi-bin/viewdoc/au/cases/cth/AATA/2020/2102.html?context=1;query=W%20&amp;%20A%20Willmington%20Pty%20Ltd%20;mask_path=au/cases/cth/AATA" TargetMode="External"/><Relationship Id="rId50" Type="http://schemas.openxmlformats.org/officeDocument/2006/relationships/hyperlink" Target="https://x.com/acmadotgov" TargetMode="External"/><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legislation.gov.au/Details/F2017C01145" TargetMode="Externa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C2017C00201" TargetMode="External"/><Relationship Id="rId32" Type="http://schemas.openxmlformats.org/officeDocument/2006/relationships/hyperlink" Target="https://www.legislation.gov.au/Details/C2017C00201" TargetMode="External"/><Relationship Id="rId37" Type="http://schemas.openxmlformats.org/officeDocument/2006/relationships/hyperlink" Target="https://www.legislation.gov.au/F2015L01489/latest/text" TargetMode="External"/><Relationship Id="rId40" Type="http://schemas.openxmlformats.org/officeDocument/2006/relationships/hyperlink" Target="http://www.austlii.edu.au/cgi-bin/viewdoc/au/cases/cth/AATA/2020/987.html" TargetMode="External"/><Relationship Id="rId45" Type="http://schemas.openxmlformats.org/officeDocument/2006/relationships/hyperlink" Target="https://www.acma.gov.au/apply-vary-lpon-conditions" TargetMode="External"/><Relationship Id="rId53" Type="http://schemas.openxmlformats.org/officeDocument/2006/relationships/hyperlink" Target="https://www.legislation.gov.au/Details/F2017C01145" TargetMode="External"/><Relationship Id="rId58" Type="http://schemas.openxmlformats.org/officeDocument/2006/relationships/footer" Target="footer8.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legislation.gov.au/F2015L01489/latest/text" TargetMode="External"/><Relationship Id="rId30" Type="http://schemas.openxmlformats.org/officeDocument/2006/relationships/hyperlink" Target="https://www.legislation.gov.au/F2015L01489/latest/text" TargetMode="External"/><Relationship Id="rId35" Type="http://schemas.openxmlformats.org/officeDocument/2006/relationships/hyperlink" Target="mailto:info@acma.gov.au" TargetMode="External"/><Relationship Id="rId43" Type="http://schemas.openxmlformats.org/officeDocument/2006/relationships/hyperlink" Target="https://aus01.safelinks.protection.outlook.com/?url=https%3A%2F%2Fwww.austlii.edu.au%2Fcgi-bin%2Fviewdoc%2Fau%2Fcases%2Fcth%2FFCA%2F2024%2F473.html%3Fcontext%3D1%3Bquery%3Dphaze%2520broadcasting%3Bmask_path%3D&amp;data=05%7C02%7CMelissa.Moroney%40acma.gov.au%7Cf57fb942e1cf4132220208dc7e967665%7C0dac7f39d20c4e718af371ee7e268a2b%7C0%7C0%7C638524431914072881%7CUnknown%7CTWFpbGZsb3d8eyJWIjoiMC4wLjAwMDAiLCJQIjoiV2luMzIiLCJBTiI6Ik1haWwiLCJXVCI6Mn0%3D%7C0%7C%7C%7C&amp;sdata=yG1fWyjwJtCsDLjZ9FAx8qPlZ2yp0fWqxfu%2BAm7xxlA%3D&amp;reserved=0" TargetMode="External"/><Relationship Id="rId48" Type="http://schemas.openxmlformats.org/officeDocument/2006/relationships/hyperlink" Target="http://www.austlii.edu.au/cgi-bin/viewdoc/au/cases/cth/AATA/2020/987.html" TargetMode="External"/><Relationship Id="rId56" Type="http://schemas.openxmlformats.org/officeDocument/2006/relationships/header" Target="header8.xml"/><Relationship Id="rId8" Type="http://schemas.openxmlformats.org/officeDocument/2006/relationships/header" Target="header1.xml"/><Relationship Id="rId51" Type="http://schemas.openxmlformats.org/officeDocument/2006/relationships/hyperlink" Target="http://www.youtube.com/user/acmadotgov"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legislation.gov.au/Details/C2018C00336" TargetMode="External"/><Relationship Id="rId33" Type="http://schemas.openxmlformats.org/officeDocument/2006/relationships/hyperlink" Target="https://www.acma.gov.au/compliance-and-enforcement-policy" TargetMode="External"/><Relationship Id="rId38" Type="http://schemas.openxmlformats.org/officeDocument/2006/relationships/hyperlink" Target="http://www.austlii.edu.au/cgi-bin/viewdoc/au/cases/cth/AATA/2020/2102.html?context=1;query=W%20&amp;%20A%20Willmington%20Pty%20Ltd%20;mask_path=au/cases/cth/AATA" TargetMode="External"/><Relationship Id="rId46" Type="http://schemas.openxmlformats.org/officeDocument/2006/relationships/hyperlink" Target="https://www.acma.gov.au/low-power-open-narrowcasting-licences" TargetMode="External"/><Relationship Id="rId59"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www.austlii.edu.au/cgi-bin/viewdoc/au/cases/cth/AATA/2020/2102.html?context=1;query=W%20&amp;%20A%20Willmington%20Pty%20Ltd%20;mask_path=au/cases/cth/AATA" TargetMode="External"/><Relationship Id="rId54" Type="http://schemas.openxmlformats.org/officeDocument/2006/relationships/hyperlink" Target="https://www.legislation.gov.au/Details/F2006B0013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legislation.gov.au/F2015L01489/latest/text" TargetMode="External"/><Relationship Id="rId28" Type="http://schemas.openxmlformats.org/officeDocument/2006/relationships/hyperlink" Target="https://www.acma.gov.au/low-power-open-narrowcasting-licences" TargetMode="External"/><Relationship Id="rId36" Type="http://schemas.openxmlformats.org/officeDocument/2006/relationships/hyperlink" Target="http://www.austlii.edu.au/cgi-bin/viewdoc/au/cases/cth/AATA/2020/987.html" TargetMode="External"/><Relationship Id="rId49" Type="http://schemas.openxmlformats.org/officeDocument/2006/relationships/hyperlink" Target="https://www.acma.gov.au/subscribe-our-news" TargetMode="External"/><Relationship Id="rId57" Type="http://schemas.openxmlformats.org/officeDocument/2006/relationships/footer" Target="footer7.xml"/><Relationship Id="rId10" Type="http://schemas.openxmlformats.org/officeDocument/2006/relationships/header" Target="header2.xml"/><Relationship Id="rId31" Type="http://schemas.openxmlformats.org/officeDocument/2006/relationships/hyperlink" Target="https://www.legislation.gov.au/C2004A04401/2017-06-23/text" TargetMode="External"/><Relationship Id="rId44" Type="http://schemas.openxmlformats.org/officeDocument/2006/relationships/hyperlink" Target="https://www.acma.gov.au/apply-vary-lpon-conditions" TargetMode="External"/><Relationship Id="rId52" Type="http://schemas.openxmlformats.org/officeDocument/2006/relationships/hyperlink" Target="mailto:info@acma.gov.au"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ustlii.edu.au/cgi-bin/viewdoc/au/cases/cth/AATA/2020/987.html" TargetMode="External"/><Relationship Id="rId3" Type="http://schemas.openxmlformats.org/officeDocument/2006/relationships/hyperlink" Target="https://www.legislation.gov.au/Details/F2017C01145" TargetMode="External"/><Relationship Id="rId7" Type="http://schemas.openxmlformats.org/officeDocument/2006/relationships/hyperlink" Target="http://www.austlii.edu.au/cgi-bin/viewdoc/au/cases/cth/AATA/2020/2102.html?context=1;query=W%20&amp;%20A%20Willmington%20Pty%20Ltd%20;mask_path=au/cases/cth/AATA" TargetMode="External"/><Relationship Id="rId2" Type="http://schemas.openxmlformats.org/officeDocument/2006/relationships/hyperlink" Target="https://www.legislation.gov.au/Details/F2017C01145" TargetMode="External"/><Relationship Id="rId1" Type="http://schemas.openxmlformats.org/officeDocument/2006/relationships/hyperlink" Target="https://www.legislation.gov.au/Details/F2017C01145" TargetMode="External"/><Relationship Id="rId6" Type="http://schemas.openxmlformats.org/officeDocument/2006/relationships/hyperlink" Target="http://www.austlii.edu.au/cgi-bin/viewdoc/au/cases/cth/AATA/2020/987.html" TargetMode="External"/><Relationship Id="rId5" Type="http://schemas.openxmlformats.org/officeDocument/2006/relationships/hyperlink" Target="http://www.austlii.edu.au/cgi-bin/viewdoc/au/cases/cth/AATA/2020/987.html" TargetMode="External"/><Relationship Id="rId4" Type="http://schemas.openxmlformats.org/officeDocument/2006/relationships/hyperlink" Target="https://www.legislation.gov.au/Details/F2017C01145" TargetMode="External"/><Relationship Id="rId9" Type="http://schemas.openxmlformats.org/officeDocument/2006/relationships/hyperlink" Target="https://www.legislation.gov.au/Details/F2017C011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4595</Words>
  <Characters>24096</Characters>
  <Application>Microsoft Office Word</Application>
  <DocSecurity>0</DocSecurity>
  <Lines>538</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2024-09-30T02:04:00Z</dcterms:created>
  <dcterms:modified xsi:type="dcterms:W3CDTF">2024-09-30T02:05:00Z</dcterms:modified>
  <cp:category/>
</cp:coreProperties>
</file>