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478DD" w14:textId="1E482746" w:rsidR="005E16D1" w:rsidRPr="00A17B1B" w:rsidRDefault="005E16D1" w:rsidP="005E16D1">
      <w:pPr>
        <w:pStyle w:val="Reporttitle"/>
      </w:pPr>
      <w:r>
        <w:t xml:space="preserve">Compliance priorities 2023–24 </w:t>
      </w:r>
    </w:p>
    <w:p w14:paraId="554DA7BA" w14:textId="3BE27038" w:rsidR="005E16D1" w:rsidRPr="00A17B1B" w:rsidRDefault="005E16D1" w:rsidP="005E16D1">
      <w:pPr>
        <w:pStyle w:val="Reportsubtitle"/>
      </w:pPr>
      <w:r>
        <w:t>Low Power Open Narrowcasting (LPON) audit</w:t>
      </w:r>
    </w:p>
    <w:p w14:paraId="2116C34E" w14:textId="70575A5F" w:rsidR="00C97736" w:rsidRPr="00A17B1B" w:rsidRDefault="007922A4" w:rsidP="00EC2B68">
      <w:pPr>
        <w:pStyle w:val="Reportdate"/>
        <w:spacing w:after="720"/>
        <w:rPr>
          <w:rFonts w:cs="Arial"/>
        </w:rPr>
        <w:sectPr w:rsidR="00C97736" w:rsidRPr="00A17B1B" w:rsidSect="005A62E5">
          <w:headerReference w:type="even" r:id="rId8"/>
          <w:headerReference w:type="default" r:id="rId9"/>
          <w:footerReference w:type="even" r:id="rId10"/>
          <w:footerReference w:type="default" r:id="rId11"/>
          <w:headerReference w:type="first" r:id="rId12"/>
          <w:pgSz w:w="11906" w:h="16838" w:code="9"/>
          <w:pgMar w:top="3924" w:right="1418" w:bottom="1134" w:left="1418" w:header="850" w:footer="454" w:gutter="0"/>
          <w:cols w:space="708"/>
          <w:docGrid w:linePitch="360"/>
        </w:sectPr>
      </w:pPr>
      <w:r>
        <w:t>OCTOBER</w:t>
      </w:r>
      <w:r w:rsidR="00910D5C" w:rsidRPr="00A17B1B">
        <w:t xml:space="preserve"> </w:t>
      </w:r>
      <w:r w:rsidR="00BD4421" w:rsidRPr="00A17B1B">
        <w:t>20</w:t>
      </w:r>
      <w:r w:rsidR="000971BD" w:rsidRPr="00A17B1B">
        <w:t>2</w:t>
      </w:r>
      <w:r w:rsidR="00306491">
        <w:t>4</w:t>
      </w:r>
    </w:p>
    <w:p w14:paraId="014F533E" w14:textId="77777777" w:rsidR="00284A74" w:rsidRPr="00A17B1B" w:rsidRDefault="00284A74" w:rsidP="00284A74">
      <w:pPr>
        <w:pStyle w:val="ACMACorporateAddressHeader"/>
      </w:pPr>
      <w:r w:rsidRPr="00A17B1B">
        <w:lastRenderedPageBreak/>
        <w:t>Canberra</w:t>
      </w:r>
    </w:p>
    <w:p w14:paraId="5B392513" w14:textId="77777777" w:rsidR="00284A74" w:rsidRPr="00A17B1B" w:rsidRDefault="00181180" w:rsidP="00284A74">
      <w:pPr>
        <w:pStyle w:val="ACMACorporateAddresses"/>
      </w:pPr>
      <w:r>
        <w:t>Level 3</w:t>
      </w:r>
      <w:r>
        <w:br/>
        <w:t>40 Cameron Avenue</w:t>
      </w:r>
      <w:r w:rsidR="00284A74" w:rsidRPr="00A17B1B">
        <w:t xml:space="preserve"> </w:t>
      </w:r>
      <w:r w:rsidR="00284A74" w:rsidRPr="00A17B1B">
        <w:br/>
        <w:t>Belconnen ACT</w:t>
      </w:r>
    </w:p>
    <w:p w14:paraId="3A50228B" w14:textId="77777777" w:rsidR="00284A74" w:rsidRPr="00A17B1B" w:rsidRDefault="00284A74" w:rsidP="00284A74">
      <w:pPr>
        <w:pStyle w:val="ACMACorporateAddresses"/>
      </w:pPr>
      <w:r w:rsidRPr="00A17B1B">
        <w:t>PO Box 78</w:t>
      </w:r>
      <w:r w:rsidRPr="00A17B1B">
        <w:br/>
        <w:t>Belconnen ACT 2616</w:t>
      </w:r>
    </w:p>
    <w:p w14:paraId="2F4A0F3B" w14:textId="77777777" w:rsidR="00284A74" w:rsidRPr="00A17B1B" w:rsidRDefault="00284A74" w:rsidP="00284A74">
      <w:pPr>
        <w:pStyle w:val="ACMACorporateAddresses"/>
      </w:pPr>
      <w:r w:rsidRPr="00A17B1B">
        <w:t>T</w:t>
      </w:r>
      <w:r w:rsidRPr="00A17B1B">
        <w:tab/>
        <w:t>+61 2 6219 5555</w:t>
      </w:r>
      <w:r w:rsidRPr="00A17B1B">
        <w:br/>
        <w:t>F</w:t>
      </w:r>
      <w:r w:rsidRPr="00A17B1B">
        <w:tab/>
        <w:t>+61 2 6219 5353</w:t>
      </w:r>
    </w:p>
    <w:p w14:paraId="47371104" w14:textId="77777777" w:rsidR="00284A74" w:rsidRPr="00A17B1B" w:rsidRDefault="00284A74" w:rsidP="00284A74">
      <w:pPr>
        <w:pStyle w:val="ACMACorporateAddressHeader"/>
      </w:pPr>
      <w:r w:rsidRPr="00A17B1B">
        <w:t>Melbourne</w:t>
      </w:r>
    </w:p>
    <w:p w14:paraId="2694A457" w14:textId="77777777" w:rsidR="00284A74" w:rsidRPr="00A17B1B" w:rsidRDefault="00284A74" w:rsidP="00284A74">
      <w:pPr>
        <w:pStyle w:val="ACMACorporateAddresses"/>
      </w:pPr>
      <w:r w:rsidRPr="00A17B1B">
        <w:t xml:space="preserve">Level 32 </w:t>
      </w:r>
      <w:r w:rsidRPr="00A17B1B">
        <w:br/>
        <w:t>Melbourne Central Tower</w:t>
      </w:r>
      <w:r w:rsidRPr="00A17B1B">
        <w:br/>
        <w:t xml:space="preserve">360 Elizabeth Street </w:t>
      </w:r>
      <w:r w:rsidRPr="00A17B1B">
        <w:br/>
        <w:t>Melbourne VIC</w:t>
      </w:r>
    </w:p>
    <w:p w14:paraId="2F7167F0" w14:textId="77777777" w:rsidR="00284A74" w:rsidRPr="00A17B1B" w:rsidRDefault="00284A74" w:rsidP="00284A74">
      <w:pPr>
        <w:pStyle w:val="ACMACorporateAddresses"/>
      </w:pPr>
      <w:r w:rsidRPr="00A17B1B">
        <w:t>PO Box 13112</w:t>
      </w:r>
      <w:r w:rsidRPr="00A17B1B">
        <w:br/>
        <w:t xml:space="preserve">Law Courts </w:t>
      </w:r>
      <w:r w:rsidRPr="00A17B1B">
        <w:br/>
        <w:t>Melbourne VIC 8010</w:t>
      </w:r>
    </w:p>
    <w:p w14:paraId="2CAD1CDC" w14:textId="77777777" w:rsidR="00284A74" w:rsidRPr="00A17B1B" w:rsidRDefault="00284A74" w:rsidP="00284A74">
      <w:pPr>
        <w:pStyle w:val="ACMACorporateAddresses"/>
      </w:pPr>
      <w:r w:rsidRPr="00A17B1B">
        <w:t>T</w:t>
      </w:r>
      <w:r w:rsidRPr="00A17B1B">
        <w:tab/>
        <w:t>+61 3 9963 6800</w:t>
      </w:r>
      <w:r w:rsidRPr="00A17B1B">
        <w:br/>
        <w:t>F</w:t>
      </w:r>
      <w:r w:rsidRPr="00A17B1B">
        <w:tab/>
        <w:t>+61 3 9963 6899</w:t>
      </w:r>
    </w:p>
    <w:p w14:paraId="0838E005" w14:textId="77777777" w:rsidR="00284A74" w:rsidRPr="00A17B1B" w:rsidRDefault="00284A74" w:rsidP="00284A74">
      <w:pPr>
        <w:pStyle w:val="ACMACorporateAddressHeader"/>
      </w:pPr>
      <w:r w:rsidRPr="00A17B1B">
        <w:t>Sydney</w:t>
      </w:r>
    </w:p>
    <w:p w14:paraId="08F6C6DC" w14:textId="77777777" w:rsidR="00284A74" w:rsidRPr="00A17B1B" w:rsidRDefault="00284A74" w:rsidP="00284A74">
      <w:pPr>
        <w:pStyle w:val="ACMACorporateAddresses"/>
      </w:pPr>
      <w:r w:rsidRPr="00A17B1B">
        <w:t xml:space="preserve">Level 5 </w:t>
      </w:r>
      <w:r w:rsidRPr="00A17B1B">
        <w:br/>
        <w:t>The Bay Centre</w:t>
      </w:r>
      <w:r w:rsidRPr="00A17B1B">
        <w:br/>
        <w:t xml:space="preserve">65 Pirrama Road </w:t>
      </w:r>
      <w:r w:rsidRPr="00A17B1B">
        <w:br/>
        <w:t>Pyrmont NSW</w:t>
      </w:r>
    </w:p>
    <w:p w14:paraId="7E378B62" w14:textId="77777777" w:rsidR="00284A74" w:rsidRPr="00A17B1B" w:rsidRDefault="00284A74" w:rsidP="00284A74">
      <w:pPr>
        <w:pStyle w:val="ACMACorporateAddresses"/>
      </w:pPr>
      <w:r w:rsidRPr="00A17B1B">
        <w:t>PO Box Q500</w:t>
      </w:r>
      <w:r w:rsidRPr="00A17B1B">
        <w:br/>
        <w:t xml:space="preserve">Queen Victoria Building </w:t>
      </w:r>
      <w:r w:rsidRPr="00A17B1B">
        <w:br/>
        <w:t>NSW 1230</w:t>
      </w:r>
    </w:p>
    <w:p w14:paraId="33EB27E9" w14:textId="77777777" w:rsidR="00284A74" w:rsidRPr="00A17B1B" w:rsidRDefault="00284A74" w:rsidP="00284A74">
      <w:pPr>
        <w:pStyle w:val="ACMACorporateAddresses"/>
      </w:pPr>
      <w:r w:rsidRPr="00A17B1B">
        <w:t>T</w:t>
      </w:r>
      <w:r w:rsidRPr="00A17B1B">
        <w:tab/>
        <w:t>+61 2 9334 7700</w:t>
      </w:r>
      <w:r w:rsidRPr="00A17B1B">
        <w:br/>
        <w:t>F</w:t>
      </w:r>
      <w:r w:rsidRPr="00A17B1B">
        <w:tab/>
        <w:t>+61 2 9334 7799</w:t>
      </w:r>
    </w:p>
    <w:p w14:paraId="5F66F27B" w14:textId="77777777" w:rsidR="00284A74" w:rsidRPr="00A17B1B" w:rsidRDefault="00284A74" w:rsidP="005A62E5">
      <w:pPr>
        <w:pStyle w:val="ACMACopyrightHeader"/>
        <w:spacing w:before="4200"/>
      </w:pPr>
      <w:r w:rsidRPr="00A17B1B">
        <w:t>Copyright notice</w:t>
      </w:r>
    </w:p>
    <w:p w14:paraId="0B71348D" w14:textId="77777777" w:rsidR="00284A74" w:rsidRPr="00A17B1B" w:rsidRDefault="00284A74" w:rsidP="00284A74">
      <w:pPr>
        <w:pStyle w:val="ACMACClogo"/>
      </w:pPr>
      <w:r w:rsidRPr="00A17B1B">
        <w:rPr>
          <w:noProof/>
        </w:rPr>
        <w:drawing>
          <wp:inline distT="0" distB="0" distL="0" distR="0" wp14:anchorId="08C92751" wp14:editId="27F61100">
            <wp:extent cx="838200" cy="295275"/>
            <wp:effectExtent l="0" t="0" r="0" b="0"/>
            <wp:docPr id="1" name="Picture 1" title="Creative Commons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3"/>
                    </pic:cNvPr>
                    <pic:cNvPicPr>
                      <a:picLocks noChangeAspect="1" noChangeArrowheads="1"/>
                    </pic:cNvPicPr>
                  </pic:nvPicPr>
                  <pic:blipFill>
                    <a:blip r:embed="rId14" cstate="print"/>
                    <a:srcRect/>
                    <a:stretch>
                      <a:fillRect/>
                    </a:stretch>
                  </pic:blipFill>
                  <pic:spPr bwMode="auto">
                    <a:xfrm>
                      <a:off x="0" y="0"/>
                      <a:ext cx="838200" cy="295275"/>
                    </a:xfrm>
                    <a:prstGeom prst="rect">
                      <a:avLst/>
                    </a:prstGeom>
                    <a:noFill/>
                  </pic:spPr>
                </pic:pic>
              </a:graphicData>
            </a:graphic>
          </wp:inline>
        </w:drawing>
      </w:r>
    </w:p>
    <w:p w14:paraId="10F9ACDD" w14:textId="77777777" w:rsidR="00284A74" w:rsidRPr="00A17B1B" w:rsidRDefault="00662510" w:rsidP="00284A74">
      <w:pPr>
        <w:pStyle w:val="ACMACorporateAddresses"/>
        <w:rPr>
          <w:rStyle w:val="Hyperlink"/>
        </w:rPr>
      </w:pPr>
      <w:hyperlink r:id="rId15" w:history="1">
        <w:r w:rsidR="00284A74" w:rsidRPr="00A17B1B">
          <w:rPr>
            <w:rStyle w:val="Hyperlink"/>
          </w:rPr>
          <w:t>https://creativecommons.org/licenses/by/4.0/</w:t>
        </w:r>
      </w:hyperlink>
    </w:p>
    <w:p w14:paraId="55695122" w14:textId="77777777" w:rsidR="00AA1F0B" w:rsidRPr="00E162C4" w:rsidRDefault="00AA1F0B" w:rsidP="00AA1F0B">
      <w:pPr>
        <w:pStyle w:val="ACMACorporateAddresses"/>
      </w:pPr>
      <w:r>
        <w:t>Except for the Commonwealth</w:t>
      </w:r>
      <w:r w:rsidRPr="00E162C4">
        <w:t xml:space="preserve"> </w:t>
      </w:r>
      <w:r>
        <w:t>C</w:t>
      </w:r>
      <w:r w:rsidRPr="00E162C4">
        <w:t xml:space="preserve">oat of </w:t>
      </w:r>
      <w:r>
        <w:t>A</w:t>
      </w:r>
      <w:r w:rsidRPr="00E162C4">
        <w:t xml:space="preserve">rms, logos, emblems, images, other third-party </w:t>
      </w:r>
      <w:proofErr w:type="gramStart"/>
      <w:r w:rsidRPr="00E162C4">
        <w:t>material</w:t>
      </w:r>
      <w:proofErr w:type="gramEnd"/>
      <w:r w:rsidRPr="00E162C4">
        <w:t xml:space="preserve"> or devices protected by a trademark, this content is made available under the terms of the Creative Commons Attribution 4.0 International (CC BY 4.0) licence. </w:t>
      </w:r>
    </w:p>
    <w:p w14:paraId="445A5DB1" w14:textId="77777777" w:rsidR="00AA1F0B" w:rsidRPr="00E162C4" w:rsidRDefault="00AA1F0B" w:rsidP="00AA1F0B">
      <w:pPr>
        <w:pStyle w:val="ACMACorporateAddresses"/>
      </w:pPr>
      <w:r w:rsidRPr="00E162C4">
        <w:t>All other rights are reserved.</w:t>
      </w:r>
    </w:p>
    <w:p w14:paraId="59C92F0F" w14:textId="77777777" w:rsidR="00AA1F0B" w:rsidRDefault="00AA1F0B" w:rsidP="00AA1F0B">
      <w:pPr>
        <w:pStyle w:val="ACMACorporateAddresses"/>
      </w:pPr>
      <w:r w:rsidRPr="00E162C4">
        <w:t>The Australian Communications and Media Authority has undertaken reasonable enquiries to identify material owned by third parties and secure permission for its reproduction. Permission may need to be obtained from third parties to re-use their material.</w:t>
      </w:r>
    </w:p>
    <w:p w14:paraId="161F3189" w14:textId="77777777" w:rsidR="00AA1F0B" w:rsidRPr="00D04C32" w:rsidRDefault="00AA1F0B" w:rsidP="00AA1F0B">
      <w:pPr>
        <w:pStyle w:val="ACMACorporateAddresses"/>
        <w:rPr>
          <w:rStyle w:val="Hyperlink"/>
          <w:color w:val="auto"/>
          <w:u w:val="none"/>
        </w:rPr>
      </w:pPr>
      <w:r w:rsidRPr="00E162C4">
        <w:t>We request attribution as © Commonwealth of Australia (Australian Communications and Media Authority) 202</w:t>
      </w:r>
      <w:r>
        <w:t>4</w:t>
      </w:r>
      <w:r w:rsidRPr="00E162C4">
        <w:t xml:space="preserve">. </w:t>
      </w:r>
    </w:p>
    <w:p w14:paraId="45BC1B80" w14:textId="77777777" w:rsidR="00D16FE3" w:rsidRPr="00A17B1B" w:rsidRDefault="00D16FE3" w:rsidP="00D16FE3">
      <w:pPr>
        <w:pStyle w:val="ACMACorporateAddresses"/>
        <w:sectPr w:rsidR="00D16FE3" w:rsidRPr="00A17B1B" w:rsidSect="005A62E5">
          <w:headerReference w:type="even" r:id="rId16"/>
          <w:headerReference w:type="default" r:id="rId17"/>
          <w:footerReference w:type="even" r:id="rId18"/>
          <w:footerReference w:type="default" r:id="rId19"/>
          <w:pgSz w:w="11906" w:h="16838" w:code="9"/>
          <w:pgMar w:top="3924" w:right="1418" w:bottom="1134" w:left="1418" w:header="709" w:footer="119" w:gutter="0"/>
          <w:cols w:space="708"/>
          <w:docGrid w:linePitch="360"/>
        </w:sectPr>
      </w:pPr>
    </w:p>
    <w:p w14:paraId="750B7B4E" w14:textId="5296EFEE" w:rsidR="007922A4" w:rsidRDefault="00562439">
      <w:pPr>
        <w:pStyle w:val="TOC1"/>
        <w:rPr>
          <w:rFonts w:asciiTheme="minorHAnsi" w:eastAsiaTheme="minorEastAsia" w:hAnsiTheme="minorHAnsi" w:cstheme="minorBidi"/>
          <w:b w:val="0"/>
          <w:spacing w:val="0"/>
          <w:kern w:val="2"/>
          <w:sz w:val="22"/>
          <w:szCs w:val="22"/>
          <w14:ligatures w14:val="standardContextual"/>
        </w:rPr>
      </w:pPr>
      <w:r>
        <w:rPr>
          <w:rFonts w:cs="Arial"/>
          <w:b w:val="0"/>
        </w:rPr>
        <w:lastRenderedPageBreak/>
        <w:fldChar w:fldCharType="begin"/>
      </w:r>
      <w:r>
        <w:rPr>
          <w:rFonts w:cs="Arial"/>
          <w:b w:val="0"/>
        </w:rPr>
        <w:instrText xml:space="preserve"> TOC \o "1-2" \h \z \t "Exec summary heading,1" </w:instrText>
      </w:r>
      <w:r>
        <w:rPr>
          <w:rFonts w:cs="Arial"/>
          <w:b w:val="0"/>
        </w:rPr>
        <w:fldChar w:fldCharType="separate"/>
      </w:r>
      <w:hyperlink w:anchor="_Toc178602470" w:history="1">
        <w:r w:rsidR="007922A4" w:rsidRPr="00072E1A">
          <w:rPr>
            <w:rStyle w:val="Hyperlink"/>
          </w:rPr>
          <w:t>Executive summary</w:t>
        </w:r>
        <w:r w:rsidR="007922A4">
          <w:rPr>
            <w:webHidden/>
          </w:rPr>
          <w:tab/>
        </w:r>
        <w:r w:rsidR="007922A4">
          <w:rPr>
            <w:webHidden/>
          </w:rPr>
          <w:fldChar w:fldCharType="begin"/>
        </w:r>
        <w:r w:rsidR="007922A4">
          <w:rPr>
            <w:webHidden/>
          </w:rPr>
          <w:instrText xml:space="preserve"> PAGEREF _Toc178602470 \h </w:instrText>
        </w:r>
        <w:r w:rsidR="007922A4">
          <w:rPr>
            <w:webHidden/>
          </w:rPr>
        </w:r>
        <w:r w:rsidR="007922A4">
          <w:rPr>
            <w:webHidden/>
          </w:rPr>
          <w:fldChar w:fldCharType="separate"/>
        </w:r>
        <w:r w:rsidR="007922A4">
          <w:rPr>
            <w:webHidden/>
          </w:rPr>
          <w:t>1</w:t>
        </w:r>
        <w:r w:rsidR="007922A4">
          <w:rPr>
            <w:webHidden/>
          </w:rPr>
          <w:fldChar w:fldCharType="end"/>
        </w:r>
      </w:hyperlink>
    </w:p>
    <w:p w14:paraId="54864743" w14:textId="47BBDB40" w:rsidR="007922A4" w:rsidRDefault="007922A4">
      <w:pPr>
        <w:pStyle w:val="TOC2"/>
        <w:rPr>
          <w:rFonts w:asciiTheme="minorHAnsi" w:eastAsiaTheme="minorEastAsia" w:hAnsiTheme="minorHAnsi" w:cstheme="minorBidi"/>
          <w:spacing w:val="0"/>
          <w:kern w:val="2"/>
          <w:sz w:val="22"/>
          <w:szCs w:val="22"/>
          <w14:ligatures w14:val="standardContextual"/>
        </w:rPr>
      </w:pPr>
      <w:hyperlink w:anchor="_Toc178602471" w:history="1">
        <w:r w:rsidRPr="00072E1A">
          <w:rPr>
            <w:rStyle w:val="Hyperlink"/>
          </w:rPr>
          <w:t>Summary of our findings</w:t>
        </w:r>
        <w:r>
          <w:rPr>
            <w:webHidden/>
          </w:rPr>
          <w:tab/>
        </w:r>
        <w:r>
          <w:rPr>
            <w:webHidden/>
          </w:rPr>
          <w:fldChar w:fldCharType="begin"/>
        </w:r>
        <w:r>
          <w:rPr>
            <w:webHidden/>
          </w:rPr>
          <w:instrText xml:space="preserve"> PAGEREF _Toc178602471 \h </w:instrText>
        </w:r>
        <w:r>
          <w:rPr>
            <w:webHidden/>
          </w:rPr>
        </w:r>
        <w:r>
          <w:rPr>
            <w:webHidden/>
          </w:rPr>
          <w:fldChar w:fldCharType="separate"/>
        </w:r>
        <w:r>
          <w:rPr>
            <w:webHidden/>
          </w:rPr>
          <w:t>2</w:t>
        </w:r>
        <w:r>
          <w:rPr>
            <w:webHidden/>
          </w:rPr>
          <w:fldChar w:fldCharType="end"/>
        </w:r>
      </w:hyperlink>
    </w:p>
    <w:p w14:paraId="3E68ACC8" w14:textId="2E27D67D" w:rsidR="007922A4" w:rsidRDefault="007922A4">
      <w:pPr>
        <w:pStyle w:val="TOC1"/>
        <w:rPr>
          <w:rFonts w:asciiTheme="minorHAnsi" w:eastAsiaTheme="minorEastAsia" w:hAnsiTheme="minorHAnsi" w:cstheme="minorBidi"/>
          <w:b w:val="0"/>
          <w:spacing w:val="0"/>
          <w:kern w:val="2"/>
          <w:sz w:val="22"/>
          <w:szCs w:val="22"/>
          <w14:ligatures w14:val="standardContextual"/>
        </w:rPr>
      </w:pPr>
      <w:hyperlink w:anchor="_Toc178602472" w:history="1">
        <w:r w:rsidRPr="00072E1A">
          <w:rPr>
            <w:rStyle w:val="Hyperlink"/>
          </w:rPr>
          <w:t>Background</w:t>
        </w:r>
        <w:r>
          <w:rPr>
            <w:webHidden/>
          </w:rPr>
          <w:tab/>
        </w:r>
        <w:r>
          <w:rPr>
            <w:webHidden/>
          </w:rPr>
          <w:fldChar w:fldCharType="begin"/>
        </w:r>
        <w:r>
          <w:rPr>
            <w:webHidden/>
          </w:rPr>
          <w:instrText xml:space="preserve"> PAGEREF _Toc178602472 \h </w:instrText>
        </w:r>
        <w:r>
          <w:rPr>
            <w:webHidden/>
          </w:rPr>
        </w:r>
        <w:r>
          <w:rPr>
            <w:webHidden/>
          </w:rPr>
          <w:fldChar w:fldCharType="separate"/>
        </w:r>
        <w:r>
          <w:rPr>
            <w:webHidden/>
          </w:rPr>
          <w:t>6</w:t>
        </w:r>
        <w:r>
          <w:rPr>
            <w:webHidden/>
          </w:rPr>
          <w:fldChar w:fldCharType="end"/>
        </w:r>
      </w:hyperlink>
    </w:p>
    <w:p w14:paraId="50B94D85" w14:textId="6000CBE3" w:rsidR="007922A4" w:rsidRDefault="007922A4">
      <w:pPr>
        <w:pStyle w:val="TOC2"/>
        <w:rPr>
          <w:rFonts w:asciiTheme="minorHAnsi" w:eastAsiaTheme="minorEastAsia" w:hAnsiTheme="minorHAnsi" w:cstheme="minorBidi"/>
          <w:spacing w:val="0"/>
          <w:kern w:val="2"/>
          <w:sz w:val="22"/>
          <w:szCs w:val="22"/>
          <w14:ligatures w14:val="standardContextual"/>
        </w:rPr>
      </w:pPr>
      <w:hyperlink w:anchor="_Toc178602473" w:history="1">
        <w:r w:rsidRPr="00072E1A">
          <w:rPr>
            <w:rStyle w:val="Hyperlink"/>
          </w:rPr>
          <w:t>Limitations</w:t>
        </w:r>
        <w:r>
          <w:rPr>
            <w:webHidden/>
          </w:rPr>
          <w:tab/>
        </w:r>
        <w:r>
          <w:rPr>
            <w:webHidden/>
          </w:rPr>
          <w:fldChar w:fldCharType="begin"/>
        </w:r>
        <w:r>
          <w:rPr>
            <w:webHidden/>
          </w:rPr>
          <w:instrText xml:space="preserve"> PAGEREF _Toc178602473 \h </w:instrText>
        </w:r>
        <w:r>
          <w:rPr>
            <w:webHidden/>
          </w:rPr>
        </w:r>
        <w:r>
          <w:rPr>
            <w:webHidden/>
          </w:rPr>
          <w:fldChar w:fldCharType="separate"/>
        </w:r>
        <w:r>
          <w:rPr>
            <w:webHidden/>
          </w:rPr>
          <w:t>7</w:t>
        </w:r>
        <w:r>
          <w:rPr>
            <w:webHidden/>
          </w:rPr>
          <w:fldChar w:fldCharType="end"/>
        </w:r>
      </w:hyperlink>
    </w:p>
    <w:p w14:paraId="6FDFD17D" w14:textId="32A84CAE" w:rsidR="007922A4" w:rsidRDefault="007922A4">
      <w:pPr>
        <w:pStyle w:val="TOC1"/>
        <w:rPr>
          <w:rFonts w:asciiTheme="minorHAnsi" w:eastAsiaTheme="minorEastAsia" w:hAnsiTheme="minorHAnsi" w:cstheme="minorBidi"/>
          <w:b w:val="0"/>
          <w:spacing w:val="0"/>
          <w:kern w:val="2"/>
          <w:sz w:val="22"/>
          <w:szCs w:val="22"/>
          <w14:ligatures w14:val="standardContextual"/>
        </w:rPr>
      </w:pPr>
      <w:hyperlink w:anchor="_Toc178602474" w:history="1">
        <w:r w:rsidRPr="00072E1A">
          <w:rPr>
            <w:rStyle w:val="Hyperlink"/>
          </w:rPr>
          <w:t>Methodology</w:t>
        </w:r>
        <w:r>
          <w:rPr>
            <w:webHidden/>
          </w:rPr>
          <w:tab/>
        </w:r>
        <w:r>
          <w:rPr>
            <w:webHidden/>
          </w:rPr>
          <w:fldChar w:fldCharType="begin"/>
        </w:r>
        <w:r>
          <w:rPr>
            <w:webHidden/>
          </w:rPr>
          <w:instrText xml:space="preserve"> PAGEREF _Toc178602474 \h </w:instrText>
        </w:r>
        <w:r>
          <w:rPr>
            <w:webHidden/>
          </w:rPr>
        </w:r>
        <w:r>
          <w:rPr>
            <w:webHidden/>
          </w:rPr>
          <w:fldChar w:fldCharType="separate"/>
        </w:r>
        <w:r>
          <w:rPr>
            <w:webHidden/>
          </w:rPr>
          <w:t>9</w:t>
        </w:r>
        <w:r>
          <w:rPr>
            <w:webHidden/>
          </w:rPr>
          <w:fldChar w:fldCharType="end"/>
        </w:r>
      </w:hyperlink>
    </w:p>
    <w:p w14:paraId="78749102" w14:textId="77A1E9EA" w:rsidR="007922A4" w:rsidRDefault="007922A4">
      <w:pPr>
        <w:pStyle w:val="TOC2"/>
        <w:rPr>
          <w:rFonts w:asciiTheme="minorHAnsi" w:eastAsiaTheme="minorEastAsia" w:hAnsiTheme="minorHAnsi" w:cstheme="minorBidi"/>
          <w:spacing w:val="0"/>
          <w:kern w:val="2"/>
          <w:sz w:val="22"/>
          <w:szCs w:val="22"/>
          <w14:ligatures w14:val="standardContextual"/>
        </w:rPr>
      </w:pPr>
      <w:hyperlink w:anchor="_Toc178602475" w:history="1">
        <w:r w:rsidRPr="00072E1A">
          <w:rPr>
            <w:rStyle w:val="Hyperlink"/>
          </w:rPr>
          <w:t>Audit sample</w:t>
        </w:r>
        <w:r>
          <w:rPr>
            <w:webHidden/>
          </w:rPr>
          <w:tab/>
        </w:r>
        <w:r>
          <w:rPr>
            <w:webHidden/>
          </w:rPr>
          <w:fldChar w:fldCharType="begin"/>
        </w:r>
        <w:r>
          <w:rPr>
            <w:webHidden/>
          </w:rPr>
          <w:instrText xml:space="preserve"> PAGEREF _Toc178602475 \h </w:instrText>
        </w:r>
        <w:r>
          <w:rPr>
            <w:webHidden/>
          </w:rPr>
        </w:r>
        <w:r>
          <w:rPr>
            <w:webHidden/>
          </w:rPr>
          <w:fldChar w:fldCharType="separate"/>
        </w:r>
        <w:r>
          <w:rPr>
            <w:webHidden/>
          </w:rPr>
          <w:t>9</w:t>
        </w:r>
        <w:r>
          <w:rPr>
            <w:webHidden/>
          </w:rPr>
          <w:fldChar w:fldCharType="end"/>
        </w:r>
      </w:hyperlink>
    </w:p>
    <w:p w14:paraId="2AEBE972" w14:textId="7228B3A2" w:rsidR="007922A4" w:rsidRDefault="007922A4">
      <w:pPr>
        <w:pStyle w:val="TOC2"/>
        <w:rPr>
          <w:rFonts w:asciiTheme="minorHAnsi" w:eastAsiaTheme="minorEastAsia" w:hAnsiTheme="minorHAnsi" w:cstheme="minorBidi"/>
          <w:spacing w:val="0"/>
          <w:kern w:val="2"/>
          <w:sz w:val="22"/>
          <w:szCs w:val="22"/>
          <w14:ligatures w14:val="standardContextual"/>
        </w:rPr>
      </w:pPr>
      <w:hyperlink w:anchor="_Toc178602476" w:history="1">
        <w:r w:rsidRPr="00072E1A">
          <w:rPr>
            <w:rStyle w:val="Hyperlink"/>
          </w:rPr>
          <w:t>Desktop audit</w:t>
        </w:r>
        <w:r>
          <w:rPr>
            <w:webHidden/>
          </w:rPr>
          <w:tab/>
        </w:r>
        <w:r>
          <w:rPr>
            <w:webHidden/>
          </w:rPr>
          <w:fldChar w:fldCharType="begin"/>
        </w:r>
        <w:r>
          <w:rPr>
            <w:webHidden/>
          </w:rPr>
          <w:instrText xml:space="preserve"> PAGEREF _Toc178602476 \h </w:instrText>
        </w:r>
        <w:r>
          <w:rPr>
            <w:webHidden/>
          </w:rPr>
        </w:r>
        <w:r>
          <w:rPr>
            <w:webHidden/>
          </w:rPr>
          <w:fldChar w:fldCharType="separate"/>
        </w:r>
        <w:r>
          <w:rPr>
            <w:webHidden/>
          </w:rPr>
          <w:t>10</w:t>
        </w:r>
        <w:r>
          <w:rPr>
            <w:webHidden/>
          </w:rPr>
          <w:fldChar w:fldCharType="end"/>
        </w:r>
      </w:hyperlink>
    </w:p>
    <w:p w14:paraId="37678DA9" w14:textId="347C7932" w:rsidR="007922A4" w:rsidRDefault="007922A4">
      <w:pPr>
        <w:pStyle w:val="TOC2"/>
        <w:rPr>
          <w:rFonts w:asciiTheme="minorHAnsi" w:eastAsiaTheme="minorEastAsia" w:hAnsiTheme="minorHAnsi" w:cstheme="minorBidi"/>
          <w:spacing w:val="0"/>
          <w:kern w:val="2"/>
          <w:sz w:val="22"/>
          <w:szCs w:val="22"/>
          <w14:ligatures w14:val="standardContextual"/>
        </w:rPr>
      </w:pPr>
      <w:hyperlink w:anchor="_Toc178602477" w:history="1">
        <w:r w:rsidRPr="00072E1A">
          <w:rPr>
            <w:rStyle w:val="Hyperlink"/>
          </w:rPr>
          <w:t>Field audit</w:t>
        </w:r>
        <w:r>
          <w:rPr>
            <w:webHidden/>
          </w:rPr>
          <w:tab/>
        </w:r>
        <w:r>
          <w:rPr>
            <w:webHidden/>
          </w:rPr>
          <w:fldChar w:fldCharType="begin"/>
        </w:r>
        <w:r>
          <w:rPr>
            <w:webHidden/>
          </w:rPr>
          <w:instrText xml:space="preserve"> PAGEREF _Toc178602477 \h </w:instrText>
        </w:r>
        <w:r>
          <w:rPr>
            <w:webHidden/>
          </w:rPr>
        </w:r>
        <w:r>
          <w:rPr>
            <w:webHidden/>
          </w:rPr>
          <w:fldChar w:fldCharType="separate"/>
        </w:r>
        <w:r>
          <w:rPr>
            <w:webHidden/>
          </w:rPr>
          <w:t>10</w:t>
        </w:r>
        <w:r>
          <w:rPr>
            <w:webHidden/>
          </w:rPr>
          <w:fldChar w:fldCharType="end"/>
        </w:r>
      </w:hyperlink>
    </w:p>
    <w:p w14:paraId="1AB25EAB" w14:textId="6B5F5DF6" w:rsidR="007922A4" w:rsidRDefault="007922A4">
      <w:pPr>
        <w:pStyle w:val="TOC1"/>
        <w:rPr>
          <w:rFonts w:asciiTheme="minorHAnsi" w:eastAsiaTheme="minorEastAsia" w:hAnsiTheme="minorHAnsi" w:cstheme="minorBidi"/>
          <w:b w:val="0"/>
          <w:spacing w:val="0"/>
          <w:kern w:val="2"/>
          <w:sz w:val="22"/>
          <w:szCs w:val="22"/>
          <w14:ligatures w14:val="standardContextual"/>
        </w:rPr>
      </w:pPr>
      <w:hyperlink w:anchor="_Toc178602478" w:history="1">
        <w:r w:rsidRPr="00072E1A">
          <w:rPr>
            <w:rStyle w:val="Hyperlink"/>
          </w:rPr>
          <w:t>Outcomes</w:t>
        </w:r>
        <w:r>
          <w:rPr>
            <w:webHidden/>
          </w:rPr>
          <w:tab/>
        </w:r>
        <w:r>
          <w:rPr>
            <w:webHidden/>
          </w:rPr>
          <w:fldChar w:fldCharType="begin"/>
        </w:r>
        <w:r>
          <w:rPr>
            <w:webHidden/>
          </w:rPr>
          <w:instrText xml:space="preserve"> PAGEREF _Toc178602478 \h </w:instrText>
        </w:r>
        <w:r>
          <w:rPr>
            <w:webHidden/>
          </w:rPr>
        </w:r>
        <w:r>
          <w:rPr>
            <w:webHidden/>
          </w:rPr>
          <w:fldChar w:fldCharType="separate"/>
        </w:r>
        <w:r>
          <w:rPr>
            <w:webHidden/>
          </w:rPr>
          <w:t>12</w:t>
        </w:r>
        <w:r>
          <w:rPr>
            <w:webHidden/>
          </w:rPr>
          <w:fldChar w:fldCharType="end"/>
        </w:r>
      </w:hyperlink>
    </w:p>
    <w:p w14:paraId="47E68A88" w14:textId="5F7AAA04" w:rsidR="007922A4" w:rsidRDefault="007922A4">
      <w:pPr>
        <w:pStyle w:val="TOC2"/>
        <w:rPr>
          <w:rFonts w:asciiTheme="minorHAnsi" w:eastAsiaTheme="minorEastAsia" w:hAnsiTheme="minorHAnsi" w:cstheme="minorBidi"/>
          <w:spacing w:val="0"/>
          <w:kern w:val="2"/>
          <w:sz w:val="22"/>
          <w:szCs w:val="22"/>
          <w14:ligatures w14:val="standardContextual"/>
        </w:rPr>
      </w:pPr>
      <w:hyperlink w:anchor="_Toc178602479" w:history="1">
        <w:r w:rsidRPr="00072E1A">
          <w:rPr>
            <w:rStyle w:val="Hyperlink"/>
          </w:rPr>
          <w:t>Desktop audit findings</w:t>
        </w:r>
        <w:r>
          <w:rPr>
            <w:webHidden/>
          </w:rPr>
          <w:tab/>
        </w:r>
        <w:r>
          <w:rPr>
            <w:webHidden/>
          </w:rPr>
          <w:fldChar w:fldCharType="begin"/>
        </w:r>
        <w:r>
          <w:rPr>
            <w:webHidden/>
          </w:rPr>
          <w:instrText xml:space="preserve"> PAGEREF _Toc178602479 \h </w:instrText>
        </w:r>
        <w:r>
          <w:rPr>
            <w:webHidden/>
          </w:rPr>
        </w:r>
        <w:r>
          <w:rPr>
            <w:webHidden/>
          </w:rPr>
          <w:fldChar w:fldCharType="separate"/>
        </w:r>
        <w:r>
          <w:rPr>
            <w:webHidden/>
          </w:rPr>
          <w:t>12</w:t>
        </w:r>
        <w:r>
          <w:rPr>
            <w:webHidden/>
          </w:rPr>
          <w:fldChar w:fldCharType="end"/>
        </w:r>
      </w:hyperlink>
    </w:p>
    <w:p w14:paraId="725D5706" w14:textId="4594BF3A" w:rsidR="007922A4" w:rsidRDefault="007922A4">
      <w:pPr>
        <w:pStyle w:val="TOC2"/>
        <w:rPr>
          <w:rFonts w:asciiTheme="minorHAnsi" w:eastAsiaTheme="minorEastAsia" w:hAnsiTheme="minorHAnsi" w:cstheme="minorBidi"/>
          <w:spacing w:val="0"/>
          <w:kern w:val="2"/>
          <w:sz w:val="22"/>
          <w:szCs w:val="22"/>
          <w14:ligatures w14:val="standardContextual"/>
        </w:rPr>
      </w:pPr>
      <w:hyperlink w:anchor="_Toc178602480" w:history="1">
        <w:r w:rsidRPr="00072E1A">
          <w:rPr>
            <w:rStyle w:val="Hyperlink"/>
          </w:rPr>
          <w:t>Field audit findings</w:t>
        </w:r>
        <w:r>
          <w:rPr>
            <w:webHidden/>
          </w:rPr>
          <w:tab/>
        </w:r>
        <w:r>
          <w:rPr>
            <w:webHidden/>
          </w:rPr>
          <w:fldChar w:fldCharType="begin"/>
        </w:r>
        <w:r>
          <w:rPr>
            <w:webHidden/>
          </w:rPr>
          <w:instrText xml:space="preserve"> PAGEREF _Toc178602480 \h </w:instrText>
        </w:r>
        <w:r>
          <w:rPr>
            <w:webHidden/>
          </w:rPr>
        </w:r>
        <w:r>
          <w:rPr>
            <w:webHidden/>
          </w:rPr>
          <w:fldChar w:fldCharType="separate"/>
        </w:r>
        <w:r>
          <w:rPr>
            <w:webHidden/>
          </w:rPr>
          <w:t>12</w:t>
        </w:r>
        <w:r>
          <w:rPr>
            <w:webHidden/>
          </w:rPr>
          <w:fldChar w:fldCharType="end"/>
        </w:r>
      </w:hyperlink>
    </w:p>
    <w:p w14:paraId="01E0764C" w14:textId="557E5111" w:rsidR="007922A4" w:rsidRDefault="007922A4">
      <w:pPr>
        <w:pStyle w:val="TOC2"/>
        <w:rPr>
          <w:rFonts w:asciiTheme="minorHAnsi" w:eastAsiaTheme="minorEastAsia" w:hAnsiTheme="minorHAnsi" w:cstheme="minorBidi"/>
          <w:spacing w:val="0"/>
          <w:kern w:val="2"/>
          <w:sz w:val="22"/>
          <w:szCs w:val="22"/>
          <w14:ligatures w14:val="standardContextual"/>
        </w:rPr>
      </w:pPr>
      <w:hyperlink w:anchor="_Toc178602481" w:history="1">
        <w:r w:rsidRPr="00072E1A">
          <w:rPr>
            <w:rStyle w:val="Hyperlink"/>
          </w:rPr>
          <w:t>Systemic issues</w:t>
        </w:r>
        <w:r>
          <w:rPr>
            <w:webHidden/>
          </w:rPr>
          <w:tab/>
        </w:r>
        <w:r>
          <w:rPr>
            <w:webHidden/>
          </w:rPr>
          <w:fldChar w:fldCharType="begin"/>
        </w:r>
        <w:r>
          <w:rPr>
            <w:webHidden/>
          </w:rPr>
          <w:instrText xml:space="preserve"> PAGEREF _Toc178602481 \h </w:instrText>
        </w:r>
        <w:r>
          <w:rPr>
            <w:webHidden/>
          </w:rPr>
        </w:r>
        <w:r>
          <w:rPr>
            <w:webHidden/>
          </w:rPr>
          <w:fldChar w:fldCharType="separate"/>
        </w:r>
        <w:r>
          <w:rPr>
            <w:webHidden/>
          </w:rPr>
          <w:t>14</w:t>
        </w:r>
        <w:r>
          <w:rPr>
            <w:webHidden/>
          </w:rPr>
          <w:fldChar w:fldCharType="end"/>
        </w:r>
      </w:hyperlink>
    </w:p>
    <w:p w14:paraId="1B26F17E" w14:textId="3A3D81A7" w:rsidR="007922A4" w:rsidRDefault="007922A4">
      <w:pPr>
        <w:pStyle w:val="TOC2"/>
        <w:rPr>
          <w:rFonts w:asciiTheme="minorHAnsi" w:eastAsiaTheme="minorEastAsia" w:hAnsiTheme="minorHAnsi" w:cstheme="minorBidi"/>
          <w:spacing w:val="0"/>
          <w:kern w:val="2"/>
          <w:sz w:val="22"/>
          <w:szCs w:val="22"/>
          <w14:ligatures w14:val="standardContextual"/>
        </w:rPr>
      </w:pPr>
      <w:hyperlink w:anchor="_Toc178602482" w:history="1">
        <w:r w:rsidRPr="00072E1A">
          <w:rPr>
            <w:rStyle w:val="Hyperlink"/>
          </w:rPr>
          <w:t>Audit trends</w:t>
        </w:r>
        <w:r>
          <w:rPr>
            <w:webHidden/>
          </w:rPr>
          <w:tab/>
        </w:r>
        <w:r>
          <w:rPr>
            <w:webHidden/>
          </w:rPr>
          <w:fldChar w:fldCharType="begin"/>
        </w:r>
        <w:r>
          <w:rPr>
            <w:webHidden/>
          </w:rPr>
          <w:instrText xml:space="preserve"> PAGEREF _Toc178602482 \h </w:instrText>
        </w:r>
        <w:r>
          <w:rPr>
            <w:webHidden/>
          </w:rPr>
        </w:r>
        <w:r>
          <w:rPr>
            <w:webHidden/>
          </w:rPr>
          <w:fldChar w:fldCharType="separate"/>
        </w:r>
        <w:r>
          <w:rPr>
            <w:webHidden/>
          </w:rPr>
          <w:t>16</w:t>
        </w:r>
        <w:r>
          <w:rPr>
            <w:webHidden/>
          </w:rPr>
          <w:fldChar w:fldCharType="end"/>
        </w:r>
      </w:hyperlink>
    </w:p>
    <w:p w14:paraId="400B24E0" w14:textId="4CD79A19" w:rsidR="007922A4" w:rsidRDefault="007922A4">
      <w:pPr>
        <w:pStyle w:val="TOC2"/>
        <w:rPr>
          <w:rFonts w:asciiTheme="minorHAnsi" w:eastAsiaTheme="minorEastAsia" w:hAnsiTheme="minorHAnsi" w:cstheme="minorBidi"/>
          <w:spacing w:val="0"/>
          <w:kern w:val="2"/>
          <w:sz w:val="22"/>
          <w:szCs w:val="22"/>
          <w14:ligatures w14:val="standardContextual"/>
        </w:rPr>
      </w:pPr>
      <w:hyperlink w:anchor="_Toc178602483" w:history="1">
        <w:r w:rsidRPr="00072E1A">
          <w:rPr>
            <w:rStyle w:val="Hyperlink"/>
          </w:rPr>
          <w:t>Industry education strategy</w:t>
        </w:r>
        <w:r>
          <w:rPr>
            <w:webHidden/>
          </w:rPr>
          <w:tab/>
        </w:r>
        <w:r>
          <w:rPr>
            <w:webHidden/>
          </w:rPr>
          <w:fldChar w:fldCharType="begin"/>
        </w:r>
        <w:r>
          <w:rPr>
            <w:webHidden/>
          </w:rPr>
          <w:instrText xml:space="preserve"> PAGEREF _Toc178602483 \h </w:instrText>
        </w:r>
        <w:r>
          <w:rPr>
            <w:webHidden/>
          </w:rPr>
        </w:r>
        <w:r>
          <w:rPr>
            <w:webHidden/>
          </w:rPr>
          <w:fldChar w:fldCharType="separate"/>
        </w:r>
        <w:r>
          <w:rPr>
            <w:webHidden/>
          </w:rPr>
          <w:t>17</w:t>
        </w:r>
        <w:r>
          <w:rPr>
            <w:webHidden/>
          </w:rPr>
          <w:fldChar w:fldCharType="end"/>
        </w:r>
      </w:hyperlink>
    </w:p>
    <w:p w14:paraId="06927567" w14:textId="479259CD" w:rsidR="007922A4" w:rsidRDefault="007922A4">
      <w:pPr>
        <w:pStyle w:val="TOC2"/>
        <w:rPr>
          <w:rFonts w:asciiTheme="minorHAnsi" w:eastAsiaTheme="minorEastAsia" w:hAnsiTheme="minorHAnsi" w:cstheme="minorBidi"/>
          <w:spacing w:val="0"/>
          <w:kern w:val="2"/>
          <w:sz w:val="22"/>
          <w:szCs w:val="22"/>
          <w14:ligatures w14:val="standardContextual"/>
        </w:rPr>
      </w:pPr>
      <w:hyperlink w:anchor="_Toc178602484" w:history="1">
        <w:r w:rsidRPr="00072E1A">
          <w:rPr>
            <w:rStyle w:val="Hyperlink"/>
          </w:rPr>
          <w:t>Next steps</w:t>
        </w:r>
        <w:r>
          <w:rPr>
            <w:webHidden/>
          </w:rPr>
          <w:tab/>
        </w:r>
        <w:r>
          <w:rPr>
            <w:webHidden/>
          </w:rPr>
          <w:fldChar w:fldCharType="begin"/>
        </w:r>
        <w:r>
          <w:rPr>
            <w:webHidden/>
          </w:rPr>
          <w:instrText xml:space="preserve"> PAGEREF _Toc178602484 \h </w:instrText>
        </w:r>
        <w:r>
          <w:rPr>
            <w:webHidden/>
          </w:rPr>
        </w:r>
        <w:r>
          <w:rPr>
            <w:webHidden/>
          </w:rPr>
          <w:fldChar w:fldCharType="separate"/>
        </w:r>
        <w:r>
          <w:rPr>
            <w:webHidden/>
          </w:rPr>
          <w:t>17</w:t>
        </w:r>
        <w:r>
          <w:rPr>
            <w:webHidden/>
          </w:rPr>
          <w:fldChar w:fldCharType="end"/>
        </w:r>
      </w:hyperlink>
    </w:p>
    <w:p w14:paraId="73E25573" w14:textId="3BAEA398" w:rsidR="004D56FF" w:rsidRPr="00A17B1B" w:rsidRDefault="00562439">
      <w:pPr>
        <w:rPr>
          <w:rFonts w:cs="Arial"/>
        </w:rPr>
        <w:sectPr w:rsidR="004D56FF" w:rsidRPr="00A17B1B" w:rsidSect="005A62E5">
          <w:headerReference w:type="even" r:id="rId20"/>
          <w:headerReference w:type="default" r:id="rId21"/>
          <w:footerReference w:type="even" r:id="rId22"/>
          <w:footerReference w:type="default" r:id="rId23"/>
          <w:footerReference w:type="first" r:id="rId24"/>
          <w:pgSz w:w="11906" w:h="16838" w:code="9"/>
          <w:pgMar w:top="1418" w:right="1418" w:bottom="1134" w:left="1418" w:header="709" w:footer="119" w:gutter="0"/>
          <w:pgNumType w:fmt="lowerRoman" w:start="3"/>
          <w:cols w:space="708"/>
          <w:titlePg/>
          <w:docGrid w:linePitch="360"/>
        </w:sectPr>
      </w:pPr>
      <w:r>
        <w:rPr>
          <w:rFonts w:cs="Arial"/>
          <w:b/>
          <w:noProof/>
          <w:spacing w:val="-14"/>
          <w:sz w:val="28"/>
        </w:rPr>
        <w:fldChar w:fldCharType="end"/>
      </w:r>
    </w:p>
    <w:p w14:paraId="4CF51962" w14:textId="77777777" w:rsidR="009D6C71" w:rsidRPr="00A17B1B" w:rsidRDefault="009D6C71" w:rsidP="009174F3">
      <w:pPr>
        <w:pStyle w:val="Execsummaryheading"/>
      </w:pPr>
      <w:bookmarkStart w:id="0" w:name="_Toc178602470"/>
      <w:r w:rsidRPr="00A17B1B">
        <w:lastRenderedPageBreak/>
        <w:t>Executive summary</w:t>
      </w:r>
      <w:bookmarkEnd w:id="0"/>
    </w:p>
    <w:p w14:paraId="59EE3839" w14:textId="77777777" w:rsidR="005E16D1" w:rsidRDefault="005E16D1" w:rsidP="005E16D1">
      <w:pPr>
        <w:pStyle w:val="Paragraph"/>
      </w:pPr>
      <w:r w:rsidRPr="00236155">
        <w:t xml:space="preserve">Low power open narrowcasting (LPON) is used for niche radio broadcasting services. </w:t>
      </w:r>
    </w:p>
    <w:p w14:paraId="22EFB7FA" w14:textId="52A6C44A" w:rsidR="005E16D1" w:rsidRDefault="78146343" w:rsidP="005E16D1">
      <w:pPr>
        <w:pStyle w:val="Paragraph"/>
      </w:pPr>
      <w:r>
        <w:t xml:space="preserve">LPON </w:t>
      </w:r>
      <w:r w:rsidR="005E16D1">
        <w:t xml:space="preserve">allows services to be delivered to specific locations or at certain times, or to be targeted to </w:t>
      </w:r>
      <w:r w:rsidR="08932228">
        <w:t xml:space="preserve">audiences representing </w:t>
      </w:r>
      <w:r w:rsidR="005E16D1">
        <w:t>special interest groups, such as tourist information, ethnic or religious programming. The Australian Communication and Media Authority (ACMA) issues LPON licences and regulates them to ensure compliance with licence conditions.</w:t>
      </w:r>
    </w:p>
    <w:p w14:paraId="594FD2AA" w14:textId="3661300E" w:rsidR="236AB37C" w:rsidRDefault="00662510" w:rsidP="2A05B3E7">
      <w:pPr>
        <w:pStyle w:val="Paragraph"/>
      </w:pPr>
      <w:hyperlink r:id="rId25" w:history="1"/>
      <w:r w:rsidR="236AB37C">
        <w:t xml:space="preserve">This report describes the outcomes of </w:t>
      </w:r>
      <w:r w:rsidR="15E3C98B">
        <w:t>a</w:t>
      </w:r>
      <w:r w:rsidR="0394C860">
        <w:t xml:space="preserve"> program that</w:t>
      </w:r>
      <w:r w:rsidR="236AB37C">
        <w:t xml:space="preserve"> </w:t>
      </w:r>
      <w:r w:rsidR="47978389">
        <w:t>audited</w:t>
      </w:r>
      <w:r w:rsidR="236AB37C">
        <w:t xml:space="preserve"> levels of compliance</w:t>
      </w:r>
      <w:r w:rsidR="1F33A1D2">
        <w:t xml:space="preserve"> by LPON licensees with </w:t>
      </w:r>
      <w:r w:rsidR="398E5C6C">
        <w:t xml:space="preserve">conditions applying to transmitter licences under the scheme in the </w:t>
      </w:r>
      <w:r w:rsidR="398E5C6C" w:rsidRPr="0011580B">
        <w:rPr>
          <w:i/>
          <w:iCs/>
        </w:rPr>
        <w:t>Radiocommunications Act</w:t>
      </w:r>
      <w:r w:rsidR="0011580B">
        <w:rPr>
          <w:i/>
          <w:iCs/>
        </w:rPr>
        <w:t xml:space="preserve"> 1992</w:t>
      </w:r>
      <w:r w:rsidR="0011580B" w:rsidRPr="02C9C7C0">
        <w:rPr>
          <w:i/>
          <w:iCs/>
        </w:rPr>
        <w:t>.</w:t>
      </w:r>
      <w:r w:rsidR="0011580B" w:rsidRPr="02C9C7C0">
        <w:rPr>
          <w:rStyle w:val="FootnoteReference"/>
          <w:i/>
          <w:iCs/>
        </w:rPr>
        <w:footnoteReference w:id="2"/>
      </w:r>
      <w:r w:rsidR="0011580B">
        <w:rPr>
          <w:i/>
          <w:iCs/>
        </w:rPr>
        <w:t xml:space="preserve"> </w:t>
      </w:r>
      <w:r w:rsidR="3408ED7A">
        <w:t xml:space="preserve">In summary, the level of compliance among audited licensees was very poor.  </w:t>
      </w:r>
    </w:p>
    <w:p w14:paraId="414A403F" w14:textId="24A5B806" w:rsidR="236AB37C" w:rsidRDefault="3408ED7A" w:rsidP="2A05B3E7">
      <w:pPr>
        <w:pStyle w:val="Paragraph"/>
      </w:pPr>
      <w:r>
        <w:t>For background</w:t>
      </w:r>
      <w:r w:rsidR="42E4D25F">
        <w:t>, i</w:t>
      </w:r>
      <w:r w:rsidR="005E16D1">
        <w:t>n June 2023</w:t>
      </w:r>
      <w:r w:rsidR="002C0802">
        <w:t>,</w:t>
      </w:r>
      <w:r w:rsidR="005E16D1">
        <w:t xml:space="preserve"> we announced LPON licence compliance as one of our </w:t>
      </w:r>
      <w:hyperlink r:id="rId26" w:history="1">
        <w:r w:rsidR="0018650E" w:rsidRPr="02C9C7C0">
          <w:rPr>
            <w:rStyle w:val="Hyperlink"/>
          </w:rPr>
          <w:t>Compliance priorities for 2023–24</w:t>
        </w:r>
      </w:hyperlink>
      <w:r w:rsidR="005E16D1">
        <w:t>, following smaller audit programs in 2022 and 2023 which identified consistently high levels of non-compliance amongst LPON licensees.</w:t>
      </w:r>
    </w:p>
    <w:p w14:paraId="7CEF0C2B" w14:textId="7FE07391" w:rsidR="005E16D1" w:rsidRPr="00B8468F" w:rsidRDefault="005E16D1" w:rsidP="1C6990DF">
      <w:pPr>
        <w:pStyle w:val="Paragraph"/>
      </w:pPr>
      <w:r>
        <w:t>For the 2023</w:t>
      </w:r>
      <w:r w:rsidR="00482C67">
        <w:t>–</w:t>
      </w:r>
      <w:r>
        <w:t xml:space="preserve">24 </w:t>
      </w:r>
      <w:r w:rsidR="00482C67">
        <w:t>c</w:t>
      </w:r>
      <w:r>
        <w:t>ompliance priority program</w:t>
      </w:r>
      <w:r w:rsidR="00482C67">
        <w:t>,</w:t>
      </w:r>
      <w:r>
        <w:t xml:space="preserve"> we expanded our audit activity by increasing the sample size to 150 </w:t>
      </w:r>
      <w:r w:rsidR="7314CD9A">
        <w:t xml:space="preserve">LPON </w:t>
      </w:r>
      <w:r>
        <w:t xml:space="preserve">licensees </w:t>
      </w:r>
      <w:r w:rsidR="409D02A1">
        <w:t>(compared with 60 in 2022</w:t>
      </w:r>
      <w:r w:rsidR="0011580B">
        <w:t>–</w:t>
      </w:r>
      <w:r w:rsidR="409D02A1">
        <w:t xml:space="preserve">23) </w:t>
      </w:r>
      <w:r>
        <w:t>and the geographic coverage to gather further information on licensee</w:t>
      </w:r>
      <w:r w:rsidR="0011580B">
        <w:t>s’</w:t>
      </w:r>
      <w:r>
        <w:t xml:space="preserve"> compliance with licence conditions and market practices which may be driving compliance levels. </w:t>
      </w:r>
    </w:p>
    <w:p w14:paraId="5FDB3648" w14:textId="40752EFD" w:rsidR="005E16D1" w:rsidRPr="00B8468F" w:rsidRDefault="005E16D1" w:rsidP="007922A4">
      <w:pPr>
        <w:pStyle w:val="Paragraphbeforelist"/>
      </w:pPr>
      <w:r>
        <w:t xml:space="preserve">This </w:t>
      </w:r>
      <w:r w:rsidR="22A35762">
        <w:t xml:space="preserve">latest </w:t>
      </w:r>
      <w:r>
        <w:t>audit aimed to:</w:t>
      </w:r>
    </w:p>
    <w:p w14:paraId="77BE5506" w14:textId="6232D5D6" w:rsidR="005E16D1" w:rsidRPr="00B8468F" w:rsidRDefault="005E16D1" w:rsidP="002B2F58">
      <w:pPr>
        <w:pStyle w:val="Bulletlevel1"/>
      </w:pPr>
      <w:r>
        <w:t>t</w:t>
      </w:r>
      <w:r w:rsidRPr="00B8468F">
        <w:t xml:space="preserve">est licensee understanding of regulatory </w:t>
      </w:r>
      <w:proofErr w:type="gramStart"/>
      <w:r w:rsidRPr="00B8468F">
        <w:t>requirements</w:t>
      </w:r>
      <w:proofErr w:type="gramEnd"/>
    </w:p>
    <w:p w14:paraId="5BD0C475" w14:textId="53425F2A" w:rsidR="005E16D1" w:rsidRPr="00B8468F" w:rsidRDefault="005E16D1" w:rsidP="002B2F58">
      <w:pPr>
        <w:pStyle w:val="Bulletlevel1"/>
      </w:pPr>
      <w:r>
        <w:t>a</w:t>
      </w:r>
      <w:r w:rsidRPr="00B8468F">
        <w:t xml:space="preserve">ssess licensee compliance with licence </w:t>
      </w:r>
      <w:proofErr w:type="gramStart"/>
      <w:r w:rsidRPr="00B8468F">
        <w:t>conditions</w:t>
      </w:r>
      <w:proofErr w:type="gramEnd"/>
    </w:p>
    <w:p w14:paraId="730DB150" w14:textId="3449A1BB" w:rsidR="005E16D1" w:rsidRPr="00B8468F" w:rsidRDefault="005E16D1" w:rsidP="002B2F58">
      <w:pPr>
        <w:pStyle w:val="Bulletlevel1"/>
      </w:pPr>
      <w:r w:rsidRPr="00B8468F">
        <w:t>educat</w:t>
      </w:r>
      <w:r>
        <w:t>e</w:t>
      </w:r>
      <w:r w:rsidRPr="00B8468F">
        <w:t xml:space="preserve"> industry to minimise public </w:t>
      </w:r>
      <w:proofErr w:type="gramStart"/>
      <w:r w:rsidRPr="00B8468F">
        <w:t>detriment</w:t>
      </w:r>
      <w:proofErr w:type="gramEnd"/>
    </w:p>
    <w:p w14:paraId="6F585115" w14:textId="07CE43C0" w:rsidR="005E16D1" w:rsidRDefault="005E16D1" w:rsidP="002B2F58">
      <w:pPr>
        <w:pStyle w:val="Bulletlevel1"/>
      </w:pPr>
      <w:r>
        <w:t>explore potential concerns about LPON licensees</w:t>
      </w:r>
      <w:r w:rsidR="3B81E235">
        <w:t>’</w:t>
      </w:r>
      <w:r>
        <w:t xml:space="preserve"> </w:t>
      </w:r>
      <w:proofErr w:type="gramStart"/>
      <w:r>
        <w:t>practices</w:t>
      </w:r>
      <w:proofErr w:type="gramEnd"/>
    </w:p>
    <w:p w14:paraId="2A2B78C2" w14:textId="77777777" w:rsidR="005E16D1" w:rsidRDefault="005E16D1" w:rsidP="002B2F58">
      <w:pPr>
        <w:pStyle w:val="Bulletlevel1last"/>
      </w:pPr>
      <w:r>
        <w:t xml:space="preserve">analyse trends </w:t>
      </w:r>
      <w:r w:rsidRPr="00482C67">
        <w:t>in</w:t>
      </w:r>
      <w:r>
        <w:t xml:space="preserve"> LPON compliance.</w:t>
      </w:r>
    </w:p>
    <w:p w14:paraId="6BA80508" w14:textId="77777777" w:rsidR="005E16D1" w:rsidRDefault="005E16D1" w:rsidP="00482C67">
      <w:pPr>
        <w:pStyle w:val="Figureheading"/>
        <w:spacing w:line="240" w:lineRule="atLeast"/>
      </w:pPr>
      <w:r w:rsidRPr="00CD5B51">
        <w:lastRenderedPageBreak/>
        <w:t>Components of our LPON audit program</w:t>
      </w:r>
    </w:p>
    <w:p w14:paraId="53C26D75" w14:textId="77777777" w:rsidR="005E16D1" w:rsidRDefault="005E16D1" w:rsidP="00482C67">
      <w:pPr>
        <w:pStyle w:val="Paragraphbeforelist"/>
        <w:keepNext/>
        <w:keepLines/>
        <w:spacing w:after="0"/>
      </w:pPr>
      <w:r w:rsidRPr="00D85C76">
        <w:rPr>
          <w:noProof/>
          <w:sz w:val="6"/>
          <w:szCs w:val="10"/>
        </w:rPr>
        <w:drawing>
          <wp:inline distT="0" distB="0" distL="0" distR="0" wp14:anchorId="3C1D8C16" wp14:editId="54940128">
            <wp:extent cx="4871085" cy="1247775"/>
            <wp:effectExtent l="0" t="0" r="43815" b="28575"/>
            <wp:docPr id="19" name="Diagram 19" descr="Components of our 2020–21 compliance programs: 1. Measurement program. 2. Deployment code audit. 3. Licence condition audi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7D5939C" w14:textId="0F09D4CD" w:rsidR="1D0EDD05" w:rsidRDefault="1D0EDD05" w:rsidP="007922A4">
      <w:pPr>
        <w:pStyle w:val="Paragraph"/>
        <w:keepNext/>
        <w:keepLines/>
      </w:pPr>
      <w:r>
        <w:br/>
      </w:r>
      <w:r>
        <w:t xml:space="preserve">The reason </w:t>
      </w:r>
      <w:r w:rsidR="5F0D4798">
        <w:t>for the focus on</w:t>
      </w:r>
      <w:r>
        <w:t xml:space="preserve"> LPON licence compliance as a compliance priority is that Australia’s spectrum management framework relies on the careful planning and coordination of radiocommunications services. The effective management of spectrum is important for a range of public interest reasons, including public safety, defence, national security, and for local communities, who rely on the use of the spectrum. </w:t>
      </w:r>
    </w:p>
    <w:p w14:paraId="0D18ED19" w14:textId="7431F62E" w:rsidR="1D0EDD05" w:rsidRDefault="1D0EDD05" w:rsidP="007922A4">
      <w:pPr>
        <w:pStyle w:val="Paragraph"/>
        <w:keepNext/>
        <w:keepLines/>
      </w:pPr>
      <w:r>
        <w:t xml:space="preserve">Significant non-compliance such as that identified with LPON licensees in ACMA audits creates risks to the efficient and effective use of spectrum, including the risk of causing interference to other radiocommunications services.   </w:t>
      </w:r>
    </w:p>
    <w:p w14:paraId="0AA42DC7" w14:textId="07356ADB" w:rsidR="4183A584" w:rsidRDefault="4183A584" w:rsidP="007922A4">
      <w:pPr>
        <w:pStyle w:val="Paragraph"/>
        <w:keepNext/>
        <w:keepLines/>
      </w:pPr>
      <w:r>
        <w:t>Drawing upon the learnings from all the audit work and particularly the most recent audit in 2023</w:t>
      </w:r>
      <w:r w:rsidR="0011580B">
        <w:t>–</w:t>
      </w:r>
      <w:r>
        <w:t>24, w</w:t>
      </w:r>
      <w:r w:rsidR="1D0EDD05">
        <w:t xml:space="preserve">e are taking immediate steps to address </w:t>
      </w:r>
      <w:r w:rsidR="08B68309">
        <w:t>these issues of persistent non-compliance with the LPON sector</w:t>
      </w:r>
      <w:r w:rsidR="4CBFDB07">
        <w:t>, as described in this report</w:t>
      </w:r>
      <w:r w:rsidR="08B68309">
        <w:t xml:space="preserve">. </w:t>
      </w:r>
    </w:p>
    <w:p w14:paraId="1C81E618" w14:textId="02B1F590" w:rsidR="005E16D1" w:rsidRPr="00A55532" w:rsidRDefault="0011580B" w:rsidP="005E16D1">
      <w:pPr>
        <w:pStyle w:val="Heading2"/>
        <w:rPr>
          <w:rStyle w:val="normaltextrun"/>
        </w:rPr>
      </w:pPr>
      <w:bookmarkStart w:id="1" w:name="_Toc168578727"/>
      <w:bookmarkStart w:id="2" w:name="_Toc178602471"/>
      <w:r>
        <w:rPr>
          <w:rStyle w:val="normaltextrun"/>
        </w:rPr>
        <w:t>Summary of o</w:t>
      </w:r>
      <w:r w:rsidRPr="02C9C7C0">
        <w:rPr>
          <w:rStyle w:val="normaltextrun"/>
        </w:rPr>
        <w:t xml:space="preserve">ur </w:t>
      </w:r>
      <w:r w:rsidR="005E16D1" w:rsidRPr="02C9C7C0">
        <w:rPr>
          <w:rStyle w:val="normaltextrun"/>
        </w:rPr>
        <w:t>findings</w:t>
      </w:r>
      <w:bookmarkEnd w:id="1"/>
      <w:bookmarkEnd w:id="2"/>
    </w:p>
    <w:p w14:paraId="3FD0170E" w14:textId="0A23F805" w:rsidR="005E16D1" w:rsidRPr="00CD5B51" w:rsidRDefault="005E16D1" w:rsidP="005E16D1">
      <w:pPr>
        <w:pStyle w:val="Heading3"/>
      </w:pPr>
      <w:bookmarkStart w:id="3" w:name="_Toc168578729"/>
      <w:r>
        <w:t xml:space="preserve">Audit </w:t>
      </w:r>
      <w:bookmarkEnd w:id="3"/>
      <w:proofErr w:type="gramStart"/>
      <w:r w:rsidR="00521E27">
        <w:t>findings</w:t>
      </w:r>
      <w:proofErr w:type="gramEnd"/>
    </w:p>
    <w:p w14:paraId="56807AFE" w14:textId="0C58D897" w:rsidR="005E16D1" w:rsidRDefault="66EE815A" w:rsidP="02C9C7C0">
      <w:pPr>
        <w:pStyle w:val="Paragraph"/>
        <w:keepNext/>
        <w:keepLines/>
      </w:pPr>
      <w:r>
        <w:t>As noted, and c</w:t>
      </w:r>
      <w:r w:rsidR="005E16D1">
        <w:t>onsistent with previous audit findings, we found significant non-compliance with licence conditions</w:t>
      </w:r>
      <w:r w:rsidR="5EF5E51A">
        <w:t xml:space="preserve"> by LPON licensees</w:t>
      </w:r>
      <w:r w:rsidR="005E16D1">
        <w:t>. We also found evidence of systemic non-compliance issues which are undermining the licensing framework and planning models.</w:t>
      </w:r>
    </w:p>
    <w:p w14:paraId="16E44E24" w14:textId="570B4755" w:rsidR="005E16D1" w:rsidRDefault="005E16D1" w:rsidP="02C9C7C0">
      <w:pPr>
        <w:pStyle w:val="Paragraph"/>
        <w:keepNext/>
        <w:keepLines/>
      </w:pPr>
      <w:r>
        <w:t xml:space="preserve">Of the audited licences, 83% were found to be non-compliant with at least one licence condition. </w:t>
      </w:r>
      <w:r w:rsidR="14B7952A">
        <w:t>In ‘metro’ areas (</w:t>
      </w:r>
      <w:r w:rsidR="0011580B">
        <w:t xml:space="preserve">that is, </w:t>
      </w:r>
      <w:r w:rsidR="14B7952A">
        <w:t>within 50</w:t>
      </w:r>
      <w:r w:rsidR="0011580B">
        <w:t xml:space="preserve"> </w:t>
      </w:r>
      <w:r w:rsidR="14B7952A">
        <w:t>km of a state capital city), no audited licensees were compliant with all their licence conditions</w:t>
      </w:r>
      <w:r w:rsidR="0011580B">
        <w:t xml:space="preserve">, </w:t>
      </w:r>
      <w:r w:rsidR="14B7952A">
        <w:t xml:space="preserve">with only </w:t>
      </w:r>
      <w:r w:rsidR="72C73578">
        <w:t xml:space="preserve">17% of audited licensees in regional areas being fully compliant.   </w:t>
      </w:r>
    </w:p>
    <w:p w14:paraId="0BC1F074" w14:textId="35E45BDD" w:rsidR="005E16D1" w:rsidRDefault="72C73578" w:rsidP="0011580B">
      <w:pPr>
        <w:pStyle w:val="Bulletlevel1last"/>
        <w:widowControl w:val="0"/>
        <w:numPr>
          <w:ilvl w:val="0"/>
          <w:numId w:val="0"/>
        </w:numPr>
      </w:pPr>
      <w:r>
        <w:t xml:space="preserve">That said, </w:t>
      </w:r>
      <w:r w:rsidR="005E16D1">
        <w:t xml:space="preserve">the </w:t>
      </w:r>
      <w:r w:rsidR="17A0245E">
        <w:t xml:space="preserve">overall </w:t>
      </w:r>
      <w:r w:rsidR="005E16D1">
        <w:t xml:space="preserve">non-compliance level </w:t>
      </w:r>
      <w:r w:rsidR="70A2C733">
        <w:t>of</w:t>
      </w:r>
      <w:r w:rsidR="3AAD65F3">
        <w:t xml:space="preserve"> 83% </w:t>
      </w:r>
      <w:r w:rsidR="005E16D1">
        <w:t xml:space="preserve">was 11% lower than the previous audit findings, potentially indicating that the previous audits </w:t>
      </w:r>
      <w:r w:rsidR="0DBC38B9">
        <w:t xml:space="preserve">may </w:t>
      </w:r>
      <w:r w:rsidR="005E16D1">
        <w:t>have had a small impact on compliance levels</w:t>
      </w:r>
      <w:r w:rsidR="67816C47">
        <w:t>, at least in regional areas</w:t>
      </w:r>
      <w:r w:rsidR="005E16D1">
        <w:t xml:space="preserve">. </w:t>
      </w:r>
    </w:p>
    <w:p w14:paraId="2C1F4600" w14:textId="0921AB4E" w:rsidR="0002789D" w:rsidRPr="00FD7EF2" w:rsidRDefault="210A904C" w:rsidP="2A05B3E7">
      <w:pPr>
        <w:pStyle w:val="Figureheading"/>
        <w:numPr>
          <w:ilvl w:val="0"/>
          <w:numId w:val="0"/>
        </w:numPr>
      </w:pPr>
      <w:r w:rsidRPr="0002789D">
        <w:lastRenderedPageBreak/>
        <w:t xml:space="preserve">Figure 2: </w:t>
      </w:r>
      <w:r w:rsidR="0002789D" w:rsidRPr="0002789D">
        <w:t>Percentage of LPON licence condition non-compliance by type 2023</w:t>
      </w:r>
      <w:r w:rsidR="0002789D">
        <w:t>–</w:t>
      </w:r>
      <w:r w:rsidR="0002789D" w:rsidRPr="0002789D">
        <w:t>24</w:t>
      </w:r>
      <w:r w:rsidR="009B30F8">
        <w:rPr>
          <w:rStyle w:val="FootnoteReference"/>
        </w:rPr>
        <w:footnoteReference w:id="3"/>
      </w:r>
    </w:p>
    <w:p w14:paraId="67DBD697" w14:textId="77777777" w:rsidR="005E16D1" w:rsidRDefault="005E16D1" w:rsidP="0002789D">
      <w:pPr>
        <w:pStyle w:val="Paragraph"/>
      </w:pPr>
      <w:r>
        <w:rPr>
          <w:noProof/>
        </w:rPr>
        <w:drawing>
          <wp:inline distT="0" distB="0" distL="0" distR="0" wp14:anchorId="4CFD3B37" wp14:editId="00B212C0">
            <wp:extent cx="4871085" cy="2841625"/>
            <wp:effectExtent l="0" t="0" r="571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C45863" w14:textId="3680BBA7" w:rsidR="005E16D1" w:rsidRPr="0011580B" w:rsidRDefault="005E16D1" w:rsidP="0011580B">
      <w:pPr>
        <w:pStyle w:val="Paragraph"/>
      </w:pPr>
      <w:r w:rsidRPr="0011580B">
        <w:t xml:space="preserve">Figure 2 displays the different types of non-compliance found during the </w:t>
      </w:r>
      <w:r w:rsidR="0002789D" w:rsidRPr="0011580B">
        <w:t>a</w:t>
      </w:r>
      <w:r w:rsidRPr="0011580B">
        <w:t xml:space="preserve">udit. Findings also indicated multiple instances of clustering and </w:t>
      </w:r>
      <w:r w:rsidRPr="007922A4">
        <w:t>licence</w:t>
      </w:r>
      <w:r w:rsidRPr="0011580B">
        <w:t xml:space="preserve"> hoarding. </w:t>
      </w:r>
    </w:p>
    <w:p w14:paraId="427FBFA2" w14:textId="66A6AC3E" w:rsidR="005E16D1" w:rsidRDefault="005E16D1" w:rsidP="005E16D1">
      <w:pPr>
        <w:pStyle w:val="Paragraph"/>
      </w:pPr>
      <w:r>
        <w:t xml:space="preserve">The most frequent non-compliance identified was breaches of the </w:t>
      </w:r>
      <w:r w:rsidR="5E3CF6FB">
        <w:t>‘use it or lose it’ (</w:t>
      </w:r>
      <w:r w:rsidRPr="007922A4">
        <w:t>UIOLI</w:t>
      </w:r>
      <w:r w:rsidR="5CE302FE">
        <w:t>)</w:t>
      </w:r>
      <w:r>
        <w:t xml:space="preserve"> condition, often associated with practices such as clustering and networking</w:t>
      </w:r>
      <w:r w:rsidR="0011580B">
        <w:t>.</w:t>
      </w:r>
      <w:r w:rsidRPr="2A05B3E7">
        <w:rPr>
          <w:rStyle w:val="FootnoteReference"/>
        </w:rPr>
        <w:footnoteReference w:id="4"/>
      </w:r>
      <w:r>
        <w:t xml:space="preserve"> </w:t>
      </w:r>
      <w:r w:rsidR="0FB4D26E">
        <w:t xml:space="preserve">This </w:t>
      </w:r>
      <w:r>
        <w:t xml:space="preserve">was </w:t>
      </w:r>
      <w:proofErr w:type="gramStart"/>
      <w:r>
        <w:t>most commonly found</w:t>
      </w:r>
      <w:proofErr w:type="gramEnd"/>
      <w:r>
        <w:t xml:space="preserve"> in licensees with substantial numbers of LPON licences.</w:t>
      </w:r>
    </w:p>
    <w:p w14:paraId="39E77275" w14:textId="737FE51B" w:rsidR="005E16D1" w:rsidRDefault="005E16D1" w:rsidP="005E16D1">
      <w:pPr>
        <w:pStyle w:val="Paragraph"/>
      </w:pPr>
      <w:r>
        <w:t>Given the high proportion of non-compliance identified in the audit sample, it is difficult to identify common threads of compliance</w:t>
      </w:r>
      <w:r w:rsidR="000C6B95">
        <w:t>.</w:t>
      </w:r>
      <w:r>
        <w:t xml:space="preserve"> </w:t>
      </w:r>
      <w:r w:rsidR="000C6B95">
        <w:t xml:space="preserve">However, </w:t>
      </w:r>
      <w:r>
        <w:t>across the data set</w:t>
      </w:r>
      <w:r w:rsidR="000C6B95">
        <w:t>,</w:t>
      </w:r>
      <w:r>
        <w:t xml:space="preserve"> it appears that the licensees with less than 10 licences were more likely to be compliant. </w:t>
      </w:r>
      <w:r w:rsidR="6CE4317B">
        <w:t xml:space="preserve">LPON licenses in </w:t>
      </w:r>
      <w:r w:rsidR="37A8E330">
        <w:t>r</w:t>
      </w:r>
      <w:r>
        <w:t>egional locat</w:t>
      </w:r>
      <w:r w:rsidR="69435AA8">
        <w:t>ions</w:t>
      </w:r>
      <w:r>
        <w:rPr>
          <w:rStyle w:val="FootnoteReference"/>
        </w:rPr>
        <w:footnoteReference w:id="5"/>
      </w:r>
      <w:r>
        <w:t xml:space="preserve"> also had a higher compliance rate. </w:t>
      </w:r>
    </w:p>
    <w:p w14:paraId="17603E89" w14:textId="34CC8C8E" w:rsidR="005E16D1" w:rsidRDefault="005E16D1" w:rsidP="005E16D1">
      <w:pPr>
        <w:pStyle w:val="Paragraph"/>
      </w:pPr>
      <w:r>
        <w:t>In almost all instances</w:t>
      </w:r>
      <w:r w:rsidR="000C6B95">
        <w:t>,</w:t>
      </w:r>
      <w:r>
        <w:t xml:space="preserve"> field audits revealed non-compliance in the form of evidence indicating a breach of the UIOLI condition, or an overpowered transmitter. The average measured field strength for transmitters was found to be significantly</w:t>
      </w:r>
      <w:r w:rsidDel="00855B85">
        <w:t xml:space="preserve"> </w:t>
      </w:r>
      <w:r>
        <w:t xml:space="preserve">more than the permitted level of 48 </w:t>
      </w:r>
      <w:r w:rsidRPr="1BBAC0B5">
        <w:t>decibels microvolt per metre squared</w:t>
      </w:r>
      <w:r>
        <w:t xml:space="preserve"> (</w:t>
      </w:r>
      <w:proofErr w:type="spellStart"/>
      <w:r>
        <w:t>dBµV</w:t>
      </w:r>
      <w:proofErr w:type="spellEnd"/>
      <w:r>
        <w:t>/m</w:t>
      </w:r>
      <w:r>
        <w:rPr>
          <w:vertAlign w:val="superscript"/>
        </w:rPr>
        <w:t>2</w:t>
      </w:r>
      <w:r>
        <w:t>).</w:t>
      </w:r>
      <w:r>
        <w:rPr>
          <w:rStyle w:val="FootnoteReference"/>
        </w:rPr>
        <w:footnoteReference w:id="6"/>
      </w:r>
      <w:r w:rsidR="378332C2" w:rsidRPr="02C9C7C0">
        <w:rPr>
          <w:rStyle w:val="FootnoteReference"/>
        </w:rPr>
        <w:t xml:space="preserve"> </w:t>
      </w:r>
    </w:p>
    <w:p w14:paraId="6D6BC599" w14:textId="7804434F" w:rsidR="005E16D1" w:rsidRDefault="10E88BD7" w:rsidP="005E16D1">
      <w:pPr>
        <w:pStyle w:val="Paragraph"/>
      </w:pPr>
      <w:r w:rsidRPr="0011580B">
        <w:t>The ACMA is concerned that only 30</w:t>
      </w:r>
      <w:r w:rsidR="4870FA3B" w:rsidRPr="0011580B">
        <w:t xml:space="preserve">% of </w:t>
      </w:r>
      <w:r w:rsidRPr="0011580B">
        <w:t xml:space="preserve">licences </w:t>
      </w:r>
      <w:r w:rsidR="1122CCBF" w:rsidRPr="0011580B">
        <w:t xml:space="preserve">measured during field audits were operating at </w:t>
      </w:r>
      <w:r w:rsidRPr="0011580B">
        <w:t>a compliant field strength</w:t>
      </w:r>
      <w:r w:rsidR="3EC3233B" w:rsidRPr="0011580B">
        <w:t xml:space="preserve">, with </w:t>
      </w:r>
      <w:proofErr w:type="gramStart"/>
      <w:r w:rsidR="3EC3233B" w:rsidRPr="0011580B">
        <w:t>a number of</w:t>
      </w:r>
      <w:proofErr w:type="gramEnd"/>
      <w:r w:rsidR="3EC3233B" w:rsidRPr="0011580B">
        <w:t xml:space="preserve"> licensees operating at 20 times the permitted level. This </w:t>
      </w:r>
      <w:r>
        <w:t>represents a high risk of interference to other LPON stations and in some instances other spectrum</w:t>
      </w:r>
      <w:r w:rsidR="000527B7">
        <w:t>.</w:t>
      </w:r>
    </w:p>
    <w:p w14:paraId="0F51A297" w14:textId="4BD5A86D" w:rsidR="005806A0" w:rsidRDefault="6629FC0B" w:rsidP="0011580B">
      <w:pPr>
        <w:pStyle w:val="Paragraph"/>
        <w:keepNext/>
        <w:keepLines/>
      </w:pPr>
      <w:r>
        <w:lastRenderedPageBreak/>
        <w:t>In response to these findings, t</w:t>
      </w:r>
      <w:r w:rsidR="005806A0">
        <w:t xml:space="preserve">hroughout the audits, where possible </w:t>
      </w:r>
      <w:r w:rsidR="46B7B845">
        <w:t xml:space="preserve">and as issues were identified, </w:t>
      </w:r>
      <w:r w:rsidR="005806A0">
        <w:t xml:space="preserve">we worked with LPON licensees to encourage voluntary compliance and informal resolution of minor concerns and potential non-compliance – including through direct communications and publishing guidance material. </w:t>
      </w:r>
    </w:p>
    <w:p w14:paraId="39EA9E16" w14:textId="232AA4B6" w:rsidR="005806A0" w:rsidRDefault="0011580B" w:rsidP="005806A0">
      <w:pPr>
        <w:pStyle w:val="Paragraph"/>
      </w:pPr>
      <w:r>
        <w:t>W</w:t>
      </w:r>
      <w:r w:rsidR="00094E36">
        <w:t xml:space="preserve">e will also be working with </w:t>
      </w:r>
      <w:proofErr w:type="gramStart"/>
      <w:r w:rsidR="00094E36">
        <w:t>the majority of</w:t>
      </w:r>
      <w:proofErr w:type="gramEnd"/>
      <w:r w:rsidR="00094E36">
        <w:t xml:space="preserve"> licensees from the recent audit to remedy instances of</w:t>
      </w:r>
      <w:r w:rsidR="457812EC">
        <w:t xml:space="preserve"> more </w:t>
      </w:r>
      <w:proofErr w:type="spellStart"/>
      <w:r w:rsidR="457812EC">
        <w:t>subtstantial</w:t>
      </w:r>
      <w:proofErr w:type="spellEnd"/>
      <w:r w:rsidR="00094E36">
        <w:t xml:space="preserve"> non-compliance identified </w:t>
      </w:r>
      <w:r w:rsidR="001F42E0">
        <w:t>during the audit</w:t>
      </w:r>
      <w:r w:rsidR="00094E36">
        <w:t>.</w:t>
      </w:r>
      <w:r w:rsidR="0533F954">
        <w:t xml:space="preserve">   </w:t>
      </w:r>
    </w:p>
    <w:p w14:paraId="125C6342" w14:textId="2FE330A6" w:rsidR="0533F954" w:rsidRDefault="0533F954" w:rsidP="1C6990DF">
      <w:pPr>
        <w:pStyle w:val="Paragraph"/>
      </w:pPr>
      <w:r>
        <w:t>Consistent with our policy of graduated enforcement, in the first instance we will expect the licensees to co-operate and take active steps to come into compliance.</w:t>
      </w:r>
    </w:p>
    <w:p w14:paraId="78BF8F5A" w14:textId="35FD99F5" w:rsidR="005806A0" w:rsidRDefault="007668A0" w:rsidP="005806A0">
      <w:pPr>
        <w:pStyle w:val="Paragraph"/>
      </w:pPr>
      <w:r>
        <w:t xml:space="preserve">However, </w:t>
      </w:r>
      <w:r w:rsidR="00E35B8B">
        <w:t xml:space="preserve">where the seriousness of the </w:t>
      </w:r>
      <w:r w:rsidR="00913BEA">
        <w:t>breaches warrants</w:t>
      </w:r>
      <w:r w:rsidR="3D947645">
        <w:t>,</w:t>
      </w:r>
      <w:r>
        <w:t xml:space="preserve"> or where licensees are unwilling to comply with</w:t>
      </w:r>
      <w:r w:rsidR="005D5554">
        <w:t xml:space="preserve"> legislative </w:t>
      </w:r>
      <w:r w:rsidR="00913BEA">
        <w:t>obligations,</w:t>
      </w:r>
      <w:r w:rsidR="005D5554">
        <w:t xml:space="preserve"> </w:t>
      </w:r>
      <w:r w:rsidR="00913BEA">
        <w:t xml:space="preserve">we will </w:t>
      </w:r>
      <w:r w:rsidR="00CA7EBD">
        <w:t>use our formal</w:t>
      </w:r>
      <w:r w:rsidR="2A7BD5BB">
        <w:t xml:space="preserve"> powers</w:t>
      </w:r>
      <w:r w:rsidR="667040D1">
        <w:t xml:space="preserve"> as appropriate</w:t>
      </w:r>
      <w:r w:rsidR="2A7BD5BB">
        <w:t xml:space="preserve"> (</w:t>
      </w:r>
      <w:r w:rsidR="6DE389FF">
        <w:t xml:space="preserve">including </w:t>
      </w:r>
      <w:r w:rsidR="00CA7EBD">
        <w:t>investigative</w:t>
      </w:r>
      <w:r w:rsidR="31C05295">
        <w:t xml:space="preserve"> and</w:t>
      </w:r>
      <w:r w:rsidR="00CA7EBD">
        <w:t xml:space="preserve"> administrative</w:t>
      </w:r>
      <w:r w:rsidR="70D01787">
        <w:t xml:space="preserve"> powers, and</w:t>
      </w:r>
      <w:r w:rsidR="4D97E421">
        <w:t xml:space="preserve"> powers to enforce</w:t>
      </w:r>
      <w:r w:rsidR="00CA7EBD">
        <w:t xml:space="preserve"> civil and criminal </w:t>
      </w:r>
      <w:r w:rsidR="52FFC2CF">
        <w:t>penalties in court)</w:t>
      </w:r>
      <w:r w:rsidR="00CA7EBD">
        <w:t xml:space="preserve"> </w:t>
      </w:r>
      <w:r w:rsidR="00913BEA">
        <w:t>to ensure the integrity of the licensing system and manage the risk of harms.</w:t>
      </w:r>
      <w:r w:rsidR="0011580B">
        <w:t xml:space="preserve"> </w:t>
      </w:r>
      <w:r w:rsidR="20B24424">
        <w:t>An example of recent enforcement action is illustrated below.</w:t>
      </w:r>
    </w:p>
    <w:p w14:paraId="27279924" w14:textId="7EAFF755" w:rsidR="000527B7" w:rsidRDefault="000527B7" w:rsidP="007922A4">
      <w:pPr>
        <w:pStyle w:val="Heading3"/>
        <w:pBdr>
          <w:top w:val="single" w:sz="4" w:space="1" w:color="auto"/>
          <w:left w:val="single" w:sz="4" w:space="1" w:color="auto"/>
          <w:bottom w:val="single" w:sz="4" w:space="1" w:color="auto"/>
          <w:right w:val="single" w:sz="4" w:space="1" w:color="auto"/>
        </w:pBdr>
        <w:shd w:val="clear" w:color="auto" w:fill="D3E5E6" w:themeFill="accent6"/>
      </w:pPr>
      <w:r>
        <w:t xml:space="preserve">Court proceedings against </w:t>
      </w:r>
      <w:proofErr w:type="spellStart"/>
      <w:r>
        <w:t>Phaze</w:t>
      </w:r>
      <w:proofErr w:type="spellEnd"/>
      <w:r>
        <w:t xml:space="preserve"> FM</w:t>
      </w:r>
    </w:p>
    <w:p w14:paraId="3A6CAB75" w14:textId="5E8ECBA6" w:rsidR="005F685F" w:rsidRPr="007922A4" w:rsidRDefault="005F685F" w:rsidP="007922A4">
      <w:pPr>
        <w:pStyle w:val="Paragraph"/>
        <w:pBdr>
          <w:top w:val="single" w:sz="4" w:space="1" w:color="auto"/>
          <w:left w:val="single" w:sz="4" w:space="1" w:color="auto"/>
          <w:bottom w:val="single" w:sz="4" w:space="1" w:color="auto"/>
          <w:right w:val="single" w:sz="4" w:space="1" w:color="auto"/>
        </w:pBdr>
        <w:shd w:val="clear" w:color="auto" w:fill="D3E5E6" w:themeFill="accent6"/>
      </w:pPr>
      <w:r w:rsidRPr="007922A4">
        <w:t>Following an investigation in July 2023</w:t>
      </w:r>
      <w:r w:rsidR="000527B7" w:rsidRPr="007922A4">
        <w:t>,</w:t>
      </w:r>
      <w:r w:rsidRPr="007922A4">
        <w:t xml:space="preserve"> the ACMA initiated court proceedings against </w:t>
      </w:r>
      <w:proofErr w:type="spellStart"/>
      <w:r w:rsidRPr="007922A4">
        <w:t>Phaze</w:t>
      </w:r>
      <w:proofErr w:type="spellEnd"/>
      <w:r w:rsidRPr="007922A4">
        <w:t xml:space="preserve"> FM for breaching its low power open narrowcasting licence by operating radiocommunications transmitters from an unlicensed address in Ballarat, Victoria. A person operating an LPON service must do so only as authorised by their licence, which includes only transmitting from the location listed in their licence</w:t>
      </w:r>
      <w:r w:rsidR="00F6458F" w:rsidRPr="007922A4">
        <w:t>.</w:t>
      </w:r>
      <w:r w:rsidRPr="000527B7">
        <w:t xml:space="preserve"> </w:t>
      </w:r>
    </w:p>
    <w:p w14:paraId="49F7A14F" w14:textId="5D081C8D" w:rsidR="00513BCA" w:rsidRDefault="005F685F" w:rsidP="007922A4">
      <w:pPr>
        <w:pStyle w:val="Paragraph"/>
        <w:pBdr>
          <w:top w:val="single" w:sz="4" w:space="1" w:color="auto"/>
          <w:left w:val="single" w:sz="4" w:space="1" w:color="auto"/>
          <w:bottom w:val="single" w:sz="4" w:space="1" w:color="auto"/>
          <w:right w:val="single" w:sz="4" w:space="1" w:color="auto"/>
        </w:pBdr>
        <w:shd w:val="clear" w:color="auto" w:fill="D3E5E6" w:themeFill="accent6"/>
      </w:pPr>
      <w:r w:rsidRPr="007922A4">
        <w:t>On 7 May 2024</w:t>
      </w:r>
      <w:r w:rsidR="000527B7" w:rsidRPr="007922A4">
        <w:t>,</w:t>
      </w:r>
      <w:r w:rsidRPr="007922A4">
        <w:t xml:space="preserve"> the Federal Court published its judgement that </w:t>
      </w:r>
      <w:proofErr w:type="spellStart"/>
      <w:r w:rsidRPr="007922A4">
        <w:t>Phaze</w:t>
      </w:r>
      <w:proofErr w:type="spellEnd"/>
      <w:r w:rsidRPr="007922A4">
        <w:t xml:space="preserve"> contravened the </w:t>
      </w:r>
      <w:r w:rsidRPr="007922A4">
        <w:rPr>
          <w:i/>
          <w:iCs/>
        </w:rPr>
        <w:t>Radiocommunications Act 1992</w:t>
      </w:r>
      <w:r w:rsidRPr="007922A4">
        <w:t xml:space="preserve">. The Court found that </w:t>
      </w:r>
      <w:proofErr w:type="spellStart"/>
      <w:r w:rsidRPr="007922A4">
        <w:t>Phaze</w:t>
      </w:r>
      <w:proofErr w:type="spellEnd"/>
      <w:r w:rsidRPr="007922A4">
        <w:t xml:space="preserve"> was in possession of, and operated, unlicensed radiocommunications transmitters. As a result, </w:t>
      </w:r>
      <w:proofErr w:type="spellStart"/>
      <w:r w:rsidRPr="007922A4">
        <w:t>Phaze</w:t>
      </w:r>
      <w:proofErr w:type="spellEnd"/>
      <w:r w:rsidRPr="007922A4">
        <w:t xml:space="preserve"> was required to forfeit </w:t>
      </w:r>
      <w:r w:rsidR="000527B7" w:rsidRPr="007922A4">
        <w:t xml:space="preserve">3 </w:t>
      </w:r>
      <w:r w:rsidRPr="007922A4">
        <w:t>radiocommunications transmitters and was issued an injunction preventing it from carrying out further contraventions. It was also issued a fine of $8,000.</w:t>
      </w:r>
      <w:r>
        <w:t xml:space="preserve"> </w:t>
      </w:r>
    </w:p>
    <w:p w14:paraId="2EBDF82A" w14:textId="7B19BD5C" w:rsidR="005806A0" w:rsidRPr="00147513" w:rsidRDefault="004C6795" w:rsidP="006E3C79">
      <w:pPr>
        <w:pStyle w:val="Paragraph"/>
      </w:pPr>
      <w:r>
        <w:t xml:space="preserve">Following the recent </w:t>
      </w:r>
      <w:r w:rsidR="00640C7A">
        <w:t>audits,</w:t>
      </w:r>
      <w:r>
        <w:t xml:space="preserve"> </w:t>
      </w:r>
      <w:r w:rsidR="00640C7A">
        <w:t xml:space="preserve">we </w:t>
      </w:r>
      <w:r>
        <w:t xml:space="preserve">have </w:t>
      </w:r>
      <w:proofErr w:type="gramStart"/>
      <w:r>
        <w:t>a number of</w:t>
      </w:r>
      <w:proofErr w:type="gramEnd"/>
      <w:r>
        <w:t xml:space="preserve"> investigations underway in relation to</w:t>
      </w:r>
      <w:r w:rsidR="005806A0">
        <w:t xml:space="preserve"> instances of licensees engaging i</w:t>
      </w:r>
      <w:r w:rsidR="009A2CBF">
        <w:t>n activities which breach the UIOLI conditions and their licence conditions</w:t>
      </w:r>
      <w:r w:rsidR="009D3CD7">
        <w:t xml:space="preserve">. </w:t>
      </w:r>
    </w:p>
    <w:p w14:paraId="566EE948" w14:textId="1B3C312E" w:rsidR="005806A0" w:rsidRDefault="263662BD" w:rsidP="007922A4">
      <w:pPr>
        <w:pStyle w:val="Heading3"/>
        <w:keepLines/>
      </w:pPr>
      <w:r>
        <w:lastRenderedPageBreak/>
        <w:t xml:space="preserve">Identified trends </w:t>
      </w:r>
      <w:r w:rsidR="000527B7">
        <w:t xml:space="preserve">– </w:t>
      </w:r>
      <w:r w:rsidR="7D94ABD1">
        <w:t>b</w:t>
      </w:r>
      <w:r w:rsidR="005806A0">
        <w:t>usiness practices</w:t>
      </w:r>
      <w:r w:rsidR="4FEA288A">
        <w:t xml:space="preserve"> and licence condition </w:t>
      </w:r>
      <w:proofErr w:type="gramStart"/>
      <w:r w:rsidR="4FEA288A">
        <w:t>compliance</w:t>
      </w:r>
      <w:proofErr w:type="gramEnd"/>
    </w:p>
    <w:p w14:paraId="77F85DAC" w14:textId="77777777" w:rsidR="005806A0" w:rsidRDefault="005806A0" w:rsidP="007922A4">
      <w:pPr>
        <w:pStyle w:val="Paragraph"/>
        <w:keepNext/>
        <w:keepLines/>
      </w:pPr>
      <w:r>
        <w:t xml:space="preserve">Through our audit activity and compliance work we have observed that there are certain business practices employed by LPON licensees which are more likely to give rise to non-compliance with the licensing framework. </w:t>
      </w:r>
    </w:p>
    <w:p w14:paraId="0E2E8C9E" w14:textId="3CF7DFAD" w:rsidR="005806A0" w:rsidRDefault="005806A0" w:rsidP="007922A4">
      <w:pPr>
        <w:pStyle w:val="Paragraphbeforelist"/>
        <w:keepNext/>
        <w:keepLines/>
      </w:pPr>
      <w:r>
        <w:t xml:space="preserve">We have identified 3 key practices which we believe </w:t>
      </w:r>
      <w:r w:rsidR="14D311DC">
        <w:t xml:space="preserve">contribute to </w:t>
      </w:r>
      <w:r>
        <w:t xml:space="preserve">LPON licence compliance </w:t>
      </w:r>
      <w:r w:rsidR="614C656C">
        <w:t>issues</w:t>
      </w:r>
      <w:r w:rsidR="4A469B9C">
        <w:t xml:space="preserve"> – in particular the practices known as ‘clustering’, ‘hoarding’ and ‘networking’</w:t>
      </w:r>
      <w:r w:rsidR="47AFE92E">
        <w:t>.  Short definitions follow (described in more detail later in this report):</w:t>
      </w:r>
      <w:r w:rsidR="4A469B9C">
        <w:t xml:space="preserve">   </w:t>
      </w:r>
    </w:p>
    <w:p w14:paraId="6B7569A6" w14:textId="3836BA6C" w:rsidR="005806A0" w:rsidRDefault="005806A0" w:rsidP="007922A4">
      <w:pPr>
        <w:pStyle w:val="Numberlistlevel1"/>
        <w:keepNext/>
        <w:keepLines/>
        <w:numPr>
          <w:ilvl w:val="0"/>
          <w:numId w:val="1"/>
        </w:numPr>
      </w:pPr>
      <w:r w:rsidRPr="007922A4">
        <w:rPr>
          <w:b/>
          <w:bCs/>
        </w:rPr>
        <w:t>Clustering</w:t>
      </w:r>
      <w:r>
        <w:t xml:space="preserve"> – refers to the practice of a licensee accumulating </w:t>
      </w:r>
      <w:proofErr w:type="gramStart"/>
      <w:r>
        <w:t>a number of</w:t>
      </w:r>
      <w:proofErr w:type="gramEnd"/>
      <w:r>
        <w:t xml:space="preserve"> contiguous licences in a geographic area, utilising a single station in that cluster, and operating it in excess of the licence power limitation.</w:t>
      </w:r>
      <w:r w:rsidR="11C049B2" w:rsidRPr="02C9C7C0">
        <w:rPr>
          <w:rFonts w:eastAsia="Arial" w:cs="Arial"/>
          <w:color w:val="000000" w:themeColor="text2"/>
          <w:szCs w:val="22"/>
        </w:rPr>
        <w:t xml:space="preserve"> </w:t>
      </w:r>
      <w:r w:rsidR="11C049B2" w:rsidRPr="02C9C7C0">
        <w:t xml:space="preserve"> </w:t>
      </w:r>
      <w:r>
        <w:t xml:space="preserve"> </w:t>
      </w:r>
    </w:p>
    <w:p w14:paraId="53871849" w14:textId="5A6230BE" w:rsidR="005806A0" w:rsidRDefault="005806A0" w:rsidP="007922A4">
      <w:pPr>
        <w:pStyle w:val="Numberlistlevel1"/>
        <w:keepNext/>
        <w:keepLines/>
        <w:numPr>
          <w:ilvl w:val="0"/>
          <w:numId w:val="1"/>
        </w:numPr>
      </w:pPr>
      <w:r w:rsidRPr="007922A4">
        <w:rPr>
          <w:b/>
          <w:bCs/>
        </w:rPr>
        <w:t>Hoarding</w:t>
      </w:r>
      <w:r>
        <w:t xml:space="preserve"> – refers to the practice of a licensee holding a licence and not commencing a service at the licensed site within 6 months of the licence being allocated, or not providing a service with reasonable regularity. </w:t>
      </w:r>
    </w:p>
    <w:p w14:paraId="00BB8582" w14:textId="0B892731" w:rsidR="005806A0" w:rsidRDefault="005806A0" w:rsidP="000527B7">
      <w:pPr>
        <w:pStyle w:val="Numberlistlast"/>
        <w:keepNext/>
        <w:keepLines/>
        <w:numPr>
          <w:ilvl w:val="0"/>
          <w:numId w:val="1"/>
        </w:numPr>
      </w:pPr>
      <w:r w:rsidRPr="000527B7">
        <w:rPr>
          <w:b/>
          <w:bCs/>
        </w:rPr>
        <w:t>Networking</w:t>
      </w:r>
      <w:r>
        <w:t xml:space="preserve"> – refers to playing the same content across </w:t>
      </w:r>
      <w:proofErr w:type="gramStart"/>
      <w:r>
        <w:t>a number of</w:t>
      </w:r>
      <w:proofErr w:type="gramEnd"/>
      <w:r>
        <w:t xml:space="preserve"> LPON licences.</w:t>
      </w:r>
      <w:r w:rsidR="000527B7">
        <w:t xml:space="preserve"> </w:t>
      </w:r>
      <w:r>
        <w:t xml:space="preserve">It is not in itself a contravention of LPON </w:t>
      </w:r>
      <w:r w:rsidR="009336AC">
        <w:t>conditions</w:t>
      </w:r>
      <w:r w:rsidR="000527B7">
        <w:t xml:space="preserve">, </w:t>
      </w:r>
      <w:r>
        <w:t xml:space="preserve">however, we have observed that there is a strong correlation between networked LPON licences and </w:t>
      </w:r>
      <w:proofErr w:type="gramStart"/>
      <w:r>
        <w:t xml:space="preserve">practices  </w:t>
      </w:r>
      <w:r w:rsidR="000527B7">
        <w:t>that</w:t>
      </w:r>
      <w:proofErr w:type="gramEnd"/>
      <w:r>
        <w:t xml:space="preserve"> do contravene the regulatory framework.</w:t>
      </w:r>
    </w:p>
    <w:p w14:paraId="0ADD77DD" w14:textId="346EE8AF" w:rsidR="005806A0" w:rsidRDefault="005806A0" w:rsidP="007922A4">
      <w:pPr>
        <w:pStyle w:val="Paragraph"/>
      </w:pPr>
      <w:r>
        <w:t xml:space="preserve">The LPON regulatory framework has provisions to address hoarding set out in the Broadcasting LCD and LPON Direction commonly referred to as the ‘use-it-or lose-it conditions’ (UIOLI). Clustering appears to have emerged as an issue in more recent times as networking has become more common amongst licensees. </w:t>
      </w:r>
    </w:p>
    <w:p w14:paraId="47ACBCA0" w14:textId="2D4398D5" w:rsidR="005806A0" w:rsidRDefault="005806A0" w:rsidP="007922A4">
      <w:pPr>
        <w:pStyle w:val="Paragraph"/>
      </w:pPr>
      <w:r>
        <w:t>While technological changes and shifts in the way content is accessed and consumed are driving broadcast market changes, it is important that the integrity of the licensing framework is maintained for the benefit of all spectrum users.</w:t>
      </w:r>
      <w:r w:rsidR="32771E5F">
        <w:t xml:space="preserve">  </w:t>
      </w:r>
    </w:p>
    <w:p w14:paraId="37CBDD2F" w14:textId="27B12DBD" w:rsidR="00CB61DD" w:rsidRPr="00147513" w:rsidRDefault="00CB61DD" w:rsidP="007922A4">
      <w:pPr>
        <w:pStyle w:val="Paragraph"/>
      </w:pPr>
      <w:r>
        <w:t>Throughout the coming year</w:t>
      </w:r>
      <w:r w:rsidR="000527B7">
        <w:t>,</w:t>
      </w:r>
      <w:r>
        <w:t xml:space="preserve"> we will continue to focus on ensuring licensee</w:t>
      </w:r>
      <w:r w:rsidR="000527B7">
        <w:t>s’</w:t>
      </w:r>
      <w:r>
        <w:t xml:space="preserve"> compliance with LPON licence conditions</w:t>
      </w:r>
      <w:r w:rsidR="1B4EEF3E">
        <w:t xml:space="preserve"> through a combination of education and enforcement, as appropriate.   </w:t>
      </w:r>
    </w:p>
    <w:p w14:paraId="025DE46C" w14:textId="53346235" w:rsidR="00CB61DD" w:rsidRPr="00147513" w:rsidRDefault="62FE8815" w:rsidP="000527B7">
      <w:pPr>
        <w:pStyle w:val="Paragraph"/>
      </w:pPr>
      <w:r>
        <w:t>Through educational materials, we will be encouraging li</w:t>
      </w:r>
      <w:r w:rsidR="005C7DB8">
        <w:t xml:space="preserve">censees to </w:t>
      </w:r>
      <w:r w:rsidR="28A5AF15">
        <w:t xml:space="preserve">focus on </w:t>
      </w:r>
      <w:r w:rsidR="00CB61DD">
        <w:t xml:space="preserve">record-keeping, </w:t>
      </w:r>
      <w:r w:rsidR="00466E60">
        <w:t>and</w:t>
      </w:r>
      <w:r w:rsidR="2930D97C">
        <w:t xml:space="preserve"> to understand</w:t>
      </w:r>
      <w:r w:rsidR="00466E60">
        <w:t xml:space="preserve"> the </w:t>
      </w:r>
      <w:r w:rsidR="00CB61DD">
        <w:t>UIOLI</w:t>
      </w:r>
      <w:r w:rsidR="00466E60">
        <w:t xml:space="preserve"> conditions</w:t>
      </w:r>
      <w:r w:rsidR="752F4A78">
        <w:t xml:space="preserve">. We will also be publicising </w:t>
      </w:r>
      <w:r w:rsidR="00466E60">
        <w:t xml:space="preserve">the risks of non-compliance created by </w:t>
      </w:r>
      <w:r w:rsidR="00CB61DD">
        <w:t xml:space="preserve">practices of clustering, </w:t>
      </w:r>
      <w:proofErr w:type="gramStart"/>
      <w:r w:rsidR="00CB61DD">
        <w:t>hoarding</w:t>
      </w:r>
      <w:proofErr w:type="gramEnd"/>
      <w:r w:rsidR="00CB61DD">
        <w:t xml:space="preserve"> and networking</w:t>
      </w:r>
      <w:r w:rsidR="094C59B8">
        <w:t xml:space="preserve">.   </w:t>
      </w:r>
    </w:p>
    <w:p w14:paraId="5EFAE0BB" w14:textId="469807DF" w:rsidR="00CB61DD" w:rsidRPr="00147513" w:rsidRDefault="094C59B8" w:rsidP="000527B7">
      <w:pPr>
        <w:pStyle w:val="Paragraph"/>
      </w:pPr>
      <w:r>
        <w:t>However</w:t>
      </w:r>
      <w:r w:rsidR="000527B7">
        <w:t>,</w:t>
      </w:r>
      <w:r>
        <w:t xml:space="preserve"> we will also </w:t>
      </w:r>
      <w:r w:rsidR="009C22AB">
        <w:t>escalate</w:t>
      </w:r>
      <w:r w:rsidR="2D7B1837">
        <w:t xml:space="preserve"> to enforcement </w:t>
      </w:r>
      <w:r w:rsidR="1C4FC31C">
        <w:t xml:space="preserve">if LPON </w:t>
      </w:r>
      <w:r w:rsidR="35CE7DA0">
        <w:t>licensees are unwilling to take steps to</w:t>
      </w:r>
      <w:r w:rsidR="199CC346">
        <w:t xml:space="preserve"> meet their</w:t>
      </w:r>
      <w:r w:rsidR="2340F0A6">
        <w:t xml:space="preserve"> regulatory</w:t>
      </w:r>
      <w:r w:rsidR="199CC346">
        <w:t xml:space="preserve"> obligations.  </w:t>
      </w:r>
    </w:p>
    <w:p w14:paraId="3FCC2BC1" w14:textId="29F9F9CB" w:rsidR="00CB61DD" w:rsidRDefault="00CB61DD" w:rsidP="005806A0">
      <w:pPr>
        <w:pStyle w:val="Paragraphbeforelist"/>
      </w:pPr>
    </w:p>
    <w:p w14:paraId="5BA07CFE" w14:textId="77777777" w:rsidR="005E16D1" w:rsidRPr="00A17B1B" w:rsidRDefault="005E16D1" w:rsidP="005E16D1">
      <w:pPr>
        <w:pStyle w:val="Heading1"/>
      </w:pPr>
      <w:bookmarkStart w:id="4" w:name="_Toc168578730"/>
      <w:bookmarkStart w:id="5" w:name="_Toc178602472"/>
      <w:r>
        <w:lastRenderedPageBreak/>
        <w:t>Background</w:t>
      </w:r>
      <w:bookmarkEnd w:id="4"/>
      <w:bookmarkEnd w:id="5"/>
    </w:p>
    <w:p w14:paraId="36E8077F" w14:textId="1C79BE37" w:rsidR="005E16D1" w:rsidRDefault="005E16D1" w:rsidP="2A05B3E7">
      <w:pPr>
        <w:pStyle w:val="Paragraph"/>
      </w:pPr>
      <w:bookmarkStart w:id="6" w:name="_Hlk26868934"/>
      <w:r>
        <w:t>The ACMA regulates radio broadcasting in Australia</w:t>
      </w:r>
      <w:r w:rsidR="00456162">
        <w:t>,</w:t>
      </w:r>
      <w:r>
        <w:t xml:space="preserve"> </w:t>
      </w:r>
      <w:r w:rsidR="4415AB83">
        <w:t>through its</w:t>
      </w:r>
      <w:r>
        <w:t xml:space="preserve"> licensing and planning </w:t>
      </w:r>
      <w:r w:rsidR="37D69A26">
        <w:t>processes</w:t>
      </w:r>
      <w:r>
        <w:t xml:space="preserve"> and compliance activities.</w:t>
      </w:r>
    </w:p>
    <w:p w14:paraId="527C59D7" w14:textId="7039A9FC" w:rsidR="17EB9AE6" w:rsidRPr="000527B7" w:rsidRDefault="17EB9AE6" w:rsidP="2438FEEE">
      <w:pPr>
        <w:pStyle w:val="Paragraph"/>
      </w:pPr>
      <w:r w:rsidRPr="000527B7">
        <w:t>LPON licences are subject to regulatory provisions in the following legislation:</w:t>
      </w:r>
    </w:p>
    <w:p w14:paraId="3C13CA61" w14:textId="77777777" w:rsidR="17EB9AE6" w:rsidRPr="000527B7" w:rsidRDefault="00662510" w:rsidP="2438FEEE">
      <w:pPr>
        <w:pStyle w:val="Bulletlevel1"/>
      </w:pPr>
      <w:hyperlink r:id="rId33" w:history="1">
        <w:r w:rsidR="17EB9AE6" w:rsidRPr="000527B7">
          <w:rPr>
            <w:rStyle w:val="Hyperlink"/>
            <w:i/>
            <w:iCs/>
          </w:rPr>
          <w:t>Broadcasting Services Act 1992</w:t>
        </w:r>
      </w:hyperlink>
      <w:r w:rsidR="17EB9AE6" w:rsidRPr="000527B7">
        <w:t xml:space="preserve"> (BSA)</w:t>
      </w:r>
    </w:p>
    <w:p w14:paraId="0D9EF34D" w14:textId="0ED17E35" w:rsidR="17EB9AE6" w:rsidRPr="000527B7" w:rsidRDefault="00662510" w:rsidP="2438FEEE">
      <w:pPr>
        <w:pStyle w:val="Bulletlevel1"/>
        <w:rPr>
          <w:rStyle w:val="Hyperlink"/>
          <w:i/>
          <w:iCs/>
        </w:rPr>
      </w:pPr>
      <w:hyperlink r:id="rId34" w:history="1">
        <w:hyperlink r:id="rId35" w:history="1">
          <w:r w:rsidR="17EB9AE6" w:rsidRPr="000527B7">
            <w:rPr>
              <w:rStyle w:val="Hyperlink"/>
              <w:i/>
              <w:iCs/>
            </w:rPr>
            <w:t>Radiocommunications Act 1992</w:t>
          </w:r>
          <w:r w:rsidR="17EB9AE6" w:rsidRPr="000527B7">
            <w:rPr>
              <w:rStyle w:val="Hyperlink"/>
              <w:i/>
              <w:iCs/>
              <w:color w:val="auto"/>
              <w:u w:val="none"/>
            </w:rPr>
            <w:t xml:space="preserve"> </w:t>
          </w:r>
          <w:r w:rsidR="17EB9AE6" w:rsidRPr="000527B7">
            <w:rPr>
              <w:rStyle w:val="Hyperlink"/>
              <w:color w:val="auto"/>
              <w:u w:val="none"/>
            </w:rPr>
            <w:t>(Radiocommunications Act)</w:t>
          </w:r>
        </w:hyperlink>
      </w:hyperlink>
    </w:p>
    <w:p w14:paraId="7FB0F53D" w14:textId="04F670CF" w:rsidR="17EB9AE6" w:rsidRPr="000527B7" w:rsidRDefault="17EB9AE6" w:rsidP="2438FEEE">
      <w:pPr>
        <w:pStyle w:val="Bulletlevel1"/>
      </w:pPr>
      <w:r w:rsidRPr="000527B7">
        <w:fldChar w:fldCharType="begin"/>
      </w:r>
      <w:r w:rsidRPr="000527B7">
        <w:rPr>
          <w:i/>
          <w:iCs/>
        </w:rPr>
        <w:fldChar w:fldCharType="end"/>
      </w:r>
      <w:r w:rsidRPr="000527B7">
        <w:rPr>
          <w:rStyle w:val="Hyperlink"/>
        </w:rPr>
        <w:t>Australian Communications Authority (LPON Transmitter Licences) Direction No. 2 of 2000</w:t>
      </w:r>
      <w:r w:rsidRPr="000527B7">
        <w:t xml:space="preserve"> (LPON Direction)</w:t>
      </w:r>
    </w:p>
    <w:p w14:paraId="6748215B" w14:textId="74D453D1" w:rsidR="17EB9AE6" w:rsidRDefault="00662510" w:rsidP="2438FEEE">
      <w:pPr>
        <w:pStyle w:val="Bulletlevel1last"/>
      </w:pPr>
      <w:hyperlink r:id="rId36" w:history="1">
        <w:r w:rsidR="17EB9AE6" w:rsidRPr="000527B7">
          <w:rPr>
            <w:rStyle w:val="Hyperlink"/>
          </w:rPr>
          <w:t>Radiocommunications Licence Conditions (Broadcasting Licence) Determination 2015</w:t>
        </w:r>
      </w:hyperlink>
      <w:r w:rsidR="17EB9AE6" w:rsidRPr="000527B7">
        <w:t xml:space="preserve"> (Broadcasting LCD).</w:t>
      </w:r>
    </w:p>
    <w:p w14:paraId="347BBCB0" w14:textId="370EAEF5" w:rsidR="005E16D1" w:rsidRDefault="005E16D1" w:rsidP="005E16D1">
      <w:pPr>
        <w:pStyle w:val="Paragraph"/>
      </w:pPr>
      <w:r w:rsidRPr="002911AD">
        <w:t>LPON</w:t>
      </w:r>
      <w:r>
        <w:t xml:space="preserve"> licences permit licensees to provide</w:t>
      </w:r>
      <w:r w:rsidRPr="002911AD">
        <w:t xml:space="preserve"> niche radio broadcasting services</w:t>
      </w:r>
      <w:r>
        <w:t>.</w:t>
      </w:r>
      <w:r>
        <w:rPr>
          <w:rStyle w:val="FootnoteReference"/>
        </w:rPr>
        <w:footnoteReference w:id="7"/>
      </w:r>
      <w:r w:rsidR="4B2B92CC" w:rsidRPr="2438FEEE">
        <w:rPr>
          <w:rStyle w:val="FootnoteReference"/>
        </w:rPr>
        <w:t xml:space="preserve">   </w:t>
      </w:r>
      <w:r w:rsidR="4B2B92CC">
        <w:t xml:space="preserve">LPON services are considered secondary to the provision of long-term community, national, commercial, or high power open narrowcasting services available in </w:t>
      </w:r>
      <w:hyperlink w:history="1">
        <w:hyperlink r:id="rId37" w:history="1">
          <w:r w:rsidR="4B2B92CC" w:rsidRPr="000527B7">
            <w:rPr>
              <w:rStyle w:val="Hyperlink"/>
            </w:rPr>
            <w:t>licence area plans</w:t>
          </w:r>
        </w:hyperlink>
      </w:hyperlink>
      <w:r w:rsidR="4B2B92CC" w:rsidRPr="00910D5C">
        <w:t xml:space="preserve"> (LAPs).</w:t>
      </w:r>
    </w:p>
    <w:p w14:paraId="7E746A33" w14:textId="3E1F0301" w:rsidR="005E16D1" w:rsidRDefault="005E16D1" w:rsidP="005E16D1">
      <w:pPr>
        <w:pStyle w:val="Paragraph"/>
      </w:pPr>
      <w:r>
        <w:t>There are approximately 2400 issued LPON licences held by 271 licensees.</w:t>
      </w:r>
    </w:p>
    <w:p w14:paraId="531B2947" w14:textId="03767476" w:rsidR="005E16D1" w:rsidRDefault="005E16D1" w:rsidP="005E16D1">
      <w:pPr>
        <w:pStyle w:val="Paragraph"/>
      </w:pPr>
      <w:r>
        <w:t xml:space="preserve">LPON licences are allocated in accordance with the </w:t>
      </w:r>
      <w:hyperlink r:id="rId38">
        <w:r w:rsidRPr="1BBAC0B5">
          <w:rPr>
            <w:rStyle w:val="Hyperlink"/>
          </w:rPr>
          <w:t>LPON Planning Model</w:t>
        </w:r>
      </w:hyperlink>
      <w:r w:rsidR="000C6B95">
        <w:rPr>
          <w:rStyle w:val="Hyperlink"/>
        </w:rPr>
        <w:t>,</w:t>
      </w:r>
      <w:r>
        <w:t xml:space="preserve"> which provides limitations on the radio frequency of LPON services, the proximity to other FM broadcasting services and the separation requirements from other LPON services.</w:t>
      </w:r>
    </w:p>
    <w:p w14:paraId="540B6148" w14:textId="114F5F46" w:rsidR="005E16D1" w:rsidRDefault="005E16D1" w:rsidP="005E16D1">
      <w:pPr>
        <w:pStyle w:val="Paragraph"/>
      </w:pPr>
      <w:r w:rsidRPr="1BBAC0B5">
        <w:rPr>
          <w:rStyle w:val="normaltextrun"/>
          <w:color w:val="000000"/>
          <w:shd w:val="clear" w:color="auto" w:fill="FFFFFF"/>
        </w:rPr>
        <w:t xml:space="preserve">A primary object of the </w:t>
      </w:r>
      <w:hyperlink r:id="rId39" w:tgtFrame="_blank" w:history="1">
        <w:r w:rsidRPr="002B2F58">
          <w:rPr>
            <w:rStyle w:val="normaltextrun"/>
            <w:color w:val="0000FF"/>
            <w:u w:val="single"/>
            <w:shd w:val="clear" w:color="auto" w:fill="FFFFFF"/>
          </w:rPr>
          <w:t>Radiocommunications</w:t>
        </w:r>
      </w:hyperlink>
      <w:r w:rsidRPr="002B2F58">
        <w:rPr>
          <w:rStyle w:val="normaltextrun"/>
          <w:color w:val="0000FF"/>
          <w:u w:val="single"/>
          <w:shd w:val="clear" w:color="auto" w:fill="FFFFFF"/>
        </w:rPr>
        <w:t xml:space="preserve"> Act</w:t>
      </w:r>
      <w:r w:rsidRPr="1BBAC0B5">
        <w:rPr>
          <w:rStyle w:val="normaltextrun"/>
          <w:color w:val="000000"/>
          <w:shd w:val="clear" w:color="auto" w:fill="FFFFFF"/>
        </w:rPr>
        <w:t xml:space="preserve"> is to maximise the overall public benefit derived from using the radiofrequency spectrum by ensuring the efficient allocation and use of the spectrum. Systemic non-compliance issues with LPON licensees undermine this objective and impede effective licence planning and allocation arrangements.</w:t>
      </w:r>
    </w:p>
    <w:p w14:paraId="539FF4DA" w14:textId="77777777" w:rsidR="005E16D1" w:rsidRDefault="005E16D1" w:rsidP="005E16D1">
      <w:pPr>
        <w:pStyle w:val="Paragraph"/>
      </w:pPr>
      <w:r>
        <w:t>We have managed a consistent stream of complaints and compliance activities in relation to</w:t>
      </w:r>
      <w:r w:rsidDel="00EB6101">
        <w:t xml:space="preserve"> </w:t>
      </w:r>
      <w:r>
        <w:t>LPON licences in recent years. Most complaints are from parties aggrieved by clustering, interference and UIOLI breaches, normally linked to suspected hoarding.</w:t>
      </w:r>
    </w:p>
    <w:p w14:paraId="3A81260A" w14:textId="1ACA83C9" w:rsidR="005E16D1" w:rsidRDefault="005E16D1" w:rsidP="005E16D1">
      <w:pPr>
        <w:pStyle w:val="Paragraph"/>
      </w:pPr>
      <w:r>
        <w:t xml:space="preserve">The ACMA has conducted LPON licence audits for </w:t>
      </w:r>
      <w:r w:rsidR="00456162">
        <w:t xml:space="preserve">3 </w:t>
      </w:r>
      <w:r>
        <w:t xml:space="preserve">consecutive years. </w:t>
      </w:r>
    </w:p>
    <w:p w14:paraId="079D151E" w14:textId="38EB9AE6" w:rsidR="005E16D1" w:rsidRDefault="005E16D1" w:rsidP="005E16D1">
      <w:pPr>
        <w:pStyle w:val="Paragraph"/>
      </w:pPr>
      <w:r>
        <w:t>In 2021</w:t>
      </w:r>
      <w:r w:rsidR="00456162">
        <w:t>–</w:t>
      </w:r>
      <w:r>
        <w:t>22</w:t>
      </w:r>
      <w:r w:rsidR="00456162">
        <w:t>,</w:t>
      </w:r>
      <w:r>
        <w:t xml:space="preserve"> </w:t>
      </w:r>
      <w:r w:rsidR="00AD7464">
        <w:t xml:space="preserve">we </w:t>
      </w:r>
      <w:r>
        <w:t>conducted a pilot audit program in Victoria to assist in understanding compliance culture and whether there was a need for further audits and intervention. In 2022</w:t>
      </w:r>
      <w:r w:rsidR="00456162">
        <w:t>–</w:t>
      </w:r>
      <w:r>
        <w:t>23</w:t>
      </w:r>
      <w:r w:rsidR="00AD7464">
        <w:t>,</w:t>
      </w:r>
      <w:r>
        <w:t xml:space="preserve"> </w:t>
      </w:r>
      <w:r w:rsidR="00AD7464">
        <w:t xml:space="preserve">we </w:t>
      </w:r>
      <w:r>
        <w:t>conducted a larger LPON licence compliance audit program. The audit was scoped to include metro Melbourne and Sydney based licences. The audit sought to build on the findings of the pilot audit, increase regulatory awareness in the market and educate licensees. Both audits cemented our concerns about the levels of licensee compliance. In communicating audit outcomes and undertaking compliance actions</w:t>
      </w:r>
      <w:r w:rsidR="00AD7464">
        <w:t>,</w:t>
      </w:r>
      <w:r>
        <w:t xml:space="preserve"> we observed a culture of non-compliance and a limited understanding of the regulatory framework and relevant obligations. </w:t>
      </w:r>
    </w:p>
    <w:p w14:paraId="303FDE51" w14:textId="34914988" w:rsidR="005E16D1" w:rsidRDefault="005E16D1" w:rsidP="00161784">
      <w:pPr>
        <w:pStyle w:val="Paragraph"/>
        <w:keepLines/>
      </w:pPr>
      <w:r>
        <w:lastRenderedPageBreak/>
        <w:t>In 2023</w:t>
      </w:r>
      <w:r w:rsidR="00AD7464">
        <w:t>–</w:t>
      </w:r>
      <w:r>
        <w:t>24</w:t>
      </w:r>
      <w:r w:rsidR="00AD7464">
        <w:t>,</w:t>
      </w:r>
      <w:r>
        <w:t xml:space="preserve"> the LPON compliance priority program sought to expand the scope of previous audits by increasing the sample size significantly and focusing on known compliance issues</w:t>
      </w:r>
      <w:r w:rsidR="00AD7464">
        <w:t>,</w:t>
      </w:r>
      <w:r>
        <w:t xml:space="preserve"> such as clustering and hoarding. </w:t>
      </w:r>
      <w:proofErr w:type="gramStart"/>
      <w:r>
        <w:t>Similar to</w:t>
      </w:r>
      <w:proofErr w:type="gramEnd"/>
      <w:r>
        <w:t xml:space="preserve"> previous years</w:t>
      </w:r>
      <w:r w:rsidR="00AD7464">
        <w:t>,</w:t>
      </w:r>
      <w:r>
        <w:t xml:space="preserve"> </w:t>
      </w:r>
      <w:r w:rsidR="0DEDF6BD">
        <w:t>in 2023</w:t>
      </w:r>
      <w:r w:rsidR="000527B7">
        <w:t>–</w:t>
      </w:r>
      <w:r w:rsidR="0DEDF6BD">
        <w:t>24</w:t>
      </w:r>
      <w:r w:rsidR="000527B7">
        <w:t>,</w:t>
      </w:r>
      <w:r w:rsidR="0DEDF6BD">
        <w:t xml:space="preserve"> </w:t>
      </w:r>
      <w:r>
        <w:t xml:space="preserve">the audit program comprised </w:t>
      </w:r>
      <w:r w:rsidR="00AD7464">
        <w:t xml:space="preserve">2 </w:t>
      </w:r>
      <w:r>
        <w:t>phases</w:t>
      </w:r>
      <w:r w:rsidR="00AD7464">
        <w:t xml:space="preserve">: </w:t>
      </w:r>
    </w:p>
    <w:p w14:paraId="1D4088AB" w14:textId="77777777" w:rsidR="005E16D1" w:rsidRPr="00E72912" w:rsidRDefault="005E16D1" w:rsidP="002B2F58">
      <w:pPr>
        <w:pStyle w:val="Heading3"/>
      </w:pPr>
      <w:r w:rsidRPr="00E72912">
        <w:t xml:space="preserve">Desktop </w:t>
      </w:r>
      <w:r>
        <w:t>a</w:t>
      </w:r>
      <w:r w:rsidRPr="00E72912">
        <w:t>udit</w:t>
      </w:r>
    </w:p>
    <w:p w14:paraId="4FC7C749" w14:textId="2491C3DD" w:rsidR="005E16D1" w:rsidRDefault="005E16D1" w:rsidP="005E16D1">
      <w:pPr>
        <w:pStyle w:val="Bulletlevel1last"/>
        <w:numPr>
          <w:ilvl w:val="0"/>
          <w:numId w:val="0"/>
        </w:numPr>
      </w:pPr>
      <w:r>
        <w:t xml:space="preserve">The audit sample was 150 licences held by 73 licensees. Each licensee was asked to demonstrate compliance with </w:t>
      </w:r>
      <w:r w:rsidR="00AD7464">
        <w:t>r</w:t>
      </w:r>
      <w:r>
        <w:t>ecord keeping requirements in the Broadcasting LCD, with a focus on the UIOLI requirements.</w:t>
      </w:r>
      <w:r>
        <w:rPr>
          <w:rStyle w:val="FootnoteReference"/>
        </w:rPr>
        <w:footnoteReference w:id="8"/>
      </w:r>
    </w:p>
    <w:p w14:paraId="4082432C" w14:textId="584C512B" w:rsidR="005E16D1" w:rsidRPr="00E72912" w:rsidRDefault="005E16D1" w:rsidP="007922A4">
      <w:pPr>
        <w:pStyle w:val="Heading3"/>
      </w:pPr>
      <w:r>
        <w:t>Field audit</w:t>
      </w:r>
    </w:p>
    <w:p w14:paraId="6057C30D" w14:textId="76608700" w:rsidR="005E16D1" w:rsidRDefault="005E16D1" w:rsidP="005E16D1">
      <w:pPr>
        <w:pStyle w:val="Bulletlevel1last"/>
        <w:numPr>
          <w:ilvl w:val="0"/>
          <w:numId w:val="0"/>
        </w:numPr>
      </w:pPr>
      <w:r>
        <w:t>90 of the 150 licences were audited for compliance with conditions relating to their field strength and coverage</w:t>
      </w:r>
      <w:r w:rsidR="00AD7464">
        <w:t>,</w:t>
      </w:r>
      <w:r>
        <w:rPr>
          <w:rStyle w:val="FootnoteReference"/>
        </w:rPr>
        <w:footnoteReference w:id="9"/>
      </w:r>
      <w:r>
        <w:t xml:space="preserve"> and whether they had established a service.</w:t>
      </w:r>
    </w:p>
    <w:p w14:paraId="21E2C249" w14:textId="335CF1C2" w:rsidR="005E16D1" w:rsidRDefault="005E16D1" w:rsidP="005E16D1">
      <w:pPr>
        <w:pStyle w:val="Bulletlevel1last"/>
        <w:numPr>
          <w:ilvl w:val="0"/>
          <w:numId w:val="0"/>
        </w:numPr>
      </w:pPr>
      <w:r>
        <w:t>Where non-compliance has been identified, we are adopting</w:t>
      </w:r>
      <w:r w:rsidRPr="00C23AFE">
        <w:t xml:space="preserve"> a graduated and strategic risk-based approach</w:t>
      </w:r>
      <w:r>
        <w:t xml:space="preserve"> in accordance with our </w:t>
      </w:r>
      <w:hyperlink r:id="rId40">
        <w:r w:rsidRPr="1BBAC0B5">
          <w:rPr>
            <w:rStyle w:val="Hyperlink"/>
          </w:rPr>
          <w:t>compliance and enforcement policy</w:t>
        </w:r>
      </w:hyperlink>
      <w:r>
        <w:t>. W</w:t>
      </w:r>
      <w:r w:rsidRPr="007C0CA0">
        <w:t>e will take regulatory action commensurate with the seriousness of the breach and the level of harm. We will generally use the minimum power or intervention necessary to achieve the desired result</w:t>
      </w:r>
      <w:r>
        <w:t>, which in many instances involves the licensee coming into compliance voluntarily.</w:t>
      </w:r>
    </w:p>
    <w:p w14:paraId="134427F7" w14:textId="77777777" w:rsidR="005E16D1" w:rsidRDefault="005E16D1" w:rsidP="005E16D1">
      <w:pPr>
        <w:pStyle w:val="Bulletlevel1last"/>
        <w:numPr>
          <w:ilvl w:val="0"/>
          <w:numId w:val="0"/>
        </w:numPr>
      </w:pPr>
      <w:r>
        <w:t>We also engaged with industry and licensees holding large numbers of licences to educate and increase licence condition awareness and positive compliance culture.</w:t>
      </w:r>
    </w:p>
    <w:p w14:paraId="38BDE01C" w14:textId="77777777" w:rsidR="005E16D1" w:rsidRDefault="005E16D1" w:rsidP="005E16D1">
      <w:pPr>
        <w:pStyle w:val="Heading2"/>
      </w:pPr>
      <w:bookmarkStart w:id="7" w:name="_Toc76735540"/>
      <w:bookmarkStart w:id="8" w:name="_Toc111555558"/>
      <w:bookmarkStart w:id="9" w:name="_Toc168578731"/>
      <w:bookmarkStart w:id="10" w:name="_Toc178602473"/>
      <w:r>
        <w:t>Limitations</w:t>
      </w:r>
      <w:bookmarkEnd w:id="7"/>
      <w:bookmarkEnd w:id="8"/>
      <w:bookmarkEnd w:id="9"/>
      <w:bookmarkEnd w:id="10"/>
    </w:p>
    <w:p w14:paraId="674B608B" w14:textId="0E62681F" w:rsidR="005E16D1" w:rsidRDefault="005E16D1" w:rsidP="002B2F58">
      <w:pPr>
        <w:pStyle w:val="Paragraph"/>
      </w:pPr>
      <w:r>
        <w:t>There are</w:t>
      </w:r>
      <w:r w:rsidDel="008157C2">
        <w:t xml:space="preserve"> </w:t>
      </w:r>
      <w:r>
        <w:t xml:space="preserve">limitations in </w:t>
      </w:r>
      <w:r w:rsidR="00AD7464">
        <w:t xml:space="preserve">comparing </w:t>
      </w:r>
      <w:r>
        <w:t xml:space="preserve">the audit programs </w:t>
      </w:r>
      <w:proofErr w:type="gramStart"/>
      <w:r>
        <w:t>as a result of</w:t>
      </w:r>
      <w:proofErr w:type="gramEnd"/>
      <w:r>
        <w:t xml:space="preserve"> the slightly different audit methodology (different conditions audited in 2021</w:t>
      </w:r>
      <w:r w:rsidR="00AD7464">
        <w:t>–</w:t>
      </w:r>
      <w:r>
        <w:t>22) and the evolution and growth in methodology which resulted from learnings carried forward throughout the audit programs.</w:t>
      </w:r>
    </w:p>
    <w:p w14:paraId="51C3B48C" w14:textId="417B895E" w:rsidR="005E16D1" w:rsidRPr="00272B07" w:rsidRDefault="005E16D1" w:rsidP="002B2F58">
      <w:pPr>
        <w:pStyle w:val="Paragraph"/>
      </w:pPr>
      <w:r>
        <w:t xml:space="preserve">A 3 </w:t>
      </w:r>
      <w:proofErr w:type="spellStart"/>
      <w:r>
        <w:t>dBµV</w:t>
      </w:r>
      <w:proofErr w:type="spellEnd"/>
      <w:r>
        <w:t>/m</w:t>
      </w:r>
      <w:r>
        <w:rPr>
          <w:vertAlign w:val="superscript"/>
        </w:rPr>
        <w:t>2</w:t>
      </w:r>
      <w:r>
        <w:t xml:space="preserve"> error factor was included in assessing the measured signal strength for the field audit measurements, in favour of the licensee. It is noted that this provides a significant leniency to a licensee. This should be kept in mind when considering the field audit findings below. This is significant because decibels are a logarithmic scale. In linear terms</w:t>
      </w:r>
      <w:r w:rsidR="00AD7464">
        <w:t>,</w:t>
      </w:r>
      <w:r>
        <w:t xml:space="preserve"> a d</w:t>
      </w:r>
      <w:r w:rsidRPr="00206813">
        <w:t>ecrease</w:t>
      </w:r>
      <w:r>
        <w:t xml:space="preserve"> of 3dBuV/m</w:t>
      </w:r>
      <w:r>
        <w:rPr>
          <w:vertAlign w:val="superscript"/>
        </w:rPr>
        <w:t>2</w:t>
      </w:r>
      <w:r>
        <w:t xml:space="preserve"> is equivalent to a reduction of 70% of the measured electric field strength. </w:t>
      </w:r>
      <w:r w:rsidR="00AD7464">
        <w:t>For example</w:t>
      </w:r>
      <w:r>
        <w:t>, 51</w:t>
      </w:r>
      <w:r w:rsidRPr="00206813">
        <w:t xml:space="preserve"> </w:t>
      </w:r>
      <w:proofErr w:type="spellStart"/>
      <w:r>
        <w:t>dBµV</w:t>
      </w:r>
      <w:proofErr w:type="spellEnd"/>
      <w:r>
        <w:t>/m</w:t>
      </w:r>
      <w:r>
        <w:rPr>
          <w:vertAlign w:val="superscript"/>
        </w:rPr>
        <w:t xml:space="preserve">2 </w:t>
      </w:r>
      <w:r>
        <w:t>= 354 µV/m</w:t>
      </w:r>
      <w:r>
        <w:rPr>
          <w:vertAlign w:val="superscript"/>
        </w:rPr>
        <w:t>2</w:t>
      </w:r>
      <w:r w:rsidR="00AD7464">
        <w:rPr>
          <w:vertAlign w:val="superscript"/>
        </w:rPr>
        <w:t>,</w:t>
      </w:r>
      <w:r>
        <w:rPr>
          <w:vertAlign w:val="superscript"/>
        </w:rPr>
        <w:t xml:space="preserve"> </w:t>
      </w:r>
      <w:r>
        <w:t xml:space="preserve">whereas 48 </w:t>
      </w:r>
      <w:proofErr w:type="spellStart"/>
      <w:r>
        <w:t>dBµV</w:t>
      </w:r>
      <w:proofErr w:type="spellEnd"/>
      <w:r>
        <w:t>/m</w:t>
      </w:r>
      <w:r>
        <w:rPr>
          <w:vertAlign w:val="superscript"/>
        </w:rPr>
        <w:t xml:space="preserve">2 </w:t>
      </w:r>
      <w:r>
        <w:t>= 251 µV/m</w:t>
      </w:r>
      <w:r>
        <w:rPr>
          <w:vertAlign w:val="superscript"/>
        </w:rPr>
        <w:t>2</w:t>
      </w:r>
      <w:r>
        <w:t>.</w:t>
      </w:r>
    </w:p>
    <w:p w14:paraId="5BF248F5" w14:textId="1AAC468B" w:rsidR="005E16D1" w:rsidRDefault="005E16D1" w:rsidP="002B2F58">
      <w:pPr>
        <w:pStyle w:val="Paragraph"/>
      </w:pPr>
      <w:r>
        <w:t xml:space="preserve">Desktop audits conducted where the licence was not subject to a field work component rely entirely on the veracity of information provided by a licensee. We have concerns about the accuracy of these results. Our concern stems from finding contradicting information in several audits where a licence was both desktop audited and field audited. </w:t>
      </w:r>
      <w:r w:rsidR="00AD7464">
        <w:t>For example</w:t>
      </w:r>
      <w:r>
        <w:t xml:space="preserve">, a licensee response to a desktop audit states that a transmitter is active, and the subsequent field audit indicates no evidence of an LPON station at the licensed location. </w:t>
      </w:r>
    </w:p>
    <w:p w14:paraId="78E5C0A2" w14:textId="6861471F" w:rsidR="005E16D1" w:rsidRPr="00784F3F" w:rsidRDefault="005E16D1" w:rsidP="00161784">
      <w:pPr>
        <w:pStyle w:val="Paragraph"/>
        <w:keepLines/>
      </w:pPr>
      <w:r>
        <w:lastRenderedPageBreak/>
        <w:t>It is also important to note that not all licences were both field and desktop audited in 2023</w:t>
      </w:r>
      <w:r w:rsidR="00AD7464">
        <w:t>–</w:t>
      </w:r>
      <w:r>
        <w:t>24. When both field and desktop audits are undertaken</w:t>
      </w:r>
      <w:r w:rsidR="00AD7464">
        <w:t>,</w:t>
      </w:r>
      <w:r>
        <w:t xml:space="preserve"> it tends to increase the prospects of finding non-compliance as a field audit will test </w:t>
      </w:r>
      <w:r w:rsidRPr="00AD7464">
        <w:t>additional</w:t>
      </w:r>
      <w:r>
        <w:t xml:space="preserve"> regulatory requirements not considered by a desktop audit.</w:t>
      </w:r>
    </w:p>
    <w:p w14:paraId="211BFAB1" w14:textId="77777777" w:rsidR="005E16D1" w:rsidRDefault="005E16D1" w:rsidP="005E16D1">
      <w:pPr>
        <w:pStyle w:val="Heading1"/>
      </w:pPr>
      <w:bookmarkStart w:id="11" w:name="_Toc168578732"/>
      <w:bookmarkStart w:id="12" w:name="_Toc178602474"/>
      <w:r>
        <w:lastRenderedPageBreak/>
        <w:t>Methodology</w:t>
      </w:r>
      <w:bookmarkEnd w:id="11"/>
      <w:bookmarkEnd w:id="12"/>
      <w:r>
        <w:t xml:space="preserve"> </w:t>
      </w:r>
    </w:p>
    <w:p w14:paraId="496D2B3F" w14:textId="77777777" w:rsidR="005E16D1" w:rsidRDefault="005E16D1" w:rsidP="005E16D1">
      <w:pPr>
        <w:pStyle w:val="Heading2"/>
      </w:pPr>
      <w:bookmarkStart w:id="13" w:name="_Toc168578733"/>
      <w:bookmarkStart w:id="14" w:name="_Toc178602475"/>
      <w:r>
        <w:t>Audit sample</w:t>
      </w:r>
      <w:bookmarkEnd w:id="13"/>
      <w:bookmarkEnd w:id="14"/>
    </w:p>
    <w:p w14:paraId="16237134" w14:textId="317EC08E" w:rsidR="005E16D1" w:rsidRDefault="005E16D1" w:rsidP="005E16D1">
      <w:pPr>
        <w:pStyle w:val="Paragraph"/>
      </w:pPr>
      <w:r>
        <w:t xml:space="preserve">We selected the sample of licences from the ACMA </w:t>
      </w:r>
      <w:hyperlink r:id="rId41" w:history="1">
        <w:r w:rsidRPr="00DC49A3">
          <w:rPr>
            <w:rStyle w:val="Hyperlink"/>
          </w:rPr>
          <w:t>Register of Radiocommunications Licences</w:t>
        </w:r>
      </w:hyperlink>
      <w:r>
        <w:t xml:space="preserve"> (RRL)</w:t>
      </w:r>
      <w:r w:rsidR="00AD7464">
        <w:t>,</w:t>
      </w:r>
      <w:r>
        <w:t xml:space="preserve"> a public database containing current information of all Radiocommunications licences issued by the ACMA. We r</w:t>
      </w:r>
      <w:r w:rsidRPr="00977B21">
        <w:t>eview</w:t>
      </w:r>
      <w:r>
        <w:t>ed the</w:t>
      </w:r>
      <w:r w:rsidRPr="00977B21">
        <w:t xml:space="preserve"> constitution of LPON licence allocations, looking at geographic patterns, </w:t>
      </w:r>
      <w:r>
        <w:t>l</w:t>
      </w:r>
      <w:r w:rsidRPr="00977B21">
        <w:t>icensee licence holdings and other features (such as suspected clustering</w:t>
      </w:r>
      <w:r>
        <w:rPr>
          <w:rStyle w:val="FootnoteReference"/>
        </w:rPr>
        <w:footnoteReference w:id="10"/>
      </w:r>
      <w:r w:rsidRPr="00977B21">
        <w:t>).</w:t>
      </w:r>
      <w:r>
        <w:t xml:space="preserve"> We took a partially randomised sample stratified by state. </w:t>
      </w:r>
    </w:p>
    <w:p w14:paraId="68BA83B9" w14:textId="77777777" w:rsidR="005E16D1" w:rsidRDefault="005E16D1" w:rsidP="005E16D1">
      <w:pPr>
        <w:pStyle w:val="Paragraph"/>
      </w:pPr>
      <w:r>
        <w:t>Our sample was 150 licences spread between all states and territories. Of the 150 licences selected, 90 w</w:t>
      </w:r>
      <w:bookmarkStart w:id="15" w:name="_Hlk164332521"/>
      <w:r>
        <w:t xml:space="preserve">ere included </w:t>
      </w:r>
      <w:bookmarkEnd w:id="15"/>
      <w:r>
        <w:t xml:space="preserve">for the field audit component. Licensees were not advised of their inclusion in the field audit component ahead of the audit activity.    </w:t>
      </w:r>
    </w:p>
    <w:p w14:paraId="565C3403" w14:textId="77777777" w:rsidR="005E16D1" w:rsidRDefault="005E16D1" w:rsidP="005E16D1">
      <w:pPr>
        <w:pStyle w:val="Figureheading"/>
        <w:spacing w:line="240" w:lineRule="atLeast"/>
      </w:pPr>
      <w:r>
        <w:t>Sites included in the audit</w:t>
      </w:r>
    </w:p>
    <w:p w14:paraId="14C56FC2" w14:textId="77777777" w:rsidR="005E16D1" w:rsidRDefault="005E16D1" w:rsidP="005E16D1">
      <w:pPr>
        <w:pStyle w:val="Paragraph"/>
      </w:pPr>
      <w:r w:rsidRPr="00694ABD">
        <w:rPr>
          <w:noProof/>
        </w:rPr>
        <w:drawing>
          <wp:inline distT="0" distB="0" distL="0" distR="0" wp14:anchorId="7F5FDAEF" wp14:editId="771E4975">
            <wp:extent cx="5638800" cy="437473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2"/>
                    <a:srcRect l="17547" r="17547"/>
                    <a:stretch>
                      <a:fillRect/>
                    </a:stretch>
                  </pic:blipFill>
                  <pic:spPr bwMode="auto">
                    <a:xfrm>
                      <a:off x="0" y="0"/>
                      <a:ext cx="5638800" cy="4374736"/>
                    </a:xfrm>
                    <a:prstGeom prst="rect">
                      <a:avLst/>
                    </a:prstGeom>
                    <a:noFill/>
                    <a:ln>
                      <a:noFill/>
                    </a:ln>
                    <a:extLst>
                      <a:ext uri="{53640926-AAD7-44D8-BBD7-CCE9431645EC}">
                        <a14:shadowObscured xmlns:a14="http://schemas.microsoft.com/office/drawing/2010/main"/>
                      </a:ext>
                    </a:extLst>
                  </pic:spPr>
                </pic:pic>
              </a:graphicData>
            </a:graphic>
          </wp:inline>
        </w:drawing>
      </w:r>
    </w:p>
    <w:p w14:paraId="0F8D5A93" w14:textId="77777777" w:rsidR="005E16D1" w:rsidRDefault="005E16D1" w:rsidP="002B2F58">
      <w:pPr>
        <w:pStyle w:val="Heading2"/>
        <w:keepLines/>
      </w:pPr>
      <w:bookmarkStart w:id="16" w:name="_Toc168578734"/>
      <w:bookmarkStart w:id="17" w:name="_Toc178602476"/>
      <w:r>
        <w:lastRenderedPageBreak/>
        <w:t>Desktop audit</w:t>
      </w:r>
      <w:bookmarkEnd w:id="16"/>
      <w:bookmarkEnd w:id="17"/>
    </w:p>
    <w:p w14:paraId="5700B7F6" w14:textId="0655BB23" w:rsidR="005E16D1" w:rsidRDefault="005E16D1" w:rsidP="002B2F58">
      <w:pPr>
        <w:pStyle w:val="Heading3"/>
        <w:keepLines/>
      </w:pPr>
      <w:r>
        <w:t xml:space="preserve">Request for </w:t>
      </w:r>
      <w:r w:rsidR="00B854E2">
        <w:t>r</w:t>
      </w:r>
      <w:r>
        <w:t>ecords</w:t>
      </w:r>
    </w:p>
    <w:p w14:paraId="519E2B2A" w14:textId="2CCF19E1" w:rsidR="005E16D1" w:rsidRDefault="00B854E2" w:rsidP="002B2F58">
      <w:pPr>
        <w:pStyle w:val="Paragraphbeforelist"/>
        <w:keepNext/>
        <w:keepLines/>
      </w:pPr>
      <w:r>
        <w:t xml:space="preserve">We emailed </w:t>
      </w:r>
      <w:r w:rsidR="005E16D1">
        <w:t>all licensees in the audit</w:t>
      </w:r>
      <w:r>
        <w:t xml:space="preserve">, asking them </w:t>
      </w:r>
      <w:r w:rsidR="005E16D1">
        <w:t xml:space="preserve">to demonstrate, for each licence, that: </w:t>
      </w:r>
    </w:p>
    <w:p w14:paraId="3BEAB915" w14:textId="3089FC70" w:rsidR="005E16D1" w:rsidRPr="00B854E2" w:rsidRDefault="00B854E2" w:rsidP="002B2F58">
      <w:pPr>
        <w:pStyle w:val="Bulletlevel1"/>
        <w:keepNext/>
        <w:keepLines/>
      </w:pPr>
      <w:r>
        <w:t xml:space="preserve">they </w:t>
      </w:r>
      <w:r w:rsidR="005E16D1" w:rsidRPr="00B854E2">
        <w:t xml:space="preserve">had maintained a logbook for a recent </w:t>
      </w:r>
      <w:r>
        <w:t>2</w:t>
      </w:r>
      <w:r w:rsidR="005E16D1" w:rsidRPr="00B854E2">
        <w:t>-month period containing the hours/events of operation</w:t>
      </w:r>
    </w:p>
    <w:p w14:paraId="36CB37C4" w14:textId="07D4EBF1" w:rsidR="005E16D1" w:rsidRPr="00B854E2" w:rsidRDefault="00B854E2" w:rsidP="002B2F58">
      <w:pPr>
        <w:pStyle w:val="Bulletlevel1"/>
        <w:keepNext/>
        <w:keepLines/>
      </w:pPr>
      <w:r>
        <w:t>they had e</w:t>
      </w:r>
      <w:r w:rsidR="005E16D1" w:rsidRPr="00B854E2">
        <w:t xml:space="preserve">vidence </w:t>
      </w:r>
      <w:r>
        <w:t xml:space="preserve">that they were </w:t>
      </w:r>
      <w:r w:rsidR="005E16D1" w:rsidRPr="00B854E2">
        <w:t>keeping broadcast recording</w:t>
      </w:r>
      <w:r>
        <w:t>s</w:t>
      </w:r>
    </w:p>
    <w:p w14:paraId="2D272B94" w14:textId="05755B3F" w:rsidR="005E16D1" w:rsidRDefault="00B854E2" w:rsidP="002B2F58">
      <w:pPr>
        <w:pStyle w:val="Bulletlevel1last"/>
        <w:keepNext/>
        <w:keepLines/>
      </w:pPr>
      <w:r>
        <w:t>they had i</w:t>
      </w:r>
      <w:r w:rsidR="005E16D1" w:rsidRPr="00B854E2">
        <w:t>nform</w:t>
      </w:r>
      <w:r w:rsidR="005E16D1">
        <w:t xml:space="preserve">ation about the nature of the service the licensee was providing. </w:t>
      </w:r>
    </w:p>
    <w:p w14:paraId="1928CADE" w14:textId="77777777" w:rsidR="005E16D1" w:rsidRDefault="005E16D1" w:rsidP="002B2F58">
      <w:pPr>
        <w:pStyle w:val="Paragraph"/>
        <w:rPr>
          <w:b/>
          <w:bCs/>
        </w:rPr>
      </w:pPr>
      <w:r w:rsidDel="00B01E78">
        <w:t>Requests for removal from the audit were considered during this stage where special or compelling circumstances were demonstrated.</w:t>
      </w:r>
      <w:r>
        <w:t xml:space="preserve"> Compelling circumstances included, for example, where the licence was a recent acquisition, or had been the subject of recent compliance or audit action, which had caused the licence to come into compliance.</w:t>
      </w:r>
    </w:p>
    <w:p w14:paraId="4CFB70E7" w14:textId="77777777" w:rsidR="005E16D1" w:rsidRPr="00DD7C8F" w:rsidRDefault="005E16D1" w:rsidP="002B2F58">
      <w:pPr>
        <w:pStyle w:val="Heading3"/>
      </w:pPr>
      <w:r>
        <w:t>Assessment of records</w:t>
      </w:r>
    </w:p>
    <w:p w14:paraId="652727FB" w14:textId="7DD593BB" w:rsidR="005E16D1" w:rsidRDefault="005E16D1" w:rsidP="002B2F58">
      <w:pPr>
        <w:pStyle w:val="Paragraph"/>
      </w:pPr>
      <w:r w:rsidRPr="00E91934">
        <w:t xml:space="preserve">All responses </w:t>
      </w:r>
      <w:r>
        <w:t xml:space="preserve">were audited separately, by </w:t>
      </w:r>
      <w:r w:rsidR="00B854E2">
        <w:t xml:space="preserve">2 </w:t>
      </w:r>
      <w:r>
        <w:t>different ACMA staff members. Each audit was conducted fresh and based only upon the specific material provided in response to the letter</w:t>
      </w:r>
      <w:r w:rsidRPr="00CD5B51">
        <w:t xml:space="preserve">. </w:t>
      </w:r>
    </w:p>
    <w:p w14:paraId="2A35AEC3" w14:textId="77777777" w:rsidR="005E16D1" w:rsidRDefault="005E16D1" w:rsidP="005E16D1">
      <w:pPr>
        <w:pStyle w:val="Numberlistlevel1"/>
        <w:keepNext/>
        <w:keepLines/>
        <w:numPr>
          <w:ilvl w:val="0"/>
          <w:numId w:val="0"/>
        </w:numPr>
        <w:ind w:left="360" w:hanging="360"/>
        <w:rPr>
          <w:b/>
          <w:bCs/>
        </w:rPr>
      </w:pPr>
      <w:r w:rsidRPr="00E91934">
        <w:rPr>
          <w:b/>
          <w:bCs/>
        </w:rPr>
        <w:t xml:space="preserve">Narrowing of field audit sample </w:t>
      </w:r>
    </w:p>
    <w:p w14:paraId="687E3BDD" w14:textId="77777777" w:rsidR="005E16D1" w:rsidRPr="007B0952" w:rsidRDefault="005E16D1" w:rsidP="002B2F58">
      <w:pPr>
        <w:pStyle w:val="Paragraph"/>
      </w:pPr>
      <w:r w:rsidRPr="007B0952">
        <w:t xml:space="preserve">After considering the information provided through the desktop audit, the field audit sample was reduced to exclude the licences </w:t>
      </w:r>
      <w:r>
        <w:t>where staff formed the reasonable view that the station was not active. These licences were flagged for follow-up compliance action.</w:t>
      </w:r>
    </w:p>
    <w:p w14:paraId="4DCB82FF" w14:textId="77777777" w:rsidR="005E16D1" w:rsidRDefault="005E16D1" w:rsidP="005E16D1">
      <w:pPr>
        <w:pStyle w:val="Heading2"/>
      </w:pPr>
      <w:bookmarkStart w:id="18" w:name="_Toc168578735"/>
      <w:bookmarkStart w:id="19" w:name="_Toc178602477"/>
      <w:r>
        <w:t>Field audit</w:t>
      </w:r>
      <w:bookmarkEnd w:id="18"/>
      <w:bookmarkEnd w:id="19"/>
    </w:p>
    <w:p w14:paraId="136D5831" w14:textId="77777777" w:rsidR="005E16D1" w:rsidRDefault="005E16D1" w:rsidP="005E16D1">
      <w:pPr>
        <w:pStyle w:val="Numberlistlevel1"/>
        <w:keepNext/>
        <w:keepLines/>
        <w:numPr>
          <w:ilvl w:val="0"/>
          <w:numId w:val="0"/>
        </w:numPr>
        <w:rPr>
          <w:b/>
          <w:bCs/>
        </w:rPr>
      </w:pPr>
      <w:r w:rsidRPr="00232699">
        <w:rPr>
          <w:b/>
          <w:bCs/>
        </w:rPr>
        <w:t>Drive</w:t>
      </w:r>
      <w:r w:rsidRPr="1BBAC0B5">
        <w:rPr>
          <w:b/>
          <w:bCs/>
        </w:rPr>
        <w:t>-</w:t>
      </w:r>
      <w:r w:rsidRPr="00232699">
        <w:rPr>
          <w:b/>
          <w:bCs/>
        </w:rPr>
        <w:t>by assessment</w:t>
      </w:r>
    </w:p>
    <w:p w14:paraId="64DD0453" w14:textId="53D97D53" w:rsidR="005E16D1" w:rsidRPr="006C6D2F" w:rsidRDefault="005E16D1" w:rsidP="002B2F58">
      <w:pPr>
        <w:pStyle w:val="Paragraph"/>
      </w:pPr>
      <w:r>
        <w:t>Using a handheld spectrum analyser and a small portable VHF antenna</w:t>
      </w:r>
      <w:r w:rsidR="00B854E2">
        <w:t>,</w:t>
      </w:r>
      <w:r>
        <w:t xml:space="preserve"> such as a telescopic whip, ACMA staff conducted a drive-by assessment at the licensed LPON location to ascertain whether a service was active in the correct location and at the licenced frequency.</w:t>
      </w:r>
    </w:p>
    <w:p w14:paraId="0DFBCAA8" w14:textId="7EDB3D3D" w:rsidR="005E16D1" w:rsidRDefault="005E16D1" w:rsidP="002B2F58">
      <w:pPr>
        <w:pStyle w:val="Paragraph"/>
        <w:rPr>
          <w:szCs w:val="20"/>
        </w:rPr>
      </w:pPr>
      <w:r>
        <w:rPr>
          <w:szCs w:val="20"/>
        </w:rPr>
        <w:t xml:space="preserve">Photographs and contemporaneous observations </w:t>
      </w:r>
      <w:r w:rsidR="00B854E2">
        <w:rPr>
          <w:szCs w:val="20"/>
        </w:rPr>
        <w:t xml:space="preserve">were </w:t>
      </w:r>
      <w:r>
        <w:rPr>
          <w:szCs w:val="20"/>
        </w:rPr>
        <w:t xml:space="preserve">made of the antenna type and the station technical parameters. </w:t>
      </w:r>
    </w:p>
    <w:p w14:paraId="0F9A5518" w14:textId="0E9622A5" w:rsidR="005E16D1" w:rsidRDefault="005E16D1" w:rsidP="002B2F58">
      <w:pPr>
        <w:pStyle w:val="Paragraph"/>
      </w:pPr>
      <w:r>
        <w:t xml:space="preserve">If the drive-by assessment indicated that the station </w:t>
      </w:r>
      <w:r w:rsidR="00B854E2">
        <w:t xml:space="preserve">was </w:t>
      </w:r>
      <w:r>
        <w:t>inactive</w:t>
      </w:r>
      <w:r w:rsidR="00B854E2">
        <w:t>,</w:t>
      </w:r>
      <w:r>
        <w:t xml:space="preserve"> further </w:t>
      </w:r>
      <w:r w:rsidR="00B854E2">
        <w:t>e</w:t>
      </w:r>
      <w:r>
        <w:t>nquiries were made at the licensed site to inform the possibility of service regularity or UIOLI condition breaches.</w:t>
      </w:r>
    </w:p>
    <w:p w14:paraId="2EBF26D4" w14:textId="7833557A" w:rsidR="005E16D1" w:rsidRPr="00FA779B" w:rsidRDefault="005E16D1" w:rsidP="002B2F58">
      <w:pPr>
        <w:pStyle w:val="Heading3"/>
      </w:pPr>
      <w:r w:rsidRPr="00FA779B">
        <w:t xml:space="preserve">Field </w:t>
      </w:r>
      <w:r w:rsidR="00B854E2">
        <w:t>s</w:t>
      </w:r>
      <w:r w:rsidRPr="00FA779B">
        <w:t>trength assessment</w:t>
      </w:r>
    </w:p>
    <w:p w14:paraId="764153D3" w14:textId="29259D02" w:rsidR="005E16D1" w:rsidRDefault="005E16D1" w:rsidP="002B2F58">
      <w:pPr>
        <w:pStyle w:val="Paragraph"/>
      </w:pPr>
      <w:r>
        <w:t>If the drive-by assessment indicated that the station was active</w:t>
      </w:r>
      <w:r w:rsidR="00B854E2">
        <w:t>,</w:t>
      </w:r>
      <w:r>
        <w:t xml:space="preserve"> ACMA staff undertook a field strength assessment in accordance with Section 4.9 or 4.10 of the Broadcasting LCD, that is, the received signal strength must not exceed 48 </w:t>
      </w:r>
      <w:proofErr w:type="spellStart"/>
      <w:r>
        <w:t>db</w:t>
      </w:r>
      <w:r w:rsidRPr="1BBAC0B5">
        <w:t>µ</w:t>
      </w:r>
      <w:r>
        <w:t>V</w:t>
      </w:r>
      <w:proofErr w:type="spellEnd"/>
      <w:r>
        <w:t>/m</w:t>
      </w:r>
      <w:r w:rsidRPr="1BBAC0B5">
        <w:rPr>
          <w:vertAlign w:val="superscript"/>
        </w:rPr>
        <w:t>2</w:t>
      </w:r>
      <w:r>
        <w:t>.</w:t>
      </w:r>
    </w:p>
    <w:p w14:paraId="4339CA6D" w14:textId="4C6D9E14" w:rsidR="005E16D1" w:rsidRPr="006C6D2F" w:rsidRDefault="005E16D1" w:rsidP="002B2F58">
      <w:pPr>
        <w:pStyle w:val="Paragraph"/>
      </w:pPr>
      <w:r>
        <w:t>This assessment require</w:t>
      </w:r>
      <w:r w:rsidR="00B854E2">
        <w:t>d</w:t>
      </w:r>
      <w:r>
        <w:t xml:space="preserve"> a series of calibrated field strength measurements and calculations to determine what the field strength </w:t>
      </w:r>
      <w:r w:rsidR="00B854E2">
        <w:t>was</w:t>
      </w:r>
      <w:r>
        <w:t xml:space="preserve"> at</w:t>
      </w:r>
      <w:r w:rsidR="00B854E2">
        <w:t>,</w:t>
      </w:r>
      <w:r>
        <w:t xml:space="preserve"> or just beyond</w:t>
      </w:r>
      <w:r w:rsidR="00B854E2">
        <w:t>,</w:t>
      </w:r>
      <w:r>
        <w:t xml:space="preserve"> the boundary (2 or 10</w:t>
      </w:r>
      <w:r w:rsidR="00B854E2">
        <w:t xml:space="preserve"> </w:t>
      </w:r>
      <w:r>
        <w:t>km radius) around the station’s antenna.</w:t>
      </w:r>
    </w:p>
    <w:p w14:paraId="1B178C58" w14:textId="5E50916F" w:rsidR="005E16D1" w:rsidRPr="006C6D2F" w:rsidRDefault="005E16D1" w:rsidP="00161784">
      <w:pPr>
        <w:pStyle w:val="Paragraph"/>
        <w:keepNext/>
        <w:keepLines/>
      </w:pPr>
      <w:r>
        <w:lastRenderedPageBreak/>
        <w:t xml:space="preserve">A Rhode and Schwartz ETL spectrum analyser and a 10m pump-up pneumatic mast </w:t>
      </w:r>
      <w:r w:rsidR="00B854E2">
        <w:t>we</w:t>
      </w:r>
      <w:r>
        <w:t xml:space="preserve">re used to conduct the measurements. A Hills 3 element fold-up VHF Yagi antenna or a </w:t>
      </w:r>
      <w:proofErr w:type="spellStart"/>
      <w:r>
        <w:t>Matchmaster</w:t>
      </w:r>
      <w:proofErr w:type="spellEnd"/>
      <w:r>
        <w:t xml:space="preserve"> FM-03 fold-up VHF Yagi antenna </w:t>
      </w:r>
      <w:r w:rsidR="00B854E2">
        <w:t xml:space="preserve">was </w:t>
      </w:r>
      <w:r>
        <w:t>connected to the analyser. Each antenna ha</w:t>
      </w:r>
      <w:r w:rsidR="00B854E2">
        <w:t>d</w:t>
      </w:r>
      <w:r>
        <w:t xml:space="preserve"> its own unique antenna factor which form</w:t>
      </w:r>
      <w:r w:rsidR="00B854E2">
        <w:t>ed</w:t>
      </w:r>
      <w:r>
        <w:t xml:space="preserve"> part of the corrected field strength calculations.</w:t>
      </w:r>
    </w:p>
    <w:p w14:paraId="716FD027" w14:textId="4C08A746" w:rsidR="005E16D1" w:rsidRDefault="005E16D1" w:rsidP="002B2F58">
      <w:pPr>
        <w:pStyle w:val="Paragraph"/>
        <w:rPr>
          <w:b/>
        </w:rPr>
      </w:pPr>
      <w:r>
        <w:t xml:space="preserve">Two or </w:t>
      </w:r>
      <w:r w:rsidR="00B854E2">
        <w:t xml:space="preserve">3 </w:t>
      </w:r>
      <w:r>
        <w:t xml:space="preserve">measurements at each measurement location </w:t>
      </w:r>
      <w:r w:rsidR="00B854E2">
        <w:t>we</w:t>
      </w:r>
      <w:r>
        <w:t>re made, spaced approximately 20</w:t>
      </w:r>
      <w:r w:rsidR="00B854E2">
        <w:t>–</w:t>
      </w:r>
      <w:r>
        <w:t>50 meters apart, for a total of 6 to 9 measurements. ACMA staff, subject to environmental factors, ma</w:t>
      </w:r>
      <w:r w:rsidR="002425AA">
        <w:t>d</w:t>
      </w:r>
      <w:r>
        <w:t xml:space="preserve">e best endeavours to equally space measurement sites around the boundary. Each measurement </w:t>
      </w:r>
      <w:r w:rsidR="002425AA">
        <w:t>wa</w:t>
      </w:r>
      <w:r>
        <w:t xml:space="preserve">s entered into the LPON </w:t>
      </w:r>
      <w:r w:rsidR="002425AA">
        <w:t>a</w:t>
      </w:r>
      <w:r>
        <w:t xml:space="preserve">udit tracker app and an averaged field strength </w:t>
      </w:r>
      <w:r w:rsidR="002425AA">
        <w:t>wa</w:t>
      </w:r>
      <w:r>
        <w:t>s calculated for the licence by averaging all measurements made by applying the following formula:</w:t>
      </w:r>
    </w:p>
    <w:p w14:paraId="69914D3E" w14:textId="77777777" w:rsidR="005E16D1" w:rsidRPr="006001E5" w:rsidRDefault="005E16D1" w:rsidP="005E16D1">
      <w:pPr>
        <w:spacing w:before="120" w:after="120" w:line="240" w:lineRule="auto"/>
        <w:jc w:val="center"/>
        <w:rPr>
          <w:b/>
        </w:rPr>
      </w:pPr>
      <w:r w:rsidRPr="006001E5">
        <w:rPr>
          <w:b/>
        </w:rPr>
        <w:t>CFS (</w:t>
      </w:r>
      <w:proofErr w:type="spellStart"/>
      <w:r w:rsidRPr="006001E5">
        <w:rPr>
          <w:b/>
        </w:rPr>
        <w:t>dB</w:t>
      </w:r>
      <w:r w:rsidRPr="006001E5">
        <w:rPr>
          <w:rFonts w:cs="Arial"/>
          <w:b/>
          <w:szCs w:val="20"/>
        </w:rPr>
        <w:t>µ</w:t>
      </w:r>
      <w:r w:rsidRPr="006001E5">
        <w:rPr>
          <w:b/>
        </w:rPr>
        <w:t>V</w:t>
      </w:r>
      <w:proofErr w:type="spellEnd"/>
      <w:r w:rsidRPr="006001E5">
        <w:rPr>
          <w:b/>
        </w:rPr>
        <w:t>/m</w:t>
      </w:r>
      <w:r w:rsidRPr="006001E5">
        <w:rPr>
          <w:b/>
          <w:vertAlign w:val="superscript"/>
        </w:rPr>
        <w:t>2</w:t>
      </w:r>
      <w:r w:rsidRPr="006001E5">
        <w:rPr>
          <w:b/>
        </w:rPr>
        <w:t>) = MFS+AF+SL-MU</w:t>
      </w:r>
    </w:p>
    <w:p w14:paraId="4A3CF484" w14:textId="75C22C4F" w:rsidR="005E16D1" w:rsidRPr="006058B5" w:rsidRDefault="005E16D1" w:rsidP="006058B5">
      <w:pPr>
        <w:pStyle w:val="Paragraph"/>
        <w:rPr>
          <w:b/>
        </w:rPr>
      </w:pPr>
      <w:r w:rsidRPr="006001E5">
        <w:t>Where:</w:t>
      </w:r>
      <w:r w:rsidR="002425AA">
        <w:rPr>
          <w:i/>
          <w:iCs/>
        </w:rPr>
        <w:br/>
      </w:r>
      <w:r w:rsidRPr="006058B5">
        <w:t>CFS = Calculated Field Strength</w:t>
      </w:r>
      <w:r w:rsidR="002425AA" w:rsidRPr="006058B5">
        <w:br/>
      </w:r>
      <w:r w:rsidRPr="006058B5">
        <w:t>MFS (</w:t>
      </w:r>
      <w:proofErr w:type="spellStart"/>
      <w:r w:rsidRPr="006058B5">
        <w:t>dBµV</w:t>
      </w:r>
      <w:proofErr w:type="spellEnd"/>
      <w:r w:rsidRPr="006058B5">
        <w:t>/m2) = Measured Field Strength</w:t>
      </w:r>
      <w:r w:rsidR="002425AA" w:rsidRPr="006058B5">
        <w:br/>
      </w:r>
      <w:r w:rsidRPr="006058B5">
        <w:t>AF (in dB) = Antenna factor</w:t>
      </w:r>
      <w:r w:rsidR="002425AA" w:rsidRPr="006058B5">
        <w:br/>
      </w:r>
      <w:r w:rsidRPr="006058B5">
        <w:t>SL (in dB) = System loss</w:t>
      </w:r>
      <w:r w:rsidR="002425AA" w:rsidRPr="006058B5">
        <w:br/>
      </w:r>
      <w:r w:rsidRPr="006058B5">
        <w:t>MU (in dB) = Measurement uncertainty</w:t>
      </w:r>
      <w:r w:rsidRPr="2A05B3E7">
        <w:rPr>
          <w:rStyle w:val="FootnoteReference"/>
        </w:rPr>
        <w:footnoteReference w:id="11"/>
      </w:r>
    </w:p>
    <w:p w14:paraId="5DF974C3" w14:textId="6F2A16D6" w:rsidR="005E16D1" w:rsidRPr="00A54440" w:rsidRDefault="005E16D1" w:rsidP="00161784">
      <w:pPr>
        <w:pStyle w:val="Figureheading"/>
      </w:pPr>
      <w:r w:rsidRPr="00161784">
        <w:t>Field</w:t>
      </w:r>
      <w:r w:rsidRPr="00A54440">
        <w:t xml:space="preserve"> </w:t>
      </w:r>
      <w:r w:rsidR="002425AA">
        <w:t>m</w:t>
      </w:r>
      <w:r w:rsidRPr="00A54440">
        <w:t xml:space="preserve">easurement </w:t>
      </w:r>
      <w:r w:rsidR="002425AA">
        <w:t>r</w:t>
      </w:r>
      <w:r w:rsidRPr="00A54440">
        <w:t xml:space="preserve">esult </w:t>
      </w:r>
      <w:r w:rsidR="002425AA">
        <w:t>e</w:t>
      </w:r>
      <w:r w:rsidRPr="00A54440">
        <w:t>xample</w:t>
      </w:r>
    </w:p>
    <w:p w14:paraId="4601370E" w14:textId="43189C63" w:rsidR="005E16D1" w:rsidRDefault="005E16D1" w:rsidP="006058B5">
      <w:pPr>
        <w:pStyle w:val="Paragraph"/>
        <w:rPr>
          <w:b/>
        </w:rPr>
      </w:pPr>
      <w:r>
        <w:rPr>
          <w:noProof/>
        </w:rPr>
        <w:drawing>
          <wp:inline distT="0" distB="0" distL="0" distR="0" wp14:anchorId="23E7B931" wp14:editId="67D5030C">
            <wp:extent cx="6143625" cy="3452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59208" cy="3461392"/>
                    </a:xfrm>
                    <a:prstGeom prst="rect">
                      <a:avLst/>
                    </a:prstGeom>
                  </pic:spPr>
                </pic:pic>
              </a:graphicData>
            </a:graphic>
          </wp:inline>
        </w:drawing>
      </w:r>
    </w:p>
    <w:p w14:paraId="0B5902F3" w14:textId="1BA86E16" w:rsidR="005E16D1" w:rsidRDefault="005E16D1" w:rsidP="006058B5">
      <w:pPr>
        <w:pStyle w:val="Paragraph"/>
        <w:rPr>
          <w:rStyle w:val="FootnoteReference"/>
        </w:rPr>
      </w:pPr>
      <w:r>
        <w:t xml:space="preserve">Figure </w:t>
      </w:r>
      <w:r w:rsidR="00161784">
        <w:t xml:space="preserve">3 </w:t>
      </w:r>
      <w:r>
        <w:t xml:space="preserve">shows the typical measurement pattern for an LPON licence audit being entered into the </w:t>
      </w:r>
      <w:r w:rsidR="002425AA">
        <w:t>a</w:t>
      </w:r>
      <w:r>
        <w:t xml:space="preserve">udit application. </w:t>
      </w:r>
    </w:p>
    <w:p w14:paraId="70D2CE02" w14:textId="77777777" w:rsidR="005E16D1" w:rsidRPr="00C35CCE" w:rsidRDefault="005E16D1" w:rsidP="005E16D1">
      <w:pPr>
        <w:pStyle w:val="Heading1"/>
      </w:pPr>
      <w:bookmarkStart w:id="20" w:name="_Toc40799117"/>
      <w:bookmarkStart w:id="21" w:name="_Toc111558379"/>
      <w:bookmarkStart w:id="22" w:name="_Toc168578736"/>
      <w:bookmarkStart w:id="23" w:name="_Toc178602478"/>
      <w:r>
        <w:lastRenderedPageBreak/>
        <w:t>Outcomes</w:t>
      </w:r>
      <w:bookmarkEnd w:id="20"/>
      <w:bookmarkEnd w:id="21"/>
      <w:bookmarkEnd w:id="22"/>
      <w:bookmarkEnd w:id="23"/>
    </w:p>
    <w:p w14:paraId="62362999" w14:textId="77777777" w:rsidR="005E16D1" w:rsidRDefault="005E16D1" w:rsidP="005E16D1">
      <w:pPr>
        <w:pStyle w:val="Heading2"/>
      </w:pPr>
      <w:bookmarkStart w:id="24" w:name="_Toc168578737"/>
      <w:bookmarkStart w:id="25" w:name="_Toc178602479"/>
      <w:r>
        <w:t>Desktop audit findings</w:t>
      </w:r>
      <w:bookmarkEnd w:id="24"/>
      <w:bookmarkEnd w:id="25"/>
    </w:p>
    <w:p w14:paraId="52E6AA9F" w14:textId="278B48A1" w:rsidR="005E16D1" w:rsidRDefault="005E16D1" w:rsidP="005E16D1">
      <w:pPr>
        <w:pStyle w:val="Paragraph"/>
      </w:pPr>
      <w:r>
        <w:t>At the outset of the audit</w:t>
      </w:r>
      <w:r w:rsidR="00C10EB1">
        <w:t>,</w:t>
      </w:r>
      <w:r>
        <w:t xml:space="preserve"> the initial sample (150), was reduced due to removal of licences due to transfer, surrender and other factors occurring between the sampling date and the commencement of audit. All licensees in the reduced sample (142) were audited for compliance with the </w:t>
      </w:r>
      <w:r w:rsidR="00C10EB1">
        <w:t>d</w:t>
      </w:r>
      <w:r>
        <w:t xml:space="preserve">esktop </w:t>
      </w:r>
      <w:r w:rsidR="00C10EB1">
        <w:t>a</w:t>
      </w:r>
      <w:r>
        <w:t xml:space="preserve">udit obligations. </w:t>
      </w:r>
    </w:p>
    <w:p w14:paraId="762C8002" w14:textId="30597D63" w:rsidR="005E16D1" w:rsidRDefault="005E16D1" w:rsidP="005E16D1">
      <w:pPr>
        <w:pStyle w:val="Paragraph"/>
      </w:pPr>
      <w:r>
        <w:t>Findings of the desktop audit indicated significant non-compliance with the requirements to keep records (49%). This was comprised of inadequate record keeping (30%) and no records, or a failure to respond to the request for information (19%).</w:t>
      </w:r>
    </w:p>
    <w:p w14:paraId="2437BC4C" w14:textId="77777777" w:rsidR="005E16D1" w:rsidRDefault="005E16D1" w:rsidP="005E16D1">
      <w:pPr>
        <w:pStyle w:val="Paragraph"/>
      </w:pPr>
      <w:r>
        <w:t>A significant number of licensees were found to be in breach of the UIOLI provisions (21%). There were also a small number of breaches in relation to service regularity and unlicensed transmitters.</w:t>
      </w:r>
    </w:p>
    <w:p w14:paraId="093F74EC" w14:textId="43F6820D" w:rsidR="005E16D1" w:rsidRPr="00002DFE" w:rsidRDefault="005E16D1" w:rsidP="006058B5">
      <w:pPr>
        <w:pStyle w:val="Heading3"/>
      </w:pPr>
      <w:r w:rsidRPr="00002DFE">
        <w:t xml:space="preserve">Record </w:t>
      </w:r>
      <w:r w:rsidR="00C10EB1">
        <w:t>k</w:t>
      </w:r>
      <w:r w:rsidRPr="00002DFE">
        <w:t xml:space="preserve">eeping </w:t>
      </w:r>
      <w:r w:rsidR="00C10EB1">
        <w:t>o</w:t>
      </w:r>
      <w:r w:rsidRPr="00002DFE">
        <w:t>bligations</w:t>
      </w:r>
    </w:p>
    <w:p w14:paraId="627535E2" w14:textId="7FA5E099" w:rsidR="005E16D1" w:rsidRDefault="005E16D1" w:rsidP="006058B5">
      <w:pPr>
        <w:pStyle w:val="Paragraphbeforelist"/>
      </w:pPr>
      <w:r>
        <w:t xml:space="preserve">The </w:t>
      </w:r>
      <w:r w:rsidR="00C10EB1">
        <w:t>r</w:t>
      </w:r>
      <w:r>
        <w:t xml:space="preserve">ecord </w:t>
      </w:r>
      <w:r w:rsidR="00C10EB1">
        <w:t>k</w:t>
      </w:r>
      <w:r>
        <w:t xml:space="preserve">eeping </w:t>
      </w:r>
      <w:r w:rsidR="00C10EB1">
        <w:t>o</w:t>
      </w:r>
      <w:r>
        <w:t>bligations include the requirements to keep a logbook containing</w:t>
      </w:r>
      <w:r w:rsidR="00C10EB1">
        <w:t xml:space="preserve"> </w:t>
      </w:r>
      <w:proofErr w:type="gramStart"/>
      <w:r w:rsidR="00C10EB1">
        <w:t>all of</w:t>
      </w:r>
      <w:proofErr w:type="gramEnd"/>
      <w:r w:rsidR="00C10EB1">
        <w:t xml:space="preserve"> the following</w:t>
      </w:r>
      <w:r>
        <w:t>:</w:t>
      </w:r>
    </w:p>
    <w:p w14:paraId="45A10920" w14:textId="5FF184F0" w:rsidR="005E16D1" w:rsidRPr="00C10EB1" w:rsidRDefault="005E16D1" w:rsidP="006058B5">
      <w:pPr>
        <w:pStyle w:val="Bulletlevel1"/>
      </w:pPr>
      <w:r>
        <w:t>the hours/</w:t>
      </w:r>
      <w:r w:rsidRPr="00C10EB1">
        <w:t>events of operation</w:t>
      </w:r>
    </w:p>
    <w:p w14:paraId="4DE7EB4A" w14:textId="7ADF504E" w:rsidR="005E16D1" w:rsidRPr="00C10EB1" w:rsidRDefault="005E16D1" w:rsidP="006058B5">
      <w:pPr>
        <w:pStyle w:val="Bulletlevel1"/>
      </w:pPr>
      <w:r w:rsidRPr="00C10EB1">
        <w:t>commencement of the service</w:t>
      </w:r>
    </w:p>
    <w:p w14:paraId="553A477B" w14:textId="77777777" w:rsidR="005E16D1" w:rsidRDefault="005E16D1" w:rsidP="006058B5">
      <w:pPr>
        <w:pStyle w:val="Bulletlevel1last"/>
      </w:pPr>
      <w:r w:rsidRPr="00C10EB1">
        <w:t>provision of the</w:t>
      </w:r>
      <w:r>
        <w:t xml:space="preserve"> service.</w:t>
      </w:r>
    </w:p>
    <w:p w14:paraId="033E3A29" w14:textId="77777777" w:rsidR="005E16D1" w:rsidRDefault="005E16D1" w:rsidP="006058B5">
      <w:pPr>
        <w:pStyle w:val="Paragraph"/>
      </w:pPr>
      <w:r>
        <w:t>Administrative Appeals Tribunal decisions</w:t>
      </w:r>
      <w:r>
        <w:rPr>
          <w:rStyle w:val="FootnoteReference"/>
        </w:rPr>
        <w:footnoteReference w:id="12"/>
      </w:r>
      <w:r>
        <w:t xml:space="preserve"> have provided further guidance on the requirements and importance of keeping records.</w:t>
      </w:r>
    </w:p>
    <w:p w14:paraId="0549DBEA" w14:textId="77777777" w:rsidR="005E16D1" w:rsidRDefault="005E16D1" w:rsidP="005E16D1">
      <w:pPr>
        <w:pStyle w:val="Bulletlevel1"/>
        <w:numPr>
          <w:ilvl w:val="0"/>
          <w:numId w:val="0"/>
        </w:numPr>
        <w:spacing w:line="240" w:lineRule="auto"/>
      </w:pPr>
      <w:r>
        <w:t xml:space="preserve">We observed that most records found to be inadequate were due to: </w:t>
      </w:r>
    </w:p>
    <w:p w14:paraId="7D864924" w14:textId="0E25DEA6" w:rsidR="005E16D1" w:rsidRPr="00C10EB1" w:rsidRDefault="00C10EB1" w:rsidP="006058B5">
      <w:pPr>
        <w:pStyle w:val="Bulletlevel1"/>
      </w:pPr>
      <w:r>
        <w:t>a</w:t>
      </w:r>
      <w:r w:rsidR="005E16D1">
        <w:t xml:space="preserve"> </w:t>
      </w:r>
      <w:r w:rsidR="005E16D1" w:rsidRPr="00C10EB1">
        <w:t>single logbook being maintained for multiple licences, typically associated with a network of LPON transmitters</w:t>
      </w:r>
    </w:p>
    <w:p w14:paraId="23B0F690" w14:textId="5B87F09F" w:rsidR="005E16D1" w:rsidRDefault="00C10EB1" w:rsidP="006058B5">
      <w:pPr>
        <w:pStyle w:val="Bulletlevel1"/>
      </w:pPr>
      <w:r>
        <w:t>i</w:t>
      </w:r>
      <w:r w:rsidR="005E16D1">
        <w:t>nsufficient details included in the log</w:t>
      </w:r>
      <w:r w:rsidR="131DE3AD">
        <w:t>book</w:t>
      </w:r>
      <w:r w:rsidR="005E16D1">
        <w:t xml:space="preserve"> to determine when and what service was provided</w:t>
      </w:r>
    </w:p>
    <w:p w14:paraId="56EFACAE" w14:textId="0D573439" w:rsidR="005E16D1" w:rsidRDefault="00C10EB1" w:rsidP="006058B5">
      <w:pPr>
        <w:pStyle w:val="Bulletlevel1last"/>
      </w:pPr>
      <w:r>
        <w:t>l</w:t>
      </w:r>
      <w:r w:rsidR="005E16D1">
        <w:t>icensees being unaware of their licence conditions or conflating the record keeping requirements with provisions under the BSA, and not keeping or prematurely disposing of records.</w:t>
      </w:r>
    </w:p>
    <w:p w14:paraId="43C07C28" w14:textId="5B52FE11" w:rsidR="005E16D1" w:rsidRDefault="005E16D1" w:rsidP="005E16D1">
      <w:pPr>
        <w:pStyle w:val="Bulletlevel1"/>
        <w:numPr>
          <w:ilvl w:val="0"/>
          <w:numId w:val="0"/>
        </w:numPr>
        <w:spacing w:line="240" w:lineRule="auto"/>
      </w:pPr>
      <w:r>
        <w:t xml:space="preserve">We also observed that licensees tended to provide inadequate records where they </w:t>
      </w:r>
      <w:r w:rsidR="00C10EB1">
        <w:t xml:space="preserve">had </w:t>
      </w:r>
      <w:r>
        <w:t>leased, or authorised</w:t>
      </w:r>
      <w:r w:rsidR="00161784">
        <w:t>,</w:t>
      </w:r>
      <w:r>
        <w:t xml:space="preserve"> a licence</w:t>
      </w:r>
      <w:r w:rsidR="6C13DE51">
        <w:t xml:space="preserve"> to be operated by a third party</w:t>
      </w:r>
      <w:r>
        <w:t>.</w:t>
      </w:r>
    </w:p>
    <w:p w14:paraId="0F4C1B34" w14:textId="77777777" w:rsidR="005E16D1" w:rsidRDefault="005E16D1" w:rsidP="005E16D1">
      <w:pPr>
        <w:pStyle w:val="Heading2"/>
      </w:pPr>
      <w:bookmarkStart w:id="26" w:name="_Toc168578738"/>
      <w:bookmarkStart w:id="27" w:name="_Toc178602480"/>
      <w:r>
        <w:t>Field audit findings</w:t>
      </w:r>
      <w:bookmarkEnd w:id="26"/>
      <w:bookmarkEnd w:id="27"/>
    </w:p>
    <w:p w14:paraId="75BC548E" w14:textId="77777777" w:rsidR="005E16D1" w:rsidRDefault="005E16D1" w:rsidP="005E16D1">
      <w:pPr>
        <w:pStyle w:val="Paragraph"/>
      </w:pPr>
      <w:r>
        <w:t>Of the 142 licences that were desk audited, we initially intended to include 60% in the field audit. However, where licensees had indicated in response to the desktop audit that a licence was not active, they were not field audited.</w:t>
      </w:r>
    </w:p>
    <w:p w14:paraId="1B63D1CD" w14:textId="27940BE0" w:rsidR="00C10EB1" w:rsidRDefault="005E16D1" w:rsidP="005E16D1">
      <w:pPr>
        <w:pStyle w:val="Paragraph"/>
      </w:pPr>
      <w:r>
        <w:t xml:space="preserve">We therefore field audited 58 licences, which resulted in 46 findings of non-compliance. </w:t>
      </w:r>
    </w:p>
    <w:p w14:paraId="5504D467" w14:textId="46B46C6A" w:rsidR="005E16D1" w:rsidRDefault="005E16D1" w:rsidP="006058B5">
      <w:pPr>
        <w:pStyle w:val="Paragraphbeforelist"/>
        <w:keepNext/>
        <w:keepLines/>
      </w:pPr>
      <w:r>
        <w:lastRenderedPageBreak/>
        <w:t>The non-compliance found</w:t>
      </w:r>
      <w:r w:rsidR="009B30F8">
        <w:t xml:space="preserve"> by field audits</w:t>
      </w:r>
      <w:r>
        <w:t xml:space="preserve"> constituted:</w:t>
      </w:r>
    </w:p>
    <w:p w14:paraId="35556755" w14:textId="77777777" w:rsidR="005E16D1" w:rsidRPr="00C10EB1" w:rsidRDefault="005E16D1" w:rsidP="006058B5">
      <w:pPr>
        <w:pStyle w:val="Bulletlevel1"/>
        <w:keepNext/>
        <w:keepLines/>
      </w:pPr>
      <w:r w:rsidRPr="00C10EB1">
        <w:t>breaches of the UIOLI conditions (38%)</w:t>
      </w:r>
    </w:p>
    <w:p w14:paraId="286A01A5" w14:textId="77777777" w:rsidR="005E16D1" w:rsidRPr="00C10EB1" w:rsidRDefault="005E16D1" w:rsidP="006058B5">
      <w:pPr>
        <w:pStyle w:val="Bulletlevel1"/>
        <w:keepNext/>
        <w:keepLines/>
      </w:pPr>
      <w:r w:rsidRPr="00C10EB1">
        <w:t>overpowered transmitters (between 3dB and 10dB) (19%)</w:t>
      </w:r>
    </w:p>
    <w:p w14:paraId="05CDE1A6" w14:textId="77777777" w:rsidR="005E16D1" w:rsidRPr="00C10EB1" w:rsidRDefault="005E16D1" w:rsidP="006058B5">
      <w:pPr>
        <w:pStyle w:val="Bulletlevel1"/>
        <w:keepNext/>
        <w:keepLines/>
      </w:pPr>
      <w:r w:rsidRPr="00C10EB1">
        <w:t>significantly overpowered transmitters (over 10dB) (19%)</w:t>
      </w:r>
    </w:p>
    <w:p w14:paraId="46565474" w14:textId="77777777" w:rsidR="005E16D1" w:rsidRPr="009251CD" w:rsidRDefault="005E16D1" w:rsidP="006058B5">
      <w:pPr>
        <w:pStyle w:val="Bulletlevel1"/>
        <w:keepNext/>
        <w:keepLines/>
      </w:pPr>
      <w:r w:rsidRPr="00C10EB1">
        <w:t>service</w:t>
      </w:r>
      <w:r>
        <w:t xml:space="preserve"> regularity breaches (6%)</w:t>
      </w:r>
    </w:p>
    <w:p w14:paraId="78F2B3FD" w14:textId="77777777" w:rsidR="005E16D1" w:rsidRPr="009251CD" w:rsidRDefault="005E16D1" w:rsidP="006058B5">
      <w:pPr>
        <w:pStyle w:val="Bulletlevel1last"/>
        <w:keepNext/>
        <w:keepLines/>
      </w:pPr>
      <w:r>
        <w:t>unlicensed transmitters (incorrect transmitter location) (6%).</w:t>
      </w:r>
    </w:p>
    <w:p w14:paraId="11EFE68D" w14:textId="49CBFF9F" w:rsidR="005E16D1" w:rsidRPr="001E24E0" w:rsidRDefault="005E16D1" w:rsidP="005B6635">
      <w:pPr>
        <w:pStyle w:val="Paragraph"/>
      </w:pPr>
      <w:r>
        <w:t xml:space="preserve">The </w:t>
      </w:r>
      <w:r w:rsidR="00C10EB1">
        <w:t xml:space="preserve">remaining licensees </w:t>
      </w:r>
      <w:r>
        <w:t xml:space="preserve">(11%) </w:t>
      </w:r>
      <w:r w:rsidR="00C10EB1">
        <w:t xml:space="preserve">were </w:t>
      </w:r>
      <w:r>
        <w:t>found to be compliant in the field audit.</w:t>
      </w:r>
    </w:p>
    <w:p w14:paraId="3B6C6998" w14:textId="77777777" w:rsidR="005E16D1" w:rsidRDefault="005E16D1" w:rsidP="005E16D1">
      <w:pPr>
        <w:pStyle w:val="Paragraph"/>
      </w:pPr>
      <w:r>
        <w:t>In 19 instances where licensees had provided information in the desk audit that the station was active, the field audit yielded no evidence that an LPON station had been established.</w:t>
      </w:r>
    </w:p>
    <w:p w14:paraId="491BB2CD" w14:textId="3D9E5CED" w:rsidR="005E16D1" w:rsidRDefault="005E16D1" w:rsidP="005E16D1">
      <w:pPr>
        <w:pStyle w:val="Paragraph"/>
      </w:pPr>
      <w:r>
        <w:t>Where field measurements were undertaken</w:t>
      </w:r>
      <w:r w:rsidR="00C10EB1">
        <w:t>,</w:t>
      </w:r>
      <w:r>
        <w:t xml:space="preserve"> the mean power was 52.01 </w:t>
      </w:r>
      <w:proofErr w:type="spellStart"/>
      <w:r w:rsidRPr="006C6D2F">
        <w:rPr>
          <w:szCs w:val="20"/>
        </w:rPr>
        <w:t>db</w:t>
      </w:r>
      <w:r>
        <w:rPr>
          <w:szCs w:val="20"/>
        </w:rPr>
        <w:t>µ</w:t>
      </w:r>
      <w:r w:rsidRPr="006C6D2F">
        <w:rPr>
          <w:szCs w:val="20"/>
        </w:rPr>
        <w:t>V</w:t>
      </w:r>
      <w:proofErr w:type="spellEnd"/>
      <w:r>
        <w:rPr>
          <w:szCs w:val="20"/>
        </w:rPr>
        <w:t>/m</w:t>
      </w:r>
      <w:r>
        <w:rPr>
          <w:szCs w:val="20"/>
          <w:vertAlign w:val="superscript"/>
        </w:rPr>
        <w:t>2</w:t>
      </w:r>
      <w:r>
        <w:t xml:space="preserve"> (after removal of 3dB measurement uncertainty factor in favour of licensee).</w:t>
      </w:r>
    </w:p>
    <w:p w14:paraId="46A7405C" w14:textId="00BB12EB" w:rsidR="005E16D1" w:rsidRDefault="005E16D1" w:rsidP="005E16D1">
      <w:pPr>
        <w:pStyle w:val="Figureheading"/>
        <w:spacing w:line="240" w:lineRule="atLeast"/>
      </w:pPr>
      <w:r w:rsidRPr="00FA6DE6">
        <w:t xml:space="preserve">Standard </w:t>
      </w:r>
      <w:r w:rsidR="00C10EB1">
        <w:t>d</w:t>
      </w:r>
      <w:r w:rsidRPr="00FA6DE6">
        <w:t>istribution of measured power</w:t>
      </w:r>
      <w:r w:rsidR="00C10EB1">
        <w:t xml:space="preserve"> levels</w:t>
      </w:r>
    </w:p>
    <w:p w14:paraId="195CD3C1" w14:textId="77777777" w:rsidR="005E16D1" w:rsidRDefault="005E16D1" w:rsidP="005E16D1">
      <w:pPr>
        <w:pStyle w:val="Paragraph"/>
      </w:pPr>
      <w:r>
        <w:rPr>
          <w:noProof/>
        </w:rPr>
        <w:drawing>
          <wp:inline distT="0" distB="0" distL="0" distR="0" wp14:anchorId="3724CE5A" wp14:editId="66A4FA82">
            <wp:extent cx="5600700" cy="3333750"/>
            <wp:effectExtent l="0" t="0" r="0" b="0"/>
            <wp:docPr id="2" name="Chart 2">
              <a:extLst xmlns:a="http://schemas.openxmlformats.org/drawingml/2006/main">
                <a:ext uri="{FF2B5EF4-FFF2-40B4-BE49-F238E27FC236}">
                  <a16:creationId xmlns:a16="http://schemas.microsoft.com/office/drawing/2014/main" id="{49EA2AC3-E476-6CA0-B58F-407146A66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827CE97" w14:textId="75984798" w:rsidR="005E16D1" w:rsidRPr="000A4195" w:rsidRDefault="005E16D1" w:rsidP="005E16D1">
      <w:pPr>
        <w:pStyle w:val="Paragraph"/>
      </w:pPr>
      <w:r>
        <w:t xml:space="preserve">Figure </w:t>
      </w:r>
      <w:r w:rsidR="00161784">
        <w:t xml:space="preserve">4 </w:t>
      </w:r>
      <w:r>
        <w:t xml:space="preserve">shows the standard distribution of measured power levels. The </w:t>
      </w:r>
      <w:r w:rsidR="00C10EB1">
        <w:t xml:space="preserve">vertical purple </w:t>
      </w:r>
      <w:r>
        <w:t>line represents the permitted field strength of 48dBµV/m</w:t>
      </w:r>
      <w:r w:rsidRPr="2438FEEE">
        <w:rPr>
          <w:vertAlign w:val="superscript"/>
        </w:rPr>
        <w:t xml:space="preserve">2 </w:t>
      </w:r>
      <w:r w:rsidR="00C10EB1" w:rsidRPr="2438FEEE">
        <w:rPr>
          <w:vertAlign w:val="superscript"/>
        </w:rPr>
        <w:t xml:space="preserve">. </w:t>
      </w:r>
      <w:r w:rsidR="00C10EB1">
        <w:t>T</w:t>
      </w:r>
      <w:r>
        <w:t xml:space="preserve">he </w:t>
      </w:r>
      <w:r w:rsidR="00C10EB1">
        <w:t xml:space="preserve">curved </w:t>
      </w:r>
      <w:r w:rsidR="009D4F34">
        <w:t xml:space="preserve">teal </w:t>
      </w:r>
      <w:r>
        <w:t>line shows the standard distribution of measured power levels as a percentage of the regulatory requirement. The mean power is 52.01dBµV/m</w:t>
      </w:r>
      <w:r w:rsidRPr="2438FEEE">
        <w:rPr>
          <w:vertAlign w:val="superscript"/>
        </w:rPr>
        <w:t xml:space="preserve">2 </w:t>
      </w:r>
      <w:r>
        <w:t xml:space="preserve">and the highest measured field strength </w:t>
      </w:r>
      <w:r w:rsidR="009D4F34">
        <w:t xml:space="preserve">is </w:t>
      </w:r>
      <w:r>
        <w:t>75.9dBµV/m</w:t>
      </w:r>
      <w:r w:rsidRPr="2438FEEE">
        <w:rPr>
          <w:vertAlign w:val="superscript"/>
        </w:rPr>
        <w:t>2</w:t>
      </w:r>
      <w:r>
        <w:t xml:space="preserve">. </w:t>
      </w:r>
    </w:p>
    <w:p w14:paraId="19344DC9" w14:textId="496ACBD4" w:rsidR="005E16D1" w:rsidRPr="000A4195" w:rsidRDefault="005E16D1" w:rsidP="005E16D1">
      <w:pPr>
        <w:pStyle w:val="Paragraph"/>
      </w:pPr>
      <w:r w:rsidRPr="000527B7">
        <w:t>Only 30% of licences were measured at a compliant field strength</w:t>
      </w:r>
      <w:r>
        <w:t xml:space="preserve">. We have serious concerns that </w:t>
      </w:r>
      <w:proofErr w:type="gramStart"/>
      <w:r>
        <w:t>a number of</w:t>
      </w:r>
      <w:proofErr w:type="gramEnd"/>
      <w:r>
        <w:t xml:space="preserve"> licensees have a measured field strength of 20 times the permitted level. This represents a high risk of interference to other LPON stations and in some instances other spectrum users.</w:t>
      </w:r>
    </w:p>
    <w:p w14:paraId="0698D41E" w14:textId="3BAB0C6C" w:rsidR="005E16D1" w:rsidRDefault="005E16D1" w:rsidP="005B6635">
      <w:pPr>
        <w:pStyle w:val="Bulletlevel1"/>
        <w:keepNext/>
        <w:keepLines/>
        <w:numPr>
          <w:ilvl w:val="0"/>
          <w:numId w:val="0"/>
        </w:numPr>
        <w:spacing w:line="240" w:lineRule="auto"/>
      </w:pPr>
      <w:r>
        <w:lastRenderedPageBreak/>
        <w:t>ACMA staff also noted a trend of licensees moving transmitters or locating transmitters near a licensed site. Some licensees appear unaware that an LPON station must operate from the licensed address, or they are operating unlicensed and may be in contravention of section 46 of the Radiocommunications Act</w:t>
      </w:r>
      <w:r w:rsidR="009D4F34">
        <w:t>.</w:t>
      </w:r>
      <w:r>
        <w:rPr>
          <w:rStyle w:val="FootnoteReference"/>
        </w:rPr>
        <w:footnoteReference w:id="13"/>
      </w:r>
    </w:p>
    <w:p w14:paraId="2A6BA804" w14:textId="77777777" w:rsidR="005E16D1" w:rsidRDefault="005E16D1" w:rsidP="005E16D1">
      <w:pPr>
        <w:pStyle w:val="Heading2"/>
      </w:pPr>
      <w:bookmarkStart w:id="28" w:name="_Toc168578739"/>
      <w:bookmarkStart w:id="29" w:name="_Toc178602481"/>
      <w:r>
        <w:t>Systemic issues</w:t>
      </w:r>
      <w:bookmarkEnd w:id="28"/>
      <w:bookmarkEnd w:id="29"/>
    </w:p>
    <w:p w14:paraId="058C0428" w14:textId="6BEC88EC" w:rsidR="08E3CA7A" w:rsidRDefault="08E3CA7A" w:rsidP="00161784">
      <w:pPr>
        <w:pStyle w:val="Paragraphbeforelist"/>
      </w:pPr>
      <w:r>
        <w:t xml:space="preserve">As </w:t>
      </w:r>
      <w:r w:rsidR="6154495F">
        <w:t>introduced in th</w:t>
      </w:r>
      <w:r>
        <w:t xml:space="preserve">e Executive Summary, </w:t>
      </w:r>
      <w:proofErr w:type="gramStart"/>
      <w:r>
        <w:t>in the course of</w:t>
      </w:r>
      <w:proofErr w:type="gramEnd"/>
      <w:r>
        <w:t xml:space="preserve"> the audits we have identified a nu</w:t>
      </w:r>
      <w:r w:rsidR="6C4B2BC4">
        <w:t xml:space="preserve">mber </w:t>
      </w:r>
      <w:r>
        <w:t>of business practices which we believe contribute to LPON licence compliance issues in a significant way. In particular:</w:t>
      </w:r>
    </w:p>
    <w:p w14:paraId="78AF0A17" w14:textId="77777777" w:rsidR="08E3CA7A" w:rsidRDefault="08E3CA7A" w:rsidP="00161784">
      <w:pPr>
        <w:pStyle w:val="Numberlistlevel1"/>
        <w:numPr>
          <w:ilvl w:val="0"/>
          <w:numId w:val="6"/>
        </w:numPr>
      </w:pPr>
      <w:r w:rsidRPr="1C6990DF">
        <w:rPr>
          <w:b/>
          <w:bCs/>
        </w:rPr>
        <w:t>Clustering</w:t>
      </w:r>
      <w:r>
        <w:t xml:space="preserve"> – refers to the practice of a licensee accumulating </w:t>
      </w:r>
      <w:proofErr w:type="gramStart"/>
      <w:r>
        <w:t>a number of</w:t>
      </w:r>
      <w:proofErr w:type="gramEnd"/>
      <w:r>
        <w:t xml:space="preserve"> contiguous licences in a geographic area, utilising a single station in that cluster, and operating it in excess of the licence power limitation. Practices such as clustering breach </w:t>
      </w:r>
      <w:proofErr w:type="gramStart"/>
      <w:r>
        <w:t>a number of</w:t>
      </w:r>
      <w:proofErr w:type="gramEnd"/>
      <w:r>
        <w:t xml:space="preserve"> licence conditions. Overpowered transmitters also risk causing interference to other licensed services.</w:t>
      </w:r>
    </w:p>
    <w:p w14:paraId="7E0DD7EA" w14:textId="77777777" w:rsidR="08E3CA7A" w:rsidRDefault="08E3CA7A" w:rsidP="00161784">
      <w:pPr>
        <w:pStyle w:val="Numberlistlevel1"/>
        <w:numPr>
          <w:ilvl w:val="0"/>
          <w:numId w:val="6"/>
        </w:numPr>
      </w:pPr>
      <w:r w:rsidRPr="1C6990DF">
        <w:rPr>
          <w:b/>
          <w:bCs/>
        </w:rPr>
        <w:t>Hoarding</w:t>
      </w:r>
      <w:r>
        <w:t xml:space="preserve"> – refers to the practice of a licensee holding a licence and not commencing a service at the licensed site within 6 months of the licence being allocated, or not providing a service with reasonable regularity, thereby preventing other potential users offering a service in that area. This practice can be associated with clustering and networking, but we have also observed it as a standalone practice.</w:t>
      </w:r>
    </w:p>
    <w:p w14:paraId="117FDEB8" w14:textId="133CEBC6" w:rsidR="08E3CA7A" w:rsidRDefault="08E3CA7A" w:rsidP="00161784">
      <w:pPr>
        <w:pStyle w:val="Numberlistlast"/>
        <w:numPr>
          <w:ilvl w:val="0"/>
          <w:numId w:val="6"/>
        </w:numPr>
      </w:pPr>
      <w:r w:rsidRPr="1C6990DF">
        <w:rPr>
          <w:b/>
          <w:bCs/>
        </w:rPr>
        <w:t xml:space="preserve">Networking </w:t>
      </w:r>
      <w:r>
        <w:t xml:space="preserve">– refers to playing the same content across </w:t>
      </w:r>
      <w:proofErr w:type="gramStart"/>
      <w:r>
        <w:t>a number of</w:t>
      </w:r>
      <w:proofErr w:type="gramEnd"/>
      <w:r>
        <w:t xml:space="preserve"> LPON licences. The content is simulcast to each LPON station with an internet or other backhaul connection from a central location, such as a studio. It is not in itself a contravention of LPON  conditions; however, we have observed that there is a strong correlation between networked LPON licences and practices such as clustering and hoarding which do contravene the regulatory framework.</w:t>
      </w:r>
    </w:p>
    <w:p w14:paraId="0E9349D2" w14:textId="77777777" w:rsidR="005E16D1" w:rsidRDefault="005E16D1" w:rsidP="005B6635">
      <w:pPr>
        <w:pStyle w:val="Heading3"/>
      </w:pPr>
      <w:r>
        <w:t>Clustering</w:t>
      </w:r>
    </w:p>
    <w:p w14:paraId="4383ABF8" w14:textId="7914CB80" w:rsidR="005E16D1" w:rsidRDefault="005E16D1" w:rsidP="005B6635">
      <w:pPr>
        <w:pStyle w:val="Paragraph"/>
      </w:pPr>
      <w:r>
        <w:t xml:space="preserve">We believe clustering is a significant issue because it means the public benefit of spectrum use and allocation cannot be maximised. The </w:t>
      </w:r>
      <w:hyperlink r:id="rId45">
        <w:r w:rsidRPr="1C6990DF">
          <w:rPr>
            <w:rStyle w:val="Hyperlink"/>
          </w:rPr>
          <w:t>LPON planning Model</w:t>
        </w:r>
      </w:hyperlink>
      <w:r>
        <w:t xml:space="preserve"> did not envisage the use of clustered, networked broadcasting stations. The planning model anticipated co-channelled LPONs to have a minimum distance separation of 10 kilometres and for LPON stations to have reasonable stereophonic sound quality up to 2</w:t>
      </w:r>
      <w:r w:rsidR="009D4F34">
        <w:t xml:space="preserve"> </w:t>
      </w:r>
      <w:r>
        <w:t>km from a station’s antenna.</w:t>
      </w:r>
    </w:p>
    <w:p w14:paraId="2D692927" w14:textId="5C178063" w:rsidR="005E16D1" w:rsidRDefault="005E16D1" w:rsidP="005B6635">
      <w:pPr>
        <w:pStyle w:val="Paragraph"/>
      </w:pPr>
      <w:r>
        <w:t xml:space="preserve">We observed clustering where a licensee increases the transmitter output power beyond the 1-watt licence limitation, or where the licensee takes advantage of </w:t>
      </w:r>
      <w:proofErr w:type="gramStart"/>
      <w:r>
        <w:t>particular topographical</w:t>
      </w:r>
      <w:proofErr w:type="gramEnd"/>
      <w:r>
        <w:t xml:space="preserve"> features of a licensed location and transmits with 1 watt output power, without consideration to the separate field strength limitation of 48dBµV/m</w:t>
      </w:r>
      <w:r>
        <w:rPr>
          <w:vertAlign w:val="superscript"/>
        </w:rPr>
        <w:t>2</w:t>
      </w:r>
      <w:r>
        <w:t xml:space="preserve"> at any location more than 2</w:t>
      </w:r>
      <w:r w:rsidR="009D4F34">
        <w:t xml:space="preserve"> </w:t>
      </w:r>
      <w:r>
        <w:t xml:space="preserve">km from the station’s antenna. </w:t>
      </w:r>
    </w:p>
    <w:p w14:paraId="365C91C3" w14:textId="309D15A3" w:rsidR="005E16D1" w:rsidRDefault="005E16D1" w:rsidP="005B6635">
      <w:pPr>
        <w:pStyle w:val="Paragraph"/>
      </w:pPr>
      <w:r>
        <w:t>From our observations</w:t>
      </w:r>
      <w:r w:rsidR="009D4F34">
        <w:t>,</w:t>
      </w:r>
      <w:r>
        <w:t xml:space="preserve"> licensees appear to conflate the transmitter output power limitations and field strength limitation. Licensees should be aware that these are separate requirements, both of which are designed to provide LPON licensees with reasonable stereophonic sound quality within a 2 km radius from the station’s antenna.  </w:t>
      </w:r>
    </w:p>
    <w:p w14:paraId="1850C274" w14:textId="42E25674" w:rsidR="005E16D1" w:rsidRPr="00F768B1" w:rsidRDefault="005E16D1" w:rsidP="00161784">
      <w:pPr>
        <w:pStyle w:val="Paragraph"/>
        <w:keepNext/>
        <w:keepLines/>
      </w:pPr>
      <w:r>
        <w:lastRenderedPageBreak/>
        <w:t xml:space="preserve">ACMA staff also observed an increased likelihood of interference to co-channelled LPON services where evidence of clustering was found. In </w:t>
      </w:r>
      <w:r w:rsidRPr="00F768B1">
        <w:t xml:space="preserve">the </w:t>
      </w:r>
      <w:r>
        <w:t>audits</w:t>
      </w:r>
      <w:r w:rsidR="009D4F34">
        <w:t>,</w:t>
      </w:r>
      <w:r>
        <w:t xml:space="preserve"> ACMA staff uncovered evidence indicating clustering in </w:t>
      </w:r>
      <w:r w:rsidR="009D4F34">
        <w:t xml:space="preserve">3 </w:t>
      </w:r>
      <w:r>
        <w:t>separate instances. These instances remain under investigation. Whil</w:t>
      </w:r>
      <w:r w:rsidR="009D4F34">
        <w:t>e</w:t>
      </w:r>
      <w:r>
        <w:t xml:space="preserve"> the legislation has no specific anti-clustering provisions, </w:t>
      </w:r>
      <w:r w:rsidR="009D4F34">
        <w:t>c</w:t>
      </w:r>
      <w:r>
        <w:t xml:space="preserve">lustering gives rise to potential contraventions of the UIOLI provisions, and the field strength provisions in the Broadcasting LCD. </w:t>
      </w:r>
    </w:p>
    <w:p w14:paraId="63BDD072" w14:textId="77777777" w:rsidR="005E16D1" w:rsidRDefault="005E16D1" w:rsidP="00443916">
      <w:pPr>
        <w:pStyle w:val="Heading3"/>
      </w:pPr>
      <w:r>
        <w:t>Licence hoarding</w:t>
      </w:r>
    </w:p>
    <w:p w14:paraId="03F281A8" w14:textId="77777777" w:rsidR="005E16D1" w:rsidRDefault="005E16D1" w:rsidP="00161784">
      <w:pPr>
        <w:pStyle w:val="Paragraph"/>
      </w:pPr>
      <w:r>
        <w:t>We also observed a related licence hoarding issue associated with clustering, where licensees acquire licences, and do not activate the LPON station, for the purposes of precluding other licensees from obtaining nearby co-channelled LPON stations, in effect protecting a coverage area from competition.</w:t>
      </w:r>
    </w:p>
    <w:p w14:paraId="0964AE26" w14:textId="1817D1F4" w:rsidR="005E16D1" w:rsidRDefault="005E16D1" w:rsidP="00161784">
      <w:pPr>
        <w:pStyle w:val="Paragraph"/>
      </w:pPr>
      <w:r>
        <w:t>We found UIOLI hoarding related contraventions to be the most prominent type of non-compliance in the audit. We believe licence hoarding remains a serious threat to the efficient allocation of spectrum</w:t>
      </w:r>
      <w:r w:rsidR="56297872">
        <w:t>.</w:t>
      </w:r>
      <w:r w:rsidR="00161784">
        <w:t xml:space="preserve"> </w:t>
      </w:r>
      <w:r w:rsidR="56297872">
        <w:t xml:space="preserve">Our response is to address it </w:t>
      </w:r>
      <w:r>
        <w:t>through the anti-hoarding provisions in the Broadcasting LCD.</w:t>
      </w:r>
    </w:p>
    <w:p w14:paraId="7679B068" w14:textId="3E23EB6B" w:rsidR="005E16D1" w:rsidRDefault="005E16D1" w:rsidP="00161784">
      <w:pPr>
        <w:pStyle w:val="Paragraph"/>
      </w:pPr>
      <w:r>
        <w:t xml:space="preserve">We have noticed that only a very small number of operators make requests for an extension of time under section 4.11(2) of the Broadcasting LCD when they exceed the 6-month UIOLI period. </w:t>
      </w:r>
      <w:proofErr w:type="gramStart"/>
      <w:r>
        <w:t>A large number of</w:t>
      </w:r>
      <w:proofErr w:type="gramEnd"/>
      <w:r>
        <w:t xml:space="preserve"> licensees still cite COVID-19 and financially related reasons for their failure to comply</w:t>
      </w:r>
      <w:r w:rsidR="4E92E6CD">
        <w:t xml:space="preserve"> with the UIOLI condition</w:t>
      </w:r>
      <w:r>
        <w:t>. Licensees should be aware that the Broadcasting LCD states that financial reasons are not a valid reason for delay when licensees request an extension of time.</w:t>
      </w:r>
    </w:p>
    <w:p w14:paraId="3571865C" w14:textId="77777777" w:rsidR="005E16D1" w:rsidRDefault="005E16D1" w:rsidP="00161784">
      <w:pPr>
        <w:pStyle w:val="Paragraph"/>
      </w:pPr>
      <w:r>
        <w:t xml:space="preserve">We are aware that some licensees acquire significant numbers of licences simultaneously </w:t>
      </w:r>
      <w:r w:rsidDel="006C4FB3">
        <w:t>w</w:t>
      </w:r>
      <w:r>
        <w:t>ithout the means to comply with the hoarding provisions around the time allowed to commence a service. It is the responsibility of licensees to undertake the necessary due diligence or resource planning to ensure they can comply with their licence conditions for each licence they acquire.</w:t>
      </w:r>
    </w:p>
    <w:p w14:paraId="2645DD30" w14:textId="610A3C94" w:rsidR="005E16D1" w:rsidRDefault="005E16D1" w:rsidP="007922A4">
      <w:pPr>
        <w:pStyle w:val="Heading3"/>
      </w:pPr>
      <w:r>
        <w:t xml:space="preserve">Third </w:t>
      </w:r>
      <w:r w:rsidR="009D4F34">
        <w:t>p</w:t>
      </w:r>
      <w:r>
        <w:t xml:space="preserve">arty </w:t>
      </w:r>
      <w:r w:rsidR="009D4F34">
        <w:t>a</w:t>
      </w:r>
      <w:r>
        <w:t>uthorisations</w:t>
      </w:r>
    </w:p>
    <w:p w14:paraId="61434A89" w14:textId="622428E6" w:rsidR="005E16D1" w:rsidRDefault="005E16D1" w:rsidP="00443916">
      <w:pPr>
        <w:pStyle w:val="Paragraph"/>
      </w:pPr>
      <w:r>
        <w:t>ACMA staff also observed a trend of licensees who had third party authorised their licence</w:t>
      </w:r>
      <w:r w:rsidR="7778E500">
        <w:t xml:space="preserve"> to be operated by a third party</w:t>
      </w:r>
      <w:r>
        <w:t xml:space="preserve"> under Section 114 of the</w:t>
      </w:r>
      <w:r w:rsidR="00683777">
        <w:t xml:space="preserve"> </w:t>
      </w:r>
      <w:r w:rsidR="00683777" w:rsidRPr="002B2F58">
        <w:rPr>
          <w:rStyle w:val="normaltextrun"/>
          <w:color w:val="0000FF"/>
          <w:u w:val="single"/>
          <w:shd w:val="clear" w:color="auto" w:fill="FFFFFF"/>
        </w:rPr>
        <w:t>Radiocommunications Act</w:t>
      </w:r>
      <w:r>
        <w:t xml:space="preserve"> not maintaining records or believing they had contracted out of their requirement to keep records.</w:t>
      </w:r>
    </w:p>
    <w:p w14:paraId="6D8F4A46" w14:textId="77777777" w:rsidR="005E16D1" w:rsidRPr="002B47FE" w:rsidRDefault="005E16D1" w:rsidP="00443916">
      <w:pPr>
        <w:pStyle w:val="Paragraph"/>
      </w:pPr>
      <w:r>
        <w:t>We would like to remind licensees that the regulatory obligations on licensees are not shifted to a third party by contract or authorisation.</w:t>
      </w:r>
    </w:p>
    <w:p w14:paraId="74199EB3" w14:textId="77777777" w:rsidR="005E16D1" w:rsidRDefault="005E16D1" w:rsidP="00683777">
      <w:pPr>
        <w:pStyle w:val="Heading3"/>
      </w:pPr>
      <w:r>
        <w:t>Networking</w:t>
      </w:r>
    </w:p>
    <w:p w14:paraId="15EA2F91" w14:textId="01B8F67C" w:rsidR="005E16D1" w:rsidRPr="00B13AA1" w:rsidRDefault="005E16D1" w:rsidP="00683777">
      <w:pPr>
        <w:pStyle w:val="Paragraph"/>
      </w:pPr>
      <w:r w:rsidRPr="00B13AA1">
        <w:t xml:space="preserve">As previously discussed, the LPON planning framework </w:t>
      </w:r>
      <w:r>
        <w:t>did not contemplate networked LPON transmitters. Whilst networking is not of itself a contravention of the LPON transmitter licence conditions, we observed a trend for the networking of licences to be strongly associated with breaches of LPON licence conditions, particularly record</w:t>
      </w:r>
      <w:r w:rsidR="009D4F34">
        <w:t xml:space="preserve"> </w:t>
      </w:r>
      <w:r>
        <w:t>keeping requirements, requirements to commence a service, and the requirement for transmitters to be located at the site indicated on the licence.</w:t>
      </w:r>
    </w:p>
    <w:p w14:paraId="542F8EF0" w14:textId="77777777" w:rsidR="005E16D1" w:rsidRDefault="005E16D1" w:rsidP="005E16D1">
      <w:pPr>
        <w:pStyle w:val="Heading2"/>
      </w:pPr>
      <w:bookmarkStart w:id="30" w:name="_Toc168578740"/>
      <w:bookmarkStart w:id="31" w:name="_Toc178602482"/>
      <w:r>
        <w:lastRenderedPageBreak/>
        <w:t>Audit trends</w:t>
      </w:r>
      <w:bookmarkEnd w:id="30"/>
      <w:bookmarkEnd w:id="31"/>
    </w:p>
    <w:p w14:paraId="3F8B6F0B" w14:textId="77777777" w:rsidR="005E16D1" w:rsidRDefault="005E16D1" w:rsidP="00683777">
      <w:pPr>
        <w:pStyle w:val="Heading3"/>
      </w:pPr>
      <w:r>
        <w:t>Compliance by region</w:t>
      </w:r>
    </w:p>
    <w:p w14:paraId="632FDB60" w14:textId="21FD5495" w:rsidR="005E16D1" w:rsidRDefault="005E16D1" w:rsidP="00683777">
      <w:pPr>
        <w:pStyle w:val="Paragraph"/>
      </w:pPr>
      <w:r>
        <w:t>We defined any licence within 50</w:t>
      </w:r>
      <w:r w:rsidR="009D4F34">
        <w:t xml:space="preserve"> </w:t>
      </w:r>
      <w:r>
        <w:t>km of a state capital city to be a ‘metro’ licence and all other licences to be ‘regional’ licences</w:t>
      </w:r>
      <w:r w:rsidR="009D4F34">
        <w:t>,</w:t>
      </w:r>
      <w:r>
        <w:t xml:space="preserve"> for the purposes of this audit. We found that regional licences were more likely to be compliant. We find this to be particularly problematic given the increased risk of interference in </w:t>
      </w:r>
      <w:r w:rsidR="1D34B49D">
        <w:t>m</w:t>
      </w:r>
      <w:r>
        <w:t>etro areas.</w:t>
      </w:r>
    </w:p>
    <w:p w14:paraId="3DFFDEAC" w14:textId="6D0FD318" w:rsidR="005E16D1" w:rsidRDefault="005E16D1" w:rsidP="00683777">
      <w:pPr>
        <w:pStyle w:val="Paragraph"/>
      </w:pPr>
      <w:r>
        <w:t xml:space="preserve">We found </w:t>
      </w:r>
      <w:r w:rsidR="009D4F34">
        <w:t xml:space="preserve">0% </w:t>
      </w:r>
      <w:r>
        <w:t>of metro licences audited to be compliant with all conditions.</w:t>
      </w:r>
    </w:p>
    <w:p w14:paraId="1C0E3C6F" w14:textId="19DBA0D6" w:rsidR="005E16D1" w:rsidRDefault="005E16D1" w:rsidP="00683777">
      <w:pPr>
        <w:pStyle w:val="Paragraph"/>
      </w:pPr>
      <w:r>
        <w:t>We found 17</w:t>
      </w:r>
      <w:r w:rsidR="009D4F34">
        <w:t xml:space="preserve">% </w:t>
      </w:r>
      <w:r>
        <w:t>of regional licences audited to be compliant with all conditions.</w:t>
      </w:r>
    </w:p>
    <w:p w14:paraId="693140E5" w14:textId="77777777" w:rsidR="005E16D1" w:rsidRDefault="005E16D1" w:rsidP="00683777">
      <w:pPr>
        <w:pStyle w:val="Heading3"/>
      </w:pPr>
      <w:r w:rsidRPr="00D707A1">
        <w:t>Compliance by licence holdings</w:t>
      </w:r>
    </w:p>
    <w:p w14:paraId="2193717A" w14:textId="7E817534" w:rsidR="005E16D1" w:rsidRDefault="005E16D1" w:rsidP="00683777">
      <w:pPr>
        <w:pStyle w:val="Paragraph"/>
      </w:pPr>
      <w:r>
        <w:t xml:space="preserve">Of the licensees which were found to be compliant in respect </w:t>
      </w:r>
      <w:r w:rsidR="009D4F34">
        <w:t xml:space="preserve">to </w:t>
      </w:r>
      <w:proofErr w:type="gramStart"/>
      <w:r>
        <w:t>all of</w:t>
      </w:r>
      <w:proofErr w:type="gramEnd"/>
      <w:r>
        <w:t xml:space="preserve"> their licences in the sample (8 licensees in total), 4 had a licence holding of less than 5 licences, 2 had a licence holding of less than 10 licences and 2 had a licence holding of less than 20 licences. No entities with more than 20 licences were compliant.</w:t>
      </w:r>
    </w:p>
    <w:p w14:paraId="30751875" w14:textId="4BBB3B27" w:rsidR="005E16D1" w:rsidRDefault="005E16D1" w:rsidP="005E16D1">
      <w:pPr>
        <w:pStyle w:val="Bulletlevel1"/>
        <w:numPr>
          <w:ilvl w:val="0"/>
          <w:numId w:val="0"/>
        </w:numPr>
        <w:spacing w:line="240" w:lineRule="auto"/>
        <w:rPr>
          <w:b/>
          <w:bCs/>
        </w:rPr>
      </w:pPr>
      <w:r>
        <w:rPr>
          <w:b/>
          <w:bCs/>
        </w:rPr>
        <w:t>Past years</w:t>
      </w:r>
      <w:r w:rsidR="009D4F34">
        <w:rPr>
          <w:b/>
          <w:bCs/>
        </w:rPr>
        <w:t>’</w:t>
      </w:r>
      <w:r>
        <w:rPr>
          <w:b/>
          <w:bCs/>
        </w:rPr>
        <w:t xml:space="preserve"> audit results</w:t>
      </w:r>
    </w:p>
    <w:p w14:paraId="173810C1" w14:textId="0341683C" w:rsidR="005E16D1" w:rsidRDefault="005E16D1" w:rsidP="00FA32C6">
      <w:pPr>
        <w:pStyle w:val="Paragraph"/>
      </w:pPr>
      <w:r w:rsidRPr="001F67FD">
        <w:t>In the 2021</w:t>
      </w:r>
      <w:r w:rsidR="009D4F34">
        <w:t>–</w:t>
      </w:r>
      <w:r w:rsidRPr="001F67FD">
        <w:t>22</w:t>
      </w:r>
      <w:r>
        <w:t xml:space="preserve"> LPON pilot audit program, due to </w:t>
      </w:r>
      <w:r w:rsidR="009D4F34">
        <w:t xml:space="preserve">COVID-19-related </w:t>
      </w:r>
      <w:r>
        <w:t>travel restrictions, ACMA staff undertook a simplified audit of LPON licences in Victoria only (34 licences). The audit methodology was streamlined and did not involve field strength measurements. Transmitter power was tested against section 4.8 of the Broadcasting LCD. The audit aimed to sample the compliance levels of LPON licences</w:t>
      </w:r>
      <w:r w:rsidDel="00714430">
        <w:t xml:space="preserve"> </w:t>
      </w:r>
      <w:r>
        <w:t>and to educate</w:t>
      </w:r>
      <w:r w:rsidDel="00714430">
        <w:t xml:space="preserve"> LPON </w:t>
      </w:r>
      <w:r>
        <w:t>licensees. The audit focused on educating licensees in relation to their legislative responsibilities and no escalated compliance actions were taken in response to findings of non-compliance as part of this audit. The non-compliance rate was 85%. Some utility is lost in comparing different years</w:t>
      </w:r>
      <w:r w:rsidR="009D4F34">
        <w:t>’</w:t>
      </w:r>
      <w:r>
        <w:t xml:space="preserve"> audit findings due to different methodologies and different conditions audited.</w:t>
      </w:r>
    </w:p>
    <w:p w14:paraId="5CE78431" w14:textId="215E6118" w:rsidR="005E16D1" w:rsidRDefault="005E16D1" w:rsidP="00FA32C6">
      <w:pPr>
        <w:pStyle w:val="Paragraph"/>
        <w:keepNext/>
        <w:keepLines/>
      </w:pPr>
      <w:r>
        <w:t>In the 2022</w:t>
      </w:r>
      <w:r w:rsidR="009D4F34">
        <w:t>–</w:t>
      </w:r>
      <w:r>
        <w:t xml:space="preserve">23 LPON audit program, ACMA staff undertook an expanded compliance audit of 60 LPON licences. The audit program was conducted in Victoria and New South Wales. Transmitter power was tested against section 4.9 or 4.10 of the Broadcasting LCD. The findings of this audit led to our undertaking investigations and escalated compliance activities. The non-compliance rate was 94%. </w:t>
      </w:r>
    </w:p>
    <w:p w14:paraId="38C741F7" w14:textId="77777777" w:rsidR="005E16D1" w:rsidRDefault="005E16D1" w:rsidP="005E16D1">
      <w:pPr>
        <w:pStyle w:val="Bulletlevel1"/>
        <w:numPr>
          <w:ilvl w:val="0"/>
          <w:numId w:val="0"/>
        </w:numPr>
        <w:spacing w:line="240" w:lineRule="auto"/>
      </w:pPr>
      <w:r>
        <w:t>The makeup of the non-compliance found in each year is contrasted in the figure below.</w:t>
      </w:r>
    </w:p>
    <w:p w14:paraId="4B0D0712" w14:textId="77777777" w:rsidR="005E16D1" w:rsidRDefault="005E16D1" w:rsidP="005E16D1">
      <w:pPr>
        <w:pStyle w:val="Bulletlevel1"/>
        <w:numPr>
          <w:ilvl w:val="0"/>
          <w:numId w:val="0"/>
        </w:numPr>
        <w:spacing w:line="240" w:lineRule="auto"/>
      </w:pPr>
    </w:p>
    <w:p w14:paraId="4DD50878" w14:textId="77777777" w:rsidR="005E16D1" w:rsidRPr="0046240F" w:rsidRDefault="005E16D1" w:rsidP="005E16D1">
      <w:pPr>
        <w:pStyle w:val="Figureheading"/>
        <w:spacing w:line="240" w:lineRule="atLeast"/>
      </w:pPr>
      <w:r w:rsidRPr="0046240F">
        <w:t xml:space="preserve">Non-compliance </w:t>
      </w:r>
      <w:r>
        <w:t>composition</w:t>
      </w:r>
      <w:r w:rsidRPr="0046240F">
        <w:t xml:space="preserve"> by year</w:t>
      </w:r>
    </w:p>
    <w:tbl>
      <w:tblPr>
        <w:tblStyle w:val="ACMAtablestyle"/>
        <w:tblW w:w="8584" w:type="dxa"/>
        <w:tblLook w:val="04A0" w:firstRow="1" w:lastRow="0" w:firstColumn="1" w:lastColumn="0" w:noHBand="0" w:noVBand="1"/>
      </w:tblPr>
      <w:tblGrid>
        <w:gridCol w:w="663"/>
        <w:gridCol w:w="1259"/>
        <w:gridCol w:w="2126"/>
        <w:gridCol w:w="992"/>
        <w:gridCol w:w="1560"/>
        <w:gridCol w:w="1134"/>
        <w:gridCol w:w="850"/>
      </w:tblGrid>
      <w:tr w:rsidR="005E16D1" w:rsidRPr="001E11E9" w14:paraId="3D39611E" w14:textId="77777777">
        <w:trPr>
          <w:cnfStyle w:val="100000000000" w:firstRow="1" w:lastRow="0" w:firstColumn="0" w:lastColumn="0" w:oddVBand="0" w:evenVBand="0" w:oddHBand="0" w:evenHBand="0" w:firstRowFirstColumn="0" w:firstRowLastColumn="0" w:lastRowFirstColumn="0" w:lastRowLastColumn="0"/>
          <w:trHeight w:val="290"/>
        </w:trPr>
        <w:tc>
          <w:tcPr>
            <w:tcW w:w="663" w:type="dxa"/>
            <w:noWrap/>
            <w:hideMark/>
          </w:tcPr>
          <w:p w14:paraId="620934CA" w14:textId="77777777" w:rsidR="005E16D1" w:rsidRPr="009D4F34" w:rsidRDefault="005E16D1" w:rsidP="00FA32C6">
            <w:pPr>
              <w:pStyle w:val="Tableheaderrow"/>
            </w:pPr>
          </w:p>
        </w:tc>
        <w:tc>
          <w:tcPr>
            <w:tcW w:w="1259" w:type="dxa"/>
            <w:noWrap/>
            <w:hideMark/>
          </w:tcPr>
          <w:p w14:paraId="163B2026" w14:textId="05DFC360" w:rsidR="005E16D1" w:rsidRPr="00FA32C6" w:rsidRDefault="005E16D1" w:rsidP="00FA32C6">
            <w:pPr>
              <w:pStyle w:val="Tableheaderrow"/>
              <w:rPr>
                <w:b w:val="0"/>
              </w:rPr>
            </w:pPr>
            <w:r w:rsidRPr="00FA32C6">
              <w:t xml:space="preserve">No </w:t>
            </w:r>
            <w:r w:rsidR="009D4F34">
              <w:t>r</w:t>
            </w:r>
            <w:r w:rsidRPr="00FA32C6">
              <w:t>ecords</w:t>
            </w:r>
          </w:p>
        </w:tc>
        <w:tc>
          <w:tcPr>
            <w:tcW w:w="2126" w:type="dxa"/>
            <w:noWrap/>
            <w:hideMark/>
          </w:tcPr>
          <w:p w14:paraId="754D0CEC" w14:textId="7456ED0C" w:rsidR="005E16D1" w:rsidRPr="00FA32C6" w:rsidRDefault="005E16D1" w:rsidP="00FA32C6">
            <w:pPr>
              <w:pStyle w:val="Tableheaderrow"/>
              <w:rPr>
                <w:b w:val="0"/>
              </w:rPr>
            </w:pPr>
            <w:r w:rsidRPr="00FA32C6">
              <w:t xml:space="preserve">Inadequate </w:t>
            </w:r>
            <w:r w:rsidR="009D4F34" w:rsidRPr="00FA32C6">
              <w:t>records</w:t>
            </w:r>
          </w:p>
        </w:tc>
        <w:tc>
          <w:tcPr>
            <w:tcW w:w="992" w:type="dxa"/>
            <w:noWrap/>
            <w:hideMark/>
          </w:tcPr>
          <w:p w14:paraId="27F59FA3" w14:textId="45D0E7E2" w:rsidR="005E16D1" w:rsidRPr="00FA32C6" w:rsidRDefault="009D4F34" w:rsidP="00FA32C6">
            <w:pPr>
              <w:pStyle w:val="Tableheaderrow"/>
              <w:rPr>
                <w:b w:val="0"/>
              </w:rPr>
            </w:pPr>
            <w:r w:rsidRPr="00FA32C6">
              <w:t>L</w:t>
            </w:r>
            <w:r w:rsidR="005E16D1" w:rsidRPr="00FA32C6">
              <w:t>ocation</w:t>
            </w:r>
          </w:p>
        </w:tc>
        <w:tc>
          <w:tcPr>
            <w:tcW w:w="1560" w:type="dxa"/>
            <w:noWrap/>
            <w:hideMark/>
          </w:tcPr>
          <w:p w14:paraId="14FA0B41" w14:textId="7A5CB31F" w:rsidR="005E16D1" w:rsidRPr="00FA32C6" w:rsidRDefault="005E16D1" w:rsidP="00FA32C6">
            <w:pPr>
              <w:pStyle w:val="Tableheaderrow"/>
              <w:rPr>
                <w:b w:val="0"/>
              </w:rPr>
            </w:pPr>
            <w:r w:rsidRPr="00FA32C6">
              <w:t>Over-</w:t>
            </w:r>
            <w:r w:rsidR="009D4F34" w:rsidRPr="00FA32C6">
              <w:t>p</w:t>
            </w:r>
            <w:r w:rsidRPr="00FA32C6">
              <w:t>owered</w:t>
            </w:r>
          </w:p>
        </w:tc>
        <w:tc>
          <w:tcPr>
            <w:tcW w:w="1134" w:type="dxa"/>
            <w:noWrap/>
            <w:hideMark/>
          </w:tcPr>
          <w:p w14:paraId="578E8AB0" w14:textId="77777777" w:rsidR="005E16D1" w:rsidRPr="00FA32C6" w:rsidRDefault="005E16D1" w:rsidP="00FA32C6">
            <w:pPr>
              <w:pStyle w:val="Tableheaderrow"/>
              <w:rPr>
                <w:b w:val="0"/>
              </w:rPr>
            </w:pPr>
            <w:r w:rsidRPr="00FA32C6">
              <w:t>Regularity</w:t>
            </w:r>
          </w:p>
        </w:tc>
        <w:tc>
          <w:tcPr>
            <w:tcW w:w="850" w:type="dxa"/>
            <w:noWrap/>
            <w:hideMark/>
          </w:tcPr>
          <w:p w14:paraId="126B661F" w14:textId="77777777" w:rsidR="005E16D1" w:rsidRPr="00FA32C6" w:rsidRDefault="005E16D1" w:rsidP="00FA32C6">
            <w:pPr>
              <w:pStyle w:val="Tableheaderrow"/>
              <w:rPr>
                <w:b w:val="0"/>
              </w:rPr>
            </w:pPr>
            <w:r w:rsidRPr="00FA32C6">
              <w:t>UIOLI</w:t>
            </w:r>
          </w:p>
        </w:tc>
      </w:tr>
      <w:tr w:rsidR="005E16D1" w:rsidRPr="001E11E9" w14:paraId="55518673" w14:textId="77777777">
        <w:trPr>
          <w:cnfStyle w:val="000000100000" w:firstRow="0" w:lastRow="0" w:firstColumn="0" w:lastColumn="0" w:oddVBand="0" w:evenVBand="0" w:oddHBand="1" w:evenHBand="0" w:firstRowFirstColumn="0" w:firstRowLastColumn="0" w:lastRowFirstColumn="0" w:lastRowLastColumn="0"/>
          <w:trHeight w:val="290"/>
        </w:trPr>
        <w:tc>
          <w:tcPr>
            <w:tcW w:w="663" w:type="dxa"/>
            <w:noWrap/>
            <w:hideMark/>
          </w:tcPr>
          <w:p w14:paraId="5D4F9C08" w14:textId="77777777" w:rsidR="005E16D1" w:rsidRPr="009D4F34" w:rsidRDefault="005E16D1" w:rsidP="00FA32C6">
            <w:pPr>
              <w:pStyle w:val="TableBody"/>
              <w:jc w:val="right"/>
            </w:pPr>
            <w:r w:rsidRPr="009D4F34">
              <w:t>2023</w:t>
            </w:r>
          </w:p>
        </w:tc>
        <w:tc>
          <w:tcPr>
            <w:tcW w:w="1259" w:type="dxa"/>
            <w:noWrap/>
            <w:hideMark/>
          </w:tcPr>
          <w:p w14:paraId="5221BA78" w14:textId="77777777" w:rsidR="005E16D1" w:rsidRPr="009D4F34" w:rsidRDefault="005E16D1" w:rsidP="00FA32C6">
            <w:pPr>
              <w:pStyle w:val="TableBody"/>
              <w:jc w:val="right"/>
            </w:pPr>
            <w:r w:rsidRPr="009D4F34">
              <w:t>18%</w:t>
            </w:r>
          </w:p>
        </w:tc>
        <w:tc>
          <w:tcPr>
            <w:tcW w:w="2126" w:type="dxa"/>
            <w:noWrap/>
            <w:hideMark/>
          </w:tcPr>
          <w:p w14:paraId="72FB6615" w14:textId="77777777" w:rsidR="005E16D1" w:rsidRPr="009D4F34" w:rsidRDefault="005E16D1" w:rsidP="00FA32C6">
            <w:pPr>
              <w:pStyle w:val="TableBody"/>
              <w:jc w:val="right"/>
            </w:pPr>
            <w:r w:rsidRPr="009D4F34">
              <w:t>28%</w:t>
            </w:r>
          </w:p>
        </w:tc>
        <w:tc>
          <w:tcPr>
            <w:tcW w:w="992" w:type="dxa"/>
            <w:noWrap/>
            <w:hideMark/>
          </w:tcPr>
          <w:p w14:paraId="31882153" w14:textId="77777777" w:rsidR="005E16D1" w:rsidRPr="009D4F34" w:rsidRDefault="005E16D1" w:rsidP="00FA32C6">
            <w:pPr>
              <w:pStyle w:val="TableBody"/>
              <w:jc w:val="right"/>
            </w:pPr>
            <w:r w:rsidRPr="009D4F34">
              <w:t>2%</w:t>
            </w:r>
          </w:p>
        </w:tc>
        <w:tc>
          <w:tcPr>
            <w:tcW w:w="1560" w:type="dxa"/>
            <w:noWrap/>
            <w:hideMark/>
          </w:tcPr>
          <w:p w14:paraId="4E7343FE" w14:textId="77777777" w:rsidR="005E16D1" w:rsidRPr="009D4F34" w:rsidRDefault="005E16D1" w:rsidP="00FA32C6">
            <w:pPr>
              <w:pStyle w:val="TableBody"/>
              <w:jc w:val="right"/>
            </w:pPr>
            <w:r w:rsidRPr="009D4F34">
              <w:t>13%</w:t>
            </w:r>
          </w:p>
        </w:tc>
        <w:tc>
          <w:tcPr>
            <w:tcW w:w="1134" w:type="dxa"/>
            <w:noWrap/>
            <w:hideMark/>
          </w:tcPr>
          <w:p w14:paraId="3704551F" w14:textId="77777777" w:rsidR="005E16D1" w:rsidRPr="009D4F34" w:rsidRDefault="005E16D1" w:rsidP="00FA32C6">
            <w:pPr>
              <w:pStyle w:val="TableBody"/>
              <w:jc w:val="right"/>
            </w:pPr>
            <w:r w:rsidRPr="009D4F34">
              <w:t>5%</w:t>
            </w:r>
          </w:p>
        </w:tc>
        <w:tc>
          <w:tcPr>
            <w:tcW w:w="850" w:type="dxa"/>
            <w:noWrap/>
            <w:hideMark/>
          </w:tcPr>
          <w:p w14:paraId="3C4244AD" w14:textId="77777777" w:rsidR="005E16D1" w:rsidRPr="009D4F34" w:rsidRDefault="005E16D1" w:rsidP="00FA32C6">
            <w:pPr>
              <w:pStyle w:val="TableBody"/>
              <w:jc w:val="right"/>
            </w:pPr>
            <w:r w:rsidRPr="009D4F34">
              <w:t>34%</w:t>
            </w:r>
          </w:p>
        </w:tc>
      </w:tr>
      <w:tr w:rsidR="005E16D1" w:rsidRPr="001E11E9" w14:paraId="3DF65B5F" w14:textId="77777777">
        <w:trPr>
          <w:cnfStyle w:val="000000010000" w:firstRow="0" w:lastRow="0" w:firstColumn="0" w:lastColumn="0" w:oddVBand="0" w:evenVBand="0" w:oddHBand="0" w:evenHBand="1" w:firstRowFirstColumn="0" w:firstRowLastColumn="0" w:lastRowFirstColumn="0" w:lastRowLastColumn="0"/>
          <w:trHeight w:val="290"/>
        </w:trPr>
        <w:tc>
          <w:tcPr>
            <w:tcW w:w="663" w:type="dxa"/>
            <w:noWrap/>
            <w:hideMark/>
          </w:tcPr>
          <w:p w14:paraId="339FCF4E" w14:textId="77777777" w:rsidR="005E16D1" w:rsidRPr="009D4F34" w:rsidRDefault="005E16D1" w:rsidP="00FA32C6">
            <w:pPr>
              <w:pStyle w:val="TableBody"/>
              <w:jc w:val="right"/>
            </w:pPr>
            <w:r w:rsidRPr="009D4F34">
              <w:t>2022</w:t>
            </w:r>
          </w:p>
        </w:tc>
        <w:tc>
          <w:tcPr>
            <w:tcW w:w="1259" w:type="dxa"/>
            <w:noWrap/>
            <w:hideMark/>
          </w:tcPr>
          <w:p w14:paraId="14E0C1E6" w14:textId="77777777" w:rsidR="005E16D1" w:rsidRPr="009D4F34" w:rsidRDefault="005E16D1" w:rsidP="00FA32C6">
            <w:pPr>
              <w:pStyle w:val="TableBody"/>
              <w:jc w:val="right"/>
            </w:pPr>
            <w:r w:rsidRPr="009D4F34">
              <w:t>6%</w:t>
            </w:r>
          </w:p>
        </w:tc>
        <w:tc>
          <w:tcPr>
            <w:tcW w:w="2126" w:type="dxa"/>
            <w:noWrap/>
            <w:hideMark/>
          </w:tcPr>
          <w:p w14:paraId="0D7B50E0" w14:textId="77777777" w:rsidR="005E16D1" w:rsidRPr="009D4F34" w:rsidRDefault="005E16D1" w:rsidP="00FA32C6">
            <w:pPr>
              <w:pStyle w:val="TableBody"/>
              <w:jc w:val="right"/>
            </w:pPr>
            <w:r w:rsidRPr="009D4F34">
              <w:t>32%</w:t>
            </w:r>
          </w:p>
        </w:tc>
        <w:tc>
          <w:tcPr>
            <w:tcW w:w="992" w:type="dxa"/>
            <w:noWrap/>
            <w:hideMark/>
          </w:tcPr>
          <w:p w14:paraId="4EDA5D51" w14:textId="77777777" w:rsidR="005E16D1" w:rsidRPr="009D4F34" w:rsidRDefault="005E16D1" w:rsidP="00FA32C6">
            <w:pPr>
              <w:pStyle w:val="TableBody"/>
              <w:jc w:val="right"/>
            </w:pPr>
            <w:r w:rsidRPr="009D4F34">
              <w:t>3%</w:t>
            </w:r>
          </w:p>
        </w:tc>
        <w:tc>
          <w:tcPr>
            <w:tcW w:w="1560" w:type="dxa"/>
            <w:noWrap/>
            <w:hideMark/>
          </w:tcPr>
          <w:p w14:paraId="2A3AD241" w14:textId="77777777" w:rsidR="005E16D1" w:rsidRPr="009D4F34" w:rsidRDefault="005E16D1" w:rsidP="00FA32C6">
            <w:pPr>
              <w:pStyle w:val="TableBody"/>
              <w:jc w:val="right"/>
            </w:pPr>
            <w:r w:rsidRPr="009D4F34">
              <w:t>17%</w:t>
            </w:r>
          </w:p>
        </w:tc>
        <w:tc>
          <w:tcPr>
            <w:tcW w:w="1134" w:type="dxa"/>
            <w:noWrap/>
            <w:hideMark/>
          </w:tcPr>
          <w:p w14:paraId="2DA0DBAF" w14:textId="77777777" w:rsidR="005E16D1" w:rsidRPr="009D4F34" w:rsidRDefault="005E16D1" w:rsidP="00FA32C6">
            <w:pPr>
              <w:pStyle w:val="TableBody"/>
              <w:jc w:val="right"/>
            </w:pPr>
            <w:r w:rsidRPr="009D4F34">
              <w:t>0%</w:t>
            </w:r>
          </w:p>
        </w:tc>
        <w:tc>
          <w:tcPr>
            <w:tcW w:w="850" w:type="dxa"/>
            <w:noWrap/>
            <w:hideMark/>
          </w:tcPr>
          <w:p w14:paraId="0F189AC6" w14:textId="77777777" w:rsidR="005E16D1" w:rsidRPr="009D4F34" w:rsidRDefault="005E16D1" w:rsidP="00FA32C6">
            <w:pPr>
              <w:pStyle w:val="TableBody"/>
              <w:jc w:val="right"/>
            </w:pPr>
            <w:r w:rsidRPr="009D4F34">
              <w:t>43%</w:t>
            </w:r>
          </w:p>
        </w:tc>
      </w:tr>
      <w:tr w:rsidR="005E16D1" w:rsidRPr="001E11E9" w14:paraId="4814D9C2" w14:textId="77777777">
        <w:trPr>
          <w:cnfStyle w:val="000000100000" w:firstRow="0" w:lastRow="0" w:firstColumn="0" w:lastColumn="0" w:oddVBand="0" w:evenVBand="0" w:oddHBand="1" w:evenHBand="0" w:firstRowFirstColumn="0" w:firstRowLastColumn="0" w:lastRowFirstColumn="0" w:lastRowLastColumn="0"/>
          <w:trHeight w:val="290"/>
        </w:trPr>
        <w:tc>
          <w:tcPr>
            <w:tcW w:w="663" w:type="dxa"/>
            <w:noWrap/>
            <w:hideMark/>
          </w:tcPr>
          <w:p w14:paraId="2F1C2341" w14:textId="77777777" w:rsidR="005E16D1" w:rsidRPr="009D4F34" w:rsidRDefault="005E16D1" w:rsidP="00FA32C6">
            <w:pPr>
              <w:pStyle w:val="TableBody"/>
              <w:jc w:val="right"/>
            </w:pPr>
            <w:r w:rsidRPr="009D4F34">
              <w:t>2021</w:t>
            </w:r>
          </w:p>
        </w:tc>
        <w:tc>
          <w:tcPr>
            <w:tcW w:w="1259" w:type="dxa"/>
            <w:noWrap/>
            <w:hideMark/>
          </w:tcPr>
          <w:p w14:paraId="658142FC" w14:textId="77777777" w:rsidR="005E16D1" w:rsidRPr="009D4F34" w:rsidRDefault="005E16D1" w:rsidP="00FA32C6">
            <w:pPr>
              <w:pStyle w:val="TableBody"/>
              <w:jc w:val="right"/>
            </w:pPr>
            <w:r w:rsidRPr="009D4F34">
              <w:t>34%</w:t>
            </w:r>
          </w:p>
        </w:tc>
        <w:tc>
          <w:tcPr>
            <w:tcW w:w="2126" w:type="dxa"/>
            <w:noWrap/>
            <w:hideMark/>
          </w:tcPr>
          <w:p w14:paraId="2AF3BD9A" w14:textId="77777777" w:rsidR="005E16D1" w:rsidRPr="009D4F34" w:rsidRDefault="005E16D1" w:rsidP="00FA32C6">
            <w:pPr>
              <w:pStyle w:val="TableBody"/>
              <w:jc w:val="right"/>
            </w:pPr>
            <w:r w:rsidRPr="009D4F34">
              <w:t>9%</w:t>
            </w:r>
          </w:p>
        </w:tc>
        <w:tc>
          <w:tcPr>
            <w:tcW w:w="992" w:type="dxa"/>
            <w:noWrap/>
            <w:hideMark/>
          </w:tcPr>
          <w:p w14:paraId="63BD80AE" w14:textId="77777777" w:rsidR="005E16D1" w:rsidRPr="009D4F34" w:rsidRDefault="005E16D1" w:rsidP="00FA32C6">
            <w:pPr>
              <w:pStyle w:val="TableBody"/>
              <w:jc w:val="right"/>
            </w:pPr>
            <w:r w:rsidRPr="009D4F34">
              <w:t>4%</w:t>
            </w:r>
          </w:p>
        </w:tc>
        <w:tc>
          <w:tcPr>
            <w:tcW w:w="1560" w:type="dxa"/>
            <w:noWrap/>
            <w:hideMark/>
          </w:tcPr>
          <w:p w14:paraId="77FE74D7" w14:textId="77777777" w:rsidR="005E16D1" w:rsidRPr="009D4F34" w:rsidRDefault="005E16D1" w:rsidP="00FA32C6">
            <w:pPr>
              <w:pStyle w:val="TableBody"/>
              <w:jc w:val="right"/>
            </w:pPr>
            <w:r w:rsidRPr="009D4F34">
              <w:t>11%</w:t>
            </w:r>
          </w:p>
        </w:tc>
        <w:tc>
          <w:tcPr>
            <w:tcW w:w="1134" w:type="dxa"/>
            <w:noWrap/>
            <w:hideMark/>
          </w:tcPr>
          <w:p w14:paraId="77D54FF1" w14:textId="77777777" w:rsidR="005E16D1" w:rsidRPr="009D4F34" w:rsidRDefault="005E16D1" w:rsidP="00FA32C6">
            <w:pPr>
              <w:pStyle w:val="TableBody"/>
              <w:jc w:val="right"/>
            </w:pPr>
            <w:r w:rsidRPr="009D4F34">
              <w:t>0%</w:t>
            </w:r>
          </w:p>
        </w:tc>
        <w:tc>
          <w:tcPr>
            <w:tcW w:w="850" w:type="dxa"/>
            <w:noWrap/>
            <w:hideMark/>
          </w:tcPr>
          <w:p w14:paraId="4D68C9DC" w14:textId="77777777" w:rsidR="005E16D1" w:rsidRPr="009D4F34" w:rsidRDefault="005E16D1" w:rsidP="00FA32C6">
            <w:pPr>
              <w:pStyle w:val="TableBody"/>
              <w:jc w:val="right"/>
            </w:pPr>
            <w:r w:rsidRPr="009D4F34">
              <w:t>43%</w:t>
            </w:r>
          </w:p>
        </w:tc>
      </w:tr>
    </w:tbl>
    <w:p w14:paraId="62F2C356" w14:textId="77777777" w:rsidR="005E16D1" w:rsidRDefault="005E16D1" w:rsidP="005E16D1">
      <w:pPr>
        <w:pStyle w:val="Bulletlevel1"/>
        <w:numPr>
          <w:ilvl w:val="0"/>
          <w:numId w:val="0"/>
        </w:numPr>
        <w:spacing w:line="240" w:lineRule="auto"/>
        <w:rPr>
          <w:b/>
          <w:bCs/>
        </w:rPr>
      </w:pPr>
    </w:p>
    <w:p w14:paraId="163CAE9C" w14:textId="0B5C271A" w:rsidR="005E16D1" w:rsidRDefault="005E16D1" w:rsidP="00FA32C6">
      <w:pPr>
        <w:pStyle w:val="Paragraph"/>
      </w:pPr>
      <w:r w:rsidRPr="001B1E5F">
        <w:t xml:space="preserve">Each </w:t>
      </w:r>
      <w:r>
        <w:t xml:space="preserve">year’s </w:t>
      </w:r>
      <w:r w:rsidRPr="001B1E5F">
        <w:t xml:space="preserve">audit </w:t>
      </w:r>
      <w:r>
        <w:t>findings are</w:t>
      </w:r>
      <w:r w:rsidRPr="001B1E5F">
        <w:t xml:space="preserve"> broadly similar </w:t>
      </w:r>
      <w:r>
        <w:t>and continue to indicate significant and systemic non-compliance. ACMA staff have engaged in specific and general education programs throughout the audit programs. The impact of these programs does not seem quantifiable</w:t>
      </w:r>
      <w:r w:rsidR="009D4F34">
        <w:t>,</w:t>
      </w:r>
      <w:r>
        <w:t xml:space="preserve"> yet </w:t>
      </w:r>
      <w:r w:rsidRPr="005B75BB">
        <w:t>nor does</w:t>
      </w:r>
      <w:r w:rsidRPr="00CD5B51">
        <w:t xml:space="preserve"> engagement with industry seem to have had a measurable impact on compliance levels.</w:t>
      </w:r>
    </w:p>
    <w:p w14:paraId="31034D85" w14:textId="77777777" w:rsidR="005E16D1" w:rsidRDefault="005E16D1" w:rsidP="005E16D1">
      <w:pPr>
        <w:pStyle w:val="Heading2"/>
      </w:pPr>
      <w:bookmarkStart w:id="32" w:name="_Toc168578741"/>
      <w:bookmarkStart w:id="33" w:name="_Toc16685785"/>
      <w:bookmarkStart w:id="34" w:name="_Toc178602483"/>
      <w:r>
        <w:lastRenderedPageBreak/>
        <w:t>Industry education strategy</w:t>
      </w:r>
      <w:bookmarkEnd w:id="32"/>
      <w:bookmarkEnd w:id="34"/>
    </w:p>
    <w:p w14:paraId="66C1BFA8" w14:textId="750999E6" w:rsidR="005E16D1" w:rsidRDefault="005E16D1" w:rsidP="005E16D1">
      <w:pPr>
        <w:pStyle w:val="Paragraph"/>
      </w:pPr>
      <w:r>
        <w:t xml:space="preserve">We have reviewed the data and considered the information received during the audit. The findings have helped us develop a </w:t>
      </w:r>
      <w:hyperlink r:id="rId46" w:history="1">
        <w:r w:rsidRPr="008F6C55">
          <w:rPr>
            <w:rStyle w:val="Hyperlink"/>
          </w:rPr>
          <w:t>guide to compliance with licence conditions</w:t>
        </w:r>
      </w:hyperlink>
      <w:r>
        <w:t xml:space="preserve"> to assist licensees in understanding what their obligations are and how to achieve compliance.</w:t>
      </w:r>
    </w:p>
    <w:p w14:paraId="31E26FCA" w14:textId="54FD2571" w:rsidR="005E16D1" w:rsidRDefault="005E16D1" w:rsidP="00FA32C6">
      <w:pPr>
        <w:pStyle w:val="Paragraphbeforelist"/>
      </w:pPr>
      <w:r>
        <w:t>The guide focuses on identified areas of non-compliance</w:t>
      </w:r>
      <w:r w:rsidR="00562439">
        <w:t>,</w:t>
      </w:r>
      <w:r>
        <w:t xml:space="preserve"> such as:</w:t>
      </w:r>
    </w:p>
    <w:p w14:paraId="56E77777" w14:textId="5E5B9D8B" w:rsidR="005E16D1" w:rsidRPr="009D4F34" w:rsidRDefault="009D4F34" w:rsidP="00FA32C6">
      <w:pPr>
        <w:pStyle w:val="Bulletlevel1"/>
      </w:pPr>
      <w:r>
        <w:t>t</w:t>
      </w:r>
      <w:r w:rsidR="005E16D1">
        <w:t xml:space="preserve">he field strength power </w:t>
      </w:r>
      <w:r w:rsidR="005E16D1" w:rsidRPr="009D4F34">
        <w:t>limitations</w:t>
      </w:r>
    </w:p>
    <w:p w14:paraId="08DEFD54" w14:textId="248C7BD8" w:rsidR="005E16D1" w:rsidRPr="009D4F34" w:rsidRDefault="009D4F34" w:rsidP="00FA32C6">
      <w:pPr>
        <w:pStyle w:val="Bulletlevel1"/>
      </w:pPr>
      <w:r w:rsidRPr="009D4F34">
        <w:t>t</w:t>
      </w:r>
      <w:r w:rsidR="005E16D1" w:rsidRPr="009D4F34">
        <w:t>he transmitter power limitations</w:t>
      </w:r>
    </w:p>
    <w:p w14:paraId="6DA944F9" w14:textId="32B95184" w:rsidR="005E16D1" w:rsidRPr="009D4F34" w:rsidRDefault="009D4F34" w:rsidP="00FA32C6">
      <w:pPr>
        <w:pStyle w:val="Bulletlevel1"/>
      </w:pPr>
      <w:r w:rsidRPr="009D4F34">
        <w:t>t</w:t>
      </w:r>
      <w:r w:rsidR="005E16D1" w:rsidRPr="009D4F34">
        <w:t>he location of the LPON station</w:t>
      </w:r>
    </w:p>
    <w:p w14:paraId="11C7ECE9" w14:textId="5B95ACF4" w:rsidR="005E16D1" w:rsidRPr="009D4F34" w:rsidRDefault="009D4F34" w:rsidP="00FA32C6">
      <w:pPr>
        <w:pStyle w:val="Bulletlevel1"/>
      </w:pPr>
      <w:r w:rsidRPr="009D4F34">
        <w:t>t</w:t>
      </w:r>
      <w:r w:rsidR="005E16D1" w:rsidRPr="009D4F34">
        <w:t>he content and format of a logbook</w:t>
      </w:r>
    </w:p>
    <w:p w14:paraId="3DD86237" w14:textId="20D2B3C9" w:rsidR="005E16D1" w:rsidRDefault="009D4F34" w:rsidP="00FA32C6">
      <w:pPr>
        <w:pStyle w:val="Bulletlevel1last"/>
      </w:pPr>
      <w:r>
        <w:t>c</w:t>
      </w:r>
      <w:r w:rsidR="005E16D1">
        <w:t>ommencement and regularity of service</w:t>
      </w:r>
      <w:r>
        <w:t>.</w:t>
      </w:r>
    </w:p>
    <w:p w14:paraId="313C9AF8" w14:textId="3A893EFC" w:rsidR="005E16D1" w:rsidRDefault="005E16D1" w:rsidP="005E16D1">
      <w:pPr>
        <w:pStyle w:val="Paragraph"/>
        <w:rPr>
          <w:highlight w:val="yellow"/>
        </w:rPr>
      </w:pPr>
      <w:r>
        <w:t xml:space="preserve">Our licence conditions guide will be provided to each licensee when we communicate the audit outcomes. We will also provide specific information to each licensee in the audit outcome letter in </w:t>
      </w:r>
      <w:r w:rsidRPr="0030603C">
        <w:t xml:space="preserve">relation to any non-compliance we believe they may have engaged in. We do this to </w:t>
      </w:r>
      <w:r w:rsidR="00562439">
        <w:t xml:space="preserve">help </w:t>
      </w:r>
      <w:r w:rsidRPr="0030603C">
        <w:t>licensees achiev</w:t>
      </w:r>
      <w:r w:rsidR="00562439">
        <w:t>e</w:t>
      </w:r>
      <w:r w:rsidRPr="0030603C">
        <w:t xml:space="preserve"> compliance through </w:t>
      </w:r>
      <w:r w:rsidR="00562439">
        <w:t xml:space="preserve">educational </w:t>
      </w:r>
      <w:r w:rsidRPr="0030603C">
        <w:t>means.</w:t>
      </w:r>
    </w:p>
    <w:p w14:paraId="7D11DE67" w14:textId="77777777" w:rsidR="005E16D1" w:rsidRPr="0001675B" w:rsidRDefault="005E16D1" w:rsidP="005E16D1">
      <w:pPr>
        <w:pStyle w:val="Paragraph"/>
      </w:pPr>
      <w:r>
        <w:t xml:space="preserve">We also reached out to the licensees with larger licence holdings in one-on-one sessions to discuss general and specific compliance concerns. In addition, we engaged with the Australian Narrowcasting Radio Association (ANRA) so that it could disseminate information about licence condition compliance and common types of non-compliance.   </w:t>
      </w:r>
    </w:p>
    <w:p w14:paraId="318E0C1B" w14:textId="77777777" w:rsidR="005E16D1" w:rsidRDefault="005E16D1" w:rsidP="00FA32C6">
      <w:pPr>
        <w:pStyle w:val="Heading2"/>
        <w:keepLines/>
      </w:pPr>
      <w:bookmarkStart w:id="35" w:name="_Toc168578742"/>
      <w:bookmarkStart w:id="36" w:name="_Toc178602484"/>
      <w:r w:rsidRPr="0001675B">
        <w:t>Next steps</w:t>
      </w:r>
      <w:bookmarkEnd w:id="35"/>
      <w:bookmarkEnd w:id="36"/>
      <w:r>
        <w:t xml:space="preserve"> </w:t>
      </w:r>
    </w:p>
    <w:bookmarkEnd w:id="6"/>
    <w:bookmarkEnd w:id="33"/>
    <w:p w14:paraId="317336DC" w14:textId="14DBDA78" w:rsidR="005E16D1" w:rsidRDefault="005E16D1" w:rsidP="00FA32C6">
      <w:pPr>
        <w:pStyle w:val="Paragraph"/>
        <w:keepNext/>
        <w:keepLines/>
      </w:pPr>
      <w:r>
        <w:t xml:space="preserve">We are continuing </w:t>
      </w:r>
      <w:proofErr w:type="gramStart"/>
      <w:r>
        <w:t>a number of</w:t>
      </w:r>
      <w:proofErr w:type="gramEnd"/>
      <w:r>
        <w:t xml:space="preserve"> </w:t>
      </w:r>
      <w:r w:rsidR="00562439">
        <w:t xml:space="preserve">commenced </w:t>
      </w:r>
      <w:r>
        <w:t>investigations into suspected LPON non-compliance arising from the 2022</w:t>
      </w:r>
      <w:r w:rsidR="00562439">
        <w:t>–</w:t>
      </w:r>
      <w:r>
        <w:t>23 audit program and will commence further compliance activity following the completion of the 2023</w:t>
      </w:r>
      <w:r w:rsidR="00562439">
        <w:t>–</w:t>
      </w:r>
      <w:r>
        <w:t xml:space="preserve">24 audit and publication of this report. </w:t>
      </w:r>
    </w:p>
    <w:p w14:paraId="2C0C619A" w14:textId="0356BFE6" w:rsidR="005E16D1" w:rsidRDefault="005E16D1" w:rsidP="005E16D1">
      <w:pPr>
        <w:pStyle w:val="Paragraph"/>
      </w:pPr>
      <w:r>
        <w:t>Over the coming year</w:t>
      </w:r>
      <w:r w:rsidR="00562439">
        <w:t>,</w:t>
      </w:r>
      <w:r>
        <w:t xml:space="preserve"> we will continue to investigate the non-compliance identified </w:t>
      </w:r>
      <w:proofErr w:type="gramStart"/>
      <w:r>
        <w:t>in the course of</w:t>
      </w:r>
      <w:proofErr w:type="gramEnd"/>
      <w:r>
        <w:t xml:space="preserve"> the audit programs</w:t>
      </w:r>
      <w:r w:rsidR="001C1275">
        <w:t xml:space="preserve"> and where appropriate consider proportionate enforcement activity</w:t>
      </w:r>
      <w:r>
        <w:t>. We also believe it will take some time to see the impacts of our newly developed educational resources and the increased licensee awareness from this audit program on LPON licensee compliance levels. As a result, we do not plan to conduct a formal audit program next year. However, we will be conducting random re-audits and spot audits to inform our compliance activity and may plan for further future audit activities. Increasing LPON regulatory awareness and compliance levels will remain a focus.</w:t>
      </w:r>
    </w:p>
    <w:p w14:paraId="720915F4" w14:textId="77777777" w:rsidR="005E16D1" w:rsidRPr="005E5084" w:rsidRDefault="005E16D1" w:rsidP="005E16D1">
      <w:pPr>
        <w:pStyle w:val="Paragraph"/>
      </w:pPr>
      <w:r>
        <w:t>The ACMA will continue to engage with industry and licensees to bolster awareness of the regulatory requirements for LPON licences and the reasoning for those requirements.</w:t>
      </w:r>
    </w:p>
    <w:p w14:paraId="619C16A4" w14:textId="77777777" w:rsidR="005E16D1" w:rsidRPr="005F377D" w:rsidRDefault="005E16D1" w:rsidP="005E16D1"/>
    <w:p w14:paraId="11C1A212" w14:textId="0E291A9A" w:rsidR="00F61C77" w:rsidRPr="00A17B1B" w:rsidRDefault="00F61C77" w:rsidP="005E16D1">
      <w:pPr>
        <w:pStyle w:val="Paragraph"/>
      </w:pPr>
    </w:p>
    <w:sectPr w:rsidR="00F61C77" w:rsidRPr="00A17B1B" w:rsidSect="005A62E5">
      <w:headerReference w:type="even" r:id="rId47"/>
      <w:headerReference w:type="default" r:id="rId48"/>
      <w:footerReference w:type="even" r:id="rId49"/>
      <w:footerReference w:type="default" r:id="rId50"/>
      <w:pgSz w:w="11906" w:h="16838" w:code="9"/>
      <w:pgMar w:top="1418" w:right="1418" w:bottom="1134" w:left="1418"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E6AF1" w14:textId="77777777" w:rsidR="0094011A" w:rsidRDefault="0094011A">
      <w:r>
        <w:separator/>
      </w:r>
    </w:p>
  </w:endnote>
  <w:endnote w:type="continuationSeparator" w:id="0">
    <w:p w14:paraId="1771CA3F" w14:textId="77777777" w:rsidR="0094011A" w:rsidRDefault="0094011A">
      <w:r>
        <w:continuationSeparator/>
      </w:r>
    </w:p>
  </w:endnote>
  <w:endnote w:type="continuationNotice" w:id="1">
    <w:p w14:paraId="5BFD2F32" w14:textId="77777777" w:rsidR="0094011A" w:rsidRDefault="009401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F8807AD" w14:paraId="7B37272B" w14:textId="77777777" w:rsidTr="00A60F13">
      <w:trPr>
        <w:trHeight w:val="300"/>
      </w:trPr>
      <w:tc>
        <w:tcPr>
          <w:tcW w:w="3020" w:type="dxa"/>
        </w:tcPr>
        <w:p w14:paraId="0EEAE042" w14:textId="56BFB947" w:rsidR="1F8807AD" w:rsidRDefault="1F8807AD" w:rsidP="00FA32C6">
          <w:pPr>
            <w:pStyle w:val="Header"/>
            <w:ind w:left="-115"/>
          </w:pPr>
        </w:p>
      </w:tc>
      <w:tc>
        <w:tcPr>
          <w:tcW w:w="3020" w:type="dxa"/>
        </w:tcPr>
        <w:p w14:paraId="1958D9D0" w14:textId="5E11E1DE" w:rsidR="1F8807AD" w:rsidRDefault="1F8807AD" w:rsidP="00FA32C6">
          <w:pPr>
            <w:pStyle w:val="Header"/>
            <w:jc w:val="center"/>
          </w:pPr>
        </w:p>
      </w:tc>
      <w:tc>
        <w:tcPr>
          <w:tcW w:w="3020" w:type="dxa"/>
        </w:tcPr>
        <w:p w14:paraId="4E3840C6" w14:textId="6FB8BCA7" w:rsidR="1F8807AD" w:rsidRDefault="1F8807AD" w:rsidP="00FA32C6">
          <w:pPr>
            <w:pStyle w:val="Header"/>
            <w:ind w:right="-115"/>
            <w:jc w:val="right"/>
          </w:pPr>
        </w:p>
      </w:tc>
    </w:tr>
  </w:tbl>
  <w:p w14:paraId="58F34550" w14:textId="04535088" w:rsidR="00647B0D" w:rsidRDefault="00647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97A44" w14:textId="77777777" w:rsidR="005E250B" w:rsidRDefault="005E250B" w:rsidP="005E250B">
    <w:pPr>
      <w:pStyle w:val="Footer"/>
      <w:jc w:val="right"/>
    </w:pPr>
    <w:r w:rsidRPr="005E250B">
      <w:rPr>
        <w:noProof/>
        <w:vertAlign w:val="subscript"/>
      </w:rPr>
      <w:drawing>
        <wp:inline distT="0" distB="0" distL="0" distR="0" wp14:anchorId="7DE4C0F0" wp14:editId="4BCAAF99">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1930" w14:textId="77777777" w:rsidR="00C053A1" w:rsidRDefault="00C05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9E34" w14:textId="77777777" w:rsidR="00C053A1" w:rsidRDefault="00C053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A7AE" w14:textId="77777777" w:rsidR="00971914" w:rsidRPr="00622A3B" w:rsidRDefault="00971914"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iv</w:t>
    </w:r>
    <w:r w:rsidRPr="002E4DDC">
      <w:rPr>
        <w:color w:val="505050"/>
      </w:rPr>
      <w:fldChar w:fldCharType="end"/>
    </w:r>
  </w:p>
  <w:p w14:paraId="33F885D8" w14:textId="77777777" w:rsidR="00C053A1" w:rsidRPr="00A5474E" w:rsidRDefault="00C053A1"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204A7" w14:textId="77777777" w:rsidR="00971914" w:rsidRPr="00622A3B" w:rsidRDefault="00971914"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0C6AB4">
      <w:rPr>
        <w:noProof/>
        <w:color w:val="505050"/>
      </w:rPr>
      <w:t>v</w:t>
    </w:r>
    <w:r w:rsidRPr="002E4DDC">
      <w:rPr>
        <w:color w:val="505050"/>
      </w:rPr>
      <w:fldChar w:fldCharType="end"/>
    </w:r>
  </w:p>
  <w:p w14:paraId="5E193A95" w14:textId="77777777" w:rsidR="00C053A1" w:rsidRPr="00A5474E" w:rsidRDefault="00C053A1"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C2C6" w14:textId="77777777" w:rsidR="00C053A1" w:rsidRPr="005A62E5" w:rsidRDefault="005A62E5" w:rsidP="005A62E5">
    <w:pPr>
      <w:pStyle w:val="Header"/>
      <w:tabs>
        <w:tab w:val="clear" w:pos="4153"/>
        <w:tab w:val="clear" w:pos="8306"/>
        <w:tab w:val="right" w:pos="9072"/>
      </w:tabs>
      <w:rPr>
        <w:noProof/>
        <w:sz w:val="20"/>
      </w:rPr>
    </w:pPr>
    <w:r>
      <w:rPr>
        <w:color w:val="505050"/>
      </w:rPr>
      <w:t>Australian Communications and Media Authority</w:t>
    </w:r>
    <w:r>
      <w:rPr>
        <w:color w:val="505050"/>
      </w:rPr>
      <w:tab/>
    </w:r>
    <w:r w:rsidRPr="005A62E5">
      <w:rPr>
        <w:color w:val="505050"/>
      </w:rPr>
      <w:fldChar w:fldCharType="begin"/>
    </w:r>
    <w:r w:rsidRPr="005A62E5">
      <w:rPr>
        <w:color w:val="505050"/>
      </w:rPr>
      <w:instrText xml:space="preserve"> PAGE   \* MERGEFORMAT </w:instrText>
    </w:r>
    <w:r w:rsidRPr="005A62E5">
      <w:rPr>
        <w:color w:val="505050"/>
      </w:rPr>
      <w:fldChar w:fldCharType="separate"/>
    </w:r>
    <w:r w:rsidRPr="005A62E5">
      <w:rPr>
        <w:noProof/>
        <w:color w:val="505050"/>
      </w:rPr>
      <w:t>1</w:t>
    </w:r>
    <w:r w:rsidRPr="005A62E5">
      <w:rPr>
        <w:noProof/>
        <w:color w:val="50505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B2DF" w14:textId="77777777"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30516885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18E58" w14:textId="77777777"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72649357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F989D" w14:textId="77777777" w:rsidR="0094011A" w:rsidRDefault="0094011A" w:rsidP="00DB3A64">
      <w:pPr>
        <w:spacing w:after="0"/>
      </w:pPr>
      <w:r>
        <w:separator/>
      </w:r>
    </w:p>
  </w:footnote>
  <w:footnote w:type="continuationSeparator" w:id="0">
    <w:p w14:paraId="147A5BD3" w14:textId="77777777" w:rsidR="0094011A" w:rsidRDefault="0094011A">
      <w:r>
        <w:continuationSeparator/>
      </w:r>
    </w:p>
  </w:footnote>
  <w:footnote w:type="continuationNotice" w:id="1">
    <w:p w14:paraId="603B56C2" w14:textId="77777777" w:rsidR="0094011A" w:rsidRDefault="0094011A">
      <w:pPr>
        <w:spacing w:after="0" w:line="240" w:lineRule="auto"/>
      </w:pPr>
    </w:p>
  </w:footnote>
  <w:footnote w:id="2">
    <w:p w14:paraId="0D878674" w14:textId="77777777" w:rsidR="0011580B" w:rsidRDefault="0011580B" w:rsidP="000527B7">
      <w:pPr>
        <w:pStyle w:val="FootnoteText"/>
      </w:pPr>
      <w:r w:rsidRPr="2A05B3E7">
        <w:rPr>
          <w:rStyle w:val="FootnoteReference"/>
          <w:rFonts w:eastAsia="Arial" w:cs="Arial"/>
          <w:szCs w:val="20"/>
        </w:rPr>
        <w:footnoteRef/>
      </w:r>
      <w:r w:rsidRPr="000527B7">
        <w:rPr>
          <w:rFonts w:eastAsia="Arial"/>
        </w:rPr>
        <w:t xml:space="preserve"> Note that compliance with separate conditions under the </w:t>
      </w:r>
      <w:r w:rsidRPr="000527B7">
        <w:rPr>
          <w:rFonts w:eastAsia="Arial"/>
          <w:i/>
          <w:iCs/>
        </w:rPr>
        <w:t>Broadcasting Services Act</w:t>
      </w:r>
      <w:r w:rsidRPr="000527B7">
        <w:rPr>
          <w:rFonts w:eastAsia="Arial"/>
        </w:rPr>
        <w:t xml:space="preserve"> </w:t>
      </w:r>
      <w:r w:rsidRPr="000527B7">
        <w:rPr>
          <w:rFonts w:eastAsia="Arial"/>
          <w:i/>
          <w:iCs/>
        </w:rPr>
        <w:t>1992</w:t>
      </w:r>
      <w:r w:rsidRPr="000527B7">
        <w:rPr>
          <w:rFonts w:eastAsia="Arial"/>
        </w:rPr>
        <w:t xml:space="preserve"> was not in scope.</w:t>
      </w:r>
    </w:p>
  </w:footnote>
  <w:footnote w:id="3">
    <w:p w14:paraId="62ADDF5C" w14:textId="56F1A22F" w:rsidR="009B30F8" w:rsidRDefault="009B30F8" w:rsidP="0011580B">
      <w:pPr>
        <w:pStyle w:val="FootnoteText"/>
      </w:pPr>
      <w:r>
        <w:rPr>
          <w:rStyle w:val="FootnoteReference"/>
        </w:rPr>
        <w:footnoteRef/>
      </w:r>
      <w:r>
        <w:t xml:space="preserve"> This includes all licences that </w:t>
      </w:r>
      <w:r w:rsidR="00D5373C">
        <w:t xml:space="preserve">were desktop audited or field audited.  </w:t>
      </w:r>
    </w:p>
  </w:footnote>
  <w:footnote w:id="4">
    <w:p w14:paraId="0620FAAC" w14:textId="31F7FC7D" w:rsidR="2A05B3E7" w:rsidRDefault="2A05B3E7" w:rsidP="007922A4">
      <w:pPr>
        <w:pStyle w:val="FootnoteText"/>
      </w:pPr>
      <w:r w:rsidRPr="2A05B3E7">
        <w:rPr>
          <w:rStyle w:val="FootnoteReference"/>
        </w:rPr>
        <w:footnoteRef/>
      </w:r>
      <w:r>
        <w:t xml:space="preserve"> Note that the terms ‘clustering’ and ‘networking’ are explained and discussed in more detail under the ‘Business Practices’ heading in this Executive Summary</w:t>
      </w:r>
    </w:p>
  </w:footnote>
  <w:footnote w:id="5">
    <w:p w14:paraId="06E83025" w14:textId="76112BF3" w:rsidR="005E16D1" w:rsidRDefault="005E16D1" w:rsidP="0011580B">
      <w:pPr>
        <w:pStyle w:val="FootnoteText"/>
      </w:pPr>
      <w:r>
        <w:rPr>
          <w:rStyle w:val="FootnoteReference"/>
        </w:rPr>
        <w:footnoteRef/>
      </w:r>
      <w:r>
        <w:t xml:space="preserve"> </w:t>
      </w:r>
      <w:r w:rsidRPr="00D3460C">
        <w:t>We defined any licence within 50</w:t>
      </w:r>
      <w:r w:rsidR="000C6B95">
        <w:t xml:space="preserve"> </w:t>
      </w:r>
      <w:r w:rsidRPr="00D3460C">
        <w:t>kms of a state capital city to be a ‘metro’ licence and all other licences to be ‘regional’ licences for the purposes of this audit.</w:t>
      </w:r>
    </w:p>
  </w:footnote>
  <w:footnote w:id="6">
    <w:p w14:paraId="148B9EF6" w14:textId="41A4E2DA" w:rsidR="005E16D1" w:rsidRDefault="005E16D1" w:rsidP="0011580B">
      <w:pPr>
        <w:pStyle w:val="FootnoteText"/>
      </w:pPr>
      <w:r>
        <w:rPr>
          <w:rStyle w:val="FootnoteReference"/>
        </w:rPr>
        <w:footnoteRef/>
      </w:r>
      <w:r w:rsidR="02C9C7C0">
        <w:t xml:space="preserve"> The average found was 51.33 </w:t>
      </w:r>
      <w:proofErr w:type="spellStart"/>
      <w:r w:rsidR="02C9C7C0">
        <w:t>dB</w:t>
      </w:r>
      <w:r w:rsidR="02C9C7C0">
        <w:rPr>
          <w:rFonts w:cs="Arial"/>
        </w:rPr>
        <w:t>µ</w:t>
      </w:r>
      <w:r w:rsidR="02C9C7C0">
        <w:t>V</w:t>
      </w:r>
      <w:proofErr w:type="spellEnd"/>
      <w:r w:rsidR="02C9C7C0">
        <w:t>/m</w:t>
      </w:r>
      <w:r w:rsidR="02C9C7C0">
        <w:rPr>
          <w:vertAlign w:val="superscript"/>
        </w:rPr>
        <w:t>2</w:t>
      </w:r>
      <w:r w:rsidR="02C9C7C0">
        <w:t xml:space="preserve">. Decibels are a logarithmic scale used to produces simple numbers for large-scale variations in signal strengths, further discussion in results. </w:t>
      </w:r>
    </w:p>
  </w:footnote>
  <w:footnote w:id="7">
    <w:p w14:paraId="4B5DFA97" w14:textId="77777777" w:rsidR="005E16D1" w:rsidRDefault="005E16D1" w:rsidP="005E16D1">
      <w:pPr>
        <w:pStyle w:val="FootnoteText"/>
      </w:pPr>
      <w:r>
        <w:rPr>
          <w:rStyle w:val="FootnoteReference"/>
        </w:rPr>
        <w:footnoteRef/>
      </w:r>
      <w:r>
        <w:t xml:space="preserve"> Section 18(1) of the </w:t>
      </w:r>
      <w:hyperlink r:id="rId1" w:history="1">
        <w:r w:rsidRPr="00F96879">
          <w:rPr>
            <w:rStyle w:val="Hyperlink"/>
          </w:rPr>
          <w:t>Broadcasting Services Act 1992</w:t>
        </w:r>
      </w:hyperlink>
    </w:p>
  </w:footnote>
  <w:footnote w:id="8">
    <w:p w14:paraId="6F6347AC" w14:textId="77777777" w:rsidR="005E16D1" w:rsidRDefault="005E16D1" w:rsidP="005E16D1">
      <w:pPr>
        <w:pStyle w:val="FootnoteText"/>
      </w:pPr>
      <w:r>
        <w:rPr>
          <w:rStyle w:val="FootnoteReference"/>
        </w:rPr>
        <w:footnoteRef/>
      </w:r>
      <w:r>
        <w:t xml:space="preserve"> The UIOLI, recording keeping, and regularity conditions are contained within Section 4.11 (1) of the Radiocommunications Licence Conditions (Broadcasting Licence) Determination 2015</w:t>
      </w:r>
    </w:p>
  </w:footnote>
  <w:footnote w:id="9">
    <w:p w14:paraId="4EC18300" w14:textId="77777777" w:rsidR="005E16D1" w:rsidRDefault="005E16D1" w:rsidP="005E16D1">
      <w:pPr>
        <w:pStyle w:val="FootnoteText"/>
      </w:pPr>
      <w:r>
        <w:rPr>
          <w:rStyle w:val="FootnoteReference"/>
        </w:rPr>
        <w:footnoteRef/>
      </w:r>
      <w:r>
        <w:t xml:space="preserve"> Section 4.9 of the </w:t>
      </w:r>
      <w:r w:rsidRPr="009008D2">
        <w:t>Radiocommunications Licence Conditions (Broadcasting Licence) Determination 2015</w:t>
      </w:r>
      <w:r>
        <w:t xml:space="preserve"> permits a </w:t>
      </w:r>
      <w:proofErr w:type="spellStart"/>
      <w:r>
        <w:t>licensee</w:t>
      </w:r>
      <w:proofErr w:type="spellEnd"/>
      <w:r>
        <w:t xml:space="preserve"> to operate a service in a residential area, where the f</w:t>
      </w:r>
      <w:r w:rsidRPr="004B4B93">
        <w:t>ield strength must not exceed 48</w:t>
      </w:r>
      <w:r>
        <w:t xml:space="preserve"> decibel microvolt per meter square</w:t>
      </w:r>
      <w:r w:rsidRPr="004B4B93">
        <w:t xml:space="preserve"> when measured at 10 metres above ground level at any location more than 2 kilometres from the station’s antenna.</w:t>
      </w:r>
    </w:p>
  </w:footnote>
  <w:footnote w:id="10">
    <w:p w14:paraId="70CB7808" w14:textId="77777777" w:rsidR="005E16D1" w:rsidRDefault="005E16D1" w:rsidP="005E16D1">
      <w:pPr>
        <w:pStyle w:val="FootnoteText"/>
      </w:pPr>
    </w:p>
  </w:footnote>
  <w:footnote w:id="11">
    <w:p w14:paraId="48C8AD5D" w14:textId="77777777" w:rsidR="005E16D1" w:rsidRDefault="005E16D1" w:rsidP="005E16D1">
      <w:pPr>
        <w:pStyle w:val="FootnoteText"/>
      </w:pPr>
      <w:r>
        <w:rPr>
          <w:rStyle w:val="FootnoteReference"/>
        </w:rPr>
        <w:footnoteRef/>
      </w:r>
      <w:r>
        <w:t xml:space="preserve"> </w:t>
      </w:r>
      <w:r w:rsidRPr="00CB6304">
        <w:t>Measurement uncertainty is an error factor of 3dB applied in favour of the licensee</w:t>
      </w:r>
      <w:r>
        <w:t xml:space="preserve"> – discussed in limitations</w:t>
      </w:r>
      <w:r w:rsidRPr="00CB6304">
        <w:t>.</w:t>
      </w:r>
    </w:p>
  </w:footnote>
  <w:footnote w:id="12">
    <w:p w14:paraId="55AF9656" w14:textId="77777777" w:rsidR="005E16D1" w:rsidRDefault="005E16D1" w:rsidP="005E16D1">
      <w:pPr>
        <w:pStyle w:val="FootnoteText"/>
      </w:pPr>
      <w:r>
        <w:rPr>
          <w:rStyle w:val="FootnoteReference"/>
        </w:rPr>
        <w:footnoteRef/>
      </w:r>
      <w:r>
        <w:t xml:space="preserve"> </w:t>
      </w:r>
      <w:hyperlink r:id="rId2" w:history="1">
        <w:proofErr w:type="spellStart"/>
        <w:r w:rsidRPr="0001741A">
          <w:rPr>
            <w:rStyle w:val="Hyperlink"/>
          </w:rPr>
          <w:t>Futrends</w:t>
        </w:r>
        <w:proofErr w:type="spellEnd"/>
        <w:r w:rsidRPr="0001741A">
          <w:rPr>
            <w:rStyle w:val="Hyperlink"/>
          </w:rPr>
          <w:t xml:space="preserve"> Pty Ltd and Australian Communications and Media Authority</w:t>
        </w:r>
      </w:hyperlink>
      <w:r>
        <w:t xml:space="preserve"> and </w:t>
      </w:r>
      <w:hyperlink r:id="rId3" w:history="1">
        <w:r w:rsidRPr="0001741A">
          <w:rPr>
            <w:rStyle w:val="Hyperlink"/>
          </w:rPr>
          <w:t xml:space="preserve">W&amp;A </w:t>
        </w:r>
        <w:proofErr w:type="spellStart"/>
        <w:r w:rsidRPr="0001741A">
          <w:rPr>
            <w:rStyle w:val="Hyperlink"/>
          </w:rPr>
          <w:t>Willmington</w:t>
        </w:r>
        <w:proofErr w:type="spellEnd"/>
        <w:r w:rsidRPr="0001741A">
          <w:rPr>
            <w:rStyle w:val="Hyperlink"/>
          </w:rPr>
          <w:t xml:space="preserve"> and Australian Communications and Media Authority</w:t>
        </w:r>
      </w:hyperlink>
    </w:p>
  </w:footnote>
  <w:footnote w:id="13">
    <w:p w14:paraId="4C273B02" w14:textId="77777777" w:rsidR="005E16D1" w:rsidRDefault="005E16D1" w:rsidP="005E16D1">
      <w:pPr>
        <w:pStyle w:val="FootnoteText"/>
      </w:pPr>
      <w:r w:rsidRPr="007B19C0">
        <w:rPr>
          <w:rStyle w:val="FootnoteReference"/>
        </w:rPr>
        <w:footnoteRef/>
      </w:r>
      <w:r w:rsidRPr="007B19C0">
        <w:t xml:space="preserve"> See recent Federal Court Decision in the matter of the </w:t>
      </w:r>
      <w:hyperlink r:id="rId4" w:history="1">
        <w:r w:rsidRPr="007922A4">
          <w:rPr>
            <w:rStyle w:val="Hyperlink"/>
            <w:i/>
            <w:iCs/>
          </w:rPr>
          <w:t xml:space="preserve">Australian Communications and Media Authority v </w:t>
        </w:r>
        <w:proofErr w:type="spellStart"/>
        <w:r w:rsidRPr="007922A4">
          <w:rPr>
            <w:rStyle w:val="Hyperlink"/>
            <w:i/>
            <w:iCs/>
          </w:rPr>
          <w:t>Phaze</w:t>
        </w:r>
        <w:proofErr w:type="spellEnd"/>
        <w:r w:rsidRPr="007922A4">
          <w:rPr>
            <w:rStyle w:val="Hyperlink"/>
            <w:i/>
            <w:iCs/>
          </w:rPr>
          <w:t xml:space="preserve"> Broadcasting Pty Ltd</w:t>
        </w:r>
        <w:r w:rsidRPr="007B19C0">
          <w:rPr>
            <w:rStyle w:val="Hyperlink"/>
          </w:rPr>
          <w:t xml:space="preserve"> [2024] FCA 473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F8807AD" w14:paraId="6B751310" w14:textId="77777777" w:rsidTr="00A60F13">
      <w:trPr>
        <w:trHeight w:val="300"/>
      </w:trPr>
      <w:tc>
        <w:tcPr>
          <w:tcW w:w="3020" w:type="dxa"/>
        </w:tcPr>
        <w:p w14:paraId="3CF85799" w14:textId="3DDC1FD5" w:rsidR="1F8807AD" w:rsidRDefault="1F8807AD" w:rsidP="00FA32C6">
          <w:pPr>
            <w:pStyle w:val="Header"/>
            <w:ind w:left="-115"/>
          </w:pPr>
        </w:p>
      </w:tc>
      <w:tc>
        <w:tcPr>
          <w:tcW w:w="3020" w:type="dxa"/>
        </w:tcPr>
        <w:p w14:paraId="5D26FC75" w14:textId="12BC0F2C" w:rsidR="1F8807AD" w:rsidRDefault="1F8807AD" w:rsidP="00FA32C6">
          <w:pPr>
            <w:pStyle w:val="Header"/>
            <w:jc w:val="center"/>
          </w:pPr>
        </w:p>
      </w:tc>
      <w:tc>
        <w:tcPr>
          <w:tcW w:w="3020" w:type="dxa"/>
        </w:tcPr>
        <w:p w14:paraId="295953D9" w14:textId="6D01BB28" w:rsidR="1F8807AD" w:rsidRDefault="1F8807AD" w:rsidP="00FA32C6">
          <w:pPr>
            <w:pStyle w:val="Header"/>
            <w:ind w:right="-115"/>
            <w:jc w:val="right"/>
          </w:pPr>
        </w:p>
      </w:tc>
    </w:tr>
  </w:tbl>
  <w:p w14:paraId="4CD28E91" w14:textId="3BF9D93C" w:rsidR="00647B0D" w:rsidRDefault="00647B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13D74" w14:textId="77777777" w:rsidR="00C053A1" w:rsidRPr="005A62E5" w:rsidRDefault="005A62E5" w:rsidP="005A62E5">
    <w:pPr>
      <w:pStyle w:val="Header"/>
    </w:pPr>
    <w:r>
      <w:rPr>
        <w:noProof/>
      </w:rPr>
      <w:drawing>
        <wp:inline distT="0" distB="0" distL="0" distR="0" wp14:anchorId="3C377697" wp14:editId="36CD528D">
          <wp:extent cx="3229598" cy="381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300801" cy="389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97CE" w14:textId="77777777" w:rsidR="00C053A1" w:rsidRPr="00A5474E" w:rsidRDefault="00C053A1" w:rsidP="00594E9C">
    <w:pPr>
      <w:pStyle w:val="TOCHeading"/>
    </w:pPr>
    <w:r w:rsidRPr="0029593B">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17750" w14:textId="77777777"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A7EA" w14:textId="77777777" w:rsidR="00C053A1" w:rsidRDefault="00C053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663C557B" w14:textId="77777777">
      <w:trPr>
        <w:trHeight w:hRule="exact" w:val="988"/>
      </w:trPr>
      <w:tc>
        <w:tcPr>
          <w:tcW w:w="7678" w:type="dxa"/>
          <w:shd w:val="clear" w:color="auto" w:fill="auto"/>
        </w:tcPr>
        <w:p w14:paraId="4BD93112" w14:textId="77777777" w:rsidR="00971914" w:rsidRDefault="00971914" w:rsidP="00971914">
          <w:pPr>
            <w:pStyle w:val="Header"/>
          </w:pPr>
        </w:p>
      </w:tc>
    </w:tr>
    <w:tr w:rsidR="00971914" w14:paraId="5744D4B8" w14:textId="77777777">
      <w:tc>
        <w:tcPr>
          <w:tcW w:w="7678" w:type="dxa"/>
          <w:shd w:val="clear" w:color="auto" w:fill="auto"/>
        </w:tcPr>
        <w:p w14:paraId="33A836A3" w14:textId="77777777" w:rsidR="00971914" w:rsidRDefault="00971914" w:rsidP="00971914">
          <w:pPr>
            <w:pStyle w:val="GridTable31"/>
          </w:pPr>
          <w:r>
            <w:t xml:space="preserve">Contents </w:t>
          </w:r>
          <w:r w:rsidRPr="00915B1C">
            <w:rPr>
              <w:b w:val="0"/>
              <w:spacing w:val="0"/>
              <w:sz w:val="28"/>
              <w:szCs w:val="28"/>
            </w:rPr>
            <w:t>(Continued)</w:t>
          </w:r>
        </w:p>
      </w:tc>
    </w:tr>
    <w:tr w:rsidR="00971914" w14:paraId="7B838EB3" w14:textId="77777777">
      <w:trPr>
        <w:trHeight w:val="1220"/>
      </w:trPr>
      <w:tc>
        <w:tcPr>
          <w:tcW w:w="7678" w:type="dxa"/>
          <w:shd w:val="clear" w:color="auto" w:fill="auto"/>
        </w:tcPr>
        <w:p w14:paraId="06A177F4" w14:textId="77777777" w:rsidR="00971914" w:rsidRDefault="00971914" w:rsidP="00971914"/>
      </w:tc>
    </w:tr>
  </w:tbl>
  <w:p w14:paraId="010658AD" w14:textId="77777777" w:rsidR="00971914" w:rsidRDefault="00971914" w:rsidP="009719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60D00442" w14:textId="77777777">
      <w:trPr>
        <w:trHeight w:hRule="exact" w:val="988"/>
      </w:trPr>
      <w:tc>
        <w:tcPr>
          <w:tcW w:w="7678" w:type="dxa"/>
          <w:shd w:val="clear" w:color="auto" w:fill="auto"/>
        </w:tcPr>
        <w:p w14:paraId="56CF111A" w14:textId="77777777" w:rsidR="00971914" w:rsidRDefault="00971914" w:rsidP="00971914">
          <w:pPr>
            <w:pStyle w:val="Header"/>
          </w:pPr>
        </w:p>
      </w:tc>
    </w:tr>
    <w:tr w:rsidR="00971914" w14:paraId="6A025433" w14:textId="77777777">
      <w:tc>
        <w:tcPr>
          <w:tcW w:w="7678" w:type="dxa"/>
          <w:shd w:val="clear" w:color="auto" w:fill="auto"/>
        </w:tcPr>
        <w:p w14:paraId="274054CF" w14:textId="77777777" w:rsidR="00971914" w:rsidRDefault="00971914" w:rsidP="00971914">
          <w:pPr>
            <w:pStyle w:val="GridTable31"/>
          </w:pPr>
          <w:r>
            <w:t xml:space="preserve">Contents </w:t>
          </w:r>
          <w:r w:rsidRPr="00915B1C">
            <w:rPr>
              <w:b w:val="0"/>
              <w:spacing w:val="0"/>
              <w:sz w:val="28"/>
              <w:szCs w:val="28"/>
            </w:rPr>
            <w:t>(Continued)</w:t>
          </w:r>
        </w:p>
      </w:tc>
    </w:tr>
    <w:tr w:rsidR="00971914" w14:paraId="20D2CB60" w14:textId="77777777">
      <w:trPr>
        <w:trHeight w:val="1220"/>
      </w:trPr>
      <w:tc>
        <w:tcPr>
          <w:tcW w:w="7678" w:type="dxa"/>
          <w:shd w:val="clear" w:color="auto" w:fill="auto"/>
        </w:tcPr>
        <w:p w14:paraId="766521E8" w14:textId="77777777" w:rsidR="00971914" w:rsidRDefault="00971914" w:rsidP="00971914"/>
      </w:tc>
    </w:tr>
  </w:tbl>
  <w:p w14:paraId="51D0F2B9" w14:textId="77777777" w:rsidR="00C053A1" w:rsidRPr="00A5474E" w:rsidRDefault="00C053A1" w:rsidP="00A547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F854F" w14:textId="77777777" w:rsidR="00C053A1" w:rsidRDefault="00C053A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0747" w14:textId="77777777" w:rsidR="00C053A1" w:rsidRDefault="00C05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93C0CEB6"/>
    <w:lvl w:ilvl="0">
      <w:start w:val="1"/>
      <w:numFmt w:val="decimal"/>
      <w:pStyle w:val="ListNumber"/>
      <w:lvlText w:val="%1."/>
      <w:lvlJc w:val="left"/>
      <w:pPr>
        <w:ind w:left="360" w:hanging="360"/>
      </w:pPr>
      <w:rPr>
        <w:rFonts w:hint="default"/>
        <w:b w:val="0"/>
        <w:bCs/>
        <w:caps/>
        <w:sz w:val="22"/>
        <w:szCs w:val="28"/>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74AB9"/>
    <w:multiLevelType w:val="hybridMultilevel"/>
    <w:tmpl w:val="E2100C64"/>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AD521D"/>
    <w:multiLevelType w:val="hybridMultilevel"/>
    <w:tmpl w:val="B108FD84"/>
    <w:lvl w:ilvl="0" w:tplc="DD00C67E">
      <w:start w:val="1"/>
      <w:numFmt w:val="bullet"/>
      <w:pStyle w:val="Bulletlevel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6D2D905"/>
    <w:multiLevelType w:val="hybridMultilevel"/>
    <w:tmpl w:val="DEC26092"/>
    <w:lvl w:ilvl="0" w:tplc="58CC19DC">
      <w:start w:val="1"/>
      <w:numFmt w:val="bullet"/>
      <w:lvlText w:val=""/>
      <w:lvlJc w:val="left"/>
      <w:pPr>
        <w:ind w:left="720" w:hanging="360"/>
      </w:pPr>
      <w:rPr>
        <w:rFonts w:ascii="Symbol" w:hAnsi="Symbol" w:hint="default"/>
      </w:rPr>
    </w:lvl>
    <w:lvl w:ilvl="1" w:tplc="886C240E">
      <w:start w:val="1"/>
      <w:numFmt w:val="bullet"/>
      <w:lvlText w:val="o"/>
      <w:lvlJc w:val="left"/>
      <w:pPr>
        <w:ind w:left="1440" w:hanging="360"/>
      </w:pPr>
      <w:rPr>
        <w:rFonts w:ascii="Courier New" w:hAnsi="Courier New" w:hint="default"/>
      </w:rPr>
    </w:lvl>
    <w:lvl w:ilvl="2" w:tplc="94B6B918">
      <w:start w:val="1"/>
      <w:numFmt w:val="bullet"/>
      <w:lvlText w:val=""/>
      <w:lvlJc w:val="left"/>
      <w:pPr>
        <w:ind w:left="2160" w:hanging="360"/>
      </w:pPr>
      <w:rPr>
        <w:rFonts w:ascii="Wingdings" w:hAnsi="Wingdings" w:hint="default"/>
      </w:rPr>
    </w:lvl>
    <w:lvl w:ilvl="3" w:tplc="7B723002">
      <w:start w:val="1"/>
      <w:numFmt w:val="bullet"/>
      <w:lvlText w:val=""/>
      <w:lvlJc w:val="left"/>
      <w:pPr>
        <w:ind w:left="2880" w:hanging="360"/>
      </w:pPr>
      <w:rPr>
        <w:rFonts w:ascii="Symbol" w:hAnsi="Symbol" w:hint="default"/>
      </w:rPr>
    </w:lvl>
    <w:lvl w:ilvl="4" w:tplc="16D2FC08">
      <w:start w:val="1"/>
      <w:numFmt w:val="bullet"/>
      <w:lvlText w:val="o"/>
      <w:lvlJc w:val="left"/>
      <w:pPr>
        <w:ind w:left="3600" w:hanging="360"/>
      </w:pPr>
      <w:rPr>
        <w:rFonts w:ascii="Courier New" w:hAnsi="Courier New" w:hint="default"/>
      </w:rPr>
    </w:lvl>
    <w:lvl w:ilvl="5" w:tplc="613CD152">
      <w:start w:val="1"/>
      <w:numFmt w:val="bullet"/>
      <w:lvlText w:val=""/>
      <w:lvlJc w:val="left"/>
      <w:pPr>
        <w:ind w:left="4320" w:hanging="360"/>
      </w:pPr>
      <w:rPr>
        <w:rFonts w:ascii="Wingdings" w:hAnsi="Wingdings" w:hint="default"/>
      </w:rPr>
    </w:lvl>
    <w:lvl w:ilvl="6" w:tplc="CB5078C2">
      <w:start w:val="1"/>
      <w:numFmt w:val="bullet"/>
      <w:lvlText w:val=""/>
      <w:lvlJc w:val="left"/>
      <w:pPr>
        <w:ind w:left="5040" w:hanging="360"/>
      </w:pPr>
      <w:rPr>
        <w:rFonts w:ascii="Symbol" w:hAnsi="Symbol" w:hint="default"/>
      </w:rPr>
    </w:lvl>
    <w:lvl w:ilvl="7" w:tplc="46A826FE">
      <w:start w:val="1"/>
      <w:numFmt w:val="bullet"/>
      <w:lvlText w:val="o"/>
      <w:lvlJc w:val="left"/>
      <w:pPr>
        <w:ind w:left="5760" w:hanging="360"/>
      </w:pPr>
      <w:rPr>
        <w:rFonts w:ascii="Courier New" w:hAnsi="Courier New" w:hint="default"/>
      </w:rPr>
    </w:lvl>
    <w:lvl w:ilvl="8" w:tplc="4A32CD00">
      <w:start w:val="1"/>
      <w:numFmt w:val="bullet"/>
      <w:lvlText w:val=""/>
      <w:lvlJc w:val="left"/>
      <w:pPr>
        <w:ind w:left="6480" w:hanging="360"/>
      </w:pPr>
      <w:rPr>
        <w:rFonts w:ascii="Wingdings" w:hAnsi="Wingdings" w:hint="default"/>
      </w:rPr>
    </w:lvl>
  </w:abstractNum>
  <w:abstractNum w:abstractNumId="8" w15:restartNumberingAfterBreak="0">
    <w:nsid w:val="2D3B6E22"/>
    <w:multiLevelType w:val="hybridMultilevel"/>
    <w:tmpl w:val="D2A22970"/>
    <w:lvl w:ilvl="0" w:tplc="29C60B6C">
      <w:start w:val="1"/>
      <w:numFmt w:val="bullet"/>
      <w:lvlText w:val="&gt;"/>
      <w:lvlJc w:val="left"/>
      <w:pPr>
        <w:tabs>
          <w:tab w:val="num" w:pos="720"/>
        </w:tabs>
        <w:ind w:left="720" w:hanging="360"/>
      </w:pPr>
      <w:rPr>
        <w:rFonts w:ascii="Arial" w:hAnsi="Arial" w:hint="default"/>
      </w:rPr>
    </w:lvl>
    <w:lvl w:ilvl="1" w:tplc="AFC47914" w:tentative="1">
      <w:start w:val="1"/>
      <w:numFmt w:val="bullet"/>
      <w:lvlText w:val="&gt;"/>
      <w:lvlJc w:val="left"/>
      <w:pPr>
        <w:tabs>
          <w:tab w:val="num" w:pos="1440"/>
        </w:tabs>
        <w:ind w:left="1440" w:hanging="360"/>
      </w:pPr>
      <w:rPr>
        <w:rFonts w:ascii="Arial" w:hAnsi="Arial" w:hint="default"/>
      </w:rPr>
    </w:lvl>
    <w:lvl w:ilvl="2" w:tplc="9886E7FA" w:tentative="1">
      <w:start w:val="1"/>
      <w:numFmt w:val="bullet"/>
      <w:lvlText w:val="&gt;"/>
      <w:lvlJc w:val="left"/>
      <w:pPr>
        <w:tabs>
          <w:tab w:val="num" w:pos="2160"/>
        </w:tabs>
        <w:ind w:left="2160" w:hanging="360"/>
      </w:pPr>
      <w:rPr>
        <w:rFonts w:ascii="Arial" w:hAnsi="Arial" w:hint="default"/>
      </w:rPr>
    </w:lvl>
    <w:lvl w:ilvl="3" w:tplc="189A4726" w:tentative="1">
      <w:start w:val="1"/>
      <w:numFmt w:val="bullet"/>
      <w:lvlText w:val="&gt;"/>
      <w:lvlJc w:val="left"/>
      <w:pPr>
        <w:tabs>
          <w:tab w:val="num" w:pos="2880"/>
        </w:tabs>
        <w:ind w:left="2880" w:hanging="360"/>
      </w:pPr>
      <w:rPr>
        <w:rFonts w:ascii="Arial" w:hAnsi="Arial" w:hint="default"/>
      </w:rPr>
    </w:lvl>
    <w:lvl w:ilvl="4" w:tplc="F16EA114" w:tentative="1">
      <w:start w:val="1"/>
      <w:numFmt w:val="bullet"/>
      <w:lvlText w:val="&gt;"/>
      <w:lvlJc w:val="left"/>
      <w:pPr>
        <w:tabs>
          <w:tab w:val="num" w:pos="3600"/>
        </w:tabs>
        <w:ind w:left="3600" w:hanging="360"/>
      </w:pPr>
      <w:rPr>
        <w:rFonts w:ascii="Arial" w:hAnsi="Arial" w:hint="default"/>
      </w:rPr>
    </w:lvl>
    <w:lvl w:ilvl="5" w:tplc="1D30F9F6" w:tentative="1">
      <w:start w:val="1"/>
      <w:numFmt w:val="bullet"/>
      <w:lvlText w:val="&gt;"/>
      <w:lvlJc w:val="left"/>
      <w:pPr>
        <w:tabs>
          <w:tab w:val="num" w:pos="4320"/>
        </w:tabs>
        <w:ind w:left="4320" w:hanging="360"/>
      </w:pPr>
      <w:rPr>
        <w:rFonts w:ascii="Arial" w:hAnsi="Arial" w:hint="default"/>
      </w:rPr>
    </w:lvl>
    <w:lvl w:ilvl="6" w:tplc="048256FA" w:tentative="1">
      <w:start w:val="1"/>
      <w:numFmt w:val="bullet"/>
      <w:lvlText w:val="&gt;"/>
      <w:lvlJc w:val="left"/>
      <w:pPr>
        <w:tabs>
          <w:tab w:val="num" w:pos="5040"/>
        </w:tabs>
        <w:ind w:left="5040" w:hanging="360"/>
      </w:pPr>
      <w:rPr>
        <w:rFonts w:ascii="Arial" w:hAnsi="Arial" w:hint="default"/>
      </w:rPr>
    </w:lvl>
    <w:lvl w:ilvl="7" w:tplc="0734A132" w:tentative="1">
      <w:start w:val="1"/>
      <w:numFmt w:val="bullet"/>
      <w:lvlText w:val="&gt;"/>
      <w:lvlJc w:val="left"/>
      <w:pPr>
        <w:tabs>
          <w:tab w:val="num" w:pos="5760"/>
        </w:tabs>
        <w:ind w:left="5760" w:hanging="360"/>
      </w:pPr>
      <w:rPr>
        <w:rFonts w:ascii="Arial" w:hAnsi="Arial" w:hint="default"/>
      </w:rPr>
    </w:lvl>
    <w:lvl w:ilvl="8" w:tplc="6A9ECCC8" w:tentative="1">
      <w:start w:val="1"/>
      <w:numFmt w:val="bullet"/>
      <w:lvlText w:val="&gt;"/>
      <w:lvlJc w:val="left"/>
      <w:pPr>
        <w:tabs>
          <w:tab w:val="num" w:pos="6480"/>
        </w:tabs>
        <w:ind w:left="6480" w:hanging="360"/>
      </w:pPr>
      <w:rPr>
        <w:rFonts w:ascii="Arial" w:hAnsi="Arial" w:hint="default"/>
      </w:rPr>
    </w:lvl>
  </w:abstractNum>
  <w:abstractNum w:abstractNumId="9"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0" w15:restartNumberingAfterBreak="0">
    <w:nsid w:val="30D1CDBD"/>
    <w:multiLevelType w:val="hybridMultilevel"/>
    <w:tmpl w:val="8E0612A2"/>
    <w:lvl w:ilvl="0" w:tplc="2B5EFC00">
      <w:start w:val="1"/>
      <w:numFmt w:val="bullet"/>
      <w:lvlText w:val=""/>
      <w:lvlJc w:val="left"/>
      <w:pPr>
        <w:ind w:left="720" w:hanging="360"/>
      </w:pPr>
      <w:rPr>
        <w:rFonts w:ascii="Symbol" w:hAnsi="Symbol" w:hint="default"/>
      </w:rPr>
    </w:lvl>
    <w:lvl w:ilvl="1" w:tplc="3E84DCAA">
      <w:start w:val="1"/>
      <w:numFmt w:val="bullet"/>
      <w:lvlText w:val="o"/>
      <w:lvlJc w:val="left"/>
      <w:pPr>
        <w:ind w:left="1440" w:hanging="360"/>
      </w:pPr>
      <w:rPr>
        <w:rFonts w:ascii="Courier New" w:hAnsi="Courier New" w:hint="default"/>
      </w:rPr>
    </w:lvl>
    <w:lvl w:ilvl="2" w:tplc="F3A4A260">
      <w:start w:val="1"/>
      <w:numFmt w:val="bullet"/>
      <w:lvlText w:val=""/>
      <w:lvlJc w:val="left"/>
      <w:pPr>
        <w:ind w:left="2160" w:hanging="360"/>
      </w:pPr>
      <w:rPr>
        <w:rFonts w:ascii="Wingdings" w:hAnsi="Wingdings" w:hint="default"/>
      </w:rPr>
    </w:lvl>
    <w:lvl w:ilvl="3" w:tplc="CD4ED214">
      <w:start w:val="1"/>
      <w:numFmt w:val="bullet"/>
      <w:lvlText w:val=""/>
      <w:lvlJc w:val="left"/>
      <w:pPr>
        <w:ind w:left="2880" w:hanging="360"/>
      </w:pPr>
      <w:rPr>
        <w:rFonts w:ascii="Symbol" w:hAnsi="Symbol" w:hint="default"/>
      </w:rPr>
    </w:lvl>
    <w:lvl w:ilvl="4" w:tplc="F844060C">
      <w:start w:val="1"/>
      <w:numFmt w:val="bullet"/>
      <w:lvlText w:val="o"/>
      <w:lvlJc w:val="left"/>
      <w:pPr>
        <w:ind w:left="3600" w:hanging="360"/>
      </w:pPr>
      <w:rPr>
        <w:rFonts w:ascii="Courier New" w:hAnsi="Courier New" w:hint="default"/>
      </w:rPr>
    </w:lvl>
    <w:lvl w:ilvl="5" w:tplc="33C205F2">
      <w:start w:val="1"/>
      <w:numFmt w:val="bullet"/>
      <w:lvlText w:val=""/>
      <w:lvlJc w:val="left"/>
      <w:pPr>
        <w:ind w:left="4320" w:hanging="360"/>
      </w:pPr>
      <w:rPr>
        <w:rFonts w:ascii="Wingdings" w:hAnsi="Wingdings" w:hint="default"/>
      </w:rPr>
    </w:lvl>
    <w:lvl w:ilvl="6" w:tplc="993E7E74">
      <w:start w:val="1"/>
      <w:numFmt w:val="bullet"/>
      <w:lvlText w:val=""/>
      <w:lvlJc w:val="left"/>
      <w:pPr>
        <w:ind w:left="5040" w:hanging="360"/>
      </w:pPr>
      <w:rPr>
        <w:rFonts w:ascii="Symbol" w:hAnsi="Symbol" w:hint="default"/>
      </w:rPr>
    </w:lvl>
    <w:lvl w:ilvl="7" w:tplc="BD40F5B6">
      <w:start w:val="1"/>
      <w:numFmt w:val="bullet"/>
      <w:lvlText w:val="o"/>
      <w:lvlJc w:val="left"/>
      <w:pPr>
        <w:ind w:left="5760" w:hanging="360"/>
      </w:pPr>
      <w:rPr>
        <w:rFonts w:ascii="Courier New" w:hAnsi="Courier New" w:hint="default"/>
      </w:rPr>
    </w:lvl>
    <w:lvl w:ilvl="8" w:tplc="FD3A646C">
      <w:start w:val="1"/>
      <w:numFmt w:val="bullet"/>
      <w:lvlText w:val=""/>
      <w:lvlJc w:val="left"/>
      <w:pPr>
        <w:ind w:left="6480" w:hanging="360"/>
      </w:pPr>
      <w:rPr>
        <w:rFonts w:ascii="Wingdings" w:hAnsi="Wingdings" w:hint="default"/>
      </w:rPr>
    </w:lvl>
  </w:abstractNum>
  <w:abstractNum w:abstractNumId="11" w15:restartNumberingAfterBreak="0">
    <w:nsid w:val="3435097D"/>
    <w:multiLevelType w:val="hybridMultilevel"/>
    <w:tmpl w:val="7326FCDC"/>
    <w:lvl w:ilvl="0" w:tplc="8DFEE398">
      <w:start w:val="1"/>
      <w:numFmt w:val="bullet"/>
      <w:pStyle w:val="Bulletlevel2las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B02D65"/>
    <w:multiLevelType w:val="hybridMultilevel"/>
    <w:tmpl w:val="9AAC4B24"/>
    <w:lvl w:ilvl="0" w:tplc="21146DEE">
      <w:start w:val="1"/>
      <w:numFmt w:val="bullet"/>
      <w:lvlText w:val=""/>
      <w:lvlJc w:val="left"/>
      <w:pPr>
        <w:ind w:left="720" w:hanging="360"/>
      </w:pPr>
      <w:rPr>
        <w:rFonts w:ascii="Symbol" w:hAnsi="Symbol" w:hint="default"/>
      </w:rPr>
    </w:lvl>
    <w:lvl w:ilvl="1" w:tplc="A8C631F4">
      <w:start w:val="1"/>
      <w:numFmt w:val="bullet"/>
      <w:lvlText w:val="o"/>
      <w:lvlJc w:val="left"/>
      <w:pPr>
        <w:ind w:left="1440" w:hanging="360"/>
      </w:pPr>
      <w:rPr>
        <w:rFonts w:ascii="Courier New" w:hAnsi="Courier New" w:hint="default"/>
      </w:rPr>
    </w:lvl>
    <w:lvl w:ilvl="2" w:tplc="AB288932">
      <w:start w:val="1"/>
      <w:numFmt w:val="bullet"/>
      <w:lvlText w:val=""/>
      <w:lvlJc w:val="left"/>
      <w:pPr>
        <w:ind w:left="2160" w:hanging="360"/>
      </w:pPr>
      <w:rPr>
        <w:rFonts w:ascii="Wingdings" w:hAnsi="Wingdings" w:hint="default"/>
      </w:rPr>
    </w:lvl>
    <w:lvl w:ilvl="3" w:tplc="BA76F180">
      <w:start w:val="1"/>
      <w:numFmt w:val="bullet"/>
      <w:lvlText w:val=""/>
      <w:lvlJc w:val="left"/>
      <w:pPr>
        <w:ind w:left="2880" w:hanging="360"/>
      </w:pPr>
      <w:rPr>
        <w:rFonts w:ascii="Symbol" w:hAnsi="Symbol" w:hint="default"/>
      </w:rPr>
    </w:lvl>
    <w:lvl w:ilvl="4" w:tplc="5EF44DF8">
      <w:start w:val="1"/>
      <w:numFmt w:val="bullet"/>
      <w:lvlText w:val="o"/>
      <w:lvlJc w:val="left"/>
      <w:pPr>
        <w:ind w:left="3600" w:hanging="360"/>
      </w:pPr>
      <w:rPr>
        <w:rFonts w:ascii="Courier New" w:hAnsi="Courier New" w:hint="default"/>
      </w:rPr>
    </w:lvl>
    <w:lvl w:ilvl="5" w:tplc="7960E472">
      <w:start w:val="1"/>
      <w:numFmt w:val="bullet"/>
      <w:lvlText w:val=""/>
      <w:lvlJc w:val="left"/>
      <w:pPr>
        <w:ind w:left="4320" w:hanging="360"/>
      </w:pPr>
      <w:rPr>
        <w:rFonts w:ascii="Wingdings" w:hAnsi="Wingdings" w:hint="default"/>
      </w:rPr>
    </w:lvl>
    <w:lvl w:ilvl="6" w:tplc="791CBF8E">
      <w:start w:val="1"/>
      <w:numFmt w:val="bullet"/>
      <w:lvlText w:val=""/>
      <w:lvlJc w:val="left"/>
      <w:pPr>
        <w:ind w:left="5040" w:hanging="360"/>
      </w:pPr>
      <w:rPr>
        <w:rFonts w:ascii="Symbol" w:hAnsi="Symbol" w:hint="default"/>
      </w:rPr>
    </w:lvl>
    <w:lvl w:ilvl="7" w:tplc="456E0264">
      <w:start w:val="1"/>
      <w:numFmt w:val="bullet"/>
      <w:lvlText w:val="o"/>
      <w:lvlJc w:val="left"/>
      <w:pPr>
        <w:ind w:left="5760" w:hanging="360"/>
      </w:pPr>
      <w:rPr>
        <w:rFonts w:ascii="Courier New" w:hAnsi="Courier New" w:hint="default"/>
      </w:rPr>
    </w:lvl>
    <w:lvl w:ilvl="8" w:tplc="1ABC19AE">
      <w:start w:val="1"/>
      <w:numFmt w:val="bullet"/>
      <w:lvlText w:val=""/>
      <w:lvlJc w:val="left"/>
      <w:pPr>
        <w:ind w:left="6480" w:hanging="360"/>
      </w:pPr>
      <w:rPr>
        <w:rFonts w:ascii="Wingdings" w:hAnsi="Wingdings" w:hint="default"/>
      </w:rPr>
    </w:lvl>
  </w:abstractNum>
  <w:abstractNum w:abstractNumId="14"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72ABEE"/>
    <w:multiLevelType w:val="hybridMultilevel"/>
    <w:tmpl w:val="D366A2B0"/>
    <w:lvl w:ilvl="0" w:tplc="E8A0E460">
      <w:start w:val="1"/>
      <w:numFmt w:val="bullet"/>
      <w:lvlText w:val=""/>
      <w:lvlJc w:val="left"/>
      <w:pPr>
        <w:ind w:left="720" w:hanging="360"/>
      </w:pPr>
      <w:rPr>
        <w:rFonts w:ascii="Symbol" w:hAnsi="Symbol" w:hint="default"/>
      </w:rPr>
    </w:lvl>
    <w:lvl w:ilvl="1" w:tplc="DB9CAF96">
      <w:start w:val="1"/>
      <w:numFmt w:val="bullet"/>
      <w:lvlText w:val="o"/>
      <w:lvlJc w:val="left"/>
      <w:pPr>
        <w:ind w:left="1440" w:hanging="360"/>
      </w:pPr>
      <w:rPr>
        <w:rFonts w:ascii="Courier New" w:hAnsi="Courier New" w:hint="default"/>
      </w:rPr>
    </w:lvl>
    <w:lvl w:ilvl="2" w:tplc="9F225DE6">
      <w:start w:val="1"/>
      <w:numFmt w:val="bullet"/>
      <w:lvlText w:val=""/>
      <w:lvlJc w:val="left"/>
      <w:pPr>
        <w:ind w:left="2160" w:hanging="360"/>
      </w:pPr>
      <w:rPr>
        <w:rFonts w:ascii="Wingdings" w:hAnsi="Wingdings" w:hint="default"/>
      </w:rPr>
    </w:lvl>
    <w:lvl w:ilvl="3" w:tplc="BC28E524">
      <w:start w:val="1"/>
      <w:numFmt w:val="bullet"/>
      <w:lvlText w:val=""/>
      <w:lvlJc w:val="left"/>
      <w:pPr>
        <w:ind w:left="2880" w:hanging="360"/>
      </w:pPr>
      <w:rPr>
        <w:rFonts w:ascii="Symbol" w:hAnsi="Symbol" w:hint="default"/>
      </w:rPr>
    </w:lvl>
    <w:lvl w:ilvl="4" w:tplc="24368E0A">
      <w:start w:val="1"/>
      <w:numFmt w:val="bullet"/>
      <w:lvlText w:val="o"/>
      <w:lvlJc w:val="left"/>
      <w:pPr>
        <w:ind w:left="3600" w:hanging="360"/>
      </w:pPr>
      <w:rPr>
        <w:rFonts w:ascii="Courier New" w:hAnsi="Courier New" w:hint="default"/>
      </w:rPr>
    </w:lvl>
    <w:lvl w:ilvl="5" w:tplc="A030B8C0">
      <w:start w:val="1"/>
      <w:numFmt w:val="bullet"/>
      <w:lvlText w:val=""/>
      <w:lvlJc w:val="left"/>
      <w:pPr>
        <w:ind w:left="4320" w:hanging="360"/>
      </w:pPr>
      <w:rPr>
        <w:rFonts w:ascii="Wingdings" w:hAnsi="Wingdings" w:hint="default"/>
      </w:rPr>
    </w:lvl>
    <w:lvl w:ilvl="6" w:tplc="503C922A">
      <w:start w:val="1"/>
      <w:numFmt w:val="bullet"/>
      <w:lvlText w:val=""/>
      <w:lvlJc w:val="left"/>
      <w:pPr>
        <w:ind w:left="5040" w:hanging="360"/>
      </w:pPr>
      <w:rPr>
        <w:rFonts w:ascii="Symbol" w:hAnsi="Symbol" w:hint="default"/>
      </w:rPr>
    </w:lvl>
    <w:lvl w:ilvl="7" w:tplc="E4041E18">
      <w:start w:val="1"/>
      <w:numFmt w:val="bullet"/>
      <w:lvlText w:val="o"/>
      <w:lvlJc w:val="left"/>
      <w:pPr>
        <w:ind w:left="5760" w:hanging="360"/>
      </w:pPr>
      <w:rPr>
        <w:rFonts w:ascii="Courier New" w:hAnsi="Courier New" w:hint="default"/>
      </w:rPr>
    </w:lvl>
    <w:lvl w:ilvl="8" w:tplc="F8D0F42C">
      <w:start w:val="1"/>
      <w:numFmt w:val="bullet"/>
      <w:lvlText w:val=""/>
      <w:lvlJc w:val="left"/>
      <w:pPr>
        <w:ind w:left="6480" w:hanging="360"/>
      </w:pPr>
      <w:rPr>
        <w:rFonts w:ascii="Wingdings" w:hAnsi="Wingdings" w:hint="default"/>
      </w:rPr>
    </w:lvl>
  </w:abstractNum>
  <w:abstractNum w:abstractNumId="17" w15:restartNumberingAfterBreak="0">
    <w:nsid w:val="6D299D07"/>
    <w:multiLevelType w:val="hybridMultilevel"/>
    <w:tmpl w:val="C8F4D3A6"/>
    <w:lvl w:ilvl="0" w:tplc="1B165E84">
      <w:start w:val="1"/>
      <w:numFmt w:val="bullet"/>
      <w:lvlText w:val=""/>
      <w:lvlJc w:val="left"/>
      <w:pPr>
        <w:ind w:left="720" w:hanging="360"/>
      </w:pPr>
      <w:rPr>
        <w:rFonts w:ascii="Symbol" w:hAnsi="Symbol" w:hint="default"/>
      </w:rPr>
    </w:lvl>
    <w:lvl w:ilvl="1" w:tplc="5600A276">
      <w:start w:val="1"/>
      <w:numFmt w:val="bullet"/>
      <w:lvlText w:val="o"/>
      <w:lvlJc w:val="left"/>
      <w:pPr>
        <w:ind w:left="1440" w:hanging="360"/>
      </w:pPr>
      <w:rPr>
        <w:rFonts w:ascii="Courier New" w:hAnsi="Courier New" w:hint="default"/>
      </w:rPr>
    </w:lvl>
    <w:lvl w:ilvl="2" w:tplc="FAF2B23A">
      <w:start w:val="1"/>
      <w:numFmt w:val="bullet"/>
      <w:lvlText w:val=""/>
      <w:lvlJc w:val="left"/>
      <w:pPr>
        <w:ind w:left="2160" w:hanging="360"/>
      </w:pPr>
      <w:rPr>
        <w:rFonts w:ascii="Wingdings" w:hAnsi="Wingdings" w:hint="default"/>
      </w:rPr>
    </w:lvl>
    <w:lvl w:ilvl="3" w:tplc="E55C9BB6">
      <w:start w:val="1"/>
      <w:numFmt w:val="bullet"/>
      <w:lvlText w:val=""/>
      <w:lvlJc w:val="left"/>
      <w:pPr>
        <w:ind w:left="2880" w:hanging="360"/>
      </w:pPr>
      <w:rPr>
        <w:rFonts w:ascii="Symbol" w:hAnsi="Symbol" w:hint="default"/>
      </w:rPr>
    </w:lvl>
    <w:lvl w:ilvl="4" w:tplc="0E6ECD7C">
      <w:start w:val="1"/>
      <w:numFmt w:val="bullet"/>
      <w:lvlText w:val="o"/>
      <w:lvlJc w:val="left"/>
      <w:pPr>
        <w:ind w:left="3600" w:hanging="360"/>
      </w:pPr>
      <w:rPr>
        <w:rFonts w:ascii="Courier New" w:hAnsi="Courier New" w:hint="default"/>
      </w:rPr>
    </w:lvl>
    <w:lvl w:ilvl="5" w:tplc="A448CC9A">
      <w:start w:val="1"/>
      <w:numFmt w:val="bullet"/>
      <w:lvlText w:val=""/>
      <w:lvlJc w:val="left"/>
      <w:pPr>
        <w:ind w:left="4320" w:hanging="360"/>
      </w:pPr>
      <w:rPr>
        <w:rFonts w:ascii="Wingdings" w:hAnsi="Wingdings" w:hint="default"/>
      </w:rPr>
    </w:lvl>
    <w:lvl w:ilvl="6" w:tplc="C3DC7808">
      <w:start w:val="1"/>
      <w:numFmt w:val="bullet"/>
      <w:lvlText w:val=""/>
      <w:lvlJc w:val="left"/>
      <w:pPr>
        <w:ind w:left="5040" w:hanging="360"/>
      </w:pPr>
      <w:rPr>
        <w:rFonts w:ascii="Symbol" w:hAnsi="Symbol" w:hint="default"/>
      </w:rPr>
    </w:lvl>
    <w:lvl w:ilvl="7" w:tplc="62BC2F36">
      <w:start w:val="1"/>
      <w:numFmt w:val="bullet"/>
      <w:lvlText w:val="o"/>
      <w:lvlJc w:val="left"/>
      <w:pPr>
        <w:ind w:left="5760" w:hanging="360"/>
      </w:pPr>
      <w:rPr>
        <w:rFonts w:ascii="Courier New" w:hAnsi="Courier New" w:hint="default"/>
      </w:rPr>
    </w:lvl>
    <w:lvl w:ilvl="8" w:tplc="99D2830A">
      <w:start w:val="1"/>
      <w:numFmt w:val="bullet"/>
      <w:lvlText w:val=""/>
      <w:lvlJc w:val="left"/>
      <w:pPr>
        <w:ind w:left="6480" w:hanging="360"/>
      </w:pPr>
      <w:rPr>
        <w:rFonts w:ascii="Wingdings" w:hAnsi="Wingdings" w:hint="default"/>
      </w:rPr>
    </w:lvl>
  </w:abstractNum>
  <w:abstractNum w:abstractNumId="18"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6758B6"/>
    <w:multiLevelType w:val="hybridMultilevel"/>
    <w:tmpl w:val="F26E271A"/>
    <w:lvl w:ilvl="0" w:tplc="538CB0B2">
      <w:start w:val="1"/>
      <w:numFmt w:val="bullet"/>
      <w:lvlText w:val="&gt;"/>
      <w:lvlJc w:val="left"/>
      <w:pPr>
        <w:tabs>
          <w:tab w:val="num" w:pos="720"/>
        </w:tabs>
        <w:ind w:left="720" w:hanging="360"/>
      </w:pPr>
      <w:rPr>
        <w:rFonts w:ascii="Arial" w:hAnsi="Arial" w:hint="default"/>
      </w:rPr>
    </w:lvl>
    <w:lvl w:ilvl="1" w:tplc="241E19C8" w:tentative="1">
      <w:start w:val="1"/>
      <w:numFmt w:val="bullet"/>
      <w:lvlText w:val="&gt;"/>
      <w:lvlJc w:val="left"/>
      <w:pPr>
        <w:tabs>
          <w:tab w:val="num" w:pos="1440"/>
        </w:tabs>
        <w:ind w:left="1440" w:hanging="360"/>
      </w:pPr>
      <w:rPr>
        <w:rFonts w:ascii="Arial" w:hAnsi="Arial" w:hint="default"/>
      </w:rPr>
    </w:lvl>
    <w:lvl w:ilvl="2" w:tplc="576C6086" w:tentative="1">
      <w:start w:val="1"/>
      <w:numFmt w:val="bullet"/>
      <w:lvlText w:val="&gt;"/>
      <w:lvlJc w:val="left"/>
      <w:pPr>
        <w:tabs>
          <w:tab w:val="num" w:pos="2160"/>
        </w:tabs>
        <w:ind w:left="2160" w:hanging="360"/>
      </w:pPr>
      <w:rPr>
        <w:rFonts w:ascii="Arial" w:hAnsi="Arial" w:hint="default"/>
      </w:rPr>
    </w:lvl>
    <w:lvl w:ilvl="3" w:tplc="809C5830" w:tentative="1">
      <w:start w:val="1"/>
      <w:numFmt w:val="bullet"/>
      <w:lvlText w:val="&gt;"/>
      <w:lvlJc w:val="left"/>
      <w:pPr>
        <w:tabs>
          <w:tab w:val="num" w:pos="2880"/>
        </w:tabs>
        <w:ind w:left="2880" w:hanging="360"/>
      </w:pPr>
      <w:rPr>
        <w:rFonts w:ascii="Arial" w:hAnsi="Arial" w:hint="default"/>
      </w:rPr>
    </w:lvl>
    <w:lvl w:ilvl="4" w:tplc="B470C7FC" w:tentative="1">
      <w:start w:val="1"/>
      <w:numFmt w:val="bullet"/>
      <w:lvlText w:val="&gt;"/>
      <w:lvlJc w:val="left"/>
      <w:pPr>
        <w:tabs>
          <w:tab w:val="num" w:pos="3600"/>
        </w:tabs>
        <w:ind w:left="3600" w:hanging="360"/>
      </w:pPr>
      <w:rPr>
        <w:rFonts w:ascii="Arial" w:hAnsi="Arial" w:hint="default"/>
      </w:rPr>
    </w:lvl>
    <w:lvl w:ilvl="5" w:tplc="B384727C" w:tentative="1">
      <w:start w:val="1"/>
      <w:numFmt w:val="bullet"/>
      <w:lvlText w:val="&gt;"/>
      <w:lvlJc w:val="left"/>
      <w:pPr>
        <w:tabs>
          <w:tab w:val="num" w:pos="4320"/>
        </w:tabs>
        <w:ind w:left="4320" w:hanging="360"/>
      </w:pPr>
      <w:rPr>
        <w:rFonts w:ascii="Arial" w:hAnsi="Arial" w:hint="default"/>
      </w:rPr>
    </w:lvl>
    <w:lvl w:ilvl="6" w:tplc="72A48726" w:tentative="1">
      <w:start w:val="1"/>
      <w:numFmt w:val="bullet"/>
      <w:lvlText w:val="&gt;"/>
      <w:lvlJc w:val="left"/>
      <w:pPr>
        <w:tabs>
          <w:tab w:val="num" w:pos="5040"/>
        </w:tabs>
        <w:ind w:left="5040" w:hanging="360"/>
      </w:pPr>
      <w:rPr>
        <w:rFonts w:ascii="Arial" w:hAnsi="Arial" w:hint="default"/>
      </w:rPr>
    </w:lvl>
    <w:lvl w:ilvl="7" w:tplc="604CD910" w:tentative="1">
      <w:start w:val="1"/>
      <w:numFmt w:val="bullet"/>
      <w:lvlText w:val="&gt;"/>
      <w:lvlJc w:val="left"/>
      <w:pPr>
        <w:tabs>
          <w:tab w:val="num" w:pos="5760"/>
        </w:tabs>
        <w:ind w:left="5760" w:hanging="360"/>
      </w:pPr>
      <w:rPr>
        <w:rFonts w:ascii="Arial" w:hAnsi="Arial" w:hint="default"/>
      </w:rPr>
    </w:lvl>
    <w:lvl w:ilvl="8" w:tplc="FD6805C8" w:tentative="1">
      <w:start w:val="1"/>
      <w:numFmt w:val="bullet"/>
      <w:lvlText w:val="&gt;"/>
      <w:lvlJc w:val="left"/>
      <w:pPr>
        <w:tabs>
          <w:tab w:val="num" w:pos="6480"/>
        </w:tabs>
        <w:ind w:left="6480" w:hanging="360"/>
      </w:pPr>
      <w:rPr>
        <w:rFonts w:ascii="Arial" w:hAnsi="Arial" w:hint="default"/>
      </w:rPr>
    </w:lvl>
  </w:abstractNum>
  <w:abstractNum w:abstractNumId="20" w15:restartNumberingAfterBreak="0">
    <w:nsid w:val="762E1A81"/>
    <w:multiLevelType w:val="hybridMultilevel"/>
    <w:tmpl w:val="D8885FB6"/>
    <w:lvl w:ilvl="0" w:tplc="1026004E">
      <w:start w:val="1"/>
      <w:numFmt w:val="bullet"/>
      <w:pStyle w:val="Bulletlevel1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BC098E"/>
    <w:multiLevelType w:val="hybridMultilevel"/>
    <w:tmpl w:val="6F5214D4"/>
    <w:lvl w:ilvl="0" w:tplc="7DAC902C">
      <w:start w:val="1"/>
      <w:numFmt w:val="bullet"/>
      <w:pStyle w:val="Bulletlevel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AF657E"/>
    <w:multiLevelType w:val="hybridMultilevel"/>
    <w:tmpl w:val="46188A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DED3EBE"/>
    <w:multiLevelType w:val="hybridMultilevel"/>
    <w:tmpl w:val="7590793C"/>
    <w:lvl w:ilvl="0" w:tplc="50F2D6AE">
      <w:start w:val="1"/>
      <w:numFmt w:val="bullet"/>
      <w:lvlText w:val=""/>
      <w:lvlJc w:val="left"/>
      <w:pPr>
        <w:ind w:left="720" w:hanging="360"/>
      </w:pPr>
      <w:rPr>
        <w:rFonts w:ascii="Symbol" w:hAnsi="Symbol" w:hint="default"/>
      </w:rPr>
    </w:lvl>
    <w:lvl w:ilvl="1" w:tplc="6BE6E57E">
      <w:start w:val="1"/>
      <w:numFmt w:val="bullet"/>
      <w:lvlText w:val="o"/>
      <w:lvlJc w:val="left"/>
      <w:pPr>
        <w:ind w:left="1440" w:hanging="360"/>
      </w:pPr>
      <w:rPr>
        <w:rFonts w:ascii="Courier New" w:hAnsi="Courier New" w:hint="default"/>
      </w:rPr>
    </w:lvl>
    <w:lvl w:ilvl="2" w:tplc="99722DD0">
      <w:start w:val="1"/>
      <w:numFmt w:val="bullet"/>
      <w:lvlText w:val=""/>
      <w:lvlJc w:val="left"/>
      <w:pPr>
        <w:ind w:left="2160" w:hanging="360"/>
      </w:pPr>
      <w:rPr>
        <w:rFonts w:ascii="Wingdings" w:hAnsi="Wingdings" w:hint="default"/>
      </w:rPr>
    </w:lvl>
    <w:lvl w:ilvl="3" w:tplc="F8CAF0E4">
      <w:start w:val="1"/>
      <w:numFmt w:val="bullet"/>
      <w:lvlText w:val=""/>
      <w:lvlJc w:val="left"/>
      <w:pPr>
        <w:ind w:left="2880" w:hanging="360"/>
      </w:pPr>
      <w:rPr>
        <w:rFonts w:ascii="Symbol" w:hAnsi="Symbol" w:hint="default"/>
      </w:rPr>
    </w:lvl>
    <w:lvl w:ilvl="4" w:tplc="DF50B0E4">
      <w:start w:val="1"/>
      <w:numFmt w:val="bullet"/>
      <w:lvlText w:val="o"/>
      <w:lvlJc w:val="left"/>
      <w:pPr>
        <w:ind w:left="3600" w:hanging="360"/>
      </w:pPr>
      <w:rPr>
        <w:rFonts w:ascii="Courier New" w:hAnsi="Courier New" w:hint="default"/>
      </w:rPr>
    </w:lvl>
    <w:lvl w:ilvl="5" w:tplc="AC502D82">
      <w:start w:val="1"/>
      <w:numFmt w:val="bullet"/>
      <w:lvlText w:val=""/>
      <w:lvlJc w:val="left"/>
      <w:pPr>
        <w:ind w:left="4320" w:hanging="360"/>
      </w:pPr>
      <w:rPr>
        <w:rFonts w:ascii="Wingdings" w:hAnsi="Wingdings" w:hint="default"/>
      </w:rPr>
    </w:lvl>
    <w:lvl w:ilvl="6" w:tplc="5B24ED32">
      <w:start w:val="1"/>
      <w:numFmt w:val="bullet"/>
      <w:lvlText w:val=""/>
      <w:lvlJc w:val="left"/>
      <w:pPr>
        <w:ind w:left="5040" w:hanging="360"/>
      </w:pPr>
      <w:rPr>
        <w:rFonts w:ascii="Symbol" w:hAnsi="Symbol" w:hint="default"/>
      </w:rPr>
    </w:lvl>
    <w:lvl w:ilvl="7" w:tplc="3968DE44">
      <w:start w:val="1"/>
      <w:numFmt w:val="bullet"/>
      <w:lvlText w:val="o"/>
      <w:lvlJc w:val="left"/>
      <w:pPr>
        <w:ind w:left="5760" w:hanging="360"/>
      </w:pPr>
      <w:rPr>
        <w:rFonts w:ascii="Courier New" w:hAnsi="Courier New" w:hint="default"/>
      </w:rPr>
    </w:lvl>
    <w:lvl w:ilvl="8" w:tplc="5C3866AC">
      <w:start w:val="1"/>
      <w:numFmt w:val="bullet"/>
      <w:lvlText w:val=""/>
      <w:lvlJc w:val="left"/>
      <w:pPr>
        <w:ind w:left="6480" w:hanging="360"/>
      </w:pPr>
      <w:rPr>
        <w:rFonts w:ascii="Wingdings" w:hAnsi="Wingdings" w:hint="default"/>
      </w:rPr>
    </w:lvl>
  </w:abstractNum>
  <w:num w:numId="1" w16cid:durableId="1056928115">
    <w:abstractNumId w:val="10"/>
  </w:num>
  <w:num w:numId="2" w16cid:durableId="1425760847">
    <w:abstractNumId w:val="16"/>
  </w:num>
  <w:num w:numId="3" w16cid:durableId="843545355">
    <w:abstractNumId w:val="17"/>
  </w:num>
  <w:num w:numId="4" w16cid:durableId="1458522508">
    <w:abstractNumId w:val="13"/>
  </w:num>
  <w:num w:numId="5" w16cid:durableId="1263689850">
    <w:abstractNumId w:val="7"/>
  </w:num>
  <w:num w:numId="6" w16cid:durableId="720590719">
    <w:abstractNumId w:val="23"/>
  </w:num>
  <w:num w:numId="7" w16cid:durableId="1617521768">
    <w:abstractNumId w:val="3"/>
  </w:num>
  <w:num w:numId="8" w16cid:durableId="969045093">
    <w:abstractNumId w:val="1"/>
  </w:num>
  <w:num w:numId="9" w16cid:durableId="1714190328">
    <w:abstractNumId w:val="2"/>
  </w:num>
  <w:num w:numId="10" w16cid:durableId="1292904938">
    <w:abstractNumId w:val="0"/>
  </w:num>
  <w:num w:numId="11" w16cid:durableId="1192914688">
    <w:abstractNumId w:val="9"/>
  </w:num>
  <w:num w:numId="12" w16cid:durableId="818768531">
    <w:abstractNumId w:val="15"/>
  </w:num>
  <w:num w:numId="13" w16cid:durableId="636617026">
    <w:abstractNumId w:val="12"/>
  </w:num>
  <w:num w:numId="14" w16cid:durableId="227307242">
    <w:abstractNumId w:val="14"/>
  </w:num>
  <w:num w:numId="15" w16cid:durableId="1325478460">
    <w:abstractNumId w:val="18"/>
  </w:num>
  <w:num w:numId="16" w16cid:durableId="26877423">
    <w:abstractNumId w:val="4"/>
  </w:num>
  <w:num w:numId="17" w16cid:durableId="529613017">
    <w:abstractNumId w:val="2"/>
    <w:lvlOverride w:ilvl="0">
      <w:startOverride w:val="1"/>
    </w:lvlOverride>
  </w:num>
  <w:num w:numId="18" w16cid:durableId="506287035">
    <w:abstractNumId w:val="2"/>
    <w:lvlOverride w:ilvl="0">
      <w:startOverride w:val="1"/>
    </w:lvlOverride>
  </w:num>
  <w:num w:numId="19" w16cid:durableId="44449778">
    <w:abstractNumId w:val="21"/>
  </w:num>
  <w:num w:numId="20" w16cid:durableId="319240718">
    <w:abstractNumId w:val="20"/>
  </w:num>
  <w:num w:numId="21" w16cid:durableId="1091731347">
    <w:abstractNumId w:val="6"/>
  </w:num>
  <w:num w:numId="22" w16cid:durableId="1733236431">
    <w:abstractNumId w:val="11"/>
  </w:num>
  <w:num w:numId="23" w16cid:durableId="1480268017">
    <w:abstractNumId w:val="2"/>
    <w:lvlOverride w:ilvl="0">
      <w:startOverride w:val="1"/>
    </w:lvlOverride>
  </w:num>
  <w:num w:numId="24" w16cid:durableId="964309664">
    <w:abstractNumId w:val="2"/>
    <w:lvlOverride w:ilvl="0">
      <w:startOverride w:val="1"/>
    </w:lvlOverride>
  </w:num>
  <w:num w:numId="25" w16cid:durableId="1025836865">
    <w:abstractNumId w:val="2"/>
    <w:lvlOverride w:ilvl="0">
      <w:startOverride w:val="1"/>
    </w:lvlOverride>
  </w:num>
  <w:num w:numId="26" w16cid:durableId="1678726611">
    <w:abstractNumId w:val="2"/>
    <w:lvlOverride w:ilvl="0">
      <w:startOverride w:val="1"/>
    </w:lvlOverride>
  </w:num>
  <w:num w:numId="27" w16cid:durableId="75135685">
    <w:abstractNumId w:val="8"/>
  </w:num>
  <w:num w:numId="28" w16cid:durableId="855466903">
    <w:abstractNumId w:val="19"/>
  </w:num>
  <w:num w:numId="29" w16cid:durableId="1702511724">
    <w:abstractNumId w:val="5"/>
  </w:num>
  <w:num w:numId="30" w16cid:durableId="351273319">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6D1"/>
    <w:rsid w:val="00010667"/>
    <w:rsid w:val="000129D5"/>
    <w:rsid w:val="00015AE7"/>
    <w:rsid w:val="00016E21"/>
    <w:rsid w:val="0001719C"/>
    <w:rsid w:val="0002224E"/>
    <w:rsid w:val="000245E5"/>
    <w:rsid w:val="00026BA5"/>
    <w:rsid w:val="00026F91"/>
    <w:rsid w:val="0002789D"/>
    <w:rsid w:val="00032197"/>
    <w:rsid w:val="00044CFC"/>
    <w:rsid w:val="0004764C"/>
    <w:rsid w:val="0005011A"/>
    <w:rsid w:val="0005045A"/>
    <w:rsid w:val="00051C1E"/>
    <w:rsid w:val="000527B7"/>
    <w:rsid w:val="000539F9"/>
    <w:rsid w:val="00054C27"/>
    <w:rsid w:val="00055EC3"/>
    <w:rsid w:val="000563CE"/>
    <w:rsid w:val="000659B6"/>
    <w:rsid w:val="0006686F"/>
    <w:rsid w:val="0006722A"/>
    <w:rsid w:val="000732CF"/>
    <w:rsid w:val="00075B96"/>
    <w:rsid w:val="00077926"/>
    <w:rsid w:val="0008196A"/>
    <w:rsid w:val="00090AF1"/>
    <w:rsid w:val="000915ED"/>
    <w:rsid w:val="0009209D"/>
    <w:rsid w:val="0009463C"/>
    <w:rsid w:val="00094E36"/>
    <w:rsid w:val="00095374"/>
    <w:rsid w:val="000969BD"/>
    <w:rsid w:val="000969BF"/>
    <w:rsid w:val="000971BD"/>
    <w:rsid w:val="000A0C22"/>
    <w:rsid w:val="000A1400"/>
    <w:rsid w:val="000A3C43"/>
    <w:rsid w:val="000A45D1"/>
    <w:rsid w:val="000A4A51"/>
    <w:rsid w:val="000A5D2B"/>
    <w:rsid w:val="000B3AFE"/>
    <w:rsid w:val="000B4664"/>
    <w:rsid w:val="000B5DE3"/>
    <w:rsid w:val="000C0A57"/>
    <w:rsid w:val="000C230C"/>
    <w:rsid w:val="000C5978"/>
    <w:rsid w:val="000C6AB4"/>
    <w:rsid w:val="000C6B95"/>
    <w:rsid w:val="000D2F21"/>
    <w:rsid w:val="000D71D9"/>
    <w:rsid w:val="000D76E0"/>
    <w:rsid w:val="000D7E8B"/>
    <w:rsid w:val="000D7FDE"/>
    <w:rsid w:val="000E4449"/>
    <w:rsid w:val="000E6097"/>
    <w:rsid w:val="000F3D7C"/>
    <w:rsid w:val="0010267F"/>
    <w:rsid w:val="00103829"/>
    <w:rsid w:val="001061CF"/>
    <w:rsid w:val="00111FCE"/>
    <w:rsid w:val="00113F84"/>
    <w:rsid w:val="0011580B"/>
    <w:rsid w:val="001229A5"/>
    <w:rsid w:val="00122C4C"/>
    <w:rsid w:val="0012489B"/>
    <w:rsid w:val="00130017"/>
    <w:rsid w:val="00130F91"/>
    <w:rsid w:val="001349ED"/>
    <w:rsid w:val="00137424"/>
    <w:rsid w:val="00140318"/>
    <w:rsid w:val="00141AD9"/>
    <w:rsid w:val="001433A5"/>
    <w:rsid w:val="00146CE6"/>
    <w:rsid w:val="00152772"/>
    <w:rsid w:val="00152903"/>
    <w:rsid w:val="00153FD5"/>
    <w:rsid w:val="0015614F"/>
    <w:rsid w:val="001577C2"/>
    <w:rsid w:val="00161784"/>
    <w:rsid w:val="001633C4"/>
    <w:rsid w:val="00164FB1"/>
    <w:rsid w:val="001704D5"/>
    <w:rsid w:val="00171591"/>
    <w:rsid w:val="00173981"/>
    <w:rsid w:val="0017719D"/>
    <w:rsid w:val="00181180"/>
    <w:rsid w:val="00182F10"/>
    <w:rsid w:val="00183FD7"/>
    <w:rsid w:val="001845B3"/>
    <w:rsid w:val="00185CAB"/>
    <w:rsid w:val="0018650E"/>
    <w:rsid w:val="001875B7"/>
    <w:rsid w:val="00187CB3"/>
    <w:rsid w:val="0019050A"/>
    <w:rsid w:val="001910D4"/>
    <w:rsid w:val="00193B06"/>
    <w:rsid w:val="001976E3"/>
    <w:rsid w:val="001A44EC"/>
    <w:rsid w:val="001B28D9"/>
    <w:rsid w:val="001B58AA"/>
    <w:rsid w:val="001B5A35"/>
    <w:rsid w:val="001B7E48"/>
    <w:rsid w:val="001C1275"/>
    <w:rsid w:val="001C17CE"/>
    <w:rsid w:val="001C36CA"/>
    <w:rsid w:val="001C44D1"/>
    <w:rsid w:val="001C6AEE"/>
    <w:rsid w:val="001C7630"/>
    <w:rsid w:val="001D0E56"/>
    <w:rsid w:val="001D4DD0"/>
    <w:rsid w:val="001D6D15"/>
    <w:rsid w:val="001E79C1"/>
    <w:rsid w:val="001F3DF1"/>
    <w:rsid w:val="001F42E0"/>
    <w:rsid w:val="001F7558"/>
    <w:rsid w:val="00205B57"/>
    <w:rsid w:val="002112DB"/>
    <w:rsid w:val="002157E0"/>
    <w:rsid w:val="00216A57"/>
    <w:rsid w:val="00217448"/>
    <w:rsid w:val="002223C2"/>
    <w:rsid w:val="0022334F"/>
    <w:rsid w:val="002262D2"/>
    <w:rsid w:val="00226819"/>
    <w:rsid w:val="00233101"/>
    <w:rsid w:val="00233817"/>
    <w:rsid w:val="002367FF"/>
    <w:rsid w:val="00240CE9"/>
    <w:rsid w:val="002425AA"/>
    <w:rsid w:val="002434BA"/>
    <w:rsid w:val="00246089"/>
    <w:rsid w:val="00246093"/>
    <w:rsid w:val="00246702"/>
    <w:rsid w:val="00247C59"/>
    <w:rsid w:val="00247F2E"/>
    <w:rsid w:val="00250ADC"/>
    <w:rsid w:val="00250B07"/>
    <w:rsid w:val="00257553"/>
    <w:rsid w:val="00260FB2"/>
    <w:rsid w:val="00261E85"/>
    <w:rsid w:val="00262128"/>
    <w:rsid w:val="0027165D"/>
    <w:rsid w:val="00273CEB"/>
    <w:rsid w:val="002758FF"/>
    <w:rsid w:val="0028067E"/>
    <w:rsid w:val="00281C89"/>
    <w:rsid w:val="0028282F"/>
    <w:rsid w:val="00284A74"/>
    <w:rsid w:val="00285D0C"/>
    <w:rsid w:val="002938BA"/>
    <w:rsid w:val="0029593B"/>
    <w:rsid w:val="00297FC5"/>
    <w:rsid w:val="002A0417"/>
    <w:rsid w:val="002A16D8"/>
    <w:rsid w:val="002A1BC8"/>
    <w:rsid w:val="002A3EF2"/>
    <w:rsid w:val="002B0DED"/>
    <w:rsid w:val="002B19A2"/>
    <w:rsid w:val="002B2F58"/>
    <w:rsid w:val="002B381A"/>
    <w:rsid w:val="002B4FCC"/>
    <w:rsid w:val="002B7408"/>
    <w:rsid w:val="002B7CFD"/>
    <w:rsid w:val="002C0802"/>
    <w:rsid w:val="002C210F"/>
    <w:rsid w:val="002D3600"/>
    <w:rsid w:val="002D7953"/>
    <w:rsid w:val="002E4DDC"/>
    <w:rsid w:val="00302480"/>
    <w:rsid w:val="00302758"/>
    <w:rsid w:val="00306491"/>
    <w:rsid w:val="003125DD"/>
    <w:rsid w:val="00313F04"/>
    <w:rsid w:val="003165E6"/>
    <w:rsid w:val="00320CB8"/>
    <w:rsid w:val="003215B5"/>
    <w:rsid w:val="003221CF"/>
    <w:rsid w:val="003233ED"/>
    <w:rsid w:val="00324372"/>
    <w:rsid w:val="00324D9F"/>
    <w:rsid w:val="00327948"/>
    <w:rsid w:val="0033000F"/>
    <w:rsid w:val="00332011"/>
    <w:rsid w:val="00332518"/>
    <w:rsid w:val="00332925"/>
    <w:rsid w:val="00332CBD"/>
    <w:rsid w:val="003332ED"/>
    <w:rsid w:val="003368DC"/>
    <w:rsid w:val="00345927"/>
    <w:rsid w:val="00350584"/>
    <w:rsid w:val="00351065"/>
    <w:rsid w:val="00351857"/>
    <w:rsid w:val="00353F9F"/>
    <w:rsid w:val="003545E8"/>
    <w:rsid w:val="003610E1"/>
    <w:rsid w:val="003671BE"/>
    <w:rsid w:val="00372485"/>
    <w:rsid w:val="00373200"/>
    <w:rsid w:val="00375EF5"/>
    <w:rsid w:val="003762A1"/>
    <w:rsid w:val="003767A5"/>
    <w:rsid w:val="00381D15"/>
    <w:rsid w:val="003825CC"/>
    <w:rsid w:val="00383AA2"/>
    <w:rsid w:val="00385254"/>
    <w:rsid w:val="003A04DB"/>
    <w:rsid w:val="003A5F5B"/>
    <w:rsid w:val="003A789A"/>
    <w:rsid w:val="003B12EC"/>
    <w:rsid w:val="003B200A"/>
    <w:rsid w:val="003B6351"/>
    <w:rsid w:val="003C4631"/>
    <w:rsid w:val="003C77E0"/>
    <w:rsid w:val="003D17D7"/>
    <w:rsid w:val="003D2678"/>
    <w:rsid w:val="003D71A3"/>
    <w:rsid w:val="003E2B8A"/>
    <w:rsid w:val="003F10EE"/>
    <w:rsid w:val="003F16F6"/>
    <w:rsid w:val="003F1B47"/>
    <w:rsid w:val="003F4DC7"/>
    <w:rsid w:val="003F5235"/>
    <w:rsid w:val="003F7707"/>
    <w:rsid w:val="004027E4"/>
    <w:rsid w:val="0041071D"/>
    <w:rsid w:val="00414603"/>
    <w:rsid w:val="00414AFC"/>
    <w:rsid w:val="00414C32"/>
    <w:rsid w:val="004151A7"/>
    <w:rsid w:val="00415310"/>
    <w:rsid w:val="00421709"/>
    <w:rsid w:val="00423763"/>
    <w:rsid w:val="0042762F"/>
    <w:rsid w:val="00427DC7"/>
    <w:rsid w:val="00431613"/>
    <w:rsid w:val="00431792"/>
    <w:rsid w:val="0043297A"/>
    <w:rsid w:val="00432EB2"/>
    <w:rsid w:val="0043714F"/>
    <w:rsid w:val="004438B5"/>
    <w:rsid w:val="00443916"/>
    <w:rsid w:val="00447037"/>
    <w:rsid w:val="00451183"/>
    <w:rsid w:val="004511C5"/>
    <w:rsid w:val="0045124D"/>
    <w:rsid w:val="00454596"/>
    <w:rsid w:val="0045605D"/>
    <w:rsid w:val="00456162"/>
    <w:rsid w:val="0046135B"/>
    <w:rsid w:val="00461D47"/>
    <w:rsid w:val="004628F2"/>
    <w:rsid w:val="00466E60"/>
    <w:rsid w:val="004718CC"/>
    <w:rsid w:val="00476DEC"/>
    <w:rsid w:val="00481695"/>
    <w:rsid w:val="00482C67"/>
    <w:rsid w:val="00495A96"/>
    <w:rsid w:val="00495BB3"/>
    <w:rsid w:val="004962DC"/>
    <w:rsid w:val="004A56BB"/>
    <w:rsid w:val="004A70D6"/>
    <w:rsid w:val="004B1751"/>
    <w:rsid w:val="004C0253"/>
    <w:rsid w:val="004C1234"/>
    <w:rsid w:val="004C6795"/>
    <w:rsid w:val="004C7485"/>
    <w:rsid w:val="004D1AE7"/>
    <w:rsid w:val="004D56FF"/>
    <w:rsid w:val="004E21D4"/>
    <w:rsid w:val="004E39D3"/>
    <w:rsid w:val="004E508A"/>
    <w:rsid w:val="004E616D"/>
    <w:rsid w:val="004F1BDE"/>
    <w:rsid w:val="004F2CEE"/>
    <w:rsid w:val="004F556E"/>
    <w:rsid w:val="004F591C"/>
    <w:rsid w:val="004F7F44"/>
    <w:rsid w:val="0050358B"/>
    <w:rsid w:val="005037B4"/>
    <w:rsid w:val="005079BF"/>
    <w:rsid w:val="0051269A"/>
    <w:rsid w:val="00513BCA"/>
    <w:rsid w:val="005144FA"/>
    <w:rsid w:val="005219E7"/>
    <w:rsid w:val="00521E27"/>
    <w:rsid w:val="00521ED4"/>
    <w:rsid w:val="00525B37"/>
    <w:rsid w:val="00531B9A"/>
    <w:rsid w:val="00531D15"/>
    <w:rsid w:val="00537604"/>
    <w:rsid w:val="00541443"/>
    <w:rsid w:val="00542377"/>
    <w:rsid w:val="005476EB"/>
    <w:rsid w:val="00551782"/>
    <w:rsid w:val="00562439"/>
    <w:rsid w:val="00563EF1"/>
    <w:rsid w:val="00566AB4"/>
    <w:rsid w:val="00575AC5"/>
    <w:rsid w:val="0057605D"/>
    <w:rsid w:val="005806A0"/>
    <w:rsid w:val="00581347"/>
    <w:rsid w:val="00581AC9"/>
    <w:rsid w:val="005849F8"/>
    <w:rsid w:val="005938DF"/>
    <w:rsid w:val="00594E9C"/>
    <w:rsid w:val="0059621D"/>
    <w:rsid w:val="005969A2"/>
    <w:rsid w:val="005A099B"/>
    <w:rsid w:val="005A2D9C"/>
    <w:rsid w:val="005A55FE"/>
    <w:rsid w:val="005A56C1"/>
    <w:rsid w:val="005A62E5"/>
    <w:rsid w:val="005A6A11"/>
    <w:rsid w:val="005B3536"/>
    <w:rsid w:val="005B6635"/>
    <w:rsid w:val="005C7DB8"/>
    <w:rsid w:val="005D2502"/>
    <w:rsid w:val="005D40BB"/>
    <w:rsid w:val="005D4690"/>
    <w:rsid w:val="005D47F3"/>
    <w:rsid w:val="005D49BF"/>
    <w:rsid w:val="005D4AA5"/>
    <w:rsid w:val="005D5554"/>
    <w:rsid w:val="005D6F4E"/>
    <w:rsid w:val="005D7C73"/>
    <w:rsid w:val="005E16D1"/>
    <w:rsid w:val="005E250B"/>
    <w:rsid w:val="005E3ACD"/>
    <w:rsid w:val="005E7226"/>
    <w:rsid w:val="005E7A57"/>
    <w:rsid w:val="005F24B0"/>
    <w:rsid w:val="005F49B3"/>
    <w:rsid w:val="005F685F"/>
    <w:rsid w:val="00601B57"/>
    <w:rsid w:val="0060305C"/>
    <w:rsid w:val="00604315"/>
    <w:rsid w:val="00604E26"/>
    <w:rsid w:val="0060523F"/>
    <w:rsid w:val="006052CF"/>
    <w:rsid w:val="006058B5"/>
    <w:rsid w:val="00607B8D"/>
    <w:rsid w:val="00611F5C"/>
    <w:rsid w:val="00613C38"/>
    <w:rsid w:val="00616E09"/>
    <w:rsid w:val="0061751C"/>
    <w:rsid w:val="00622A3B"/>
    <w:rsid w:val="00622EEA"/>
    <w:rsid w:val="0062396C"/>
    <w:rsid w:val="00623FF9"/>
    <w:rsid w:val="00627D4E"/>
    <w:rsid w:val="00632B89"/>
    <w:rsid w:val="0063346D"/>
    <w:rsid w:val="00634478"/>
    <w:rsid w:val="00640C7A"/>
    <w:rsid w:val="0064346C"/>
    <w:rsid w:val="00644373"/>
    <w:rsid w:val="00645915"/>
    <w:rsid w:val="00647B0D"/>
    <w:rsid w:val="006519C3"/>
    <w:rsid w:val="00652B30"/>
    <w:rsid w:val="00656345"/>
    <w:rsid w:val="00656DC6"/>
    <w:rsid w:val="00660EC6"/>
    <w:rsid w:val="006610C5"/>
    <w:rsid w:val="00662510"/>
    <w:rsid w:val="00664110"/>
    <w:rsid w:val="00664D17"/>
    <w:rsid w:val="00666520"/>
    <w:rsid w:val="00667C5B"/>
    <w:rsid w:val="00683777"/>
    <w:rsid w:val="00691EB8"/>
    <w:rsid w:val="00692CDE"/>
    <w:rsid w:val="00693073"/>
    <w:rsid w:val="0069684B"/>
    <w:rsid w:val="006977FF"/>
    <w:rsid w:val="006A01FA"/>
    <w:rsid w:val="006A0E9E"/>
    <w:rsid w:val="006A25C7"/>
    <w:rsid w:val="006A4AAD"/>
    <w:rsid w:val="006A6803"/>
    <w:rsid w:val="006A6DA2"/>
    <w:rsid w:val="006A7AB2"/>
    <w:rsid w:val="006B4450"/>
    <w:rsid w:val="006B52DE"/>
    <w:rsid w:val="006B5717"/>
    <w:rsid w:val="006B582F"/>
    <w:rsid w:val="006B5EB2"/>
    <w:rsid w:val="006C0CEB"/>
    <w:rsid w:val="006C10F3"/>
    <w:rsid w:val="006C1631"/>
    <w:rsid w:val="006C3B1E"/>
    <w:rsid w:val="006C47FD"/>
    <w:rsid w:val="006C5C19"/>
    <w:rsid w:val="006C70A0"/>
    <w:rsid w:val="006D0122"/>
    <w:rsid w:val="006D27CB"/>
    <w:rsid w:val="006D2F08"/>
    <w:rsid w:val="006D382C"/>
    <w:rsid w:val="006D576C"/>
    <w:rsid w:val="006D5865"/>
    <w:rsid w:val="006E3C79"/>
    <w:rsid w:val="006E4B1B"/>
    <w:rsid w:val="006E5445"/>
    <w:rsid w:val="006E6604"/>
    <w:rsid w:val="006E7D93"/>
    <w:rsid w:val="006F4943"/>
    <w:rsid w:val="007029A3"/>
    <w:rsid w:val="00702EA1"/>
    <w:rsid w:val="00706E4E"/>
    <w:rsid w:val="0070791C"/>
    <w:rsid w:val="00710079"/>
    <w:rsid w:val="00710185"/>
    <w:rsid w:val="0071383C"/>
    <w:rsid w:val="007141A7"/>
    <w:rsid w:val="007152CD"/>
    <w:rsid w:val="00715722"/>
    <w:rsid w:val="00716ACF"/>
    <w:rsid w:val="00721032"/>
    <w:rsid w:val="00721B55"/>
    <w:rsid w:val="00726CE4"/>
    <w:rsid w:val="00733D86"/>
    <w:rsid w:val="00734143"/>
    <w:rsid w:val="007359B6"/>
    <w:rsid w:val="0073624F"/>
    <w:rsid w:val="00737E47"/>
    <w:rsid w:val="00740EAC"/>
    <w:rsid w:val="00741AD9"/>
    <w:rsid w:val="00744956"/>
    <w:rsid w:val="00745A5C"/>
    <w:rsid w:val="0074605F"/>
    <w:rsid w:val="00747E94"/>
    <w:rsid w:val="00754C83"/>
    <w:rsid w:val="00761E5C"/>
    <w:rsid w:val="00762778"/>
    <w:rsid w:val="00763A61"/>
    <w:rsid w:val="00765DF8"/>
    <w:rsid w:val="00766749"/>
    <w:rsid w:val="007668A0"/>
    <w:rsid w:val="00766AD1"/>
    <w:rsid w:val="00767C1B"/>
    <w:rsid w:val="007714A9"/>
    <w:rsid w:val="00774F88"/>
    <w:rsid w:val="00774FDB"/>
    <w:rsid w:val="007775FC"/>
    <w:rsid w:val="00777BA2"/>
    <w:rsid w:val="00781408"/>
    <w:rsid w:val="00784F7F"/>
    <w:rsid w:val="0078616F"/>
    <w:rsid w:val="00786253"/>
    <w:rsid w:val="007878BD"/>
    <w:rsid w:val="00790CEE"/>
    <w:rsid w:val="007922A4"/>
    <w:rsid w:val="00796F25"/>
    <w:rsid w:val="007A2E98"/>
    <w:rsid w:val="007A3BA3"/>
    <w:rsid w:val="007A6CC0"/>
    <w:rsid w:val="007A7FEC"/>
    <w:rsid w:val="007B1499"/>
    <w:rsid w:val="007B1BBF"/>
    <w:rsid w:val="007B2960"/>
    <w:rsid w:val="007B355D"/>
    <w:rsid w:val="007B7980"/>
    <w:rsid w:val="007B79C7"/>
    <w:rsid w:val="007C0DEF"/>
    <w:rsid w:val="007C5D5A"/>
    <w:rsid w:val="007C607F"/>
    <w:rsid w:val="007C6820"/>
    <w:rsid w:val="007C6E44"/>
    <w:rsid w:val="007C79DD"/>
    <w:rsid w:val="007D026A"/>
    <w:rsid w:val="007D1A97"/>
    <w:rsid w:val="007D2CD6"/>
    <w:rsid w:val="007D3063"/>
    <w:rsid w:val="007D3CEB"/>
    <w:rsid w:val="007E2237"/>
    <w:rsid w:val="007E3375"/>
    <w:rsid w:val="007E7683"/>
    <w:rsid w:val="007F49CB"/>
    <w:rsid w:val="007F49FA"/>
    <w:rsid w:val="007F54C4"/>
    <w:rsid w:val="007F6E9A"/>
    <w:rsid w:val="007F7843"/>
    <w:rsid w:val="00800CCD"/>
    <w:rsid w:val="008044D4"/>
    <w:rsid w:val="00810AB4"/>
    <w:rsid w:val="00817B56"/>
    <w:rsid w:val="00821A88"/>
    <w:rsid w:val="0082495D"/>
    <w:rsid w:val="00825F96"/>
    <w:rsid w:val="00831AC3"/>
    <w:rsid w:val="008321E2"/>
    <w:rsid w:val="00836FCE"/>
    <w:rsid w:val="008408FF"/>
    <w:rsid w:val="00851F3F"/>
    <w:rsid w:val="00852AEB"/>
    <w:rsid w:val="0085618F"/>
    <w:rsid w:val="00856EDC"/>
    <w:rsid w:val="008623B5"/>
    <w:rsid w:val="00870ABA"/>
    <w:rsid w:val="008710E1"/>
    <w:rsid w:val="008716E5"/>
    <w:rsid w:val="00881CA9"/>
    <w:rsid w:val="0088339A"/>
    <w:rsid w:val="00883628"/>
    <w:rsid w:val="00885544"/>
    <w:rsid w:val="0088634E"/>
    <w:rsid w:val="00893AB8"/>
    <w:rsid w:val="008A04C8"/>
    <w:rsid w:val="008A6913"/>
    <w:rsid w:val="008B70F3"/>
    <w:rsid w:val="008B71C4"/>
    <w:rsid w:val="008B76DF"/>
    <w:rsid w:val="008C0013"/>
    <w:rsid w:val="008C10F4"/>
    <w:rsid w:val="008C65F7"/>
    <w:rsid w:val="008D3EF4"/>
    <w:rsid w:val="008E3695"/>
    <w:rsid w:val="008E4767"/>
    <w:rsid w:val="008E51D2"/>
    <w:rsid w:val="008E7A8C"/>
    <w:rsid w:val="0090203B"/>
    <w:rsid w:val="00902432"/>
    <w:rsid w:val="00903285"/>
    <w:rsid w:val="00906F40"/>
    <w:rsid w:val="0090731E"/>
    <w:rsid w:val="00910D5C"/>
    <w:rsid w:val="00913BEA"/>
    <w:rsid w:val="00915B1C"/>
    <w:rsid w:val="009174F3"/>
    <w:rsid w:val="0091797D"/>
    <w:rsid w:val="00917DCD"/>
    <w:rsid w:val="00923CBA"/>
    <w:rsid w:val="00923F75"/>
    <w:rsid w:val="009242EB"/>
    <w:rsid w:val="009261B8"/>
    <w:rsid w:val="00926703"/>
    <w:rsid w:val="00927691"/>
    <w:rsid w:val="00927A5F"/>
    <w:rsid w:val="00930510"/>
    <w:rsid w:val="00931B9E"/>
    <w:rsid w:val="009336AC"/>
    <w:rsid w:val="00935B63"/>
    <w:rsid w:val="0094011A"/>
    <w:rsid w:val="0094078F"/>
    <w:rsid w:val="00940FA3"/>
    <w:rsid w:val="00941FB0"/>
    <w:rsid w:val="009426D4"/>
    <w:rsid w:val="00947F25"/>
    <w:rsid w:val="00950159"/>
    <w:rsid w:val="0095490B"/>
    <w:rsid w:val="00960A33"/>
    <w:rsid w:val="00967605"/>
    <w:rsid w:val="00971914"/>
    <w:rsid w:val="009739B5"/>
    <w:rsid w:val="00974363"/>
    <w:rsid w:val="00981898"/>
    <w:rsid w:val="00986D53"/>
    <w:rsid w:val="00994A0D"/>
    <w:rsid w:val="0099577C"/>
    <w:rsid w:val="009A2CBF"/>
    <w:rsid w:val="009B24A5"/>
    <w:rsid w:val="009B2601"/>
    <w:rsid w:val="009B30F8"/>
    <w:rsid w:val="009B4E9E"/>
    <w:rsid w:val="009C1690"/>
    <w:rsid w:val="009C22AB"/>
    <w:rsid w:val="009C6881"/>
    <w:rsid w:val="009C7759"/>
    <w:rsid w:val="009D043D"/>
    <w:rsid w:val="009D07C8"/>
    <w:rsid w:val="009D1D05"/>
    <w:rsid w:val="009D2529"/>
    <w:rsid w:val="009D3CD7"/>
    <w:rsid w:val="009D4F34"/>
    <w:rsid w:val="009D6C71"/>
    <w:rsid w:val="009E0631"/>
    <w:rsid w:val="009E16D0"/>
    <w:rsid w:val="009E2051"/>
    <w:rsid w:val="009E3528"/>
    <w:rsid w:val="009E38FD"/>
    <w:rsid w:val="009F13D6"/>
    <w:rsid w:val="009F4C6B"/>
    <w:rsid w:val="009F78A8"/>
    <w:rsid w:val="00A01DF7"/>
    <w:rsid w:val="00A02AD6"/>
    <w:rsid w:val="00A07096"/>
    <w:rsid w:val="00A07318"/>
    <w:rsid w:val="00A11370"/>
    <w:rsid w:val="00A115C0"/>
    <w:rsid w:val="00A13481"/>
    <w:rsid w:val="00A15F93"/>
    <w:rsid w:val="00A177FD"/>
    <w:rsid w:val="00A17B1B"/>
    <w:rsid w:val="00A224CE"/>
    <w:rsid w:val="00A22522"/>
    <w:rsid w:val="00A2440D"/>
    <w:rsid w:val="00A24882"/>
    <w:rsid w:val="00A24AFD"/>
    <w:rsid w:val="00A24F5C"/>
    <w:rsid w:val="00A32F96"/>
    <w:rsid w:val="00A40871"/>
    <w:rsid w:val="00A412AB"/>
    <w:rsid w:val="00A413DB"/>
    <w:rsid w:val="00A4193E"/>
    <w:rsid w:val="00A43115"/>
    <w:rsid w:val="00A440E0"/>
    <w:rsid w:val="00A442EF"/>
    <w:rsid w:val="00A51D1A"/>
    <w:rsid w:val="00A5418D"/>
    <w:rsid w:val="00A5474E"/>
    <w:rsid w:val="00A60F13"/>
    <w:rsid w:val="00A63B6F"/>
    <w:rsid w:val="00A64234"/>
    <w:rsid w:val="00A70ADF"/>
    <w:rsid w:val="00A71466"/>
    <w:rsid w:val="00A74B5E"/>
    <w:rsid w:val="00A81BED"/>
    <w:rsid w:val="00A81EC4"/>
    <w:rsid w:val="00A824E8"/>
    <w:rsid w:val="00A967FD"/>
    <w:rsid w:val="00AA1F0B"/>
    <w:rsid w:val="00AA2DE5"/>
    <w:rsid w:val="00AB156C"/>
    <w:rsid w:val="00AB3BE4"/>
    <w:rsid w:val="00AB5A0D"/>
    <w:rsid w:val="00AB6814"/>
    <w:rsid w:val="00AC04BA"/>
    <w:rsid w:val="00AC0E39"/>
    <w:rsid w:val="00AD3082"/>
    <w:rsid w:val="00AD32B4"/>
    <w:rsid w:val="00AD38E2"/>
    <w:rsid w:val="00AD4AD0"/>
    <w:rsid w:val="00AD5436"/>
    <w:rsid w:val="00AD60CD"/>
    <w:rsid w:val="00AD6C8C"/>
    <w:rsid w:val="00AD7464"/>
    <w:rsid w:val="00AD788C"/>
    <w:rsid w:val="00AE091D"/>
    <w:rsid w:val="00AE0FA6"/>
    <w:rsid w:val="00AE3B60"/>
    <w:rsid w:val="00AE53A1"/>
    <w:rsid w:val="00AF1859"/>
    <w:rsid w:val="00AF2484"/>
    <w:rsid w:val="00AF5594"/>
    <w:rsid w:val="00AF63E7"/>
    <w:rsid w:val="00AF6E17"/>
    <w:rsid w:val="00B0165D"/>
    <w:rsid w:val="00B01B60"/>
    <w:rsid w:val="00B031F3"/>
    <w:rsid w:val="00B052A4"/>
    <w:rsid w:val="00B125DE"/>
    <w:rsid w:val="00B13FDD"/>
    <w:rsid w:val="00B22EB2"/>
    <w:rsid w:val="00B27442"/>
    <w:rsid w:val="00B31167"/>
    <w:rsid w:val="00B329D8"/>
    <w:rsid w:val="00B32BB9"/>
    <w:rsid w:val="00B33AE1"/>
    <w:rsid w:val="00B37C38"/>
    <w:rsid w:val="00B4199C"/>
    <w:rsid w:val="00B4288C"/>
    <w:rsid w:val="00B43262"/>
    <w:rsid w:val="00B44100"/>
    <w:rsid w:val="00B46CBA"/>
    <w:rsid w:val="00B46F94"/>
    <w:rsid w:val="00B47351"/>
    <w:rsid w:val="00B6003C"/>
    <w:rsid w:val="00B61F03"/>
    <w:rsid w:val="00B626E4"/>
    <w:rsid w:val="00B66AB3"/>
    <w:rsid w:val="00B72F4A"/>
    <w:rsid w:val="00B7396F"/>
    <w:rsid w:val="00B77FEA"/>
    <w:rsid w:val="00B83C27"/>
    <w:rsid w:val="00B84BC3"/>
    <w:rsid w:val="00B84BDD"/>
    <w:rsid w:val="00B854E2"/>
    <w:rsid w:val="00B92812"/>
    <w:rsid w:val="00BA0269"/>
    <w:rsid w:val="00BB45A1"/>
    <w:rsid w:val="00BB7686"/>
    <w:rsid w:val="00BC23F9"/>
    <w:rsid w:val="00BC3421"/>
    <w:rsid w:val="00BC732C"/>
    <w:rsid w:val="00BD4421"/>
    <w:rsid w:val="00BD7249"/>
    <w:rsid w:val="00BE2580"/>
    <w:rsid w:val="00BE266D"/>
    <w:rsid w:val="00BE35CB"/>
    <w:rsid w:val="00BE3938"/>
    <w:rsid w:val="00BE4C11"/>
    <w:rsid w:val="00BE6805"/>
    <w:rsid w:val="00BE71C0"/>
    <w:rsid w:val="00BF610C"/>
    <w:rsid w:val="00C0060B"/>
    <w:rsid w:val="00C01A6C"/>
    <w:rsid w:val="00C0277D"/>
    <w:rsid w:val="00C053A1"/>
    <w:rsid w:val="00C10EB1"/>
    <w:rsid w:val="00C16198"/>
    <w:rsid w:val="00C169FF"/>
    <w:rsid w:val="00C2083D"/>
    <w:rsid w:val="00C23DE7"/>
    <w:rsid w:val="00C24A53"/>
    <w:rsid w:val="00C34A05"/>
    <w:rsid w:val="00C35CCE"/>
    <w:rsid w:val="00C4032F"/>
    <w:rsid w:val="00C44047"/>
    <w:rsid w:val="00C45155"/>
    <w:rsid w:val="00C5498F"/>
    <w:rsid w:val="00C55235"/>
    <w:rsid w:val="00C55D36"/>
    <w:rsid w:val="00C64CD0"/>
    <w:rsid w:val="00C6684F"/>
    <w:rsid w:val="00C70E70"/>
    <w:rsid w:val="00C75B57"/>
    <w:rsid w:val="00C75F8D"/>
    <w:rsid w:val="00C77380"/>
    <w:rsid w:val="00C82940"/>
    <w:rsid w:val="00C87E8A"/>
    <w:rsid w:val="00C97736"/>
    <w:rsid w:val="00CA345A"/>
    <w:rsid w:val="00CA7EBD"/>
    <w:rsid w:val="00CB1E82"/>
    <w:rsid w:val="00CB4BA8"/>
    <w:rsid w:val="00CB52D7"/>
    <w:rsid w:val="00CB61DD"/>
    <w:rsid w:val="00CB7B48"/>
    <w:rsid w:val="00CC6732"/>
    <w:rsid w:val="00CD5D23"/>
    <w:rsid w:val="00CE0BB5"/>
    <w:rsid w:val="00CE3C96"/>
    <w:rsid w:val="00CE51A8"/>
    <w:rsid w:val="00CF369B"/>
    <w:rsid w:val="00D00E28"/>
    <w:rsid w:val="00D0269E"/>
    <w:rsid w:val="00D05D6C"/>
    <w:rsid w:val="00D10990"/>
    <w:rsid w:val="00D131F2"/>
    <w:rsid w:val="00D15810"/>
    <w:rsid w:val="00D16D4E"/>
    <w:rsid w:val="00D16FE3"/>
    <w:rsid w:val="00D27F41"/>
    <w:rsid w:val="00D30ECE"/>
    <w:rsid w:val="00D36441"/>
    <w:rsid w:val="00D4064E"/>
    <w:rsid w:val="00D414E9"/>
    <w:rsid w:val="00D42EF0"/>
    <w:rsid w:val="00D44E9B"/>
    <w:rsid w:val="00D45FD2"/>
    <w:rsid w:val="00D47AEB"/>
    <w:rsid w:val="00D50DB9"/>
    <w:rsid w:val="00D51302"/>
    <w:rsid w:val="00D52C43"/>
    <w:rsid w:val="00D5373C"/>
    <w:rsid w:val="00D5541C"/>
    <w:rsid w:val="00D60571"/>
    <w:rsid w:val="00D6507F"/>
    <w:rsid w:val="00D66FC4"/>
    <w:rsid w:val="00D71BB0"/>
    <w:rsid w:val="00D730BC"/>
    <w:rsid w:val="00D73912"/>
    <w:rsid w:val="00D74909"/>
    <w:rsid w:val="00D77249"/>
    <w:rsid w:val="00D7760C"/>
    <w:rsid w:val="00D85226"/>
    <w:rsid w:val="00D874D3"/>
    <w:rsid w:val="00D87B94"/>
    <w:rsid w:val="00D92D49"/>
    <w:rsid w:val="00D92EC1"/>
    <w:rsid w:val="00D96DEA"/>
    <w:rsid w:val="00DA4E41"/>
    <w:rsid w:val="00DB117A"/>
    <w:rsid w:val="00DB377E"/>
    <w:rsid w:val="00DB3A64"/>
    <w:rsid w:val="00DB5173"/>
    <w:rsid w:val="00DB7873"/>
    <w:rsid w:val="00DC187B"/>
    <w:rsid w:val="00DC48A2"/>
    <w:rsid w:val="00DC539A"/>
    <w:rsid w:val="00DC7DEF"/>
    <w:rsid w:val="00DD1A43"/>
    <w:rsid w:val="00DD73C2"/>
    <w:rsid w:val="00DE319B"/>
    <w:rsid w:val="00DE5848"/>
    <w:rsid w:val="00DF0799"/>
    <w:rsid w:val="00DF2237"/>
    <w:rsid w:val="00DF34FE"/>
    <w:rsid w:val="00DF56AA"/>
    <w:rsid w:val="00DF56AF"/>
    <w:rsid w:val="00DF78E7"/>
    <w:rsid w:val="00E03279"/>
    <w:rsid w:val="00E110E0"/>
    <w:rsid w:val="00E11E68"/>
    <w:rsid w:val="00E15371"/>
    <w:rsid w:val="00E23372"/>
    <w:rsid w:val="00E237D3"/>
    <w:rsid w:val="00E24104"/>
    <w:rsid w:val="00E302D0"/>
    <w:rsid w:val="00E35707"/>
    <w:rsid w:val="00E35B8B"/>
    <w:rsid w:val="00E36AA1"/>
    <w:rsid w:val="00E41ECB"/>
    <w:rsid w:val="00E42676"/>
    <w:rsid w:val="00E50073"/>
    <w:rsid w:val="00E52867"/>
    <w:rsid w:val="00E54FDB"/>
    <w:rsid w:val="00E5617D"/>
    <w:rsid w:val="00E563D7"/>
    <w:rsid w:val="00E62CB3"/>
    <w:rsid w:val="00E663F4"/>
    <w:rsid w:val="00E66601"/>
    <w:rsid w:val="00E666F2"/>
    <w:rsid w:val="00E66DD4"/>
    <w:rsid w:val="00E748CC"/>
    <w:rsid w:val="00E75415"/>
    <w:rsid w:val="00E775B1"/>
    <w:rsid w:val="00E8152A"/>
    <w:rsid w:val="00E85BBB"/>
    <w:rsid w:val="00E93629"/>
    <w:rsid w:val="00E93B5C"/>
    <w:rsid w:val="00E94CEC"/>
    <w:rsid w:val="00EA04EF"/>
    <w:rsid w:val="00EA0AD5"/>
    <w:rsid w:val="00EA6BD7"/>
    <w:rsid w:val="00EA6F19"/>
    <w:rsid w:val="00EB2F9A"/>
    <w:rsid w:val="00EB7090"/>
    <w:rsid w:val="00EC1BBE"/>
    <w:rsid w:val="00EC2472"/>
    <w:rsid w:val="00EC2B68"/>
    <w:rsid w:val="00EC3AEF"/>
    <w:rsid w:val="00EC5CD7"/>
    <w:rsid w:val="00ED59CC"/>
    <w:rsid w:val="00EE5FB3"/>
    <w:rsid w:val="00EE7F79"/>
    <w:rsid w:val="00EF715A"/>
    <w:rsid w:val="00F01BC3"/>
    <w:rsid w:val="00F04366"/>
    <w:rsid w:val="00F06E14"/>
    <w:rsid w:val="00F179D4"/>
    <w:rsid w:val="00F249A2"/>
    <w:rsid w:val="00F26009"/>
    <w:rsid w:val="00F33C56"/>
    <w:rsid w:val="00F347C7"/>
    <w:rsid w:val="00F34848"/>
    <w:rsid w:val="00F35648"/>
    <w:rsid w:val="00F42D46"/>
    <w:rsid w:val="00F4496C"/>
    <w:rsid w:val="00F44F3A"/>
    <w:rsid w:val="00F45DD5"/>
    <w:rsid w:val="00F51F10"/>
    <w:rsid w:val="00F529A5"/>
    <w:rsid w:val="00F60F00"/>
    <w:rsid w:val="00F614C0"/>
    <w:rsid w:val="00F61C77"/>
    <w:rsid w:val="00F6458F"/>
    <w:rsid w:val="00F7389C"/>
    <w:rsid w:val="00F75085"/>
    <w:rsid w:val="00F83848"/>
    <w:rsid w:val="00F90D1A"/>
    <w:rsid w:val="00F92B15"/>
    <w:rsid w:val="00F975E9"/>
    <w:rsid w:val="00FA1B7D"/>
    <w:rsid w:val="00FA20AC"/>
    <w:rsid w:val="00FA32C6"/>
    <w:rsid w:val="00FC07B9"/>
    <w:rsid w:val="00FC3ED9"/>
    <w:rsid w:val="00FC4E21"/>
    <w:rsid w:val="00FC5F6D"/>
    <w:rsid w:val="00FD0107"/>
    <w:rsid w:val="00FD2C2F"/>
    <w:rsid w:val="00FD3B31"/>
    <w:rsid w:val="00FE1823"/>
    <w:rsid w:val="00FE487A"/>
    <w:rsid w:val="00FF0569"/>
    <w:rsid w:val="00FF206E"/>
    <w:rsid w:val="00FF3C69"/>
    <w:rsid w:val="00FF6E0A"/>
    <w:rsid w:val="0139D80A"/>
    <w:rsid w:val="0168FF61"/>
    <w:rsid w:val="02C9C7C0"/>
    <w:rsid w:val="030C2587"/>
    <w:rsid w:val="032896CB"/>
    <w:rsid w:val="0342ED46"/>
    <w:rsid w:val="0394C860"/>
    <w:rsid w:val="0533F954"/>
    <w:rsid w:val="05DAB561"/>
    <w:rsid w:val="0616BA6B"/>
    <w:rsid w:val="069379BC"/>
    <w:rsid w:val="069C5D37"/>
    <w:rsid w:val="071EDA4C"/>
    <w:rsid w:val="07269045"/>
    <w:rsid w:val="08932228"/>
    <w:rsid w:val="08B68309"/>
    <w:rsid w:val="08E3CA7A"/>
    <w:rsid w:val="094C59B8"/>
    <w:rsid w:val="0A347BC0"/>
    <w:rsid w:val="0A775657"/>
    <w:rsid w:val="0AA220EB"/>
    <w:rsid w:val="0C54159D"/>
    <w:rsid w:val="0C55E7C8"/>
    <w:rsid w:val="0C664D90"/>
    <w:rsid w:val="0CE58951"/>
    <w:rsid w:val="0D429EB3"/>
    <w:rsid w:val="0D92921E"/>
    <w:rsid w:val="0DBC38B9"/>
    <w:rsid w:val="0DEDF6BD"/>
    <w:rsid w:val="0FB4D26E"/>
    <w:rsid w:val="10BC7CE5"/>
    <w:rsid w:val="10DF54B5"/>
    <w:rsid w:val="10E88BD7"/>
    <w:rsid w:val="1109AFA0"/>
    <w:rsid w:val="1122CCBF"/>
    <w:rsid w:val="11C049B2"/>
    <w:rsid w:val="120C5D80"/>
    <w:rsid w:val="1216F304"/>
    <w:rsid w:val="126DBB8D"/>
    <w:rsid w:val="12951C4B"/>
    <w:rsid w:val="131DE3AD"/>
    <w:rsid w:val="13786752"/>
    <w:rsid w:val="139D233F"/>
    <w:rsid w:val="14061CAF"/>
    <w:rsid w:val="142EBDAA"/>
    <w:rsid w:val="14B7952A"/>
    <w:rsid w:val="14D311DC"/>
    <w:rsid w:val="15E3C98B"/>
    <w:rsid w:val="15E86D13"/>
    <w:rsid w:val="162B4A37"/>
    <w:rsid w:val="1703C207"/>
    <w:rsid w:val="176ABE44"/>
    <w:rsid w:val="17A0245E"/>
    <w:rsid w:val="17EB9AE6"/>
    <w:rsid w:val="18795FA7"/>
    <w:rsid w:val="18B8E25A"/>
    <w:rsid w:val="18E3846B"/>
    <w:rsid w:val="194D4C5D"/>
    <w:rsid w:val="194FFD9A"/>
    <w:rsid w:val="1988C208"/>
    <w:rsid w:val="199CC346"/>
    <w:rsid w:val="1AD6B22E"/>
    <w:rsid w:val="1AE0E209"/>
    <w:rsid w:val="1B4EEF3E"/>
    <w:rsid w:val="1C023FA0"/>
    <w:rsid w:val="1C16EB5C"/>
    <w:rsid w:val="1C4FC31C"/>
    <w:rsid w:val="1C6990DF"/>
    <w:rsid w:val="1D0EDD05"/>
    <w:rsid w:val="1D34B49D"/>
    <w:rsid w:val="1EBA6492"/>
    <w:rsid w:val="1EE99098"/>
    <w:rsid w:val="1F2F1F1D"/>
    <w:rsid w:val="1F33A1D2"/>
    <w:rsid w:val="1F8807AD"/>
    <w:rsid w:val="20B24424"/>
    <w:rsid w:val="210A904C"/>
    <w:rsid w:val="22A35762"/>
    <w:rsid w:val="22F8D668"/>
    <w:rsid w:val="2340F0A6"/>
    <w:rsid w:val="236AB37C"/>
    <w:rsid w:val="23CFACA4"/>
    <w:rsid w:val="2438FEEE"/>
    <w:rsid w:val="2486EB6D"/>
    <w:rsid w:val="254A5469"/>
    <w:rsid w:val="25DF751D"/>
    <w:rsid w:val="263662BD"/>
    <w:rsid w:val="269BACB8"/>
    <w:rsid w:val="274F1121"/>
    <w:rsid w:val="28234D1D"/>
    <w:rsid w:val="2843BED5"/>
    <w:rsid w:val="28A5AF15"/>
    <w:rsid w:val="2930D97C"/>
    <w:rsid w:val="294685E4"/>
    <w:rsid w:val="2995D311"/>
    <w:rsid w:val="29FA0F62"/>
    <w:rsid w:val="2A05B3E7"/>
    <w:rsid w:val="2A7BD5BB"/>
    <w:rsid w:val="2BD40784"/>
    <w:rsid w:val="2CF88246"/>
    <w:rsid w:val="2D7B1837"/>
    <w:rsid w:val="2EBFE843"/>
    <w:rsid w:val="31C05295"/>
    <w:rsid w:val="32454063"/>
    <w:rsid w:val="32771E5F"/>
    <w:rsid w:val="32A4E0E2"/>
    <w:rsid w:val="3408ED7A"/>
    <w:rsid w:val="346E7883"/>
    <w:rsid w:val="349E513E"/>
    <w:rsid w:val="34D7E640"/>
    <w:rsid w:val="35CE7DA0"/>
    <w:rsid w:val="35D09D2D"/>
    <w:rsid w:val="37684DD7"/>
    <w:rsid w:val="378332C2"/>
    <w:rsid w:val="37A8E330"/>
    <w:rsid w:val="37D69A26"/>
    <w:rsid w:val="37F831EA"/>
    <w:rsid w:val="38BAA9BA"/>
    <w:rsid w:val="38E978D2"/>
    <w:rsid w:val="39108C1E"/>
    <w:rsid w:val="3916799A"/>
    <w:rsid w:val="398E5C6C"/>
    <w:rsid w:val="3A7D6301"/>
    <w:rsid w:val="3AAD65F3"/>
    <w:rsid w:val="3AD35B46"/>
    <w:rsid w:val="3B1B5559"/>
    <w:rsid w:val="3B34A991"/>
    <w:rsid w:val="3B81E235"/>
    <w:rsid w:val="3B8E8EE2"/>
    <w:rsid w:val="3BDA97F5"/>
    <w:rsid w:val="3BEB6A1E"/>
    <w:rsid w:val="3C133A10"/>
    <w:rsid w:val="3C5A100B"/>
    <w:rsid w:val="3CF5DB21"/>
    <w:rsid w:val="3D09F515"/>
    <w:rsid w:val="3D947645"/>
    <w:rsid w:val="3E89041F"/>
    <w:rsid w:val="3EC3233B"/>
    <w:rsid w:val="3F5661ED"/>
    <w:rsid w:val="3F584AF4"/>
    <w:rsid w:val="3FDBCFD4"/>
    <w:rsid w:val="409D02A1"/>
    <w:rsid w:val="40E0C406"/>
    <w:rsid w:val="4183A584"/>
    <w:rsid w:val="42E4D25F"/>
    <w:rsid w:val="42F3D3E1"/>
    <w:rsid w:val="4317AEF4"/>
    <w:rsid w:val="4415AB83"/>
    <w:rsid w:val="45202EAD"/>
    <w:rsid w:val="457812EC"/>
    <w:rsid w:val="460B64CD"/>
    <w:rsid w:val="4631B2C4"/>
    <w:rsid w:val="46B5DDFB"/>
    <w:rsid w:val="46B7B845"/>
    <w:rsid w:val="46FC9F46"/>
    <w:rsid w:val="47073486"/>
    <w:rsid w:val="47978389"/>
    <w:rsid w:val="47AFE92E"/>
    <w:rsid w:val="4870FA3B"/>
    <w:rsid w:val="48ABA888"/>
    <w:rsid w:val="48ECC598"/>
    <w:rsid w:val="490DF9C4"/>
    <w:rsid w:val="49705ABC"/>
    <w:rsid w:val="4A28F0A5"/>
    <w:rsid w:val="4A469B9C"/>
    <w:rsid w:val="4B1B805A"/>
    <w:rsid w:val="4B2B92CC"/>
    <w:rsid w:val="4C3C7BB3"/>
    <w:rsid w:val="4C945198"/>
    <w:rsid w:val="4CBFDB07"/>
    <w:rsid w:val="4CE32D0A"/>
    <w:rsid w:val="4D0BED70"/>
    <w:rsid w:val="4D915782"/>
    <w:rsid w:val="4D97E421"/>
    <w:rsid w:val="4DC25AD5"/>
    <w:rsid w:val="4E2483BF"/>
    <w:rsid w:val="4E4781A2"/>
    <w:rsid w:val="4E92E6CD"/>
    <w:rsid w:val="4FCE2AA4"/>
    <w:rsid w:val="4FE395BD"/>
    <w:rsid w:val="4FEA288A"/>
    <w:rsid w:val="502461C4"/>
    <w:rsid w:val="50FAD88D"/>
    <w:rsid w:val="514AEAFA"/>
    <w:rsid w:val="521B7262"/>
    <w:rsid w:val="5292634F"/>
    <w:rsid w:val="52FFC2CF"/>
    <w:rsid w:val="539524E7"/>
    <w:rsid w:val="53C256AE"/>
    <w:rsid w:val="544F6E1F"/>
    <w:rsid w:val="55E70052"/>
    <w:rsid w:val="56297872"/>
    <w:rsid w:val="566E10BC"/>
    <w:rsid w:val="575F86D8"/>
    <w:rsid w:val="582C2742"/>
    <w:rsid w:val="5991D36F"/>
    <w:rsid w:val="5A344177"/>
    <w:rsid w:val="5A64A86F"/>
    <w:rsid w:val="5B9D0402"/>
    <w:rsid w:val="5C26ED72"/>
    <w:rsid w:val="5C87655F"/>
    <w:rsid w:val="5CE302FE"/>
    <w:rsid w:val="5E3CF6FB"/>
    <w:rsid w:val="5E4A18A3"/>
    <w:rsid w:val="5EF5E51A"/>
    <w:rsid w:val="5F0D4798"/>
    <w:rsid w:val="5F6248FA"/>
    <w:rsid w:val="5FB47FF2"/>
    <w:rsid w:val="600924E9"/>
    <w:rsid w:val="614C656C"/>
    <w:rsid w:val="6154495F"/>
    <w:rsid w:val="62416F4E"/>
    <w:rsid w:val="625EA218"/>
    <w:rsid w:val="62935C72"/>
    <w:rsid w:val="629DD473"/>
    <w:rsid w:val="62FE8815"/>
    <w:rsid w:val="643F6DC9"/>
    <w:rsid w:val="64586781"/>
    <w:rsid w:val="65012C47"/>
    <w:rsid w:val="661DD5CB"/>
    <w:rsid w:val="6627181F"/>
    <w:rsid w:val="6629FC0B"/>
    <w:rsid w:val="666026FB"/>
    <w:rsid w:val="667040D1"/>
    <w:rsid w:val="66EE815A"/>
    <w:rsid w:val="67816C47"/>
    <w:rsid w:val="67FFBA61"/>
    <w:rsid w:val="68801942"/>
    <w:rsid w:val="691ADFC9"/>
    <w:rsid w:val="69435AA8"/>
    <w:rsid w:val="69D7BFA9"/>
    <w:rsid w:val="6B1A23A1"/>
    <w:rsid w:val="6C13DE51"/>
    <w:rsid w:val="6C45B724"/>
    <w:rsid w:val="6C4B2BC4"/>
    <w:rsid w:val="6CE4317B"/>
    <w:rsid w:val="6CE762FA"/>
    <w:rsid w:val="6CF58EC5"/>
    <w:rsid w:val="6D169D26"/>
    <w:rsid w:val="6D616429"/>
    <w:rsid w:val="6D6BD5CA"/>
    <w:rsid w:val="6D7237B8"/>
    <w:rsid w:val="6DC06BB7"/>
    <w:rsid w:val="6DE389FF"/>
    <w:rsid w:val="6E1B2730"/>
    <w:rsid w:val="6E5B82D5"/>
    <w:rsid w:val="6EF3F0B5"/>
    <w:rsid w:val="6F1AE4A9"/>
    <w:rsid w:val="6F638120"/>
    <w:rsid w:val="6F772158"/>
    <w:rsid w:val="6FC24DB8"/>
    <w:rsid w:val="70A2C733"/>
    <w:rsid w:val="70D01787"/>
    <w:rsid w:val="71F646BF"/>
    <w:rsid w:val="72C73578"/>
    <w:rsid w:val="7314CD9A"/>
    <w:rsid w:val="733B6BEF"/>
    <w:rsid w:val="7345E5C9"/>
    <w:rsid w:val="7404743E"/>
    <w:rsid w:val="750C75C8"/>
    <w:rsid w:val="752F4A78"/>
    <w:rsid w:val="759283EB"/>
    <w:rsid w:val="76588DBB"/>
    <w:rsid w:val="7662B2AD"/>
    <w:rsid w:val="769067DB"/>
    <w:rsid w:val="771711FD"/>
    <w:rsid w:val="7778E500"/>
    <w:rsid w:val="77A84D02"/>
    <w:rsid w:val="77DFD98C"/>
    <w:rsid w:val="78146343"/>
    <w:rsid w:val="783540B9"/>
    <w:rsid w:val="786BC443"/>
    <w:rsid w:val="78DD1532"/>
    <w:rsid w:val="79032368"/>
    <w:rsid w:val="7A58056A"/>
    <w:rsid w:val="7B7E8F77"/>
    <w:rsid w:val="7C4C10E9"/>
    <w:rsid w:val="7D58820C"/>
    <w:rsid w:val="7D94ABD1"/>
    <w:rsid w:val="7EB6E8EF"/>
    <w:rsid w:val="7EFC6FA5"/>
    <w:rsid w:val="7F270639"/>
    <w:rsid w:val="7F8420BA"/>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61121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uiPriority="1"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3"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7C6820"/>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613C38"/>
    <w:pPr>
      <w:keepNext/>
      <w:spacing w:before="60" w:after="60" w:line="280" w:lineRule="atLeast"/>
      <w:outlineLvl w:val="2"/>
    </w:pPr>
    <w:rPr>
      <w:rFonts w:cs="Arial"/>
      <w:b/>
      <w:bCs/>
      <w:sz w:val="22"/>
      <w:szCs w:val="26"/>
    </w:rPr>
  </w:style>
  <w:style w:type="paragraph" w:styleId="Heading4">
    <w:name w:val="heading 4"/>
    <w:basedOn w:val="BodySubHeader"/>
    <w:next w:val="Normal"/>
    <w:uiPriority w:val="2"/>
    <w:qFormat/>
    <w:rsid w:val="00613C38"/>
    <w:pPr>
      <w:spacing w:line="280" w:lineRule="atLeast"/>
      <w:outlineLvl w:val="3"/>
    </w:pPr>
    <w:rPr>
      <w:rFonts w:cs="Arial"/>
      <w:sz w:val="22"/>
    </w:rPr>
  </w:style>
  <w:style w:type="paragraph" w:styleId="Heading5">
    <w:name w:val="heading 5"/>
    <w:basedOn w:val="Normal"/>
    <w:next w:val="Normal"/>
    <w:semiHidden/>
    <w:qFormat/>
    <w:rsid w:val="00AD5436"/>
    <w:pPr>
      <w:numPr>
        <w:ilvl w:val="4"/>
        <w:numId w:val="11"/>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11"/>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11"/>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11"/>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1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15"/>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basedOn w:val="Normal"/>
    <w:semiHidden/>
    <w:qFormat/>
    <w:rsid w:val="001C6AEE"/>
    <w:pPr>
      <w:numPr>
        <w:numId w:val="7"/>
      </w:numPr>
      <w:spacing w:after="80"/>
    </w:pPr>
  </w:style>
  <w:style w:type="paragraph" w:styleId="ListBullet2">
    <w:name w:val="List Bullet 2"/>
    <w:basedOn w:val="Normal"/>
    <w:semiHidden/>
    <w:qFormat/>
    <w:rsid w:val="001C6AEE"/>
    <w:pPr>
      <w:numPr>
        <w:numId w:val="8"/>
      </w:numPr>
      <w:spacing w:after="80"/>
    </w:pPr>
  </w:style>
  <w:style w:type="paragraph" w:styleId="ListNumber">
    <w:name w:val="List Number"/>
    <w:basedOn w:val="Normal"/>
    <w:qFormat/>
    <w:rsid w:val="007C6820"/>
    <w:pPr>
      <w:numPr>
        <w:numId w:val="9"/>
      </w:numPr>
      <w:spacing w:after="80" w:line="260" w:lineRule="atLeast"/>
      <w:ind w:left="284" w:hanging="284"/>
    </w:pPr>
    <w:rPr>
      <w:sz w:val="22"/>
    </w:rPr>
  </w:style>
  <w:style w:type="paragraph" w:styleId="ListNumber2">
    <w:name w:val="List Number 2"/>
    <w:basedOn w:val="Normal"/>
    <w:semiHidden/>
    <w:qFormat/>
    <w:rsid w:val="004A70D6"/>
    <w:pPr>
      <w:numPr>
        <w:numId w:val="10"/>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E66601"/>
    <w:pPr>
      <w:pageBreakBefore/>
      <w:spacing w:after="36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D60571"/>
    <w:pPr>
      <w:tabs>
        <w:tab w:val="right" w:pos="9072"/>
      </w:tabs>
      <w:spacing w:before="280" w:after="80" w:line="320" w:lineRule="exact"/>
    </w:pPr>
    <w:rPr>
      <w:b/>
      <w:noProof/>
      <w:spacing w:val="-14"/>
      <w:sz w:val="28"/>
    </w:rPr>
  </w:style>
  <w:style w:type="paragraph" w:styleId="TOC2">
    <w:name w:val="toc 2"/>
    <w:basedOn w:val="Normal"/>
    <w:next w:val="Normal"/>
    <w:uiPriority w:val="39"/>
    <w:qFormat/>
    <w:rsid w:val="00D60571"/>
    <w:pPr>
      <w:tabs>
        <w:tab w:val="right" w:pos="9072"/>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D60571"/>
    <w:pPr>
      <w:tabs>
        <w:tab w:val="right" w:pos="9072"/>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basedOn w:val="DefaultParagraphFont"/>
    <w:semiHidden/>
    <w:rsid w:val="00566AB4"/>
    <w:rPr>
      <w:rFonts w:ascii="Arial" w:hAnsi="Arial"/>
      <w:vertAlign w:val="superscript"/>
    </w:rPr>
  </w:style>
  <w:style w:type="paragraph" w:styleId="FootnoteText">
    <w:name w:val="footnote text"/>
    <w:aliases w:val="Footnote text"/>
    <w:basedOn w:val="Normal"/>
    <w:uiPriority w:val="23"/>
    <w:rsid w:val="00A17B1B"/>
    <w:pPr>
      <w:spacing w:after="0" w:line="200" w:lineRule="atLeast"/>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613C38"/>
    <w:pPr>
      <w:numPr>
        <w:numId w:val="19"/>
      </w:numPr>
      <w:spacing w:line="280" w:lineRule="atLeast"/>
      <w:ind w:left="284" w:hanging="284"/>
    </w:pPr>
    <w:rPr>
      <w:rFonts w:cs="Arial"/>
      <w:sz w:val="22"/>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semiHidden/>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13"/>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613C38"/>
    <w:pPr>
      <w:spacing w:line="280" w:lineRule="atLeast"/>
    </w:pPr>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12"/>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14"/>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CE0BB5"/>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613C38"/>
    <w:rPr>
      <w:rFonts w:ascii="Arial" w:hAnsi="Arial" w:cs="Arial"/>
      <w:b/>
      <w:bCs/>
      <w:sz w:val="22"/>
      <w:szCs w:val="26"/>
    </w:rPr>
  </w:style>
  <w:style w:type="paragraph" w:customStyle="1" w:styleId="Paragraph">
    <w:name w:val="Paragraph"/>
    <w:basedOn w:val="Normal"/>
    <w:qFormat/>
    <w:rsid w:val="00613C38"/>
    <w:pPr>
      <w:spacing w:line="280" w:lineRule="atLeast"/>
    </w:pPr>
    <w:rPr>
      <w:rFonts w:cs="Arial"/>
      <w:sz w:val="22"/>
    </w:rPr>
  </w:style>
  <w:style w:type="paragraph" w:customStyle="1" w:styleId="Bulletlevel2">
    <w:name w:val="Bullet level 2"/>
    <w:basedOn w:val="ListBullet2"/>
    <w:uiPriority w:val="7"/>
    <w:qFormat/>
    <w:rsid w:val="00613C38"/>
    <w:pPr>
      <w:numPr>
        <w:numId w:val="21"/>
      </w:numPr>
      <w:tabs>
        <w:tab w:val="left" w:pos="295"/>
      </w:tabs>
      <w:spacing w:line="280" w:lineRule="atLeast"/>
      <w:ind w:left="568" w:hanging="284"/>
    </w:pPr>
    <w:rPr>
      <w:rFonts w:cs="Arial"/>
      <w:sz w:val="22"/>
    </w:rPr>
  </w:style>
  <w:style w:type="paragraph" w:customStyle="1" w:styleId="Bulletlevel1last">
    <w:name w:val="Bullet level 1 last"/>
    <w:basedOn w:val="ListBulletLast"/>
    <w:uiPriority w:val="6"/>
    <w:qFormat/>
    <w:rsid w:val="00613C38"/>
    <w:pPr>
      <w:numPr>
        <w:numId w:val="20"/>
      </w:numPr>
      <w:spacing w:line="280" w:lineRule="atLeast"/>
      <w:ind w:left="284" w:hanging="284"/>
    </w:pPr>
    <w:rPr>
      <w:sz w:val="22"/>
    </w:rPr>
  </w:style>
  <w:style w:type="paragraph" w:customStyle="1" w:styleId="Numberlistlevel2">
    <w:name w:val="Number list level 2"/>
    <w:basedOn w:val="ListNumber2"/>
    <w:uiPriority w:val="11"/>
    <w:qFormat/>
    <w:rsid w:val="00613C38"/>
    <w:pPr>
      <w:spacing w:line="280" w:lineRule="atLeast"/>
      <w:ind w:left="738" w:hanging="284"/>
    </w:pPr>
    <w:rPr>
      <w:sz w:val="22"/>
    </w:rPr>
  </w:style>
  <w:style w:type="paragraph" w:customStyle="1" w:styleId="Numberlistlast">
    <w:name w:val="Number list last"/>
    <w:basedOn w:val="ListNumberLast"/>
    <w:uiPriority w:val="10"/>
    <w:qFormat/>
    <w:rsid w:val="00613C38"/>
    <w:pPr>
      <w:spacing w:line="280" w:lineRule="atLeast"/>
      <w:ind w:left="284" w:hanging="284"/>
    </w:pPr>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5A62E5"/>
    <w:pPr>
      <w:numPr>
        <w:numId w:val="22"/>
      </w:numPr>
      <w:spacing w:after="240"/>
      <w:ind w:left="568" w:hanging="284"/>
    </w:pPr>
  </w:style>
  <w:style w:type="table" w:customStyle="1" w:styleId="ACMAtablestyle">
    <w:name w:val="ACMA table style"/>
    <w:basedOn w:val="TableNormal"/>
    <w:uiPriority w:val="99"/>
    <w:rsid w:val="00F04366"/>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uiPriority w:val="13"/>
    <w:qFormat/>
    <w:rsid w:val="00613C38"/>
    <w:pPr>
      <w:keepNext/>
      <w:spacing w:line="280" w:lineRule="atLeast"/>
    </w:pPr>
    <w:rPr>
      <w:sz w:val="22"/>
    </w:r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13C38"/>
    <w:pPr>
      <w:keepNext/>
      <w:spacing w:line="280" w:lineRule="atLeast"/>
    </w:pPr>
    <w:rPr>
      <w:sz w:val="22"/>
    </w:r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unhideWhenUsed/>
    <w:rsid w:val="00451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511C5"/>
    <w:rPr>
      <w:rFonts w:ascii="Segoe UI" w:hAnsi="Segoe UI" w:cs="Segoe UI"/>
      <w:sz w:val="18"/>
      <w:szCs w:val="18"/>
    </w:rPr>
  </w:style>
  <w:style w:type="paragraph" w:styleId="Revision">
    <w:name w:val="Revision"/>
    <w:hidden/>
    <w:semiHidden/>
    <w:rsid w:val="004511C5"/>
    <w:rPr>
      <w:rFonts w:ascii="Arial" w:hAnsi="Arial"/>
      <w:sz w:val="20"/>
    </w:rPr>
  </w:style>
  <w:style w:type="paragraph" w:customStyle="1" w:styleId="Executivesummarysubheading">
    <w:name w:val="Executive summary subheading"/>
    <w:basedOn w:val="Heading4"/>
    <w:uiPriority w:val="3"/>
    <w:qFormat/>
    <w:rsid w:val="00613C38"/>
    <w:pPr>
      <w:spacing w:after="80"/>
    </w:pPr>
  </w:style>
  <w:style w:type="character" w:customStyle="1" w:styleId="normaltextrun">
    <w:name w:val="normaltextrun"/>
    <w:basedOn w:val="DefaultParagraphFont"/>
    <w:rsid w:val="005E1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741295">
      <w:bodyDiv w:val="1"/>
      <w:marLeft w:val="0"/>
      <w:marRight w:val="0"/>
      <w:marTop w:val="0"/>
      <w:marBottom w:val="0"/>
      <w:divBdr>
        <w:top w:val="none" w:sz="0" w:space="0" w:color="auto"/>
        <w:left w:val="none" w:sz="0" w:space="0" w:color="auto"/>
        <w:bottom w:val="none" w:sz="0" w:space="0" w:color="auto"/>
        <w:right w:val="none" w:sz="0" w:space="0" w:color="auto"/>
      </w:divBdr>
      <w:divsChild>
        <w:div w:id="231278366">
          <w:marLeft w:val="0"/>
          <w:marRight w:val="0"/>
          <w:marTop w:val="0"/>
          <w:marBottom w:val="0"/>
          <w:divBdr>
            <w:top w:val="none" w:sz="0" w:space="0" w:color="auto"/>
            <w:left w:val="none" w:sz="0" w:space="0" w:color="auto"/>
            <w:bottom w:val="none" w:sz="0" w:space="0" w:color="auto"/>
            <w:right w:val="none" w:sz="0" w:space="0" w:color="auto"/>
          </w:divBdr>
        </w:div>
        <w:div w:id="341780250">
          <w:marLeft w:val="0"/>
          <w:marRight w:val="0"/>
          <w:marTop w:val="0"/>
          <w:marBottom w:val="0"/>
          <w:divBdr>
            <w:top w:val="none" w:sz="0" w:space="0" w:color="auto"/>
            <w:left w:val="none" w:sz="0" w:space="0" w:color="auto"/>
            <w:bottom w:val="none" w:sz="0" w:space="0" w:color="auto"/>
            <w:right w:val="none" w:sz="0" w:space="0" w:color="auto"/>
          </w:divBdr>
        </w:div>
        <w:div w:id="1298296073">
          <w:marLeft w:val="0"/>
          <w:marRight w:val="0"/>
          <w:marTop w:val="0"/>
          <w:marBottom w:val="0"/>
          <w:divBdr>
            <w:top w:val="none" w:sz="0" w:space="0" w:color="auto"/>
            <w:left w:val="none" w:sz="0" w:space="0" w:color="auto"/>
            <w:bottom w:val="none" w:sz="0" w:space="0" w:color="auto"/>
            <w:right w:val="none" w:sz="0" w:space="0" w:color="auto"/>
          </w:divBdr>
        </w:div>
      </w:divsChild>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creativecommons.org/l/by/3.0/88x31.png" TargetMode="External"/><Relationship Id="rId18" Type="http://schemas.openxmlformats.org/officeDocument/2006/relationships/footer" Target="footer3.xml"/><Relationship Id="rId26" Type="http://schemas.openxmlformats.org/officeDocument/2006/relationships/hyperlink" Target="https://www.acma.gov.au/compliance-priorities" TargetMode="External"/><Relationship Id="rId39" Type="http://schemas.openxmlformats.org/officeDocument/2006/relationships/hyperlink" Target="https://www.legislation.gov.au/Details/C2017C00201" TargetMode="External"/><Relationship Id="rId21" Type="http://schemas.openxmlformats.org/officeDocument/2006/relationships/header" Target="header7.xml"/><Relationship Id="rId34" Type="http://schemas.openxmlformats.org/officeDocument/2006/relationships/hyperlink" Target="https://www.legislation.gov.au/C2004A04465/latest/text" TargetMode="External"/><Relationship Id="rId42" Type="http://schemas.openxmlformats.org/officeDocument/2006/relationships/image" Target="media/image12.PNG"/><Relationship Id="rId47" Type="http://schemas.openxmlformats.org/officeDocument/2006/relationships/header" Target="header8.xml"/><Relationship Id="rId50"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diagramQuickStyle" Target="diagrams/quickStyle1.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chart" Target="charts/chart1.xml"/><Relationship Id="rId37" Type="http://schemas.openxmlformats.org/officeDocument/2006/relationships/hyperlink" Target="https://www.acma.gov.au/licence-area-plans-laps" TargetMode="External"/><Relationship Id="rId40" Type="http://schemas.openxmlformats.org/officeDocument/2006/relationships/hyperlink" Target="https://www.acma.gov.au/compliance-and-enforcement-policy" TargetMode="External"/><Relationship Id="rId45" Type="http://schemas.openxmlformats.org/officeDocument/2006/relationships/hyperlink" Target="https://view.officeapps.live.com/op/view.aspx?src=https%3A%2F%2Fwww.acma.gov.au%2Fsites%2Fdefault%2Ffiles%2F2019-10%2FPlanning%2520Model%2520for%2520Low%2520Power%2520Open%2520Narrowcasting%2520LPON%2520Services_1.docx&amp;wdOrigin=BROWSELINK" TargetMode="Externa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23" Type="http://schemas.openxmlformats.org/officeDocument/2006/relationships/footer" Target="footer6.xml"/><Relationship Id="rId28" Type="http://schemas.openxmlformats.org/officeDocument/2006/relationships/diagramLayout" Target="diagrams/layout1.xml"/><Relationship Id="rId36" Type="http://schemas.openxmlformats.org/officeDocument/2006/relationships/hyperlink" Target="https://www.legislation.gov.au/F2015L01489/latest/text" TargetMode="External"/><Relationship Id="rId49"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4.xml"/><Relationship Id="rId31" Type="http://schemas.microsoft.com/office/2007/relationships/diagramDrawing" Target="diagrams/drawing1.xml"/><Relationship Id="rId44" Type="http://schemas.openxmlformats.org/officeDocument/2006/relationships/chart" Target="charts/chart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www.legislation.gov.au/C2004A04465/latest/text" TargetMode="External"/><Relationship Id="rId43" Type="http://schemas.openxmlformats.org/officeDocument/2006/relationships/image" Target="media/image13.png"/><Relationship Id="rId48" Type="http://schemas.openxmlformats.org/officeDocument/2006/relationships/header" Target="header9.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legislation.gov.au/C2004A04465/latest/text" TargetMode="External"/><Relationship Id="rId33" Type="http://schemas.openxmlformats.org/officeDocument/2006/relationships/hyperlink" Target="https://www.legislation.gov.au/C2004A04401/latest/text" TargetMode="External"/><Relationship Id="rId38" Type="http://schemas.openxmlformats.org/officeDocument/2006/relationships/hyperlink" Target="https://view.officeapps.live.com/op/view.aspx?src=https%3A%2F%2Fwww.acma.gov.au%2Fsites%2Fdefault%2Ffiles%2F2019-10%2FPlanning%2520Model%2520for%2520Low%2520Power%2520Open%2520Narrowcasting%2520LPON%2520Services_1.docx&amp;wdOrigin=BROWSELINK" TargetMode="External"/><Relationship Id="rId46" Type="http://schemas.openxmlformats.org/officeDocument/2006/relationships/hyperlink" Target="https://acmagovau.sharepoint.com/:w:/r/sites/MonitoringComplianceSection/Shared%20Documents/ACMA%20compliance%20priorities/2023-24/LPON%20audit/outcome%20report/LPON%20conditions%20guide.docx?d=wa1a48e5869fa450ba4eee0458d3a9cfc&amp;csf=1&amp;web=1&amp;e=nWf4NV" TargetMode="External"/><Relationship Id="rId20" Type="http://schemas.openxmlformats.org/officeDocument/2006/relationships/header" Target="header6.xml"/><Relationship Id="rId41" Type="http://schemas.openxmlformats.org/officeDocument/2006/relationships/hyperlink" Target="https://web.acma.gov.au/rrl/register_search.main_pag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ustlii.edu.au/cgi-bin/viewdoc/au/cases/cth/AATA/2020/2102.html?context=1;query=W%20&amp;%20A%20Willmington%20Pty%20Ltd%20;mask_path=au/cases/cth/AATA" TargetMode="External"/><Relationship Id="rId2" Type="http://schemas.openxmlformats.org/officeDocument/2006/relationships/hyperlink" Target="http://www.austlii.edu.au/cgi-bin/viewdoc/au/cases/cth/AATA/2020/2102.html?context=1;query=W%20&amp;%20A%20Willmington%20Pty%20Ltd%20;mask_path=au/cases/cth/AATA" TargetMode="External"/><Relationship Id="rId1" Type="http://schemas.openxmlformats.org/officeDocument/2006/relationships/hyperlink" Target="https://www.legislation.gov.au/C2004A04401/latest/text" TargetMode="External"/><Relationship Id="rId4" Type="http://schemas.openxmlformats.org/officeDocument/2006/relationships/hyperlink" Target="https://www.judgments.fedcourt.gov.au/judgments/Judgments/fca/single/2024/2024fca047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Jones1\OneDrive%20-%20Australian%20Communications%20and%20Media%20Authority\Downloads\FINAL%20LPON%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Non-compliance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B9-494B-BF83-198DCDDCC9B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DB9-494B-BF83-198DCDDCC9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B9-494B-BF83-198DCDDCC9BD}"/>
              </c:ext>
            </c:extLst>
          </c:dPt>
          <c:dPt>
            <c:idx val="3"/>
            <c:bubble3D val="0"/>
            <c:spPr>
              <a:solidFill>
                <a:schemeClr val="accent5"/>
              </a:solidFill>
              <a:ln w="19050">
                <a:solidFill>
                  <a:schemeClr val="lt1"/>
                </a:solidFill>
              </a:ln>
              <a:effectLst/>
            </c:spPr>
            <c:extLst>
              <c:ext xmlns:c16="http://schemas.microsoft.com/office/drawing/2014/chart" uri="{C3380CC4-5D6E-409C-BE32-E72D297353CC}">
                <c16:uniqueId val="{00000007-EDB9-494B-BF83-198DCDDCC9BD}"/>
              </c:ext>
            </c:extLst>
          </c:dPt>
          <c:dPt>
            <c:idx val="4"/>
            <c:bubble3D val="0"/>
            <c:spPr>
              <a:solidFill>
                <a:schemeClr val="accent2"/>
              </a:solidFill>
              <a:ln w="19050">
                <a:solidFill>
                  <a:schemeClr val="lt1"/>
                </a:solidFill>
              </a:ln>
              <a:effectLst/>
            </c:spPr>
            <c:extLst>
              <c:ext xmlns:c16="http://schemas.microsoft.com/office/drawing/2014/chart" uri="{C3380CC4-5D6E-409C-BE32-E72D297353CC}">
                <c16:uniqueId val="{00000009-EDB9-494B-BF83-198DCDDCC9BD}"/>
              </c:ext>
            </c:extLst>
          </c:dPt>
          <c:dLbls>
            <c:dLbl>
              <c:idx val="0"/>
              <c:layout>
                <c:manualLayout>
                  <c:x val="6.1998507519371972E-5"/>
                  <c:y val="1.97253332160295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B9-494B-BF83-198DCDDCC9BD}"/>
                </c:ext>
              </c:extLst>
            </c:dLbl>
            <c:dLbl>
              <c:idx val="1"/>
              <c:layout>
                <c:manualLayout>
                  <c:x val="0.12306744801209578"/>
                  <c:y val="-4.646073989354682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B9-494B-BF83-198DCDDCC9BD}"/>
                </c:ext>
              </c:extLst>
            </c:dLbl>
            <c:dLbl>
              <c:idx val="2"/>
              <c:layout>
                <c:manualLayout>
                  <c:x val="9.4270578320846139E-3"/>
                  <c:y val="-3.834179386794527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B9-494B-BF83-198DCDDCC9BD}"/>
                </c:ext>
              </c:extLst>
            </c:dLbl>
            <c:dLbl>
              <c:idx val="4"/>
              <c:layout>
                <c:manualLayout>
                  <c:x val="2.1625777419199167E-2"/>
                  <c:y val="-1.949377556855672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B9-494B-BF83-198DCDDCC9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Sheet1!$A$2:$A$6</c:f>
              <c:strCache>
                <c:ptCount val="5"/>
                <c:pt idx="0">
                  <c:v>UIOLI</c:v>
                </c:pt>
                <c:pt idx="1">
                  <c:v>Recordkeeping</c:v>
                </c:pt>
                <c:pt idx="2">
                  <c:v>Failure to respond</c:v>
                </c:pt>
                <c:pt idx="3">
                  <c:v>Overpowered</c:v>
                </c:pt>
                <c:pt idx="4">
                  <c:v>Other</c:v>
                </c:pt>
              </c:strCache>
            </c:strRef>
          </c:cat>
          <c:val>
            <c:numRef>
              <c:f>Sheet1!$B$2:$B$6</c:f>
              <c:numCache>
                <c:formatCode>0%</c:formatCode>
                <c:ptCount val="5"/>
                <c:pt idx="0">
                  <c:v>0.34</c:v>
                </c:pt>
                <c:pt idx="1">
                  <c:v>0.28000000000000003</c:v>
                </c:pt>
                <c:pt idx="2">
                  <c:v>0.18</c:v>
                </c:pt>
                <c:pt idx="3">
                  <c:v>0.13</c:v>
                </c:pt>
                <c:pt idx="4">
                  <c:v>7.0000000000000007E-2</c:v>
                </c:pt>
              </c:numCache>
            </c:numRef>
          </c:val>
          <c:extLst>
            <c:ext xmlns:c16="http://schemas.microsoft.com/office/drawing/2014/chart" uri="{C3380CC4-5D6E-409C-BE32-E72D297353CC}">
              <c16:uniqueId val="{0000000A-EDB9-494B-BF83-198DCDDCC9BD}"/>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Distribution of Measured power levels</c:v>
          </c:tx>
          <c:spPr>
            <a:ln w="19050" cap="rnd">
              <a:solidFill>
                <a:schemeClr val="accent4"/>
              </a:solidFill>
              <a:round/>
            </a:ln>
            <a:effectLst/>
          </c:spPr>
          <c:marker>
            <c:symbol val="none"/>
          </c:marker>
          <c:xVal>
            <c:numRef>
              <c:f>FieldAuditSummary!$E$2:$E$34</c:f>
              <c:numCache>
                <c:formatCode>General</c:formatCode>
                <c:ptCount val="33"/>
                <c:pt idx="0">
                  <c:v>7.5305427537326719E-2</c:v>
                </c:pt>
                <c:pt idx="1">
                  <c:v>0.11171308791468391</c:v>
                </c:pt>
                <c:pt idx="2">
                  <c:v>0.20511288585939177</c:v>
                </c:pt>
                <c:pt idx="3">
                  <c:v>0.32508201648460322</c:v>
                </c:pt>
                <c:pt idx="4">
                  <c:v>0.33157080105752529</c:v>
                </c:pt>
                <c:pt idx="5">
                  <c:v>0.40116799555848798</c:v>
                </c:pt>
                <c:pt idx="6">
                  <c:v>0.56111063544587059</c:v>
                </c:pt>
                <c:pt idx="7">
                  <c:v>0.77089094607505759</c:v>
                </c:pt>
                <c:pt idx="8">
                  <c:v>0.88363055117689537</c:v>
                </c:pt>
                <c:pt idx="9">
                  <c:v>0.90745746687542772</c:v>
                </c:pt>
                <c:pt idx="10">
                  <c:v>1.2486803530825608</c:v>
                </c:pt>
                <c:pt idx="11">
                  <c:v>1.2877343439825057</c:v>
                </c:pt>
                <c:pt idx="12">
                  <c:v>1.397417824512224</c:v>
                </c:pt>
                <c:pt idx="13">
                  <c:v>1.5326302373252596</c:v>
                </c:pt>
                <c:pt idx="14">
                  <c:v>1.5341994899206164</c:v>
                </c:pt>
                <c:pt idx="15">
                  <c:v>1.6292695654389384</c:v>
                </c:pt>
                <c:pt idx="16">
                  <c:v>1.7175508829304105</c:v>
                </c:pt>
                <c:pt idx="17">
                  <c:v>1.8898937531985456</c:v>
                </c:pt>
                <c:pt idx="18">
                  <c:v>1.9750417408955667</c:v>
                </c:pt>
                <c:pt idx="19">
                  <c:v>2.178629708509515</c:v>
                </c:pt>
                <c:pt idx="20">
                  <c:v>2.2663463380232733</c:v>
                </c:pt>
                <c:pt idx="21">
                  <c:v>2.5093055722658195</c:v>
                </c:pt>
                <c:pt idx="22">
                  <c:v>2.6525257708404006</c:v>
                </c:pt>
                <c:pt idx="23">
                  <c:v>3.132032634056289</c:v>
                </c:pt>
                <c:pt idx="24">
                  <c:v>3.4744161415609001</c:v>
                </c:pt>
                <c:pt idx="25">
                  <c:v>3.7420023553019144</c:v>
                </c:pt>
                <c:pt idx="26">
                  <c:v>3.8242695940530571</c:v>
                </c:pt>
                <c:pt idx="27">
                  <c:v>4.0045018673759794</c:v>
                </c:pt>
                <c:pt idx="28">
                  <c:v>5.2520188787107926</c:v>
                </c:pt>
                <c:pt idx="29">
                  <c:v>5.6183914307798482</c:v>
                </c:pt>
                <c:pt idx="30">
                  <c:v>10.482775343345233</c:v>
                </c:pt>
                <c:pt idx="31">
                  <c:v>18.210684845214157</c:v>
                </c:pt>
                <c:pt idx="32">
                  <c:v>24.849993445514738</c:v>
                </c:pt>
              </c:numCache>
            </c:numRef>
          </c:xVal>
          <c:yVal>
            <c:numRef>
              <c:f>FieldAuditSummary!$F$2:$F$34</c:f>
              <c:numCache>
                <c:formatCode>General</c:formatCode>
                <c:ptCount val="33"/>
                <c:pt idx="0">
                  <c:v>2.5297880503629728E-4</c:v>
                </c:pt>
                <c:pt idx="1">
                  <c:v>2.541361944955757E-4</c:v>
                </c:pt>
                <c:pt idx="2">
                  <c:v>2.505875523495213E-4</c:v>
                </c:pt>
                <c:pt idx="3">
                  <c:v>2.6075979467212666E-4</c:v>
                </c:pt>
                <c:pt idx="4">
                  <c:v>2.6095677018497592E-4</c:v>
                </c:pt>
                <c:pt idx="5">
                  <c:v>2.630521552594964E-4</c:v>
                </c:pt>
                <c:pt idx="6">
                  <c:v>2.6774305580967993E-4</c:v>
                </c:pt>
                <c:pt idx="7">
                  <c:v>2.7361549004722253E-4</c:v>
                </c:pt>
                <c:pt idx="8">
                  <c:v>2.7663155353499182E-4</c:v>
                </c:pt>
                <c:pt idx="9">
                  <c:v>2.7725592815769704E-4</c:v>
                </c:pt>
                <c:pt idx="10">
                  <c:v>2.8567063793623657E-4</c:v>
                </c:pt>
                <c:pt idx="11">
                  <c:v>2.865682615056366E-4</c:v>
                </c:pt>
                <c:pt idx="12">
                  <c:v>2.8901394493588509E-4</c:v>
                </c:pt>
                <c:pt idx="13">
                  <c:v>2.9187224897079151E-4</c:v>
                </c:pt>
                <c:pt idx="14">
                  <c:v>2.9190438608800033E-4</c:v>
                </c:pt>
                <c:pt idx="15">
                  <c:v>2.938062070056429E-4</c:v>
                </c:pt>
                <c:pt idx="16">
                  <c:v>2.9549159945189816E-4</c:v>
                </c:pt>
                <c:pt idx="17">
                  <c:v>2.9855251818035393E-4</c:v>
                </c:pt>
                <c:pt idx="18">
                  <c:v>2.9995036945893865E-4</c:v>
                </c:pt>
                <c:pt idx="19">
                  <c:v>3.0297754952646547E-4</c:v>
                </c:pt>
                <c:pt idx="20">
                  <c:v>3.0414218295377775E-4</c:v>
                </c:pt>
                <c:pt idx="21">
                  <c:v>3.0691830737390453E-4</c:v>
                </c:pt>
                <c:pt idx="22">
                  <c:v>3.082396044451675E-4</c:v>
                </c:pt>
                <c:pt idx="23">
                  <c:v>3.1091977902280248E-4</c:v>
                </c:pt>
                <c:pt idx="24">
                  <c:v>3.1116441873154505E-4</c:v>
                </c:pt>
                <c:pt idx="25">
                  <c:v>3.1038292726374647E-4</c:v>
                </c:pt>
                <c:pt idx="26">
                  <c:v>3.0997196310782421E-4</c:v>
                </c:pt>
                <c:pt idx="27">
                  <c:v>3.0879329113420856E-4</c:v>
                </c:pt>
                <c:pt idx="28">
                  <c:v>2.9065956655652194E-4</c:v>
                </c:pt>
                <c:pt idx="29">
                  <c:v>2.8232044613736313E-4</c:v>
                </c:pt>
                <c:pt idx="30">
                  <c:v>1.1776692005427118E-4</c:v>
                </c:pt>
                <c:pt idx="31">
                  <c:v>4.5445975111730603E-6</c:v>
                </c:pt>
                <c:pt idx="32">
                  <c:v>4.4547642839459806E-8</c:v>
                </c:pt>
              </c:numCache>
            </c:numRef>
          </c:yVal>
          <c:smooth val="1"/>
          <c:extLst>
            <c:ext xmlns:c16="http://schemas.microsoft.com/office/drawing/2014/chart" uri="{C3380CC4-5D6E-409C-BE32-E72D297353CC}">
              <c16:uniqueId val="{00000000-CCEA-4C24-BF95-7B79091B20F6}"/>
            </c:ext>
          </c:extLst>
        </c:ser>
        <c:ser>
          <c:idx val="1"/>
          <c:order val="1"/>
          <c:tx>
            <c:v>48 dBuV/m2</c:v>
          </c:tx>
          <c:spPr>
            <a:ln w="19050" cap="rnd">
              <a:solidFill>
                <a:schemeClr val="accent2"/>
              </a:solidFill>
              <a:round/>
            </a:ln>
            <a:effectLst/>
          </c:spPr>
          <c:marker>
            <c:symbol val="none"/>
          </c:marker>
          <c:xVal>
            <c:numLit>
              <c:formatCode>General</c:formatCode>
              <c:ptCount val="2"/>
              <c:pt idx="0">
                <c:v>1</c:v>
              </c:pt>
              <c:pt idx="1">
                <c:v>1</c:v>
              </c:pt>
            </c:numLit>
          </c:xVal>
          <c:yVal>
            <c:numLit>
              <c:formatCode>General</c:formatCode>
              <c:ptCount val="2"/>
              <c:pt idx="0">
                <c:v>0</c:v>
              </c:pt>
              <c:pt idx="1">
                <c:v>4.4999999999999999E-4</c:v>
              </c:pt>
            </c:numLit>
          </c:yVal>
          <c:smooth val="1"/>
          <c:extLst>
            <c:ext xmlns:c16="http://schemas.microsoft.com/office/drawing/2014/chart" uri="{C3380CC4-5D6E-409C-BE32-E72D297353CC}">
              <c16:uniqueId val="{00000001-CCEA-4C24-BF95-7B79091B20F6}"/>
            </c:ext>
          </c:extLst>
        </c:ser>
        <c:dLbls>
          <c:showLegendKey val="0"/>
          <c:showVal val="0"/>
          <c:showCatName val="0"/>
          <c:showSerName val="0"/>
          <c:showPercent val="0"/>
          <c:showBubbleSize val="0"/>
        </c:dLbls>
        <c:axId val="5639200"/>
        <c:axId val="1649411647"/>
      </c:scatterChart>
      <c:valAx>
        <c:axId val="5639200"/>
        <c:scaling>
          <c:orientation val="minMax"/>
          <c:max val="25"/>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49411647"/>
        <c:crosses val="autoZero"/>
        <c:crossBetween val="midCat"/>
      </c:valAx>
      <c:valAx>
        <c:axId val="164941164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3920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s>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33B04A-DDA2-4D04-B88D-D17DD5A468B6}" type="doc">
      <dgm:prSet loTypeId="urn:microsoft.com/office/officeart/2005/8/layout/hList7" loCatId="picture" qsTypeId="urn:microsoft.com/office/officeart/2005/8/quickstyle/simple1" qsCatId="simple" csTypeId="urn:microsoft.com/office/officeart/2005/8/colors/accent5_4" csCatId="accent5" phldr="1"/>
      <dgm:spPr/>
    </dgm:pt>
    <dgm:pt modelId="{A7680D2B-2573-4BFD-8331-88BA926CDD12}">
      <dgm:prSet phldrT="[Text]"/>
      <dgm:spPr>
        <a:solidFill>
          <a:srgbClr val="00A0A4"/>
        </a:solidFill>
      </dgm:spPr>
      <dgm:t>
        <a:bodyPr/>
        <a:lstStyle/>
        <a:p>
          <a:r>
            <a:rPr lang="en-AU" b="1">
              <a:latin typeface="Arial" panose="020B0604020202020204" pitchFamily="34" charset="0"/>
              <a:cs typeface="Arial" panose="020B0604020202020204" pitchFamily="34" charset="0"/>
            </a:rPr>
            <a:t>Desktop audit program</a:t>
          </a:r>
        </a:p>
      </dgm:t>
    </dgm:pt>
    <dgm:pt modelId="{E265CD78-6B2F-41BC-9F60-495CAF9C6A08}" type="parTrans" cxnId="{4E906B85-3108-4A7B-8B68-F0936AF8A8E4}">
      <dgm:prSet/>
      <dgm:spPr/>
      <dgm:t>
        <a:bodyPr/>
        <a:lstStyle/>
        <a:p>
          <a:endParaRPr lang="en-AU"/>
        </a:p>
      </dgm:t>
    </dgm:pt>
    <dgm:pt modelId="{A5BE3C37-217D-4988-8C8A-BBDABD163D0C}" type="sibTrans" cxnId="{4E906B85-3108-4A7B-8B68-F0936AF8A8E4}">
      <dgm:prSet/>
      <dgm:spPr/>
      <dgm:t>
        <a:bodyPr/>
        <a:lstStyle/>
        <a:p>
          <a:endParaRPr lang="en-AU"/>
        </a:p>
      </dgm:t>
    </dgm:pt>
    <dgm:pt modelId="{DFB4DCF9-5680-44A7-B6FF-B9D70BCC1250}">
      <dgm:prSet phldrT="[Text]"/>
      <dgm:spPr>
        <a:solidFill>
          <a:schemeClr val="tx1">
            <a:lumMod val="50000"/>
            <a:lumOff val="50000"/>
          </a:schemeClr>
        </a:solidFill>
      </dgm:spPr>
      <dgm:t>
        <a:bodyPr/>
        <a:lstStyle/>
        <a:p>
          <a:r>
            <a:rPr lang="en-AU" b="1">
              <a:latin typeface="Arial" panose="020B0604020202020204" pitchFamily="34" charset="0"/>
              <a:cs typeface="Arial" panose="020B0604020202020204" pitchFamily="34" charset="0"/>
            </a:rPr>
            <a:t>Education program</a:t>
          </a:r>
        </a:p>
      </dgm:t>
    </dgm:pt>
    <dgm:pt modelId="{E78DF953-4C03-4304-86E1-27B83F8E4798}" type="parTrans" cxnId="{79AA99F8-F206-4037-8F89-C789F4B231E4}">
      <dgm:prSet/>
      <dgm:spPr/>
      <dgm:t>
        <a:bodyPr/>
        <a:lstStyle/>
        <a:p>
          <a:endParaRPr lang="en-AU"/>
        </a:p>
      </dgm:t>
    </dgm:pt>
    <dgm:pt modelId="{B599A38E-D566-4FE2-AA10-DD3F25C6FE8D}" type="sibTrans" cxnId="{79AA99F8-F206-4037-8F89-C789F4B231E4}">
      <dgm:prSet/>
      <dgm:spPr/>
      <dgm:t>
        <a:bodyPr/>
        <a:lstStyle/>
        <a:p>
          <a:endParaRPr lang="en-AU"/>
        </a:p>
      </dgm:t>
    </dgm:pt>
    <dgm:pt modelId="{76B2B9CD-E95C-4DC6-871F-8E893CCAC094}">
      <dgm:prSet/>
      <dgm:spPr>
        <a:solidFill>
          <a:srgbClr val="436AB3"/>
        </a:solidFill>
      </dgm:spPr>
      <dgm:t>
        <a:bodyPr/>
        <a:lstStyle/>
        <a:p>
          <a:r>
            <a:rPr lang="en-AU" b="1">
              <a:latin typeface="Arial" panose="020B0604020202020204" pitchFamily="34" charset="0"/>
              <a:cs typeface="Arial" panose="020B0604020202020204" pitchFamily="34" charset="0"/>
            </a:rPr>
            <a:t>Communications program</a:t>
          </a:r>
        </a:p>
      </dgm:t>
    </dgm:pt>
    <dgm:pt modelId="{550F3C96-3BBA-4F86-BC70-4BB1E604F234}" type="parTrans" cxnId="{C91AA1B4-BD18-4084-9CD0-96CFB8403AEC}">
      <dgm:prSet/>
      <dgm:spPr/>
    </dgm:pt>
    <dgm:pt modelId="{954228C0-C55F-46C1-93E9-8003266D691F}" type="sibTrans" cxnId="{C91AA1B4-BD18-4084-9CD0-96CFB8403AEC}">
      <dgm:prSet/>
      <dgm:spPr/>
    </dgm:pt>
    <dgm:pt modelId="{5CD61070-F081-45FE-AC19-F12EADB8116D}">
      <dgm:prSet custT="1"/>
      <dgm:spPr/>
      <dgm:t>
        <a:bodyPr/>
        <a:lstStyle/>
        <a:p>
          <a:r>
            <a:rPr lang="en-AU" sz="1200" b="1"/>
            <a:t>Field audit program</a:t>
          </a:r>
        </a:p>
      </dgm:t>
    </dgm:pt>
    <dgm:pt modelId="{5AD0D90D-DF27-407A-97E6-8DC1E282388F}" type="parTrans" cxnId="{29D7F21A-6C2B-44DD-A81E-4F3C5D1B4BAF}">
      <dgm:prSet/>
      <dgm:spPr/>
    </dgm:pt>
    <dgm:pt modelId="{70CC6B5C-87D1-46A5-B102-530B011C7E50}" type="sibTrans" cxnId="{29D7F21A-6C2B-44DD-A81E-4F3C5D1B4BAF}">
      <dgm:prSet/>
      <dgm:spPr/>
    </dgm:pt>
    <dgm:pt modelId="{ABB8372A-37F5-46A9-9715-DF09E944CE7D}" type="pres">
      <dgm:prSet presAssocID="{EB33B04A-DDA2-4D04-B88D-D17DD5A468B6}" presName="Name0" presStyleCnt="0">
        <dgm:presLayoutVars>
          <dgm:dir/>
          <dgm:resizeHandles val="exact"/>
        </dgm:presLayoutVars>
      </dgm:prSet>
      <dgm:spPr/>
    </dgm:pt>
    <dgm:pt modelId="{6F9FEDB2-356F-4567-A747-B27B072D931B}" type="pres">
      <dgm:prSet presAssocID="{EB33B04A-DDA2-4D04-B88D-D17DD5A468B6}" presName="fgShape" presStyleLbl="fgShp" presStyleIdx="0" presStyleCnt="1">
        <dgm:style>
          <a:lnRef idx="0">
            <a:scrgbClr r="0" g="0" b="0"/>
          </a:lnRef>
          <a:fillRef idx="0">
            <a:scrgbClr r="0" g="0" b="0"/>
          </a:fillRef>
          <a:effectRef idx="0">
            <a:scrgbClr r="0" g="0" b="0"/>
          </a:effectRef>
          <a:fontRef idx="minor">
            <a:schemeClr val="dk1"/>
          </a:fontRef>
        </dgm:style>
      </dgm:prSet>
      <dgm:spPr>
        <a:noFill/>
        <a:ln>
          <a:noFill/>
        </a:ln>
      </dgm:spPr>
    </dgm:pt>
    <dgm:pt modelId="{10401C04-1DE1-4F20-B1E2-46C8D862CBD5}" type="pres">
      <dgm:prSet presAssocID="{EB33B04A-DDA2-4D04-B88D-D17DD5A468B6}" presName="linComp" presStyleCnt="0"/>
      <dgm:spPr/>
    </dgm:pt>
    <dgm:pt modelId="{2A5A79FF-2C65-46FF-AC54-B945F21DE750}" type="pres">
      <dgm:prSet presAssocID="{A7680D2B-2573-4BFD-8331-88BA926CDD12}" presName="compNode" presStyleCnt="0"/>
      <dgm:spPr/>
    </dgm:pt>
    <dgm:pt modelId="{06FEEFA4-AFDF-4155-A56E-67DCFB07A959}" type="pres">
      <dgm:prSet presAssocID="{A7680D2B-2573-4BFD-8331-88BA926CDD12}" presName="bkgdShape" presStyleLbl="node1" presStyleIdx="0" presStyleCnt="4"/>
      <dgm:spPr/>
    </dgm:pt>
    <dgm:pt modelId="{2BB2E42A-7EA7-4973-A2F3-FFB139C36896}" type="pres">
      <dgm:prSet presAssocID="{A7680D2B-2573-4BFD-8331-88BA926CDD12}" presName="nodeTx" presStyleLbl="node1" presStyleIdx="0" presStyleCnt="4">
        <dgm:presLayoutVars>
          <dgm:bulletEnabled val="1"/>
        </dgm:presLayoutVars>
      </dgm:prSet>
      <dgm:spPr/>
    </dgm:pt>
    <dgm:pt modelId="{0842ABCB-C38A-4C60-B753-B0295346154A}" type="pres">
      <dgm:prSet presAssocID="{A7680D2B-2573-4BFD-8331-88BA926CDD12}" presName="invisiNode" presStyleLbl="node1" presStyleIdx="0" presStyleCnt="4"/>
      <dgm:spPr/>
    </dgm:pt>
    <dgm:pt modelId="{95CF75A8-F6AA-43D3-9FDE-1CAABA26E546}" type="pres">
      <dgm:prSet presAssocID="{A7680D2B-2573-4BFD-8331-88BA926CDD12}" presName="imagNode" presStyleLbl="fgImgPlace1" presStyleIdx="0" presStyleCnt="4" custScaleX="126657" custScaleY="126657"/>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dgm:spPr>
      <dgm:extLst>
        <a:ext uri="{E40237B7-FDA0-4F09-8148-C483321AD2D9}">
          <dgm14:cNvPr xmlns:dgm14="http://schemas.microsoft.com/office/drawing/2010/diagram" id="0" name="" descr="Checklist outline"/>
        </a:ext>
      </dgm:extLst>
    </dgm:pt>
    <dgm:pt modelId="{FEB1B6C8-870E-442D-B285-71D4E1984A0E}" type="pres">
      <dgm:prSet presAssocID="{A5BE3C37-217D-4988-8C8A-BBDABD163D0C}" presName="sibTrans" presStyleLbl="sibTrans2D1" presStyleIdx="0" presStyleCnt="0"/>
      <dgm:spPr/>
    </dgm:pt>
    <dgm:pt modelId="{99A4A56B-2968-4D2B-BF7A-64EEF5887671}" type="pres">
      <dgm:prSet presAssocID="{5CD61070-F081-45FE-AC19-F12EADB8116D}" presName="compNode" presStyleCnt="0"/>
      <dgm:spPr/>
    </dgm:pt>
    <dgm:pt modelId="{4EA85F44-63C2-4343-B683-E5A9F20F51E1}" type="pres">
      <dgm:prSet presAssocID="{5CD61070-F081-45FE-AC19-F12EADB8116D}" presName="bkgdShape" presStyleLbl="node1" presStyleIdx="1" presStyleCnt="4"/>
      <dgm:spPr/>
    </dgm:pt>
    <dgm:pt modelId="{D5C4D0E5-807D-48AD-B632-71A33A8A9C61}" type="pres">
      <dgm:prSet presAssocID="{5CD61070-F081-45FE-AC19-F12EADB8116D}" presName="nodeTx" presStyleLbl="node1" presStyleIdx="1" presStyleCnt="4">
        <dgm:presLayoutVars>
          <dgm:bulletEnabled val="1"/>
        </dgm:presLayoutVars>
      </dgm:prSet>
      <dgm:spPr/>
    </dgm:pt>
    <dgm:pt modelId="{8AF49533-E584-456D-9A90-C0DB9364BB72}" type="pres">
      <dgm:prSet presAssocID="{5CD61070-F081-45FE-AC19-F12EADB8116D}" presName="invisiNode" presStyleLbl="node1" presStyleIdx="1" presStyleCnt="4"/>
      <dgm:spPr/>
    </dgm:pt>
    <dgm:pt modelId="{616AB619-E0AE-44AE-A6C0-A7C0E1B49A43}" type="pres">
      <dgm:prSet presAssocID="{5CD61070-F081-45FE-AC19-F12EADB8116D}" presName="imagNode" presStyleLbl="fgImgPlace1" presStyleIdx="1" presStyleCnt="4"/>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Cell Tower with solid fill"/>
        </a:ext>
      </dgm:extLst>
    </dgm:pt>
    <dgm:pt modelId="{F9842578-9B18-4C4C-AEC2-3BDCFB4329B8}" type="pres">
      <dgm:prSet presAssocID="{70CC6B5C-87D1-46A5-B102-530B011C7E50}" presName="sibTrans" presStyleLbl="sibTrans2D1" presStyleIdx="0" presStyleCnt="0"/>
      <dgm:spPr/>
    </dgm:pt>
    <dgm:pt modelId="{D3F878CC-9518-441B-97D0-5C19893D5115}" type="pres">
      <dgm:prSet presAssocID="{DFB4DCF9-5680-44A7-B6FF-B9D70BCC1250}" presName="compNode" presStyleCnt="0"/>
      <dgm:spPr/>
    </dgm:pt>
    <dgm:pt modelId="{84641BF7-2740-4ABF-9520-04BF0C616470}" type="pres">
      <dgm:prSet presAssocID="{DFB4DCF9-5680-44A7-B6FF-B9D70BCC1250}" presName="bkgdShape" presStyleLbl="node1" presStyleIdx="2" presStyleCnt="4"/>
      <dgm:spPr/>
    </dgm:pt>
    <dgm:pt modelId="{7D1EF918-C67A-441E-B28E-30CE60970E4A}" type="pres">
      <dgm:prSet presAssocID="{DFB4DCF9-5680-44A7-B6FF-B9D70BCC1250}" presName="nodeTx" presStyleLbl="node1" presStyleIdx="2" presStyleCnt="4">
        <dgm:presLayoutVars>
          <dgm:bulletEnabled val="1"/>
        </dgm:presLayoutVars>
      </dgm:prSet>
      <dgm:spPr/>
    </dgm:pt>
    <dgm:pt modelId="{CCD67EDF-71AE-45CB-B8E4-97B5F52A3B6A}" type="pres">
      <dgm:prSet presAssocID="{DFB4DCF9-5680-44A7-B6FF-B9D70BCC1250}" presName="invisiNode" presStyleLbl="node1" presStyleIdx="2" presStyleCnt="4"/>
      <dgm:spPr/>
    </dgm:pt>
    <dgm:pt modelId="{EE1673F3-1F5E-4ACA-BC4D-C7622E7E2ECB}" type="pres">
      <dgm:prSet presAssocID="{DFB4DCF9-5680-44A7-B6FF-B9D70BCC1250}" presName="imagNode" presStyleLbl="fgImgPlace1" presStyleIdx="2" presStyleCnt="4" custScaleX="124701" custScaleY="124701" custLinFactNeighborY="16343"/>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dgm:spPr>
      <dgm:extLst>
        <a:ext uri="{E40237B7-FDA0-4F09-8148-C483321AD2D9}">
          <dgm14:cNvPr xmlns:dgm14="http://schemas.microsoft.com/office/drawing/2010/diagram" id="0" name="" descr="Advertising outline"/>
        </a:ext>
      </dgm:extLst>
    </dgm:pt>
    <dgm:pt modelId="{F64D5449-AFEB-4982-B6EB-85F57C6D1039}" type="pres">
      <dgm:prSet presAssocID="{B599A38E-D566-4FE2-AA10-DD3F25C6FE8D}" presName="sibTrans" presStyleLbl="sibTrans2D1" presStyleIdx="0" presStyleCnt="0"/>
      <dgm:spPr/>
    </dgm:pt>
    <dgm:pt modelId="{CEC0661E-D6BF-480C-9391-E7ACFF9D9096}" type="pres">
      <dgm:prSet presAssocID="{76B2B9CD-E95C-4DC6-871F-8E893CCAC094}" presName="compNode" presStyleCnt="0"/>
      <dgm:spPr/>
    </dgm:pt>
    <dgm:pt modelId="{8ACF28A8-A3D6-4890-84BA-168FED15DD2A}" type="pres">
      <dgm:prSet presAssocID="{76B2B9CD-E95C-4DC6-871F-8E893CCAC094}" presName="bkgdShape" presStyleLbl="node1" presStyleIdx="3" presStyleCnt="4"/>
      <dgm:spPr/>
    </dgm:pt>
    <dgm:pt modelId="{EA3BDF0B-A4B8-4C1B-8FA8-78DF8BCA1EFA}" type="pres">
      <dgm:prSet presAssocID="{76B2B9CD-E95C-4DC6-871F-8E893CCAC094}" presName="nodeTx" presStyleLbl="node1" presStyleIdx="3" presStyleCnt="4">
        <dgm:presLayoutVars>
          <dgm:bulletEnabled val="1"/>
        </dgm:presLayoutVars>
      </dgm:prSet>
      <dgm:spPr/>
    </dgm:pt>
    <dgm:pt modelId="{C2B41E9B-876C-4648-9844-7861F58384E1}" type="pres">
      <dgm:prSet presAssocID="{76B2B9CD-E95C-4DC6-871F-8E893CCAC094}" presName="invisiNode" presStyleLbl="node1" presStyleIdx="3" presStyleCnt="4"/>
      <dgm:spPr/>
    </dgm:pt>
    <dgm:pt modelId="{1D08F473-0AC2-4DD0-90DD-2BCDD8E95610}" type="pres">
      <dgm:prSet presAssocID="{76B2B9CD-E95C-4DC6-871F-8E893CCAC094}" presName="imagNode" presStyleLbl="fgImgPlace1" presStyleIdx="3" presStyleCnt="4"/>
      <dgm:spPr>
        <a:blipFill rotWithShape="1">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a:noFill/>
        </a:ln>
      </dgm:spPr>
      <dgm:extLst>
        <a:ext uri="{E40237B7-FDA0-4F09-8148-C483321AD2D9}">
          <dgm14:cNvPr xmlns:dgm14="http://schemas.microsoft.com/office/drawing/2010/diagram" id="0" name="" descr="Chat outline"/>
        </a:ext>
      </dgm:extLst>
    </dgm:pt>
  </dgm:ptLst>
  <dgm:cxnLst>
    <dgm:cxn modelId="{29D7F21A-6C2B-44DD-A81E-4F3C5D1B4BAF}" srcId="{EB33B04A-DDA2-4D04-B88D-D17DD5A468B6}" destId="{5CD61070-F081-45FE-AC19-F12EADB8116D}" srcOrd="1" destOrd="0" parTransId="{5AD0D90D-DF27-407A-97E6-8DC1E282388F}" sibTransId="{70CC6B5C-87D1-46A5-B102-530B011C7E50}"/>
    <dgm:cxn modelId="{0DE35639-33DC-48AD-985B-D9B15A961103}" type="presOf" srcId="{76B2B9CD-E95C-4DC6-871F-8E893CCAC094}" destId="{EA3BDF0B-A4B8-4C1B-8FA8-78DF8BCA1EFA}" srcOrd="1" destOrd="0" presId="urn:microsoft.com/office/officeart/2005/8/layout/hList7"/>
    <dgm:cxn modelId="{73992161-DEE4-43B3-B231-39092CB8E602}" type="presOf" srcId="{A7680D2B-2573-4BFD-8331-88BA926CDD12}" destId="{06FEEFA4-AFDF-4155-A56E-67DCFB07A959}" srcOrd="0" destOrd="0" presId="urn:microsoft.com/office/officeart/2005/8/layout/hList7"/>
    <dgm:cxn modelId="{DC2DB17C-4064-4138-8AAB-5798000020F4}" type="presOf" srcId="{DFB4DCF9-5680-44A7-B6FF-B9D70BCC1250}" destId="{7D1EF918-C67A-441E-B28E-30CE60970E4A}" srcOrd="1" destOrd="0" presId="urn:microsoft.com/office/officeart/2005/8/layout/hList7"/>
    <dgm:cxn modelId="{4E906B85-3108-4A7B-8B68-F0936AF8A8E4}" srcId="{EB33B04A-DDA2-4D04-B88D-D17DD5A468B6}" destId="{A7680D2B-2573-4BFD-8331-88BA926CDD12}" srcOrd="0" destOrd="0" parTransId="{E265CD78-6B2F-41BC-9F60-495CAF9C6A08}" sibTransId="{A5BE3C37-217D-4988-8C8A-BBDABD163D0C}"/>
    <dgm:cxn modelId="{F9B4DE91-590C-4E17-A3E1-7C05FFD9062A}" type="presOf" srcId="{A5BE3C37-217D-4988-8C8A-BBDABD163D0C}" destId="{FEB1B6C8-870E-442D-B285-71D4E1984A0E}" srcOrd="0" destOrd="0" presId="urn:microsoft.com/office/officeart/2005/8/layout/hList7"/>
    <dgm:cxn modelId="{ADD8B2A4-681A-47F5-8C88-C98C9C7ED965}" type="presOf" srcId="{A7680D2B-2573-4BFD-8331-88BA926CDD12}" destId="{2BB2E42A-7EA7-4973-A2F3-FFB139C36896}" srcOrd="1" destOrd="0" presId="urn:microsoft.com/office/officeart/2005/8/layout/hList7"/>
    <dgm:cxn modelId="{2E91BFA9-1ACE-4131-A828-B12732D9498A}" type="presOf" srcId="{5CD61070-F081-45FE-AC19-F12EADB8116D}" destId="{D5C4D0E5-807D-48AD-B632-71A33A8A9C61}" srcOrd="1" destOrd="0" presId="urn:microsoft.com/office/officeart/2005/8/layout/hList7"/>
    <dgm:cxn modelId="{566727B0-5193-4472-94E3-618AA3956FF5}" type="presOf" srcId="{5CD61070-F081-45FE-AC19-F12EADB8116D}" destId="{4EA85F44-63C2-4343-B683-E5A9F20F51E1}" srcOrd="0" destOrd="0" presId="urn:microsoft.com/office/officeart/2005/8/layout/hList7"/>
    <dgm:cxn modelId="{C91AA1B4-BD18-4084-9CD0-96CFB8403AEC}" srcId="{EB33B04A-DDA2-4D04-B88D-D17DD5A468B6}" destId="{76B2B9CD-E95C-4DC6-871F-8E893CCAC094}" srcOrd="3" destOrd="0" parTransId="{550F3C96-3BBA-4F86-BC70-4BB1E604F234}" sibTransId="{954228C0-C55F-46C1-93E9-8003266D691F}"/>
    <dgm:cxn modelId="{6CBCBCB9-CA21-4FD6-8EE8-F94BAA5BB4BA}" type="presOf" srcId="{DFB4DCF9-5680-44A7-B6FF-B9D70BCC1250}" destId="{84641BF7-2740-4ABF-9520-04BF0C616470}" srcOrd="0" destOrd="0" presId="urn:microsoft.com/office/officeart/2005/8/layout/hList7"/>
    <dgm:cxn modelId="{B32ACABC-AB58-4423-A0D4-9631C4618070}" type="presOf" srcId="{76B2B9CD-E95C-4DC6-871F-8E893CCAC094}" destId="{8ACF28A8-A3D6-4890-84BA-168FED15DD2A}" srcOrd="0" destOrd="0" presId="urn:microsoft.com/office/officeart/2005/8/layout/hList7"/>
    <dgm:cxn modelId="{0BADBAE9-7787-43C8-B127-9036D077CF5C}" type="presOf" srcId="{70CC6B5C-87D1-46A5-B102-530B011C7E50}" destId="{F9842578-9B18-4C4C-AEC2-3BDCFB4329B8}" srcOrd="0" destOrd="0" presId="urn:microsoft.com/office/officeart/2005/8/layout/hList7"/>
    <dgm:cxn modelId="{429ABBEE-7B06-4A89-81C9-A6F537BDC31C}" type="presOf" srcId="{B599A38E-D566-4FE2-AA10-DD3F25C6FE8D}" destId="{F64D5449-AFEB-4982-B6EB-85F57C6D1039}" srcOrd="0" destOrd="0" presId="urn:microsoft.com/office/officeart/2005/8/layout/hList7"/>
    <dgm:cxn modelId="{79AA99F8-F206-4037-8F89-C789F4B231E4}" srcId="{EB33B04A-DDA2-4D04-B88D-D17DD5A468B6}" destId="{DFB4DCF9-5680-44A7-B6FF-B9D70BCC1250}" srcOrd="2" destOrd="0" parTransId="{E78DF953-4C03-4304-86E1-27B83F8E4798}" sibTransId="{B599A38E-D566-4FE2-AA10-DD3F25C6FE8D}"/>
    <dgm:cxn modelId="{718CE7FD-CD06-4A56-848C-1E66E20CC9BF}" type="presOf" srcId="{EB33B04A-DDA2-4D04-B88D-D17DD5A468B6}" destId="{ABB8372A-37F5-46A9-9715-DF09E944CE7D}" srcOrd="0" destOrd="0" presId="urn:microsoft.com/office/officeart/2005/8/layout/hList7"/>
    <dgm:cxn modelId="{BF3041DE-943C-4AA4-BE52-D487FD2E0546}" type="presParOf" srcId="{ABB8372A-37F5-46A9-9715-DF09E944CE7D}" destId="{6F9FEDB2-356F-4567-A747-B27B072D931B}" srcOrd="0" destOrd="0" presId="urn:microsoft.com/office/officeart/2005/8/layout/hList7"/>
    <dgm:cxn modelId="{4CDF103A-B19D-4733-AA5B-CCA8C0C56AC7}" type="presParOf" srcId="{ABB8372A-37F5-46A9-9715-DF09E944CE7D}" destId="{10401C04-1DE1-4F20-B1E2-46C8D862CBD5}" srcOrd="1" destOrd="0" presId="urn:microsoft.com/office/officeart/2005/8/layout/hList7"/>
    <dgm:cxn modelId="{CF478B18-D73F-42D0-8323-B516F0C3B89B}" type="presParOf" srcId="{10401C04-1DE1-4F20-B1E2-46C8D862CBD5}" destId="{2A5A79FF-2C65-46FF-AC54-B945F21DE750}" srcOrd="0" destOrd="0" presId="urn:microsoft.com/office/officeart/2005/8/layout/hList7"/>
    <dgm:cxn modelId="{2DF8D7D7-3DF2-4CEA-8B31-6B8D43BA80F9}" type="presParOf" srcId="{2A5A79FF-2C65-46FF-AC54-B945F21DE750}" destId="{06FEEFA4-AFDF-4155-A56E-67DCFB07A959}" srcOrd="0" destOrd="0" presId="urn:microsoft.com/office/officeart/2005/8/layout/hList7"/>
    <dgm:cxn modelId="{81719291-D588-4BAE-BFBC-48DD6D2B0558}" type="presParOf" srcId="{2A5A79FF-2C65-46FF-AC54-B945F21DE750}" destId="{2BB2E42A-7EA7-4973-A2F3-FFB139C36896}" srcOrd="1" destOrd="0" presId="urn:microsoft.com/office/officeart/2005/8/layout/hList7"/>
    <dgm:cxn modelId="{2D7D5032-A45E-4451-BE47-72DCA2C20C51}" type="presParOf" srcId="{2A5A79FF-2C65-46FF-AC54-B945F21DE750}" destId="{0842ABCB-C38A-4C60-B753-B0295346154A}" srcOrd="2" destOrd="0" presId="urn:microsoft.com/office/officeart/2005/8/layout/hList7"/>
    <dgm:cxn modelId="{60D20571-6191-4B64-9CA9-EED04F79E9BE}" type="presParOf" srcId="{2A5A79FF-2C65-46FF-AC54-B945F21DE750}" destId="{95CF75A8-F6AA-43D3-9FDE-1CAABA26E546}" srcOrd="3" destOrd="0" presId="urn:microsoft.com/office/officeart/2005/8/layout/hList7"/>
    <dgm:cxn modelId="{6D2435B9-FFDF-425F-B4A9-6577657A3C29}" type="presParOf" srcId="{10401C04-1DE1-4F20-B1E2-46C8D862CBD5}" destId="{FEB1B6C8-870E-442D-B285-71D4E1984A0E}" srcOrd="1" destOrd="0" presId="urn:microsoft.com/office/officeart/2005/8/layout/hList7"/>
    <dgm:cxn modelId="{E03F2175-1B92-4BFF-A057-240D121C923D}" type="presParOf" srcId="{10401C04-1DE1-4F20-B1E2-46C8D862CBD5}" destId="{99A4A56B-2968-4D2B-BF7A-64EEF5887671}" srcOrd="2" destOrd="0" presId="urn:microsoft.com/office/officeart/2005/8/layout/hList7"/>
    <dgm:cxn modelId="{8CE7662C-4A82-4534-8A4B-F2671D71FEBA}" type="presParOf" srcId="{99A4A56B-2968-4D2B-BF7A-64EEF5887671}" destId="{4EA85F44-63C2-4343-B683-E5A9F20F51E1}" srcOrd="0" destOrd="0" presId="urn:microsoft.com/office/officeart/2005/8/layout/hList7"/>
    <dgm:cxn modelId="{C450F966-7557-4424-917A-29966107A060}" type="presParOf" srcId="{99A4A56B-2968-4D2B-BF7A-64EEF5887671}" destId="{D5C4D0E5-807D-48AD-B632-71A33A8A9C61}" srcOrd="1" destOrd="0" presId="urn:microsoft.com/office/officeart/2005/8/layout/hList7"/>
    <dgm:cxn modelId="{1CE57D19-BAB0-4EEB-8458-BFDD29C4B28E}" type="presParOf" srcId="{99A4A56B-2968-4D2B-BF7A-64EEF5887671}" destId="{8AF49533-E584-456D-9A90-C0DB9364BB72}" srcOrd="2" destOrd="0" presId="urn:microsoft.com/office/officeart/2005/8/layout/hList7"/>
    <dgm:cxn modelId="{B1815775-77CE-4C01-9059-8E07A35DC430}" type="presParOf" srcId="{99A4A56B-2968-4D2B-BF7A-64EEF5887671}" destId="{616AB619-E0AE-44AE-A6C0-A7C0E1B49A43}" srcOrd="3" destOrd="0" presId="urn:microsoft.com/office/officeart/2005/8/layout/hList7"/>
    <dgm:cxn modelId="{49A725A1-8278-4AD3-8308-2ECD233B6A0E}" type="presParOf" srcId="{10401C04-1DE1-4F20-B1E2-46C8D862CBD5}" destId="{F9842578-9B18-4C4C-AEC2-3BDCFB4329B8}" srcOrd="3" destOrd="0" presId="urn:microsoft.com/office/officeart/2005/8/layout/hList7"/>
    <dgm:cxn modelId="{A8B71607-C564-4799-A559-E95EFE8A91F2}" type="presParOf" srcId="{10401C04-1DE1-4F20-B1E2-46C8D862CBD5}" destId="{D3F878CC-9518-441B-97D0-5C19893D5115}" srcOrd="4" destOrd="0" presId="urn:microsoft.com/office/officeart/2005/8/layout/hList7"/>
    <dgm:cxn modelId="{AC81FF01-FF43-4D52-B96E-2E194F547CA1}" type="presParOf" srcId="{D3F878CC-9518-441B-97D0-5C19893D5115}" destId="{84641BF7-2740-4ABF-9520-04BF0C616470}" srcOrd="0" destOrd="0" presId="urn:microsoft.com/office/officeart/2005/8/layout/hList7"/>
    <dgm:cxn modelId="{3A5317ED-A083-4856-919C-DD971F459707}" type="presParOf" srcId="{D3F878CC-9518-441B-97D0-5C19893D5115}" destId="{7D1EF918-C67A-441E-B28E-30CE60970E4A}" srcOrd="1" destOrd="0" presId="urn:microsoft.com/office/officeart/2005/8/layout/hList7"/>
    <dgm:cxn modelId="{1C78668A-5C0D-40DF-9BE5-8419E752E117}" type="presParOf" srcId="{D3F878CC-9518-441B-97D0-5C19893D5115}" destId="{CCD67EDF-71AE-45CB-B8E4-97B5F52A3B6A}" srcOrd="2" destOrd="0" presId="urn:microsoft.com/office/officeart/2005/8/layout/hList7"/>
    <dgm:cxn modelId="{1726E508-82C8-443A-BF69-E6AF7211413E}" type="presParOf" srcId="{D3F878CC-9518-441B-97D0-5C19893D5115}" destId="{EE1673F3-1F5E-4ACA-BC4D-C7622E7E2ECB}" srcOrd="3" destOrd="0" presId="urn:microsoft.com/office/officeart/2005/8/layout/hList7"/>
    <dgm:cxn modelId="{080E14D7-486A-4C8C-AF7F-3AAC796B768A}" type="presParOf" srcId="{10401C04-1DE1-4F20-B1E2-46C8D862CBD5}" destId="{F64D5449-AFEB-4982-B6EB-85F57C6D1039}" srcOrd="5" destOrd="0" presId="urn:microsoft.com/office/officeart/2005/8/layout/hList7"/>
    <dgm:cxn modelId="{22C841FC-F987-4752-A38B-3E6448DE6BFC}" type="presParOf" srcId="{10401C04-1DE1-4F20-B1E2-46C8D862CBD5}" destId="{CEC0661E-D6BF-480C-9391-E7ACFF9D9096}" srcOrd="6" destOrd="0" presId="urn:microsoft.com/office/officeart/2005/8/layout/hList7"/>
    <dgm:cxn modelId="{513B9E21-86CE-4B1E-895A-99EF8F312F0F}" type="presParOf" srcId="{CEC0661E-D6BF-480C-9391-E7ACFF9D9096}" destId="{8ACF28A8-A3D6-4890-84BA-168FED15DD2A}" srcOrd="0" destOrd="0" presId="urn:microsoft.com/office/officeart/2005/8/layout/hList7"/>
    <dgm:cxn modelId="{1F3F0654-9A68-492E-A628-E0C849273C91}" type="presParOf" srcId="{CEC0661E-D6BF-480C-9391-E7ACFF9D9096}" destId="{EA3BDF0B-A4B8-4C1B-8FA8-78DF8BCA1EFA}" srcOrd="1" destOrd="0" presId="urn:microsoft.com/office/officeart/2005/8/layout/hList7"/>
    <dgm:cxn modelId="{33E3194C-2EA4-49DE-89EA-4B607885C2A9}" type="presParOf" srcId="{CEC0661E-D6BF-480C-9391-E7ACFF9D9096}" destId="{C2B41E9B-876C-4648-9844-7861F58384E1}" srcOrd="2" destOrd="0" presId="urn:microsoft.com/office/officeart/2005/8/layout/hList7"/>
    <dgm:cxn modelId="{821ECD84-6CA6-44F8-B53F-84D7DF8F5EB4}" type="presParOf" srcId="{CEC0661E-D6BF-480C-9391-E7ACFF9D9096}" destId="{1D08F473-0AC2-4DD0-90DD-2BCDD8E95610}" srcOrd="3" destOrd="0" presId="urn:microsoft.com/office/officeart/2005/8/layout/hList7"/>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FEEFA4-AFDF-4155-A56E-67DCFB07A959}">
      <dsp:nvSpPr>
        <dsp:cNvPr id="0" name=""/>
        <dsp:cNvSpPr/>
      </dsp:nvSpPr>
      <dsp:spPr>
        <a:xfrm>
          <a:off x="1135" y="0"/>
          <a:ext cx="1190418" cy="1247775"/>
        </a:xfrm>
        <a:prstGeom prst="roundRect">
          <a:avLst>
            <a:gd name="adj" fmla="val 10000"/>
          </a:avLst>
        </a:prstGeom>
        <a:solidFill>
          <a:srgbClr val="00A0A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Desktop audit program</a:t>
          </a:r>
        </a:p>
      </dsp:txBody>
      <dsp:txXfrm>
        <a:off x="1135" y="499110"/>
        <a:ext cx="1190418" cy="499110"/>
      </dsp:txXfrm>
    </dsp:sp>
    <dsp:sp modelId="{95CF75A8-F6AA-43D3-9FDE-1CAABA26E546}">
      <dsp:nvSpPr>
        <dsp:cNvPr id="0" name=""/>
        <dsp:cNvSpPr/>
      </dsp:nvSpPr>
      <dsp:spPr>
        <a:xfrm>
          <a:off x="333209" y="19485"/>
          <a:ext cx="526271" cy="526271"/>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4EA85F44-63C2-4343-B683-E5A9F20F51E1}">
      <dsp:nvSpPr>
        <dsp:cNvPr id="0" name=""/>
        <dsp:cNvSpPr/>
      </dsp:nvSpPr>
      <dsp:spPr>
        <a:xfrm>
          <a:off x="1227267" y="0"/>
          <a:ext cx="1190418" cy="1247775"/>
        </a:xfrm>
        <a:prstGeom prst="roundRect">
          <a:avLst>
            <a:gd name="adj" fmla="val 10000"/>
          </a:avLst>
        </a:prstGeom>
        <a:solidFill>
          <a:schemeClr val="accent5">
            <a:shade val="50000"/>
            <a:hueOff val="3494"/>
            <a:satOff val="4116"/>
            <a:lumOff val="162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t>Field audit program</a:t>
          </a:r>
        </a:p>
      </dsp:txBody>
      <dsp:txXfrm>
        <a:off x="1227267" y="499110"/>
        <a:ext cx="1190418" cy="499110"/>
      </dsp:txXfrm>
    </dsp:sp>
    <dsp:sp modelId="{616AB619-E0AE-44AE-A6C0-A7C0E1B49A43}">
      <dsp:nvSpPr>
        <dsp:cNvPr id="0" name=""/>
        <dsp:cNvSpPr/>
      </dsp:nvSpPr>
      <dsp:spPr>
        <a:xfrm>
          <a:off x="1614722" y="74866"/>
          <a:ext cx="415509" cy="415509"/>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641BF7-2740-4ABF-9520-04BF0C616470}">
      <dsp:nvSpPr>
        <dsp:cNvPr id="0" name=""/>
        <dsp:cNvSpPr/>
      </dsp:nvSpPr>
      <dsp:spPr>
        <a:xfrm>
          <a:off x="2453398" y="0"/>
          <a:ext cx="1190418" cy="1247775"/>
        </a:xfrm>
        <a:prstGeom prst="roundRect">
          <a:avLst>
            <a:gd name="adj" fmla="val 10000"/>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Education program</a:t>
          </a:r>
        </a:p>
      </dsp:txBody>
      <dsp:txXfrm>
        <a:off x="2453398" y="499110"/>
        <a:ext cx="1190418" cy="499110"/>
      </dsp:txXfrm>
    </dsp:sp>
    <dsp:sp modelId="{EE1673F3-1F5E-4ACA-BC4D-C7622E7E2ECB}">
      <dsp:nvSpPr>
        <dsp:cNvPr id="0" name=""/>
        <dsp:cNvSpPr/>
      </dsp:nvSpPr>
      <dsp:spPr>
        <a:xfrm>
          <a:off x="2789536" y="91455"/>
          <a:ext cx="518143" cy="518143"/>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8ACF28A8-A3D6-4890-84BA-168FED15DD2A}">
      <dsp:nvSpPr>
        <dsp:cNvPr id="0" name=""/>
        <dsp:cNvSpPr/>
      </dsp:nvSpPr>
      <dsp:spPr>
        <a:xfrm>
          <a:off x="3679530" y="0"/>
          <a:ext cx="1190418" cy="1247775"/>
        </a:xfrm>
        <a:prstGeom prst="roundRect">
          <a:avLst>
            <a:gd name="adj" fmla="val 10000"/>
          </a:avLst>
        </a:prstGeom>
        <a:solidFill>
          <a:srgbClr val="436AB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b="1" kern="1200">
              <a:latin typeface="Arial" panose="020B0604020202020204" pitchFamily="34" charset="0"/>
              <a:cs typeface="Arial" panose="020B0604020202020204" pitchFamily="34" charset="0"/>
            </a:rPr>
            <a:t>Communications program</a:t>
          </a:r>
        </a:p>
      </dsp:txBody>
      <dsp:txXfrm>
        <a:off x="3679530" y="499110"/>
        <a:ext cx="1190418" cy="499110"/>
      </dsp:txXfrm>
    </dsp:sp>
    <dsp:sp modelId="{1D08F473-0AC2-4DD0-90DD-2BCDD8E95610}">
      <dsp:nvSpPr>
        <dsp:cNvPr id="0" name=""/>
        <dsp:cNvSpPr/>
      </dsp:nvSpPr>
      <dsp:spPr>
        <a:xfrm>
          <a:off x="4066985" y="74866"/>
          <a:ext cx="415509" cy="415509"/>
        </a:xfrm>
        <a:prstGeom prst="ellipse">
          <a:avLst/>
        </a:prstGeom>
        <a:blipFill rotWithShape="1">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6F9FEDB2-356F-4567-A747-B27B072D931B}">
      <dsp:nvSpPr>
        <dsp:cNvPr id="0" name=""/>
        <dsp:cNvSpPr/>
      </dsp:nvSpPr>
      <dsp:spPr>
        <a:xfrm>
          <a:off x="194843" y="998220"/>
          <a:ext cx="4481398" cy="187166"/>
        </a:xfrm>
        <a:prstGeom prst="leftRightArrow">
          <a:avLst/>
        </a:prstGeom>
        <a:noFill/>
        <a:ln>
          <a:noFill/>
        </a:ln>
        <a:effectLst/>
      </dsp:spPr>
      <dsp:style>
        <a:lnRef idx="0">
          <a:scrgbClr r="0" g="0" b="0"/>
        </a:lnRef>
        <a:fillRef idx="0">
          <a:scrgbClr r="0" g="0" b="0"/>
        </a:fillRef>
        <a:effectRef idx="0">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FFFFF"/>
      </a:lt2>
      <a:accent1>
        <a:srgbClr val="00A0A4"/>
      </a:accent1>
      <a:accent2>
        <a:srgbClr val="7C426F"/>
      </a:accent2>
      <a:accent3>
        <a:srgbClr val="39457C"/>
      </a:accent3>
      <a:accent4>
        <a:srgbClr val="85BEC2"/>
      </a:accent4>
      <a:accent5>
        <a:srgbClr val="CBB6CA"/>
      </a:accent5>
      <a:accent6>
        <a:srgbClr val="D3E5E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86DBA-C773-4DAC-958D-07E48CB3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5688</Words>
  <Characters>31742</Characters>
  <Application>Microsoft Office Word</Application>
  <DocSecurity>0</DocSecurity>
  <Lines>610</Lines>
  <Paragraphs>306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37124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2024-09-30T05:29:00Z</dcterms:created>
  <dcterms:modified xsi:type="dcterms:W3CDTF">2024-09-30T05:29:00Z</dcterms:modified>
  <cp:category/>
</cp:coreProperties>
</file>