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095A2" w14:textId="55FDB300" w:rsidR="00F06E14" w:rsidRPr="00A17B1B" w:rsidRDefault="00604B6C" w:rsidP="00A51D1A">
      <w:pPr>
        <w:pStyle w:val="Reporttitle"/>
      </w:pPr>
      <w:r>
        <w:t xml:space="preserve">Proposal to remake </w:t>
      </w:r>
      <w:r w:rsidR="00486E11">
        <w:t xml:space="preserve">the </w:t>
      </w:r>
      <w:r w:rsidR="00D0604C">
        <w:t>Radiocommunications (Interpretation) Determination 2015</w:t>
      </w:r>
    </w:p>
    <w:p w14:paraId="2FC94A89" w14:textId="77777777" w:rsidR="00F06E14" w:rsidRPr="00A17B1B" w:rsidRDefault="00ED1769" w:rsidP="00F06E14">
      <w:pPr>
        <w:pStyle w:val="Reportsubtitle"/>
      </w:pPr>
      <w:r>
        <w:t>Consultation</w:t>
      </w:r>
      <w:r w:rsidR="00BD4421" w:rsidRPr="00A17B1B">
        <w:t xml:space="preserve"> </w:t>
      </w:r>
      <w:r w:rsidR="00604B6C">
        <w:t>paper</w:t>
      </w:r>
    </w:p>
    <w:p w14:paraId="583D25C9" w14:textId="42FA7C3C" w:rsidR="00C97736" w:rsidRPr="00A17B1B" w:rsidRDefault="00EA5E62" w:rsidP="00EC2B68">
      <w:pPr>
        <w:pStyle w:val="Reportdate"/>
        <w:spacing w:after="720"/>
        <w:rPr>
          <w:rFonts w:cs="Arial"/>
        </w:rPr>
        <w:sectPr w:rsidR="00C97736" w:rsidRPr="00A17B1B" w:rsidSect="005A62E5">
          <w:headerReference w:type="default" r:id="rId8"/>
          <w:footerReference w:type="default" r:id="rId9"/>
          <w:headerReference w:type="first" r:id="rId10"/>
          <w:pgSz w:w="11906" w:h="16838" w:code="9"/>
          <w:pgMar w:top="3924" w:right="1418" w:bottom="1134" w:left="1418" w:header="850" w:footer="454" w:gutter="0"/>
          <w:cols w:space="708"/>
          <w:docGrid w:linePitch="360"/>
        </w:sectPr>
      </w:pPr>
      <w:r>
        <w:t xml:space="preserve">SEPTEMBER </w:t>
      </w:r>
      <w:r w:rsidR="00BD4421" w:rsidRPr="00A17B1B">
        <w:t>20</w:t>
      </w:r>
      <w:r w:rsidR="000971BD" w:rsidRPr="00A17B1B">
        <w:t>2</w:t>
      </w:r>
      <w:r w:rsidR="00306491">
        <w:t>4</w:t>
      </w:r>
    </w:p>
    <w:p w14:paraId="3CDF7CD1" w14:textId="77777777" w:rsidR="00284A74" w:rsidRPr="00A17B1B" w:rsidRDefault="00284A74" w:rsidP="00284A74">
      <w:pPr>
        <w:pStyle w:val="ACMACorporateAddressHeader"/>
      </w:pPr>
      <w:r w:rsidRPr="00A17B1B">
        <w:lastRenderedPageBreak/>
        <w:t>Canberra</w:t>
      </w:r>
    </w:p>
    <w:p w14:paraId="64C42DDF" w14:textId="77777777" w:rsidR="00284A74" w:rsidRPr="00A17B1B" w:rsidRDefault="00181180" w:rsidP="00284A74">
      <w:pPr>
        <w:pStyle w:val="ACMACorporateAddresses"/>
      </w:pPr>
      <w:r>
        <w:t>Level 3</w:t>
      </w:r>
      <w:r>
        <w:br/>
        <w:t>40 Cameron Avenue</w:t>
      </w:r>
      <w:r w:rsidR="00284A74" w:rsidRPr="00A17B1B">
        <w:t xml:space="preserve"> </w:t>
      </w:r>
      <w:r w:rsidR="00284A74" w:rsidRPr="00A17B1B">
        <w:br/>
        <w:t>Belconnen ACT</w:t>
      </w:r>
    </w:p>
    <w:p w14:paraId="5520BCF2" w14:textId="77777777" w:rsidR="00284A74" w:rsidRPr="00A17B1B" w:rsidRDefault="00284A74" w:rsidP="00284A74">
      <w:pPr>
        <w:pStyle w:val="ACMACorporateAddresses"/>
      </w:pPr>
      <w:r w:rsidRPr="00A17B1B">
        <w:t>PO Box 78</w:t>
      </w:r>
      <w:r w:rsidRPr="00A17B1B">
        <w:br/>
        <w:t>Belconnen ACT 2616</w:t>
      </w:r>
    </w:p>
    <w:p w14:paraId="63FD7032" w14:textId="77777777" w:rsidR="00284A74" w:rsidRPr="00A17B1B" w:rsidRDefault="00284A74" w:rsidP="00284A74">
      <w:pPr>
        <w:pStyle w:val="ACMACorporateAddresses"/>
      </w:pPr>
      <w:r w:rsidRPr="00A17B1B">
        <w:t>T</w:t>
      </w:r>
      <w:r w:rsidRPr="00A17B1B">
        <w:tab/>
        <w:t>+61 2 6219 5555</w:t>
      </w:r>
      <w:r w:rsidRPr="00A17B1B">
        <w:br/>
        <w:t>F</w:t>
      </w:r>
      <w:r w:rsidRPr="00A17B1B">
        <w:tab/>
        <w:t>+61 2 6219 5353</w:t>
      </w:r>
    </w:p>
    <w:p w14:paraId="0CC617AB" w14:textId="77777777" w:rsidR="00284A74" w:rsidRPr="00A17B1B" w:rsidRDefault="00284A74" w:rsidP="00284A74">
      <w:pPr>
        <w:pStyle w:val="ACMACorporateAddressHeader"/>
      </w:pPr>
      <w:r w:rsidRPr="00A17B1B">
        <w:t>Melbourne</w:t>
      </w:r>
    </w:p>
    <w:p w14:paraId="2686A502" w14:textId="77777777" w:rsidR="00284A74" w:rsidRPr="00A17B1B" w:rsidRDefault="00284A74" w:rsidP="00284A74">
      <w:pPr>
        <w:pStyle w:val="ACMACorporateAddresses"/>
      </w:pPr>
      <w:r w:rsidRPr="00A17B1B">
        <w:t xml:space="preserve">Level 32 </w:t>
      </w:r>
      <w:r w:rsidRPr="00A17B1B">
        <w:br/>
        <w:t>Melbourne Central Tower</w:t>
      </w:r>
      <w:r w:rsidRPr="00A17B1B">
        <w:br/>
        <w:t xml:space="preserve">360 Elizabeth Street </w:t>
      </w:r>
      <w:r w:rsidRPr="00A17B1B">
        <w:br/>
        <w:t>Melbourne VIC</w:t>
      </w:r>
    </w:p>
    <w:p w14:paraId="167505CF" w14:textId="77777777" w:rsidR="00284A74" w:rsidRPr="00A17B1B" w:rsidRDefault="00284A74" w:rsidP="00284A74">
      <w:pPr>
        <w:pStyle w:val="ACMACorporateAddresses"/>
      </w:pPr>
      <w:r w:rsidRPr="00A17B1B">
        <w:t>PO Box 13112</w:t>
      </w:r>
      <w:r w:rsidRPr="00A17B1B">
        <w:br/>
        <w:t xml:space="preserve">Law Courts </w:t>
      </w:r>
      <w:r w:rsidRPr="00A17B1B">
        <w:br/>
        <w:t>Melbourne VIC 8010</w:t>
      </w:r>
    </w:p>
    <w:p w14:paraId="226CA600" w14:textId="77777777" w:rsidR="00284A74" w:rsidRPr="00A17B1B" w:rsidRDefault="00284A74" w:rsidP="00284A74">
      <w:pPr>
        <w:pStyle w:val="ACMACorporateAddresses"/>
      </w:pPr>
      <w:r w:rsidRPr="00A17B1B">
        <w:t>T</w:t>
      </w:r>
      <w:r w:rsidRPr="00A17B1B">
        <w:tab/>
        <w:t>+61 3 9963 6800</w:t>
      </w:r>
      <w:r w:rsidRPr="00A17B1B">
        <w:br/>
        <w:t>F</w:t>
      </w:r>
      <w:r w:rsidRPr="00A17B1B">
        <w:tab/>
        <w:t>+61 3 9963 6899</w:t>
      </w:r>
    </w:p>
    <w:p w14:paraId="3D2912A3" w14:textId="77777777" w:rsidR="00284A74" w:rsidRPr="00A17B1B" w:rsidRDefault="00284A74" w:rsidP="00284A74">
      <w:pPr>
        <w:pStyle w:val="ACMACorporateAddressHeader"/>
      </w:pPr>
      <w:r w:rsidRPr="00A17B1B">
        <w:t>Sydney</w:t>
      </w:r>
    </w:p>
    <w:p w14:paraId="6BBCB960" w14:textId="77777777" w:rsidR="00284A74" w:rsidRPr="00A17B1B" w:rsidRDefault="00284A74" w:rsidP="00284A74">
      <w:pPr>
        <w:pStyle w:val="ACMACorporateAddresses"/>
      </w:pPr>
      <w:r w:rsidRPr="00A17B1B">
        <w:t xml:space="preserve">Level 5 </w:t>
      </w:r>
      <w:r w:rsidRPr="00A17B1B">
        <w:br/>
        <w:t>The Bay Centre</w:t>
      </w:r>
      <w:r w:rsidRPr="00A17B1B">
        <w:br/>
        <w:t xml:space="preserve">65 Pirrama Road </w:t>
      </w:r>
      <w:r w:rsidRPr="00A17B1B">
        <w:br/>
        <w:t>Pyrmont NSW</w:t>
      </w:r>
    </w:p>
    <w:p w14:paraId="422080A0" w14:textId="77777777" w:rsidR="00284A74" w:rsidRPr="00A17B1B" w:rsidRDefault="00284A74" w:rsidP="00284A74">
      <w:pPr>
        <w:pStyle w:val="ACMACorporateAddresses"/>
      </w:pPr>
      <w:r w:rsidRPr="00A17B1B">
        <w:t>PO Box Q500</w:t>
      </w:r>
      <w:r w:rsidRPr="00A17B1B">
        <w:br/>
        <w:t xml:space="preserve">Queen Victoria Building </w:t>
      </w:r>
      <w:r w:rsidRPr="00A17B1B">
        <w:br/>
        <w:t>NSW 1230</w:t>
      </w:r>
    </w:p>
    <w:p w14:paraId="73F35190" w14:textId="77777777" w:rsidR="00284A74" w:rsidRPr="00A17B1B" w:rsidRDefault="00284A74" w:rsidP="00284A74">
      <w:pPr>
        <w:pStyle w:val="ACMACorporateAddresses"/>
      </w:pPr>
      <w:r w:rsidRPr="00A17B1B">
        <w:t>T</w:t>
      </w:r>
      <w:r w:rsidRPr="00A17B1B">
        <w:tab/>
        <w:t>+61 2 9334 7700</w:t>
      </w:r>
      <w:r w:rsidRPr="00A17B1B">
        <w:br/>
        <w:t>F</w:t>
      </w:r>
      <w:r w:rsidRPr="00A17B1B">
        <w:tab/>
        <w:t>+61 2 9334 7799</w:t>
      </w:r>
    </w:p>
    <w:p w14:paraId="588D008A" w14:textId="77777777" w:rsidR="00284A74" w:rsidRPr="00A17B1B" w:rsidRDefault="00284A74" w:rsidP="005A62E5">
      <w:pPr>
        <w:pStyle w:val="ACMACopyrightHeader"/>
        <w:spacing w:before="4200"/>
      </w:pPr>
      <w:r w:rsidRPr="00A17B1B">
        <w:t>Copyright notice</w:t>
      </w:r>
    </w:p>
    <w:p w14:paraId="345A9875" w14:textId="77777777" w:rsidR="00284A74" w:rsidRPr="00A17B1B" w:rsidRDefault="00284A74" w:rsidP="00284A74">
      <w:pPr>
        <w:pStyle w:val="ACMACClogo"/>
      </w:pPr>
      <w:r w:rsidRPr="00A17B1B">
        <w:rPr>
          <w:noProof/>
        </w:rPr>
        <w:drawing>
          <wp:inline distT="0" distB="0" distL="0" distR="0" wp14:anchorId="00AB782E" wp14:editId="4D2E26F8">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129790AE" w14:textId="77777777" w:rsidR="00284A74" w:rsidRPr="00A17B1B" w:rsidRDefault="0087562E" w:rsidP="00284A74">
      <w:pPr>
        <w:pStyle w:val="ACMACorporateAddresses"/>
        <w:rPr>
          <w:rStyle w:val="Hyperlink"/>
        </w:rPr>
      </w:pPr>
      <w:hyperlink r:id="rId13" w:history="1">
        <w:r w:rsidR="00284A74" w:rsidRPr="00A17B1B">
          <w:rPr>
            <w:rStyle w:val="Hyperlink"/>
          </w:rPr>
          <w:t>https://creativecommons.org/licenses/by/4.0/</w:t>
        </w:r>
      </w:hyperlink>
    </w:p>
    <w:p w14:paraId="5B962453" w14:textId="77777777" w:rsidR="00AA1F0B" w:rsidRPr="00E162C4" w:rsidRDefault="00AA1F0B" w:rsidP="00AA1F0B">
      <w:pPr>
        <w:pStyle w:val="ACMACorporateAddresses"/>
      </w:pPr>
      <w:r>
        <w:t>Except for the Commonwealth</w:t>
      </w:r>
      <w:r w:rsidRPr="00E162C4">
        <w:t xml:space="preserve"> </w:t>
      </w:r>
      <w:r>
        <w:t>C</w:t>
      </w:r>
      <w:r w:rsidRPr="00E162C4">
        <w:t xml:space="preserve">oat of </w:t>
      </w:r>
      <w:r>
        <w:t>A</w:t>
      </w:r>
      <w:r w:rsidRPr="00E162C4">
        <w:t xml:space="preserve">rms, logos, emblems, images, other third-party </w:t>
      </w:r>
      <w:proofErr w:type="gramStart"/>
      <w:r w:rsidRPr="00E162C4">
        <w:t>material</w:t>
      </w:r>
      <w:proofErr w:type="gramEnd"/>
      <w:r w:rsidRPr="00E162C4">
        <w:t xml:space="preserve"> or devices protected by a trademark, this content is made available under the terms of the Creative Commons Attribution 4.0 International (CC BY 4.0) licence. </w:t>
      </w:r>
    </w:p>
    <w:p w14:paraId="29FC5813" w14:textId="77777777" w:rsidR="00AA1F0B" w:rsidRPr="00E162C4" w:rsidRDefault="00AA1F0B" w:rsidP="00AA1F0B">
      <w:pPr>
        <w:pStyle w:val="ACMACorporateAddresses"/>
      </w:pPr>
      <w:r w:rsidRPr="00E162C4">
        <w:t>All other rights are reserved.</w:t>
      </w:r>
    </w:p>
    <w:p w14:paraId="50CB9529" w14:textId="77777777" w:rsidR="00AA1F0B" w:rsidRDefault="00AA1F0B" w:rsidP="00AA1F0B">
      <w:pPr>
        <w:pStyle w:val="ACMACorporateAddresses"/>
      </w:pPr>
      <w:r w:rsidRPr="00E162C4">
        <w:t>The Australian Communications and Media Authority has undertaken reasonable enquiries to identify material owned by third parties and secure permission for its reproduction. Permission may need to be obtained from third parties to re-use their material.</w:t>
      </w:r>
    </w:p>
    <w:p w14:paraId="2D2631F1" w14:textId="77777777" w:rsidR="00AA1F0B" w:rsidRPr="00D04C32" w:rsidRDefault="00AA1F0B" w:rsidP="00AA1F0B">
      <w:pPr>
        <w:pStyle w:val="ACMACorporateAddresses"/>
        <w:rPr>
          <w:rStyle w:val="Hyperlink"/>
          <w:color w:val="auto"/>
          <w:u w:val="none"/>
        </w:rPr>
      </w:pPr>
      <w:r w:rsidRPr="00E162C4">
        <w:t>We request attribution as © Commonwealth of Australia (Australian Communications and Media Authority) 202</w:t>
      </w:r>
      <w:r>
        <w:t>4</w:t>
      </w:r>
      <w:r w:rsidRPr="00E162C4">
        <w:t xml:space="preserve">. </w:t>
      </w:r>
    </w:p>
    <w:p w14:paraId="2D56C18B" w14:textId="77777777" w:rsidR="00D16FE3" w:rsidRPr="00A17B1B" w:rsidRDefault="00D16FE3" w:rsidP="00D16FE3">
      <w:pPr>
        <w:pStyle w:val="ACMACorporateAddresses"/>
        <w:sectPr w:rsidR="00D16FE3" w:rsidRPr="00A17B1B" w:rsidSect="005A62E5">
          <w:headerReference w:type="even" r:id="rId14"/>
          <w:headerReference w:type="default" r:id="rId15"/>
          <w:footerReference w:type="even" r:id="rId16"/>
          <w:footerReference w:type="default" r:id="rId17"/>
          <w:pgSz w:w="11906" w:h="16838" w:code="9"/>
          <w:pgMar w:top="3924" w:right="1418" w:bottom="1134" w:left="1418" w:header="709" w:footer="119" w:gutter="0"/>
          <w:cols w:space="708"/>
          <w:docGrid w:linePitch="360"/>
        </w:sectPr>
      </w:pPr>
    </w:p>
    <w:p w14:paraId="58481A1F" w14:textId="6AC43119" w:rsidR="0087562E" w:rsidRDefault="00DF0799">
      <w:pPr>
        <w:pStyle w:val="TOC1"/>
        <w:rPr>
          <w:rFonts w:asciiTheme="minorHAnsi" w:eastAsiaTheme="minorEastAsia" w:hAnsiTheme="minorHAnsi" w:cstheme="minorBidi"/>
          <w:b w:val="0"/>
          <w:spacing w:val="0"/>
          <w:kern w:val="2"/>
          <w:sz w:val="22"/>
          <w:szCs w:val="22"/>
          <w14:ligatures w14:val="standardContextual"/>
        </w:rPr>
      </w:pPr>
      <w:r w:rsidRPr="00A17B1B">
        <w:rPr>
          <w:rFonts w:cs="Arial"/>
        </w:rPr>
        <w:lastRenderedPageBreak/>
        <w:fldChar w:fldCharType="begin"/>
      </w:r>
      <w:r w:rsidRPr="00A17B1B">
        <w:rPr>
          <w:rFonts w:cs="Arial"/>
        </w:rPr>
        <w:instrText xml:space="preserve"> TOC \o "1-3" \h \z \t "Exec summary heading,1" </w:instrText>
      </w:r>
      <w:r w:rsidRPr="00A17B1B">
        <w:rPr>
          <w:rFonts w:cs="Arial"/>
        </w:rPr>
        <w:fldChar w:fldCharType="separate"/>
      </w:r>
      <w:hyperlink w:anchor="_Toc175922758" w:history="1">
        <w:r w:rsidR="0087562E" w:rsidRPr="00DD6955">
          <w:rPr>
            <w:rStyle w:val="Hyperlink"/>
          </w:rPr>
          <w:t>Background</w:t>
        </w:r>
        <w:r w:rsidR="0087562E">
          <w:rPr>
            <w:webHidden/>
          </w:rPr>
          <w:tab/>
        </w:r>
        <w:r w:rsidR="0087562E">
          <w:rPr>
            <w:webHidden/>
          </w:rPr>
          <w:fldChar w:fldCharType="begin"/>
        </w:r>
        <w:r w:rsidR="0087562E">
          <w:rPr>
            <w:webHidden/>
          </w:rPr>
          <w:instrText xml:space="preserve"> PAGEREF _Toc175922758 \h </w:instrText>
        </w:r>
        <w:r w:rsidR="0087562E">
          <w:rPr>
            <w:webHidden/>
          </w:rPr>
        </w:r>
        <w:r w:rsidR="0087562E">
          <w:rPr>
            <w:webHidden/>
          </w:rPr>
          <w:fldChar w:fldCharType="separate"/>
        </w:r>
        <w:r w:rsidR="0087562E">
          <w:rPr>
            <w:webHidden/>
          </w:rPr>
          <w:t>1</w:t>
        </w:r>
        <w:r w:rsidR="0087562E">
          <w:rPr>
            <w:webHidden/>
          </w:rPr>
          <w:fldChar w:fldCharType="end"/>
        </w:r>
      </w:hyperlink>
    </w:p>
    <w:p w14:paraId="611F0B40" w14:textId="003089B0" w:rsidR="0087562E" w:rsidRDefault="0087562E">
      <w:pPr>
        <w:pStyle w:val="TOC1"/>
        <w:rPr>
          <w:rFonts w:asciiTheme="minorHAnsi" w:eastAsiaTheme="minorEastAsia" w:hAnsiTheme="minorHAnsi" w:cstheme="minorBidi"/>
          <w:b w:val="0"/>
          <w:spacing w:val="0"/>
          <w:kern w:val="2"/>
          <w:sz w:val="22"/>
          <w:szCs w:val="22"/>
          <w14:ligatures w14:val="standardContextual"/>
        </w:rPr>
      </w:pPr>
      <w:hyperlink w:anchor="_Toc175922759" w:history="1">
        <w:r w:rsidRPr="00DD6955">
          <w:rPr>
            <w:rStyle w:val="Hyperlink"/>
          </w:rPr>
          <w:t>What the legislative instrument does</w:t>
        </w:r>
        <w:r>
          <w:rPr>
            <w:webHidden/>
          </w:rPr>
          <w:tab/>
        </w:r>
        <w:r>
          <w:rPr>
            <w:webHidden/>
          </w:rPr>
          <w:fldChar w:fldCharType="begin"/>
        </w:r>
        <w:r>
          <w:rPr>
            <w:webHidden/>
          </w:rPr>
          <w:instrText xml:space="preserve"> PAGEREF _Toc175922759 \h </w:instrText>
        </w:r>
        <w:r>
          <w:rPr>
            <w:webHidden/>
          </w:rPr>
        </w:r>
        <w:r>
          <w:rPr>
            <w:webHidden/>
          </w:rPr>
          <w:fldChar w:fldCharType="separate"/>
        </w:r>
        <w:r>
          <w:rPr>
            <w:webHidden/>
          </w:rPr>
          <w:t>2</w:t>
        </w:r>
        <w:r>
          <w:rPr>
            <w:webHidden/>
          </w:rPr>
          <w:fldChar w:fldCharType="end"/>
        </w:r>
      </w:hyperlink>
    </w:p>
    <w:p w14:paraId="7EFF8271" w14:textId="4BF81096" w:rsidR="0087562E" w:rsidRDefault="0087562E">
      <w:pPr>
        <w:pStyle w:val="TOC2"/>
        <w:rPr>
          <w:rFonts w:asciiTheme="minorHAnsi" w:eastAsiaTheme="minorEastAsia" w:hAnsiTheme="minorHAnsi" w:cstheme="minorBidi"/>
          <w:spacing w:val="0"/>
          <w:kern w:val="2"/>
          <w:sz w:val="22"/>
          <w:szCs w:val="22"/>
          <w14:ligatures w14:val="standardContextual"/>
        </w:rPr>
      </w:pPr>
      <w:hyperlink w:anchor="_Toc175922760" w:history="1">
        <w:r w:rsidRPr="00DD6955">
          <w:rPr>
            <w:rStyle w:val="Hyperlink"/>
          </w:rPr>
          <w:t>Radiocommunications (Interpretation) Determination 2015</w:t>
        </w:r>
        <w:r>
          <w:rPr>
            <w:webHidden/>
          </w:rPr>
          <w:tab/>
        </w:r>
        <w:r>
          <w:rPr>
            <w:webHidden/>
          </w:rPr>
          <w:fldChar w:fldCharType="begin"/>
        </w:r>
        <w:r>
          <w:rPr>
            <w:webHidden/>
          </w:rPr>
          <w:instrText xml:space="preserve"> PAGEREF _Toc175922760 \h </w:instrText>
        </w:r>
        <w:r>
          <w:rPr>
            <w:webHidden/>
          </w:rPr>
        </w:r>
        <w:r>
          <w:rPr>
            <w:webHidden/>
          </w:rPr>
          <w:fldChar w:fldCharType="separate"/>
        </w:r>
        <w:r>
          <w:rPr>
            <w:webHidden/>
          </w:rPr>
          <w:t>2</w:t>
        </w:r>
        <w:r>
          <w:rPr>
            <w:webHidden/>
          </w:rPr>
          <w:fldChar w:fldCharType="end"/>
        </w:r>
      </w:hyperlink>
    </w:p>
    <w:p w14:paraId="2B3C3458" w14:textId="501A48EE" w:rsidR="0087562E" w:rsidRDefault="0087562E">
      <w:pPr>
        <w:pStyle w:val="TOC1"/>
        <w:rPr>
          <w:rFonts w:asciiTheme="minorHAnsi" w:eastAsiaTheme="minorEastAsia" w:hAnsiTheme="minorHAnsi" w:cstheme="minorBidi"/>
          <w:b w:val="0"/>
          <w:spacing w:val="0"/>
          <w:kern w:val="2"/>
          <w:sz w:val="22"/>
          <w:szCs w:val="22"/>
          <w14:ligatures w14:val="standardContextual"/>
        </w:rPr>
      </w:pPr>
      <w:hyperlink w:anchor="_Toc175922761" w:history="1">
        <w:r w:rsidRPr="00DD6955">
          <w:rPr>
            <w:rStyle w:val="Hyperlink"/>
          </w:rPr>
          <w:t>Proposed changes to the instrument</w:t>
        </w:r>
        <w:r>
          <w:rPr>
            <w:webHidden/>
          </w:rPr>
          <w:tab/>
        </w:r>
        <w:r>
          <w:rPr>
            <w:webHidden/>
          </w:rPr>
          <w:fldChar w:fldCharType="begin"/>
        </w:r>
        <w:r>
          <w:rPr>
            <w:webHidden/>
          </w:rPr>
          <w:instrText xml:space="preserve"> PAGEREF _Toc175922761 \h </w:instrText>
        </w:r>
        <w:r>
          <w:rPr>
            <w:webHidden/>
          </w:rPr>
        </w:r>
        <w:r>
          <w:rPr>
            <w:webHidden/>
          </w:rPr>
          <w:fldChar w:fldCharType="separate"/>
        </w:r>
        <w:r>
          <w:rPr>
            <w:webHidden/>
          </w:rPr>
          <w:t>3</w:t>
        </w:r>
        <w:r>
          <w:rPr>
            <w:webHidden/>
          </w:rPr>
          <w:fldChar w:fldCharType="end"/>
        </w:r>
      </w:hyperlink>
    </w:p>
    <w:p w14:paraId="3FB0E138" w14:textId="742C78BE" w:rsidR="0087562E" w:rsidRDefault="0087562E">
      <w:pPr>
        <w:pStyle w:val="TOC2"/>
        <w:rPr>
          <w:rFonts w:asciiTheme="minorHAnsi" w:eastAsiaTheme="minorEastAsia" w:hAnsiTheme="minorHAnsi" w:cstheme="minorBidi"/>
          <w:spacing w:val="0"/>
          <w:kern w:val="2"/>
          <w:sz w:val="22"/>
          <w:szCs w:val="22"/>
          <w14:ligatures w14:val="standardContextual"/>
        </w:rPr>
      </w:pPr>
      <w:hyperlink w:anchor="_Toc175922762" w:history="1">
        <w:r w:rsidRPr="00DD6955">
          <w:rPr>
            <w:rStyle w:val="Hyperlink"/>
          </w:rPr>
          <w:t>Radiocommunications (Interpretation) Determination 2024</w:t>
        </w:r>
        <w:r>
          <w:rPr>
            <w:webHidden/>
          </w:rPr>
          <w:tab/>
        </w:r>
        <w:r>
          <w:rPr>
            <w:webHidden/>
          </w:rPr>
          <w:fldChar w:fldCharType="begin"/>
        </w:r>
        <w:r>
          <w:rPr>
            <w:webHidden/>
          </w:rPr>
          <w:instrText xml:space="preserve"> PAGEREF _Toc175922762 \h </w:instrText>
        </w:r>
        <w:r>
          <w:rPr>
            <w:webHidden/>
          </w:rPr>
        </w:r>
        <w:r>
          <w:rPr>
            <w:webHidden/>
          </w:rPr>
          <w:fldChar w:fldCharType="separate"/>
        </w:r>
        <w:r>
          <w:rPr>
            <w:webHidden/>
          </w:rPr>
          <w:t>3</w:t>
        </w:r>
        <w:r>
          <w:rPr>
            <w:webHidden/>
          </w:rPr>
          <w:fldChar w:fldCharType="end"/>
        </w:r>
      </w:hyperlink>
    </w:p>
    <w:p w14:paraId="7FBD0598" w14:textId="6654EC23" w:rsidR="0087562E" w:rsidRDefault="0087562E">
      <w:pPr>
        <w:pStyle w:val="TOC3"/>
        <w:rPr>
          <w:rFonts w:asciiTheme="minorHAnsi" w:eastAsiaTheme="minorEastAsia" w:hAnsiTheme="minorHAnsi" w:cstheme="minorBidi"/>
          <w:kern w:val="2"/>
          <w14:ligatures w14:val="standardContextual"/>
        </w:rPr>
      </w:pPr>
      <w:hyperlink w:anchor="_Toc175922763" w:history="1">
        <w:r w:rsidRPr="00DD6955">
          <w:rPr>
            <w:rStyle w:val="Hyperlink"/>
          </w:rPr>
          <w:t>Changes to the substantive provisions</w:t>
        </w:r>
        <w:r>
          <w:rPr>
            <w:webHidden/>
          </w:rPr>
          <w:tab/>
        </w:r>
        <w:r>
          <w:rPr>
            <w:webHidden/>
          </w:rPr>
          <w:fldChar w:fldCharType="begin"/>
        </w:r>
        <w:r>
          <w:rPr>
            <w:webHidden/>
          </w:rPr>
          <w:instrText xml:space="preserve"> PAGEREF _Toc175922763 \h </w:instrText>
        </w:r>
        <w:r>
          <w:rPr>
            <w:webHidden/>
          </w:rPr>
        </w:r>
        <w:r>
          <w:rPr>
            <w:webHidden/>
          </w:rPr>
          <w:fldChar w:fldCharType="separate"/>
        </w:r>
        <w:r>
          <w:rPr>
            <w:webHidden/>
          </w:rPr>
          <w:t>3</w:t>
        </w:r>
        <w:r>
          <w:rPr>
            <w:webHidden/>
          </w:rPr>
          <w:fldChar w:fldCharType="end"/>
        </w:r>
      </w:hyperlink>
    </w:p>
    <w:p w14:paraId="118C99C6" w14:textId="6AB4D447" w:rsidR="0087562E" w:rsidRDefault="0087562E">
      <w:pPr>
        <w:pStyle w:val="TOC3"/>
        <w:rPr>
          <w:rFonts w:asciiTheme="minorHAnsi" w:eastAsiaTheme="minorEastAsia" w:hAnsiTheme="minorHAnsi" w:cstheme="minorBidi"/>
          <w:kern w:val="2"/>
          <w14:ligatures w14:val="standardContextual"/>
        </w:rPr>
      </w:pPr>
      <w:hyperlink w:anchor="_Toc175922764" w:history="1">
        <w:r w:rsidRPr="00DD6955">
          <w:rPr>
            <w:rStyle w:val="Hyperlink"/>
          </w:rPr>
          <w:t>Inclusion of expressions and their definitions</w:t>
        </w:r>
        <w:r>
          <w:rPr>
            <w:webHidden/>
          </w:rPr>
          <w:tab/>
        </w:r>
        <w:r>
          <w:rPr>
            <w:webHidden/>
          </w:rPr>
          <w:fldChar w:fldCharType="begin"/>
        </w:r>
        <w:r>
          <w:rPr>
            <w:webHidden/>
          </w:rPr>
          <w:instrText xml:space="preserve"> PAGEREF _Toc175922764 \h </w:instrText>
        </w:r>
        <w:r>
          <w:rPr>
            <w:webHidden/>
          </w:rPr>
        </w:r>
        <w:r>
          <w:rPr>
            <w:webHidden/>
          </w:rPr>
          <w:fldChar w:fldCharType="separate"/>
        </w:r>
        <w:r>
          <w:rPr>
            <w:webHidden/>
          </w:rPr>
          <w:t>3</w:t>
        </w:r>
        <w:r>
          <w:rPr>
            <w:webHidden/>
          </w:rPr>
          <w:fldChar w:fldCharType="end"/>
        </w:r>
      </w:hyperlink>
    </w:p>
    <w:p w14:paraId="59F3F6A7" w14:textId="3064CF91" w:rsidR="0087562E" w:rsidRDefault="0087562E">
      <w:pPr>
        <w:pStyle w:val="TOC3"/>
        <w:rPr>
          <w:rFonts w:asciiTheme="minorHAnsi" w:eastAsiaTheme="minorEastAsia" w:hAnsiTheme="minorHAnsi" w:cstheme="minorBidi"/>
          <w:kern w:val="2"/>
          <w14:ligatures w14:val="standardContextual"/>
        </w:rPr>
      </w:pPr>
      <w:hyperlink w:anchor="_Toc175922765" w:history="1">
        <w:r w:rsidRPr="00DD6955">
          <w:rPr>
            <w:rStyle w:val="Hyperlink"/>
          </w:rPr>
          <w:t>Changes to expressions and definitions</w:t>
        </w:r>
        <w:r>
          <w:rPr>
            <w:webHidden/>
          </w:rPr>
          <w:tab/>
        </w:r>
        <w:r>
          <w:rPr>
            <w:webHidden/>
          </w:rPr>
          <w:fldChar w:fldCharType="begin"/>
        </w:r>
        <w:r>
          <w:rPr>
            <w:webHidden/>
          </w:rPr>
          <w:instrText xml:space="preserve"> PAGEREF _Toc175922765 \h </w:instrText>
        </w:r>
        <w:r>
          <w:rPr>
            <w:webHidden/>
          </w:rPr>
        </w:r>
        <w:r>
          <w:rPr>
            <w:webHidden/>
          </w:rPr>
          <w:fldChar w:fldCharType="separate"/>
        </w:r>
        <w:r>
          <w:rPr>
            <w:webHidden/>
          </w:rPr>
          <w:t>4</w:t>
        </w:r>
        <w:r>
          <w:rPr>
            <w:webHidden/>
          </w:rPr>
          <w:fldChar w:fldCharType="end"/>
        </w:r>
      </w:hyperlink>
    </w:p>
    <w:p w14:paraId="7F4A4792" w14:textId="356694E4" w:rsidR="0087562E" w:rsidRDefault="0087562E">
      <w:pPr>
        <w:pStyle w:val="TOC1"/>
        <w:rPr>
          <w:rFonts w:asciiTheme="minorHAnsi" w:eastAsiaTheme="minorEastAsia" w:hAnsiTheme="minorHAnsi" w:cstheme="minorBidi"/>
          <w:b w:val="0"/>
          <w:spacing w:val="0"/>
          <w:kern w:val="2"/>
          <w:sz w:val="22"/>
          <w:szCs w:val="22"/>
          <w14:ligatures w14:val="standardContextual"/>
        </w:rPr>
      </w:pPr>
      <w:hyperlink w:anchor="_Toc175922766" w:history="1">
        <w:r w:rsidRPr="00DD6955">
          <w:rPr>
            <w:rStyle w:val="Hyperlink"/>
          </w:rPr>
          <w:t>Invitation to comment</w:t>
        </w:r>
        <w:r>
          <w:rPr>
            <w:webHidden/>
          </w:rPr>
          <w:tab/>
        </w:r>
        <w:r>
          <w:rPr>
            <w:webHidden/>
          </w:rPr>
          <w:fldChar w:fldCharType="begin"/>
        </w:r>
        <w:r>
          <w:rPr>
            <w:webHidden/>
          </w:rPr>
          <w:instrText xml:space="preserve"> PAGEREF _Toc175922766 \h </w:instrText>
        </w:r>
        <w:r>
          <w:rPr>
            <w:webHidden/>
          </w:rPr>
        </w:r>
        <w:r>
          <w:rPr>
            <w:webHidden/>
          </w:rPr>
          <w:fldChar w:fldCharType="separate"/>
        </w:r>
        <w:r>
          <w:rPr>
            <w:webHidden/>
          </w:rPr>
          <w:t>8</w:t>
        </w:r>
        <w:r>
          <w:rPr>
            <w:webHidden/>
          </w:rPr>
          <w:fldChar w:fldCharType="end"/>
        </w:r>
      </w:hyperlink>
    </w:p>
    <w:p w14:paraId="5FA8A340" w14:textId="3C0D49DB" w:rsidR="0087562E" w:rsidRDefault="0087562E">
      <w:pPr>
        <w:pStyle w:val="TOC2"/>
        <w:rPr>
          <w:rFonts w:asciiTheme="minorHAnsi" w:eastAsiaTheme="minorEastAsia" w:hAnsiTheme="minorHAnsi" w:cstheme="minorBidi"/>
          <w:spacing w:val="0"/>
          <w:kern w:val="2"/>
          <w:sz w:val="22"/>
          <w:szCs w:val="22"/>
          <w14:ligatures w14:val="standardContextual"/>
        </w:rPr>
      </w:pPr>
      <w:hyperlink w:anchor="_Toc175922767" w:history="1">
        <w:r w:rsidRPr="00DD6955">
          <w:rPr>
            <w:rStyle w:val="Hyperlink"/>
          </w:rPr>
          <w:t>Making a submission</w:t>
        </w:r>
        <w:r>
          <w:rPr>
            <w:webHidden/>
          </w:rPr>
          <w:tab/>
        </w:r>
        <w:r>
          <w:rPr>
            <w:webHidden/>
          </w:rPr>
          <w:fldChar w:fldCharType="begin"/>
        </w:r>
        <w:r>
          <w:rPr>
            <w:webHidden/>
          </w:rPr>
          <w:instrText xml:space="preserve"> PAGEREF _Toc175922767 \h </w:instrText>
        </w:r>
        <w:r>
          <w:rPr>
            <w:webHidden/>
          </w:rPr>
        </w:r>
        <w:r>
          <w:rPr>
            <w:webHidden/>
          </w:rPr>
          <w:fldChar w:fldCharType="separate"/>
        </w:r>
        <w:r>
          <w:rPr>
            <w:webHidden/>
          </w:rPr>
          <w:t>8</w:t>
        </w:r>
        <w:r>
          <w:rPr>
            <w:webHidden/>
          </w:rPr>
          <w:fldChar w:fldCharType="end"/>
        </w:r>
      </w:hyperlink>
    </w:p>
    <w:p w14:paraId="638BA7CA" w14:textId="7C3A6C7E" w:rsidR="0087562E" w:rsidRDefault="0087562E">
      <w:pPr>
        <w:pStyle w:val="TOC3"/>
        <w:rPr>
          <w:rFonts w:asciiTheme="minorHAnsi" w:eastAsiaTheme="minorEastAsia" w:hAnsiTheme="minorHAnsi" w:cstheme="minorBidi"/>
          <w:kern w:val="2"/>
          <w14:ligatures w14:val="standardContextual"/>
        </w:rPr>
      </w:pPr>
      <w:hyperlink w:anchor="_Toc175922768" w:history="1">
        <w:r w:rsidRPr="00DD6955">
          <w:rPr>
            <w:rStyle w:val="Hyperlink"/>
          </w:rPr>
          <w:t>Publication of submissions</w:t>
        </w:r>
        <w:r>
          <w:rPr>
            <w:webHidden/>
          </w:rPr>
          <w:tab/>
        </w:r>
        <w:r>
          <w:rPr>
            <w:webHidden/>
          </w:rPr>
          <w:fldChar w:fldCharType="begin"/>
        </w:r>
        <w:r>
          <w:rPr>
            <w:webHidden/>
          </w:rPr>
          <w:instrText xml:space="preserve"> PAGEREF _Toc175922768 \h </w:instrText>
        </w:r>
        <w:r>
          <w:rPr>
            <w:webHidden/>
          </w:rPr>
        </w:r>
        <w:r>
          <w:rPr>
            <w:webHidden/>
          </w:rPr>
          <w:fldChar w:fldCharType="separate"/>
        </w:r>
        <w:r>
          <w:rPr>
            <w:webHidden/>
          </w:rPr>
          <w:t>8</w:t>
        </w:r>
        <w:r>
          <w:rPr>
            <w:webHidden/>
          </w:rPr>
          <w:fldChar w:fldCharType="end"/>
        </w:r>
      </w:hyperlink>
    </w:p>
    <w:p w14:paraId="7FB0CC8B" w14:textId="21A29AB7" w:rsidR="0087562E" w:rsidRDefault="0087562E">
      <w:pPr>
        <w:pStyle w:val="TOC3"/>
        <w:rPr>
          <w:rFonts w:asciiTheme="minorHAnsi" w:eastAsiaTheme="minorEastAsia" w:hAnsiTheme="minorHAnsi" w:cstheme="minorBidi"/>
          <w:kern w:val="2"/>
          <w14:ligatures w14:val="standardContextual"/>
        </w:rPr>
      </w:pPr>
      <w:hyperlink w:anchor="_Toc175922769" w:history="1">
        <w:r w:rsidRPr="00DD6955">
          <w:rPr>
            <w:rStyle w:val="Hyperlink"/>
          </w:rPr>
          <w:t>Privacy</w:t>
        </w:r>
        <w:r>
          <w:rPr>
            <w:webHidden/>
          </w:rPr>
          <w:tab/>
        </w:r>
        <w:r>
          <w:rPr>
            <w:webHidden/>
          </w:rPr>
          <w:fldChar w:fldCharType="begin"/>
        </w:r>
        <w:r>
          <w:rPr>
            <w:webHidden/>
          </w:rPr>
          <w:instrText xml:space="preserve"> PAGEREF _Toc175922769 \h </w:instrText>
        </w:r>
        <w:r>
          <w:rPr>
            <w:webHidden/>
          </w:rPr>
        </w:r>
        <w:r>
          <w:rPr>
            <w:webHidden/>
          </w:rPr>
          <w:fldChar w:fldCharType="separate"/>
        </w:r>
        <w:r>
          <w:rPr>
            <w:webHidden/>
          </w:rPr>
          <w:t>8</w:t>
        </w:r>
        <w:r>
          <w:rPr>
            <w:webHidden/>
          </w:rPr>
          <w:fldChar w:fldCharType="end"/>
        </w:r>
      </w:hyperlink>
    </w:p>
    <w:p w14:paraId="5D8F0053" w14:textId="3CA3DA5F" w:rsidR="004D56FF" w:rsidRPr="00A17B1B" w:rsidRDefault="00DF0799">
      <w:pPr>
        <w:rPr>
          <w:rFonts w:cs="Arial"/>
        </w:rPr>
        <w:sectPr w:rsidR="004D56FF" w:rsidRPr="00A17B1B" w:rsidSect="005A62E5">
          <w:headerReference w:type="even" r:id="rId18"/>
          <w:headerReference w:type="default" r:id="rId19"/>
          <w:footerReference w:type="even" r:id="rId20"/>
          <w:footerReference w:type="default" r:id="rId21"/>
          <w:footerReference w:type="first" r:id="rId22"/>
          <w:pgSz w:w="11906" w:h="16838" w:code="9"/>
          <w:pgMar w:top="1418" w:right="1418" w:bottom="1134" w:left="1418" w:header="709" w:footer="119" w:gutter="0"/>
          <w:pgNumType w:fmt="lowerRoman" w:start="3"/>
          <w:cols w:space="708"/>
          <w:titlePg/>
          <w:docGrid w:linePitch="360"/>
        </w:sectPr>
      </w:pPr>
      <w:r w:rsidRPr="00A17B1B">
        <w:rPr>
          <w:rFonts w:cs="Arial"/>
        </w:rPr>
        <w:fldChar w:fldCharType="end"/>
      </w:r>
    </w:p>
    <w:p w14:paraId="520C61AB" w14:textId="50C26234" w:rsidR="005E250B" w:rsidRPr="00A17B1B" w:rsidRDefault="00607B10" w:rsidP="005E250B">
      <w:pPr>
        <w:pStyle w:val="Heading1"/>
      </w:pPr>
      <w:bookmarkStart w:id="0" w:name="_Toc175922758"/>
      <w:r>
        <w:lastRenderedPageBreak/>
        <w:t>Background</w:t>
      </w:r>
      <w:bookmarkEnd w:id="0"/>
      <w:r w:rsidR="005E250B" w:rsidRPr="00A17B1B">
        <w:t xml:space="preserve"> </w:t>
      </w:r>
    </w:p>
    <w:p w14:paraId="6CE43C99" w14:textId="158423F5" w:rsidR="0073681F" w:rsidRPr="00D1534E" w:rsidRDefault="0073681F" w:rsidP="0073681F">
      <w:pPr>
        <w:pStyle w:val="Paragraph"/>
      </w:pPr>
      <w:bookmarkStart w:id="1" w:name="_Hlk26868934"/>
      <w:r w:rsidRPr="00D1534E">
        <w:t xml:space="preserve">Under Part 4 of Chapter 3 of the </w:t>
      </w:r>
      <w:r w:rsidRPr="00D1534E">
        <w:rPr>
          <w:i/>
        </w:rPr>
        <w:t>Legislation Act 2003</w:t>
      </w:r>
      <w:r w:rsidRPr="00D1534E">
        <w:t>, most legislative instruments ‘sunset’</w:t>
      </w:r>
      <w:r w:rsidR="00EA5E62">
        <w:t>. T</w:t>
      </w:r>
      <w:r w:rsidRPr="00D1534E">
        <w:t xml:space="preserve">hat is, they are automatically repealed on 1 April or 1 October that first occurs 10 years after they are registered. This is an automatic process applying to most legislative instruments regardless of their </w:t>
      </w:r>
      <w:proofErr w:type="gramStart"/>
      <w:r w:rsidRPr="00D1534E">
        <w:t>particular content</w:t>
      </w:r>
      <w:proofErr w:type="gramEnd"/>
      <w:r w:rsidRPr="00D1534E">
        <w:t>.</w:t>
      </w:r>
    </w:p>
    <w:p w14:paraId="0AF5AB1A" w14:textId="3C108682" w:rsidR="0073681F" w:rsidRDefault="0073681F" w:rsidP="0073681F">
      <w:pPr>
        <w:pStyle w:val="Paragraph"/>
      </w:pPr>
      <w:r w:rsidRPr="00D1534E">
        <w:t>Among the legislative instruments made by the ACMA</w:t>
      </w:r>
      <w:r w:rsidR="00EA5E62">
        <w:t xml:space="preserve"> </w:t>
      </w:r>
      <w:r w:rsidRPr="00D1534E">
        <w:t xml:space="preserve">due to sunset </w:t>
      </w:r>
      <w:r>
        <w:t>is:</w:t>
      </w:r>
    </w:p>
    <w:tbl>
      <w:tblPr>
        <w:tblStyle w:val="ACMAtablestyle"/>
        <w:tblW w:w="0" w:type="auto"/>
        <w:tblLook w:val="04A0" w:firstRow="1" w:lastRow="0" w:firstColumn="1" w:lastColumn="0" w:noHBand="0" w:noVBand="1"/>
        <w:tblCaption w:val="Name of instrument/s and sunset date/s"/>
      </w:tblPr>
      <w:tblGrid>
        <w:gridCol w:w="5727"/>
        <w:gridCol w:w="2058"/>
      </w:tblGrid>
      <w:tr w:rsidR="0073681F" w14:paraId="7AA2E6AC" w14:textId="77777777" w:rsidTr="00CE7997">
        <w:trPr>
          <w:cnfStyle w:val="100000000000" w:firstRow="1" w:lastRow="0" w:firstColumn="0" w:lastColumn="0" w:oddVBand="0" w:evenVBand="0" w:oddHBand="0" w:evenHBand="0" w:firstRowFirstColumn="0" w:firstRowLastColumn="0" w:lastRowFirstColumn="0" w:lastRowLastColumn="0"/>
        </w:trPr>
        <w:tc>
          <w:tcPr>
            <w:tcW w:w="5727" w:type="dxa"/>
          </w:tcPr>
          <w:p w14:paraId="0DB1BF1E" w14:textId="77777777" w:rsidR="0073681F" w:rsidRPr="007B712A" w:rsidRDefault="0073681F" w:rsidP="00CE7997">
            <w:pPr>
              <w:pStyle w:val="TableHeading0"/>
            </w:pPr>
            <w:r w:rsidRPr="00D92030">
              <w:t>Name of instrument</w:t>
            </w:r>
          </w:p>
        </w:tc>
        <w:tc>
          <w:tcPr>
            <w:tcW w:w="2058" w:type="dxa"/>
          </w:tcPr>
          <w:p w14:paraId="76FD9DFD" w14:textId="77777777" w:rsidR="0073681F" w:rsidRPr="007B712A" w:rsidRDefault="0073681F" w:rsidP="00CE7997">
            <w:pPr>
              <w:pStyle w:val="TableHeading0"/>
            </w:pPr>
            <w:r w:rsidRPr="00D92030">
              <w:t>Sunset date</w:t>
            </w:r>
          </w:p>
        </w:tc>
      </w:tr>
      <w:tr w:rsidR="0073681F" w14:paraId="10FEEB46" w14:textId="77777777" w:rsidTr="00CE7997">
        <w:trPr>
          <w:cnfStyle w:val="000000100000" w:firstRow="0" w:lastRow="0" w:firstColumn="0" w:lastColumn="0" w:oddVBand="0" w:evenVBand="0" w:oddHBand="1" w:evenHBand="0" w:firstRowFirstColumn="0" w:firstRowLastColumn="0" w:lastRowFirstColumn="0" w:lastRowLastColumn="0"/>
        </w:trPr>
        <w:tc>
          <w:tcPr>
            <w:tcW w:w="5727" w:type="dxa"/>
          </w:tcPr>
          <w:p w14:paraId="567846C0" w14:textId="77169F12" w:rsidR="0073681F" w:rsidRPr="00424903" w:rsidRDefault="0087562E" w:rsidP="00CE7997">
            <w:pPr>
              <w:pStyle w:val="TableBody"/>
              <w:rPr>
                <w:sz w:val="22"/>
                <w:szCs w:val="22"/>
              </w:rPr>
            </w:pPr>
            <w:hyperlink r:id="rId23" w:history="1">
              <w:r w:rsidR="0073681F" w:rsidRPr="004F020D">
                <w:rPr>
                  <w:rStyle w:val="Hyperlink"/>
                  <w:rFonts w:cs="Arial"/>
                  <w:sz w:val="22"/>
                  <w:szCs w:val="22"/>
                </w:rPr>
                <w:t>Radiocommunications (Interpretation) Determination 2015</w:t>
              </w:r>
            </w:hyperlink>
          </w:p>
        </w:tc>
        <w:tc>
          <w:tcPr>
            <w:tcW w:w="2058" w:type="dxa"/>
          </w:tcPr>
          <w:p w14:paraId="5F3F0DBD" w14:textId="77777777" w:rsidR="0073681F" w:rsidRPr="00424903" w:rsidRDefault="0073681F" w:rsidP="00CE7997">
            <w:pPr>
              <w:pStyle w:val="TableBody"/>
              <w:rPr>
                <w:sz w:val="22"/>
                <w:szCs w:val="22"/>
              </w:rPr>
            </w:pPr>
            <w:r w:rsidRPr="00424903">
              <w:rPr>
                <w:rFonts w:cs="Arial"/>
                <w:sz w:val="22"/>
                <w:szCs w:val="22"/>
              </w:rPr>
              <w:t>1 April 2025</w:t>
            </w:r>
          </w:p>
        </w:tc>
      </w:tr>
    </w:tbl>
    <w:p w14:paraId="1E948737" w14:textId="56E9DAF9" w:rsidR="0073681F" w:rsidRPr="00775E4E" w:rsidRDefault="00EA5E62" w:rsidP="0073681F">
      <w:pPr>
        <w:pStyle w:val="Paragraph"/>
        <w:spacing w:before="240"/>
      </w:pPr>
      <w:r>
        <w:t>We have</w:t>
      </w:r>
      <w:r w:rsidR="0073681F" w:rsidRPr="00775E4E">
        <w:t xml:space="preserve"> the preliminary view that </w:t>
      </w:r>
      <w:r w:rsidR="0073681F">
        <w:t xml:space="preserve">this instrument </w:t>
      </w:r>
      <w:r w:rsidR="0073681F" w:rsidRPr="00775E4E">
        <w:t>is operating effectively and efficiently</w:t>
      </w:r>
      <w:r>
        <w:t xml:space="preserve">. </w:t>
      </w:r>
      <w:r w:rsidR="004C43C5">
        <w:t>I</w:t>
      </w:r>
      <w:r>
        <w:t xml:space="preserve">t </w:t>
      </w:r>
      <w:r w:rsidR="0073681F" w:rsidRPr="00775E4E">
        <w:t xml:space="preserve">continues to form a necessary and useful part of the legislative framework. </w:t>
      </w:r>
      <w:r>
        <w:t>We</w:t>
      </w:r>
      <w:r w:rsidR="0073681F" w:rsidRPr="00775E4E">
        <w:t xml:space="preserve"> propose to remake </w:t>
      </w:r>
      <w:r w:rsidR="0073681F">
        <w:t xml:space="preserve">it </w:t>
      </w:r>
      <w:r w:rsidR="0073681F" w:rsidRPr="00775E4E">
        <w:t xml:space="preserve">prior to the sunset date without any significant changes, so that </w:t>
      </w:r>
      <w:r w:rsidR="0073681F">
        <w:t xml:space="preserve">its </w:t>
      </w:r>
      <w:r w:rsidR="0073681F" w:rsidRPr="00775E4E">
        <w:t>effect is preserved.</w:t>
      </w:r>
    </w:p>
    <w:p w14:paraId="431417F4" w14:textId="082E3D67" w:rsidR="0073681F" w:rsidRPr="00970D56" w:rsidRDefault="00EA5E62" w:rsidP="00A473B3">
      <w:pPr>
        <w:pStyle w:val="Paragraph"/>
      </w:pPr>
      <w:r w:rsidRPr="00A473B3">
        <w:rPr>
          <w:vanish/>
        </w:rPr>
        <w:t>We want</w:t>
      </w:r>
      <w:r w:rsidR="0073681F" w:rsidRPr="004F163E">
        <w:t xml:space="preserve"> to remake the instrument with only </w:t>
      </w:r>
      <w:r w:rsidRPr="00A473B3">
        <w:rPr>
          <w:vanish/>
        </w:rPr>
        <w:t>the</w:t>
      </w:r>
      <w:r w:rsidRPr="004F163E">
        <w:t xml:space="preserve"> </w:t>
      </w:r>
      <w:r w:rsidR="0073681F" w:rsidRPr="004F163E">
        <w:t>minor, necessary changes referred to below</w:t>
      </w:r>
      <w:r w:rsidRPr="00A473B3">
        <w:rPr>
          <w:vanish/>
        </w:rPr>
        <w:t xml:space="preserve">. We propose to </w:t>
      </w:r>
      <w:r w:rsidR="0073681F" w:rsidRPr="004F163E">
        <w:t>retitle it: Radiocommunications (Interpretation) Determination 2024.</w:t>
      </w:r>
    </w:p>
    <w:p w14:paraId="15F31301" w14:textId="24D17799" w:rsidR="007E3375" w:rsidRPr="00A17B1B" w:rsidRDefault="007E3375" w:rsidP="007E3375">
      <w:pPr>
        <w:pStyle w:val="Paragraph"/>
        <w:rPr>
          <w:b/>
        </w:rPr>
      </w:pPr>
    </w:p>
    <w:p w14:paraId="292CCC4E" w14:textId="6252BD6B" w:rsidR="000B4664" w:rsidRPr="00A17B1B" w:rsidRDefault="00BE0B3A" w:rsidP="000B4664">
      <w:pPr>
        <w:pStyle w:val="Heading1"/>
      </w:pPr>
      <w:bookmarkStart w:id="2" w:name="_Toc175922759"/>
      <w:bookmarkEnd w:id="1"/>
      <w:r>
        <w:lastRenderedPageBreak/>
        <w:t>W</w:t>
      </w:r>
      <w:r w:rsidR="00C661F4">
        <w:t>hat the legislative instrument does</w:t>
      </w:r>
      <w:bookmarkEnd w:id="2"/>
    </w:p>
    <w:p w14:paraId="36A695FE" w14:textId="362039E0" w:rsidR="005E250B" w:rsidRPr="00A17B1B" w:rsidRDefault="0003021F" w:rsidP="005E250B">
      <w:pPr>
        <w:pStyle w:val="Heading2"/>
      </w:pPr>
      <w:bookmarkStart w:id="3" w:name="_Toc175922760"/>
      <w:r>
        <w:t>Radiocommunications (Interpretation) Determination 2015</w:t>
      </w:r>
      <w:bookmarkEnd w:id="3"/>
      <w:r w:rsidR="005E250B" w:rsidRPr="00A17B1B">
        <w:t xml:space="preserve"> </w:t>
      </w:r>
    </w:p>
    <w:p w14:paraId="52B22D8A" w14:textId="39A8AD76" w:rsidR="007C6D48" w:rsidRPr="007C6D48" w:rsidRDefault="007C6D48" w:rsidP="007C6D48">
      <w:pPr>
        <w:pStyle w:val="Paragraph"/>
        <w:rPr>
          <w:szCs w:val="22"/>
        </w:rPr>
      </w:pPr>
      <w:r w:rsidRPr="007C6D48">
        <w:rPr>
          <w:szCs w:val="22"/>
        </w:rPr>
        <w:t xml:space="preserve">The Radiocommunications (Interpretation) Determination 2015 (ID 2015) is made under subsection 64(1) of the </w:t>
      </w:r>
      <w:r w:rsidRPr="00786DCA">
        <w:rPr>
          <w:i/>
          <w:iCs/>
          <w:szCs w:val="22"/>
        </w:rPr>
        <w:t>Australian Communications and Media Authority Act 2005</w:t>
      </w:r>
      <w:r w:rsidRPr="007C6D48">
        <w:rPr>
          <w:szCs w:val="22"/>
        </w:rPr>
        <w:t xml:space="preserve"> </w:t>
      </w:r>
      <w:r w:rsidR="004F163E">
        <w:rPr>
          <w:szCs w:val="22"/>
        </w:rPr>
        <w:br/>
      </w:r>
      <w:r w:rsidRPr="007C6D48">
        <w:rPr>
          <w:szCs w:val="22"/>
        </w:rPr>
        <w:t>(ACMA Act).</w:t>
      </w:r>
    </w:p>
    <w:p w14:paraId="1889E971" w14:textId="1F557075" w:rsidR="007C6D48" w:rsidRPr="007C6D48" w:rsidRDefault="007C6D48" w:rsidP="007C6D48">
      <w:pPr>
        <w:pStyle w:val="Paragraph"/>
        <w:rPr>
          <w:szCs w:val="22"/>
        </w:rPr>
      </w:pPr>
      <w:bookmarkStart w:id="4" w:name="_Hlk175740471"/>
      <w:r w:rsidRPr="007C6D48">
        <w:rPr>
          <w:szCs w:val="22"/>
        </w:rPr>
        <w:t xml:space="preserve">Under subsection 64(1) of the ACMA Act, </w:t>
      </w:r>
      <w:r w:rsidR="00EA5E62">
        <w:rPr>
          <w:szCs w:val="22"/>
        </w:rPr>
        <w:t>we</w:t>
      </w:r>
      <w:r w:rsidRPr="007C6D48">
        <w:rPr>
          <w:szCs w:val="22"/>
        </w:rPr>
        <w:t xml:space="preserve"> may make a written determination defining one or more expressions used in specified instruments</w:t>
      </w:r>
      <w:r w:rsidR="00BE0B3A">
        <w:rPr>
          <w:szCs w:val="22"/>
        </w:rPr>
        <w:t xml:space="preserve">. These are </w:t>
      </w:r>
      <w:r w:rsidRPr="007C6D48">
        <w:rPr>
          <w:szCs w:val="22"/>
        </w:rPr>
        <w:t>instruments made by the ACMA under one or more laws of the Commonwealth.</w:t>
      </w:r>
    </w:p>
    <w:p w14:paraId="7DCD5383" w14:textId="00A8587D" w:rsidR="007C6D48" w:rsidRPr="007C6D48" w:rsidRDefault="007C6D48" w:rsidP="007C6D48">
      <w:pPr>
        <w:pStyle w:val="Paragraph"/>
        <w:rPr>
          <w:szCs w:val="22"/>
        </w:rPr>
      </w:pPr>
      <w:r w:rsidRPr="007C6D48">
        <w:rPr>
          <w:szCs w:val="22"/>
        </w:rPr>
        <w:t>The ID 2015 defines expressions used in some legislative instruments made by the ACMA. The instruments for which it defines expressions are set out in subsection 3(1) of the instrument. The expressions and their definitions are in Schedule 1.</w:t>
      </w:r>
    </w:p>
    <w:bookmarkEnd w:id="4"/>
    <w:p w14:paraId="046C3D26" w14:textId="4029B0BA" w:rsidR="0007737A" w:rsidRDefault="0007737A" w:rsidP="00C332D9">
      <w:pPr>
        <w:pStyle w:val="Paragraph"/>
      </w:pPr>
    </w:p>
    <w:p w14:paraId="2E4135BD" w14:textId="2DA49D50" w:rsidR="00C11ABF" w:rsidRPr="00A17B1B" w:rsidRDefault="003C1FE3" w:rsidP="00C11ABF">
      <w:pPr>
        <w:pStyle w:val="Heading1"/>
      </w:pPr>
      <w:bookmarkStart w:id="5" w:name="_Toc175922761"/>
      <w:r>
        <w:lastRenderedPageBreak/>
        <w:t xml:space="preserve">Proposed changes to </w:t>
      </w:r>
      <w:r w:rsidR="00C11ABF">
        <w:t>the instrument</w:t>
      </w:r>
      <w:bookmarkEnd w:id="5"/>
    </w:p>
    <w:p w14:paraId="4F4C3D05" w14:textId="22DEBE22" w:rsidR="007118FC" w:rsidRPr="00A17B1B" w:rsidRDefault="007118FC" w:rsidP="007118FC">
      <w:pPr>
        <w:pStyle w:val="Heading2"/>
      </w:pPr>
      <w:bookmarkStart w:id="6" w:name="_Toc298924672"/>
      <w:bookmarkStart w:id="7" w:name="_Toc300909555"/>
      <w:bookmarkStart w:id="8" w:name="_Toc348105636"/>
      <w:bookmarkStart w:id="9" w:name="_Toc175922762"/>
      <w:r>
        <w:t>Radiocommunications (Interpretation) Determination 20</w:t>
      </w:r>
      <w:r w:rsidR="00DA263E">
        <w:t>24</w:t>
      </w:r>
      <w:bookmarkEnd w:id="9"/>
      <w:r w:rsidRPr="00A17B1B">
        <w:t xml:space="preserve"> </w:t>
      </w:r>
    </w:p>
    <w:p w14:paraId="2920F995" w14:textId="13C3AB6D" w:rsidR="004F163E" w:rsidRDefault="003F2E61" w:rsidP="00D66F9E">
      <w:pPr>
        <w:pStyle w:val="Paragraph"/>
      </w:pPr>
      <w:r w:rsidRPr="00992EEE">
        <w:t xml:space="preserve">The ACMA considers that the </w:t>
      </w:r>
      <w:r>
        <w:t xml:space="preserve">ID 2015 is operating effectively and efficiently. We </w:t>
      </w:r>
      <w:r w:rsidR="004F163E">
        <w:t>believe</w:t>
      </w:r>
      <w:r>
        <w:t xml:space="preserve"> it </w:t>
      </w:r>
      <w:r w:rsidRPr="00992EEE">
        <w:t>forms a necessary part of the legislative framework</w:t>
      </w:r>
      <w:r>
        <w:t xml:space="preserve"> by acting as a repository for definitions of expressions used in </w:t>
      </w:r>
      <w:r w:rsidR="00FA2CD8">
        <w:t xml:space="preserve">other </w:t>
      </w:r>
      <w:r>
        <w:t>legislative instruments made by the ACMA</w:t>
      </w:r>
      <w:r w:rsidR="004F163E">
        <w:t>. This is</w:t>
      </w:r>
      <w:r w:rsidR="007D2285">
        <w:t xml:space="preserve"> primarily in relation to apparatus licences</w:t>
      </w:r>
      <w:r w:rsidR="00FA2CD8">
        <w:t>,</w:t>
      </w:r>
      <w:r w:rsidR="007D2285">
        <w:t xml:space="preserve"> class licences</w:t>
      </w:r>
      <w:r w:rsidR="00FA2CD8">
        <w:t>, licence taxes, spectrum planning and equipment regulation</w:t>
      </w:r>
      <w:r>
        <w:t xml:space="preserve">. </w:t>
      </w:r>
    </w:p>
    <w:p w14:paraId="7A597442" w14:textId="1C197FB6" w:rsidR="003F2E61" w:rsidRDefault="003F2E61" w:rsidP="00582765">
      <w:pPr>
        <w:pStyle w:val="Paragraph"/>
      </w:pPr>
      <w:r>
        <w:t>This avoids the need to replicate th</w:t>
      </w:r>
      <w:r w:rsidR="00970D56">
        <w:t>e</w:t>
      </w:r>
      <w:r>
        <w:t xml:space="preserve"> definitions in other instruments. </w:t>
      </w:r>
      <w:r w:rsidR="00970D56">
        <w:t>W</w:t>
      </w:r>
      <w:r w:rsidRPr="00992EEE">
        <w:t xml:space="preserve">e are proposing to remake the </w:t>
      </w:r>
      <w:r>
        <w:t xml:space="preserve">ID 2015 </w:t>
      </w:r>
      <w:r w:rsidRPr="00992EEE">
        <w:t xml:space="preserve">without significant change. </w:t>
      </w:r>
      <w:r w:rsidR="004C43C5">
        <w:t>The</w:t>
      </w:r>
      <w:r w:rsidR="005D211C">
        <w:t xml:space="preserve"> </w:t>
      </w:r>
      <w:r>
        <w:t xml:space="preserve">instrument </w:t>
      </w:r>
      <w:r w:rsidR="005D211C">
        <w:t xml:space="preserve">that </w:t>
      </w:r>
      <w:r w:rsidR="00491119">
        <w:t>will</w:t>
      </w:r>
      <w:r w:rsidR="00F31503">
        <w:t xml:space="preserve">, if made, repeal </w:t>
      </w:r>
      <w:r w:rsidR="004C43C5">
        <w:br/>
      </w:r>
      <w:r w:rsidR="00F31503">
        <w:t xml:space="preserve">and replace the ID 2015 </w:t>
      </w:r>
      <w:r w:rsidR="004C43C5">
        <w:t>is</w:t>
      </w:r>
      <w:r w:rsidR="00970D56">
        <w:t xml:space="preserve"> </w:t>
      </w:r>
      <w:r>
        <w:t xml:space="preserve">the Radiocommunications (Interpretation) Determination 2024 </w:t>
      </w:r>
      <w:r w:rsidR="004C43C5">
        <w:br/>
      </w:r>
      <w:r>
        <w:t>(ID 2024).</w:t>
      </w:r>
    </w:p>
    <w:p w14:paraId="4E3E88F2" w14:textId="4E054B09" w:rsidR="00B43262" w:rsidRPr="00A17B1B" w:rsidRDefault="00CD5203" w:rsidP="00582765">
      <w:pPr>
        <w:pStyle w:val="Paragraph"/>
      </w:pPr>
      <w:r>
        <w:t>Various</w:t>
      </w:r>
      <w:r w:rsidR="00A23D61">
        <w:t xml:space="preserve"> changes in spectrum use, technology, and regulatory arrangements</w:t>
      </w:r>
      <w:r>
        <w:t xml:space="preserve"> have occurred</w:t>
      </w:r>
      <w:r w:rsidR="00A23D61">
        <w:t xml:space="preserve"> </w:t>
      </w:r>
      <w:r w:rsidR="003F2E61">
        <w:t>since the ID 2015 was made</w:t>
      </w:r>
      <w:r w:rsidR="004F6600">
        <w:t>.</w:t>
      </w:r>
      <w:r w:rsidR="003F2E61">
        <w:t xml:space="preserve"> We are taking this opportunity to make </w:t>
      </w:r>
      <w:r w:rsidR="00734F6E">
        <w:t xml:space="preserve">changes to several definitions to reflect the current </w:t>
      </w:r>
      <w:r w:rsidR="0075523E">
        <w:t xml:space="preserve">operating and legislative </w:t>
      </w:r>
      <w:r w:rsidR="00734F6E">
        <w:t>environment.</w:t>
      </w:r>
    </w:p>
    <w:p w14:paraId="50188920" w14:textId="589457B9" w:rsidR="00FD0107" w:rsidRDefault="580E528E" w:rsidP="007E7268">
      <w:pPr>
        <w:pStyle w:val="Heading3"/>
      </w:pPr>
      <w:bookmarkStart w:id="10" w:name="_Toc175922763"/>
      <w:r>
        <w:t>Changes to the s</w:t>
      </w:r>
      <w:r w:rsidR="00CC3DEA">
        <w:t>ubstantive provisions</w:t>
      </w:r>
      <w:bookmarkEnd w:id="10"/>
    </w:p>
    <w:p w14:paraId="7862D985" w14:textId="73858192" w:rsidR="00F23C15" w:rsidRDefault="00F23C15" w:rsidP="00582765">
      <w:pPr>
        <w:pStyle w:val="Paragraph"/>
      </w:pPr>
      <w:r>
        <w:t xml:space="preserve">We have made some </w:t>
      </w:r>
      <w:r w:rsidR="00755F3A">
        <w:t xml:space="preserve">minor </w:t>
      </w:r>
      <w:r>
        <w:t xml:space="preserve">changes to the substantive provisions. </w:t>
      </w:r>
      <w:r w:rsidR="00755F3A">
        <w:t xml:space="preserve">For example, we have </w:t>
      </w:r>
      <w:r w:rsidR="001E183D">
        <w:t>included a frequency band plan made under subsection 32(1) of the Act in section 9</w:t>
      </w:r>
      <w:r w:rsidR="00970D56">
        <w:t>. This</w:t>
      </w:r>
      <w:r w:rsidR="001E183D">
        <w:t xml:space="preserve"> deals with </w:t>
      </w:r>
      <w:r>
        <w:t>references to the spectrum plan in other instruments.</w:t>
      </w:r>
      <w:r w:rsidR="00364B4D">
        <w:t xml:space="preserve"> </w:t>
      </w:r>
      <w:r>
        <w:t xml:space="preserve">We have </w:t>
      </w:r>
      <w:r w:rsidR="000B1B2D">
        <w:t xml:space="preserve">also </w:t>
      </w:r>
      <w:r>
        <w:t xml:space="preserve">included a transitional provision for </w:t>
      </w:r>
      <w:r w:rsidR="00970D56">
        <w:t xml:space="preserve">2 </w:t>
      </w:r>
      <w:r w:rsidR="008232DF">
        <w:t>expressions.</w:t>
      </w:r>
      <w:r>
        <w:t xml:space="preserve"> This is </w:t>
      </w:r>
      <w:r w:rsidR="00B94A5F">
        <w:t xml:space="preserve">discussed </w:t>
      </w:r>
      <w:r w:rsidR="00731730">
        <w:t>below.</w:t>
      </w:r>
    </w:p>
    <w:p w14:paraId="76CCB366" w14:textId="5F40E4E1" w:rsidR="00F23C15" w:rsidRDefault="00F23C15" w:rsidP="00555758">
      <w:pPr>
        <w:pStyle w:val="Heading3"/>
      </w:pPr>
      <w:bookmarkStart w:id="11" w:name="_Toc175922764"/>
      <w:r>
        <w:t>Inclusion of expressions</w:t>
      </w:r>
      <w:r w:rsidR="083BA51E">
        <w:t xml:space="preserve"> and their definitions</w:t>
      </w:r>
      <w:bookmarkEnd w:id="11"/>
    </w:p>
    <w:p w14:paraId="6068757B" w14:textId="3D8CEE92" w:rsidR="00972FB4" w:rsidRDefault="00972FB4" w:rsidP="00582765">
      <w:pPr>
        <w:pStyle w:val="Paragraphbeforelist"/>
      </w:pPr>
      <w:r>
        <w:t xml:space="preserve">We have included </w:t>
      </w:r>
      <w:r w:rsidR="00377578">
        <w:t xml:space="preserve">several </w:t>
      </w:r>
      <w:r w:rsidR="00305115">
        <w:t xml:space="preserve">new </w:t>
      </w:r>
      <w:r>
        <w:t xml:space="preserve">expressions </w:t>
      </w:r>
      <w:r w:rsidR="00DB2A88">
        <w:t xml:space="preserve">and their definitions </w:t>
      </w:r>
      <w:r>
        <w:t>in the draft ID 2024</w:t>
      </w:r>
      <w:r w:rsidR="00DB2A88">
        <w:t xml:space="preserve">. </w:t>
      </w:r>
      <w:r w:rsidR="00305115">
        <w:t xml:space="preserve">This is because we have used these expressions in </w:t>
      </w:r>
      <w:r w:rsidR="00936F00">
        <w:t>one or more</w:t>
      </w:r>
      <w:r w:rsidR="00DB2A88">
        <w:t xml:space="preserve"> instruments we have mad</w:t>
      </w:r>
      <w:r w:rsidR="00305115">
        <w:t xml:space="preserve">e since </w:t>
      </w:r>
      <w:r w:rsidR="00DB2A88">
        <w:t>ID 2015.</w:t>
      </w:r>
      <w:r w:rsidR="002D6E42">
        <w:t xml:space="preserve"> The</w:t>
      </w:r>
      <w:r w:rsidR="002E3535">
        <w:t xml:space="preserve"> expressions are:</w:t>
      </w:r>
    </w:p>
    <w:p w14:paraId="226FDECE" w14:textId="77777777" w:rsidR="00972FB4" w:rsidRPr="00B32BBE" w:rsidRDefault="00972FB4" w:rsidP="007D3983">
      <w:pPr>
        <w:pStyle w:val="Bulletlevel1"/>
        <w:numPr>
          <w:ilvl w:val="0"/>
          <w:numId w:val="24"/>
        </w:numPr>
        <w:spacing w:line="240" w:lineRule="atLeast"/>
        <w:ind w:left="284" w:hanging="284"/>
      </w:pPr>
      <w:r w:rsidRPr="00B32BBE">
        <w:t>ARPANSA standard</w:t>
      </w:r>
    </w:p>
    <w:p w14:paraId="38C346A0" w14:textId="77777777" w:rsidR="00972FB4" w:rsidRPr="00B32BBE" w:rsidRDefault="00972FB4" w:rsidP="007D3983">
      <w:pPr>
        <w:pStyle w:val="Bulletlevel1"/>
        <w:numPr>
          <w:ilvl w:val="0"/>
          <w:numId w:val="24"/>
        </w:numPr>
        <w:spacing w:line="240" w:lineRule="atLeast"/>
        <w:ind w:left="284" w:hanging="284"/>
      </w:pPr>
      <w:r w:rsidRPr="00B32BBE">
        <w:t>ARQZWA</w:t>
      </w:r>
    </w:p>
    <w:p w14:paraId="61A85DBE" w14:textId="5BE2D526" w:rsidR="00DF1144" w:rsidRPr="00B32BBE" w:rsidRDefault="00DF1144" w:rsidP="007D3983">
      <w:pPr>
        <w:pStyle w:val="Bulletlevel1"/>
        <w:numPr>
          <w:ilvl w:val="0"/>
          <w:numId w:val="24"/>
        </w:numPr>
        <w:spacing w:line="240" w:lineRule="atLeast"/>
        <w:ind w:left="284" w:hanging="284"/>
      </w:pPr>
      <w:r>
        <w:t>ASMG</w:t>
      </w:r>
    </w:p>
    <w:p w14:paraId="36792E09" w14:textId="77777777" w:rsidR="00972FB4" w:rsidRDefault="00972FB4" w:rsidP="007D3983">
      <w:pPr>
        <w:pStyle w:val="Bulletlevel1"/>
        <w:numPr>
          <w:ilvl w:val="0"/>
          <w:numId w:val="24"/>
        </w:numPr>
        <w:spacing w:line="240" w:lineRule="atLeast"/>
        <w:ind w:left="284" w:hanging="284"/>
      </w:pPr>
      <w:r w:rsidRPr="00B32BBE">
        <w:t>Australian Spectrum Map Grid</w:t>
      </w:r>
    </w:p>
    <w:p w14:paraId="73F385C9" w14:textId="77777777" w:rsidR="00F5627A" w:rsidRPr="00B32BBE" w:rsidRDefault="00F5627A" w:rsidP="00F5627A">
      <w:pPr>
        <w:pStyle w:val="Bulletlevel1"/>
        <w:numPr>
          <w:ilvl w:val="0"/>
          <w:numId w:val="24"/>
        </w:numPr>
        <w:spacing w:line="240" w:lineRule="atLeast"/>
        <w:ind w:left="284" w:hanging="284"/>
      </w:pPr>
      <w:r>
        <w:t>broadcasting service</w:t>
      </w:r>
    </w:p>
    <w:p w14:paraId="123F8A50" w14:textId="1C0D9767" w:rsidR="0088583F" w:rsidRPr="00B32BBE" w:rsidRDefault="0088583F" w:rsidP="007D3983">
      <w:pPr>
        <w:pStyle w:val="Bulletlevel1"/>
        <w:numPr>
          <w:ilvl w:val="0"/>
          <w:numId w:val="24"/>
        </w:numPr>
        <w:spacing w:line="240" w:lineRule="atLeast"/>
        <w:ind w:left="284" w:hanging="284"/>
      </w:pPr>
      <w:r>
        <w:t xml:space="preserve">General </w:t>
      </w:r>
      <w:r w:rsidR="00950F23">
        <w:t>Licensing Accreditation</w:t>
      </w:r>
    </w:p>
    <w:p w14:paraId="61E7D4CD" w14:textId="77777777" w:rsidR="00972FB4" w:rsidRDefault="00972FB4" w:rsidP="007D3983">
      <w:pPr>
        <w:pStyle w:val="Bulletlevel1"/>
        <w:numPr>
          <w:ilvl w:val="0"/>
          <w:numId w:val="24"/>
        </w:numPr>
        <w:spacing w:line="240" w:lineRule="atLeast"/>
        <w:ind w:left="284" w:hanging="284"/>
      </w:pPr>
      <w:r w:rsidRPr="00B32BBE">
        <w:t>HCIS</w:t>
      </w:r>
    </w:p>
    <w:p w14:paraId="4D9F634D" w14:textId="29C797E2" w:rsidR="00061D24" w:rsidRDefault="00061D24" w:rsidP="007D3983">
      <w:pPr>
        <w:pStyle w:val="Bulletlevel1"/>
        <w:numPr>
          <w:ilvl w:val="0"/>
          <w:numId w:val="24"/>
        </w:numPr>
        <w:spacing w:line="240" w:lineRule="atLeast"/>
        <w:ind w:left="284" w:hanging="284"/>
      </w:pPr>
      <w:r>
        <w:t>HCIS block</w:t>
      </w:r>
    </w:p>
    <w:p w14:paraId="36CF8F69" w14:textId="4E734D44" w:rsidR="00061D24" w:rsidRPr="00B32BBE" w:rsidRDefault="00061D24" w:rsidP="007D3983">
      <w:pPr>
        <w:pStyle w:val="Bulletlevel1"/>
        <w:numPr>
          <w:ilvl w:val="0"/>
          <w:numId w:val="24"/>
        </w:numPr>
        <w:spacing w:line="240" w:lineRule="atLeast"/>
        <w:ind w:left="284" w:hanging="284"/>
      </w:pPr>
      <w:r>
        <w:t xml:space="preserve">HCIS </w:t>
      </w:r>
      <w:r w:rsidR="00CD5203">
        <w:t>c</w:t>
      </w:r>
      <w:r>
        <w:t>ell</w:t>
      </w:r>
    </w:p>
    <w:p w14:paraId="15DBABE5" w14:textId="224577E9" w:rsidR="00972FB4" w:rsidRDefault="00972FB4" w:rsidP="007D3983">
      <w:pPr>
        <w:pStyle w:val="Bulletlevel1"/>
        <w:numPr>
          <w:ilvl w:val="0"/>
          <w:numId w:val="24"/>
        </w:numPr>
        <w:spacing w:line="240" w:lineRule="atLeast"/>
        <w:ind w:left="284" w:hanging="284"/>
      </w:pPr>
      <w:r w:rsidRPr="00B32BBE">
        <w:t>HCIS identifier</w:t>
      </w:r>
    </w:p>
    <w:p w14:paraId="0C5610F7" w14:textId="4634042D" w:rsidR="00755525" w:rsidRDefault="00755525" w:rsidP="007D3983">
      <w:pPr>
        <w:pStyle w:val="Bulletlevel1"/>
        <w:numPr>
          <w:ilvl w:val="0"/>
          <w:numId w:val="24"/>
        </w:numPr>
        <w:spacing w:line="240" w:lineRule="atLeast"/>
        <w:ind w:left="284" w:hanging="284"/>
      </w:pPr>
      <w:r>
        <w:t>Level 1 HCIS block</w:t>
      </w:r>
    </w:p>
    <w:p w14:paraId="3ACC36A5" w14:textId="0ED66F11" w:rsidR="003A0A33" w:rsidRDefault="00E333A1" w:rsidP="003A0A33">
      <w:pPr>
        <w:pStyle w:val="Bulletlevel1"/>
        <w:numPr>
          <w:ilvl w:val="0"/>
          <w:numId w:val="24"/>
        </w:numPr>
        <w:spacing w:line="240" w:lineRule="atLeast"/>
        <w:ind w:left="284" w:hanging="284"/>
      </w:pPr>
      <w:r>
        <w:t>l</w:t>
      </w:r>
      <w:r w:rsidR="003A0A33">
        <w:t>ine</w:t>
      </w:r>
    </w:p>
    <w:p w14:paraId="5E09E465" w14:textId="1675880F" w:rsidR="00E8554B" w:rsidRDefault="00E8554B" w:rsidP="00E8554B">
      <w:pPr>
        <w:pStyle w:val="Bulletlevel1"/>
        <w:numPr>
          <w:ilvl w:val="0"/>
          <w:numId w:val="24"/>
        </w:numPr>
        <w:spacing w:line="240" w:lineRule="atLeast"/>
        <w:ind w:left="284" w:hanging="284"/>
      </w:pPr>
      <w:r>
        <w:t>mobile earth receive station</w:t>
      </w:r>
    </w:p>
    <w:p w14:paraId="318F21B2" w14:textId="77777777" w:rsidR="003A0A33" w:rsidRDefault="003A0A33" w:rsidP="00BA4B8C">
      <w:pPr>
        <w:pStyle w:val="Bulletlevel1"/>
        <w:numPr>
          <w:ilvl w:val="0"/>
          <w:numId w:val="24"/>
        </w:numPr>
        <w:spacing w:line="240" w:lineRule="atLeast"/>
        <w:ind w:left="284" w:hanging="284"/>
      </w:pPr>
      <w:r>
        <w:t>paging</w:t>
      </w:r>
    </w:p>
    <w:p w14:paraId="66C06CDB" w14:textId="48A59ECD" w:rsidR="0055222D" w:rsidRDefault="0055222D" w:rsidP="00582765">
      <w:pPr>
        <w:pStyle w:val="Bulletlevel1last"/>
      </w:pPr>
      <w:r>
        <w:t>Specific Licensing Accreditation</w:t>
      </w:r>
      <w:r w:rsidR="00970D56">
        <w:t>.</w:t>
      </w:r>
    </w:p>
    <w:p w14:paraId="7AFE616A" w14:textId="4785F347" w:rsidR="00E468A8" w:rsidRDefault="00E468A8" w:rsidP="00582765">
      <w:pPr>
        <w:pStyle w:val="Paragraphbeforelist"/>
        <w:keepNext/>
        <w:keepLines/>
      </w:pPr>
      <w:r w:rsidRPr="00CB2C86">
        <w:lastRenderedPageBreak/>
        <w:t xml:space="preserve">We have </w:t>
      </w:r>
      <w:r w:rsidR="007A0BAC" w:rsidRPr="00CB2C86">
        <w:t xml:space="preserve">also included </w:t>
      </w:r>
      <w:r w:rsidR="000A4157">
        <w:t>new</w:t>
      </w:r>
      <w:r w:rsidR="007A0BAC" w:rsidRPr="00CB2C86">
        <w:t xml:space="preserve"> definitions in the ID</w:t>
      </w:r>
      <w:r w:rsidR="00D077F6" w:rsidRPr="00CB2C86">
        <w:t xml:space="preserve"> 2024 that are </w:t>
      </w:r>
      <w:r w:rsidR="00485E46">
        <w:t xml:space="preserve">currently defined </w:t>
      </w:r>
      <w:r w:rsidR="00D077F6" w:rsidRPr="00CB2C86">
        <w:t xml:space="preserve">in the </w:t>
      </w:r>
      <w:hyperlink r:id="rId24" w:history="1">
        <w:r w:rsidR="00D077F6" w:rsidRPr="00C73A4E">
          <w:rPr>
            <w:rStyle w:val="Hyperlink"/>
          </w:rPr>
          <w:t>Australian Radiofrequency Spectrum Plan 2021</w:t>
        </w:r>
      </w:hyperlink>
      <w:r w:rsidR="00D077F6">
        <w:t xml:space="preserve"> (ARSP).</w:t>
      </w:r>
      <w:r w:rsidR="00487839">
        <w:t xml:space="preserve"> </w:t>
      </w:r>
      <w:r w:rsidR="007245A2">
        <w:t>In some cases</w:t>
      </w:r>
      <w:r w:rsidR="000E6325">
        <w:t>,</w:t>
      </w:r>
      <w:r w:rsidR="007245A2">
        <w:t xml:space="preserve"> we have </w:t>
      </w:r>
      <w:r w:rsidR="00AB4588">
        <w:t xml:space="preserve">made changes </w:t>
      </w:r>
      <w:r w:rsidR="003F51B7">
        <w:t xml:space="preserve">we consider appropriate </w:t>
      </w:r>
      <w:r w:rsidR="00AB4588">
        <w:t xml:space="preserve">to the ARSP definition. </w:t>
      </w:r>
      <w:r w:rsidR="00487839">
        <w:t xml:space="preserve">To avoid duplication, </w:t>
      </w:r>
      <w:r w:rsidR="00D63674">
        <w:t xml:space="preserve">these </w:t>
      </w:r>
      <w:r w:rsidR="00E77D0B">
        <w:t xml:space="preserve">expressions </w:t>
      </w:r>
      <w:r w:rsidR="00D63674">
        <w:t>will be removed</w:t>
      </w:r>
      <w:r w:rsidR="00487839">
        <w:t xml:space="preserve"> from the ARSP when we remake </w:t>
      </w:r>
      <w:r w:rsidR="00540110">
        <w:t>it</w:t>
      </w:r>
      <w:r w:rsidR="00487839">
        <w:t>.</w:t>
      </w:r>
      <w:r w:rsidR="00983106">
        <w:t xml:space="preserve"> Th</w:t>
      </w:r>
      <w:r w:rsidR="00AF6977">
        <w:t xml:space="preserve">e </w:t>
      </w:r>
      <w:r w:rsidR="00983106">
        <w:t>expressions are:</w:t>
      </w:r>
    </w:p>
    <w:p w14:paraId="4E7E48DC" w14:textId="0CDA1AC1" w:rsidR="0014304F" w:rsidRDefault="0014304F" w:rsidP="00AA0743">
      <w:pPr>
        <w:pStyle w:val="Bulletlevel1"/>
        <w:numPr>
          <w:ilvl w:val="0"/>
          <w:numId w:val="26"/>
        </w:numPr>
        <w:spacing w:line="240" w:lineRule="atLeast"/>
        <w:ind w:left="284" w:hanging="284"/>
      </w:pPr>
      <w:r>
        <w:t>fixed-satellite service</w:t>
      </w:r>
    </w:p>
    <w:p w14:paraId="5DBDF843" w14:textId="4C606339" w:rsidR="0014304F" w:rsidRDefault="0014304F" w:rsidP="00AA0743">
      <w:pPr>
        <w:pStyle w:val="Bulletlevel1"/>
        <w:numPr>
          <w:ilvl w:val="0"/>
          <w:numId w:val="26"/>
        </w:numPr>
        <w:spacing w:line="240" w:lineRule="atLeast"/>
        <w:ind w:left="284" w:hanging="284"/>
      </w:pPr>
      <w:r>
        <w:t>harmful interference</w:t>
      </w:r>
    </w:p>
    <w:p w14:paraId="5BEA0219" w14:textId="32AAAB54" w:rsidR="0014304F" w:rsidRDefault="0014304F" w:rsidP="00AA0743">
      <w:pPr>
        <w:pStyle w:val="Bulletlevel1"/>
        <w:numPr>
          <w:ilvl w:val="0"/>
          <w:numId w:val="26"/>
        </w:numPr>
        <w:spacing w:line="240" w:lineRule="atLeast"/>
        <w:ind w:left="284" w:hanging="284"/>
      </w:pPr>
      <w:r>
        <w:t>maritime mobile-satellite service</w:t>
      </w:r>
    </w:p>
    <w:p w14:paraId="3B5F582B" w14:textId="5853E702" w:rsidR="0014304F" w:rsidRDefault="0014304F" w:rsidP="00AA0743">
      <w:pPr>
        <w:pStyle w:val="Bulletlevel1"/>
        <w:numPr>
          <w:ilvl w:val="0"/>
          <w:numId w:val="26"/>
        </w:numPr>
        <w:spacing w:line="240" w:lineRule="atLeast"/>
        <w:ind w:left="284" w:hanging="284"/>
      </w:pPr>
      <w:r>
        <w:t>mobile-satellite service</w:t>
      </w:r>
    </w:p>
    <w:p w14:paraId="53C6305A" w14:textId="51AA457B" w:rsidR="0014304F" w:rsidRDefault="0014304F" w:rsidP="00AA0743">
      <w:pPr>
        <w:pStyle w:val="Bulletlevel1"/>
        <w:numPr>
          <w:ilvl w:val="0"/>
          <w:numId w:val="26"/>
        </w:numPr>
        <w:spacing w:line="240" w:lineRule="atLeast"/>
        <w:ind w:left="284" w:hanging="284"/>
      </w:pPr>
      <w:r>
        <w:t>Radio Regulations</w:t>
      </w:r>
    </w:p>
    <w:p w14:paraId="7539D884" w14:textId="25FEEE95" w:rsidR="0014304F" w:rsidRDefault="0014304F" w:rsidP="00AA0743">
      <w:pPr>
        <w:pStyle w:val="Bulletlevel1"/>
        <w:numPr>
          <w:ilvl w:val="0"/>
          <w:numId w:val="26"/>
        </w:numPr>
        <w:spacing w:line="240" w:lineRule="atLeast"/>
        <w:ind w:left="284" w:hanging="284"/>
      </w:pPr>
      <w:r>
        <w:t>space station</w:t>
      </w:r>
    </w:p>
    <w:p w14:paraId="47342867" w14:textId="4188FE58" w:rsidR="0014304F" w:rsidRDefault="0014304F" w:rsidP="000B1CB5">
      <w:pPr>
        <w:pStyle w:val="Bulletlevel1last"/>
        <w:spacing w:after="80"/>
      </w:pPr>
      <w:r>
        <w:t>survival craft station.</w:t>
      </w:r>
    </w:p>
    <w:p w14:paraId="2C23BE3F" w14:textId="3D142067" w:rsidR="00556FBC" w:rsidRPr="00527ABD" w:rsidRDefault="00670BE3" w:rsidP="000B1CB5">
      <w:pPr>
        <w:pStyle w:val="Paragraphbeforelist"/>
        <w:spacing w:before="240"/>
      </w:pPr>
      <w:r>
        <w:t>Further information on</w:t>
      </w:r>
      <w:r w:rsidR="00F06244">
        <w:t xml:space="preserve"> some </w:t>
      </w:r>
      <w:r>
        <w:t xml:space="preserve">of these </w:t>
      </w:r>
      <w:r w:rsidR="00F06244">
        <w:t xml:space="preserve">expressions </w:t>
      </w:r>
      <w:r>
        <w:t>is included below.</w:t>
      </w:r>
      <w:r w:rsidR="00867CDD">
        <w:t xml:space="preserve"> W</w:t>
      </w:r>
      <w:r w:rsidR="00556FBC" w:rsidRPr="00527ABD">
        <w:t xml:space="preserve">e </w:t>
      </w:r>
      <w:r w:rsidR="00867CDD">
        <w:t xml:space="preserve">also </w:t>
      </w:r>
      <w:r w:rsidR="00556FBC" w:rsidRPr="00527ABD">
        <w:t xml:space="preserve">propose </w:t>
      </w:r>
      <w:r w:rsidR="00CD5203">
        <w:t xml:space="preserve">in future </w:t>
      </w:r>
      <w:r w:rsidR="00556FBC" w:rsidRPr="00527ABD">
        <w:t>to include several definitions that relate to our recent work on a new framework to enable long-term licensing for radionavigation-satellite service retransmission technologies. The proposed definitions are:</w:t>
      </w:r>
    </w:p>
    <w:p w14:paraId="724634ED" w14:textId="0ABCB80E" w:rsidR="00556FBC" w:rsidRPr="00527ABD" w:rsidRDefault="00485E46" w:rsidP="00556FBC">
      <w:pPr>
        <w:pStyle w:val="Bulletlevel1"/>
        <w:numPr>
          <w:ilvl w:val="0"/>
          <w:numId w:val="25"/>
        </w:numPr>
        <w:spacing w:line="240" w:lineRule="atLeast"/>
        <w:ind w:left="284" w:hanging="284"/>
      </w:pPr>
      <w:r>
        <w:t>i</w:t>
      </w:r>
      <w:r w:rsidR="00556FBC" w:rsidRPr="00527ABD">
        <w:t>ndoors</w:t>
      </w:r>
    </w:p>
    <w:p w14:paraId="0A69513A" w14:textId="77777777" w:rsidR="00556FBC" w:rsidRPr="00527ABD" w:rsidRDefault="00556FBC" w:rsidP="00556FBC">
      <w:pPr>
        <w:pStyle w:val="Bulletlevel1"/>
        <w:numPr>
          <w:ilvl w:val="0"/>
          <w:numId w:val="25"/>
        </w:numPr>
        <w:spacing w:line="240" w:lineRule="atLeast"/>
        <w:ind w:left="284" w:hanging="284"/>
      </w:pPr>
      <w:r w:rsidRPr="00527ABD">
        <w:t>radionavigation-satellite service (RNSS)</w:t>
      </w:r>
    </w:p>
    <w:p w14:paraId="055DCB8E" w14:textId="77777777" w:rsidR="00556FBC" w:rsidRPr="00527ABD" w:rsidRDefault="00556FBC" w:rsidP="00556FBC">
      <w:pPr>
        <w:pStyle w:val="Bulletlevel1"/>
        <w:numPr>
          <w:ilvl w:val="0"/>
          <w:numId w:val="25"/>
        </w:numPr>
        <w:spacing w:line="240" w:lineRule="atLeast"/>
        <w:ind w:left="284" w:hanging="284"/>
      </w:pPr>
      <w:r w:rsidRPr="00527ABD">
        <w:t>RNSS radiocommunication</w:t>
      </w:r>
    </w:p>
    <w:p w14:paraId="7A56C3E0" w14:textId="77777777" w:rsidR="00556FBC" w:rsidRPr="00527ABD" w:rsidRDefault="00556FBC" w:rsidP="00556FBC">
      <w:pPr>
        <w:pStyle w:val="Bulletlevel1"/>
        <w:numPr>
          <w:ilvl w:val="0"/>
          <w:numId w:val="25"/>
        </w:numPr>
        <w:spacing w:line="240" w:lineRule="atLeast"/>
        <w:ind w:left="284" w:hanging="284"/>
      </w:pPr>
      <w:r w:rsidRPr="00527ABD">
        <w:t>RNSS receiver</w:t>
      </w:r>
    </w:p>
    <w:p w14:paraId="6DA5588A" w14:textId="77777777" w:rsidR="00556FBC" w:rsidRPr="00527ABD" w:rsidRDefault="00556FBC" w:rsidP="00556FBC">
      <w:pPr>
        <w:pStyle w:val="Bulletlevel1"/>
        <w:numPr>
          <w:ilvl w:val="0"/>
          <w:numId w:val="25"/>
        </w:numPr>
        <w:spacing w:line="240" w:lineRule="atLeast"/>
        <w:ind w:left="284" w:hanging="284"/>
      </w:pPr>
      <w:r w:rsidRPr="00527ABD">
        <w:t>RNSS repeater station</w:t>
      </w:r>
    </w:p>
    <w:p w14:paraId="7B42A32F" w14:textId="47AC54B4" w:rsidR="00556FBC" w:rsidRPr="00527ABD" w:rsidRDefault="00556FBC" w:rsidP="00C14542">
      <w:pPr>
        <w:pStyle w:val="Bulletlevel1last"/>
      </w:pPr>
      <w:r w:rsidRPr="00527ABD">
        <w:t>RNSS repeater system</w:t>
      </w:r>
      <w:r w:rsidR="00A6341B">
        <w:t>.</w:t>
      </w:r>
    </w:p>
    <w:p w14:paraId="2E9C7F19" w14:textId="649727C9" w:rsidR="00556FBC" w:rsidRDefault="00556FBC" w:rsidP="000B1CB5">
      <w:pPr>
        <w:pStyle w:val="Paragraph"/>
      </w:pPr>
      <w:r w:rsidRPr="00527ABD">
        <w:t xml:space="preserve">As the proposed framework is part of a separate consultation process, we have not </w:t>
      </w:r>
      <w:r w:rsidR="00125904">
        <w:br/>
      </w:r>
      <w:r w:rsidRPr="00527ABD">
        <w:t xml:space="preserve">included the definitions in the draft ID 2024. </w:t>
      </w:r>
      <w:r w:rsidR="00125904">
        <w:t>We</w:t>
      </w:r>
      <w:r w:rsidRPr="00527ABD">
        <w:t xml:space="preserve"> will consider the feedback we received </w:t>
      </w:r>
      <w:r w:rsidR="00125904">
        <w:br/>
      </w:r>
      <w:r w:rsidRPr="00527ABD">
        <w:t>from th</w:t>
      </w:r>
      <w:r w:rsidR="00B27092">
        <w:t>e</w:t>
      </w:r>
      <w:r w:rsidRPr="00527ABD">
        <w:t xml:space="preserve"> process before </w:t>
      </w:r>
      <w:r w:rsidR="00B27092">
        <w:t>deciding</w:t>
      </w:r>
      <w:r w:rsidRPr="00527ABD">
        <w:t xml:space="preserve">. Information about the consultation can be found on </w:t>
      </w:r>
      <w:r w:rsidR="00125904">
        <w:br/>
      </w:r>
      <w:r w:rsidRPr="00527ABD">
        <w:t xml:space="preserve">the </w:t>
      </w:r>
      <w:hyperlink r:id="rId25" w:history="1">
        <w:r w:rsidRPr="00527ABD">
          <w:rPr>
            <w:rStyle w:val="Hyperlink"/>
          </w:rPr>
          <w:t>ACMA website</w:t>
        </w:r>
      </w:hyperlink>
      <w:r w:rsidRPr="00527ABD">
        <w:t xml:space="preserve">. </w:t>
      </w:r>
    </w:p>
    <w:p w14:paraId="52AA9E4F" w14:textId="41A5B01D" w:rsidR="00E0530F" w:rsidRDefault="00B27092" w:rsidP="000B1CB5">
      <w:pPr>
        <w:pStyle w:val="Paragraphbeforelist"/>
      </w:pPr>
      <w:r>
        <w:t>Finally</w:t>
      </w:r>
      <w:r w:rsidR="00EA4FF2">
        <w:t>, we</w:t>
      </w:r>
      <w:r w:rsidR="00E0530F">
        <w:t xml:space="preserve"> have </w:t>
      </w:r>
      <w:r w:rsidR="00DB4607">
        <w:t xml:space="preserve">defined </w:t>
      </w:r>
      <w:r w:rsidR="002D7279">
        <w:t xml:space="preserve">expressions that are </w:t>
      </w:r>
      <w:r w:rsidR="00F75D58">
        <w:t>acronyms</w:t>
      </w:r>
      <w:r w:rsidR="0007106A">
        <w:t xml:space="preserve"> </w:t>
      </w:r>
      <w:r w:rsidR="00EA63CD">
        <w:t>used</w:t>
      </w:r>
      <w:r w:rsidR="00F06244">
        <w:t xml:space="preserve"> in the ID 2015. For example, the definition of ‘high frequency’ in the ID 2015 </w:t>
      </w:r>
      <w:r w:rsidR="00BE31C1">
        <w:t xml:space="preserve">also refers to </w:t>
      </w:r>
      <w:r w:rsidR="00F06244">
        <w:t xml:space="preserve">the </w:t>
      </w:r>
      <w:r w:rsidR="006E13F2">
        <w:t>acronym</w:t>
      </w:r>
      <w:r w:rsidR="00F06244">
        <w:t xml:space="preserve"> ‘HF’.</w:t>
      </w:r>
      <w:r w:rsidR="00DB4607">
        <w:t xml:space="preserve"> Th</w:t>
      </w:r>
      <w:r>
        <w:t>e</w:t>
      </w:r>
      <w:r w:rsidR="00DB4607">
        <w:t xml:space="preserve"> expressions are:</w:t>
      </w:r>
    </w:p>
    <w:p w14:paraId="1426B58C" w14:textId="675D05D8" w:rsidR="00E0530F" w:rsidRDefault="00E0530F" w:rsidP="000A3B6A">
      <w:pPr>
        <w:pStyle w:val="Bulletlevel1"/>
        <w:numPr>
          <w:ilvl w:val="0"/>
          <w:numId w:val="27"/>
        </w:numPr>
        <w:ind w:left="284" w:hanging="284"/>
      </w:pPr>
      <w:r>
        <w:t>HF</w:t>
      </w:r>
    </w:p>
    <w:p w14:paraId="00AF33BA" w14:textId="547202DA" w:rsidR="00C22D31" w:rsidRDefault="006A2D5E" w:rsidP="000A3B6A">
      <w:pPr>
        <w:pStyle w:val="Bulletlevel1"/>
        <w:numPr>
          <w:ilvl w:val="0"/>
          <w:numId w:val="27"/>
        </w:numPr>
        <w:ind w:left="284" w:hanging="284"/>
      </w:pPr>
      <w:r>
        <w:t>LSB</w:t>
      </w:r>
    </w:p>
    <w:p w14:paraId="2C36E057" w14:textId="21B0CC00" w:rsidR="007E66B9" w:rsidRDefault="007E66B9" w:rsidP="000A3B6A">
      <w:pPr>
        <w:pStyle w:val="Bulletlevel1"/>
        <w:numPr>
          <w:ilvl w:val="0"/>
          <w:numId w:val="27"/>
        </w:numPr>
        <w:ind w:left="284" w:hanging="284"/>
      </w:pPr>
      <w:r>
        <w:t>MF</w:t>
      </w:r>
    </w:p>
    <w:p w14:paraId="7338A727" w14:textId="75390DD3" w:rsidR="000E3D05" w:rsidRDefault="000E3D05" w:rsidP="000A3B6A">
      <w:pPr>
        <w:pStyle w:val="Bulletlevel1"/>
        <w:numPr>
          <w:ilvl w:val="0"/>
          <w:numId w:val="27"/>
        </w:numPr>
        <w:ind w:left="284" w:hanging="284"/>
      </w:pPr>
      <w:r>
        <w:t>SSB</w:t>
      </w:r>
    </w:p>
    <w:p w14:paraId="72BED999" w14:textId="069FE6D0" w:rsidR="00BB3BF9" w:rsidRDefault="00BB3BF9" w:rsidP="000A3B6A">
      <w:pPr>
        <w:pStyle w:val="Bulletlevel1"/>
        <w:numPr>
          <w:ilvl w:val="0"/>
          <w:numId w:val="27"/>
        </w:numPr>
        <w:ind w:left="284" w:hanging="284"/>
      </w:pPr>
      <w:r>
        <w:t>UHF</w:t>
      </w:r>
    </w:p>
    <w:p w14:paraId="5740B358" w14:textId="56B6821E" w:rsidR="00C116D2" w:rsidRDefault="00C116D2" w:rsidP="000A3B6A">
      <w:pPr>
        <w:pStyle w:val="Bulletlevel1"/>
        <w:numPr>
          <w:ilvl w:val="0"/>
          <w:numId w:val="27"/>
        </w:numPr>
        <w:ind w:left="284" w:hanging="284"/>
      </w:pPr>
      <w:r>
        <w:t>USB</w:t>
      </w:r>
    </w:p>
    <w:p w14:paraId="5A39E32F" w14:textId="64980AD2" w:rsidR="00595909" w:rsidRDefault="00595909" w:rsidP="00C14542">
      <w:pPr>
        <w:pStyle w:val="Bulletlevel1last"/>
      </w:pPr>
      <w:r>
        <w:t>VHF</w:t>
      </w:r>
      <w:r w:rsidR="00A6341B">
        <w:t>.</w:t>
      </w:r>
    </w:p>
    <w:p w14:paraId="13665588" w14:textId="07D3F2D2" w:rsidR="001F22C2" w:rsidRDefault="001F22C2" w:rsidP="00555758">
      <w:pPr>
        <w:pStyle w:val="Heading3"/>
      </w:pPr>
      <w:bookmarkStart w:id="12" w:name="_Toc175922765"/>
      <w:r>
        <w:t xml:space="preserve">Changes to </w:t>
      </w:r>
      <w:r w:rsidR="191570CF">
        <w:t xml:space="preserve">expressions and </w:t>
      </w:r>
      <w:r>
        <w:t>definitions</w:t>
      </w:r>
      <w:bookmarkEnd w:id="12"/>
    </w:p>
    <w:p w14:paraId="6610DEE1" w14:textId="1BC49811" w:rsidR="001F22C2" w:rsidRPr="003E5A8C" w:rsidRDefault="00245D91" w:rsidP="00C14542">
      <w:pPr>
        <w:pStyle w:val="Paragraph"/>
      </w:pPr>
      <w:r>
        <w:t xml:space="preserve">We have </w:t>
      </w:r>
      <w:r w:rsidR="00F055EA">
        <w:t>updated</w:t>
      </w:r>
      <w:r>
        <w:t xml:space="preserve"> various </w:t>
      </w:r>
      <w:r w:rsidR="00B41604">
        <w:t>definitions</w:t>
      </w:r>
      <w:r w:rsidR="00B618FE">
        <w:t xml:space="preserve"> </w:t>
      </w:r>
      <w:r w:rsidR="00CE7AC2">
        <w:t xml:space="preserve">for </w:t>
      </w:r>
      <w:r>
        <w:t xml:space="preserve">formatting, grammatical </w:t>
      </w:r>
      <w:r w:rsidR="00327BDC">
        <w:t xml:space="preserve">and </w:t>
      </w:r>
      <w:r w:rsidR="00C910BB">
        <w:t xml:space="preserve">plain language </w:t>
      </w:r>
      <w:r w:rsidR="00CE7AC2">
        <w:t>purposes</w:t>
      </w:r>
      <w:r w:rsidR="00C752B4">
        <w:t xml:space="preserve">. </w:t>
      </w:r>
      <w:r w:rsidR="00C910BB">
        <w:t>W</w:t>
      </w:r>
      <w:r w:rsidR="00C752B4">
        <w:t xml:space="preserve">e have </w:t>
      </w:r>
      <w:r w:rsidR="0000032F">
        <w:t xml:space="preserve">also </w:t>
      </w:r>
      <w:r w:rsidR="00F055EA">
        <w:t>updated</w:t>
      </w:r>
      <w:r w:rsidR="009D271E">
        <w:t xml:space="preserve"> </w:t>
      </w:r>
      <w:r w:rsidR="00B41604">
        <w:t>definitions</w:t>
      </w:r>
      <w:r w:rsidR="00C752B4">
        <w:t xml:space="preserve"> to reflect </w:t>
      </w:r>
      <w:r w:rsidR="009D271E">
        <w:t>developments</w:t>
      </w:r>
      <w:r w:rsidR="00C752B4">
        <w:t xml:space="preserve"> in spectrum use, </w:t>
      </w:r>
      <w:proofErr w:type="gramStart"/>
      <w:r w:rsidR="00C752B4">
        <w:t>technology</w:t>
      </w:r>
      <w:proofErr w:type="gramEnd"/>
      <w:r w:rsidR="00C752B4">
        <w:t xml:space="preserve"> </w:t>
      </w:r>
      <w:r w:rsidR="009D271E">
        <w:t>and</w:t>
      </w:r>
      <w:r w:rsidR="00C752B4">
        <w:t xml:space="preserve"> regulatory arrangements</w:t>
      </w:r>
      <w:r w:rsidR="00C910BB">
        <w:t xml:space="preserve">. This will ensure </w:t>
      </w:r>
      <w:r w:rsidR="00C752B4">
        <w:t xml:space="preserve">the ID </w:t>
      </w:r>
      <w:r w:rsidR="0055685E">
        <w:t>2024 is fit-for-purpose.</w:t>
      </w:r>
      <w:r w:rsidR="00C752B4">
        <w:t xml:space="preserve"> </w:t>
      </w:r>
      <w:r w:rsidR="00BD05F9">
        <w:t xml:space="preserve">We have removed </w:t>
      </w:r>
      <w:r w:rsidR="0071090C">
        <w:t>4</w:t>
      </w:r>
      <w:r w:rsidR="00BD05F9">
        <w:t xml:space="preserve"> expressions</w:t>
      </w:r>
      <w:r w:rsidR="006E6B03">
        <w:t xml:space="preserve"> for the same reason</w:t>
      </w:r>
      <w:r w:rsidR="00BD05F9">
        <w:t xml:space="preserve">. </w:t>
      </w:r>
      <w:r w:rsidR="006E6B03">
        <w:t xml:space="preserve">The </w:t>
      </w:r>
      <w:r w:rsidR="0071090C">
        <w:t xml:space="preserve">main changes </w:t>
      </w:r>
      <w:r w:rsidR="006E6B03">
        <w:t xml:space="preserve">are </w:t>
      </w:r>
      <w:r w:rsidR="006A7A61">
        <w:t xml:space="preserve">explained </w:t>
      </w:r>
      <w:r w:rsidR="006E6B03">
        <w:t>below.</w:t>
      </w:r>
    </w:p>
    <w:bookmarkEnd w:id="6"/>
    <w:bookmarkEnd w:id="7"/>
    <w:bookmarkEnd w:id="8"/>
    <w:p w14:paraId="1462182F" w14:textId="2D062D01" w:rsidR="00847DF3" w:rsidRPr="00A17B1B" w:rsidRDefault="00EB6A50" w:rsidP="008D4E1A">
      <w:pPr>
        <w:pStyle w:val="Heading4"/>
        <w:keepNext/>
      </w:pPr>
      <w:r>
        <w:lastRenderedPageBreak/>
        <w:t>A</w:t>
      </w:r>
      <w:r w:rsidR="00281EAF">
        <w:t xml:space="preserve">eronautical </w:t>
      </w:r>
      <w:r>
        <w:t>expressions</w:t>
      </w:r>
    </w:p>
    <w:p w14:paraId="2392251D" w14:textId="65AFE934" w:rsidR="00604B6C" w:rsidRDefault="00281EAF" w:rsidP="00604B6C">
      <w:pPr>
        <w:pStyle w:val="Paragraph"/>
      </w:pPr>
      <w:r w:rsidRPr="001E5D83">
        <w:t xml:space="preserve">We have included a reference to </w:t>
      </w:r>
      <w:r w:rsidR="005B2B4D">
        <w:t>‘</w:t>
      </w:r>
      <w:r w:rsidRPr="001E5D83">
        <w:t>mobile earth</w:t>
      </w:r>
      <w:r w:rsidR="00125904">
        <w:t>-</w:t>
      </w:r>
      <w:r w:rsidRPr="001E5D83">
        <w:t>receive stations</w:t>
      </w:r>
      <w:r w:rsidR="005B2B4D">
        <w:t>’</w:t>
      </w:r>
      <w:r w:rsidRPr="001E5D83">
        <w:t xml:space="preserve"> in the definition of ‘aeronautical mobile-satellite service’ to reflect </w:t>
      </w:r>
      <w:r w:rsidR="0008363F" w:rsidRPr="001E5D83">
        <w:t>that the</w:t>
      </w:r>
      <w:r w:rsidR="005B2B4D">
        <w:t>se</w:t>
      </w:r>
      <w:r w:rsidR="0008363F" w:rsidRPr="001E5D83">
        <w:t xml:space="preserve"> station</w:t>
      </w:r>
      <w:r w:rsidR="005B2B4D">
        <w:t>s may be</w:t>
      </w:r>
      <w:r w:rsidR="0008363F" w:rsidRPr="001E5D83">
        <w:t xml:space="preserve"> located on an aircraft</w:t>
      </w:r>
      <w:r w:rsidR="00C910BB">
        <w:t>. This is</w:t>
      </w:r>
      <w:r w:rsidR="0008363F" w:rsidRPr="001E5D83">
        <w:t xml:space="preserve"> </w:t>
      </w:r>
      <w:r w:rsidR="00E333A1">
        <w:t xml:space="preserve">in addition to </w:t>
      </w:r>
      <w:r w:rsidR="0008363F" w:rsidRPr="001E5D83">
        <w:t>mobile earth station</w:t>
      </w:r>
      <w:r w:rsidR="00E333A1">
        <w:t>s being located on an aircraft</w:t>
      </w:r>
      <w:r w:rsidR="0008363F" w:rsidRPr="001E5D83">
        <w:t>.</w:t>
      </w:r>
    </w:p>
    <w:p w14:paraId="1AAC1FE4" w14:textId="77777777" w:rsidR="008E4073" w:rsidRPr="00A17B1B" w:rsidRDefault="008E4073" w:rsidP="008E4073">
      <w:pPr>
        <w:pStyle w:val="Heading4"/>
      </w:pPr>
      <w:r>
        <w:t>Amateur expressions</w:t>
      </w:r>
    </w:p>
    <w:p w14:paraId="585021C1" w14:textId="0F349BD5" w:rsidR="008E4073" w:rsidRDefault="00D91016" w:rsidP="008E4073">
      <w:pPr>
        <w:pStyle w:val="Paragraph"/>
      </w:pPr>
      <w:r>
        <w:t xml:space="preserve">We have made </w:t>
      </w:r>
      <w:r w:rsidR="00254073">
        <w:t>a</w:t>
      </w:r>
      <w:r>
        <w:t xml:space="preserve"> change to the definitions of ‘amateur advanced station</w:t>
      </w:r>
      <w:r w:rsidR="00F70394">
        <w:t>’</w:t>
      </w:r>
      <w:r>
        <w:t xml:space="preserve">, </w:t>
      </w:r>
      <w:r w:rsidR="00F70394">
        <w:t>‘</w:t>
      </w:r>
      <w:r>
        <w:t xml:space="preserve">amateur foundation station’ and ‘amateur standard station’. This </w:t>
      </w:r>
      <w:r w:rsidR="0059388B">
        <w:t>reflect</w:t>
      </w:r>
      <w:r w:rsidR="00343AFB">
        <w:t>s</w:t>
      </w:r>
      <w:r w:rsidR="0059388B">
        <w:t xml:space="preserve"> that it is a condition of the relevant transmitter licence that the person operating the transmitter must </w:t>
      </w:r>
      <w:r w:rsidR="000F7317">
        <w:t xml:space="preserve">have </w:t>
      </w:r>
      <w:r w:rsidR="00021B08">
        <w:t xml:space="preserve">a </w:t>
      </w:r>
      <w:r w:rsidR="000F7317">
        <w:t>certificate of proficiency.</w:t>
      </w:r>
    </w:p>
    <w:p w14:paraId="2D2BAE13" w14:textId="6D97A8D0" w:rsidR="00456050" w:rsidRPr="00A17B1B" w:rsidRDefault="253C35F8" w:rsidP="00456050">
      <w:pPr>
        <w:pStyle w:val="Heading4"/>
      </w:pPr>
      <w:r>
        <w:t xml:space="preserve">Broadcasting </w:t>
      </w:r>
      <w:r w:rsidR="005E48F7">
        <w:t xml:space="preserve">and datacasting </w:t>
      </w:r>
      <w:r>
        <w:t>expressions</w:t>
      </w:r>
    </w:p>
    <w:p w14:paraId="438C02CA" w14:textId="1067AA6C" w:rsidR="00456050" w:rsidRDefault="253C35F8" w:rsidP="00604B6C">
      <w:pPr>
        <w:pStyle w:val="Paragraph"/>
      </w:pPr>
      <w:r>
        <w:t xml:space="preserve">We have </w:t>
      </w:r>
      <w:r w:rsidR="00A713E8">
        <w:t>made a slight change to the definition of ‘900 MHz studio to transmitter link station’ to refer to radio programs provided as part of a broadcasting service.</w:t>
      </w:r>
    </w:p>
    <w:p w14:paraId="63E6759F" w14:textId="742B8359" w:rsidR="005E48F7" w:rsidRDefault="005E48F7" w:rsidP="00604B6C">
      <w:pPr>
        <w:pStyle w:val="Paragraph"/>
      </w:pPr>
      <w:r>
        <w:t xml:space="preserve">We </w:t>
      </w:r>
      <w:r w:rsidR="00A807AF">
        <w:t xml:space="preserve">have simplified the definition of ‘datacasting licence’ to refer to </w:t>
      </w:r>
      <w:r w:rsidR="002B2EAD">
        <w:t xml:space="preserve">the type of station for which the licence authorises </w:t>
      </w:r>
      <w:proofErr w:type="gramStart"/>
      <w:r w:rsidR="002B2EAD">
        <w:t>operation</w:t>
      </w:r>
      <w:r w:rsidR="00E6675D">
        <w:t>,</w:t>
      </w:r>
      <w:r w:rsidR="007923AE">
        <w:t xml:space="preserve"> and</w:t>
      </w:r>
      <w:proofErr w:type="gramEnd"/>
      <w:r w:rsidR="002B2EAD">
        <w:t xml:space="preserve"> included </w:t>
      </w:r>
      <w:r w:rsidR="00343AFB">
        <w:t xml:space="preserve">2 </w:t>
      </w:r>
      <w:r w:rsidR="002B2EAD">
        <w:t>new notes to this definition.</w:t>
      </w:r>
      <w:r w:rsidR="00184497">
        <w:t xml:space="preserve"> We have also changed the definition of ‘datacasting service station’ to </w:t>
      </w:r>
      <w:r w:rsidR="00B356C6">
        <w:t xml:space="preserve">emphasise that </w:t>
      </w:r>
      <w:r w:rsidR="00E6675D">
        <w:t>this</w:t>
      </w:r>
      <w:r w:rsidR="00B356C6">
        <w:t xml:space="preserve"> station is </w:t>
      </w:r>
      <w:r w:rsidR="00E6675D">
        <w:t xml:space="preserve">primarily </w:t>
      </w:r>
      <w:r w:rsidR="00B356C6">
        <w:t>operated to provide a datacasting service</w:t>
      </w:r>
      <w:r w:rsidR="00DD61F5">
        <w:t>.</w:t>
      </w:r>
    </w:p>
    <w:p w14:paraId="1AD99DE4" w14:textId="4CED4188" w:rsidR="006B0A72" w:rsidRPr="00D756D3" w:rsidRDefault="006B0A72" w:rsidP="00C14542">
      <w:pPr>
        <w:pStyle w:val="Paragraph"/>
      </w:pPr>
      <w:r w:rsidRPr="00D756D3">
        <w:t>We have modified the definition of ‘sound outside broadcast station’ to include a requirement that it transmit</w:t>
      </w:r>
      <w:r w:rsidR="00700B7D">
        <w:t>s</w:t>
      </w:r>
      <w:r w:rsidRPr="00D756D3">
        <w:t xml:space="preserve"> to a fixed station. We </w:t>
      </w:r>
      <w:r w:rsidR="00E6675D">
        <w:t>feel</w:t>
      </w:r>
      <w:r w:rsidRPr="00D756D3">
        <w:t xml:space="preserve"> this revision more accurately reflects how these stations are used and provides a closer alignment with the definition of ‘television outside broadcast station’.</w:t>
      </w:r>
    </w:p>
    <w:p w14:paraId="0CBC1E4F" w14:textId="5A6788E2" w:rsidR="00456050" w:rsidRPr="00A17B1B" w:rsidRDefault="00FB327D" w:rsidP="00456050">
      <w:pPr>
        <w:pStyle w:val="Heading4"/>
      </w:pPr>
      <w:r>
        <w:t>Fixed and fixed receive expressions</w:t>
      </w:r>
    </w:p>
    <w:p w14:paraId="7ADF64B1" w14:textId="591BF130" w:rsidR="002E3031" w:rsidRPr="006F5D38" w:rsidRDefault="002E3031" w:rsidP="00C14542">
      <w:pPr>
        <w:pStyle w:val="Paragraph"/>
      </w:pPr>
      <w:r w:rsidRPr="0013404A">
        <w:t xml:space="preserve">We have changed the definition of ‘fixed licence’ to </w:t>
      </w:r>
      <w:r w:rsidR="00D96A74" w:rsidRPr="0013404A">
        <w:t xml:space="preserve">reflect that fixed licences may authorise </w:t>
      </w:r>
      <w:r w:rsidR="00545142" w:rsidRPr="0013404A">
        <w:t xml:space="preserve">the operation of </w:t>
      </w:r>
      <w:r w:rsidR="00D96A74" w:rsidRPr="0013404A">
        <w:t xml:space="preserve">stations </w:t>
      </w:r>
      <w:r w:rsidR="006478B6" w:rsidRPr="0013404A">
        <w:t xml:space="preserve">that are </w:t>
      </w:r>
      <w:r w:rsidR="00D96A74" w:rsidRPr="0013404A">
        <w:t xml:space="preserve">not specified </w:t>
      </w:r>
      <w:r w:rsidR="00096F32" w:rsidRPr="0013404A">
        <w:t>in the licence.</w:t>
      </w:r>
      <w:r w:rsidR="00A3718F" w:rsidRPr="0013404A">
        <w:t xml:space="preserve"> </w:t>
      </w:r>
      <w:r w:rsidR="00733BFF" w:rsidRPr="0013404A">
        <w:t>This is the case for point</w:t>
      </w:r>
      <w:r w:rsidR="00125904">
        <w:t>-</w:t>
      </w:r>
      <w:r w:rsidR="00733BFF" w:rsidRPr="0013404A">
        <w:t>to</w:t>
      </w:r>
      <w:r w:rsidR="00125904">
        <w:t>-</w:t>
      </w:r>
      <w:r w:rsidR="00733BFF" w:rsidRPr="0013404A">
        <w:t>multipoint stations</w:t>
      </w:r>
      <w:r w:rsidR="00973246" w:rsidRPr="0013404A">
        <w:t xml:space="preserve"> </w:t>
      </w:r>
      <w:r w:rsidR="0004734D" w:rsidRPr="0013404A">
        <w:t>and</w:t>
      </w:r>
      <w:r w:rsidR="00111751" w:rsidRPr="0013404A">
        <w:t xml:space="preserve"> various outside broadcast</w:t>
      </w:r>
      <w:r w:rsidR="00700B7D">
        <w:t>-</w:t>
      </w:r>
      <w:r w:rsidR="00111751" w:rsidRPr="0013404A">
        <w:t>related stations</w:t>
      </w:r>
      <w:r w:rsidR="00733BFF" w:rsidRPr="0013404A">
        <w:t xml:space="preserve">. </w:t>
      </w:r>
      <w:r w:rsidR="006B09F2" w:rsidRPr="0013404A">
        <w:t xml:space="preserve">See the </w:t>
      </w:r>
      <w:hyperlink r:id="rId26" w:history="1">
        <w:r w:rsidR="006B09F2" w:rsidRPr="005710B9">
          <w:rPr>
            <w:rStyle w:val="Hyperlink"/>
            <w:szCs w:val="22"/>
          </w:rPr>
          <w:t>Radiocommunications Licence Conditions (Fixed Licence) Determination 2015</w:t>
        </w:r>
      </w:hyperlink>
      <w:r w:rsidR="006B09F2" w:rsidRPr="0013404A">
        <w:t xml:space="preserve"> </w:t>
      </w:r>
      <w:r w:rsidR="00125904">
        <w:br/>
      </w:r>
      <w:r w:rsidR="006B09F2" w:rsidRPr="0013404A">
        <w:t xml:space="preserve">for further </w:t>
      </w:r>
      <w:r w:rsidR="00E547B2" w:rsidRPr="0013404A">
        <w:t>information.</w:t>
      </w:r>
    </w:p>
    <w:p w14:paraId="06F5FB7E" w14:textId="0A1E0846" w:rsidR="00CD17EC" w:rsidRDefault="00CD17EC" w:rsidP="00CD17EC">
      <w:pPr>
        <w:pStyle w:val="Paragraph"/>
        <w:rPr>
          <w:szCs w:val="22"/>
        </w:rPr>
      </w:pPr>
      <w:r w:rsidRPr="006C1B45">
        <w:rPr>
          <w:szCs w:val="22"/>
        </w:rPr>
        <w:t>In the definition</w:t>
      </w:r>
      <w:r w:rsidR="000203B9" w:rsidRPr="006C1B45">
        <w:rPr>
          <w:szCs w:val="22"/>
        </w:rPr>
        <w:t>s</w:t>
      </w:r>
      <w:r w:rsidRPr="006C1B45">
        <w:rPr>
          <w:szCs w:val="22"/>
        </w:rPr>
        <w:t xml:space="preserve"> of </w:t>
      </w:r>
      <w:r w:rsidR="00312359" w:rsidRPr="006C1B45">
        <w:rPr>
          <w:szCs w:val="22"/>
        </w:rPr>
        <w:t>‘fixed receive licence’</w:t>
      </w:r>
      <w:r w:rsidR="00A35C62">
        <w:rPr>
          <w:szCs w:val="22"/>
        </w:rPr>
        <w:t xml:space="preserve"> and </w:t>
      </w:r>
      <w:r w:rsidR="000863B9" w:rsidRPr="006C1B45">
        <w:rPr>
          <w:szCs w:val="22"/>
        </w:rPr>
        <w:t>‘fixed receive station’</w:t>
      </w:r>
      <w:r w:rsidR="00700B7D">
        <w:rPr>
          <w:szCs w:val="22"/>
        </w:rPr>
        <w:t>,</w:t>
      </w:r>
      <w:r w:rsidR="00312359" w:rsidRPr="006C1B45">
        <w:rPr>
          <w:szCs w:val="22"/>
        </w:rPr>
        <w:t xml:space="preserve"> </w:t>
      </w:r>
      <w:r w:rsidR="00A35C62">
        <w:rPr>
          <w:szCs w:val="22"/>
        </w:rPr>
        <w:t xml:space="preserve">we have removed paragraph (b) as we consider it </w:t>
      </w:r>
      <w:r w:rsidR="00720B53">
        <w:rPr>
          <w:szCs w:val="22"/>
        </w:rPr>
        <w:t xml:space="preserve">unnecessary to point out that such a station cannot transmit </w:t>
      </w:r>
      <w:r w:rsidR="0052053F">
        <w:rPr>
          <w:szCs w:val="22"/>
        </w:rPr>
        <w:t xml:space="preserve">messages. </w:t>
      </w:r>
      <w:r w:rsidR="00A35C62">
        <w:rPr>
          <w:szCs w:val="22"/>
        </w:rPr>
        <w:t xml:space="preserve">In both </w:t>
      </w:r>
      <w:r w:rsidR="00700B7D">
        <w:rPr>
          <w:szCs w:val="22"/>
        </w:rPr>
        <w:t xml:space="preserve">of those </w:t>
      </w:r>
      <w:r w:rsidR="00A35C62">
        <w:rPr>
          <w:szCs w:val="22"/>
        </w:rPr>
        <w:t>definitions and in</w:t>
      </w:r>
      <w:r>
        <w:rPr>
          <w:szCs w:val="22"/>
        </w:rPr>
        <w:t xml:space="preserve"> the definition of </w:t>
      </w:r>
      <w:r w:rsidRPr="006C1B45">
        <w:rPr>
          <w:szCs w:val="22"/>
        </w:rPr>
        <w:t>‘temporary fixed link station’</w:t>
      </w:r>
      <w:r w:rsidR="00700B7D">
        <w:rPr>
          <w:szCs w:val="22"/>
        </w:rPr>
        <w:t>,</w:t>
      </w:r>
      <w:r w:rsidRPr="006C1B45">
        <w:rPr>
          <w:szCs w:val="22"/>
        </w:rPr>
        <w:t xml:space="preserve"> we have removed the reference to </w:t>
      </w:r>
      <w:r w:rsidR="00697C93">
        <w:rPr>
          <w:szCs w:val="22"/>
        </w:rPr>
        <w:t xml:space="preserve">section </w:t>
      </w:r>
      <w:r w:rsidRPr="006C1B45">
        <w:rPr>
          <w:szCs w:val="22"/>
        </w:rPr>
        <w:t xml:space="preserve">263 of the Act and </w:t>
      </w:r>
      <w:r w:rsidR="00312359" w:rsidRPr="006C1B45">
        <w:rPr>
          <w:szCs w:val="22"/>
        </w:rPr>
        <w:t>replaced it with</w:t>
      </w:r>
      <w:r w:rsidR="0040228C" w:rsidRPr="006C1B45">
        <w:rPr>
          <w:szCs w:val="22"/>
        </w:rPr>
        <w:t xml:space="preserve"> ‘</w:t>
      </w:r>
      <w:r w:rsidRPr="006C1B45">
        <w:rPr>
          <w:szCs w:val="22"/>
        </w:rPr>
        <w:t>General Licensing Accreditation’ and ‘Specific Licensing Accreditation’.</w:t>
      </w:r>
      <w:r w:rsidR="008A1AA5">
        <w:rPr>
          <w:szCs w:val="22"/>
        </w:rPr>
        <w:t xml:space="preserve"> See the </w:t>
      </w:r>
      <w:hyperlink r:id="rId27" w:history="1">
        <w:r w:rsidR="008C6366" w:rsidRPr="00D03DCA">
          <w:rPr>
            <w:rStyle w:val="Hyperlink"/>
            <w:szCs w:val="22"/>
          </w:rPr>
          <w:t xml:space="preserve">Radiocommunications Accreditation </w:t>
        </w:r>
        <w:r w:rsidR="000A2585" w:rsidRPr="00D03DCA">
          <w:rPr>
            <w:rStyle w:val="Hyperlink"/>
            <w:szCs w:val="22"/>
          </w:rPr>
          <w:t xml:space="preserve">(General) </w:t>
        </w:r>
        <w:r w:rsidR="008C6366" w:rsidRPr="00D03DCA">
          <w:rPr>
            <w:rStyle w:val="Hyperlink"/>
            <w:szCs w:val="22"/>
          </w:rPr>
          <w:t>Rules 2021</w:t>
        </w:r>
      </w:hyperlink>
      <w:r w:rsidR="00F34CBC">
        <w:rPr>
          <w:szCs w:val="22"/>
        </w:rPr>
        <w:t xml:space="preserve"> for further information.</w:t>
      </w:r>
    </w:p>
    <w:p w14:paraId="4E23C642" w14:textId="3541113C" w:rsidR="002D5A50" w:rsidRPr="006C1B45" w:rsidRDefault="002D5A50" w:rsidP="00CD17EC">
      <w:pPr>
        <w:pStyle w:val="Paragraph"/>
        <w:rPr>
          <w:szCs w:val="22"/>
        </w:rPr>
      </w:pPr>
      <w:r w:rsidRPr="009D0E04">
        <w:rPr>
          <w:szCs w:val="22"/>
        </w:rPr>
        <w:t xml:space="preserve">We have changed the definition of point to multipoint station to </w:t>
      </w:r>
      <w:r w:rsidR="001757F8" w:rsidRPr="009D0E04">
        <w:rPr>
          <w:szCs w:val="22"/>
        </w:rPr>
        <w:t xml:space="preserve">make it clear that this type of station does not include </w:t>
      </w:r>
      <w:r w:rsidR="00CD1B1C" w:rsidRPr="009D0E04">
        <w:rPr>
          <w:szCs w:val="22"/>
        </w:rPr>
        <w:t xml:space="preserve">4 types of station </w:t>
      </w:r>
      <w:r w:rsidR="00B32DE9" w:rsidRPr="009D0E04">
        <w:rPr>
          <w:szCs w:val="22"/>
        </w:rPr>
        <w:t xml:space="preserve">that are </w:t>
      </w:r>
      <w:r w:rsidR="00CD1B1C" w:rsidRPr="009D0E04">
        <w:rPr>
          <w:szCs w:val="22"/>
        </w:rPr>
        <w:t xml:space="preserve">used </w:t>
      </w:r>
      <w:r w:rsidR="00A8317D" w:rsidRPr="009D0E04">
        <w:rPr>
          <w:szCs w:val="22"/>
        </w:rPr>
        <w:t xml:space="preserve">in the broadcasting </w:t>
      </w:r>
      <w:r w:rsidR="00B831B3" w:rsidRPr="009D0E04">
        <w:rPr>
          <w:szCs w:val="22"/>
        </w:rPr>
        <w:t>industry</w:t>
      </w:r>
      <w:r w:rsidR="00A8317D" w:rsidRPr="009D0E04">
        <w:rPr>
          <w:szCs w:val="22"/>
        </w:rPr>
        <w:t xml:space="preserve">. </w:t>
      </w:r>
      <w:r w:rsidR="00086CE2" w:rsidRPr="009D0E04">
        <w:rPr>
          <w:szCs w:val="22"/>
        </w:rPr>
        <w:t xml:space="preserve">See </w:t>
      </w:r>
      <w:r w:rsidR="00700B7D">
        <w:rPr>
          <w:szCs w:val="22"/>
        </w:rPr>
        <w:br/>
      </w:r>
      <w:r w:rsidR="00086CE2" w:rsidRPr="009D0E04">
        <w:rPr>
          <w:szCs w:val="22"/>
        </w:rPr>
        <w:t xml:space="preserve">the </w:t>
      </w:r>
      <w:r w:rsidR="003E16A1" w:rsidRPr="003E16A1">
        <w:rPr>
          <w:szCs w:val="22"/>
          <w:u w:color="0000FF"/>
        </w:rPr>
        <w:t>Radiocommunications Licence Conditions (Fixed Licence) Determination 2015</w:t>
      </w:r>
      <w:r w:rsidR="00302725" w:rsidRPr="009D0E04">
        <w:rPr>
          <w:szCs w:val="22"/>
        </w:rPr>
        <w:t xml:space="preserve"> for </w:t>
      </w:r>
      <w:r w:rsidR="00700B7D">
        <w:rPr>
          <w:szCs w:val="22"/>
        </w:rPr>
        <w:br/>
      </w:r>
      <w:r w:rsidR="00302725" w:rsidRPr="009D0E04">
        <w:rPr>
          <w:szCs w:val="22"/>
        </w:rPr>
        <w:t xml:space="preserve">further </w:t>
      </w:r>
      <w:r w:rsidR="00E547B2" w:rsidRPr="009D0E04">
        <w:rPr>
          <w:szCs w:val="22"/>
        </w:rPr>
        <w:t>information.</w:t>
      </w:r>
    </w:p>
    <w:p w14:paraId="69790565" w14:textId="2F897D5F" w:rsidR="00456050" w:rsidRDefault="00850171" w:rsidP="00456050">
      <w:pPr>
        <w:pStyle w:val="Heading4"/>
      </w:pPr>
      <w:r>
        <w:t>Land mobile expressions</w:t>
      </w:r>
    </w:p>
    <w:p w14:paraId="3AD27ABB" w14:textId="1044A9C3" w:rsidR="001D705E" w:rsidRPr="00E81464" w:rsidRDefault="006B3E77" w:rsidP="001D705E">
      <w:pPr>
        <w:rPr>
          <w:sz w:val="22"/>
          <w:szCs w:val="22"/>
        </w:rPr>
      </w:pPr>
      <w:r w:rsidRPr="00E81464">
        <w:rPr>
          <w:sz w:val="22"/>
          <w:szCs w:val="22"/>
        </w:rPr>
        <w:t xml:space="preserve">We have removed paragraphs (b) and (c) from the definition of ‘ambulatory system’ </w:t>
      </w:r>
      <w:r w:rsidR="006233D7" w:rsidRPr="00E81464">
        <w:rPr>
          <w:sz w:val="22"/>
          <w:szCs w:val="22"/>
        </w:rPr>
        <w:t xml:space="preserve">and replaced these with a new paragraph (b). This is because the existing paragraphs </w:t>
      </w:r>
      <w:r w:rsidR="00F66D68" w:rsidRPr="00E81464">
        <w:rPr>
          <w:sz w:val="22"/>
          <w:szCs w:val="22"/>
        </w:rPr>
        <w:t xml:space="preserve">unnecessarily </w:t>
      </w:r>
      <w:r w:rsidRPr="00E81464">
        <w:rPr>
          <w:sz w:val="22"/>
          <w:szCs w:val="22"/>
        </w:rPr>
        <w:t>replicate text in the definition of ‘ambulatory station’</w:t>
      </w:r>
      <w:r>
        <w:rPr>
          <w:sz w:val="22"/>
          <w:szCs w:val="22"/>
        </w:rPr>
        <w:t>.</w:t>
      </w:r>
    </w:p>
    <w:p w14:paraId="682A75EB" w14:textId="524F321F" w:rsidR="00913CBB" w:rsidRPr="00B32BBE" w:rsidRDefault="00913CBB" w:rsidP="00700B7D">
      <w:pPr>
        <w:pStyle w:val="Paragraphbeforelist"/>
      </w:pPr>
      <w:r w:rsidRPr="00E81464">
        <w:t xml:space="preserve">We have removed the expression ‘ambulatory system station’ because </w:t>
      </w:r>
      <w:r w:rsidR="00BC6486" w:rsidRPr="00E81464">
        <w:t>this is not used in any legi</w:t>
      </w:r>
      <w:r w:rsidR="00BC6486">
        <w:t>slative instrument made by the ACMA.</w:t>
      </w:r>
    </w:p>
    <w:p w14:paraId="42C231E0" w14:textId="321593F2" w:rsidR="00456050" w:rsidRDefault="0081632D" w:rsidP="004865C0">
      <w:pPr>
        <w:pStyle w:val="Heading4"/>
        <w:keepNext/>
        <w:rPr>
          <w:b w:val="0"/>
          <w:bCs/>
          <w:i w:val="0"/>
          <w:iCs/>
        </w:rPr>
      </w:pPr>
      <w:r>
        <w:lastRenderedPageBreak/>
        <w:t>Maritime expressions</w:t>
      </w:r>
    </w:p>
    <w:p w14:paraId="4D1FC315" w14:textId="2E2CE51D" w:rsidR="00826289" w:rsidRDefault="00BB196F" w:rsidP="002F78CA">
      <w:pPr>
        <w:pStyle w:val="Paragraph"/>
      </w:pPr>
      <w:r>
        <w:t>I</w:t>
      </w:r>
      <w:r w:rsidR="00826289" w:rsidRPr="003225CB">
        <w:t xml:space="preserve">n the definition of </w:t>
      </w:r>
      <w:r w:rsidR="00F65A97">
        <w:t>‘</w:t>
      </w:r>
      <w:r w:rsidR="00826289" w:rsidRPr="003225CB">
        <w:t xml:space="preserve">27 MHz maritime frequencies’ </w:t>
      </w:r>
      <w:r w:rsidR="00600339">
        <w:t xml:space="preserve">we have changed </w:t>
      </w:r>
      <w:r w:rsidR="00826289" w:rsidRPr="003225CB">
        <w:t xml:space="preserve">kHz to </w:t>
      </w:r>
      <w:proofErr w:type="spellStart"/>
      <w:r w:rsidR="00826289" w:rsidRPr="003225CB">
        <w:t>MHz</w:t>
      </w:r>
      <w:r w:rsidR="00757D2D" w:rsidRPr="003225CB">
        <w:t>.</w:t>
      </w:r>
      <w:proofErr w:type="spellEnd"/>
      <w:r w:rsidR="001A659E" w:rsidRPr="003225CB">
        <w:t xml:space="preserve"> </w:t>
      </w:r>
      <w:r w:rsidR="0067092C" w:rsidRPr="003225CB">
        <w:t>We consider this is appropriate</w:t>
      </w:r>
      <w:r w:rsidR="00700B7D">
        <w:t>,</w:t>
      </w:r>
      <w:r w:rsidR="0067092C" w:rsidRPr="003225CB">
        <w:t xml:space="preserve"> </w:t>
      </w:r>
      <w:r w:rsidR="009F774C" w:rsidRPr="003225CB">
        <w:t xml:space="preserve">given the </w:t>
      </w:r>
      <w:r w:rsidR="00CB6ED0">
        <w:t>name of th</w:t>
      </w:r>
      <w:r w:rsidR="00386C84">
        <w:t xml:space="preserve">is </w:t>
      </w:r>
      <w:r w:rsidR="009F774C" w:rsidRPr="003225CB">
        <w:t>e</w:t>
      </w:r>
      <w:r w:rsidR="00561349" w:rsidRPr="003225CB">
        <w:t xml:space="preserve">xpression and how </w:t>
      </w:r>
      <w:r w:rsidR="0067092C" w:rsidRPr="003225CB">
        <w:t xml:space="preserve">we express </w:t>
      </w:r>
      <w:r w:rsidR="00125904">
        <w:br/>
      </w:r>
      <w:r w:rsidR="00661E53">
        <w:t>high</w:t>
      </w:r>
      <w:r w:rsidR="00661E53" w:rsidRPr="003225CB">
        <w:t xml:space="preserve"> </w:t>
      </w:r>
      <w:r w:rsidR="00CF0B33" w:rsidRPr="003225CB">
        <w:t>frequencies.</w:t>
      </w:r>
    </w:p>
    <w:p w14:paraId="03C7A9D8" w14:textId="216BDDAC" w:rsidR="003337F9" w:rsidRDefault="003337F9" w:rsidP="002F78CA">
      <w:pPr>
        <w:pStyle w:val="Paragraph"/>
      </w:pPr>
      <w:r>
        <w:t xml:space="preserve">We have made a slight change to the definition of ‘aids to navigation station’ to reflect that </w:t>
      </w:r>
      <w:r w:rsidR="004A709E">
        <w:t xml:space="preserve">a frequency is used </w:t>
      </w:r>
      <w:r w:rsidR="00A01609">
        <w:t xml:space="preserve">for AIS </w:t>
      </w:r>
      <w:r w:rsidR="00700B7D">
        <w:t xml:space="preserve">(automatic identification system) </w:t>
      </w:r>
      <w:r w:rsidR="00A01609">
        <w:t xml:space="preserve">rather than allocated for </w:t>
      </w:r>
      <w:r w:rsidR="00780144">
        <w:t>it.</w:t>
      </w:r>
      <w:r w:rsidR="00A83B55">
        <w:t xml:space="preserve"> See the relevant footnotes in the ARSP.</w:t>
      </w:r>
    </w:p>
    <w:p w14:paraId="59062EB6" w14:textId="4FD07404" w:rsidR="00142C7E" w:rsidRPr="00142C7E" w:rsidRDefault="00891423" w:rsidP="00EA2C76">
      <w:pPr>
        <w:pStyle w:val="Paragraph"/>
        <w:rPr>
          <w:szCs w:val="22"/>
        </w:rPr>
      </w:pPr>
      <w:bookmarkStart w:id="13" w:name="_Hlk173133104"/>
      <w:r>
        <w:rPr>
          <w:rFonts w:cs="Times New Roman"/>
          <w:szCs w:val="22"/>
        </w:rPr>
        <w:t xml:space="preserve">As </w:t>
      </w:r>
      <w:r w:rsidR="00CF0E31">
        <w:rPr>
          <w:rFonts w:cs="Times New Roman"/>
          <w:szCs w:val="22"/>
        </w:rPr>
        <w:t>there are currently no</w:t>
      </w:r>
      <w:r w:rsidR="005F01F1">
        <w:rPr>
          <w:rFonts w:cs="Times New Roman"/>
          <w:szCs w:val="22"/>
        </w:rPr>
        <w:t xml:space="preserve"> licences in force</w:t>
      </w:r>
      <w:r w:rsidR="00A25DE4">
        <w:rPr>
          <w:rFonts w:cs="Times New Roman"/>
          <w:szCs w:val="22"/>
        </w:rPr>
        <w:t xml:space="preserve"> for a </w:t>
      </w:r>
      <w:r w:rsidR="002B682C">
        <w:rPr>
          <w:rFonts w:cs="Times New Roman"/>
          <w:szCs w:val="22"/>
        </w:rPr>
        <w:t>‘</w:t>
      </w:r>
      <w:r w:rsidR="00A25DE4">
        <w:rPr>
          <w:rFonts w:cs="Times New Roman"/>
          <w:szCs w:val="22"/>
        </w:rPr>
        <w:t>major coast B station</w:t>
      </w:r>
      <w:r w:rsidR="002B682C">
        <w:rPr>
          <w:rFonts w:cs="Times New Roman"/>
          <w:szCs w:val="22"/>
        </w:rPr>
        <w:t>’</w:t>
      </w:r>
      <w:r w:rsidR="0070620F">
        <w:rPr>
          <w:rFonts w:cs="Times New Roman"/>
          <w:szCs w:val="22"/>
        </w:rPr>
        <w:t xml:space="preserve"> </w:t>
      </w:r>
      <w:r w:rsidR="005F01F1">
        <w:rPr>
          <w:rFonts w:cs="Times New Roman"/>
          <w:szCs w:val="22"/>
        </w:rPr>
        <w:t xml:space="preserve">and we do not intend to issue any </w:t>
      </w:r>
      <w:r w:rsidR="00254073">
        <w:rPr>
          <w:rFonts w:cs="Times New Roman"/>
          <w:szCs w:val="22"/>
        </w:rPr>
        <w:t xml:space="preserve">such </w:t>
      </w:r>
      <w:r w:rsidR="00A25DE4">
        <w:rPr>
          <w:rFonts w:cs="Times New Roman"/>
          <w:szCs w:val="22"/>
        </w:rPr>
        <w:t>licences</w:t>
      </w:r>
      <w:r w:rsidR="005F01F1">
        <w:rPr>
          <w:rFonts w:cs="Times New Roman"/>
          <w:szCs w:val="22"/>
        </w:rPr>
        <w:t>,</w:t>
      </w:r>
      <w:r w:rsidR="00F24E73">
        <w:rPr>
          <w:rFonts w:cs="Times New Roman"/>
          <w:szCs w:val="22"/>
        </w:rPr>
        <w:t xml:space="preserve"> </w:t>
      </w:r>
      <w:r>
        <w:rPr>
          <w:rFonts w:cs="Times New Roman"/>
          <w:szCs w:val="22"/>
        </w:rPr>
        <w:t>w</w:t>
      </w:r>
      <w:r w:rsidR="00142C7E" w:rsidRPr="00EA2C76">
        <w:rPr>
          <w:rFonts w:cs="Times New Roman"/>
          <w:szCs w:val="22"/>
        </w:rPr>
        <w:t>e have removed th</w:t>
      </w:r>
      <w:r w:rsidR="002B682C">
        <w:rPr>
          <w:rFonts w:cs="Times New Roman"/>
          <w:szCs w:val="22"/>
        </w:rPr>
        <w:t xml:space="preserve">is </w:t>
      </w:r>
      <w:r w:rsidR="00142C7E" w:rsidRPr="00EA2C76">
        <w:rPr>
          <w:rFonts w:cs="Times New Roman"/>
          <w:szCs w:val="22"/>
        </w:rPr>
        <w:t xml:space="preserve">definition. We will propose </w:t>
      </w:r>
      <w:r w:rsidR="001F737C" w:rsidRPr="00EA2C76">
        <w:rPr>
          <w:rFonts w:cs="Times New Roman"/>
          <w:szCs w:val="22"/>
        </w:rPr>
        <w:t xml:space="preserve">removing </w:t>
      </w:r>
      <w:r w:rsidR="007108A3" w:rsidRPr="00EA2C76">
        <w:rPr>
          <w:rFonts w:cs="Times New Roman"/>
          <w:szCs w:val="22"/>
        </w:rPr>
        <w:t>references to ‘</w:t>
      </w:r>
      <w:r w:rsidR="00142C7E" w:rsidRPr="00EA2C76">
        <w:rPr>
          <w:rFonts w:cs="Times New Roman"/>
          <w:szCs w:val="22"/>
        </w:rPr>
        <w:t>major coast B station</w:t>
      </w:r>
      <w:r w:rsidR="007108A3" w:rsidRPr="00EA2C76">
        <w:rPr>
          <w:rFonts w:cs="Times New Roman"/>
          <w:szCs w:val="22"/>
        </w:rPr>
        <w:t xml:space="preserve">’ from other instruments </w:t>
      </w:r>
      <w:r w:rsidR="001F737C" w:rsidRPr="00EA2C76">
        <w:rPr>
          <w:rFonts w:cs="Times New Roman"/>
          <w:szCs w:val="22"/>
        </w:rPr>
        <w:t>(</w:t>
      </w:r>
      <w:r w:rsidR="00142C7E" w:rsidRPr="00EA2C76">
        <w:rPr>
          <w:rFonts w:cs="Times New Roman"/>
          <w:szCs w:val="22"/>
        </w:rPr>
        <w:t>and the related licence type</w:t>
      </w:r>
      <w:r w:rsidR="001F737C" w:rsidRPr="00EA2C76">
        <w:rPr>
          <w:rFonts w:cs="Times New Roman"/>
          <w:szCs w:val="22"/>
        </w:rPr>
        <w:t>)</w:t>
      </w:r>
      <w:r w:rsidR="00142C7E" w:rsidRPr="00EA2C76">
        <w:rPr>
          <w:rFonts w:cs="Times New Roman"/>
          <w:szCs w:val="22"/>
        </w:rPr>
        <w:t xml:space="preserve"> when considering whether those instruments should sunset.</w:t>
      </w:r>
      <w:bookmarkEnd w:id="13"/>
      <w:r w:rsidR="00142C7E">
        <w:rPr>
          <w:szCs w:val="22"/>
        </w:rPr>
        <w:t xml:space="preserve"> We have included a transitional provision in section 6 of the ID 2024 for this expression.</w:t>
      </w:r>
    </w:p>
    <w:p w14:paraId="2DF8F455" w14:textId="0A935A77" w:rsidR="00456050" w:rsidRPr="001A6338" w:rsidRDefault="00F376C8" w:rsidP="00604B6C">
      <w:pPr>
        <w:pStyle w:val="Paragraph"/>
        <w:rPr>
          <w:rFonts w:cs="Times New Roman"/>
          <w:szCs w:val="22"/>
        </w:rPr>
      </w:pPr>
      <w:r>
        <w:rPr>
          <w:rFonts w:cs="Times New Roman"/>
          <w:szCs w:val="22"/>
        </w:rPr>
        <w:t>In</w:t>
      </w:r>
      <w:r w:rsidR="00BE45F2">
        <w:rPr>
          <w:rFonts w:cs="Times New Roman"/>
          <w:szCs w:val="22"/>
        </w:rPr>
        <w:t xml:space="preserve"> the definition of </w:t>
      </w:r>
      <w:r w:rsidR="00BE45F2" w:rsidRPr="001A6338">
        <w:rPr>
          <w:rFonts w:cs="Times New Roman"/>
          <w:szCs w:val="22"/>
        </w:rPr>
        <w:t>‘maritime coast receive station’</w:t>
      </w:r>
      <w:r w:rsidR="001B49FF">
        <w:rPr>
          <w:rFonts w:cs="Times New Roman"/>
          <w:szCs w:val="22"/>
        </w:rPr>
        <w:t>,</w:t>
      </w:r>
      <w:r>
        <w:rPr>
          <w:rFonts w:cs="Times New Roman"/>
          <w:szCs w:val="22"/>
        </w:rPr>
        <w:t xml:space="preserve"> we have r</w:t>
      </w:r>
      <w:r w:rsidR="00BE45F2" w:rsidRPr="001A6338">
        <w:rPr>
          <w:rFonts w:cs="Times New Roman"/>
          <w:szCs w:val="22"/>
        </w:rPr>
        <w:t>emove</w:t>
      </w:r>
      <w:r>
        <w:rPr>
          <w:rFonts w:cs="Times New Roman"/>
          <w:szCs w:val="22"/>
        </w:rPr>
        <w:t>d</w:t>
      </w:r>
      <w:r w:rsidR="00BE45F2" w:rsidRPr="001A6338">
        <w:rPr>
          <w:rFonts w:cs="Times New Roman"/>
          <w:szCs w:val="22"/>
        </w:rPr>
        <w:t xml:space="preserve"> </w:t>
      </w:r>
      <w:r w:rsidR="002A55DE" w:rsidRPr="001A6338">
        <w:rPr>
          <w:rFonts w:cs="Times New Roman"/>
          <w:szCs w:val="22"/>
        </w:rPr>
        <w:t xml:space="preserve">the reference to </w:t>
      </w:r>
      <w:r w:rsidR="003E16A1">
        <w:rPr>
          <w:rFonts w:cs="Times New Roman"/>
          <w:szCs w:val="22"/>
        </w:rPr>
        <w:br/>
      </w:r>
      <w:r w:rsidR="002A55DE" w:rsidRPr="001A6338">
        <w:rPr>
          <w:rFonts w:cs="Times New Roman"/>
          <w:szCs w:val="22"/>
        </w:rPr>
        <w:t xml:space="preserve">section 263 of the Act and </w:t>
      </w:r>
      <w:r w:rsidR="005E692B">
        <w:rPr>
          <w:rFonts w:cs="Times New Roman"/>
          <w:szCs w:val="22"/>
        </w:rPr>
        <w:t>replaced it with</w:t>
      </w:r>
      <w:r w:rsidR="002A55DE">
        <w:rPr>
          <w:rFonts w:cs="Times New Roman"/>
          <w:szCs w:val="22"/>
        </w:rPr>
        <w:t xml:space="preserve"> </w:t>
      </w:r>
      <w:r w:rsidR="002A55DE" w:rsidRPr="001A6338">
        <w:rPr>
          <w:rFonts w:cs="Times New Roman"/>
          <w:szCs w:val="22"/>
        </w:rPr>
        <w:t>‘General Licensing Accreditation’ and ‘Specific Licensing Accreditation’.</w:t>
      </w:r>
      <w:r w:rsidR="00845124">
        <w:rPr>
          <w:rFonts w:cs="Times New Roman"/>
          <w:szCs w:val="22"/>
        </w:rPr>
        <w:t xml:space="preserve"> See the </w:t>
      </w:r>
      <w:r w:rsidR="00845124" w:rsidRPr="009770E7">
        <w:rPr>
          <w:rFonts w:cs="Times New Roman"/>
          <w:szCs w:val="22"/>
          <w:u w:color="0000FF"/>
        </w:rPr>
        <w:t xml:space="preserve">Radiocommunications Accreditation </w:t>
      </w:r>
      <w:r w:rsidR="004C2574" w:rsidRPr="009770E7">
        <w:rPr>
          <w:rFonts w:cs="Times New Roman"/>
          <w:szCs w:val="22"/>
          <w:u w:color="0000FF"/>
        </w:rPr>
        <w:t xml:space="preserve">(General) </w:t>
      </w:r>
      <w:r w:rsidR="00845124" w:rsidRPr="009770E7">
        <w:rPr>
          <w:rFonts w:cs="Times New Roman"/>
          <w:szCs w:val="22"/>
          <w:u w:color="0000FF"/>
        </w:rPr>
        <w:t>Rules 2021</w:t>
      </w:r>
      <w:r w:rsidR="0034138D">
        <w:rPr>
          <w:rFonts w:cs="Times New Roman"/>
          <w:szCs w:val="22"/>
        </w:rPr>
        <w:t xml:space="preserve"> for further information.</w:t>
      </w:r>
    </w:p>
    <w:p w14:paraId="02F0A9D2" w14:textId="3D69C4D2" w:rsidR="00456050" w:rsidRDefault="007624DF" w:rsidP="00604B6C">
      <w:pPr>
        <w:pStyle w:val="Paragraph"/>
      </w:pPr>
      <w:r w:rsidRPr="007F1E3C">
        <w:t xml:space="preserve">We have </w:t>
      </w:r>
      <w:r w:rsidR="00C34248" w:rsidRPr="007F1E3C">
        <w:t xml:space="preserve">replaced the definition of ‘maritime mobile-satellite service’ with the definition </w:t>
      </w:r>
      <w:r w:rsidR="00570BF3" w:rsidRPr="007F1E3C">
        <w:t xml:space="preserve">of that expression </w:t>
      </w:r>
      <w:r w:rsidR="00C34248" w:rsidRPr="007F1E3C">
        <w:t>in the A</w:t>
      </w:r>
      <w:r w:rsidR="008F4100" w:rsidRPr="007F1E3C">
        <w:t>RSP</w:t>
      </w:r>
      <w:r w:rsidR="00C34248" w:rsidRPr="007F1E3C">
        <w:t xml:space="preserve">. We have also </w:t>
      </w:r>
      <w:r w:rsidRPr="007F1E3C">
        <w:t>included a reference to mobile earth receive stations in th</w:t>
      </w:r>
      <w:r w:rsidR="00855078" w:rsidRPr="007F1E3C">
        <w:t>e</w:t>
      </w:r>
      <w:r w:rsidR="00CD17EC" w:rsidRPr="007F1E3C">
        <w:t xml:space="preserve"> </w:t>
      </w:r>
      <w:r w:rsidRPr="007F1E3C">
        <w:t>definition</w:t>
      </w:r>
      <w:r w:rsidR="00C34248" w:rsidRPr="007F1E3C">
        <w:t xml:space="preserve">. </w:t>
      </w:r>
      <w:r w:rsidR="00935100" w:rsidRPr="007F1E3C">
        <w:t xml:space="preserve">This is to </w:t>
      </w:r>
      <w:r w:rsidR="00264251">
        <w:t>clarify</w:t>
      </w:r>
      <w:r w:rsidRPr="007F1E3C">
        <w:t xml:space="preserve"> that such stations are </w:t>
      </w:r>
      <w:r w:rsidR="00935100" w:rsidRPr="007F1E3C">
        <w:t xml:space="preserve">a </w:t>
      </w:r>
      <w:r w:rsidR="00CA339D" w:rsidRPr="007F1E3C">
        <w:t>part of this service.</w:t>
      </w:r>
      <w:r w:rsidR="00C101DD" w:rsidRPr="007F1E3C">
        <w:t xml:space="preserve"> We have also </w:t>
      </w:r>
      <w:r w:rsidR="0054191D" w:rsidRPr="007F1E3C">
        <w:t>included a reference to mobile earth receive stations in the definition of ‘maritime ship station’.</w:t>
      </w:r>
    </w:p>
    <w:p w14:paraId="389D26D3" w14:textId="21841DB2" w:rsidR="00ED254B" w:rsidRDefault="00ED254B" w:rsidP="00604B6C">
      <w:pPr>
        <w:pStyle w:val="Paragraph"/>
      </w:pPr>
      <w:r>
        <w:t>We have made a minor change to the definitions of ‘ship station Class B assigned’ and ‘ship station Class B non</w:t>
      </w:r>
      <w:r w:rsidR="00125904">
        <w:t>-</w:t>
      </w:r>
      <w:r>
        <w:t xml:space="preserve">assigned’. This is to remove the reference to </w:t>
      </w:r>
      <w:r w:rsidR="007033D3">
        <w:t>‘messages on behalf of the public’ and to replace it with ‘public correspondence’, which we consider more appropriate.</w:t>
      </w:r>
    </w:p>
    <w:p w14:paraId="0BEF953D" w14:textId="7498B5E7" w:rsidR="00514F61" w:rsidRDefault="00514F61" w:rsidP="00604B6C">
      <w:pPr>
        <w:pStyle w:val="Paragraph"/>
      </w:pPr>
      <w:r>
        <w:t>We have removed references to Marin</w:t>
      </w:r>
      <w:r w:rsidR="007047E9">
        <w:t>e</w:t>
      </w:r>
      <w:r>
        <w:t xml:space="preserve"> Orders made under the </w:t>
      </w:r>
      <w:r w:rsidRPr="002F78CA">
        <w:rPr>
          <w:i/>
          <w:iCs/>
        </w:rPr>
        <w:t>Navigation Act 2012</w:t>
      </w:r>
      <w:r>
        <w:t xml:space="preserve"> from the definitions </w:t>
      </w:r>
      <w:r w:rsidR="0042601A">
        <w:t xml:space="preserve">of </w:t>
      </w:r>
      <w:r>
        <w:t>‘</w:t>
      </w:r>
      <w:r w:rsidR="002322AE">
        <w:t>ship station Class C assigned’ and ‘ship station Class C non</w:t>
      </w:r>
      <w:r w:rsidR="00897A7C">
        <w:t>-</w:t>
      </w:r>
      <w:r w:rsidR="002322AE">
        <w:t xml:space="preserve">assigned’. This is to avoid unnecessary duplication </w:t>
      </w:r>
      <w:r w:rsidR="00CA26FD">
        <w:t xml:space="preserve">given the </w:t>
      </w:r>
      <w:r w:rsidR="002322AE">
        <w:t>definition of ‘ship station Class</w:t>
      </w:r>
      <w:r w:rsidR="00CA26FD">
        <w:t xml:space="preserve"> C’.</w:t>
      </w:r>
    </w:p>
    <w:p w14:paraId="45EB1679" w14:textId="77777777" w:rsidR="004F5BEB" w:rsidRDefault="004F5BEB" w:rsidP="004F5BEB">
      <w:pPr>
        <w:pStyle w:val="Heading4"/>
      </w:pPr>
      <w:r>
        <w:t>Miscellaneous expressions</w:t>
      </w:r>
    </w:p>
    <w:p w14:paraId="2AB818DB" w14:textId="503F1F2B" w:rsidR="009C46D5" w:rsidRPr="00BB01F4" w:rsidRDefault="009C46D5" w:rsidP="002F78CA">
      <w:pPr>
        <w:pStyle w:val="Paragraph"/>
      </w:pPr>
      <w:r w:rsidRPr="00BB01F4">
        <w:t xml:space="preserve">We have simplified the definition of ‘assigned </w:t>
      </w:r>
      <w:proofErr w:type="spellStart"/>
      <w:r w:rsidR="00264251" w:rsidRPr="00BB01F4">
        <w:t>basis</w:t>
      </w:r>
      <w:r w:rsidR="00264251">
        <w:t>’</w:t>
      </w:r>
      <w:proofErr w:type="spellEnd"/>
      <w:r w:rsidRPr="00BB01F4">
        <w:t xml:space="preserve"> </w:t>
      </w:r>
      <w:r w:rsidR="00AB1B48" w:rsidRPr="00BB01F4">
        <w:t xml:space="preserve">by removing </w:t>
      </w:r>
      <w:r w:rsidR="005528B2" w:rsidRPr="00BB01F4">
        <w:t xml:space="preserve">the reference to </w:t>
      </w:r>
      <w:r w:rsidR="00D76F0D" w:rsidRPr="00BB01F4">
        <w:t>‘specifically selected’</w:t>
      </w:r>
      <w:r w:rsidR="00483C9F" w:rsidRPr="00BB01F4">
        <w:t xml:space="preserve">, which we consider </w:t>
      </w:r>
      <w:r w:rsidR="00EB5336" w:rsidRPr="00BB01F4">
        <w:t>unnecessary.</w:t>
      </w:r>
    </w:p>
    <w:p w14:paraId="66C9F48D" w14:textId="16A0FDA9" w:rsidR="004F5BEB" w:rsidRPr="00BB01F4" w:rsidRDefault="004F5BEB" w:rsidP="002F78CA">
      <w:pPr>
        <w:pStyle w:val="Paragraph"/>
      </w:pPr>
      <w:r w:rsidRPr="00BB01F4">
        <w:t xml:space="preserve">We have simplified the definition of ‘communication’ to refer to the definition in the </w:t>
      </w:r>
      <w:hyperlink r:id="rId28" w:history="1">
        <w:r w:rsidRPr="00AB5C0E">
          <w:rPr>
            <w:rStyle w:val="Hyperlink"/>
            <w:i/>
            <w:szCs w:val="22"/>
          </w:rPr>
          <w:t>Telecommunications Act 1997</w:t>
        </w:r>
      </w:hyperlink>
      <w:r w:rsidR="004F1991">
        <w:t>, which is substantively the same</w:t>
      </w:r>
      <w:r w:rsidRPr="00BB01F4">
        <w:t>.</w:t>
      </w:r>
    </w:p>
    <w:p w14:paraId="6CB7A1D5" w14:textId="77777777" w:rsidR="004F5BEB" w:rsidRPr="00BB01F4" w:rsidRDefault="004F5BEB" w:rsidP="004F5BEB">
      <w:pPr>
        <w:pStyle w:val="Paragraph"/>
        <w:rPr>
          <w:szCs w:val="22"/>
        </w:rPr>
      </w:pPr>
      <w:r w:rsidRPr="00BB01F4">
        <w:rPr>
          <w:szCs w:val="22"/>
        </w:rPr>
        <w:t>We have changed the definition of ‘interior paging’ to clarify that this occurs in an environment in which radio emissions are constrained.</w:t>
      </w:r>
    </w:p>
    <w:p w14:paraId="5BC855B3" w14:textId="392FEEE6" w:rsidR="004F5BEB" w:rsidRDefault="004F5BEB" w:rsidP="002F78CA">
      <w:pPr>
        <w:pStyle w:val="Paragraph"/>
      </w:pPr>
      <w:r w:rsidRPr="00BB01F4">
        <w:t>We have removed the definition of ‘low</w:t>
      </w:r>
      <w:r w:rsidR="00125904">
        <w:t>-</w:t>
      </w:r>
      <w:r w:rsidRPr="00BB01F4">
        <w:t>duty cycle speech’ because this expression is not used in any legislative instrument made by the ACMA.</w:t>
      </w:r>
    </w:p>
    <w:p w14:paraId="593793CD" w14:textId="656023E8" w:rsidR="00456050" w:rsidRPr="00A17B1B" w:rsidRDefault="004F5CC2" w:rsidP="00456050">
      <w:pPr>
        <w:pStyle w:val="Heading4"/>
      </w:pPr>
      <w:r>
        <w:t>Outpost expressions</w:t>
      </w:r>
    </w:p>
    <w:p w14:paraId="1BFFBB12" w14:textId="3310FE41" w:rsidR="00C542CC" w:rsidRDefault="00F85826" w:rsidP="00604B6C">
      <w:pPr>
        <w:pStyle w:val="Paragraph"/>
      </w:pPr>
      <w:r>
        <w:t xml:space="preserve">Given the definition of ‘mobile station’, </w:t>
      </w:r>
      <w:r w:rsidR="002E2F99">
        <w:t>w</w:t>
      </w:r>
      <w:r w:rsidR="00C542CC">
        <w:t>e have removed the words ‘on land, on water or in the air’ from the definition of ‘mobile outpost station’</w:t>
      </w:r>
      <w:r w:rsidR="002E2F99">
        <w:t xml:space="preserve"> as</w:t>
      </w:r>
      <w:r w:rsidR="00C542CC">
        <w:t xml:space="preserve"> </w:t>
      </w:r>
      <w:r w:rsidR="002E2F99">
        <w:t>w</w:t>
      </w:r>
      <w:r w:rsidR="00C542CC">
        <w:t>e consider these unnecessary</w:t>
      </w:r>
      <w:r w:rsidR="004F7E44">
        <w:t>.</w:t>
      </w:r>
    </w:p>
    <w:p w14:paraId="0D38DB09" w14:textId="2C98E3B3" w:rsidR="00456050" w:rsidRPr="00C01A4E" w:rsidRDefault="004F5CC2" w:rsidP="00604B6C">
      <w:pPr>
        <w:pStyle w:val="Paragraph"/>
        <w:rPr>
          <w:szCs w:val="22"/>
        </w:rPr>
      </w:pPr>
      <w:r w:rsidRPr="00C01A4E">
        <w:rPr>
          <w:szCs w:val="22"/>
        </w:rPr>
        <w:lastRenderedPageBreak/>
        <w:t xml:space="preserve">We have changed the definition of ‘outpost assigned station’ to </w:t>
      </w:r>
      <w:r w:rsidR="00BD7BC6" w:rsidRPr="00C01A4E">
        <w:rPr>
          <w:szCs w:val="22"/>
        </w:rPr>
        <w:t xml:space="preserve">remove the reference to fixed and mobile outpost stations. We consider that </w:t>
      </w:r>
      <w:r w:rsidR="00454237" w:rsidRPr="00C01A4E">
        <w:rPr>
          <w:szCs w:val="22"/>
        </w:rPr>
        <w:t>the expression ‘outpost station’ includes both.</w:t>
      </w:r>
    </w:p>
    <w:p w14:paraId="031A2DDE" w14:textId="1B43C5A6" w:rsidR="00456050" w:rsidRDefault="003E393E" w:rsidP="00456050">
      <w:pPr>
        <w:pStyle w:val="Heading4"/>
      </w:pPr>
      <w:r>
        <w:t xml:space="preserve">PTS </w:t>
      </w:r>
      <w:r w:rsidR="00205AFD">
        <w:t xml:space="preserve">and PMTS </w:t>
      </w:r>
      <w:r>
        <w:t>expressions</w:t>
      </w:r>
    </w:p>
    <w:p w14:paraId="7DEE58D9" w14:textId="538ACEFC" w:rsidR="005D0EE6" w:rsidRPr="00686E08" w:rsidRDefault="005D0EE6" w:rsidP="002F78CA">
      <w:pPr>
        <w:pStyle w:val="Paragraph"/>
      </w:pPr>
      <w:r w:rsidRPr="00686E08">
        <w:t xml:space="preserve">We have </w:t>
      </w:r>
      <w:r w:rsidR="00B60AF3" w:rsidRPr="00686E08">
        <w:t xml:space="preserve">simplified the </w:t>
      </w:r>
      <w:r w:rsidRPr="00686E08">
        <w:t xml:space="preserve">definition of ‘carriage service’ </w:t>
      </w:r>
      <w:r w:rsidR="00EE1E66" w:rsidRPr="00686E08">
        <w:t xml:space="preserve">because </w:t>
      </w:r>
      <w:r w:rsidR="00015476" w:rsidRPr="00686E08">
        <w:t>the ID 2015</w:t>
      </w:r>
      <w:r w:rsidR="00DF36E0" w:rsidRPr="00686E08">
        <w:t xml:space="preserve"> definition duplicate</w:t>
      </w:r>
      <w:r w:rsidR="000C7B4C" w:rsidRPr="00686E08">
        <w:t>s</w:t>
      </w:r>
      <w:r w:rsidR="00DF36E0" w:rsidRPr="00686E08">
        <w:t xml:space="preserve"> the </w:t>
      </w:r>
      <w:r w:rsidR="002504BA" w:rsidRPr="00686E08">
        <w:t xml:space="preserve">one </w:t>
      </w:r>
      <w:r w:rsidR="00DF36E0" w:rsidRPr="00686E08">
        <w:t xml:space="preserve">in the </w:t>
      </w:r>
      <w:r w:rsidR="00DF36E0" w:rsidRPr="004F020D">
        <w:rPr>
          <w:i/>
          <w:iCs/>
        </w:rPr>
        <w:t>T</w:t>
      </w:r>
      <w:r w:rsidRPr="004F020D">
        <w:rPr>
          <w:i/>
          <w:iCs/>
        </w:rPr>
        <w:t>elecommunications Act 1997</w:t>
      </w:r>
      <w:r w:rsidRPr="00686E08">
        <w:t>.</w:t>
      </w:r>
    </w:p>
    <w:p w14:paraId="2212480C" w14:textId="23924E7B" w:rsidR="00256514" w:rsidRPr="00686E08" w:rsidRDefault="00256514" w:rsidP="002F78CA">
      <w:pPr>
        <w:pStyle w:val="Paragraph"/>
      </w:pPr>
      <w:r w:rsidRPr="00686E08">
        <w:t xml:space="preserve">We have </w:t>
      </w:r>
      <w:r w:rsidR="000D0FFE" w:rsidRPr="00686E08">
        <w:t xml:space="preserve">changed the definition of ‘cellular mobile </w:t>
      </w:r>
      <w:r w:rsidR="00BF0CBA" w:rsidRPr="00686E08">
        <w:t xml:space="preserve">telephone service’ to remove the reference to </w:t>
      </w:r>
      <w:r w:rsidR="008B2C37" w:rsidRPr="00686E08">
        <w:t>‘mobile switching centres’</w:t>
      </w:r>
      <w:r w:rsidR="00A92886" w:rsidRPr="00686E08">
        <w:t xml:space="preserve">. </w:t>
      </w:r>
      <w:r w:rsidR="00701DFB" w:rsidRPr="00686E08">
        <w:t>Instead,</w:t>
      </w:r>
      <w:r w:rsidR="00A92886" w:rsidRPr="00686E08">
        <w:t xml:space="preserve"> we use the expression </w:t>
      </w:r>
      <w:r w:rsidR="00343118" w:rsidRPr="00686E08">
        <w:t>‘</w:t>
      </w:r>
      <w:r w:rsidR="00151DBF" w:rsidRPr="00686E08">
        <w:t>redirection station</w:t>
      </w:r>
      <w:r w:rsidR="00343118" w:rsidRPr="00686E08">
        <w:t>s’</w:t>
      </w:r>
      <w:r w:rsidR="00151DBF" w:rsidRPr="00686E08">
        <w:t xml:space="preserve">. </w:t>
      </w:r>
      <w:r w:rsidR="003C0E28" w:rsidRPr="00686E08">
        <w:t>We consider this mor</w:t>
      </w:r>
      <w:r w:rsidR="00343118" w:rsidRPr="00686E08">
        <w:t>e</w:t>
      </w:r>
      <w:r w:rsidR="003C0E28" w:rsidRPr="00686E08">
        <w:t xml:space="preserve"> appropriate</w:t>
      </w:r>
      <w:r w:rsidR="00C9771A">
        <w:t>,</w:t>
      </w:r>
      <w:r w:rsidR="003C0E28" w:rsidRPr="00686E08">
        <w:t xml:space="preserve"> given</w:t>
      </w:r>
      <w:r w:rsidR="008B2C37" w:rsidRPr="00686E08">
        <w:t xml:space="preserve"> changes in technology.</w:t>
      </w:r>
    </w:p>
    <w:p w14:paraId="179B8CB0" w14:textId="5E60E487" w:rsidR="00343C33" w:rsidRPr="00C01A4E" w:rsidRDefault="00343C33" w:rsidP="00D4516B">
      <w:pPr>
        <w:pStyle w:val="Paragraph"/>
      </w:pPr>
      <w:r w:rsidRPr="00C01A4E">
        <w:t xml:space="preserve">We have removed the definition of ‘PABX cordless telephone service’. This is because of the </w:t>
      </w:r>
      <w:r w:rsidR="4225D282" w:rsidRPr="00C01A4E">
        <w:t xml:space="preserve">replanning </w:t>
      </w:r>
      <w:r w:rsidRPr="00C01A4E">
        <w:t xml:space="preserve">of the relevant frequency band (857 MHz to 861 MHz) for </w:t>
      </w:r>
      <w:r w:rsidR="551D224B" w:rsidRPr="00C01A4E">
        <w:t>other services</w:t>
      </w:r>
      <w:r w:rsidR="004A3C45">
        <w:t>,</w:t>
      </w:r>
      <w:r w:rsidR="551D224B" w:rsidRPr="00C01A4E">
        <w:t xml:space="preserve"> including reallocation via spectrum licence</w:t>
      </w:r>
      <w:r w:rsidRPr="00C01A4E">
        <w:t xml:space="preserve">. We have included a transitional provision in section 6 of the ID 2024 for </w:t>
      </w:r>
      <w:r w:rsidR="00362CF4" w:rsidRPr="00C01A4E">
        <w:t>this expression.</w:t>
      </w:r>
    </w:p>
    <w:p w14:paraId="65D04CAB" w14:textId="448B7EE6" w:rsidR="00456050" w:rsidRDefault="003E393E" w:rsidP="00604B6C">
      <w:pPr>
        <w:pStyle w:val="Paragraph"/>
      </w:pPr>
      <w:r w:rsidRPr="008901CE">
        <w:t>We have changed the definition of ‘P</w:t>
      </w:r>
      <w:r w:rsidR="004F4798" w:rsidRPr="008901CE">
        <w:t xml:space="preserve">MTS Class B’ to refer to ‘one or more’ rather than </w:t>
      </w:r>
      <w:r w:rsidR="004A3C45">
        <w:br/>
      </w:r>
      <w:r w:rsidR="004F4798" w:rsidRPr="008901CE">
        <w:t>‘2 or more’. This is to reflect</w:t>
      </w:r>
      <w:r w:rsidR="00CE02DF" w:rsidRPr="008901CE">
        <w:t xml:space="preserve"> </w:t>
      </w:r>
      <w:r w:rsidR="000C0550" w:rsidRPr="008901CE">
        <w:t xml:space="preserve">that </w:t>
      </w:r>
      <w:r w:rsidR="006D0E65" w:rsidRPr="008901CE">
        <w:t xml:space="preserve">only one station may be deployed under this licence type. </w:t>
      </w:r>
      <w:r w:rsidR="00E70C57" w:rsidRPr="008901CE">
        <w:t>We have also included a note to point out that ‘PMTS Class A’ is no longer used.</w:t>
      </w:r>
    </w:p>
    <w:p w14:paraId="727DBB4A" w14:textId="75E8756E" w:rsidR="00F12C98" w:rsidRDefault="00F12C98" w:rsidP="00604B6C">
      <w:pPr>
        <w:pStyle w:val="Paragraph"/>
        <w:rPr>
          <w:szCs w:val="22"/>
        </w:rPr>
      </w:pPr>
      <w:r w:rsidRPr="00EC3B8C">
        <w:rPr>
          <w:szCs w:val="22"/>
        </w:rPr>
        <w:t>We have removed paragraph (c) from the definition of ‘PMTS Class C’ as we consider this unnecessary.</w:t>
      </w:r>
      <w:r w:rsidR="00FF058E" w:rsidRPr="00EC3B8C">
        <w:rPr>
          <w:szCs w:val="22"/>
        </w:rPr>
        <w:t xml:space="preserve"> </w:t>
      </w:r>
      <w:r w:rsidR="009C0C8D">
        <w:rPr>
          <w:szCs w:val="22"/>
        </w:rPr>
        <w:t>This is because i</w:t>
      </w:r>
      <w:r w:rsidR="003F6AB8" w:rsidRPr="00EC3B8C">
        <w:rPr>
          <w:szCs w:val="22"/>
        </w:rPr>
        <w:t xml:space="preserve">t </w:t>
      </w:r>
      <w:r w:rsidR="000305BC" w:rsidRPr="00EC3B8C">
        <w:rPr>
          <w:szCs w:val="22"/>
        </w:rPr>
        <w:t xml:space="preserve">is </w:t>
      </w:r>
      <w:r w:rsidR="00545DF7" w:rsidRPr="00EC3B8C">
        <w:rPr>
          <w:szCs w:val="22"/>
        </w:rPr>
        <w:t xml:space="preserve">implicit </w:t>
      </w:r>
      <w:r w:rsidR="000305BC" w:rsidRPr="00EC3B8C">
        <w:rPr>
          <w:szCs w:val="22"/>
        </w:rPr>
        <w:t xml:space="preserve">that frequencies are included in a PTS licence. </w:t>
      </w:r>
      <w:r w:rsidR="00FF058E" w:rsidRPr="00EC3B8C">
        <w:rPr>
          <w:szCs w:val="22"/>
        </w:rPr>
        <w:t xml:space="preserve">We have also included the same note referred to </w:t>
      </w:r>
      <w:r w:rsidR="00254073">
        <w:rPr>
          <w:szCs w:val="22"/>
        </w:rPr>
        <w:t xml:space="preserve">immediately </w:t>
      </w:r>
      <w:r w:rsidR="00FF058E" w:rsidRPr="00EC3B8C">
        <w:rPr>
          <w:szCs w:val="22"/>
        </w:rPr>
        <w:t>above.</w:t>
      </w:r>
    </w:p>
    <w:p w14:paraId="41FFA175" w14:textId="44FA0BEF" w:rsidR="00B85EF4" w:rsidRDefault="00B85EF4" w:rsidP="009946DC">
      <w:pPr>
        <w:pStyle w:val="Heading4"/>
      </w:pPr>
      <w:r>
        <w:t xml:space="preserve">Space </w:t>
      </w:r>
      <w:r w:rsidR="00C310C6">
        <w:t>and associated expressions</w:t>
      </w:r>
    </w:p>
    <w:p w14:paraId="62131892" w14:textId="5D060EF4" w:rsidR="00802DF8" w:rsidRPr="00351F68" w:rsidRDefault="00C310C6" w:rsidP="002F78CA">
      <w:pPr>
        <w:pStyle w:val="Paragraph"/>
      </w:pPr>
      <w:r w:rsidRPr="00351F68">
        <w:t xml:space="preserve">As stated, we have included </w:t>
      </w:r>
      <w:r w:rsidR="00802DF8" w:rsidRPr="00351F68">
        <w:t xml:space="preserve">the definition of ‘fixed-satellite service’ from the ARSP. However, we have made a small change to the definition to </w:t>
      </w:r>
      <w:r w:rsidR="00A63AAF" w:rsidRPr="00351F68">
        <w:t xml:space="preserve">include a reference to </w:t>
      </w:r>
      <w:r w:rsidR="006520F2" w:rsidRPr="00351F68">
        <w:t>earth</w:t>
      </w:r>
      <w:r w:rsidR="00125904">
        <w:t>-</w:t>
      </w:r>
      <w:r w:rsidR="006520F2" w:rsidRPr="00351F68">
        <w:t>receive stations</w:t>
      </w:r>
      <w:r w:rsidR="00A63AAF" w:rsidRPr="00351F68">
        <w:t>. This is to make it clear that earth</w:t>
      </w:r>
      <w:r w:rsidR="00125904">
        <w:t>-</w:t>
      </w:r>
      <w:r w:rsidR="00A63AAF" w:rsidRPr="00351F68">
        <w:t xml:space="preserve">receive stations are </w:t>
      </w:r>
      <w:r w:rsidR="00987070" w:rsidRPr="00351F68">
        <w:t xml:space="preserve">a </w:t>
      </w:r>
      <w:r w:rsidR="00A63AAF" w:rsidRPr="00351F68">
        <w:t>part of this service.</w:t>
      </w:r>
      <w:r w:rsidR="00D4012A" w:rsidRPr="00351F68">
        <w:t xml:space="preserve"> We have also </w:t>
      </w:r>
      <w:r w:rsidR="00796BED" w:rsidRPr="00351F68">
        <w:t xml:space="preserve">changed the expression ‘another space radiocommunication service’ to </w:t>
      </w:r>
      <w:r w:rsidR="00A051BC" w:rsidRPr="00351F68">
        <w:t xml:space="preserve">‘other space radiocommunication services’ </w:t>
      </w:r>
      <w:r w:rsidR="00BE1B87" w:rsidRPr="00351F68">
        <w:t>to make it consistent with the ITU Radio Regulations.</w:t>
      </w:r>
    </w:p>
    <w:p w14:paraId="2628051C" w14:textId="21EB06EB" w:rsidR="00C310C6" w:rsidRPr="000A219E" w:rsidRDefault="007A0FD9" w:rsidP="002F78CA">
      <w:pPr>
        <w:pStyle w:val="Paragraph"/>
      </w:pPr>
      <w:r>
        <w:t>W</w:t>
      </w:r>
      <w:r w:rsidR="00C310C6" w:rsidRPr="00351F68">
        <w:t xml:space="preserve">e have included a </w:t>
      </w:r>
      <w:r w:rsidR="001154CA" w:rsidRPr="00351F68">
        <w:t>new expression</w:t>
      </w:r>
      <w:r w:rsidR="00C310C6" w:rsidRPr="00351F68">
        <w:t xml:space="preserve"> of ‘mobile earth</w:t>
      </w:r>
      <w:r w:rsidR="00125904">
        <w:t>-</w:t>
      </w:r>
      <w:r w:rsidR="00C310C6" w:rsidRPr="00351F68">
        <w:t>receive station’</w:t>
      </w:r>
      <w:r w:rsidR="00053A77" w:rsidRPr="000A219E">
        <w:t xml:space="preserve"> in the ID 2024</w:t>
      </w:r>
      <w:r w:rsidR="00C310C6" w:rsidRPr="000A219E">
        <w:t xml:space="preserve">. We have included this expression in our changes to </w:t>
      </w:r>
      <w:r w:rsidR="00EF02AF" w:rsidRPr="000A219E">
        <w:t xml:space="preserve">the definition of ‘mobile-satellite service’ to reflect that the former are part of the latter. </w:t>
      </w:r>
    </w:p>
    <w:p w14:paraId="59D9466C" w14:textId="16B0F39B" w:rsidR="00B85EF4" w:rsidRPr="000A219E" w:rsidRDefault="009946DC" w:rsidP="00604B6C">
      <w:pPr>
        <w:pStyle w:val="Paragraph"/>
      </w:pPr>
      <w:r w:rsidRPr="00F51F89">
        <w:t xml:space="preserve">We have changed the definition of ‘space licence’ </w:t>
      </w:r>
      <w:r w:rsidR="00F62044" w:rsidRPr="00F51F89">
        <w:t xml:space="preserve">to reflect that a space station may </w:t>
      </w:r>
      <w:r w:rsidR="00F62044" w:rsidRPr="000A219E">
        <w:t xml:space="preserve">include a </w:t>
      </w:r>
      <w:r w:rsidR="00DC2EFF">
        <w:t xml:space="preserve">radiocommunications </w:t>
      </w:r>
      <w:r w:rsidR="00F62044" w:rsidRPr="000A219E">
        <w:t>receiver</w:t>
      </w:r>
      <w:r w:rsidR="00DC2EFF">
        <w:t xml:space="preserve"> (though the operation of the receiver will not be authorised by the space licence)</w:t>
      </w:r>
      <w:r w:rsidR="00F62044" w:rsidRPr="000A219E">
        <w:t>.</w:t>
      </w:r>
    </w:p>
    <w:p w14:paraId="39A4C84F" w14:textId="19FD600B" w:rsidR="00C92D26" w:rsidRPr="00D1534E" w:rsidRDefault="00C92D26" w:rsidP="00604B6C">
      <w:pPr>
        <w:pStyle w:val="Paragraph"/>
      </w:pPr>
      <w:r w:rsidRPr="000A219E">
        <w:t>We have changed the definition of ‘space station’ to replicate the definition in the</w:t>
      </w:r>
      <w:r w:rsidR="008F4100" w:rsidRPr="000A219E">
        <w:t xml:space="preserve"> ARSP.</w:t>
      </w:r>
      <w:r w:rsidR="00670BE3" w:rsidRPr="000A219E">
        <w:t xml:space="preserve"> We have also included a note </w:t>
      </w:r>
      <w:r w:rsidR="007C1625" w:rsidRPr="000A219E">
        <w:t xml:space="preserve">to point out that a space station </w:t>
      </w:r>
      <w:r w:rsidR="00D7005D" w:rsidRPr="000A219E">
        <w:t>may include one or more radiocommunications transmitters and one or more radiocommunications receivers.</w:t>
      </w:r>
    </w:p>
    <w:p w14:paraId="557B043B" w14:textId="77777777" w:rsidR="00604B6C" w:rsidRDefault="00604B6C" w:rsidP="00604B6C">
      <w:pPr>
        <w:pStyle w:val="Heading1"/>
      </w:pPr>
      <w:bookmarkStart w:id="14" w:name="_Toc156292229"/>
      <w:bookmarkStart w:id="15" w:name="_Toc175922766"/>
      <w:r>
        <w:lastRenderedPageBreak/>
        <w:t>Invitation to comment</w:t>
      </w:r>
      <w:bookmarkEnd w:id="14"/>
      <w:bookmarkEnd w:id="15"/>
    </w:p>
    <w:p w14:paraId="6B5E2E30" w14:textId="77777777" w:rsidR="00604B6C" w:rsidRDefault="00604B6C" w:rsidP="00604B6C">
      <w:pPr>
        <w:pStyle w:val="Heading2"/>
      </w:pPr>
      <w:bookmarkStart w:id="16" w:name="_Toc433122131"/>
      <w:bookmarkStart w:id="17" w:name="_Toc348105637"/>
      <w:bookmarkStart w:id="18" w:name="_Toc300909556"/>
      <w:bookmarkStart w:id="19" w:name="_Toc298924673"/>
      <w:bookmarkStart w:id="20" w:name="_Toc156292230"/>
      <w:bookmarkStart w:id="21" w:name="_Toc348105638"/>
      <w:bookmarkStart w:id="22" w:name="_Toc300909557"/>
      <w:bookmarkStart w:id="23" w:name="_Toc298924674"/>
      <w:bookmarkStart w:id="24" w:name="_Toc274296357"/>
      <w:bookmarkStart w:id="25" w:name="_Toc175922767"/>
      <w:r>
        <w:t>Making a submission</w:t>
      </w:r>
      <w:bookmarkEnd w:id="16"/>
      <w:bookmarkEnd w:id="17"/>
      <w:bookmarkEnd w:id="18"/>
      <w:bookmarkEnd w:id="19"/>
      <w:bookmarkEnd w:id="20"/>
      <w:bookmarkEnd w:id="25"/>
    </w:p>
    <w:p w14:paraId="171ED0B7" w14:textId="1A904652" w:rsidR="00604B6C" w:rsidRDefault="00604B6C" w:rsidP="00381DEF">
      <w:pPr>
        <w:pStyle w:val="Paragraph"/>
      </w:pPr>
      <w:r w:rsidRPr="00690DCD">
        <w:t xml:space="preserve">Comments are sought from the public regarding the ACMA’s proposal to remake </w:t>
      </w:r>
      <w:r w:rsidR="003B1616">
        <w:t xml:space="preserve">the legislative instrument </w:t>
      </w:r>
      <w:r w:rsidRPr="00690DCD">
        <w:t>referred to above, with</w:t>
      </w:r>
      <w:r w:rsidR="00254073">
        <w:t xml:space="preserve"> only those minor and technical</w:t>
      </w:r>
      <w:r w:rsidRPr="00690DCD">
        <w:t xml:space="preserve"> changes</w:t>
      </w:r>
      <w:r w:rsidR="00254073">
        <w:t xml:space="preserve"> referred to above</w:t>
      </w:r>
      <w:r w:rsidRPr="00690DCD">
        <w:t xml:space="preserve">, on the basis that </w:t>
      </w:r>
      <w:r w:rsidR="00D57711">
        <w:t xml:space="preserve">it is </w:t>
      </w:r>
      <w:r w:rsidRPr="00690DCD">
        <w:t>operating effectively and efficiently.</w:t>
      </w:r>
      <w:r>
        <w:t xml:space="preserve"> </w:t>
      </w:r>
    </w:p>
    <w:p w14:paraId="1439B7E7" w14:textId="77777777" w:rsidR="00604B6C" w:rsidRDefault="0087562E" w:rsidP="00381DEF">
      <w:pPr>
        <w:pStyle w:val="Bulletlevel1"/>
      </w:pPr>
      <w:hyperlink r:id="rId29" w:history="1">
        <w:r w:rsidR="00604B6C">
          <w:rPr>
            <w:rStyle w:val="Hyperlink"/>
          </w:rPr>
          <w:t>Online submissions</w:t>
        </w:r>
      </w:hyperlink>
      <w:r w:rsidR="00604B6C">
        <w:t xml:space="preserve"> can be </w:t>
      </w:r>
      <w:r w:rsidR="00604B6C" w:rsidRPr="00381DEF">
        <w:t>made</w:t>
      </w:r>
      <w:r w:rsidR="00604B6C">
        <w:t xml:space="preserve"> by </w:t>
      </w:r>
      <w:r w:rsidR="00604B6C" w:rsidRPr="0070133D">
        <w:t>uploading</w:t>
      </w:r>
      <w:r w:rsidR="00604B6C">
        <w:t xml:space="preserve"> a document. Submissions in PDF, Microsoft Word or Rich Text Format are preferred.</w:t>
      </w:r>
    </w:p>
    <w:p w14:paraId="0550CDF9" w14:textId="77777777" w:rsidR="00604B6C" w:rsidRDefault="00604B6C" w:rsidP="00381DEF">
      <w:pPr>
        <w:pStyle w:val="Bulletlevel1"/>
      </w:pPr>
      <w:r>
        <w:t xml:space="preserve">Submissions by post can be </w:t>
      </w:r>
      <w:r w:rsidRPr="00381DEF">
        <w:t>sent</w:t>
      </w:r>
      <w:r>
        <w:t xml:space="preserve"> to: </w:t>
      </w:r>
    </w:p>
    <w:p w14:paraId="07FA6DA7" w14:textId="1CA81746" w:rsidR="00604B6C" w:rsidRPr="00AD711D" w:rsidRDefault="00604B6C" w:rsidP="00381DEF">
      <w:pPr>
        <w:pStyle w:val="Bulletlevel1last"/>
        <w:numPr>
          <w:ilvl w:val="0"/>
          <w:numId w:val="0"/>
        </w:numPr>
        <w:ind w:left="284"/>
      </w:pPr>
      <w:r w:rsidRPr="00AD711D">
        <w:t>The Manager</w:t>
      </w:r>
      <w:r w:rsidR="00381DEF" w:rsidRPr="00AD711D">
        <w:br/>
      </w:r>
      <w:r w:rsidRPr="00AD711D">
        <w:t>S</w:t>
      </w:r>
      <w:r w:rsidR="00AD711D">
        <w:t>pectrum Licensing Policy Section</w:t>
      </w:r>
      <w:r w:rsidR="00381DEF" w:rsidRPr="00AD711D">
        <w:br/>
      </w:r>
      <w:r w:rsidRPr="00AD711D">
        <w:t>Australian Communications and Media Authority</w:t>
      </w:r>
      <w:r w:rsidR="00381DEF" w:rsidRPr="00AD711D">
        <w:br/>
      </w:r>
      <w:r w:rsidRPr="00AD711D">
        <w:t xml:space="preserve">PO Box </w:t>
      </w:r>
      <w:r w:rsidR="00AD711D">
        <w:t>13112</w:t>
      </w:r>
      <w:r w:rsidR="00381DEF" w:rsidRPr="00AD711D">
        <w:br/>
      </w:r>
      <w:r w:rsidR="00FD6E70">
        <w:t>Law Courts</w:t>
      </w:r>
      <w:r w:rsidR="00FD6E70" w:rsidRPr="00AD711D">
        <w:br/>
      </w:r>
      <w:r w:rsidR="00FD6E70">
        <w:t>Melbourne VIC</w:t>
      </w:r>
      <w:r w:rsidRPr="00AD711D">
        <w:t xml:space="preserve"> </w:t>
      </w:r>
      <w:r w:rsidR="00FD6E70">
        <w:t>8010</w:t>
      </w:r>
    </w:p>
    <w:p w14:paraId="2D4D48E1" w14:textId="6A210839" w:rsidR="00D33FAD" w:rsidRDefault="00D33FAD" w:rsidP="00D33FAD">
      <w:pPr>
        <w:pStyle w:val="Paragraph"/>
      </w:pPr>
      <w:r w:rsidRPr="00AD711D">
        <w:t>Th</w:t>
      </w:r>
      <w:r>
        <w:t xml:space="preserve">e closing date for submissions is </w:t>
      </w:r>
      <w:r w:rsidRPr="002F78CA">
        <w:rPr>
          <w:b/>
          <w:bCs/>
        </w:rPr>
        <w:t xml:space="preserve">COB, </w:t>
      </w:r>
      <w:r w:rsidR="00D034BC" w:rsidRPr="002F78CA">
        <w:rPr>
          <w:b/>
          <w:bCs/>
        </w:rPr>
        <w:t>Friday, 18 October 2024</w:t>
      </w:r>
      <w:r w:rsidR="00D034BC">
        <w:t>.</w:t>
      </w:r>
    </w:p>
    <w:p w14:paraId="08F1B5D6" w14:textId="0CF65BF2" w:rsidR="00604B6C" w:rsidRDefault="00604B6C" w:rsidP="00381DEF">
      <w:pPr>
        <w:pStyle w:val="Paragraph"/>
        <w:rPr>
          <w:szCs w:val="20"/>
        </w:rPr>
      </w:pPr>
      <w:r>
        <w:t xml:space="preserve">Consultation enquiries can be emailed </w:t>
      </w:r>
      <w:r>
        <w:rPr>
          <w:szCs w:val="20"/>
        </w:rPr>
        <w:t>to</w:t>
      </w:r>
      <w:r w:rsidR="00950FF1">
        <w:rPr>
          <w:szCs w:val="20"/>
        </w:rPr>
        <w:t xml:space="preserve"> </w:t>
      </w:r>
      <w:hyperlink r:id="rId30" w:history="1">
        <w:r w:rsidR="00950FF1" w:rsidRPr="00552CDB">
          <w:rPr>
            <w:rStyle w:val="Hyperlink"/>
            <w:szCs w:val="20"/>
          </w:rPr>
          <w:t>SLPSConsultations@acma.gov.au</w:t>
        </w:r>
      </w:hyperlink>
      <w:r w:rsidR="0058000E" w:rsidRPr="00EE4C5A">
        <w:rPr>
          <w:szCs w:val="20"/>
        </w:rPr>
        <w:t>.</w:t>
      </w:r>
    </w:p>
    <w:p w14:paraId="3BD97AE8" w14:textId="77777777" w:rsidR="00604B6C" w:rsidRDefault="00604B6C" w:rsidP="00381DEF">
      <w:pPr>
        <w:pStyle w:val="Heading3"/>
      </w:pPr>
      <w:bookmarkStart w:id="26" w:name="_Toc348105639"/>
      <w:bookmarkStart w:id="27" w:name="_Toc300909558"/>
      <w:bookmarkStart w:id="28" w:name="_Toc175922768"/>
      <w:bookmarkEnd w:id="21"/>
      <w:bookmarkEnd w:id="22"/>
      <w:r>
        <w:t xml:space="preserve">Publication of </w:t>
      </w:r>
      <w:r w:rsidRPr="005B2F0D">
        <w:t>submissions</w:t>
      </w:r>
      <w:bookmarkEnd w:id="23"/>
      <w:bookmarkEnd w:id="24"/>
      <w:bookmarkEnd w:id="26"/>
      <w:bookmarkEnd w:id="27"/>
      <w:bookmarkEnd w:id="28"/>
    </w:p>
    <w:p w14:paraId="214CD78C" w14:textId="77777777" w:rsidR="00604B6C" w:rsidRDefault="00604B6C" w:rsidP="00381DEF">
      <w:pPr>
        <w:pStyle w:val="Paragraph"/>
      </w:pPr>
      <w:bookmarkStart w:id="29" w:name="_Toc348105640"/>
      <w:bookmarkStart w:id="30" w:name="_Toc300909559"/>
      <w:bookmarkStart w:id="31" w:name="_Toc265246234"/>
      <w:r>
        <w:t xml:space="preserve">The ACMA publishes submissions on our website, including personal information (such as names and contact details), except for information that you have claimed (and we have accepted) is confidential. </w:t>
      </w:r>
    </w:p>
    <w:p w14:paraId="1BF5D15B" w14:textId="77777777" w:rsidR="00604B6C" w:rsidRDefault="00604B6C" w:rsidP="00381DEF">
      <w:pPr>
        <w:pStyle w:val="Paragraph"/>
      </w:pPr>
      <w:r>
        <w:t>Confidential information will not be published or otherwise released unless required or authorised by law.</w:t>
      </w:r>
    </w:p>
    <w:p w14:paraId="406D4C14" w14:textId="77777777" w:rsidR="00604B6C" w:rsidRDefault="00604B6C" w:rsidP="00381DEF">
      <w:pPr>
        <w:pStyle w:val="Heading3"/>
      </w:pPr>
      <w:bookmarkStart w:id="32" w:name="_Toc175922769"/>
      <w:r>
        <w:t>Privacy</w:t>
      </w:r>
      <w:bookmarkEnd w:id="32"/>
    </w:p>
    <w:p w14:paraId="3C0C61B3" w14:textId="77777777" w:rsidR="00604B6C" w:rsidRDefault="00604B6C" w:rsidP="00604B6C">
      <w:pPr>
        <w:pStyle w:val="Paragraph"/>
      </w:pPr>
      <w:r>
        <w:t xml:space="preserve">View information about our policy on the </w:t>
      </w:r>
      <w:hyperlink r:id="rId31" w:history="1">
        <w:r>
          <w:rPr>
            <w:rStyle w:val="Hyperlink"/>
          </w:rPr>
          <w:t>p</w:t>
        </w:r>
        <w:r w:rsidRPr="00E21056">
          <w:rPr>
            <w:rStyle w:val="Hyperlink"/>
          </w:rPr>
          <w:t>ublication of submissions</w:t>
        </w:r>
      </w:hyperlink>
      <w:r>
        <w:t>, including collection of personal information during consultation and how we handle that information.</w:t>
      </w:r>
    </w:p>
    <w:bookmarkEnd w:id="29"/>
    <w:bookmarkEnd w:id="30"/>
    <w:bookmarkEnd w:id="31"/>
    <w:p w14:paraId="420CDFFA" w14:textId="7877EEA2" w:rsidR="00604B6C" w:rsidRDefault="00604B6C" w:rsidP="00604B6C">
      <w:pPr>
        <w:pStyle w:val="Paragraph"/>
      </w:pPr>
      <w:r>
        <w:t xml:space="preserve">Information on the </w:t>
      </w:r>
      <w:r>
        <w:rPr>
          <w:i/>
        </w:rPr>
        <w:t xml:space="preserve">Privacy Act 1988, </w:t>
      </w:r>
      <w:r>
        <w:t xml:space="preserve">how to access or correct personal information, how </w:t>
      </w:r>
      <w:r w:rsidR="001A3302">
        <w:br/>
      </w:r>
      <w:r>
        <w:t xml:space="preserve">to make a privacy complaint and how we will deal with the complaint, is available in our </w:t>
      </w:r>
      <w:r w:rsidR="001A3302">
        <w:br/>
      </w:r>
      <w:hyperlink r:id="rId32" w:history="1">
        <w:r w:rsidRPr="00E21056">
          <w:rPr>
            <w:rStyle w:val="Hyperlink"/>
          </w:rPr>
          <w:t>privacy policy</w:t>
        </w:r>
      </w:hyperlink>
      <w:r>
        <w:t xml:space="preserve">. </w:t>
      </w:r>
    </w:p>
    <w:p w14:paraId="4EC8993C" w14:textId="77777777" w:rsidR="00FF3C69" w:rsidRPr="00A17B1B" w:rsidRDefault="00FF3C69" w:rsidP="00D414E9">
      <w:pPr>
        <w:pStyle w:val="Paragraph"/>
      </w:pPr>
    </w:p>
    <w:sectPr w:rsidR="00FF3C69" w:rsidRPr="00A17B1B" w:rsidSect="005A62E5">
      <w:headerReference w:type="even" r:id="rId33"/>
      <w:headerReference w:type="default" r:id="rId34"/>
      <w:footerReference w:type="even" r:id="rId35"/>
      <w:footerReference w:type="default" r:id="rId36"/>
      <w:pgSz w:w="11906" w:h="16838" w:code="9"/>
      <w:pgMar w:top="1418" w:right="1418" w:bottom="1134" w:left="1418"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8936A" w14:textId="77777777" w:rsidR="00667F14" w:rsidRDefault="00667F14">
      <w:r>
        <w:separator/>
      </w:r>
    </w:p>
  </w:endnote>
  <w:endnote w:type="continuationSeparator" w:id="0">
    <w:p w14:paraId="5591934F" w14:textId="77777777" w:rsidR="00667F14" w:rsidRDefault="00667F14">
      <w:r>
        <w:continuationSeparator/>
      </w:r>
    </w:p>
  </w:endnote>
  <w:endnote w:type="continuationNotice" w:id="1">
    <w:p w14:paraId="72354480" w14:textId="77777777" w:rsidR="00667F14" w:rsidRDefault="00667F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HelveticaNeueLT Std">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0DF43" w14:textId="77777777" w:rsidR="005E250B" w:rsidRDefault="005E250B" w:rsidP="005E250B">
    <w:pPr>
      <w:pStyle w:val="Footer"/>
      <w:jc w:val="right"/>
    </w:pPr>
    <w:r w:rsidRPr="005E250B">
      <w:rPr>
        <w:noProof/>
        <w:vertAlign w:val="subscript"/>
      </w:rPr>
      <w:drawing>
        <wp:inline distT="0" distB="0" distL="0" distR="0" wp14:anchorId="48198D39" wp14:editId="174B9BFA">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E46D"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DCC34"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69BF"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1937BBE6"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2671D"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03BAB308"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87A6" w14:textId="77777777" w:rsidR="00C053A1" w:rsidRPr="005A62E5" w:rsidRDefault="005A62E5" w:rsidP="005A62E5">
    <w:pPr>
      <w:pStyle w:val="Header"/>
      <w:tabs>
        <w:tab w:val="clear" w:pos="4153"/>
        <w:tab w:val="clear" w:pos="8306"/>
        <w:tab w:val="right" w:pos="9072"/>
      </w:tabs>
      <w:rPr>
        <w:noProof/>
        <w:sz w:val="20"/>
      </w:rPr>
    </w:pPr>
    <w:r>
      <w:rPr>
        <w:color w:val="505050"/>
      </w:rPr>
      <w:t>Australian Communications and Media Authority</w:t>
    </w:r>
    <w:r>
      <w:rPr>
        <w:color w:val="505050"/>
      </w:rPr>
      <w:tab/>
    </w:r>
    <w:r w:rsidRPr="005A62E5">
      <w:rPr>
        <w:color w:val="505050"/>
      </w:rPr>
      <w:fldChar w:fldCharType="begin"/>
    </w:r>
    <w:r w:rsidRPr="005A62E5">
      <w:rPr>
        <w:color w:val="505050"/>
      </w:rPr>
      <w:instrText xml:space="preserve"> PAGE   \* MERGEFORMAT </w:instrText>
    </w:r>
    <w:r w:rsidRPr="005A62E5">
      <w:rPr>
        <w:color w:val="505050"/>
      </w:rPr>
      <w:fldChar w:fldCharType="separate"/>
    </w:r>
    <w:r w:rsidRPr="005A62E5">
      <w:rPr>
        <w:noProof/>
        <w:color w:val="505050"/>
      </w:rPr>
      <w:t>1</w:t>
    </w:r>
    <w:r w:rsidRPr="005A62E5">
      <w:rPr>
        <w:noProof/>
        <w:color w:val="50505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E91E" w14:textId="77777777" w:rsidR="00C053A1" w:rsidRPr="005A62E5" w:rsidRDefault="005A62E5" w:rsidP="005A62E5">
    <w:pPr>
      <w:pStyle w:val="Header"/>
      <w:tabs>
        <w:tab w:val="clear" w:pos="4153"/>
        <w:tab w:val="clear" w:pos="8306"/>
        <w:tab w:val="left" w:pos="5445"/>
        <w:tab w:val="right" w:pos="9072"/>
      </w:tabs>
      <w:rPr>
        <w:noProof/>
        <w:sz w:val="20"/>
      </w:rPr>
    </w:pPr>
    <w:r>
      <w:rPr>
        <w:color w:val="505050"/>
      </w:rPr>
      <w:t>Australian Communications and Media Authority</w:t>
    </w:r>
    <w:r>
      <w:rPr>
        <w:color w:val="505050"/>
      </w:rPr>
      <w:tab/>
    </w:r>
    <w:r>
      <w:rPr>
        <w:color w:val="505050"/>
      </w:rPr>
      <w:tab/>
    </w:r>
    <w:sdt>
      <w:sdtPr>
        <w:id w:val="-30516885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1264" w14:textId="77777777" w:rsidR="00C053A1" w:rsidRPr="005A62E5" w:rsidRDefault="005A62E5" w:rsidP="005A62E5">
    <w:pPr>
      <w:pStyle w:val="Header"/>
      <w:tabs>
        <w:tab w:val="clear" w:pos="4153"/>
        <w:tab w:val="clear" w:pos="8306"/>
        <w:tab w:val="left" w:pos="5445"/>
        <w:tab w:val="right" w:pos="9072"/>
      </w:tabs>
      <w:rPr>
        <w:noProof/>
        <w:sz w:val="20"/>
      </w:rPr>
    </w:pPr>
    <w:r>
      <w:rPr>
        <w:color w:val="505050"/>
      </w:rPr>
      <w:t>Australian Communications and Media Authority</w:t>
    </w:r>
    <w:r>
      <w:rPr>
        <w:color w:val="505050"/>
      </w:rPr>
      <w:tab/>
    </w:r>
    <w:r>
      <w:rPr>
        <w:color w:val="505050"/>
      </w:rPr>
      <w:tab/>
    </w:r>
    <w:sdt>
      <w:sdtPr>
        <w:id w:val="72649357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ABFD7" w14:textId="77777777" w:rsidR="00667F14" w:rsidRDefault="00667F14" w:rsidP="00DB3A64">
      <w:pPr>
        <w:spacing w:after="0"/>
      </w:pPr>
      <w:r>
        <w:separator/>
      </w:r>
    </w:p>
  </w:footnote>
  <w:footnote w:type="continuationSeparator" w:id="0">
    <w:p w14:paraId="60241B95" w14:textId="77777777" w:rsidR="00667F14" w:rsidRDefault="00667F14">
      <w:r>
        <w:continuationSeparator/>
      </w:r>
    </w:p>
  </w:footnote>
  <w:footnote w:type="continuationNotice" w:id="1">
    <w:p w14:paraId="7951435E" w14:textId="77777777" w:rsidR="00667F14" w:rsidRDefault="00667F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3B99C" w14:textId="77777777" w:rsidR="00C053A1" w:rsidRPr="005A62E5" w:rsidRDefault="005A62E5" w:rsidP="005A62E5">
    <w:pPr>
      <w:pStyle w:val="Header"/>
    </w:pPr>
    <w:r>
      <w:rPr>
        <w:noProof/>
      </w:rPr>
      <w:drawing>
        <wp:inline distT="0" distB="0" distL="0" distR="0" wp14:anchorId="1B1541F5" wp14:editId="50D0DE4C">
          <wp:extent cx="3229598" cy="381000"/>
          <wp:effectExtent l="0" t="0" r="9525"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3300801" cy="389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C07A"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E0EA"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49716"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3D5DCE22" w14:textId="77777777" w:rsidTr="00CE7997">
      <w:trPr>
        <w:trHeight w:hRule="exact" w:val="988"/>
      </w:trPr>
      <w:tc>
        <w:tcPr>
          <w:tcW w:w="7678" w:type="dxa"/>
          <w:shd w:val="clear" w:color="auto" w:fill="auto"/>
        </w:tcPr>
        <w:p w14:paraId="0FEE2067" w14:textId="77777777" w:rsidR="00971914" w:rsidRDefault="00971914" w:rsidP="00971914">
          <w:pPr>
            <w:pStyle w:val="Header"/>
          </w:pPr>
        </w:p>
      </w:tc>
    </w:tr>
    <w:tr w:rsidR="00971914" w14:paraId="3C72AF46" w14:textId="77777777" w:rsidTr="00CE7997">
      <w:tc>
        <w:tcPr>
          <w:tcW w:w="7678" w:type="dxa"/>
          <w:shd w:val="clear" w:color="auto" w:fill="auto"/>
        </w:tcPr>
        <w:p w14:paraId="52B9C977" w14:textId="77777777" w:rsidR="00971914" w:rsidRDefault="00971914" w:rsidP="00971914">
          <w:pPr>
            <w:pStyle w:val="GridTable31"/>
          </w:pPr>
          <w:r>
            <w:t xml:space="preserve">Contents </w:t>
          </w:r>
          <w:r w:rsidRPr="00915B1C">
            <w:rPr>
              <w:b w:val="0"/>
              <w:spacing w:val="0"/>
              <w:sz w:val="28"/>
              <w:szCs w:val="28"/>
            </w:rPr>
            <w:t>(Continued)</w:t>
          </w:r>
        </w:p>
      </w:tc>
    </w:tr>
    <w:tr w:rsidR="00971914" w14:paraId="1CA8C002" w14:textId="77777777" w:rsidTr="00CE7997">
      <w:trPr>
        <w:trHeight w:val="1220"/>
      </w:trPr>
      <w:tc>
        <w:tcPr>
          <w:tcW w:w="7678" w:type="dxa"/>
          <w:shd w:val="clear" w:color="auto" w:fill="auto"/>
        </w:tcPr>
        <w:p w14:paraId="16BAF07E" w14:textId="77777777" w:rsidR="00971914" w:rsidRDefault="00971914" w:rsidP="00971914"/>
      </w:tc>
    </w:tr>
  </w:tbl>
  <w:p w14:paraId="10DAC2FA"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657F341E" w14:textId="77777777" w:rsidTr="00CE7997">
      <w:trPr>
        <w:trHeight w:hRule="exact" w:val="988"/>
      </w:trPr>
      <w:tc>
        <w:tcPr>
          <w:tcW w:w="7678" w:type="dxa"/>
          <w:shd w:val="clear" w:color="auto" w:fill="auto"/>
        </w:tcPr>
        <w:p w14:paraId="6C7527A7" w14:textId="77777777" w:rsidR="00971914" w:rsidRDefault="00971914" w:rsidP="00971914">
          <w:pPr>
            <w:pStyle w:val="Header"/>
          </w:pPr>
        </w:p>
      </w:tc>
    </w:tr>
    <w:tr w:rsidR="00971914" w14:paraId="6B28A08D" w14:textId="77777777" w:rsidTr="00CE7997">
      <w:tc>
        <w:tcPr>
          <w:tcW w:w="7678" w:type="dxa"/>
          <w:shd w:val="clear" w:color="auto" w:fill="auto"/>
        </w:tcPr>
        <w:p w14:paraId="5BFF45E1" w14:textId="77777777" w:rsidR="00971914" w:rsidRDefault="00971914" w:rsidP="00971914">
          <w:pPr>
            <w:pStyle w:val="GridTable31"/>
          </w:pPr>
          <w:r>
            <w:t xml:space="preserve">Contents </w:t>
          </w:r>
          <w:r w:rsidRPr="00915B1C">
            <w:rPr>
              <w:b w:val="0"/>
              <w:spacing w:val="0"/>
              <w:sz w:val="28"/>
              <w:szCs w:val="28"/>
            </w:rPr>
            <w:t>(Continued)</w:t>
          </w:r>
        </w:p>
      </w:tc>
    </w:tr>
    <w:tr w:rsidR="00971914" w14:paraId="07C24C1C" w14:textId="77777777" w:rsidTr="00CE7997">
      <w:trPr>
        <w:trHeight w:val="1220"/>
      </w:trPr>
      <w:tc>
        <w:tcPr>
          <w:tcW w:w="7678" w:type="dxa"/>
          <w:shd w:val="clear" w:color="auto" w:fill="auto"/>
        </w:tcPr>
        <w:p w14:paraId="10A43CEF" w14:textId="77777777" w:rsidR="00971914" w:rsidRDefault="00971914" w:rsidP="00971914"/>
      </w:tc>
    </w:tr>
  </w:tbl>
  <w:p w14:paraId="43EE72E3"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8BB7"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5342"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93C0CEB6"/>
    <w:lvl w:ilvl="0">
      <w:start w:val="1"/>
      <w:numFmt w:val="decimal"/>
      <w:pStyle w:val="ListNumber"/>
      <w:lvlText w:val="%1."/>
      <w:lvlJc w:val="left"/>
      <w:pPr>
        <w:ind w:left="360" w:hanging="360"/>
      </w:pPr>
      <w:rPr>
        <w:rFonts w:hint="default"/>
        <w:b w:val="0"/>
        <w:bCs/>
        <w:caps/>
        <w:sz w:val="22"/>
        <w:szCs w:val="28"/>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651A9E"/>
    <w:multiLevelType w:val="hybridMultilevel"/>
    <w:tmpl w:val="8514EC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AD521D"/>
    <w:multiLevelType w:val="hybridMultilevel"/>
    <w:tmpl w:val="B108FD84"/>
    <w:lvl w:ilvl="0" w:tplc="DD00C67E">
      <w:start w:val="1"/>
      <w:numFmt w:val="bullet"/>
      <w:pStyle w:val="Bulletlevel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2B355236"/>
    <w:multiLevelType w:val="hybridMultilevel"/>
    <w:tmpl w:val="5DEC7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3435097D"/>
    <w:multiLevelType w:val="hybridMultilevel"/>
    <w:tmpl w:val="7326FCDC"/>
    <w:lvl w:ilvl="0" w:tplc="8DFEE398">
      <w:start w:val="1"/>
      <w:numFmt w:val="bullet"/>
      <w:pStyle w:val="Bulletlevel2las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4A624D1F"/>
    <w:multiLevelType w:val="hybridMultilevel"/>
    <w:tmpl w:val="CEC85B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CD438D5"/>
    <w:multiLevelType w:val="hybridMultilevel"/>
    <w:tmpl w:val="2244D3DE"/>
    <w:lvl w:ilvl="0" w:tplc="F92CAA80">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F216A1"/>
    <w:multiLevelType w:val="hybridMultilevel"/>
    <w:tmpl w:val="8C6A30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2E1A81"/>
    <w:multiLevelType w:val="hybridMultilevel"/>
    <w:tmpl w:val="D8885FB6"/>
    <w:lvl w:ilvl="0" w:tplc="1026004E">
      <w:start w:val="1"/>
      <w:numFmt w:val="bullet"/>
      <w:pStyle w:val="Bulletlevel1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BC098E"/>
    <w:multiLevelType w:val="hybridMultilevel"/>
    <w:tmpl w:val="2E386898"/>
    <w:lvl w:ilvl="0" w:tplc="BD340FDA">
      <w:start w:val="1"/>
      <w:numFmt w:val="bullet"/>
      <w:pStyle w:val="Bulle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7521768">
    <w:abstractNumId w:val="3"/>
  </w:num>
  <w:num w:numId="2" w16cid:durableId="969045093">
    <w:abstractNumId w:val="1"/>
  </w:num>
  <w:num w:numId="3" w16cid:durableId="1714190328">
    <w:abstractNumId w:val="2"/>
  </w:num>
  <w:num w:numId="4" w16cid:durableId="1292904938">
    <w:abstractNumId w:val="0"/>
  </w:num>
  <w:num w:numId="5" w16cid:durableId="1192914688">
    <w:abstractNumId w:val="8"/>
  </w:num>
  <w:num w:numId="6" w16cid:durableId="818768531">
    <w:abstractNumId w:val="15"/>
  </w:num>
  <w:num w:numId="7" w16cid:durableId="636617026">
    <w:abstractNumId w:val="13"/>
  </w:num>
  <w:num w:numId="8" w16cid:durableId="227307242">
    <w:abstractNumId w:val="14"/>
  </w:num>
  <w:num w:numId="9" w16cid:durableId="1325478460">
    <w:abstractNumId w:val="16"/>
  </w:num>
  <w:num w:numId="10" w16cid:durableId="26877423">
    <w:abstractNumId w:val="4"/>
  </w:num>
  <w:num w:numId="11" w16cid:durableId="529613017">
    <w:abstractNumId w:val="2"/>
    <w:lvlOverride w:ilvl="0">
      <w:startOverride w:val="1"/>
    </w:lvlOverride>
  </w:num>
  <w:num w:numId="12" w16cid:durableId="506287035">
    <w:abstractNumId w:val="2"/>
    <w:lvlOverride w:ilvl="0">
      <w:startOverride w:val="1"/>
    </w:lvlOverride>
  </w:num>
  <w:num w:numId="13" w16cid:durableId="44449778">
    <w:abstractNumId w:val="18"/>
  </w:num>
  <w:num w:numId="14" w16cid:durableId="319240718">
    <w:abstractNumId w:val="17"/>
  </w:num>
  <w:num w:numId="15" w16cid:durableId="1091731347">
    <w:abstractNumId w:val="6"/>
  </w:num>
  <w:num w:numId="16" w16cid:durableId="1733236431">
    <w:abstractNumId w:val="9"/>
  </w:num>
  <w:num w:numId="17" w16cid:durableId="1480268017">
    <w:abstractNumId w:val="2"/>
    <w:lvlOverride w:ilvl="0">
      <w:startOverride w:val="1"/>
    </w:lvlOverride>
  </w:num>
  <w:num w:numId="18" w16cid:durableId="964309664">
    <w:abstractNumId w:val="2"/>
    <w:lvlOverride w:ilvl="0">
      <w:startOverride w:val="1"/>
    </w:lvlOverride>
  </w:num>
  <w:num w:numId="19" w16cid:durableId="1025836865">
    <w:abstractNumId w:val="2"/>
    <w:lvlOverride w:ilvl="0">
      <w:startOverride w:val="1"/>
    </w:lvlOverride>
  </w:num>
  <w:num w:numId="20" w16cid:durableId="1678726611">
    <w:abstractNumId w:val="2"/>
    <w:lvlOverride w:ilvl="0">
      <w:startOverride w:val="1"/>
    </w:lvlOverride>
  </w:num>
  <w:num w:numId="21" w16cid:durableId="475730963">
    <w:abstractNumId w:val="2"/>
    <w:lvlOverride w:ilvl="0">
      <w:startOverride w:val="1"/>
    </w:lvlOverride>
  </w:num>
  <w:num w:numId="22" w16cid:durableId="1304847979">
    <w:abstractNumId w:val="2"/>
    <w:lvlOverride w:ilvl="0">
      <w:startOverride w:val="1"/>
    </w:lvlOverride>
  </w:num>
  <w:num w:numId="23" w16cid:durableId="1562250472">
    <w:abstractNumId w:val="11"/>
  </w:num>
  <w:num w:numId="24" w16cid:durableId="471335552">
    <w:abstractNumId w:val="5"/>
  </w:num>
  <w:num w:numId="25" w16cid:durableId="205336847">
    <w:abstractNumId w:val="10"/>
  </w:num>
  <w:num w:numId="26" w16cid:durableId="1464229626">
    <w:abstractNumId w:val="12"/>
  </w:num>
  <w:num w:numId="27" w16cid:durableId="40384558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D9A"/>
    <w:rsid w:val="0000032F"/>
    <w:rsid w:val="00003F3F"/>
    <w:rsid w:val="000074C8"/>
    <w:rsid w:val="00010667"/>
    <w:rsid w:val="000129D5"/>
    <w:rsid w:val="000130B2"/>
    <w:rsid w:val="00015476"/>
    <w:rsid w:val="00015AE7"/>
    <w:rsid w:val="00016E21"/>
    <w:rsid w:val="0001719C"/>
    <w:rsid w:val="000203B9"/>
    <w:rsid w:val="00021B08"/>
    <w:rsid w:val="0002224E"/>
    <w:rsid w:val="00022D9A"/>
    <w:rsid w:val="000245E5"/>
    <w:rsid w:val="00026F91"/>
    <w:rsid w:val="0003021F"/>
    <w:rsid w:val="000305BC"/>
    <w:rsid w:val="00032BD9"/>
    <w:rsid w:val="00035760"/>
    <w:rsid w:val="00041912"/>
    <w:rsid w:val="00043B5A"/>
    <w:rsid w:val="00045303"/>
    <w:rsid w:val="00047280"/>
    <w:rsid w:val="0004734D"/>
    <w:rsid w:val="0004764C"/>
    <w:rsid w:val="00047A8E"/>
    <w:rsid w:val="0005011A"/>
    <w:rsid w:val="0005045A"/>
    <w:rsid w:val="00051C1E"/>
    <w:rsid w:val="00051CEC"/>
    <w:rsid w:val="000539F9"/>
    <w:rsid w:val="00053A77"/>
    <w:rsid w:val="00054C27"/>
    <w:rsid w:val="00055EC3"/>
    <w:rsid w:val="000563CE"/>
    <w:rsid w:val="00057A71"/>
    <w:rsid w:val="00061D24"/>
    <w:rsid w:val="00062574"/>
    <w:rsid w:val="00064BC5"/>
    <w:rsid w:val="00065151"/>
    <w:rsid w:val="000659B6"/>
    <w:rsid w:val="0006686F"/>
    <w:rsid w:val="0006722A"/>
    <w:rsid w:val="0007106A"/>
    <w:rsid w:val="00071A16"/>
    <w:rsid w:val="00072D21"/>
    <w:rsid w:val="000732CF"/>
    <w:rsid w:val="00073E59"/>
    <w:rsid w:val="00075B96"/>
    <w:rsid w:val="0007737A"/>
    <w:rsid w:val="0008196A"/>
    <w:rsid w:val="0008363F"/>
    <w:rsid w:val="000863B9"/>
    <w:rsid w:val="00086CE2"/>
    <w:rsid w:val="000915ED"/>
    <w:rsid w:val="0009209D"/>
    <w:rsid w:val="0009463C"/>
    <w:rsid w:val="00096170"/>
    <w:rsid w:val="00096721"/>
    <w:rsid w:val="000969BD"/>
    <w:rsid w:val="000969BF"/>
    <w:rsid w:val="00096F32"/>
    <w:rsid w:val="000971BD"/>
    <w:rsid w:val="000A0C22"/>
    <w:rsid w:val="000A1400"/>
    <w:rsid w:val="000A219E"/>
    <w:rsid w:val="000A2585"/>
    <w:rsid w:val="000A2EEE"/>
    <w:rsid w:val="000A3B6A"/>
    <w:rsid w:val="000A3C43"/>
    <w:rsid w:val="000A4157"/>
    <w:rsid w:val="000A4A51"/>
    <w:rsid w:val="000A5D2B"/>
    <w:rsid w:val="000A749B"/>
    <w:rsid w:val="000B1B2D"/>
    <w:rsid w:val="000B1CB5"/>
    <w:rsid w:val="000B2C6D"/>
    <w:rsid w:val="000B4664"/>
    <w:rsid w:val="000B5DE3"/>
    <w:rsid w:val="000C0550"/>
    <w:rsid w:val="000C0A57"/>
    <w:rsid w:val="000C230C"/>
    <w:rsid w:val="000C26CA"/>
    <w:rsid w:val="000C4F9A"/>
    <w:rsid w:val="000C6AB4"/>
    <w:rsid w:val="000C7B4C"/>
    <w:rsid w:val="000D0FFE"/>
    <w:rsid w:val="000D2BCD"/>
    <w:rsid w:val="000D71D9"/>
    <w:rsid w:val="000D76E0"/>
    <w:rsid w:val="000D7E8B"/>
    <w:rsid w:val="000E23CF"/>
    <w:rsid w:val="000E3D05"/>
    <w:rsid w:val="000E4449"/>
    <w:rsid w:val="000E55BF"/>
    <w:rsid w:val="000E6097"/>
    <w:rsid w:val="000E6325"/>
    <w:rsid w:val="000F0F9D"/>
    <w:rsid w:val="000F34D3"/>
    <w:rsid w:val="000F51F1"/>
    <w:rsid w:val="000F52BE"/>
    <w:rsid w:val="000F5BF2"/>
    <w:rsid w:val="000F7299"/>
    <w:rsid w:val="000F7317"/>
    <w:rsid w:val="0010073C"/>
    <w:rsid w:val="0010267F"/>
    <w:rsid w:val="00102D29"/>
    <w:rsid w:val="00102F7B"/>
    <w:rsid w:val="00103829"/>
    <w:rsid w:val="001053DC"/>
    <w:rsid w:val="001059E7"/>
    <w:rsid w:val="00111751"/>
    <w:rsid w:val="00111C08"/>
    <w:rsid w:val="00111FCE"/>
    <w:rsid w:val="00113F84"/>
    <w:rsid w:val="00114B55"/>
    <w:rsid w:val="001154CA"/>
    <w:rsid w:val="001164C7"/>
    <w:rsid w:val="00116B46"/>
    <w:rsid w:val="00122214"/>
    <w:rsid w:val="001229A5"/>
    <w:rsid w:val="00122C4C"/>
    <w:rsid w:val="0012489B"/>
    <w:rsid w:val="00125904"/>
    <w:rsid w:val="00130017"/>
    <w:rsid w:val="00130F91"/>
    <w:rsid w:val="00133CD0"/>
    <w:rsid w:val="0013404A"/>
    <w:rsid w:val="001349ED"/>
    <w:rsid w:val="00137424"/>
    <w:rsid w:val="00140318"/>
    <w:rsid w:val="00141AD9"/>
    <w:rsid w:val="00142C7E"/>
    <w:rsid w:val="0014304F"/>
    <w:rsid w:val="00146CE6"/>
    <w:rsid w:val="00147834"/>
    <w:rsid w:val="00150920"/>
    <w:rsid w:val="0015182A"/>
    <w:rsid w:val="001518C6"/>
    <w:rsid w:val="00151DBF"/>
    <w:rsid w:val="00152903"/>
    <w:rsid w:val="00153FD5"/>
    <w:rsid w:val="00154078"/>
    <w:rsid w:val="0015565C"/>
    <w:rsid w:val="0015614F"/>
    <w:rsid w:val="001577C2"/>
    <w:rsid w:val="00157EEC"/>
    <w:rsid w:val="001633C4"/>
    <w:rsid w:val="001704D5"/>
    <w:rsid w:val="00171591"/>
    <w:rsid w:val="00173981"/>
    <w:rsid w:val="001757F8"/>
    <w:rsid w:val="0017719D"/>
    <w:rsid w:val="00181180"/>
    <w:rsid w:val="00183FD7"/>
    <w:rsid w:val="00184497"/>
    <w:rsid w:val="00185CAB"/>
    <w:rsid w:val="001875B7"/>
    <w:rsid w:val="00187CB3"/>
    <w:rsid w:val="0019050A"/>
    <w:rsid w:val="001910D4"/>
    <w:rsid w:val="00197194"/>
    <w:rsid w:val="001976E3"/>
    <w:rsid w:val="001A3302"/>
    <w:rsid w:val="001A3C79"/>
    <w:rsid w:val="001A44EC"/>
    <w:rsid w:val="001A6338"/>
    <w:rsid w:val="001A659E"/>
    <w:rsid w:val="001B28D9"/>
    <w:rsid w:val="001B49FF"/>
    <w:rsid w:val="001B58AA"/>
    <w:rsid w:val="001B72CA"/>
    <w:rsid w:val="001B7E48"/>
    <w:rsid w:val="001C17CE"/>
    <w:rsid w:val="001C2E3A"/>
    <w:rsid w:val="001C36CA"/>
    <w:rsid w:val="001C44D1"/>
    <w:rsid w:val="001C6AEE"/>
    <w:rsid w:val="001C7630"/>
    <w:rsid w:val="001D0892"/>
    <w:rsid w:val="001D3AC6"/>
    <w:rsid w:val="001D4DD0"/>
    <w:rsid w:val="001D6D15"/>
    <w:rsid w:val="001D705E"/>
    <w:rsid w:val="001E183D"/>
    <w:rsid w:val="001E1D69"/>
    <w:rsid w:val="001E5D83"/>
    <w:rsid w:val="001F020F"/>
    <w:rsid w:val="001F22C2"/>
    <w:rsid w:val="001F3131"/>
    <w:rsid w:val="001F737C"/>
    <w:rsid w:val="001F7558"/>
    <w:rsid w:val="0020040F"/>
    <w:rsid w:val="00201FC9"/>
    <w:rsid w:val="002051EB"/>
    <w:rsid w:val="00205AFD"/>
    <w:rsid w:val="00205B57"/>
    <w:rsid w:val="002157E0"/>
    <w:rsid w:val="00216A57"/>
    <w:rsid w:val="00217448"/>
    <w:rsid w:val="0022053A"/>
    <w:rsid w:val="00221CDC"/>
    <w:rsid w:val="0022334F"/>
    <w:rsid w:val="00223B3E"/>
    <w:rsid w:val="00226819"/>
    <w:rsid w:val="00230ABA"/>
    <w:rsid w:val="00231163"/>
    <w:rsid w:val="002322AE"/>
    <w:rsid w:val="00233101"/>
    <w:rsid w:val="00233817"/>
    <w:rsid w:val="00234F6F"/>
    <w:rsid w:val="0023559B"/>
    <w:rsid w:val="002367FF"/>
    <w:rsid w:val="00236936"/>
    <w:rsid w:val="00240CE9"/>
    <w:rsid w:val="002434BA"/>
    <w:rsid w:val="00244FE2"/>
    <w:rsid w:val="00245D91"/>
    <w:rsid w:val="00246089"/>
    <w:rsid w:val="00246093"/>
    <w:rsid w:val="00246702"/>
    <w:rsid w:val="00246862"/>
    <w:rsid w:val="00247C59"/>
    <w:rsid w:val="00247F2E"/>
    <w:rsid w:val="002504BA"/>
    <w:rsid w:val="00250ADC"/>
    <w:rsid w:val="00250B07"/>
    <w:rsid w:val="00254073"/>
    <w:rsid w:val="00256514"/>
    <w:rsid w:val="00257553"/>
    <w:rsid w:val="00260FB2"/>
    <w:rsid w:val="00262128"/>
    <w:rsid w:val="00264251"/>
    <w:rsid w:val="00266FC6"/>
    <w:rsid w:val="002700F2"/>
    <w:rsid w:val="0027165D"/>
    <w:rsid w:val="0027302E"/>
    <w:rsid w:val="00273619"/>
    <w:rsid w:val="00273CEB"/>
    <w:rsid w:val="00274BE7"/>
    <w:rsid w:val="00281C89"/>
    <w:rsid w:val="00281EAF"/>
    <w:rsid w:val="0028282F"/>
    <w:rsid w:val="00284A74"/>
    <w:rsid w:val="00286826"/>
    <w:rsid w:val="00293789"/>
    <w:rsid w:val="0029593B"/>
    <w:rsid w:val="00297FC5"/>
    <w:rsid w:val="002A0417"/>
    <w:rsid w:val="002A0EB5"/>
    <w:rsid w:val="002A16D8"/>
    <w:rsid w:val="002A1BC8"/>
    <w:rsid w:val="002A3EF2"/>
    <w:rsid w:val="002A55DE"/>
    <w:rsid w:val="002A63BD"/>
    <w:rsid w:val="002B0DED"/>
    <w:rsid w:val="002B19A2"/>
    <w:rsid w:val="002B2EAD"/>
    <w:rsid w:val="002B381A"/>
    <w:rsid w:val="002B4FCC"/>
    <w:rsid w:val="002B682C"/>
    <w:rsid w:val="002B7408"/>
    <w:rsid w:val="002B7BF5"/>
    <w:rsid w:val="002B7CFD"/>
    <w:rsid w:val="002C20D0"/>
    <w:rsid w:val="002C210F"/>
    <w:rsid w:val="002D2777"/>
    <w:rsid w:val="002D3600"/>
    <w:rsid w:val="002D386D"/>
    <w:rsid w:val="002D3C87"/>
    <w:rsid w:val="002D5A50"/>
    <w:rsid w:val="002D5DB8"/>
    <w:rsid w:val="002D6E42"/>
    <w:rsid w:val="002D6EE4"/>
    <w:rsid w:val="002D7279"/>
    <w:rsid w:val="002E2F99"/>
    <w:rsid w:val="002E3031"/>
    <w:rsid w:val="002E3535"/>
    <w:rsid w:val="002E4DDC"/>
    <w:rsid w:val="002E5208"/>
    <w:rsid w:val="002E7687"/>
    <w:rsid w:val="002F78CA"/>
    <w:rsid w:val="00302480"/>
    <w:rsid w:val="00302725"/>
    <w:rsid w:val="00302758"/>
    <w:rsid w:val="003034DC"/>
    <w:rsid w:val="00303CDD"/>
    <w:rsid w:val="003041E0"/>
    <w:rsid w:val="00305115"/>
    <w:rsid w:val="00306491"/>
    <w:rsid w:val="00312359"/>
    <w:rsid w:val="003125DD"/>
    <w:rsid w:val="003165E6"/>
    <w:rsid w:val="003215B5"/>
    <w:rsid w:val="003221CF"/>
    <w:rsid w:val="003225CB"/>
    <w:rsid w:val="003233ED"/>
    <w:rsid w:val="00324814"/>
    <w:rsid w:val="00324D9F"/>
    <w:rsid w:val="0032695C"/>
    <w:rsid w:val="00327948"/>
    <w:rsid w:val="00327AF8"/>
    <w:rsid w:val="00327BDC"/>
    <w:rsid w:val="0033000F"/>
    <w:rsid w:val="0033043D"/>
    <w:rsid w:val="00330A24"/>
    <w:rsid w:val="00332011"/>
    <w:rsid w:val="00332518"/>
    <w:rsid w:val="00332925"/>
    <w:rsid w:val="003332ED"/>
    <w:rsid w:val="00333398"/>
    <w:rsid w:val="003337F9"/>
    <w:rsid w:val="003368DC"/>
    <w:rsid w:val="0034138D"/>
    <w:rsid w:val="00343104"/>
    <w:rsid w:val="00343118"/>
    <w:rsid w:val="00343AFB"/>
    <w:rsid w:val="00343C33"/>
    <w:rsid w:val="003450B4"/>
    <w:rsid w:val="00345927"/>
    <w:rsid w:val="00350584"/>
    <w:rsid w:val="00351857"/>
    <w:rsid w:val="00351F68"/>
    <w:rsid w:val="00353AE8"/>
    <w:rsid w:val="003545E8"/>
    <w:rsid w:val="00356BDC"/>
    <w:rsid w:val="003610E1"/>
    <w:rsid w:val="003620FE"/>
    <w:rsid w:val="00362CF4"/>
    <w:rsid w:val="00363B4B"/>
    <w:rsid w:val="0036421F"/>
    <w:rsid w:val="00364B4D"/>
    <w:rsid w:val="00365A63"/>
    <w:rsid w:val="00366441"/>
    <w:rsid w:val="003671BE"/>
    <w:rsid w:val="00370B50"/>
    <w:rsid w:val="00372485"/>
    <w:rsid w:val="00373200"/>
    <w:rsid w:val="00373924"/>
    <w:rsid w:val="00375EF5"/>
    <w:rsid w:val="003767A5"/>
    <w:rsid w:val="00377578"/>
    <w:rsid w:val="00381D15"/>
    <w:rsid w:val="00381DEF"/>
    <w:rsid w:val="003822EC"/>
    <w:rsid w:val="00383AA2"/>
    <w:rsid w:val="00385254"/>
    <w:rsid w:val="00386C84"/>
    <w:rsid w:val="00391ADE"/>
    <w:rsid w:val="003A04DB"/>
    <w:rsid w:val="003A0A33"/>
    <w:rsid w:val="003A5F5B"/>
    <w:rsid w:val="003A789A"/>
    <w:rsid w:val="003A7AF1"/>
    <w:rsid w:val="003B12EC"/>
    <w:rsid w:val="003B1616"/>
    <w:rsid w:val="003B2795"/>
    <w:rsid w:val="003B303E"/>
    <w:rsid w:val="003B44B2"/>
    <w:rsid w:val="003B538F"/>
    <w:rsid w:val="003B77B8"/>
    <w:rsid w:val="003C0E28"/>
    <w:rsid w:val="003C1FE3"/>
    <w:rsid w:val="003C2616"/>
    <w:rsid w:val="003C4631"/>
    <w:rsid w:val="003C77E0"/>
    <w:rsid w:val="003D17D7"/>
    <w:rsid w:val="003D2678"/>
    <w:rsid w:val="003D4423"/>
    <w:rsid w:val="003D491F"/>
    <w:rsid w:val="003D71A3"/>
    <w:rsid w:val="003E16A1"/>
    <w:rsid w:val="003E2B8A"/>
    <w:rsid w:val="003E393E"/>
    <w:rsid w:val="003E5A8C"/>
    <w:rsid w:val="003E6EEE"/>
    <w:rsid w:val="003F0659"/>
    <w:rsid w:val="003F10EE"/>
    <w:rsid w:val="003F16F6"/>
    <w:rsid w:val="003F1B47"/>
    <w:rsid w:val="003F1BFC"/>
    <w:rsid w:val="003F2E61"/>
    <w:rsid w:val="003F4DC7"/>
    <w:rsid w:val="003F51B7"/>
    <w:rsid w:val="003F5235"/>
    <w:rsid w:val="003F6AB8"/>
    <w:rsid w:val="004016AB"/>
    <w:rsid w:val="0040228C"/>
    <w:rsid w:val="004027E4"/>
    <w:rsid w:val="0041071D"/>
    <w:rsid w:val="004114CD"/>
    <w:rsid w:val="00412F0C"/>
    <w:rsid w:val="00414AFC"/>
    <w:rsid w:val="004151A7"/>
    <w:rsid w:val="00415310"/>
    <w:rsid w:val="00415A51"/>
    <w:rsid w:val="00415FEC"/>
    <w:rsid w:val="00421709"/>
    <w:rsid w:val="00423763"/>
    <w:rsid w:val="004243F5"/>
    <w:rsid w:val="00424903"/>
    <w:rsid w:val="0042601A"/>
    <w:rsid w:val="0042762F"/>
    <w:rsid w:val="00427DC7"/>
    <w:rsid w:val="00427E8E"/>
    <w:rsid w:val="00431613"/>
    <w:rsid w:val="00431792"/>
    <w:rsid w:val="0043297A"/>
    <w:rsid w:val="00432EB2"/>
    <w:rsid w:val="0043714F"/>
    <w:rsid w:val="00437C91"/>
    <w:rsid w:val="004416B5"/>
    <w:rsid w:val="004438B5"/>
    <w:rsid w:val="00445E50"/>
    <w:rsid w:val="00447037"/>
    <w:rsid w:val="004511C5"/>
    <w:rsid w:val="0045124D"/>
    <w:rsid w:val="0045386D"/>
    <w:rsid w:val="00454237"/>
    <w:rsid w:val="00454596"/>
    <w:rsid w:val="00456050"/>
    <w:rsid w:val="0045605D"/>
    <w:rsid w:val="004562DB"/>
    <w:rsid w:val="00456929"/>
    <w:rsid w:val="0046135B"/>
    <w:rsid w:val="00461D47"/>
    <w:rsid w:val="004677CF"/>
    <w:rsid w:val="004718CC"/>
    <w:rsid w:val="00472A9A"/>
    <w:rsid w:val="00481695"/>
    <w:rsid w:val="00483A8A"/>
    <w:rsid w:val="00483C9F"/>
    <w:rsid w:val="00483E3E"/>
    <w:rsid w:val="00485E46"/>
    <w:rsid w:val="004865C0"/>
    <w:rsid w:val="00486B2E"/>
    <w:rsid w:val="00486E11"/>
    <w:rsid w:val="00487839"/>
    <w:rsid w:val="00491119"/>
    <w:rsid w:val="00495A96"/>
    <w:rsid w:val="00495BB3"/>
    <w:rsid w:val="004962DC"/>
    <w:rsid w:val="004A256C"/>
    <w:rsid w:val="004A2FD2"/>
    <w:rsid w:val="004A3C45"/>
    <w:rsid w:val="004A56BB"/>
    <w:rsid w:val="004A5BC0"/>
    <w:rsid w:val="004A6244"/>
    <w:rsid w:val="004A709E"/>
    <w:rsid w:val="004A70D6"/>
    <w:rsid w:val="004B1751"/>
    <w:rsid w:val="004B2960"/>
    <w:rsid w:val="004B377D"/>
    <w:rsid w:val="004B390C"/>
    <w:rsid w:val="004B3F1A"/>
    <w:rsid w:val="004B6C72"/>
    <w:rsid w:val="004C0253"/>
    <w:rsid w:val="004C1C21"/>
    <w:rsid w:val="004C2574"/>
    <w:rsid w:val="004C2B4D"/>
    <w:rsid w:val="004C43C5"/>
    <w:rsid w:val="004C6316"/>
    <w:rsid w:val="004C68D1"/>
    <w:rsid w:val="004D36AA"/>
    <w:rsid w:val="004D56FF"/>
    <w:rsid w:val="004E39D3"/>
    <w:rsid w:val="004E3D4D"/>
    <w:rsid w:val="004E465C"/>
    <w:rsid w:val="004E508A"/>
    <w:rsid w:val="004E616D"/>
    <w:rsid w:val="004F020D"/>
    <w:rsid w:val="004F13E3"/>
    <w:rsid w:val="004F163E"/>
    <w:rsid w:val="004F1991"/>
    <w:rsid w:val="004F1BDE"/>
    <w:rsid w:val="004F1E17"/>
    <w:rsid w:val="004F2CEE"/>
    <w:rsid w:val="004F3515"/>
    <w:rsid w:val="004F4798"/>
    <w:rsid w:val="004F556E"/>
    <w:rsid w:val="004F591C"/>
    <w:rsid w:val="004F5BEB"/>
    <w:rsid w:val="004F5CC2"/>
    <w:rsid w:val="004F6600"/>
    <w:rsid w:val="004F7E44"/>
    <w:rsid w:val="004F7F44"/>
    <w:rsid w:val="00502847"/>
    <w:rsid w:val="00503687"/>
    <w:rsid w:val="005037B4"/>
    <w:rsid w:val="005079BF"/>
    <w:rsid w:val="00511423"/>
    <w:rsid w:val="00511FE9"/>
    <w:rsid w:val="0051269A"/>
    <w:rsid w:val="00513B69"/>
    <w:rsid w:val="005142BC"/>
    <w:rsid w:val="005144FA"/>
    <w:rsid w:val="00514F61"/>
    <w:rsid w:val="005202BD"/>
    <w:rsid w:val="0052053F"/>
    <w:rsid w:val="005219E7"/>
    <w:rsid w:val="00521ED4"/>
    <w:rsid w:val="00525B37"/>
    <w:rsid w:val="00527A32"/>
    <w:rsid w:val="00527ABD"/>
    <w:rsid w:val="00527C49"/>
    <w:rsid w:val="00530ACF"/>
    <w:rsid w:val="00531B9A"/>
    <w:rsid w:val="00531D15"/>
    <w:rsid w:val="00537604"/>
    <w:rsid w:val="00540110"/>
    <w:rsid w:val="0054191D"/>
    <w:rsid w:val="005420C0"/>
    <w:rsid w:val="00542377"/>
    <w:rsid w:val="00545142"/>
    <w:rsid w:val="00545DF7"/>
    <w:rsid w:val="0054621A"/>
    <w:rsid w:val="005476EB"/>
    <w:rsid w:val="00551782"/>
    <w:rsid w:val="0055222D"/>
    <w:rsid w:val="005528B2"/>
    <w:rsid w:val="0055573C"/>
    <w:rsid w:val="00555758"/>
    <w:rsid w:val="0055685E"/>
    <w:rsid w:val="00556FBC"/>
    <w:rsid w:val="00560ADB"/>
    <w:rsid w:val="00561349"/>
    <w:rsid w:val="00563EF1"/>
    <w:rsid w:val="00566AB4"/>
    <w:rsid w:val="00570367"/>
    <w:rsid w:val="00570BF3"/>
    <w:rsid w:val="005710B9"/>
    <w:rsid w:val="0057184B"/>
    <w:rsid w:val="00572BD4"/>
    <w:rsid w:val="00575AC5"/>
    <w:rsid w:val="0057605D"/>
    <w:rsid w:val="0058000E"/>
    <w:rsid w:val="00581228"/>
    <w:rsid w:val="00581347"/>
    <w:rsid w:val="00581AC9"/>
    <w:rsid w:val="00582765"/>
    <w:rsid w:val="005849F8"/>
    <w:rsid w:val="005864F5"/>
    <w:rsid w:val="0059388B"/>
    <w:rsid w:val="005938DF"/>
    <w:rsid w:val="00594E9C"/>
    <w:rsid w:val="00595549"/>
    <w:rsid w:val="00595909"/>
    <w:rsid w:val="00596F8F"/>
    <w:rsid w:val="00596FEF"/>
    <w:rsid w:val="005A099B"/>
    <w:rsid w:val="005A2D9C"/>
    <w:rsid w:val="005A3219"/>
    <w:rsid w:val="005A55FE"/>
    <w:rsid w:val="005A62E5"/>
    <w:rsid w:val="005A6A11"/>
    <w:rsid w:val="005B0208"/>
    <w:rsid w:val="005B2B4D"/>
    <w:rsid w:val="005B2D4D"/>
    <w:rsid w:val="005B3FCD"/>
    <w:rsid w:val="005B7B9E"/>
    <w:rsid w:val="005C06A5"/>
    <w:rsid w:val="005D0EE6"/>
    <w:rsid w:val="005D118C"/>
    <w:rsid w:val="005D211C"/>
    <w:rsid w:val="005D2502"/>
    <w:rsid w:val="005D29A2"/>
    <w:rsid w:val="005D40BB"/>
    <w:rsid w:val="005D47F3"/>
    <w:rsid w:val="005D49BF"/>
    <w:rsid w:val="005D4AA5"/>
    <w:rsid w:val="005D6F4E"/>
    <w:rsid w:val="005D7C73"/>
    <w:rsid w:val="005E250B"/>
    <w:rsid w:val="005E35FB"/>
    <w:rsid w:val="005E3ACD"/>
    <w:rsid w:val="005E48F7"/>
    <w:rsid w:val="005E692B"/>
    <w:rsid w:val="005E7226"/>
    <w:rsid w:val="005E7A57"/>
    <w:rsid w:val="005F01F1"/>
    <w:rsid w:val="005F24B0"/>
    <w:rsid w:val="005F70AB"/>
    <w:rsid w:val="00600339"/>
    <w:rsid w:val="00601B57"/>
    <w:rsid w:val="00602FAE"/>
    <w:rsid w:val="00604315"/>
    <w:rsid w:val="00604B6C"/>
    <w:rsid w:val="00604E26"/>
    <w:rsid w:val="0060523F"/>
    <w:rsid w:val="006052CF"/>
    <w:rsid w:val="006053B4"/>
    <w:rsid w:val="00607714"/>
    <w:rsid w:val="00607B10"/>
    <w:rsid w:val="00607B8D"/>
    <w:rsid w:val="00607D58"/>
    <w:rsid w:val="00611F5C"/>
    <w:rsid w:val="00616E09"/>
    <w:rsid w:val="00622A3B"/>
    <w:rsid w:val="00622EEA"/>
    <w:rsid w:val="006233D7"/>
    <w:rsid w:val="00623963"/>
    <w:rsid w:val="0062396C"/>
    <w:rsid w:val="00623FF9"/>
    <w:rsid w:val="00624489"/>
    <w:rsid w:val="00625E8E"/>
    <w:rsid w:val="00627D4E"/>
    <w:rsid w:val="00630A41"/>
    <w:rsid w:val="00632B89"/>
    <w:rsid w:val="0063346D"/>
    <w:rsid w:val="00634478"/>
    <w:rsid w:val="006358C6"/>
    <w:rsid w:val="00640857"/>
    <w:rsid w:val="00644373"/>
    <w:rsid w:val="0064588B"/>
    <w:rsid w:val="00645915"/>
    <w:rsid w:val="00646E6A"/>
    <w:rsid w:val="006478B6"/>
    <w:rsid w:val="006508B0"/>
    <w:rsid w:val="006519C3"/>
    <w:rsid w:val="006520F2"/>
    <w:rsid w:val="00652B30"/>
    <w:rsid w:val="00656345"/>
    <w:rsid w:val="00656DC6"/>
    <w:rsid w:val="00660EC6"/>
    <w:rsid w:val="00661E53"/>
    <w:rsid w:val="00664110"/>
    <w:rsid w:val="00664D17"/>
    <w:rsid w:val="00666520"/>
    <w:rsid w:val="00667C5B"/>
    <w:rsid w:val="00667F14"/>
    <w:rsid w:val="006703E9"/>
    <w:rsid w:val="0067092C"/>
    <w:rsid w:val="00670BE3"/>
    <w:rsid w:val="006771B5"/>
    <w:rsid w:val="006807D9"/>
    <w:rsid w:val="0068143B"/>
    <w:rsid w:val="00682436"/>
    <w:rsid w:val="00684F91"/>
    <w:rsid w:val="00686D88"/>
    <w:rsid w:val="00686E08"/>
    <w:rsid w:val="00690CB3"/>
    <w:rsid w:val="00691EB8"/>
    <w:rsid w:val="00691F01"/>
    <w:rsid w:val="00692CDE"/>
    <w:rsid w:val="00693073"/>
    <w:rsid w:val="006956F6"/>
    <w:rsid w:val="006977FF"/>
    <w:rsid w:val="00697C93"/>
    <w:rsid w:val="006A01FA"/>
    <w:rsid w:val="006A0BFB"/>
    <w:rsid w:val="006A0E9E"/>
    <w:rsid w:val="006A25C7"/>
    <w:rsid w:val="006A2D5E"/>
    <w:rsid w:val="006A4AAD"/>
    <w:rsid w:val="006A6DA2"/>
    <w:rsid w:val="006A7A61"/>
    <w:rsid w:val="006A7AB2"/>
    <w:rsid w:val="006B09F2"/>
    <w:rsid w:val="006B0A72"/>
    <w:rsid w:val="006B3E77"/>
    <w:rsid w:val="006B52DE"/>
    <w:rsid w:val="006B5717"/>
    <w:rsid w:val="006B582F"/>
    <w:rsid w:val="006B5A67"/>
    <w:rsid w:val="006B5EB2"/>
    <w:rsid w:val="006C04F4"/>
    <w:rsid w:val="006C0CEB"/>
    <w:rsid w:val="006C1631"/>
    <w:rsid w:val="006C1B45"/>
    <w:rsid w:val="006C2A87"/>
    <w:rsid w:val="006C3B1E"/>
    <w:rsid w:val="006C47FD"/>
    <w:rsid w:val="006C5C19"/>
    <w:rsid w:val="006C70A0"/>
    <w:rsid w:val="006C720D"/>
    <w:rsid w:val="006D0E65"/>
    <w:rsid w:val="006D27CB"/>
    <w:rsid w:val="006D2F08"/>
    <w:rsid w:val="006D3585"/>
    <w:rsid w:val="006D576C"/>
    <w:rsid w:val="006D5865"/>
    <w:rsid w:val="006E13F2"/>
    <w:rsid w:val="006E4B1B"/>
    <w:rsid w:val="006E5445"/>
    <w:rsid w:val="006E6B03"/>
    <w:rsid w:val="006E7D93"/>
    <w:rsid w:val="006E7E75"/>
    <w:rsid w:val="006F13C4"/>
    <w:rsid w:val="006F5C10"/>
    <w:rsid w:val="006F5D38"/>
    <w:rsid w:val="00700B7D"/>
    <w:rsid w:val="00701DFB"/>
    <w:rsid w:val="007029A3"/>
    <w:rsid w:val="00702D20"/>
    <w:rsid w:val="00702EA1"/>
    <w:rsid w:val="007033D3"/>
    <w:rsid w:val="007047E9"/>
    <w:rsid w:val="0070620F"/>
    <w:rsid w:val="00706E4E"/>
    <w:rsid w:val="0070791C"/>
    <w:rsid w:val="00710185"/>
    <w:rsid w:val="007108A3"/>
    <w:rsid w:val="0071090C"/>
    <w:rsid w:val="007118FC"/>
    <w:rsid w:val="0071383C"/>
    <w:rsid w:val="007141A7"/>
    <w:rsid w:val="007152CD"/>
    <w:rsid w:val="00715722"/>
    <w:rsid w:val="00720B53"/>
    <w:rsid w:val="00721032"/>
    <w:rsid w:val="00721B55"/>
    <w:rsid w:val="007245A2"/>
    <w:rsid w:val="00726CE4"/>
    <w:rsid w:val="00730984"/>
    <w:rsid w:val="00731730"/>
    <w:rsid w:val="00733BFF"/>
    <w:rsid w:val="00734143"/>
    <w:rsid w:val="00734F6E"/>
    <w:rsid w:val="0073681F"/>
    <w:rsid w:val="00737067"/>
    <w:rsid w:val="007379CA"/>
    <w:rsid w:val="00737E47"/>
    <w:rsid w:val="00737E49"/>
    <w:rsid w:val="00740EAC"/>
    <w:rsid w:val="00744956"/>
    <w:rsid w:val="00745A5C"/>
    <w:rsid w:val="0074605F"/>
    <w:rsid w:val="007461BD"/>
    <w:rsid w:val="00747E94"/>
    <w:rsid w:val="00754A6D"/>
    <w:rsid w:val="00754C83"/>
    <w:rsid w:val="0075523E"/>
    <w:rsid w:val="00755525"/>
    <w:rsid w:val="00755F3A"/>
    <w:rsid w:val="00757D2D"/>
    <w:rsid w:val="00761D1A"/>
    <w:rsid w:val="00761E5C"/>
    <w:rsid w:val="00761FEE"/>
    <w:rsid w:val="007624DF"/>
    <w:rsid w:val="00762D98"/>
    <w:rsid w:val="00765DF8"/>
    <w:rsid w:val="00766749"/>
    <w:rsid w:val="00767052"/>
    <w:rsid w:val="00767C1B"/>
    <w:rsid w:val="00770053"/>
    <w:rsid w:val="007714A9"/>
    <w:rsid w:val="00774F88"/>
    <w:rsid w:val="00774FDB"/>
    <w:rsid w:val="007775FC"/>
    <w:rsid w:val="00777683"/>
    <w:rsid w:val="00777BA2"/>
    <w:rsid w:val="00780144"/>
    <w:rsid w:val="007805A5"/>
    <w:rsid w:val="00781408"/>
    <w:rsid w:val="0078432A"/>
    <w:rsid w:val="00784F7F"/>
    <w:rsid w:val="00786DCA"/>
    <w:rsid w:val="00787005"/>
    <w:rsid w:val="007878BD"/>
    <w:rsid w:val="007903F9"/>
    <w:rsid w:val="007904C8"/>
    <w:rsid w:val="007923AE"/>
    <w:rsid w:val="00796BED"/>
    <w:rsid w:val="00796F25"/>
    <w:rsid w:val="007A0BAC"/>
    <w:rsid w:val="007A0FD9"/>
    <w:rsid w:val="007A2754"/>
    <w:rsid w:val="007A2E98"/>
    <w:rsid w:val="007A3BA3"/>
    <w:rsid w:val="007A6CC0"/>
    <w:rsid w:val="007A7FEC"/>
    <w:rsid w:val="007B1499"/>
    <w:rsid w:val="007B1BBF"/>
    <w:rsid w:val="007B2960"/>
    <w:rsid w:val="007B2A25"/>
    <w:rsid w:val="007B355D"/>
    <w:rsid w:val="007B5371"/>
    <w:rsid w:val="007B7980"/>
    <w:rsid w:val="007C0DEF"/>
    <w:rsid w:val="007C1625"/>
    <w:rsid w:val="007C5923"/>
    <w:rsid w:val="007C5D5A"/>
    <w:rsid w:val="007C607F"/>
    <w:rsid w:val="007C6820"/>
    <w:rsid w:val="007C6C43"/>
    <w:rsid w:val="007C6D48"/>
    <w:rsid w:val="007C6E44"/>
    <w:rsid w:val="007C7407"/>
    <w:rsid w:val="007C79DD"/>
    <w:rsid w:val="007D1A97"/>
    <w:rsid w:val="007D2285"/>
    <w:rsid w:val="007D2CD6"/>
    <w:rsid w:val="007D3063"/>
    <w:rsid w:val="007D3983"/>
    <w:rsid w:val="007D3CEB"/>
    <w:rsid w:val="007E2887"/>
    <w:rsid w:val="007E3375"/>
    <w:rsid w:val="007E66B9"/>
    <w:rsid w:val="007E7268"/>
    <w:rsid w:val="007E7683"/>
    <w:rsid w:val="007E77D6"/>
    <w:rsid w:val="007F1E3C"/>
    <w:rsid w:val="007F3D89"/>
    <w:rsid w:val="007F49FA"/>
    <w:rsid w:val="007F53C0"/>
    <w:rsid w:val="007F54C4"/>
    <w:rsid w:val="007F6E9A"/>
    <w:rsid w:val="00800CCD"/>
    <w:rsid w:val="00802DF8"/>
    <w:rsid w:val="00803730"/>
    <w:rsid w:val="008042E2"/>
    <w:rsid w:val="008044D4"/>
    <w:rsid w:val="00806357"/>
    <w:rsid w:val="00810AB4"/>
    <w:rsid w:val="00812B27"/>
    <w:rsid w:val="008153A5"/>
    <w:rsid w:val="00815FE8"/>
    <w:rsid w:val="0081632D"/>
    <w:rsid w:val="00817B56"/>
    <w:rsid w:val="00820013"/>
    <w:rsid w:val="008216EF"/>
    <w:rsid w:val="00821A88"/>
    <w:rsid w:val="008232DF"/>
    <w:rsid w:val="00823ED0"/>
    <w:rsid w:val="0082495D"/>
    <w:rsid w:val="00826289"/>
    <w:rsid w:val="00831AC3"/>
    <w:rsid w:val="00836FCE"/>
    <w:rsid w:val="008375FC"/>
    <w:rsid w:val="008408FF"/>
    <w:rsid w:val="00845124"/>
    <w:rsid w:val="008468D5"/>
    <w:rsid w:val="00847DF3"/>
    <w:rsid w:val="00850171"/>
    <w:rsid w:val="008507E9"/>
    <w:rsid w:val="00851F3F"/>
    <w:rsid w:val="00854BB8"/>
    <w:rsid w:val="00855078"/>
    <w:rsid w:val="0085618F"/>
    <w:rsid w:val="00856701"/>
    <w:rsid w:val="008569CA"/>
    <w:rsid w:val="00856EDC"/>
    <w:rsid w:val="00860872"/>
    <w:rsid w:val="00860B35"/>
    <w:rsid w:val="008623B5"/>
    <w:rsid w:val="00867CDD"/>
    <w:rsid w:val="00870ABA"/>
    <w:rsid w:val="008710E1"/>
    <w:rsid w:val="008716E5"/>
    <w:rsid w:val="008736CB"/>
    <w:rsid w:val="0087562E"/>
    <w:rsid w:val="00876386"/>
    <w:rsid w:val="00881CA9"/>
    <w:rsid w:val="0088339A"/>
    <w:rsid w:val="00883628"/>
    <w:rsid w:val="00885544"/>
    <w:rsid w:val="0088583F"/>
    <w:rsid w:val="0088634E"/>
    <w:rsid w:val="008901CE"/>
    <w:rsid w:val="0089119D"/>
    <w:rsid w:val="00891423"/>
    <w:rsid w:val="00892511"/>
    <w:rsid w:val="00893AB8"/>
    <w:rsid w:val="00897A7C"/>
    <w:rsid w:val="008A04C8"/>
    <w:rsid w:val="008A1AA5"/>
    <w:rsid w:val="008A1ACC"/>
    <w:rsid w:val="008A3B41"/>
    <w:rsid w:val="008A4F2B"/>
    <w:rsid w:val="008A5CBB"/>
    <w:rsid w:val="008A6913"/>
    <w:rsid w:val="008A7652"/>
    <w:rsid w:val="008A7AC8"/>
    <w:rsid w:val="008B0ED8"/>
    <w:rsid w:val="008B2C37"/>
    <w:rsid w:val="008B5628"/>
    <w:rsid w:val="008B645F"/>
    <w:rsid w:val="008B6FE2"/>
    <w:rsid w:val="008B70F3"/>
    <w:rsid w:val="008B71C4"/>
    <w:rsid w:val="008B76DF"/>
    <w:rsid w:val="008C10F4"/>
    <w:rsid w:val="008C3868"/>
    <w:rsid w:val="008C6366"/>
    <w:rsid w:val="008C65F7"/>
    <w:rsid w:val="008D1365"/>
    <w:rsid w:val="008D188B"/>
    <w:rsid w:val="008D4E1A"/>
    <w:rsid w:val="008E0551"/>
    <w:rsid w:val="008E4073"/>
    <w:rsid w:val="008E4767"/>
    <w:rsid w:val="008E5A11"/>
    <w:rsid w:val="008E7A8C"/>
    <w:rsid w:val="008F223E"/>
    <w:rsid w:val="008F4100"/>
    <w:rsid w:val="008F6BE2"/>
    <w:rsid w:val="008F6C08"/>
    <w:rsid w:val="008F7FFD"/>
    <w:rsid w:val="0090078B"/>
    <w:rsid w:val="00900B2B"/>
    <w:rsid w:val="0090203B"/>
    <w:rsid w:val="00902432"/>
    <w:rsid w:val="00903285"/>
    <w:rsid w:val="00903F5A"/>
    <w:rsid w:val="00906F40"/>
    <w:rsid w:val="0090731E"/>
    <w:rsid w:val="00913CBB"/>
    <w:rsid w:val="00915B1C"/>
    <w:rsid w:val="009174F3"/>
    <w:rsid w:val="0091797D"/>
    <w:rsid w:val="009212B8"/>
    <w:rsid w:val="00921E42"/>
    <w:rsid w:val="00922843"/>
    <w:rsid w:val="00923CBA"/>
    <w:rsid w:val="009241B7"/>
    <w:rsid w:val="009242EB"/>
    <w:rsid w:val="00926703"/>
    <w:rsid w:val="00927691"/>
    <w:rsid w:val="00927A5F"/>
    <w:rsid w:val="00930510"/>
    <w:rsid w:val="00931F54"/>
    <w:rsid w:val="00934DEB"/>
    <w:rsid w:val="00935100"/>
    <w:rsid w:val="00935B63"/>
    <w:rsid w:val="00936F00"/>
    <w:rsid w:val="0094078F"/>
    <w:rsid w:val="00940FA3"/>
    <w:rsid w:val="00941FB0"/>
    <w:rsid w:val="009426D4"/>
    <w:rsid w:val="0094731C"/>
    <w:rsid w:val="00947F25"/>
    <w:rsid w:val="00950159"/>
    <w:rsid w:val="00950F23"/>
    <w:rsid w:val="00950FF1"/>
    <w:rsid w:val="00951098"/>
    <w:rsid w:val="0095490B"/>
    <w:rsid w:val="00954B9E"/>
    <w:rsid w:val="009566BD"/>
    <w:rsid w:val="00960A33"/>
    <w:rsid w:val="0096106B"/>
    <w:rsid w:val="009643AB"/>
    <w:rsid w:val="00970D56"/>
    <w:rsid w:val="00971914"/>
    <w:rsid w:val="00972FB4"/>
    <w:rsid w:val="00973246"/>
    <w:rsid w:val="00974363"/>
    <w:rsid w:val="009770E7"/>
    <w:rsid w:val="00981898"/>
    <w:rsid w:val="00983106"/>
    <w:rsid w:val="00985C19"/>
    <w:rsid w:val="00987070"/>
    <w:rsid w:val="00990BD9"/>
    <w:rsid w:val="00991F21"/>
    <w:rsid w:val="009946DC"/>
    <w:rsid w:val="0099577C"/>
    <w:rsid w:val="009B07E0"/>
    <w:rsid w:val="009B24A5"/>
    <w:rsid w:val="009B2601"/>
    <w:rsid w:val="009B37D2"/>
    <w:rsid w:val="009B4E9E"/>
    <w:rsid w:val="009B67A0"/>
    <w:rsid w:val="009C0C8D"/>
    <w:rsid w:val="009C1690"/>
    <w:rsid w:val="009C1CDE"/>
    <w:rsid w:val="009C1D96"/>
    <w:rsid w:val="009C44D2"/>
    <w:rsid w:val="009C46D5"/>
    <w:rsid w:val="009C6881"/>
    <w:rsid w:val="009C6C48"/>
    <w:rsid w:val="009C7759"/>
    <w:rsid w:val="009D043D"/>
    <w:rsid w:val="009D07C8"/>
    <w:rsid w:val="009D0E04"/>
    <w:rsid w:val="009D1D05"/>
    <w:rsid w:val="009D2529"/>
    <w:rsid w:val="009D271E"/>
    <w:rsid w:val="009D55AB"/>
    <w:rsid w:val="009D6C71"/>
    <w:rsid w:val="009E0631"/>
    <w:rsid w:val="009E16D0"/>
    <w:rsid w:val="009E2051"/>
    <w:rsid w:val="009E38FD"/>
    <w:rsid w:val="009E53B4"/>
    <w:rsid w:val="009E5722"/>
    <w:rsid w:val="009F13D6"/>
    <w:rsid w:val="009F4C6B"/>
    <w:rsid w:val="009F774C"/>
    <w:rsid w:val="009F78A8"/>
    <w:rsid w:val="00A01609"/>
    <w:rsid w:val="00A02AD6"/>
    <w:rsid w:val="00A051BC"/>
    <w:rsid w:val="00A0570B"/>
    <w:rsid w:val="00A07096"/>
    <w:rsid w:val="00A07318"/>
    <w:rsid w:val="00A11370"/>
    <w:rsid w:val="00A17B1B"/>
    <w:rsid w:val="00A224CE"/>
    <w:rsid w:val="00A22522"/>
    <w:rsid w:val="00A22B0D"/>
    <w:rsid w:val="00A23D61"/>
    <w:rsid w:val="00A24174"/>
    <w:rsid w:val="00A2440D"/>
    <w:rsid w:val="00A24882"/>
    <w:rsid w:val="00A24AFD"/>
    <w:rsid w:val="00A24F5C"/>
    <w:rsid w:val="00A25DE4"/>
    <w:rsid w:val="00A26129"/>
    <w:rsid w:val="00A31C63"/>
    <w:rsid w:val="00A32F96"/>
    <w:rsid w:val="00A35C62"/>
    <w:rsid w:val="00A3718F"/>
    <w:rsid w:val="00A40871"/>
    <w:rsid w:val="00A40D4A"/>
    <w:rsid w:val="00A412AB"/>
    <w:rsid w:val="00A4193E"/>
    <w:rsid w:val="00A43DE3"/>
    <w:rsid w:val="00A440E0"/>
    <w:rsid w:val="00A442EF"/>
    <w:rsid w:val="00A447E3"/>
    <w:rsid w:val="00A46713"/>
    <w:rsid w:val="00A473B3"/>
    <w:rsid w:val="00A51D1A"/>
    <w:rsid w:val="00A5418D"/>
    <w:rsid w:val="00A5474E"/>
    <w:rsid w:val="00A548C1"/>
    <w:rsid w:val="00A55356"/>
    <w:rsid w:val="00A6341B"/>
    <w:rsid w:val="00A63AAF"/>
    <w:rsid w:val="00A64234"/>
    <w:rsid w:val="00A65C88"/>
    <w:rsid w:val="00A66012"/>
    <w:rsid w:val="00A6613A"/>
    <w:rsid w:val="00A70ADF"/>
    <w:rsid w:val="00A713E8"/>
    <w:rsid w:val="00A71466"/>
    <w:rsid w:val="00A74B5E"/>
    <w:rsid w:val="00A77649"/>
    <w:rsid w:val="00A807AF"/>
    <w:rsid w:val="00A8180D"/>
    <w:rsid w:val="00A81BED"/>
    <w:rsid w:val="00A81EC4"/>
    <w:rsid w:val="00A824E8"/>
    <w:rsid w:val="00A8317D"/>
    <w:rsid w:val="00A83B55"/>
    <w:rsid w:val="00A85200"/>
    <w:rsid w:val="00A85521"/>
    <w:rsid w:val="00A8565F"/>
    <w:rsid w:val="00A91B1F"/>
    <w:rsid w:val="00A92886"/>
    <w:rsid w:val="00A93939"/>
    <w:rsid w:val="00A967FD"/>
    <w:rsid w:val="00AA0743"/>
    <w:rsid w:val="00AA1F0B"/>
    <w:rsid w:val="00AA2DE5"/>
    <w:rsid w:val="00AB0A5A"/>
    <w:rsid w:val="00AB156C"/>
    <w:rsid w:val="00AB1B48"/>
    <w:rsid w:val="00AB4588"/>
    <w:rsid w:val="00AB5A0D"/>
    <w:rsid w:val="00AB5C0E"/>
    <w:rsid w:val="00AB6090"/>
    <w:rsid w:val="00AB6814"/>
    <w:rsid w:val="00AC04BA"/>
    <w:rsid w:val="00AC0E39"/>
    <w:rsid w:val="00AD10AA"/>
    <w:rsid w:val="00AD3082"/>
    <w:rsid w:val="00AD32B4"/>
    <w:rsid w:val="00AD4AD0"/>
    <w:rsid w:val="00AD5436"/>
    <w:rsid w:val="00AD60CD"/>
    <w:rsid w:val="00AD65EA"/>
    <w:rsid w:val="00AD6C8C"/>
    <w:rsid w:val="00AD711D"/>
    <w:rsid w:val="00AE091D"/>
    <w:rsid w:val="00AE2A53"/>
    <w:rsid w:val="00AE3B60"/>
    <w:rsid w:val="00AE53A1"/>
    <w:rsid w:val="00AE709F"/>
    <w:rsid w:val="00AF0998"/>
    <w:rsid w:val="00AF2484"/>
    <w:rsid w:val="00AF2E74"/>
    <w:rsid w:val="00AF503E"/>
    <w:rsid w:val="00AF52CB"/>
    <w:rsid w:val="00AF63E7"/>
    <w:rsid w:val="00AF6977"/>
    <w:rsid w:val="00AF6E17"/>
    <w:rsid w:val="00B0165D"/>
    <w:rsid w:val="00B01B60"/>
    <w:rsid w:val="00B0211C"/>
    <w:rsid w:val="00B031F3"/>
    <w:rsid w:val="00B052A4"/>
    <w:rsid w:val="00B10926"/>
    <w:rsid w:val="00B109D6"/>
    <w:rsid w:val="00B125DE"/>
    <w:rsid w:val="00B13061"/>
    <w:rsid w:val="00B13FDD"/>
    <w:rsid w:val="00B153A2"/>
    <w:rsid w:val="00B1559F"/>
    <w:rsid w:val="00B205AF"/>
    <w:rsid w:val="00B22EB2"/>
    <w:rsid w:val="00B249A1"/>
    <w:rsid w:val="00B2647B"/>
    <w:rsid w:val="00B27092"/>
    <w:rsid w:val="00B27442"/>
    <w:rsid w:val="00B30FD0"/>
    <w:rsid w:val="00B31167"/>
    <w:rsid w:val="00B31B3E"/>
    <w:rsid w:val="00B32270"/>
    <w:rsid w:val="00B329D8"/>
    <w:rsid w:val="00B32BB9"/>
    <w:rsid w:val="00B32DE9"/>
    <w:rsid w:val="00B33AE1"/>
    <w:rsid w:val="00B351B5"/>
    <w:rsid w:val="00B356C6"/>
    <w:rsid w:val="00B37C38"/>
    <w:rsid w:val="00B41604"/>
    <w:rsid w:val="00B42092"/>
    <w:rsid w:val="00B4288C"/>
    <w:rsid w:val="00B431FC"/>
    <w:rsid w:val="00B43262"/>
    <w:rsid w:val="00B4353E"/>
    <w:rsid w:val="00B43A7F"/>
    <w:rsid w:val="00B44100"/>
    <w:rsid w:val="00B4552C"/>
    <w:rsid w:val="00B45E36"/>
    <w:rsid w:val="00B45F4A"/>
    <w:rsid w:val="00B46CBA"/>
    <w:rsid w:val="00B46F94"/>
    <w:rsid w:val="00B6003C"/>
    <w:rsid w:val="00B60AF3"/>
    <w:rsid w:val="00B618FE"/>
    <w:rsid w:val="00B61F03"/>
    <w:rsid w:val="00B626E4"/>
    <w:rsid w:val="00B667DF"/>
    <w:rsid w:val="00B724DF"/>
    <w:rsid w:val="00B72F4A"/>
    <w:rsid w:val="00B75C76"/>
    <w:rsid w:val="00B803B8"/>
    <w:rsid w:val="00B80EE3"/>
    <w:rsid w:val="00B831B3"/>
    <w:rsid w:val="00B83C27"/>
    <w:rsid w:val="00B84BC3"/>
    <w:rsid w:val="00B84BDD"/>
    <w:rsid w:val="00B85EF4"/>
    <w:rsid w:val="00B874B4"/>
    <w:rsid w:val="00B8784D"/>
    <w:rsid w:val="00B92812"/>
    <w:rsid w:val="00B94A5F"/>
    <w:rsid w:val="00BA238A"/>
    <w:rsid w:val="00BA4B8C"/>
    <w:rsid w:val="00BA66B5"/>
    <w:rsid w:val="00BB01F4"/>
    <w:rsid w:val="00BB196F"/>
    <w:rsid w:val="00BB3BF9"/>
    <w:rsid w:val="00BB45A1"/>
    <w:rsid w:val="00BB7686"/>
    <w:rsid w:val="00BC0195"/>
    <w:rsid w:val="00BC23F9"/>
    <w:rsid w:val="00BC3421"/>
    <w:rsid w:val="00BC63B0"/>
    <w:rsid w:val="00BC6486"/>
    <w:rsid w:val="00BC732C"/>
    <w:rsid w:val="00BD01D9"/>
    <w:rsid w:val="00BD05F9"/>
    <w:rsid w:val="00BD300C"/>
    <w:rsid w:val="00BD4421"/>
    <w:rsid w:val="00BD7249"/>
    <w:rsid w:val="00BD7BC6"/>
    <w:rsid w:val="00BE0B3A"/>
    <w:rsid w:val="00BE0E53"/>
    <w:rsid w:val="00BE1B87"/>
    <w:rsid w:val="00BE2011"/>
    <w:rsid w:val="00BE2580"/>
    <w:rsid w:val="00BE266D"/>
    <w:rsid w:val="00BE31C1"/>
    <w:rsid w:val="00BE35CB"/>
    <w:rsid w:val="00BE3938"/>
    <w:rsid w:val="00BE45F2"/>
    <w:rsid w:val="00BE4C11"/>
    <w:rsid w:val="00BE549E"/>
    <w:rsid w:val="00BE583A"/>
    <w:rsid w:val="00BE6805"/>
    <w:rsid w:val="00BE71C0"/>
    <w:rsid w:val="00BE7AAF"/>
    <w:rsid w:val="00BF0CBA"/>
    <w:rsid w:val="00BF610C"/>
    <w:rsid w:val="00C0060B"/>
    <w:rsid w:val="00C01A4E"/>
    <w:rsid w:val="00C01A6C"/>
    <w:rsid w:val="00C0277D"/>
    <w:rsid w:val="00C02B81"/>
    <w:rsid w:val="00C038EF"/>
    <w:rsid w:val="00C053A1"/>
    <w:rsid w:val="00C05A55"/>
    <w:rsid w:val="00C101DD"/>
    <w:rsid w:val="00C116D2"/>
    <w:rsid w:val="00C11ABF"/>
    <w:rsid w:val="00C14542"/>
    <w:rsid w:val="00C14A39"/>
    <w:rsid w:val="00C16198"/>
    <w:rsid w:val="00C1729F"/>
    <w:rsid w:val="00C2083D"/>
    <w:rsid w:val="00C22D31"/>
    <w:rsid w:val="00C24A53"/>
    <w:rsid w:val="00C2583B"/>
    <w:rsid w:val="00C310C6"/>
    <w:rsid w:val="00C32385"/>
    <w:rsid w:val="00C332D9"/>
    <w:rsid w:val="00C34248"/>
    <w:rsid w:val="00C34A05"/>
    <w:rsid w:val="00C35CCE"/>
    <w:rsid w:val="00C4032F"/>
    <w:rsid w:val="00C40681"/>
    <w:rsid w:val="00C40FE2"/>
    <w:rsid w:val="00C42573"/>
    <w:rsid w:val="00C4360C"/>
    <w:rsid w:val="00C44047"/>
    <w:rsid w:val="00C4405A"/>
    <w:rsid w:val="00C45155"/>
    <w:rsid w:val="00C458DA"/>
    <w:rsid w:val="00C5032D"/>
    <w:rsid w:val="00C52982"/>
    <w:rsid w:val="00C542CC"/>
    <w:rsid w:val="00C5498F"/>
    <w:rsid w:val="00C55235"/>
    <w:rsid w:val="00C55D36"/>
    <w:rsid w:val="00C61E67"/>
    <w:rsid w:val="00C63CFF"/>
    <w:rsid w:val="00C63E85"/>
    <w:rsid w:val="00C64CD0"/>
    <w:rsid w:val="00C64FE8"/>
    <w:rsid w:val="00C661F4"/>
    <w:rsid w:val="00C6684F"/>
    <w:rsid w:val="00C67F22"/>
    <w:rsid w:val="00C70E70"/>
    <w:rsid w:val="00C73A4E"/>
    <w:rsid w:val="00C752B4"/>
    <w:rsid w:val="00C75757"/>
    <w:rsid w:val="00C75F8D"/>
    <w:rsid w:val="00C77380"/>
    <w:rsid w:val="00C774B6"/>
    <w:rsid w:val="00C7762B"/>
    <w:rsid w:val="00C82940"/>
    <w:rsid w:val="00C8331A"/>
    <w:rsid w:val="00C86A66"/>
    <w:rsid w:val="00C87E8A"/>
    <w:rsid w:val="00C910BB"/>
    <w:rsid w:val="00C92D26"/>
    <w:rsid w:val="00C95665"/>
    <w:rsid w:val="00C9771A"/>
    <w:rsid w:val="00C97736"/>
    <w:rsid w:val="00CA24A9"/>
    <w:rsid w:val="00CA26FD"/>
    <w:rsid w:val="00CA339D"/>
    <w:rsid w:val="00CA345A"/>
    <w:rsid w:val="00CA5AE8"/>
    <w:rsid w:val="00CB0B41"/>
    <w:rsid w:val="00CB1E82"/>
    <w:rsid w:val="00CB2C86"/>
    <w:rsid w:val="00CB4BA8"/>
    <w:rsid w:val="00CB52D7"/>
    <w:rsid w:val="00CB6ED0"/>
    <w:rsid w:val="00CB7B48"/>
    <w:rsid w:val="00CC3DEA"/>
    <w:rsid w:val="00CC3E1F"/>
    <w:rsid w:val="00CC4110"/>
    <w:rsid w:val="00CC6732"/>
    <w:rsid w:val="00CD17EC"/>
    <w:rsid w:val="00CD1B1C"/>
    <w:rsid w:val="00CD23B2"/>
    <w:rsid w:val="00CD5203"/>
    <w:rsid w:val="00CE02DF"/>
    <w:rsid w:val="00CE0BB5"/>
    <w:rsid w:val="00CE2F32"/>
    <w:rsid w:val="00CE3C96"/>
    <w:rsid w:val="00CE51A8"/>
    <w:rsid w:val="00CE7997"/>
    <w:rsid w:val="00CE7AC2"/>
    <w:rsid w:val="00CF0B33"/>
    <w:rsid w:val="00CF0E31"/>
    <w:rsid w:val="00CF369B"/>
    <w:rsid w:val="00D002BA"/>
    <w:rsid w:val="00D00E28"/>
    <w:rsid w:val="00D0269E"/>
    <w:rsid w:val="00D034BC"/>
    <w:rsid w:val="00D03DCA"/>
    <w:rsid w:val="00D05D6C"/>
    <w:rsid w:val="00D0604C"/>
    <w:rsid w:val="00D077F6"/>
    <w:rsid w:val="00D10E32"/>
    <w:rsid w:val="00D15810"/>
    <w:rsid w:val="00D16D4E"/>
    <w:rsid w:val="00D16FE3"/>
    <w:rsid w:val="00D17FB8"/>
    <w:rsid w:val="00D20282"/>
    <w:rsid w:val="00D23CCD"/>
    <w:rsid w:val="00D27F41"/>
    <w:rsid w:val="00D31756"/>
    <w:rsid w:val="00D33CA0"/>
    <w:rsid w:val="00D33FAD"/>
    <w:rsid w:val="00D34BA2"/>
    <w:rsid w:val="00D36441"/>
    <w:rsid w:val="00D37BAF"/>
    <w:rsid w:val="00D4012A"/>
    <w:rsid w:val="00D4064E"/>
    <w:rsid w:val="00D414E9"/>
    <w:rsid w:val="00D42EF0"/>
    <w:rsid w:val="00D4323D"/>
    <w:rsid w:val="00D44E9B"/>
    <w:rsid w:val="00D4516B"/>
    <w:rsid w:val="00D45FD2"/>
    <w:rsid w:val="00D47AEB"/>
    <w:rsid w:val="00D50A1E"/>
    <w:rsid w:val="00D50DB9"/>
    <w:rsid w:val="00D51302"/>
    <w:rsid w:val="00D52C43"/>
    <w:rsid w:val="00D56840"/>
    <w:rsid w:val="00D571E0"/>
    <w:rsid w:val="00D57711"/>
    <w:rsid w:val="00D60571"/>
    <w:rsid w:val="00D63674"/>
    <w:rsid w:val="00D6507F"/>
    <w:rsid w:val="00D66F9E"/>
    <w:rsid w:val="00D7005D"/>
    <w:rsid w:val="00D730BC"/>
    <w:rsid w:val="00D73912"/>
    <w:rsid w:val="00D73AFF"/>
    <w:rsid w:val="00D756D3"/>
    <w:rsid w:val="00D76F0D"/>
    <w:rsid w:val="00D77CEC"/>
    <w:rsid w:val="00D807D7"/>
    <w:rsid w:val="00D81358"/>
    <w:rsid w:val="00D822B7"/>
    <w:rsid w:val="00D85226"/>
    <w:rsid w:val="00D87B94"/>
    <w:rsid w:val="00D87BB0"/>
    <w:rsid w:val="00D901B7"/>
    <w:rsid w:val="00D91016"/>
    <w:rsid w:val="00D92D49"/>
    <w:rsid w:val="00D92EC1"/>
    <w:rsid w:val="00D94861"/>
    <w:rsid w:val="00D94CF4"/>
    <w:rsid w:val="00D96A74"/>
    <w:rsid w:val="00D96DEA"/>
    <w:rsid w:val="00DA263E"/>
    <w:rsid w:val="00DA4E41"/>
    <w:rsid w:val="00DA5BE9"/>
    <w:rsid w:val="00DB117A"/>
    <w:rsid w:val="00DB2A88"/>
    <w:rsid w:val="00DB3A64"/>
    <w:rsid w:val="00DB3BD9"/>
    <w:rsid w:val="00DB4607"/>
    <w:rsid w:val="00DB5173"/>
    <w:rsid w:val="00DB5574"/>
    <w:rsid w:val="00DB6742"/>
    <w:rsid w:val="00DB7873"/>
    <w:rsid w:val="00DC187B"/>
    <w:rsid w:val="00DC2EFF"/>
    <w:rsid w:val="00DC7DEF"/>
    <w:rsid w:val="00DD1A43"/>
    <w:rsid w:val="00DD41C6"/>
    <w:rsid w:val="00DD42E3"/>
    <w:rsid w:val="00DD4837"/>
    <w:rsid w:val="00DD60A4"/>
    <w:rsid w:val="00DD61F5"/>
    <w:rsid w:val="00DD6FF1"/>
    <w:rsid w:val="00DD73C2"/>
    <w:rsid w:val="00DE319B"/>
    <w:rsid w:val="00DE6C43"/>
    <w:rsid w:val="00DE759C"/>
    <w:rsid w:val="00DF0051"/>
    <w:rsid w:val="00DF0799"/>
    <w:rsid w:val="00DF1144"/>
    <w:rsid w:val="00DF2099"/>
    <w:rsid w:val="00DF2237"/>
    <w:rsid w:val="00DF34FE"/>
    <w:rsid w:val="00DF36E0"/>
    <w:rsid w:val="00DF56AA"/>
    <w:rsid w:val="00DF56AF"/>
    <w:rsid w:val="00DF748C"/>
    <w:rsid w:val="00DF78E7"/>
    <w:rsid w:val="00E02B2A"/>
    <w:rsid w:val="00E03DB8"/>
    <w:rsid w:val="00E0530F"/>
    <w:rsid w:val="00E110E0"/>
    <w:rsid w:val="00E11E68"/>
    <w:rsid w:val="00E15371"/>
    <w:rsid w:val="00E153C8"/>
    <w:rsid w:val="00E20523"/>
    <w:rsid w:val="00E20692"/>
    <w:rsid w:val="00E23372"/>
    <w:rsid w:val="00E24104"/>
    <w:rsid w:val="00E302D0"/>
    <w:rsid w:val="00E31300"/>
    <w:rsid w:val="00E331DB"/>
    <w:rsid w:val="00E333A1"/>
    <w:rsid w:val="00E35707"/>
    <w:rsid w:val="00E36AA1"/>
    <w:rsid w:val="00E410EF"/>
    <w:rsid w:val="00E41B55"/>
    <w:rsid w:val="00E41ECB"/>
    <w:rsid w:val="00E42676"/>
    <w:rsid w:val="00E43B25"/>
    <w:rsid w:val="00E44244"/>
    <w:rsid w:val="00E468A8"/>
    <w:rsid w:val="00E50A0F"/>
    <w:rsid w:val="00E547B2"/>
    <w:rsid w:val="00E54FDB"/>
    <w:rsid w:val="00E5617D"/>
    <w:rsid w:val="00E563D7"/>
    <w:rsid w:val="00E565D5"/>
    <w:rsid w:val="00E619EB"/>
    <w:rsid w:val="00E6458A"/>
    <w:rsid w:val="00E663F4"/>
    <w:rsid w:val="00E66601"/>
    <w:rsid w:val="00E666F2"/>
    <w:rsid w:val="00E6675D"/>
    <w:rsid w:val="00E66DD4"/>
    <w:rsid w:val="00E67826"/>
    <w:rsid w:val="00E70C57"/>
    <w:rsid w:val="00E748CC"/>
    <w:rsid w:val="00E75415"/>
    <w:rsid w:val="00E775B1"/>
    <w:rsid w:val="00E77D0B"/>
    <w:rsid w:val="00E81464"/>
    <w:rsid w:val="00E8152A"/>
    <w:rsid w:val="00E851CC"/>
    <w:rsid w:val="00E8554B"/>
    <w:rsid w:val="00E87AD8"/>
    <w:rsid w:val="00E92C25"/>
    <w:rsid w:val="00E93629"/>
    <w:rsid w:val="00E93B5C"/>
    <w:rsid w:val="00E94CEC"/>
    <w:rsid w:val="00E972A7"/>
    <w:rsid w:val="00EA04EF"/>
    <w:rsid w:val="00EA2C76"/>
    <w:rsid w:val="00EA42B2"/>
    <w:rsid w:val="00EA4FF2"/>
    <w:rsid w:val="00EA592E"/>
    <w:rsid w:val="00EA5E62"/>
    <w:rsid w:val="00EA63CD"/>
    <w:rsid w:val="00EA6F19"/>
    <w:rsid w:val="00EB1EDA"/>
    <w:rsid w:val="00EB2BE6"/>
    <w:rsid w:val="00EB3C11"/>
    <w:rsid w:val="00EB4D54"/>
    <w:rsid w:val="00EB5336"/>
    <w:rsid w:val="00EB60B5"/>
    <w:rsid w:val="00EB6A50"/>
    <w:rsid w:val="00EB7090"/>
    <w:rsid w:val="00EC1BBE"/>
    <w:rsid w:val="00EC2B68"/>
    <w:rsid w:val="00EC3AEF"/>
    <w:rsid w:val="00EC3B8C"/>
    <w:rsid w:val="00EC5CD7"/>
    <w:rsid w:val="00ED05FE"/>
    <w:rsid w:val="00ED1769"/>
    <w:rsid w:val="00ED254B"/>
    <w:rsid w:val="00ED3931"/>
    <w:rsid w:val="00ED648A"/>
    <w:rsid w:val="00EE1E66"/>
    <w:rsid w:val="00EE21D1"/>
    <w:rsid w:val="00EE5FB3"/>
    <w:rsid w:val="00EE7F79"/>
    <w:rsid w:val="00EF02AF"/>
    <w:rsid w:val="00EF04A8"/>
    <w:rsid w:val="00EF26BB"/>
    <w:rsid w:val="00EF2D5B"/>
    <w:rsid w:val="00EF58E1"/>
    <w:rsid w:val="00EF715A"/>
    <w:rsid w:val="00F00DF7"/>
    <w:rsid w:val="00F01BC3"/>
    <w:rsid w:val="00F04366"/>
    <w:rsid w:val="00F0441A"/>
    <w:rsid w:val="00F055EA"/>
    <w:rsid w:val="00F06244"/>
    <w:rsid w:val="00F06E14"/>
    <w:rsid w:val="00F12C98"/>
    <w:rsid w:val="00F179D4"/>
    <w:rsid w:val="00F23C15"/>
    <w:rsid w:val="00F24E73"/>
    <w:rsid w:val="00F25B28"/>
    <w:rsid w:val="00F25BB4"/>
    <w:rsid w:val="00F26009"/>
    <w:rsid w:val="00F31503"/>
    <w:rsid w:val="00F32744"/>
    <w:rsid w:val="00F33C56"/>
    <w:rsid w:val="00F347C7"/>
    <w:rsid w:val="00F34848"/>
    <w:rsid w:val="00F34CBC"/>
    <w:rsid w:val="00F35408"/>
    <w:rsid w:val="00F376C8"/>
    <w:rsid w:val="00F42D46"/>
    <w:rsid w:val="00F4496C"/>
    <w:rsid w:val="00F44D2A"/>
    <w:rsid w:val="00F44F36"/>
    <w:rsid w:val="00F44F3A"/>
    <w:rsid w:val="00F45DD5"/>
    <w:rsid w:val="00F46A35"/>
    <w:rsid w:val="00F474C6"/>
    <w:rsid w:val="00F50317"/>
    <w:rsid w:val="00F50345"/>
    <w:rsid w:val="00F506C2"/>
    <w:rsid w:val="00F51EC2"/>
    <w:rsid w:val="00F51F10"/>
    <w:rsid w:val="00F51F89"/>
    <w:rsid w:val="00F529A5"/>
    <w:rsid w:val="00F5627A"/>
    <w:rsid w:val="00F60F00"/>
    <w:rsid w:val="00F6104C"/>
    <w:rsid w:val="00F614C0"/>
    <w:rsid w:val="00F61C77"/>
    <w:rsid w:val="00F62044"/>
    <w:rsid w:val="00F6299F"/>
    <w:rsid w:val="00F637C2"/>
    <w:rsid w:val="00F647D4"/>
    <w:rsid w:val="00F65A97"/>
    <w:rsid w:val="00F66D68"/>
    <w:rsid w:val="00F70394"/>
    <w:rsid w:val="00F71393"/>
    <w:rsid w:val="00F7164C"/>
    <w:rsid w:val="00F7389C"/>
    <w:rsid w:val="00F74803"/>
    <w:rsid w:val="00F75056"/>
    <w:rsid w:val="00F75D58"/>
    <w:rsid w:val="00F765E8"/>
    <w:rsid w:val="00F83848"/>
    <w:rsid w:val="00F85826"/>
    <w:rsid w:val="00F87970"/>
    <w:rsid w:val="00F91EF0"/>
    <w:rsid w:val="00F975E9"/>
    <w:rsid w:val="00FA1B7D"/>
    <w:rsid w:val="00FA2CD8"/>
    <w:rsid w:val="00FA6231"/>
    <w:rsid w:val="00FB327D"/>
    <w:rsid w:val="00FB3BE8"/>
    <w:rsid w:val="00FC07B9"/>
    <w:rsid w:val="00FC1CA9"/>
    <w:rsid w:val="00FC460D"/>
    <w:rsid w:val="00FC4E21"/>
    <w:rsid w:val="00FC5F6D"/>
    <w:rsid w:val="00FD0107"/>
    <w:rsid w:val="00FD2C2F"/>
    <w:rsid w:val="00FD3B31"/>
    <w:rsid w:val="00FD6E70"/>
    <w:rsid w:val="00FD6FE3"/>
    <w:rsid w:val="00FD706B"/>
    <w:rsid w:val="00FE1823"/>
    <w:rsid w:val="00FE1E60"/>
    <w:rsid w:val="00FE30DA"/>
    <w:rsid w:val="00FE36F0"/>
    <w:rsid w:val="00FE487A"/>
    <w:rsid w:val="00FF0569"/>
    <w:rsid w:val="00FF058E"/>
    <w:rsid w:val="00FF206E"/>
    <w:rsid w:val="00FF3C69"/>
    <w:rsid w:val="00FF3DEE"/>
    <w:rsid w:val="00FF56FE"/>
    <w:rsid w:val="00FF6E0A"/>
    <w:rsid w:val="0683EB57"/>
    <w:rsid w:val="07A487ED"/>
    <w:rsid w:val="083BA51E"/>
    <w:rsid w:val="1250814C"/>
    <w:rsid w:val="191570CF"/>
    <w:rsid w:val="1CA6350D"/>
    <w:rsid w:val="1E272954"/>
    <w:rsid w:val="1EE16149"/>
    <w:rsid w:val="1F5E0382"/>
    <w:rsid w:val="23594835"/>
    <w:rsid w:val="253C35F8"/>
    <w:rsid w:val="25414BFD"/>
    <w:rsid w:val="2591C0B6"/>
    <w:rsid w:val="26FFAA40"/>
    <w:rsid w:val="2E430C4A"/>
    <w:rsid w:val="3152E169"/>
    <w:rsid w:val="380908D4"/>
    <w:rsid w:val="4225D282"/>
    <w:rsid w:val="453382B9"/>
    <w:rsid w:val="47F19E52"/>
    <w:rsid w:val="48BBF26C"/>
    <w:rsid w:val="4A2FE12B"/>
    <w:rsid w:val="52D988AB"/>
    <w:rsid w:val="551D224B"/>
    <w:rsid w:val="580E528E"/>
    <w:rsid w:val="5AA8C4E6"/>
    <w:rsid w:val="6A7B32AF"/>
    <w:rsid w:val="6F75111B"/>
    <w:rsid w:val="73DD7BF8"/>
    <w:rsid w:val="7C237590"/>
    <w:rsid w:val="7E252727"/>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1DC1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uiPriority="1"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3"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4B2960"/>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6703E9"/>
    <w:pPr>
      <w:keepNext/>
      <w:spacing w:before="60" w:after="60" w:line="280" w:lineRule="atLeast"/>
      <w:outlineLvl w:val="2"/>
    </w:pPr>
    <w:rPr>
      <w:rFonts w:cs="Arial"/>
      <w:b/>
      <w:bCs/>
      <w:sz w:val="22"/>
      <w:szCs w:val="26"/>
    </w:rPr>
  </w:style>
  <w:style w:type="paragraph" w:styleId="Heading4">
    <w:name w:val="heading 4"/>
    <w:basedOn w:val="BodySubHeader"/>
    <w:next w:val="Normal"/>
    <w:link w:val="Heading4Char"/>
    <w:uiPriority w:val="2"/>
    <w:qFormat/>
    <w:rsid w:val="006703E9"/>
    <w:pPr>
      <w:spacing w:line="280" w:lineRule="atLeast"/>
      <w:outlineLvl w:val="3"/>
    </w:pPr>
    <w:rPr>
      <w:rFonts w:cs="Arial"/>
      <w:sz w:val="22"/>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semiHidden/>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4B2960"/>
    <w:pPr>
      <w:numPr>
        <w:numId w:val="3"/>
      </w:numPr>
      <w:spacing w:after="80" w:line="260" w:lineRule="atLeast"/>
      <w:ind w:left="284" w:hanging="284"/>
    </w:pPr>
    <w:rPr>
      <w:sz w:val="22"/>
    </w:r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E66601"/>
    <w:pPr>
      <w:pageBreakBefore/>
      <w:spacing w:after="36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D60571"/>
    <w:pPr>
      <w:tabs>
        <w:tab w:val="right" w:pos="9072"/>
      </w:tabs>
      <w:spacing w:before="280" w:after="80" w:line="320" w:lineRule="exact"/>
    </w:pPr>
    <w:rPr>
      <w:b/>
      <w:noProof/>
      <w:spacing w:val="-14"/>
      <w:sz w:val="28"/>
    </w:rPr>
  </w:style>
  <w:style w:type="paragraph" w:styleId="TOC2">
    <w:name w:val="toc 2"/>
    <w:basedOn w:val="Normal"/>
    <w:next w:val="Normal"/>
    <w:uiPriority w:val="39"/>
    <w:qFormat/>
    <w:rsid w:val="00D60571"/>
    <w:pPr>
      <w:tabs>
        <w:tab w:val="right" w:pos="9072"/>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D60571"/>
    <w:pPr>
      <w:tabs>
        <w:tab w:val="right" w:pos="9072"/>
      </w:tabs>
      <w:spacing w:after="80" w:line="240" w:lineRule="auto"/>
    </w:pPr>
    <w:rPr>
      <w:noProof/>
      <w:sz w:val="22"/>
      <w:szCs w:val="22"/>
    </w:rPr>
  </w:style>
  <w:style w:type="character" w:styleId="Hyperlink">
    <w:name w:val="Hyperlink"/>
    <w:aliases w:val="CEO_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
    <w:basedOn w:val="Normal"/>
    <w:uiPriority w:val="23"/>
    <w:rsid w:val="00A17B1B"/>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6703E9"/>
    <w:pPr>
      <w:numPr>
        <w:numId w:val="13"/>
      </w:numPr>
      <w:spacing w:line="280" w:lineRule="atLeast"/>
    </w:pPr>
    <w:rPr>
      <w:rFonts w:cs="Arial"/>
      <w:sz w:val="22"/>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6703E9"/>
    <w:pPr>
      <w:spacing w:line="280" w:lineRule="atLeast"/>
    </w:pPr>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CE0BB5"/>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6703E9"/>
    <w:rPr>
      <w:rFonts w:ascii="Arial" w:hAnsi="Arial" w:cs="Arial"/>
      <w:b/>
      <w:bCs/>
      <w:sz w:val="22"/>
      <w:szCs w:val="26"/>
    </w:rPr>
  </w:style>
  <w:style w:type="paragraph" w:customStyle="1" w:styleId="Paragraph">
    <w:name w:val="Paragraph"/>
    <w:basedOn w:val="Normal"/>
    <w:qFormat/>
    <w:rsid w:val="006703E9"/>
    <w:pPr>
      <w:spacing w:line="280" w:lineRule="atLeast"/>
    </w:pPr>
    <w:rPr>
      <w:rFonts w:cs="Arial"/>
      <w:sz w:val="22"/>
    </w:rPr>
  </w:style>
  <w:style w:type="paragraph" w:customStyle="1" w:styleId="Bulletlevel2">
    <w:name w:val="Bullet level 2"/>
    <w:basedOn w:val="ListBullet2"/>
    <w:uiPriority w:val="7"/>
    <w:qFormat/>
    <w:rsid w:val="006703E9"/>
    <w:pPr>
      <w:numPr>
        <w:numId w:val="15"/>
      </w:numPr>
      <w:tabs>
        <w:tab w:val="left" w:pos="295"/>
      </w:tabs>
      <w:spacing w:line="280" w:lineRule="atLeast"/>
      <w:ind w:left="568" w:hanging="284"/>
    </w:pPr>
    <w:rPr>
      <w:rFonts w:cs="Arial"/>
      <w:sz w:val="22"/>
    </w:rPr>
  </w:style>
  <w:style w:type="paragraph" w:customStyle="1" w:styleId="Bulletlevel1last">
    <w:name w:val="Bullet level 1 last"/>
    <w:basedOn w:val="ListBulletLast"/>
    <w:uiPriority w:val="6"/>
    <w:qFormat/>
    <w:rsid w:val="006703E9"/>
    <w:pPr>
      <w:numPr>
        <w:numId w:val="14"/>
      </w:numPr>
      <w:spacing w:line="280" w:lineRule="atLeast"/>
      <w:ind w:left="284" w:hanging="284"/>
    </w:pPr>
    <w:rPr>
      <w:sz w:val="22"/>
    </w:rPr>
  </w:style>
  <w:style w:type="paragraph" w:customStyle="1" w:styleId="Numberlistlevel2">
    <w:name w:val="Number list level 2"/>
    <w:basedOn w:val="ListNumber2"/>
    <w:uiPriority w:val="11"/>
    <w:qFormat/>
    <w:rsid w:val="006703E9"/>
    <w:pPr>
      <w:spacing w:line="280" w:lineRule="atLeast"/>
      <w:ind w:left="738" w:hanging="284"/>
    </w:pPr>
    <w:rPr>
      <w:sz w:val="22"/>
    </w:rPr>
  </w:style>
  <w:style w:type="paragraph" w:customStyle="1" w:styleId="Numberlistlast">
    <w:name w:val="Number list last"/>
    <w:basedOn w:val="ListNumberLast"/>
    <w:uiPriority w:val="10"/>
    <w:qFormat/>
    <w:rsid w:val="006703E9"/>
    <w:pPr>
      <w:spacing w:line="280" w:lineRule="atLeast"/>
      <w:ind w:left="284" w:hanging="284"/>
    </w:pPr>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5A62E5"/>
    <w:pPr>
      <w:numPr>
        <w:numId w:val="16"/>
      </w:numPr>
      <w:spacing w:after="240"/>
      <w:ind w:left="568" w:hanging="284"/>
    </w:pPr>
  </w:style>
  <w:style w:type="table" w:customStyle="1" w:styleId="ACMAtablestyle">
    <w:name w:val="ACMA table style"/>
    <w:basedOn w:val="TableNormal"/>
    <w:uiPriority w:val="99"/>
    <w:rsid w:val="00F04366"/>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uiPriority w:val="13"/>
    <w:qFormat/>
    <w:rsid w:val="006703E9"/>
    <w:pPr>
      <w:keepNext/>
      <w:spacing w:line="280" w:lineRule="atLeast"/>
    </w:pPr>
    <w:rPr>
      <w:sz w:val="22"/>
    </w:r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6703E9"/>
    <w:pPr>
      <w:keepNext/>
      <w:spacing w:line="280" w:lineRule="atLeast"/>
    </w:pPr>
    <w:rPr>
      <w:sz w:val="22"/>
    </w:rPr>
  </w:style>
  <w:style w:type="paragraph" w:customStyle="1" w:styleId="Tableorfigurenotemultiple">
    <w:name w:val="Table or figure note multiple"/>
    <w:basedOn w:val="Tableorfigurenote"/>
    <w:uiPriority w:val="18"/>
    <w:qFormat/>
    <w:rsid w:val="00930510"/>
    <w:pPr>
      <w:spacing w:after="80"/>
    </w:pPr>
  </w:style>
  <w:style w:type="paragraph" w:customStyle="1" w:styleId="Protectivemarking">
    <w:name w:val="Protective marking"/>
    <w:basedOn w:val="Normal"/>
    <w:uiPriority w:val="99"/>
    <w:qFormat/>
    <w:rsid w:val="007E3375"/>
    <w:pPr>
      <w:tabs>
        <w:tab w:val="left" w:pos="720"/>
      </w:tabs>
      <w:spacing w:after="0" w:line="240" w:lineRule="auto"/>
      <w:jc w:val="center"/>
    </w:pPr>
    <w:rPr>
      <w:rFonts w:cs="Arial"/>
      <w:b/>
      <w:bCs/>
      <w:color w:val="FF0000"/>
      <w:sz w:val="32"/>
      <w:lang w:eastAsia="en-US"/>
    </w:rPr>
  </w:style>
  <w:style w:type="paragraph" w:styleId="BalloonText">
    <w:name w:val="Balloon Text"/>
    <w:basedOn w:val="Normal"/>
    <w:link w:val="BalloonTextChar"/>
    <w:semiHidden/>
    <w:unhideWhenUsed/>
    <w:rsid w:val="00451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511C5"/>
    <w:rPr>
      <w:rFonts w:ascii="Segoe UI" w:hAnsi="Segoe UI" w:cs="Segoe UI"/>
      <w:sz w:val="18"/>
      <w:szCs w:val="18"/>
    </w:rPr>
  </w:style>
  <w:style w:type="paragraph" w:styleId="Revision">
    <w:name w:val="Revision"/>
    <w:hidden/>
    <w:semiHidden/>
    <w:rsid w:val="004511C5"/>
    <w:rPr>
      <w:rFonts w:ascii="Arial" w:hAnsi="Arial"/>
      <w:sz w:val="20"/>
    </w:rPr>
  </w:style>
  <w:style w:type="paragraph" w:customStyle="1" w:styleId="Executivesummarysubheading">
    <w:name w:val="Executive summary subheading"/>
    <w:basedOn w:val="Heading4"/>
    <w:uiPriority w:val="3"/>
    <w:qFormat/>
    <w:rsid w:val="006703E9"/>
    <w:pPr>
      <w:spacing w:after="80"/>
    </w:pPr>
  </w:style>
  <w:style w:type="paragraph" w:customStyle="1" w:styleId="TableHeading0">
    <w:name w:val="Table Heading"/>
    <w:basedOn w:val="Normal"/>
    <w:semiHidden/>
    <w:qFormat/>
    <w:rsid w:val="00604B6C"/>
    <w:pPr>
      <w:spacing w:after="0"/>
    </w:pPr>
    <w:rPr>
      <w:b/>
    </w:rPr>
  </w:style>
  <w:style w:type="character" w:customStyle="1" w:styleId="Heading4Char">
    <w:name w:val="Heading 4 Char"/>
    <w:basedOn w:val="DefaultParagraphFont"/>
    <w:link w:val="Heading4"/>
    <w:uiPriority w:val="2"/>
    <w:rsid w:val="00847DF3"/>
    <w:rPr>
      <w:rFonts w:ascii="Arial" w:hAnsi="Arial" w:cs="Arial"/>
      <w:b/>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header" Target="header5.xml"/><Relationship Id="rId26" Type="http://schemas.openxmlformats.org/officeDocument/2006/relationships/hyperlink" Target="https://www.legislation.gov.au/F2015L01430/latest/text" TargetMode="External"/><Relationship Id="rId21" Type="http://schemas.openxmlformats.org/officeDocument/2006/relationships/footer" Target="footer5.xm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hyperlink" Target="https://www.acma.gov.au/consultations/2024-06/proposed-new-framework-licensing-radionavigation-satellite-service-retransmission-technologies" TargetMode="Externa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www.acma.gov.au/have-your-sa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legislation.gov.au/F2021L00617/asmade/text" TargetMode="External"/><Relationship Id="rId32" Type="http://schemas.openxmlformats.org/officeDocument/2006/relationships/hyperlink" Target="https://www.acma.gov.au/privacy-policy"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legislation.gov.au/F2015L00178/latest/text" TargetMode="External"/><Relationship Id="rId28" Type="http://schemas.openxmlformats.org/officeDocument/2006/relationships/hyperlink" Target="https://www.legislation.gov.au/C2004A05145/latest/text" TargetMode="Externa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yperlink" Target="https://www.acma.gov.au/publication-submiss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yperlink" Target="https://www.legislation.gov.au/F2021L00748/asmade/text" TargetMode="External"/><Relationship Id="rId30" Type="http://schemas.openxmlformats.org/officeDocument/2006/relationships/hyperlink" Target="mailto:SLPSConsultations@acma.gov.au" TargetMode="External"/><Relationship Id="rId35" Type="http://schemas.openxmlformats.org/officeDocument/2006/relationships/footer" Target="footer7.xml"/><Relationship Id="rId8" Type="http://schemas.openxmlformats.org/officeDocument/2006/relationships/header" Target="head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ysClr val="window" lastClr="FFFFFF"/>
      </a:lt1>
      <a:dk2>
        <a:srgbClr val="000000"/>
      </a:dk2>
      <a:lt2>
        <a:srgbClr val="FFFFFF"/>
      </a:lt2>
      <a:accent1>
        <a:srgbClr val="00A0A4"/>
      </a:accent1>
      <a:accent2>
        <a:srgbClr val="7C426F"/>
      </a:accent2>
      <a:accent3>
        <a:srgbClr val="39457C"/>
      </a:accent3>
      <a:accent4>
        <a:srgbClr val="85BEC2"/>
      </a:accent4>
      <a:accent5>
        <a:srgbClr val="CBB6CA"/>
      </a:accent5>
      <a:accent6>
        <a:srgbClr val="D3E5E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86DBA-C773-4DAC-958D-07E48CB3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2822</Words>
  <Characters>15806</Characters>
  <Application>Microsoft Office Word</Application>
  <DocSecurity>0</DocSecurity>
  <Lines>343</Lines>
  <Paragraphs>196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2024-08-30T05:04:00Z</dcterms:created>
  <dcterms:modified xsi:type="dcterms:W3CDTF">2024-08-30T05:05:00Z</dcterms:modified>
  <cp:category/>
</cp:coreProperties>
</file>