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535CF" w14:textId="77777777" w:rsidR="00E41A00" w:rsidRPr="00AE6A60" w:rsidRDefault="00E41A00" w:rsidP="00E41A00">
      <w:pPr>
        <w:pStyle w:val="ACMAReportTitle"/>
      </w:pPr>
      <w:r>
        <w:t xml:space="preserve">Draft </w:t>
      </w:r>
      <w:r w:rsidRPr="00AE6A60">
        <w:t>Cost Recovery Implementation Statement</w:t>
      </w:r>
      <w:r>
        <w:t>:</w:t>
      </w:r>
    </w:p>
    <w:p w14:paraId="6C1E2BF3" w14:textId="77777777" w:rsidR="00E41A00" w:rsidRPr="00AE6A60" w:rsidRDefault="00E41A00" w:rsidP="00E41A00">
      <w:pPr>
        <w:pStyle w:val="ACMAReportSubTitle"/>
      </w:pPr>
      <w:r w:rsidRPr="00AE6A60">
        <w:t>Annual Carrier Licence Charge for the charging period 1 July 20</w:t>
      </w:r>
      <w:r>
        <w:t>23</w:t>
      </w:r>
      <w:r w:rsidRPr="00AE6A60">
        <w:t xml:space="preserve"> to 30 June 202</w:t>
      </w:r>
      <w:r>
        <w:t>4</w:t>
      </w:r>
    </w:p>
    <w:p w14:paraId="5C88FCBE" w14:textId="77777777" w:rsidR="00E41A00" w:rsidRDefault="00E41A00" w:rsidP="00E41A00">
      <w:pPr>
        <w:pStyle w:val="Reportdate"/>
        <w:spacing w:after="720"/>
      </w:pPr>
      <w:r>
        <w:t xml:space="preserve">August </w:t>
      </w:r>
      <w:r w:rsidRPr="00AD7C01">
        <w:t>202</w:t>
      </w:r>
      <w:r>
        <w:t>4</w:t>
      </w:r>
    </w:p>
    <w:p w14:paraId="2DA55687" w14:textId="77777777" w:rsidR="00E41A00" w:rsidRDefault="00E41A00" w:rsidP="00EC2B68">
      <w:pPr>
        <w:pStyle w:val="Reportdate"/>
        <w:spacing w:after="720"/>
      </w:pPr>
    </w:p>
    <w:p w14:paraId="2150E237" w14:textId="77777777" w:rsidR="00E41A00" w:rsidRPr="00A17B1B" w:rsidRDefault="00E41A00" w:rsidP="00EC2B68">
      <w:pPr>
        <w:pStyle w:val="Reportdate"/>
        <w:spacing w:after="720"/>
        <w:rPr>
          <w:rFonts w:cs="Arial"/>
        </w:rPr>
        <w:sectPr w:rsidR="00E41A00" w:rsidRPr="00A17B1B" w:rsidSect="005A62E5">
          <w:headerReference w:type="default" r:id="rId8"/>
          <w:footerReference w:type="default" r:id="rId9"/>
          <w:headerReference w:type="first" r:id="rId10"/>
          <w:pgSz w:w="11906" w:h="16838" w:code="9"/>
          <w:pgMar w:top="3924" w:right="1418" w:bottom="1134" w:left="1418" w:header="850" w:footer="454" w:gutter="0"/>
          <w:cols w:space="708"/>
          <w:docGrid w:linePitch="360"/>
        </w:sectPr>
      </w:pPr>
    </w:p>
    <w:p w14:paraId="370316FF" w14:textId="77777777" w:rsidR="00284A74" w:rsidRPr="00A17B1B" w:rsidRDefault="00284A74" w:rsidP="00284A74">
      <w:pPr>
        <w:pStyle w:val="ACMACorporateAddressHeader"/>
      </w:pPr>
      <w:r w:rsidRPr="00A17B1B">
        <w:lastRenderedPageBreak/>
        <w:t>Canberra</w:t>
      </w:r>
    </w:p>
    <w:p w14:paraId="0C960543" w14:textId="77777777" w:rsidR="00284A74" w:rsidRPr="00A17B1B" w:rsidRDefault="00181180" w:rsidP="00284A74">
      <w:pPr>
        <w:pStyle w:val="ACMACorporateAddresses"/>
      </w:pPr>
      <w:r>
        <w:t>Level 3</w:t>
      </w:r>
      <w:r>
        <w:br/>
        <w:t>40 Cameron Avenue</w:t>
      </w:r>
      <w:r w:rsidR="00284A74" w:rsidRPr="00A17B1B">
        <w:t xml:space="preserve"> </w:t>
      </w:r>
      <w:r w:rsidR="00284A74" w:rsidRPr="00A17B1B">
        <w:br/>
        <w:t>Belconnen ACT</w:t>
      </w:r>
    </w:p>
    <w:p w14:paraId="72549FE6" w14:textId="77777777" w:rsidR="00284A74" w:rsidRPr="00A17B1B" w:rsidRDefault="00284A74" w:rsidP="00284A74">
      <w:pPr>
        <w:pStyle w:val="ACMACorporateAddresses"/>
      </w:pPr>
      <w:r w:rsidRPr="00A17B1B">
        <w:t>PO Box 78</w:t>
      </w:r>
      <w:r w:rsidRPr="00A17B1B">
        <w:br/>
        <w:t>Belconnen ACT 2616</w:t>
      </w:r>
    </w:p>
    <w:p w14:paraId="33871C1D"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614E4B31" w14:textId="77777777" w:rsidR="00284A74" w:rsidRPr="00A17B1B" w:rsidRDefault="00284A74" w:rsidP="00284A74">
      <w:pPr>
        <w:pStyle w:val="ACMACorporateAddressHeader"/>
      </w:pPr>
      <w:r w:rsidRPr="00A17B1B">
        <w:t>Melbourne</w:t>
      </w:r>
    </w:p>
    <w:p w14:paraId="13A77BA8"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1B3FA23E"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733FDF90"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74709C9B" w14:textId="77777777" w:rsidR="00284A74" w:rsidRPr="00A17B1B" w:rsidRDefault="00284A74" w:rsidP="00284A74">
      <w:pPr>
        <w:pStyle w:val="ACMACorporateAddressHeader"/>
      </w:pPr>
      <w:r w:rsidRPr="00A17B1B">
        <w:t>Sydney</w:t>
      </w:r>
    </w:p>
    <w:p w14:paraId="1F34EBE8"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4C4AF806"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7319E8BA"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44020CA6" w14:textId="77777777" w:rsidR="00284A74" w:rsidRPr="00A17B1B" w:rsidRDefault="00284A74" w:rsidP="005A62E5">
      <w:pPr>
        <w:pStyle w:val="ACMACopyrightHeader"/>
        <w:spacing w:before="4200"/>
      </w:pPr>
      <w:r w:rsidRPr="00A17B1B">
        <w:t>Copyright notice</w:t>
      </w:r>
    </w:p>
    <w:p w14:paraId="1DAC177F" w14:textId="77777777" w:rsidR="00284A74" w:rsidRPr="00A17B1B" w:rsidRDefault="00284A74" w:rsidP="00284A74">
      <w:pPr>
        <w:pStyle w:val="ACMACClogo"/>
      </w:pPr>
      <w:r w:rsidRPr="00A17B1B">
        <w:rPr>
          <w:noProof/>
        </w:rPr>
        <w:drawing>
          <wp:inline distT="0" distB="0" distL="0" distR="0" wp14:anchorId="5EABE8F3" wp14:editId="04149736">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6E0E18C8" w14:textId="77777777" w:rsidR="00284A74" w:rsidRPr="00A17B1B" w:rsidRDefault="003415D3" w:rsidP="00284A74">
      <w:pPr>
        <w:pStyle w:val="ACMACorporateAddresses"/>
        <w:rPr>
          <w:rStyle w:val="Hyperlink"/>
        </w:rPr>
      </w:pPr>
      <w:hyperlink r:id="rId13" w:history="1">
        <w:r w:rsidR="00284A74" w:rsidRPr="00A17B1B">
          <w:rPr>
            <w:rStyle w:val="Hyperlink"/>
          </w:rPr>
          <w:t>https://creativecommons.org/licenses/by/4.0/</w:t>
        </w:r>
      </w:hyperlink>
    </w:p>
    <w:p w14:paraId="2DD9B2F5" w14:textId="77777777" w:rsidR="00AA1F0B" w:rsidRPr="00E162C4" w:rsidRDefault="00AA1F0B" w:rsidP="00AA1F0B">
      <w:pPr>
        <w:pStyle w:val="ACMACorporateAddresses"/>
      </w:pPr>
      <w:r>
        <w:t>Except for the Commonwealth</w:t>
      </w:r>
      <w:r w:rsidRPr="00E162C4">
        <w:t xml:space="preserve"> </w:t>
      </w:r>
      <w:r>
        <w:t>C</w:t>
      </w:r>
      <w:r w:rsidRPr="00E162C4">
        <w:t xml:space="preserve">oat of </w:t>
      </w:r>
      <w:r>
        <w:t>A</w:t>
      </w:r>
      <w:r w:rsidRPr="00E162C4">
        <w:t xml:space="preserve">rms, logos, emblems, images, other third-party </w:t>
      </w:r>
      <w:proofErr w:type="gramStart"/>
      <w:r w:rsidRPr="00E162C4">
        <w:t>material</w:t>
      </w:r>
      <w:proofErr w:type="gramEnd"/>
      <w:r w:rsidRPr="00E162C4">
        <w:t xml:space="preserve"> or devices protected by a trademark, this content is made available under the terms of the Creative Commons Attribution 4.0 International (CC BY 4.0) licence. </w:t>
      </w:r>
    </w:p>
    <w:p w14:paraId="13B3360D" w14:textId="77777777" w:rsidR="00AA1F0B" w:rsidRPr="00E162C4" w:rsidRDefault="00AA1F0B" w:rsidP="00AA1F0B">
      <w:pPr>
        <w:pStyle w:val="ACMACorporateAddresses"/>
      </w:pPr>
      <w:r w:rsidRPr="00E162C4">
        <w:t>All other rights are reserved.</w:t>
      </w:r>
    </w:p>
    <w:p w14:paraId="5D2D4A6A" w14:textId="77777777" w:rsidR="00AA1F0B" w:rsidRDefault="00AA1F0B" w:rsidP="00AA1F0B">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2D8CBF77" w14:textId="77777777" w:rsidR="00AA1F0B" w:rsidRPr="00D04C32" w:rsidRDefault="00AA1F0B" w:rsidP="00AA1F0B">
      <w:pPr>
        <w:pStyle w:val="ACMACorporateAddresses"/>
        <w:rPr>
          <w:rStyle w:val="Hyperlink"/>
          <w:color w:val="auto"/>
          <w:u w:val="none"/>
        </w:rPr>
      </w:pPr>
      <w:r w:rsidRPr="00E162C4">
        <w:t>We request attribution as © Commonwealth of Australia (Australian Communications and Media Authority) 202</w:t>
      </w:r>
      <w:r>
        <w:t>4</w:t>
      </w:r>
      <w:r w:rsidRPr="00E162C4">
        <w:t xml:space="preserve">. </w:t>
      </w:r>
    </w:p>
    <w:p w14:paraId="0B9A14D8" w14:textId="77777777" w:rsidR="00D16FE3" w:rsidRPr="00A17B1B" w:rsidRDefault="00D16FE3" w:rsidP="00D16FE3">
      <w:pPr>
        <w:pStyle w:val="ACMACorporateAddresses"/>
        <w:sectPr w:rsidR="00D16FE3" w:rsidRPr="00A17B1B" w:rsidSect="005A62E5">
          <w:headerReference w:type="even" r:id="rId14"/>
          <w:headerReference w:type="default" r:id="rId15"/>
          <w:footerReference w:type="even" r:id="rId16"/>
          <w:footerReference w:type="default" r:id="rId17"/>
          <w:pgSz w:w="11906" w:h="16838" w:code="9"/>
          <w:pgMar w:top="3924" w:right="1418" w:bottom="1134" w:left="1418" w:header="709" w:footer="119" w:gutter="0"/>
          <w:cols w:space="708"/>
          <w:docGrid w:linePitch="360"/>
        </w:sectPr>
      </w:pPr>
    </w:p>
    <w:p w14:paraId="42F0E10F" w14:textId="0C9D87D0" w:rsidR="00652BBD" w:rsidRDefault="00062369">
      <w:pPr>
        <w:pStyle w:val="TOC1"/>
        <w:tabs>
          <w:tab w:val="left" w:pos="885"/>
        </w:tabs>
        <w:rPr>
          <w:rFonts w:asciiTheme="minorHAnsi" w:eastAsiaTheme="minorEastAsia" w:hAnsiTheme="minorHAnsi" w:cstheme="minorBidi"/>
          <w:b w:val="0"/>
          <w:spacing w:val="0"/>
          <w:kern w:val="2"/>
          <w:sz w:val="22"/>
          <w:szCs w:val="22"/>
          <w14:ligatures w14:val="standardContextual"/>
        </w:rPr>
      </w:pPr>
      <w:r>
        <w:rPr>
          <w:rFonts w:cs="Arial"/>
          <w:b w:val="0"/>
        </w:rPr>
        <w:lastRenderedPageBreak/>
        <w:fldChar w:fldCharType="begin"/>
      </w:r>
      <w:r>
        <w:rPr>
          <w:rFonts w:cs="Arial"/>
          <w:b w:val="0"/>
        </w:rPr>
        <w:instrText xml:space="preserve"> TOC \o "1-2" \h \z </w:instrText>
      </w:r>
      <w:r>
        <w:rPr>
          <w:rFonts w:cs="Arial"/>
          <w:b w:val="0"/>
        </w:rPr>
        <w:fldChar w:fldCharType="separate"/>
      </w:r>
      <w:hyperlink w:anchor="_Toc175123921" w:history="1">
        <w:r w:rsidR="00652BBD" w:rsidRPr="00677DDF">
          <w:rPr>
            <w:rStyle w:val="Hyperlink"/>
          </w:rPr>
          <w:t xml:space="preserve">1. </w:t>
        </w:r>
        <w:r w:rsidR="00652BBD">
          <w:rPr>
            <w:rFonts w:asciiTheme="minorHAnsi" w:eastAsiaTheme="minorEastAsia" w:hAnsiTheme="minorHAnsi" w:cstheme="minorBidi"/>
            <w:b w:val="0"/>
            <w:spacing w:val="0"/>
            <w:kern w:val="2"/>
            <w:sz w:val="22"/>
            <w:szCs w:val="22"/>
            <w14:ligatures w14:val="standardContextual"/>
          </w:rPr>
          <w:tab/>
        </w:r>
        <w:r w:rsidR="00652BBD" w:rsidRPr="00677DDF">
          <w:rPr>
            <w:rStyle w:val="Hyperlink"/>
          </w:rPr>
          <w:t>Introduction</w:t>
        </w:r>
        <w:r w:rsidR="00652BBD">
          <w:rPr>
            <w:webHidden/>
          </w:rPr>
          <w:tab/>
        </w:r>
        <w:r w:rsidR="00652BBD">
          <w:rPr>
            <w:webHidden/>
          </w:rPr>
          <w:fldChar w:fldCharType="begin"/>
        </w:r>
        <w:r w:rsidR="00652BBD">
          <w:rPr>
            <w:webHidden/>
          </w:rPr>
          <w:instrText xml:space="preserve"> PAGEREF _Toc175123921 \h </w:instrText>
        </w:r>
        <w:r w:rsidR="00652BBD">
          <w:rPr>
            <w:webHidden/>
          </w:rPr>
        </w:r>
        <w:r w:rsidR="00652BBD">
          <w:rPr>
            <w:webHidden/>
          </w:rPr>
          <w:fldChar w:fldCharType="separate"/>
        </w:r>
        <w:r w:rsidR="00652BBD">
          <w:rPr>
            <w:webHidden/>
          </w:rPr>
          <w:t>1</w:t>
        </w:r>
        <w:r w:rsidR="00652BBD">
          <w:rPr>
            <w:webHidden/>
          </w:rPr>
          <w:fldChar w:fldCharType="end"/>
        </w:r>
      </w:hyperlink>
    </w:p>
    <w:p w14:paraId="2DF6E7E6" w14:textId="4CDE7EB5"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22" w:history="1">
        <w:r w:rsidRPr="00677DDF">
          <w:rPr>
            <w:rStyle w:val="Hyperlink"/>
          </w:rPr>
          <w:t xml:space="preserve">1.1 </w:t>
        </w:r>
        <w:r>
          <w:rPr>
            <w:rFonts w:asciiTheme="minorHAnsi" w:eastAsiaTheme="minorEastAsia" w:hAnsiTheme="minorHAnsi" w:cstheme="minorBidi"/>
            <w:spacing w:val="0"/>
            <w:kern w:val="2"/>
            <w:sz w:val="22"/>
            <w:szCs w:val="22"/>
            <w14:ligatures w14:val="standardContextual"/>
          </w:rPr>
          <w:tab/>
        </w:r>
        <w:r w:rsidRPr="00677DDF">
          <w:rPr>
            <w:rStyle w:val="Hyperlink"/>
          </w:rPr>
          <w:t>Purpose of the Cost Recovery Implementation Statement</w:t>
        </w:r>
        <w:r>
          <w:rPr>
            <w:webHidden/>
          </w:rPr>
          <w:tab/>
        </w:r>
        <w:r>
          <w:rPr>
            <w:webHidden/>
          </w:rPr>
          <w:fldChar w:fldCharType="begin"/>
        </w:r>
        <w:r>
          <w:rPr>
            <w:webHidden/>
          </w:rPr>
          <w:instrText xml:space="preserve"> PAGEREF _Toc175123922 \h </w:instrText>
        </w:r>
        <w:r>
          <w:rPr>
            <w:webHidden/>
          </w:rPr>
        </w:r>
        <w:r>
          <w:rPr>
            <w:webHidden/>
          </w:rPr>
          <w:fldChar w:fldCharType="separate"/>
        </w:r>
        <w:r>
          <w:rPr>
            <w:webHidden/>
          </w:rPr>
          <w:t>1</w:t>
        </w:r>
        <w:r>
          <w:rPr>
            <w:webHidden/>
          </w:rPr>
          <w:fldChar w:fldCharType="end"/>
        </w:r>
      </w:hyperlink>
    </w:p>
    <w:p w14:paraId="742B2829" w14:textId="1679E418"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23" w:history="1">
        <w:r w:rsidRPr="00677DDF">
          <w:rPr>
            <w:rStyle w:val="Hyperlink"/>
          </w:rPr>
          <w:t>1.2</w:t>
        </w:r>
        <w:r>
          <w:rPr>
            <w:rFonts w:asciiTheme="minorHAnsi" w:eastAsiaTheme="minorEastAsia" w:hAnsiTheme="minorHAnsi" w:cstheme="minorBidi"/>
            <w:spacing w:val="0"/>
            <w:kern w:val="2"/>
            <w:sz w:val="22"/>
            <w:szCs w:val="22"/>
            <w14:ligatures w14:val="standardContextual"/>
          </w:rPr>
          <w:tab/>
        </w:r>
        <w:r w:rsidRPr="00677DDF">
          <w:rPr>
            <w:rStyle w:val="Hyperlink"/>
          </w:rPr>
          <w:t>Background and description of activity</w:t>
        </w:r>
        <w:r>
          <w:rPr>
            <w:webHidden/>
          </w:rPr>
          <w:tab/>
        </w:r>
        <w:r>
          <w:rPr>
            <w:webHidden/>
          </w:rPr>
          <w:fldChar w:fldCharType="begin"/>
        </w:r>
        <w:r>
          <w:rPr>
            <w:webHidden/>
          </w:rPr>
          <w:instrText xml:space="preserve"> PAGEREF _Toc175123923 \h </w:instrText>
        </w:r>
        <w:r>
          <w:rPr>
            <w:webHidden/>
          </w:rPr>
        </w:r>
        <w:r>
          <w:rPr>
            <w:webHidden/>
          </w:rPr>
          <w:fldChar w:fldCharType="separate"/>
        </w:r>
        <w:r>
          <w:rPr>
            <w:webHidden/>
          </w:rPr>
          <w:t>1</w:t>
        </w:r>
        <w:r>
          <w:rPr>
            <w:webHidden/>
          </w:rPr>
          <w:fldChar w:fldCharType="end"/>
        </w:r>
      </w:hyperlink>
    </w:p>
    <w:p w14:paraId="36B0A348" w14:textId="14E1DD7A"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24" w:history="1">
        <w:r w:rsidRPr="00677DDF">
          <w:rPr>
            <w:rStyle w:val="Hyperlink"/>
          </w:rPr>
          <w:t xml:space="preserve">1.3 </w:t>
        </w:r>
        <w:r>
          <w:rPr>
            <w:rFonts w:asciiTheme="minorHAnsi" w:eastAsiaTheme="minorEastAsia" w:hAnsiTheme="minorHAnsi" w:cstheme="minorBidi"/>
            <w:spacing w:val="0"/>
            <w:kern w:val="2"/>
            <w:sz w:val="22"/>
            <w:szCs w:val="22"/>
            <w14:ligatures w14:val="standardContextual"/>
          </w:rPr>
          <w:tab/>
        </w:r>
        <w:r w:rsidRPr="00677DDF">
          <w:rPr>
            <w:rStyle w:val="Hyperlink"/>
          </w:rPr>
          <w:t>Stakeholders</w:t>
        </w:r>
        <w:r>
          <w:rPr>
            <w:webHidden/>
          </w:rPr>
          <w:tab/>
        </w:r>
        <w:r>
          <w:rPr>
            <w:webHidden/>
          </w:rPr>
          <w:fldChar w:fldCharType="begin"/>
        </w:r>
        <w:r>
          <w:rPr>
            <w:webHidden/>
          </w:rPr>
          <w:instrText xml:space="preserve"> PAGEREF _Toc175123924 \h </w:instrText>
        </w:r>
        <w:r>
          <w:rPr>
            <w:webHidden/>
          </w:rPr>
        </w:r>
        <w:r>
          <w:rPr>
            <w:webHidden/>
          </w:rPr>
          <w:fldChar w:fldCharType="separate"/>
        </w:r>
        <w:r>
          <w:rPr>
            <w:webHidden/>
          </w:rPr>
          <w:t>2</w:t>
        </w:r>
        <w:r>
          <w:rPr>
            <w:webHidden/>
          </w:rPr>
          <w:fldChar w:fldCharType="end"/>
        </w:r>
      </w:hyperlink>
    </w:p>
    <w:p w14:paraId="3174DAB2" w14:textId="352B54A3" w:rsidR="00652BBD" w:rsidRDefault="00652BB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75123925" w:history="1">
        <w:r w:rsidRPr="00677DDF">
          <w:rPr>
            <w:rStyle w:val="Hyperlink"/>
          </w:rPr>
          <w:t xml:space="preserve">2. </w:t>
        </w:r>
        <w:r>
          <w:rPr>
            <w:rFonts w:asciiTheme="minorHAnsi" w:eastAsiaTheme="minorEastAsia" w:hAnsiTheme="minorHAnsi" w:cstheme="minorBidi"/>
            <w:b w:val="0"/>
            <w:spacing w:val="0"/>
            <w:kern w:val="2"/>
            <w:sz w:val="22"/>
            <w:szCs w:val="22"/>
            <w14:ligatures w14:val="standardContextual"/>
          </w:rPr>
          <w:tab/>
        </w:r>
        <w:r w:rsidRPr="00677DDF">
          <w:rPr>
            <w:rStyle w:val="Hyperlink"/>
          </w:rPr>
          <w:t>Policy and statutory authority to undertake cost recovery</w:t>
        </w:r>
        <w:r>
          <w:rPr>
            <w:webHidden/>
          </w:rPr>
          <w:tab/>
        </w:r>
        <w:r>
          <w:rPr>
            <w:webHidden/>
          </w:rPr>
          <w:fldChar w:fldCharType="begin"/>
        </w:r>
        <w:r>
          <w:rPr>
            <w:webHidden/>
          </w:rPr>
          <w:instrText xml:space="preserve"> PAGEREF _Toc175123925 \h </w:instrText>
        </w:r>
        <w:r>
          <w:rPr>
            <w:webHidden/>
          </w:rPr>
        </w:r>
        <w:r>
          <w:rPr>
            <w:webHidden/>
          </w:rPr>
          <w:fldChar w:fldCharType="separate"/>
        </w:r>
        <w:r>
          <w:rPr>
            <w:webHidden/>
          </w:rPr>
          <w:t>3</w:t>
        </w:r>
        <w:r>
          <w:rPr>
            <w:webHidden/>
          </w:rPr>
          <w:fldChar w:fldCharType="end"/>
        </w:r>
      </w:hyperlink>
    </w:p>
    <w:p w14:paraId="6AF6BAD3" w14:textId="0EE3C1C9"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26" w:history="1">
        <w:r w:rsidRPr="00677DDF">
          <w:rPr>
            <w:rStyle w:val="Hyperlink"/>
          </w:rPr>
          <w:t>2.1</w:t>
        </w:r>
        <w:r>
          <w:rPr>
            <w:rFonts w:asciiTheme="minorHAnsi" w:eastAsiaTheme="minorEastAsia" w:hAnsiTheme="minorHAnsi" w:cstheme="minorBidi"/>
            <w:spacing w:val="0"/>
            <w:kern w:val="2"/>
            <w:sz w:val="22"/>
            <w:szCs w:val="22"/>
            <w14:ligatures w14:val="standardContextual"/>
          </w:rPr>
          <w:tab/>
        </w:r>
        <w:r w:rsidRPr="00677DDF">
          <w:rPr>
            <w:rStyle w:val="Hyperlink"/>
          </w:rPr>
          <w:t>Government policy approval to recover costs</w:t>
        </w:r>
        <w:r>
          <w:rPr>
            <w:webHidden/>
          </w:rPr>
          <w:tab/>
        </w:r>
        <w:r>
          <w:rPr>
            <w:webHidden/>
          </w:rPr>
          <w:fldChar w:fldCharType="begin"/>
        </w:r>
        <w:r>
          <w:rPr>
            <w:webHidden/>
          </w:rPr>
          <w:instrText xml:space="preserve"> PAGEREF _Toc175123926 \h </w:instrText>
        </w:r>
        <w:r>
          <w:rPr>
            <w:webHidden/>
          </w:rPr>
        </w:r>
        <w:r>
          <w:rPr>
            <w:webHidden/>
          </w:rPr>
          <w:fldChar w:fldCharType="separate"/>
        </w:r>
        <w:r>
          <w:rPr>
            <w:webHidden/>
          </w:rPr>
          <w:t>3</w:t>
        </w:r>
        <w:r>
          <w:rPr>
            <w:webHidden/>
          </w:rPr>
          <w:fldChar w:fldCharType="end"/>
        </w:r>
      </w:hyperlink>
    </w:p>
    <w:p w14:paraId="166A1A87" w14:textId="54F10226"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27" w:history="1">
        <w:r w:rsidRPr="00677DDF">
          <w:rPr>
            <w:rStyle w:val="Hyperlink"/>
          </w:rPr>
          <w:t>2.2</w:t>
        </w:r>
        <w:r>
          <w:rPr>
            <w:rFonts w:asciiTheme="minorHAnsi" w:eastAsiaTheme="minorEastAsia" w:hAnsiTheme="minorHAnsi" w:cstheme="minorBidi"/>
            <w:spacing w:val="0"/>
            <w:kern w:val="2"/>
            <w:sz w:val="22"/>
            <w:szCs w:val="22"/>
            <w14:ligatures w14:val="standardContextual"/>
          </w:rPr>
          <w:tab/>
        </w:r>
        <w:r w:rsidRPr="00677DDF">
          <w:rPr>
            <w:rStyle w:val="Hyperlink"/>
          </w:rPr>
          <w:t>Statutory authority to impose cost-recovery charges</w:t>
        </w:r>
        <w:r>
          <w:rPr>
            <w:webHidden/>
          </w:rPr>
          <w:tab/>
        </w:r>
        <w:r>
          <w:rPr>
            <w:webHidden/>
          </w:rPr>
          <w:fldChar w:fldCharType="begin"/>
        </w:r>
        <w:r>
          <w:rPr>
            <w:webHidden/>
          </w:rPr>
          <w:instrText xml:space="preserve"> PAGEREF _Toc175123927 \h </w:instrText>
        </w:r>
        <w:r>
          <w:rPr>
            <w:webHidden/>
          </w:rPr>
        </w:r>
        <w:r>
          <w:rPr>
            <w:webHidden/>
          </w:rPr>
          <w:fldChar w:fldCharType="separate"/>
        </w:r>
        <w:r>
          <w:rPr>
            <w:webHidden/>
          </w:rPr>
          <w:t>4</w:t>
        </w:r>
        <w:r>
          <w:rPr>
            <w:webHidden/>
          </w:rPr>
          <w:fldChar w:fldCharType="end"/>
        </w:r>
      </w:hyperlink>
    </w:p>
    <w:p w14:paraId="7F8879D7" w14:textId="2F8EFD35" w:rsidR="00652BBD" w:rsidRDefault="00652BB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75123928" w:history="1">
        <w:r w:rsidRPr="00677DDF">
          <w:rPr>
            <w:rStyle w:val="Hyperlink"/>
          </w:rPr>
          <w:t>3.</w:t>
        </w:r>
        <w:r>
          <w:rPr>
            <w:rFonts w:asciiTheme="minorHAnsi" w:eastAsiaTheme="minorEastAsia" w:hAnsiTheme="minorHAnsi" w:cstheme="minorBidi"/>
            <w:b w:val="0"/>
            <w:spacing w:val="0"/>
            <w:kern w:val="2"/>
            <w:sz w:val="22"/>
            <w:szCs w:val="22"/>
            <w14:ligatures w14:val="standardContextual"/>
          </w:rPr>
          <w:tab/>
        </w:r>
        <w:r w:rsidRPr="00677DDF">
          <w:rPr>
            <w:rStyle w:val="Hyperlink"/>
          </w:rPr>
          <w:t>Cost recovery model</w:t>
        </w:r>
        <w:r>
          <w:rPr>
            <w:webHidden/>
          </w:rPr>
          <w:tab/>
        </w:r>
        <w:r>
          <w:rPr>
            <w:webHidden/>
          </w:rPr>
          <w:fldChar w:fldCharType="begin"/>
        </w:r>
        <w:r>
          <w:rPr>
            <w:webHidden/>
          </w:rPr>
          <w:instrText xml:space="preserve"> PAGEREF _Toc175123928 \h </w:instrText>
        </w:r>
        <w:r>
          <w:rPr>
            <w:webHidden/>
          </w:rPr>
        </w:r>
        <w:r>
          <w:rPr>
            <w:webHidden/>
          </w:rPr>
          <w:fldChar w:fldCharType="separate"/>
        </w:r>
        <w:r>
          <w:rPr>
            <w:webHidden/>
          </w:rPr>
          <w:t>7</w:t>
        </w:r>
        <w:r>
          <w:rPr>
            <w:webHidden/>
          </w:rPr>
          <w:fldChar w:fldCharType="end"/>
        </w:r>
      </w:hyperlink>
    </w:p>
    <w:p w14:paraId="31B73447" w14:textId="20FC227D"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29" w:history="1">
        <w:r w:rsidRPr="00677DDF">
          <w:rPr>
            <w:rStyle w:val="Hyperlink"/>
          </w:rPr>
          <w:t>3.1</w:t>
        </w:r>
        <w:r>
          <w:rPr>
            <w:rFonts w:asciiTheme="minorHAnsi" w:eastAsiaTheme="minorEastAsia" w:hAnsiTheme="minorHAnsi" w:cstheme="minorBidi"/>
            <w:spacing w:val="0"/>
            <w:kern w:val="2"/>
            <w:sz w:val="22"/>
            <w:szCs w:val="22"/>
            <w14:ligatures w14:val="standardContextual"/>
          </w:rPr>
          <w:tab/>
        </w:r>
        <w:r w:rsidRPr="00677DDF">
          <w:rPr>
            <w:rStyle w:val="Hyperlink"/>
          </w:rPr>
          <w:t>Determination of cost component for the ACMA’s activity</w:t>
        </w:r>
        <w:r>
          <w:rPr>
            <w:webHidden/>
          </w:rPr>
          <w:tab/>
        </w:r>
        <w:r>
          <w:rPr>
            <w:webHidden/>
          </w:rPr>
          <w:fldChar w:fldCharType="begin"/>
        </w:r>
        <w:r>
          <w:rPr>
            <w:webHidden/>
          </w:rPr>
          <w:instrText xml:space="preserve"> PAGEREF _Toc175123929 \h </w:instrText>
        </w:r>
        <w:r>
          <w:rPr>
            <w:webHidden/>
          </w:rPr>
        </w:r>
        <w:r>
          <w:rPr>
            <w:webHidden/>
          </w:rPr>
          <w:fldChar w:fldCharType="separate"/>
        </w:r>
        <w:r>
          <w:rPr>
            <w:webHidden/>
          </w:rPr>
          <w:t>7</w:t>
        </w:r>
        <w:r>
          <w:rPr>
            <w:webHidden/>
          </w:rPr>
          <w:fldChar w:fldCharType="end"/>
        </w:r>
      </w:hyperlink>
    </w:p>
    <w:p w14:paraId="5C5D5558" w14:textId="2B9132FA"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30" w:history="1">
        <w:r w:rsidRPr="00677DDF">
          <w:rPr>
            <w:rStyle w:val="Hyperlink"/>
          </w:rPr>
          <w:t>3.2</w:t>
        </w:r>
        <w:r>
          <w:rPr>
            <w:rFonts w:asciiTheme="minorHAnsi" w:eastAsiaTheme="minorEastAsia" w:hAnsiTheme="minorHAnsi" w:cstheme="minorBidi"/>
            <w:spacing w:val="0"/>
            <w:kern w:val="2"/>
            <w:sz w:val="22"/>
            <w:szCs w:val="22"/>
            <w14:ligatures w14:val="standardContextual"/>
          </w:rPr>
          <w:tab/>
        </w:r>
        <w:r w:rsidRPr="00677DDF">
          <w:rPr>
            <w:rStyle w:val="Hyperlink"/>
          </w:rPr>
          <w:t>Determination of cost component for the ACCC’s activity</w:t>
        </w:r>
        <w:r>
          <w:rPr>
            <w:webHidden/>
          </w:rPr>
          <w:tab/>
        </w:r>
        <w:r>
          <w:rPr>
            <w:webHidden/>
          </w:rPr>
          <w:fldChar w:fldCharType="begin"/>
        </w:r>
        <w:r>
          <w:rPr>
            <w:webHidden/>
          </w:rPr>
          <w:instrText xml:space="preserve"> PAGEREF _Toc175123930 \h </w:instrText>
        </w:r>
        <w:r>
          <w:rPr>
            <w:webHidden/>
          </w:rPr>
        </w:r>
        <w:r>
          <w:rPr>
            <w:webHidden/>
          </w:rPr>
          <w:fldChar w:fldCharType="separate"/>
        </w:r>
        <w:r>
          <w:rPr>
            <w:webHidden/>
          </w:rPr>
          <w:t>16</w:t>
        </w:r>
        <w:r>
          <w:rPr>
            <w:webHidden/>
          </w:rPr>
          <w:fldChar w:fldCharType="end"/>
        </w:r>
      </w:hyperlink>
    </w:p>
    <w:p w14:paraId="039FEABD" w14:textId="7F76D3F4"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31" w:history="1">
        <w:r w:rsidRPr="00677DDF">
          <w:rPr>
            <w:rStyle w:val="Hyperlink"/>
          </w:rPr>
          <w:t>3.3</w:t>
        </w:r>
        <w:r>
          <w:rPr>
            <w:rFonts w:asciiTheme="minorHAnsi" w:eastAsiaTheme="minorEastAsia" w:hAnsiTheme="minorHAnsi" w:cstheme="minorBidi"/>
            <w:spacing w:val="0"/>
            <w:kern w:val="2"/>
            <w:sz w:val="22"/>
            <w:szCs w:val="22"/>
            <w14:ligatures w14:val="standardContextual"/>
          </w:rPr>
          <w:tab/>
        </w:r>
        <w:r w:rsidRPr="00677DDF">
          <w:rPr>
            <w:rStyle w:val="Hyperlink"/>
          </w:rPr>
          <w:t>Determination of cost component for the ITU activity</w:t>
        </w:r>
        <w:r>
          <w:rPr>
            <w:webHidden/>
          </w:rPr>
          <w:tab/>
        </w:r>
        <w:r>
          <w:rPr>
            <w:webHidden/>
          </w:rPr>
          <w:fldChar w:fldCharType="begin"/>
        </w:r>
        <w:r>
          <w:rPr>
            <w:webHidden/>
          </w:rPr>
          <w:instrText xml:space="preserve"> PAGEREF _Toc175123931 \h </w:instrText>
        </w:r>
        <w:r>
          <w:rPr>
            <w:webHidden/>
          </w:rPr>
        </w:r>
        <w:r>
          <w:rPr>
            <w:webHidden/>
          </w:rPr>
          <w:fldChar w:fldCharType="separate"/>
        </w:r>
        <w:r>
          <w:rPr>
            <w:webHidden/>
          </w:rPr>
          <w:t>22</w:t>
        </w:r>
        <w:r>
          <w:rPr>
            <w:webHidden/>
          </w:rPr>
          <w:fldChar w:fldCharType="end"/>
        </w:r>
      </w:hyperlink>
    </w:p>
    <w:p w14:paraId="28FCF901" w14:textId="07852C4D"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32" w:history="1">
        <w:r w:rsidRPr="00677DDF">
          <w:rPr>
            <w:rStyle w:val="Hyperlink"/>
          </w:rPr>
          <w:t>3.4</w:t>
        </w:r>
        <w:r>
          <w:rPr>
            <w:rFonts w:asciiTheme="minorHAnsi" w:eastAsiaTheme="minorEastAsia" w:hAnsiTheme="minorHAnsi" w:cstheme="minorBidi"/>
            <w:spacing w:val="0"/>
            <w:kern w:val="2"/>
            <w:sz w:val="22"/>
            <w:szCs w:val="22"/>
            <w14:ligatures w14:val="standardContextual"/>
          </w:rPr>
          <w:tab/>
        </w:r>
        <w:r w:rsidRPr="00677DDF">
          <w:rPr>
            <w:rStyle w:val="Hyperlink"/>
          </w:rPr>
          <w:t xml:space="preserve">Determination of cost component for the development or variation of </w:t>
        </w:r>
        <w:r>
          <w:rPr>
            <w:rStyle w:val="Hyperlink"/>
          </w:rPr>
          <w:br/>
        </w:r>
        <w:r w:rsidRPr="00677DDF">
          <w:rPr>
            <w:rStyle w:val="Hyperlink"/>
          </w:rPr>
          <w:t>consumer protection codes</w:t>
        </w:r>
        <w:r>
          <w:rPr>
            <w:webHidden/>
          </w:rPr>
          <w:tab/>
        </w:r>
        <w:r>
          <w:rPr>
            <w:webHidden/>
          </w:rPr>
          <w:fldChar w:fldCharType="begin"/>
        </w:r>
        <w:r>
          <w:rPr>
            <w:webHidden/>
          </w:rPr>
          <w:instrText xml:space="preserve"> PAGEREF _Toc175123932 \h </w:instrText>
        </w:r>
        <w:r>
          <w:rPr>
            <w:webHidden/>
          </w:rPr>
        </w:r>
        <w:r>
          <w:rPr>
            <w:webHidden/>
          </w:rPr>
          <w:fldChar w:fldCharType="separate"/>
        </w:r>
        <w:r>
          <w:rPr>
            <w:webHidden/>
          </w:rPr>
          <w:t>23</w:t>
        </w:r>
        <w:r>
          <w:rPr>
            <w:webHidden/>
          </w:rPr>
          <w:fldChar w:fldCharType="end"/>
        </w:r>
      </w:hyperlink>
    </w:p>
    <w:p w14:paraId="0BE95284" w14:textId="63A1B356"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33" w:history="1">
        <w:r w:rsidRPr="00677DDF">
          <w:rPr>
            <w:rStyle w:val="Hyperlink"/>
          </w:rPr>
          <w:t>3.5</w:t>
        </w:r>
        <w:r>
          <w:rPr>
            <w:rFonts w:asciiTheme="minorHAnsi" w:eastAsiaTheme="minorEastAsia" w:hAnsiTheme="minorHAnsi" w:cstheme="minorBidi"/>
            <w:spacing w:val="0"/>
            <w:kern w:val="2"/>
            <w:sz w:val="22"/>
            <w:szCs w:val="22"/>
            <w14:ligatures w14:val="standardContextual"/>
          </w:rPr>
          <w:tab/>
        </w:r>
        <w:r w:rsidRPr="00677DDF">
          <w:rPr>
            <w:rStyle w:val="Hyperlink"/>
          </w:rPr>
          <w:t>Determination of cost component for government grants for consumer representation and research</w:t>
        </w:r>
        <w:r>
          <w:rPr>
            <w:webHidden/>
          </w:rPr>
          <w:tab/>
        </w:r>
        <w:r>
          <w:rPr>
            <w:webHidden/>
          </w:rPr>
          <w:fldChar w:fldCharType="begin"/>
        </w:r>
        <w:r>
          <w:rPr>
            <w:webHidden/>
          </w:rPr>
          <w:instrText xml:space="preserve"> PAGEREF _Toc175123933 \h </w:instrText>
        </w:r>
        <w:r>
          <w:rPr>
            <w:webHidden/>
          </w:rPr>
        </w:r>
        <w:r>
          <w:rPr>
            <w:webHidden/>
          </w:rPr>
          <w:fldChar w:fldCharType="separate"/>
        </w:r>
        <w:r>
          <w:rPr>
            <w:webHidden/>
          </w:rPr>
          <w:t>24</w:t>
        </w:r>
        <w:r>
          <w:rPr>
            <w:webHidden/>
          </w:rPr>
          <w:fldChar w:fldCharType="end"/>
        </w:r>
      </w:hyperlink>
    </w:p>
    <w:p w14:paraId="110F3972" w14:textId="367293BC"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34" w:history="1">
        <w:r w:rsidRPr="00677DDF">
          <w:rPr>
            <w:rStyle w:val="Hyperlink"/>
          </w:rPr>
          <w:t>3.6</w:t>
        </w:r>
        <w:r>
          <w:rPr>
            <w:rFonts w:asciiTheme="minorHAnsi" w:eastAsiaTheme="minorEastAsia" w:hAnsiTheme="minorHAnsi" w:cstheme="minorBidi"/>
            <w:spacing w:val="0"/>
            <w:kern w:val="2"/>
            <w:sz w:val="22"/>
            <w:szCs w:val="22"/>
            <w14:ligatures w14:val="standardContextual"/>
          </w:rPr>
          <w:tab/>
        </w:r>
        <w:r w:rsidRPr="00677DDF">
          <w:rPr>
            <w:rStyle w:val="Hyperlink"/>
          </w:rPr>
          <w:t>Design of cost recovery charges</w:t>
        </w:r>
        <w:r>
          <w:rPr>
            <w:webHidden/>
          </w:rPr>
          <w:tab/>
        </w:r>
        <w:r>
          <w:rPr>
            <w:webHidden/>
          </w:rPr>
          <w:fldChar w:fldCharType="begin"/>
        </w:r>
        <w:r>
          <w:rPr>
            <w:webHidden/>
          </w:rPr>
          <w:instrText xml:space="preserve"> PAGEREF _Toc175123934 \h </w:instrText>
        </w:r>
        <w:r>
          <w:rPr>
            <w:webHidden/>
          </w:rPr>
        </w:r>
        <w:r>
          <w:rPr>
            <w:webHidden/>
          </w:rPr>
          <w:fldChar w:fldCharType="separate"/>
        </w:r>
        <w:r>
          <w:rPr>
            <w:webHidden/>
          </w:rPr>
          <w:t>25</w:t>
        </w:r>
        <w:r>
          <w:rPr>
            <w:webHidden/>
          </w:rPr>
          <w:fldChar w:fldCharType="end"/>
        </w:r>
      </w:hyperlink>
    </w:p>
    <w:p w14:paraId="101B7354" w14:textId="0D5D761B"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35" w:history="1">
        <w:r w:rsidRPr="00677DDF">
          <w:rPr>
            <w:rStyle w:val="Hyperlink"/>
          </w:rPr>
          <w:t>Establishment of individual levy amounts</w:t>
        </w:r>
        <w:r>
          <w:rPr>
            <w:webHidden/>
          </w:rPr>
          <w:tab/>
        </w:r>
        <w:r>
          <w:rPr>
            <w:webHidden/>
          </w:rPr>
          <w:fldChar w:fldCharType="begin"/>
        </w:r>
        <w:r>
          <w:rPr>
            <w:webHidden/>
          </w:rPr>
          <w:instrText xml:space="preserve"> PAGEREF _Toc175123935 \h </w:instrText>
        </w:r>
        <w:r>
          <w:rPr>
            <w:webHidden/>
          </w:rPr>
        </w:r>
        <w:r>
          <w:rPr>
            <w:webHidden/>
          </w:rPr>
          <w:fldChar w:fldCharType="separate"/>
        </w:r>
        <w:r>
          <w:rPr>
            <w:webHidden/>
          </w:rPr>
          <w:t>26</w:t>
        </w:r>
        <w:r>
          <w:rPr>
            <w:webHidden/>
          </w:rPr>
          <w:fldChar w:fldCharType="end"/>
        </w:r>
      </w:hyperlink>
    </w:p>
    <w:p w14:paraId="082417BD" w14:textId="72DE83E7"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36" w:history="1">
        <w:r w:rsidRPr="00677DDF">
          <w:rPr>
            <w:rStyle w:val="Hyperlink"/>
            <w:i/>
          </w:rPr>
          <w:t>Fighting Scams</w:t>
        </w:r>
        <w:r>
          <w:rPr>
            <w:webHidden/>
          </w:rPr>
          <w:tab/>
        </w:r>
        <w:r>
          <w:rPr>
            <w:webHidden/>
          </w:rPr>
          <w:fldChar w:fldCharType="begin"/>
        </w:r>
        <w:r>
          <w:rPr>
            <w:webHidden/>
          </w:rPr>
          <w:instrText xml:space="preserve"> PAGEREF _Toc175123936 \h </w:instrText>
        </w:r>
        <w:r>
          <w:rPr>
            <w:webHidden/>
          </w:rPr>
        </w:r>
        <w:r>
          <w:rPr>
            <w:webHidden/>
          </w:rPr>
          <w:fldChar w:fldCharType="separate"/>
        </w:r>
        <w:r>
          <w:rPr>
            <w:webHidden/>
          </w:rPr>
          <w:t>26</w:t>
        </w:r>
        <w:r>
          <w:rPr>
            <w:webHidden/>
          </w:rPr>
          <w:fldChar w:fldCharType="end"/>
        </w:r>
      </w:hyperlink>
    </w:p>
    <w:p w14:paraId="6BAF664E" w14:textId="042B4654"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37" w:history="1">
        <w:r w:rsidRPr="00677DDF">
          <w:rPr>
            <w:rStyle w:val="Hyperlink"/>
          </w:rPr>
          <w:t>Consumer Safeguards Part A program</w:t>
        </w:r>
        <w:r>
          <w:rPr>
            <w:webHidden/>
          </w:rPr>
          <w:tab/>
        </w:r>
        <w:r>
          <w:rPr>
            <w:webHidden/>
          </w:rPr>
          <w:fldChar w:fldCharType="begin"/>
        </w:r>
        <w:r>
          <w:rPr>
            <w:webHidden/>
          </w:rPr>
          <w:instrText xml:space="preserve"> PAGEREF _Toc175123937 \h </w:instrText>
        </w:r>
        <w:r>
          <w:rPr>
            <w:webHidden/>
          </w:rPr>
        </w:r>
        <w:r>
          <w:rPr>
            <w:webHidden/>
          </w:rPr>
          <w:fldChar w:fldCharType="separate"/>
        </w:r>
        <w:r>
          <w:rPr>
            <w:webHidden/>
          </w:rPr>
          <w:t>26</w:t>
        </w:r>
        <w:r>
          <w:rPr>
            <w:webHidden/>
          </w:rPr>
          <w:fldChar w:fldCharType="end"/>
        </w:r>
      </w:hyperlink>
    </w:p>
    <w:p w14:paraId="42F4A477" w14:textId="76FE4A83" w:rsidR="00652BBD" w:rsidRDefault="00652BB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75123938" w:history="1">
        <w:r w:rsidRPr="00677DDF">
          <w:rPr>
            <w:rStyle w:val="Hyperlink"/>
          </w:rPr>
          <w:t xml:space="preserve">4. </w:t>
        </w:r>
        <w:r>
          <w:rPr>
            <w:rFonts w:asciiTheme="minorHAnsi" w:eastAsiaTheme="minorEastAsia" w:hAnsiTheme="minorHAnsi" w:cstheme="minorBidi"/>
            <w:b w:val="0"/>
            <w:spacing w:val="0"/>
            <w:kern w:val="2"/>
            <w:sz w:val="22"/>
            <w:szCs w:val="22"/>
            <w14:ligatures w14:val="standardContextual"/>
          </w:rPr>
          <w:tab/>
        </w:r>
        <w:r w:rsidRPr="00677DDF">
          <w:rPr>
            <w:rStyle w:val="Hyperlink"/>
          </w:rPr>
          <w:t>Risk assessment</w:t>
        </w:r>
        <w:r>
          <w:rPr>
            <w:webHidden/>
          </w:rPr>
          <w:tab/>
        </w:r>
        <w:r>
          <w:rPr>
            <w:webHidden/>
          </w:rPr>
          <w:fldChar w:fldCharType="begin"/>
        </w:r>
        <w:r>
          <w:rPr>
            <w:webHidden/>
          </w:rPr>
          <w:instrText xml:space="preserve"> PAGEREF _Toc175123938 \h </w:instrText>
        </w:r>
        <w:r>
          <w:rPr>
            <w:webHidden/>
          </w:rPr>
        </w:r>
        <w:r>
          <w:rPr>
            <w:webHidden/>
          </w:rPr>
          <w:fldChar w:fldCharType="separate"/>
        </w:r>
        <w:r>
          <w:rPr>
            <w:webHidden/>
          </w:rPr>
          <w:t>29</w:t>
        </w:r>
        <w:r>
          <w:rPr>
            <w:webHidden/>
          </w:rPr>
          <w:fldChar w:fldCharType="end"/>
        </w:r>
      </w:hyperlink>
    </w:p>
    <w:p w14:paraId="3E5632E3" w14:textId="6060DF0B" w:rsidR="00652BBD" w:rsidRDefault="00652BB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75123939" w:history="1">
        <w:r w:rsidRPr="00677DDF">
          <w:rPr>
            <w:rStyle w:val="Hyperlink"/>
          </w:rPr>
          <w:t xml:space="preserve">5. </w:t>
        </w:r>
        <w:r>
          <w:rPr>
            <w:rFonts w:asciiTheme="minorHAnsi" w:eastAsiaTheme="minorEastAsia" w:hAnsiTheme="minorHAnsi" w:cstheme="minorBidi"/>
            <w:b w:val="0"/>
            <w:spacing w:val="0"/>
            <w:kern w:val="2"/>
            <w:sz w:val="22"/>
            <w:szCs w:val="22"/>
            <w14:ligatures w14:val="standardContextual"/>
          </w:rPr>
          <w:tab/>
        </w:r>
        <w:r w:rsidRPr="00677DDF">
          <w:rPr>
            <w:rStyle w:val="Hyperlink"/>
          </w:rPr>
          <w:t>Stakeholder engagement</w:t>
        </w:r>
        <w:r>
          <w:rPr>
            <w:webHidden/>
          </w:rPr>
          <w:tab/>
        </w:r>
        <w:r>
          <w:rPr>
            <w:webHidden/>
          </w:rPr>
          <w:fldChar w:fldCharType="begin"/>
        </w:r>
        <w:r>
          <w:rPr>
            <w:webHidden/>
          </w:rPr>
          <w:instrText xml:space="preserve"> PAGEREF _Toc175123939 \h </w:instrText>
        </w:r>
        <w:r>
          <w:rPr>
            <w:webHidden/>
          </w:rPr>
        </w:r>
        <w:r>
          <w:rPr>
            <w:webHidden/>
          </w:rPr>
          <w:fldChar w:fldCharType="separate"/>
        </w:r>
        <w:r>
          <w:rPr>
            <w:webHidden/>
          </w:rPr>
          <w:t>30</w:t>
        </w:r>
        <w:r>
          <w:rPr>
            <w:webHidden/>
          </w:rPr>
          <w:fldChar w:fldCharType="end"/>
        </w:r>
      </w:hyperlink>
    </w:p>
    <w:p w14:paraId="0BEAF726" w14:textId="1E3B5521" w:rsidR="00652BBD" w:rsidRDefault="00652BB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75123940" w:history="1">
        <w:r w:rsidRPr="00677DDF">
          <w:rPr>
            <w:rStyle w:val="Hyperlink"/>
          </w:rPr>
          <w:t xml:space="preserve">6. </w:t>
        </w:r>
        <w:r>
          <w:rPr>
            <w:rFonts w:asciiTheme="minorHAnsi" w:eastAsiaTheme="minorEastAsia" w:hAnsiTheme="minorHAnsi" w:cstheme="minorBidi"/>
            <w:b w:val="0"/>
            <w:spacing w:val="0"/>
            <w:kern w:val="2"/>
            <w:sz w:val="22"/>
            <w:szCs w:val="22"/>
            <w14:ligatures w14:val="standardContextual"/>
          </w:rPr>
          <w:tab/>
        </w:r>
        <w:r w:rsidRPr="00677DDF">
          <w:rPr>
            <w:rStyle w:val="Hyperlink"/>
          </w:rPr>
          <w:t>Financial estimates</w:t>
        </w:r>
        <w:r>
          <w:rPr>
            <w:webHidden/>
          </w:rPr>
          <w:tab/>
        </w:r>
        <w:r>
          <w:rPr>
            <w:webHidden/>
          </w:rPr>
          <w:fldChar w:fldCharType="begin"/>
        </w:r>
        <w:r>
          <w:rPr>
            <w:webHidden/>
          </w:rPr>
          <w:instrText xml:space="preserve"> PAGEREF _Toc175123940 \h </w:instrText>
        </w:r>
        <w:r>
          <w:rPr>
            <w:webHidden/>
          </w:rPr>
        </w:r>
        <w:r>
          <w:rPr>
            <w:webHidden/>
          </w:rPr>
          <w:fldChar w:fldCharType="separate"/>
        </w:r>
        <w:r>
          <w:rPr>
            <w:webHidden/>
          </w:rPr>
          <w:t>31</w:t>
        </w:r>
        <w:r>
          <w:rPr>
            <w:webHidden/>
          </w:rPr>
          <w:fldChar w:fldCharType="end"/>
        </w:r>
      </w:hyperlink>
    </w:p>
    <w:p w14:paraId="5018279F" w14:textId="18399F5C" w:rsidR="00652BBD" w:rsidRDefault="00652BB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75123941" w:history="1">
        <w:r w:rsidRPr="00677DDF">
          <w:rPr>
            <w:rStyle w:val="Hyperlink"/>
          </w:rPr>
          <w:t xml:space="preserve">7A. </w:t>
        </w:r>
        <w:r>
          <w:rPr>
            <w:rFonts w:asciiTheme="minorHAnsi" w:eastAsiaTheme="minorEastAsia" w:hAnsiTheme="minorHAnsi" w:cstheme="minorBidi"/>
            <w:b w:val="0"/>
            <w:spacing w:val="0"/>
            <w:kern w:val="2"/>
            <w:sz w:val="22"/>
            <w:szCs w:val="22"/>
            <w14:ligatures w14:val="standardContextual"/>
          </w:rPr>
          <w:tab/>
        </w:r>
        <w:r w:rsidRPr="00677DDF">
          <w:rPr>
            <w:rStyle w:val="Hyperlink"/>
          </w:rPr>
          <w:t>Financial performance</w:t>
        </w:r>
        <w:r>
          <w:rPr>
            <w:webHidden/>
          </w:rPr>
          <w:tab/>
        </w:r>
        <w:r>
          <w:rPr>
            <w:webHidden/>
          </w:rPr>
          <w:fldChar w:fldCharType="begin"/>
        </w:r>
        <w:r>
          <w:rPr>
            <w:webHidden/>
          </w:rPr>
          <w:instrText xml:space="preserve"> PAGEREF _Toc175123941 \h </w:instrText>
        </w:r>
        <w:r>
          <w:rPr>
            <w:webHidden/>
          </w:rPr>
        </w:r>
        <w:r>
          <w:rPr>
            <w:webHidden/>
          </w:rPr>
          <w:fldChar w:fldCharType="separate"/>
        </w:r>
        <w:r>
          <w:rPr>
            <w:webHidden/>
          </w:rPr>
          <w:t>34</w:t>
        </w:r>
        <w:r>
          <w:rPr>
            <w:webHidden/>
          </w:rPr>
          <w:fldChar w:fldCharType="end"/>
        </w:r>
      </w:hyperlink>
    </w:p>
    <w:p w14:paraId="49B4EF27" w14:textId="1E4C9DD0" w:rsidR="00652BBD" w:rsidRDefault="00652BB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75123942" w:history="1">
        <w:r w:rsidRPr="00677DDF">
          <w:rPr>
            <w:rStyle w:val="Hyperlink"/>
          </w:rPr>
          <w:t xml:space="preserve">7B. </w:t>
        </w:r>
        <w:r>
          <w:rPr>
            <w:rFonts w:asciiTheme="minorHAnsi" w:eastAsiaTheme="minorEastAsia" w:hAnsiTheme="minorHAnsi" w:cstheme="minorBidi"/>
            <w:b w:val="0"/>
            <w:spacing w:val="0"/>
            <w:kern w:val="2"/>
            <w:sz w:val="22"/>
            <w:szCs w:val="22"/>
            <w14:ligatures w14:val="standardContextual"/>
          </w:rPr>
          <w:tab/>
        </w:r>
        <w:r w:rsidRPr="00677DDF">
          <w:rPr>
            <w:rStyle w:val="Hyperlink"/>
          </w:rPr>
          <w:t>Non-financial performance</w:t>
        </w:r>
        <w:r>
          <w:rPr>
            <w:webHidden/>
          </w:rPr>
          <w:tab/>
        </w:r>
        <w:r>
          <w:rPr>
            <w:webHidden/>
          </w:rPr>
          <w:fldChar w:fldCharType="begin"/>
        </w:r>
        <w:r>
          <w:rPr>
            <w:webHidden/>
          </w:rPr>
          <w:instrText xml:space="preserve"> PAGEREF _Toc175123942 \h </w:instrText>
        </w:r>
        <w:r>
          <w:rPr>
            <w:webHidden/>
          </w:rPr>
        </w:r>
        <w:r>
          <w:rPr>
            <w:webHidden/>
          </w:rPr>
          <w:fldChar w:fldCharType="separate"/>
        </w:r>
        <w:r>
          <w:rPr>
            <w:webHidden/>
          </w:rPr>
          <w:t>36</w:t>
        </w:r>
        <w:r>
          <w:rPr>
            <w:webHidden/>
          </w:rPr>
          <w:fldChar w:fldCharType="end"/>
        </w:r>
      </w:hyperlink>
    </w:p>
    <w:p w14:paraId="3D4796B1" w14:textId="5B2E0D58"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43" w:history="1">
        <w:r w:rsidRPr="00677DDF">
          <w:rPr>
            <w:rStyle w:val="Hyperlink"/>
          </w:rPr>
          <w:t>The ACMA’s cost component</w:t>
        </w:r>
        <w:r>
          <w:rPr>
            <w:webHidden/>
          </w:rPr>
          <w:tab/>
        </w:r>
        <w:r>
          <w:rPr>
            <w:webHidden/>
          </w:rPr>
          <w:fldChar w:fldCharType="begin"/>
        </w:r>
        <w:r>
          <w:rPr>
            <w:webHidden/>
          </w:rPr>
          <w:instrText xml:space="preserve"> PAGEREF _Toc175123943 \h </w:instrText>
        </w:r>
        <w:r>
          <w:rPr>
            <w:webHidden/>
          </w:rPr>
        </w:r>
        <w:r>
          <w:rPr>
            <w:webHidden/>
          </w:rPr>
          <w:fldChar w:fldCharType="separate"/>
        </w:r>
        <w:r>
          <w:rPr>
            <w:webHidden/>
          </w:rPr>
          <w:t>36</w:t>
        </w:r>
        <w:r>
          <w:rPr>
            <w:webHidden/>
          </w:rPr>
          <w:fldChar w:fldCharType="end"/>
        </w:r>
      </w:hyperlink>
    </w:p>
    <w:p w14:paraId="7E6CD0E0" w14:textId="2D2F89D3"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44" w:history="1">
        <w:r w:rsidRPr="00677DDF">
          <w:rPr>
            <w:rStyle w:val="Hyperlink"/>
          </w:rPr>
          <w:t>The ACCC’s cost component</w:t>
        </w:r>
        <w:r>
          <w:rPr>
            <w:webHidden/>
          </w:rPr>
          <w:tab/>
        </w:r>
        <w:r>
          <w:rPr>
            <w:webHidden/>
          </w:rPr>
          <w:fldChar w:fldCharType="begin"/>
        </w:r>
        <w:r>
          <w:rPr>
            <w:webHidden/>
          </w:rPr>
          <w:instrText xml:space="preserve"> PAGEREF _Toc175123944 \h </w:instrText>
        </w:r>
        <w:r>
          <w:rPr>
            <w:webHidden/>
          </w:rPr>
        </w:r>
        <w:r>
          <w:rPr>
            <w:webHidden/>
          </w:rPr>
          <w:fldChar w:fldCharType="separate"/>
        </w:r>
        <w:r>
          <w:rPr>
            <w:webHidden/>
          </w:rPr>
          <w:t>36</w:t>
        </w:r>
        <w:r>
          <w:rPr>
            <w:webHidden/>
          </w:rPr>
          <w:fldChar w:fldCharType="end"/>
        </w:r>
      </w:hyperlink>
    </w:p>
    <w:p w14:paraId="2F9613A4" w14:textId="5A97A8C9"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45" w:history="1">
        <w:r w:rsidRPr="00677DDF">
          <w:rPr>
            <w:rStyle w:val="Hyperlink"/>
          </w:rPr>
          <w:t>ITU contribution</w:t>
        </w:r>
        <w:r>
          <w:rPr>
            <w:webHidden/>
          </w:rPr>
          <w:tab/>
        </w:r>
        <w:r>
          <w:rPr>
            <w:webHidden/>
          </w:rPr>
          <w:fldChar w:fldCharType="begin"/>
        </w:r>
        <w:r>
          <w:rPr>
            <w:webHidden/>
          </w:rPr>
          <w:instrText xml:space="preserve"> PAGEREF _Toc175123945 \h </w:instrText>
        </w:r>
        <w:r>
          <w:rPr>
            <w:webHidden/>
          </w:rPr>
        </w:r>
        <w:r>
          <w:rPr>
            <w:webHidden/>
          </w:rPr>
          <w:fldChar w:fldCharType="separate"/>
        </w:r>
        <w:r>
          <w:rPr>
            <w:webHidden/>
          </w:rPr>
          <w:t>36</w:t>
        </w:r>
        <w:r>
          <w:rPr>
            <w:webHidden/>
          </w:rPr>
          <w:fldChar w:fldCharType="end"/>
        </w:r>
      </w:hyperlink>
    </w:p>
    <w:p w14:paraId="2B7C5492" w14:textId="2273567C"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46" w:history="1">
        <w:r w:rsidRPr="00677DDF">
          <w:rPr>
            <w:rStyle w:val="Hyperlink"/>
          </w:rPr>
          <w:t>Government grants – consumer representation and research</w:t>
        </w:r>
        <w:r>
          <w:rPr>
            <w:webHidden/>
          </w:rPr>
          <w:tab/>
        </w:r>
        <w:r>
          <w:rPr>
            <w:webHidden/>
          </w:rPr>
          <w:fldChar w:fldCharType="begin"/>
        </w:r>
        <w:r>
          <w:rPr>
            <w:webHidden/>
          </w:rPr>
          <w:instrText xml:space="preserve"> PAGEREF _Toc175123946 \h </w:instrText>
        </w:r>
        <w:r>
          <w:rPr>
            <w:webHidden/>
          </w:rPr>
        </w:r>
        <w:r>
          <w:rPr>
            <w:webHidden/>
          </w:rPr>
          <w:fldChar w:fldCharType="separate"/>
        </w:r>
        <w:r>
          <w:rPr>
            <w:webHidden/>
          </w:rPr>
          <w:t>37</w:t>
        </w:r>
        <w:r>
          <w:rPr>
            <w:webHidden/>
          </w:rPr>
          <w:fldChar w:fldCharType="end"/>
        </w:r>
      </w:hyperlink>
    </w:p>
    <w:p w14:paraId="5BC51E48" w14:textId="2A8B396D" w:rsidR="00652BBD" w:rsidRDefault="00652BB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75123947" w:history="1">
        <w:r w:rsidRPr="00677DDF">
          <w:rPr>
            <w:rStyle w:val="Hyperlink"/>
          </w:rPr>
          <w:t>8.</w:t>
        </w:r>
        <w:r>
          <w:rPr>
            <w:rFonts w:asciiTheme="minorHAnsi" w:eastAsiaTheme="minorEastAsia" w:hAnsiTheme="minorHAnsi" w:cstheme="minorBidi"/>
            <w:b w:val="0"/>
            <w:spacing w:val="0"/>
            <w:kern w:val="2"/>
            <w:sz w:val="22"/>
            <w:szCs w:val="22"/>
            <w14:ligatures w14:val="standardContextual"/>
          </w:rPr>
          <w:tab/>
        </w:r>
        <w:r w:rsidRPr="00677DDF">
          <w:rPr>
            <w:rStyle w:val="Hyperlink"/>
          </w:rPr>
          <w:t>Key forward dates and events</w:t>
        </w:r>
        <w:r>
          <w:rPr>
            <w:webHidden/>
          </w:rPr>
          <w:tab/>
        </w:r>
        <w:r>
          <w:rPr>
            <w:webHidden/>
          </w:rPr>
          <w:fldChar w:fldCharType="begin"/>
        </w:r>
        <w:r>
          <w:rPr>
            <w:webHidden/>
          </w:rPr>
          <w:instrText xml:space="preserve"> PAGEREF _Toc175123947 \h </w:instrText>
        </w:r>
        <w:r>
          <w:rPr>
            <w:webHidden/>
          </w:rPr>
        </w:r>
        <w:r>
          <w:rPr>
            <w:webHidden/>
          </w:rPr>
          <w:fldChar w:fldCharType="separate"/>
        </w:r>
        <w:r>
          <w:rPr>
            <w:webHidden/>
          </w:rPr>
          <w:t>38</w:t>
        </w:r>
        <w:r>
          <w:rPr>
            <w:webHidden/>
          </w:rPr>
          <w:fldChar w:fldCharType="end"/>
        </w:r>
      </w:hyperlink>
    </w:p>
    <w:p w14:paraId="3427A7AB" w14:textId="07F99430" w:rsidR="00652BBD" w:rsidRDefault="00652BB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75123948" w:history="1">
        <w:r w:rsidRPr="00677DDF">
          <w:rPr>
            <w:rStyle w:val="Hyperlink"/>
          </w:rPr>
          <w:t xml:space="preserve">9. </w:t>
        </w:r>
        <w:r>
          <w:rPr>
            <w:rFonts w:asciiTheme="minorHAnsi" w:eastAsiaTheme="minorEastAsia" w:hAnsiTheme="minorHAnsi" w:cstheme="minorBidi"/>
            <w:b w:val="0"/>
            <w:spacing w:val="0"/>
            <w:kern w:val="2"/>
            <w:sz w:val="22"/>
            <w:szCs w:val="22"/>
            <w14:ligatures w14:val="standardContextual"/>
          </w:rPr>
          <w:tab/>
        </w:r>
        <w:r w:rsidRPr="00677DDF">
          <w:rPr>
            <w:rStyle w:val="Hyperlink"/>
          </w:rPr>
          <w:t>CRIS approval and change register</w:t>
        </w:r>
        <w:r>
          <w:rPr>
            <w:webHidden/>
          </w:rPr>
          <w:tab/>
        </w:r>
        <w:r>
          <w:rPr>
            <w:webHidden/>
          </w:rPr>
          <w:fldChar w:fldCharType="begin"/>
        </w:r>
        <w:r>
          <w:rPr>
            <w:webHidden/>
          </w:rPr>
          <w:instrText xml:space="preserve"> PAGEREF _Toc175123948 \h </w:instrText>
        </w:r>
        <w:r>
          <w:rPr>
            <w:webHidden/>
          </w:rPr>
        </w:r>
        <w:r>
          <w:rPr>
            <w:webHidden/>
          </w:rPr>
          <w:fldChar w:fldCharType="separate"/>
        </w:r>
        <w:r>
          <w:rPr>
            <w:webHidden/>
          </w:rPr>
          <w:t>39</w:t>
        </w:r>
        <w:r>
          <w:rPr>
            <w:webHidden/>
          </w:rPr>
          <w:fldChar w:fldCharType="end"/>
        </w:r>
      </w:hyperlink>
    </w:p>
    <w:p w14:paraId="70581A18" w14:textId="7BFAEC4F" w:rsidR="00652BBD" w:rsidRDefault="00652BBD">
      <w:pPr>
        <w:pStyle w:val="TOC1"/>
        <w:rPr>
          <w:rFonts w:asciiTheme="minorHAnsi" w:eastAsiaTheme="minorEastAsia" w:hAnsiTheme="minorHAnsi" w:cstheme="minorBidi"/>
          <w:b w:val="0"/>
          <w:spacing w:val="0"/>
          <w:kern w:val="2"/>
          <w:sz w:val="22"/>
          <w:szCs w:val="22"/>
          <w14:ligatures w14:val="standardContextual"/>
        </w:rPr>
      </w:pPr>
      <w:hyperlink w:anchor="_Toc175123949" w:history="1">
        <w:r w:rsidRPr="00677DDF">
          <w:rPr>
            <w:rStyle w:val="Hyperlink"/>
          </w:rPr>
          <w:t>Attachment A: Telecommunications activities not included in the ACLC</w:t>
        </w:r>
        <w:r>
          <w:rPr>
            <w:webHidden/>
          </w:rPr>
          <w:tab/>
        </w:r>
        <w:r>
          <w:rPr>
            <w:webHidden/>
          </w:rPr>
          <w:fldChar w:fldCharType="begin"/>
        </w:r>
        <w:r>
          <w:rPr>
            <w:webHidden/>
          </w:rPr>
          <w:instrText xml:space="preserve"> PAGEREF _Toc175123949 \h </w:instrText>
        </w:r>
        <w:r>
          <w:rPr>
            <w:webHidden/>
          </w:rPr>
        </w:r>
        <w:r>
          <w:rPr>
            <w:webHidden/>
          </w:rPr>
          <w:fldChar w:fldCharType="separate"/>
        </w:r>
        <w:r>
          <w:rPr>
            <w:webHidden/>
          </w:rPr>
          <w:t>41</w:t>
        </w:r>
        <w:r>
          <w:rPr>
            <w:webHidden/>
          </w:rPr>
          <w:fldChar w:fldCharType="end"/>
        </w:r>
      </w:hyperlink>
    </w:p>
    <w:p w14:paraId="7EEDF5CA" w14:textId="2EDD9689"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50" w:history="1">
        <w:r w:rsidRPr="00677DDF">
          <w:rPr>
            <w:rStyle w:val="Hyperlink"/>
          </w:rPr>
          <w:t>Smartnumbers allocation activities</w:t>
        </w:r>
        <w:r>
          <w:rPr>
            <w:webHidden/>
          </w:rPr>
          <w:tab/>
        </w:r>
        <w:r>
          <w:rPr>
            <w:webHidden/>
          </w:rPr>
          <w:fldChar w:fldCharType="begin"/>
        </w:r>
        <w:r>
          <w:rPr>
            <w:webHidden/>
          </w:rPr>
          <w:instrText xml:space="preserve"> PAGEREF _Toc175123950 \h </w:instrText>
        </w:r>
        <w:r>
          <w:rPr>
            <w:webHidden/>
          </w:rPr>
        </w:r>
        <w:r>
          <w:rPr>
            <w:webHidden/>
          </w:rPr>
          <w:fldChar w:fldCharType="separate"/>
        </w:r>
        <w:r>
          <w:rPr>
            <w:webHidden/>
          </w:rPr>
          <w:t>41</w:t>
        </w:r>
        <w:r>
          <w:rPr>
            <w:webHidden/>
          </w:rPr>
          <w:fldChar w:fldCharType="end"/>
        </w:r>
      </w:hyperlink>
    </w:p>
    <w:p w14:paraId="09FB35F4" w14:textId="3D42B314"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51" w:history="1">
        <w:r w:rsidRPr="00677DDF">
          <w:rPr>
            <w:rStyle w:val="Hyperlink"/>
          </w:rPr>
          <w:t>Anti-spam and e-security activities</w:t>
        </w:r>
        <w:r>
          <w:rPr>
            <w:webHidden/>
          </w:rPr>
          <w:tab/>
        </w:r>
        <w:r>
          <w:rPr>
            <w:webHidden/>
          </w:rPr>
          <w:fldChar w:fldCharType="begin"/>
        </w:r>
        <w:r>
          <w:rPr>
            <w:webHidden/>
          </w:rPr>
          <w:instrText xml:space="preserve"> PAGEREF _Toc175123951 \h </w:instrText>
        </w:r>
        <w:r>
          <w:rPr>
            <w:webHidden/>
          </w:rPr>
        </w:r>
        <w:r>
          <w:rPr>
            <w:webHidden/>
          </w:rPr>
          <w:fldChar w:fldCharType="separate"/>
        </w:r>
        <w:r>
          <w:rPr>
            <w:webHidden/>
          </w:rPr>
          <w:t>41</w:t>
        </w:r>
        <w:r>
          <w:rPr>
            <w:webHidden/>
          </w:rPr>
          <w:fldChar w:fldCharType="end"/>
        </w:r>
      </w:hyperlink>
    </w:p>
    <w:p w14:paraId="055196F4" w14:textId="7A795F9E"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52" w:history="1">
        <w:r w:rsidRPr="00677DDF">
          <w:rPr>
            <w:rStyle w:val="Hyperlink"/>
          </w:rPr>
          <w:t>Do Not Call Register and telemarketing-related activities</w:t>
        </w:r>
        <w:r>
          <w:rPr>
            <w:webHidden/>
          </w:rPr>
          <w:tab/>
        </w:r>
        <w:r>
          <w:rPr>
            <w:webHidden/>
          </w:rPr>
          <w:fldChar w:fldCharType="begin"/>
        </w:r>
        <w:r>
          <w:rPr>
            <w:webHidden/>
          </w:rPr>
          <w:instrText xml:space="preserve"> PAGEREF _Toc175123952 \h </w:instrText>
        </w:r>
        <w:r>
          <w:rPr>
            <w:webHidden/>
          </w:rPr>
        </w:r>
        <w:r>
          <w:rPr>
            <w:webHidden/>
          </w:rPr>
          <w:fldChar w:fldCharType="separate"/>
        </w:r>
        <w:r>
          <w:rPr>
            <w:webHidden/>
          </w:rPr>
          <w:t>41</w:t>
        </w:r>
        <w:r>
          <w:rPr>
            <w:webHidden/>
          </w:rPr>
          <w:fldChar w:fldCharType="end"/>
        </w:r>
      </w:hyperlink>
    </w:p>
    <w:p w14:paraId="2618C2CB" w14:textId="3BC8D357"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53" w:history="1">
        <w:r w:rsidRPr="00677DDF">
          <w:rPr>
            <w:rStyle w:val="Hyperlink"/>
          </w:rPr>
          <w:t>Public information activities</w:t>
        </w:r>
        <w:r>
          <w:rPr>
            <w:webHidden/>
          </w:rPr>
          <w:tab/>
        </w:r>
        <w:r>
          <w:rPr>
            <w:webHidden/>
          </w:rPr>
          <w:fldChar w:fldCharType="begin"/>
        </w:r>
        <w:r>
          <w:rPr>
            <w:webHidden/>
          </w:rPr>
          <w:instrText xml:space="preserve"> PAGEREF _Toc175123953 \h </w:instrText>
        </w:r>
        <w:r>
          <w:rPr>
            <w:webHidden/>
          </w:rPr>
        </w:r>
        <w:r>
          <w:rPr>
            <w:webHidden/>
          </w:rPr>
          <w:fldChar w:fldCharType="separate"/>
        </w:r>
        <w:r>
          <w:rPr>
            <w:webHidden/>
          </w:rPr>
          <w:t>41</w:t>
        </w:r>
        <w:r>
          <w:rPr>
            <w:webHidden/>
          </w:rPr>
          <w:fldChar w:fldCharType="end"/>
        </w:r>
      </w:hyperlink>
    </w:p>
    <w:p w14:paraId="1EF5A969" w14:textId="133DD7CA"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54" w:history="1">
        <w:r w:rsidRPr="00677DDF">
          <w:rPr>
            <w:rStyle w:val="Hyperlink"/>
          </w:rPr>
          <w:t>Other telecommunications activities</w:t>
        </w:r>
        <w:r>
          <w:rPr>
            <w:webHidden/>
          </w:rPr>
          <w:tab/>
        </w:r>
        <w:r>
          <w:rPr>
            <w:webHidden/>
          </w:rPr>
          <w:fldChar w:fldCharType="begin"/>
        </w:r>
        <w:r>
          <w:rPr>
            <w:webHidden/>
          </w:rPr>
          <w:instrText xml:space="preserve"> PAGEREF _Toc175123954 \h </w:instrText>
        </w:r>
        <w:r>
          <w:rPr>
            <w:webHidden/>
          </w:rPr>
        </w:r>
        <w:r>
          <w:rPr>
            <w:webHidden/>
          </w:rPr>
          <w:fldChar w:fldCharType="separate"/>
        </w:r>
        <w:r>
          <w:rPr>
            <w:webHidden/>
          </w:rPr>
          <w:t>41</w:t>
        </w:r>
        <w:r>
          <w:rPr>
            <w:webHidden/>
          </w:rPr>
          <w:fldChar w:fldCharType="end"/>
        </w:r>
      </w:hyperlink>
    </w:p>
    <w:p w14:paraId="5170D572" w14:textId="3DCFC87B" w:rsidR="00652BBD" w:rsidRDefault="00652BBD">
      <w:pPr>
        <w:pStyle w:val="TOC1"/>
        <w:rPr>
          <w:rFonts w:asciiTheme="minorHAnsi" w:eastAsiaTheme="minorEastAsia" w:hAnsiTheme="minorHAnsi" w:cstheme="minorBidi"/>
          <w:b w:val="0"/>
          <w:spacing w:val="0"/>
          <w:kern w:val="2"/>
          <w:sz w:val="22"/>
          <w:szCs w:val="22"/>
          <w14:ligatures w14:val="standardContextual"/>
        </w:rPr>
      </w:pPr>
      <w:hyperlink w:anchor="_Toc175123955" w:history="1">
        <w:r w:rsidRPr="00677DDF">
          <w:rPr>
            <w:rStyle w:val="Hyperlink"/>
          </w:rPr>
          <w:t>Attachment B: Cost Recovery Implementation Statement – Measuring Broadband Australia program</w:t>
        </w:r>
        <w:r>
          <w:rPr>
            <w:webHidden/>
          </w:rPr>
          <w:tab/>
        </w:r>
        <w:r>
          <w:rPr>
            <w:webHidden/>
          </w:rPr>
          <w:fldChar w:fldCharType="begin"/>
        </w:r>
        <w:r>
          <w:rPr>
            <w:webHidden/>
          </w:rPr>
          <w:instrText xml:space="preserve"> PAGEREF _Toc175123955 \h </w:instrText>
        </w:r>
        <w:r>
          <w:rPr>
            <w:webHidden/>
          </w:rPr>
        </w:r>
        <w:r>
          <w:rPr>
            <w:webHidden/>
          </w:rPr>
          <w:fldChar w:fldCharType="separate"/>
        </w:r>
        <w:r>
          <w:rPr>
            <w:webHidden/>
          </w:rPr>
          <w:t>42</w:t>
        </w:r>
        <w:r>
          <w:rPr>
            <w:webHidden/>
          </w:rPr>
          <w:fldChar w:fldCharType="end"/>
        </w:r>
      </w:hyperlink>
    </w:p>
    <w:p w14:paraId="70B94802" w14:textId="0A65166B"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56" w:history="1">
        <w:r w:rsidRPr="00677DDF">
          <w:rPr>
            <w:rStyle w:val="Hyperlink"/>
          </w:rPr>
          <w:t xml:space="preserve">1. </w:t>
        </w:r>
        <w:r>
          <w:rPr>
            <w:rFonts w:asciiTheme="minorHAnsi" w:eastAsiaTheme="minorEastAsia" w:hAnsiTheme="minorHAnsi" w:cstheme="minorBidi"/>
            <w:spacing w:val="0"/>
            <w:kern w:val="2"/>
            <w:sz w:val="22"/>
            <w:szCs w:val="22"/>
            <w14:ligatures w14:val="standardContextual"/>
          </w:rPr>
          <w:tab/>
        </w:r>
        <w:r w:rsidRPr="00677DDF">
          <w:rPr>
            <w:rStyle w:val="Hyperlink"/>
          </w:rPr>
          <w:t>Introduction</w:t>
        </w:r>
        <w:r>
          <w:rPr>
            <w:webHidden/>
          </w:rPr>
          <w:tab/>
        </w:r>
        <w:r>
          <w:rPr>
            <w:webHidden/>
          </w:rPr>
          <w:fldChar w:fldCharType="begin"/>
        </w:r>
        <w:r>
          <w:rPr>
            <w:webHidden/>
          </w:rPr>
          <w:instrText xml:space="preserve"> PAGEREF _Toc175123956 \h </w:instrText>
        </w:r>
        <w:r>
          <w:rPr>
            <w:webHidden/>
          </w:rPr>
        </w:r>
        <w:r>
          <w:rPr>
            <w:webHidden/>
          </w:rPr>
          <w:fldChar w:fldCharType="separate"/>
        </w:r>
        <w:r>
          <w:rPr>
            <w:webHidden/>
          </w:rPr>
          <w:t>42</w:t>
        </w:r>
        <w:r>
          <w:rPr>
            <w:webHidden/>
          </w:rPr>
          <w:fldChar w:fldCharType="end"/>
        </w:r>
      </w:hyperlink>
    </w:p>
    <w:p w14:paraId="0F0C6D84" w14:textId="2E404057"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57" w:history="1">
        <w:r w:rsidRPr="00677DDF">
          <w:rPr>
            <w:rStyle w:val="Hyperlink"/>
          </w:rPr>
          <w:t xml:space="preserve">2. </w:t>
        </w:r>
        <w:r>
          <w:rPr>
            <w:rFonts w:asciiTheme="minorHAnsi" w:eastAsiaTheme="minorEastAsia" w:hAnsiTheme="minorHAnsi" w:cstheme="minorBidi"/>
            <w:spacing w:val="0"/>
            <w:kern w:val="2"/>
            <w:sz w:val="22"/>
            <w:szCs w:val="22"/>
            <w14:ligatures w14:val="standardContextual"/>
          </w:rPr>
          <w:tab/>
        </w:r>
        <w:r w:rsidRPr="00677DDF">
          <w:rPr>
            <w:rStyle w:val="Hyperlink"/>
          </w:rPr>
          <w:t>Policy and statutory authority to undertake cost recovery</w:t>
        </w:r>
        <w:r>
          <w:rPr>
            <w:webHidden/>
          </w:rPr>
          <w:tab/>
        </w:r>
        <w:r>
          <w:rPr>
            <w:webHidden/>
          </w:rPr>
          <w:fldChar w:fldCharType="begin"/>
        </w:r>
        <w:r>
          <w:rPr>
            <w:webHidden/>
          </w:rPr>
          <w:instrText xml:space="preserve"> PAGEREF _Toc175123957 \h </w:instrText>
        </w:r>
        <w:r>
          <w:rPr>
            <w:webHidden/>
          </w:rPr>
        </w:r>
        <w:r>
          <w:rPr>
            <w:webHidden/>
          </w:rPr>
          <w:fldChar w:fldCharType="separate"/>
        </w:r>
        <w:r>
          <w:rPr>
            <w:webHidden/>
          </w:rPr>
          <w:t>43</w:t>
        </w:r>
        <w:r>
          <w:rPr>
            <w:webHidden/>
          </w:rPr>
          <w:fldChar w:fldCharType="end"/>
        </w:r>
      </w:hyperlink>
    </w:p>
    <w:p w14:paraId="6AD20CEF" w14:textId="1CE2D159"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58" w:history="1">
        <w:r w:rsidRPr="00677DDF">
          <w:rPr>
            <w:rStyle w:val="Hyperlink"/>
          </w:rPr>
          <w:t>3.</w:t>
        </w:r>
        <w:r>
          <w:rPr>
            <w:rFonts w:asciiTheme="minorHAnsi" w:eastAsiaTheme="minorEastAsia" w:hAnsiTheme="minorHAnsi" w:cstheme="minorBidi"/>
            <w:spacing w:val="0"/>
            <w:kern w:val="2"/>
            <w:sz w:val="22"/>
            <w:szCs w:val="22"/>
            <w14:ligatures w14:val="standardContextual"/>
          </w:rPr>
          <w:tab/>
        </w:r>
        <w:r w:rsidRPr="00677DDF">
          <w:rPr>
            <w:rStyle w:val="Hyperlink"/>
          </w:rPr>
          <w:t>Cost-recovery model</w:t>
        </w:r>
        <w:r>
          <w:rPr>
            <w:webHidden/>
          </w:rPr>
          <w:tab/>
        </w:r>
        <w:r>
          <w:rPr>
            <w:webHidden/>
          </w:rPr>
          <w:fldChar w:fldCharType="begin"/>
        </w:r>
        <w:r>
          <w:rPr>
            <w:webHidden/>
          </w:rPr>
          <w:instrText xml:space="preserve"> PAGEREF _Toc175123958 \h </w:instrText>
        </w:r>
        <w:r>
          <w:rPr>
            <w:webHidden/>
          </w:rPr>
        </w:r>
        <w:r>
          <w:rPr>
            <w:webHidden/>
          </w:rPr>
          <w:fldChar w:fldCharType="separate"/>
        </w:r>
        <w:r>
          <w:rPr>
            <w:webHidden/>
          </w:rPr>
          <w:t>44</w:t>
        </w:r>
        <w:r>
          <w:rPr>
            <w:webHidden/>
          </w:rPr>
          <w:fldChar w:fldCharType="end"/>
        </w:r>
      </w:hyperlink>
    </w:p>
    <w:p w14:paraId="17471E91" w14:textId="27B35814"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59" w:history="1">
        <w:r w:rsidRPr="00677DDF">
          <w:rPr>
            <w:rStyle w:val="Hyperlink"/>
          </w:rPr>
          <w:t xml:space="preserve">4. </w:t>
        </w:r>
        <w:r>
          <w:rPr>
            <w:rFonts w:asciiTheme="minorHAnsi" w:eastAsiaTheme="minorEastAsia" w:hAnsiTheme="minorHAnsi" w:cstheme="minorBidi"/>
            <w:spacing w:val="0"/>
            <w:kern w:val="2"/>
            <w:sz w:val="22"/>
            <w:szCs w:val="22"/>
            <w14:ligatures w14:val="standardContextual"/>
          </w:rPr>
          <w:tab/>
        </w:r>
        <w:r w:rsidRPr="00677DDF">
          <w:rPr>
            <w:rStyle w:val="Hyperlink"/>
          </w:rPr>
          <w:t>Risk assessment</w:t>
        </w:r>
        <w:r>
          <w:rPr>
            <w:webHidden/>
          </w:rPr>
          <w:tab/>
        </w:r>
        <w:r>
          <w:rPr>
            <w:webHidden/>
          </w:rPr>
          <w:fldChar w:fldCharType="begin"/>
        </w:r>
        <w:r>
          <w:rPr>
            <w:webHidden/>
          </w:rPr>
          <w:instrText xml:space="preserve"> PAGEREF _Toc175123959 \h </w:instrText>
        </w:r>
        <w:r>
          <w:rPr>
            <w:webHidden/>
          </w:rPr>
        </w:r>
        <w:r>
          <w:rPr>
            <w:webHidden/>
          </w:rPr>
          <w:fldChar w:fldCharType="separate"/>
        </w:r>
        <w:r>
          <w:rPr>
            <w:webHidden/>
          </w:rPr>
          <w:t>47</w:t>
        </w:r>
        <w:r>
          <w:rPr>
            <w:webHidden/>
          </w:rPr>
          <w:fldChar w:fldCharType="end"/>
        </w:r>
      </w:hyperlink>
    </w:p>
    <w:p w14:paraId="1E6C7054" w14:textId="0AA7B363"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60" w:history="1">
        <w:r w:rsidRPr="00677DDF">
          <w:rPr>
            <w:rStyle w:val="Hyperlink"/>
          </w:rPr>
          <w:t xml:space="preserve">5. </w:t>
        </w:r>
        <w:r>
          <w:rPr>
            <w:rFonts w:asciiTheme="minorHAnsi" w:eastAsiaTheme="minorEastAsia" w:hAnsiTheme="minorHAnsi" w:cstheme="minorBidi"/>
            <w:spacing w:val="0"/>
            <w:kern w:val="2"/>
            <w:sz w:val="22"/>
            <w:szCs w:val="22"/>
            <w14:ligatures w14:val="standardContextual"/>
          </w:rPr>
          <w:tab/>
        </w:r>
        <w:r w:rsidRPr="00677DDF">
          <w:rPr>
            <w:rStyle w:val="Hyperlink"/>
          </w:rPr>
          <w:t>Stakeholder engagement</w:t>
        </w:r>
        <w:r>
          <w:rPr>
            <w:webHidden/>
          </w:rPr>
          <w:tab/>
        </w:r>
        <w:r>
          <w:rPr>
            <w:webHidden/>
          </w:rPr>
          <w:fldChar w:fldCharType="begin"/>
        </w:r>
        <w:r>
          <w:rPr>
            <w:webHidden/>
          </w:rPr>
          <w:instrText xml:space="preserve"> PAGEREF _Toc175123960 \h </w:instrText>
        </w:r>
        <w:r>
          <w:rPr>
            <w:webHidden/>
          </w:rPr>
        </w:r>
        <w:r>
          <w:rPr>
            <w:webHidden/>
          </w:rPr>
          <w:fldChar w:fldCharType="separate"/>
        </w:r>
        <w:r>
          <w:rPr>
            <w:webHidden/>
          </w:rPr>
          <w:t>48</w:t>
        </w:r>
        <w:r>
          <w:rPr>
            <w:webHidden/>
          </w:rPr>
          <w:fldChar w:fldCharType="end"/>
        </w:r>
      </w:hyperlink>
    </w:p>
    <w:p w14:paraId="411DFD37" w14:textId="650A3C1F"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61" w:history="1">
        <w:r w:rsidRPr="00677DDF">
          <w:rPr>
            <w:rStyle w:val="Hyperlink"/>
          </w:rPr>
          <w:t xml:space="preserve">6. </w:t>
        </w:r>
        <w:r>
          <w:rPr>
            <w:rFonts w:asciiTheme="minorHAnsi" w:eastAsiaTheme="minorEastAsia" w:hAnsiTheme="minorHAnsi" w:cstheme="minorBidi"/>
            <w:spacing w:val="0"/>
            <w:kern w:val="2"/>
            <w:sz w:val="22"/>
            <w:szCs w:val="22"/>
            <w14:ligatures w14:val="standardContextual"/>
          </w:rPr>
          <w:tab/>
        </w:r>
        <w:r w:rsidRPr="00677DDF">
          <w:rPr>
            <w:rStyle w:val="Hyperlink"/>
          </w:rPr>
          <w:t>Financial estimates</w:t>
        </w:r>
        <w:r>
          <w:rPr>
            <w:webHidden/>
          </w:rPr>
          <w:tab/>
        </w:r>
        <w:r>
          <w:rPr>
            <w:webHidden/>
          </w:rPr>
          <w:fldChar w:fldCharType="begin"/>
        </w:r>
        <w:r>
          <w:rPr>
            <w:webHidden/>
          </w:rPr>
          <w:instrText xml:space="preserve"> PAGEREF _Toc175123961 \h </w:instrText>
        </w:r>
        <w:r>
          <w:rPr>
            <w:webHidden/>
          </w:rPr>
        </w:r>
        <w:r>
          <w:rPr>
            <w:webHidden/>
          </w:rPr>
          <w:fldChar w:fldCharType="separate"/>
        </w:r>
        <w:r>
          <w:rPr>
            <w:webHidden/>
          </w:rPr>
          <w:t>49</w:t>
        </w:r>
        <w:r>
          <w:rPr>
            <w:webHidden/>
          </w:rPr>
          <w:fldChar w:fldCharType="end"/>
        </w:r>
      </w:hyperlink>
    </w:p>
    <w:p w14:paraId="3687F163" w14:textId="140B48D5"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62" w:history="1">
        <w:r w:rsidRPr="00677DDF">
          <w:rPr>
            <w:rStyle w:val="Hyperlink"/>
          </w:rPr>
          <w:t>7A.</w:t>
        </w:r>
        <w:r>
          <w:rPr>
            <w:rFonts w:asciiTheme="minorHAnsi" w:eastAsiaTheme="minorEastAsia" w:hAnsiTheme="minorHAnsi" w:cstheme="minorBidi"/>
            <w:spacing w:val="0"/>
            <w:kern w:val="2"/>
            <w:sz w:val="22"/>
            <w:szCs w:val="22"/>
            <w14:ligatures w14:val="standardContextual"/>
          </w:rPr>
          <w:tab/>
        </w:r>
        <w:r w:rsidRPr="00677DDF">
          <w:rPr>
            <w:rStyle w:val="Hyperlink"/>
          </w:rPr>
          <w:t>Financial performance</w:t>
        </w:r>
        <w:r>
          <w:rPr>
            <w:webHidden/>
          </w:rPr>
          <w:tab/>
        </w:r>
        <w:r>
          <w:rPr>
            <w:webHidden/>
          </w:rPr>
          <w:fldChar w:fldCharType="begin"/>
        </w:r>
        <w:r>
          <w:rPr>
            <w:webHidden/>
          </w:rPr>
          <w:instrText xml:space="preserve"> PAGEREF _Toc175123962 \h </w:instrText>
        </w:r>
        <w:r>
          <w:rPr>
            <w:webHidden/>
          </w:rPr>
        </w:r>
        <w:r>
          <w:rPr>
            <w:webHidden/>
          </w:rPr>
          <w:fldChar w:fldCharType="separate"/>
        </w:r>
        <w:r>
          <w:rPr>
            <w:webHidden/>
          </w:rPr>
          <w:t>50</w:t>
        </w:r>
        <w:r>
          <w:rPr>
            <w:webHidden/>
          </w:rPr>
          <w:fldChar w:fldCharType="end"/>
        </w:r>
      </w:hyperlink>
    </w:p>
    <w:p w14:paraId="1844249B" w14:textId="288D8D73"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63" w:history="1">
        <w:r w:rsidRPr="00677DDF">
          <w:rPr>
            <w:rStyle w:val="Hyperlink"/>
          </w:rPr>
          <w:t>7B.</w:t>
        </w:r>
        <w:r>
          <w:rPr>
            <w:rFonts w:asciiTheme="minorHAnsi" w:eastAsiaTheme="minorEastAsia" w:hAnsiTheme="minorHAnsi" w:cstheme="minorBidi"/>
            <w:spacing w:val="0"/>
            <w:kern w:val="2"/>
            <w:sz w:val="22"/>
            <w:szCs w:val="22"/>
            <w14:ligatures w14:val="standardContextual"/>
          </w:rPr>
          <w:tab/>
        </w:r>
        <w:r w:rsidRPr="00677DDF">
          <w:rPr>
            <w:rStyle w:val="Hyperlink"/>
          </w:rPr>
          <w:t>Non-financial performance</w:t>
        </w:r>
        <w:r>
          <w:rPr>
            <w:webHidden/>
          </w:rPr>
          <w:tab/>
        </w:r>
        <w:r>
          <w:rPr>
            <w:webHidden/>
          </w:rPr>
          <w:fldChar w:fldCharType="begin"/>
        </w:r>
        <w:r>
          <w:rPr>
            <w:webHidden/>
          </w:rPr>
          <w:instrText xml:space="preserve"> PAGEREF _Toc175123963 \h </w:instrText>
        </w:r>
        <w:r>
          <w:rPr>
            <w:webHidden/>
          </w:rPr>
        </w:r>
        <w:r>
          <w:rPr>
            <w:webHidden/>
          </w:rPr>
          <w:fldChar w:fldCharType="separate"/>
        </w:r>
        <w:r>
          <w:rPr>
            <w:webHidden/>
          </w:rPr>
          <w:t>50</w:t>
        </w:r>
        <w:r>
          <w:rPr>
            <w:webHidden/>
          </w:rPr>
          <w:fldChar w:fldCharType="end"/>
        </w:r>
      </w:hyperlink>
    </w:p>
    <w:p w14:paraId="093D0649" w14:textId="29FD9DEA" w:rsidR="00652BBD" w:rsidRDefault="00652BBD">
      <w:pPr>
        <w:pStyle w:val="TOC2"/>
        <w:rPr>
          <w:rFonts w:asciiTheme="minorHAnsi" w:eastAsiaTheme="minorEastAsia" w:hAnsiTheme="minorHAnsi" w:cstheme="minorBidi"/>
          <w:spacing w:val="0"/>
          <w:kern w:val="2"/>
          <w:sz w:val="22"/>
          <w:szCs w:val="22"/>
          <w14:ligatures w14:val="standardContextual"/>
        </w:rPr>
      </w:pPr>
      <w:hyperlink w:anchor="_Toc175123964" w:history="1">
        <w:r w:rsidRPr="00677DDF">
          <w:rPr>
            <w:rStyle w:val="Hyperlink"/>
          </w:rPr>
          <w:t>8.</w:t>
        </w:r>
        <w:r>
          <w:rPr>
            <w:rFonts w:asciiTheme="minorHAnsi" w:eastAsiaTheme="minorEastAsia" w:hAnsiTheme="minorHAnsi" w:cstheme="minorBidi"/>
            <w:spacing w:val="0"/>
            <w:kern w:val="2"/>
            <w:sz w:val="22"/>
            <w:szCs w:val="22"/>
            <w14:ligatures w14:val="standardContextual"/>
          </w:rPr>
          <w:tab/>
        </w:r>
        <w:r w:rsidRPr="00677DDF">
          <w:rPr>
            <w:rStyle w:val="Hyperlink"/>
          </w:rPr>
          <w:t>Key forward dates and events</w:t>
        </w:r>
        <w:r>
          <w:rPr>
            <w:webHidden/>
          </w:rPr>
          <w:tab/>
        </w:r>
        <w:r>
          <w:rPr>
            <w:webHidden/>
          </w:rPr>
          <w:fldChar w:fldCharType="begin"/>
        </w:r>
        <w:r>
          <w:rPr>
            <w:webHidden/>
          </w:rPr>
          <w:instrText xml:space="preserve"> PAGEREF _Toc175123964 \h </w:instrText>
        </w:r>
        <w:r>
          <w:rPr>
            <w:webHidden/>
          </w:rPr>
        </w:r>
        <w:r>
          <w:rPr>
            <w:webHidden/>
          </w:rPr>
          <w:fldChar w:fldCharType="separate"/>
        </w:r>
        <w:r>
          <w:rPr>
            <w:webHidden/>
          </w:rPr>
          <w:t>51</w:t>
        </w:r>
        <w:r>
          <w:rPr>
            <w:webHidden/>
          </w:rPr>
          <w:fldChar w:fldCharType="end"/>
        </w:r>
      </w:hyperlink>
    </w:p>
    <w:p w14:paraId="0526C5F0" w14:textId="542E1915" w:rsidR="00652BBD" w:rsidRDefault="00652BBD">
      <w:pPr>
        <w:pStyle w:val="TOC1"/>
        <w:rPr>
          <w:rFonts w:asciiTheme="minorHAnsi" w:eastAsiaTheme="minorEastAsia" w:hAnsiTheme="minorHAnsi" w:cstheme="minorBidi"/>
          <w:b w:val="0"/>
          <w:spacing w:val="0"/>
          <w:kern w:val="2"/>
          <w:sz w:val="22"/>
          <w:szCs w:val="22"/>
          <w14:ligatures w14:val="standardContextual"/>
        </w:rPr>
      </w:pPr>
      <w:hyperlink w:anchor="_Toc175123965" w:history="1">
        <w:r w:rsidRPr="00677DDF">
          <w:rPr>
            <w:rStyle w:val="Hyperlink"/>
          </w:rPr>
          <w:t>Glossary</w:t>
        </w:r>
        <w:r>
          <w:rPr>
            <w:webHidden/>
          </w:rPr>
          <w:tab/>
        </w:r>
        <w:r>
          <w:rPr>
            <w:webHidden/>
          </w:rPr>
          <w:fldChar w:fldCharType="begin"/>
        </w:r>
        <w:r>
          <w:rPr>
            <w:webHidden/>
          </w:rPr>
          <w:instrText xml:space="preserve"> PAGEREF _Toc175123965 \h </w:instrText>
        </w:r>
        <w:r>
          <w:rPr>
            <w:webHidden/>
          </w:rPr>
        </w:r>
        <w:r>
          <w:rPr>
            <w:webHidden/>
          </w:rPr>
          <w:fldChar w:fldCharType="separate"/>
        </w:r>
        <w:r>
          <w:rPr>
            <w:webHidden/>
          </w:rPr>
          <w:t>52</w:t>
        </w:r>
        <w:r>
          <w:rPr>
            <w:webHidden/>
          </w:rPr>
          <w:fldChar w:fldCharType="end"/>
        </w:r>
      </w:hyperlink>
    </w:p>
    <w:p w14:paraId="2AA456EE" w14:textId="3B842A21" w:rsidR="004D56FF" w:rsidRPr="00A17B1B" w:rsidRDefault="00062369">
      <w:pPr>
        <w:rPr>
          <w:rFonts w:cs="Arial"/>
        </w:rPr>
        <w:sectPr w:rsidR="004D56FF" w:rsidRPr="00A17B1B" w:rsidSect="005A62E5">
          <w:headerReference w:type="even" r:id="rId18"/>
          <w:headerReference w:type="default" r:id="rId19"/>
          <w:footerReference w:type="even" r:id="rId20"/>
          <w:footerReference w:type="default" r:id="rId21"/>
          <w:footerReference w:type="first" r:id="rId22"/>
          <w:pgSz w:w="11906" w:h="16838" w:code="9"/>
          <w:pgMar w:top="1418" w:right="1418" w:bottom="1134" w:left="1418" w:header="709" w:footer="119" w:gutter="0"/>
          <w:pgNumType w:fmt="lowerRoman" w:start="3"/>
          <w:cols w:space="708"/>
          <w:titlePg/>
          <w:docGrid w:linePitch="360"/>
        </w:sectPr>
      </w:pPr>
      <w:r>
        <w:rPr>
          <w:rFonts w:cs="Arial"/>
          <w:b/>
          <w:noProof/>
          <w:spacing w:val="-14"/>
          <w:sz w:val="28"/>
        </w:rPr>
        <w:fldChar w:fldCharType="end"/>
      </w:r>
    </w:p>
    <w:p w14:paraId="32BA22E0" w14:textId="77777777" w:rsidR="00E41A00" w:rsidRPr="00AE6A60" w:rsidRDefault="00E41A00" w:rsidP="00E41A00">
      <w:pPr>
        <w:pStyle w:val="Heading1"/>
      </w:pPr>
      <w:bookmarkStart w:id="0" w:name="_Toc355953981"/>
      <w:bookmarkStart w:id="1" w:name="_Toc385256311"/>
      <w:bookmarkStart w:id="2" w:name="_Toc417990939"/>
      <w:bookmarkStart w:id="3" w:name="_Toc511634380"/>
      <w:bookmarkStart w:id="4" w:name="_Toc67042569"/>
      <w:bookmarkStart w:id="5" w:name="_Toc108599203"/>
      <w:bookmarkStart w:id="6" w:name="_Toc121920484"/>
      <w:bookmarkStart w:id="7" w:name="_Toc149735440"/>
      <w:bookmarkStart w:id="8" w:name="_Toc175123921"/>
      <w:r w:rsidRPr="00AE6A60">
        <w:lastRenderedPageBreak/>
        <w:t xml:space="preserve">1. </w:t>
      </w:r>
      <w:r w:rsidRPr="00AE6A60">
        <w:tab/>
      </w:r>
      <w:bookmarkEnd w:id="0"/>
      <w:r w:rsidRPr="00AE6A60">
        <w:t>Introduction</w:t>
      </w:r>
      <w:bookmarkEnd w:id="1"/>
      <w:bookmarkEnd w:id="2"/>
      <w:bookmarkEnd w:id="3"/>
      <w:bookmarkEnd w:id="4"/>
      <w:bookmarkEnd w:id="5"/>
      <w:bookmarkEnd w:id="6"/>
      <w:bookmarkEnd w:id="7"/>
      <w:bookmarkEnd w:id="8"/>
    </w:p>
    <w:p w14:paraId="29D8CB96" w14:textId="77777777" w:rsidR="00E41A00" w:rsidRPr="00AE6A60" w:rsidRDefault="00E41A00" w:rsidP="00E41A00">
      <w:pPr>
        <w:pStyle w:val="Heading2"/>
      </w:pPr>
      <w:bookmarkStart w:id="9" w:name="_Toc355953982"/>
      <w:bookmarkStart w:id="10" w:name="_Toc385256312"/>
      <w:bookmarkStart w:id="11" w:name="_Toc417990940"/>
      <w:bookmarkStart w:id="12" w:name="_Toc511634381"/>
      <w:bookmarkStart w:id="13" w:name="_Toc67042570"/>
      <w:bookmarkStart w:id="14" w:name="_Toc108599204"/>
      <w:bookmarkStart w:id="15" w:name="_Toc121920485"/>
      <w:bookmarkStart w:id="16" w:name="_Toc149735441"/>
      <w:bookmarkStart w:id="17" w:name="purpose"/>
      <w:bookmarkStart w:id="18" w:name="_Toc175123922"/>
      <w:r w:rsidRPr="00AE6A60">
        <w:t xml:space="preserve">1.1 </w:t>
      </w:r>
      <w:r w:rsidRPr="00AE6A60">
        <w:tab/>
        <w:t>Purpose</w:t>
      </w:r>
      <w:bookmarkEnd w:id="9"/>
      <w:bookmarkEnd w:id="10"/>
      <w:r w:rsidRPr="00AE6A60">
        <w:t xml:space="preserve"> of the Cost Recovery Implementation Statement</w:t>
      </w:r>
      <w:bookmarkEnd w:id="11"/>
      <w:bookmarkEnd w:id="12"/>
      <w:bookmarkEnd w:id="13"/>
      <w:bookmarkEnd w:id="14"/>
      <w:bookmarkEnd w:id="15"/>
      <w:bookmarkEnd w:id="16"/>
      <w:bookmarkEnd w:id="18"/>
    </w:p>
    <w:bookmarkEnd w:id="17"/>
    <w:p w14:paraId="7D070CA9" w14:textId="77777777" w:rsidR="00E41A00" w:rsidRDefault="00E41A00" w:rsidP="00E41A00">
      <w:pPr>
        <w:pStyle w:val="Paragraph"/>
      </w:pPr>
      <w:r w:rsidRPr="00AE6A60">
        <w:t>This Cost Recovery Implementation Statement (CRIS) provides information on how the Australian Communications and Media Authority (ACMA), the Australian Competition and Consumer Commission (ACCC) and the Department of Infrastructure, Transport, Regional Development</w:t>
      </w:r>
      <w:r>
        <w:t>,</w:t>
      </w:r>
      <w:r w:rsidRPr="00AE6A60">
        <w:t xml:space="preserve"> </w:t>
      </w:r>
      <w:proofErr w:type="gramStart"/>
      <w:r w:rsidRPr="00AE6A60">
        <w:t>Communications</w:t>
      </w:r>
      <w:proofErr w:type="gramEnd"/>
      <w:r w:rsidRPr="00AE6A60">
        <w:t xml:space="preserve"> </w:t>
      </w:r>
      <w:r>
        <w:t xml:space="preserve">and the Arts </w:t>
      </w:r>
      <w:r w:rsidRPr="00AE6A60">
        <w:t>(</w:t>
      </w:r>
      <w:r>
        <w:t>DITRDCA</w:t>
      </w:r>
      <w:r w:rsidRPr="00AE6A60">
        <w:t>) apply cost</w:t>
      </w:r>
      <w:r>
        <w:t>-</w:t>
      </w:r>
      <w:r w:rsidRPr="00AE6A60">
        <w:t xml:space="preserve">recovery principles </w:t>
      </w:r>
      <w:r>
        <w:t>to</w:t>
      </w:r>
      <w:r w:rsidRPr="00AE6A60">
        <w:t xml:space="preserve"> determin</w:t>
      </w:r>
      <w:r>
        <w:t xml:space="preserve">e </w:t>
      </w:r>
      <w:r w:rsidRPr="00AE6A60">
        <w:t xml:space="preserve">relevant amounts under the </w:t>
      </w:r>
      <w:r w:rsidRPr="00AE6A60">
        <w:rPr>
          <w:i/>
        </w:rPr>
        <w:t>Telecommunications (Carrier Licence Charges) Act 1997</w:t>
      </w:r>
      <w:r w:rsidRPr="00AE6A60">
        <w:rPr>
          <w:iCs/>
        </w:rPr>
        <w:t xml:space="preserve"> </w:t>
      </w:r>
      <w:r w:rsidRPr="00AE6A60">
        <w:t>to be recovered through the Annual Carrier Licence Charge (ACLC).</w:t>
      </w:r>
    </w:p>
    <w:p w14:paraId="127DA110" w14:textId="77777777" w:rsidR="00E41A00" w:rsidRDefault="00E41A00" w:rsidP="00E41A00">
      <w:pPr>
        <w:pStyle w:val="Paragraph"/>
      </w:pPr>
      <w:r w:rsidRPr="00AE6A60">
        <w:t>A summary of the cost</w:t>
      </w:r>
      <w:r>
        <w:t>-</w:t>
      </w:r>
      <w:r w:rsidRPr="00AE6A60">
        <w:t xml:space="preserve">recovery models used by the ACMA, ACCC and the </w:t>
      </w:r>
      <w:bookmarkStart w:id="19" w:name="_Hlk23402389"/>
      <w:r w:rsidRPr="00AE6A60">
        <w:t xml:space="preserve">Minister for </w:t>
      </w:r>
      <w:r w:rsidRPr="00F87B71">
        <w:t>Communications</w:t>
      </w:r>
      <w:r>
        <w:t xml:space="preserve"> </w:t>
      </w:r>
      <w:bookmarkEnd w:id="19"/>
      <w:r>
        <w:t>to</w:t>
      </w:r>
      <w:r w:rsidRPr="00AE6A60">
        <w:t xml:space="preserve"> calculat</w:t>
      </w:r>
      <w:r>
        <w:t xml:space="preserve">e </w:t>
      </w:r>
      <w:r w:rsidRPr="00AE6A60">
        <w:t>their relevant telecommunications costs recovered through the ACLC is included in this statement.</w:t>
      </w:r>
    </w:p>
    <w:p w14:paraId="7898AB6A" w14:textId="72D3716C" w:rsidR="00E41A00" w:rsidRDefault="00E41A00" w:rsidP="00E41A00">
      <w:pPr>
        <w:pStyle w:val="Paragraph"/>
      </w:pPr>
      <w:r w:rsidRPr="00AE6A60">
        <w:t xml:space="preserve">This CRIS reports the financial performance for the relevant activities and includes forecasts for these costs over the </w:t>
      </w:r>
      <w:r>
        <w:t>2023</w:t>
      </w:r>
      <w:r w:rsidR="002E30A9">
        <w:t>–</w:t>
      </w:r>
      <w:r>
        <w:t>24</w:t>
      </w:r>
      <w:r w:rsidRPr="00AE6A60">
        <w:t xml:space="preserve"> financial year and </w:t>
      </w:r>
      <w:r>
        <w:t xml:space="preserve">3 </w:t>
      </w:r>
      <w:r w:rsidRPr="00AE6A60">
        <w:t xml:space="preserve">forward years (financial years </w:t>
      </w:r>
      <w:r>
        <w:t>2024</w:t>
      </w:r>
      <w:r w:rsidR="002E30A9">
        <w:t>–</w:t>
      </w:r>
      <w:r>
        <w:t>25</w:t>
      </w:r>
      <w:r w:rsidRPr="00AE6A60">
        <w:t xml:space="preserve"> to </w:t>
      </w:r>
      <w:r>
        <w:t>2026</w:t>
      </w:r>
      <w:r w:rsidR="002E30A9">
        <w:t>–</w:t>
      </w:r>
      <w:r>
        <w:t>27</w:t>
      </w:r>
      <w:r w:rsidRPr="00AE6A60">
        <w:t xml:space="preserve">). The ACCC and </w:t>
      </w:r>
      <w:r>
        <w:t>DITRDCA</w:t>
      </w:r>
      <w:r w:rsidRPr="00AE6A60">
        <w:t xml:space="preserve"> contributed the relevant information </w:t>
      </w:r>
      <w:r>
        <w:t>about</w:t>
      </w:r>
      <w:r w:rsidRPr="00AE6A60">
        <w:t xml:space="preserve"> their cost</w:t>
      </w:r>
      <w:r>
        <w:t>-</w:t>
      </w:r>
      <w:r w:rsidRPr="00AE6A60">
        <w:t xml:space="preserve">recovery models. The ACMA will </w:t>
      </w:r>
      <w:r w:rsidR="00790900">
        <w:t>continue to publish</w:t>
      </w:r>
      <w:r w:rsidR="00761A23">
        <w:t xml:space="preserve"> </w:t>
      </w:r>
      <w:r w:rsidRPr="00AE6A60">
        <w:t>the CRIS until the activities or cost</w:t>
      </w:r>
      <w:r>
        <w:t>-</w:t>
      </w:r>
      <w:r w:rsidRPr="00AE6A60">
        <w:t>recovery arrangements for the activities have been discontinued.</w:t>
      </w:r>
    </w:p>
    <w:p w14:paraId="13F50216" w14:textId="77777777" w:rsidR="00E41A00" w:rsidRDefault="00E41A00" w:rsidP="00E41A00">
      <w:pPr>
        <w:pStyle w:val="Paragraph"/>
      </w:pPr>
      <w:r w:rsidRPr="0022638A">
        <w:t>Attachment B</w:t>
      </w:r>
      <w:r w:rsidRPr="00CE6CAD">
        <w:t xml:space="preserve"> of this C</w:t>
      </w:r>
      <w:r w:rsidRPr="00AE6A60">
        <w:t>RIS provides information on how the ACCC applies cost</w:t>
      </w:r>
      <w:r>
        <w:t>-</w:t>
      </w:r>
      <w:r w:rsidRPr="00AE6A60">
        <w:t xml:space="preserve">recovery principles </w:t>
      </w:r>
      <w:r>
        <w:t>to</w:t>
      </w:r>
      <w:r w:rsidRPr="00AE6A60">
        <w:t xml:space="preserve"> determin</w:t>
      </w:r>
      <w:r>
        <w:t>e</w:t>
      </w:r>
      <w:r w:rsidRPr="00AE6A60">
        <w:t xml:space="preserve"> the costs incurred </w:t>
      </w:r>
      <w:r>
        <w:t>for</w:t>
      </w:r>
      <w:r w:rsidRPr="00AE6A60">
        <w:t xml:space="preserve"> its Measuring Broadband Australia (MBA) program as part of its ACLC cost component.</w:t>
      </w:r>
    </w:p>
    <w:p w14:paraId="395DD425" w14:textId="77777777" w:rsidR="00E41A00" w:rsidRPr="00AE6A60" w:rsidRDefault="00E41A00" w:rsidP="00E41A00">
      <w:pPr>
        <w:pStyle w:val="Heading2"/>
      </w:pPr>
      <w:bookmarkStart w:id="20" w:name="_Toc355953983"/>
      <w:bookmarkStart w:id="21" w:name="_Toc385256313"/>
      <w:bookmarkStart w:id="22" w:name="_Toc417990941"/>
      <w:bookmarkStart w:id="23" w:name="_Toc511634382"/>
      <w:bookmarkStart w:id="24" w:name="_Toc67042571"/>
      <w:bookmarkStart w:id="25" w:name="_Toc108599205"/>
      <w:bookmarkStart w:id="26" w:name="_Toc121920486"/>
      <w:bookmarkStart w:id="27" w:name="_Toc149735442"/>
      <w:bookmarkStart w:id="28" w:name="background"/>
      <w:bookmarkStart w:id="29" w:name="_Toc175123923"/>
      <w:r w:rsidRPr="00AE6A60">
        <w:t>1.2</w:t>
      </w:r>
      <w:r w:rsidRPr="00AE6A60">
        <w:tab/>
        <w:t>Background</w:t>
      </w:r>
      <w:bookmarkEnd w:id="20"/>
      <w:r w:rsidRPr="00AE6A60">
        <w:t xml:space="preserve"> and description of activity</w:t>
      </w:r>
      <w:bookmarkEnd w:id="21"/>
      <w:bookmarkEnd w:id="22"/>
      <w:bookmarkEnd w:id="23"/>
      <w:bookmarkEnd w:id="24"/>
      <w:bookmarkEnd w:id="25"/>
      <w:bookmarkEnd w:id="26"/>
      <w:bookmarkEnd w:id="27"/>
      <w:bookmarkEnd w:id="29"/>
    </w:p>
    <w:bookmarkEnd w:id="28"/>
    <w:p w14:paraId="5FA05439" w14:textId="7A6C2080" w:rsidR="00E41A00" w:rsidRPr="00AE6A60" w:rsidRDefault="00E41A00" w:rsidP="00E41A00">
      <w:pPr>
        <w:pStyle w:val="Paragraph"/>
      </w:pPr>
      <w:r w:rsidRPr="00AE6A60">
        <w:t xml:space="preserve">The ACMA is a statutory authority within </w:t>
      </w:r>
      <w:r w:rsidRPr="009169E8">
        <w:t xml:space="preserve">the Infrastructure, Transport, Regional Development, </w:t>
      </w:r>
      <w:proofErr w:type="gramStart"/>
      <w:r w:rsidRPr="009169E8">
        <w:t>Communications</w:t>
      </w:r>
      <w:proofErr w:type="gramEnd"/>
      <w:r w:rsidRPr="009169E8">
        <w:t xml:space="preserve"> and the Arts p</w:t>
      </w:r>
      <w:r w:rsidRPr="00AE6A60">
        <w:t xml:space="preserve">ortfolio of the Australian Government. It is responsible for various telecommunications functions and powers under the </w:t>
      </w:r>
      <w:r w:rsidRPr="00AE6A60">
        <w:rPr>
          <w:i/>
        </w:rPr>
        <w:t>Australian Communications and Media Authority Act 2005</w:t>
      </w:r>
      <w:r w:rsidRPr="00AE6A60">
        <w:t xml:space="preserve"> (ACMA Act) and the </w:t>
      </w:r>
      <w:r w:rsidRPr="00AE6A60">
        <w:rPr>
          <w:i/>
        </w:rPr>
        <w:t>Telecommunications Act 1997</w:t>
      </w:r>
      <w:r w:rsidRPr="00AE6A60">
        <w:t xml:space="preserve"> (Telco Act).</w:t>
      </w:r>
    </w:p>
    <w:p w14:paraId="24CC052C" w14:textId="77777777" w:rsidR="00E41A00" w:rsidRPr="00AE6A60" w:rsidRDefault="00E41A00" w:rsidP="00E41A00">
      <w:pPr>
        <w:pStyle w:val="Paragraph"/>
      </w:pPr>
      <w:r w:rsidRPr="00AE6A60">
        <w:t xml:space="preserve">The ACLC is established by the </w:t>
      </w:r>
      <w:r w:rsidRPr="00AE6A60">
        <w:rPr>
          <w:i/>
        </w:rPr>
        <w:t>Telecommunications (Carrier Licence Charges) Act 1997</w:t>
      </w:r>
      <w:r w:rsidRPr="00AE6A60">
        <w:t xml:space="preserve"> (the Act) to fund the activities of the ACMA, ACCC and </w:t>
      </w:r>
      <w:r>
        <w:t>DITRDCA</w:t>
      </w:r>
      <w:r w:rsidRPr="00AE6A60">
        <w:t xml:space="preserve"> in regulating licensed telecommunications carriers and telecommunications services provided by carriers. The </w:t>
      </w:r>
      <w:r>
        <w:t xml:space="preserve">purpose of the ACLC </w:t>
      </w:r>
      <w:r w:rsidRPr="00AE6A60">
        <w:t xml:space="preserve">is that those entities creating the need for government activities, such as regulation, meet the cost of those activities. </w:t>
      </w:r>
    </w:p>
    <w:p w14:paraId="41EF2321" w14:textId="77777777" w:rsidR="00E41A00" w:rsidRPr="00AE6A60" w:rsidRDefault="00E41A00" w:rsidP="00E41A00">
      <w:pPr>
        <w:pStyle w:val="Paragraph"/>
      </w:pPr>
      <w:r w:rsidRPr="00AE6A60">
        <w:t xml:space="preserve">The ACLC for a financial year is imposed on a carrier licence that is in force at the beginning of that financial year and is payable by the holder of the licence. </w:t>
      </w:r>
    </w:p>
    <w:p w14:paraId="076CD18B" w14:textId="77777777" w:rsidR="00E41A00" w:rsidRDefault="00E41A00" w:rsidP="002E30A9">
      <w:pPr>
        <w:pStyle w:val="Paragraphbeforelist"/>
      </w:pPr>
      <w:r w:rsidRPr="00AE6A60">
        <w:t>The ACMA determines the amount of ACLC payable by a licensed telecommunications carrier th</w:t>
      </w:r>
      <w:r>
        <w:t>r</w:t>
      </w:r>
      <w:r w:rsidRPr="00AE6A60">
        <w:t xml:space="preserve">ough a determination made under section 14 of the Act. The total ACLC must not exceed the sum of </w:t>
      </w:r>
      <w:r>
        <w:t xml:space="preserve">the following </w:t>
      </w:r>
      <w:r w:rsidRPr="00AE6A60">
        <w:t>telecommunication</w:t>
      </w:r>
      <w:r>
        <w:t>s</w:t>
      </w:r>
      <w:r w:rsidRPr="00AE6A60">
        <w:t xml:space="preserve"> costs</w:t>
      </w:r>
      <w:r>
        <w:t>:</w:t>
      </w:r>
    </w:p>
    <w:p w14:paraId="74AF7E7C" w14:textId="77777777" w:rsidR="00E41A00" w:rsidRPr="002E30A9" w:rsidRDefault="00E41A00" w:rsidP="002E30A9">
      <w:pPr>
        <w:pStyle w:val="Bulletlevel1"/>
      </w:pPr>
      <w:r w:rsidRPr="00434FF4">
        <w:t xml:space="preserve">the </w:t>
      </w:r>
      <w:r w:rsidRPr="002E30A9">
        <w:t>ACMA’s costs, including the cost of the Consumer Safeguards Part A program</w:t>
      </w:r>
    </w:p>
    <w:p w14:paraId="0B9455B5" w14:textId="77777777" w:rsidR="00E41A00" w:rsidRPr="002E30A9" w:rsidRDefault="00E41A00" w:rsidP="002E30A9">
      <w:pPr>
        <w:pStyle w:val="Bulletlevel1"/>
      </w:pPr>
      <w:r w:rsidRPr="002E30A9">
        <w:t>the ACCC’s costs, including the cost of the MBA program</w:t>
      </w:r>
    </w:p>
    <w:p w14:paraId="54A8C191" w14:textId="77777777" w:rsidR="00E41A00" w:rsidRPr="00434FF4" w:rsidRDefault="00E41A00" w:rsidP="002E30A9">
      <w:pPr>
        <w:pStyle w:val="Bulletlevel1"/>
      </w:pPr>
      <w:bookmarkStart w:id="30" w:name="_Hlk121394939"/>
      <w:r w:rsidRPr="002E30A9">
        <w:t>the amount reimbursed for the development or variation of industry codes under Part 6 of the Telco</w:t>
      </w:r>
      <w:r w:rsidRPr="00434FF4">
        <w:t xml:space="preserve"> Act</w:t>
      </w:r>
    </w:p>
    <w:bookmarkEnd w:id="30"/>
    <w:p w14:paraId="6916B615" w14:textId="77777777" w:rsidR="00E41A00" w:rsidRPr="00EB0E1F" w:rsidRDefault="00E41A00" w:rsidP="002E30A9">
      <w:pPr>
        <w:pStyle w:val="Bulletlevel1last"/>
        <w:rPr>
          <w:sz w:val="16"/>
          <w:szCs w:val="16"/>
        </w:rPr>
      </w:pPr>
      <w:r w:rsidRPr="00434FF4">
        <w:lastRenderedPageBreak/>
        <w:t xml:space="preserve">the costs incurred by </w:t>
      </w:r>
      <w:r>
        <w:t>DITRDCA</w:t>
      </w:r>
      <w:r w:rsidRPr="00434FF4">
        <w:t xml:space="preserve"> for the Commonwealth’s contribution </w:t>
      </w:r>
      <w:r>
        <w:t>to</w:t>
      </w:r>
      <w:r w:rsidRPr="00434FF4">
        <w:t xml:space="preserve"> </w:t>
      </w:r>
      <w:r w:rsidRPr="00E01726">
        <w:t>the International Telecommunication Union (ITU</w:t>
      </w:r>
      <w:r w:rsidRPr="00434FF4">
        <w:t>) membership (for telecommunications)</w:t>
      </w:r>
      <w:r>
        <w:t>,</w:t>
      </w:r>
      <w:r w:rsidRPr="00434FF4">
        <w:t xml:space="preserve"> and </w:t>
      </w:r>
      <w:r>
        <w:t xml:space="preserve">for </w:t>
      </w:r>
      <w:r w:rsidRPr="00434FF4">
        <w:rPr>
          <w:color w:val="000000"/>
          <w:szCs w:val="20"/>
          <w:shd w:val="clear" w:color="auto" w:fill="FFFFFF"/>
        </w:rPr>
        <w:t>grants made under section 593 of the </w:t>
      </w:r>
      <w:r w:rsidRPr="00434FF4">
        <w:t>Telco Act</w:t>
      </w:r>
      <w:r w:rsidRPr="00434FF4">
        <w:rPr>
          <w:szCs w:val="20"/>
        </w:rPr>
        <w:t xml:space="preserve">. </w:t>
      </w:r>
    </w:p>
    <w:p w14:paraId="27543EBD" w14:textId="61E6A533" w:rsidR="00E41A00" w:rsidRPr="002E30A9" w:rsidRDefault="00E41A00" w:rsidP="002E30A9">
      <w:pPr>
        <w:pStyle w:val="Paragraph"/>
      </w:pPr>
      <w:r w:rsidRPr="002E30A9">
        <w:t>These amounts are specified in legislative instruments made by the ACMA, ACCC and the minister. The costs of the ACMA’s and ACCC’s other regulatory activities are not included in this ACLC.</w:t>
      </w:r>
    </w:p>
    <w:p w14:paraId="65F79CD8" w14:textId="77777777" w:rsidR="00E41A00" w:rsidRPr="00AE6A60" w:rsidRDefault="00E41A00" w:rsidP="000313E8">
      <w:pPr>
        <w:pStyle w:val="Paragraph"/>
      </w:pPr>
      <w:r w:rsidRPr="00AE6A60">
        <w:t>The methodology for allocating the total ACLC (</w:t>
      </w:r>
      <w:r>
        <w:t>in</w:t>
      </w:r>
      <w:r w:rsidRPr="00AE6A60">
        <w:t xml:space="preserve">cluding the amount applicable to the </w:t>
      </w:r>
      <w:r>
        <w:t xml:space="preserve">Consumer Safeguards Part A </w:t>
      </w:r>
      <w:r w:rsidRPr="00AE6A60">
        <w:t>program) to liable individual carriers has not changed from the previous year. The amount applicable to the MBA program is allocated to liable individual licen</w:t>
      </w:r>
      <w:r>
        <w:t>s</w:t>
      </w:r>
      <w:r w:rsidRPr="00AE6A60">
        <w:t>ed carriers based on the number of NBN fixed-line connections operated by monitored service providers</w:t>
      </w:r>
      <w:r>
        <w:t xml:space="preserve"> that are also carriers</w:t>
      </w:r>
      <w:r w:rsidRPr="00AE6A60">
        <w:t>.</w:t>
      </w:r>
    </w:p>
    <w:p w14:paraId="6748EF8C" w14:textId="281B9B87" w:rsidR="00E41A00" w:rsidRDefault="00E41A00" w:rsidP="000313E8">
      <w:pPr>
        <w:pStyle w:val="Paragraph"/>
      </w:pPr>
      <w:r w:rsidRPr="00AE6A60">
        <w:t xml:space="preserve">For the </w:t>
      </w:r>
      <w:r>
        <w:t>2023</w:t>
      </w:r>
      <w:r w:rsidR="002E30A9">
        <w:t>–</w:t>
      </w:r>
      <w:r>
        <w:t>24</w:t>
      </w:r>
      <w:r w:rsidRPr="00AE6A60">
        <w:t xml:space="preserve"> financial year, as in previous years, the ACLC payable by each liable licen</w:t>
      </w:r>
      <w:r>
        <w:t>s</w:t>
      </w:r>
      <w:r w:rsidRPr="00AE6A60">
        <w:t xml:space="preserve">ed carrier </w:t>
      </w:r>
      <w:r>
        <w:t xml:space="preserve">is </w:t>
      </w:r>
      <w:r w:rsidRPr="00AE6A60">
        <w:t xml:space="preserve">based on the carrier’s eligible revenue (within the meaning of the </w:t>
      </w:r>
      <w:r w:rsidRPr="007D36ED">
        <w:rPr>
          <w:i/>
          <w:iCs/>
        </w:rPr>
        <w:t>Telecommunications (Consumer Protection and Service Standards) Act 1999</w:t>
      </w:r>
      <w:r>
        <w:rPr>
          <w:i/>
          <w:iCs/>
        </w:rPr>
        <w:t xml:space="preserve"> </w:t>
      </w:r>
      <w:r>
        <w:t>(TCPSS Act)</w:t>
      </w:r>
      <w:r w:rsidRPr="00AE6A60">
        <w:t xml:space="preserve"> for the previous financial year (</w:t>
      </w:r>
      <w:r>
        <w:t>2022</w:t>
      </w:r>
      <w:r w:rsidR="00D0680A">
        <w:t>–</w:t>
      </w:r>
      <w:r>
        <w:t>23</w:t>
      </w:r>
      <w:r w:rsidRPr="00AE6A60">
        <w:t xml:space="preserve">) as assessed by the ACMA. </w:t>
      </w:r>
    </w:p>
    <w:p w14:paraId="741AA8F8" w14:textId="5A09EE33" w:rsidR="00E41A00" w:rsidRPr="00AE6A60" w:rsidRDefault="00E41A00" w:rsidP="002E30A9">
      <w:pPr>
        <w:pStyle w:val="Paragraph"/>
      </w:pPr>
      <w:r w:rsidRPr="00AE6A60">
        <w:t xml:space="preserve">Carriers that were ‘non-participating persons’ within the meaning of the </w:t>
      </w:r>
      <w:r w:rsidRPr="00B41FC8">
        <w:rPr>
          <w:iCs/>
        </w:rPr>
        <w:t>Telecommunications (Participating Persons) Determination 2015</w:t>
      </w:r>
      <w:r w:rsidRPr="00E01726">
        <w:rPr>
          <w:iCs/>
        </w:rPr>
        <w:t xml:space="preserve"> </w:t>
      </w:r>
      <w:r w:rsidRPr="00AE6A60">
        <w:t xml:space="preserve">for the eligible revenue period </w:t>
      </w:r>
      <w:r>
        <w:t>(</w:t>
      </w:r>
      <w:r w:rsidRPr="00AE6A60">
        <w:t xml:space="preserve">1 July </w:t>
      </w:r>
      <w:r>
        <w:t>2022 to</w:t>
      </w:r>
      <w:r w:rsidRPr="00AE6A60">
        <w:t xml:space="preserve"> </w:t>
      </w:r>
      <w:r w:rsidR="00E01726" w:rsidRPr="00AE6A60">
        <w:t>30</w:t>
      </w:r>
      <w:r w:rsidR="00E01726">
        <w:t> </w:t>
      </w:r>
      <w:r w:rsidRPr="00AE6A60">
        <w:t xml:space="preserve">June </w:t>
      </w:r>
      <w:r>
        <w:t>2023)</w:t>
      </w:r>
      <w:r w:rsidRPr="00AE6A60">
        <w:t xml:space="preserve"> are</w:t>
      </w:r>
      <w:r>
        <w:t xml:space="preserve"> </w:t>
      </w:r>
      <w:r w:rsidRPr="00AE6A60">
        <w:t>exempt from paying the ACLC</w:t>
      </w:r>
      <w:r>
        <w:t xml:space="preserve"> for the 2023</w:t>
      </w:r>
      <w:r w:rsidR="005936A6">
        <w:t>–</w:t>
      </w:r>
      <w:r>
        <w:t xml:space="preserve">24 financial year in accordance with the </w:t>
      </w:r>
      <w:r w:rsidRPr="000313E8">
        <w:rPr>
          <w:iCs/>
        </w:rPr>
        <w:t>Australian Communications and Media Authority (Annual Carrier Licence Charge) Direction 2017</w:t>
      </w:r>
      <w:r w:rsidRPr="00AE6A60">
        <w:t xml:space="preserve"> (the 2017 Direction).</w:t>
      </w:r>
      <w:r w:rsidRPr="00AE6A60">
        <w:rPr>
          <w:rStyle w:val="FootnoteReference"/>
        </w:rPr>
        <w:footnoteReference w:id="1"/>
      </w:r>
      <w:r w:rsidRPr="00AE6A60">
        <w:t xml:space="preserve">  </w:t>
      </w:r>
    </w:p>
    <w:p w14:paraId="3DD12D80" w14:textId="76901F55" w:rsidR="00E41A00" w:rsidRDefault="00E41A00" w:rsidP="002E30A9">
      <w:pPr>
        <w:pStyle w:val="Paragraph"/>
      </w:pPr>
      <w:r w:rsidRPr="00AE6A60">
        <w:t xml:space="preserve">Non-participating persons </w:t>
      </w:r>
      <w:r>
        <w:t>must either give</w:t>
      </w:r>
      <w:r w:rsidRPr="00AE6A60">
        <w:t xml:space="preserve"> </w:t>
      </w:r>
      <w:r>
        <w:t>a</w:t>
      </w:r>
      <w:r w:rsidRPr="00AE6A60">
        <w:t xml:space="preserve"> statutory declaration </w:t>
      </w:r>
      <w:r>
        <w:t xml:space="preserve">to the ACMA stating they </w:t>
      </w:r>
      <w:r w:rsidRPr="00AE6A60">
        <w:t xml:space="preserve">are carriers with </w:t>
      </w:r>
      <w:r>
        <w:t>initial</w:t>
      </w:r>
      <w:r w:rsidRPr="00AE6A60">
        <w:t xml:space="preserve"> </w:t>
      </w:r>
      <w:r>
        <w:t xml:space="preserve">telecommunications sales </w:t>
      </w:r>
      <w:r w:rsidRPr="00AE6A60">
        <w:t>revenue</w:t>
      </w:r>
      <w:r>
        <w:t>, gross telecommunications revenue or eligible revenue</w:t>
      </w:r>
      <w:r w:rsidRPr="00AE6A60">
        <w:t xml:space="preserve"> below $25 million in the applicable eligible revenue </w:t>
      </w:r>
      <w:proofErr w:type="gramStart"/>
      <w:r w:rsidRPr="00AE6A60">
        <w:t>period</w:t>
      </w:r>
      <w:r>
        <w:t>, or</w:t>
      </w:r>
      <w:proofErr w:type="gramEnd"/>
      <w:r>
        <w:t xml:space="preserve"> be carriers that have revenue below the stated threshold </w:t>
      </w:r>
      <w:r w:rsidR="000164F6">
        <w:t xml:space="preserve">where </w:t>
      </w:r>
      <w:r>
        <w:t xml:space="preserve">the ACMA is </w:t>
      </w:r>
      <w:r w:rsidRPr="00AE6A60">
        <w:t>otherwise reasonably satisfied that</w:t>
      </w:r>
      <w:r>
        <w:t xml:space="preserve"> this is the case</w:t>
      </w:r>
      <w:r w:rsidRPr="00AE6A60">
        <w:t>.</w:t>
      </w:r>
      <w:r w:rsidRPr="00AE6A60">
        <w:rPr>
          <w:rStyle w:val="FootnoteReference"/>
          <w:szCs w:val="20"/>
        </w:rPr>
        <w:footnoteReference w:id="2"/>
      </w:r>
      <w:r w:rsidRPr="00AE6A60">
        <w:t xml:space="preserve"> </w:t>
      </w:r>
    </w:p>
    <w:p w14:paraId="1CCB67A3" w14:textId="4CA2AB9D" w:rsidR="00E41A00" w:rsidRPr="00AE6A60" w:rsidRDefault="00E41A00" w:rsidP="002E30A9">
      <w:pPr>
        <w:pStyle w:val="Paragraph"/>
      </w:pPr>
      <w:r w:rsidRPr="00AE6A60">
        <w:t xml:space="preserve">It is appropriate that those </w:t>
      </w:r>
      <w:r>
        <w:t>that</w:t>
      </w:r>
      <w:r w:rsidRPr="00AE6A60">
        <w:t xml:space="preserve"> create the need for regulatory activities meet the</w:t>
      </w:r>
      <w:r>
        <w:t xml:space="preserve"> corresponding</w:t>
      </w:r>
      <w:r w:rsidRPr="00AE6A60">
        <w:t xml:space="preserve"> expenses through the ACLC. </w:t>
      </w:r>
      <w:r w:rsidR="00E01726">
        <w:t>While n</w:t>
      </w:r>
      <w:r w:rsidRPr="00AE6A60">
        <w:t>on-participating persons</w:t>
      </w:r>
      <w:r w:rsidR="00E01726">
        <w:t xml:space="preserve"> </w:t>
      </w:r>
      <w:r w:rsidRPr="00AE6A60">
        <w:t>operat</w:t>
      </w:r>
      <w:r w:rsidR="00E01726">
        <w:t>e</w:t>
      </w:r>
      <w:r w:rsidRPr="00AE6A60">
        <w:t xml:space="preserve"> in the telecommunications industry, </w:t>
      </w:r>
      <w:r w:rsidR="00E01726">
        <w:t xml:space="preserve">they </w:t>
      </w:r>
      <w:r w:rsidRPr="00AE6A60">
        <w:t>do not create any substantial regulatory burden.</w:t>
      </w:r>
    </w:p>
    <w:p w14:paraId="42538D6A" w14:textId="046FBFBF" w:rsidR="00E41A00" w:rsidRDefault="00E41A00" w:rsidP="002E30A9">
      <w:pPr>
        <w:pStyle w:val="Paragraph"/>
      </w:pPr>
      <w:r w:rsidRPr="00AE6A60">
        <w:t xml:space="preserve">Any carrier </w:t>
      </w:r>
      <w:r>
        <w:t>that</w:t>
      </w:r>
      <w:r w:rsidRPr="00AE6A60">
        <w:t xml:space="preserve"> held a carrier licence on 1 July </w:t>
      </w:r>
      <w:r>
        <w:t>2023,</w:t>
      </w:r>
      <w:r w:rsidRPr="00AE6A60">
        <w:t xml:space="preserve"> and </w:t>
      </w:r>
      <w:r>
        <w:t>was</w:t>
      </w:r>
      <w:r w:rsidRPr="00AE6A60">
        <w:t xml:space="preserve"> not a non-participating person during 1 July </w:t>
      </w:r>
      <w:r>
        <w:t>2022</w:t>
      </w:r>
      <w:r w:rsidRPr="00AE6A60">
        <w:t xml:space="preserve"> to 30 June </w:t>
      </w:r>
      <w:r>
        <w:t>2023,</w:t>
      </w:r>
      <w:r w:rsidRPr="00AE6A60">
        <w:t xml:space="preserve"> is required to pay the ACLC for the</w:t>
      </w:r>
      <w:r>
        <w:t xml:space="preserve"> 2023</w:t>
      </w:r>
      <w:r w:rsidR="00E01726">
        <w:t>–</w:t>
      </w:r>
      <w:r>
        <w:t>24</w:t>
      </w:r>
      <w:r w:rsidRPr="00AE6A60">
        <w:t xml:space="preserve"> financial year and will be liable for payment when it is due. This </w:t>
      </w:r>
      <w:r>
        <w:t xml:space="preserve">applies </w:t>
      </w:r>
      <w:r w:rsidRPr="00AE6A60">
        <w:t xml:space="preserve">whether they have surrendered their licence or had their licence cancelled after 1 July </w:t>
      </w:r>
      <w:r>
        <w:t>2023</w:t>
      </w:r>
      <w:r w:rsidRPr="00AE6A60">
        <w:t>.</w:t>
      </w:r>
    </w:p>
    <w:p w14:paraId="1A64F400" w14:textId="5D89C966" w:rsidR="00E41A00" w:rsidRPr="00AE6A60" w:rsidRDefault="00E41A00" w:rsidP="002E30A9">
      <w:pPr>
        <w:pStyle w:val="Paragraph"/>
      </w:pPr>
      <w:r>
        <w:t xml:space="preserve">We are also proposing to recover the ACMA’s costs of administering and enforcing mandatory </w:t>
      </w:r>
      <w:r w:rsidR="00BD1CE1">
        <w:t>rules</w:t>
      </w:r>
      <w:r>
        <w:t xml:space="preserve"> for the telecommunications sector from the 2024</w:t>
      </w:r>
      <w:r w:rsidR="005936A6">
        <w:t>–</w:t>
      </w:r>
      <w:r>
        <w:t>25 financial year. Further details are provided under sections 2.1 and 3.6 of this CRIS.</w:t>
      </w:r>
    </w:p>
    <w:p w14:paraId="3D5FB44A" w14:textId="77777777" w:rsidR="00E41A00" w:rsidRPr="00AE6A60" w:rsidRDefault="00E41A00" w:rsidP="00E41A00">
      <w:pPr>
        <w:pStyle w:val="Heading2"/>
      </w:pPr>
      <w:bookmarkStart w:id="31" w:name="_Toc511634383"/>
      <w:bookmarkStart w:id="32" w:name="_Toc67042572"/>
      <w:bookmarkStart w:id="33" w:name="_Toc108599206"/>
      <w:bookmarkStart w:id="34" w:name="_Toc121920487"/>
      <w:bookmarkStart w:id="35" w:name="_Toc149735443"/>
      <w:bookmarkStart w:id="36" w:name="_Toc175123924"/>
      <w:r w:rsidRPr="00AE6A60">
        <w:t xml:space="preserve">1.3 </w:t>
      </w:r>
      <w:r w:rsidRPr="00AE6A60">
        <w:tab/>
        <w:t>Stakeholders</w:t>
      </w:r>
      <w:bookmarkEnd w:id="31"/>
      <w:bookmarkEnd w:id="32"/>
      <w:bookmarkEnd w:id="33"/>
      <w:bookmarkEnd w:id="34"/>
      <w:bookmarkEnd w:id="35"/>
      <w:bookmarkEnd w:id="36"/>
    </w:p>
    <w:p w14:paraId="1B9455B3" w14:textId="77777777" w:rsidR="00E41A00" w:rsidRPr="00AE6A60" w:rsidRDefault="00E41A00" w:rsidP="002E30A9">
      <w:pPr>
        <w:pStyle w:val="Paragraph"/>
      </w:pPr>
      <w:r w:rsidRPr="00AE6A60">
        <w:t>Key stakeholders are telecommunications carriers, carriage service providers, industry bodies (for example, Communications Alliance) and consumer bodies (for example, the Australian Communications Consumer Action Network).</w:t>
      </w:r>
      <w:r w:rsidRPr="00AE6A60" w:rsidDel="00863C10">
        <w:t xml:space="preserve"> </w:t>
      </w:r>
    </w:p>
    <w:p w14:paraId="1983799F" w14:textId="77777777" w:rsidR="00E41A00" w:rsidRPr="00AE6A60" w:rsidRDefault="00E41A00" w:rsidP="00E41A00">
      <w:pPr>
        <w:pStyle w:val="Heading1"/>
        <w:ind w:left="851" w:right="-551" w:hanging="852"/>
      </w:pPr>
      <w:bookmarkStart w:id="37" w:name="_Toc355953985"/>
      <w:bookmarkStart w:id="38" w:name="_Toc385256315"/>
      <w:bookmarkStart w:id="39" w:name="_Toc417990942"/>
      <w:bookmarkStart w:id="40" w:name="_Toc511634384"/>
      <w:bookmarkStart w:id="41" w:name="_Toc67042573"/>
      <w:bookmarkStart w:id="42" w:name="_Toc108599207"/>
      <w:bookmarkStart w:id="43" w:name="_Toc121920488"/>
      <w:bookmarkStart w:id="44" w:name="_Toc149735444"/>
      <w:bookmarkStart w:id="45" w:name="_Toc175123925"/>
      <w:r w:rsidRPr="00AE6A60">
        <w:lastRenderedPageBreak/>
        <w:t xml:space="preserve">2. </w:t>
      </w:r>
      <w:r w:rsidRPr="00AE6A60">
        <w:tab/>
        <w:t>Policy and statutory authority to undertake cost recover</w:t>
      </w:r>
      <w:bookmarkStart w:id="46" w:name="_Toc355953986"/>
      <w:bookmarkStart w:id="47" w:name="_Toc385256316"/>
      <w:bookmarkStart w:id="48" w:name="_Toc417990943"/>
      <w:bookmarkEnd w:id="37"/>
      <w:bookmarkEnd w:id="38"/>
      <w:bookmarkEnd w:id="39"/>
      <w:r w:rsidRPr="00AE6A60">
        <w:t>y</w:t>
      </w:r>
      <w:bookmarkEnd w:id="40"/>
      <w:bookmarkEnd w:id="41"/>
      <w:bookmarkEnd w:id="42"/>
      <w:bookmarkEnd w:id="43"/>
      <w:bookmarkEnd w:id="44"/>
      <w:bookmarkEnd w:id="45"/>
    </w:p>
    <w:p w14:paraId="63DD8620" w14:textId="77777777" w:rsidR="00E41A00" w:rsidRPr="00AE6A60" w:rsidRDefault="00E41A00" w:rsidP="00E41A00">
      <w:pPr>
        <w:pStyle w:val="Heading2"/>
      </w:pPr>
      <w:bookmarkStart w:id="49" w:name="_Toc511634385"/>
      <w:bookmarkStart w:id="50" w:name="_Toc67042574"/>
      <w:bookmarkStart w:id="51" w:name="_Toc108599208"/>
      <w:bookmarkStart w:id="52" w:name="_Toc121920489"/>
      <w:bookmarkStart w:id="53" w:name="_Toc149735445"/>
      <w:bookmarkStart w:id="54" w:name="_Toc175123926"/>
      <w:r w:rsidRPr="00AE6A60">
        <w:t>2.1</w:t>
      </w:r>
      <w:r w:rsidRPr="00AE6A60">
        <w:tab/>
        <w:t>Government policy approval to recover costs</w:t>
      </w:r>
      <w:bookmarkEnd w:id="49"/>
      <w:bookmarkEnd w:id="50"/>
      <w:bookmarkEnd w:id="51"/>
      <w:bookmarkEnd w:id="52"/>
      <w:bookmarkEnd w:id="53"/>
      <w:bookmarkEnd w:id="54"/>
      <w:r w:rsidRPr="00AE6A60">
        <w:t xml:space="preserve"> </w:t>
      </w:r>
      <w:bookmarkEnd w:id="46"/>
      <w:bookmarkEnd w:id="47"/>
      <w:bookmarkEnd w:id="48"/>
    </w:p>
    <w:p w14:paraId="446F70C3" w14:textId="77777777" w:rsidR="00E41A00" w:rsidRPr="00AE6A60" w:rsidRDefault="00E41A00" w:rsidP="002E30A9">
      <w:pPr>
        <w:pStyle w:val="Paragraphbeforelist"/>
      </w:pPr>
      <w:r w:rsidRPr="00AE6A60">
        <w:t xml:space="preserve">As an outcome of the Communications Portfolio Charging Review in the financial year </w:t>
      </w:r>
      <w:r>
        <w:t>2019–20,</w:t>
      </w:r>
      <w:r w:rsidRPr="00AE6A60">
        <w:t xml:space="preserve"> the Australian Government confirmed the appropriateness of cost recovery for the following activities through the ACLC: </w:t>
      </w:r>
    </w:p>
    <w:p w14:paraId="0245BB57" w14:textId="77777777" w:rsidR="00E41A00" w:rsidRPr="00AE6A60" w:rsidRDefault="00E41A00" w:rsidP="002E30A9">
      <w:pPr>
        <w:pStyle w:val="Bulletlevel1"/>
      </w:pPr>
      <w:r w:rsidRPr="00AE6A60">
        <w:t>the ACMA regulating telecommunications entities</w:t>
      </w:r>
    </w:p>
    <w:p w14:paraId="4830AB8E" w14:textId="77777777" w:rsidR="00E41A00" w:rsidRPr="00AE6A60" w:rsidRDefault="00E41A00" w:rsidP="002E30A9">
      <w:pPr>
        <w:pStyle w:val="Bulletlevel1"/>
      </w:pPr>
      <w:r w:rsidRPr="00AE6A60">
        <w:t>the ACCC regulating telecommunications entities</w:t>
      </w:r>
    </w:p>
    <w:p w14:paraId="0E325436" w14:textId="4E240525" w:rsidR="00E41A00" w:rsidRPr="00AE6A60" w:rsidRDefault="00E41A00" w:rsidP="002E30A9">
      <w:pPr>
        <w:pStyle w:val="Bulletlevel1"/>
      </w:pPr>
      <w:r>
        <w:t xml:space="preserve">a </w:t>
      </w:r>
      <w:r w:rsidRPr="00AE6A60">
        <w:t xml:space="preserve">telecommunications industry body or association developing industry codes under </w:t>
      </w:r>
      <w:r w:rsidR="005936A6" w:rsidRPr="00AE6A60">
        <w:t>Part</w:t>
      </w:r>
      <w:r w:rsidR="005936A6">
        <w:t> </w:t>
      </w:r>
      <w:r w:rsidRPr="00AE6A60">
        <w:t>6 of the Telco Act</w:t>
      </w:r>
    </w:p>
    <w:p w14:paraId="3BD55C22" w14:textId="77777777" w:rsidR="00E41A00" w:rsidRPr="00AE6A60" w:rsidRDefault="00E41A00" w:rsidP="002E30A9">
      <w:pPr>
        <w:pStyle w:val="Bulletlevel1"/>
      </w:pPr>
      <w:r>
        <w:t xml:space="preserve">the Commonwealth’s </w:t>
      </w:r>
      <w:r w:rsidRPr="00AE6A60">
        <w:t>contribut</w:t>
      </w:r>
      <w:r>
        <w:t>ions</w:t>
      </w:r>
      <w:r w:rsidRPr="00AE6A60">
        <w:t xml:space="preserve"> to the </w:t>
      </w:r>
      <w:r>
        <w:t xml:space="preserve">ITU </w:t>
      </w:r>
      <w:r w:rsidRPr="00AE6A60">
        <w:t xml:space="preserve">budget </w:t>
      </w:r>
    </w:p>
    <w:p w14:paraId="033C46E4" w14:textId="59BFEE30" w:rsidR="00E41A00" w:rsidRPr="00AE6A60" w:rsidRDefault="00E41A00" w:rsidP="002E30A9">
      <w:pPr>
        <w:pStyle w:val="Bulletlevel1last"/>
      </w:pPr>
      <w:r w:rsidRPr="00AE6A60">
        <w:t>granting financial assistance to consumer bodies to support consumer representation in the telecommunication sector and to relevant research bodies.</w:t>
      </w:r>
    </w:p>
    <w:p w14:paraId="3A7857B2" w14:textId="2940BD42" w:rsidR="00E41A00" w:rsidRPr="00790CA6" w:rsidRDefault="00E41A00" w:rsidP="002E30A9">
      <w:pPr>
        <w:pStyle w:val="Paragraph"/>
      </w:pPr>
      <w:r>
        <w:t>Before 2019–20</w:t>
      </w:r>
      <w:r w:rsidRPr="00AE6A60">
        <w:t xml:space="preserve">, the </w:t>
      </w:r>
      <w:r w:rsidR="00E01726">
        <w:t>g</w:t>
      </w:r>
      <w:r w:rsidRPr="00AE6A60">
        <w:t>overnment made a series of decisions determining the above activities to be the subject of cost recovery through the ACLC.</w:t>
      </w:r>
      <w:r w:rsidRPr="00AE6A60">
        <w:rPr>
          <w:rStyle w:val="FootnoteReference"/>
          <w:szCs w:val="20"/>
        </w:rPr>
        <w:footnoteReference w:id="3"/>
      </w:r>
      <w:r w:rsidRPr="00AE6A60">
        <w:t xml:space="preserve"> These decisions are consistent with the Act</w:t>
      </w:r>
      <w:r>
        <w:t>,</w:t>
      </w:r>
      <w:r w:rsidRPr="00AE6A60">
        <w:t xml:space="preserve"> which specifically includes the costs of each of these </w:t>
      </w:r>
      <w:r>
        <w:t>5</w:t>
      </w:r>
      <w:r w:rsidRPr="00AE6A60">
        <w:t xml:space="preserve"> activities as part o</w:t>
      </w:r>
      <w:r w:rsidRPr="00790CA6">
        <w:t>f the amount that can be recovered through the ACLC.</w:t>
      </w:r>
    </w:p>
    <w:p w14:paraId="35C90A5B" w14:textId="77777777" w:rsidR="00E41A00" w:rsidRPr="00E20060" w:rsidRDefault="00E41A00" w:rsidP="002E30A9">
      <w:pPr>
        <w:pStyle w:val="Paragraph"/>
      </w:pPr>
      <w:bookmarkStart w:id="55" w:name="_Hlk74316875"/>
      <w:r w:rsidRPr="00E20060">
        <w:t xml:space="preserve">The financial estimates of all relevant ACLC activities are reflected in Table 20 </w:t>
      </w:r>
      <w:r>
        <w:t xml:space="preserve">of </w:t>
      </w:r>
      <w:r w:rsidRPr="00E20060">
        <w:t>this CRIS, and Table B5 in Attachment B.</w:t>
      </w:r>
    </w:p>
    <w:p w14:paraId="7C9F027F" w14:textId="77777777" w:rsidR="00E41A00" w:rsidRPr="00740C20" w:rsidRDefault="00E41A00" w:rsidP="002E30A9">
      <w:pPr>
        <w:pStyle w:val="Heading3"/>
      </w:pPr>
      <w:bookmarkStart w:id="56" w:name="_Hlk65071726"/>
      <w:bookmarkEnd w:id="55"/>
      <w:r w:rsidRPr="00740C20">
        <w:t>Fighting Scams </w:t>
      </w:r>
    </w:p>
    <w:p w14:paraId="7B2FC03D" w14:textId="780D97DA" w:rsidR="00E41A00" w:rsidRPr="002E30A9" w:rsidRDefault="00E41A00" w:rsidP="002E30A9">
      <w:pPr>
        <w:pStyle w:val="Paragraph"/>
      </w:pPr>
      <w:r w:rsidRPr="00740C20">
        <w:t>In the 2024</w:t>
      </w:r>
      <w:r w:rsidR="005936A6">
        <w:t>–</w:t>
      </w:r>
      <w:r w:rsidRPr="00740C20">
        <w:t xml:space="preserve">25 Budget, the government provided funding of $12.4 million over </w:t>
      </w:r>
      <w:r w:rsidR="005936A6">
        <w:t>4</w:t>
      </w:r>
      <w:r w:rsidR="005936A6" w:rsidRPr="00740C20">
        <w:t xml:space="preserve"> </w:t>
      </w:r>
      <w:r w:rsidRPr="00740C20">
        <w:t>years from 2024</w:t>
      </w:r>
      <w:r w:rsidR="005936A6">
        <w:t>–</w:t>
      </w:r>
      <w:r w:rsidRPr="00740C20">
        <w:t>25 ($9.9 million in operating costs and $2.5 million in capital costs) and $2.5 million per year ongoing from 2028</w:t>
      </w:r>
      <w:r w:rsidR="000677AE">
        <w:t>–</w:t>
      </w:r>
      <w:r w:rsidRPr="00740C20">
        <w:t xml:space="preserve">29, to </w:t>
      </w:r>
      <w:r w:rsidRPr="002E30A9">
        <w:t>combat scams through the introduction of mandatory rules to be established under a new Scams Code Framework.  </w:t>
      </w:r>
    </w:p>
    <w:p w14:paraId="71EED8F8" w14:textId="07195669" w:rsidR="00E41A00" w:rsidRPr="002E30A9" w:rsidRDefault="00E41A00" w:rsidP="002E30A9">
      <w:pPr>
        <w:pStyle w:val="Paragraph"/>
      </w:pPr>
      <w:r w:rsidRPr="002E30A9">
        <w:t xml:space="preserve">The ACMA will be involved in </w:t>
      </w:r>
      <w:r w:rsidR="00E01726" w:rsidRPr="002E30A9">
        <w:t>consider</w:t>
      </w:r>
      <w:r w:rsidR="00E01726">
        <w:t>ing</w:t>
      </w:r>
      <w:r w:rsidR="00E01726" w:rsidRPr="002E30A9">
        <w:t xml:space="preserve"> </w:t>
      </w:r>
      <w:r w:rsidRPr="002E30A9">
        <w:t>the rules for the telecommunications sector under the new framework in 2024</w:t>
      </w:r>
      <w:r w:rsidR="000677AE">
        <w:t>–</w:t>
      </w:r>
      <w:r w:rsidRPr="002E30A9">
        <w:t xml:space="preserve">25 and will oversee and enforce the rules. The ACMA will also deliver a new digital service to support the implementation of the Scams Code Framework, including to facilitate analysis of scam information, compliance and enforcement activities, and information sharing across the telecommunications anti-scam ecosystem (including </w:t>
      </w:r>
      <w:r w:rsidR="00D80DAF">
        <w:t>s</w:t>
      </w:r>
      <w:r w:rsidR="00D80DAF" w:rsidRPr="002E30A9">
        <w:t xml:space="preserve">cam </w:t>
      </w:r>
      <w:r w:rsidRPr="002E30A9">
        <w:t xml:space="preserve">traceback mechanisms). </w:t>
      </w:r>
    </w:p>
    <w:p w14:paraId="7306A930" w14:textId="7B5A06FA" w:rsidR="00E41A00" w:rsidRPr="00685987" w:rsidRDefault="00E41A00" w:rsidP="002E30A9">
      <w:pPr>
        <w:pStyle w:val="Paragraph"/>
      </w:pPr>
      <w:r w:rsidRPr="002E30A9">
        <w:t xml:space="preserve">The cost of </w:t>
      </w:r>
      <w:r w:rsidR="00E01726">
        <w:t>delivering</w:t>
      </w:r>
      <w:r w:rsidR="00E01726" w:rsidRPr="002E30A9">
        <w:t xml:space="preserve"> </w:t>
      </w:r>
      <w:r w:rsidRPr="002E30A9">
        <w:t>this program will form part of the ACLC from the 2025–26 financial year, ongoing, determined under paragraph 15(1</w:t>
      </w:r>
      <w:r w:rsidRPr="00740C20">
        <w:t>)(a) of the Act.</w:t>
      </w:r>
    </w:p>
    <w:p w14:paraId="61958375" w14:textId="77777777" w:rsidR="00E41A00" w:rsidRPr="00600F17" w:rsidRDefault="00E41A00" w:rsidP="002E30A9">
      <w:pPr>
        <w:pStyle w:val="Heading3"/>
      </w:pPr>
      <w:r w:rsidRPr="00600F17">
        <w:lastRenderedPageBreak/>
        <w:t xml:space="preserve">Consumer </w:t>
      </w:r>
      <w:r>
        <w:t>S</w:t>
      </w:r>
      <w:r w:rsidRPr="00600F17">
        <w:t>afeguards</w:t>
      </w:r>
      <w:r>
        <w:rPr>
          <w:szCs w:val="32"/>
        </w:rPr>
        <w:t xml:space="preserve"> Part A </w:t>
      </w:r>
      <w:r w:rsidRPr="002E30A9">
        <w:t>program</w:t>
      </w:r>
    </w:p>
    <w:p w14:paraId="3FE1046F" w14:textId="77777777" w:rsidR="00E41A00" w:rsidRDefault="00E41A00" w:rsidP="002E30A9">
      <w:pPr>
        <w:pStyle w:val="Paragraph"/>
      </w:pPr>
      <w:r>
        <w:t xml:space="preserve">The government provided funding of $3.7 million over 4 years from 2019–20 </w:t>
      </w:r>
      <w:r>
        <w:br/>
        <w:t>(</w:t>
      </w:r>
      <w:r w:rsidRPr="007D36ED">
        <w:t>$</w:t>
      </w:r>
      <w:r>
        <w:t xml:space="preserve">2.7 </w:t>
      </w:r>
      <w:r w:rsidRPr="007D36ED">
        <w:t xml:space="preserve">million in operating </w:t>
      </w:r>
      <w:r>
        <w:t xml:space="preserve">costs </w:t>
      </w:r>
      <w:r w:rsidRPr="007D36ED">
        <w:t>and $1.0</w:t>
      </w:r>
      <w:r>
        <w:t>1</w:t>
      </w:r>
      <w:r w:rsidRPr="007D36ED">
        <w:t xml:space="preserve"> million in capital</w:t>
      </w:r>
      <w:r>
        <w:t xml:space="preserve"> costs) and $0.6 million per year, ongoing from 2023–24, for the Consumer Safeguards Part A program. </w:t>
      </w:r>
    </w:p>
    <w:p w14:paraId="3673E380" w14:textId="77777777" w:rsidR="00E41A00" w:rsidRDefault="00E41A00" w:rsidP="002E30A9">
      <w:pPr>
        <w:pStyle w:val="Paragraphbeforelist"/>
      </w:pPr>
      <w:r>
        <w:t>Under this program, t</w:t>
      </w:r>
      <w:r w:rsidRPr="00F54A86">
        <w:t xml:space="preserve">he ACMA </w:t>
      </w:r>
      <w:r>
        <w:t>collects data and undertakes analysis to consider telecommunications industry and company performance, as well as undertaking the following activities:</w:t>
      </w:r>
    </w:p>
    <w:p w14:paraId="16EB82CA" w14:textId="27C6A47B" w:rsidR="00E41A00" w:rsidRPr="002E30A9" w:rsidRDefault="00E41A00" w:rsidP="002E30A9">
      <w:pPr>
        <w:pStyle w:val="Bulletlevel1"/>
      </w:pPr>
      <w:r w:rsidRPr="00434FF4">
        <w:t xml:space="preserve">data </w:t>
      </w:r>
      <w:r w:rsidRPr="002E30A9">
        <w:t xml:space="preserve">integrity and consistency – a quarterly validation of each set of data received from carriage service providers </w:t>
      </w:r>
    </w:p>
    <w:p w14:paraId="64053854" w14:textId="77777777" w:rsidR="00E41A00" w:rsidRPr="002E30A9" w:rsidRDefault="00E41A00" w:rsidP="002E30A9">
      <w:pPr>
        <w:pStyle w:val="Bulletlevel1"/>
      </w:pPr>
      <w:r w:rsidRPr="002E30A9">
        <w:t xml:space="preserve">data management, </w:t>
      </w:r>
      <w:proofErr w:type="gramStart"/>
      <w:r w:rsidRPr="002E30A9">
        <w:t>analysis</w:t>
      </w:r>
      <w:proofErr w:type="gramEnd"/>
      <w:r w:rsidRPr="002E30A9">
        <w:t xml:space="preserve"> and visualisation</w:t>
      </w:r>
    </w:p>
    <w:p w14:paraId="374ECA27" w14:textId="77777777" w:rsidR="00E41A00" w:rsidRPr="002E30A9" w:rsidRDefault="00E41A00" w:rsidP="002E30A9">
      <w:pPr>
        <w:pStyle w:val="Bulletlevel1"/>
      </w:pPr>
      <w:r w:rsidRPr="002E30A9">
        <w:t xml:space="preserve">performance reporting under the </w:t>
      </w:r>
      <w:bookmarkStart w:id="57" w:name="_Hlk98921024"/>
      <w:bookmarkStart w:id="58" w:name="_Hlk98920869"/>
      <w:r w:rsidRPr="002E30A9">
        <w:t>Telecommunications (Consumer Complaints) Record-Keeping Rules 2018</w:t>
      </w:r>
      <w:bookmarkEnd w:id="57"/>
      <w:r w:rsidRPr="002E30A9">
        <w:t xml:space="preserve"> </w:t>
      </w:r>
      <w:bookmarkEnd w:id="58"/>
      <w:r w:rsidRPr="002E30A9">
        <w:t>(RKRs) that relates specifically to the Consumer Safeguards Part A program.</w:t>
      </w:r>
    </w:p>
    <w:p w14:paraId="64AE19A0" w14:textId="77777777" w:rsidR="00E41A00" w:rsidRPr="007D36ED" w:rsidRDefault="00E41A00" w:rsidP="002E30A9">
      <w:pPr>
        <w:pStyle w:val="Bulletlevel1last"/>
      </w:pPr>
      <w:r>
        <w:t>r</w:t>
      </w:r>
      <w:r w:rsidRPr="007D36ED">
        <w:t xml:space="preserve">esolving </w:t>
      </w:r>
      <w:r>
        <w:t>s</w:t>
      </w:r>
      <w:r w:rsidRPr="007D36ED">
        <w:t>ystemic issues</w:t>
      </w:r>
      <w:r>
        <w:t xml:space="preserve"> – </w:t>
      </w:r>
      <w:r w:rsidRPr="007D36ED">
        <w:t xml:space="preserve">systemic </w:t>
      </w:r>
      <w:r w:rsidRPr="003B4101">
        <w:t xml:space="preserve">and other issues arising from the analysis of the complaint data and issues referred from the </w:t>
      </w:r>
      <w:r>
        <w:t xml:space="preserve">Telecommunications Industry Ombudsman (TIO) </w:t>
      </w:r>
      <w:r w:rsidRPr="003B4101">
        <w:t xml:space="preserve">are </w:t>
      </w:r>
      <w:r w:rsidRPr="002E30A9">
        <w:t>investigated</w:t>
      </w:r>
      <w:r w:rsidRPr="003B4101">
        <w:t xml:space="preserve"> further by compliance and enforcement officers or communicated to the relevant industry participant(s), industry body and/or regulator, to address the issues identified.</w:t>
      </w:r>
    </w:p>
    <w:p w14:paraId="0619F8B4" w14:textId="77777777" w:rsidR="00E41A00" w:rsidRPr="00AE6A60" w:rsidRDefault="00E41A00" w:rsidP="00E41A00">
      <w:pPr>
        <w:pStyle w:val="Heading2"/>
        <w:rPr>
          <w:sz w:val="24"/>
        </w:rPr>
      </w:pPr>
      <w:bookmarkStart w:id="59" w:name="_Toc355953988"/>
      <w:bookmarkStart w:id="60" w:name="_Toc385256317"/>
      <w:bookmarkStart w:id="61" w:name="_Toc417990944"/>
      <w:bookmarkStart w:id="62" w:name="_Toc511634386"/>
      <w:bookmarkStart w:id="63" w:name="_Toc67042575"/>
      <w:bookmarkStart w:id="64" w:name="_Toc108599209"/>
      <w:bookmarkStart w:id="65" w:name="_Toc121920490"/>
      <w:bookmarkStart w:id="66" w:name="_Toc149735446"/>
      <w:bookmarkStart w:id="67" w:name="_Toc175123927"/>
      <w:bookmarkEnd w:id="56"/>
      <w:r w:rsidRPr="00AE6A60">
        <w:rPr>
          <w:sz w:val="24"/>
        </w:rPr>
        <w:t>2.2</w:t>
      </w:r>
      <w:r w:rsidRPr="00AE6A60">
        <w:rPr>
          <w:sz w:val="24"/>
        </w:rPr>
        <w:tab/>
        <w:t xml:space="preserve">Statutory authority to impose </w:t>
      </w:r>
      <w:bookmarkEnd w:id="59"/>
      <w:r w:rsidRPr="00AE6A60">
        <w:rPr>
          <w:sz w:val="24"/>
        </w:rPr>
        <w:t>cost</w:t>
      </w:r>
      <w:r>
        <w:rPr>
          <w:sz w:val="24"/>
        </w:rPr>
        <w:t>-</w:t>
      </w:r>
      <w:r w:rsidRPr="00AE6A60">
        <w:rPr>
          <w:sz w:val="24"/>
        </w:rPr>
        <w:t>recovery charges</w:t>
      </w:r>
      <w:bookmarkEnd w:id="60"/>
      <w:bookmarkEnd w:id="61"/>
      <w:bookmarkEnd w:id="62"/>
      <w:bookmarkEnd w:id="63"/>
      <w:bookmarkEnd w:id="64"/>
      <w:bookmarkEnd w:id="65"/>
      <w:bookmarkEnd w:id="66"/>
      <w:bookmarkEnd w:id="67"/>
    </w:p>
    <w:p w14:paraId="2D66C23F" w14:textId="77777777" w:rsidR="00E41A00" w:rsidRPr="00AE6A60" w:rsidRDefault="00E41A00" w:rsidP="002E30A9">
      <w:pPr>
        <w:pStyle w:val="Paragraph"/>
      </w:pPr>
      <w:r w:rsidRPr="00AE6A60">
        <w:t xml:space="preserve">Section 12 </w:t>
      </w:r>
      <w:r w:rsidRPr="00A10E3D">
        <w:t>of the Act im</w:t>
      </w:r>
      <w:r w:rsidRPr="00AE6A60">
        <w:t xml:space="preserve">poses an annual charge on carrier licences in force at the beginning of a financial year (1 July </w:t>
      </w:r>
      <w:r>
        <w:t>2023</w:t>
      </w:r>
      <w:r w:rsidRPr="00AE6A60">
        <w:t xml:space="preserve"> for this CRIS).</w:t>
      </w:r>
    </w:p>
    <w:p w14:paraId="5A36AED8" w14:textId="77777777" w:rsidR="00E41A00" w:rsidRPr="00AE6A60" w:rsidRDefault="00E41A00" w:rsidP="002E30A9">
      <w:pPr>
        <w:pStyle w:val="Paragraph"/>
      </w:pPr>
      <w:r w:rsidRPr="00AE6A60">
        <w:t xml:space="preserve">Subsection 14(1) of the Act specifies that the amount of the charge to be imposed on a carrier licence is the amount ascertained in accordance with a written determination made by the ACMA. </w:t>
      </w:r>
    </w:p>
    <w:p w14:paraId="7EDE8B00" w14:textId="77777777" w:rsidR="00E41A00" w:rsidRPr="00AE6A60" w:rsidRDefault="00E41A00" w:rsidP="002E30A9">
      <w:pPr>
        <w:pStyle w:val="Paragraphbeforelist"/>
        <w:rPr>
          <w:lang w:val="en-US"/>
        </w:rPr>
      </w:pPr>
      <w:bookmarkStart w:id="68" w:name="_Hlk98504855"/>
      <w:r w:rsidRPr="00AE6A60">
        <w:t>T</w:t>
      </w:r>
      <w:r w:rsidRPr="00A10E3D">
        <w:t>he 2017 Direction</w:t>
      </w:r>
      <w:bookmarkEnd w:id="68"/>
      <w:r w:rsidRPr="00AE6A60">
        <w:t xml:space="preserve"> requires the ACMA to </w:t>
      </w:r>
      <w:r w:rsidRPr="00CE6CAD">
        <w:t>make determinations as necessary under subsection 14(1) of the Act to impos</w:t>
      </w:r>
      <w:r>
        <w:t>e</w:t>
      </w:r>
      <w:r w:rsidRPr="00CE6CAD">
        <w:t xml:space="preserve"> an annual carrier licence charge in the amount of $0 on each carrier licence that is:</w:t>
      </w:r>
    </w:p>
    <w:p w14:paraId="3A878CD7" w14:textId="77777777" w:rsidR="00E41A00" w:rsidRPr="00AE6A60" w:rsidRDefault="00E41A00" w:rsidP="002E30A9">
      <w:pPr>
        <w:pStyle w:val="Bulletlevel1"/>
        <w:rPr>
          <w:lang w:val="en-US"/>
        </w:rPr>
      </w:pPr>
      <w:r w:rsidRPr="00AE6A60">
        <w:t>in force at the beginning of a relevant financial year</w:t>
      </w:r>
      <w:r w:rsidRPr="00AE6A60">
        <w:rPr>
          <w:rStyle w:val="FootnoteReference"/>
          <w:szCs w:val="20"/>
        </w:rPr>
        <w:footnoteReference w:id="4"/>
      </w:r>
    </w:p>
    <w:p w14:paraId="7D32E819" w14:textId="77777777" w:rsidR="00E41A00" w:rsidRPr="00AE6A60" w:rsidRDefault="00E41A00" w:rsidP="002E30A9">
      <w:pPr>
        <w:pStyle w:val="Bulletlevel1last"/>
      </w:pPr>
      <w:r w:rsidRPr="00AE6A60">
        <w:t>held by a carrier that was a non-participating person for the eligible revenue period immediately preceding that financial year.</w:t>
      </w:r>
      <w:r w:rsidRPr="00AE6A60">
        <w:rPr>
          <w:rStyle w:val="FootnoteReference"/>
        </w:rPr>
        <w:footnoteReference w:id="5"/>
      </w:r>
    </w:p>
    <w:p w14:paraId="24FEF8AD" w14:textId="77A6AC61" w:rsidR="00E41A00" w:rsidRPr="00AE6A60" w:rsidRDefault="00E41A00" w:rsidP="002E30A9">
      <w:pPr>
        <w:pStyle w:val="Paragraph"/>
      </w:pPr>
      <w:r w:rsidRPr="00AE6A60">
        <w:t xml:space="preserve">Accordingly, </w:t>
      </w:r>
      <w:r>
        <w:t xml:space="preserve">when the ACMA </w:t>
      </w:r>
      <w:proofErr w:type="gramStart"/>
      <w:r>
        <w:t>makes a determination</w:t>
      </w:r>
      <w:proofErr w:type="gramEnd"/>
      <w:r>
        <w:t xml:space="preserve"> under subsection 14(1) of the Act, it will impose a charge of $0 on </w:t>
      </w:r>
      <w:r w:rsidRPr="00AE6A60">
        <w:t xml:space="preserve">carriers that were non-participating persons for the </w:t>
      </w:r>
      <w:r>
        <w:t>2022</w:t>
      </w:r>
      <w:r w:rsidR="000677AE">
        <w:t>–</w:t>
      </w:r>
      <w:r>
        <w:t>23</w:t>
      </w:r>
      <w:r w:rsidRPr="00AE6A60">
        <w:t xml:space="preserve"> eligible revenue period</w:t>
      </w:r>
      <w:r>
        <w:t>.</w:t>
      </w:r>
    </w:p>
    <w:p w14:paraId="6496C668" w14:textId="77777777" w:rsidR="00E41A00" w:rsidRDefault="00E41A00" w:rsidP="002E30A9">
      <w:pPr>
        <w:pStyle w:val="Paragraph"/>
      </w:pPr>
      <w:r w:rsidRPr="00AE6A60">
        <w:t>Subsection 15(1) of the Act requires that the total of the charges imposed on carrier licences in force at the beginning of a financial year must not exceed the sum of the cost components identified in paragraphs 15(1)(a) to 15(1)(d) of the Act (see Table 1). Further information on these cost components is provided in Chapter 3.</w:t>
      </w:r>
    </w:p>
    <w:p w14:paraId="07468184" w14:textId="77777777" w:rsidR="00E41A00" w:rsidRPr="00AE6A60" w:rsidRDefault="00E41A00" w:rsidP="002E30A9">
      <w:pPr>
        <w:pStyle w:val="Tableheading"/>
      </w:pPr>
      <w:r w:rsidRPr="00AE6A60">
        <w:lastRenderedPageBreak/>
        <w:t xml:space="preserve">Structural </w:t>
      </w:r>
      <w:r w:rsidRPr="002E30A9">
        <w:t>components</w:t>
      </w:r>
      <w:r w:rsidRPr="00AE6A60">
        <w:t xml:space="preserve"> of the ACLC</w:t>
      </w:r>
    </w:p>
    <w:tbl>
      <w:tblPr>
        <w:tblW w:w="552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57" w:type="dxa"/>
        </w:tblCellMar>
        <w:tblLook w:val="04A0" w:firstRow="1" w:lastRow="0" w:firstColumn="1" w:lastColumn="0" w:noHBand="0" w:noVBand="1"/>
        <w:tblCaption w:val="Structural components of the ACLC"/>
        <w:tblDescription w:val="Includes reference in the Act and cost component"/>
      </w:tblPr>
      <w:tblGrid>
        <w:gridCol w:w="2337"/>
        <w:gridCol w:w="7669"/>
      </w:tblGrid>
      <w:tr w:rsidR="00E41A00" w:rsidRPr="00AE6A60" w14:paraId="3D8858D5" w14:textId="77777777" w:rsidTr="006E2755">
        <w:trPr>
          <w:trHeight w:val="313"/>
          <w:tblHeader/>
        </w:trPr>
        <w:tc>
          <w:tcPr>
            <w:tcW w:w="1168" w:type="pct"/>
            <w:shd w:val="clear" w:color="auto" w:fill="404040" w:themeFill="text1" w:themeFillTint="BF"/>
          </w:tcPr>
          <w:p w14:paraId="36E3507D" w14:textId="77777777" w:rsidR="00E41A00" w:rsidRPr="002E30A9" w:rsidRDefault="00E41A00" w:rsidP="002E30A9">
            <w:pPr>
              <w:pStyle w:val="TableHeading0"/>
              <w:spacing w:line="280" w:lineRule="atLeast"/>
              <w:rPr>
                <w:b w:val="0"/>
                <w:color w:val="FFFFFF" w:themeColor="background1"/>
                <w:sz w:val="22"/>
                <w:szCs w:val="22"/>
              </w:rPr>
            </w:pPr>
            <w:r w:rsidRPr="002E30A9">
              <w:rPr>
                <w:color w:val="FFFFFF" w:themeColor="background1"/>
                <w:sz w:val="22"/>
                <w:szCs w:val="22"/>
              </w:rPr>
              <w:t>Reference in the Act</w:t>
            </w:r>
          </w:p>
        </w:tc>
        <w:tc>
          <w:tcPr>
            <w:tcW w:w="3832" w:type="pct"/>
            <w:tcBorders>
              <w:top w:val="single" w:sz="6" w:space="0" w:color="auto"/>
            </w:tcBorders>
            <w:shd w:val="clear" w:color="auto" w:fill="404040" w:themeFill="text1" w:themeFillTint="BF"/>
          </w:tcPr>
          <w:p w14:paraId="49939357" w14:textId="77777777" w:rsidR="00E41A00" w:rsidRPr="002E30A9" w:rsidRDefault="00E41A00" w:rsidP="002E30A9">
            <w:pPr>
              <w:pStyle w:val="TableHeading0"/>
              <w:spacing w:line="280" w:lineRule="atLeast"/>
              <w:rPr>
                <w:b w:val="0"/>
                <w:color w:val="FFFFFF" w:themeColor="background1"/>
                <w:sz w:val="22"/>
                <w:szCs w:val="22"/>
              </w:rPr>
            </w:pPr>
            <w:r w:rsidRPr="002E30A9">
              <w:rPr>
                <w:color w:val="FFFFFF" w:themeColor="background1"/>
                <w:sz w:val="22"/>
                <w:szCs w:val="22"/>
              </w:rPr>
              <w:t>Cost component</w:t>
            </w:r>
          </w:p>
        </w:tc>
      </w:tr>
      <w:tr w:rsidR="00E41A00" w:rsidRPr="00AE6A60" w14:paraId="3131E6C2" w14:textId="77777777" w:rsidTr="006E2755">
        <w:trPr>
          <w:trHeight w:val="160"/>
          <w:tblHeader/>
        </w:trPr>
        <w:tc>
          <w:tcPr>
            <w:tcW w:w="1168" w:type="pct"/>
          </w:tcPr>
          <w:p w14:paraId="32C4B042" w14:textId="77777777" w:rsidR="00E41A00" w:rsidRPr="002E30A9" w:rsidRDefault="00E41A00" w:rsidP="002E30A9">
            <w:pPr>
              <w:keepNext/>
              <w:spacing w:after="0" w:line="280" w:lineRule="atLeast"/>
              <w:rPr>
                <w:rFonts w:cs="Arial"/>
                <w:sz w:val="22"/>
                <w:szCs w:val="22"/>
              </w:rPr>
            </w:pPr>
            <w:r w:rsidRPr="002E30A9">
              <w:rPr>
                <w:rFonts w:cs="Arial"/>
                <w:sz w:val="22"/>
                <w:szCs w:val="22"/>
              </w:rPr>
              <w:t>15(1)(a)</w:t>
            </w:r>
          </w:p>
        </w:tc>
        <w:tc>
          <w:tcPr>
            <w:tcW w:w="3832" w:type="pct"/>
          </w:tcPr>
          <w:p w14:paraId="3EAA9564" w14:textId="77777777" w:rsidR="00E41A00" w:rsidRPr="002E30A9" w:rsidRDefault="00E41A00" w:rsidP="002E30A9">
            <w:pPr>
              <w:keepNext/>
              <w:spacing w:after="0" w:line="280" w:lineRule="atLeast"/>
              <w:rPr>
                <w:rFonts w:cs="Arial"/>
                <w:sz w:val="22"/>
                <w:szCs w:val="22"/>
              </w:rPr>
            </w:pPr>
            <w:r w:rsidRPr="002E30A9">
              <w:rPr>
                <w:rFonts w:cs="Arial"/>
                <w:sz w:val="22"/>
                <w:szCs w:val="22"/>
              </w:rPr>
              <w:t>The ACMA’s cost component</w:t>
            </w:r>
          </w:p>
        </w:tc>
      </w:tr>
      <w:tr w:rsidR="00E41A00" w:rsidRPr="00AE6A60" w14:paraId="3F690B09" w14:textId="77777777" w:rsidTr="006E2755">
        <w:trPr>
          <w:trHeight w:val="207"/>
          <w:tblHeader/>
        </w:trPr>
        <w:tc>
          <w:tcPr>
            <w:tcW w:w="1168" w:type="pct"/>
          </w:tcPr>
          <w:p w14:paraId="626E7A9D" w14:textId="77777777" w:rsidR="00E41A00" w:rsidRPr="002E30A9" w:rsidRDefault="00E41A00" w:rsidP="002E30A9">
            <w:pPr>
              <w:keepNext/>
              <w:spacing w:after="0" w:line="280" w:lineRule="atLeast"/>
              <w:rPr>
                <w:rFonts w:cs="Arial"/>
                <w:sz w:val="22"/>
                <w:szCs w:val="22"/>
              </w:rPr>
            </w:pPr>
            <w:r w:rsidRPr="002E30A9">
              <w:rPr>
                <w:rFonts w:cs="Arial"/>
                <w:sz w:val="22"/>
                <w:szCs w:val="22"/>
              </w:rPr>
              <w:t>15(1)(b)</w:t>
            </w:r>
          </w:p>
        </w:tc>
        <w:tc>
          <w:tcPr>
            <w:tcW w:w="3832" w:type="pct"/>
          </w:tcPr>
          <w:p w14:paraId="4362C695" w14:textId="77777777" w:rsidR="00E41A00" w:rsidRPr="002E30A9" w:rsidRDefault="00E41A00" w:rsidP="002E30A9">
            <w:pPr>
              <w:keepNext/>
              <w:spacing w:after="0" w:line="280" w:lineRule="atLeast"/>
              <w:rPr>
                <w:rFonts w:cs="Arial"/>
                <w:sz w:val="22"/>
                <w:szCs w:val="22"/>
              </w:rPr>
            </w:pPr>
            <w:r w:rsidRPr="002E30A9">
              <w:rPr>
                <w:rFonts w:cs="Arial"/>
                <w:sz w:val="22"/>
                <w:szCs w:val="22"/>
              </w:rPr>
              <w:t>The ACCC’s cost component</w:t>
            </w:r>
            <w:r w:rsidRPr="002E30A9">
              <w:rPr>
                <w:rStyle w:val="FootnoteReference"/>
                <w:rFonts w:cs="Arial"/>
                <w:sz w:val="22"/>
                <w:szCs w:val="22"/>
              </w:rPr>
              <w:footnoteReference w:id="6"/>
            </w:r>
          </w:p>
        </w:tc>
      </w:tr>
      <w:tr w:rsidR="00E41A00" w:rsidRPr="00AE6A60" w14:paraId="751DB99E" w14:textId="77777777" w:rsidTr="006E2755">
        <w:trPr>
          <w:trHeight w:val="128"/>
          <w:tblHeader/>
        </w:trPr>
        <w:tc>
          <w:tcPr>
            <w:tcW w:w="1168" w:type="pct"/>
          </w:tcPr>
          <w:p w14:paraId="3BD927FE" w14:textId="77777777" w:rsidR="00E41A00" w:rsidRPr="002E30A9" w:rsidRDefault="00E41A00" w:rsidP="002E30A9">
            <w:pPr>
              <w:keepNext/>
              <w:spacing w:after="0" w:line="280" w:lineRule="atLeast"/>
              <w:rPr>
                <w:rFonts w:cs="Arial"/>
                <w:sz w:val="22"/>
                <w:szCs w:val="22"/>
              </w:rPr>
            </w:pPr>
            <w:r w:rsidRPr="002E30A9">
              <w:rPr>
                <w:rFonts w:cs="Arial"/>
                <w:sz w:val="22"/>
                <w:szCs w:val="22"/>
              </w:rPr>
              <w:t>15(1)(c)</w:t>
            </w:r>
          </w:p>
        </w:tc>
        <w:tc>
          <w:tcPr>
            <w:tcW w:w="3832" w:type="pct"/>
          </w:tcPr>
          <w:p w14:paraId="14E01F4E" w14:textId="77777777" w:rsidR="00E41A00" w:rsidRPr="002E30A9" w:rsidRDefault="00E41A00" w:rsidP="002E30A9">
            <w:pPr>
              <w:keepNext/>
              <w:spacing w:after="0" w:line="280" w:lineRule="atLeast"/>
              <w:rPr>
                <w:rFonts w:cs="Arial"/>
                <w:sz w:val="22"/>
                <w:szCs w:val="22"/>
              </w:rPr>
            </w:pPr>
            <w:r w:rsidRPr="002E30A9">
              <w:rPr>
                <w:rFonts w:cs="Arial"/>
                <w:sz w:val="22"/>
                <w:szCs w:val="22"/>
              </w:rPr>
              <w:t>A proportion of the Commonwealth’s ITU contribution</w:t>
            </w:r>
          </w:p>
        </w:tc>
      </w:tr>
      <w:tr w:rsidR="00E41A00" w:rsidRPr="00AE6A60" w14:paraId="4359806E" w14:textId="77777777" w:rsidTr="006E2755">
        <w:trPr>
          <w:trHeight w:val="398"/>
          <w:tblHeader/>
        </w:trPr>
        <w:tc>
          <w:tcPr>
            <w:tcW w:w="1168" w:type="pct"/>
            <w:shd w:val="clear" w:color="auto" w:fill="auto"/>
          </w:tcPr>
          <w:p w14:paraId="1066CAC7" w14:textId="77777777" w:rsidR="00E41A00" w:rsidRPr="002E30A9" w:rsidRDefault="00E41A00" w:rsidP="002E30A9">
            <w:pPr>
              <w:keepNext/>
              <w:spacing w:after="0" w:line="280" w:lineRule="atLeast"/>
              <w:rPr>
                <w:rFonts w:cs="Arial"/>
                <w:sz w:val="22"/>
                <w:szCs w:val="22"/>
              </w:rPr>
            </w:pPr>
            <w:r w:rsidRPr="002E30A9">
              <w:rPr>
                <w:rFonts w:cs="Arial"/>
                <w:sz w:val="22"/>
                <w:szCs w:val="22"/>
              </w:rPr>
              <w:t>15(</w:t>
            </w:r>
            <w:proofErr w:type="gramStart"/>
            <w:r w:rsidRPr="002E30A9">
              <w:rPr>
                <w:rFonts w:cs="Arial"/>
                <w:sz w:val="22"/>
                <w:szCs w:val="22"/>
              </w:rPr>
              <w:t>1)(</w:t>
            </w:r>
            <w:proofErr w:type="gramEnd"/>
            <w:r w:rsidRPr="002E30A9">
              <w:rPr>
                <w:rFonts w:cs="Arial"/>
                <w:sz w:val="22"/>
                <w:szCs w:val="22"/>
              </w:rPr>
              <w:t>ca)</w:t>
            </w:r>
          </w:p>
        </w:tc>
        <w:tc>
          <w:tcPr>
            <w:tcW w:w="3832" w:type="pct"/>
            <w:shd w:val="clear" w:color="auto" w:fill="auto"/>
          </w:tcPr>
          <w:p w14:paraId="527DE8D1" w14:textId="77777777" w:rsidR="00E41A00" w:rsidRPr="002E30A9" w:rsidRDefault="00E41A00" w:rsidP="002E30A9">
            <w:pPr>
              <w:keepNext/>
              <w:spacing w:after="0" w:line="280" w:lineRule="atLeast"/>
              <w:rPr>
                <w:rFonts w:cs="Arial"/>
                <w:sz w:val="22"/>
                <w:szCs w:val="22"/>
              </w:rPr>
            </w:pPr>
            <w:r w:rsidRPr="002E30A9">
              <w:rPr>
                <w:rFonts w:cs="Arial"/>
                <w:sz w:val="22"/>
                <w:szCs w:val="22"/>
              </w:rPr>
              <w:t>The sum of amounts paid to industry bodies for reimbursement of costs associated with developing or varying industry codes under Part 6 of the Telco Act</w:t>
            </w:r>
          </w:p>
        </w:tc>
      </w:tr>
      <w:tr w:rsidR="00E41A00" w:rsidRPr="00AE6A60" w14:paraId="514A90B2" w14:textId="77777777" w:rsidTr="006E2755">
        <w:trPr>
          <w:trHeight w:val="156"/>
          <w:tblHeader/>
        </w:trPr>
        <w:tc>
          <w:tcPr>
            <w:tcW w:w="1168" w:type="pct"/>
            <w:shd w:val="clear" w:color="auto" w:fill="auto"/>
          </w:tcPr>
          <w:p w14:paraId="5BA0C204" w14:textId="77777777" w:rsidR="00E41A00" w:rsidRPr="002E30A9" w:rsidRDefault="00E41A00" w:rsidP="002E30A9">
            <w:pPr>
              <w:keepNext/>
              <w:spacing w:after="0" w:line="280" w:lineRule="atLeast"/>
              <w:rPr>
                <w:rFonts w:cs="Arial"/>
                <w:sz w:val="22"/>
                <w:szCs w:val="22"/>
              </w:rPr>
            </w:pPr>
            <w:r w:rsidRPr="002E30A9">
              <w:rPr>
                <w:rFonts w:cs="Arial"/>
                <w:sz w:val="22"/>
                <w:szCs w:val="22"/>
              </w:rPr>
              <w:t>15(1)(d)</w:t>
            </w:r>
          </w:p>
        </w:tc>
        <w:tc>
          <w:tcPr>
            <w:tcW w:w="3832" w:type="pct"/>
            <w:shd w:val="clear" w:color="auto" w:fill="auto"/>
          </w:tcPr>
          <w:p w14:paraId="41400D49" w14:textId="77777777" w:rsidR="00E41A00" w:rsidRPr="002E30A9" w:rsidRDefault="00E41A00" w:rsidP="002E30A9">
            <w:pPr>
              <w:keepNext/>
              <w:spacing w:after="0" w:line="280" w:lineRule="atLeast"/>
              <w:rPr>
                <w:rFonts w:cs="Arial"/>
                <w:sz w:val="22"/>
                <w:szCs w:val="22"/>
              </w:rPr>
            </w:pPr>
            <w:r w:rsidRPr="002E30A9">
              <w:rPr>
                <w:rFonts w:cs="Arial"/>
                <w:sz w:val="22"/>
                <w:szCs w:val="22"/>
              </w:rPr>
              <w:t>Estimated grants to be made under section 593 of the Telco Act for consumer representation and research</w:t>
            </w:r>
          </w:p>
        </w:tc>
      </w:tr>
    </w:tbl>
    <w:p w14:paraId="349DDB13" w14:textId="77777777" w:rsidR="00E41A00" w:rsidRPr="00AE6A60" w:rsidRDefault="00E41A00" w:rsidP="000313E8">
      <w:pPr>
        <w:pStyle w:val="Paragraph"/>
        <w:spacing w:before="240"/>
      </w:pPr>
      <w:r w:rsidRPr="00AE6A60">
        <w:t>The ACMA will make a legislative instrument under subsection 14(1) of the Act that sets out the ACLC</w:t>
      </w:r>
      <w:r>
        <w:t xml:space="preserve"> </w:t>
      </w:r>
      <w:r w:rsidRPr="00AE6A60">
        <w:t>imposed on liable individual carrier licences, and the method of ascertaining the amount of the charge.</w:t>
      </w:r>
    </w:p>
    <w:p w14:paraId="26EA3CA6" w14:textId="77777777" w:rsidR="00E41A00" w:rsidRPr="00AE6A60" w:rsidRDefault="00E41A00" w:rsidP="00D37B23">
      <w:pPr>
        <w:pStyle w:val="Paragraph"/>
      </w:pPr>
      <w:r w:rsidRPr="00AE6A60">
        <w:t>In accordance with subsection 15(1) of the Act, the ACMA will also make a separate legislative instrument, determining the relevant amounts under paragraphs 15(1)(a), 15(1)(c) and 15(</w:t>
      </w:r>
      <w:proofErr w:type="gramStart"/>
      <w:r w:rsidRPr="00AE6A60">
        <w:t>1)(</w:t>
      </w:r>
      <w:proofErr w:type="gramEnd"/>
      <w:r w:rsidRPr="00AE6A60">
        <w:t xml:space="preserve">ca) of the Act. </w:t>
      </w:r>
    </w:p>
    <w:p w14:paraId="0325707E" w14:textId="77777777" w:rsidR="00E41A00" w:rsidRPr="00AE6A60" w:rsidRDefault="00E41A00" w:rsidP="00D37B23">
      <w:pPr>
        <w:pStyle w:val="Paragraph"/>
      </w:pPr>
      <w:r w:rsidRPr="00B2457D">
        <w:t xml:space="preserve">The ACCC will </w:t>
      </w:r>
      <w:proofErr w:type="gramStart"/>
      <w:r w:rsidRPr="00B2457D">
        <w:t>make a determination</w:t>
      </w:r>
      <w:proofErr w:type="gramEnd"/>
      <w:r w:rsidRPr="00B2457D">
        <w:t xml:space="preserve"> specifying its costs as described in paragraph 15(1)(b) of the Act, showing separately the costs applicable to the MBA program.</w:t>
      </w:r>
    </w:p>
    <w:p w14:paraId="4E59507D" w14:textId="32392136" w:rsidR="00E41A00" w:rsidRDefault="00E41A00" w:rsidP="00E41A00">
      <w:pPr>
        <w:pStyle w:val="Paragraph"/>
      </w:pPr>
      <w:r w:rsidRPr="004D37D3">
        <w:t xml:space="preserve">On </w:t>
      </w:r>
      <w:r>
        <w:t xml:space="preserve">19 </w:t>
      </w:r>
      <w:r w:rsidRPr="00E10C47">
        <w:t xml:space="preserve">March </w:t>
      </w:r>
      <w:r>
        <w:t>2024</w:t>
      </w:r>
      <w:r w:rsidRPr="004D37D3">
        <w:t>, the</w:t>
      </w:r>
      <w:r w:rsidRPr="006B4840" w:rsidDel="00093E9C">
        <w:t xml:space="preserve"> </w:t>
      </w:r>
      <w:r>
        <w:t>m</w:t>
      </w:r>
      <w:r w:rsidRPr="006A460F">
        <w:t>inister</w:t>
      </w:r>
      <w:r w:rsidRPr="00E10C47">
        <w:t xml:space="preserve"> made the </w:t>
      </w:r>
      <w:r w:rsidRPr="00E14DBA">
        <w:t xml:space="preserve">Telecommunications (Carrier Licence Charges) (Paragraph 15(1)(d)) Determination </w:t>
      </w:r>
      <w:r>
        <w:t>2024</w:t>
      </w:r>
      <w:r w:rsidRPr="004D37D3">
        <w:t>,</w:t>
      </w:r>
      <w:r w:rsidRPr="006B4840">
        <w:rPr>
          <w:i/>
        </w:rPr>
        <w:t xml:space="preserve"> </w:t>
      </w:r>
      <w:r>
        <w:t>which</w:t>
      </w:r>
      <w:r w:rsidRPr="00E10C47">
        <w:t xml:space="preserve"> estimated </w:t>
      </w:r>
      <w:r>
        <w:t xml:space="preserve">the </w:t>
      </w:r>
      <w:r w:rsidRPr="00E10C47">
        <w:t xml:space="preserve">total amount of grants likely to be made during the </w:t>
      </w:r>
      <w:r>
        <w:t>2023</w:t>
      </w:r>
      <w:r w:rsidR="000677AE">
        <w:t>–</w:t>
      </w:r>
      <w:r>
        <w:t>24</w:t>
      </w:r>
      <w:r w:rsidRPr="004D37D3">
        <w:t xml:space="preserve"> financial year under section 593 of the Telco Act</w:t>
      </w:r>
      <w:r>
        <w:t>,</w:t>
      </w:r>
      <w:r w:rsidRPr="004D37D3">
        <w:t xml:space="preserve"> in accordance</w:t>
      </w:r>
      <w:r w:rsidRPr="006B4840">
        <w:t xml:space="preserve"> with paragraph 15(1)(d) of the</w:t>
      </w:r>
      <w:r w:rsidRPr="00AE6A60">
        <w:t xml:space="preserve"> Act</w:t>
      </w:r>
      <w:r w:rsidR="000677AE">
        <w:t>.</w:t>
      </w:r>
      <w:r>
        <w:rPr>
          <w:rStyle w:val="FootnoteReference"/>
        </w:rPr>
        <w:footnoteReference w:id="7"/>
      </w:r>
      <w:r w:rsidRPr="00AE6A60">
        <w:t xml:space="preserve">  </w:t>
      </w:r>
    </w:p>
    <w:p w14:paraId="5371A686" w14:textId="54BBD847" w:rsidR="00E41A00" w:rsidRDefault="00E41A00" w:rsidP="00E41A00">
      <w:pPr>
        <w:pStyle w:val="Paragraph"/>
      </w:pPr>
      <w:r w:rsidRPr="00AE6A60">
        <w:t xml:space="preserve">All determinations </w:t>
      </w:r>
      <w:r>
        <w:t xml:space="preserve">are, or </w:t>
      </w:r>
      <w:r w:rsidRPr="00AE6A60">
        <w:t>will be</w:t>
      </w:r>
      <w:r>
        <w:t>,</w:t>
      </w:r>
      <w:r w:rsidRPr="00AE6A60">
        <w:t xml:space="preserve"> registered on the Federal Register of Legislation</w:t>
      </w:r>
      <w:r>
        <w:t xml:space="preserve"> </w:t>
      </w:r>
      <w:r w:rsidRPr="00A62A03">
        <w:t xml:space="preserve">by the respective entities and commence before the ACMA will formally determine the amount of ACLC payable by each relevant </w:t>
      </w:r>
      <w:r w:rsidR="00246E76" w:rsidRPr="00A62A03">
        <w:t>licen</w:t>
      </w:r>
      <w:r w:rsidR="00246E76">
        <w:t>s</w:t>
      </w:r>
      <w:r w:rsidR="00246E76" w:rsidRPr="00A62A03">
        <w:t xml:space="preserve">ed </w:t>
      </w:r>
      <w:r w:rsidRPr="00A62A03">
        <w:t>carrier and issue invoice</w:t>
      </w:r>
      <w:r>
        <w:t>s</w:t>
      </w:r>
      <w:r w:rsidRPr="00A62A03">
        <w:t>.</w:t>
      </w:r>
      <w:r>
        <w:t xml:space="preserve"> </w:t>
      </w:r>
    </w:p>
    <w:p w14:paraId="4A0E4EBA" w14:textId="77777777" w:rsidR="00E41A00" w:rsidRDefault="00E41A00" w:rsidP="00D37B23">
      <w:pPr>
        <w:pStyle w:val="Tableheading"/>
      </w:pPr>
      <w:r w:rsidRPr="004167F3">
        <w:lastRenderedPageBreak/>
        <w:t xml:space="preserve">List of </w:t>
      </w:r>
      <w:r w:rsidRPr="00D37B23">
        <w:t>legislative</w:t>
      </w:r>
      <w:r w:rsidRPr="004167F3">
        <w:t xml:space="preserve"> instruments for imposition of the ACLC for the 20</w:t>
      </w:r>
      <w:r>
        <w:t>23</w:t>
      </w:r>
      <w:r w:rsidRPr="004167F3">
        <w:t>–</w:t>
      </w:r>
      <w:r>
        <w:t>24</w:t>
      </w:r>
      <w:r w:rsidRPr="004167F3">
        <w:t xml:space="preserve"> financial year</w:t>
      </w:r>
    </w:p>
    <w:tbl>
      <w:tblPr>
        <w:tblStyle w:val="TableGrid"/>
        <w:tblW w:w="8707" w:type="dxa"/>
        <w:tblCellMar>
          <w:top w:w="85" w:type="dxa"/>
          <w:left w:w="57" w:type="dxa"/>
          <w:bottom w:w="85" w:type="dxa"/>
          <w:right w:w="57" w:type="dxa"/>
        </w:tblCellMar>
        <w:tblLook w:val="04A0" w:firstRow="1" w:lastRow="0" w:firstColumn="1" w:lastColumn="0" w:noHBand="0" w:noVBand="1"/>
      </w:tblPr>
      <w:tblGrid>
        <w:gridCol w:w="531"/>
        <w:gridCol w:w="5764"/>
        <w:gridCol w:w="2412"/>
      </w:tblGrid>
      <w:tr w:rsidR="00E41A00" w14:paraId="6619A8F2" w14:textId="77777777" w:rsidTr="006E2755">
        <w:trPr>
          <w:trHeight w:val="219"/>
        </w:trPr>
        <w:tc>
          <w:tcPr>
            <w:tcW w:w="531" w:type="dxa"/>
            <w:shd w:val="clear" w:color="auto" w:fill="404040" w:themeFill="text1" w:themeFillTint="BF"/>
          </w:tcPr>
          <w:p w14:paraId="21EF0C90" w14:textId="77777777" w:rsidR="00E41A00" w:rsidRPr="00D37B23" w:rsidRDefault="00E41A00" w:rsidP="00D37B23">
            <w:pPr>
              <w:keepNext/>
              <w:keepLines/>
              <w:spacing w:after="0" w:line="280" w:lineRule="atLeast"/>
              <w:rPr>
                <w:b/>
                <w:bCs/>
                <w:color w:val="FFFFFF" w:themeColor="background1"/>
                <w:sz w:val="22"/>
                <w:szCs w:val="22"/>
              </w:rPr>
            </w:pPr>
            <w:r w:rsidRPr="00D37B23">
              <w:rPr>
                <w:b/>
                <w:bCs/>
                <w:color w:val="FFFFFF" w:themeColor="background1"/>
                <w:sz w:val="22"/>
                <w:szCs w:val="22"/>
              </w:rPr>
              <w:t>No.</w:t>
            </w:r>
          </w:p>
        </w:tc>
        <w:tc>
          <w:tcPr>
            <w:tcW w:w="5764" w:type="dxa"/>
            <w:shd w:val="clear" w:color="auto" w:fill="404040" w:themeFill="text1" w:themeFillTint="BF"/>
          </w:tcPr>
          <w:p w14:paraId="6AC1C5BA" w14:textId="77777777" w:rsidR="00E41A00" w:rsidRPr="00D37B23" w:rsidRDefault="00E41A00" w:rsidP="00D37B23">
            <w:pPr>
              <w:keepNext/>
              <w:keepLines/>
              <w:spacing w:after="0" w:line="280" w:lineRule="atLeast"/>
              <w:rPr>
                <w:b/>
                <w:color w:val="FFFFFF" w:themeColor="background1"/>
                <w:sz w:val="22"/>
                <w:szCs w:val="22"/>
              </w:rPr>
            </w:pPr>
            <w:r w:rsidRPr="00D37B23">
              <w:rPr>
                <w:b/>
                <w:color w:val="FFFFFF" w:themeColor="background1"/>
                <w:sz w:val="22"/>
                <w:szCs w:val="22"/>
              </w:rPr>
              <w:t>Determination</w:t>
            </w:r>
          </w:p>
        </w:tc>
        <w:tc>
          <w:tcPr>
            <w:tcW w:w="2412" w:type="dxa"/>
            <w:shd w:val="clear" w:color="auto" w:fill="404040" w:themeFill="text1" w:themeFillTint="BF"/>
          </w:tcPr>
          <w:p w14:paraId="26CB7379" w14:textId="77777777" w:rsidR="00E41A00" w:rsidRPr="00D37B23" w:rsidRDefault="00E41A00" w:rsidP="00D37B23">
            <w:pPr>
              <w:keepNext/>
              <w:keepLines/>
              <w:spacing w:after="0" w:line="280" w:lineRule="atLeast"/>
              <w:rPr>
                <w:b/>
                <w:color w:val="FFFFFF" w:themeColor="background1"/>
                <w:sz w:val="22"/>
                <w:szCs w:val="22"/>
              </w:rPr>
            </w:pPr>
            <w:r w:rsidRPr="00D37B23">
              <w:rPr>
                <w:b/>
                <w:color w:val="FFFFFF" w:themeColor="background1"/>
                <w:sz w:val="22"/>
                <w:szCs w:val="22"/>
              </w:rPr>
              <w:t>Made under</w:t>
            </w:r>
          </w:p>
        </w:tc>
      </w:tr>
      <w:tr w:rsidR="00E41A00" w14:paraId="70D2BD5A" w14:textId="77777777" w:rsidTr="006E2755">
        <w:trPr>
          <w:trHeight w:val="1022"/>
        </w:trPr>
        <w:tc>
          <w:tcPr>
            <w:tcW w:w="531" w:type="dxa"/>
          </w:tcPr>
          <w:p w14:paraId="01732A67" w14:textId="77777777" w:rsidR="00E41A00" w:rsidRPr="00D37B23" w:rsidRDefault="00E41A00" w:rsidP="00D37B23">
            <w:pPr>
              <w:keepNext/>
              <w:keepLines/>
              <w:spacing w:after="0" w:line="280" w:lineRule="atLeast"/>
              <w:rPr>
                <w:sz w:val="22"/>
                <w:szCs w:val="22"/>
              </w:rPr>
            </w:pPr>
            <w:r w:rsidRPr="00D37B23">
              <w:rPr>
                <w:sz w:val="22"/>
                <w:szCs w:val="22"/>
              </w:rPr>
              <w:t>1</w:t>
            </w:r>
          </w:p>
        </w:tc>
        <w:tc>
          <w:tcPr>
            <w:tcW w:w="5764" w:type="dxa"/>
          </w:tcPr>
          <w:p w14:paraId="3A2E66C5" w14:textId="77777777" w:rsidR="00E41A00" w:rsidRPr="00D37B23" w:rsidRDefault="00E41A00" w:rsidP="00D37B23">
            <w:pPr>
              <w:keepNext/>
              <w:keepLines/>
              <w:spacing w:after="120" w:line="280" w:lineRule="atLeast"/>
              <w:rPr>
                <w:sz w:val="22"/>
                <w:szCs w:val="22"/>
              </w:rPr>
            </w:pPr>
            <w:r w:rsidRPr="00D37B23">
              <w:rPr>
                <w:sz w:val="22"/>
                <w:szCs w:val="22"/>
              </w:rPr>
              <w:t>Telecommunications Carrier Licence Charges (Annual Charges) Determination (No. 1) 2024</w:t>
            </w:r>
          </w:p>
          <w:p w14:paraId="212953A2" w14:textId="77777777" w:rsidR="00E41A00" w:rsidRPr="00D37B23" w:rsidRDefault="00E41A00" w:rsidP="00D37B23">
            <w:pPr>
              <w:keepNext/>
              <w:keepLines/>
              <w:spacing w:after="0" w:line="280" w:lineRule="atLeast"/>
              <w:rPr>
                <w:sz w:val="22"/>
                <w:szCs w:val="22"/>
              </w:rPr>
            </w:pPr>
            <w:r w:rsidRPr="00D37B23">
              <w:rPr>
                <w:sz w:val="22"/>
                <w:szCs w:val="22"/>
              </w:rPr>
              <w:t>(To be made by the ACMA, commencing after each of the determinations listed below have commenced)</w:t>
            </w:r>
          </w:p>
        </w:tc>
        <w:tc>
          <w:tcPr>
            <w:tcW w:w="2412" w:type="dxa"/>
          </w:tcPr>
          <w:p w14:paraId="497A3868" w14:textId="77777777" w:rsidR="00E41A00" w:rsidRPr="00D37B23" w:rsidRDefault="00E41A00" w:rsidP="00D37B23">
            <w:pPr>
              <w:keepNext/>
              <w:keepLines/>
              <w:spacing w:line="280" w:lineRule="atLeast"/>
              <w:rPr>
                <w:sz w:val="22"/>
                <w:szCs w:val="22"/>
              </w:rPr>
            </w:pPr>
            <w:r w:rsidRPr="00D37B23">
              <w:rPr>
                <w:sz w:val="22"/>
                <w:szCs w:val="22"/>
              </w:rPr>
              <w:t>Subsection 14(1) of the Act</w:t>
            </w:r>
          </w:p>
        </w:tc>
      </w:tr>
      <w:tr w:rsidR="00E41A00" w14:paraId="6CBC094C" w14:textId="77777777" w:rsidTr="006E2755">
        <w:trPr>
          <w:trHeight w:val="792"/>
        </w:trPr>
        <w:tc>
          <w:tcPr>
            <w:tcW w:w="531" w:type="dxa"/>
          </w:tcPr>
          <w:p w14:paraId="5FB72226" w14:textId="77777777" w:rsidR="00E41A00" w:rsidRPr="00D37B23" w:rsidRDefault="00E41A00" w:rsidP="00D37B23">
            <w:pPr>
              <w:keepNext/>
              <w:keepLines/>
              <w:spacing w:after="0" w:line="280" w:lineRule="atLeast"/>
              <w:rPr>
                <w:sz w:val="22"/>
                <w:szCs w:val="22"/>
              </w:rPr>
            </w:pPr>
            <w:r w:rsidRPr="00D37B23">
              <w:rPr>
                <w:sz w:val="22"/>
                <w:szCs w:val="22"/>
              </w:rPr>
              <w:t>2</w:t>
            </w:r>
          </w:p>
        </w:tc>
        <w:tc>
          <w:tcPr>
            <w:tcW w:w="5764" w:type="dxa"/>
          </w:tcPr>
          <w:p w14:paraId="0FA600C5" w14:textId="77777777" w:rsidR="00E41A00" w:rsidRPr="00D37B23" w:rsidRDefault="00E41A00" w:rsidP="00D37B23">
            <w:pPr>
              <w:keepNext/>
              <w:keepLines/>
              <w:spacing w:after="120" w:line="280" w:lineRule="atLeast"/>
              <w:rPr>
                <w:sz w:val="22"/>
                <w:szCs w:val="22"/>
              </w:rPr>
            </w:pPr>
            <w:r w:rsidRPr="00D37B23">
              <w:rPr>
                <w:sz w:val="22"/>
                <w:szCs w:val="22"/>
              </w:rPr>
              <w:t xml:space="preserve">Telecommunications Carrier Licence Charges (Specification of Costs by the ACMA) Determination (No. 1) 2024 </w:t>
            </w:r>
          </w:p>
          <w:p w14:paraId="6E784DCB" w14:textId="77777777" w:rsidR="00E41A00" w:rsidRPr="00D37B23" w:rsidRDefault="00E41A00" w:rsidP="00D37B23">
            <w:pPr>
              <w:keepNext/>
              <w:keepLines/>
              <w:spacing w:after="0" w:line="280" w:lineRule="atLeast"/>
              <w:rPr>
                <w:sz w:val="22"/>
                <w:szCs w:val="22"/>
              </w:rPr>
            </w:pPr>
            <w:r w:rsidRPr="00D37B23">
              <w:rPr>
                <w:sz w:val="22"/>
                <w:szCs w:val="22"/>
              </w:rPr>
              <w:t>(To be made by the ACMA)</w:t>
            </w:r>
          </w:p>
        </w:tc>
        <w:tc>
          <w:tcPr>
            <w:tcW w:w="2412" w:type="dxa"/>
          </w:tcPr>
          <w:p w14:paraId="184D68D9" w14:textId="77777777" w:rsidR="00E41A00" w:rsidRPr="00D37B23" w:rsidRDefault="00E41A00" w:rsidP="00D37B23">
            <w:pPr>
              <w:keepNext/>
              <w:keepLines/>
              <w:spacing w:after="0" w:line="280" w:lineRule="atLeast"/>
              <w:rPr>
                <w:sz w:val="22"/>
                <w:szCs w:val="22"/>
              </w:rPr>
            </w:pPr>
            <w:r w:rsidRPr="00D37B23">
              <w:rPr>
                <w:sz w:val="22"/>
                <w:szCs w:val="22"/>
              </w:rPr>
              <w:t>Paragraphs 15(1)(a), (c) and (ca) of the Act</w:t>
            </w:r>
          </w:p>
        </w:tc>
      </w:tr>
      <w:tr w:rsidR="00E41A00" w:rsidRPr="001307E6" w14:paraId="52E1FF0F" w14:textId="77777777" w:rsidTr="006E2755">
        <w:trPr>
          <w:trHeight w:val="563"/>
        </w:trPr>
        <w:tc>
          <w:tcPr>
            <w:tcW w:w="531" w:type="dxa"/>
          </w:tcPr>
          <w:p w14:paraId="04BD98DB" w14:textId="77777777" w:rsidR="00E41A00" w:rsidRPr="00D37B23" w:rsidRDefault="00E41A00" w:rsidP="00D37B23">
            <w:pPr>
              <w:keepNext/>
              <w:keepLines/>
              <w:spacing w:after="0" w:line="280" w:lineRule="atLeast"/>
              <w:rPr>
                <w:sz w:val="22"/>
                <w:szCs w:val="22"/>
              </w:rPr>
            </w:pPr>
            <w:r w:rsidRPr="00D37B23">
              <w:rPr>
                <w:sz w:val="22"/>
                <w:szCs w:val="22"/>
              </w:rPr>
              <w:t>3</w:t>
            </w:r>
          </w:p>
        </w:tc>
        <w:tc>
          <w:tcPr>
            <w:tcW w:w="5764" w:type="dxa"/>
          </w:tcPr>
          <w:p w14:paraId="789DC0ED" w14:textId="7950E6C3" w:rsidR="00E41A00" w:rsidRPr="00D37B23" w:rsidRDefault="00E41A00" w:rsidP="00D37B23">
            <w:pPr>
              <w:keepNext/>
              <w:keepLines/>
              <w:spacing w:after="120" w:line="280" w:lineRule="atLeast"/>
              <w:rPr>
                <w:sz w:val="22"/>
                <w:szCs w:val="22"/>
              </w:rPr>
            </w:pPr>
            <w:r w:rsidRPr="00D37B23">
              <w:rPr>
                <w:sz w:val="22"/>
                <w:szCs w:val="22"/>
              </w:rPr>
              <w:t xml:space="preserve">Determination </w:t>
            </w:r>
            <w:r w:rsidR="004D3AEA">
              <w:rPr>
                <w:sz w:val="22"/>
                <w:szCs w:val="22"/>
              </w:rPr>
              <w:t>u</w:t>
            </w:r>
            <w:r w:rsidR="004D3AEA" w:rsidRPr="00D37B23">
              <w:rPr>
                <w:sz w:val="22"/>
                <w:szCs w:val="22"/>
              </w:rPr>
              <w:t xml:space="preserve">nder </w:t>
            </w:r>
            <w:r w:rsidRPr="00D37B23">
              <w:rPr>
                <w:sz w:val="22"/>
                <w:szCs w:val="22"/>
              </w:rPr>
              <w:t xml:space="preserve">Paragraph 15(1)(b) for 2024 </w:t>
            </w:r>
          </w:p>
          <w:p w14:paraId="56FF4D37" w14:textId="77777777" w:rsidR="00E41A00" w:rsidRPr="00D37B23" w:rsidRDefault="00E41A00" w:rsidP="00D37B23">
            <w:pPr>
              <w:keepNext/>
              <w:keepLines/>
              <w:spacing w:after="0" w:line="280" w:lineRule="atLeast"/>
              <w:rPr>
                <w:sz w:val="22"/>
                <w:szCs w:val="22"/>
              </w:rPr>
            </w:pPr>
            <w:r w:rsidRPr="00D37B23">
              <w:rPr>
                <w:sz w:val="22"/>
                <w:szCs w:val="22"/>
              </w:rPr>
              <w:t>(To be made by the ACCC)</w:t>
            </w:r>
          </w:p>
        </w:tc>
        <w:tc>
          <w:tcPr>
            <w:tcW w:w="2412" w:type="dxa"/>
          </w:tcPr>
          <w:p w14:paraId="1B422068" w14:textId="77777777" w:rsidR="00E41A00" w:rsidRPr="00D37B23" w:rsidRDefault="00E41A00" w:rsidP="00D37B23">
            <w:pPr>
              <w:keepNext/>
              <w:keepLines/>
              <w:spacing w:after="0" w:line="280" w:lineRule="atLeast"/>
              <w:rPr>
                <w:sz w:val="22"/>
                <w:szCs w:val="22"/>
              </w:rPr>
            </w:pPr>
            <w:r w:rsidRPr="00D37B23">
              <w:rPr>
                <w:sz w:val="22"/>
                <w:szCs w:val="22"/>
              </w:rPr>
              <w:t>Paragraph 15(1)(b) of the Act</w:t>
            </w:r>
          </w:p>
        </w:tc>
      </w:tr>
      <w:tr w:rsidR="00E41A00" w14:paraId="18E76CE2" w14:textId="77777777" w:rsidTr="006E2755">
        <w:trPr>
          <w:trHeight w:val="563"/>
        </w:trPr>
        <w:tc>
          <w:tcPr>
            <w:tcW w:w="531" w:type="dxa"/>
          </w:tcPr>
          <w:p w14:paraId="4302D504" w14:textId="77777777" w:rsidR="00E41A00" w:rsidRPr="00D37B23" w:rsidRDefault="00E41A00" w:rsidP="00D37B23">
            <w:pPr>
              <w:keepNext/>
              <w:keepLines/>
              <w:spacing w:after="0" w:line="280" w:lineRule="atLeast"/>
              <w:rPr>
                <w:sz w:val="22"/>
                <w:szCs w:val="22"/>
              </w:rPr>
            </w:pPr>
            <w:r w:rsidRPr="00D37B23">
              <w:rPr>
                <w:sz w:val="22"/>
                <w:szCs w:val="22"/>
              </w:rPr>
              <w:t>4</w:t>
            </w:r>
          </w:p>
        </w:tc>
        <w:tc>
          <w:tcPr>
            <w:tcW w:w="5764" w:type="dxa"/>
          </w:tcPr>
          <w:p w14:paraId="5EB2C9E0" w14:textId="133D9C67" w:rsidR="00E41A00" w:rsidRPr="00D37B23" w:rsidRDefault="00E41A00" w:rsidP="00D37B23">
            <w:pPr>
              <w:keepNext/>
              <w:keepLines/>
              <w:spacing w:after="120" w:line="280" w:lineRule="atLeast"/>
              <w:rPr>
                <w:sz w:val="22"/>
                <w:szCs w:val="22"/>
              </w:rPr>
            </w:pPr>
            <w:r w:rsidRPr="00D37B23">
              <w:rPr>
                <w:sz w:val="22"/>
                <w:szCs w:val="22"/>
              </w:rPr>
              <w:t xml:space="preserve">Determination </w:t>
            </w:r>
            <w:r w:rsidR="004D3AEA">
              <w:rPr>
                <w:sz w:val="22"/>
                <w:szCs w:val="22"/>
              </w:rPr>
              <w:t>u</w:t>
            </w:r>
            <w:r w:rsidR="004D3AEA" w:rsidRPr="00D37B23">
              <w:rPr>
                <w:sz w:val="22"/>
                <w:szCs w:val="22"/>
              </w:rPr>
              <w:t xml:space="preserve">nder </w:t>
            </w:r>
            <w:r w:rsidRPr="00D37B23">
              <w:rPr>
                <w:sz w:val="22"/>
                <w:szCs w:val="22"/>
              </w:rPr>
              <w:t>Paragraph 15(1)(d) for 2024</w:t>
            </w:r>
            <w:r w:rsidRPr="00D37B23">
              <w:rPr>
                <w:rStyle w:val="FootnoteReference"/>
                <w:sz w:val="22"/>
                <w:szCs w:val="22"/>
              </w:rPr>
              <w:footnoteReference w:id="8"/>
            </w:r>
            <w:r w:rsidRPr="00D37B23">
              <w:rPr>
                <w:sz w:val="22"/>
                <w:szCs w:val="22"/>
              </w:rPr>
              <w:t xml:space="preserve"> </w:t>
            </w:r>
          </w:p>
          <w:p w14:paraId="0BF784E6" w14:textId="3A056E30" w:rsidR="00E41A00" w:rsidRPr="00D37B23" w:rsidRDefault="00E41A00" w:rsidP="00D37B23">
            <w:pPr>
              <w:keepNext/>
              <w:keepLines/>
              <w:spacing w:after="0" w:line="280" w:lineRule="atLeast"/>
              <w:rPr>
                <w:sz w:val="22"/>
                <w:szCs w:val="22"/>
              </w:rPr>
            </w:pPr>
            <w:r w:rsidRPr="00D37B23">
              <w:rPr>
                <w:sz w:val="22"/>
                <w:szCs w:val="22"/>
              </w:rPr>
              <w:t>(Made by the minister)</w:t>
            </w:r>
          </w:p>
        </w:tc>
        <w:tc>
          <w:tcPr>
            <w:tcW w:w="2412" w:type="dxa"/>
          </w:tcPr>
          <w:p w14:paraId="31B21BF6" w14:textId="77777777" w:rsidR="00E41A00" w:rsidRPr="00D37B23" w:rsidRDefault="00E41A00" w:rsidP="00D37B23">
            <w:pPr>
              <w:keepNext/>
              <w:keepLines/>
              <w:spacing w:after="0" w:line="280" w:lineRule="atLeast"/>
              <w:rPr>
                <w:sz w:val="22"/>
                <w:szCs w:val="22"/>
              </w:rPr>
            </w:pPr>
            <w:r w:rsidRPr="00D37B23">
              <w:rPr>
                <w:sz w:val="22"/>
                <w:szCs w:val="22"/>
              </w:rPr>
              <w:t>Paragraph 15(1)(d) of the Act</w:t>
            </w:r>
          </w:p>
        </w:tc>
      </w:tr>
    </w:tbl>
    <w:p w14:paraId="0148DCA4" w14:textId="77777777" w:rsidR="00E41A00" w:rsidRPr="001514C8" w:rsidRDefault="00E41A00" w:rsidP="00E41A00">
      <w:pPr>
        <w:rPr>
          <w:b/>
        </w:rPr>
      </w:pPr>
    </w:p>
    <w:p w14:paraId="63453E71" w14:textId="77777777" w:rsidR="00E41A00" w:rsidRPr="00AE6A60" w:rsidRDefault="00E41A00" w:rsidP="00E41A00">
      <w:pPr>
        <w:pStyle w:val="Heading1"/>
      </w:pPr>
      <w:bookmarkStart w:id="69" w:name="_Toc355953989"/>
      <w:bookmarkStart w:id="70" w:name="_Toc385256318"/>
      <w:bookmarkStart w:id="71" w:name="_Toc417990945"/>
      <w:bookmarkStart w:id="72" w:name="_Toc511634387"/>
      <w:bookmarkStart w:id="73" w:name="_Toc67042576"/>
      <w:bookmarkStart w:id="74" w:name="_Toc108599210"/>
      <w:bookmarkStart w:id="75" w:name="_Toc121920491"/>
      <w:bookmarkStart w:id="76" w:name="_Toc149735447"/>
      <w:bookmarkStart w:id="77" w:name="_Toc175123928"/>
      <w:r w:rsidRPr="00AE6A60">
        <w:lastRenderedPageBreak/>
        <w:t>3.</w:t>
      </w:r>
      <w:r w:rsidRPr="00AE6A60">
        <w:tab/>
        <w:t xml:space="preserve">Cost recovery </w:t>
      </w:r>
      <w:bookmarkEnd w:id="69"/>
      <w:bookmarkEnd w:id="70"/>
      <w:r w:rsidRPr="00AE6A60">
        <w:t>model</w:t>
      </w:r>
      <w:bookmarkEnd w:id="71"/>
      <w:bookmarkEnd w:id="72"/>
      <w:bookmarkEnd w:id="73"/>
      <w:bookmarkEnd w:id="74"/>
      <w:bookmarkEnd w:id="75"/>
      <w:bookmarkEnd w:id="76"/>
      <w:bookmarkEnd w:id="77"/>
    </w:p>
    <w:p w14:paraId="72795E19" w14:textId="77777777" w:rsidR="00E41A00" w:rsidRPr="00AE6A60" w:rsidRDefault="00E41A00" w:rsidP="00D37B23">
      <w:pPr>
        <w:pStyle w:val="Paragraph"/>
      </w:pPr>
      <w:bookmarkStart w:id="78" w:name="basisorcharging"/>
      <w:r w:rsidRPr="00AE6A60">
        <w:t xml:space="preserve">There are </w:t>
      </w:r>
      <w:r>
        <w:t>5</w:t>
      </w:r>
      <w:r w:rsidRPr="00AE6A60">
        <w:t xml:space="preserve"> distinct regulatory </w:t>
      </w:r>
      <w:r>
        <w:t>outputs</w:t>
      </w:r>
      <w:r w:rsidRPr="00AE6A60">
        <w:t xml:space="preserve"> (cost components) included in the total amount of the ACLC and levied on carrier licences on an annual basis.</w:t>
      </w:r>
    </w:p>
    <w:p w14:paraId="351BE3B6" w14:textId="77777777" w:rsidR="00E41A00" w:rsidRPr="001C4F84" w:rsidRDefault="00E41A00" w:rsidP="00E41A00">
      <w:pPr>
        <w:pStyle w:val="Heading2"/>
      </w:pPr>
      <w:bookmarkStart w:id="79" w:name="_Toc355953990"/>
      <w:bookmarkStart w:id="80" w:name="_Toc385256319"/>
      <w:bookmarkStart w:id="81" w:name="_Toc417990946"/>
      <w:bookmarkStart w:id="82" w:name="_Toc511634388"/>
      <w:bookmarkStart w:id="83" w:name="_Toc67042577"/>
      <w:bookmarkStart w:id="84" w:name="_Toc108599211"/>
      <w:bookmarkStart w:id="85" w:name="_Toc121920492"/>
      <w:bookmarkStart w:id="86" w:name="_Toc149735448"/>
      <w:bookmarkStart w:id="87" w:name="_Toc175123929"/>
      <w:r w:rsidRPr="001C4F84">
        <w:t>3.1</w:t>
      </w:r>
      <w:r w:rsidRPr="001C4F84">
        <w:tab/>
      </w:r>
      <w:bookmarkEnd w:id="79"/>
      <w:bookmarkEnd w:id="80"/>
      <w:r w:rsidRPr="001C4F84">
        <w:t xml:space="preserve">Determination of cost component for the ACMA’s </w:t>
      </w:r>
      <w:bookmarkEnd w:id="81"/>
      <w:r w:rsidRPr="001C4F84">
        <w:t>activity</w:t>
      </w:r>
      <w:bookmarkEnd w:id="82"/>
      <w:bookmarkEnd w:id="83"/>
      <w:bookmarkEnd w:id="84"/>
      <w:bookmarkEnd w:id="85"/>
      <w:bookmarkEnd w:id="86"/>
      <w:bookmarkEnd w:id="87"/>
    </w:p>
    <w:p w14:paraId="09FB9610" w14:textId="77777777" w:rsidR="00E41A00" w:rsidRDefault="00E41A00" w:rsidP="00E41A00">
      <w:pPr>
        <w:pStyle w:val="Heading3"/>
      </w:pPr>
      <w:bookmarkStart w:id="88" w:name="_Toc108599212"/>
      <w:bookmarkStart w:id="89" w:name="_Toc417990947"/>
      <w:bookmarkStart w:id="90" w:name="_Toc511634389"/>
      <w:bookmarkStart w:id="91" w:name="_Toc67042578"/>
      <w:r w:rsidRPr="00AE6A60">
        <w:t>3.1.1</w:t>
      </w:r>
      <w:r w:rsidRPr="00AE6A60">
        <w:tab/>
      </w:r>
      <w:r>
        <w:t>Summary of costs</w:t>
      </w:r>
      <w:bookmarkEnd w:id="88"/>
    </w:p>
    <w:p w14:paraId="13B8883B" w14:textId="169C14F6" w:rsidR="00E41A00" w:rsidRDefault="00E41A00" w:rsidP="00D37B23">
      <w:pPr>
        <w:pStyle w:val="Paragraph"/>
      </w:pPr>
      <w:bookmarkStart w:id="92" w:name="_Hlk87026512"/>
      <w:r>
        <w:t>T</w:t>
      </w:r>
      <w:r w:rsidRPr="00AE6A60">
        <w:t xml:space="preserve">able </w:t>
      </w:r>
      <w:r>
        <w:t xml:space="preserve">3 </w:t>
      </w:r>
      <w:r w:rsidRPr="00AE6A60">
        <w:t>summarise</w:t>
      </w:r>
      <w:r>
        <w:t>s</w:t>
      </w:r>
      <w:r w:rsidRPr="00AE6A60">
        <w:t xml:space="preserve"> the ACMA’s </w:t>
      </w:r>
      <w:r>
        <w:t>costs that relate to the telecommunications functions and powers in the 2022</w:t>
      </w:r>
      <w:r w:rsidR="000677AE">
        <w:t>–</w:t>
      </w:r>
      <w:r>
        <w:t>23 financial year</w:t>
      </w:r>
      <w:r w:rsidRPr="00AE6A60">
        <w:t xml:space="preserve"> for </w:t>
      </w:r>
      <w:r>
        <w:t>the 2023</w:t>
      </w:r>
      <w:r w:rsidR="000677AE">
        <w:t>–</w:t>
      </w:r>
      <w:r>
        <w:t>24</w:t>
      </w:r>
      <w:r w:rsidRPr="00AE6A60">
        <w:t xml:space="preserve"> ACLC.</w:t>
      </w:r>
    </w:p>
    <w:p w14:paraId="294EFD8D" w14:textId="4261EBA9" w:rsidR="00E41A00" w:rsidRPr="00AE6A60" w:rsidRDefault="00E41A00" w:rsidP="00D37B23">
      <w:pPr>
        <w:pStyle w:val="Tableheading"/>
      </w:pPr>
      <w:r>
        <w:t>T</w:t>
      </w:r>
      <w:r w:rsidRPr="00AE6A60">
        <w:t xml:space="preserve">he </w:t>
      </w:r>
      <w:r>
        <w:t xml:space="preserve">ACMA’s </w:t>
      </w:r>
      <w:r w:rsidRPr="00AE6A60">
        <w:t xml:space="preserve">ACLC </w:t>
      </w:r>
      <w:r>
        <w:t xml:space="preserve">costs </w:t>
      </w:r>
      <w:r w:rsidRPr="00AE6A60">
        <w:t xml:space="preserve">for the </w:t>
      </w:r>
      <w:r>
        <w:t>2022</w:t>
      </w:r>
      <w:r w:rsidR="00E01726">
        <w:t>–</w:t>
      </w:r>
      <w:r>
        <w:t>23</w:t>
      </w:r>
      <w:r w:rsidRPr="00AE6A60">
        <w:t xml:space="preserve"> </w:t>
      </w:r>
      <w:r>
        <w:t>and 2021</w:t>
      </w:r>
      <w:r w:rsidR="00E01726">
        <w:t>–</w:t>
      </w:r>
      <w:r>
        <w:t xml:space="preserve">22 </w:t>
      </w:r>
      <w:r w:rsidRPr="00AE6A60">
        <w:t>financial year</w:t>
      </w:r>
      <w:r>
        <w:t>s</w:t>
      </w: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2830"/>
        <w:gridCol w:w="1605"/>
        <w:gridCol w:w="1699"/>
        <w:gridCol w:w="1538"/>
        <w:gridCol w:w="1089"/>
      </w:tblGrid>
      <w:tr w:rsidR="00E41A00" w:rsidRPr="007E0C97" w14:paraId="173494BB" w14:textId="77777777" w:rsidTr="006E2755">
        <w:trPr>
          <w:trHeight w:val="283"/>
        </w:trPr>
        <w:tc>
          <w:tcPr>
            <w:tcW w:w="2830" w:type="dxa"/>
            <w:shd w:val="clear" w:color="auto" w:fill="404040" w:themeFill="text1" w:themeFillTint="BF"/>
            <w:hideMark/>
          </w:tcPr>
          <w:p w14:paraId="5661D3F3" w14:textId="77777777" w:rsidR="00E41A00" w:rsidRPr="00D37B23" w:rsidRDefault="00E41A00" w:rsidP="00D37B23">
            <w:pPr>
              <w:spacing w:after="0" w:line="280" w:lineRule="atLeast"/>
              <w:rPr>
                <w:rFonts w:cs="Arial"/>
                <w:b/>
                <w:bCs/>
                <w:color w:val="FFFFFF"/>
                <w:sz w:val="22"/>
                <w:szCs w:val="22"/>
              </w:rPr>
            </w:pPr>
            <w:bookmarkStart w:id="93" w:name="_Hlk96698886"/>
            <w:r w:rsidRPr="00D37B23">
              <w:rPr>
                <w:rFonts w:cs="Arial"/>
                <w:b/>
                <w:bCs/>
                <w:color w:val="FFFFFF"/>
                <w:sz w:val="22"/>
                <w:szCs w:val="22"/>
              </w:rPr>
              <w:t>Output</w:t>
            </w:r>
          </w:p>
        </w:tc>
        <w:tc>
          <w:tcPr>
            <w:tcW w:w="1605" w:type="dxa"/>
            <w:shd w:val="clear" w:color="auto" w:fill="404040" w:themeFill="text1" w:themeFillTint="BF"/>
            <w:hideMark/>
          </w:tcPr>
          <w:p w14:paraId="020D074B" w14:textId="77777777" w:rsidR="00E41A00" w:rsidRPr="00D37B23" w:rsidRDefault="00E41A00" w:rsidP="00D37B23">
            <w:pPr>
              <w:spacing w:after="0" w:line="280" w:lineRule="atLeast"/>
              <w:jc w:val="right"/>
              <w:rPr>
                <w:rFonts w:cs="Arial"/>
                <w:b/>
                <w:color w:val="FFFFFF"/>
                <w:sz w:val="22"/>
                <w:szCs w:val="22"/>
              </w:rPr>
            </w:pPr>
            <w:r w:rsidRPr="00D37B23">
              <w:rPr>
                <w:rFonts w:cs="Arial"/>
                <w:b/>
                <w:color w:val="FFFFFF" w:themeColor="background1"/>
                <w:sz w:val="22"/>
                <w:szCs w:val="22"/>
              </w:rPr>
              <w:t>ACMA cost</w:t>
            </w:r>
          </w:p>
          <w:p w14:paraId="48DD7EF2" w14:textId="7917882C" w:rsidR="00E41A00" w:rsidRPr="00D37B23" w:rsidRDefault="00E41A00" w:rsidP="00D37B23">
            <w:pPr>
              <w:spacing w:after="0" w:line="280" w:lineRule="atLeast"/>
              <w:jc w:val="right"/>
              <w:rPr>
                <w:rFonts w:cs="Arial"/>
                <w:b/>
                <w:bCs/>
                <w:color w:val="FFFFFF"/>
                <w:sz w:val="22"/>
                <w:szCs w:val="22"/>
              </w:rPr>
            </w:pPr>
            <w:r w:rsidRPr="00D37B23">
              <w:rPr>
                <w:rFonts w:cs="Arial"/>
                <w:b/>
                <w:bCs/>
                <w:color w:val="FFFFFF"/>
                <w:sz w:val="22"/>
                <w:szCs w:val="22"/>
              </w:rPr>
              <w:t>2022</w:t>
            </w:r>
            <w:r w:rsidR="000677AE" w:rsidRPr="000313E8">
              <w:rPr>
                <w:b/>
                <w:bCs/>
                <w:color w:val="FFFFFF" w:themeColor="background1"/>
              </w:rPr>
              <w:t>–</w:t>
            </w:r>
            <w:r w:rsidRPr="00D37B23">
              <w:rPr>
                <w:rFonts w:cs="Arial"/>
                <w:b/>
                <w:bCs/>
                <w:color w:val="FFFFFF"/>
                <w:sz w:val="22"/>
                <w:szCs w:val="22"/>
              </w:rPr>
              <w:t>23</w:t>
            </w:r>
          </w:p>
        </w:tc>
        <w:tc>
          <w:tcPr>
            <w:tcW w:w="1699" w:type="dxa"/>
            <w:shd w:val="clear" w:color="auto" w:fill="404040" w:themeFill="text1" w:themeFillTint="BF"/>
            <w:hideMark/>
          </w:tcPr>
          <w:p w14:paraId="745BD451" w14:textId="77777777" w:rsidR="00E41A00" w:rsidRPr="00D37B23" w:rsidRDefault="00E41A00" w:rsidP="00D37B23">
            <w:pPr>
              <w:spacing w:after="0" w:line="280" w:lineRule="atLeast"/>
              <w:jc w:val="right"/>
              <w:rPr>
                <w:rFonts w:cs="Arial"/>
                <w:b/>
                <w:bCs/>
                <w:color w:val="FFFFFF"/>
                <w:sz w:val="22"/>
                <w:szCs w:val="22"/>
              </w:rPr>
            </w:pPr>
            <w:r w:rsidRPr="00D37B23">
              <w:rPr>
                <w:rFonts w:cs="Arial"/>
                <w:b/>
                <w:bCs/>
                <w:color w:val="FFFFFF"/>
                <w:sz w:val="22"/>
                <w:szCs w:val="22"/>
              </w:rPr>
              <w:t xml:space="preserve">ACMA cost </w:t>
            </w:r>
          </w:p>
          <w:p w14:paraId="01ED266F" w14:textId="16CFF494" w:rsidR="00E41A00" w:rsidRPr="00D37B23" w:rsidRDefault="00E41A00" w:rsidP="00D37B23">
            <w:pPr>
              <w:spacing w:after="0" w:line="280" w:lineRule="atLeast"/>
              <w:jc w:val="right"/>
              <w:rPr>
                <w:rFonts w:cs="Arial"/>
                <w:b/>
                <w:color w:val="FFFFFF"/>
                <w:sz w:val="22"/>
                <w:szCs w:val="22"/>
              </w:rPr>
            </w:pPr>
            <w:r w:rsidRPr="00D37B23">
              <w:rPr>
                <w:b/>
                <w:color w:val="FFFFFF" w:themeColor="background1"/>
                <w:sz w:val="22"/>
                <w:szCs w:val="22"/>
              </w:rPr>
              <w:t>2021</w:t>
            </w:r>
            <w:r w:rsidR="000677AE" w:rsidRPr="000313E8">
              <w:rPr>
                <w:b/>
                <w:bCs/>
                <w:color w:val="FFFFFF" w:themeColor="background1"/>
              </w:rPr>
              <w:t>–</w:t>
            </w:r>
            <w:r w:rsidRPr="00D37B23">
              <w:rPr>
                <w:b/>
                <w:color w:val="FFFFFF" w:themeColor="background1"/>
                <w:sz w:val="22"/>
                <w:szCs w:val="22"/>
              </w:rPr>
              <w:t>22</w:t>
            </w:r>
          </w:p>
        </w:tc>
        <w:tc>
          <w:tcPr>
            <w:tcW w:w="1538" w:type="dxa"/>
            <w:shd w:val="clear" w:color="auto" w:fill="404040" w:themeFill="text1" w:themeFillTint="BF"/>
            <w:hideMark/>
          </w:tcPr>
          <w:p w14:paraId="01E81F4F" w14:textId="77777777" w:rsidR="00E41A00" w:rsidRPr="00D37B23" w:rsidRDefault="00E41A00" w:rsidP="00D37B23">
            <w:pPr>
              <w:spacing w:after="0" w:line="280" w:lineRule="atLeast"/>
              <w:jc w:val="right"/>
              <w:rPr>
                <w:rFonts w:cs="Arial"/>
                <w:b/>
                <w:bCs/>
                <w:color w:val="FFFFFF"/>
                <w:sz w:val="22"/>
                <w:szCs w:val="22"/>
              </w:rPr>
            </w:pPr>
            <w:r w:rsidRPr="00D37B23">
              <w:rPr>
                <w:rFonts w:cs="Arial"/>
                <w:b/>
                <w:bCs/>
                <w:color w:val="FFFFFF"/>
                <w:sz w:val="22"/>
                <w:szCs w:val="22"/>
              </w:rPr>
              <w:t>Variance</w:t>
            </w:r>
          </w:p>
          <w:p w14:paraId="4105C8E8" w14:textId="77777777" w:rsidR="00E41A00" w:rsidRPr="00D37B23" w:rsidRDefault="00E41A00" w:rsidP="00D37B23">
            <w:pPr>
              <w:spacing w:after="0" w:line="280" w:lineRule="atLeast"/>
              <w:jc w:val="right"/>
              <w:rPr>
                <w:rFonts w:cs="Arial"/>
                <w:b/>
                <w:bCs/>
                <w:color w:val="FFFFFF"/>
                <w:sz w:val="22"/>
                <w:szCs w:val="22"/>
              </w:rPr>
            </w:pPr>
            <w:r w:rsidRPr="00D37B23">
              <w:rPr>
                <w:rFonts w:cs="Arial"/>
                <w:b/>
                <w:bCs/>
                <w:color w:val="FFFFFF"/>
                <w:sz w:val="22"/>
                <w:szCs w:val="22"/>
              </w:rPr>
              <w:t>$</w:t>
            </w:r>
          </w:p>
        </w:tc>
        <w:tc>
          <w:tcPr>
            <w:tcW w:w="1089" w:type="dxa"/>
            <w:shd w:val="clear" w:color="auto" w:fill="404040" w:themeFill="text1" w:themeFillTint="BF"/>
            <w:hideMark/>
          </w:tcPr>
          <w:p w14:paraId="15F94764" w14:textId="77777777" w:rsidR="00E41A00" w:rsidRPr="00D37B23" w:rsidRDefault="00E41A00" w:rsidP="00D37B23">
            <w:pPr>
              <w:spacing w:after="0" w:line="280" w:lineRule="atLeast"/>
              <w:jc w:val="right"/>
              <w:rPr>
                <w:rFonts w:cs="Arial"/>
                <w:b/>
                <w:bCs/>
                <w:color w:val="FFFFFF"/>
                <w:sz w:val="22"/>
                <w:szCs w:val="22"/>
              </w:rPr>
            </w:pPr>
            <w:r w:rsidRPr="00D37B23">
              <w:rPr>
                <w:rFonts w:cs="Arial"/>
                <w:b/>
                <w:bCs/>
                <w:color w:val="FFFFFF"/>
                <w:sz w:val="22"/>
                <w:szCs w:val="22"/>
              </w:rPr>
              <w:t xml:space="preserve">Variance </w:t>
            </w:r>
            <w:r w:rsidRPr="00D37B23">
              <w:rPr>
                <w:rFonts w:cs="Arial"/>
                <w:b/>
                <w:bCs/>
                <w:color w:val="FFFFFF"/>
                <w:sz w:val="22"/>
                <w:szCs w:val="22"/>
              </w:rPr>
              <w:br/>
              <w:t>%</w:t>
            </w:r>
          </w:p>
        </w:tc>
      </w:tr>
      <w:tr w:rsidR="00E41A00" w:rsidRPr="007E0C97" w14:paraId="51EC2A1A" w14:textId="77777777" w:rsidTr="006E2755">
        <w:trPr>
          <w:trHeight w:val="11"/>
        </w:trPr>
        <w:tc>
          <w:tcPr>
            <w:tcW w:w="2830" w:type="dxa"/>
            <w:shd w:val="clear" w:color="auto" w:fill="auto"/>
            <w:hideMark/>
          </w:tcPr>
          <w:p w14:paraId="573A95C3"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 xml:space="preserve">Regulation development </w:t>
            </w:r>
          </w:p>
        </w:tc>
        <w:tc>
          <w:tcPr>
            <w:tcW w:w="1605" w:type="dxa"/>
            <w:shd w:val="clear" w:color="auto" w:fill="auto"/>
            <w:hideMark/>
          </w:tcPr>
          <w:p w14:paraId="7D902CC8"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$3,917,385</w:t>
            </w:r>
          </w:p>
          <w:p w14:paraId="1F12F7C8" w14:textId="77777777" w:rsidR="00E41A00" w:rsidRPr="00D37B23" w:rsidRDefault="00E41A00" w:rsidP="00D37B23">
            <w:pPr>
              <w:spacing w:after="0" w:line="280" w:lineRule="atLeast"/>
              <w:jc w:val="right"/>
              <w:rPr>
                <w:rFonts w:cs="Arial"/>
                <w:color w:val="000000"/>
                <w:sz w:val="22"/>
                <w:szCs w:val="22"/>
              </w:rPr>
            </w:pPr>
          </w:p>
        </w:tc>
        <w:tc>
          <w:tcPr>
            <w:tcW w:w="1699" w:type="dxa"/>
            <w:shd w:val="clear" w:color="auto" w:fill="auto"/>
            <w:hideMark/>
          </w:tcPr>
          <w:p w14:paraId="35B888B3"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$3,194,756</w:t>
            </w:r>
          </w:p>
        </w:tc>
        <w:tc>
          <w:tcPr>
            <w:tcW w:w="1538" w:type="dxa"/>
            <w:shd w:val="clear" w:color="auto" w:fill="auto"/>
            <w:hideMark/>
          </w:tcPr>
          <w:p w14:paraId="03611B17" w14:textId="77777777" w:rsidR="00E41A00" w:rsidRPr="00D37B23" w:rsidRDefault="00E41A00" w:rsidP="00D37B23">
            <w:pPr>
              <w:spacing w:after="0" w:line="280" w:lineRule="atLeast"/>
              <w:jc w:val="right"/>
              <w:rPr>
                <w:rFonts w:cs="Arial"/>
                <w:color w:val="FF0000"/>
                <w:sz w:val="22"/>
                <w:szCs w:val="22"/>
              </w:rPr>
            </w:pPr>
            <w:r w:rsidRPr="00D37B23">
              <w:rPr>
                <w:rFonts w:cs="Arial"/>
                <w:color w:val="000000"/>
                <w:sz w:val="22"/>
                <w:szCs w:val="22"/>
              </w:rPr>
              <w:t>$722,629</w:t>
            </w:r>
          </w:p>
        </w:tc>
        <w:tc>
          <w:tcPr>
            <w:tcW w:w="1089" w:type="dxa"/>
            <w:shd w:val="clear" w:color="auto" w:fill="auto"/>
            <w:hideMark/>
          </w:tcPr>
          <w:p w14:paraId="3F58EF96" w14:textId="77777777" w:rsidR="00E41A00" w:rsidRPr="00D37B23" w:rsidRDefault="00E41A00" w:rsidP="00D37B23">
            <w:pPr>
              <w:spacing w:after="0" w:line="280" w:lineRule="atLeast"/>
              <w:jc w:val="right"/>
              <w:rPr>
                <w:rFonts w:cs="Arial"/>
                <w:color w:val="FF0000"/>
                <w:sz w:val="22"/>
                <w:szCs w:val="22"/>
              </w:rPr>
            </w:pPr>
            <w:r w:rsidRPr="00D37B23">
              <w:rPr>
                <w:rFonts w:cs="Arial"/>
                <w:color w:val="000000"/>
                <w:sz w:val="22"/>
                <w:szCs w:val="22"/>
              </w:rPr>
              <w:t>22.6%</w:t>
            </w:r>
          </w:p>
        </w:tc>
      </w:tr>
      <w:tr w:rsidR="00E41A00" w:rsidRPr="007E0C97" w14:paraId="75DFBF8E" w14:textId="77777777" w:rsidTr="006E2755">
        <w:trPr>
          <w:trHeight w:val="43"/>
        </w:trPr>
        <w:tc>
          <w:tcPr>
            <w:tcW w:w="2830" w:type="dxa"/>
            <w:shd w:val="clear" w:color="auto" w:fill="auto"/>
            <w:hideMark/>
          </w:tcPr>
          <w:p w14:paraId="6C1814C3"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Industry monitoring and NBN</w:t>
            </w:r>
          </w:p>
        </w:tc>
        <w:tc>
          <w:tcPr>
            <w:tcW w:w="1605" w:type="dxa"/>
            <w:shd w:val="clear" w:color="auto" w:fill="auto"/>
            <w:hideMark/>
          </w:tcPr>
          <w:p w14:paraId="72E17D90"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$1,038,545</w:t>
            </w:r>
          </w:p>
        </w:tc>
        <w:tc>
          <w:tcPr>
            <w:tcW w:w="1699" w:type="dxa"/>
            <w:shd w:val="clear" w:color="auto" w:fill="auto"/>
            <w:hideMark/>
          </w:tcPr>
          <w:p w14:paraId="4F9AFFE9"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$587,430</w:t>
            </w:r>
          </w:p>
        </w:tc>
        <w:tc>
          <w:tcPr>
            <w:tcW w:w="1538" w:type="dxa"/>
            <w:shd w:val="clear" w:color="auto" w:fill="auto"/>
            <w:hideMark/>
          </w:tcPr>
          <w:p w14:paraId="08587E91" w14:textId="77777777" w:rsidR="00E41A00" w:rsidRPr="00D37B23" w:rsidRDefault="00E41A00" w:rsidP="00D37B23">
            <w:pPr>
              <w:spacing w:after="0" w:line="280" w:lineRule="atLeast"/>
              <w:jc w:val="right"/>
              <w:rPr>
                <w:rFonts w:cs="Arial"/>
                <w:color w:val="FF0000"/>
                <w:sz w:val="22"/>
                <w:szCs w:val="22"/>
              </w:rPr>
            </w:pPr>
            <w:r w:rsidRPr="00D37B23">
              <w:rPr>
                <w:rFonts w:cs="Arial"/>
                <w:color w:val="000000"/>
                <w:sz w:val="22"/>
                <w:szCs w:val="22"/>
              </w:rPr>
              <w:t>$451,114</w:t>
            </w:r>
          </w:p>
        </w:tc>
        <w:tc>
          <w:tcPr>
            <w:tcW w:w="1089" w:type="dxa"/>
            <w:shd w:val="clear" w:color="auto" w:fill="auto"/>
            <w:hideMark/>
          </w:tcPr>
          <w:p w14:paraId="45FC29E3" w14:textId="77777777" w:rsidR="00E41A00" w:rsidRPr="00D37B23" w:rsidRDefault="00E41A00" w:rsidP="00D37B23">
            <w:pPr>
              <w:spacing w:after="0" w:line="280" w:lineRule="atLeast"/>
              <w:jc w:val="right"/>
              <w:rPr>
                <w:rFonts w:cs="Arial"/>
                <w:color w:val="FF0000"/>
                <w:sz w:val="22"/>
                <w:szCs w:val="22"/>
              </w:rPr>
            </w:pPr>
            <w:r w:rsidRPr="00D37B23">
              <w:rPr>
                <w:rFonts w:cs="Arial"/>
                <w:color w:val="000000"/>
                <w:sz w:val="22"/>
                <w:szCs w:val="22"/>
              </w:rPr>
              <w:t>76.8%</w:t>
            </w:r>
          </w:p>
        </w:tc>
      </w:tr>
      <w:tr w:rsidR="00E41A00" w:rsidRPr="007E0C97" w14:paraId="12D7D317" w14:textId="77777777" w:rsidTr="006E2755">
        <w:trPr>
          <w:trHeight w:val="301"/>
        </w:trPr>
        <w:tc>
          <w:tcPr>
            <w:tcW w:w="2830" w:type="dxa"/>
            <w:shd w:val="clear" w:color="auto" w:fill="auto"/>
            <w:hideMark/>
          </w:tcPr>
          <w:p w14:paraId="23C49F7A"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 xml:space="preserve">Compliance, </w:t>
            </w:r>
            <w:proofErr w:type="gramStart"/>
            <w:r w:rsidRPr="00D37B23">
              <w:rPr>
                <w:rFonts w:cs="Arial"/>
                <w:color w:val="000000"/>
                <w:sz w:val="22"/>
                <w:szCs w:val="22"/>
              </w:rPr>
              <w:t>enforcement</w:t>
            </w:r>
            <w:proofErr w:type="gramEnd"/>
            <w:r w:rsidRPr="00D37B23">
              <w:rPr>
                <w:rFonts w:cs="Arial"/>
                <w:color w:val="000000"/>
                <w:sz w:val="22"/>
                <w:szCs w:val="22"/>
              </w:rPr>
              <w:t xml:space="preserve"> and consumer safeguards</w:t>
            </w:r>
          </w:p>
        </w:tc>
        <w:tc>
          <w:tcPr>
            <w:tcW w:w="1605" w:type="dxa"/>
            <w:shd w:val="clear" w:color="auto" w:fill="auto"/>
            <w:hideMark/>
          </w:tcPr>
          <w:p w14:paraId="4926CC95"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$6,302,731</w:t>
            </w:r>
          </w:p>
        </w:tc>
        <w:tc>
          <w:tcPr>
            <w:tcW w:w="1699" w:type="dxa"/>
            <w:shd w:val="clear" w:color="auto" w:fill="auto"/>
            <w:hideMark/>
          </w:tcPr>
          <w:p w14:paraId="708351FC"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$6,360,963</w:t>
            </w:r>
          </w:p>
        </w:tc>
        <w:tc>
          <w:tcPr>
            <w:tcW w:w="1538" w:type="dxa"/>
            <w:shd w:val="clear" w:color="auto" w:fill="auto"/>
            <w:hideMark/>
          </w:tcPr>
          <w:p w14:paraId="78ED12ED" w14:textId="77777777" w:rsidR="00E41A00" w:rsidRPr="00D37B23" w:rsidRDefault="00E41A00" w:rsidP="00D37B23">
            <w:pPr>
              <w:spacing w:after="0" w:line="280" w:lineRule="atLeast"/>
              <w:jc w:val="right"/>
              <w:rPr>
                <w:rFonts w:cs="Arial"/>
                <w:color w:val="FF0000"/>
                <w:sz w:val="22"/>
                <w:szCs w:val="22"/>
              </w:rPr>
            </w:pPr>
            <w:r w:rsidRPr="00D37B23">
              <w:rPr>
                <w:rFonts w:cs="Arial"/>
                <w:color w:val="FF0000"/>
                <w:sz w:val="22"/>
                <w:szCs w:val="22"/>
              </w:rPr>
              <w:t>($58,232)</w:t>
            </w:r>
          </w:p>
        </w:tc>
        <w:tc>
          <w:tcPr>
            <w:tcW w:w="1089" w:type="dxa"/>
            <w:shd w:val="clear" w:color="auto" w:fill="auto"/>
            <w:hideMark/>
          </w:tcPr>
          <w:p w14:paraId="39FBFAF8" w14:textId="77777777" w:rsidR="00E41A00" w:rsidRPr="00D37B23" w:rsidRDefault="00E41A00" w:rsidP="00D37B23">
            <w:pPr>
              <w:spacing w:after="0" w:line="280" w:lineRule="atLeast"/>
              <w:jc w:val="right"/>
              <w:rPr>
                <w:rFonts w:cs="Arial"/>
                <w:color w:val="FF0000"/>
                <w:sz w:val="22"/>
                <w:szCs w:val="22"/>
              </w:rPr>
            </w:pPr>
            <w:r w:rsidRPr="00D37B23">
              <w:rPr>
                <w:rFonts w:cs="Arial"/>
                <w:color w:val="FF0000"/>
                <w:sz w:val="22"/>
                <w:szCs w:val="22"/>
              </w:rPr>
              <w:t>(0.9%)</w:t>
            </w:r>
          </w:p>
        </w:tc>
      </w:tr>
      <w:tr w:rsidR="00E41A00" w:rsidRPr="007E0C97" w14:paraId="381BE6FF" w14:textId="77777777" w:rsidTr="006E2755">
        <w:trPr>
          <w:trHeight w:val="43"/>
        </w:trPr>
        <w:tc>
          <w:tcPr>
            <w:tcW w:w="2830" w:type="dxa"/>
            <w:shd w:val="clear" w:color="auto" w:fill="auto"/>
            <w:hideMark/>
          </w:tcPr>
          <w:p w14:paraId="7CC9C868"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Licensing and allocation</w:t>
            </w:r>
          </w:p>
        </w:tc>
        <w:tc>
          <w:tcPr>
            <w:tcW w:w="1605" w:type="dxa"/>
            <w:shd w:val="clear" w:color="auto" w:fill="auto"/>
            <w:hideMark/>
          </w:tcPr>
          <w:p w14:paraId="641A40AE"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$1,028,919</w:t>
            </w:r>
          </w:p>
        </w:tc>
        <w:tc>
          <w:tcPr>
            <w:tcW w:w="1699" w:type="dxa"/>
            <w:shd w:val="clear" w:color="auto" w:fill="auto"/>
            <w:hideMark/>
          </w:tcPr>
          <w:p w14:paraId="5E3039A3"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$1,183,280</w:t>
            </w:r>
          </w:p>
        </w:tc>
        <w:tc>
          <w:tcPr>
            <w:tcW w:w="1538" w:type="dxa"/>
            <w:shd w:val="clear" w:color="auto" w:fill="auto"/>
            <w:hideMark/>
          </w:tcPr>
          <w:p w14:paraId="7B2007AA" w14:textId="77777777" w:rsidR="00E41A00" w:rsidRPr="00D37B23" w:rsidRDefault="00E41A00" w:rsidP="00D37B23">
            <w:pPr>
              <w:spacing w:after="0" w:line="280" w:lineRule="atLeast"/>
              <w:jc w:val="right"/>
              <w:rPr>
                <w:rFonts w:cs="Arial"/>
                <w:color w:val="000000"/>
                <w:sz w:val="22"/>
                <w:szCs w:val="22"/>
              </w:rPr>
            </w:pPr>
            <w:r w:rsidRPr="00D37B23">
              <w:rPr>
                <w:rFonts w:cs="Arial"/>
                <w:color w:val="FF0000"/>
                <w:sz w:val="22"/>
                <w:szCs w:val="22"/>
              </w:rPr>
              <w:t>($154,361)</w:t>
            </w:r>
          </w:p>
        </w:tc>
        <w:tc>
          <w:tcPr>
            <w:tcW w:w="1089" w:type="dxa"/>
            <w:shd w:val="clear" w:color="auto" w:fill="auto"/>
            <w:hideMark/>
          </w:tcPr>
          <w:p w14:paraId="16D302B7" w14:textId="77777777" w:rsidR="00E41A00" w:rsidRPr="00D37B23" w:rsidRDefault="00E41A00" w:rsidP="00D37B23">
            <w:pPr>
              <w:spacing w:after="0" w:line="280" w:lineRule="atLeast"/>
              <w:jc w:val="right"/>
              <w:rPr>
                <w:rFonts w:cs="Arial"/>
                <w:color w:val="FF0000"/>
                <w:sz w:val="22"/>
                <w:szCs w:val="22"/>
              </w:rPr>
            </w:pPr>
            <w:r w:rsidRPr="00D37B23">
              <w:rPr>
                <w:rFonts w:cs="Arial"/>
                <w:color w:val="FF0000"/>
                <w:sz w:val="22"/>
                <w:szCs w:val="22"/>
              </w:rPr>
              <w:t>(13.0%)</w:t>
            </w:r>
          </w:p>
        </w:tc>
      </w:tr>
      <w:tr w:rsidR="00E41A00" w:rsidRPr="007E0C97" w14:paraId="6805FC0B" w14:textId="77777777" w:rsidTr="006E2755">
        <w:trPr>
          <w:trHeight w:val="19"/>
        </w:trPr>
        <w:tc>
          <w:tcPr>
            <w:tcW w:w="2830" w:type="dxa"/>
            <w:shd w:val="clear" w:color="auto" w:fill="auto"/>
            <w:hideMark/>
          </w:tcPr>
          <w:p w14:paraId="2179872D"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Other outputs</w:t>
            </w:r>
          </w:p>
        </w:tc>
        <w:tc>
          <w:tcPr>
            <w:tcW w:w="1605" w:type="dxa"/>
            <w:shd w:val="clear" w:color="auto" w:fill="auto"/>
            <w:hideMark/>
          </w:tcPr>
          <w:p w14:paraId="4E438836"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$771,678</w:t>
            </w:r>
          </w:p>
        </w:tc>
        <w:tc>
          <w:tcPr>
            <w:tcW w:w="1699" w:type="dxa"/>
            <w:shd w:val="clear" w:color="auto" w:fill="auto"/>
            <w:hideMark/>
          </w:tcPr>
          <w:p w14:paraId="0FCD68AB"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$778,117</w:t>
            </w:r>
          </w:p>
        </w:tc>
        <w:tc>
          <w:tcPr>
            <w:tcW w:w="1538" w:type="dxa"/>
            <w:shd w:val="clear" w:color="auto" w:fill="auto"/>
            <w:hideMark/>
          </w:tcPr>
          <w:p w14:paraId="563534EC" w14:textId="77777777" w:rsidR="00E41A00" w:rsidRPr="00D37B23" w:rsidRDefault="00E41A00" w:rsidP="00D37B23">
            <w:pPr>
              <w:spacing w:after="0" w:line="280" w:lineRule="atLeast"/>
              <w:jc w:val="right"/>
              <w:rPr>
                <w:rFonts w:cs="Arial"/>
                <w:color w:val="000000"/>
                <w:sz w:val="22"/>
                <w:szCs w:val="22"/>
              </w:rPr>
            </w:pPr>
            <w:r w:rsidRPr="00D37B23">
              <w:rPr>
                <w:rFonts w:cs="Arial"/>
                <w:color w:val="FF0000"/>
                <w:sz w:val="22"/>
                <w:szCs w:val="22"/>
              </w:rPr>
              <w:t>($6,438)</w:t>
            </w:r>
          </w:p>
        </w:tc>
        <w:tc>
          <w:tcPr>
            <w:tcW w:w="1089" w:type="dxa"/>
            <w:shd w:val="clear" w:color="auto" w:fill="auto"/>
            <w:hideMark/>
          </w:tcPr>
          <w:p w14:paraId="523C228A" w14:textId="77777777" w:rsidR="00E41A00" w:rsidRPr="00D37B23" w:rsidRDefault="00E41A00" w:rsidP="00D37B23">
            <w:pPr>
              <w:spacing w:after="0" w:line="280" w:lineRule="atLeast"/>
              <w:jc w:val="right"/>
              <w:rPr>
                <w:rFonts w:cs="Arial"/>
                <w:color w:val="FF0000"/>
                <w:sz w:val="22"/>
                <w:szCs w:val="22"/>
              </w:rPr>
            </w:pPr>
            <w:r w:rsidRPr="00D37B23">
              <w:rPr>
                <w:rFonts w:cs="Arial"/>
                <w:color w:val="FF0000"/>
                <w:sz w:val="22"/>
                <w:szCs w:val="22"/>
              </w:rPr>
              <w:t>(0.8%)</w:t>
            </w:r>
          </w:p>
        </w:tc>
      </w:tr>
      <w:tr w:rsidR="00E41A00" w:rsidRPr="007E0C97" w14:paraId="3E929F51" w14:textId="77777777" w:rsidTr="006E2755">
        <w:trPr>
          <w:trHeight w:val="19"/>
        </w:trPr>
        <w:tc>
          <w:tcPr>
            <w:tcW w:w="2830" w:type="dxa"/>
            <w:shd w:val="clear" w:color="auto" w:fill="F2F2F2" w:themeFill="background1" w:themeFillShade="F2"/>
            <w:hideMark/>
          </w:tcPr>
          <w:p w14:paraId="48A33220" w14:textId="77777777" w:rsidR="00E41A00" w:rsidRPr="00D37B23" w:rsidRDefault="00E41A00" w:rsidP="00D37B23">
            <w:pPr>
              <w:spacing w:after="0" w:line="280" w:lineRule="atLeast"/>
              <w:rPr>
                <w:rFonts w:cs="Arial"/>
                <w:b/>
                <w:bCs/>
                <w:color w:val="000000"/>
                <w:sz w:val="22"/>
                <w:szCs w:val="22"/>
              </w:rPr>
            </w:pPr>
            <w:r w:rsidRPr="00D37B23">
              <w:rPr>
                <w:rFonts w:cs="Arial"/>
                <w:b/>
                <w:bCs/>
                <w:color w:val="000000"/>
                <w:sz w:val="22"/>
                <w:szCs w:val="22"/>
              </w:rPr>
              <w:t>Sub-total</w:t>
            </w:r>
          </w:p>
        </w:tc>
        <w:tc>
          <w:tcPr>
            <w:tcW w:w="1605" w:type="dxa"/>
            <w:shd w:val="clear" w:color="auto" w:fill="F2F2F2" w:themeFill="background1" w:themeFillShade="F2"/>
            <w:hideMark/>
          </w:tcPr>
          <w:p w14:paraId="37C6C054" w14:textId="77777777" w:rsidR="00E41A00" w:rsidRPr="00D37B23" w:rsidRDefault="00E41A00" w:rsidP="00D37B23">
            <w:pPr>
              <w:spacing w:after="0" w:line="280" w:lineRule="atLeast"/>
              <w:jc w:val="right"/>
              <w:rPr>
                <w:rFonts w:cs="Arial"/>
                <w:b/>
                <w:color w:val="000000"/>
                <w:sz w:val="22"/>
                <w:szCs w:val="22"/>
              </w:rPr>
            </w:pPr>
            <w:r w:rsidRPr="00D37B23">
              <w:rPr>
                <w:rFonts w:cs="Arial"/>
                <w:b/>
                <w:bCs/>
                <w:color w:val="000000"/>
                <w:sz w:val="22"/>
                <w:szCs w:val="22"/>
              </w:rPr>
              <w:t>$13,059,258</w:t>
            </w:r>
          </w:p>
        </w:tc>
        <w:tc>
          <w:tcPr>
            <w:tcW w:w="1699" w:type="dxa"/>
            <w:shd w:val="clear" w:color="auto" w:fill="F2F2F2" w:themeFill="background1" w:themeFillShade="F2"/>
            <w:hideMark/>
          </w:tcPr>
          <w:p w14:paraId="5ECD3406" w14:textId="77777777" w:rsidR="00E41A00" w:rsidRPr="00D37B23" w:rsidRDefault="00E41A00" w:rsidP="00D37B23">
            <w:pPr>
              <w:spacing w:after="0" w:line="280" w:lineRule="atLeast"/>
              <w:jc w:val="right"/>
              <w:rPr>
                <w:rFonts w:cs="Arial"/>
                <w:b/>
                <w:color w:val="000000"/>
                <w:sz w:val="22"/>
                <w:szCs w:val="22"/>
              </w:rPr>
            </w:pPr>
            <w:r w:rsidRPr="00D37B23">
              <w:rPr>
                <w:rFonts w:cs="Arial"/>
                <w:b/>
                <w:bCs/>
                <w:color w:val="000000"/>
                <w:sz w:val="22"/>
                <w:szCs w:val="22"/>
              </w:rPr>
              <w:t>$12,104,546</w:t>
            </w:r>
          </w:p>
        </w:tc>
        <w:tc>
          <w:tcPr>
            <w:tcW w:w="1538" w:type="dxa"/>
            <w:shd w:val="clear" w:color="auto" w:fill="F2F2F2" w:themeFill="background1" w:themeFillShade="F2"/>
            <w:hideMark/>
          </w:tcPr>
          <w:p w14:paraId="0151BE66" w14:textId="77777777" w:rsidR="00E41A00" w:rsidRPr="00D37B23" w:rsidRDefault="00E41A00" w:rsidP="00D37B23">
            <w:pPr>
              <w:spacing w:after="0" w:line="280" w:lineRule="atLeast"/>
              <w:jc w:val="right"/>
              <w:rPr>
                <w:rFonts w:cs="Arial"/>
                <w:b/>
                <w:color w:val="FF0000"/>
                <w:sz w:val="22"/>
                <w:szCs w:val="22"/>
              </w:rPr>
            </w:pPr>
            <w:r w:rsidRPr="00D37B23">
              <w:rPr>
                <w:rFonts w:cs="Arial"/>
                <w:b/>
                <w:bCs/>
                <w:color w:val="000000"/>
                <w:sz w:val="22"/>
                <w:szCs w:val="22"/>
              </w:rPr>
              <w:t>$954,712</w:t>
            </w:r>
          </w:p>
        </w:tc>
        <w:tc>
          <w:tcPr>
            <w:tcW w:w="1089" w:type="dxa"/>
            <w:shd w:val="clear" w:color="auto" w:fill="F2F2F2" w:themeFill="background1" w:themeFillShade="F2"/>
            <w:hideMark/>
          </w:tcPr>
          <w:p w14:paraId="3801F7F7" w14:textId="77777777" w:rsidR="00E41A00" w:rsidRPr="00D37B23" w:rsidRDefault="00E41A00" w:rsidP="00D37B23">
            <w:pPr>
              <w:spacing w:after="0" w:line="280" w:lineRule="atLeast"/>
              <w:jc w:val="right"/>
              <w:rPr>
                <w:rFonts w:cs="Arial"/>
                <w:b/>
                <w:bCs/>
                <w:color w:val="FF0000"/>
                <w:sz w:val="22"/>
                <w:szCs w:val="22"/>
              </w:rPr>
            </w:pPr>
            <w:r w:rsidRPr="00D37B23">
              <w:rPr>
                <w:rFonts w:cs="Arial"/>
                <w:b/>
                <w:bCs/>
                <w:color w:val="000000"/>
                <w:sz w:val="22"/>
                <w:szCs w:val="22"/>
              </w:rPr>
              <w:t>7.9%</w:t>
            </w:r>
          </w:p>
        </w:tc>
      </w:tr>
      <w:tr w:rsidR="00E41A00" w:rsidRPr="007E0C97" w14:paraId="0A5E1918" w14:textId="77777777" w:rsidTr="006E2755">
        <w:trPr>
          <w:trHeight w:val="174"/>
        </w:trPr>
        <w:tc>
          <w:tcPr>
            <w:tcW w:w="2830" w:type="dxa"/>
            <w:shd w:val="clear" w:color="auto" w:fill="auto"/>
            <w:hideMark/>
          </w:tcPr>
          <w:p w14:paraId="19F6AA8A"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Consumer Safeguards Part A</w:t>
            </w:r>
          </w:p>
        </w:tc>
        <w:tc>
          <w:tcPr>
            <w:tcW w:w="1605" w:type="dxa"/>
            <w:shd w:val="clear" w:color="auto" w:fill="auto"/>
            <w:vAlign w:val="center"/>
            <w:hideMark/>
          </w:tcPr>
          <w:p w14:paraId="26F927E2"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$581,350</w:t>
            </w:r>
          </w:p>
        </w:tc>
        <w:tc>
          <w:tcPr>
            <w:tcW w:w="1699" w:type="dxa"/>
            <w:shd w:val="clear" w:color="auto" w:fill="auto"/>
            <w:vAlign w:val="center"/>
            <w:hideMark/>
          </w:tcPr>
          <w:p w14:paraId="3F7BC1F9"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$813,888</w:t>
            </w:r>
          </w:p>
        </w:tc>
        <w:tc>
          <w:tcPr>
            <w:tcW w:w="1538" w:type="dxa"/>
            <w:shd w:val="clear" w:color="auto" w:fill="auto"/>
            <w:vAlign w:val="center"/>
            <w:hideMark/>
          </w:tcPr>
          <w:p w14:paraId="09CD4221" w14:textId="77777777" w:rsidR="00E41A00" w:rsidRPr="00D37B23" w:rsidRDefault="00E41A00" w:rsidP="00D37B23">
            <w:pPr>
              <w:spacing w:after="0" w:line="280" w:lineRule="atLeast"/>
              <w:jc w:val="right"/>
              <w:rPr>
                <w:rFonts w:cs="Arial"/>
                <w:color w:val="000000"/>
                <w:sz w:val="22"/>
                <w:szCs w:val="22"/>
              </w:rPr>
            </w:pPr>
            <w:r w:rsidRPr="00D37B23">
              <w:rPr>
                <w:rFonts w:cs="Arial"/>
                <w:color w:val="FF0000"/>
                <w:sz w:val="22"/>
                <w:szCs w:val="22"/>
              </w:rPr>
              <w:t>($232,538)</w:t>
            </w:r>
          </w:p>
        </w:tc>
        <w:tc>
          <w:tcPr>
            <w:tcW w:w="1089" w:type="dxa"/>
            <w:shd w:val="clear" w:color="auto" w:fill="auto"/>
            <w:vAlign w:val="center"/>
            <w:hideMark/>
          </w:tcPr>
          <w:p w14:paraId="226EA935" w14:textId="77777777" w:rsidR="00E41A00" w:rsidRPr="00D37B23" w:rsidRDefault="00E41A00" w:rsidP="00D37B23">
            <w:pPr>
              <w:spacing w:after="0" w:line="280" w:lineRule="atLeast"/>
              <w:jc w:val="right"/>
              <w:rPr>
                <w:rFonts w:cs="Arial"/>
                <w:b/>
                <w:color w:val="000000"/>
                <w:sz w:val="22"/>
                <w:szCs w:val="22"/>
              </w:rPr>
            </w:pPr>
            <w:r w:rsidRPr="00D37B23">
              <w:rPr>
                <w:rFonts w:cs="Arial"/>
                <w:color w:val="FF0000"/>
                <w:sz w:val="22"/>
                <w:szCs w:val="22"/>
              </w:rPr>
              <w:t>(28.6%)</w:t>
            </w:r>
          </w:p>
        </w:tc>
      </w:tr>
      <w:tr w:rsidR="00E41A00" w:rsidRPr="007E0C97" w14:paraId="38AECB2C" w14:textId="77777777" w:rsidTr="006E2755">
        <w:trPr>
          <w:trHeight w:val="225"/>
        </w:trPr>
        <w:tc>
          <w:tcPr>
            <w:tcW w:w="2830" w:type="dxa"/>
            <w:shd w:val="clear" w:color="auto" w:fill="D9D9D9" w:themeFill="background1" w:themeFillShade="D9"/>
            <w:hideMark/>
          </w:tcPr>
          <w:p w14:paraId="56F56218" w14:textId="77777777" w:rsidR="00E41A00" w:rsidRPr="00D37B23" w:rsidRDefault="00E41A00" w:rsidP="00D37B23">
            <w:pPr>
              <w:spacing w:after="0" w:line="280" w:lineRule="atLeast"/>
              <w:rPr>
                <w:rFonts w:cs="Arial"/>
                <w:b/>
                <w:bCs/>
                <w:color w:val="000000"/>
                <w:sz w:val="22"/>
                <w:szCs w:val="22"/>
              </w:rPr>
            </w:pPr>
            <w:r w:rsidRPr="00D37B23">
              <w:rPr>
                <w:rFonts w:cs="Arial"/>
                <w:b/>
                <w:bCs/>
                <w:color w:val="000000"/>
                <w:sz w:val="22"/>
                <w:szCs w:val="22"/>
              </w:rPr>
              <w:t>Total costs</w:t>
            </w:r>
          </w:p>
        </w:tc>
        <w:tc>
          <w:tcPr>
            <w:tcW w:w="1605" w:type="dxa"/>
            <w:shd w:val="clear" w:color="auto" w:fill="D9D9D9" w:themeFill="background1" w:themeFillShade="D9"/>
            <w:hideMark/>
          </w:tcPr>
          <w:p w14:paraId="1EC10B49" w14:textId="77777777" w:rsidR="00E41A00" w:rsidRPr="00D37B23" w:rsidRDefault="00E41A00" w:rsidP="00D37B23">
            <w:pPr>
              <w:spacing w:after="0" w:line="280" w:lineRule="atLeast"/>
              <w:jc w:val="right"/>
              <w:rPr>
                <w:rFonts w:cs="Arial"/>
                <w:b/>
                <w:color w:val="000000"/>
                <w:sz w:val="22"/>
                <w:szCs w:val="22"/>
              </w:rPr>
            </w:pPr>
            <w:r w:rsidRPr="00D37B23">
              <w:rPr>
                <w:rFonts w:cs="Arial"/>
                <w:b/>
                <w:bCs/>
                <w:color w:val="000000"/>
                <w:sz w:val="22"/>
                <w:szCs w:val="22"/>
              </w:rPr>
              <w:t>$13,640,608</w:t>
            </w:r>
          </w:p>
        </w:tc>
        <w:tc>
          <w:tcPr>
            <w:tcW w:w="1699" w:type="dxa"/>
            <w:shd w:val="clear" w:color="auto" w:fill="D9D9D9" w:themeFill="background1" w:themeFillShade="D9"/>
            <w:hideMark/>
          </w:tcPr>
          <w:p w14:paraId="6EDABDD1" w14:textId="77777777" w:rsidR="00E41A00" w:rsidRPr="00D37B23" w:rsidRDefault="00E41A00" w:rsidP="00D37B23">
            <w:pPr>
              <w:spacing w:after="0" w:line="280" w:lineRule="atLeast"/>
              <w:jc w:val="right"/>
              <w:rPr>
                <w:rFonts w:cs="Arial"/>
                <w:b/>
                <w:color w:val="000000"/>
                <w:sz w:val="22"/>
                <w:szCs w:val="22"/>
              </w:rPr>
            </w:pPr>
            <w:r w:rsidRPr="00D37B23">
              <w:rPr>
                <w:rFonts w:cs="Arial"/>
                <w:b/>
                <w:bCs/>
                <w:color w:val="000000"/>
                <w:sz w:val="22"/>
                <w:szCs w:val="22"/>
              </w:rPr>
              <w:t>$12,918,435</w:t>
            </w:r>
          </w:p>
        </w:tc>
        <w:tc>
          <w:tcPr>
            <w:tcW w:w="1538" w:type="dxa"/>
            <w:shd w:val="clear" w:color="auto" w:fill="D9D9D9" w:themeFill="background1" w:themeFillShade="D9"/>
            <w:hideMark/>
          </w:tcPr>
          <w:p w14:paraId="58B0F402" w14:textId="77777777" w:rsidR="00E41A00" w:rsidRPr="00D37B23" w:rsidRDefault="00E41A00" w:rsidP="00D37B23">
            <w:pPr>
              <w:spacing w:after="0" w:line="280" w:lineRule="atLeast"/>
              <w:jc w:val="right"/>
              <w:rPr>
                <w:rFonts w:cs="Arial"/>
                <w:b/>
                <w:color w:val="FF0000"/>
                <w:sz w:val="22"/>
                <w:szCs w:val="22"/>
              </w:rPr>
            </w:pPr>
            <w:r w:rsidRPr="00D37B23">
              <w:rPr>
                <w:rFonts w:cs="Arial"/>
                <w:b/>
                <w:bCs/>
                <w:color w:val="000000"/>
                <w:sz w:val="22"/>
                <w:szCs w:val="22"/>
              </w:rPr>
              <w:t>$722,174</w:t>
            </w:r>
          </w:p>
        </w:tc>
        <w:tc>
          <w:tcPr>
            <w:tcW w:w="1089" w:type="dxa"/>
            <w:shd w:val="clear" w:color="auto" w:fill="D9D9D9" w:themeFill="background1" w:themeFillShade="D9"/>
            <w:hideMark/>
          </w:tcPr>
          <w:p w14:paraId="178DDEF3" w14:textId="77777777" w:rsidR="00E41A00" w:rsidRPr="00D37B23" w:rsidRDefault="00E41A00" w:rsidP="00D37B23">
            <w:pPr>
              <w:spacing w:after="0" w:line="280" w:lineRule="atLeast"/>
              <w:jc w:val="right"/>
              <w:rPr>
                <w:rFonts w:cs="Arial"/>
                <w:b/>
                <w:bCs/>
                <w:color w:val="FF0000"/>
                <w:sz w:val="22"/>
                <w:szCs w:val="22"/>
              </w:rPr>
            </w:pPr>
            <w:r w:rsidRPr="00D37B23">
              <w:rPr>
                <w:rFonts w:cs="Arial"/>
                <w:b/>
                <w:bCs/>
                <w:color w:val="000000"/>
                <w:sz w:val="22"/>
                <w:szCs w:val="22"/>
              </w:rPr>
              <w:t>5.6%</w:t>
            </w:r>
          </w:p>
        </w:tc>
      </w:tr>
    </w:tbl>
    <w:p w14:paraId="24B527FC" w14:textId="77777777" w:rsidR="00E41A00" w:rsidRDefault="00E41A00" w:rsidP="00D37B23">
      <w:pPr>
        <w:pStyle w:val="Tableorfigurenote"/>
      </w:pPr>
      <w:bookmarkStart w:id="94" w:name="_Hlk121485843"/>
      <w:bookmarkStart w:id="95" w:name="_Hlk8981499"/>
      <w:bookmarkStart w:id="96" w:name="_Hlk8811239"/>
      <w:bookmarkEnd w:id="89"/>
      <w:bookmarkEnd w:id="90"/>
      <w:bookmarkEnd w:id="91"/>
      <w:bookmarkEnd w:id="92"/>
      <w:bookmarkEnd w:id="93"/>
      <w:r w:rsidRPr="001C6738">
        <w:t xml:space="preserve">Note: </w:t>
      </w:r>
      <w:r w:rsidRPr="00D37B23">
        <w:t>Sums</w:t>
      </w:r>
      <w:r w:rsidRPr="001C6738">
        <w:t xml:space="preserve"> may not add due to rounding</w:t>
      </w:r>
      <w:r>
        <w:t>.</w:t>
      </w:r>
    </w:p>
    <w:p w14:paraId="54CBAF95" w14:textId="7D60EFE4" w:rsidR="00E41A00" w:rsidRPr="00662823" w:rsidRDefault="00E41A00" w:rsidP="00D37B23">
      <w:pPr>
        <w:pStyle w:val="Paragraphbeforelist"/>
        <w:rPr>
          <w:rFonts w:ascii="Calibri" w:hAnsi="Calibri"/>
          <w:highlight w:val="yellow"/>
        </w:rPr>
      </w:pPr>
      <w:r w:rsidRPr="00D1720F">
        <w:t xml:space="preserve">The ACMA’s cost component (excluding Consumer Safeguards Part A costs) has increased by </w:t>
      </w:r>
      <w:r>
        <w:t>7.9</w:t>
      </w:r>
      <w:r w:rsidR="00E01726">
        <w:t xml:space="preserve">% </w:t>
      </w:r>
      <w:r w:rsidRPr="00D1720F">
        <w:t>($0.95</w:t>
      </w:r>
      <w:r>
        <w:t xml:space="preserve"> </w:t>
      </w:r>
      <w:r w:rsidRPr="00D1720F">
        <w:t>m</w:t>
      </w:r>
      <w:r>
        <w:t>illion</w:t>
      </w:r>
      <w:r w:rsidRPr="00D1720F">
        <w:t xml:space="preserve">) from the previous financial year. The change is mainly attributable to </w:t>
      </w:r>
      <w:r w:rsidR="003A1D01">
        <w:t>i</w:t>
      </w:r>
      <w:r w:rsidR="003A1D01" w:rsidRPr="00D1720F">
        <w:t xml:space="preserve">ndustry </w:t>
      </w:r>
      <w:r w:rsidRPr="00D1720F">
        <w:t xml:space="preserve">monitoring and regulation development effort </w:t>
      </w:r>
      <w:proofErr w:type="gramStart"/>
      <w:r w:rsidRPr="00D1720F">
        <w:t>as a result of</w:t>
      </w:r>
      <w:proofErr w:type="gramEnd"/>
      <w:r w:rsidRPr="00D1720F">
        <w:t>:</w:t>
      </w:r>
    </w:p>
    <w:p w14:paraId="251BDA72" w14:textId="19C4F684" w:rsidR="00E41A00" w:rsidRDefault="00E41A00" w:rsidP="00D37B23">
      <w:pPr>
        <w:pStyle w:val="Bulletlevel1"/>
      </w:pPr>
      <w:r>
        <w:t xml:space="preserve">increased research supporting the Telecommunications Consumer Protection (TCP) code review and Telecommunications Financial Hardship Industry Standard, including the release of the </w:t>
      </w:r>
      <w:r w:rsidRPr="00662823">
        <w:rPr>
          <w:i/>
          <w:iCs/>
        </w:rPr>
        <w:t>'Keeping the Customer Connected'</w:t>
      </w:r>
      <w:r>
        <w:t xml:space="preserve"> report and the </w:t>
      </w:r>
      <w:r w:rsidRPr="00662823">
        <w:rPr>
          <w:i/>
          <w:iCs/>
        </w:rPr>
        <w:t>'What Consumers Want'</w:t>
      </w:r>
      <w:r>
        <w:t xml:space="preserve"> position paper.</w:t>
      </w:r>
    </w:p>
    <w:p w14:paraId="38980FCC" w14:textId="2A1FC5D1" w:rsidR="00E41A00" w:rsidRDefault="00E41A00" w:rsidP="00D37B23">
      <w:pPr>
        <w:pStyle w:val="Bulletlevel1"/>
      </w:pPr>
      <w:r>
        <w:t xml:space="preserve">enhanced telecommunications performance reporting through various data initiatives, </w:t>
      </w:r>
      <w:r w:rsidRPr="00D37B23">
        <w:t>including</w:t>
      </w:r>
      <w:r>
        <w:t xml:space="preserve"> data action projects, to improve our compliance, regulatory, and operational functions</w:t>
      </w:r>
    </w:p>
    <w:p w14:paraId="3CA2CA6B" w14:textId="49370978" w:rsidR="00E41A00" w:rsidRPr="005059AE" w:rsidRDefault="00E41A00" w:rsidP="00D37B23">
      <w:pPr>
        <w:pStyle w:val="Bulletlevel1last"/>
      </w:pPr>
      <w:r>
        <w:t>increased focus on protecting telco customers experiencing financial hardship through the development/release of the financial hardship awareness campaign</w:t>
      </w:r>
      <w:r w:rsidR="00E01726">
        <w:t>,</w:t>
      </w:r>
      <w:r>
        <w:t xml:space="preserve"> including consumer education resources.</w:t>
      </w:r>
    </w:p>
    <w:p w14:paraId="4C3C4562" w14:textId="4AEB410B" w:rsidR="00E41A00" w:rsidRPr="00D37B23" w:rsidRDefault="00E41A00" w:rsidP="00D37B23">
      <w:pPr>
        <w:pStyle w:val="Paragraph"/>
      </w:pPr>
      <w:r w:rsidRPr="00E41C12">
        <w:lastRenderedPageBreak/>
        <w:t xml:space="preserve">The ACMA’s Consumer Safeguards Part A costs have decreased by </w:t>
      </w:r>
      <w:r>
        <w:t>28.6</w:t>
      </w:r>
      <w:r w:rsidRPr="00E41C12">
        <w:t>% ($0.</w:t>
      </w:r>
      <w:r>
        <w:t>23</w:t>
      </w:r>
      <w:r w:rsidRPr="00E41C12">
        <w:t xml:space="preserve"> million) from the </w:t>
      </w:r>
      <w:r w:rsidR="00E01726">
        <w:t>previous</w:t>
      </w:r>
      <w:r w:rsidR="00E01726" w:rsidRPr="00E41C12">
        <w:t xml:space="preserve"> </w:t>
      </w:r>
      <w:r w:rsidRPr="00E41C12">
        <w:t xml:space="preserve">year in line with the funding profile, with the program work now moving into BAU activities. The </w:t>
      </w:r>
      <w:r w:rsidRPr="00D37B23">
        <w:t>program is still expected to finish budget neutral.</w:t>
      </w:r>
    </w:p>
    <w:p w14:paraId="3F3EAAA0" w14:textId="0DA86AC7" w:rsidR="00E41A00" w:rsidRPr="00D37B23" w:rsidRDefault="00E41A00" w:rsidP="00D37B23">
      <w:pPr>
        <w:pStyle w:val="Paragraph"/>
      </w:pPr>
      <w:bookmarkStart w:id="97" w:name="_Hlk96699377"/>
      <w:r w:rsidRPr="00D37B23">
        <w:t xml:space="preserve">The ACMA continues to identify efficiencies to ensure only </w:t>
      </w:r>
      <w:r w:rsidR="00380258">
        <w:t>due</w:t>
      </w:r>
      <w:r w:rsidR="00380258" w:rsidRPr="00D37B23">
        <w:t xml:space="preserve"> </w:t>
      </w:r>
      <w:r w:rsidRPr="00D37B23">
        <w:t xml:space="preserve">costs are passed on to industry. </w:t>
      </w:r>
    </w:p>
    <w:bookmarkEnd w:id="97"/>
    <w:p w14:paraId="622496C9" w14:textId="77777777" w:rsidR="00E41A00" w:rsidRPr="00D37B23" w:rsidRDefault="00E41A00" w:rsidP="00D37B23">
      <w:pPr>
        <w:pStyle w:val="Paragraph"/>
      </w:pPr>
      <w:r w:rsidRPr="00D37B23">
        <w:t>The cost of undertaking the Consumer Safeguards Part A program is included as part of the costs of the ACMA performing its telecommunications functions and exercising its telecommunications powers, as determined under paragraph 15(1)(a) of the Act. The costs will be recovered in arrears from carriage service providers required to report under the RKRs that are also carriers and participating persons.</w:t>
      </w:r>
    </w:p>
    <w:p w14:paraId="30B994FB" w14:textId="77777777" w:rsidR="00E41A00" w:rsidRPr="00D37B23" w:rsidRDefault="00E41A00" w:rsidP="00D37B23">
      <w:pPr>
        <w:pStyle w:val="Paragraph"/>
      </w:pPr>
      <w:r w:rsidRPr="00D37B23">
        <w:t xml:space="preserve">Determining the ACMA’s costs to be recovered under the ACLC uses an activity-based management (ABM) model, which tracks the direct and support costs incurred by the ACMA for activities performed under its telecommunications functions and powers. As in previous years, time is used as the primary means of allocating direct costs to activities, while support costs are allocated using an appropriate cost driver (further detail on cost drivers is provided later in this section). </w:t>
      </w:r>
    </w:p>
    <w:p w14:paraId="5A95339A" w14:textId="77777777" w:rsidR="00E41A00" w:rsidRPr="00D37B23" w:rsidRDefault="00E41A00" w:rsidP="00D37B23">
      <w:pPr>
        <w:pStyle w:val="Paragraph"/>
      </w:pPr>
      <w:r w:rsidRPr="00D37B23">
        <w:t xml:space="preserve">The ACMA conducts agency-wide surveys to ensure the allocation base for the ABM model remains accurate. </w:t>
      </w:r>
    </w:p>
    <w:p w14:paraId="28E993A8" w14:textId="77777777" w:rsidR="00E41A00" w:rsidRPr="00AE6A60" w:rsidRDefault="00E41A00" w:rsidP="00E41A00">
      <w:pPr>
        <w:pStyle w:val="Heading3"/>
      </w:pPr>
      <w:bookmarkStart w:id="98" w:name="_Toc108599213"/>
      <w:r w:rsidRPr="00AE6A60">
        <w:t>3.1.</w:t>
      </w:r>
      <w:r>
        <w:t>2</w:t>
      </w:r>
      <w:r w:rsidRPr="00AE6A60">
        <w:tab/>
        <w:t>Outputs and business processes of the activity</w:t>
      </w:r>
      <w:bookmarkEnd w:id="98"/>
    </w:p>
    <w:p w14:paraId="23D25F69" w14:textId="1A783E4D" w:rsidR="00E41A00" w:rsidRPr="00AE6A60" w:rsidRDefault="00E41A00" w:rsidP="00D37B23">
      <w:pPr>
        <w:pStyle w:val="Paragraphbeforelist"/>
      </w:pPr>
      <w:r w:rsidRPr="00AE6A60">
        <w:t xml:space="preserve">This component (under paragraph 15(1)(a) of the Act) represents the ACMA’s costs incurred during the </w:t>
      </w:r>
      <w:r>
        <w:t>2022</w:t>
      </w:r>
      <w:r w:rsidR="000677AE">
        <w:t>–</w:t>
      </w:r>
      <w:r>
        <w:t>23</w:t>
      </w:r>
      <w:r w:rsidRPr="00AE6A60">
        <w:t xml:space="preserve"> financial year that are attributable to performing its telecommunications functions set out in section 8 of the ACMA Act, and in exercising its telecommunications powers as defined in section 7 of the Telco Act, except for functions and powers conferred on the ACMA by or under</w:t>
      </w:r>
      <w:r w:rsidR="00E01726">
        <w:t>:</w:t>
      </w:r>
      <w:r w:rsidRPr="00AE6A60">
        <w:rPr>
          <w:rStyle w:val="FootnoteReference"/>
        </w:rPr>
        <w:footnoteReference w:id="9"/>
      </w:r>
    </w:p>
    <w:p w14:paraId="58A30EA4" w14:textId="49B73DD5" w:rsidR="00E41A00" w:rsidRPr="00AE6A60" w:rsidRDefault="00E41A00" w:rsidP="00D37B23">
      <w:pPr>
        <w:pStyle w:val="Bulletlevel1"/>
      </w:pPr>
      <w:r w:rsidRPr="00AE6A60">
        <w:t xml:space="preserve">the </w:t>
      </w:r>
      <w:r w:rsidRPr="00836552">
        <w:rPr>
          <w:i/>
          <w:iCs/>
        </w:rPr>
        <w:t>Do Not Call Register Act 2006</w:t>
      </w:r>
      <w:r w:rsidRPr="00AE6A60">
        <w:t xml:space="preserve"> </w:t>
      </w:r>
      <w:r w:rsidRPr="00AE6A60">
        <w:rPr>
          <w:iCs/>
        </w:rPr>
        <w:t>(DNCR Act)</w:t>
      </w:r>
    </w:p>
    <w:p w14:paraId="02759F12" w14:textId="77777777" w:rsidR="00E41A00" w:rsidRPr="00AE6A60" w:rsidRDefault="00E41A00" w:rsidP="00D37B23">
      <w:pPr>
        <w:pStyle w:val="Bulletlevel1"/>
      </w:pPr>
      <w:r w:rsidRPr="00AE6A60">
        <w:t xml:space="preserve">the </w:t>
      </w:r>
      <w:r w:rsidRPr="006659B0">
        <w:t>Telco Act</w:t>
      </w:r>
      <w:r w:rsidRPr="00AE6A60">
        <w:t>, to the extent to which it relates to the DNCR Act</w:t>
      </w:r>
    </w:p>
    <w:p w14:paraId="756421D2" w14:textId="77777777" w:rsidR="00E41A00" w:rsidRPr="00AE6A60" w:rsidRDefault="00E41A00" w:rsidP="00D37B23">
      <w:pPr>
        <w:pStyle w:val="Bulletlevel1last"/>
      </w:pPr>
      <w:r w:rsidRPr="00AE6A60">
        <w:t>Part 6 of the Telco Act</w:t>
      </w:r>
      <w:r>
        <w:t>,</w:t>
      </w:r>
      <w:r w:rsidRPr="00AE6A60">
        <w:t xml:space="preserve"> to the extent to which it relates to telemarketing activities (within the meaning of that Part).</w:t>
      </w:r>
    </w:p>
    <w:p w14:paraId="1D725C8C" w14:textId="77777777" w:rsidR="00E41A00" w:rsidRPr="00AE6A60" w:rsidRDefault="00E41A00" w:rsidP="00D37B23">
      <w:pPr>
        <w:pStyle w:val="Paragraphbeforelist"/>
      </w:pPr>
      <w:r w:rsidRPr="00AE6A60">
        <w:t xml:space="preserve">As a regulator of the telecommunications industry, the ACMA exercises powers conferred by </w:t>
      </w:r>
      <w:r>
        <w:t xml:space="preserve">various Acts and other legislation, including </w:t>
      </w:r>
      <w:r w:rsidRPr="00AE6A60">
        <w:t>the following Acts relevant to the ACLC:</w:t>
      </w:r>
    </w:p>
    <w:p w14:paraId="47551697" w14:textId="77777777" w:rsidR="00E41A00" w:rsidRPr="00AE6A60" w:rsidRDefault="00E41A00" w:rsidP="00D37B23">
      <w:pPr>
        <w:pStyle w:val="Bulletlevel1"/>
      </w:pPr>
      <w:r w:rsidRPr="00AE6A60">
        <w:t>the Telco Act</w:t>
      </w:r>
    </w:p>
    <w:p w14:paraId="26506D62" w14:textId="77777777" w:rsidR="00E41A00" w:rsidRPr="00AE6A60" w:rsidRDefault="00E41A00" w:rsidP="00D37B23">
      <w:pPr>
        <w:pStyle w:val="Bulletlevel1"/>
        <w:rPr>
          <w:i/>
        </w:rPr>
      </w:pPr>
      <w:r w:rsidRPr="00AE6A60">
        <w:t xml:space="preserve">the </w:t>
      </w:r>
      <w:r w:rsidRPr="00130BE7">
        <w:rPr>
          <w:iCs/>
        </w:rPr>
        <w:t>TCPSS Act</w:t>
      </w:r>
    </w:p>
    <w:p w14:paraId="768109DC" w14:textId="77777777" w:rsidR="00E41A00" w:rsidRPr="00AE6A60" w:rsidRDefault="00E41A00" w:rsidP="00D37B23">
      <w:pPr>
        <w:pStyle w:val="Bulletlevel1"/>
      </w:pPr>
      <w:r w:rsidRPr="00AE6A60">
        <w:t xml:space="preserve">Chapters 4 and 5 of the </w:t>
      </w:r>
      <w:r w:rsidRPr="00AE6A60">
        <w:rPr>
          <w:i/>
        </w:rPr>
        <w:t>Telecommunications (Interception and Access) Act 1979</w:t>
      </w:r>
    </w:p>
    <w:p w14:paraId="4F644524" w14:textId="31CBC0C3" w:rsidR="00E41A00" w:rsidRPr="00AE6A60" w:rsidRDefault="00E41A00" w:rsidP="00D37B23">
      <w:pPr>
        <w:pStyle w:val="Bulletlevel1"/>
      </w:pPr>
      <w:r w:rsidRPr="00AE6A60">
        <w:t xml:space="preserve">Part XIC of the </w:t>
      </w:r>
      <w:r w:rsidRPr="00AE6A60">
        <w:rPr>
          <w:i/>
        </w:rPr>
        <w:t>Competition and Consumer Act 2010</w:t>
      </w:r>
      <w:r w:rsidRPr="00AE6A60">
        <w:t xml:space="preserve"> </w:t>
      </w:r>
      <w:r w:rsidR="00836552">
        <w:t>(Competition</w:t>
      </w:r>
      <w:r>
        <w:t xml:space="preserve"> and Consumer Act)</w:t>
      </w:r>
    </w:p>
    <w:p w14:paraId="54BD589C" w14:textId="77777777" w:rsidR="00E41A00" w:rsidRPr="00AE6A60" w:rsidRDefault="00E41A00" w:rsidP="00D37B23">
      <w:pPr>
        <w:pStyle w:val="Bulletlevel1last"/>
      </w:pPr>
      <w:r w:rsidRPr="00AE6A60">
        <w:t>section 12 of the ACMA Act, as it relates to the ACMA’s telecommunications functions</w:t>
      </w:r>
      <w:r w:rsidRPr="00AE6A60">
        <w:rPr>
          <w:i/>
        </w:rPr>
        <w:t>.</w:t>
      </w:r>
    </w:p>
    <w:p w14:paraId="7EFD2D0A" w14:textId="53E199EA" w:rsidR="00E41A00" w:rsidRPr="00AE6A60" w:rsidRDefault="00E41A00" w:rsidP="00D37B23">
      <w:pPr>
        <w:pStyle w:val="Paragraph"/>
      </w:pPr>
      <w:bookmarkStart w:id="99" w:name="_Hlk8986390"/>
      <w:r w:rsidRPr="00AE6A60">
        <w:t xml:space="preserve">The outputs </w:t>
      </w:r>
      <w:r>
        <w:t>for</w:t>
      </w:r>
      <w:r w:rsidRPr="00AE6A60">
        <w:t xml:space="preserve"> the ACMA’s telecommunications activities are summarised below. </w:t>
      </w:r>
      <w:bookmarkStart w:id="100" w:name="_Hlk63081067"/>
      <w:r>
        <w:t>T</w:t>
      </w:r>
      <w:r w:rsidRPr="00AE6A60">
        <w:t xml:space="preserve">o demonstrate transparency of costs attributable to the ACLC, as reported in the CRIS for the </w:t>
      </w:r>
      <w:r>
        <w:t>2022</w:t>
      </w:r>
      <w:r w:rsidR="00E01726">
        <w:t>–</w:t>
      </w:r>
      <w:r>
        <w:t>23</w:t>
      </w:r>
      <w:r w:rsidRPr="00AE6A60">
        <w:t xml:space="preserve"> ACLC, </w:t>
      </w:r>
      <w:r>
        <w:t xml:space="preserve">the </w:t>
      </w:r>
      <w:r w:rsidRPr="00AE6A60">
        <w:t>ACMA now provide</w:t>
      </w:r>
      <w:r>
        <w:t>s</w:t>
      </w:r>
      <w:r w:rsidRPr="00AE6A60">
        <w:t xml:space="preserve"> activity costs for the </w:t>
      </w:r>
      <w:r>
        <w:t>2023</w:t>
      </w:r>
      <w:r w:rsidR="000677AE">
        <w:t>–</w:t>
      </w:r>
      <w:r>
        <w:t>24</w:t>
      </w:r>
      <w:r w:rsidRPr="00AE6A60">
        <w:t xml:space="preserve"> ACLC with comparative costs for the previous year for each output.</w:t>
      </w:r>
      <w:bookmarkEnd w:id="100"/>
    </w:p>
    <w:bookmarkEnd w:id="99"/>
    <w:p w14:paraId="51B5C6B4" w14:textId="77777777" w:rsidR="00E41A00" w:rsidRPr="00AE6A60" w:rsidRDefault="00E41A00" w:rsidP="00E41A00">
      <w:pPr>
        <w:pStyle w:val="BodySubHeader"/>
        <w:keepNext/>
        <w:keepLines/>
        <w:spacing w:after="80"/>
      </w:pPr>
      <w:r w:rsidRPr="00342715">
        <w:lastRenderedPageBreak/>
        <w:t>Regulation development</w:t>
      </w:r>
      <w:r w:rsidRPr="00AE6A60">
        <w:t xml:space="preserve"> </w:t>
      </w:r>
    </w:p>
    <w:p w14:paraId="4594BAC9" w14:textId="77777777" w:rsidR="00E41A00" w:rsidRDefault="00E41A00" w:rsidP="00D37B23">
      <w:pPr>
        <w:pStyle w:val="Paragraphbeforelist"/>
      </w:pPr>
      <w:r w:rsidRPr="00AE6A60">
        <w:t xml:space="preserve">This output includes regulatory development under the existing legislative framework, </w:t>
      </w:r>
      <w:r w:rsidRPr="00D37B23">
        <w:t>including</w:t>
      </w:r>
      <w:r>
        <w:t xml:space="preserve">: </w:t>
      </w:r>
    </w:p>
    <w:p w14:paraId="75CE9139" w14:textId="77777777" w:rsidR="00E41A00" w:rsidRPr="00D37B23" w:rsidRDefault="00E41A00" w:rsidP="00D37B23">
      <w:pPr>
        <w:pStyle w:val="Bulletlevel1"/>
      </w:pPr>
      <w:r w:rsidRPr="00D37B23">
        <w:t>promoting self and co-regulation and competition in the telecommunications industry</w:t>
      </w:r>
    </w:p>
    <w:p w14:paraId="10A6409B" w14:textId="77777777" w:rsidR="00E41A00" w:rsidRDefault="00E41A00" w:rsidP="00D37B23">
      <w:pPr>
        <w:pStyle w:val="Bulletlevel1"/>
      </w:pPr>
      <w:r w:rsidRPr="00D37B23">
        <w:t>developing</w:t>
      </w:r>
      <w:r>
        <w:t xml:space="preserve"> </w:t>
      </w:r>
      <w:r w:rsidRPr="00AE6A60">
        <w:t>and var</w:t>
      </w:r>
      <w:r>
        <w:t>ying</w:t>
      </w:r>
      <w:r w:rsidRPr="00AE6A60">
        <w:t xml:space="preserve"> telecommunications industry standards</w:t>
      </w:r>
    </w:p>
    <w:p w14:paraId="55092863" w14:textId="77777777" w:rsidR="00E41A00" w:rsidRDefault="00E41A00" w:rsidP="00D37B23">
      <w:pPr>
        <w:pStyle w:val="Bulletlevel1last"/>
      </w:pPr>
      <w:r w:rsidRPr="00D37B23">
        <w:t>conducting</w:t>
      </w:r>
      <w:r w:rsidRPr="00AE6A60">
        <w:t xml:space="preserve"> research on matters affecting telecommunication regulations</w:t>
      </w:r>
      <w:r>
        <w:t xml:space="preserve"> </w:t>
      </w:r>
      <w:r w:rsidRPr="00AE6A60">
        <w:t>manag</w:t>
      </w:r>
      <w:r>
        <w:t>ing</w:t>
      </w:r>
      <w:r w:rsidRPr="00AE6A60">
        <w:t xml:space="preserve"> technical regulatory arrangements.</w:t>
      </w:r>
      <w:r>
        <w:t xml:space="preserve"> </w:t>
      </w:r>
    </w:p>
    <w:p w14:paraId="5B5F5300" w14:textId="0575A869" w:rsidR="00E41A00" w:rsidRPr="00AE6A60" w:rsidRDefault="00E41A00" w:rsidP="00D37B23">
      <w:pPr>
        <w:pStyle w:val="Paragraph"/>
      </w:pPr>
      <w:r w:rsidRPr="00AE6A60">
        <w:t xml:space="preserve">Table </w:t>
      </w:r>
      <w:r>
        <w:t>4</w:t>
      </w:r>
      <w:r w:rsidRPr="00AE6A60">
        <w:t xml:space="preserve"> provides details of the activities performed under this output for </w:t>
      </w:r>
      <w:bookmarkStart w:id="101" w:name="_Hlk63673414"/>
      <w:r>
        <w:t>the 2023</w:t>
      </w:r>
      <w:r w:rsidR="000677AE">
        <w:t>–</w:t>
      </w:r>
      <w:r>
        <w:t>24</w:t>
      </w:r>
      <w:r w:rsidRPr="00AE6A60">
        <w:t xml:space="preserve"> and </w:t>
      </w:r>
      <w:r>
        <w:t>2022</w:t>
      </w:r>
      <w:r w:rsidR="000677AE">
        <w:t>–</w:t>
      </w:r>
      <w:r>
        <w:t>23 ACLC</w:t>
      </w:r>
      <w:bookmarkEnd w:id="101"/>
      <w:r w:rsidRPr="00AE6A60">
        <w:t>.</w:t>
      </w:r>
    </w:p>
    <w:bookmarkEnd w:id="94"/>
    <w:bookmarkEnd w:id="95"/>
    <w:p w14:paraId="73001C8F" w14:textId="684875F0" w:rsidR="00E41A00" w:rsidRPr="00AE6A60" w:rsidRDefault="00E41A00" w:rsidP="00D37B23">
      <w:pPr>
        <w:pStyle w:val="Tableheading"/>
      </w:pPr>
      <w:r w:rsidRPr="00D37B23">
        <w:t>Regulation</w:t>
      </w:r>
      <w:r w:rsidRPr="00AE6A60">
        <w:t xml:space="preserve"> development</w:t>
      </w:r>
      <w:r>
        <w:t xml:space="preserve"> – </w:t>
      </w:r>
      <w:r w:rsidRPr="00AE6A60">
        <w:t xml:space="preserve">activities and costs for </w:t>
      </w:r>
      <w:r>
        <w:t>2023</w:t>
      </w:r>
      <w:r w:rsidR="000677AE">
        <w:t>–</w:t>
      </w:r>
      <w:r>
        <w:t>24</w:t>
      </w:r>
      <w:r w:rsidRPr="00AE6A60">
        <w:t xml:space="preserve"> ACLC</w:t>
      </w:r>
      <w:r>
        <w:t xml:space="preserve"> (</w:t>
      </w:r>
      <w:r w:rsidRPr="00AE6A60">
        <w:t xml:space="preserve">based on </w:t>
      </w:r>
      <w:r>
        <w:t>2022</w:t>
      </w:r>
      <w:r w:rsidR="000677AE">
        <w:t>–</w:t>
      </w:r>
      <w:r>
        <w:t>23</w:t>
      </w:r>
      <w:r w:rsidRPr="00AE6A60">
        <w:t xml:space="preserve"> costs)</w:t>
      </w:r>
      <w:r>
        <w:t xml:space="preserve"> and 2022</w:t>
      </w:r>
      <w:r w:rsidR="000677AE">
        <w:t>–</w:t>
      </w:r>
      <w:r>
        <w:t>23 ACLC (based on 2021</w:t>
      </w:r>
      <w:r w:rsidR="000677AE">
        <w:t>–</w:t>
      </w:r>
      <w:r>
        <w:t>22 costs)</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667"/>
        <w:gridCol w:w="4069"/>
        <w:gridCol w:w="1398"/>
        <w:gridCol w:w="1399"/>
        <w:gridCol w:w="1399"/>
      </w:tblGrid>
      <w:tr w:rsidR="00E41A00" w:rsidRPr="00D37B23" w14:paraId="0F328665" w14:textId="77777777" w:rsidTr="006E2755">
        <w:trPr>
          <w:trHeight w:val="102"/>
          <w:tblHeader/>
        </w:trPr>
        <w:tc>
          <w:tcPr>
            <w:tcW w:w="667" w:type="dxa"/>
            <w:shd w:val="clear" w:color="000000" w:fill="404040"/>
            <w:noWrap/>
            <w:hideMark/>
          </w:tcPr>
          <w:bookmarkEnd w:id="96"/>
          <w:p w14:paraId="665499ED" w14:textId="77777777" w:rsidR="00E41A00" w:rsidRPr="00D37B23" w:rsidRDefault="00E41A00" w:rsidP="00D37B23">
            <w:pPr>
              <w:spacing w:after="0" w:line="280" w:lineRule="atLeast"/>
              <w:rPr>
                <w:rFonts w:cs="Arial"/>
                <w:b/>
                <w:bCs/>
                <w:color w:val="FFFFFF"/>
                <w:sz w:val="22"/>
                <w:szCs w:val="22"/>
              </w:rPr>
            </w:pPr>
            <w:r w:rsidRPr="00D37B23">
              <w:rPr>
                <w:rFonts w:cs="Arial"/>
                <w:b/>
                <w:bCs/>
                <w:color w:val="FFFFFF"/>
                <w:sz w:val="22"/>
                <w:szCs w:val="22"/>
              </w:rPr>
              <w:t>Ref</w:t>
            </w:r>
          </w:p>
        </w:tc>
        <w:tc>
          <w:tcPr>
            <w:tcW w:w="4069" w:type="dxa"/>
            <w:shd w:val="clear" w:color="000000" w:fill="404040"/>
            <w:hideMark/>
          </w:tcPr>
          <w:p w14:paraId="56A1FC3A" w14:textId="77777777" w:rsidR="00E41A00" w:rsidRPr="00D37B23" w:rsidRDefault="00E41A00" w:rsidP="00D37B23">
            <w:pPr>
              <w:spacing w:after="0" w:line="280" w:lineRule="atLeast"/>
              <w:rPr>
                <w:rFonts w:cs="Arial"/>
                <w:b/>
                <w:bCs/>
                <w:color w:val="FFFFFF"/>
                <w:sz w:val="22"/>
                <w:szCs w:val="22"/>
              </w:rPr>
            </w:pPr>
            <w:r w:rsidRPr="00D37B23">
              <w:rPr>
                <w:rFonts w:cs="Arial"/>
                <w:b/>
                <w:bCs/>
                <w:color w:val="FFFFFF"/>
                <w:sz w:val="22"/>
                <w:szCs w:val="22"/>
              </w:rPr>
              <w:t>Activity description</w:t>
            </w:r>
          </w:p>
        </w:tc>
        <w:tc>
          <w:tcPr>
            <w:tcW w:w="1398" w:type="dxa"/>
            <w:shd w:val="clear" w:color="000000" w:fill="404040"/>
            <w:hideMark/>
          </w:tcPr>
          <w:p w14:paraId="1F5622D3" w14:textId="3EE171CC" w:rsidR="00E41A00" w:rsidRPr="00D37B23" w:rsidRDefault="00E41A00" w:rsidP="00D37B23">
            <w:pPr>
              <w:spacing w:after="0" w:line="280" w:lineRule="atLeast"/>
              <w:jc w:val="right"/>
              <w:rPr>
                <w:rFonts w:cs="Arial"/>
                <w:b/>
                <w:bCs/>
                <w:color w:val="FFFFFF"/>
                <w:sz w:val="22"/>
                <w:szCs w:val="22"/>
              </w:rPr>
            </w:pPr>
            <w:r w:rsidRPr="00D37B23">
              <w:rPr>
                <w:rFonts w:cs="Arial"/>
                <w:b/>
                <w:bCs/>
                <w:color w:val="FFFFFF"/>
                <w:sz w:val="22"/>
                <w:szCs w:val="22"/>
              </w:rPr>
              <w:t>2022</w:t>
            </w:r>
            <w:r w:rsidR="000677AE" w:rsidRPr="00836552">
              <w:rPr>
                <w:b/>
                <w:bCs/>
                <w:color w:val="FFFFFF" w:themeColor="background1"/>
              </w:rPr>
              <w:t>–</w:t>
            </w:r>
            <w:r w:rsidRPr="00D37B23">
              <w:rPr>
                <w:rFonts w:cs="Arial"/>
                <w:b/>
                <w:bCs/>
                <w:color w:val="FFFFFF"/>
                <w:sz w:val="22"/>
                <w:szCs w:val="22"/>
              </w:rPr>
              <w:t>23 cost</w:t>
            </w:r>
          </w:p>
        </w:tc>
        <w:tc>
          <w:tcPr>
            <w:tcW w:w="1399" w:type="dxa"/>
            <w:shd w:val="clear" w:color="000000" w:fill="404040"/>
            <w:hideMark/>
          </w:tcPr>
          <w:p w14:paraId="4682C5C1" w14:textId="69D77161" w:rsidR="00E41A00" w:rsidRPr="00D37B23" w:rsidRDefault="00E41A00" w:rsidP="00D37B23">
            <w:pPr>
              <w:spacing w:after="0" w:line="280" w:lineRule="atLeast"/>
              <w:jc w:val="right"/>
              <w:rPr>
                <w:rFonts w:cs="Arial"/>
                <w:b/>
                <w:bCs/>
                <w:color w:val="FFFFFF"/>
                <w:sz w:val="22"/>
                <w:szCs w:val="22"/>
              </w:rPr>
            </w:pPr>
            <w:r w:rsidRPr="00D37B23">
              <w:rPr>
                <w:rFonts w:cs="Arial"/>
                <w:b/>
                <w:bCs/>
                <w:color w:val="FFFFFF"/>
                <w:sz w:val="22"/>
                <w:szCs w:val="22"/>
              </w:rPr>
              <w:t>2021</w:t>
            </w:r>
            <w:r w:rsidR="000677AE" w:rsidRPr="00836552">
              <w:rPr>
                <w:b/>
                <w:bCs/>
                <w:color w:val="FFFFFF" w:themeColor="background1"/>
              </w:rPr>
              <w:t>–</w:t>
            </w:r>
            <w:r w:rsidRPr="00D37B23">
              <w:rPr>
                <w:rFonts w:cs="Arial"/>
                <w:b/>
                <w:bCs/>
                <w:color w:val="FFFFFF"/>
                <w:sz w:val="22"/>
                <w:szCs w:val="22"/>
              </w:rPr>
              <w:t>22 cost</w:t>
            </w:r>
          </w:p>
        </w:tc>
        <w:tc>
          <w:tcPr>
            <w:tcW w:w="1399" w:type="dxa"/>
            <w:shd w:val="clear" w:color="000000" w:fill="404040"/>
            <w:hideMark/>
          </w:tcPr>
          <w:p w14:paraId="21E9536F" w14:textId="77777777" w:rsidR="00E41A00" w:rsidRPr="00D37B23" w:rsidRDefault="00E41A00" w:rsidP="00D37B23">
            <w:pPr>
              <w:spacing w:after="0" w:line="280" w:lineRule="atLeast"/>
              <w:jc w:val="right"/>
              <w:rPr>
                <w:rFonts w:cs="Arial"/>
                <w:b/>
                <w:bCs/>
                <w:color w:val="FFFFFF"/>
                <w:sz w:val="22"/>
                <w:szCs w:val="22"/>
              </w:rPr>
            </w:pPr>
            <w:r w:rsidRPr="00D37B23">
              <w:rPr>
                <w:rFonts w:cs="Arial"/>
                <w:b/>
                <w:bCs/>
                <w:color w:val="FFFFFF"/>
                <w:sz w:val="22"/>
                <w:szCs w:val="22"/>
              </w:rPr>
              <w:t>Variance increase/</w:t>
            </w:r>
            <w:r w:rsidRPr="00D37B23">
              <w:rPr>
                <w:rFonts w:cs="Arial"/>
                <w:b/>
                <w:bCs/>
                <w:color w:val="FFFFFF"/>
                <w:sz w:val="22"/>
                <w:szCs w:val="22"/>
              </w:rPr>
              <w:br/>
              <w:t>(decrease)</w:t>
            </w:r>
            <w:r w:rsidRPr="00D37B23" w:rsidDel="00957E61">
              <w:rPr>
                <w:rFonts w:cs="Arial"/>
                <w:b/>
                <w:bCs/>
                <w:color w:val="FFFFFF"/>
                <w:sz w:val="22"/>
                <w:szCs w:val="22"/>
              </w:rPr>
              <w:t xml:space="preserve"> </w:t>
            </w:r>
          </w:p>
        </w:tc>
      </w:tr>
      <w:tr w:rsidR="00E41A00" w:rsidRPr="00D37B23" w14:paraId="6A08DC09" w14:textId="77777777" w:rsidTr="006E2755">
        <w:trPr>
          <w:trHeight w:val="136"/>
        </w:trPr>
        <w:tc>
          <w:tcPr>
            <w:tcW w:w="667" w:type="dxa"/>
            <w:shd w:val="clear" w:color="auto" w:fill="auto"/>
            <w:noWrap/>
            <w:hideMark/>
          </w:tcPr>
          <w:p w14:paraId="205A8598"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R1</w:t>
            </w:r>
          </w:p>
        </w:tc>
        <w:tc>
          <w:tcPr>
            <w:tcW w:w="4069" w:type="dxa"/>
            <w:shd w:val="clear" w:color="auto" w:fill="auto"/>
            <w:hideMark/>
          </w:tcPr>
          <w:p w14:paraId="4BC3D4D6" w14:textId="77777777" w:rsidR="00E41A00" w:rsidRPr="00D37B23" w:rsidRDefault="00E41A00" w:rsidP="00D37B23">
            <w:pPr>
              <w:spacing w:after="0" w:line="280" w:lineRule="atLeast"/>
              <w:rPr>
                <w:rFonts w:cs="Arial"/>
                <w:color w:val="000000"/>
                <w:sz w:val="22"/>
                <w:szCs w:val="22"/>
              </w:rPr>
            </w:pPr>
            <w:r w:rsidRPr="00D37B23">
              <w:rPr>
                <w:rFonts w:cs="Arial"/>
                <w:sz w:val="22"/>
                <w:szCs w:val="22"/>
              </w:rPr>
              <w:t>Granting authorisation to access numbers via the IPND Scheme and regulations and monitoring and enforcing compliance with IPND requirements; regulating and managing numbering arrangements</w:t>
            </w:r>
          </w:p>
        </w:tc>
        <w:tc>
          <w:tcPr>
            <w:tcW w:w="1398" w:type="dxa"/>
            <w:shd w:val="clear" w:color="auto" w:fill="auto"/>
            <w:hideMark/>
          </w:tcPr>
          <w:p w14:paraId="32C8ED8F"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$1,222,222</w:t>
            </w:r>
          </w:p>
        </w:tc>
        <w:tc>
          <w:tcPr>
            <w:tcW w:w="1399" w:type="dxa"/>
            <w:shd w:val="clear" w:color="auto" w:fill="auto"/>
            <w:hideMark/>
          </w:tcPr>
          <w:p w14:paraId="614E5C4A"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$1,210,303</w:t>
            </w:r>
          </w:p>
        </w:tc>
        <w:tc>
          <w:tcPr>
            <w:tcW w:w="1399" w:type="dxa"/>
            <w:shd w:val="clear" w:color="auto" w:fill="auto"/>
            <w:hideMark/>
          </w:tcPr>
          <w:p w14:paraId="16377ED1" w14:textId="77777777" w:rsidR="00E41A00" w:rsidRPr="00D37B23" w:rsidRDefault="00E41A00" w:rsidP="00D37B23">
            <w:pPr>
              <w:spacing w:after="0" w:line="280" w:lineRule="atLeast"/>
              <w:jc w:val="right"/>
              <w:rPr>
                <w:rFonts w:cs="Arial"/>
                <w:sz w:val="22"/>
                <w:szCs w:val="22"/>
              </w:rPr>
            </w:pPr>
            <w:r w:rsidRPr="00D37B23">
              <w:rPr>
                <w:rFonts w:cs="Arial"/>
                <w:color w:val="000000"/>
                <w:sz w:val="22"/>
                <w:szCs w:val="22"/>
              </w:rPr>
              <w:t>$11,919</w:t>
            </w:r>
          </w:p>
        </w:tc>
      </w:tr>
      <w:tr w:rsidR="00E41A00" w:rsidRPr="00D37B23" w14:paraId="1A06F1B1" w14:textId="77777777" w:rsidTr="006E2755">
        <w:trPr>
          <w:trHeight w:val="81"/>
        </w:trPr>
        <w:tc>
          <w:tcPr>
            <w:tcW w:w="667" w:type="dxa"/>
            <w:shd w:val="clear" w:color="auto" w:fill="auto"/>
            <w:noWrap/>
            <w:hideMark/>
          </w:tcPr>
          <w:p w14:paraId="70EE2360"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R2</w:t>
            </w:r>
          </w:p>
        </w:tc>
        <w:tc>
          <w:tcPr>
            <w:tcW w:w="4069" w:type="dxa"/>
            <w:shd w:val="clear" w:color="auto" w:fill="auto"/>
            <w:hideMark/>
          </w:tcPr>
          <w:p w14:paraId="7AD01F78" w14:textId="77777777" w:rsidR="00E41A00" w:rsidRPr="00D37B23" w:rsidRDefault="00E41A00" w:rsidP="00D37B23">
            <w:pPr>
              <w:spacing w:after="0" w:line="280" w:lineRule="atLeast"/>
              <w:rPr>
                <w:rFonts w:cs="Arial"/>
                <w:color w:val="000000"/>
                <w:sz w:val="22"/>
                <w:szCs w:val="22"/>
              </w:rPr>
            </w:pPr>
            <w:r w:rsidRPr="00D37B23">
              <w:rPr>
                <w:rFonts w:cs="Arial"/>
                <w:sz w:val="22"/>
                <w:szCs w:val="22"/>
              </w:rPr>
              <w:t>Educating the telecommunications industry and consumers on safeguards, including ongoing consulting with stakeholders</w:t>
            </w:r>
          </w:p>
        </w:tc>
        <w:tc>
          <w:tcPr>
            <w:tcW w:w="1398" w:type="dxa"/>
            <w:shd w:val="clear" w:color="auto" w:fill="auto"/>
            <w:hideMark/>
          </w:tcPr>
          <w:p w14:paraId="1D5439B4"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$162,730</w:t>
            </w:r>
          </w:p>
        </w:tc>
        <w:tc>
          <w:tcPr>
            <w:tcW w:w="1399" w:type="dxa"/>
            <w:shd w:val="clear" w:color="auto" w:fill="auto"/>
            <w:hideMark/>
          </w:tcPr>
          <w:p w14:paraId="433672A7"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$125,808</w:t>
            </w:r>
          </w:p>
        </w:tc>
        <w:tc>
          <w:tcPr>
            <w:tcW w:w="1399" w:type="dxa"/>
            <w:shd w:val="clear" w:color="auto" w:fill="auto"/>
            <w:hideMark/>
          </w:tcPr>
          <w:p w14:paraId="1AD9365B" w14:textId="77777777" w:rsidR="00E41A00" w:rsidRPr="00D37B23" w:rsidRDefault="00E41A00" w:rsidP="00D37B23">
            <w:pPr>
              <w:spacing w:after="0" w:line="280" w:lineRule="atLeast"/>
              <w:jc w:val="right"/>
              <w:rPr>
                <w:rFonts w:cs="Arial"/>
                <w:color w:val="FF0000"/>
                <w:sz w:val="22"/>
                <w:szCs w:val="22"/>
              </w:rPr>
            </w:pPr>
            <w:r w:rsidRPr="00D37B23">
              <w:rPr>
                <w:rFonts w:cs="Arial"/>
                <w:color w:val="000000"/>
                <w:sz w:val="22"/>
                <w:szCs w:val="22"/>
              </w:rPr>
              <w:t>$36,922</w:t>
            </w:r>
          </w:p>
        </w:tc>
      </w:tr>
      <w:tr w:rsidR="00E41A00" w:rsidRPr="00D37B23" w14:paraId="4F48B3C1" w14:textId="77777777" w:rsidTr="006E2755">
        <w:trPr>
          <w:trHeight w:val="332"/>
        </w:trPr>
        <w:tc>
          <w:tcPr>
            <w:tcW w:w="667" w:type="dxa"/>
            <w:shd w:val="clear" w:color="auto" w:fill="auto"/>
            <w:noWrap/>
            <w:hideMark/>
          </w:tcPr>
          <w:p w14:paraId="1772C25C"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R3</w:t>
            </w:r>
          </w:p>
        </w:tc>
        <w:tc>
          <w:tcPr>
            <w:tcW w:w="4069" w:type="dxa"/>
            <w:shd w:val="clear" w:color="auto" w:fill="auto"/>
            <w:hideMark/>
          </w:tcPr>
          <w:p w14:paraId="2896F999" w14:textId="77777777" w:rsidR="00E41A00" w:rsidRPr="00D37B23" w:rsidRDefault="00E41A00" w:rsidP="00D37B23">
            <w:pPr>
              <w:spacing w:after="0" w:line="280" w:lineRule="atLeast"/>
              <w:rPr>
                <w:rFonts w:cs="Arial"/>
                <w:color w:val="000000"/>
                <w:sz w:val="22"/>
                <w:szCs w:val="22"/>
              </w:rPr>
            </w:pPr>
            <w:r w:rsidRPr="00D37B23">
              <w:rPr>
                <w:rFonts w:cs="Arial"/>
                <w:sz w:val="22"/>
                <w:szCs w:val="22"/>
              </w:rPr>
              <w:t>Providing advice to industry and consumers about obligations and safeguards under the NBN consumer rules; reporting compliance activities to the public and relevant internal and external stakeholders</w:t>
            </w:r>
          </w:p>
        </w:tc>
        <w:tc>
          <w:tcPr>
            <w:tcW w:w="1398" w:type="dxa"/>
            <w:shd w:val="clear" w:color="auto" w:fill="auto"/>
            <w:hideMark/>
          </w:tcPr>
          <w:p w14:paraId="42F22292"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$231,491</w:t>
            </w:r>
          </w:p>
        </w:tc>
        <w:tc>
          <w:tcPr>
            <w:tcW w:w="1399" w:type="dxa"/>
            <w:shd w:val="clear" w:color="auto" w:fill="auto"/>
            <w:hideMark/>
          </w:tcPr>
          <w:p w14:paraId="5E251986"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$133,343</w:t>
            </w:r>
          </w:p>
        </w:tc>
        <w:tc>
          <w:tcPr>
            <w:tcW w:w="1399" w:type="dxa"/>
            <w:shd w:val="clear" w:color="auto" w:fill="auto"/>
            <w:hideMark/>
          </w:tcPr>
          <w:p w14:paraId="50510564" w14:textId="77777777" w:rsidR="00E41A00" w:rsidRPr="00D37B23" w:rsidRDefault="00E41A00" w:rsidP="00D37B23">
            <w:pPr>
              <w:spacing w:after="0" w:line="280" w:lineRule="atLeast"/>
              <w:jc w:val="right"/>
              <w:rPr>
                <w:rFonts w:cs="Arial"/>
                <w:color w:val="FF0000"/>
                <w:sz w:val="22"/>
                <w:szCs w:val="22"/>
              </w:rPr>
            </w:pPr>
            <w:r w:rsidRPr="00D37B23">
              <w:rPr>
                <w:rFonts w:cs="Arial"/>
                <w:sz w:val="22"/>
                <w:szCs w:val="22"/>
              </w:rPr>
              <w:t>$98,147</w:t>
            </w:r>
          </w:p>
        </w:tc>
      </w:tr>
      <w:tr w:rsidR="00E41A00" w:rsidRPr="00D37B23" w14:paraId="54B3658B" w14:textId="77777777" w:rsidTr="006E2755">
        <w:trPr>
          <w:trHeight w:val="309"/>
        </w:trPr>
        <w:tc>
          <w:tcPr>
            <w:tcW w:w="667" w:type="dxa"/>
            <w:shd w:val="clear" w:color="auto" w:fill="auto"/>
            <w:noWrap/>
            <w:hideMark/>
          </w:tcPr>
          <w:p w14:paraId="3324D891"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R6</w:t>
            </w:r>
          </w:p>
        </w:tc>
        <w:tc>
          <w:tcPr>
            <w:tcW w:w="4069" w:type="dxa"/>
            <w:shd w:val="clear" w:color="auto" w:fill="auto"/>
            <w:hideMark/>
          </w:tcPr>
          <w:p w14:paraId="27950A45" w14:textId="77777777" w:rsidR="00E41A00" w:rsidRPr="00D37B23" w:rsidRDefault="00E41A00" w:rsidP="00D37B23">
            <w:pPr>
              <w:spacing w:after="0" w:line="280" w:lineRule="atLeast"/>
              <w:rPr>
                <w:rFonts w:cs="Arial"/>
                <w:color w:val="000000"/>
                <w:sz w:val="22"/>
                <w:szCs w:val="22"/>
              </w:rPr>
            </w:pPr>
            <w:r w:rsidRPr="00D37B23">
              <w:rPr>
                <w:rFonts w:cs="Arial"/>
                <w:sz w:val="22"/>
                <w:szCs w:val="22"/>
              </w:rPr>
              <w:t xml:space="preserve">Making submissions to consumer safeguards consultation processes; telecommunications consumer regulatory review/development, including development of proposals to improve the NBN consumer experience, review of industry codes, </w:t>
            </w:r>
            <w:proofErr w:type="gramStart"/>
            <w:r w:rsidRPr="00D37B23">
              <w:rPr>
                <w:rFonts w:cs="Arial"/>
                <w:sz w:val="22"/>
                <w:szCs w:val="22"/>
              </w:rPr>
              <w:t>standards</w:t>
            </w:r>
            <w:proofErr w:type="gramEnd"/>
            <w:r w:rsidRPr="00D37B23">
              <w:rPr>
                <w:rFonts w:cs="Arial"/>
                <w:sz w:val="22"/>
                <w:szCs w:val="22"/>
              </w:rPr>
              <w:t xml:space="preserve"> and determinations</w:t>
            </w:r>
          </w:p>
        </w:tc>
        <w:tc>
          <w:tcPr>
            <w:tcW w:w="1398" w:type="dxa"/>
            <w:shd w:val="clear" w:color="auto" w:fill="auto"/>
            <w:hideMark/>
          </w:tcPr>
          <w:p w14:paraId="1BB7B982"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$805,464</w:t>
            </w:r>
          </w:p>
        </w:tc>
        <w:tc>
          <w:tcPr>
            <w:tcW w:w="1399" w:type="dxa"/>
            <w:shd w:val="clear" w:color="auto" w:fill="auto"/>
            <w:hideMark/>
          </w:tcPr>
          <w:p w14:paraId="72546BCB"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$764,993</w:t>
            </w:r>
          </w:p>
        </w:tc>
        <w:tc>
          <w:tcPr>
            <w:tcW w:w="1399" w:type="dxa"/>
            <w:shd w:val="clear" w:color="auto" w:fill="auto"/>
            <w:hideMark/>
          </w:tcPr>
          <w:p w14:paraId="2BB83419" w14:textId="77777777" w:rsidR="00E41A00" w:rsidRPr="00D37B23" w:rsidRDefault="00E41A00" w:rsidP="00D37B23">
            <w:pPr>
              <w:spacing w:after="0" w:line="280" w:lineRule="atLeast"/>
              <w:jc w:val="right"/>
              <w:rPr>
                <w:rFonts w:cs="Arial"/>
                <w:color w:val="FF0000"/>
                <w:sz w:val="22"/>
                <w:szCs w:val="22"/>
              </w:rPr>
            </w:pPr>
            <w:r w:rsidRPr="00D37B23">
              <w:rPr>
                <w:rFonts w:cs="Arial"/>
                <w:sz w:val="22"/>
                <w:szCs w:val="22"/>
              </w:rPr>
              <w:t>$40,471</w:t>
            </w:r>
          </w:p>
        </w:tc>
      </w:tr>
      <w:tr w:rsidR="00E41A00" w:rsidRPr="00D37B23" w14:paraId="24411460" w14:textId="77777777" w:rsidTr="006E2755">
        <w:trPr>
          <w:trHeight w:val="3"/>
        </w:trPr>
        <w:tc>
          <w:tcPr>
            <w:tcW w:w="667" w:type="dxa"/>
            <w:shd w:val="clear" w:color="auto" w:fill="auto"/>
            <w:noWrap/>
            <w:hideMark/>
          </w:tcPr>
          <w:p w14:paraId="014B63C3"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R7</w:t>
            </w:r>
          </w:p>
        </w:tc>
        <w:tc>
          <w:tcPr>
            <w:tcW w:w="4069" w:type="dxa"/>
            <w:shd w:val="clear" w:color="auto" w:fill="auto"/>
            <w:hideMark/>
          </w:tcPr>
          <w:p w14:paraId="443ED049"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Managing telecommunications labelling notices and standards</w:t>
            </w:r>
          </w:p>
        </w:tc>
        <w:tc>
          <w:tcPr>
            <w:tcW w:w="1398" w:type="dxa"/>
            <w:shd w:val="clear" w:color="auto" w:fill="auto"/>
            <w:hideMark/>
          </w:tcPr>
          <w:p w14:paraId="38C94CF3"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$495,867</w:t>
            </w:r>
          </w:p>
        </w:tc>
        <w:tc>
          <w:tcPr>
            <w:tcW w:w="1399" w:type="dxa"/>
            <w:shd w:val="clear" w:color="auto" w:fill="auto"/>
            <w:hideMark/>
          </w:tcPr>
          <w:p w14:paraId="1D99CFB6"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$428,895</w:t>
            </w:r>
          </w:p>
        </w:tc>
        <w:tc>
          <w:tcPr>
            <w:tcW w:w="1399" w:type="dxa"/>
            <w:shd w:val="clear" w:color="auto" w:fill="auto"/>
            <w:hideMark/>
          </w:tcPr>
          <w:p w14:paraId="30C22CE5" w14:textId="77777777" w:rsidR="00E41A00" w:rsidRPr="00D37B23" w:rsidRDefault="00E41A00" w:rsidP="00D37B23">
            <w:pPr>
              <w:spacing w:after="0" w:line="280" w:lineRule="atLeast"/>
              <w:jc w:val="right"/>
              <w:rPr>
                <w:rFonts w:cs="Arial"/>
                <w:color w:val="FF0000"/>
                <w:sz w:val="22"/>
                <w:szCs w:val="22"/>
              </w:rPr>
            </w:pPr>
            <w:r w:rsidRPr="00D37B23">
              <w:rPr>
                <w:rFonts w:cs="Arial"/>
                <w:sz w:val="22"/>
                <w:szCs w:val="22"/>
              </w:rPr>
              <w:t>$66,972</w:t>
            </w:r>
          </w:p>
        </w:tc>
      </w:tr>
      <w:tr w:rsidR="00E41A00" w:rsidRPr="00D37B23" w14:paraId="0425DB76" w14:textId="77777777" w:rsidTr="006E2755">
        <w:trPr>
          <w:trHeight w:val="250"/>
        </w:trPr>
        <w:tc>
          <w:tcPr>
            <w:tcW w:w="667" w:type="dxa"/>
            <w:shd w:val="clear" w:color="auto" w:fill="auto"/>
            <w:noWrap/>
            <w:hideMark/>
          </w:tcPr>
          <w:p w14:paraId="6FB76FC7"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R9</w:t>
            </w:r>
          </w:p>
        </w:tc>
        <w:tc>
          <w:tcPr>
            <w:tcW w:w="4069" w:type="dxa"/>
            <w:shd w:val="clear" w:color="auto" w:fill="auto"/>
            <w:hideMark/>
          </w:tcPr>
          <w:p w14:paraId="6B481B61"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Registering telecommunications operational codes</w:t>
            </w:r>
          </w:p>
        </w:tc>
        <w:tc>
          <w:tcPr>
            <w:tcW w:w="1398" w:type="dxa"/>
            <w:shd w:val="clear" w:color="auto" w:fill="auto"/>
            <w:hideMark/>
          </w:tcPr>
          <w:p w14:paraId="484F3C44"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$25,892</w:t>
            </w:r>
          </w:p>
        </w:tc>
        <w:tc>
          <w:tcPr>
            <w:tcW w:w="1399" w:type="dxa"/>
            <w:shd w:val="clear" w:color="auto" w:fill="auto"/>
            <w:hideMark/>
          </w:tcPr>
          <w:p w14:paraId="22C7E96D"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$0</w:t>
            </w:r>
          </w:p>
        </w:tc>
        <w:tc>
          <w:tcPr>
            <w:tcW w:w="1399" w:type="dxa"/>
            <w:shd w:val="clear" w:color="auto" w:fill="auto"/>
            <w:hideMark/>
          </w:tcPr>
          <w:p w14:paraId="6A52C393" w14:textId="77777777" w:rsidR="00E41A00" w:rsidRPr="00D37B23" w:rsidRDefault="00E41A00" w:rsidP="00D37B23">
            <w:pPr>
              <w:spacing w:after="0" w:line="280" w:lineRule="atLeast"/>
              <w:jc w:val="right"/>
              <w:rPr>
                <w:rFonts w:cs="Arial"/>
                <w:color w:val="FF0000"/>
                <w:sz w:val="22"/>
                <w:szCs w:val="22"/>
              </w:rPr>
            </w:pPr>
            <w:r w:rsidRPr="00D37B23">
              <w:rPr>
                <w:rFonts w:cs="Arial"/>
                <w:sz w:val="22"/>
                <w:szCs w:val="22"/>
              </w:rPr>
              <w:t>$25,892</w:t>
            </w:r>
          </w:p>
        </w:tc>
      </w:tr>
      <w:tr w:rsidR="00E41A00" w:rsidRPr="00D37B23" w14:paraId="51832EE5" w14:textId="77777777" w:rsidTr="006E2755">
        <w:trPr>
          <w:trHeight w:val="330"/>
        </w:trPr>
        <w:tc>
          <w:tcPr>
            <w:tcW w:w="667" w:type="dxa"/>
            <w:shd w:val="clear" w:color="auto" w:fill="auto"/>
            <w:noWrap/>
            <w:hideMark/>
          </w:tcPr>
          <w:p w14:paraId="3B60F76A"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lastRenderedPageBreak/>
              <w:t>R10</w:t>
            </w:r>
          </w:p>
        </w:tc>
        <w:tc>
          <w:tcPr>
            <w:tcW w:w="4069" w:type="dxa"/>
            <w:shd w:val="clear" w:color="auto" w:fill="auto"/>
            <w:hideMark/>
          </w:tcPr>
          <w:p w14:paraId="1200642B"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Researching market developments and telecommunications consumer experience (excluding NBN)</w:t>
            </w:r>
          </w:p>
        </w:tc>
        <w:tc>
          <w:tcPr>
            <w:tcW w:w="1398" w:type="dxa"/>
            <w:shd w:val="clear" w:color="auto" w:fill="auto"/>
            <w:hideMark/>
          </w:tcPr>
          <w:p w14:paraId="340F841D"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$701,911</w:t>
            </w:r>
          </w:p>
        </w:tc>
        <w:tc>
          <w:tcPr>
            <w:tcW w:w="1399" w:type="dxa"/>
            <w:shd w:val="clear" w:color="auto" w:fill="auto"/>
            <w:hideMark/>
          </w:tcPr>
          <w:p w14:paraId="524C12BE"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$123,099</w:t>
            </w:r>
          </w:p>
        </w:tc>
        <w:tc>
          <w:tcPr>
            <w:tcW w:w="1399" w:type="dxa"/>
            <w:shd w:val="clear" w:color="auto" w:fill="auto"/>
            <w:hideMark/>
          </w:tcPr>
          <w:p w14:paraId="4B77E46E" w14:textId="77777777" w:rsidR="00E41A00" w:rsidRPr="00D37B23" w:rsidRDefault="00E41A00" w:rsidP="00D37B23">
            <w:pPr>
              <w:spacing w:after="0" w:line="280" w:lineRule="atLeast"/>
              <w:jc w:val="right"/>
              <w:rPr>
                <w:rFonts w:cs="Arial"/>
                <w:sz w:val="22"/>
                <w:szCs w:val="22"/>
              </w:rPr>
            </w:pPr>
            <w:r w:rsidRPr="00D37B23">
              <w:rPr>
                <w:rFonts w:cs="Arial"/>
                <w:sz w:val="22"/>
                <w:szCs w:val="22"/>
              </w:rPr>
              <w:t>$578,812</w:t>
            </w:r>
          </w:p>
        </w:tc>
      </w:tr>
      <w:tr w:rsidR="00E41A00" w:rsidRPr="00D37B23" w14:paraId="789CB7C4" w14:textId="77777777" w:rsidTr="006E2755">
        <w:trPr>
          <w:trHeight w:val="446"/>
        </w:trPr>
        <w:tc>
          <w:tcPr>
            <w:tcW w:w="667" w:type="dxa"/>
            <w:shd w:val="clear" w:color="auto" w:fill="auto"/>
            <w:noWrap/>
            <w:hideMark/>
          </w:tcPr>
          <w:p w14:paraId="30AAE65A"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R12</w:t>
            </w:r>
          </w:p>
        </w:tc>
        <w:tc>
          <w:tcPr>
            <w:tcW w:w="4069" w:type="dxa"/>
            <w:shd w:val="clear" w:color="auto" w:fill="auto"/>
            <w:hideMark/>
          </w:tcPr>
          <w:p w14:paraId="2753D866"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 xml:space="preserve">Reviewing, </w:t>
            </w:r>
            <w:proofErr w:type="gramStart"/>
            <w:r w:rsidRPr="00D37B23">
              <w:rPr>
                <w:rFonts w:cs="Arial"/>
                <w:color w:val="000000"/>
                <w:sz w:val="22"/>
                <w:szCs w:val="22"/>
              </w:rPr>
              <w:t>making</w:t>
            </w:r>
            <w:proofErr w:type="gramEnd"/>
            <w:r w:rsidRPr="00D37B23">
              <w:rPr>
                <w:rFonts w:cs="Arial"/>
                <w:color w:val="000000"/>
                <w:sz w:val="22"/>
                <w:szCs w:val="22"/>
              </w:rPr>
              <w:t xml:space="preserve"> and registering of codes and determinations </w:t>
            </w:r>
          </w:p>
        </w:tc>
        <w:tc>
          <w:tcPr>
            <w:tcW w:w="1398" w:type="dxa"/>
            <w:shd w:val="clear" w:color="auto" w:fill="auto"/>
            <w:hideMark/>
          </w:tcPr>
          <w:p w14:paraId="56A18264"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$271,808</w:t>
            </w:r>
          </w:p>
        </w:tc>
        <w:tc>
          <w:tcPr>
            <w:tcW w:w="1399" w:type="dxa"/>
            <w:shd w:val="clear" w:color="auto" w:fill="auto"/>
            <w:hideMark/>
          </w:tcPr>
          <w:p w14:paraId="0D141F28"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$408,315</w:t>
            </w:r>
          </w:p>
        </w:tc>
        <w:tc>
          <w:tcPr>
            <w:tcW w:w="1399" w:type="dxa"/>
            <w:shd w:val="clear" w:color="auto" w:fill="auto"/>
            <w:hideMark/>
          </w:tcPr>
          <w:p w14:paraId="57FBF96D" w14:textId="77777777" w:rsidR="00E41A00" w:rsidRPr="00D37B23" w:rsidRDefault="00E41A00" w:rsidP="00D37B23">
            <w:pPr>
              <w:spacing w:after="0" w:line="280" w:lineRule="atLeast"/>
              <w:jc w:val="right"/>
              <w:rPr>
                <w:rFonts w:cs="Arial"/>
                <w:sz w:val="22"/>
                <w:szCs w:val="22"/>
              </w:rPr>
            </w:pPr>
            <w:r w:rsidRPr="00D37B23">
              <w:rPr>
                <w:rFonts w:cs="Arial"/>
                <w:color w:val="FF0000"/>
                <w:sz w:val="22"/>
                <w:szCs w:val="22"/>
              </w:rPr>
              <w:t>($136,507)</w:t>
            </w:r>
          </w:p>
        </w:tc>
      </w:tr>
      <w:tr w:rsidR="00E41A00" w:rsidRPr="00D37B23" w14:paraId="71D3BF08" w14:textId="77777777" w:rsidTr="006E2755">
        <w:trPr>
          <w:trHeight w:val="134"/>
        </w:trPr>
        <w:tc>
          <w:tcPr>
            <w:tcW w:w="667" w:type="dxa"/>
            <w:shd w:val="clear" w:color="000000" w:fill="D0CECE"/>
            <w:noWrap/>
            <w:hideMark/>
          </w:tcPr>
          <w:p w14:paraId="2F42CCFF" w14:textId="77777777" w:rsidR="00E41A00" w:rsidRPr="00D37B23" w:rsidRDefault="00E41A00" w:rsidP="00D37B23">
            <w:pPr>
              <w:spacing w:afterLines="90" w:after="216" w:line="280" w:lineRule="atLeast"/>
              <w:contextualSpacing/>
              <w:rPr>
                <w:rFonts w:cs="Arial"/>
                <w:color w:val="000000"/>
                <w:sz w:val="22"/>
                <w:szCs w:val="22"/>
              </w:rPr>
            </w:pPr>
            <w:r w:rsidRPr="00D37B23">
              <w:rPr>
                <w:rFonts w:cs="Arial"/>
                <w:color w:val="000000"/>
                <w:sz w:val="22"/>
                <w:szCs w:val="22"/>
              </w:rPr>
              <w:t> </w:t>
            </w:r>
          </w:p>
        </w:tc>
        <w:tc>
          <w:tcPr>
            <w:tcW w:w="4069" w:type="dxa"/>
            <w:shd w:val="clear" w:color="000000" w:fill="D9D9D9"/>
            <w:hideMark/>
          </w:tcPr>
          <w:p w14:paraId="30BF109B" w14:textId="77777777" w:rsidR="00E41A00" w:rsidRPr="00D37B23" w:rsidRDefault="00E41A00" w:rsidP="00D37B23">
            <w:pPr>
              <w:spacing w:afterLines="90" w:after="216" w:line="280" w:lineRule="atLeast"/>
              <w:contextualSpacing/>
              <w:rPr>
                <w:rFonts w:cs="Arial"/>
                <w:b/>
                <w:bCs/>
                <w:color w:val="000000"/>
                <w:sz w:val="22"/>
                <w:szCs w:val="22"/>
              </w:rPr>
            </w:pPr>
            <w:r w:rsidRPr="00D37B23">
              <w:rPr>
                <w:rFonts w:cs="Arial"/>
                <w:b/>
                <w:bCs/>
                <w:color w:val="000000"/>
                <w:sz w:val="22"/>
                <w:szCs w:val="22"/>
              </w:rPr>
              <w:t> Total costs</w:t>
            </w:r>
          </w:p>
        </w:tc>
        <w:tc>
          <w:tcPr>
            <w:tcW w:w="1398" w:type="dxa"/>
            <w:shd w:val="clear" w:color="000000" w:fill="D9D9D9"/>
            <w:hideMark/>
          </w:tcPr>
          <w:p w14:paraId="2CECC61A" w14:textId="77777777" w:rsidR="00E41A00" w:rsidRPr="00D37B23" w:rsidRDefault="00E41A00" w:rsidP="00D37B23">
            <w:pPr>
              <w:spacing w:afterLines="90" w:after="216" w:line="280" w:lineRule="atLeast"/>
              <w:contextualSpacing/>
              <w:jc w:val="right"/>
              <w:rPr>
                <w:rFonts w:cs="Arial"/>
                <w:b/>
                <w:color w:val="000000"/>
                <w:sz w:val="22"/>
                <w:szCs w:val="22"/>
              </w:rPr>
            </w:pPr>
            <w:r w:rsidRPr="00D37B23">
              <w:rPr>
                <w:rFonts w:cs="Arial"/>
                <w:b/>
                <w:color w:val="000000"/>
                <w:sz w:val="22"/>
                <w:szCs w:val="22"/>
              </w:rPr>
              <w:t>$3,917,385</w:t>
            </w:r>
          </w:p>
        </w:tc>
        <w:tc>
          <w:tcPr>
            <w:tcW w:w="1399" w:type="dxa"/>
            <w:shd w:val="clear" w:color="000000" w:fill="D9D9D9"/>
            <w:hideMark/>
          </w:tcPr>
          <w:p w14:paraId="1278AB57" w14:textId="77777777" w:rsidR="00E41A00" w:rsidRPr="00D37B23" w:rsidRDefault="00E41A00" w:rsidP="00D37B23">
            <w:pPr>
              <w:spacing w:afterLines="90" w:after="216" w:line="280" w:lineRule="atLeast"/>
              <w:contextualSpacing/>
              <w:jc w:val="right"/>
              <w:rPr>
                <w:rFonts w:cs="Arial"/>
                <w:b/>
                <w:color w:val="000000"/>
                <w:sz w:val="22"/>
                <w:szCs w:val="22"/>
              </w:rPr>
            </w:pPr>
            <w:r w:rsidRPr="00D37B23">
              <w:rPr>
                <w:rFonts w:cs="Arial"/>
                <w:b/>
                <w:color w:val="000000"/>
                <w:sz w:val="22"/>
                <w:szCs w:val="22"/>
              </w:rPr>
              <w:t>$3,194,756</w:t>
            </w:r>
          </w:p>
        </w:tc>
        <w:tc>
          <w:tcPr>
            <w:tcW w:w="1399" w:type="dxa"/>
            <w:shd w:val="clear" w:color="000000" w:fill="D9D9D9"/>
            <w:hideMark/>
          </w:tcPr>
          <w:p w14:paraId="3A51DE8E" w14:textId="77777777" w:rsidR="00E41A00" w:rsidRPr="00D37B23" w:rsidRDefault="00E41A00" w:rsidP="00D37B23">
            <w:pPr>
              <w:spacing w:afterLines="90" w:after="216" w:line="280" w:lineRule="atLeast"/>
              <w:contextualSpacing/>
              <w:jc w:val="right"/>
              <w:rPr>
                <w:rFonts w:cs="Arial"/>
                <w:b/>
                <w:color w:val="000000"/>
                <w:sz w:val="22"/>
                <w:szCs w:val="22"/>
              </w:rPr>
            </w:pPr>
            <w:r w:rsidRPr="00D37B23">
              <w:rPr>
                <w:rFonts w:cs="Arial"/>
                <w:b/>
                <w:sz w:val="22"/>
                <w:szCs w:val="22"/>
              </w:rPr>
              <w:t>$722,629</w:t>
            </w:r>
          </w:p>
        </w:tc>
      </w:tr>
    </w:tbl>
    <w:p w14:paraId="635480C1" w14:textId="77777777" w:rsidR="00E41A00" w:rsidRPr="001C6738" w:rsidRDefault="00E41A00" w:rsidP="00E41A00">
      <w:pPr>
        <w:pStyle w:val="Tableorfigurenote"/>
        <w:spacing w:afterLines="90" w:after="216"/>
        <w:contextualSpacing/>
      </w:pPr>
      <w:bookmarkStart w:id="102" w:name="_Hlk87261202"/>
      <w:r w:rsidRPr="001C6738">
        <w:t>Note: Sums may not add due to rounding</w:t>
      </w:r>
      <w:r>
        <w:t>.</w:t>
      </w:r>
    </w:p>
    <w:p w14:paraId="3BDC46DA" w14:textId="77777777" w:rsidR="00E41A00" w:rsidRPr="00AE6A60" w:rsidRDefault="00E41A00" w:rsidP="00D37B23">
      <w:pPr>
        <w:pStyle w:val="Heading4"/>
      </w:pPr>
      <w:r w:rsidRPr="00AE6A60">
        <w:t>Industry monitoring and NBN</w:t>
      </w:r>
    </w:p>
    <w:bookmarkEnd w:id="102"/>
    <w:p w14:paraId="0C96F1C4" w14:textId="77777777" w:rsidR="00E41A00" w:rsidRDefault="00E41A00" w:rsidP="00D37B23">
      <w:pPr>
        <w:pStyle w:val="Paragraphbeforelist"/>
      </w:pPr>
      <w:r w:rsidRPr="00AE6A60">
        <w:t xml:space="preserve">This output </w:t>
      </w:r>
      <w:r w:rsidRPr="00D37B23">
        <w:t>includes</w:t>
      </w:r>
      <w:r>
        <w:t>:</w:t>
      </w:r>
      <w:r w:rsidRPr="00AE6A60">
        <w:t xml:space="preserve"> </w:t>
      </w:r>
    </w:p>
    <w:p w14:paraId="15C59425" w14:textId="77777777" w:rsidR="00E41A00" w:rsidRPr="00D37B23" w:rsidRDefault="00E41A00" w:rsidP="00D37B23">
      <w:pPr>
        <w:pStyle w:val="Bulletlevel1"/>
      </w:pPr>
      <w:r w:rsidRPr="00AE6A60">
        <w:t xml:space="preserve">monitoring and reporting on the service performance and compliance of </w:t>
      </w:r>
      <w:r w:rsidRPr="00D37B23">
        <w:t>telecommunications organisations with regulatory obligations</w:t>
      </w:r>
    </w:p>
    <w:p w14:paraId="57D0FBCC" w14:textId="77777777" w:rsidR="00E41A00" w:rsidRDefault="00E41A00" w:rsidP="00D37B23">
      <w:pPr>
        <w:pStyle w:val="Bulletlevel1"/>
      </w:pPr>
      <w:r w:rsidRPr="00D37B23">
        <w:t>monitoring consumer</w:t>
      </w:r>
      <w:r w:rsidRPr="00AE6A60">
        <w:t xml:space="preserve"> safeguards that establish minimum performance standards</w:t>
      </w:r>
    </w:p>
    <w:p w14:paraId="0758AF55" w14:textId="77777777" w:rsidR="00E41A00" w:rsidRDefault="00E41A00" w:rsidP="00D37B23">
      <w:pPr>
        <w:pStyle w:val="Bulletlevel1last"/>
      </w:pPr>
      <w:r w:rsidRPr="00AE6A60">
        <w:t xml:space="preserve">monitoring the </w:t>
      </w:r>
      <w:r w:rsidRPr="00D37B23">
        <w:t>implementation</w:t>
      </w:r>
      <w:r w:rsidRPr="00AE6A60">
        <w:t xml:space="preserve"> of appropriate NBN standards and codes.</w:t>
      </w:r>
    </w:p>
    <w:p w14:paraId="704B0AC5" w14:textId="4BF19388" w:rsidR="00E41A00" w:rsidRPr="00AE6A60" w:rsidRDefault="00E41A00" w:rsidP="00D37B23">
      <w:pPr>
        <w:pStyle w:val="Paragraph"/>
      </w:pPr>
      <w:bookmarkStart w:id="103" w:name="_Hlk8811496"/>
      <w:r w:rsidRPr="00AE6A60">
        <w:t xml:space="preserve">Table </w:t>
      </w:r>
      <w:r>
        <w:t>5</w:t>
      </w:r>
      <w:r w:rsidRPr="00AE6A60">
        <w:t xml:space="preserve"> provides </w:t>
      </w:r>
      <w:r w:rsidRPr="00D37B23">
        <w:t>details</w:t>
      </w:r>
      <w:r w:rsidRPr="00AE6A60">
        <w:t xml:space="preserve"> of the activities performed under this output</w:t>
      </w:r>
      <w:r>
        <w:t xml:space="preserve"> for the 2023</w:t>
      </w:r>
      <w:r w:rsidR="000677AE">
        <w:t>–</w:t>
      </w:r>
      <w:r>
        <w:t>24</w:t>
      </w:r>
      <w:r w:rsidRPr="00AE6A60">
        <w:t xml:space="preserve"> and </w:t>
      </w:r>
      <w:r>
        <w:t>2022</w:t>
      </w:r>
      <w:r w:rsidR="000677AE">
        <w:t>–</w:t>
      </w:r>
      <w:r>
        <w:t>23 ACLC</w:t>
      </w:r>
      <w:r w:rsidRPr="00AE6A60">
        <w:t>.</w:t>
      </w:r>
    </w:p>
    <w:p w14:paraId="09E91EEE" w14:textId="453D606F" w:rsidR="00E41A00" w:rsidRPr="00AE6A60" w:rsidRDefault="00E41A00" w:rsidP="00D37B23">
      <w:pPr>
        <w:pStyle w:val="Tableheading"/>
      </w:pPr>
      <w:r w:rsidRPr="00AE6A60">
        <w:t>Industry monitoring and NBN</w:t>
      </w:r>
      <w:r>
        <w:t xml:space="preserve"> – </w:t>
      </w:r>
      <w:r w:rsidRPr="00AE6A60">
        <w:t xml:space="preserve">activities and costs for </w:t>
      </w:r>
      <w:r>
        <w:t>2023</w:t>
      </w:r>
      <w:r w:rsidR="000677AE">
        <w:t>–</w:t>
      </w:r>
      <w:r>
        <w:t>24</w:t>
      </w:r>
      <w:r w:rsidRPr="00AE6A60">
        <w:t xml:space="preserve"> ACLC (based on </w:t>
      </w:r>
      <w:r>
        <w:t>2022</w:t>
      </w:r>
      <w:r w:rsidR="000677AE">
        <w:t>–</w:t>
      </w:r>
      <w:r>
        <w:t>23</w:t>
      </w:r>
      <w:r w:rsidRPr="00AE6A60">
        <w:t xml:space="preserve"> costs)</w:t>
      </w:r>
      <w:r>
        <w:t xml:space="preserve"> and 2022</w:t>
      </w:r>
      <w:r w:rsidR="000677AE">
        <w:t>–</w:t>
      </w:r>
      <w:r>
        <w:t>23 ACLC (based on 2021</w:t>
      </w:r>
      <w:r w:rsidR="000677AE">
        <w:t>–</w:t>
      </w:r>
      <w:r>
        <w:t>22 costs)</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113" w:type="dxa"/>
          <w:right w:w="57" w:type="dxa"/>
        </w:tblCellMar>
        <w:tblLook w:val="04A0" w:firstRow="1" w:lastRow="0" w:firstColumn="1" w:lastColumn="0" w:noHBand="0" w:noVBand="1"/>
      </w:tblPr>
      <w:tblGrid>
        <w:gridCol w:w="699"/>
        <w:gridCol w:w="4111"/>
        <w:gridCol w:w="1417"/>
        <w:gridCol w:w="1384"/>
        <w:gridCol w:w="1310"/>
      </w:tblGrid>
      <w:tr w:rsidR="00E41A00" w:rsidRPr="00D37B23" w14:paraId="345D150E" w14:textId="77777777" w:rsidTr="006E2755">
        <w:trPr>
          <w:trHeight w:val="313"/>
        </w:trPr>
        <w:tc>
          <w:tcPr>
            <w:tcW w:w="699" w:type="dxa"/>
            <w:shd w:val="clear" w:color="000000" w:fill="404040"/>
            <w:hideMark/>
          </w:tcPr>
          <w:bookmarkEnd w:id="103"/>
          <w:p w14:paraId="4F545193" w14:textId="77777777" w:rsidR="00E41A00" w:rsidRPr="00D37B23" w:rsidRDefault="00E41A00" w:rsidP="00D37B23">
            <w:pPr>
              <w:spacing w:after="0" w:line="280" w:lineRule="atLeast"/>
              <w:rPr>
                <w:rFonts w:cs="Arial"/>
                <w:b/>
                <w:bCs/>
                <w:color w:val="FFFFFF"/>
                <w:sz w:val="22"/>
                <w:szCs w:val="22"/>
              </w:rPr>
            </w:pPr>
            <w:r w:rsidRPr="00D37B23">
              <w:rPr>
                <w:rFonts w:cs="Arial"/>
                <w:b/>
                <w:bCs/>
                <w:color w:val="FFFFFF"/>
                <w:sz w:val="22"/>
                <w:szCs w:val="22"/>
              </w:rPr>
              <w:t>Ref</w:t>
            </w:r>
          </w:p>
        </w:tc>
        <w:tc>
          <w:tcPr>
            <w:tcW w:w="4111" w:type="dxa"/>
            <w:shd w:val="clear" w:color="000000" w:fill="404040"/>
            <w:hideMark/>
          </w:tcPr>
          <w:p w14:paraId="70CA4852" w14:textId="77777777" w:rsidR="00E41A00" w:rsidRPr="00D37B23" w:rsidRDefault="00E41A00" w:rsidP="00D37B23">
            <w:pPr>
              <w:spacing w:after="0" w:line="280" w:lineRule="atLeast"/>
              <w:rPr>
                <w:rFonts w:cs="Arial"/>
                <w:b/>
                <w:bCs/>
                <w:color w:val="FFFFFF"/>
                <w:sz w:val="22"/>
                <w:szCs w:val="22"/>
              </w:rPr>
            </w:pPr>
            <w:r w:rsidRPr="00D37B23">
              <w:rPr>
                <w:rFonts w:cs="Arial"/>
                <w:b/>
                <w:bCs/>
                <w:color w:val="FFFFFF"/>
                <w:sz w:val="22"/>
                <w:szCs w:val="22"/>
              </w:rPr>
              <w:t>Activity description</w:t>
            </w:r>
          </w:p>
        </w:tc>
        <w:tc>
          <w:tcPr>
            <w:tcW w:w="1417" w:type="dxa"/>
            <w:shd w:val="clear" w:color="000000" w:fill="404040"/>
            <w:hideMark/>
          </w:tcPr>
          <w:p w14:paraId="1B455C6A" w14:textId="6C0EF808" w:rsidR="00E41A00" w:rsidRPr="00D37B23" w:rsidRDefault="00E41A00" w:rsidP="00D37B23">
            <w:pPr>
              <w:spacing w:after="0" w:line="280" w:lineRule="atLeast"/>
              <w:jc w:val="right"/>
              <w:rPr>
                <w:rFonts w:cs="Arial"/>
                <w:b/>
                <w:bCs/>
                <w:color w:val="FFFFFF"/>
                <w:sz w:val="22"/>
                <w:szCs w:val="22"/>
              </w:rPr>
            </w:pPr>
            <w:r w:rsidRPr="00D37B23">
              <w:rPr>
                <w:rFonts w:cs="Arial"/>
                <w:b/>
                <w:bCs/>
                <w:color w:val="FFFFFF"/>
                <w:sz w:val="22"/>
                <w:szCs w:val="22"/>
              </w:rPr>
              <w:t>2022</w:t>
            </w:r>
            <w:r w:rsidR="000677AE" w:rsidRPr="00836552">
              <w:rPr>
                <w:b/>
                <w:bCs/>
                <w:color w:val="FFFFFF" w:themeColor="background1"/>
              </w:rPr>
              <w:t>–</w:t>
            </w:r>
            <w:r w:rsidRPr="00D37B23">
              <w:rPr>
                <w:rFonts w:cs="Arial"/>
                <w:b/>
                <w:bCs/>
                <w:color w:val="FFFFFF"/>
                <w:sz w:val="22"/>
                <w:szCs w:val="22"/>
              </w:rPr>
              <w:t xml:space="preserve">23 </w:t>
            </w:r>
            <w:r w:rsidRPr="00D37B23">
              <w:rPr>
                <w:rFonts w:cs="Arial"/>
                <w:b/>
                <w:bCs/>
                <w:color w:val="FFFFFF"/>
                <w:sz w:val="22"/>
                <w:szCs w:val="22"/>
              </w:rPr>
              <w:br/>
              <w:t>cost</w:t>
            </w:r>
          </w:p>
        </w:tc>
        <w:tc>
          <w:tcPr>
            <w:tcW w:w="1384" w:type="dxa"/>
            <w:shd w:val="clear" w:color="000000" w:fill="404040"/>
            <w:hideMark/>
          </w:tcPr>
          <w:p w14:paraId="4EF71444" w14:textId="154E3A7A" w:rsidR="00E41A00" w:rsidRPr="00D37B23" w:rsidRDefault="00E41A00" w:rsidP="00D37B23">
            <w:pPr>
              <w:spacing w:after="0" w:line="280" w:lineRule="atLeast"/>
              <w:jc w:val="right"/>
              <w:rPr>
                <w:rFonts w:cs="Arial"/>
                <w:b/>
                <w:bCs/>
                <w:color w:val="FFFFFF"/>
                <w:sz w:val="22"/>
                <w:szCs w:val="22"/>
              </w:rPr>
            </w:pPr>
            <w:r w:rsidRPr="00D37B23">
              <w:rPr>
                <w:rFonts w:cs="Arial"/>
                <w:b/>
                <w:bCs/>
                <w:color w:val="FFFFFF"/>
                <w:sz w:val="22"/>
                <w:szCs w:val="22"/>
              </w:rPr>
              <w:t>2021</w:t>
            </w:r>
            <w:r w:rsidR="000677AE" w:rsidRPr="00836552">
              <w:rPr>
                <w:b/>
                <w:bCs/>
                <w:color w:val="FFFFFF" w:themeColor="background1"/>
              </w:rPr>
              <w:t>–</w:t>
            </w:r>
            <w:r w:rsidRPr="00D37B23">
              <w:rPr>
                <w:rFonts w:cs="Arial"/>
                <w:b/>
                <w:bCs/>
                <w:color w:val="FFFFFF"/>
                <w:sz w:val="22"/>
                <w:szCs w:val="22"/>
              </w:rPr>
              <w:t xml:space="preserve">22 </w:t>
            </w:r>
            <w:r w:rsidRPr="00D37B23">
              <w:rPr>
                <w:rFonts w:cs="Arial"/>
                <w:b/>
                <w:bCs/>
                <w:color w:val="FFFFFF"/>
                <w:sz w:val="22"/>
                <w:szCs w:val="22"/>
              </w:rPr>
              <w:br/>
              <w:t>cost</w:t>
            </w:r>
          </w:p>
        </w:tc>
        <w:tc>
          <w:tcPr>
            <w:tcW w:w="1310" w:type="dxa"/>
            <w:shd w:val="clear" w:color="000000" w:fill="404040"/>
            <w:hideMark/>
          </w:tcPr>
          <w:p w14:paraId="77D152A9" w14:textId="77777777" w:rsidR="00E41A00" w:rsidRPr="00D37B23" w:rsidRDefault="00E41A00" w:rsidP="00D37B23">
            <w:pPr>
              <w:spacing w:after="0" w:line="280" w:lineRule="atLeast"/>
              <w:jc w:val="right"/>
              <w:rPr>
                <w:rFonts w:cs="Arial"/>
                <w:b/>
                <w:bCs/>
                <w:color w:val="FFFFFF"/>
                <w:sz w:val="22"/>
                <w:szCs w:val="22"/>
              </w:rPr>
            </w:pPr>
            <w:r w:rsidRPr="00D37B23">
              <w:rPr>
                <w:rFonts w:cs="Arial"/>
                <w:b/>
                <w:bCs/>
                <w:color w:val="FFFFFF"/>
                <w:sz w:val="22"/>
                <w:szCs w:val="22"/>
              </w:rPr>
              <w:t xml:space="preserve">Variance </w:t>
            </w:r>
            <w:r w:rsidRPr="00D37B23">
              <w:rPr>
                <w:rFonts w:cs="Arial"/>
                <w:b/>
                <w:bCs/>
                <w:color w:val="FFFFFF"/>
                <w:sz w:val="22"/>
                <w:szCs w:val="22"/>
              </w:rPr>
              <w:br/>
              <w:t>increase/</w:t>
            </w:r>
            <w:r w:rsidRPr="00D37B23">
              <w:rPr>
                <w:rFonts w:cs="Arial"/>
                <w:b/>
                <w:bCs/>
                <w:color w:val="FFFFFF"/>
                <w:sz w:val="22"/>
                <w:szCs w:val="22"/>
              </w:rPr>
              <w:br/>
              <w:t>(decrease)</w:t>
            </w:r>
          </w:p>
        </w:tc>
      </w:tr>
      <w:tr w:rsidR="00E41A00" w:rsidRPr="00D37B23" w14:paraId="369CED7C" w14:textId="77777777" w:rsidTr="006E2755">
        <w:trPr>
          <w:trHeight w:val="1132"/>
        </w:trPr>
        <w:tc>
          <w:tcPr>
            <w:tcW w:w="699" w:type="dxa"/>
            <w:shd w:val="clear" w:color="auto" w:fill="auto"/>
            <w:noWrap/>
            <w:hideMark/>
          </w:tcPr>
          <w:p w14:paraId="71FD9712"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M1</w:t>
            </w:r>
          </w:p>
        </w:tc>
        <w:tc>
          <w:tcPr>
            <w:tcW w:w="4111" w:type="dxa"/>
            <w:shd w:val="clear" w:color="auto" w:fill="auto"/>
            <w:hideMark/>
          </w:tcPr>
          <w:p w14:paraId="28997757" w14:textId="77777777" w:rsidR="00E41A00" w:rsidRPr="00D37B23" w:rsidRDefault="00E41A00" w:rsidP="00D37B23">
            <w:pPr>
              <w:spacing w:after="0" w:line="280" w:lineRule="atLeast"/>
              <w:rPr>
                <w:sz w:val="22"/>
                <w:szCs w:val="22"/>
              </w:rPr>
            </w:pPr>
            <w:r w:rsidRPr="00D37B23">
              <w:rPr>
                <w:sz w:val="22"/>
                <w:szCs w:val="22"/>
              </w:rPr>
              <w:t>Telecommunications consumer engagement, including providing secretariat function to the Consumer Consultative Forum; consulting with stakeholders; conducting industry and consumer research on telecommunications consumer safeguards</w:t>
            </w:r>
          </w:p>
        </w:tc>
        <w:tc>
          <w:tcPr>
            <w:tcW w:w="1417" w:type="dxa"/>
            <w:shd w:val="clear" w:color="auto" w:fill="auto"/>
            <w:hideMark/>
          </w:tcPr>
          <w:p w14:paraId="22840A5E"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$1,038,545</w:t>
            </w:r>
          </w:p>
        </w:tc>
        <w:tc>
          <w:tcPr>
            <w:tcW w:w="1384" w:type="dxa"/>
            <w:shd w:val="clear" w:color="auto" w:fill="auto"/>
            <w:hideMark/>
          </w:tcPr>
          <w:p w14:paraId="3E8E6FBF"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$587,430</w:t>
            </w:r>
          </w:p>
        </w:tc>
        <w:tc>
          <w:tcPr>
            <w:tcW w:w="1310" w:type="dxa"/>
            <w:shd w:val="clear" w:color="auto" w:fill="auto"/>
            <w:hideMark/>
          </w:tcPr>
          <w:p w14:paraId="7961C3AE" w14:textId="77777777" w:rsidR="00E41A00" w:rsidRPr="00D37B23" w:rsidRDefault="00E41A00" w:rsidP="00D37B23">
            <w:pPr>
              <w:spacing w:after="0" w:line="280" w:lineRule="atLeast"/>
              <w:jc w:val="right"/>
              <w:rPr>
                <w:rFonts w:cs="Arial"/>
                <w:sz w:val="22"/>
                <w:szCs w:val="22"/>
              </w:rPr>
            </w:pPr>
            <w:r w:rsidRPr="00D37B23">
              <w:rPr>
                <w:rFonts w:cs="Arial"/>
                <w:color w:val="000000"/>
                <w:sz w:val="22"/>
                <w:szCs w:val="22"/>
              </w:rPr>
              <w:t>$451,114</w:t>
            </w:r>
          </w:p>
        </w:tc>
      </w:tr>
      <w:tr w:rsidR="00E41A00" w:rsidRPr="00D37B23" w14:paraId="7700D2ED" w14:textId="77777777" w:rsidTr="006E2755">
        <w:trPr>
          <w:trHeight w:val="112"/>
        </w:trPr>
        <w:tc>
          <w:tcPr>
            <w:tcW w:w="699" w:type="dxa"/>
            <w:shd w:val="clear" w:color="000000" w:fill="D9D9D9"/>
            <w:noWrap/>
            <w:hideMark/>
          </w:tcPr>
          <w:p w14:paraId="3D4F90E1" w14:textId="77777777" w:rsidR="00E41A00" w:rsidRPr="00D37B23" w:rsidRDefault="00E41A00" w:rsidP="00D37B23">
            <w:pPr>
              <w:spacing w:after="0" w:line="280" w:lineRule="atLeast"/>
              <w:rPr>
                <w:rFonts w:ascii="Calibri" w:hAnsi="Calibri" w:cs="Calibri"/>
                <w:color w:val="000000"/>
                <w:sz w:val="22"/>
                <w:szCs w:val="22"/>
              </w:rPr>
            </w:pPr>
            <w:r w:rsidRPr="00D37B23">
              <w:rPr>
                <w:rFonts w:ascii="Calibri" w:hAnsi="Calibri" w:cs="Calibri"/>
                <w:color w:val="000000"/>
                <w:sz w:val="22"/>
                <w:szCs w:val="22"/>
              </w:rPr>
              <w:t> </w:t>
            </w:r>
          </w:p>
        </w:tc>
        <w:tc>
          <w:tcPr>
            <w:tcW w:w="4111" w:type="dxa"/>
            <w:shd w:val="clear" w:color="000000" w:fill="D9D9D9"/>
            <w:hideMark/>
          </w:tcPr>
          <w:p w14:paraId="3075D19E" w14:textId="77777777" w:rsidR="00E41A00" w:rsidRPr="00D37B23" w:rsidRDefault="00E41A00" w:rsidP="00D37B23">
            <w:pPr>
              <w:spacing w:after="0" w:line="280" w:lineRule="atLeast"/>
              <w:rPr>
                <w:rFonts w:cs="Arial"/>
                <w:b/>
                <w:bCs/>
                <w:color w:val="000000"/>
                <w:sz w:val="22"/>
                <w:szCs w:val="22"/>
              </w:rPr>
            </w:pPr>
            <w:r w:rsidRPr="00D37B23">
              <w:rPr>
                <w:rFonts w:cs="Arial"/>
                <w:b/>
                <w:bCs/>
                <w:color w:val="000000"/>
                <w:sz w:val="22"/>
                <w:szCs w:val="22"/>
              </w:rPr>
              <w:t> Total costs</w:t>
            </w:r>
          </w:p>
        </w:tc>
        <w:tc>
          <w:tcPr>
            <w:tcW w:w="1417" w:type="dxa"/>
            <w:shd w:val="clear" w:color="000000" w:fill="D9D9D9"/>
            <w:hideMark/>
          </w:tcPr>
          <w:p w14:paraId="32F777FC" w14:textId="77777777" w:rsidR="00E41A00" w:rsidRPr="00D37B23" w:rsidRDefault="00E41A00" w:rsidP="00D37B23">
            <w:pPr>
              <w:spacing w:after="0" w:line="280" w:lineRule="atLeast"/>
              <w:jc w:val="right"/>
              <w:rPr>
                <w:rFonts w:cs="Arial"/>
                <w:b/>
                <w:color w:val="000000"/>
                <w:sz w:val="22"/>
                <w:szCs w:val="22"/>
              </w:rPr>
            </w:pPr>
            <w:r w:rsidRPr="00D37B23">
              <w:rPr>
                <w:rFonts w:cs="Arial"/>
                <w:b/>
                <w:color w:val="000000"/>
                <w:sz w:val="22"/>
                <w:szCs w:val="22"/>
              </w:rPr>
              <w:t>$1,038,545</w:t>
            </w:r>
          </w:p>
        </w:tc>
        <w:tc>
          <w:tcPr>
            <w:tcW w:w="1384" w:type="dxa"/>
            <w:shd w:val="clear" w:color="000000" w:fill="D9D9D9"/>
            <w:hideMark/>
          </w:tcPr>
          <w:p w14:paraId="5AC2D35D" w14:textId="77777777" w:rsidR="00E41A00" w:rsidRPr="00D37B23" w:rsidRDefault="00E41A00" w:rsidP="00D37B23">
            <w:pPr>
              <w:spacing w:after="0" w:line="280" w:lineRule="atLeast"/>
              <w:jc w:val="right"/>
              <w:rPr>
                <w:rFonts w:cs="Arial"/>
                <w:b/>
                <w:color w:val="000000"/>
                <w:sz w:val="22"/>
                <w:szCs w:val="22"/>
              </w:rPr>
            </w:pPr>
            <w:r w:rsidRPr="00D37B23">
              <w:rPr>
                <w:rFonts w:cs="Arial"/>
                <w:b/>
                <w:color w:val="000000"/>
                <w:sz w:val="22"/>
                <w:szCs w:val="22"/>
              </w:rPr>
              <w:t>$587,430</w:t>
            </w:r>
          </w:p>
        </w:tc>
        <w:tc>
          <w:tcPr>
            <w:tcW w:w="1310" w:type="dxa"/>
            <w:shd w:val="clear" w:color="000000" w:fill="D9D9D9"/>
            <w:hideMark/>
          </w:tcPr>
          <w:p w14:paraId="7F33884C" w14:textId="77777777" w:rsidR="00E41A00" w:rsidRPr="00D37B23" w:rsidRDefault="00E41A00" w:rsidP="00D37B23">
            <w:pPr>
              <w:spacing w:after="0" w:line="280" w:lineRule="atLeast"/>
              <w:jc w:val="right"/>
              <w:rPr>
                <w:rFonts w:cs="Arial"/>
                <w:b/>
                <w:sz w:val="22"/>
                <w:szCs w:val="22"/>
              </w:rPr>
            </w:pPr>
            <w:r w:rsidRPr="00D37B23">
              <w:rPr>
                <w:rFonts w:cs="Arial"/>
                <w:b/>
                <w:sz w:val="22"/>
                <w:szCs w:val="22"/>
              </w:rPr>
              <w:t>$451,114</w:t>
            </w:r>
          </w:p>
        </w:tc>
      </w:tr>
    </w:tbl>
    <w:p w14:paraId="75A8D018" w14:textId="77777777" w:rsidR="00E41A00" w:rsidRPr="001C6738" w:rsidRDefault="00E41A00" w:rsidP="00E41A00">
      <w:pPr>
        <w:pStyle w:val="Tableorfigurenote"/>
      </w:pPr>
      <w:bookmarkStart w:id="104" w:name="_Hlk87026897"/>
      <w:r w:rsidRPr="001C6738">
        <w:t>Note: Sums may not add due to rounding</w:t>
      </w:r>
      <w:r>
        <w:t>.</w:t>
      </w:r>
    </w:p>
    <w:p w14:paraId="68442E9D" w14:textId="77777777" w:rsidR="00E41A00" w:rsidRPr="00AE6A60" w:rsidRDefault="00E41A00" w:rsidP="00D37B23">
      <w:pPr>
        <w:pStyle w:val="Heading4"/>
      </w:pPr>
      <w:r w:rsidRPr="00AE6A60">
        <w:t xml:space="preserve">Compliance, </w:t>
      </w:r>
      <w:proofErr w:type="gramStart"/>
      <w:r w:rsidRPr="00AE6A60">
        <w:t>enforcement</w:t>
      </w:r>
      <w:proofErr w:type="gramEnd"/>
      <w:r w:rsidRPr="00AE6A60">
        <w:t xml:space="preserve"> and consumer safeguard</w:t>
      </w:r>
      <w:r>
        <w:t>s</w:t>
      </w:r>
    </w:p>
    <w:bookmarkEnd w:id="104"/>
    <w:p w14:paraId="1ABD2DA8" w14:textId="77777777" w:rsidR="00E41A00" w:rsidRDefault="00E41A00" w:rsidP="00D37B23">
      <w:pPr>
        <w:pStyle w:val="Paragraphbeforelist"/>
      </w:pPr>
      <w:r w:rsidRPr="00A00F5C">
        <w:t xml:space="preserve">This output </w:t>
      </w:r>
      <w:r w:rsidRPr="00D37B23">
        <w:t>includes</w:t>
      </w:r>
      <w:r>
        <w:t>:</w:t>
      </w:r>
      <w:r w:rsidRPr="00AE6A60">
        <w:t xml:space="preserve"> </w:t>
      </w:r>
    </w:p>
    <w:p w14:paraId="668D39BB" w14:textId="77777777" w:rsidR="00E41A00" w:rsidRDefault="00E41A00" w:rsidP="00D37B23">
      <w:pPr>
        <w:pStyle w:val="Bulletlevel1"/>
      </w:pPr>
      <w:r w:rsidRPr="00D37B23">
        <w:t>monitoring</w:t>
      </w:r>
      <w:r>
        <w:t xml:space="preserve"> </w:t>
      </w:r>
      <w:r w:rsidRPr="00A00F5C">
        <w:t xml:space="preserve">compliance </w:t>
      </w:r>
      <w:r>
        <w:t>relating to:</w:t>
      </w:r>
    </w:p>
    <w:p w14:paraId="52ECA182" w14:textId="77777777" w:rsidR="00E41A00" w:rsidRPr="00D37B23" w:rsidRDefault="00E41A00" w:rsidP="00D37B23">
      <w:pPr>
        <w:pStyle w:val="Bulletlevel2"/>
      </w:pPr>
      <w:r w:rsidRPr="00D37B23">
        <w:t>consumer protection codes</w:t>
      </w:r>
    </w:p>
    <w:p w14:paraId="5AFCEB9D" w14:textId="77777777" w:rsidR="00E41A00" w:rsidRPr="00D37B23" w:rsidRDefault="00E41A00" w:rsidP="00D37B23">
      <w:pPr>
        <w:pStyle w:val="Bulletlevel2"/>
      </w:pPr>
      <w:r w:rsidRPr="00D37B23">
        <w:t>devices subject to labelling arrangements</w:t>
      </w:r>
    </w:p>
    <w:p w14:paraId="33E7DBC0" w14:textId="77777777" w:rsidR="00E41A00" w:rsidRPr="00D37B23" w:rsidRDefault="00E41A00" w:rsidP="00D37B23">
      <w:pPr>
        <w:pStyle w:val="Bulletlevel2"/>
      </w:pPr>
      <w:r w:rsidRPr="00D37B23">
        <w:t>telecommunications cabling</w:t>
      </w:r>
    </w:p>
    <w:p w14:paraId="60E615F0" w14:textId="77777777" w:rsidR="00E41A00" w:rsidRPr="00D37B23" w:rsidRDefault="00E41A00" w:rsidP="00D37B23">
      <w:pPr>
        <w:pStyle w:val="Bulletlevel2"/>
      </w:pPr>
      <w:r w:rsidRPr="00D37B23">
        <w:lastRenderedPageBreak/>
        <w:t>electromagnetic activities</w:t>
      </w:r>
    </w:p>
    <w:p w14:paraId="75E47313" w14:textId="77777777" w:rsidR="00E41A00" w:rsidRDefault="00E41A00" w:rsidP="00D37B23">
      <w:pPr>
        <w:pStyle w:val="Bulletlevel1"/>
      </w:pPr>
      <w:r w:rsidRPr="00A00F5C">
        <w:t>handling complaints from the telecommunications industry and consumers</w:t>
      </w:r>
    </w:p>
    <w:p w14:paraId="581F8667" w14:textId="77777777" w:rsidR="00E41A00" w:rsidRDefault="00E41A00" w:rsidP="00D37B23">
      <w:pPr>
        <w:pStyle w:val="Bulletlevel1"/>
      </w:pPr>
      <w:r w:rsidRPr="00A00F5C">
        <w:t>undertaking audit programs</w:t>
      </w:r>
    </w:p>
    <w:p w14:paraId="4C7409D7" w14:textId="77777777" w:rsidR="00E41A00" w:rsidRDefault="00E41A00" w:rsidP="00D37B23">
      <w:pPr>
        <w:pStyle w:val="Bulletlevel1"/>
      </w:pPr>
      <w:r w:rsidRPr="00A00F5C">
        <w:t>issuing warning notices and directions to comply</w:t>
      </w:r>
    </w:p>
    <w:p w14:paraId="1AAA5094" w14:textId="77777777" w:rsidR="00E41A00" w:rsidRPr="00A00F5C" w:rsidRDefault="00E41A00" w:rsidP="00D37B23">
      <w:pPr>
        <w:pStyle w:val="Bulletlevel1last"/>
      </w:pPr>
      <w:r w:rsidRPr="00A00F5C">
        <w:t xml:space="preserve">taking other enforcement actions. </w:t>
      </w:r>
    </w:p>
    <w:p w14:paraId="12E1FE95" w14:textId="7DE418DD" w:rsidR="00E41A00" w:rsidRDefault="00E41A00" w:rsidP="00D37B23">
      <w:pPr>
        <w:pStyle w:val="Paragraph"/>
      </w:pPr>
      <w:r w:rsidRPr="00AE6A60">
        <w:t xml:space="preserve">Table </w:t>
      </w:r>
      <w:r>
        <w:t>6</w:t>
      </w:r>
      <w:r w:rsidRPr="00AE6A60">
        <w:t xml:space="preserve"> </w:t>
      </w:r>
      <w:r w:rsidRPr="00D37B23">
        <w:t>provides</w:t>
      </w:r>
      <w:r w:rsidRPr="00AE6A60">
        <w:t xml:space="preserve"> details of the activities performed under this output </w:t>
      </w:r>
      <w:r>
        <w:t>for the 2023</w:t>
      </w:r>
      <w:r w:rsidR="000677AE">
        <w:t>–</w:t>
      </w:r>
      <w:r>
        <w:t>24</w:t>
      </w:r>
      <w:r w:rsidRPr="00AE6A60">
        <w:t xml:space="preserve"> and </w:t>
      </w:r>
      <w:r>
        <w:t>2022</w:t>
      </w:r>
      <w:r w:rsidR="00D37B23">
        <w:t>–</w:t>
      </w:r>
      <w:r>
        <w:t>23 ACLC</w:t>
      </w:r>
      <w:r w:rsidRPr="00AE6A60">
        <w:t>.</w:t>
      </w:r>
    </w:p>
    <w:p w14:paraId="02F0522E" w14:textId="2033FAA7" w:rsidR="00E41A00" w:rsidRPr="00D37B23" w:rsidRDefault="00E41A00" w:rsidP="00836552">
      <w:pPr>
        <w:pStyle w:val="Tableheading"/>
        <w:keepNext w:val="0"/>
      </w:pPr>
      <w:r w:rsidRPr="00D37B23">
        <w:t xml:space="preserve">Compliance, </w:t>
      </w:r>
      <w:proofErr w:type="gramStart"/>
      <w:r w:rsidRPr="00D37B23">
        <w:t>enforcement</w:t>
      </w:r>
      <w:proofErr w:type="gramEnd"/>
      <w:r w:rsidRPr="00D37B23">
        <w:t xml:space="preserve"> and consumer safeguards – activities and costs for 2023</w:t>
      </w:r>
      <w:r w:rsidR="000677AE">
        <w:t>–</w:t>
      </w:r>
      <w:r w:rsidRPr="00D37B23">
        <w:t>24 ACLC (based on 2022</w:t>
      </w:r>
      <w:r w:rsidR="000677AE">
        <w:t>–</w:t>
      </w:r>
      <w:r w:rsidRPr="00D37B23">
        <w:t>23 costs) and 2022</w:t>
      </w:r>
      <w:r w:rsidR="000677AE">
        <w:t>–</w:t>
      </w:r>
      <w:r w:rsidRPr="00D37B23">
        <w:t>23 ACLC (based on 2021</w:t>
      </w:r>
      <w:r w:rsidR="000677AE">
        <w:t>–</w:t>
      </w:r>
      <w:r w:rsidRPr="00D37B23">
        <w:t>22 costs)</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600"/>
        <w:gridCol w:w="5491"/>
        <w:gridCol w:w="1290"/>
        <w:gridCol w:w="1290"/>
        <w:gridCol w:w="1290"/>
      </w:tblGrid>
      <w:tr w:rsidR="00E41A00" w:rsidRPr="00D37B23" w14:paraId="5255840D" w14:textId="77777777" w:rsidTr="00836552">
        <w:trPr>
          <w:trHeight w:val="643"/>
          <w:tblHeader/>
        </w:trPr>
        <w:tc>
          <w:tcPr>
            <w:tcW w:w="600" w:type="dxa"/>
            <w:shd w:val="clear" w:color="000000" w:fill="404040"/>
            <w:hideMark/>
          </w:tcPr>
          <w:p w14:paraId="588D5D17" w14:textId="77777777" w:rsidR="00E41A00" w:rsidRPr="00D37B23" w:rsidRDefault="00E41A00" w:rsidP="00836552">
            <w:pPr>
              <w:suppressAutoHyphens/>
              <w:spacing w:after="0" w:line="280" w:lineRule="atLeast"/>
              <w:rPr>
                <w:rFonts w:cs="Arial"/>
                <w:b/>
                <w:bCs/>
                <w:color w:val="FFFFFF"/>
                <w:sz w:val="22"/>
                <w:szCs w:val="22"/>
              </w:rPr>
            </w:pPr>
            <w:bookmarkStart w:id="105" w:name="_Hlk87026696"/>
            <w:r w:rsidRPr="00D37B23">
              <w:rPr>
                <w:rFonts w:cs="Arial"/>
                <w:b/>
                <w:bCs/>
                <w:color w:val="FFFFFF"/>
                <w:sz w:val="22"/>
                <w:szCs w:val="22"/>
              </w:rPr>
              <w:t>Ref</w:t>
            </w:r>
          </w:p>
        </w:tc>
        <w:tc>
          <w:tcPr>
            <w:tcW w:w="5491" w:type="dxa"/>
            <w:shd w:val="clear" w:color="000000" w:fill="404040"/>
            <w:hideMark/>
          </w:tcPr>
          <w:p w14:paraId="423925E8" w14:textId="77777777" w:rsidR="00E41A00" w:rsidRPr="00D37B23" w:rsidRDefault="00E41A00" w:rsidP="00836552">
            <w:pPr>
              <w:suppressAutoHyphens/>
              <w:spacing w:after="0" w:line="280" w:lineRule="atLeast"/>
              <w:rPr>
                <w:rFonts w:cs="Arial"/>
                <w:b/>
                <w:bCs/>
                <w:color w:val="FFFFFF"/>
                <w:sz w:val="22"/>
                <w:szCs w:val="22"/>
              </w:rPr>
            </w:pPr>
            <w:r w:rsidRPr="00D37B23">
              <w:rPr>
                <w:rFonts w:cs="Arial"/>
                <w:b/>
                <w:bCs/>
                <w:color w:val="FFFFFF"/>
                <w:sz w:val="22"/>
                <w:szCs w:val="22"/>
              </w:rPr>
              <w:t>Activity description</w:t>
            </w:r>
          </w:p>
        </w:tc>
        <w:tc>
          <w:tcPr>
            <w:tcW w:w="1290" w:type="dxa"/>
            <w:shd w:val="clear" w:color="000000" w:fill="404040"/>
            <w:hideMark/>
          </w:tcPr>
          <w:p w14:paraId="25700B00" w14:textId="0523A3C0" w:rsidR="00E41A00" w:rsidRPr="00D37B23" w:rsidRDefault="00E41A00" w:rsidP="00836552">
            <w:pPr>
              <w:suppressAutoHyphens/>
              <w:spacing w:after="0" w:line="280" w:lineRule="atLeast"/>
              <w:jc w:val="right"/>
              <w:rPr>
                <w:rFonts w:cs="Arial"/>
                <w:b/>
                <w:bCs/>
                <w:color w:val="FFFFFF"/>
                <w:sz w:val="22"/>
                <w:szCs w:val="22"/>
              </w:rPr>
            </w:pPr>
            <w:r w:rsidRPr="00D37B23">
              <w:rPr>
                <w:rFonts w:cs="Arial"/>
                <w:b/>
                <w:bCs/>
                <w:color w:val="FFFFFF"/>
                <w:sz w:val="22"/>
                <w:szCs w:val="22"/>
              </w:rPr>
              <w:t>2022</w:t>
            </w:r>
            <w:r w:rsidR="000677AE" w:rsidRPr="00836552">
              <w:rPr>
                <w:b/>
                <w:bCs/>
                <w:color w:val="FFFFFF" w:themeColor="background1"/>
              </w:rPr>
              <w:t>–</w:t>
            </w:r>
            <w:r w:rsidRPr="00D37B23">
              <w:rPr>
                <w:rFonts w:cs="Arial"/>
                <w:b/>
                <w:bCs/>
                <w:color w:val="FFFFFF"/>
                <w:sz w:val="22"/>
                <w:szCs w:val="22"/>
              </w:rPr>
              <w:t xml:space="preserve">23 </w:t>
            </w:r>
            <w:r w:rsidRPr="00D37B23">
              <w:rPr>
                <w:rFonts w:cs="Arial"/>
                <w:b/>
                <w:bCs/>
                <w:color w:val="FFFFFF"/>
                <w:sz w:val="22"/>
                <w:szCs w:val="22"/>
              </w:rPr>
              <w:br/>
              <w:t>cost</w:t>
            </w:r>
          </w:p>
        </w:tc>
        <w:tc>
          <w:tcPr>
            <w:tcW w:w="1290" w:type="dxa"/>
            <w:shd w:val="clear" w:color="000000" w:fill="404040"/>
            <w:hideMark/>
          </w:tcPr>
          <w:p w14:paraId="5662D10C" w14:textId="434DB060" w:rsidR="00E41A00" w:rsidRPr="00D37B23" w:rsidRDefault="00E41A00" w:rsidP="00836552">
            <w:pPr>
              <w:suppressAutoHyphens/>
              <w:spacing w:after="0" w:line="280" w:lineRule="atLeast"/>
              <w:jc w:val="right"/>
              <w:rPr>
                <w:rFonts w:cs="Arial"/>
                <w:b/>
                <w:bCs/>
                <w:color w:val="FFFFFF"/>
                <w:sz w:val="22"/>
                <w:szCs w:val="22"/>
              </w:rPr>
            </w:pPr>
            <w:r w:rsidRPr="00D37B23">
              <w:rPr>
                <w:rFonts w:cs="Arial"/>
                <w:b/>
                <w:bCs/>
                <w:color w:val="FFFFFF"/>
                <w:sz w:val="22"/>
                <w:szCs w:val="22"/>
              </w:rPr>
              <w:t>2021</w:t>
            </w:r>
            <w:r w:rsidR="000677AE" w:rsidRPr="00836552">
              <w:rPr>
                <w:b/>
                <w:bCs/>
                <w:color w:val="FFFFFF" w:themeColor="background1"/>
              </w:rPr>
              <w:t>–</w:t>
            </w:r>
            <w:r w:rsidRPr="00D37B23">
              <w:rPr>
                <w:rFonts w:cs="Arial"/>
                <w:b/>
                <w:bCs/>
                <w:color w:val="FFFFFF"/>
                <w:sz w:val="22"/>
                <w:szCs w:val="22"/>
              </w:rPr>
              <w:t>22 cost</w:t>
            </w:r>
          </w:p>
        </w:tc>
        <w:tc>
          <w:tcPr>
            <w:tcW w:w="1290" w:type="dxa"/>
            <w:shd w:val="clear" w:color="000000" w:fill="404040"/>
            <w:hideMark/>
          </w:tcPr>
          <w:p w14:paraId="27FA8F3B" w14:textId="77777777" w:rsidR="00E41A00" w:rsidRPr="00D37B23" w:rsidRDefault="00E41A00" w:rsidP="00836552">
            <w:pPr>
              <w:suppressAutoHyphens/>
              <w:spacing w:after="0" w:line="280" w:lineRule="atLeast"/>
              <w:jc w:val="right"/>
              <w:rPr>
                <w:rFonts w:cs="Arial"/>
                <w:b/>
                <w:bCs/>
                <w:color w:val="FFFFFF"/>
                <w:sz w:val="22"/>
                <w:szCs w:val="22"/>
              </w:rPr>
            </w:pPr>
            <w:r w:rsidRPr="00D37B23">
              <w:rPr>
                <w:rFonts w:cs="Arial"/>
                <w:b/>
                <w:bCs/>
                <w:color w:val="FFFFFF"/>
                <w:sz w:val="22"/>
                <w:szCs w:val="22"/>
              </w:rPr>
              <w:t>Variance increase/</w:t>
            </w:r>
            <w:r w:rsidRPr="00D37B23">
              <w:rPr>
                <w:rFonts w:cs="Arial"/>
                <w:b/>
                <w:bCs/>
                <w:color w:val="FFFFFF"/>
                <w:sz w:val="22"/>
                <w:szCs w:val="22"/>
              </w:rPr>
              <w:br/>
              <w:t>(decrease)</w:t>
            </w:r>
          </w:p>
        </w:tc>
      </w:tr>
      <w:tr w:rsidR="00E41A00" w:rsidRPr="00D37B23" w14:paraId="2F2F1089" w14:textId="77777777" w:rsidTr="006E2755">
        <w:trPr>
          <w:trHeight w:val="311"/>
        </w:trPr>
        <w:tc>
          <w:tcPr>
            <w:tcW w:w="600" w:type="dxa"/>
            <w:shd w:val="clear" w:color="auto" w:fill="auto"/>
            <w:noWrap/>
            <w:hideMark/>
          </w:tcPr>
          <w:p w14:paraId="35B7DAB6" w14:textId="77777777" w:rsidR="00E41A00" w:rsidRPr="00D37B23" w:rsidRDefault="00E41A00" w:rsidP="00836552">
            <w:pPr>
              <w:suppressAutoHyphens/>
              <w:spacing w:after="0" w:line="280" w:lineRule="atLeast"/>
              <w:rPr>
                <w:rFonts w:cs="Arial"/>
                <w:color w:val="000000"/>
                <w:sz w:val="22"/>
                <w:szCs w:val="22"/>
              </w:rPr>
            </w:pPr>
            <w:r w:rsidRPr="00D37B23">
              <w:rPr>
                <w:rFonts w:cs="Arial"/>
                <w:color w:val="000000"/>
                <w:sz w:val="22"/>
                <w:szCs w:val="22"/>
              </w:rPr>
              <w:t>C1</w:t>
            </w:r>
          </w:p>
        </w:tc>
        <w:tc>
          <w:tcPr>
            <w:tcW w:w="5491" w:type="dxa"/>
            <w:shd w:val="clear" w:color="auto" w:fill="auto"/>
            <w:hideMark/>
          </w:tcPr>
          <w:p w14:paraId="694E58D9" w14:textId="77777777" w:rsidR="00E41A00" w:rsidRPr="00D37B23" w:rsidRDefault="00E41A00" w:rsidP="00836552">
            <w:pPr>
              <w:suppressAutoHyphens/>
              <w:spacing w:after="0" w:line="280" w:lineRule="atLeast"/>
              <w:rPr>
                <w:rFonts w:cs="Arial"/>
                <w:sz w:val="22"/>
                <w:szCs w:val="22"/>
              </w:rPr>
            </w:pPr>
            <w:r w:rsidRPr="00D37B23">
              <w:rPr>
                <w:rFonts w:cs="Arial"/>
                <w:sz w:val="22"/>
                <w:szCs w:val="22"/>
              </w:rPr>
              <w:t>Contributing to submissions to a range of Telecommunications consumer safeguards consultation processes</w:t>
            </w:r>
          </w:p>
        </w:tc>
        <w:tc>
          <w:tcPr>
            <w:tcW w:w="1290" w:type="dxa"/>
            <w:shd w:val="clear" w:color="auto" w:fill="auto"/>
            <w:hideMark/>
          </w:tcPr>
          <w:p w14:paraId="7DB369C6" w14:textId="77777777" w:rsidR="00E41A00" w:rsidRPr="00D37B23" w:rsidRDefault="00E41A00" w:rsidP="00836552">
            <w:pPr>
              <w:suppressAutoHyphens/>
              <w:spacing w:after="0" w:line="280" w:lineRule="atLeast"/>
              <w:jc w:val="right"/>
              <w:rPr>
                <w:rFonts w:cs="Arial"/>
                <w:color w:val="000000"/>
                <w:sz w:val="22"/>
                <w:szCs w:val="22"/>
              </w:rPr>
            </w:pPr>
            <w:r w:rsidRPr="00D37B23">
              <w:rPr>
                <w:rFonts w:cs="Arial"/>
                <w:color w:val="000000"/>
                <w:sz w:val="22"/>
                <w:szCs w:val="22"/>
              </w:rPr>
              <w:t>$13,015</w:t>
            </w:r>
          </w:p>
        </w:tc>
        <w:tc>
          <w:tcPr>
            <w:tcW w:w="1290" w:type="dxa"/>
            <w:shd w:val="clear" w:color="auto" w:fill="auto"/>
            <w:hideMark/>
          </w:tcPr>
          <w:p w14:paraId="66EDD52D" w14:textId="77777777" w:rsidR="00E41A00" w:rsidRPr="00D37B23" w:rsidRDefault="00E41A00" w:rsidP="00836552">
            <w:pPr>
              <w:suppressAutoHyphens/>
              <w:spacing w:after="0" w:line="280" w:lineRule="atLeast"/>
              <w:jc w:val="right"/>
              <w:rPr>
                <w:rFonts w:cs="Arial"/>
                <w:color w:val="000000"/>
                <w:sz w:val="22"/>
                <w:szCs w:val="22"/>
              </w:rPr>
            </w:pPr>
            <w:r w:rsidRPr="00D37B23">
              <w:rPr>
                <w:rFonts w:cs="Arial"/>
                <w:color w:val="000000"/>
                <w:sz w:val="22"/>
                <w:szCs w:val="22"/>
              </w:rPr>
              <w:t>$17,941</w:t>
            </w:r>
          </w:p>
        </w:tc>
        <w:tc>
          <w:tcPr>
            <w:tcW w:w="1290" w:type="dxa"/>
            <w:shd w:val="clear" w:color="auto" w:fill="auto"/>
            <w:hideMark/>
          </w:tcPr>
          <w:p w14:paraId="4D18101D" w14:textId="77777777" w:rsidR="00E41A00" w:rsidRPr="00D37B23" w:rsidRDefault="00E41A00" w:rsidP="00836552">
            <w:pPr>
              <w:suppressAutoHyphens/>
              <w:spacing w:after="0" w:line="280" w:lineRule="atLeast"/>
              <w:jc w:val="right"/>
              <w:rPr>
                <w:rFonts w:cs="Arial"/>
                <w:sz w:val="22"/>
                <w:szCs w:val="22"/>
              </w:rPr>
            </w:pPr>
            <w:r w:rsidRPr="00D37B23">
              <w:rPr>
                <w:rFonts w:cs="Arial"/>
                <w:color w:val="FF0000"/>
                <w:sz w:val="22"/>
                <w:szCs w:val="22"/>
              </w:rPr>
              <w:t>($4,927)</w:t>
            </w:r>
          </w:p>
        </w:tc>
      </w:tr>
      <w:tr w:rsidR="00E41A00" w:rsidRPr="00D37B23" w14:paraId="138A20E4" w14:textId="77777777" w:rsidTr="006E2755">
        <w:trPr>
          <w:trHeight w:val="217"/>
        </w:trPr>
        <w:tc>
          <w:tcPr>
            <w:tcW w:w="600" w:type="dxa"/>
            <w:shd w:val="clear" w:color="auto" w:fill="auto"/>
            <w:noWrap/>
            <w:hideMark/>
          </w:tcPr>
          <w:p w14:paraId="3B9A361B" w14:textId="77777777" w:rsidR="00E41A00" w:rsidRPr="00D37B23" w:rsidRDefault="00E41A00" w:rsidP="00836552">
            <w:pPr>
              <w:suppressAutoHyphens/>
              <w:spacing w:after="0" w:line="280" w:lineRule="atLeast"/>
              <w:rPr>
                <w:rFonts w:cs="Arial"/>
                <w:color w:val="000000"/>
                <w:sz w:val="22"/>
                <w:szCs w:val="22"/>
              </w:rPr>
            </w:pPr>
            <w:r w:rsidRPr="00D37B23">
              <w:rPr>
                <w:rFonts w:cs="Arial"/>
                <w:color w:val="000000"/>
                <w:sz w:val="22"/>
                <w:szCs w:val="22"/>
              </w:rPr>
              <w:t>C3</w:t>
            </w:r>
          </w:p>
        </w:tc>
        <w:tc>
          <w:tcPr>
            <w:tcW w:w="5491" w:type="dxa"/>
            <w:shd w:val="clear" w:color="auto" w:fill="auto"/>
            <w:hideMark/>
          </w:tcPr>
          <w:p w14:paraId="261A7796" w14:textId="77777777" w:rsidR="00E41A00" w:rsidRPr="00D37B23" w:rsidRDefault="00E41A00" w:rsidP="00836552">
            <w:pPr>
              <w:suppressAutoHyphens/>
              <w:spacing w:after="0" w:line="280" w:lineRule="atLeast"/>
              <w:rPr>
                <w:rFonts w:cs="Arial"/>
                <w:sz w:val="22"/>
                <w:szCs w:val="22"/>
              </w:rPr>
            </w:pPr>
            <w:r w:rsidRPr="00D37B23">
              <w:rPr>
                <w:rFonts w:cs="Arial"/>
                <w:sz w:val="22"/>
                <w:szCs w:val="22"/>
              </w:rPr>
              <w:t>Investigating non-compliant cabling work</w:t>
            </w:r>
          </w:p>
        </w:tc>
        <w:tc>
          <w:tcPr>
            <w:tcW w:w="1290" w:type="dxa"/>
            <w:shd w:val="clear" w:color="auto" w:fill="auto"/>
            <w:hideMark/>
          </w:tcPr>
          <w:p w14:paraId="606A7DCC" w14:textId="77777777" w:rsidR="00E41A00" w:rsidRPr="00D37B23" w:rsidRDefault="00E41A00" w:rsidP="00836552">
            <w:pPr>
              <w:suppressAutoHyphens/>
              <w:spacing w:after="0" w:line="280" w:lineRule="atLeast"/>
              <w:jc w:val="right"/>
              <w:rPr>
                <w:rFonts w:cs="Arial"/>
                <w:color w:val="000000"/>
                <w:sz w:val="22"/>
                <w:szCs w:val="22"/>
              </w:rPr>
            </w:pPr>
            <w:r w:rsidRPr="00D37B23">
              <w:rPr>
                <w:rFonts w:cs="Arial"/>
                <w:color w:val="000000"/>
                <w:sz w:val="22"/>
                <w:szCs w:val="22"/>
              </w:rPr>
              <w:t>$58,186</w:t>
            </w:r>
          </w:p>
        </w:tc>
        <w:tc>
          <w:tcPr>
            <w:tcW w:w="1290" w:type="dxa"/>
            <w:shd w:val="clear" w:color="auto" w:fill="auto"/>
            <w:hideMark/>
          </w:tcPr>
          <w:p w14:paraId="7068DFCF" w14:textId="77777777" w:rsidR="00E41A00" w:rsidRPr="00D37B23" w:rsidRDefault="00E41A00" w:rsidP="00836552">
            <w:pPr>
              <w:suppressAutoHyphens/>
              <w:spacing w:after="0" w:line="280" w:lineRule="atLeast"/>
              <w:jc w:val="right"/>
              <w:rPr>
                <w:rFonts w:cs="Arial"/>
                <w:color w:val="000000"/>
                <w:sz w:val="22"/>
                <w:szCs w:val="22"/>
              </w:rPr>
            </w:pPr>
            <w:r w:rsidRPr="00D37B23">
              <w:rPr>
                <w:rFonts w:cs="Arial"/>
                <w:color w:val="000000"/>
                <w:sz w:val="22"/>
                <w:szCs w:val="22"/>
              </w:rPr>
              <w:t>$140,503</w:t>
            </w:r>
          </w:p>
        </w:tc>
        <w:tc>
          <w:tcPr>
            <w:tcW w:w="1290" w:type="dxa"/>
            <w:shd w:val="clear" w:color="auto" w:fill="auto"/>
            <w:hideMark/>
          </w:tcPr>
          <w:p w14:paraId="025F0D33" w14:textId="77777777" w:rsidR="00E41A00" w:rsidRPr="00D37B23" w:rsidRDefault="00E41A00" w:rsidP="00836552">
            <w:pPr>
              <w:suppressAutoHyphens/>
              <w:spacing w:after="0" w:line="280" w:lineRule="atLeast"/>
              <w:jc w:val="right"/>
              <w:rPr>
                <w:rFonts w:cs="Arial"/>
                <w:sz w:val="22"/>
                <w:szCs w:val="22"/>
              </w:rPr>
            </w:pPr>
            <w:r w:rsidRPr="00D37B23">
              <w:rPr>
                <w:rFonts w:cs="Arial"/>
                <w:color w:val="FF0000"/>
                <w:sz w:val="22"/>
                <w:szCs w:val="22"/>
              </w:rPr>
              <w:t>($82,317)</w:t>
            </w:r>
          </w:p>
        </w:tc>
      </w:tr>
      <w:tr w:rsidR="00E41A00" w:rsidRPr="00D37B23" w14:paraId="43B5E85F" w14:textId="77777777" w:rsidTr="006E2755">
        <w:trPr>
          <w:trHeight w:val="2468"/>
        </w:trPr>
        <w:tc>
          <w:tcPr>
            <w:tcW w:w="600" w:type="dxa"/>
            <w:shd w:val="clear" w:color="auto" w:fill="auto"/>
            <w:noWrap/>
            <w:hideMark/>
          </w:tcPr>
          <w:p w14:paraId="351C899F" w14:textId="77777777" w:rsidR="00E41A00" w:rsidRPr="00D37B23" w:rsidRDefault="00E41A00" w:rsidP="00836552">
            <w:pPr>
              <w:suppressAutoHyphens/>
              <w:spacing w:after="0" w:line="280" w:lineRule="atLeast"/>
              <w:rPr>
                <w:rFonts w:cs="Arial"/>
                <w:color w:val="000000"/>
                <w:sz w:val="22"/>
                <w:szCs w:val="22"/>
              </w:rPr>
            </w:pPr>
            <w:r w:rsidRPr="00D37B23">
              <w:rPr>
                <w:rFonts w:cs="Arial"/>
                <w:color w:val="000000"/>
                <w:sz w:val="22"/>
                <w:szCs w:val="22"/>
              </w:rPr>
              <w:t>C4</w:t>
            </w:r>
          </w:p>
        </w:tc>
        <w:tc>
          <w:tcPr>
            <w:tcW w:w="5491" w:type="dxa"/>
            <w:shd w:val="clear" w:color="auto" w:fill="auto"/>
            <w:hideMark/>
          </w:tcPr>
          <w:p w14:paraId="22D86B7C" w14:textId="77777777" w:rsidR="00E41A00" w:rsidRPr="00D37B23" w:rsidRDefault="00E41A00" w:rsidP="00836552">
            <w:pPr>
              <w:suppressAutoHyphens/>
              <w:spacing w:after="0" w:line="280" w:lineRule="atLeast"/>
              <w:rPr>
                <w:rFonts w:cs="Arial"/>
                <w:sz w:val="22"/>
                <w:szCs w:val="22"/>
              </w:rPr>
            </w:pPr>
            <w:r w:rsidRPr="00D37B23">
              <w:rPr>
                <w:rFonts w:cs="Arial"/>
                <w:sz w:val="22"/>
                <w:szCs w:val="22"/>
              </w:rPr>
              <w:t>Monitoring and investigating compliance with a range of consumer safeguards including, the Telecommunications Consumer Protections Code, the Mobile Premium Services Code, Priority Assistance obligations, Customer Service Guarantee and Payphone benchmarks and the Telecommunications Industry Ombudsman (TIO) scheme. Reporting on industry compliance against those consumer safeguards and the ACMA’s telecommunications compliance and enforcement activity. Assessing applications from carriers and CSPs seeking exemptions from the requirement to join the TIO</w:t>
            </w:r>
          </w:p>
        </w:tc>
        <w:tc>
          <w:tcPr>
            <w:tcW w:w="1290" w:type="dxa"/>
            <w:shd w:val="clear" w:color="auto" w:fill="auto"/>
            <w:hideMark/>
          </w:tcPr>
          <w:p w14:paraId="63A03BE7" w14:textId="77777777" w:rsidR="00E41A00" w:rsidRPr="00D37B23" w:rsidRDefault="00E41A00" w:rsidP="00836552">
            <w:pPr>
              <w:suppressAutoHyphens/>
              <w:spacing w:after="0" w:line="280" w:lineRule="atLeast"/>
              <w:jc w:val="right"/>
              <w:rPr>
                <w:rFonts w:cs="Arial"/>
                <w:color w:val="000000"/>
                <w:sz w:val="22"/>
                <w:szCs w:val="22"/>
              </w:rPr>
            </w:pPr>
            <w:r w:rsidRPr="00D37B23">
              <w:rPr>
                <w:rFonts w:cs="Arial"/>
                <w:color w:val="000000"/>
                <w:sz w:val="22"/>
                <w:szCs w:val="22"/>
              </w:rPr>
              <w:t>$2,857,043</w:t>
            </w:r>
          </w:p>
        </w:tc>
        <w:tc>
          <w:tcPr>
            <w:tcW w:w="1290" w:type="dxa"/>
            <w:shd w:val="clear" w:color="auto" w:fill="auto"/>
            <w:hideMark/>
          </w:tcPr>
          <w:p w14:paraId="1526EE2E" w14:textId="77777777" w:rsidR="00E41A00" w:rsidRPr="00D37B23" w:rsidRDefault="00E41A00" w:rsidP="00836552">
            <w:pPr>
              <w:suppressAutoHyphens/>
              <w:spacing w:after="0" w:line="280" w:lineRule="atLeast"/>
              <w:jc w:val="right"/>
              <w:rPr>
                <w:rFonts w:cs="Arial"/>
                <w:color w:val="000000"/>
                <w:sz w:val="22"/>
                <w:szCs w:val="22"/>
              </w:rPr>
            </w:pPr>
            <w:r w:rsidRPr="00D37B23">
              <w:rPr>
                <w:rFonts w:cs="Arial"/>
                <w:color w:val="000000"/>
                <w:sz w:val="22"/>
                <w:szCs w:val="22"/>
              </w:rPr>
              <w:t>$2,680,671</w:t>
            </w:r>
          </w:p>
        </w:tc>
        <w:tc>
          <w:tcPr>
            <w:tcW w:w="1290" w:type="dxa"/>
            <w:shd w:val="clear" w:color="auto" w:fill="auto"/>
            <w:hideMark/>
          </w:tcPr>
          <w:p w14:paraId="118C0559" w14:textId="77777777" w:rsidR="00E41A00" w:rsidRPr="00D37B23" w:rsidRDefault="00E41A00" w:rsidP="00836552">
            <w:pPr>
              <w:suppressAutoHyphens/>
              <w:spacing w:after="0" w:line="280" w:lineRule="atLeast"/>
              <w:jc w:val="right"/>
              <w:rPr>
                <w:rFonts w:cs="Arial"/>
                <w:color w:val="FF0000"/>
                <w:sz w:val="22"/>
                <w:szCs w:val="22"/>
              </w:rPr>
            </w:pPr>
            <w:r w:rsidRPr="00D37B23">
              <w:rPr>
                <w:rFonts w:cs="Arial"/>
                <w:color w:val="000000"/>
                <w:sz w:val="22"/>
                <w:szCs w:val="22"/>
              </w:rPr>
              <w:t>$176,372</w:t>
            </w:r>
          </w:p>
        </w:tc>
      </w:tr>
      <w:tr w:rsidR="00E41A00" w:rsidRPr="00D37B23" w14:paraId="3194727E" w14:textId="77777777" w:rsidTr="006E2755">
        <w:trPr>
          <w:trHeight w:val="895"/>
        </w:trPr>
        <w:tc>
          <w:tcPr>
            <w:tcW w:w="600" w:type="dxa"/>
            <w:shd w:val="clear" w:color="auto" w:fill="auto"/>
            <w:noWrap/>
          </w:tcPr>
          <w:p w14:paraId="34A05177" w14:textId="77777777" w:rsidR="00E41A00" w:rsidRPr="00D37B23" w:rsidRDefault="00E41A00" w:rsidP="00836552">
            <w:pPr>
              <w:suppressAutoHyphens/>
              <w:spacing w:after="0" w:line="280" w:lineRule="atLeast"/>
              <w:rPr>
                <w:rFonts w:cs="Arial"/>
                <w:color w:val="000000"/>
                <w:sz w:val="22"/>
                <w:szCs w:val="22"/>
              </w:rPr>
            </w:pPr>
            <w:r w:rsidRPr="00D37B23">
              <w:rPr>
                <w:rFonts w:cs="Arial"/>
                <w:color w:val="000000"/>
                <w:sz w:val="22"/>
                <w:szCs w:val="22"/>
              </w:rPr>
              <w:t>C5</w:t>
            </w:r>
          </w:p>
        </w:tc>
        <w:tc>
          <w:tcPr>
            <w:tcW w:w="5491" w:type="dxa"/>
            <w:shd w:val="clear" w:color="auto" w:fill="auto"/>
          </w:tcPr>
          <w:p w14:paraId="05620A9D" w14:textId="77777777" w:rsidR="00E41A00" w:rsidRPr="00D37B23" w:rsidRDefault="00E41A00" w:rsidP="00836552">
            <w:pPr>
              <w:suppressAutoHyphens/>
              <w:spacing w:after="0" w:line="280" w:lineRule="atLeast"/>
              <w:rPr>
                <w:rFonts w:cs="Arial"/>
                <w:sz w:val="22"/>
                <w:szCs w:val="22"/>
              </w:rPr>
            </w:pPr>
            <w:r w:rsidRPr="00D37B23">
              <w:rPr>
                <w:rFonts w:cs="Arial"/>
                <w:sz w:val="22"/>
                <w:szCs w:val="22"/>
              </w:rPr>
              <w:t xml:space="preserve">Providing newsletters and quarterly telecommunications facts and figures on website; providing fact sheets and maintaining currency of supporting consumer material on the ACMA website and other media platforms </w:t>
            </w:r>
          </w:p>
        </w:tc>
        <w:tc>
          <w:tcPr>
            <w:tcW w:w="1290" w:type="dxa"/>
            <w:shd w:val="clear" w:color="auto" w:fill="auto"/>
          </w:tcPr>
          <w:p w14:paraId="1D3DEE59" w14:textId="77777777" w:rsidR="00E41A00" w:rsidRPr="00D37B23" w:rsidRDefault="00E41A00" w:rsidP="00836552">
            <w:pPr>
              <w:suppressAutoHyphens/>
              <w:spacing w:after="0" w:line="280" w:lineRule="atLeast"/>
              <w:jc w:val="right"/>
              <w:rPr>
                <w:rFonts w:cs="Arial"/>
                <w:color w:val="000000"/>
                <w:sz w:val="22"/>
                <w:szCs w:val="22"/>
              </w:rPr>
            </w:pPr>
            <w:r w:rsidRPr="00D37B23">
              <w:rPr>
                <w:rFonts w:cs="Arial"/>
                <w:color w:val="000000"/>
                <w:sz w:val="22"/>
                <w:szCs w:val="22"/>
              </w:rPr>
              <w:t>$75,828</w:t>
            </w:r>
          </w:p>
        </w:tc>
        <w:tc>
          <w:tcPr>
            <w:tcW w:w="1290" w:type="dxa"/>
            <w:shd w:val="clear" w:color="auto" w:fill="auto"/>
          </w:tcPr>
          <w:p w14:paraId="6BED807B" w14:textId="77777777" w:rsidR="00E41A00" w:rsidRPr="00D37B23" w:rsidRDefault="00E41A00" w:rsidP="00836552">
            <w:pPr>
              <w:suppressAutoHyphens/>
              <w:spacing w:after="0" w:line="280" w:lineRule="atLeast"/>
              <w:jc w:val="right"/>
              <w:rPr>
                <w:rFonts w:cs="Arial"/>
                <w:color w:val="000000"/>
                <w:sz w:val="22"/>
                <w:szCs w:val="22"/>
              </w:rPr>
            </w:pPr>
            <w:r w:rsidRPr="00D37B23">
              <w:rPr>
                <w:rFonts w:cs="Arial"/>
                <w:color w:val="000000"/>
                <w:sz w:val="22"/>
                <w:szCs w:val="22"/>
              </w:rPr>
              <w:t>$149,540</w:t>
            </w:r>
          </w:p>
        </w:tc>
        <w:tc>
          <w:tcPr>
            <w:tcW w:w="1290" w:type="dxa"/>
            <w:shd w:val="clear" w:color="auto" w:fill="auto"/>
          </w:tcPr>
          <w:p w14:paraId="1166D8B6" w14:textId="77777777" w:rsidR="00E41A00" w:rsidRPr="00D37B23" w:rsidRDefault="00E41A00" w:rsidP="00836552">
            <w:pPr>
              <w:suppressAutoHyphens/>
              <w:spacing w:after="0" w:line="280" w:lineRule="atLeast"/>
              <w:jc w:val="right"/>
              <w:rPr>
                <w:rFonts w:cs="Arial"/>
                <w:sz w:val="22"/>
                <w:szCs w:val="22"/>
              </w:rPr>
            </w:pPr>
            <w:r w:rsidRPr="00D37B23">
              <w:rPr>
                <w:rFonts w:cs="Arial"/>
                <w:color w:val="FF0000"/>
                <w:sz w:val="22"/>
                <w:szCs w:val="22"/>
              </w:rPr>
              <w:t>($73,711)</w:t>
            </w:r>
          </w:p>
        </w:tc>
      </w:tr>
      <w:tr w:rsidR="00E41A00" w:rsidRPr="00D37B23" w14:paraId="088EA1F2" w14:textId="77777777" w:rsidTr="00836552">
        <w:trPr>
          <w:trHeight w:val="297"/>
        </w:trPr>
        <w:tc>
          <w:tcPr>
            <w:tcW w:w="600" w:type="dxa"/>
            <w:shd w:val="clear" w:color="auto" w:fill="auto"/>
            <w:noWrap/>
            <w:hideMark/>
          </w:tcPr>
          <w:p w14:paraId="26F92457" w14:textId="77777777" w:rsidR="00E41A00" w:rsidRPr="00D37B23" w:rsidRDefault="00E41A00" w:rsidP="00836552">
            <w:pPr>
              <w:suppressAutoHyphens/>
              <w:spacing w:after="0" w:line="280" w:lineRule="atLeast"/>
              <w:rPr>
                <w:rFonts w:cs="Arial"/>
                <w:color w:val="000000"/>
                <w:sz w:val="22"/>
                <w:szCs w:val="22"/>
              </w:rPr>
            </w:pPr>
            <w:r w:rsidRPr="00D37B23">
              <w:rPr>
                <w:rFonts w:cs="Arial"/>
                <w:color w:val="000000"/>
                <w:sz w:val="22"/>
                <w:szCs w:val="22"/>
              </w:rPr>
              <w:t>C6</w:t>
            </w:r>
          </w:p>
        </w:tc>
        <w:tc>
          <w:tcPr>
            <w:tcW w:w="5491" w:type="dxa"/>
            <w:shd w:val="clear" w:color="auto" w:fill="auto"/>
            <w:hideMark/>
          </w:tcPr>
          <w:p w14:paraId="3EF3EBE8" w14:textId="77777777" w:rsidR="00E41A00" w:rsidRPr="00D37B23" w:rsidRDefault="00E41A00" w:rsidP="00836552">
            <w:pPr>
              <w:suppressAutoHyphens/>
              <w:spacing w:after="0" w:line="280" w:lineRule="atLeast"/>
              <w:rPr>
                <w:rFonts w:cs="Arial"/>
                <w:sz w:val="22"/>
                <w:szCs w:val="22"/>
              </w:rPr>
            </w:pPr>
            <w:r w:rsidRPr="00D37B23">
              <w:rPr>
                <w:rFonts w:cs="Arial"/>
                <w:sz w:val="22"/>
                <w:szCs w:val="22"/>
              </w:rPr>
              <w:t>Responding to enquiries and undertaking investigations about the emergency call service, the T</w:t>
            </w:r>
            <w:r w:rsidRPr="00D37B23">
              <w:rPr>
                <w:rFonts w:cs="Arial"/>
                <w:color w:val="000000"/>
                <w:sz w:val="22"/>
                <w:szCs w:val="22"/>
                <w:shd w:val="clear" w:color="auto" w:fill="FFFFFF"/>
              </w:rPr>
              <w:t>elecommunications (Service Provider — Identity Checks for Prepaid Mobile Carriage Services) Determination 2017</w:t>
            </w:r>
            <w:r w:rsidRPr="00D37B23">
              <w:rPr>
                <w:rFonts w:cs="Arial"/>
                <w:sz w:val="22"/>
                <w:szCs w:val="22"/>
              </w:rPr>
              <w:t xml:space="preserve">, carrier licensing and infrastructure deployment; reporting on the number of disclosures of customer information and the costs of providing an interception capability; enforcing compliance with the requirement to submit interception capability plans; </w:t>
            </w:r>
            <w:r w:rsidRPr="00D37B23">
              <w:rPr>
                <w:rFonts w:cs="Arial"/>
                <w:sz w:val="22"/>
                <w:szCs w:val="22"/>
              </w:rPr>
              <w:lastRenderedPageBreak/>
              <w:t>reporting on the cost of data retention and telecommunications sector security reforms</w:t>
            </w:r>
          </w:p>
        </w:tc>
        <w:tc>
          <w:tcPr>
            <w:tcW w:w="1290" w:type="dxa"/>
            <w:shd w:val="clear" w:color="auto" w:fill="auto"/>
            <w:hideMark/>
          </w:tcPr>
          <w:p w14:paraId="2EADF601" w14:textId="77777777" w:rsidR="00E41A00" w:rsidRPr="00D37B23" w:rsidRDefault="00E41A00" w:rsidP="00836552">
            <w:pPr>
              <w:suppressAutoHyphens/>
              <w:spacing w:after="0" w:line="280" w:lineRule="atLeast"/>
              <w:jc w:val="right"/>
              <w:rPr>
                <w:rFonts w:cs="Arial"/>
                <w:color w:val="000000"/>
                <w:sz w:val="22"/>
                <w:szCs w:val="22"/>
              </w:rPr>
            </w:pPr>
            <w:r w:rsidRPr="00D37B23">
              <w:rPr>
                <w:rFonts w:cs="Arial"/>
                <w:color w:val="000000"/>
                <w:sz w:val="22"/>
                <w:szCs w:val="22"/>
              </w:rPr>
              <w:lastRenderedPageBreak/>
              <w:t>$1,976,776</w:t>
            </w:r>
          </w:p>
        </w:tc>
        <w:tc>
          <w:tcPr>
            <w:tcW w:w="1290" w:type="dxa"/>
            <w:shd w:val="clear" w:color="auto" w:fill="auto"/>
            <w:hideMark/>
          </w:tcPr>
          <w:p w14:paraId="62C34C38" w14:textId="77777777" w:rsidR="00E41A00" w:rsidRPr="00D37B23" w:rsidRDefault="00E41A00" w:rsidP="00836552">
            <w:pPr>
              <w:suppressAutoHyphens/>
              <w:spacing w:after="0" w:line="280" w:lineRule="atLeast"/>
              <w:jc w:val="right"/>
              <w:rPr>
                <w:rFonts w:cs="Arial"/>
                <w:color w:val="000000"/>
                <w:sz w:val="22"/>
                <w:szCs w:val="22"/>
              </w:rPr>
            </w:pPr>
            <w:r w:rsidRPr="00D37B23">
              <w:rPr>
                <w:rFonts w:cs="Arial"/>
                <w:color w:val="000000"/>
                <w:sz w:val="22"/>
                <w:szCs w:val="22"/>
              </w:rPr>
              <w:t>$1,970,821</w:t>
            </w:r>
          </w:p>
        </w:tc>
        <w:tc>
          <w:tcPr>
            <w:tcW w:w="1290" w:type="dxa"/>
            <w:shd w:val="clear" w:color="auto" w:fill="auto"/>
            <w:hideMark/>
          </w:tcPr>
          <w:p w14:paraId="794FE199" w14:textId="77777777" w:rsidR="00E41A00" w:rsidRPr="00D37B23" w:rsidRDefault="00E41A00" w:rsidP="00836552">
            <w:pPr>
              <w:suppressAutoHyphens/>
              <w:spacing w:after="0" w:line="280" w:lineRule="atLeast"/>
              <w:jc w:val="right"/>
              <w:rPr>
                <w:rFonts w:cs="Arial"/>
                <w:sz w:val="22"/>
                <w:szCs w:val="22"/>
              </w:rPr>
            </w:pPr>
            <w:r w:rsidRPr="00D37B23">
              <w:rPr>
                <w:rFonts w:cs="Arial"/>
                <w:color w:val="000000"/>
                <w:sz w:val="22"/>
                <w:szCs w:val="22"/>
              </w:rPr>
              <w:t>$5,955</w:t>
            </w:r>
          </w:p>
        </w:tc>
      </w:tr>
      <w:tr w:rsidR="00E41A00" w:rsidRPr="00D37B23" w14:paraId="5FC7B68E" w14:textId="77777777" w:rsidTr="006E2755">
        <w:trPr>
          <w:trHeight w:val="693"/>
        </w:trPr>
        <w:tc>
          <w:tcPr>
            <w:tcW w:w="600" w:type="dxa"/>
            <w:shd w:val="clear" w:color="auto" w:fill="auto"/>
            <w:noWrap/>
            <w:hideMark/>
          </w:tcPr>
          <w:p w14:paraId="62E78206" w14:textId="77777777" w:rsidR="00E41A00" w:rsidRPr="00D37B23" w:rsidRDefault="00E41A00" w:rsidP="00836552">
            <w:pPr>
              <w:suppressAutoHyphens/>
              <w:spacing w:after="0" w:line="280" w:lineRule="atLeast"/>
              <w:rPr>
                <w:rFonts w:cs="Arial"/>
                <w:color w:val="000000"/>
                <w:sz w:val="22"/>
                <w:szCs w:val="22"/>
              </w:rPr>
            </w:pPr>
            <w:r w:rsidRPr="00D37B23">
              <w:rPr>
                <w:rFonts w:cs="Arial"/>
                <w:color w:val="000000"/>
                <w:sz w:val="22"/>
                <w:szCs w:val="22"/>
              </w:rPr>
              <w:t>C7</w:t>
            </w:r>
          </w:p>
        </w:tc>
        <w:tc>
          <w:tcPr>
            <w:tcW w:w="5491" w:type="dxa"/>
            <w:shd w:val="clear" w:color="auto" w:fill="auto"/>
            <w:hideMark/>
          </w:tcPr>
          <w:p w14:paraId="66741A76" w14:textId="77777777" w:rsidR="00E41A00" w:rsidRPr="00D37B23" w:rsidRDefault="00E41A00" w:rsidP="00836552">
            <w:pPr>
              <w:suppressAutoHyphens/>
              <w:spacing w:after="0" w:line="280" w:lineRule="atLeast"/>
              <w:rPr>
                <w:rFonts w:cs="Arial"/>
                <w:sz w:val="22"/>
                <w:szCs w:val="22"/>
              </w:rPr>
            </w:pPr>
            <w:r w:rsidRPr="00D37B23">
              <w:rPr>
                <w:rFonts w:cs="Arial"/>
                <w:sz w:val="22"/>
                <w:szCs w:val="22"/>
              </w:rPr>
              <w:t>Maintaining telecommunications network resilience through the Statutory Infrastructure Provider Register and overseeing Telstra's compliance with Carrier Licence Conditions such as the Network Reliability Framework and regional reporting</w:t>
            </w:r>
          </w:p>
        </w:tc>
        <w:tc>
          <w:tcPr>
            <w:tcW w:w="1290" w:type="dxa"/>
            <w:shd w:val="clear" w:color="auto" w:fill="auto"/>
            <w:hideMark/>
          </w:tcPr>
          <w:p w14:paraId="0F280B7E" w14:textId="77777777" w:rsidR="00E41A00" w:rsidRPr="00D37B23" w:rsidRDefault="00E41A00" w:rsidP="00836552">
            <w:pPr>
              <w:suppressAutoHyphens/>
              <w:spacing w:after="0" w:line="280" w:lineRule="atLeast"/>
              <w:jc w:val="right"/>
              <w:rPr>
                <w:rFonts w:cs="Arial"/>
                <w:color w:val="000000"/>
                <w:sz w:val="22"/>
                <w:szCs w:val="22"/>
              </w:rPr>
            </w:pPr>
            <w:r w:rsidRPr="00D37B23">
              <w:rPr>
                <w:rFonts w:cs="Arial"/>
                <w:color w:val="000000"/>
                <w:sz w:val="22"/>
                <w:szCs w:val="22"/>
              </w:rPr>
              <w:t>$954,204</w:t>
            </w:r>
          </w:p>
        </w:tc>
        <w:tc>
          <w:tcPr>
            <w:tcW w:w="1290" w:type="dxa"/>
            <w:shd w:val="clear" w:color="auto" w:fill="auto"/>
            <w:hideMark/>
          </w:tcPr>
          <w:p w14:paraId="0E4DA676" w14:textId="77777777" w:rsidR="00E41A00" w:rsidRPr="00D37B23" w:rsidRDefault="00E41A00" w:rsidP="00836552">
            <w:pPr>
              <w:suppressAutoHyphens/>
              <w:spacing w:after="0" w:line="280" w:lineRule="atLeast"/>
              <w:jc w:val="right"/>
              <w:rPr>
                <w:rFonts w:cs="Arial"/>
                <w:color w:val="000000"/>
                <w:sz w:val="22"/>
                <w:szCs w:val="22"/>
              </w:rPr>
            </w:pPr>
            <w:r w:rsidRPr="00D37B23">
              <w:rPr>
                <w:rFonts w:cs="Arial"/>
                <w:color w:val="000000"/>
                <w:sz w:val="22"/>
                <w:szCs w:val="22"/>
              </w:rPr>
              <w:t>$738,746</w:t>
            </w:r>
          </w:p>
        </w:tc>
        <w:tc>
          <w:tcPr>
            <w:tcW w:w="1290" w:type="dxa"/>
            <w:shd w:val="clear" w:color="auto" w:fill="auto"/>
            <w:hideMark/>
          </w:tcPr>
          <w:p w14:paraId="53F7AD7F" w14:textId="77777777" w:rsidR="00E41A00" w:rsidRPr="00D37B23" w:rsidRDefault="00E41A00" w:rsidP="00836552">
            <w:pPr>
              <w:suppressAutoHyphens/>
              <w:spacing w:after="0" w:line="280" w:lineRule="atLeast"/>
              <w:jc w:val="right"/>
              <w:rPr>
                <w:rFonts w:cs="Arial"/>
                <w:sz w:val="22"/>
                <w:szCs w:val="22"/>
              </w:rPr>
            </w:pPr>
            <w:r w:rsidRPr="00D37B23">
              <w:rPr>
                <w:rFonts w:cs="Arial"/>
                <w:color w:val="000000"/>
                <w:sz w:val="22"/>
                <w:szCs w:val="22"/>
              </w:rPr>
              <w:t>$215,458</w:t>
            </w:r>
          </w:p>
        </w:tc>
      </w:tr>
      <w:tr w:rsidR="00E41A00" w:rsidRPr="00D37B23" w14:paraId="3A9F8B70" w14:textId="77777777" w:rsidTr="006E2755">
        <w:trPr>
          <w:trHeight w:val="723"/>
        </w:trPr>
        <w:tc>
          <w:tcPr>
            <w:tcW w:w="600" w:type="dxa"/>
            <w:shd w:val="clear" w:color="auto" w:fill="auto"/>
            <w:noWrap/>
          </w:tcPr>
          <w:p w14:paraId="0BB34220" w14:textId="77777777" w:rsidR="00E41A00" w:rsidRPr="00D37B23" w:rsidRDefault="00E41A00" w:rsidP="00836552">
            <w:pPr>
              <w:suppressAutoHyphens/>
              <w:spacing w:after="0" w:line="280" w:lineRule="atLeast"/>
              <w:rPr>
                <w:rFonts w:cs="Arial"/>
                <w:color w:val="000000"/>
                <w:sz w:val="22"/>
                <w:szCs w:val="22"/>
              </w:rPr>
            </w:pPr>
            <w:r w:rsidRPr="00D37B23">
              <w:rPr>
                <w:rFonts w:cs="Arial"/>
                <w:color w:val="000000"/>
                <w:sz w:val="22"/>
                <w:szCs w:val="22"/>
              </w:rPr>
              <w:t>C9</w:t>
            </w:r>
          </w:p>
        </w:tc>
        <w:tc>
          <w:tcPr>
            <w:tcW w:w="5491" w:type="dxa"/>
            <w:shd w:val="clear" w:color="auto" w:fill="auto"/>
          </w:tcPr>
          <w:p w14:paraId="76FC859C" w14:textId="77777777" w:rsidR="00E41A00" w:rsidRPr="00D37B23" w:rsidRDefault="00E41A00" w:rsidP="00836552">
            <w:pPr>
              <w:suppressAutoHyphens/>
              <w:spacing w:after="0" w:line="280" w:lineRule="atLeast"/>
              <w:rPr>
                <w:rFonts w:cs="Arial"/>
                <w:sz w:val="22"/>
                <w:szCs w:val="22"/>
              </w:rPr>
            </w:pPr>
            <w:r w:rsidRPr="00D37B23">
              <w:rPr>
                <w:rFonts w:cs="Arial"/>
                <w:sz w:val="22"/>
                <w:szCs w:val="22"/>
              </w:rPr>
              <w:t>Conducting compliance and enforcement activities to ensure that the telecommunications industry complies with new regulations to improve the experience of consumers migrating to the NBN, including with the Consumer Information Standard, Service Continuity Standard and Service Migration Determination and the Complaints Handling Standard</w:t>
            </w:r>
          </w:p>
        </w:tc>
        <w:tc>
          <w:tcPr>
            <w:tcW w:w="1290" w:type="dxa"/>
            <w:shd w:val="clear" w:color="auto" w:fill="auto"/>
          </w:tcPr>
          <w:p w14:paraId="509EB685" w14:textId="77777777" w:rsidR="00E41A00" w:rsidRPr="00D37B23" w:rsidRDefault="00E41A00" w:rsidP="00836552">
            <w:pPr>
              <w:suppressAutoHyphens/>
              <w:spacing w:after="0" w:line="280" w:lineRule="atLeast"/>
              <w:jc w:val="right"/>
              <w:rPr>
                <w:rFonts w:cs="Arial"/>
                <w:color w:val="000000"/>
                <w:sz w:val="22"/>
                <w:szCs w:val="22"/>
              </w:rPr>
            </w:pPr>
            <w:r w:rsidRPr="00D37B23">
              <w:rPr>
                <w:rFonts w:cs="Arial"/>
                <w:color w:val="000000"/>
                <w:sz w:val="22"/>
                <w:szCs w:val="22"/>
              </w:rPr>
              <w:t>$367,679</w:t>
            </w:r>
          </w:p>
        </w:tc>
        <w:tc>
          <w:tcPr>
            <w:tcW w:w="1290" w:type="dxa"/>
            <w:shd w:val="clear" w:color="auto" w:fill="auto"/>
          </w:tcPr>
          <w:p w14:paraId="73CCE81A" w14:textId="77777777" w:rsidR="00E41A00" w:rsidRPr="00D37B23" w:rsidRDefault="00E41A00" w:rsidP="00836552">
            <w:pPr>
              <w:suppressAutoHyphens/>
              <w:spacing w:after="0" w:line="280" w:lineRule="atLeast"/>
              <w:jc w:val="right"/>
              <w:rPr>
                <w:rFonts w:cs="Arial"/>
                <w:color w:val="000000"/>
                <w:sz w:val="22"/>
                <w:szCs w:val="22"/>
              </w:rPr>
            </w:pPr>
            <w:r w:rsidRPr="00D37B23">
              <w:rPr>
                <w:rFonts w:cs="Arial"/>
                <w:color w:val="000000"/>
                <w:sz w:val="22"/>
                <w:szCs w:val="22"/>
              </w:rPr>
              <w:t>$662,741</w:t>
            </w:r>
          </w:p>
        </w:tc>
        <w:tc>
          <w:tcPr>
            <w:tcW w:w="1290" w:type="dxa"/>
            <w:shd w:val="clear" w:color="auto" w:fill="auto"/>
          </w:tcPr>
          <w:p w14:paraId="16F11AD8" w14:textId="77777777" w:rsidR="00E41A00" w:rsidRPr="00D37B23" w:rsidRDefault="00E41A00" w:rsidP="00836552">
            <w:pPr>
              <w:suppressAutoHyphens/>
              <w:spacing w:after="0" w:line="280" w:lineRule="atLeast"/>
              <w:jc w:val="right"/>
              <w:rPr>
                <w:rFonts w:cs="Arial"/>
                <w:color w:val="000000"/>
                <w:sz w:val="22"/>
                <w:szCs w:val="22"/>
              </w:rPr>
            </w:pPr>
            <w:r w:rsidRPr="00D37B23">
              <w:rPr>
                <w:rFonts w:cs="Arial"/>
                <w:color w:val="FF0000"/>
                <w:sz w:val="22"/>
                <w:szCs w:val="22"/>
              </w:rPr>
              <w:t>($295,062)</w:t>
            </w:r>
          </w:p>
        </w:tc>
      </w:tr>
      <w:tr w:rsidR="00E41A00" w:rsidRPr="00D37B23" w14:paraId="79737A31" w14:textId="77777777" w:rsidTr="006E2755">
        <w:trPr>
          <w:trHeight w:val="28"/>
        </w:trPr>
        <w:tc>
          <w:tcPr>
            <w:tcW w:w="600" w:type="dxa"/>
            <w:shd w:val="clear" w:color="000000" w:fill="D9D9D9"/>
            <w:noWrap/>
            <w:hideMark/>
          </w:tcPr>
          <w:p w14:paraId="15B51FA8" w14:textId="77777777" w:rsidR="00E41A00" w:rsidRPr="00D37B23" w:rsidRDefault="00E41A00" w:rsidP="00836552">
            <w:pPr>
              <w:suppressAutoHyphens/>
              <w:spacing w:after="0" w:line="280" w:lineRule="atLeast"/>
              <w:rPr>
                <w:rFonts w:cs="Arial"/>
                <w:color w:val="000000"/>
                <w:sz w:val="22"/>
                <w:szCs w:val="22"/>
              </w:rPr>
            </w:pPr>
            <w:r w:rsidRPr="00D37B23">
              <w:rPr>
                <w:rFonts w:cs="Arial"/>
                <w:color w:val="000000"/>
                <w:sz w:val="22"/>
                <w:szCs w:val="22"/>
              </w:rPr>
              <w:t> </w:t>
            </w:r>
          </w:p>
        </w:tc>
        <w:tc>
          <w:tcPr>
            <w:tcW w:w="5491" w:type="dxa"/>
            <w:shd w:val="clear" w:color="000000" w:fill="D9D9D9"/>
            <w:hideMark/>
          </w:tcPr>
          <w:p w14:paraId="608C2CF2" w14:textId="77777777" w:rsidR="00E41A00" w:rsidRPr="00D37B23" w:rsidRDefault="00E41A00" w:rsidP="00836552">
            <w:pPr>
              <w:suppressAutoHyphens/>
              <w:spacing w:after="0" w:line="280" w:lineRule="atLeast"/>
              <w:rPr>
                <w:rFonts w:cs="Arial"/>
                <w:b/>
                <w:bCs/>
                <w:color w:val="000000"/>
                <w:sz w:val="22"/>
                <w:szCs w:val="22"/>
              </w:rPr>
            </w:pPr>
            <w:r w:rsidRPr="00D37B23">
              <w:rPr>
                <w:rFonts w:cs="Arial"/>
                <w:b/>
                <w:bCs/>
                <w:color w:val="000000"/>
                <w:sz w:val="22"/>
                <w:szCs w:val="22"/>
              </w:rPr>
              <w:t> Total costs</w:t>
            </w:r>
          </w:p>
        </w:tc>
        <w:tc>
          <w:tcPr>
            <w:tcW w:w="1290" w:type="dxa"/>
            <w:shd w:val="clear" w:color="000000" w:fill="D9D9D9"/>
            <w:hideMark/>
          </w:tcPr>
          <w:p w14:paraId="7CA5339A" w14:textId="77777777" w:rsidR="00E41A00" w:rsidRPr="00D37B23" w:rsidRDefault="00E41A00" w:rsidP="00836552">
            <w:pPr>
              <w:suppressAutoHyphens/>
              <w:spacing w:after="0" w:line="280" w:lineRule="atLeast"/>
              <w:jc w:val="right"/>
              <w:rPr>
                <w:rFonts w:cs="Arial"/>
                <w:b/>
                <w:color w:val="000000"/>
                <w:sz w:val="22"/>
                <w:szCs w:val="22"/>
              </w:rPr>
            </w:pPr>
            <w:r w:rsidRPr="00D37B23">
              <w:rPr>
                <w:rFonts w:cs="Arial"/>
                <w:b/>
                <w:color w:val="000000"/>
                <w:sz w:val="22"/>
                <w:szCs w:val="22"/>
              </w:rPr>
              <w:t>$6,302,731</w:t>
            </w:r>
          </w:p>
        </w:tc>
        <w:tc>
          <w:tcPr>
            <w:tcW w:w="1290" w:type="dxa"/>
            <w:shd w:val="clear" w:color="000000" w:fill="D9D9D9"/>
            <w:hideMark/>
          </w:tcPr>
          <w:p w14:paraId="68B9862A" w14:textId="77777777" w:rsidR="00E41A00" w:rsidRPr="00D37B23" w:rsidRDefault="00E41A00" w:rsidP="00836552">
            <w:pPr>
              <w:suppressAutoHyphens/>
              <w:spacing w:after="0" w:line="280" w:lineRule="atLeast"/>
              <w:jc w:val="right"/>
              <w:rPr>
                <w:rFonts w:cs="Arial"/>
                <w:b/>
                <w:color w:val="000000"/>
                <w:sz w:val="22"/>
                <w:szCs w:val="22"/>
              </w:rPr>
            </w:pPr>
            <w:r w:rsidRPr="00D37B23">
              <w:rPr>
                <w:rFonts w:cs="Arial"/>
                <w:b/>
                <w:color w:val="000000"/>
                <w:sz w:val="22"/>
                <w:szCs w:val="22"/>
              </w:rPr>
              <w:t>$6,360,963</w:t>
            </w:r>
          </w:p>
        </w:tc>
        <w:tc>
          <w:tcPr>
            <w:tcW w:w="1290" w:type="dxa"/>
            <w:shd w:val="clear" w:color="000000" w:fill="D9D9D9"/>
            <w:hideMark/>
          </w:tcPr>
          <w:p w14:paraId="305CF6C4" w14:textId="77777777" w:rsidR="00E41A00" w:rsidRPr="00D37B23" w:rsidRDefault="00E41A00" w:rsidP="00836552">
            <w:pPr>
              <w:suppressAutoHyphens/>
              <w:spacing w:after="0" w:line="280" w:lineRule="atLeast"/>
              <w:jc w:val="right"/>
              <w:rPr>
                <w:rFonts w:cs="Arial"/>
                <w:b/>
                <w:sz w:val="22"/>
                <w:szCs w:val="22"/>
              </w:rPr>
            </w:pPr>
            <w:r w:rsidRPr="00D37B23">
              <w:rPr>
                <w:rFonts w:cs="Arial"/>
                <w:b/>
                <w:color w:val="FF0000"/>
                <w:sz w:val="22"/>
                <w:szCs w:val="22"/>
              </w:rPr>
              <w:t>($58,232)</w:t>
            </w:r>
          </w:p>
        </w:tc>
      </w:tr>
    </w:tbl>
    <w:bookmarkEnd w:id="105"/>
    <w:p w14:paraId="5E23A475" w14:textId="77777777" w:rsidR="00E41A00" w:rsidRPr="001C6738" w:rsidRDefault="00E41A00" w:rsidP="00E41A00">
      <w:pPr>
        <w:pStyle w:val="Tableorfigurenote"/>
        <w:suppressAutoHyphens/>
      </w:pPr>
      <w:r w:rsidRPr="001C6738">
        <w:t>Note: Sums may not add due to rounding</w:t>
      </w:r>
      <w:r>
        <w:t>.</w:t>
      </w:r>
    </w:p>
    <w:p w14:paraId="186903AF" w14:textId="77777777" w:rsidR="00E41A00" w:rsidRPr="00AE6A60" w:rsidRDefault="00E41A00" w:rsidP="00D37B23">
      <w:pPr>
        <w:pStyle w:val="Heading4"/>
      </w:pPr>
      <w:r w:rsidRPr="00AE6A60">
        <w:t>Licensing and number allocation</w:t>
      </w:r>
    </w:p>
    <w:p w14:paraId="0FBF08A0" w14:textId="77777777" w:rsidR="00E41A00" w:rsidRDefault="00E41A00" w:rsidP="00D37B23">
      <w:pPr>
        <w:pStyle w:val="Paragraphbeforelist"/>
      </w:pPr>
      <w:r w:rsidRPr="00AE6A60">
        <w:t xml:space="preserve">This </w:t>
      </w:r>
      <w:r w:rsidRPr="00D37B23">
        <w:t>output</w:t>
      </w:r>
      <w:r w:rsidRPr="00AE6A60">
        <w:t xml:space="preserve"> includes</w:t>
      </w:r>
      <w:r>
        <w:t>:</w:t>
      </w:r>
      <w:r w:rsidRPr="00AE6A60">
        <w:t xml:space="preserve"> </w:t>
      </w:r>
    </w:p>
    <w:p w14:paraId="2EBA9082" w14:textId="77777777" w:rsidR="00E41A00" w:rsidRDefault="00E41A00" w:rsidP="00D37B23">
      <w:pPr>
        <w:pStyle w:val="Bulletlevel1"/>
      </w:pPr>
      <w:r w:rsidRPr="00D37B23">
        <w:t>planning</w:t>
      </w:r>
      <w:r w:rsidRPr="00AE6A60">
        <w:t xml:space="preserve">, </w:t>
      </w:r>
      <w:proofErr w:type="gramStart"/>
      <w:r w:rsidRPr="00AE6A60">
        <w:t>develop</w:t>
      </w:r>
      <w:r>
        <w:t>ing</w:t>
      </w:r>
      <w:proofErr w:type="gramEnd"/>
      <w:r>
        <w:t xml:space="preserve"> </w:t>
      </w:r>
      <w:r w:rsidRPr="00AE6A60">
        <w:t>and manag</w:t>
      </w:r>
      <w:r>
        <w:t>ing</w:t>
      </w:r>
      <w:r w:rsidRPr="00AE6A60">
        <w:t xml:space="preserve"> telecommunications carrier licences and </w:t>
      </w:r>
      <w:r>
        <w:t>submarine cable permits</w:t>
      </w:r>
      <w:r w:rsidRPr="00AE6A60">
        <w:t xml:space="preserve"> </w:t>
      </w:r>
    </w:p>
    <w:p w14:paraId="46468F69" w14:textId="77777777" w:rsidR="00E41A00" w:rsidRDefault="00E41A00" w:rsidP="00D37B23">
      <w:pPr>
        <w:pStyle w:val="Bulletlevel1last"/>
      </w:pPr>
      <w:r w:rsidRPr="00AE6A60">
        <w:t>planning, develop</w:t>
      </w:r>
      <w:r>
        <w:t>ing</w:t>
      </w:r>
      <w:r w:rsidRPr="00AE6A60">
        <w:t>, allocati</w:t>
      </w:r>
      <w:r>
        <w:t>ng</w:t>
      </w:r>
      <w:r w:rsidRPr="00AE6A60">
        <w:t xml:space="preserve"> and maint</w:t>
      </w:r>
      <w:r>
        <w:t>aining</w:t>
      </w:r>
      <w:r w:rsidRPr="00AE6A60">
        <w:t xml:space="preserve"> telecommunications numbers. </w:t>
      </w:r>
    </w:p>
    <w:p w14:paraId="1BF8943A" w14:textId="386DDDAE" w:rsidR="00F22D2A" w:rsidRDefault="00E41A00" w:rsidP="00D37B23">
      <w:pPr>
        <w:pStyle w:val="Paragraph"/>
      </w:pPr>
      <w:r w:rsidRPr="00AE6A60">
        <w:t>Issuing licences and allocating certain numbers, such as geographic, free-phone, local rate and premium numbers are not included, as these services are delivered on a fee-for-service basis.</w:t>
      </w:r>
    </w:p>
    <w:p w14:paraId="69DE20D8" w14:textId="77777777" w:rsidR="00F22D2A" w:rsidRDefault="00F22D2A">
      <w:pPr>
        <w:spacing w:after="0" w:line="240" w:lineRule="auto"/>
        <w:rPr>
          <w:rFonts w:cs="Arial"/>
          <w:sz w:val="22"/>
        </w:rPr>
      </w:pPr>
      <w:r>
        <w:br w:type="page"/>
      </w:r>
    </w:p>
    <w:p w14:paraId="0C9E8556" w14:textId="77777777" w:rsidR="00E41A00" w:rsidRPr="00AE6A60" w:rsidRDefault="00E41A00" w:rsidP="00D37B23">
      <w:pPr>
        <w:pStyle w:val="Paragraph"/>
      </w:pPr>
    </w:p>
    <w:p w14:paraId="2A5B29D2" w14:textId="2C7D09F0" w:rsidR="00E41A00" w:rsidRPr="00AE6A60" w:rsidRDefault="00E41A00" w:rsidP="00D37B23">
      <w:pPr>
        <w:pStyle w:val="Paragraph"/>
      </w:pPr>
      <w:bookmarkStart w:id="106" w:name="_Hlk8812316"/>
      <w:r w:rsidRPr="00AE6A60">
        <w:t xml:space="preserve">Table </w:t>
      </w:r>
      <w:r>
        <w:t>7</w:t>
      </w:r>
      <w:r w:rsidRPr="00AE6A60">
        <w:t xml:space="preserve"> provides details of the activities provided under this output </w:t>
      </w:r>
      <w:r>
        <w:t>for the 2023</w:t>
      </w:r>
      <w:r w:rsidR="000677AE">
        <w:t>–</w:t>
      </w:r>
      <w:r>
        <w:t>24 and 2022</w:t>
      </w:r>
      <w:r w:rsidR="000677AE">
        <w:t>–</w:t>
      </w:r>
      <w:r>
        <w:t>23 ACLC</w:t>
      </w:r>
      <w:r w:rsidRPr="00AE6A60">
        <w:t>.</w:t>
      </w:r>
    </w:p>
    <w:p w14:paraId="06603256" w14:textId="3E9B40AA" w:rsidR="00E41A00" w:rsidRPr="00AE6A60" w:rsidRDefault="00E41A00" w:rsidP="00836552">
      <w:pPr>
        <w:pStyle w:val="Tableheading"/>
        <w:keepLines/>
      </w:pPr>
      <w:r w:rsidRPr="00AE6A60">
        <w:t>Licensing and number allocation</w:t>
      </w:r>
      <w:r>
        <w:t xml:space="preserve"> – </w:t>
      </w:r>
      <w:r w:rsidRPr="00AE6A60">
        <w:t xml:space="preserve">activities and costs for </w:t>
      </w:r>
      <w:r>
        <w:t>2023</w:t>
      </w:r>
      <w:r w:rsidR="000677AE">
        <w:t>–</w:t>
      </w:r>
      <w:r>
        <w:t>24</w:t>
      </w:r>
      <w:r w:rsidRPr="00AE6A60">
        <w:t xml:space="preserve"> ACLC (based on </w:t>
      </w:r>
      <w:r>
        <w:t>2022</w:t>
      </w:r>
      <w:r w:rsidR="000677AE">
        <w:t>–</w:t>
      </w:r>
      <w:r>
        <w:t>23</w:t>
      </w:r>
      <w:r w:rsidRPr="00AE6A60">
        <w:t xml:space="preserve"> costs)</w:t>
      </w:r>
      <w:r>
        <w:t xml:space="preserve"> and 2022</w:t>
      </w:r>
      <w:r w:rsidR="000677AE">
        <w:t>–</w:t>
      </w:r>
      <w:r>
        <w:t>23 ACLC (based on 2021</w:t>
      </w:r>
      <w:r w:rsidR="000677AE">
        <w:t>–</w:t>
      </w:r>
      <w:r>
        <w:t>22 costs)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545"/>
        <w:gridCol w:w="4683"/>
        <w:gridCol w:w="1378"/>
        <w:gridCol w:w="1378"/>
        <w:gridCol w:w="1650"/>
      </w:tblGrid>
      <w:tr w:rsidR="00E41A00" w:rsidRPr="00D37B23" w14:paraId="22F830BC" w14:textId="77777777" w:rsidTr="006E2755">
        <w:trPr>
          <w:trHeight w:val="365"/>
        </w:trPr>
        <w:tc>
          <w:tcPr>
            <w:tcW w:w="545" w:type="dxa"/>
            <w:shd w:val="clear" w:color="000000" w:fill="404040"/>
            <w:hideMark/>
          </w:tcPr>
          <w:bookmarkEnd w:id="106"/>
          <w:p w14:paraId="3377C6F0" w14:textId="77777777" w:rsidR="00E41A00" w:rsidRPr="00D37B23" w:rsidRDefault="00E41A00" w:rsidP="00836552">
            <w:pPr>
              <w:keepNext/>
              <w:keepLines/>
              <w:spacing w:after="0" w:line="280" w:lineRule="atLeast"/>
              <w:rPr>
                <w:rFonts w:cs="Arial"/>
                <w:b/>
                <w:bCs/>
                <w:color w:val="FFFFFF"/>
                <w:sz w:val="22"/>
                <w:szCs w:val="22"/>
              </w:rPr>
            </w:pPr>
            <w:r w:rsidRPr="00D37B23">
              <w:rPr>
                <w:rFonts w:cs="Arial"/>
                <w:b/>
                <w:bCs/>
                <w:color w:val="FFFFFF"/>
                <w:sz w:val="22"/>
                <w:szCs w:val="22"/>
              </w:rPr>
              <w:t>Ref</w:t>
            </w:r>
          </w:p>
        </w:tc>
        <w:tc>
          <w:tcPr>
            <w:tcW w:w="4683" w:type="dxa"/>
            <w:shd w:val="clear" w:color="000000" w:fill="404040"/>
            <w:hideMark/>
          </w:tcPr>
          <w:p w14:paraId="1517B9C9" w14:textId="77777777" w:rsidR="00E41A00" w:rsidRPr="00D37B23" w:rsidRDefault="00E41A00" w:rsidP="00836552">
            <w:pPr>
              <w:keepNext/>
              <w:keepLines/>
              <w:spacing w:after="0" w:line="280" w:lineRule="atLeast"/>
              <w:rPr>
                <w:rFonts w:cs="Arial"/>
                <w:b/>
                <w:bCs/>
                <w:color w:val="FFFFFF"/>
                <w:sz w:val="22"/>
                <w:szCs w:val="22"/>
              </w:rPr>
            </w:pPr>
            <w:r w:rsidRPr="00D37B23">
              <w:rPr>
                <w:rFonts w:cs="Arial"/>
                <w:b/>
                <w:bCs/>
                <w:color w:val="FFFFFF"/>
                <w:sz w:val="22"/>
                <w:szCs w:val="22"/>
              </w:rPr>
              <w:t>Activity description</w:t>
            </w:r>
          </w:p>
        </w:tc>
        <w:tc>
          <w:tcPr>
            <w:tcW w:w="1378" w:type="dxa"/>
            <w:shd w:val="clear" w:color="000000" w:fill="404040"/>
            <w:hideMark/>
          </w:tcPr>
          <w:p w14:paraId="4A3F0A44" w14:textId="650C80B7" w:rsidR="00E41A00" w:rsidRPr="00E01726" w:rsidRDefault="00E41A00" w:rsidP="00836552">
            <w:pPr>
              <w:keepNext/>
              <w:keepLines/>
              <w:spacing w:after="0" w:line="280" w:lineRule="atLeast"/>
              <w:jc w:val="right"/>
              <w:rPr>
                <w:rFonts w:cs="Arial"/>
                <w:b/>
                <w:bCs/>
                <w:color w:val="FFFFFF"/>
                <w:sz w:val="22"/>
                <w:szCs w:val="22"/>
              </w:rPr>
            </w:pPr>
            <w:r w:rsidRPr="00E01726">
              <w:rPr>
                <w:rFonts w:cs="Arial"/>
                <w:b/>
                <w:bCs/>
                <w:color w:val="FFFFFF"/>
                <w:sz w:val="22"/>
                <w:szCs w:val="22"/>
              </w:rPr>
              <w:t>2022</w:t>
            </w:r>
            <w:r w:rsidR="000677AE" w:rsidRPr="00836552">
              <w:rPr>
                <w:b/>
                <w:bCs/>
                <w:color w:val="FFFFFF" w:themeColor="background1"/>
              </w:rPr>
              <w:t>–</w:t>
            </w:r>
            <w:r w:rsidRPr="00E01726">
              <w:rPr>
                <w:rFonts w:cs="Arial"/>
                <w:b/>
                <w:bCs/>
                <w:color w:val="FFFFFF"/>
                <w:sz w:val="22"/>
                <w:szCs w:val="22"/>
              </w:rPr>
              <w:t xml:space="preserve">23 </w:t>
            </w:r>
            <w:r w:rsidRPr="00E01726">
              <w:rPr>
                <w:rFonts w:cs="Arial"/>
                <w:b/>
                <w:bCs/>
                <w:color w:val="FFFFFF"/>
                <w:sz w:val="22"/>
                <w:szCs w:val="22"/>
              </w:rPr>
              <w:br/>
              <w:t>cost</w:t>
            </w:r>
          </w:p>
        </w:tc>
        <w:tc>
          <w:tcPr>
            <w:tcW w:w="1378" w:type="dxa"/>
            <w:shd w:val="clear" w:color="000000" w:fill="404040"/>
            <w:hideMark/>
          </w:tcPr>
          <w:p w14:paraId="6F79C005" w14:textId="2BB2C6D8" w:rsidR="00E41A00" w:rsidRPr="00E01726" w:rsidRDefault="00E41A00" w:rsidP="00836552">
            <w:pPr>
              <w:keepNext/>
              <w:keepLines/>
              <w:spacing w:after="0" w:line="280" w:lineRule="atLeast"/>
              <w:jc w:val="right"/>
              <w:rPr>
                <w:rFonts w:cs="Arial"/>
                <w:b/>
                <w:bCs/>
                <w:color w:val="FFFFFF"/>
                <w:sz w:val="22"/>
                <w:szCs w:val="22"/>
              </w:rPr>
            </w:pPr>
            <w:r w:rsidRPr="00E01726">
              <w:rPr>
                <w:rFonts w:cs="Arial"/>
                <w:b/>
                <w:bCs/>
                <w:color w:val="FFFFFF"/>
                <w:sz w:val="22"/>
                <w:szCs w:val="22"/>
              </w:rPr>
              <w:t>2021</w:t>
            </w:r>
            <w:r w:rsidR="000677AE" w:rsidRPr="00836552">
              <w:rPr>
                <w:b/>
                <w:bCs/>
                <w:color w:val="FFFFFF" w:themeColor="background1"/>
              </w:rPr>
              <w:t>–</w:t>
            </w:r>
            <w:r w:rsidRPr="00E01726">
              <w:rPr>
                <w:rFonts w:cs="Arial"/>
                <w:b/>
                <w:bCs/>
                <w:color w:val="FFFFFF"/>
                <w:sz w:val="22"/>
                <w:szCs w:val="22"/>
              </w:rPr>
              <w:t xml:space="preserve">22 </w:t>
            </w:r>
            <w:r w:rsidRPr="00E01726">
              <w:rPr>
                <w:rFonts w:cs="Arial"/>
                <w:b/>
                <w:bCs/>
                <w:color w:val="FFFFFF"/>
                <w:sz w:val="22"/>
                <w:szCs w:val="22"/>
              </w:rPr>
              <w:br/>
              <w:t>cost</w:t>
            </w:r>
          </w:p>
        </w:tc>
        <w:tc>
          <w:tcPr>
            <w:tcW w:w="1650" w:type="dxa"/>
            <w:shd w:val="clear" w:color="000000" w:fill="404040"/>
            <w:hideMark/>
          </w:tcPr>
          <w:p w14:paraId="2CC8808B" w14:textId="77777777" w:rsidR="00E41A00" w:rsidRPr="00D37B23" w:rsidRDefault="00E41A00" w:rsidP="00836552">
            <w:pPr>
              <w:keepNext/>
              <w:keepLines/>
              <w:spacing w:after="0" w:line="280" w:lineRule="atLeast"/>
              <w:jc w:val="right"/>
              <w:rPr>
                <w:rFonts w:cs="Arial"/>
                <w:b/>
                <w:bCs/>
                <w:color w:val="FFFFFF"/>
                <w:sz w:val="22"/>
                <w:szCs w:val="22"/>
              </w:rPr>
            </w:pPr>
            <w:r w:rsidRPr="00D37B23">
              <w:rPr>
                <w:rFonts w:cs="Arial"/>
                <w:b/>
                <w:bCs/>
                <w:color w:val="FFFFFF"/>
                <w:sz w:val="22"/>
                <w:szCs w:val="22"/>
              </w:rPr>
              <w:t>Variance increase/</w:t>
            </w:r>
            <w:r w:rsidRPr="00D37B23">
              <w:rPr>
                <w:rFonts w:cs="Arial"/>
                <w:b/>
                <w:bCs/>
                <w:color w:val="FFFFFF"/>
                <w:sz w:val="22"/>
                <w:szCs w:val="22"/>
              </w:rPr>
              <w:br/>
              <w:t>(decrease)</w:t>
            </w:r>
          </w:p>
        </w:tc>
      </w:tr>
      <w:tr w:rsidR="00E41A00" w:rsidRPr="00D37B23" w14:paraId="38FB7396" w14:textId="77777777" w:rsidTr="006E2755">
        <w:tc>
          <w:tcPr>
            <w:tcW w:w="545" w:type="dxa"/>
            <w:shd w:val="clear" w:color="auto" w:fill="auto"/>
            <w:noWrap/>
            <w:hideMark/>
          </w:tcPr>
          <w:p w14:paraId="267266C7" w14:textId="77777777" w:rsidR="00E41A00" w:rsidRPr="00D37B23" w:rsidRDefault="00E41A00" w:rsidP="00836552">
            <w:pPr>
              <w:keepNext/>
              <w:keepLines/>
              <w:spacing w:after="0" w:line="280" w:lineRule="atLeast"/>
              <w:rPr>
                <w:rFonts w:cs="Arial"/>
                <w:color w:val="000000"/>
                <w:sz w:val="22"/>
                <w:szCs w:val="22"/>
              </w:rPr>
            </w:pPr>
            <w:r w:rsidRPr="00D37B23">
              <w:rPr>
                <w:rFonts w:cs="Arial"/>
                <w:color w:val="000000"/>
                <w:sz w:val="22"/>
                <w:szCs w:val="22"/>
              </w:rPr>
              <w:t>L1</w:t>
            </w:r>
          </w:p>
        </w:tc>
        <w:tc>
          <w:tcPr>
            <w:tcW w:w="4683" w:type="dxa"/>
            <w:shd w:val="clear" w:color="auto" w:fill="auto"/>
            <w:hideMark/>
          </w:tcPr>
          <w:p w14:paraId="0DDDA8E7" w14:textId="77777777" w:rsidR="00E41A00" w:rsidRPr="00D37B23" w:rsidRDefault="00E41A00" w:rsidP="00836552">
            <w:pPr>
              <w:keepNext/>
              <w:keepLines/>
              <w:spacing w:after="0" w:line="280" w:lineRule="atLeast"/>
              <w:rPr>
                <w:sz w:val="22"/>
                <w:szCs w:val="22"/>
              </w:rPr>
            </w:pPr>
            <w:r w:rsidRPr="00D37B23">
              <w:rPr>
                <w:sz w:val="22"/>
                <w:szCs w:val="22"/>
              </w:rPr>
              <w:t>Developing and maintaining the administrative functions necessary to process applications under the carrier licensing regime and submarine cable regime</w:t>
            </w:r>
          </w:p>
        </w:tc>
        <w:tc>
          <w:tcPr>
            <w:tcW w:w="1378" w:type="dxa"/>
            <w:shd w:val="clear" w:color="auto" w:fill="auto"/>
          </w:tcPr>
          <w:p w14:paraId="0BA559C6" w14:textId="77777777" w:rsidR="00E41A00" w:rsidRPr="00D37B23" w:rsidRDefault="00E41A00" w:rsidP="00836552">
            <w:pPr>
              <w:keepNext/>
              <w:keepLines/>
              <w:spacing w:after="0" w:line="280" w:lineRule="atLeast"/>
              <w:jc w:val="right"/>
              <w:rPr>
                <w:rFonts w:cs="Arial"/>
                <w:color w:val="000000"/>
                <w:sz w:val="22"/>
                <w:szCs w:val="22"/>
              </w:rPr>
            </w:pPr>
            <w:r w:rsidRPr="00D37B23">
              <w:rPr>
                <w:rFonts w:cs="Arial"/>
                <w:color w:val="000000"/>
                <w:sz w:val="22"/>
                <w:szCs w:val="22"/>
              </w:rPr>
              <w:t>$799,440</w:t>
            </w:r>
          </w:p>
        </w:tc>
        <w:tc>
          <w:tcPr>
            <w:tcW w:w="1378" w:type="dxa"/>
            <w:shd w:val="clear" w:color="auto" w:fill="auto"/>
            <w:hideMark/>
          </w:tcPr>
          <w:p w14:paraId="6171A8B7" w14:textId="77777777" w:rsidR="00E41A00" w:rsidRPr="00D37B23" w:rsidRDefault="00E41A00" w:rsidP="00836552">
            <w:pPr>
              <w:keepNext/>
              <w:keepLines/>
              <w:spacing w:after="0" w:line="280" w:lineRule="atLeast"/>
              <w:jc w:val="right"/>
              <w:rPr>
                <w:rFonts w:cs="Arial"/>
                <w:color w:val="000000"/>
                <w:sz w:val="22"/>
                <w:szCs w:val="22"/>
              </w:rPr>
            </w:pPr>
            <w:r w:rsidRPr="00D37B23">
              <w:rPr>
                <w:rFonts w:cs="Arial"/>
                <w:color w:val="000000"/>
                <w:sz w:val="22"/>
                <w:szCs w:val="22"/>
              </w:rPr>
              <w:t>$883,122</w:t>
            </w:r>
          </w:p>
        </w:tc>
        <w:tc>
          <w:tcPr>
            <w:tcW w:w="1650" w:type="dxa"/>
            <w:shd w:val="clear" w:color="auto" w:fill="auto"/>
            <w:hideMark/>
          </w:tcPr>
          <w:p w14:paraId="60625FA0" w14:textId="77777777" w:rsidR="00E41A00" w:rsidRPr="00D37B23" w:rsidRDefault="00E41A00" w:rsidP="00836552">
            <w:pPr>
              <w:keepNext/>
              <w:keepLines/>
              <w:spacing w:after="0" w:line="280" w:lineRule="atLeast"/>
              <w:jc w:val="right"/>
              <w:rPr>
                <w:rFonts w:cs="Arial"/>
                <w:sz w:val="22"/>
                <w:szCs w:val="22"/>
              </w:rPr>
            </w:pPr>
            <w:r w:rsidRPr="00D37B23">
              <w:rPr>
                <w:rFonts w:cs="Arial"/>
                <w:color w:val="FF0000"/>
                <w:sz w:val="22"/>
                <w:szCs w:val="22"/>
              </w:rPr>
              <w:t>($83,682)</w:t>
            </w:r>
          </w:p>
        </w:tc>
      </w:tr>
      <w:tr w:rsidR="00E41A00" w:rsidRPr="00D37B23" w14:paraId="1E53D13E" w14:textId="77777777" w:rsidTr="006E2755">
        <w:trPr>
          <w:trHeight w:val="448"/>
        </w:trPr>
        <w:tc>
          <w:tcPr>
            <w:tcW w:w="545" w:type="dxa"/>
            <w:shd w:val="clear" w:color="auto" w:fill="auto"/>
            <w:noWrap/>
            <w:hideMark/>
          </w:tcPr>
          <w:p w14:paraId="218E2201" w14:textId="77777777" w:rsidR="00E41A00" w:rsidRPr="00D37B23" w:rsidRDefault="00E41A00" w:rsidP="00836552">
            <w:pPr>
              <w:keepNext/>
              <w:keepLines/>
              <w:spacing w:after="0" w:line="280" w:lineRule="atLeast"/>
              <w:rPr>
                <w:rFonts w:cs="Arial"/>
                <w:color w:val="000000"/>
                <w:sz w:val="22"/>
                <w:szCs w:val="22"/>
              </w:rPr>
            </w:pPr>
            <w:r w:rsidRPr="00D37B23">
              <w:rPr>
                <w:rFonts w:cs="Arial"/>
                <w:color w:val="000000"/>
                <w:sz w:val="22"/>
                <w:szCs w:val="22"/>
              </w:rPr>
              <w:t>L2</w:t>
            </w:r>
          </w:p>
        </w:tc>
        <w:tc>
          <w:tcPr>
            <w:tcW w:w="4683" w:type="dxa"/>
            <w:shd w:val="clear" w:color="auto" w:fill="auto"/>
            <w:hideMark/>
          </w:tcPr>
          <w:p w14:paraId="64BB320A" w14:textId="77777777" w:rsidR="00E41A00" w:rsidRPr="00D37B23" w:rsidRDefault="00E41A00" w:rsidP="00836552">
            <w:pPr>
              <w:keepNext/>
              <w:keepLines/>
              <w:spacing w:after="0" w:line="280" w:lineRule="atLeast"/>
              <w:rPr>
                <w:sz w:val="22"/>
                <w:szCs w:val="22"/>
              </w:rPr>
            </w:pPr>
            <w:r w:rsidRPr="00D37B23">
              <w:rPr>
                <w:sz w:val="22"/>
                <w:szCs w:val="22"/>
              </w:rPr>
              <w:t>Managing outsourced numbering arrangements and number allocation</w:t>
            </w:r>
          </w:p>
        </w:tc>
        <w:tc>
          <w:tcPr>
            <w:tcW w:w="1378" w:type="dxa"/>
            <w:shd w:val="clear" w:color="auto" w:fill="auto"/>
          </w:tcPr>
          <w:p w14:paraId="7C7B93E1" w14:textId="77777777" w:rsidR="00E41A00" w:rsidRPr="00D37B23" w:rsidRDefault="00E41A00" w:rsidP="00836552">
            <w:pPr>
              <w:keepNext/>
              <w:keepLines/>
              <w:spacing w:after="0" w:line="280" w:lineRule="atLeast"/>
              <w:jc w:val="right"/>
              <w:rPr>
                <w:rFonts w:cs="Arial"/>
                <w:color w:val="000000"/>
                <w:sz w:val="22"/>
                <w:szCs w:val="22"/>
              </w:rPr>
            </w:pPr>
            <w:r w:rsidRPr="00D37B23">
              <w:rPr>
                <w:rFonts w:cs="Arial"/>
                <w:color w:val="000000"/>
                <w:sz w:val="22"/>
                <w:szCs w:val="22"/>
              </w:rPr>
              <w:t>$229,479</w:t>
            </w:r>
          </w:p>
        </w:tc>
        <w:tc>
          <w:tcPr>
            <w:tcW w:w="1378" w:type="dxa"/>
            <w:shd w:val="clear" w:color="auto" w:fill="auto"/>
            <w:hideMark/>
          </w:tcPr>
          <w:p w14:paraId="2BE50E4F" w14:textId="77777777" w:rsidR="00E41A00" w:rsidRPr="00D37B23" w:rsidRDefault="00E41A00" w:rsidP="00836552">
            <w:pPr>
              <w:keepNext/>
              <w:keepLines/>
              <w:spacing w:after="0" w:line="280" w:lineRule="atLeast"/>
              <w:jc w:val="right"/>
              <w:rPr>
                <w:rFonts w:cs="Arial"/>
                <w:color w:val="000000"/>
                <w:sz w:val="22"/>
                <w:szCs w:val="22"/>
              </w:rPr>
            </w:pPr>
            <w:r w:rsidRPr="00D37B23">
              <w:rPr>
                <w:rFonts w:cs="Arial"/>
                <w:color w:val="000000"/>
                <w:sz w:val="22"/>
                <w:szCs w:val="22"/>
              </w:rPr>
              <w:t>$300,158</w:t>
            </w:r>
          </w:p>
        </w:tc>
        <w:tc>
          <w:tcPr>
            <w:tcW w:w="1650" w:type="dxa"/>
            <w:shd w:val="clear" w:color="auto" w:fill="auto"/>
            <w:hideMark/>
          </w:tcPr>
          <w:p w14:paraId="0D62B203" w14:textId="77777777" w:rsidR="00E41A00" w:rsidRPr="00D37B23" w:rsidRDefault="00E41A00" w:rsidP="00836552">
            <w:pPr>
              <w:keepNext/>
              <w:keepLines/>
              <w:spacing w:after="0" w:line="280" w:lineRule="atLeast"/>
              <w:jc w:val="right"/>
              <w:rPr>
                <w:rFonts w:cs="Arial"/>
                <w:sz w:val="22"/>
                <w:szCs w:val="22"/>
              </w:rPr>
            </w:pPr>
            <w:r w:rsidRPr="00D37B23">
              <w:rPr>
                <w:rFonts w:cs="Arial"/>
                <w:color w:val="FF0000"/>
                <w:sz w:val="22"/>
                <w:szCs w:val="22"/>
              </w:rPr>
              <w:t>($70,679)</w:t>
            </w:r>
          </w:p>
        </w:tc>
      </w:tr>
      <w:tr w:rsidR="00E41A00" w:rsidRPr="00D37B23" w14:paraId="7687F7CB" w14:textId="77777777" w:rsidTr="006E2755">
        <w:trPr>
          <w:trHeight w:val="259"/>
        </w:trPr>
        <w:tc>
          <w:tcPr>
            <w:tcW w:w="545" w:type="dxa"/>
            <w:shd w:val="clear" w:color="000000" w:fill="D9D9D9"/>
            <w:noWrap/>
            <w:hideMark/>
          </w:tcPr>
          <w:p w14:paraId="108EFB30" w14:textId="77777777" w:rsidR="00E41A00" w:rsidRPr="00D37B23" w:rsidRDefault="00E41A00" w:rsidP="00836552">
            <w:pPr>
              <w:keepNext/>
              <w:keepLines/>
              <w:spacing w:after="0" w:line="280" w:lineRule="atLeast"/>
              <w:rPr>
                <w:rFonts w:cs="Arial"/>
                <w:color w:val="000000"/>
                <w:sz w:val="22"/>
                <w:szCs w:val="22"/>
              </w:rPr>
            </w:pPr>
            <w:r w:rsidRPr="00D37B23">
              <w:rPr>
                <w:rFonts w:ascii="Times New Roman" w:hAnsi="Times New Roman"/>
                <w:color w:val="000000"/>
                <w:sz w:val="22"/>
                <w:szCs w:val="22"/>
              </w:rPr>
              <w:t> </w:t>
            </w:r>
          </w:p>
        </w:tc>
        <w:tc>
          <w:tcPr>
            <w:tcW w:w="4683" w:type="dxa"/>
            <w:shd w:val="clear" w:color="000000" w:fill="D9D9D9"/>
            <w:hideMark/>
          </w:tcPr>
          <w:p w14:paraId="584714BC" w14:textId="77777777" w:rsidR="00E41A00" w:rsidRPr="00D37B23" w:rsidRDefault="00E41A00" w:rsidP="00836552">
            <w:pPr>
              <w:keepNext/>
              <w:keepLines/>
              <w:spacing w:after="0" w:line="280" w:lineRule="atLeast"/>
              <w:jc w:val="both"/>
              <w:rPr>
                <w:rFonts w:cs="Arial"/>
                <w:b/>
                <w:bCs/>
                <w:color w:val="000000"/>
                <w:sz w:val="22"/>
                <w:szCs w:val="22"/>
              </w:rPr>
            </w:pPr>
            <w:r w:rsidRPr="00D37B23">
              <w:rPr>
                <w:rFonts w:cs="Arial"/>
                <w:b/>
                <w:bCs/>
                <w:color w:val="000000"/>
                <w:sz w:val="22"/>
                <w:szCs w:val="22"/>
              </w:rPr>
              <w:t>Total costs</w:t>
            </w:r>
          </w:p>
        </w:tc>
        <w:tc>
          <w:tcPr>
            <w:tcW w:w="1378" w:type="dxa"/>
            <w:shd w:val="clear" w:color="000000" w:fill="D9D9D9"/>
          </w:tcPr>
          <w:p w14:paraId="39F36842" w14:textId="77777777" w:rsidR="00E41A00" w:rsidRPr="00D37B23" w:rsidRDefault="00E41A00" w:rsidP="00836552">
            <w:pPr>
              <w:keepNext/>
              <w:keepLines/>
              <w:spacing w:after="0" w:line="280" w:lineRule="atLeast"/>
              <w:jc w:val="right"/>
              <w:rPr>
                <w:rFonts w:cs="Arial"/>
                <w:b/>
                <w:color w:val="000000"/>
                <w:sz w:val="22"/>
                <w:szCs w:val="22"/>
              </w:rPr>
            </w:pPr>
            <w:r w:rsidRPr="00D37B23">
              <w:rPr>
                <w:rFonts w:cs="Arial"/>
                <w:b/>
                <w:color w:val="000000"/>
                <w:sz w:val="22"/>
                <w:szCs w:val="22"/>
              </w:rPr>
              <w:t>$1,028,919</w:t>
            </w:r>
          </w:p>
        </w:tc>
        <w:tc>
          <w:tcPr>
            <w:tcW w:w="1378" w:type="dxa"/>
            <w:shd w:val="clear" w:color="000000" w:fill="D9D9D9"/>
            <w:hideMark/>
          </w:tcPr>
          <w:p w14:paraId="49F37E66" w14:textId="77777777" w:rsidR="00E41A00" w:rsidRPr="00D37B23" w:rsidRDefault="00E41A00" w:rsidP="00836552">
            <w:pPr>
              <w:keepNext/>
              <w:keepLines/>
              <w:spacing w:after="0" w:line="280" w:lineRule="atLeast"/>
              <w:jc w:val="right"/>
              <w:rPr>
                <w:rFonts w:cs="Arial"/>
                <w:b/>
                <w:color w:val="000000"/>
                <w:sz w:val="22"/>
                <w:szCs w:val="22"/>
              </w:rPr>
            </w:pPr>
            <w:r w:rsidRPr="00D37B23">
              <w:rPr>
                <w:rFonts w:cs="Arial"/>
                <w:b/>
                <w:color w:val="000000"/>
                <w:sz w:val="22"/>
                <w:szCs w:val="22"/>
              </w:rPr>
              <w:t>$1,183,280</w:t>
            </w:r>
          </w:p>
        </w:tc>
        <w:tc>
          <w:tcPr>
            <w:tcW w:w="1650" w:type="dxa"/>
            <w:shd w:val="clear" w:color="000000" w:fill="D9D9D9"/>
            <w:hideMark/>
          </w:tcPr>
          <w:p w14:paraId="1D44E167" w14:textId="77777777" w:rsidR="00E41A00" w:rsidRPr="00D37B23" w:rsidRDefault="00E41A00" w:rsidP="00836552">
            <w:pPr>
              <w:keepNext/>
              <w:keepLines/>
              <w:spacing w:after="0" w:line="280" w:lineRule="atLeast"/>
              <w:jc w:val="right"/>
              <w:rPr>
                <w:rFonts w:cs="Arial"/>
                <w:b/>
                <w:sz w:val="22"/>
                <w:szCs w:val="22"/>
              </w:rPr>
            </w:pPr>
            <w:r w:rsidRPr="00D37B23">
              <w:rPr>
                <w:rFonts w:cs="Arial"/>
                <w:b/>
                <w:color w:val="FF0000"/>
                <w:sz w:val="22"/>
                <w:szCs w:val="22"/>
              </w:rPr>
              <w:t>($154,361)</w:t>
            </w:r>
          </w:p>
        </w:tc>
      </w:tr>
    </w:tbl>
    <w:p w14:paraId="593A1C9B" w14:textId="77777777" w:rsidR="00E41A00" w:rsidRPr="001C6738" w:rsidRDefault="00E41A00" w:rsidP="00E41A00">
      <w:pPr>
        <w:pStyle w:val="Tableorfigurenote"/>
      </w:pPr>
      <w:r w:rsidRPr="001C6738">
        <w:t>Note: Sums may not add due to rounding</w:t>
      </w:r>
      <w:r>
        <w:t>.</w:t>
      </w:r>
    </w:p>
    <w:p w14:paraId="25685BDF" w14:textId="77777777" w:rsidR="00E41A00" w:rsidRPr="00AE6A60" w:rsidRDefault="00E41A00" w:rsidP="00D37B23">
      <w:pPr>
        <w:pStyle w:val="Heading4"/>
      </w:pPr>
      <w:r>
        <w:t>O</w:t>
      </w:r>
      <w:r w:rsidRPr="00AE6A60">
        <w:t>ther outputs</w:t>
      </w:r>
    </w:p>
    <w:p w14:paraId="2F9953A1" w14:textId="77777777" w:rsidR="00E41A00" w:rsidRPr="00AE6A60" w:rsidRDefault="00E41A00" w:rsidP="00D37B23">
      <w:pPr>
        <w:pStyle w:val="Paragraph"/>
      </w:pPr>
      <w:r w:rsidRPr="00AE6A60">
        <w:t>All other outputs in relation to the</w:t>
      </w:r>
      <w:r>
        <w:t xml:space="preserve"> relevant</w:t>
      </w:r>
      <w:r w:rsidRPr="00AE6A60">
        <w:t xml:space="preserve"> ACMA’s telecommunications functions and powers are considered in this category, including dealing with the telecommunications industry on national interest issues.</w:t>
      </w:r>
    </w:p>
    <w:p w14:paraId="282A0442" w14:textId="34099B44" w:rsidR="00E41A00" w:rsidRPr="00AE6A60" w:rsidRDefault="00E41A00" w:rsidP="00D37B23">
      <w:pPr>
        <w:pStyle w:val="Paragraph"/>
      </w:pPr>
      <w:bookmarkStart w:id="107" w:name="_Hlk87024182"/>
      <w:r w:rsidRPr="00AE6A60">
        <w:t xml:space="preserve">Table </w:t>
      </w:r>
      <w:r>
        <w:t>8</w:t>
      </w:r>
      <w:r w:rsidRPr="00AE6A60">
        <w:t xml:space="preserve"> provides details of the activities provided under this output </w:t>
      </w:r>
      <w:r>
        <w:t>for the 2023</w:t>
      </w:r>
      <w:r w:rsidR="000677AE">
        <w:t>–</w:t>
      </w:r>
      <w:r>
        <w:t>24 and 2022</w:t>
      </w:r>
      <w:r w:rsidR="000677AE">
        <w:t>–</w:t>
      </w:r>
      <w:r>
        <w:t>23 ACLC</w:t>
      </w:r>
      <w:r w:rsidRPr="00AE6A60">
        <w:t>.</w:t>
      </w:r>
    </w:p>
    <w:p w14:paraId="6EF2175D" w14:textId="2A3551FD" w:rsidR="00E41A00" w:rsidRPr="00AE6A60" w:rsidRDefault="00E41A00" w:rsidP="00D37B23">
      <w:pPr>
        <w:pStyle w:val="Tableheading"/>
      </w:pPr>
      <w:bookmarkStart w:id="108" w:name="_Hlk87025413"/>
      <w:bookmarkEnd w:id="107"/>
      <w:r w:rsidRPr="00AE6A60">
        <w:t>Other outputs</w:t>
      </w:r>
      <w:r>
        <w:t xml:space="preserve"> – </w:t>
      </w:r>
      <w:r w:rsidRPr="00AE6A60">
        <w:t xml:space="preserve">activities and costs for </w:t>
      </w:r>
      <w:r>
        <w:t>2023</w:t>
      </w:r>
      <w:r w:rsidR="000677AE">
        <w:t>–</w:t>
      </w:r>
      <w:r>
        <w:t>24</w:t>
      </w:r>
      <w:r w:rsidRPr="00AE6A60">
        <w:t xml:space="preserve"> ACLC (based on </w:t>
      </w:r>
      <w:r>
        <w:t>2022</w:t>
      </w:r>
      <w:r w:rsidR="000677AE">
        <w:t>–</w:t>
      </w:r>
      <w:r>
        <w:t>23</w:t>
      </w:r>
      <w:r w:rsidRPr="00AE6A60">
        <w:t xml:space="preserve"> costs)</w:t>
      </w:r>
      <w:r>
        <w:t xml:space="preserve"> and 2022</w:t>
      </w:r>
      <w:r w:rsidR="000677AE">
        <w:t>–</w:t>
      </w:r>
      <w:r>
        <w:t>23 ACLC (based on 2021</w:t>
      </w:r>
      <w:r w:rsidR="000677AE">
        <w:t>–</w:t>
      </w:r>
      <w:r>
        <w:t>22 costs)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4A0" w:firstRow="1" w:lastRow="0" w:firstColumn="1" w:lastColumn="0" w:noHBand="0" w:noVBand="1"/>
      </w:tblPr>
      <w:tblGrid>
        <w:gridCol w:w="469"/>
        <w:gridCol w:w="4921"/>
        <w:gridCol w:w="1414"/>
        <w:gridCol w:w="1269"/>
        <w:gridCol w:w="1561"/>
      </w:tblGrid>
      <w:tr w:rsidR="00E41A00" w:rsidRPr="00D37B23" w14:paraId="068C9681" w14:textId="77777777" w:rsidTr="006E2755">
        <w:trPr>
          <w:trHeight w:val="527"/>
        </w:trPr>
        <w:tc>
          <w:tcPr>
            <w:tcW w:w="0" w:type="auto"/>
            <w:shd w:val="clear" w:color="000000" w:fill="404040"/>
            <w:hideMark/>
          </w:tcPr>
          <w:bookmarkEnd w:id="108"/>
          <w:p w14:paraId="58773E40" w14:textId="77777777" w:rsidR="00E41A00" w:rsidRPr="00D37B23" w:rsidRDefault="00E41A00" w:rsidP="00D37B23">
            <w:pPr>
              <w:spacing w:after="0" w:line="280" w:lineRule="atLeast"/>
              <w:rPr>
                <w:rFonts w:cs="Arial"/>
                <w:b/>
                <w:bCs/>
                <w:color w:val="FFFFFF"/>
                <w:sz w:val="22"/>
                <w:szCs w:val="22"/>
              </w:rPr>
            </w:pPr>
            <w:r w:rsidRPr="00D37B23">
              <w:rPr>
                <w:rFonts w:cs="Arial"/>
                <w:b/>
                <w:bCs/>
                <w:color w:val="FFFFFF"/>
                <w:sz w:val="22"/>
                <w:szCs w:val="22"/>
              </w:rPr>
              <w:t>Ref</w:t>
            </w:r>
          </w:p>
        </w:tc>
        <w:tc>
          <w:tcPr>
            <w:tcW w:w="4945" w:type="dxa"/>
            <w:shd w:val="clear" w:color="000000" w:fill="404040"/>
            <w:hideMark/>
          </w:tcPr>
          <w:p w14:paraId="719BF3A4" w14:textId="77777777" w:rsidR="00E41A00" w:rsidRPr="00D37B23" w:rsidRDefault="00E41A00" w:rsidP="00D37B23">
            <w:pPr>
              <w:spacing w:after="0" w:line="280" w:lineRule="atLeast"/>
              <w:rPr>
                <w:rFonts w:cs="Arial"/>
                <w:b/>
                <w:bCs/>
                <w:color w:val="FFFFFF"/>
                <w:sz w:val="22"/>
                <w:szCs w:val="22"/>
              </w:rPr>
            </w:pPr>
            <w:r w:rsidRPr="00D37B23">
              <w:rPr>
                <w:rFonts w:cs="Arial"/>
                <w:b/>
                <w:bCs/>
                <w:color w:val="FFFFFF"/>
                <w:sz w:val="22"/>
                <w:szCs w:val="22"/>
              </w:rPr>
              <w:t>Activity description</w:t>
            </w:r>
          </w:p>
        </w:tc>
        <w:tc>
          <w:tcPr>
            <w:tcW w:w="1417" w:type="dxa"/>
            <w:shd w:val="clear" w:color="000000" w:fill="404040"/>
            <w:hideMark/>
          </w:tcPr>
          <w:p w14:paraId="06DEC4FB" w14:textId="38B478DC" w:rsidR="00E41A00" w:rsidRPr="00D37B23" w:rsidRDefault="00E41A00" w:rsidP="00D37B23">
            <w:pPr>
              <w:spacing w:after="0" w:line="280" w:lineRule="atLeast"/>
              <w:jc w:val="right"/>
              <w:rPr>
                <w:rFonts w:cs="Arial"/>
                <w:b/>
                <w:bCs/>
                <w:color w:val="FFFFFF"/>
                <w:sz w:val="22"/>
                <w:szCs w:val="22"/>
              </w:rPr>
            </w:pPr>
            <w:r w:rsidRPr="00D37B23">
              <w:rPr>
                <w:rFonts w:cs="Arial"/>
                <w:b/>
                <w:bCs/>
                <w:color w:val="FFFFFF"/>
                <w:sz w:val="22"/>
                <w:szCs w:val="22"/>
              </w:rPr>
              <w:t>2022</w:t>
            </w:r>
            <w:r w:rsidR="000677AE" w:rsidRPr="00836552">
              <w:rPr>
                <w:b/>
                <w:bCs/>
                <w:color w:val="FFFFFF" w:themeColor="background1"/>
              </w:rPr>
              <w:t>–</w:t>
            </w:r>
            <w:r w:rsidRPr="00D37B23">
              <w:rPr>
                <w:rFonts w:cs="Arial"/>
                <w:b/>
                <w:bCs/>
                <w:color w:val="FFFFFF"/>
                <w:sz w:val="22"/>
                <w:szCs w:val="22"/>
              </w:rPr>
              <w:t>23</w:t>
            </w:r>
            <w:r w:rsidRPr="00D37B23">
              <w:rPr>
                <w:rFonts w:cs="Arial"/>
                <w:b/>
                <w:bCs/>
                <w:color w:val="FFFFFF"/>
                <w:sz w:val="22"/>
                <w:szCs w:val="22"/>
              </w:rPr>
              <w:br/>
              <w:t>cost</w:t>
            </w:r>
          </w:p>
        </w:tc>
        <w:tc>
          <w:tcPr>
            <w:tcW w:w="1271" w:type="dxa"/>
            <w:shd w:val="clear" w:color="000000" w:fill="404040"/>
            <w:hideMark/>
          </w:tcPr>
          <w:p w14:paraId="2B3781F7" w14:textId="7E8D60C4" w:rsidR="00E41A00" w:rsidRPr="00D37B23" w:rsidRDefault="00E41A00" w:rsidP="00D37B23">
            <w:pPr>
              <w:spacing w:after="0" w:line="280" w:lineRule="atLeast"/>
              <w:jc w:val="right"/>
              <w:rPr>
                <w:rFonts w:cs="Arial"/>
                <w:b/>
                <w:bCs/>
                <w:color w:val="FFFFFF"/>
                <w:sz w:val="22"/>
                <w:szCs w:val="22"/>
              </w:rPr>
            </w:pPr>
            <w:r w:rsidRPr="00D37B23">
              <w:rPr>
                <w:rFonts w:cs="Arial"/>
                <w:b/>
                <w:bCs/>
                <w:color w:val="FFFFFF"/>
                <w:sz w:val="22"/>
                <w:szCs w:val="22"/>
              </w:rPr>
              <w:t>202</w:t>
            </w:r>
            <w:r w:rsidRPr="00836552">
              <w:rPr>
                <w:rFonts w:cs="Arial"/>
                <w:b/>
                <w:bCs/>
                <w:color w:val="FFFFFF" w:themeColor="background1"/>
                <w:sz w:val="22"/>
                <w:szCs w:val="22"/>
              </w:rPr>
              <w:t>1</w:t>
            </w:r>
            <w:r w:rsidR="000677AE" w:rsidRPr="00836552">
              <w:rPr>
                <w:color w:val="FFFFFF" w:themeColor="background1"/>
              </w:rPr>
              <w:t>–</w:t>
            </w:r>
            <w:r w:rsidRPr="00D37B23">
              <w:rPr>
                <w:rFonts w:cs="Arial"/>
                <w:b/>
                <w:bCs/>
                <w:color w:val="FFFFFF"/>
                <w:sz w:val="22"/>
                <w:szCs w:val="22"/>
              </w:rPr>
              <w:t xml:space="preserve">22 </w:t>
            </w:r>
            <w:r w:rsidRPr="00D37B23">
              <w:rPr>
                <w:rFonts w:cs="Arial"/>
                <w:b/>
                <w:bCs/>
                <w:color w:val="FFFFFF"/>
                <w:sz w:val="22"/>
                <w:szCs w:val="22"/>
              </w:rPr>
              <w:br/>
              <w:t>cost</w:t>
            </w:r>
          </w:p>
        </w:tc>
        <w:tc>
          <w:tcPr>
            <w:tcW w:w="1564" w:type="dxa"/>
            <w:shd w:val="clear" w:color="000000" w:fill="404040"/>
            <w:hideMark/>
          </w:tcPr>
          <w:p w14:paraId="0B819DBA" w14:textId="77777777" w:rsidR="00E41A00" w:rsidRPr="00D37B23" w:rsidRDefault="00E41A00" w:rsidP="00D37B23">
            <w:pPr>
              <w:spacing w:after="0" w:line="280" w:lineRule="atLeast"/>
              <w:jc w:val="right"/>
              <w:rPr>
                <w:rFonts w:cs="Arial"/>
                <w:b/>
                <w:bCs/>
                <w:color w:val="FFFFFF"/>
                <w:sz w:val="22"/>
                <w:szCs w:val="22"/>
              </w:rPr>
            </w:pPr>
            <w:r w:rsidRPr="00D37B23">
              <w:rPr>
                <w:rFonts w:cs="Arial"/>
                <w:b/>
                <w:bCs/>
                <w:color w:val="FFFFFF"/>
                <w:sz w:val="22"/>
                <w:szCs w:val="22"/>
              </w:rPr>
              <w:t>Variance increase/</w:t>
            </w:r>
            <w:r w:rsidRPr="00D37B23">
              <w:rPr>
                <w:rFonts w:cs="Arial"/>
                <w:b/>
                <w:bCs/>
                <w:color w:val="FFFFFF"/>
                <w:sz w:val="22"/>
                <w:szCs w:val="22"/>
              </w:rPr>
              <w:br/>
              <w:t>(decrease)</w:t>
            </w:r>
          </w:p>
        </w:tc>
      </w:tr>
      <w:tr w:rsidR="00E41A00" w:rsidRPr="00D37B23" w14:paraId="1C9479FD" w14:textId="77777777" w:rsidTr="006E2755">
        <w:trPr>
          <w:trHeight w:val="759"/>
        </w:trPr>
        <w:tc>
          <w:tcPr>
            <w:tcW w:w="0" w:type="auto"/>
            <w:shd w:val="clear" w:color="auto" w:fill="auto"/>
            <w:noWrap/>
            <w:hideMark/>
          </w:tcPr>
          <w:p w14:paraId="5A76939A" w14:textId="77777777" w:rsidR="00E41A00" w:rsidRPr="00D37B23" w:rsidRDefault="00E41A00" w:rsidP="00D37B23">
            <w:pPr>
              <w:spacing w:after="0" w:line="280" w:lineRule="atLeast"/>
              <w:rPr>
                <w:rFonts w:cs="Arial"/>
                <w:color w:val="000000"/>
                <w:sz w:val="22"/>
                <w:szCs w:val="22"/>
              </w:rPr>
            </w:pPr>
            <w:r w:rsidRPr="00D37B23">
              <w:rPr>
                <w:rFonts w:cs="Arial"/>
                <w:color w:val="000000"/>
                <w:sz w:val="22"/>
                <w:szCs w:val="22"/>
              </w:rPr>
              <w:t>O1</w:t>
            </w:r>
          </w:p>
        </w:tc>
        <w:tc>
          <w:tcPr>
            <w:tcW w:w="4945" w:type="dxa"/>
            <w:shd w:val="clear" w:color="auto" w:fill="auto"/>
            <w:hideMark/>
          </w:tcPr>
          <w:p w14:paraId="12095264" w14:textId="77777777" w:rsidR="00E41A00" w:rsidRPr="00D37B23" w:rsidRDefault="00E41A00" w:rsidP="00D37B23">
            <w:pPr>
              <w:spacing w:after="0" w:line="280" w:lineRule="atLeast"/>
              <w:rPr>
                <w:sz w:val="22"/>
                <w:szCs w:val="22"/>
              </w:rPr>
            </w:pPr>
            <w:r w:rsidRPr="00D37B23">
              <w:rPr>
                <w:sz w:val="22"/>
                <w:szCs w:val="22"/>
              </w:rPr>
              <w:t>Administering the carrier licence charging arrangement and costing of regulatory activities associated with telecommunications</w:t>
            </w:r>
          </w:p>
        </w:tc>
        <w:tc>
          <w:tcPr>
            <w:tcW w:w="1417" w:type="dxa"/>
            <w:shd w:val="clear" w:color="auto" w:fill="auto"/>
            <w:hideMark/>
          </w:tcPr>
          <w:p w14:paraId="0AAA78D5"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$771,678</w:t>
            </w:r>
          </w:p>
        </w:tc>
        <w:tc>
          <w:tcPr>
            <w:tcW w:w="1271" w:type="dxa"/>
            <w:shd w:val="clear" w:color="auto" w:fill="auto"/>
            <w:hideMark/>
          </w:tcPr>
          <w:p w14:paraId="48EA4730"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$778,117</w:t>
            </w:r>
          </w:p>
        </w:tc>
        <w:tc>
          <w:tcPr>
            <w:tcW w:w="1564" w:type="dxa"/>
            <w:shd w:val="clear" w:color="auto" w:fill="auto"/>
            <w:hideMark/>
          </w:tcPr>
          <w:p w14:paraId="5EB9E509" w14:textId="77777777" w:rsidR="00E41A00" w:rsidRPr="00D37B23" w:rsidRDefault="00E41A00" w:rsidP="00D37B23">
            <w:pPr>
              <w:spacing w:after="0" w:line="280" w:lineRule="atLeast"/>
              <w:jc w:val="right"/>
              <w:rPr>
                <w:rFonts w:cs="Arial"/>
                <w:sz w:val="22"/>
                <w:szCs w:val="22"/>
              </w:rPr>
            </w:pPr>
            <w:r w:rsidRPr="00D37B23">
              <w:rPr>
                <w:rFonts w:cs="Arial"/>
                <w:color w:val="FF0000"/>
                <w:sz w:val="22"/>
                <w:szCs w:val="22"/>
              </w:rPr>
              <w:t>($6,438)</w:t>
            </w:r>
          </w:p>
        </w:tc>
      </w:tr>
      <w:tr w:rsidR="00E41A00" w:rsidRPr="00D37B23" w14:paraId="3DDEBC15" w14:textId="77777777" w:rsidTr="006E2755">
        <w:trPr>
          <w:trHeight w:val="312"/>
        </w:trPr>
        <w:tc>
          <w:tcPr>
            <w:tcW w:w="0" w:type="auto"/>
            <w:shd w:val="clear" w:color="000000" w:fill="D0CECE"/>
            <w:noWrap/>
            <w:hideMark/>
          </w:tcPr>
          <w:p w14:paraId="0718B216" w14:textId="77777777" w:rsidR="00E41A00" w:rsidRPr="00D37B23" w:rsidRDefault="00E41A00" w:rsidP="00D37B23">
            <w:pPr>
              <w:spacing w:after="0" w:line="280" w:lineRule="atLeast"/>
              <w:rPr>
                <w:rFonts w:ascii="Times New Roman" w:hAnsi="Times New Roman"/>
                <w:color w:val="000000"/>
                <w:sz w:val="22"/>
                <w:szCs w:val="22"/>
              </w:rPr>
            </w:pPr>
            <w:r w:rsidRPr="00D37B23">
              <w:rPr>
                <w:rFonts w:ascii="Times New Roman" w:hAnsi="Times New Roman"/>
                <w:color w:val="000000"/>
                <w:sz w:val="22"/>
                <w:szCs w:val="22"/>
              </w:rPr>
              <w:t> </w:t>
            </w:r>
          </w:p>
        </w:tc>
        <w:tc>
          <w:tcPr>
            <w:tcW w:w="4945" w:type="dxa"/>
            <w:shd w:val="clear" w:color="000000" w:fill="D9D9D9"/>
            <w:hideMark/>
          </w:tcPr>
          <w:p w14:paraId="59749AEE" w14:textId="77777777" w:rsidR="00E41A00" w:rsidRPr="00D37B23" w:rsidRDefault="00E41A00" w:rsidP="00D37B23">
            <w:pPr>
              <w:spacing w:after="0" w:line="280" w:lineRule="atLeast"/>
              <w:rPr>
                <w:rFonts w:cs="Arial"/>
                <w:b/>
                <w:bCs/>
                <w:color w:val="000000"/>
                <w:sz w:val="22"/>
                <w:szCs w:val="22"/>
              </w:rPr>
            </w:pPr>
            <w:r w:rsidRPr="00D37B23">
              <w:rPr>
                <w:rFonts w:cs="Arial"/>
                <w:b/>
                <w:bCs/>
                <w:color w:val="000000"/>
                <w:sz w:val="22"/>
                <w:szCs w:val="22"/>
              </w:rPr>
              <w:t>Total costs</w:t>
            </w:r>
          </w:p>
        </w:tc>
        <w:tc>
          <w:tcPr>
            <w:tcW w:w="1417" w:type="dxa"/>
            <w:shd w:val="clear" w:color="000000" w:fill="D9D9D9"/>
            <w:hideMark/>
          </w:tcPr>
          <w:p w14:paraId="69688B5A" w14:textId="77777777" w:rsidR="00E41A00" w:rsidRPr="00D37B23" w:rsidRDefault="00E41A00" w:rsidP="00D37B23">
            <w:pPr>
              <w:spacing w:after="0" w:line="280" w:lineRule="atLeast"/>
              <w:jc w:val="right"/>
              <w:rPr>
                <w:rFonts w:cs="Arial"/>
                <w:b/>
                <w:color w:val="000000"/>
                <w:sz w:val="22"/>
                <w:szCs w:val="22"/>
              </w:rPr>
            </w:pPr>
            <w:r w:rsidRPr="00D37B23">
              <w:rPr>
                <w:rFonts w:cs="Arial"/>
                <w:b/>
                <w:color w:val="000000"/>
                <w:sz w:val="22"/>
                <w:szCs w:val="22"/>
              </w:rPr>
              <w:t>$771,678</w:t>
            </w:r>
          </w:p>
        </w:tc>
        <w:tc>
          <w:tcPr>
            <w:tcW w:w="1271" w:type="dxa"/>
            <w:shd w:val="clear" w:color="000000" w:fill="D9D9D9"/>
            <w:hideMark/>
          </w:tcPr>
          <w:p w14:paraId="6AB6F54D" w14:textId="77777777" w:rsidR="00E41A00" w:rsidRPr="00D37B23" w:rsidRDefault="00E41A00" w:rsidP="00D37B23">
            <w:pPr>
              <w:spacing w:after="0" w:line="280" w:lineRule="atLeast"/>
              <w:jc w:val="right"/>
              <w:rPr>
                <w:rFonts w:cs="Arial"/>
                <w:b/>
                <w:color w:val="000000"/>
                <w:sz w:val="22"/>
                <w:szCs w:val="22"/>
              </w:rPr>
            </w:pPr>
            <w:r w:rsidRPr="00D37B23">
              <w:rPr>
                <w:rFonts w:cs="Arial"/>
                <w:b/>
                <w:color w:val="000000"/>
                <w:sz w:val="22"/>
                <w:szCs w:val="22"/>
              </w:rPr>
              <w:t>$778,117</w:t>
            </w:r>
          </w:p>
        </w:tc>
        <w:tc>
          <w:tcPr>
            <w:tcW w:w="1564" w:type="dxa"/>
            <w:shd w:val="clear" w:color="000000" w:fill="D9D9D9"/>
            <w:hideMark/>
          </w:tcPr>
          <w:p w14:paraId="07ED839C" w14:textId="77777777" w:rsidR="00E41A00" w:rsidRPr="00D37B23" w:rsidRDefault="00E41A00" w:rsidP="00D37B23">
            <w:pPr>
              <w:spacing w:after="0" w:line="280" w:lineRule="atLeast"/>
              <w:jc w:val="right"/>
              <w:rPr>
                <w:rFonts w:cs="Arial"/>
                <w:b/>
                <w:sz w:val="22"/>
                <w:szCs w:val="22"/>
              </w:rPr>
            </w:pPr>
            <w:r w:rsidRPr="00D37B23">
              <w:rPr>
                <w:rFonts w:cs="Arial"/>
                <w:b/>
                <w:color w:val="FF0000"/>
                <w:sz w:val="22"/>
                <w:szCs w:val="22"/>
              </w:rPr>
              <w:t>($6,438)</w:t>
            </w:r>
          </w:p>
        </w:tc>
      </w:tr>
    </w:tbl>
    <w:p w14:paraId="24E24540" w14:textId="77777777" w:rsidR="00E41A00" w:rsidRPr="00A00F5C" w:rsidRDefault="00E41A00" w:rsidP="00E41A00">
      <w:pPr>
        <w:pStyle w:val="Tableorfigurenote"/>
      </w:pPr>
      <w:r w:rsidRPr="00A00F5C">
        <w:t xml:space="preserve">Note: Sums may not add </w:t>
      </w:r>
      <w:r w:rsidRPr="001C6738">
        <w:t>due</w:t>
      </w:r>
      <w:r w:rsidRPr="00A00F5C">
        <w:t xml:space="preserve"> to rounding.</w:t>
      </w:r>
    </w:p>
    <w:p w14:paraId="17877701" w14:textId="77777777" w:rsidR="00E41A00" w:rsidRPr="0077072D" w:rsidRDefault="00E41A00" w:rsidP="00E41A00">
      <w:pPr>
        <w:keepNext/>
        <w:keepLines/>
        <w:spacing w:after="80"/>
        <w:rPr>
          <w:b/>
          <w:bCs/>
          <w:i/>
          <w:iCs/>
        </w:rPr>
      </w:pPr>
      <w:r w:rsidRPr="0077072D">
        <w:rPr>
          <w:b/>
          <w:bCs/>
          <w:i/>
          <w:iCs/>
        </w:rPr>
        <w:t xml:space="preserve">Consumer </w:t>
      </w:r>
      <w:r>
        <w:rPr>
          <w:b/>
          <w:bCs/>
          <w:i/>
          <w:iCs/>
        </w:rPr>
        <w:t>S</w:t>
      </w:r>
      <w:r w:rsidRPr="0077072D">
        <w:rPr>
          <w:b/>
          <w:bCs/>
          <w:i/>
          <w:iCs/>
        </w:rPr>
        <w:t>afeguard</w:t>
      </w:r>
      <w:r>
        <w:rPr>
          <w:b/>
          <w:bCs/>
          <w:i/>
          <w:iCs/>
        </w:rPr>
        <w:t>s Part A</w:t>
      </w:r>
      <w:r w:rsidRPr="0077072D">
        <w:rPr>
          <w:b/>
          <w:bCs/>
          <w:i/>
          <w:iCs/>
        </w:rPr>
        <w:t xml:space="preserve"> program</w:t>
      </w:r>
    </w:p>
    <w:p w14:paraId="42ED112B" w14:textId="77777777" w:rsidR="00E41A00" w:rsidRDefault="00E41A00" w:rsidP="00E41A00">
      <w:pPr>
        <w:keepNext/>
        <w:keepLines/>
      </w:pPr>
      <w:r w:rsidRPr="00970E60">
        <w:t>This output involves undertaking intensive validation of data to ensure integrity and consistency of the data, resolving systemic issues arising from the analysis of the complaint data and facilitating the appropriate resolution to address the issues identified.</w:t>
      </w:r>
    </w:p>
    <w:p w14:paraId="1BB8741E" w14:textId="206CEB40" w:rsidR="00E41A00" w:rsidRDefault="00E41A00" w:rsidP="00E41A00">
      <w:r w:rsidRPr="00AE6A60">
        <w:t xml:space="preserve">Table </w:t>
      </w:r>
      <w:r>
        <w:t>9</w:t>
      </w:r>
      <w:r w:rsidRPr="00AE6A60">
        <w:t xml:space="preserve"> provides details of the activities </w:t>
      </w:r>
      <w:r w:rsidRPr="0063070C">
        <w:t>provided</w:t>
      </w:r>
      <w:r w:rsidRPr="00AE6A60">
        <w:t xml:space="preserve"> under this output </w:t>
      </w:r>
      <w:r>
        <w:t>for the 2023</w:t>
      </w:r>
      <w:r w:rsidR="000677AE">
        <w:t>–</w:t>
      </w:r>
      <w:r>
        <w:t>24 and 2022</w:t>
      </w:r>
      <w:r w:rsidR="000677AE">
        <w:t>–</w:t>
      </w:r>
      <w:r>
        <w:t>23 ACLC</w:t>
      </w:r>
      <w:r w:rsidRPr="00AE6A60">
        <w:t>.</w:t>
      </w:r>
    </w:p>
    <w:p w14:paraId="0E4B600B" w14:textId="7FD9AC22" w:rsidR="00E41A00" w:rsidRPr="00AE6A60" w:rsidRDefault="00E41A00" w:rsidP="00D37B23">
      <w:pPr>
        <w:pStyle w:val="Tableheading"/>
      </w:pPr>
      <w:bookmarkStart w:id="109" w:name="_Hlk97642597"/>
      <w:r>
        <w:lastRenderedPageBreak/>
        <w:t xml:space="preserve">Consumer Safeguards Part A program – </w:t>
      </w:r>
      <w:r w:rsidRPr="00AE6A60">
        <w:t xml:space="preserve">activities and costs for </w:t>
      </w:r>
      <w:r>
        <w:t>2023</w:t>
      </w:r>
      <w:r w:rsidR="000677AE">
        <w:t>–</w:t>
      </w:r>
      <w:r>
        <w:t>24</w:t>
      </w:r>
      <w:r w:rsidRPr="00AE6A60">
        <w:t xml:space="preserve"> ACLC (based on </w:t>
      </w:r>
      <w:r>
        <w:t>2022</w:t>
      </w:r>
      <w:r w:rsidR="000677AE">
        <w:t>–</w:t>
      </w:r>
      <w:r>
        <w:t>23</w:t>
      </w:r>
      <w:r w:rsidRPr="00AE6A60">
        <w:t xml:space="preserve"> costs)</w:t>
      </w:r>
      <w:r>
        <w:t xml:space="preserve"> and 2022</w:t>
      </w:r>
      <w:r w:rsidR="000677AE">
        <w:t>–</w:t>
      </w:r>
      <w:r>
        <w:t>23 ACLC (based on 2021</w:t>
      </w:r>
      <w:r w:rsidR="000677AE">
        <w:t>–</w:t>
      </w:r>
      <w:r>
        <w:t>22 costs)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619"/>
        <w:gridCol w:w="4905"/>
        <w:gridCol w:w="1275"/>
        <w:gridCol w:w="1418"/>
        <w:gridCol w:w="1559"/>
      </w:tblGrid>
      <w:tr w:rsidR="00E41A00" w:rsidRPr="00D37B23" w14:paraId="3349EC07" w14:textId="77777777" w:rsidTr="00836552">
        <w:trPr>
          <w:trHeight w:val="663"/>
        </w:trPr>
        <w:tc>
          <w:tcPr>
            <w:tcW w:w="619" w:type="dxa"/>
            <w:shd w:val="clear" w:color="000000" w:fill="404040"/>
            <w:hideMark/>
          </w:tcPr>
          <w:bookmarkEnd w:id="109"/>
          <w:p w14:paraId="7CB041DC" w14:textId="77777777" w:rsidR="00E41A00" w:rsidRPr="00D37B23" w:rsidRDefault="00E41A00" w:rsidP="00D37B23">
            <w:pPr>
              <w:spacing w:after="0" w:line="280" w:lineRule="atLeast"/>
              <w:rPr>
                <w:rFonts w:cs="Arial"/>
                <w:b/>
                <w:bCs/>
                <w:color w:val="FFFFFF"/>
                <w:sz w:val="22"/>
                <w:szCs w:val="22"/>
              </w:rPr>
            </w:pPr>
            <w:r w:rsidRPr="00D37B23">
              <w:rPr>
                <w:rFonts w:cs="Arial"/>
                <w:b/>
                <w:bCs/>
                <w:color w:val="FFFFFF"/>
                <w:sz w:val="22"/>
                <w:szCs w:val="22"/>
              </w:rPr>
              <w:t>Ref</w:t>
            </w:r>
          </w:p>
        </w:tc>
        <w:tc>
          <w:tcPr>
            <w:tcW w:w="4905" w:type="dxa"/>
            <w:shd w:val="clear" w:color="000000" w:fill="404040"/>
            <w:hideMark/>
          </w:tcPr>
          <w:p w14:paraId="10DB9A26" w14:textId="77777777" w:rsidR="00E41A00" w:rsidRPr="00E01726" w:rsidRDefault="00E41A00" w:rsidP="00D37B23">
            <w:pPr>
              <w:spacing w:after="0" w:line="280" w:lineRule="atLeast"/>
              <w:rPr>
                <w:rFonts w:cs="Arial"/>
                <w:b/>
                <w:bCs/>
                <w:color w:val="FFFFFF"/>
                <w:sz w:val="22"/>
                <w:szCs w:val="22"/>
              </w:rPr>
            </w:pPr>
            <w:r w:rsidRPr="00E01726">
              <w:rPr>
                <w:rFonts w:cs="Arial"/>
                <w:b/>
                <w:bCs/>
                <w:color w:val="FFFFFF"/>
                <w:sz w:val="22"/>
                <w:szCs w:val="22"/>
              </w:rPr>
              <w:t>Activity description</w:t>
            </w:r>
          </w:p>
        </w:tc>
        <w:tc>
          <w:tcPr>
            <w:tcW w:w="1275" w:type="dxa"/>
            <w:shd w:val="clear" w:color="000000" w:fill="404040"/>
            <w:hideMark/>
          </w:tcPr>
          <w:p w14:paraId="53B555C8" w14:textId="5E55A958" w:rsidR="00E41A00" w:rsidRPr="00E01726" w:rsidRDefault="00E41A00" w:rsidP="00D37B23">
            <w:pPr>
              <w:spacing w:after="0" w:line="280" w:lineRule="atLeast"/>
              <w:jc w:val="right"/>
              <w:rPr>
                <w:rFonts w:cs="Arial"/>
                <w:b/>
                <w:bCs/>
                <w:color w:val="FFFFFF"/>
                <w:sz w:val="22"/>
                <w:szCs w:val="22"/>
              </w:rPr>
            </w:pPr>
            <w:r w:rsidRPr="00E01726">
              <w:rPr>
                <w:rFonts w:cs="Arial"/>
                <w:b/>
                <w:bCs/>
                <w:color w:val="FFFFFF"/>
                <w:sz w:val="22"/>
                <w:szCs w:val="22"/>
              </w:rPr>
              <w:t>2022</w:t>
            </w:r>
            <w:r w:rsidR="00E01726" w:rsidRPr="00836552">
              <w:rPr>
                <w:b/>
                <w:bCs/>
                <w:color w:val="FFFFFF" w:themeColor="background1"/>
                <w:sz w:val="22"/>
                <w:szCs w:val="22"/>
              </w:rPr>
              <w:t>–</w:t>
            </w:r>
            <w:r w:rsidRPr="00E01726">
              <w:rPr>
                <w:rFonts w:cs="Arial"/>
                <w:b/>
                <w:bCs/>
                <w:color w:val="FFFFFF"/>
                <w:sz w:val="22"/>
                <w:szCs w:val="22"/>
              </w:rPr>
              <w:t xml:space="preserve">23 </w:t>
            </w:r>
            <w:r w:rsidRPr="00E01726">
              <w:rPr>
                <w:rFonts w:cs="Arial"/>
                <w:b/>
                <w:bCs/>
                <w:color w:val="FFFFFF"/>
                <w:sz w:val="22"/>
                <w:szCs w:val="22"/>
              </w:rPr>
              <w:br/>
              <w:t>cost</w:t>
            </w:r>
          </w:p>
        </w:tc>
        <w:tc>
          <w:tcPr>
            <w:tcW w:w="1418" w:type="dxa"/>
            <w:shd w:val="clear" w:color="000000" w:fill="404040"/>
            <w:hideMark/>
          </w:tcPr>
          <w:p w14:paraId="6EA8B969" w14:textId="174E6C7D" w:rsidR="00E41A00" w:rsidRPr="00E01726" w:rsidRDefault="00E41A00" w:rsidP="00D37B23">
            <w:pPr>
              <w:spacing w:after="0" w:line="280" w:lineRule="atLeast"/>
              <w:jc w:val="right"/>
              <w:rPr>
                <w:rFonts w:cs="Arial"/>
                <w:b/>
                <w:bCs/>
                <w:color w:val="FFFFFF"/>
                <w:sz w:val="22"/>
                <w:szCs w:val="22"/>
              </w:rPr>
            </w:pPr>
            <w:r w:rsidRPr="00E01726">
              <w:rPr>
                <w:rFonts w:cs="Arial"/>
                <w:b/>
                <w:bCs/>
                <w:color w:val="FFFFFF"/>
                <w:sz w:val="22"/>
                <w:szCs w:val="22"/>
              </w:rPr>
              <w:t>2021</w:t>
            </w:r>
            <w:r w:rsidR="00E01726" w:rsidRPr="00836552">
              <w:rPr>
                <w:b/>
                <w:bCs/>
                <w:color w:val="FFFFFF" w:themeColor="background1"/>
                <w:sz w:val="22"/>
                <w:szCs w:val="22"/>
              </w:rPr>
              <w:t>–</w:t>
            </w:r>
            <w:r w:rsidRPr="00E01726">
              <w:rPr>
                <w:rFonts w:cs="Arial"/>
                <w:b/>
                <w:bCs/>
                <w:color w:val="FFFFFF"/>
                <w:sz w:val="22"/>
                <w:szCs w:val="22"/>
              </w:rPr>
              <w:t xml:space="preserve">22 </w:t>
            </w:r>
            <w:r w:rsidRPr="00E01726">
              <w:rPr>
                <w:rFonts w:cs="Arial"/>
                <w:b/>
                <w:bCs/>
                <w:color w:val="FFFFFF"/>
                <w:sz w:val="22"/>
                <w:szCs w:val="22"/>
              </w:rPr>
              <w:br/>
              <w:t>cost</w:t>
            </w:r>
          </w:p>
        </w:tc>
        <w:tc>
          <w:tcPr>
            <w:tcW w:w="1559" w:type="dxa"/>
            <w:shd w:val="clear" w:color="000000" w:fill="404040"/>
            <w:hideMark/>
          </w:tcPr>
          <w:p w14:paraId="59DDF697" w14:textId="77777777" w:rsidR="00E41A00" w:rsidRPr="00E01726" w:rsidRDefault="00E41A00" w:rsidP="00D37B23">
            <w:pPr>
              <w:spacing w:after="0" w:line="280" w:lineRule="atLeast"/>
              <w:ind w:left="284"/>
              <w:jc w:val="right"/>
              <w:rPr>
                <w:rFonts w:cs="Arial"/>
                <w:b/>
                <w:bCs/>
                <w:color w:val="FFFFFF"/>
                <w:sz w:val="22"/>
                <w:szCs w:val="22"/>
              </w:rPr>
            </w:pPr>
            <w:r w:rsidRPr="00E01726">
              <w:rPr>
                <w:rFonts w:cs="Arial"/>
                <w:b/>
                <w:bCs/>
                <w:color w:val="FFFFFF"/>
                <w:sz w:val="22"/>
                <w:szCs w:val="22"/>
              </w:rPr>
              <w:t xml:space="preserve">Variance </w:t>
            </w:r>
            <w:r w:rsidRPr="00E01726">
              <w:rPr>
                <w:rFonts w:cs="Arial"/>
                <w:b/>
                <w:bCs/>
                <w:color w:val="FFFFFF"/>
                <w:sz w:val="22"/>
                <w:szCs w:val="22"/>
              </w:rPr>
              <w:br/>
              <w:t>increase/</w:t>
            </w:r>
            <w:r w:rsidRPr="00E01726">
              <w:rPr>
                <w:rFonts w:cs="Arial"/>
                <w:b/>
                <w:bCs/>
                <w:color w:val="FFFFFF"/>
                <w:sz w:val="22"/>
                <w:szCs w:val="22"/>
              </w:rPr>
              <w:br/>
              <w:t>(decrease)</w:t>
            </w:r>
          </w:p>
        </w:tc>
      </w:tr>
      <w:tr w:rsidR="00E41A00" w:rsidRPr="00D37B23" w14:paraId="257D797C" w14:textId="77777777" w:rsidTr="00836552">
        <w:trPr>
          <w:trHeight w:val="228"/>
        </w:trPr>
        <w:tc>
          <w:tcPr>
            <w:tcW w:w="619" w:type="dxa"/>
            <w:shd w:val="clear" w:color="auto" w:fill="auto"/>
            <w:noWrap/>
            <w:hideMark/>
          </w:tcPr>
          <w:p w14:paraId="35F094F9" w14:textId="77777777" w:rsidR="00E41A00" w:rsidRPr="00D37B23" w:rsidRDefault="00E41A00" w:rsidP="00D37B23">
            <w:pPr>
              <w:spacing w:after="0" w:line="280" w:lineRule="atLeast"/>
              <w:jc w:val="center"/>
              <w:rPr>
                <w:rFonts w:cs="Arial"/>
                <w:color w:val="000000"/>
                <w:sz w:val="22"/>
                <w:szCs w:val="22"/>
              </w:rPr>
            </w:pPr>
            <w:r w:rsidRPr="00D37B23">
              <w:rPr>
                <w:rFonts w:cs="Arial"/>
                <w:color w:val="000000"/>
                <w:sz w:val="22"/>
                <w:szCs w:val="22"/>
              </w:rPr>
              <w:t>S1</w:t>
            </w:r>
          </w:p>
        </w:tc>
        <w:tc>
          <w:tcPr>
            <w:tcW w:w="4905" w:type="dxa"/>
            <w:shd w:val="clear" w:color="auto" w:fill="auto"/>
            <w:hideMark/>
          </w:tcPr>
          <w:p w14:paraId="698FD26C" w14:textId="36A4B0E2" w:rsidR="00E41A00" w:rsidRPr="00D37B23" w:rsidRDefault="00E41A00" w:rsidP="00D37B23">
            <w:pPr>
              <w:spacing w:after="0" w:line="280" w:lineRule="atLeast"/>
              <w:rPr>
                <w:sz w:val="22"/>
                <w:szCs w:val="22"/>
              </w:rPr>
            </w:pPr>
            <w:r w:rsidRPr="00D37B23">
              <w:rPr>
                <w:sz w:val="22"/>
                <w:szCs w:val="22"/>
              </w:rPr>
              <w:t xml:space="preserve">Telecommunications Performance Reporting relates specifically to Consumer Safeguards </w:t>
            </w:r>
            <w:r w:rsidR="000677AE" w:rsidRPr="00D37B23">
              <w:rPr>
                <w:sz w:val="22"/>
                <w:szCs w:val="22"/>
              </w:rPr>
              <w:t>Part</w:t>
            </w:r>
            <w:r w:rsidR="000677AE">
              <w:rPr>
                <w:sz w:val="22"/>
                <w:szCs w:val="22"/>
              </w:rPr>
              <w:t> </w:t>
            </w:r>
            <w:r w:rsidRPr="00D37B23">
              <w:rPr>
                <w:sz w:val="22"/>
                <w:szCs w:val="22"/>
              </w:rPr>
              <w:t>A NPP</w:t>
            </w:r>
          </w:p>
        </w:tc>
        <w:tc>
          <w:tcPr>
            <w:tcW w:w="1275" w:type="dxa"/>
            <w:shd w:val="clear" w:color="auto" w:fill="auto"/>
            <w:vAlign w:val="bottom"/>
            <w:hideMark/>
          </w:tcPr>
          <w:p w14:paraId="4D885B64"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$0</w:t>
            </w:r>
          </w:p>
        </w:tc>
        <w:tc>
          <w:tcPr>
            <w:tcW w:w="1418" w:type="dxa"/>
            <w:shd w:val="clear" w:color="auto" w:fill="auto"/>
            <w:vAlign w:val="bottom"/>
            <w:hideMark/>
          </w:tcPr>
          <w:p w14:paraId="0326E339"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$384,140</w:t>
            </w:r>
          </w:p>
        </w:tc>
        <w:tc>
          <w:tcPr>
            <w:tcW w:w="1559" w:type="dxa"/>
            <w:shd w:val="clear" w:color="auto" w:fill="auto"/>
            <w:vAlign w:val="bottom"/>
            <w:hideMark/>
          </w:tcPr>
          <w:p w14:paraId="05E7B7A9" w14:textId="77777777" w:rsidR="00E41A00" w:rsidRPr="00D37B23" w:rsidRDefault="00E41A00" w:rsidP="00D37B23">
            <w:pPr>
              <w:spacing w:after="0" w:line="280" w:lineRule="atLeast"/>
              <w:jc w:val="right"/>
              <w:rPr>
                <w:rFonts w:cs="Arial"/>
                <w:sz w:val="22"/>
                <w:szCs w:val="22"/>
              </w:rPr>
            </w:pPr>
            <w:r w:rsidRPr="00D37B23">
              <w:rPr>
                <w:rFonts w:cs="Arial"/>
                <w:color w:val="FF0000"/>
                <w:sz w:val="22"/>
                <w:szCs w:val="22"/>
              </w:rPr>
              <w:t>($384,140)</w:t>
            </w:r>
          </w:p>
        </w:tc>
      </w:tr>
      <w:tr w:rsidR="00E41A00" w:rsidRPr="00D37B23" w14:paraId="4AFD6071" w14:textId="77777777" w:rsidTr="00836552">
        <w:trPr>
          <w:trHeight w:val="577"/>
        </w:trPr>
        <w:tc>
          <w:tcPr>
            <w:tcW w:w="619" w:type="dxa"/>
            <w:shd w:val="clear" w:color="auto" w:fill="auto"/>
            <w:noWrap/>
          </w:tcPr>
          <w:p w14:paraId="59AA3F29" w14:textId="77777777" w:rsidR="00E41A00" w:rsidRPr="00D37B23" w:rsidRDefault="00E41A00" w:rsidP="00D37B23">
            <w:pPr>
              <w:spacing w:after="0" w:line="280" w:lineRule="atLeast"/>
              <w:jc w:val="center"/>
              <w:rPr>
                <w:rFonts w:ascii="Times New Roman" w:hAnsi="Times New Roman"/>
                <w:color w:val="000000"/>
                <w:sz w:val="22"/>
                <w:szCs w:val="22"/>
              </w:rPr>
            </w:pPr>
            <w:r w:rsidRPr="00D37B23">
              <w:rPr>
                <w:rFonts w:cs="Arial"/>
                <w:color w:val="000000"/>
                <w:sz w:val="22"/>
                <w:szCs w:val="22"/>
              </w:rPr>
              <w:t>S2</w:t>
            </w:r>
          </w:p>
        </w:tc>
        <w:tc>
          <w:tcPr>
            <w:tcW w:w="4905" w:type="dxa"/>
            <w:shd w:val="clear" w:color="auto" w:fill="auto"/>
          </w:tcPr>
          <w:p w14:paraId="7345F087" w14:textId="77777777" w:rsidR="00E41A00" w:rsidRPr="00D37B23" w:rsidRDefault="00E41A00" w:rsidP="00D37B23">
            <w:pPr>
              <w:spacing w:after="0" w:line="280" w:lineRule="atLeast"/>
              <w:rPr>
                <w:sz w:val="22"/>
                <w:szCs w:val="22"/>
              </w:rPr>
            </w:pPr>
            <w:r w:rsidRPr="00D37B23">
              <w:rPr>
                <w:sz w:val="22"/>
                <w:szCs w:val="22"/>
              </w:rPr>
              <w:t>Conducting compliance audits to test telecommunications industry service providers' compliance with requirements under the standards that relate to Consumer Safeguards Part A</w:t>
            </w:r>
          </w:p>
        </w:tc>
        <w:tc>
          <w:tcPr>
            <w:tcW w:w="1275" w:type="dxa"/>
            <w:shd w:val="clear" w:color="auto" w:fill="auto"/>
            <w:vAlign w:val="bottom"/>
          </w:tcPr>
          <w:p w14:paraId="5D297176"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$581,350</w:t>
            </w:r>
          </w:p>
        </w:tc>
        <w:tc>
          <w:tcPr>
            <w:tcW w:w="1418" w:type="dxa"/>
            <w:shd w:val="clear" w:color="auto" w:fill="auto"/>
            <w:vAlign w:val="bottom"/>
          </w:tcPr>
          <w:p w14:paraId="19F2B6FA"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$429748</w:t>
            </w:r>
          </w:p>
        </w:tc>
        <w:tc>
          <w:tcPr>
            <w:tcW w:w="1559" w:type="dxa"/>
            <w:shd w:val="clear" w:color="auto" w:fill="auto"/>
            <w:vAlign w:val="bottom"/>
          </w:tcPr>
          <w:p w14:paraId="0F625902" w14:textId="77777777" w:rsidR="00E41A00" w:rsidRPr="00D37B23" w:rsidRDefault="00E41A00" w:rsidP="00D37B23">
            <w:pPr>
              <w:spacing w:after="0" w:line="280" w:lineRule="atLeast"/>
              <w:jc w:val="right"/>
              <w:rPr>
                <w:rFonts w:cs="Arial"/>
                <w:sz w:val="22"/>
                <w:szCs w:val="22"/>
              </w:rPr>
            </w:pPr>
            <w:r w:rsidRPr="00D37B23">
              <w:rPr>
                <w:rFonts w:cs="Arial"/>
                <w:sz w:val="22"/>
                <w:szCs w:val="22"/>
              </w:rPr>
              <w:t>$151,602</w:t>
            </w:r>
          </w:p>
        </w:tc>
      </w:tr>
      <w:tr w:rsidR="00E41A00" w:rsidRPr="00D37B23" w14:paraId="1789EB97" w14:textId="77777777" w:rsidTr="00836552">
        <w:trPr>
          <w:trHeight w:val="221"/>
        </w:trPr>
        <w:tc>
          <w:tcPr>
            <w:tcW w:w="619" w:type="dxa"/>
            <w:shd w:val="clear" w:color="000000" w:fill="D0CECE"/>
            <w:noWrap/>
            <w:hideMark/>
          </w:tcPr>
          <w:p w14:paraId="7569AA29" w14:textId="77777777" w:rsidR="00E41A00" w:rsidRPr="00D37B23" w:rsidRDefault="00E41A00" w:rsidP="00D37B23">
            <w:pPr>
              <w:spacing w:after="0" w:line="280" w:lineRule="atLeast"/>
              <w:rPr>
                <w:rFonts w:ascii="Times New Roman" w:hAnsi="Times New Roman"/>
                <w:color w:val="000000"/>
                <w:sz w:val="22"/>
                <w:szCs w:val="22"/>
              </w:rPr>
            </w:pPr>
            <w:r w:rsidRPr="00D37B23">
              <w:rPr>
                <w:color w:val="000000"/>
                <w:sz w:val="22"/>
                <w:szCs w:val="22"/>
              </w:rPr>
              <w:t> </w:t>
            </w:r>
          </w:p>
        </w:tc>
        <w:tc>
          <w:tcPr>
            <w:tcW w:w="4905" w:type="dxa"/>
            <w:shd w:val="clear" w:color="000000" w:fill="D9D9D9"/>
            <w:hideMark/>
          </w:tcPr>
          <w:p w14:paraId="71B1E24C" w14:textId="77777777" w:rsidR="00E41A00" w:rsidRPr="00D37B23" w:rsidRDefault="00E41A00" w:rsidP="00D37B23">
            <w:pPr>
              <w:spacing w:after="0" w:line="280" w:lineRule="atLeast"/>
              <w:rPr>
                <w:rFonts w:cs="Arial"/>
                <w:b/>
                <w:bCs/>
                <w:color w:val="000000"/>
                <w:sz w:val="22"/>
                <w:szCs w:val="22"/>
              </w:rPr>
            </w:pPr>
            <w:r w:rsidRPr="00D37B23">
              <w:rPr>
                <w:rFonts w:cs="Arial"/>
                <w:b/>
                <w:bCs/>
                <w:color w:val="000000"/>
                <w:sz w:val="22"/>
                <w:szCs w:val="22"/>
              </w:rPr>
              <w:t> Total costs</w:t>
            </w:r>
          </w:p>
        </w:tc>
        <w:tc>
          <w:tcPr>
            <w:tcW w:w="1275" w:type="dxa"/>
            <w:shd w:val="clear" w:color="000000" w:fill="D9D9D9"/>
            <w:vAlign w:val="bottom"/>
            <w:hideMark/>
          </w:tcPr>
          <w:p w14:paraId="5043841B" w14:textId="77777777" w:rsidR="00E41A00" w:rsidRPr="00D37B23" w:rsidRDefault="00E41A00" w:rsidP="00D37B23">
            <w:pPr>
              <w:spacing w:after="0" w:line="280" w:lineRule="atLeast"/>
              <w:jc w:val="right"/>
              <w:rPr>
                <w:rFonts w:cs="Arial"/>
                <w:b/>
                <w:bCs/>
                <w:color w:val="000000"/>
                <w:sz w:val="22"/>
                <w:szCs w:val="22"/>
              </w:rPr>
            </w:pPr>
            <w:r w:rsidRPr="00D37B23">
              <w:rPr>
                <w:rFonts w:cs="Arial"/>
                <w:b/>
                <w:bCs/>
                <w:color w:val="000000"/>
                <w:sz w:val="22"/>
                <w:szCs w:val="22"/>
              </w:rPr>
              <w:t>$581,350</w:t>
            </w:r>
          </w:p>
        </w:tc>
        <w:tc>
          <w:tcPr>
            <w:tcW w:w="1418" w:type="dxa"/>
            <w:shd w:val="clear" w:color="000000" w:fill="D9D9D9"/>
            <w:vAlign w:val="bottom"/>
            <w:hideMark/>
          </w:tcPr>
          <w:p w14:paraId="492FDB72" w14:textId="77777777" w:rsidR="00E41A00" w:rsidRPr="00D37B23" w:rsidRDefault="00E41A00" w:rsidP="00D37B23">
            <w:pPr>
              <w:spacing w:after="0" w:line="280" w:lineRule="atLeast"/>
              <w:jc w:val="right"/>
              <w:rPr>
                <w:rFonts w:cs="Arial"/>
                <w:b/>
                <w:bCs/>
                <w:color w:val="000000"/>
                <w:sz w:val="22"/>
                <w:szCs w:val="22"/>
              </w:rPr>
            </w:pPr>
            <w:r w:rsidRPr="00D37B23">
              <w:rPr>
                <w:rFonts w:cs="Arial"/>
                <w:b/>
                <w:bCs/>
                <w:color w:val="000000"/>
                <w:sz w:val="22"/>
                <w:szCs w:val="22"/>
              </w:rPr>
              <w:t>$813,888</w:t>
            </w:r>
          </w:p>
        </w:tc>
        <w:tc>
          <w:tcPr>
            <w:tcW w:w="1559" w:type="dxa"/>
            <w:shd w:val="clear" w:color="000000" w:fill="D9D9D9"/>
            <w:vAlign w:val="bottom"/>
            <w:hideMark/>
          </w:tcPr>
          <w:p w14:paraId="4C0283DF" w14:textId="77777777" w:rsidR="00E41A00" w:rsidRPr="00D37B23" w:rsidRDefault="00E41A00" w:rsidP="00D37B23">
            <w:pPr>
              <w:spacing w:after="0" w:line="280" w:lineRule="atLeast"/>
              <w:jc w:val="right"/>
              <w:rPr>
                <w:rFonts w:cs="Arial"/>
                <w:b/>
                <w:bCs/>
                <w:sz w:val="22"/>
                <w:szCs w:val="22"/>
              </w:rPr>
            </w:pPr>
            <w:r w:rsidRPr="00D37B23">
              <w:rPr>
                <w:rFonts w:cs="Arial"/>
                <w:b/>
                <w:bCs/>
                <w:color w:val="FF0000"/>
                <w:sz w:val="22"/>
                <w:szCs w:val="22"/>
              </w:rPr>
              <w:t>($232,538)</w:t>
            </w:r>
          </w:p>
        </w:tc>
      </w:tr>
    </w:tbl>
    <w:p w14:paraId="211FB0B6" w14:textId="77777777" w:rsidR="00E41A00" w:rsidRPr="00A00F5C" w:rsidRDefault="00E41A00" w:rsidP="00E41A00">
      <w:pPr>
        <w:pStyle w:val="Tableorfigurenote"/>
      </w:pPr>
      <w:r w:rsidRPr="00A00F5C">
        <w:t xml:space="preserve">Note: Sums may not add due to </w:t>
      </w:r>
      <w:r w:rsidRPr="001C6738">
        <w:t>rounding</w:t>
      </w:r>
      <w:r>
        <w:t>.</w:t>
      </w:r>
    </w:p>
    <w:p w14:paraId="57CAFA13" w14:textId="11D7FA42" w:rsidR="00E41A00" w:rsidRPr="00AE6A60" w:rsidRDefault="00E41A00" w:rsidP="00D37B23">
      <w:pPr>
        <w:pStyle w:val="Paragraph"/>
      </w:pPr>
      <w:r w:rsidRPr="00AE6A60">
        <w:t xml:space="preserve">Further details about the ACMA’s </w:t>
      </w:r>
      <w:r w:rsidRPr="00D37B23">
        <w:t>telecommunications</w:t>
      </w:r>
      <w:r w:rsidRPr="00AE6A60">
        <w:t xml:space="preserve"> activities </w:t>
      </w:r>
      <w:r>
        <w:t>in 2022</w:t>
      </w:r>
      <w:r w:rsidR="000677AE">
        <w:t>–</w:t>
      </w:r>
      <w:r>
        <w:t xml:space="preserve">23 </w:t>
      </w:r>
      <w:r w:rsidRPr="00AE6A60">
        <w:t xml:space="preserve">are set out in the </w:t>
      </w:r>
      <w:r w:rsidRPr="005B0263">
        <w:t xml:space="preserve">ACMA’s </w:t>
      </w:r>
      <w:hyperlink r:id="rId23" w:history="1">
        <w:r w:rsidR="000677AE" w:rsidRPr="00836552">
          <w:rPr>
            <w:rStyle w:val="Hyperlink"/>
            <w:i/>
            <w:iCs/>
          </w:rPr>
          <w:t>Annual report 2022–23</w:t>
        </w:r>
      </w:hyperlink>
      <w:r w:rsidRPr="00AE6A60">
        <w:t>.</w:t>
      </w:r>
    </w:p>
    <w:p w14:paraId="20E8A171" w14:textId="77777777" w:rsidR="00E41A00" w:rsidRPr="00AE6A60" w:rsidRDefault="00E41A00" w:rsidP="00D37B23">
      <w:pPr>
        <w:pStyle w:val="Heading3"/>
      </w:pPr>
      <w:bookmarkStart w:id="110" w:name="_Toc417990948"/>
      <w:bookmarkStart w:id="111" w:name="_Toc511634390"/>
      <w:bookmarkStart w:id="112" w:name="_Toc67042579"/>
      <w:bookmarkStart w:id="113" w:name="_Toc108599214"/>
      <w:r w:rsidRPr="00AE6A60">
        <w:t>3.1.</w:t>
      </w:r>
      <w:r>
        <w:t>3</w:t>
      </w:r>
      <w:r w:rsidRPr="00AE6A60">
        <w:tab/>
        <w:t xml:space="preserve">Costs of the </w:t>
      </w:r>
      <w:r w:rsidRPr="00D37B23">
        <w:t>activity</w:t>
      </w:r>
      <w:bookmarkEnd w:id="110"/>
      <w:bookmarkEnd w:id="111"/>
      <w:bookmarkEnd w:id="112"/>
      <w:bookmarkEnd w:id="113"/>
    </w:p>
    <w:p w14:paraId="17862D2B" w14:textId="6F17AED2" w:rsidR="00E41A00" w:rsidRDefault="00E41A00" w:rsidP="00D37B23">
      <w:pPr>
        <w:pStyle w:val="Paragraph"/>
      </w:pPr>
      <w:bookmarkStart w:id="114" w:name="_Hlk8810358"/>
      <w:r w:rsidRPr="00AE6A60">
        <w:t>Table</w:t>
      </w:r>
      <w:r>
        <w:t>s</w:t>
      </w:r>
      <w:r w:rsidRPr="00AE6A60">
        <w:t xml:space="preserve"> </w:t>
      </w:r>
      <w:r>
        <w:t>10</w:t>
      </w:r>
      <w:r w:rsidRPr="00AE6A60">
        <w:t xml:space="preserve"> and </w:t>
      </w:r>
      <w:r>
        <w:t>10</w:t>
      </w:r>
      <w:r w:rsidRPr="00AE6A60">
        <w:t>A summarise the direct costs and support costs of the ACMA’s components at the output level for</w:t>
      </w:r>
      <w:r>
        <w:t xml:space="preserve"> the</w:t>
      </w:r>
      <w:r w:rsidRPr="00AE6A60">
        <w:t xml:space="preserve"> </w:t>
      </w:r>
      <w:r>
        <w:t>2023</w:t>
      </w:r>
      <w:r w:rsidR="000677AE">
        <w:t>–</w:t>
      </w:r>
      <w:r>
        <w:t>24</w:t>
      </w:r>
      <w:r w:rsidRPr="00AE6A60">
        <w:t xml:space="preserve"> and </w:t>
      </w:r>
      <w:r>
        <w:t>2022</w:t>
      </w:r>
      <w:r w:rsidR="000677AE">
        <w:t>–</w:t>
      </w:r>
      <w:r>
        <w:t>23</w:t>
      </w:r>
      <w:r w:rsidRPr="00AE6A60">
        <w:t xml:space="preserve"> ACLC, respectively.</w:t>
      </w:r>
      <w:bookmarkStart w:id="115" w:name="_Hlk8810612"/>
      <w:bookmarkEnd w:id="114"/>
      <w:r>
        <w:t xml:space="preserve"> </w:t>
      </w:r>
    </w:p>
    <w:p w14:paraId="117F782E" w14:textId="60E3D959" w:rsidR="00E41A00" w:rsidRPr="00D37B23" w:rsidRDefault="00E41A00" w:rsidP="00D37B23">
      <w:pPr>
        <w:pStyle w:val="Tableheading"/>
      </w:pPr>
      <w:r w:rsidRPr="00D37B23">
        <w:t>The ACMA’s components at output level for 2023</w:t>
      </w:r>
      <w:r w:rsidR="000677AE">
        <w:t>–</w:t>
      </w:r>
      <w:r w:rsidRPr="00D37B23">
        <w:t>24 ACLC (based on 2022</w:t>
      </w:r>
      <w:r w:rsidR="000677AE">
        <w:t>–</w:t>
      </w:r>
      <w:r w:rsidRPr="00D37B23">
        <w:t xml:space="preserve">23 costs) </w:t>
      </w:r>
    </w:p>
    <w:tbl>
      <w:tblPr>
        <w:tblW w:w="516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57" w:type="dxa"/>
        </w:tblCellMar>
        <w:tblLook w:val="04A0" w:firstRow="1" w:lastRow="0" w:firstColumn="1" w:lastColumn="0" w:noHBand="0" w:noVBand="1"/>
        <w:tblCaption w:val="The ACMA’s component at output level, 2015–16"/>
        <w:tblDescription w:val="Includes direct, support and total costs of outputs."/>
      </w:tblPr>
      <w:tblGrid>
        <w:gridCol w:w="4103"/>
        <w:gridCol w:w="1748"/>
        <w:gridCol w:w="1748"/>
        <w:gridCol w:w="1748"/>
      </w:tblGrid>
      <w:tr w:rsidR="00D37B23" w:rsidRPr="00D37B23" w14:paraId="676D688A" w14:textId="77777777" w:rsidTr="00D37B23">
        <w:trPr>
          <w:trHeight w:val="371"/>
          <w:tblHeader/>
        </w:trPr>
        <w:tc>
          <w:tcPr>
            <w:tcW w:w="2195" w:type="pct"/>
            <w:shd w:val="clear" w:color="auto" w:fill="404040" w:themeFill="text1" w:themeFillTint="BF"/>
          </w:tcPr>
          <w:p w14:paraId="623240F8" w14:textId="77777777" w:rsidR="00E41A00" w:rsidRPr="00D37B23" w:rsidRDefault="00E41A00" w:rsidP="00D37B23">
            <w:pPr>
              <w:pStyle w:val="TableHeading0"/>
              <w:keepNext/>
              <w:keepLines/>
              <w:spacing w:line="280" w:lineRule="atLeast"/>
              <w:rPr>
                <w:b w:val="0"/>
                <w:color w:val="FFFFFF" w:themeColor="background1"/>
                <w:sz w:val="22"/>
                <w:szCs w:val="22"/>
              </w:rPr>
            </w:pPr>
            <w:r w:rsidRPr="00D37B23">
              <w:rPr>
                <w:color w:val="FFFFFF" w:themeColor="background1"/>
                <w:sz w:val="22"/>
                <w:szCs w:val="22"/>
              </w:rPr>
              <w:t>Output</w:t>
            </w:r>
          </w:p>
        </w:tc>
        <w:tc>
          <w:tcPr>
            <w:tcW w:w="935" w:type="pct"/>
            <w:shd w:val="clear" w:color="000000" w:fill="404040"/>
          </w:tcPr>
          <w:p w14:paraId="3CF35624" w14:textId="20160985" w:rsidR="00E41A00" w:rsidRPr="00D37B23" w:rsidRDefault="00E41A00" w:rsidP="00D37B23">
            <w:pPr>
              <w:pStyle w:val="TableHeading0"/>
              <w:keepNext/>
              <w:keepLines/>
              <w:spacing w:line="280" w:lineRule="atLeast"/>
              <w:jc w:val="right"/>
              <w:rPr>
                <w:b w:val="0"/>
                <w:color w:val="FFFFFF" w:themeColor="background1"/>
                <w:sz w:val="22"/>
                <w:szCs w:val="22"/>
              </w:rPr>
            </w:pPr>
            <w:r w:rsidRPr="00D37B23">
              <w:rPr>
                <w:color w:val="FFFFFF" w:themeColor="background1"/>
                <w:sz w:val="22"/>
                <w:szCs w:val="22"/>
              </w:rPr>
              <w:t>Direct cost</w:t>
            </w:r>
            <w:r w:rsidRPr="00D37B23">
              <w:rPr>
                <w:color w:val="FFFFFF" w:themeColor="background1"/>
                <w:sz w:val="22"/>
                <w:szCs w:val="22"/>
              </w:rPr>
              <w:br/>
              <w:t>2022</w:t>
            </w:r>
            <w:r w:rsidR="00E01726">
              <w:rPr>
                <w:color w:val="FFFFFF" w:themeColor="background1"/>
                <w:sz w:val="22"/>
                <w:szCs w:val="22"/>
              </w:rPr>
              <w:t>–</w:t>
            </w:r>
            <w:r w:rsidRPr="00D37B23">
              <w:rPr>
                <w:color w:val="FFFFFF" w:themeColor="background1"/>
                <w:sz w:val="22"/>
                <w:szCs w:val="22"/>
              </w:rPr>
              <w:t xml:space="preserve">23 </w:t>
            </w:r>
          </w:p>
        </w:tc>
        <w:tc>
          <w:tcPr>
            <w:tcW w:w="935" w:type="pct"/>
            <w:shd w:val="clear" w:color="000000" w:fill="404040"/>
          </w:tcPr>
          <w:p w14:paraId="5E3C7A11" w14:textId="0877F329" w:rsidR="00E41A00" w:rsidRPr="00D37B23" w:rsidRDefault="00E41A00" w:rsidP="00D37B23">
            <w:pPr>
              <w:pStyle w:val="TableHeading0"/>
              <w:keepNext/>
              <w:keepLines/>
              <w:spacing w:line="280" w:lineRule="atLeast"/>
              <w:jc w:val="right"/>
              <w:rPr>
                <w:b w:val="0"/>
                <w:color w:val="FFFFFF" w:themeColor="background1"/>
                <w:sz w:val="22"/>
                <w:szCs w:val="22"/>
              </w:rPr>
            </w:pPr>
            <w:r w:rsidRPr="00D37B23">
              <w:rPr>
                <w:color w:val="FFFFFF" w:themeColor="background1"/>
                <w:sz w:val="22"/>
                <w:szCs w:val="22"/>
              </w:rPr>
              <w:t xml:space="preserve">Support cost </w:t>
            </w:r>
            <w:r w:rsidRPr="00D37B23">
              <w:rPr>
                <w:color w:val="FFFFFF" w:themeColor="background1"/>
                <w:sz w:val="22"/>
                <w:szCs w:val="22"/>
              </w:rPr>
              <w:br/>
              <w:t>2022</w:t>
            </w:r>
            <w:r w:rsidR="00E01726">
              <w:rPr>
                <w:color w:val="FFFFFF" w:themeColor="background1"/>
                <w:sz w:val="22"/>
                <w:szCs w:val="22"/>
              </w:rPr>
              <w:t>–</w:t>
            </w:r>
            <w:r w:rsidRPr="00D37B23">
              <w:rPr>
                <w:color w:val="FFFFFF" w:themeColor="background1"/>
                <w:sz w:val="22"/>
                <w:szCs w:val="22"/>
              </w:rPr>
              <w:t xml:space="preserve">23 </w:t>
            </w:r>
          </w:p>
        </w:tc>
        <w:tc>
          <w:tcPr>
            <w:tcW w:w="935" w:type="pct"/>
            <w:shd w:val="clear" w:color="000000" w:fill="404040"/>
          </w:tcPr>
          <w:p w14:paraId="5123D9F5" w14:textId="7CB81613" w:rsidR="00E41A00" w:rsidRPr="00D37B23" w:rsidRDefault="00E41A00" w:rsidP="00D37B23">
            <w:pPr>
              <w:pStyle w:val="TableHeading0"/>
              <w:keepNext/>
              <w:keepLines/>
              <w:spacing w:line="280" w:lineRule="atLeast"/>
              <w:jc w:val="right"/>
              <w:rPr>
                <w:b w:val="0"/>
                <w:color w:val="FFFFFF" w:themeColor="background1"/>
                <w:sz w:val="22"/>
                <w:szCs w:val="22"/>
              </w:rPr>
            </w:pPr>
            <w:r w:rsidRPr="00D37B23">
              <w:rPr>
                <w:color w:val="FFFFFF" w:themeColor="background1"/>
                <w:sz w:val="22"/>
                <w:szCs w:val="22"/>
              </w:rPr>
              <w:t>Total cost 2022</w:t>
            </w:r>
            <w:r w:rsidR="00E01726">
              <w:rPr>
                <w:color w:val="FFFFFF" w:themeColor="background1"/>
                <w:sz w:val="22"/>
                <w:szCs w:val="22"/>
              </w:rPr>
              <w:t>–</w:t>
            </w:r>
            <w:r w:rsidRPr="00D37B23">
              <w:rPr>
                <w:color w:val="FFFFFF" w:themeColor="background1"/>
                <w:sz w:val="22"/>
                <w:szCs w:val="22"/>
              </w:rPr>
              <w:t xml:space="preserve">23 </w:t>
            </w:r>
          </w:p>
        </w:tc>
      </w:tr>
      <w:tr w:rsidR="00D37B23" w:rsidRPr="00D37B23" w14:paraId="21E5B080" w14:textId="77777777" w:rsidTr="00D37B23">
        <w:trPr>
          <w:trHeight w:val="232"/>
        </w:trPr>
        <w:tc>
          <w:tcPr>
            <w:tcW w:w="2195" w:type="pct"/>
          </w:tcPr>
          <w:p w14:paraId="6B505C7C" w14:textId="77777777" w:rsidR="00E41A00" w:rsidRPr="00D37B23" w:rsidRDefault="00E41A00" w:rsidP="00D37B23">
            <w:pPr>
              <w:keepNext/>
              <w:keepLines/>
              <w:spacing w:after="0" w:line="280" w:lineRule="atLeast"/>
              <w:rPr>
                <w:rFonts w:cs="Arial"/>
                <w:sz w:val="22"/>
                <w:szCs w:val="22"/>
              </w:rPr>
            </w:pPr>
            <w:r w:rsidRPr="00D37B23">
              <w:rPr>
                <w:sz w:val="22"/>
                <w:szCs w:val="22"/>
              </w:rPr>
              <w:t xml:space="preserve">Regulation development </w:t>
            </w:r>
          </w:p>
        </w:tc>
        <w:tc>
          <w:tcPr>
            <w:tcW w:w="935" w:type="pct"/>
            <w:shd w:val="clear" w:color="auto" w:fill="auto"/>
            <w:vAlign w:val="bottom"/>
          </w:tcPr>
          <w:p w14:paraId="04F8DF89"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$2,608,441</w:t>
            </w:r>
          </w:p>
        </w:tc>
        <w:tc>
          <w:tcPr>
            <w:tcW w:w="935" w:type="pct"/>
            <w:shd w:val="clear" w:color="auto" w:fill="auto"/>
            <w:vAlign w:val="bottom"/>
          </w:tcPr>
          <w:p w14:paraId="5AA44031"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$1,308,943</w:t>
            </w:r>
          </w:p>
        </w:tc>
        <w:tc>
          <w:tcPr>
            <w:tcW w:w="935" w:type="pct"/>
            <w:shd w:val="clear" w:color="auto" w:fill="auto"/>
            <w:vAlign w:val="bottom"/>
          </w:tcPr>
          <w:p w14:paraId="6A3F8532"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$3,917,385</w:t>
            </w:r>
          </w:p>
        </w:tc>
      </w:tr>
      <w:tr w:rsidR="00D37B23" w:rsidRPr="00D37B23" w14:paraId="4EB64993" w14:textId="77777777" w:rsidTr="00D37B23">
        <w:trPr>
          <w:trHeight w:val="296"/>
        </w:trPr>
        <w:tc>
          <w:tcPr>
            <w:tcW w:w="2195" w:type="pct"/>
          </w:tcPr>
          <w:p w14:paraId="03B0D01B" w14:textId="77777777" w:rsidR="00E41A00" w:rsidRPr="00D37B23" w:rsidRDefault="00E41A00" w:rsidP="00D37B23">
            <w:pPr>
              <w:keepNext/>
              <w:keepLines/>
              <w:spacing w:after="0" w:line="280" w:lineRule="atLeast"/>
              <w:rPr>
                <w:rFonts w:cs="Arial"/>
                <w:sz w:val="22"/>
                <w:szCs w:val="22"/>
              </w:rPr>
            </w:pPr>
            <w:r w:rsidRPr="00D37B23">
              <w:rPr>
                <w:sz w:val="22"/>
                <w:szCs w:val="22"/>
              </w:rPr>
              <w:t>Industry monitoring and NBN</w:t>
            </w:r>
          </w:p>
        </w:tc>
        <w:tc>
          <w:tcPr>
            <w:tcW w:w="935" w:type="pct"/>
            <w:shd w:val="clear" w:color="auto" w:fill="auto"/>
            <w:vAlign w:val="bottom"/>
          </w:tcPr>
          <w:p w14:paraId="312C58BA"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$676,661</w:t>
            </w:r>
          </w:p>
        </w:tc>
        <w:tc>
          <w:tcPr>
            <w:tcW w:w="935" w:type="pct"/>
            <w:shd w:val="clear" w:color="auto" w:fill="auto"/>
            <w:vAlign w:val="bottom"/>
          </w:tcPr>
          <w:p w14:paraId="0D54A4E6"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$361,884</w:t>
            </w:r>
          </w:p>
        </w:tc>
        <w:tc>
          <w:tcPr>
            <w:tcW w:w="935" w:type="pct"/>
            <w:shd w:val="clear" w:color="auto" w:fill="auto"/>
            <w:vAlign w:val="bottom"/>
          </w:tcPr>
          <w:p w14:paraId="0346D06B"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$1,038,545</w:t>
            </w:r>
          </w:p>
        </w:tc>
      </w:tr>
      <w:tr w:rsidR="00D37B23" w:rsidRPr="00D37B23" w14:paraId="177241EE" w14:textId="77777777" w:rsidTr="00D37B23">
        <w:trPr>
          <w:trHeight w:val="302"/>
        </w:trPr>
        <w:tc>
          <w:tcPr>
            <w:tcW w:w="2195" w:type="pct"/>
          </w:tcPr>
          <w:p w14:paraId="423168CB" w14:textId="77777777" w:rsidR="00E41A00" w:rsidRPr="00D37B23" w:rsidRDefault="00E41A00" w:rsidP="00D37B23">
            <w:pPr>
              <w:keepNext/>
              <w:keepLines/>
              <w:spacing w:after="0" w:line="280" w:lineRule="atLeast"/>
              <w:rPr>
                <w:rFonts w:cs="Arial"/>
                <w:sz w:val="22"/>
                <w:szCs w:val="22"/>
              </w:rPr>
            </w:pPr>
            <w:r w:rsidRPr="00D37B23">
              <w:rPr>
                <w:sz w:val="22"/>
                <w:szCs w:val="22"/>
              </w:rPr>
              <w:t xml:space="preserve">Compliance, </w:t>
            </w:r>
            <w:proofErr w:type="gramStart"/>
            <w:r w:rsidRPr="00D37B23">
              <w:rPr>
                <w:sz w:val="22"/>
                <w:szCs w:val="22"/>
              </w:rPr>
              <w:t>enforcement</w:t>
            </w:r>
            <w:proofErr w:type="gramEnd"/>
            <w:r w:rsidRPr="00D37B23">
              <w:rPr>
                <w:sz w:val="22"/>
                <w:szCs w:val="22"/>
              </w:rPr>
              <w:t xml:space="preserve"> and consumer safeguards</w:t>
            </w:r>
          </w:p>
        </w:tc>
        <w:tc>
          <w:tcPr>
            <w:tcW w:w="935" w:type="pct"/>
            <w:shd w:val="clear" w:color="auto" w:fill="auto"/>
            <w:vAlign w:val="bottom"/>
          </w:tcPr>
          <w:p w14:paraId="7C8DFCCC"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$4,056,371</w:t>
            </w:r>
          </w:p>
        </w:tc>
        <w:tc>
          <w:tcPr>
            <w:tcW w:w="935" w:type="pct"/>
            <w:shd w:val="clear" w:color="auto" w:fill="auto"/>
            <w:vAlign w:val="bottom"/>
          </w:tcPr>
          <w:p w14:paraId="6E282221"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$2,246,360</w:t>
            </w:r>
          </w:p>
        </w:tc>
        <w:tc>
          <w:tcPr>
            <w:tcW w:w="935" w:type="pct"/>
            <w:shd w:val="clear" w:color="auto" w:fill="auto"/>
            <w:vAlign w:val="bottom"/>
          </w:tcPr>
          <w:p w14:paraId="14B24E4B"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$6,302,731</w:t>
            </w:r>
          </w:p>
        </w:tc>
      </w:tr>
      <w:tr w:rsidR="00D37B23" w:rsidRPr="00D37B23" w14:paraId="6F449042" w14:textId="77777777" w:rsidTr="00D37B23">
        <w:trPr>
          <w:trHeight w:val="161"/>
        </w:trPr>
        <w:tc>
          <w:tcPr>
            <w:tcW w:w="2195" w:type="pct"/>
          </w:tcPr>
          <w:p w14:paraId="15580129" w14:textId="77777777" w:rsidR="00E41A00" w:rsidRPr="00D37B23" w:rsidRDefault="00E41A00" w:rsidP="00D37B23">
            <w:pPr>
              <w:keepNext/>
              <w:keepLines/>
              <w:spacing w:after="0" w:line="280" w:lineRule="atLeast"/>
              <w:rPr>
                <w:rFonts w:cs="Arial"/>
                <w:sz w:val="22"/>
                <w:szCs w:val="22"/>
              </w:rPr>
            </w:pPr>
            <w:r w:rsidRPr="00D37B23">
              <w:rPr>
                <w:sz w:val="22"/>
                <w:szCs w:val="22"/>
              </w:rPr>
              <w:t>Licensing and allocation</w:t>
            </w:r>
          </w:p>
        </w:tc>
        <w:tc>
          <w:tcPr>
            <w:tcW w:w="935" w:type="pct"/>
            <w:shd w:val="clear" w:color="auto" w:fill="auto"/>
            <w:vAlign w:val="bottom"/>
          </w:tcPr>
          <w:p w14:paraId="6C31301F"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$675,362</w:t>
            </w:r>
          </w:p>
        </w:tc>
        <w:tc>
          <w:tcPr>
            <w:tcW w:w="935" w:type="pct"/>
            <w:shd w:val="clear" w:color="auto" w:fill="auto"/>
            <w:vAlign w:val="bottom"/>
          </w:tcPr>
          <w:p w14:paraId="3610183D"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$353,557</w:t>
            </w:r>
          </w:p>
        </w:tc>
        <w:tc>
          <w:tcPr>
            <w:tcW w:w="935" w:type="pct"/>
            <w:shd w:val="clear" w:color="auto" w:fill="auto"/>
            <w:vAlign w:val="bottom"/>
          </w:tcPr>
          <w:p w14:paraId="227EA31F"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$1,028,919</w:t>
            </w:r>
          </w:p>
        </w:tc>
      </w:tr>
      <w:tr w:rsidR="00D37B23" w:rsidRPr="00D37B23" w14:paraId="66F1F799" w14:textId="77777777" w:rsidTr="00D37B23">
        <w:trPr>
          <w:trHeight w:val="225"/>
        </w:trPr>
        <w:tc>
          <w:tcPr>
            <w:tcW w:w="2195" w:type="pct"/>
          </w:tcPr>
          <w:p w14:paraId="345F366E" w14:textId="77777777" w:rsidR="00E41A00" w:rsidRPr="00D37B23" w:rsidRDefault="00E41A00" w:rsidP="00D37B23">
            <w:pPr>
              <w:keepNext/>
              <w:keepLines/>
              <w:spacing w:after="0" w:line="280" w:lineRule="atLeast"/>
              <w:rPr>
                <w:rFonts w:cs="Arial"/>
                <w:sz w:val="22"/>
                <w:szCs w:val="22"/>
              </w:rPr>
            </w:pPr>
            <w:r w:rsidRPr="00D37B23">
              <w:rPr>
                <w:sz w:val="22"/>
                <w:szCs w:val="22"/>
              </w:rPr>
              <w:t>Other outputs</w:t>
            </w:r>
          </w:p>
        </w:tc>
        <w:tc>
          <w:tcPr>
            <w:tcW w:w="935" w:type="pct"/>
            <w:shd w:val="clear" w:color="auto" w:fill="auto"/>
            <w:vAlign w:val="bottom"/>
          </w:tcPr>
          <w:p w14:paraId="43B7D694"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$428,351</w:t>
            </w:r>
          </w:p>
        </w:tc>
        <w:tc>
          <w:tcPr>
            <w:tcW w:w="935" w:type="pct"/>
            <w:shd w:val="clear" w:color="auto" w:fill="auto"/>
            <w:vAlign w:val="bottom"/>
          </w:tcPr>
          <w:p w14:paraId="7EAFC394"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$343,327</w:t>
            </w:r>
          </w:p>
        </w:tc>
        <w:tc>
          <w:tcPr>
            <w:tcW w:w="935" w:type="pct"/>
            <w:shd w:val="clear" w:color="auto" w:fill="auto"/>
            <w:vAlign w:val="bottom"/>
          </w:tcPr>
          <w:p w14:paraId="37EF0079"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$771,678</w:t>
            </w:r>
          </w:p>
        </w:tc>
      </w:tr>
      <w:tr w:rsidR="00D37B23" w:rsidRPr="00D37B23" w14:paraId="68DBA7FE" w14:textId="77777777" w:rsidTr="00D37B23">
        <w:trPr>
          <w:trHeight w:val="225"/>
        </w:trPr>
        <w:tc>
          <w:tcPr>
            <w:tcW w:w="2195" w:type="pct"/>
            <w:shd w:val="clear" w:color="auto" w:fill="F2F2F2" w:themeFill="background1" w:themeFillShade="F2"/>
          </w:tcPr>
          <w:p w14:paraId="6BB49A05" w14:textId="77777777" w:rsidR="00E41A00" w:rsidRPr="00D37B23" w:rsidRDefault="00E41A00" w:rsidP="00D37B23">
            <w:pPr>
              <w:keepNext/>
              <w:keepLines/>
              <w:spacing w:after="0" w:line="280" w:lineRule="atLeast"/>
              <w:rPr>
                <w:rFonts w:cs="Arial"/>
                <w:b/>
                <w:bCs/>
                <w:sz w:val="22"/>
                <w:szCs w:val="22"/>
              </w:rPr>
            </w:pPr>
            <w:r w:rsidRPr="00D37B23">
              <w:rPr>
                <w:b/>
                <w:bCs/>
                <w:sz w:val="22"/>
                <w:szCs w:val="22"/>
              </w:rPr>
              <w:t>Sub-total</w:t>
            </w:r>
          </w:p>
        </w:tc>
        <w:tc>
          <w:tcPr>
            <w:tcW w:w="935" w:type="pct"/>
            <w:shd w:val="clear" w:color="auto" w:fill="F2F2F2" w:themeFill="background1" w:themeFillShade="F2"/>
            <w:vAlign w:val="bottom"/>
          </w:tcPr>
          <w:p w14:paraId="0A85B22C" w14:textId="77777777" w:rsidR="00E41A00" w:rsidRPr="00D37B23" w:rsidRDefault="00E41A00" w:rsidP="00D37B23">
            <w:pPr>
              <w:keepNext/>
              <w:keepLines/>
              <w:spacing w:after="0" w:line="280" w:lineRule="atLeast"/>
              <w:jc w:val="right"/>
              <w:rPr>
                <w:rFonts w:cs="Arial"/>
                <w:b/>
                <w:bCs/>
                <w:color w:val="000000"/>
                <w:sz w:val="22"/>
                <w:szCs w:val="22"/>
              </w:rPr>
            </w:pPr>
            <w:r w:rsidRPr="00D37B23">
              <w:rPr>
                <w:rFonts w:cs="Arial"/>
                <w:b/>
                <w:bCs/>
                <w:color w:val="000000"/>
                <w:sz w:val="22"/>
                <w:szCs w:val="22"/>
              </w:rPr>
              <w:t>$8,445,186</w:t>
            </w:r>
          </w:p>
        </w:tc>
        <w:tc>
          <w:tcPr>
            <w:tcW w:w="935" w:type="pct"/>
            <w:shd w:val="clear" w:color="auto" w:fill="F2F2F2" w:themeFill="background1" w:themeFillShade="F2"/>
            <w:vAlign w:val="bottom"/>
          </w:tcPr>
          <w:p w14:paraId="4610FB4E" w14:textId="77777777" w:rsidR="00E41A00" w:rsidRPr="00D37B23" w:rsidRDefault="00E41A00" w:rsidP="00D37B23">
            <w:pPr>
              <w:keepNext/>
              <w:keepLines/>
              <w:spacing w:after="0" w:line="280" w:lineRule="atLeast"/>
              <w:jc w:val="right"/>
              <w:rPr>
                <w:rFonts w:cs="Arial"/>
                <w:b/>
                <w:bCs/>
                <w:color w:val="000000"/>
                <w:sz w:val="22"/>
                <w:szCs w:val="22"/>
              </w:rPr>
            </w:pPr>
            <w:r w:rsidRPr="00D37B23">
              <w:rPr>
                <w:rFonts w:cs="Arial"/>
                <w:b/>
                <w:bCs/>
                <w:color w:val="000000"/>
                <w:sz w:val="22"/>
                <w:szCs w:val="22"/>
              </w:rPr>
              <w:t>$4,614,072</w:t>
            </w:r>
          </w:p>
        </w:tc>
        <w:tc>
          <w:tcPr>
            <w:tcW w:w="935" w:type="pct"/>
            <w:shd w:val="clear" w:color="auto" w:fill="F2F2F2" w:themeFill="background1" w:themeFillShade="F2"/>
            <w:vAlign w:val="bottom"/>
          </w:tcPr>
          <w:p w14:paraId="1485B774" w14:textId="77777777" w:rsidR="00E41A00" w:rsidRPr="00D37B23" w:rsidRDefault="00E41A00" w:rsidP="00D37B23">
            <w:pPr>
              <w:keepNext/>
              <w:keepLines/>
              <w:spacing w:after="0" w:line="280" w:lineRule="atLeast"/>
              <w:jc w:val="right"/>
              <w:rPr>
                <w:rFonts w:cs="Arial"/>
                <w:b/>
                <w:bCs/>
                <w:sz w:val="22"/>
                <w:szCs w:val="22"/>
              </w:rPr>
            </w:pPr>
            <w:r w:rsidRPr="00D37B23">
              <w:rPr>
                <w:rFonts w:cs="Arial"/>
                <w:b/>
                <w:bCs/>
                <w:color w:val="000000"/>
                <w:sz w:val="22"/>
                <w:szCs w:val="22"/>
              </w:rPr>
              <w:t>$13,059,258</w:t>
            </w:r>
          </w:p>
        </w:tc>
      </w:tr>
      <w:tr w:rsidR="00D37B23" w:rsidRPr="00D37B23" w14:paraId="54DA6A16" w14:textId="77777777" w:rsidTr="00D37B23">
        <w:trPr>
          <w:trHeight w:val="225"/>
        </w:trPr>
        <w:tc>
          <w:tcPr>
            <w:tcW w:w="2195" w:type="pct"/>
          </w:tcPr>
          <w:p w14:paraId="4DC8A6B8" w14:textId="77777777" w:rsidR="00E41A00" w:rsidRPr="00D37B23" w:rsidRDefault="00E41A00" w:rsidP="00D37B23">
            <w:pPr>
              <w:keepNext/>
              <w:keepLines/>
              <w:spacing w:after="0" w:line="280" w:lineRule="atLeast"/>
              <w:rPr>
                <w:rFonts w:cs="Arial"/>
                <w:sz w:val="22"/>
                <w:szCs w:val="22"/>
              </w:rPr>
            </w:pPr>
            <w:r w:rsidRPr="00D37B23">
              <w:rPr>
                <w:sz w:val="22"/>
                <w:szCs w:val="22"/>
              </w:rPr>
              <w:t>Consumer Safeguards Part A program</w:t>
            </w:r>
          </w:p>
        </w:tc>
        <w:tc>
          <w:tcPr>
            <w:tcW w:w="935" w:type="pct"/>
            <w:shd w:val="clear" w:color="auto" w:fill="auto"/>
            <w:vAlign w:val="bottom"/>
          </w:tcPr>
          <w:p w14:paraId="25B0CCD1"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$347,555</w:t>
            </w:r>
          </w:p>
        </w:tc>
        <w:tc>
          <w:tcPr>
            <w:tcW w:w="935" w:type="pct"/>
            <w:shd w:val="clear" w:color="auto" w:fill="auto"/>
            <w:vAlign w:val="bottom"/>
          </w:tcPr>
          <w:p w14:paraId="0AAE3DF4"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$233,796</w:t>
            </w:r>
          </w:p>
        </w:tc>
        <w:tc>
          <w:tcPr>
            <w:tcW w:w="935" w:type="pct"/>
            <w:shd w:val="clear" w:color="auto" w:fill="auto"/>
            <w:vAlign w:val="bottom"/>
          </w:tcPr>
          <w:p w14:paraId="598B6CD1" w14:textId="77777777" w:rsidR="00E41A00" w:rsidRPr="00D37B23" w:rsidRDefault="00E41A00" w:rsidP="00D37B23">
            <w:pPr>
              <w:keepNext/>
              <w:keepLines/>
              <w:spacing w:after="0" w:line="280" w:lineRule="atLeast"/>
              <w:jc w:val="right"/>
              <w:rPr>
                <w:rFonts w:cs="Arial"/>
                <w:sz w:val="22"/>
                <w:szCs w:val="22"/>
              </w:rPr>
            </w:pPr>
            <w:r w:rsidRPr="00D37B23">
              <w:rPr>
                <w:rFonts w:cs="Arial"/>
                <w:color w:val="000000"/>
                <w:sz w:val="22"/>
                <w:szCs w:val="22"/>
              </w:rPr>
              <w:t>$581,350</w:t>
            </w:r>
          </w:p>
        </w:tc>
      </w:tr>
      <w:tr w:rsidR="00D37B23" w:rsidRPr="00D37B23" w14:paraId="5F5C0F8E" w14:textId="77777777" w:rsidTr="00D37B23">
        <w:trPr>
          <w:trHeight w:val="225"/>
        </w:trPr>
        <w:tc>
          <w:tcPr>
            <w:tcW w:w="2195" w:type="pct"/>
            <w:shd w:val="clear" w:color="auto" w:fill="D9D9D9" w:themeFill="background1" w:themeFillShade="D9"/>
          </w:tcPr>
          <w:p w14:paraId="5A24B7DD" w14:textId="77777777" w:rsidR="00E41A00" w:rsidRPr="00D37B23" w:rsidRDefault="00E41A00" w:rsidP="00D37B23">
            <w:pPr>
              <w:keepNext/>
              <w:keepLines/>
              <w:spacing w:after="0" w:line="280" w:lineRule="atLeast"/>
              <w:rPr>
                <w:rFonts w:cs="Arial"/>
                <w:b/>
                <w:bCs/>
                <w:sz w:val="22"/>
                <w:szCs w:val="22"/>
              </w:rPr>
            </w:pPr>
            <w:r w:rsidRPr="00D37B23">
              <w:rPr>
                <w:b/>
                <w:bCs/>
                <w:sz w:val="22"/>
                <w:szCs w:val="22"/>
              </w:rPr>
              <w:t>Total costs</w:t>
            </w:r>
          </w:p>
        </w:tc>
        <w:tc>
          <w:tcPr>
            <w:tcW w:w="935" w:type="pct"/>
            <w:shd w:val="clear" w:color="auto" w:fill="D9D9D9" w:themeFill="background1" w:themeFillShade="D9"/>
            <w:vAlign w:val="bottom"/>
          </w:tcPr>
          <w:p w14:paraId="4DAE8C60" w14:textId="77777777" w:rsidR="00E41A00" w:rsidRPr="00D37B23" w:rsidRDefault="00E41A00" w:rsidP="00D37B23">
            <w:pPr>
              <w:keepNext/>
              <w:keepLines/>
              <w:spacing w:after="0" w:line="280" w:lineRule="atLeast"/>
              <w:jc w:val="right"/>
              <w:rPr>
                <w:rFonts w:cs="Arial"/>
                <w:b/>
                <w:bCs/>
                <w:sz w:val="22"/>
                <w:szCs w:val="22"/>
              </w:rPr>
            </w:pPr>
            <w:r w:rsidRPr="00D37B23">
              <w:rPr>
                <w:rFonts w:cs="Arial"/>
                <w:b/>
                <w:bCs/>
                <w:color w:val="000000"/>
                <w:sz w:val="22"/>
                <w:szCs w:val="22"/>
              </w:rPr>
              <w:t>$8,792,741</w:t>
            </w:r>
          </w:p>
        </w:tc>
        <w:tc>
          <w:tcPr>
            <w:tcW w:w="935" w:type="pct"/>
            <w:shd w:val="clear" w:color="auto" w:fill="D9D9D9" w:themeFill="background1" w:themeFillShade="D9"/>
            <w:vAlign w:val="bottom"/>
          </w:tcPr>
          <w:p w14:paraId="3C4C18B7" w14:textId="77777777" w:rsidR="00E41A00" w:rsidRPr="00D37B23" w:rsidRDefault="00E41A00" w:rsidP="00D37B23">
            <w:pPr>
              <w:keepNext/>
              <w:keepLines/>
              <w:spacing w:after="0" w:line="280" w:lineRule="atLeast"/>
              <w:jc w:val="right"/>
              <w:rPr>
                <w:rFonts w:cs="Arial"/>
                <w:b/>
                <w:bCs/>
                <w:sz w:val="22"/>
                <w:szCs w:val="22"/>
              </w:rPr>
            </w:pPr>
            <w:r w:rsidRPr="00D37B23">
              <w:rPr>
                <w:rFonts w:cs="Arial"/>
                <w:b/>
                <w:bCs/>
                <w:color w:val="000000"/>
                <w:sz w:val="22"/>
                <w:szCs w:val="22"/>
              </w:rPr>
              <w:t>$4,847,867</w:t>
            </w:r>
          </w:p>
        </w:tc>
        <w:tc>
          <w:tcPr>
            <w:tcW w:w="935" w:type="pct"/>
            <w:shd w:val="clear" w:color="auto" w:fill="D9D9D9" w:themeFill="background1" w:themeFillShade="D9"/>
            <w:vAlign w:val="bottom"/>
          </w:tcPr>
          <w:p w14:paraId="4E5CF627" w14:textId="77777777" w:rsidR="00E41A00" w:rsidRPr="00D37B23" w:rsidRDefault="00E41A00" w:rsidP="00D37B23">
            <w:pPr>
              <w:keepNext/>
              <w:keepLines/>
              <w:spacing w:after="0" w:line="280" w:lineRule="atLeast"/>
              <w:jc w:val="right"/>
              <w:rPr>
                <w:rFonts w:cs="Arial"/>
                <w:b/>
                <w:bCs/>
                <w:sz w:val="22"/>
                <w:szCs w:val="22"/>
              </w:rPr>
            </w:pPr>
            <w:r w:rsidRPr="00D37B23">
              <w:rPr>
                <w:rFonts w:cs="Arial"/>
                <w:b/>
                <w:bCs/>
                <w:color w:val="000000"/>
                <w:sz w:val="22"/>
                <w:szCs w:val="22"/>
              </w:rPr>
              <w:t>$13,640,608</w:t>
            </w:r>
          </w:p>
        </w:tc>
      </w:tr>
    </w:tbl>
    <w:bookmarkEnd w:id="115"/>
    <w:p w14:paraId="69CDAF2C" w14:textId="77777777" w:rsidR="00E41A00" w:rsidRPr="001C6738" w:rsidRDefault="00E41A00" w:rsidP="00E41A00">
      <w:pPr>
        <w:pStyle w:val="Tableorfigurenote"/>
      </w:pPr>
      <w:r w:rsidRPr="001C6738">
        <w:t>Note: Sums may not add due to rounding</w:t>
      </w:r>
      <w:r>
        <w:t>.</w:t>
      </w:r>
    </w:p>
    <w:p w14:paraId="55573A6C" w14:textId="4D1A51FB" w:rsidR="00E41A00" w:rsidRPr="00D37B23" w:rsidRDefault="00E41A00" w:rsidP="00D37B23">
      <w:pPr>
        <w:pStyle w:val="Paragraph"/>
      </w:pPr>
      <w:r w:rsidRPr="001C620E">
        <w:t>Direct costs inc</w:t>
      </w:r>
      <w:r w:rsidRPr="002B3F0C">
        <w:t>lude those directly attributable to outputs and activities performed by relevant operational areas involved in service provision</w:t>
      </w:r>
      <w:r>
        <w:t>,</w:t>
      </w:r>
      <w:r w:rsidRPr="002B3F0C">
        <w:t xml:space="preserve"> as well as overhead costs. These include </w:t>
      </w:r>
      <w:r w:rsidRPr="002B3F0C">
        <w:lastRenderedPageBreak/>
        <w:t xml:space="preserve">staff salaries and other </w:t>
      </w:r>
      <w:r w:rsidRPr="00D37B23">
        <w:t>expenses (for example, contractors, consultants, suppliers, office consumables, travel, property, facilities) in relation to the operational areas carrying out telecommunications activities.</w:t>
      </w:r>
    </w:p>
    <w:p w14:paraId="0E69221F" w14:textId="374B0D26" w:rsidR="00E41A00" w:rsidRPr="00D37B23" w:rsidRDefault="00E41A00" w:rsidP="00D37B23">
      <w:pPr>
        <w:pStyle w:val="Paragraph"/>
      </w:pPr>
      <w:r w:rsidRPr="00D37B23">
        <w:t>The overhead costs attributable to direct activities are allocated as direct costs. For example, the costs attributable to the Chair and legal support cost centres are allocated to their relevant support cost pool before being apportioned across the ACMA</w:t>
      </w:r>
      <w:r w:rsidR="00BC2081">
        <w:t>’s</w:t>
      </w:r>
      <w:r w:rsidRPr="00D37B23">
        <w:t xml:space="preserve"> direct activities.</w:t>
      </w:r>
    </w:p>
    <w:p w14:paraId="4F5FB783" w14:textId="77777777" w:rsidR="00E41A00" w:rsidRDefault="00E41A00" w:rsidP="00D37B23">
      <w:pPr>
        <w:pStyle w:val="Paragraph"/>
      </w:pPr>
      <w:r w:rsidRPr="00D37B23">
        <w:t xml:space="preserve">Support costs include all remaining overhead costs (such as depreciation and occupancy expenses) as well as the ACMA’s </w:t>
      </w:r>
      <w:r w:rsidRPr="00D37B23" w:rsidDel="00364FB3">
        <w:t xml:space="preserve">corporate services, </w:t>
      </w:r>
      <w:r w:rsidRPr="00D37B23">
        <w:t>including</w:t>
      </w:r>
      <w:r w:rsidRPr="00D37B23" w:rsidDel="00364FB3">
        <w:t xml:space="preserve"> </w:t>
      </w:r>
      <w:r w:rsidRPr="00D37B23">
        <w:t xml:space="preserve">information technology, finance, human resources, </w:t>
      </w:r>
      <w:proofErr w:type="gramStart"/>
      <w:r w:rsidRPr="00D37B23">
        <w:t>facilities</w:t>
      </w:r>
      <w:proofErr w:type="gramEnd"/>
      <w:r w:rsidRPr="00D37B23">
        <w:t xml:space="preserve"> and</w:t>
      </w:r>
      <w:r w:rsidRPr="00AE6A60">
        <w:t xml:space="preserve"> other costs. </w:t>
      </w:r>
    </w:p>
    <w:p w14:paraId="26100E1C" w14:textId="2BC6C1B7" w:rsidR="00E41A00" w:rsidRPr="000677AE" w:rsidRDefault="00E41A00" w:rsidP="00E41A00">
      <w:pPr>
        <w:pStyle w:val="Paragraph"/>
        <w:keepNext/>
        <w:spacing w:after="160"/>
        <w:ind w:left="1134" w:hanging="1134"/>
        <w:rPr>
          <w:b/>
          <w:bCs/>
          <w:szCs w:val="22"/>
        </w:rPr>
      </w:pPr>
      <w:r w:rsidRPr="000677AE">
        <w:rPr>
          <w:b/>
          <w:color w:val="323232"/>
          <w:szCs w:val="22"/>
        </w:rPr>
        <w:t xml:space="preserve">Table </w:t>
      </w:r>
      <w:r w:rsidRPr="000677AE">
        <w:rPr>
          <w:b/>
          <w:bCs/>
          <w:szCs w:val="22"/>
        </w:rPr>
        <w:t>10</w:t>
      </w:r>
      <w:r w:rsidRPr="000677AE">
        <w:rPr>
          <w:b/>
          <w:bCs/>
          <w:color w:val="323232"/>
          <w:szCs w:val="22"/>
        </w:rPr>
        <w:t>A</w:t>
      </w:r>
      <w:r w:rsidRPr="000677AE">
        <w:rPr>
          <w:b/>
          <w:color w:val="323232"/>
          <w:szCs w:val="22"/>
        </w:rPr>
        <w:t>:</w:t>
      </w:r>
      <w:r w:rsidRPr="000677AE">
        <w:rPr>
          <w:b/>
          <w:color w:val="323232"/>
          <w:szCs w:val="22"/>
        </w:rPr>
        <w:tab/>
        <w:t xml:space="preserve">The </w:t>
      </w:r>
      <w:bookmarkStart w:id="116" w:name="_Hlk97642835"/>
      <w:r w:rsidRPr="000677AE">
        <w:rPr>
          <w:b/>
          <w:color w:val="323232"/>
          <w:szCs w:val="22"/>
        </w:rPr>
        <w:t>AC</w:t>
      </w:r>
      <w:r w:rsidRPr="000677AE">
        <w:rPr>
          <w:b/>
          <w:bCs/>
          <w:szCs w:val="22"/>
        </w:rPr>
        <w:t>MA’s components at output level for 2022</w:t>
      </w:r>
      <w:r w:rsidR="000677AE" w:rsidRPr="00836552">
        <w:rPr>
          <w:b/>
          <w:bCs/>
          <w:szCs w:val="22"/>
        </w:rPr>
        <w:t>–</w:t>
      </w:r>
      <w:r w:rsidRPr="000677AE">
        <w:rPr>
          <w:b/>
          <w:bCs/>
          <w:szCs w:val="22"/>
        </w:rPr>
        <w:t>23 ACLC (based on 2021</w:t>
      </w:r>
      <w:r w:rsidR="000677AE" w:rsidRPr="00836552">
        <w:rPr>
          <w:b/>
          <w:bCs/>
          <w:szCs w:val="22"/>
        </w:rPr>
        <w:t>–</w:t>
      </w:r>
      <w:r w:rsidRPr="000677AE">
        <w:rPr>
          <w:b/>
          <w:bCs/>
          <w:szCs w:val="22"/>
        </w:rPr>
        <w:t>22 costs)</w:t>
      </w:r>
      <w:bookmarkEnd w:id="116"/>
    </w:p>
    <w:tbl>
      <w:tblPr>
        <w:tblW w:w="531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57" w:type="dxa"/>
        </w:tblCellMar>
        <w:tblLook w:val="04A0" w:firstRow="1" w:lastRow="0" w:firstColumn="1" w:lastColumn="0" w:noHBand="0" w:noVBand="1"/>
        <w:tblCaption w:val="The ACMA’s component at output level, 2015–16"/>
        <w:tblDescription w:val="Includes direct, support and total costs of outputs."/>
      </w:tblPr>
      <w:tblGrid>
        <w:gridCol w:w="4104"/>
        <w:gridCol w:w="1842"/>
        <w:gridCol w:w="1842"/>
        <w:gridCol w:w="1844"/>
      </w:tblGrid>
      <w:tr w:rsidR="00D37B23" w:rsidRPr="000677AE" w14:paraId="1E1A7747" w14:textId="77777777" w:rsidTr="00D37B23">
        <w:trPr>
          <w:trHeight w:val="372"/>
          <w:tblHeader/>
        </w:trPr>
        <w:tc>
          <w:tcPr>
            <w:tcW w:w="2131" w:type="pct"/>
            <w:shd w:val="clear" w:color="auto" w:fill="404040" w:themeFill="text1" w:themeFillTint="BF"/>
            <w:vAlign w:val="center"/>
          </w:tcPr>
          <w:p w14:paraId="50FA02C4" w14:textId="77777777" w:rsidR="00E41A00" w:rsidRPr="00836552" w:rsidRDefault="00E41A00" w:rsidP="006E2755">
            <w:pPr>
              <w:pStyle w:val="TableHeading0"/>
              <w:keepNext/>
              <w:keepLines/>
              <w:rPr>
                <w:b w:val="0"/>
                <w:color w:val="FFFFFF" w:themeColor="background1"/>
                <w:sz w:val="22"/>
                <w:szCs w:val="22"/>
              </w:rPr>
            </w:pPr>
            <w:r w:rsidRPr="00836552">
              <w:rPr>
                <w:color w:val="FFFFFF" w:themeColor="background1"/>
                <w:sz w:val="22"/>
                <w:szCs w:val="22"/>
              </w:rPr>
              <w:t>Output</w:t>
            </w:r>
          </w:p>
        </w:tc>
        <w:tc>
          <w:tcPr>
            <w:tcW w:w="956" w:type="pct"/>
            <w:shd w:val="clear" w:color="000000" w:fill="404040"/>
            <w:vAlign w:val="center"/>
          </w:tcPr>
          <w:p w14:paraId="2248F4B1" w14:textId="2E8EA828" w:rsidR="00E41A00" w:rsidRPr="00836552" w:rsidRDefault="00E41A00" w:rsidP="006E2755">
            <w:pPr>
              <w:pStyle w:val="TableHeading0"/>
              <w:keepNext/>
              <w:keepLines/>
              <w:jc w:val="right"/>
              <w:rPr>
                <w:b w:val="0"/>
                <w:color w:val="FFFFFF" w:themeColor="background1"/>
                <w:sz w:val="22"/>
                <w:szCs w:val="22"/>
              </w:rPr>
            </w:pPr>
            <w:r w:rsidRPr="00836552">
              <w:rPr>
                <w:bCs/>
                <w:color w:val="FFFFFF" w:themeColor="background1"/>
                <w:sz w:val="22"/>
                <w:szCs w:val="22"/>
              </w:rPr>
              <w:t xml:space="preserve">Direct cost </w:t>
            </w:r>
            <w:r w:rsidRPr="00836552">
              <w:rPr>
                <w:bCs/>
                <w:color w:val="FFFFFF" w:themeColor="background1"/>
                <w:sz w:val="22"/>
                <w:szCs w:val="22"/>
              </w:rPr>
              <w:br/>
              <w:t>2021</w:t>
            </w:r>
            <w:r w:rsidR="000677AE" w:rsidRPr="00836552">
              <w:rPr>
                <w:color w:val="FFFFFF" w:themeColor="background1"/>
                <w:sz w:val="22"/>
                <w:szCs w:val="22"/>
              </w:rPr>
              <w:t>–</w:t>
            </w:r>
            <w:r w:rsidRPr="00836552">
              <w:rPr>
                <w:bCs/>
                <w:color w:val="FFFFFF" w:themeColor="background1"/>
                <w:sz w:val="22"/>
                <w:szCs w:val="22"/>
              </w:rPr>
              <w:t xml:space="preserve">22 </w:t>
            </w:r>
          </w:p>
        </w:tc>
        <w:tc>
          <w:tcPr>
            <w:tcW w:w="956" w:type="pct"/>
            <w:shd w:val="clear" w:color="000000" w:fill="404040"/>
            <w:vAlign w:val="center"/>
          </w:tcPr>
          <w:p w14:paraId="63DFFBD2" w14:textId="31D5C240" w:rsidR="00E41A00" w:rsidRPr="00836552" w:rsidRDefault="00E41A00" w:rsidP="006E2755">
            <w:pPr>
              <w:pStyle w:val="TableHeading0"/>
              <w:keepNext/>
              <w:keepLines/>
              <w:jc w:val="right"/>
              <w:rPr>
                <w:b w:val="0"/>
                <w:color w:val="FFFFFF" w:themeColor="background1"/>
                <w:sz w:val="22"/>
                <w:szCs w:val="22"/>
              </w:rPr>
            </w:pPr>
            <w:r w:rsidRPr="00836552">
              <w:rPr>
                <w:bCs/>
                <w:color w:val="FFFFFF" w:themeColor="background1"/>
                <w:sz w:val="22"/>
                <w:szCs w:val="22"/>
              </w:rPr>
              <w:t xml:space="preserve">Support cost </w:t>
            </w:r>
            <w:r w:rsidRPr="00836552">
              <w:rPr>
                <w:bCs/>
                <w:color w:val="FFFFFF" w:themeColor="background1"/>
                <w:sz w:val="22"/>
                <w:szCs w:val="22"/>
              </w:rPr>
              <w:br/>
              <w:t>2021</w:t>
            </w:r>
            <w:r w:rsidR="000677AE" w:rsidRPr="00836552">
              <w:rPr>
                <w:color w:val="FFFFFF" w:themeColor="background1"/>
                <w:sz w:val="22"/>
                <w:szCs w:val="22"/>
              </w:rPr>
              <w:t>–</w:t>
            </w:r>
            <w:r w:rsidRPr="00836552">
              <w:rPr>
                <w:bCs/>
                <w:color w:val="FFFFFF" w:themeColor="background1"/>
                <w:sz w:val="22"/>
                <w:szCs w:val="22"/>
              </w:rPr>
              <w:t xml:space="preserve">22 </w:t>
            </w:r>
          </w:p>
        </w:tc>
        <w:tc>
          <w:tcPr>
            <w:tcW w:w="957" w:type="pct"/>
            <w:shd w:val="clear" w:color="000000" w:fill="404040"/>
            <w:vAlign w:val="center"/>
          </w:tcPr>
          <w:p w14:paraId="22CC991B" w14:textId="7089E22B" w:rsidR="00E41A00" w:rsidRPr="00836552" w:rsidRDefault="00E41A00" w:rsidP="006E2755">
            <w:pPr>
              <w:pStyle w:val="TableHeading0"/>
              <w:keepNext/>
              <w:keepLines/>
              <w:jc w:val="right"/>
              <w:rPr>
                <w:b w:val="0"/>
                <w:color w:val="FFFFFF" w:themeColor="background1"/>
                <w:sz w:val="22"/>
                <w:szCs w:val="22"/>
              </w:rPr>
            </w:pPr>
            <w:r w:rsidRPr="00836552">
              <w:rPr>
                <w:bCs/>
                <w:color w:val="FFFFFF" w:themeColor="background1"/>
                <w:sz w:val="22"/>
                <w:szCs w:val="22"/>
              </w:rPr>
              <w:t xml:space="preserve">Total cost </w:t>
            </w:r>
            <w:r w:rsidRPr="00836552">
              <w:rPr>
                <w:bCs/>
                <w:color w:val="FFFFFF" w:themeColor="background1"/>
                <w:sz w:val="22"/>
                <w:szCs w:val="22"/>
              </w:rPr>
              <w:br/>
              <w:t>2021</w:t>
            </w:r>
            <w:r w:rsidR="000677AE" w:rsidRPr="00836552">
              <w:rPr>
                <w:color w:val="FFFFFF" w:themeColor="background1"/>
                <w:sz w:val="22"/>
                <w:szCs w:val="22"/>
              </w:rPr>
              <w:t>–</w:t>
            </w:r>
            <w:r w:rsidRPr="00836552">
              <w:rPr>
                <w:bCs/>
                <w:color w:val="FFFFFF" w:themeColor="background1"/>
                <w:sz w:val="22"/>
                <w:szCs w:val="22"/>
              </w:rPr>
              <w:t xml:space="preserve">22 </w:t>
            </w:r>
          </w:p>
        </w:tc>
      </w:tr>
      <w:tr w:rsidR="00D37B23" w:rsidRPr="000677AE" w14:paraId="76CBA5E4" w14:textId="77777777" w:rsidTr="00D37B23">
        <w:trPr>
          <w:trHeight w:val="233"/>
        </w:trPr>
        <w:tc>
          <w:tcPr>
            <w:tcW w:w="2131" w:type="pct"/>
            <w:vAlign w:val="center"/>
          </w:tcPr>
          <w:p w14:paraId="785EA9CB" w14:textId="77777777" w:rsidR="00E41A00" w:rsidRPr="00836552" w:rsidRDefault="00E41A00" w:rsidP="006E2755">
            <w:pPr>
              <w:keepNext/>
              <w:keepLines/>
              <w:spacing w:after="0"/>
              <w:rPr>
                <w:rFonts w:cs="Arial"/>
                <w:sz w:val="22"/>
                <w:szCs w:val="22"/>
              </w:rPr>
            </w:pPr>
            <w:r w:rsidRPr="00836552">
              <w:rPr>
                <w:rFonts w:cs="Arial"/>
                <w:sz w:val="22"/>
                <w:szCs w:val="22"/>
              </w:rPr>
              <w:t xml:space="preserve">Regulation development  </w:t>
            </w:r>
          </w:p>
        </w:tc>
        <w:tc>
          <w:tcPr>
            <w:tcW w:w="956" w:type="pct"/>
            <w:shd w:val="clear" w:color="auto" w:fill="auto"/>
            <w:vAlign w:val="center"/>
          </w:tcPr>
          <w:p w14:paraId="62A4CA21" w14:textId="77777777" w:rsidR="00E41A00" w:rsidRPr="00836552" w:rsidRDefault="00E41A00" w:rsidP="006E2755">
            <w:pPr>
              <w:keepNext/>
              <w:keepLines/>
              <w:spacing w:after="0"/>
              <w:jc w:val="right"/>
              <w:rPr>
                <w:rFonts w:cs="Arial"/>
                <w:color w:val="000000"/>
                <w:sz w:val="22"/>
                <w:szCs w:val="22"/>
              </w:rPr>
            </w:pPr>
            <w:r w:rsidRPr="00836552">
              <w:rPr>
                <w:rFonts w:cs="Arial"/>
                <w:color w:val="000000"/>
                <w:sz w:val="22"/>
                <w:szCs w:val="22"/>
              </w:rPr>
              <w:t>$2,248,914</w:t>
            </w:r>
          </w:p>
        </w:tc>
        <w:tc>
          <w:tcPr>
            <w:tcW w:w="956" w:type="pct"/>
            <w:shd w:val="clear" w:color="auto" w:fill="auto"/>
            <w:vAlign w:val="center"/>
          </w:tcPr>
          <w:p w14:paraId="66EB37B7" w14:textId="77777777" w:rsidR="00E41A00" w:rsidRPr="00836552" w:rsidRDefault="00E41A00" w:rsidP="006E2755">
            <w:pPr>
              <w:keepNext/>
              <w:keepLines/>
              <w:spacing w:after="0"/>
              <w:jc w:val="right"/>
              <w:rPr>
                <w:rFonts w:cs="Arial"/>
                <w:color w:val="000000"/>
                <w:sz w:val="22"/>
                <w:szCs w:val="22"/>
              </w:rPr>
            </w:pPr>
            <w:r w:rsidRPr="00836552">
              <w:rPr>
                <w:rFonts w:cs="Arial"/>
                <w:color w:val="000000"/>
                <w:sz w:val="22"/>
                <w:szCs w:val="22"/>
              </w:rPr>
              <w:t>$945,842</w:t>
            </w:r>
          </w:p>
        </w:tc>
        <w:tc>
          <w:tcPr>
            <w:tcW w:w="957" w:type="pct"/>
            <w:shd w:val="clear" w:color="auto" w:fill="auto"/>
            <w:vAlign w:val="center"/>
          </w:tcPr>
          <w:p w14:paraId="68C55E9D" w14:textId="77777777" w:rsidR="00E41A00" w:rsidRPr="00836552" w:rsidRDefault="00E41A00" w:rsidP="006E2755">
            <w:pPr>
              <w:keepNext/>
              <w:keepLines/>
              <w:spacing w:after="0"/>
              <w:jc w:val="right"/>
              <w:rPr>
                <w:rFonts w:cs="Arial"/>
                <w:color w:val="000000"/>
                <w:sz w:val="22"/>
                <w:szCs w:val="22"/>
              </w:rPr>
            </w:pPr>
            <w:r w:rsidRPr="00836552">
              <w:rPr>
                <w:rFonts w:cs="Arial"/>
                <w:color w:val="000000"/>
                <w:sz w:val="22"/>
                <w:szCs w:val="22"/>
              </w:rPr>
              <w:t>$3,194,756</w:t>
            </w:r>
          </w:p>
        </w:tc>
      </w:tr>
      <w:tr w:rsidR="00D37B23" w:rsidRPr="000677AE" w14:paraId="5EBAEF89" w14:textId="77777777" w:rsidTr="00D37B23">
        <w:trPr>
          <w:trHeight w:val="296"/>
        </w:trPr>
        <w:tc>
          <w:tcPr>
            <w:tcW w:w="2131" w:type="pct"/>
            <w:vAlign w:val="center"/>
          </w:tcPr>
          <w:p w14:paraId="7DA81B81" w14:textId="77777777" w:rsidR="00E41A00" w:rsidRPr="00836552" w:rsidRDefault="00E41A00" w:rsidP="006E2755">
            <w:pPr>
              <w:keepNext/>
              <w:keepLines/>
              <w:spacing w:after="0"/>
              <w:rPr>
                <w:rFonts w:cs="Arial"/>
                <w:sz w:val="22"/>
                <w:szCs w:val="22"/>
              </w:rPr>
            </w:pPr>
            <w:r w:rsidRPr="00836552">
              <w:rPr>
                <w:rFonts w:cs="Arial"/>
                <w:sz w:val="22"/>
                <w:szCs w:val="22"/>
              </w:rPr>
              <w:t>Industry monitoring and NBN</w:t>
            </w:r>
          </w:p>
        </w:tc>
        <w:tc>
          <w:tcPr>
            <w:tcW w:w="956" w:type="pct"/>
            <w:shd w:val="clear" w:color="auto" w:fill="auto"/>
            <w:vAlign w:val="center"/>
          </w:tcPr>
          <w:p w14:paraId="3534117C" w14:textId="77777777" w:rsidR="00E41A00" w:rsidRPr="00836552" w:rsidRDefault="00E41A00" w:rsidP="006E2755">
            <w:pPr>
              <w:keepNext/>
              <w:keepLines/>
              <w:spacing w:after="0"/>
              <w:jc w:val="right"/>
              <w:rPr>
                <w:rFonts w:cs="Arial"/>
                <w:color w:val="000000"/>
                <w:sz w:val="22"/>
                <w:szCs w:val="22"/>
              </w:rPr>
            </w:pPr>
            <w:r w:rsidRPr="00836552">
              <w:rPr>
                <w:rFonts w:cs="Arial"/>
                <w:color w:val="000000"/>
                <w:sz w:val="22"/>
                <w:szCs w:val="22"/>
              </w:rPr>
              <w:t>$378,541</w:t>
            </w:r>
          </w:p>
        </w:tc>
        <w:tc>
          <w:tcPr>
            <w:tcW w:w="956" w:type="pct"/>
            <w:shd w:val="clear" w:color="auto" w:fill="auto"/>
            <w:vAlign w:val="center"/>
          </w:tcPr>
          <w:p w14:paraId="298F91FF" w14:textId="77777777" w:rsidR="00E41A00" w:rsidRPr="00836552" w:rsidRDefault="00E41A00" w:rsidP="006E2755">
            <w:pPr>
              <w:keepNext/>
              <w:keepLines/>
              <w:spacing w:after="0"/>
              <w:jc w:val="right"/>
              <w:rPr>
                <w:rFonts w:cs="Arial"/>
                <w:color w:val="000000"/>
                <w:sz w:val="22"/>
                <w:szCs w:val="22"/>
              </w:rPr>
            </w:pPr>
            <w:r w:rsidRPr="00836552">
              <w:rPr>
                <w:rFonts w:cs="Arial"/>
                <w:color w:val="000000"/>
                <w:sz w:val="22"/>
                <w:szCs w:val="22"/>
              </w:rPr>
              <w:t>$208,889</w:t>
            </w:r>
          </w:p>
        </w:tc>
        <w:tc>
          <w:tcPr>
            <w:tcW w:w="957" w:type="pct"/>
            <w:shd w:val="clear" w:color="auto" w:fill="auto"/>
            <w:vAlign w:val="center"/>
          </w:tcPr>
          <w:p w14:paraId="03E0B636" w14:textId="77777777" w:rsidR="00E41A00" w:rsidRPr="00836552" w:rsidRDefault="00E41A00" w:rsidP="006E2755">
            <w:pPr>
              <w:keepNext/>
              <w:keepLines/>
              <w:spacing w:after="0"/>
              <w:jc w:val="right"/>
              <w:rPr>
                <w:rFonts w:cs="Arial"/>
                <w:color w:val="000000"/>
                <w:sz w:val="22"/>
                <w:szCs w:val="22"/>
              </w:rPr>
            </w:pPr>
            <w:r w:rsidRPr="00836552">
              <w:rPr>
                <w:rFonts w:cs="Arial"/>
                <w:color w:val="000000"/>
                <w:sz w:val="22"/>
                <w:szCs w:val="22"/>
              </w:rPr>
              <w:t>$587,430</w:t>
            </w:r>
          </w:p>
        </w:tc>
      </w:tr>
      <w:tr w:rsidR="00D37B23" w:rsidRPr="000677AE" w14:paraId="2C3DDA2E" w14:textId="77777777" w:rsidTr="00D37B23">
        <w:trPr>
          <w:trHeight w:val="302"/>
        </w:trPr>
        <w:tc>
          <w:tcPr>
            <w:tcW w:w="2131" w:type="pct"/>
            <w:vAlign w:val="center"/>
          </w:tcPr>
          <w:p w14:paraId="44844445" w14:textId="77777777" w:rsidR="00E41A00" w:rsidRPr="00836552" w:rsidRDefault="00E41A00" w:rsidP="006E2755">
            <w:pPr>
              <w:keepNext/>
              <w:keepLines/>
              <w:spacing w:after="0"/>
              <w:rPr>
                <w:rFonts w:cs="Arial"/>
                <w:sz w:val="22"/>
                <w:szCs w:val="22"/>
              </w:rPr>
            </w:pPr>
            <w:r w:rsidRPr="00836552">
              <w:rPr>
                <w:rFonts w:cs="Arial"/>
                <w:sz w:val="22"/>
                <w:szCs w:val="22"/>
              </w:rPr>
              <w:t xml:space="preserve">Compliance, </w:t>
            </w:r>
            <w:proofErr w:type="gramStart"/>
            <w:r w:rsidRPr="00836552">
              <w:rPr>
                <w:rFonts w:cs="Arial"/>
                <w:sz w:val="22"/>
                <w:szCs w:val="22"/>
              </w:rPr>
              <w:t>enforcement</w:t>
            </w:r>
            <w:proofErr w:type="gramEnd"/>
            <w:r w:rsidRPr="00836552">
              <w:rPr>
                <w:rFonts w:cs="Arial"/>
                <w:sz w:val="22"/>
                <w:szCs w:val="22"/>
              </w:rPr>
              <w:t xml:space="preserve"> and consumer safeguards</w:t>
            </w:r>
          </w:p>
        </w:tc>
        <w:tc>
          <w:tcPr>
            <w:tcW w:w="956" w:type="pct"/>
            <w:shd w:val="clear" w:color="auto" w:fill="auto"/>
            <w:vAlign w:val="center"/>
          </w:tcPr>
          <w:p w14:paraId="213BDB51" w14:textId="77777777" w:rsidR="00E41A00" w:rsidRPr="00836552" w:rsidRDefault="00E41A00" w:rsidP="006E2755">
            <w:pPr>
              <w:keepNext/>
              <w:keepLines/>
              <w:spacing w:after="0"/>
              <w:jc w:val="right"/>
              <w:rPr>
                <w:rFonts w:cs="Arial"/>
                <w:color w:val="000000"/>
                <w:sz w:val="22"/>
                <w:szCs w:val="22"/>
              </w:rPr>
            </w:pPr>
            <w:r w:rsidRPr="00836552">
              <w:rPr>
                <w:rFonts w:cs="Arial"/>
                <w:color w:val="000000"/>
                <w:sz w:val="22"/>
                <w:szCs w:val="22"/>
              </w:rPr>
              <w:t>$4,062,982</w:t>
            </w:r>
          </w:p>
        </w:tc>
        <w:tc>
          <w:tcPr>
            <w:tcW w:w="956" w:type="pct"/>
            <w:shd w:val="clear" w:color="auto" w:fill="auto"/>
            <w:vAlign w:val="center"/>
          </w:tcPr>
          <w:p w14:paraId="10597A83" w14:textId="77777777" w:rsidR="00E41A00" w:rsidRPr="00836552" w:rsidRDefault="00E41A00" w:rsidP="006E2755">
            <w:pPr>
              <w:keepNext/>
              <w:keepLines/>
              <w:spacing w:after="0"/>
              <w:jc w:val="right"/>
              <w:rPr>
                <w:rFonts w:cs="Arial"/>
                <w:color w:val="000000"/>
                <w:sz w:val="22"/>
                <w:szCs w:val="22"/>
              </w:rPr>
            </w:pPr>
            <w:r w:rsidRPr="00836552">
              <w:rPr>
                <w:rFonts w:cs="Arial"/>
                <w:color w:val="000000"/>
                <w:sz w:val="22"/>
                <w:szCs w:val="22"/>
              </w:rPr>
              <w:t>$2,297,981</w:t>
            </w:r>
          </w:p>
        </w:tc>
        <w:tc>
          <w:tcPr>
            <w:tcW w:w="957" w:type="pct"/>
            <w:shd w:val="clear" w:color="auto" w:fill="auto"/>
            <w:vAlign w:val="center"/>
          </w:tcPr>
          <w:p w14:paraId="53BD9D06" w14:textId="77777777" w:rsidR="00E41A00" w:rsidRPr="00836552" w:rsidRDefault="00E41A00" w:rsidP="006E2755">
            <w:pPr>
              <w:keepNext/>
              <w:keepLines/>
              <w:spacing w:after="0"/>
              <w:jc w:val="right"/>
              <w:rPr>
                <w:rFonts w:cs="Arial"/>
                <w:color w:val="000000"/>
                <w:sz w:val="22"/>
                <w:szCs w:val="22"/>
              </w:rPr>
            </w:pPr>
            <w:r w:rsidRPr="00836552">
              <w:rPr>
                <w:rFonts w:cs="Arial"/>
                <w:color w:val="000000"/>
                <w:sz w:val="22"/>
                <w:szCs w:val="22"/>
              </w:rPr>
              <w:t>$6,360,963</w:t>
            </w:r>
          </w:p>
        </w:tc>
      </w:tr>
      <w:tr w:rsidR="00D37B23" w:rsidRPr="000677AE" w14:paraId="5C0E9435" w14:textId="77777777" w:rsidTr="00D37B23">
        <w:trPr>
          <w:trHeight w:val="161"/>
        </w:trPr>
        <w:tc>
          <w:tcPr>
            <w:tcW w:w="2131" w:type="pct"/>
            <w:vAlign w:val="center"/>
          </w:tcPr>
          <w:p w14:paraId="5BE7D8DF" w14:textId="77777777" w:rsidR="00E41A00" w:rsidRPr="00836552" w:rsidRDefault="00E41A00" w:rsidP="006E2755">
            <w:pPr>
              <w:keepNext/>
              <w:keepLines/>
              <w:spacing w:after="0"/>
              <w:rPr>
                <w:rFonts w:cs="Arial"/>
                <w:sz w:val="22"/>
                <w:szCs w:val="22"/>
              </w:rPr>
            </w:pPr>
            <w:r w:rsidRPr="00836552">
              <w:rPr>
                <w:rFonts w:cs="Arial"/>
                <w:sz w:val="22"/>
                <w:szCs w:val="22"/>
              </w:rPr>
              <w:t>Licensing and allocation</w:t>
            </w:r>
          </w:p>
        </w:tc>
        <w:tc>
          <w:tcPr>
            <w:tcW w:w="956" w:type="pct"/>
            <w:shd w:val="clear" w:color="auto" w:fill="auto"/>
            <w:vAlign w:val="center"/>
          </w:tcPr>
          <w:p w14:paraId="6877CBC2" w14:textId="77777777" w:rsidR="00E41A00" w:rsidRPr="00836552" w:rsidRDefault="00E41A00" w:rsidP="006E2755">
            <w:pPr>
              <w:keepNext/>
              <w:keepLines/>
              <w:spacing w:after="0"/>
              <w:jc w:val="right"/>
              <w:rPr>
                <w:rFonts w:cs="Arial"/>
                <w:color w:val="000000"/>
                <w:sz w:val="22"/>
                <w:szCs w:val="22"/>
              </w:rPr>
            </w:pPr>
            <w:r w:rsidRPr="00836552">
              <w:rPr>
                <w:rFonts w:cs="Arial"/>
                <w:color w:val="000000"/>
                <w:sz w:val="22"/>
                <w:szCs w:val="22"/>
              </w:rPr>
              <w:t>$798,832</w:t>
            </w:r>
          </w:p>
        </w:tc>
        <w:tc>
          <w:tcPr>
            <w:tcW w:w="956" w:type="pct"/>
            <w:shd w:val="clear" w:color="auto" w:fill="auto"/>
            <w:vAlign w:val="center"/>
          </w:tcPr>
          <w:p w14:paraId="56D0CF21" w14:textId="77777777" w:rsidR="00E41A00" w:rsidRPr="00836552" w:rsidRDefault="00E41A00" w:rsidP="006E2755">
            <w:pPr>
              <w:keepNext/>
              <w:keepLines/>
              <w:spacing w:after="0"/>
              <w:jc w:val="right"/>
              <w:rPr>
                <w:rFonts w:cs="Arial"/>
                <w:color w:val="000000"/>
                <w:sz w:val="22"/>
                <w:szCs w:val="22"/>
              </w:rPr>
            </w:pPr>
            <w:r w:rsidRPr="00836552">
              <w:rPr>
                <w:rFonts w:cs="Arial"/>
                <w:color w:val="000000"/>
                <w:sz w:val="22"/>
                <w:szCs w:val="22"/>
              </w:rPr>
              <w:t>$384,448</w:t>
            </w:r>
          </w:p>
        </w:tc>
        <w:tc>
          <w:tcPr>
            <w:tcW w:w="957" w:type="pct"/>
            <w:shd w:val="clear" w:color="auto" w:fill="auto"/>
            <w:vAlign w:val="center"/>
          </w:tcPr>
          <w:p w14:paraId="23A71648" w14:textId="77777777" w:rsidR="00E41A00" w:rsidRPr="00836552" w:rsidRDefault="00E41A00" w:rsidP="006E2755">
            <w:pPr>
              <w:keepNext/>
              <w:keepLines/>
              <w:spacing w:after="0"/>
              <w:jc w:val="right"/>
              <w:rPr>
                <w:rFonts w:cs="Arial"/>
                <w:color w:val="000000"/>
                <w:sz w:val="22"/>
                <w:szCs w:val="22"/>
              </w:rPr>
            </w:pPr>
            <w:r w:rsidRPr="00836552">
              <w:rPr>
                <w:rFonts w:cs="Arial"/>
                <w:color w:val="000000"/>
                <w:sz w:val="22"/>
                <w:szCs w:val="22"/>
              </w:rPr>
              <w:t>$1,183,280</w:t>
            </w:r>
          </w:p>
        </w:tc>
      </w:tr>
      <w:tr w:rsidR="00D37B23" w:rsidRPr="000677AE" w14:paraId="26B126CC" w14:textId="77777777" w:rsidTr="00D37B23">
        <w:trPr>
          <w:trHeight w:val="226"/>
        </w:trPr>
        <w:tc>
          <w:tcPr>
            <w:tcW w:w="2131" w:type="pct"/>
            <w:vAlign w:val="center"/>
          </w:tcPr>
          <w:p w14:paraId="36589D1B" w14:textId="77777777" w:rsidR="00E41A00" w:rsidRPr="00836552" w:rsidRDefault="00E41A00" w:rsidP="006E2755">
            <w:pPr>
              <w:keepNext/>
              <w:keepLines/>
              <w:spacing w:after="0"/>
              <w:rPr>
                <w:rFonts w:cs="Arial"/>
                <w:sz w:val="22"/>
                <w:szCs w:val="22"/>
              </w:rPr>
            </w:pPr>
            <w:r w:rsidRPr="00836552">
              <w:rPr>
                <w:rFonts w:cs="Arial"/>
                <w:sz w:val="22"/>
                <w:szCs w:val="22"/>
              </w:rPr>
              <w:t>Other outputs</w:t>
            </w:r>
          </w:p>
        </w:tc>
        <w:tc>
          <w:tcPr>
            <w:tcW w:w="956" w:type="pct"/>
            <w:shd w:val="clear" w:color="auto" w:fill="auto"/>
            <w:vAlign w:val="center"/>
          </w:tcPr>
          <w:p w14:paraId="008FE536" w14:textId="77777777" w:rsidR="00E41A00" w:rsidRPr="00836552" w:rsidRDefault="00E41A00" w:rsidP="006E2755">
            <w:pPr>
              <w:keepNext/>
              <w:keepLines/>
              <w:spacing w:after="0"/>
              <w:jc w:val="right"/>
              <w:rPr>
                <w:rFonts w:cs="Arial"/>
                <w:color w:val="000000"/>
                <w:sz w:val="22"/>
                <w:szCs w:val="22"/>
              </w:rPr>
            </w:pPr>
            <w:r w:rsidRPr="00836552">
              <w:rPr>
                <w:rFonts w:cs="Arial"/>
                <w:color w:val="000000"/>
                <w:sz w:val="22"/>
                <w:szCs w:val="22"/>
              </w:rPr>
              <w:t>$436,319</w:t>
            </w:r>
          </w:p>
        </w:tc>
        <w:tc>
          <w:tcPr>
            <w:tcW w:w="956" w:type="pct"/>
            <w:shd w:val="clear" w:color="auto" w:fill="auto"/>
            <w:vAlign w:val="center"/>
          </w:tcPr>
          <w:p w14:paraId="2B58F846" w14:textId="77777777" w:rsidR="00E41A00" w:rsidRPr="00836552" w:rsidRDefault="00E41A00" w:rsidP="006E2755">
            <w:pPr>
              <w:keepNext/>
              <w:keepLines/>
              <w:spacing w:after="0"/>
              <w:jc w:val="right"/>
              <w:rPr>
                <w:rFonts w:cs="Arial"/>
                <w:color w:val="000000"/>
                <w:sz w:val="22"/>
                <w:szCs w:val="22"/>
              </w:rPr>
            </w:pPr>
            <w:r w:rsidRPr="00836552">
              <w:rPr>
                <w:rFonts w:cs="Arial"/>
                <w:color w:val="000000"/>
                <w:sz w:val="22"/>
                <w:szCs w:val="22"/>
              </w:rPr>
              <w:t>$341,798</w:t>
            </w:r>
          </w:p>
        </w:tc>
        <w:tc>
          <w:tcPr>
            <w:tcW w:w="957" w:type="pct"/>
            <w:shd w:val="clear" w:color="auto" w:fill="auto"/>
            <w:vAlign w:val="center"/>
          </w:tcPr>
          <w:p w14:paraId="0F395CFE" w14:textId="77777777" w:rsidR="00E41A00" w:rsidRPr="00836552" w:rsidRDefault="00E41A00" w:rsidP="006E2755">
            <w:pPr>
              <w:keepNext/>
              <w:keepLines/>
              <w:spacing w:after="0"/>
              <w:jc w:val="right"/>
              <w:rPr>
                <w:rFonts w:cs="Arial"/>
                <w:color w:val="000000"/>
                <w:sz w:val="22"/>
                <w:szCs w:val="22"/>
              </w:rPr>
            </w:pPr>
            <w:r w:rsidRPr="00836552">
              <w:rPr>
                <w:rFonts w:cs="Arial"/>
                <w:color w:val="000000"/>
                <w:sz w:val="22"/>
                <w:szCs w:val="22"/>
              </w:rPr>
              <w:t>$778,117</w:t>
            </w:r>
          </w:p>
        </w:tc>
      </w:tr>
      <w:tr w:rsidR="00D37B23" w:rsidRPr="000677AE" w14:paraId="6E600340" w14:textId="77777777" w:rsidTr="00D37B23">
        <w:trPr>
          <w:trHeight w:val="226"/>
        </w:trPr>
        <w:tc>
          <w:tcPr>
            <w:tcW w:w="2131" w:type="pct"/>
            <w:shd w:val="clear" w:color="auto" w:fill="F2F2F2" w:themeFill="background1" w:themeFillShade="F2"/>
            <w:vAlign w:val="center"/>
          </w:tcPr>
          <w:p w14:paraId="752A29E0" w14:textId="77777777" w:rsidR="00E41A00" w:rsidRPr="00836552" w:rsidRDefault="00E41A00" w:rsidP="006E2755">
            <w:pPr>
              <w:keepNext/>
              <w:keepLines/>
              <w:spacing w:after="0"/>
              <w:rPr>
                <w:rFonts w:cs="Arial"/>
                <w:sz w:val="22"/>
                <w:szCs w:val="22"/>
              </w:rPr>
            </w:pPr>
            <w:r w:rsidRPr="00836552">
              <w:rPr>
                <w:rFonts w:cs="Arial"/>
                <w:b/>
                <w:bCs/>
                <w:sz w:val="22"/>
                <w:szCs w:val="22"/>
              </w:rPr>
              <w:t>Sub-total</w:t>
            </w:r>
          </w:p>
        </w:tc>
        <w:tc>
          <w:tcPr>
            <w:tcW w:w="956" w:type="pct"/>
            <w:shd w:val="clear" w:color="auto" w:fill="F2F2F2" w:themeFill="background1" w:themeFillShade="F2"/>
            <w:vAlign w:val="center"/>
          </w:tcPr>
          <w:p w14:paraId="6D955CB0" w14:textId="77777777" w:rsidR="00E41A00" w:rsidRPr="00836552" w:rsidRDefault="00E41A00" w:rsidP="006E2755">
            <w:pPr>
              <w:keepNext/>
              <w:keepLines/>
              <w:spacing w:after="0"/>
              <w:jc w:val="right"/>
              <w:rPr>
                <w:rFonts w:cs="Arial"/>
                <w:b/>
                <w:color w:val="000000"/>
                <w:sz w:val="22"/>
                <w:szCs w:val="22"/>
              </w:rPr>
            </w:pPr>
            <w:r w:rsidRPr="00836552">
              <w:rPr>
                <w:rFonts w:cs="Arial"/>
                <w:b/>
                <w:color w:val="000000"/>
                <w:sz w:val="22"/>
                <w:szCs w:val="22"/>
              </w:rPr>
              <w:t>$7,925,589</w:t>
            </w:r>
          </w:p>
        </w:tc>
        <w:tc>
          <w:tcPr>
            <w:tcW w:w="956" w:type="pct"/>
            <w:shd w:val="clear" w:color="auto" w:fill="F2F2F2" w:themeFill="background1" w:themeFillShade="F2"/>
            <w:vAlign w:val="center"/>
          </w:tcPr>
          <w:p w14:paraId="1611BA29" w14:textId="77777777" w:rsidR="00E41A00" w:rsidRPr="00836552" w:rsidRDefault="00E41A00" w:rsidP="006E2755">
            <w:pPr>
              <w:keepNext/>
              <w:keepLines/>
              <w:spacing w:after="0"/>
              <w:jc w:val="right"/>
              <w:rPr>
                <w:rFonts w:cs="Arial"/>
                <w:b/>
                <w:color w:val="000000"/>
                <w:sz w:val="22"/>
                <w:szCs w:val="22"/>
              </w:rPr>
            </w:pPr>
            <w:r w:rsidRPr="00836552">
              <w:rPr>
                <w:rFonts w:cs="Arial"/>
                <w:b/>
                <w:color w:val="000000"/>
                <w:sz w:val="22"/>
                <w:szCs w:val="22"/>
              </w:rPr>
              <w:t>$4,178,957</w:t>
            </w:r>
          </w:p>
        </w:tc>
        <w:tc>
          <w:tcPr>
            <w:tcW w:w="957" w:type="pct"/>
            <w:shd w:val="clear" w:color="auto" w:fill="F2F2F2" w:themeFill="background1" w:themeFillShade="F2"/>
            <w:vAlign w:val="center"/>
          </w:tcPr>
          <w:p w14:paraId="411F71DD" w14:textId="77777777" w:rsidR="00E41A00" w:rsidRPr="00836552" w:rsidRDefault="00E41A00" w:rsidP="006E2755">
            <w:pPr>
              <w:keepNext/>
              <w:keepLines/>
              <w:spacing w:after="0"/>
              <w:jc w:val="right"/>
              <w:rPr>
                <w:rFonts w:cs="Arial"/>
                <w:b/>
                <w:sz w:val="22"/>
                <w:szCs w:val="22"/>
              </w:rPr>
            </w:pPr>
            <w:r w:rsidRPr="00836552">
              <w:rPr>
                <w:rFonts w:cs="Arial"/>
                <w:b/>
                <w:color w:val="000000"/>
                <w:sz w:val="22"/>
                <w:szCs w:val="22"/>
              </w:rPr>
              <w:t>$12,104,546</w:t>
            </w:r>
          </w:p>
        </w:tc>
      </w:tr>
      <w:tr w:rsidR="00D37B23" w:rsidRPr="000677AE" w14:paraId="0B5A6511" w14:textId="77777777" w:rsidTr="00D37B23">
        <w:trPr>
          <w:trHeight w:val="226"/>
        </w:trPr>
        <w:tc>
          <w:tcPr>
            <w:tcW w:w="2131" w:type="pct"/>
            <w:vAlign w:val="center"/>
          </w:tcPr>
          <w:p w14:paraId="74699187" w14:textId="77777777" w:rsidR="00E41A00" w:rsidRPr="00836552" w:rsidRDefault="00E41A00" w:rsidP="006E2755">
            <w:pPr>
              <w:keepNext/>
              <w:keepLines/>
              <w:spacing w:after="0"/>
              <w:rPr>
                <w:rFonts w:cs="Arial"/>
                <w:sz w:val="22"/>
                <w:szCs w:val="22"/>
              </w:rPr>
            </w:pPr>
            <w:r w:rsidRPr="00836552">
              <w:rPr>
                <w:rFonts w:cs="Arial"/>
                <w:sz w:val="22"/>
                <w:szCs w:val="22"/>
              </w:rPr>
              <w:t>Consumer Safeguards Part A program</w:t>
            </w:r>
          </w:p>
        </w:tc>
        <w:tc>
          <w:tcPr>
            <w:tcW w:w="956" w:type="pct"/>
            <w:shd w:val="clear" w:color="auto" w:fill="auto"/>
            <w:vAlign w:val="center"/>
          </w:tcPr>
          <w:p w14:paraId="1100DBCF" w14:textId="77777777" w:rsidR="00E41A00" w:rsidRPr="00836552" w:rsidRDefault="00E41A00" w:rsidP="006E2755">
            <w:pPr>
              <w:keepNext/>
              <w:keepLines/>
              <w:spacing w:after="0"/>
              <w:jc w:val="right"/>
              <w:rPr>
                <w:rFonts w:cs="Arial"/>
                <w:color w:val="000000"/>
                <w:sz w:val="22"/>
                <w:szCs w:val="22"/>
              </w:rPr>
            </w:pPr>
            <w:r w:rsidRPr="00836552">
              <w:rPr>
                <w:rFonts w:cs="Arial"/>
                <w:color w:val="000000"/>
                <w:sz w:val="22"/>
                <w:szCs w:val="22"/>
              </w:rPr>
              <w:t>$515,786</w:t>
            </w:r>
          </w:p>
        </w:tc>
        <w:tc>
          <w:tcPr>
            <w:tcW w:w="956" w:type="pct"/>
            <w:shd w:val="clear" w:color="auto" w:fill="auto"/>
            <w:vAlign w:val="center"/>
          </w:tcPr>
          <w:p w14:paraId="68FD6019" w14:textId="77777777" w:rsidR="00E41A00" w:rsidRPr="00836552" w:rsidRDefault="00E41A00" w:rsidP="006E2755">
            <w:pPr>
              <w:keepNext/>
              <w:keepLines/>
              <w:spacing w:after="0"/>
              <w:jc w:val="right"/>
              <w:rPr>
                <w:rFonts w:cs="Arial"/>
                <w:color w:val="000000"/>
                <w:sz w:val="22"/>
                <w:szCs w:val="22"/>
              </w:rPr>
            </w:pPr>
            <w:r w:rsidRPr="00836552">
              <w:rPr>
                <w:rFonts w:cs="Arial"/>
                <w:color w:val="000000"/>
                <w:sz w:val="22"/>
                <w:szCs w:val="22"/>
              </w:rPr>
              <w:t>$298,102</w:t>
            </w:r>
          </w:p>
        </w:tc>
        <w:tc>
          <w:tcPr>
            <w:tcW w:w="957" w:type="pct"/>
            <w:shd w:val="clear" w:color="auto" w:fill="auto"/>
            <w:vAlign w:val="center"/>
          </w:tcPr>
          <w:p w14:paraId="5B5C9F5C" w14:textId="77777777" w:rsidR="00E41A00" w:rsidRPr="00836552" w:rsidRDefault="00E41A00" w:rsidP="006E2755">
            <w:pPr>
              <w:keepNext/>
              <w:keepLines/>
              <w:spacing w:after="0"/>
              <w:jc w:val="right"/>
              <w:rPr>
                <w:rFonts w:cs="Arial"/>
                <w:sz w:val="22"/>
                <w:szCs w:val="22"/>
              </w:rPr>
            </w:pPr>
            <w:r w:rsidRPr="00836552">
              <w:rPr>
                <w:rFonts w:cs="Arial"/>
                <w:color w:val="000000"/>
                <w:sz w:val="22"/>
                <w:szCs w:val="22"/>
              </w:rPr>
              <w:t>$813,888</w:t>
            </w:r>
          </w:p>
        </w:tc>
      </w:tr>
      <w:tr w:rsidR="00D37B23" w:rsidRPr="000677AE" w14:paraId="414BA687" w14:textId="77777777" w:rsidTr="00D37B23">
        <w:trPr>
          <w:trHeight w:val="226"/>
        </w:trPr>
        <w:tc>
          <w:tcPr>
            <w:tcW w:w="2131" w:type="pct"/>
            <w:shd w:val="clear" w:color="auto" w:fill="D9D9D9" w:themeFill="background1" w:themeFillShade="D9"/>
            <w:vAlign w:val="center"/>
          </w:tcPr>
          <w:p w14:paraId="25E3EC15" w14:textId="77777777" w:rsidR="00E41A00" w:rsidRPr="00836552" w:rsidRDefault="00E41A00" w:rsidP="006E2755">
            <w:pPr>
              <w:keepNext/>
              <w:keepLines/>
              <w:spacing w:after="0"/>
              <w:rPr>
                <w:rFonts w:cs="Arial"/>
                <w:b/>
                <w:bCs/>
                <w:sz w:val="22"/>
                <w:szCs w:val="22"/>
              </w:rPr>
            </w:pPr>
            <w:r w:rsidRPr="00836552">
              <w:rPr>
                <w:rFonts w:cs="Arial"/>
                <w:b/>
                <w:bCs/>
                <w:sz w:val="22"/>
                <w:szCs w:val="22"/>
              </w:rPr>
              <w:t>Total costs</w:t>
            </w:r>
          </w:p>
        </w:tc>
        <w:tc>
          <w:tcPr>
            <w:tcW w:w="956" w:type="pct"/>
            <w:shd w:val="clear" w:color="auto" w:fill="D9D9D9" w:themeFill="background1" w:themeFillShade="D9"/>
            <w:vAlign w:val="center"/>
          </w:tcPr>
          <w:p w14:paraId="33E4B03B" w14:textId="77777777" w:rsidR="00E41A00" w:rsidRPr="00836552" w:rsidRDefault="00E41A00" w:rsidP="006E2755">
            <w:pPr>
              <w:keepNext/>
              <w:keepLines/>
              <w:spacing w:after="0"/>
              <w:jc w:val="right"/>
              <w:rPr>
                <w:rFonts w:cs="Arial"/>
                <w:b/>
                <w:sz w:val="22"/>
                <w:szCs w:val="22"/>
              </w:rPr>
            </w:pPr>
            <w:r w:rsidRPr="00836552">
              <w:rPr>
                <w:rFonts w:cs="Arial"/>
                <w:b/>
                <w:color w:val="000000"/>
                <w:sz w:val="22"/>
                <w:szCs w:val="22"/>
              </w:rPr>
              <w:t>$8,441,375</w:t>
            </w:r>
          </w:p>
        </w:tc>
        <w:tc>
          <w:tcPr>
            <w:tcW w:w="956" w:type="pct"/>
            <w:shd w:val="clear" w:color="auto" w:fill="D9D9D9" w:themeFill="background1" w:themeFillShade="D9"/>
            <w:vAlign w:val="center"/>
          </w:tcPr>
          <w:p w14:paraId="67498FAA" w14:textId="77777777" w:rsidR="00E41A00" w:rsidRPr="00836552" w:rsidRDefault="00E41A00" w:rsidP="006E2755">
            <w:pPr>
              <w:keepNext/>
              <w:keepLines/>
              <w:spacing w:after="0"/>
              <w:jc w:val="right"/>
              <w:rPr>
                <w:rFonts w:cs="Arial"/>
                <w:b/>
                <w:sz w:val="22"/>
                <w:szCs w:val="22"/>
              </w:rPr>
            </w:pPr>
            <w:r w:rsidRPr="00836552">
              <w:rPr>
                <w:rFonts w:cs="Arial"/>
                <w:b/>
                <w:color w:val="000000"/>
                <w:sz w:val="22"/>
                <w:szCs w:val="22"/>
              </w:rPr>
              <w:t>$4,477,059</w:t>
            </w:r>
          </w:p>
        </w:tc>
        <w:tc>
          <w:tcPr>
            <w:tcW w:w="957" w:type="pct"/>
            <w:shd w:val="clear" w:color="auto" w:fill="D9D9D9" w:themeFill="background1" w:themeFillShade="D9"/>
            <w:vAlign w:val="center"/>
          </w:tcPr>
          <w:p w14:paraId="0C194A7F" w14:textId="77777777" w:rsidR="00E41A00" w:rsidRPr="00836552" w:rsidRDefault="00E41A00" w:rsidP="006E2755">
            <w:pPr>
              <w:keepNext/>
              <w:keepLines/>
              <w:spacing w:after="0"/>
              <w:jc w:val="right"/>
              <w:rPr>
                <w:rFonts w:cs="Arial"/>
                <w:b/>
                <w:sz w:val="22"/>
                <w:szCs w:val="22"/>
              </w:rPr>
            </w:pPr>
            <w:r w:rsidRPr="00836552">
              <w:rPr>
                <w:rFonts w:cs="Arial"/>
                <w:b/>
                <w:color w:val="000000"/>
                <w:sz w:val="22"/>
                <w:szCs w:val="22"/>
              </w:rPr>
              <w:t>$12,918,435</w:t>
            </w:r>
          </w:p>
        </w:tc>
      </w:tr>
    </w:tbl>
    <w:p w14:paraId="0E407252" w14:textId="77777777" w:rsidR="00E41A00" w:rsidRDefault="00E41A00" w:rsidP="00E41A00">
      <w:pPr>
        <w:pStyle w:val="Tableorfigurenote"/>
      </w:pPr>
      <w:r w:rsidRPr="001C6738">
        <w:t>Note: Sums may not add due to rounding</w:t>
      </w:r>
    </w:p>
    <w:p w14:paraId="596E6F22" w14:textId="77777777" w:rsidR="00E41A00" w:rsidRDefault="00E41A00" w:rsidP="00D37B23">
      <w:pPr>
        <w:pStyle w:val="Paragraph"/>
      </w:pPr>
      <w:r>
        <w:t>Table 11 sets out the allocation method applied by the ACMA to each of the support categories.</w:t>
      </w:r>
    </w:p>
    <w:p w14:paraId="7CAA3FCB" w14:textId="77777777" w:rsidR="00E41A00" w:rsidRPr="00D37B23" w:rsidRDefault="00E41A00" w:rsidP="00D37B23">
      <w:pPr>
        <w:pStyle w:val="Tableheading"/>
      </w:pPr>
      <w:r w:rsidRPr="00D37B23">
        <w:t>Allocation of the ACMA’s support costs (cost drivers)</w:t>
      </w:r>
    </w:p>
    <w:tbl>
      <w:tblPr>
        <w:tblStyle w:val="TableGrid"/>
        <w:tblW w:w="8786" w:type="dxa"/>
        <w:tblInd w:w="-5" w:type="dxa"/>
        <w:tblLayout w:type="fixed"/>
        <w:tblCellMar>
          <w:top w:w="85" w:type="dxa"/>
          <w:left w:w="57" w:type="dxa"/>
          <w:bottom w:w="85" w:type="dxa"/>
          <w:right w:w="57" w:type="dxa"/>
        </w:tblCellMar>
        <w:tblLook w:val="04A0" w:firstRow="1" w:lastRow="0" w:firstColumn="1" w:lastColumn="0" w:noHBand="0" w:noVBand="1"/>
        <w:tblCaption w:val="Allocation of ACCC’s support costs"/>
        <w:tblDescription w:val="Includes categories, cost drivers and allocation methods."/>
      </w:tblPr>
      <w:tblGrid>
        <w:gridCol w:w="2929"/>
        <w:gridCol w:w="5857"/>
      </w:tblGrid>
      <w:tr w:rsidR="00E41A00" w:rsidRPr="00D37B23" w14:paraId="31810EB3" w14:textId="77777777" w:rsidTr="006E2755">
        <w:trPr>
          <w:trHeight w:val="240"/>
          <w:tblHeader/>
        </w:trPr>
        <w:tc>
          <w:tcPr>
            <w:tcW w:w="2929" w:type="dxa"/>
            <w:shd w:val="clear" w:color="auto" w:fill="404040" w:themeFill="text1" w:themeFillTint="BF"/>
          </w:tcPr>
          <w:p w14:paraId="2A5E43C9" w14:textId="77777777" w:rsidR="00E41A00" w:rsidRPr="00D37B23" w:rsidRDefault="00E41A00" w:rsidP="00D37B23">
            <w:pPr>
              <w:pStyle w:val="TableHeading0"/>
              <w:spacing w:line="280" w:lineRule="atLeast"/>
              <w:rPr>
                <w:rFonts w:eastAsia="SimSun"/>
                <w:b w:val="0"/>
                <w:color w:val="FFFFFF" w:themeColor="background1"/>
                <w:sz w:val="22"/>
                <w:szCs w:val="22"/>
                <w:lang w:eastAsia="en-US"/>
              </w:rPr>
            </w:pPr>
            <w:r w:rsidRPr="00D37B23">
              <w:rPr>
                <w:rFonts w:eastAsia="SimSun"/>
                <w:color w:val="FFFFFF" w:themeColor="background1"/>
                <w:sz w:val="22"/>
                <w:szCs w:val="22"/>
                <w:lang w:eastAsia="en-US"/>
              </w:rPr>
              <w:t>Category</w:t>
            </w:r>
          </w:p>
        </w:tc>
        <w:tc>
          <w:tcPr>
            <w:tcW w:w="5857" w:type="dxa"/>
            <w:shd w:val="clear" w:color="auto" w:fill="404040" w:themeFill="text1" w:themeFillTint="BF"/>
          </w:tcPr>
          <w:p w14:paraId="7D5B455D" w14:textId="77777777" w:rsidR="00E41A00" w:rsidRPr="00D37B23" w:rsidRDefault="00E41A00" w:rsidP="00D37B23">
            <w:pPr>
              <w:pStyle w:val="TableHeading0"/>
              <w:spacing w:line="280" w:lineRule="atLeast"/>
              <w:rPr>
                <w:rFonts w:eastAsia="SimSun"/>
                <w:color w:val="FFFFFF" w:themeColor="background1"/>
                <w:sz w:val="22"/>
                <w:szCs w:val="22"/>
                <w:lang w:eastAsia="en-US"/>
              </w:rPr>
            </w:pPr>
            <w:r w:rsidRPr="00D37B23">
              <w:rPr>
                <w:rFonts w:eastAsia="SimSun"/>
                <w:color w:val="FFFFFF" w:themeColor="background1"/>
                <w:sz w:val="22"/>
                <w:szCs w:val="22"/>
                <w:lang w:eastAsia="en-US"/>
              </w:rPr>
              <w:t>Cost driver</w:t>
            </w:r>
          </w:p>
        </w:tc>
      </w:tr>
      <w:tr w:rsidR="00E41A00" w:rsidRPr="00D37B23" w14:paraId="7B19116D" w14:textId="77777777" w:rsidTr="00836552">
        <w:trPr>
          <w:trHeight w:val="240"/>
        </w:trPr>
        <w:tc>
          <w:tcPr>
            <w:tcW w:w="2929" w:type="dxa"/>
          </w:tcPr>
          <w:p w14:paraId="3F1DC411" w14:textId="77777777" w:rsidR="00E41A00" w:rsidRPr="00D37B23" w:rsidRDefault="00E41A00" w:rsidP="00E01726">
            <w:pPr>
              <w:spacing w:after="0" w:line="280" w:lineRule="atLeast"/>
              <w:rPr>
                <w:rFonts w:eastAsia="SimSun" w:cs="Arial"/>
                <w:sz w:val="22"/>
                <w:szCs w:val="22"/>
                <w:lang w:eastAsia="en-US"/>
              </w:rPr>
            </w:pPr>
            <w:r w:rsidRPr="00D37B23">
              <w:rPr>
                <w:rFonts w:cs="Arial"/>
                <w:sz w:val="22"/>
                <w:szCs w:val="22"/>
              </w:rPr>
              <w:t>Office of the Chair</w:t>
            </w:r>
          </w:p>
        </w:tc>
        <w:tc>
          <w:tcPr>
            <w:tcW w:w="5857" w:type="dxa"/>
          </w:tcPr>
          <w:p w14:paraId="73F78E40" w14:textId="77777777" w:rsidR="00E41A00" w:rsidRPr="00D37B23" w:rsidRDefault="00E41A00" w:rsidP="00E01726">
            <w:pPr>
              <w:spacing w:after="0" w:line="280" w:lineRule="atLeast"/>
              <w:rPr>
                <w:rFonts w:eastAsia="SimSun" w:cs="Arial"/>
                <w:sz w:val="22"/>
                <w:szCs w:val="22"/>
                <w:lang w:eastAsia="en-US"/>
              </w:rPr>
            </w:pPr>
            <w:r w:rsidRPr="00D37B23">
              <w:rPr>
                <w:rFonts w:eastAsia="SimSun" w:cs="Arial"/>
                <w:sz w:val="22"/>
                <w:szCs w:val="22"/>
                <w:lang w:eastAsia="en-US"/>
              </w:rPr>
              <w:t>Average staffing level (ASL) applicable to recipient cost centre</w:t>
            </w:r>
          </w:p>
        </w:tc>
      </w:tr>
      <w:tr w:rsidR="00E41A00" w:rsidRPr="00D37B23" w14:paraId="6C95DCCA" w14:textId="77777777" w:rsidTr="00836552">
        <w:trPr>
          <w:trHeight w:val="240"/>
        </w:trPr>
        <w:tc>
          <w:tcPr>
            <w:tcW w:w="2929" w:type="dxa"/>
          </w:tcPr>
          <w:p w14:paraId="0BBE7D42" w14:textId="77777777" w:rsidR="00E41A00" w:rsidRPr="00D37B23" w:rsidRDefault="00E41A00" w:rsidP="00E01726">
            <w:pPr>
              <w:spacing w:after="0" w:line="280" w:lineRule="atLeast"/>
              <w:rPr>
                <w:rFonts w:eastAsia="SimSun" w:cs="Arial"/>
                <w:sz w:val="22"/>
                <w:szCs w:val="22"/>
                <w:lang w:eastAsia="en-US"/>
              </w:rPr>
            </w:pPr>
            <w:r w:rsidRPr="00D37B23">
              <w:rPr>
                <w:rFonts w:cs="Arial"/>
                <w:sz w:val="22"/>
                <w:szCs w:val="22"/>
              </w:rPr>
              <w:t>People and finance</w:t>
            </w:r>
          </w:p>
        </w:tc>
        <w:tc>
          <w:tcPr>
            <w:tcW w:w="5857" w:type="dxa"/>
          </w:tcPr>
          <w:p w14:paraId="25D80DCB" w14:textId="77777777" w:rsidR="00E41A00" w:rsidRPr="00D37B23" w:rsidRDefault="00E41A00" w:rsidP="00E01726">
            <w:pPr>
              <w:spacing w:after="0" w:line="280" w:lineRule="atLeast"/>
              <w:rPr>
                <w:rFonts w:eastAsia="SimSun" w:cs="Arial"/>
                <w:sz w:val="22"/>
                <w:szCs w:val="22"/>
                <w:lang w:eastAsia="en-US"/>
              </w:rPr>
            </w:pPr>
            <w:r w:rsidRPr="00D37B23">
              <w:rPr>
                <w:rFonts w:eastAsia="SimSun" w:cs="Arial"/>
                <w:sz w:val="22"/>
                <w:szCs w:val="22"/>
                <w:lang w:eastAsia="en-US"/>
              </w:rPr>
              <w:t>ASL applicable to recipient cost centre</w:t>
            </w:r>
          </w:p>
        </w:tc>
      </w:tr>
      <w:tr w:rsidR="00E41A00" w:rsidRPr="00D37B23" w14:paraId="3233F8F4" w14:textId="77777777" w:rsidTr="00836552">
        <w:trPr>
          <w:trHeight w:val="240"/>
        </w:trPr>
        <w:tc>
          <w:tcPr>
            <w:tcW w:w="2929" w:type="dxa"/>
          </w:tcPr>
          <w:p w14:paraId="4C442C7D" w14:textId="77777777" w:rsidR="00E41A00" w:rsidRPr="00D37B23" w:rsidRDefault="00E41A00" w:rsidP="00E01726">
            <w:pPr>
              <w:spacing w:after="0" w:line="280" w:lineRule="atLeast"/>
              <w:rPr>
                <w:rFonts w:eastAsia="SimSun" w:cs="Arial"/>
                <w:sz w:val="22"/>
                <w:szCs w:val="22"/>
                <w:lang w:eastAsia="en-US"/>
              </w:rPr>
            </w:pPr>
            <w:r w:rsidRPr="00D37B23">
              <w:rPr>
                <w:rFonts w:cs="Arial"/>
                <w:sz w:val="22"/>
                <w:szCs w:val="22"/>
              </w:rPr>
              <w:t>Media</w:t>
            </w:r>
          </w:p>
        </w:tc>
        <w:tc>
          <w:tcPr>
            <w:tcW w:w="5857" w:type="dxa"/>
          </w:tcPr>
          <w:p w14:paraId="6E6BA208" w14:textId="77777777" w:rsidR="00E41A00" w:rsidRPr="00D37B23" w:rsidRDefault="00E41A00" w:rsidP="00E01726">
            <w:pPr>
              <w:spacing w:after="0" w:line="280" w:lineRule="atLeast"/>
              <w:rPr>
                <w:rFonts w:eastAsia="SimSun" w:cs="Arial"/>
                <w:sz w:val="22"/>
                <w:szCs w:val="22"/>
                <w:lang w:eastAsia="en-US"/>
              </w:rPr>
            </w:pPr>
            <w:r w:rsidRPr="00D37B23">
              <w:rPr>
                <w:rFonts w:eastAsia="SimSun" w:cs="Arial"/>
                <w:sz w:val="22"/>
                <w:szCs w:val="22"/>
                <w:lang w:eastAsia="en-US"/>
              </w:rPr>
              <w:t>ASL applicable to recipient cost centre</w:t>
            </w:r>
          </w:p>
        </w:tc>
      </w:tr>
      <w:tr w:rsidR="00E41A00" w:rsidRPr="00D37B23" w14:paraId="7EDFEA61" w14:textId="77777777" w:rsidTr="00836552">
        <w:trPr>
          <w:trHeight w:val="240"/>
        </w:trPr>
        <w:tc>
          <w:tcPr>
            <w:tcW w:w="2929" w:type="dxa"/>
          </w:tcPr>
          <w:p w14:paraId="0EE27FC9" w14:textId="77777777" w:rsidR="00E41A00" w:rsidRPr="00D37B23" w:rsidRDefault="00E41A00" w:rsidP="00E01726">
            <w:pPr>
              <w:spacing w:after="0" w:line="280" w:lineRule="atLeast"/>
              <w:rPr>
                <w:rFonts w:eastAsia="SimSun" w:cs="Arial"/>
                <w:sz w:val="22"/>
                <w:szCs w:val="22"/>
                <w:lang w:eastAsia="en-US"/>
              </w:rPr>
            </w:pPr>
            <w:bookmarkStart w:id="117" w:name="_Hlk96329654"/>
            <w:r w:rsidRPr="00D37B23">
              <w:rPr>
                <w:rFonts w:cs="Arial"/>
                <w:sz w:val="22"/>
                <w:szCs w:val="22"/>
              </w:rPr>
              <w:t>Information and facilities</w:t>
            </w:r>
          </w:p>
        </w:tc>
        <w:tc>
          <w:tcPr>
            <w:tcW w:w="5857" w:type="dxa"/>
          </w:tcPr>
          <w:p w14:paraId="224CFF03" w14:textId="77777777" w:rsidR="00E41A00" w:rsidRPr="00D37B23" w:rsidRDefault="00E41A00" w:rsidP="00E01726">
            <w:pPr>
              <w:spacing w:after="0" w:line="280" w:lineRule="atLeast"/>
              <w:rPr>
                <w:rFonts w:eastAsia="SimSun" w:cs="Arial"/>
                <w:sz w:val="22"/>
                <w:szCs w:val="22"/>
                <w:lang w:eastAsia="en-US"/>
              </w:rPr>
            </w:pPr>
            <w:r w:rsidRPr="00D37B23">
              <w:rPr>
                <w:rFonts w:eastAsia="SimSun" w:cs="Arial"/>
                <w:sz w:val="22"/>
                <w:szCs w:val="22"/>
                <w:lang w:eastAsia="en-US"/>
              </w:rPr>
              <w:t>ASL applicable to recipient cost centre</w:t>
            </w:r>
          </w:p>
        </w:tc>
      </w:tr>
      <w:bookmarkEnd w:id="117"/>
      <w:tr w:rsidR="00E41A00" w:rsidRPr="00D37B23" w14:paraId="3919AC52" w14:textId="77777777" w:rsidTr="00836552">
        <w:trPr>
          <w:trHeight w:val="240"/>
        </w:trPr>
        <w:tc>
          <w:tcPr>
            <w:tcW w:w="2929" w:type="dxa"/>
          </w:tcPr>
          <w:p w14:paraId="6F2F98B3" w14:textId="77777777" w:rsidR="00E41A00" w:rsidRPr="00D37B23" w:rsidRDefault="00E41A00" w:rsidP="00E01726">
            <w:pPr>
              <w:spacing w:after="0" w:line="280" w:lineRule="atLeast"/>
              <w:rPr>
                <w:rFonts w:eastAsia="SimSun" w:cs="Arial"/>
                <w:sz w:val="22"/>
                <w:szCs w:val="22"/>
                <w:lang w:eastAsia="en-US"/>
              </w:rPr>
            </w:pPr>
            <w:r w:rsidRPr="00D37B23">
              <w:rPr>
                <w:rFonts w:cs="Arial"/>
                <w:sz w:val="22"/>
                <w:szCs w:val="22"/>
              </w:rPr>
              <w:t>Property operating expenses</w:t>
            </w:r>
          </w:p>
        </w:tc>
        <w:tc>
          <w:tcPr>
            <w:tcW w:w="5857" w:type="dxa"/>
          </w:tcPr>
          <w:p w14:paraId="100208D6" w14:textId="77777777" w:rsidR="00E41A00" w:rsidRPr="00D37B23" w:rsidRDefault="00E41A00" w:rsidP="00E01726">
            <w:pPr>
              <w:spacing w:after="0" w:line="280" w:lineRule="atLeast"/>
              <w:rPr>
                <w:rFonts w:eastAsia="SimSun" w:cs="Arial"/>
                <w:sz w:val="22"/>
                <w:szCs w:val="22"/>
                <w:lang w:eastAsia="en-US"/>
              </w:rPr>
            </w:pPr>
            <w:r w:rsidRPr="00D37B23">
              <w:rPr>
                <w:rFonts w:eastAsia="SimSun" w:cs="Arial"/>
                <w:sz w:val="22"/>
                <w:szCs w:val="22"/>
                <w:lang w:eastAsia="en-US"/>
              </w:rPr>
              <w:t>ASL applicable to recipient cost centre</w:t>
            </w:r>
          </w:p>
        </w:tc>
      </w:tr>
      <w:tr w:rsidR="00E41A00" w:rsidRPr="00D37B23" w14:paraId="40959B43" w14:textId="77777777" w:rsidTr="00836552">
        <w:trPr>
          <w:trHeight w:val="240"/>
        </w:trPr>
        <w:tc>
          <w:tcPr>
            <w:tcW w:w="2929" w:type="dxa"/>
          </w:tcPr>
          <w:p w14:paraId="28F49092" w14:textId="24E29B6E" w:rsidR="00E41A00" w:rsidRPr="00D37B23" w:rsidRDefault="00E41A00" w:rsidP="00E01726">
            <w:pPr>
              <w:spacing w:after="0" w:line="280" w:lineRule="atLeast"/>
              <w:rPr>
                <w:rFonts w:eastAsia="SimSun" w:cs="Arial"/>
                <w:sz w:val="22"/>
                <w:szCs w:val="22"/>
                <w:lang w:eastAsia="en-US"/>
              </w:rPr>
            </w:pPr>
            <w:r w:rsidRPr="00D37B23">
              <w:rPr>
                <w:rFonts w:cs="Arial"/>
                <w:sz w:val="22"/>
                <w:szCs w:val="22"/>
              </w:rPr>
              <w:t>Asset usage</w:t>
            </w:r>
          </w:p>
        </w:tc>
        <w:tc>
          <w:tcPr>
            <w:tcW w:w="5857" w:type="dxa"/>
          </w:tcPr>
          <w:p w14:paraId="495AEF28" w14:textId="5260BE7F" w:rsidR="00E41A00" w:rsidRPr="00D37B23" w:rsidRDefault="00E41A00" w:rsidP="00E01726">
            <w:pPr>
              <w:spacing w:after="0" w:line="280" w:lineRule="atLeast"/>
              <w:rPr>
                <w:rFonts w:eastAsia="SimSun" w:cs="Arial"/>
                <w:sz w:val="22"/>
                <w:szCs w:val="22"/>
                <w:lang w:eastAsia="en-US"/>
              </w:rPr>
            </w:pPr>
            <w:r w:rsidRPr="00D37B23">
              <w:rPr>
                <w:rFonts w:eastAsia="SimSun" w:cs="Arial"/>
                <w:sz w:val="22"/>
                <w:szCs w:val="22"/>
                <w:lang w:eastAsia="en-US"/>
              </w:rPr>
              <w:t>Percentage split based on asset usage (i.e., depreciation)</w:t>
            </w:r>
          </w:p>
        </w:tc>
      </w:tr>
      <w:tr w:rsidR="00E41A00" w:rsidRPr="00D37B23" w14:paraId="753170DC" w14:textId="77777777" w:rsidTr="00836552">
        <w:trPr>
          <w:trHeight w:val="240"/>
        </w:trPr>
        <w:tc>
          <w:tcPr>
            <w:tcW w:w="2929" w:type="dxa"/>
          </w:tcPr>
          <w:p w14:paraId="467228FD" w14:textId="77777777" w:rsidR="00E41A00" w:rsidRPr="00D37B23" w:rsidRDefault="00E41A00" w:rsidP="00E01726">
            <w:pPr>
              <w:spacing w:after="0" w:line="280" w:lineRule="atLeast"/>
              <w:rPr>
                <w:rFonts w:cs="Arial"/>
                <w:sz w:val="22"/>
                <w:szCs w:val="22"/>
              </w:rPr>
            </w:pPr>
            <w:r w:rsidRPr="00D37B23">
              <w:rPr>
                <w:rFonts w:cs="Arial"/>
                <w:sz w:val="22"/>
                <w:szCs w:val="22"/>
              </w:rPr>
              <w:t>Legal</w:t>
            </w:r>
          </w:p>
        </w:tc>
        <w:tc>
          <w:tcPr>
            <w:tcW w:w="5857" w:type="dxa"/>
          </w:tcPr>
          <w:p w14:paraId="249B4EF9" w14:textId="77777777" w:rsidR="00E41A00" w:rsidRPr="00D37B23" w:rsidRDefault="00E41A00" w:rsidP="00E01726">
            <w:pPr>
              <w:spacing w:after="0" w:line="280" w:lineRule="atLeast"/>
              <w:rPr>
                <w:rFonts w:eastAsia="SimSun" w:cs="Arial"/>
                <w:sz w:val="22"/>
                <w:szCs w:val="22"/>
                <w:lang w:eastAsia="en-US"/>
              </w:rPr>
            </w:pPr>
            <w:r w:rsidRPr="00D37B23">
              <w:rPr>
                <w:rFonts w:eastAsia="SimSun" w:cs="Arial"/>
                <w:sz w:val="22"/>
                <w:szCs w:val="22"/>
                <w:lang w:eastAsia="en-US"/>
              </w:rPr>
              <w:t xml:space="preserve">ASL applicable to recipient cost centre </w:t>
            </w:r>
          </w:p>
        </w:tc>
      </w:tr>
    </w:tbl>
    <w:p w14:paraId="5D752F11" w14:textId="6B8439D8" w:rsidR="00E41A00" w:rsidRPr="00AE6A60" w:rsidRDefault="00E41A00" w:rsidP="00836552">
      <w:pPr>
        <w:pStyle w:val="Paragraph"/>
        <w:spacing w:before="240"/>
      </w:pPr>
      <w:r w:rsidRPr="0036276F">
        <w:lastRenderedPageBreak/>
        <w:t xml:space="preserve">Table 12 outlines a breakdown of expenses included in the ACMA’s cost components for the ACLC amount for the </w:t>
      </w:r>
      <w:r>
        <w:t>2022</w:t>
      </w:r>
      <w:r w:rsidR="000677AE">
        <w:t>–</w:t>
      </w:r>
      <w:r>
        <w:t>23</w:t>
      </w:r>
      <w:r w:rsidRPr="0036276F">
        <w:t xml:space="preserve"> financial year compared to the previous year. Employee costs include salaries and </w:t>
      </w:r>
      <w:r w:rsidRPr="00D37B23">
        <w:t>staff</w:t>
      </w:r>
      <w:r w:rsidRPr="0036276F">
        <w:t xml:space="preserve"> on-costs; operating costs essentially relate to expenses incurred, including contractors, consultants, travel, </w:t>
      </w:r>
      <w:proofErr w:type="gramStart"/>
      <w:r w:rsidRPr="0036276F">
        <w:t>supplies</w:t>
      </w:r>
      <w:proofErr w:type="gramEnd"/>
      <w:r w:rsidRPr="0036276F">
        <w:t xml:space="preserve"> and occupancy. Depreciation and write-offs of non-financial assets represent the loss of service potential of assets attributable to the telecommunications services included in determining the ACLC. These costs are subsets of both the direct and support costs shown in tables 10 and 10A above.</w:t>
      </w:r>
      <w:r w:rsidRPr="00AE6A60">
        <w:t xml:space="preserve"> </w:t>
      </w:r>
    </w:p>
    <w:p w14:paraId="739B9350" w14:textId="72CE2387" w:rsidR="00E41A00" w:rsidRPr="00D37B23" w:rsidRDefault="00E41A00" w:rsidP="00D37B23">
      <w:pPr>
        <w:pStyle w:val="Tableheading"/>
      </w:pPr>
      <w:r w:rsidRPr="00D37B23">
        <w:t>The ACMA’s cost component for 2023</w:t>
      </w:r>
      <w:r w:rsidR="000677AE">
        <w:t>–</w:t>
      </w:r>
      <w:r w:rsidRPr="00D37B23">
        <w:t>24 ACLC (based on 2022</w:t>
      </w:r>
      <w:r w:rsidR="000677AE">
        <w:t>–</w:t>
      </w:r>
      <w:r w:rsidRPr="00D37B23">
        <w:t>23 costs) and 2022</w:t>
      </w:r>
      <w:r w:rsidR="000677AE">
        <w:t>–</w:t>
      </w:r>
      <w:r w:rsidRPr="00D37B23">
        <w:t>23 ACLC (based on 2021</w:t>
      </w:r>
      <w:r w:rsidR="000677AE">
        <w:t>–</w:t>
      </w:r>
      <w:r w:rsidRPr="00D37B23">
        <w:t>22 costs)</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57" w:type="dxa"/>
        </w:tblCellMar>
        <w:tblLook w:val="04A0" w:firstRow="1" w:lastRow="0" w:firstColumn="1" w:lastColumn="0" w:noHBand="0" w:noVBand="1"/>
        <w:tblCaption w:val="The ACMA’s cost component"/>
        <w:tblDescription w:val="Includes ACMA employee, operating and depreciation and write-off costs, less revenue received from activities on a fee-for-service basis.  "/>
      </w:tblPr>
      <w:tblGrid>
        <w:gridCol w:w="4678"/>
        <w:gridCol w:w="1559"/>
        <w:gridCol w:w="1578"/>
        <w:gridCol w:w="1399"/>
      </w:tblGrid>
      <w:tr w:rsidR="00E41A00" w:rsidRPr="00D37B23" w14:paraId="1D63FA13" w14:textId="77777777" w:rsidTr="00836552">
        <w:trPr>
          <w:cantSplit/>
          <w:trHeight w:val="740"/>
          <w:tblHeader/>
        </w:trPr>
        <w:tc>
          <w:tcPr>
            <w:tcW w:w="4678" w:type="dxa"/>
            <w:shd w:val="clear" w:color="auto" w:fill="404040" w:themeFill="text1" w:themeFillTint="BF"/>
          </w:tcPr>
          <w:p w14:paraId="326F52BC" w14:textId="77777777" w:rsidR="00E41A00" w:rsidRPr="00D37B23" w:rsidRDefault="00E41A00" w:rsidP="00D37B23">
            <w:pPr>
              <w:pStyle w:val="TableHeading0"/>
              <w:keepNext/>
              <w:keepLines/>
              <w:spacing w:line="280" w:lineRule="atLeast"/>
              <w:rPr>
                <w:b w:val="0"/>
                <w:color w:val="FFFFFF" w:themeColor="background1"/>
                <w:sz w:val="22"/>
                <w:szCs w:val="22"/>
              </w:rPr>
            </w:pPr>
            <w:r w:rsidRPr="00D37B23">
              <w:rPr>
                <w:color w:val="FFFFFF" w:themeColor="background1"/>
                <w:sz w:val="22"/>
                <w:szCs w:val="22"/>
              </w:rPr>
              <w:t>Costs</w:t>
            </w:r>
          </w:p>
        </w:tc>
        <w:tc>
          <w:tcPr>
            <w:tcW w:w="1559" w:type="dxa"/>
            <w:shd w:val="clear" w:color="auto" w:fill="404040" w:themeFill="text1" w:themeFillTint="BF"/>
          </w:tcPr>
          <w:p w14:paraId="73C5B4B6" w14:textId="6935D88B" w:rsidR="00E41A00" w:rsidRPr="00D37B23" w:rsidRDefault="00E41A00" w:rsidP="00D37B23">
            <w:pPr>
              <w:pStyle w:val="TableHeading0"/>
              <w:keepNext/>
              <w:keepLines/>
              <w:spacing w:line="280" w:lineRule="atLeast"/>
              <w:jc w:val="right"/>
              <w:rPr>
                <w:b w:val="0"/>
                <w:color w:val="FFFFFF" w:themeColor="background1"/>
                <w:sz w:val="22"/>
                <w:szCs w:val="22"/>
              </w:rPr>
            </w:pPr>
            <w:r w:rsidRPr="00D37B23">
              <w:rPr>
                <w:color w:val="FFFFFF" w:themeColor="background1"/>
                <w:sz w:val="22"/>
                <w:szCs w:val="22"/>
              </w:rPr>
              <w:t>2023</w:t>
            </w:r>
            <w:r w:rsidR="000677AE" w:rsidRPr="00836552">
              <w:rPr>
                <w:color w:val="FFFFFF" w:themeColor="background1"/>
              </w:rPr>
              <w:t>–</w:t>
            </w:r>
            <w:r w:rsidRPr="00D37B23">
              <w:rPr>
                <w:color w:val="FFFFFF" w:themeColor="background1"/>
                <w:sz w:val="22"/>
                <w:szCs w:val="22"/>
              </w:rPr>
              <w:t>24 ACLC</w:t>
            </w:r>
          </w:p>
        </w:tc>
        <w:tc>
          <w:tcPr>
            <w:tcW w:w="1578" w:type="dxa"/>
            <w:shd w:val="clear" w:color="auto" w:fill="404040" w:themeFill="text1" w:themeFillTint="BF"/>
          </w:tcPr>
          <w:p w14:paraId="02B28FB9" w14:textId="51C138EB" w:rsidR="00E41A00" w:rsidRPr="00D37B23" w:rsidRDefault="00E41A00" w:rsidP="00D37B23">
            <w:pPr>
              <w:pStyle w:val="TableHeading0"/>
              <w:keepNext/>
              <w:keepLines/>
              <w:spacing w:line="280" w:lineRule="atLeast"/>
              <w:jc w:val="right"/>
              <w:rPr>
                <w:b w:val="0"/>
                <w:color w:val="FFFFFF" w:themeColor="background1"/>
                <w:sz w:val="22"/>
                <w:szCs w:val="22"/>
              </w:rPr>
            </w:pPr>
            <w:r w:rsidRPr="00D37B23">
              <w:rPr>
                <w:color w:val="FFFFFF" w:themeColor="background1"/>
                <w:sz w:val="22"/>
                <w:szCs w:val="22"/>
              </w:rPr>
              <w:t>2022</w:t>
            </w:r>
            <w:r w:rsidR="000677AE" w:rsidRPr="00836552">
              <w:rPr>
                <w:color w:val="FFFFFF" w:themeColor="background1"/>
              </w:rPr>
              <w:t>–</w:t>
            </w:r>
            <w:r w:rsidRPr="00D37B23">
              <w:rPr>
                <w:color w:val="FFFFFF" w:themeColor="background1"/>
                <w:sz w:val="22"/>
                <w:szCs w:val="22"/>
              </w:rPr>
              <w:t xml:space="preserve">23 </w:t>
            </w:r>
            <w:r w:rsidRPr="00D37B23">
              <w:rPr>
                <w:color w:val="FFFFFF" w:themeColor="background1"/>
                <w:sz w:val="22"/>
                <w:szCs w:val="22"/>
              </w:rPr>
              <w:br/>
              <w:t>ACLC</w:t>
            </w:r>
          </w:p>
        </w:tc>
        <w:tc>
          <w:tcPr>
            <w:tcW w:w="1399" w:type="dxa"/>
            <w:shd w:val="clear" w:color="auto" w:fill="404040" w:themeFill="text1" w:themeFillTint="BF"/>
          </w:tcPr>
          <w:p w14:paraId="17406B60" w14:textId="77777777" w:rsidR="00E41A00" w:rsidRPr="00D37B23" w:rsidRDefault="00E41A00" w:rsidP="00D37B23">
            <w:pPr>
              <w:pStyle w:val="TableHeading0"/>
              <w:keepNext/>
              <w:keepLines/>
              <w:spacing w:line="280" w:lineRule="atLeast"/>
              <w:jc w:val="right"/>
              <w:rPr>
                <w:b w:val="0"/>
                <w:color w:val="FFFFFF" w:themeColor="background1"/>
                <w:sz w:val="22"/>
                <w:szCs w:val="22"/>
              </w:rPr>
            </w:pPr>
            <w:r w:rsidRPr="00D37B23">
              <w:rPr>
                <w:color w:val="FFFFFF" w:themeColor="background1"/>
                <w:sz w:val="22"/>
                <w:szCs w:val="22"/>
              </w:rPr>
              <w:t xml:space="preserve">% change </w:t>
            </w:r>
            <w:r w:rsidRPr="00D37B23">
              <w:rPr>
                <w:rFonts w:cs="Arial"/>
                <w:bCs/>
                <w:color w:val="FFFFFF"/>
                <w:sz w:val="22"/>
                <w:szCs w:val="22"/>
              </w:rPr>
              <w:t>increase/</w:t>
            </w:r>
            <w:r w:rsidRPr="00D37B23">
              <w:rPr>
                <w:rFonts w:cs="Arial"/>
                <w:bCs/>
                <w:color w:val="FFFFFF"/>
                <w:sz w:val="22"/>
                <w:szCs w:val="22"/>
              </w:rPr>
              <w:br/>
              <w:t>(decrease)</w:t>
            </w:r>
          </w:p>
        </w:tc>
      </w:tr>
      <w:tr w:rsidR="00E41A00" w:rsidRPr="00D37B23" w14:paraId="5C4CEEB6" w14:textId="77777777" w:rsidTr="00836552">
        <w:trPr>
          <w:cantSplit/>
          <w:trHeight w:val="236"/>
          <w:tblHeader/>
        </w:trPr>
        <w:tc>
          <w:tcPr>
            <w:tcW w:w="4678" w:type="dxa"/>
          </w:tcPr>
          <w:p w14:paraId="1F7D7E3A" w14:textId="77777777" w:rsidR="00E41A00" w:rsidRPr="00D37B23" w:rsidRDefault="00E41A00" w:rsidP="00D37B23">
            <w:pPr>
              <w:keepNext/>
              <w:keepLines/>
              <w:spacing w:after="0" w:line="280" w:lineRule="atLeast"/>
              <w:rPr>
                <w:rFonts w:cs="Arial"/>
                <w:color w:val="000000"/>
                <w:sz w:val="22"/>
                <w:szCs w:val="22"/>
              </w:rPr>
            </w:pPr>
            <w:r w:rsidRPr="00D37B23">
              <w:rPr>
                <w:rFonts w:cs="Arial"/>
                <w:color w:val="000000"/>
                <w:sz w:val="22"/>
                <w:szCs w:val="22"/>
              </w:rPr>
              <w:t>Employees</w:t>
            </w:r>
          </w:p>
        </w:tc>
        <w:tc>
          <w:tcPr>
            <w:tcW w:w="1559" w:type="dxa"/>
            <w:shd w:val="clear" w:color="auto" w:fill="auto"/>
            <w:vAlign w:val="center"/>
          </w:tcPr>
          <w:p w14:paraId="2C6029F3" w14:textId="77777777" w:rsidR="00E41A00" w:rsidRPr="00D37B23" w:rsidRDefault="00E41A00" w:rsidP="00D37B23">
            <w:pPr>
              <w:keepNext/>
              <w:keepLines/>
              <w:spacing w:after="0" w:line="280" w:lineRule="atLeast"/>
              <w:jc w:val="right"/>
              <w:rPr>
                <w:rFonts w:cs="Arial"/>
                <w:color w:val="000000"/>
                <w:sz w:val="22"/>
                <w:szCs w:val="22"/>
                <w:highlight w:val="yellow"/>
              </w:rPr>
            </w:pPr>
            <w:r w:rsidRPr="00D37B23">
              <w:rPr>
                <w:rFonts w:cs="Arial"/>
                <w:color w:val="000000"/>
                <w:sz w:val="22"/>
                <w:szCs w:val="22"/>
              </w:rPr>
              <w:t>$8,771,434</w:t>
            </w:r>
          </w:p>
        </w:tc>
        <w:tc>
          <w:tcPr>
            <w:tcW w:w="1578" w:type="dxa"/>
            <w:shd w:val="clear" w:color="auto" w:fill="auto"/>
            <w:vAlign w:val="center"/>
          </w:tcPr>
          <w:p w14:paraId="00360F92"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$8,030,938</w:t>
            </w:r>
          </w:p>
        </w:tc>
        <w:tc>
          <w:tcPr>
            <w:tcW w:w="1399" w:type="dxa"/>
            <w:shd w:val="clear" w:color="auto" w:fill="auto"/>
            <w:vAlign w:val="center"/>
          </w:tcPr>
          <w:p w14:paraId="350001AC"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sz w:val="22"/>
                <w:szCs w:val="22"/>
              </w:rPr>
              <w:t>9%</w:t>
            </w:r>
          </w:p>
        </w:tc>
      </w:tr>
      <w:tr w:rsidR="00E41A00" w:rsidRPr="00D37B23" w14:paraId="6ED1FEEF" w14:textId="77777777" w:rsidTr="00836552">
        <w:trPr>
          <w:cantSplit/>
          <w:trHeight w:val="246"/>
          <w:tblHeader/>
        </w:trPr>
        <w:tc>
          <w:tcPr>
            <w:tcW w:w="4678" w:type="dxa"/>
          </w:tcPr>
          <w:p w14:paraId="0E6EB26F" w14:textId="77777777" w:rsidR="00E41A00" w:rsidRPr="00D37B23" w:rsidRDefault="00E41A00" w:rsidP="00D37B23">
            <w:pPr>
              <w:keepNext/>
              <w:keepLines/>
              <w:spacing w:after="0" w:line="280" w:lineRule="atLeast"/>
              <w:rPr>
                <w:rFonts w:cs="Arial"/>
                <w:color w:val="000000"/>
                <w:sz w:val="22"/>
                <w:szCs w:val="22"/>
              </w:rPr>
            </w:pPr>
            <w:r w:rsidRPr="00D37B23">
              <w:rPr>
                <w:rFonts w:cs="Arial"/>
                <w:color w:val="000000"/>
                <w:sz w:val="22"/>
                <w:szCs w:val="22"/>
              </w:rPr>
              <w:t>Operating</w:t>
            </w:r>
          </w:p>
        </w:tc>
        <w:tc>
          <w:tcPr>
            <w:tcW w:w="1559" w:type="dxa"/>
            <w:shd w:val="clear" w:color="auto" w:fill="auto"/>
            <w:vAlign w:val="center"/>
          </w:tcPr>
          <w:p w14:paraId="47BFF888" w14:textId="77777777" w:rsidR="00E41A00" w:rsidRPr="00D37B23" w:rsidRDefault="00E41A00" w:rsidP="00D37B23">
            <w:pPr>
              <w:keepNext/>
              <w:keepLines/>
              <w:spacing w:after="0" w:line="280" w:lineRule="atLeast"/>
              <w:jc w:val="right"/>
              <w:rPr>
                <w:rFonts w:cs="Arial"/>
                <w:color w:val="000000"/>
                <w:sz w:val="22"/>
                <w:szCs w:val="22"/>
                <w:highlight w:val="yellow"/>
              </w:rPr>
            </w:pPr>
            <w:r w:rsidRPr="00D37B23">
              <w:rPr>
                <w:rFonts w:cs="Arial"/>
                <w:color w:val="000000"/>
                <w:sz w:val="22"/>
                <w:szCs w:val="22"/>
              </w:rPr>
              <w:t>$3,113,156</w:t>
            </w:r>
          </w:p>
        </w:tc>
        <w:tc>
          <w:tcPr>
            <w:tcW w:w="1578" w:type="dxa"/>
            <w:shd w:val="clear" w:color="auto" w:fill="auto"/>
            <w:vAlign w:val="center"/>
          </w:tcPr>
          <w:p w14:paraId="2AAE59B1"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$2,596,320</w:t>
            </w:r>
          </w:p>
        </w:tc>
        <w:tc>
          <w:tcPr>
            <w:tcW w:w="1399" w:type="dxa"/>
            <w:shd w:val="clear" w:color="auto" w:fill="auto"/>
            <w:vAlign w:val="center"/>
          </w:tcPr>
          <w:p w14:paraId="7DB39E6F"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sz w:val="22"/>
                <w:szCs w:val="22"/>
              </w:rPr>
              <w:t>20%</w:t>
            </w:r>
          </w:p>
        </w:tc>
      </w:tr>
      <w:tr w:rsidR="00E41A00" w:rsidRPr="00D37B23" w14:paraId="1D9EB189" w14:textId="77777777" w:rsidTr="00836552">
        <w:trPr>
          <w:cantSplit/>
          <w:trHeight w:val="133"/>
          <w:tblHeader/>
        </w:trPr>
        <w:tc>
          <w:tcPr>
            <w:tcW w:w="4678" w:type="dxa"/>
          </w:tcPr>
          <w:p w14:paraId="092E0559" w14:textId="77777777" w:rsidR="00E41A00" w:rsidRPr="00D37B23" w:rsidRDefault="00E41A00" w:rsidP="00D37B23">
            <w:pPr>
              <w:keepNext/>
              <w:keepLines/>
              <w:spacing w:after="0" w:line="280" w:lineRule="atLeast"/>
              <w:rPr>
                <w:rFonts w:cs="Arial"/>
                <w:color w:val="000000"/>
                <w:sz w:val="22"/>
                <w:szCs w:val="22"/>
              </w:rPr>
            </w:pPr>
            <w:r w:rsidRPr="00D37B23">
              <w:rPr>
                <w:rFonts w:cs="Arial"/>
                <w:color w:val="000000"/>
                <w:sz w:val="22"/>
                <w:szCs w:val="22"/>
              </w:rPr>
              <w:t>Depreciation and write-off</w:t>
            </w:r>
          </w:p>
        </w:tc>
        <w:tc>
          <w:tcPr>
            <w:tcW w:w="1559" w:type="dxa"/>
            <w:shd w:val="clear" w:color="auto" w:fill="auto"/>
            <w:vAlign w:val="center"/>
          </w:tcPr>
          <w:p w14:paraId="458FD7D0" w14:textId="77777777" w:rsidR="00E41A00" w:rsidRPr="00D37B23" w:rsidRDefault="00E41A00" w:rsidP="00D37B23">
            <w:pPr>
              <w:keepNext/>
              <w:keepLines/>
              <w:spacing w:after="0" w:line="280" w:lineRule="atLeast"/>
              <w:jc w:val="right"/>
              <w:rPr>
                <w:rFonts w:cs="Arial"/>
                <w:color w:val="000000"/>
                <w:sz w:val="22"/>
                <w:szCs w:val="22"/>
                <w:highlight w:val="yellow"/>
              </w:rPr>
            </w:pPr>
            <w:r w:rsidRPr="00D37B23">
              <w:rPr>
                <w:rFonts w:cs="Arial"/>
                <w:color w:val="000000"/>
                <w:sz w:val="22"/>
                <w:szCs w:val="22"/>
              </w:rPr>
              <w:t>$1,976,221</w:t>
            </w:r>
          </w:p>
        </w:tc>
        <w:tc>
          <w:tcPr>
            <w:tcW w:w="1578" w:type="dxa"/>
            <w:shd w:val="clear" w:color="auto" w:fill="auto"/>
            <w:vAlign w:val="center"/>
          </w:tcPr>
          <w:p w14:paraId="3A570E0B"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000000"/>
                <w:sz w:val="22"/>
                <w:szCs w:val="22"/>
              </w:rPr>
              <w:t>$2,428,437</w:t>
            </w:r>
          </w:p>
        </w:tc>
        <w:tc>
          <w:tcPr>
            <w:tcW w:w="1399" w:type="dxa"/>
            <w:shd w:val="clear" w:color="auto" w:fill="auto"/>
            <w:vAlign w:val="center"/>
          </w:tcPr>
          <w:p w14:paraId="38C2A0C7" w14:textId="77777777" w:rsidR="00E41A00" w:rsidRPr="00D37B23" w:rsidRDefault="00E41A00" w:rsidP="00D37B23">
            <w:pPr>
              <w:keepNext/>
              <w:keepLines/>
              <w:spacing w:after="0" w:line="280" w:lineRule="atLeast"/>
              <w:jc w:val="right"/>
              <w:rPr>
                <w:rFonts w:cs="Arial"/>
                <w:color w:val="000000"/>
                <w:sz w:val="22"/>
                <w:szCs w:val="22"/>
              </w:rPr>
            </w:pPr>
            <w:r w:rsidRPr="00D37B23">
              <w:rPr>
                <w:rFonts w:cs="Arial"/>
                <w:color w:val="FF0000"/>
                <w:sz w:val="22"/>
                <w:szCs w:val="22"/>
              </w:rPr>
              <w:t>(19%)</w:t>
            </w:r>
          </w:p>
        </w:tc>
      </w:tr>
      <w:tr w:rsidR="00E41A00" w:rsidRPr="00D37B23" w14:paraId="3F21F47A" w14:textId="77777777" w:rsidTr="00836552">
        <w:trPr>
          <w:cantSplit/>
          <w:trHeight w:val="246"/>
          <w:tblHeader/>
        </w:trPr>
        <w:tc>
          <w:tcPr>
            <w:tcW w:w="4678" w:type="dxa"/>
            <w:shd w:val="clear" w:color="auto" w:fill="F2F2F2" w:themeFill="background1" w:themeFillShade="F2"/>
          </w:tcPr>
          <w:p w14:paraId="6C0D93EF" w14:textId="77777777" w:rsidR="00E41A00" w:rsidRPr="00D37B23" w:rsidRDefault="00E41A00" w:rsidP="00D37B23">
            <w:pPr>
              <w:spacing w:after="0" w:line="280" w:lineRule="atLeast"/>
              <w:rPr>
                <w:rFonts w:cs="Arial"/>
                <w:b/>
                <w:bCs/>
                <w:color w:val="000000"/>
                <w:sz w:val="22"/>
                <w:szCs w:val="22"/>
              </w:rPr>
            </w:pPr>
            <w:r w:rsidRPr="00D37B23">
              <w:rPr>
                <w:rFonts w:cs="Arial"/>
                <w:b/>
                <w:bCs/>
                <w:color w:val="000000"/>
                <w:sz w:val="22"/>
                <w:szCs w:val="22"/>
              </w:rPr>
              <w:t>Total ACMA costs</w:t>
            </w:r>
          </w:p>
        </w:tc>
        <w:tc>
          <w:tcPr>
            <w:tcW w:w="1559" w:type="dxa"/>
            <w:shd w:val="clear" w:color="auto" w:fill="F2F2F2" w:themeFill="background1" w:themeFillShade="F2"/>
            <w:vAlign w:val="center"/>
          </w:tcPr>
          <w:p w14:paraId="5FF11662" w14:textId="77777777" w:rsidR="00E41A00" w:rsidRPr="00D37B23" w:rsidRDefault="00E41A00" w:rsidP="00D37B23">
            <w:pPr>
              <w:spacing w:after="0" w:line="280" w:lineRule="atLeast"/>
              <w:jc w:val="right"/>
              <w:rPr>
                <w:rFonts w:cs="Arial"/>
                <w:b/>
                <w:color w:val="000000"/>
                <w:sz w:val="22"/>
                <w:szCs w:val="22"/>
                <w:highlight w:val="yellow"/>
              </w:rPr>
            </w:pPr>
            <w:r w:rsidRPr="00D37B23">
              <w:rPr>
                <w:rFonts w:cs="Arial"/>
                <w:b/>
                <w:color w:val="000000"/>
                <w:sz w:val="22"/>
                <w:szCs w:val="22"/>
              </w:rPr>
              <w:t>$13,860,811</w:t>
            </w:r>
          </w:p>
        </w:tc>
        <w:tc>
          <w:tcPr>
            <w:tcW w:w="1578" w:type="dxa"/>
            <w:shd w:val="clear" w:color="auto" w:fill="F2F2F2" w:themeFill="background1" w:themeFillShade="F2"/>
            <w:vAlign w:val="center"/>
          </w:tcPr>
          <w:p w14:paraId="3EF4906F" w14:textId="77777777" w:rsidR="00E41A00" w:rsidRPr="00D37B23" w:rsidRDefault="00E41A00" w:rsidP="00D37B23">
            <w:pPr>
              <w:spacing w:after="0" w:line="280" w:lineRule="atLeast"/>
              <w:jc w:val="right"/>
              <w:rPr>
                <w:rFonts w:cs="Arial"/>
                <w:b/>
                <w:color w:val="000000"/>
                <w:sz w:val="22"/>
                <w:szCs w:val="22"/>
              </w:rPr>
            </w:pPr>
            <w:r w:rsidRPr="00D37B23">
              <w:rPr>
                <w:rFonts w:cs="Arial"/>
                <w:b/>
                <w:color w:val="000000"/>
                <w:sz w:val="22"/>
                <w:szCs w:val="22"/>
              </w:rPr>
              <w:t>$13,055,695</w:t>
            </w:r>
          </w:p>
        </w:tc>
        <w:tc>
          <w:tcPr>
            <w:tcW w:w="1399" w:type="dxa"/>
            <w:shd w:val="clear" w:color="auto" w:fill="F2F2F2" w:themeFill="background1" w:themeFillShade="F2"/>
            <w:vAlign w:val="center"/>
          </w:tcPr>
          <w:p w14:paraId="4755BC34" w14:textId="77777777" w:rsidR="00E41A00" w:rsidRPr="00D37B23" w:rsidRDefault="00E41A00" w:rsidP="00D37B23">
            <w:pPr>
              <w:spacing w:after="0" w:line="280" w:lineRule="atLeast"/>
              <w:jc w:val="right"/>
              <w:rPr>
                <w:rFonts w:cs="Arial"/>
                <w:b/>
                <w:bCs/>
                <w:color w:val="000000"/>
                <w:sz w:val="22"/>
                <w:szCs w:val="22"/>
              </w:rPr>
            </w:pPr>
            <w:r w:rsidRPr="00D37B23">
              <w:rPr>
                <w:rFonts w:cs="Arial"/>
                <w:b/>
                <w:bCs/>
                <w:sz w:val="22"/>
                <w:szCs w:val="22"/>
              </w:rPr>
              <w:t>6%</w:t>
            </w:r>
          </w:p>
        </w:tc>
      </w:tr>
      <w:tr w:rsidR="00E41A00" w:rsidRPr="00D37B23" w14:paraId="7AA43772" w14:textId="77777777" w:rsidTr="00836552">
        <w:trPr>
          <w:cantSplit/>
          <w:trHeight w:val="729"/>
          <w:tblHeader/>
        </w:trPr>
        <w:tc>
          <w:tcPr>
            <w:tcW w:w="4678" w:type="dxa"/>
            <w:shd w:val="clear" w:color="auto" w:fill="auto"/>
          </w:tcPr>
          <w:p w14:paraId="14ACC124" w14:textId="77777777" w:rsidR="00E41A00" w:rsidRPr="00D37B23" w:rsidRDefault="00E41A00" w:rsidP="00D37B23">
            <w:pPr>
              <w:spacing w:after="0" w:line="280" w:lineRule="atLeast"/>
              <w:rPr>
                <w:rFonts w:cs="Arial"/>
                <w:color w:val="000000"/>
                <w:sz w:val="22"/>
                <w:szCs w:val="22"/>
              </w:rPr>
            </w:pPr>
            <w:r w:rsidRPr="00D37B23">
              <w:rPr>
                <w:rFonts w:cs="Arial"/>
                <w:color w:val="000000" w:themeColor="text1"/>
                <w:sz w:val="22"/>
                <w:szCs w:val="22"/>
              </w:rPr>
              <w:t xml:space="preserve">Less: revenue received from </w:t>
            </w:r>
            <w:r w:rsidRPr="00D37B23">
              <w:rPr>
                <w:rFonts w:cs="Arial"/>
                <w:sz w:val="22"/>
                <w:szCs w:val="22"/>
              </w:rPr>
              <w:t>activities delivered on a fee-for-service basis (see Attachment A: Telecommunications activities not included in the ACLC)</w:t>
            </w:r>
          </w:p>
        </w:tc>
        <w:tc>
          <w:tcPr>
            <w:tcW w:w="1559" w:type="dxa"/>
            <w:shd w:val="clear" w:color="auto" w:fill="auto"/>
            <w:vAlign w:val="center"/>
          </w:tcPr>
          <w:p w14:paraId="427A4D3B" w14:textId="77777777" w:rsidR="00E41A00" w:rsidRPr="00D37B23" w:rsidRDefault="00E41A00" w:rsidP="00D37B23">
            <w:pPr>
              <w:spacing w:after="0" w:line="280" w:lineRule="atLeast"/>
              <w:jc w:val="right"/>
              <w:rPr>
                <w:rFonts w:cs="Arial"/>
                <w:color w:val="000000"/>
                <w:sz w:val="22"/>
                <w:szCs w:val="22"/>
                <w:highlight w:val="yellow"/>
              </w:rPr>
            </w:pPr>
            <w:r w:rsidRPr="00D37B23">
              <w:rPr>
                <w:rFonts w:cs="Arial"/>
                <w:color w:val="000000"/>
                <w:sz w:val="22"/>
                <w:szCs w:val="22"/>
              </w:rPr>
              <w:t>$220,203</w:t>
            </w:r>
          </w:p>
        </w:tc>
        <w:tc>
          <w:tcPr>
            <w:tcW w:w="1578" w:type="dxa"/>
            <w:shd w:val="clear" w:color="auto" w:fill="auto"/>
            <w:vAlign w:val="center"/>
          </w:tcPr>
          <w:p w14:paraId="68F1B163" w14:textId="77777777" w:rsidR="00E41A00" w:rsidRPr="00D37B23" w:rsidRDefault="00E41A00" w:rsidP="00D37B23">
            <w:pPr>
              <w:spacing w:after="0" w:line="280" w:lineRule="atLeast"/>
              <w:jc w:val="right"/>
              <w:rPr>
                <w:rFonts w:cs="Arial"/>
                <w:color w:val="000000"/>
                <w:sz w:val="22"/>
                <w:szCs w:val="22"/>
              </w:rPr>
            </w:pPr>
            <w:r w:rsidRPr="00D37B23">
              <w:rPr>
                <w:rFonts w:cs="Arial"/>
                <w:color w:val="000000"/>
                <w:sz w:val="22"/>
                <w:szCs w:val="22"/>
              </w:rPr>
              <w:t>$137,260</w:t>
            </w:r>
          </w:p>
        </w:tc>
        <w:tc>
          <w:tcPr>
            <w:tcW w:w="1399" w:type="dxa"/>
            <w:shd w:val="clear" w:color="auto" w:fill="auto"/>
            <w:vAlign w:val="center"/>
          </w:tcPr>
          <w:p w14:paraId="1B2F24D1" w14:textId="77777777" w:rsidR="00E41A00" w:rsidRPr="00D37B23" w:rsidRDefault="00E41A00" w:rsidP="00D37B23">
            <w:pPr>
              <w:spacing w:after="0" w:line="280" w:lineRule="atLeast"/>
              <w:jc w:val="right"/>
              <w:rPr>
                <w:rFonts w:cs="Arial"/>
                <w:color w:val="000000"/>
                <w:sz w:val="22"/>
                <w:szCs w:val="22"/>
              </w:rPr>
            </w:pPr>
            <w:r w:rsidRPr="00D37B23">
              <w:rPr>
                <w:rFonts w:cs="Arial"/>
                <w:sz w:val="22"/>
                <w:szCs w:val="22"/>
              </w:rPr>
              <w:t>60%</w:t>
            </w:r>
          </w:p>
        </w:tc>
      </w:tr>
      <w:tr w:rsidR="00E41A00" w:rsidRPr="00D37B23" w14:paraId="4071FACA" w14:textId="77777777" w:rsidTr="00836552">
        <w:trPr>
          <w:cantSplit/>
          <w:trHeight w:val="246"/>
          <w:tblHeader/>
        </w:trPr>
        <w:tc>
          <w:tcPr>
            <w:tcW w:w="4678" w:type="dxa"/>
            <w:shd w:val="clear" w:color="auto" w:fill="D9D9D9" w:themeFill="background1" w:themeFillShade="D9"/>
          </w:tcPr>
          <w:p w14:paraId="08F0023C" w14:textId="77777777" w:rsidR="00E41A00" w:rsidRPr="00D37B23" w:rsidRDefault="00E41A00" w:rsidP="00D37B23">
            <w:pPr>
              <w:spacing w:after="0" w:line="280" w:lineRule="atLeast"/>
              <w:rPr>
                <w:rFonts w:cs="Arial"/>
                <w:b/>
                <w:bCs/>
                <w:color w:val="000000"/>
                <w:sz w:val="22"/>
                <w:szCs w:val="22"/>
              </w:rPr>
            </w:pPr>
            <w:r w:rsidRPr="00D37B23">
              <w:rPr>
                <w:rFonts w:cs="Arial"/>
                <w:b/>
                <w:bCs/>
                <w:color w:val="000000"/>
                <w:sz w:val="22"/>
                <w:szCs w:val="22"/>
              </w:rPr>
              <w:t>Total costs for ACLC</w:t>
            </w:r>
          </w:p>
        </w:tc>
        <w:tc>
          <w:tcPr>
            <w:tcW w:w="1559" w:type="dxa"/>
            <w:shd w:val="clear" w:color="auto" w:fill="D9D9D9" w:themeFill="background1" w:themeFillShade="D9"/>
            <w:vAlign w:val="center"/>
          </w:tcPr>
          <w:p w14:paraId="7A9267F9" w14:textId="77777777" w:rsidR="00E41A00" w:rsidRPr="00D37B23" w:rsidRDefault="00E41A00" w:rsidP="00D37B23">
            <w:pPr>
              <w:spacing w:after="0" w:line="280" w:lineRule="atLeast"/>
              <w:jc w:val="right"/>
              <w:rPr>
                <w:rFonts w:cs="Arial"/>
                <w:b/>
                <w:color w:val="000000"/>
                <w:sz w:val="22"/>
                <w:szCs w:val="22"/>
                <w:highlight w:val="yellow"/>
              </w:rPr>
            </w:pPr>
            <w:r w:rsidRPr="00D37B23">
              <w:rPr>
                <w:rFonts w:cs="Arial"/>
                <w:b/>
                <w:color w:val="000000"/>
                <w:sz w:val="22"/>
                <w:szCs w:val="22"/>
              </w:rPr>
              <w:t>$13,640,608</w:t>
            </w:r>
          </w:p>
        </w:tc>
        <w:tc>
          <w:tcPr>
            <w:tcW w:w="1578" w:type="dxa"/>
            <w:shd w:val="clear" w:color="auto" w:fill="D9D9D9" w:themeFill="background1" w:themeFillShade="D9"/>
            <w:vAlign w:val="center"/>
          </w:tcPr>
          <w:p w14:paraId="5DABB3CA" w14:textId="77777777" w:rsidR="00E41A00" w:rsidRPr="00D37B23" w:rsidRDefault="00E41A00" w:rsidP="00D37B23">
            <w:pPr>
              <w:spacing w:after="0" w:line="280" w:lineRule="atLeast"/>
              <w:jc w:val="right"/>
              <w:rPr>
                <w:rFonts w:cs="Arial"/>
                <w:b/>
                <w:color w:val="000000"/>
                <w:sz w:val="22"/>
                <w:szCs w:val="22"/>
              </w:rPr>
            </w:pPr>
            <w:r w:rsidRPr="00D37B23">
              <w:rPr>
                <w:rFonts w:cs="Arial"/>
                <w:b/>
                <w:color w:val="000000"/>
                <w:sz w:val="22"/>
                <w:szCs w:val="22"/>
              </w:rPr>
              <w:t>$12,918,435</w:t>
            </w:r>
          </w:p>
        </w:tc>
        <w:tc>
          <w:tcPr>
            <w:tcW w:w="1399" w:type="dxa"/>
            <w:shd w:val="clear" w:color="auto" w:fill="D9D9D9" w:themeFill="background1" w:themeFillShade="D9"/>
            <w:vAlign w:val="center"/>
          </w:tcPr>
          <w:p w14:paraId="1F1D41CC" w14:textId="77777777" w:rsidR="00E41A00" w:rsidRPr="00D37B23" w:rsidRDefault="00E41A00" w:rsidP="00D37B23">
            <w:pPr>
              <w:spacing w:after="0" w:line="280" w:lineRule="atLeast"/>
              <w:jc w:val="right"/>
              <w:rPr>
                <w:rFonts w:cs="Arial"/>
                <w:b/>
                <w:bCs/>
                <w:color w:val="000000"/>
                <w:sz w:val="22"/>
                <w:szCs w:val="22"/>
              </w:rPr>
            </w:pPr>
            <w:r w:rsidRPr="00D37B23">
              <w:rPr>
                <w:rFonts w:cs="Arial"/>
                <w:b/>
                <w:bCs/>
                <w:sz w:val="22"/>
                <w:szCs w:val="22"/>
              </w:rPr>
              <w:t>6%</w:t>
            </w:r>
          </w:p>
        </w:tc>
      </w:tr>
    </w:tbl>
    <w:p w14:paraId="6FAEDC64" w14:textId="77777777" w:rsidR="00E41A00" w:rsidRDefault="00E41A00" w:rsidP="00E41A00">
      <w:pPr>
        <w:pStyle w:val="Tableorfigurenote"/>
      </w:pPr>
      <w:r w:rsidRPr="001C6738">
        <w:t>Note: Sums may not add due to rounding</w:t>
      </w:r>
    </w:p>
    <w:p w14:paraId="2249CD55" w14:textId="77777777" w:rsidR="00E41A00" w:rsidRPr="00AE6A60" w:rsidRDefault="00E41A00" w:rsidP="00D37B23">
      <w:pPr>
        <w:pStyle w:val="Paragraph"/>
      </w:pPr>
      <w:r w:rsidRPr="00AE6A60">
        <w:t xml:space="preserve">The ACMA’s costs take all productivity gains and operational savings into account, including an efficiency dividend </w:t>
      </w:r>
      <w:r>
        <w:t xml:space="preserve">due to </w:t>
      </w:r>
      <w:r w:rsidRPr="00AE6A60">
        <w:t xml:space="preserve">the efficient use of resources. </w:t>
      </w:r>
    </w:p>
    <w:p w14:paraId="04570A07" w14:textId="77777777" w:rsidR="00E41A00" w:rsidRPr="002D6FB0" w:rsidRDefault="00E41A00" w:rsidP="00D37B23">
      <w:pPr>
        <w:pStyle w:val="Heading4"/>
      </w:pPr>
      <w:r w:rsidRPr="002D6FB0">
        <w:t xml:space="preserve">Independent </w:t>
      </w:r>
      <w:r>
        <w:t>r</w:t>
      </w:r>
      <w:r w:rsidRPr="002D6FB0">
        <w:t xml:space="preserve">eview of </w:t>
      </w:r>
      <w:r>
        <w:t xml:space="preserve">the </w:t>
      </w:r>
      <w:r w:rsidRPr="002D6FB0">
        <w:t xml:space="preserve">ACMA’s costs </w:t>
      </w:r>
    </w:p>
    <w:p w14:paraId="1A286159" w14:textId="1D9DC14D" w:rsidR="00E41A00" w:rsidRPr="00AE6A60" w:rsidRDefault="00E41A00" w:rsidP="00D37B23">
      <w:pPr>
        <w:pStyle w:val="Paragraph"/>
      </w:pPr>
      <w:r>
        <w:t>The ACMA procured an independent audit of the 2023</w:t>
      </w:r>
      <w:r w:rsidR="00E01726">
        <w:t>–</w:t>
      </w:r>
      <w:r>
        <w:t>24 ACLC costs.</w:t>
      </w:r>
      <w:r w:rsidRPr="00056987">
        <w:t xml:space="preserve"> </w:t>
      </w:r>
      <w:r>
        <w:t>It</w:t>
      </w:r>
      <w:r w:rsidRPr="00056987">
        <w:t xml:space="preserve"> found the ACMA Activity Based Management (ABM) model used to calculate the ACMA ACLC component employed a sound methodology, and no issues were identified with the accuracy of the input data. </w:t>
      </w:r>
    </w:p>
    <w:p w14:paraId="1A2B4CA8" w14:textId="77777777" w:rsidR="00E41A00" w:rsidRPr="001C4F84" w:rsidRDefault="00E41A00" w:rsidP="00E41A00">
      <w:pPr>
        <w:pStyle w:val="Heading2"/>
      </w:pPr>
      <w:bookmarkStart w:id="118" w:name="_Toc417990949"/>
      <w:bookmarkStart w:id="119" w:name="_Toc511634391"/>
      <w:bookmarkStart w:id="120" w:name="_Toc67042580"/>
      <w:bookmarkStart w:id="121" w:name="_Toc108599215"/>
      <w:bookmarkStart w:id="122" w:name="_Toc121920493"/>
      <w:bookmarkStart w:id="123" w:name="_Toc149735449"/>
      <w:bookmarkStart w:id="124" w:name="_Hlk98508017"/>
      <w:bookmarkStart w:id="125" w:name="_Toc175123930"/>
      <w:r w:rsidRPr="001C4F84">
        <w:t>3.2</w:t>
      </w:r>
      <w:r w:rsidRPr="001C4F84">
        <w:tab/>
        <w:t xml:space="preserve">Determination of cost component for the ACCC’s </w:t>
      </w:r>
      <w:bookmarkEnd w:id="118"/>
      <w:r w:rsidRPr="001C4F84">
        <w:t>activity</w:t>
      </w:r>
      <w:bookmarkEnd w:id="119"/>
      <w:bookmarkEnd w:id="120"/>
      <w:bookmarkEnd w:id="121"/>
      <w:bookmarkEnd w:id="122"/>
      <w:bookmarkEnd w:id="123"/>
      <w:bookmarkEnd w:id="125"/>
    </w:p>
    <w:p w14:paraId="0A287ACA" w14:textId="77777777" w:rsidR="00E41A00" w:rsidRPr="00AE6A60" w:rsidRDefault="00E41A00" w:rsidP="00D37B23">
      <w:pPr>
        <w:pStyle w:val="Paragraph"/>
      </w:pPr>
      <w:bookmarkStart w:id="126" w:name="_Hlk10636742"/>
      <w:r w:rsidRPr="00AE6A60">
        <w:t xml:space="preserve">Under paragraph 15(1)(b) of the Act, </w:t>
      </w:r>
      <w:r>
        <w:t xml:space="preserve">for the 2023–24 ACLC, </w:t>
      </w:r>
      <w:r w:rsidRPr="00AE6A60">
        <w:t xml:space="preserve">the ACCC must determine the proportion of its costs incurred during </w:t>
      </w:r>
      <w:r>
        <w:t>2022–23</w:t>
      </w:r>
      <w:r w:rsidRPr="00AE6A60">
        <w:t xml:space="preserve"> attributable to its telecommunications functions and powers. </w:t>
      </w:r>
      <w:bookmarkStart w:id="127" w:name="_Hlk10714984"/>
      <w:r w:rsidRPr="00AE6A60">
        <w:t>Accordingly</w:t>
      </w:r>
      <w:bookmarkStart w:id="128" w:name="_Hlk10540423"/>
      <w:r w:rsidRPr="00AE6A60">
        <w:t xml:space="preserve">, the information in this section has been provided by the ACCC </w:t>
      </w:r>
      <w:r>
        <w:t xml:space="preserve">and </w:t>
      </w:r>
      <w:r w:rsidRPr="00AE6A60">
        <w:t>set</w:t>
      </w:r>
      <w:r>
        <w:t>s</w:t>
      </w:r>
      <w:r w:rsidRPr="00AE6A60">
        <w:t xml:space="preserve"> out the cost</w:t>
      </w:r>
      <w:r>
        <w:t>-</w:t>
      </w:r>
      <w:r w:rsidRPr="00AE6A60">
        <w:t>recovery model it has used to determine the costs.</w:t>
      </w:r>
      <w:bookmarkEnd w:id="127"/>
      <w:bookmarkEnd w:id="128"/>
    </w:p>
    <w:p w14:paraId="4DFB3BDF" w14:textId="77777777" w:rsidR="00E41A00" w:rsidRPr="00AE6A60" w:rsidRDefault="00E41A00" w:rsidP="00836552">
      <w:pPr>
        <w:pStyle w:val="Heading3"/>
        <w:keepLines/>
        <w:spacing w:before="240" w:after="80" w:line="240" w:lineRule="auto"/>
        <w:contextualSpacing/>
      </w:pPr>
      <w:bookmarkStart w:id="129" w:name="_Toc417990950"/>
      <w:bookmarkStart w:id="130" w:name="_Toc511634392"/>
      <w:bookmarkStart w:id="131" w:name="_Toc67042581"/>
      <w:bookmarkStart w:id="132" w:name="_Toc108599216"/>
      <w:bookmarkEnd w:id="126"/>
      <w:r w:rsidRPr="00AE6A60">
        <w:lastRenderedPageBreak/>
        <w:t>3.2.1</w:t>
      </w:r>
      <w:r w:rsidRPr="00AE6A60">
        <w:tab/>
        <w:t>Outputs and business processes of the activity</w:t>
      </w:r>
      <w:bookmarkEnd w:id="129"/>
      <w:bookmarkEnd w:id="130"/>
      <w:bookmarkEnd w:id="131"/>
      <w:bookmarkEnd w:id="132"/>
    </w:p>
    <w:p w14:paraId="3A34C576" w14:textId="77777777" w:rsidR="00E41A00" w:rsidRPr="00AE6A60" w:rsidRDefault="00E41A00" w:rsidP="00836552">
      <w:pPr>
        <w:pStyle w:val="Paragraphbeforelist"/>
        <w:keepNext/>
        <w:keepLines/>
        <w:rPr>
          <w:lang w:eastAsia="en-US"/>
        </w:rPr>
      </w:pPr>
      <w:r w:rsidRPr="00AE6A60">
        <w:rPr>
          <w:lang w:eastAsia="en-US"/>
        </w:rPr>
        <w:t xml:space="preserve">Part XIC of the Competition and Consumer Act contains the framework for the economic regulation of the communications industry. The </w:t>
      </w:r>
      <w:r w:rsidRPr="00EF7D4C">
        <w:rPr>
          <w:lang w:eastAsia="en-US"/>
        </w:rPr>
        <w:t>ACCC</w:t>
      </w:r>
      <w:r w:rsidRPr="00AE6A60">
        <w:rPr>
          <w:lang w:eastAsia="en-US"/>
        </w:rPr>
        <w:t xml:space="preserve"> is responsible for:</w:t>
      </w:r>
    </w:p>
    <w:p w14:paraId="1588057A" w14:textId="77777777" w:rsidR="00E41A00" w:rsidRPr="00AE6A60" w:rsidRDefault="00E41A00" w:rsidP="00836552">
      <w:pPr>
        <w:pStyle w:val="Bulletlevel1"/>
        <w:keepNext/>
        <w:keepLines/>
        <w:rPr>
          <w:rFonts w:eastAsia="SimSun"/>
          <w:lang w:eastAsia="en-US"/>
        </w:rPr>
      </w:pPr>
      <w:r w:rsidRPr="00AE6A60">
        <w:rPr>
          <w:rFonts w:eastAsia="SimSun"/>
          <w:lang w:eastAsia="en-US"/>
        </w:rPr>
        <w:t>conducting inquiries into which communications services should be regulated</w:t>
      </w:r>
    </w:p>
    <w:p w14:paraId="1E46E959" w14:textId="77777777" w:rsidR="00E41A00" w:rsidRPr="00AE6A60" w:rsidRDefault="00E41A00" w:rsidP="00836552">
      <w:pPr>
        <w:pStyle w:val="Bulletlevel1"/>
        <w:keepNext/>
        <w:keepLines/>
        <w:rPr>
          <w:rFonts w:eastAsia="SimSun"/>
          <w:lang w:eastAsia="en-US"/>
        </w:rPr>
      </w:pPr>
      <w:r w:rsidRPr="00AE6A60">
        <w:rPr>
          <w:rFonts w:eastAsia="SimSun"/>
          <w:lang w:eastAsia="en-US"/>
        </w:rPr>
        <w:t>conducting inquiries into the making of access determinations for regulated services that will contain price (or a method of ascertaining price) and non-price terms and conditions of access</w:t>
      </w:r>
    </w:p>
    <w:p w14:paraId="2172AE83" w14:textId="77777777" w:rsidR="00E41A00" w:rsidRPr="00AE6A60" w:rsidRDefault="00E41A00" w:rsidP="00882E54">
      <w:pPr>
        <w:pStyle w:val="Bulletlevel1"/>
        <w:rPr>
          <w:rFonts w:eastAsia="SimSun"/>
          <w:lang w:eastAsia="en-US"/>
        </w:rPr>
      </w:pPr>
      <w:r w:rsidRPr="00AE6A60">
        <w:rPr>
          <w:rFonts w:eastAsia="SimSun"/>
          <w:lang w:eastAsia="en-US"/>
        </w:rPr>
        <w:t>making binding rules of conduct (if needed) to address specific competition issues</w:t>
      </w:r>
    </w:p>
    <w:p w14:paraId="479D8D63" w14:textId="77777777" w:rsidR="00E41A00" w:rsidRPr="00AE6A60" w:rsidRDefault="00E41A00" w:rsidP="00882E54">
      <w:pPr>
        <w:pStyle w:val="Bulletlevel1"/>
        <w:rPr>
          <w:rFonts w:eastAsia="SimSun"/>
          <w:lang w:eastAsia="en-US"/>
        </w:rPr>
      </w:pPr>
      <w:r w:rsidRPr="00AE6A60">
        <w:rPr>
          <w:rFonts w:eastAsia="SimSun"/>
          <w:lang w:eastAsia="en-US"/>
        </w:rPr>
        <w:t>investigating allegations of access providers failing to comply with the standard access obligations and/or non-discrimination obligations in the Competition and Consumer Act</w:t>
      </w:r>
    </w:p>
    <w:p w14:paraId="0245F8D8" w14:textId="77777777" w:rsidR="00E41A00" w:rsidRPr="00AE6A60" w:rsidRDefault="00E41A00" w:rsidP="00882E54">
      <w:pPr>
        <w:pStyle w:val="Bulletlevel1last"/>
        <w:rPr>
          <w:rFonts w:eastAsia="SimSun"/>
          <w:lang w:eastAsia="en-US"/>
        </w:rPr>
      </w:pPr>
      <w:r w:rsidRPr="00AE6A60">
        <w:rPr>
          <w:rFonts w:eastAsia="SimSun"/>
          <w:lang w:eastAsia="en-US"/>
        </w:rPr>
        <w:t xml:space="preserve">assessing special </w:t>
      </w:r>
      <w:r w:rsidRPr="00AE6A60">
        <w:rPr>
          <w:rFonts w:eastAsia="SimSun"/>
        </w:rPr>
        <w:t>access</w:t>
      </w:r>
      <w:r w:rsidRPr="00AE6A60">
        <w:rPr>
          <w:rFonts w:eastAsia="SimSun"/>
          <w:lang w:eastAsia="en-US"/>
        </w:rPr>
        <w:t xml:space="preserve"> undertakings (SAUs), which if accepted by the ACCC, will provide terms and conditions for access to regulated services. </w:t>
      </w:r>
    </w:p>
    <w:p w14:paraId="51681CD5" w14:textId="77777777" w:rsidR="00E41A00" w:rsidRPr="00AE6A60" w:rsidRDefault="00E41A00" w:rsidP="00882E54">
      <w:pPr>
        <w:pStyle w:val="Paragraph"/>
        <w:rPr>
          <w:lang w:eastAsia="en-US"/>
        </w:rPr>
      </w:pPr>
      <w:r w:rsidRPr="00AE6A60">
        <w:rPr>
          <w:lang w:eastAsia="en-US"/>
        </w:rPr>
        <w:t>Part XIB of the Competition and Consumer Act</w:t>
      </w:r>
      <w:r w:rsidRPr="00AE6A60">
        <w:rPr>
          <w:i/>
          <w:lang w:eastAsia="en-US"/>
        </w:rPr>
        <w:t xml:space="preserve"> </w:t>
      </w:r>
      <w:r w:rsidRPr="00AE6A60">
        <w:rPr>
          <w:lang w:eastAsia="en-US"/>
        </w:rPr>
        <w:t xml:space="preserve">enables a quick response to instances of anti-competitive conduct in the communications industry and allows the ACCC to impose specific information-gathering obligations on </w:t>
      </w:r>
      <w:r w:rsidRPr="00882E54">
        <w:t>industry</w:t>
      </w:r>
      <w:r w:rsidRPr="00AE6A60">
        <w:rPr>
          <w:lang w:eastAsia="en-US"/>
        </w:rPr>
        <w:t xml:space="preserve"> participants to assist with the ACCC’s administration and enforcement of the Competition and Consumer Act. </w:t>
      </w:r>
    </w:p>
    <w:p w14:paraId="2226F139" w14:textId="77777777" w:rsidR="00E41A00" w:rsidRPr="00AE6A60" w:rsidRDefault="00E41A00" w:rsidP="00882E54">
      <w:pPr>
        <w:pStyle w:val="Paragraphbeforelist"/>
        <w:rPr>
          <w:lang w:eastAsia="en-US"/>
        </w:rPr>
      </w:pPr>
      <w:r w:rsidRPr="00AE6A60">
        <w:rPr>
          <w:lang w:eastAsia="en-US"/>
        </w:rPr>
        <w:t>The ACCC’s responsibilities under Part XIB include:</w:t>
      </w:r>
    </w:p>
    <w:p w14:paraId="4B00DA05" w14:textId="77777777" w:rsidR="00E41A00" w:rsidRPr="00882E54" w:rsidRDefault="00E41A00" w:rsidP="00882E54">
      <w:pPr>
        <w:pStyle w:val="Bulletlevel1"/>
        <w:rPr>
          <w:rFonts w:eastAsia="SimSun"/>
        </w:rPr>
      </w:pPr>
      <w:r w:rsidRPr="00882E54">
        <w:rPr>
          <w:rFonts w:eastAsia="SimSun"/>
        </w:rPr>
        <w:t>investigating allegations of anti-competitive conduct</w:t>
      </w:r>
    </w:p>
    <w:p w14:paraId="7AB8C223" w14:textId="77777777" w:rsidR="00E41A00" w:rsidRPr="00882E54" w:rsidRDefault="00E41A00" w:rsidP="00882E54">
      <w:pPr>
        <w:pStyle w:val="Bulletlevel1"/>
        <w:rPr>
          <w:rFonts w:eastAsia="SimSun"/>
        </w:rPr>
      </w:pPr>
      <w:r w:rsidRPr="00882E54">
        <w:rPr>
          <w:rFonts w:eastAsia="SimSun"/>
        </w:rPr>
        <w:t>considering exemption applications for anti-competitive conduct</w:t>
      </w:r>
    </w:p>
    <w:p w14:paraId="1CFCAE21" w14:textId="77777777" w:rsidR="00E41A00" w:rsidRPr="00AE6A60" w:rsidRDefault="00E41A00" w:rsidP="00882E54">
      <w:pPr>
        <w:pStyle w:val="Bulletlevel1"/>
        <w:rPr>
          <w:rFonts w:eastAsia="SimSun"/>
          <w:lang w:eastAsia="en-US"/>
        </w:rPr>
      </w:pPr>
      <w:r w:rsidRPr="00882E54">
        <w:rPr>
          <w:rFonts w:eastAsia="SimSun"/>
        </w:rPr>
        <w:t>reporting as part</w:t>
      </w:r>
      <w:r w:rsidRPr="00AE6A60">
        <w:rPr>
          <w:rFonts w:eastAsia="SimSun"/>
          <w:lang w:eastAsia="en-US"/>
        </w:rPr>
        <w:t xml:space="preserve"> of the mandatory and discretionary reporting requirements</w:t>
      </w:r>
    </w:p>
    <w:p w14:paraId="24B0F3BE" w14:textId="77777777" w:rsidR="00E41A00" w:rsidRPr="006B0192" w:rsidRDefault="00E41A00" w:rsidP="00882E54">
      <w:pPr>
        <w:pStyle w:val="Bulletlevel1last"/>
        <w:rPr>
          <w:rFonts w:eastAsia="SimSun"/>
          <w:lang w:eastAsia="en-US"/>
        </w:rPr>
      </w:pPr>
      <w:r w:rsidRPr="00AE6A60">
        <w:rPr>
          <w:rFonts w:eastAsia="SimSun"/>
        </w:rPr>
        <w:t>monitoring industry</w:t>
      </w:r>
      <w:r w:rsidRPr="00AE6A60">
        <w:rPr>
          <w:rFonts w:eastAsia="SimSun"/>
          <w:lang w:eastAsia="en-US"/>
        </w:rPr>
        <w:t xml:space="preserve">, including the NBN Wholesale Indicators Report, </w:t>
      </w:r>
      <w:r>
        <w:rPr>
          <w:rFonts w:eastAsia="SimSun"/>
          <w:lang w:eastAsia="en-US"/>
        </w:rPr>
        <w:t xml:space="preserve">Internet Activity Report, Mobile </w:t>
      </w:r>
      <w:r w:rsidRPr="00882E54">
        <w:rPr>
          <w:rFonts w:eastAsia="SimSun"/>
        </w:rPr>
        <w:t>Infrastructure</w:t>
      </w:r>
      <w:r>
        <w:rPr>
          <w:rFonts w:eastAsia="SimSun"/>
          <w:lang w:eastAsia="en-US"/>
        </w:rPr>
        <w:t xml:space="preserve"> Report,</w:t>
      </w:r>
      <w:r w:rsidRPr="00AE6A60">
        <w:rPr>
          <w:rFonts w:eastAsia="SimSun"/>
          <w:lang w:eastAsia="en-US"/>
        </w:rPr>
        <w:t xml:space="preserve"> </w:t>
      </w:r>
      <w:r>
        <w:rPr>
          <w:rFonts w:eastAsia="SimSun"/>
          <w:lang w:eastAsia="en-US"/>
        </w:rPr>
        <w:t xml:space="preserve">Communications Market </w:t>
      </w:r>
      <w:proofErr w:type="gramStart"/>
      <w:r>
        <w:rPr>
          <w:rFonts w:eastAsia="SimSun"/>
          <w:lang w:eastAsia="en-US"/>
        </w:rPr>
        <w:t>Report</w:t>
      </w:r>
      <w:proofErr w:type="gramEnd"/>
      <w:r>
        <w:rPr>
          <w:rFonts w:eastAsia="SimSun"/>
          <w:lang w:eastAsia="en-US"/>
        </w:rPr>
        <w:t xml:space="preserve"> and </w:t>
      </w:r>
      <w:r w:rsidRPr="00AE6A60">
        <w:rPr>
          <w:rFonts w:eastAsia="SimSun"/>
          <w:lang w:eastAsia="en-US"/>
        </w:rPr>
        <w:t>the Telstra Customer Access Network snapshot</w:t>
      </w:r>
      <w:r w:rsidRPr="00AE6A60" w:rsidDel="00B07443">
        <w:rPr>
          <w:rFonts w:eastAsia="SimSun"/>
          <w:lang w:eastAsia="en-US"/>
        </w:rPr>
        <w:t>.</w:t>
      </w:r>
    </w:p>
    <w:p w14:paraId="33838C00" w14:textId="77777777" w:rsidR="00E41A00" w:rsidRDefault="00E41A00" w:rsidP="00E41A00">
      <w:pPr>
        <w:pStyle w:val="Paragraphbeforelist"/>
        <w:rPr>
          <w:iCs/>
          <w:szCs w:val="20"/>
          <w:lang w:eastAsia="en-US"/>
        </w:rPr>
      </w:pPr>
      <w:r w:rsidRPr="00A342D7">
        <w:rPr>
          <w:lang w:eastAsia="en-US"/>
        </w:rPr>
        <w:t>The ACCC also has responsibilities under the Telco Act for facilities access and structural</w:t>
      </w:r>
      <w:r w:rsidRPr="00AE6A60">
        <w:rPr>
          <w:iCs/>
          <w:szCs w:val="20"/>
          <w:lang w:eastAsia="en-US"/>
        </w:rPr>
        <w:t xml:space="preserve"> reform. Th</w:t>
      </w:r>
      <w:r>
        <w:rPr>
          <w:iCs/>
          <w:szCs w:val="20"/>
          <w:lang w:eastAsia="en-US"/>
        </w:rPr>
        <w:t>e</w:t>
      </w:r>
      <w:r w:rsidRPr="00AE6A60">
        <w:rPr>
          <w:iCs/>
          <w:szCs w:val="20"/>
          <w:lang w:eastAsia="en-US"/>
        </w:rPr>
        <w:t>s</w:t>
      </w:r>
      <w:r>
        <w:rPr>
          <w:iCs/>
          <w:szCs w:val="20"/>
          <w:lang w:eastAsia="en-US"/>
        </w:rPr>
        <w:t>e</w:t>
      </w:r>
      <w:r w:rsidRPr="00AE6A60">
        <w:rPr>
          <w:iCs/>
          <w:szCs w:val="20"/>
          <w:lang w:eastAsia="en-US"/>
        </w:rPr>
        <w:t xml:space="preserve"> </w:t>
      </w:r>
      <w:r w:rsidRPr="00882E54">
        <w:rPr>
          <w:lang w:eastAsia="en-US"/>
        </w:rPr>
        <w:t>include</w:t>
      </w:r>
      <w:r>
        <w:rPr>
          <w:iCs/>
          <w:szCs w:val="20"/>
          <w:lang w:eastAsia="en-US"/>
        </w:rPr>
        <w:t>:</w:t>
      </w:r>
    </w:p>
    <w:p w14:paraId="589EBCE2" w14:textId="77777777" w:rsidR="00E41A00" w:rsidRPr="00A04C4B" w:rsidRDefault="00E41A00" w:rsidP="00882E54">
      <w:pPr>
        <w:pStyle w:val="Bulletlevel1"/>
        <w:rPr>
          <w:rFonts w:eastAsia="SimSun"/>
          <w:lang w:eastAsia="en-US"/>
        </w:rPr>
      </w:pPr>
      <w:r w:rsidRPr="00A04C4B">
        <w:rPr>
          <w:rFonts w:eastAsia="SimSun"/>
          <w:lang w:eastAsia="en-US"/>
        </w:rPr>
        <w:t xml:space="preserve">monitoring Telstra’s compliance with its </w:t>
      </w:r>
      <w:r w:rsidRPr="00EF7D4C">
        <w:rPr>
          <w:rFonts w:eastAsia="SimSun"/>
          <w:lang w:eastAsia="en-US"/>
        </w:rPr>
        <w:t>structural separation undertaking (SSU)</w:t>
      </w:r>
      <w:r w:rsidRPr="00A04C4B">
        <w:rPr>
          <w:rFonts w:eastAsia="SimSun"/>
          <w:lang w:eastAsia="en-US"/>
        </w:rPr>
        <w:t xml:space="preserve"> and planning for migrating legacy copper and </w:t>
      </w:r>
      <w:r w:rsidRPr="00F861D1">
        <w:rPr>
          <w:rFonts w:eastAsia="SimSun"/>
          <w:lang w:eastAsia="en-US"/>
        </w:rPr>
        <w:t>hybrid fibre coaxial</w:t>
      </w:r>
      <w:r>
        <w:rPr>
          <w:rFonts w:eastAsia="SimSun"/>
          <w:lang w:eastAsia="en-US"/>
        </w:rPr>
        <w:t xml:space="preserve"> (</w:t>
      </w:r>
      <w:r w:rsidRPr="00A04C4B">
        <w:rPr>
          <w:rFonts w:eastAsia="SimSun"/>
          <w:lang w:eastAsia="en-US"/>
        </w:rPr>
        <w:t>HFC</w:t>
      </w:r>
      <w:r>
        <w:rPr>
          <w:rFonts w:eastAsia="SimSun"/>
          <w:lang w:eastAsia="en-US"/>
        </w:rPr>
        <w:t>)</w:t>
      </w:r>
      <w:r w:rsidRPr="00A04C4B">
        <w:rPr>
          <w:rFonts w:eastAsia="SimSun"/>
          <w:lang w:eastAsia="en-US"/>
        </w:rPr>
        <w:t xml:space="preserve"> services to the NBN</w:t>
      </w:r>
    </w:p>
    <w:p w14:paraId="5CC0FE9F" w14:textId="77777777" w:rsidR="00E41A00" w:rsidRPr="00A04C4B" w:rsidRDefault="00E41A00" w:rsidP="00882E54">
      <w:pPr>
        <w:pStyle w:val="Bulletlevel1last"/>
        <w:rPr>
          <w:rFonts w:eastAsia="SimSun"/>
        </w:rPr>
      </w:pPr>
      <w:r w:rsidRPr="00A04C4B">
        <w:rPr>
          <w:rFonts w:eastAsia="SimSun"/>
        </w:rPr>
        <w:t>overseeing the carrier separation rules in Part 8, including compliance with functional separation undertakings and the non-discrimination obligations.</w:t>
      </w:r>
    </w:p>
    <w:p w14:paraId="72F4EF67" w14:textId="77777777" w:rsidR="00E41A00" w:rsidRPr="006B0192" w:rsidRDefault="00E41A00" w:rsidP="00E41A00">
      <w:pPr>
        <w:pStyle w:val="Paragraph"/>
        <w:rPr>
          <w:rFonts w:eastAsia="SimSun"/>
        </w:rPr>
      </w:pPr>
      <w:r>
        <w:rPr>
          <w:rFonts w:eastAsia="SimSun"/>
        </w:rPr>
        <w:t xml:space="preserve">The ACCC also has a role under the </w:t>
      </w:r>
      <w:r w:rsidRPr="006659B0">
        <w:rPr>
          <w:rFonts w:eastAsia="SimSun"/>
          <w:i/>
          <w:iCs/>
        </w:rPr>
        <w:t>Radiocommunications Act 1992</w:t>
      </w:r>
      <w:r>
        <w:rPr>
          <w:rFonts w:eastAsia="SimSun"/>
        </w:rPr>
        <w:t xml:space="preserve"> regarding access to digital radiocommunications facilities and to provide advice to the ACMA on matters regarding allocation limits for allocations of spectrum when requested.</w:t>
      </w:r>
    </w:p>
    <w:p w14:paraId="399133DC" w14:textId="2A137259" w:rsidR="00E41A00" w:rsidRPr="005D6830" w:rsidRDefault="00E41A00" w:rsidP="00E41A00">
      <w:pPr>
        <w:pStyle w:val="Paragraphbeforelist"/>
        <w:rPr>
          <w:lang w:eastAsia="en-US"/>
        </w:rPr>
      </w:pPr>
      <w:r w:rsidRPr="005D6830">
        <w:rPr>
          <w:lang w:eastAsia="en-US"/>
        </w:rPr>
        <w:t xml:space="preserve">As well as the ACCC’s specific statutory obligations, it also has resources </w:t>
      </w:r>
      <w:r w:rsidRPr="009D30E4">
        <w:rPr>
          <w:lang w:eastAsia="en-US"/>
        </w:rPr>
        <w:t>dedicated</w:t>
      </w:r>
      <w:r w:rsidRPr="005D6830">
        <w:rPr>
          <w:lang w:eastAsia="en-US"/>
        </w:rPr>
        <w:t xml:space="preserve"> to:</w:t>
      </w:r>
    </w:p>
    <w:p w14:paraId="127F5910" w14:textId="77777777" w:rsidR="00E41A00" w:rsidRPr="00882E54" w:rsidRDefault="00E41A00" w:rsidP="00882E54">
      <w:pPr>
        <w:pStyle w:val="Bulletlevel1"/>
        <w:rPr>
          <w:rFonts w:eastAsia="SimSun"/>
        </w:rPr>
      </w:pPr>
      <w:r w:rsidRPr="00AE6A60">
        <w:rPr>
          <w:rFonts w:eastAsia="SimSun"/>
          <w:lang w:eastAsia="en-US"/>
        </w:rPr>
        <w:t xml:space="preserve">conducting market and competition analysis and investigations (especially under Part IV of </w:t>
      </w:r>
      <w:r w:rsidRPr="00882E54">
        <w:rPr>
          <w:rFonts w:eastAsia="SimSun"/>
        </w:rPr>
        <w:t>the Competition and Consumer Act) for content, media and application services delivered over communications networks</w:t>
      </w:r>
    </w:p>
    <w:p w14:paraId="3A8881FF" w14:textId="77777777" w:rsidR="00E41A00" w:rsidRPr="00882E54" w:rsidRDefault="00E41A00" w:rsidP="00882E54">
      <w:pPr>
        <w:pStyle w:val="Bulletlevel1"/>
        <w:rPr>
          <w:rFonts w:eastAsia="SimSun"/>
        </w:rPr>
      </w:pPr>
      <w:r w:rsidRPr="00882E54">
        <w:rPr>
          <w:rFonts w:eastAsia="SimSun"/>
        </w:rPr>
        <w:t>considering engineering issues relevant to its statutory role in the communications sector</w:t>
      </w:r>
    </w:p>
    <w:p w14:paraId="21EFDC8B" w14:textId="77777777" w:rsidR="00E41A00" w:rsidRPr="00882E54" w:rsidRDefault="00E41A00" w:rsidP="00882E54">
      <w:pPr>
        <w:pStyle w:val="Bulletlevel1"/>
        <w:rPr>
          <w:rFonts w:eastAsia="SimSun"/>
        </w:rPr>
      </w:pPr>
      <w:r w:rsidRPr="00882E54">
        <w:rPr>
          <w:rFonts w:eastAsia="SimSun"/>
        </w:rPr>
        <w:t>advising other areas of the ACCC in the context of mergers, competition exemptions and enforcement activities</w:t>
      </w:r>
    </w:p>
    <w:p w14:paraId="09EC9039" w14:textId="77777777" w:rsidR="00E41A00" w:rsidRPr="00882E54" w:rsidRDefault="00E41A00" w:rsidP="00882E54">
      <w:pPr>
        <w:pStyle w:val="Bulletlevel1"/>
        <w:rPr>
          <w:rFonts w:eastAsia="SimSun"/>
        </w:rPr>
      </w:pPr>
      <w:r w:rsidRPr="00882E54">
        <w:rPr>
          <w:rFonts w:eastAsia="SimSun"/>
        </w:rPr>
        <w:t>formulating briefing material and submissions to major government reviews, such as inquiries regarding the NBN, senate estimates,</w:t>
      </w:r>
      <w:r w:rsidRPr="00882E54" w:rsidDel="00854B58">
        <w:rPr>
          <w:rFonts w:eastAsia="SimSun"/>
        </w:rPr>
        <w:t xml:space="preserve"> </w:t>
      </w:r>
      <w:r w:rsidRPr="00882E54">
        <w:rPr>
          <w:rFonts w:eastAsia="SimSun"/>
        </w:rPr>
        <w:t xml:space="preserve">the regional telecommunications </w:t>
      </w:r>
      <w:proofErr w:type="gramStart"/>
      <w:r w:rsidRPr="00882E54">
        <w:rPr>
          <w:rFonts w:eastAsia="SimSun"/>
        </w:rPr>
        <w:t>reviews</w:t>
      </w:r>
      <w:proofErr w:type="gramEnd"/>
      <w:r w:rsidRPr="00882E54">
        <w:rPr>
          <w:rFonts w:eastAsia="SimSun"/>
        </w:rPr>
        <w:t xml:space="preserve"> and other public inquiries</w:t>
      </w:r>
    </w:p>
    <w:p w14:paraId="5365985F" w14:textId="77777777" w:rsidR="00E41A00" w:rsidRPr="00AE6A60" w:rsidRDefault="00E41A00" w:rsidP="00882E54">
      <w:pPr>
        <w:pStyle w:val="Bulletlevel1"/>
        <w:rPr>
          <w:rFonts w:eastAsia="SimSun"/>
          <w:lang w:eastAsia="en-US"/>
        </w:rPr>
      </w:pPr>
      <w:r w:rsidRPr="00882E54">
        <w:rPr>
          <w:rFonts w:eastAsia="SimSun"/>
        </w:rPr>
        <w:lastRenderedPageBreak/>
        <w:t>providing</w:t>
      </w:r>
      <w:r w:rsidRPr="00AE6A60">
        <w:rPr>
          <w:rFonts w:eastAsia="SimSun"/>
          <w:lang w:eastAsia="en-US"/>
        </w:rPr>
        <w:t xml:space="preserve"> industry guidance where appropriate to improve the operation of markets</w:t>
      </w:r>
    </w:p>
    <w:p w14:paraId="7B936128" w14:textId="77777777" w:rsidR="00E41A00" w:rsidRPr="00AE6A60" w:rsidRDefault="00E41A00" w:rsidP="00882E54">
      <w:pPr>
        <w:pStyle w:val="Bulletlevel1last"/>
        <w:rPr>
          <w:rFonts w:eastAsia="SimSun"/>
          <w:lang w:eastAsia="en-US"/>
        </w:rPr>
      </w:pPr>
      <w:r w:rsidRPr="00AE6A60">
        <w:rPr>
          <w:rFonts w:eastAsia="SimSun"/>
          <w:lang w:eastAsia="en-US"/>
        </w:rPr>
        <w:t>drafting speeches and public presentations for commissioners and senior managers.</w:t>
      </w:r>
    </w:p>
    <w:p w14:paraId="600323E8" w14:textId="77777777" w:rsidR="00E41A00" w:rsidRPr="00AE6A60" w:rsidRDefault="00E41A00" w:rsidP="00882E54">
      <w:pPr>
        <w:pStyle w:val="Paragraph"/>
        <w:rPr>
          <w:lang w:eastAsia="en-US"/>
        </w:rPr>
      </w:pPr>
      <w:r w:rsidRPr="00AE6A60">
        <w:rPr>
          <w:lang w:eastAsia="en-US"/>
        </w:rPr>
        <w:t xml:space="preserve">The key communications outputs are </w:t>
      </w:r>
      <w:r w:rsidRPr="00882E54">
        <w:t>outlined</w:t>
      </w:r>
      <w:r w:rsidRPr="00AE6A60">
        <w:rPr>
          <w:lang w:eastAsia="en-US"/>
        </w:rPr>
        <w:t xml:space="preserve"> below.</w:t>
      </w:r>
    </w:p>
    <w:p w14:paraId="7385562B" w14:textId="77777777" w:rsidR="00E41A00" w:rsidRPr="00AE6A60" w:rsidRDefault="00E41A00" w:rsidP="00882E54">
      <w:pPr>
        <w:pStyle w:val="Heading4"/>
        <w:rPr>
          <w:lang w:eastAsia="en-US"/>
        </w:rPr>
      </w:pPr>
      <w:r w:rsidRPr="00AE6A60">
        <w:rPr>
          <w:lang w:eastAsia="en-US"/>
        </w:rPr>
        <w:t>Communications markets and advocacy</w:t>
      </w:r>
    </w:p>
    <w:p w14:paraId="5D47961F" w14:textId="77777777" w:rsidR="00E41A00" w:rsidRPr="00E10C47" w:rsidRDefault="00E41A00" w:rsidP="00882E54">
      <w:pPr>
        <w:pStyle w:val="Bulletlevel1"/>
        <w:rPr>
          <w:rFonts w:eastAsia="SimSun"/>
          <w:lang w:eastAsia="en-US"/>
        </w:rPr>
      </w:pPr>
      <w:r>
        <w:rPr>
          <w:rFonts w:eastAsia="SimSun"/>
          <w:lang w:eastAsia="en-US"/>
        </w:rPr>
        <w:t>R</w:t>
      </w:r>
      <w:r w:rsidRPr="00E10C47">
        <w:rPr>
          <w:rFonts w:eastAsia="SimSun"/>
          <w:lang w:eastAsia="en-US"/>
        </w:rPr>
        <w:t>eleas</w:t>
      </w:r>
      <w:r>
        <w:rPr>
          <w:rFonts w:eastAsia="SimSun"/>
          <w:lang w:eastAsia="en-US"/>
        </w:rPr>
        <w:t xml:space="preserve">ing </w:t>
      </w:r>
      <w:r w:rsidRPr="00E10C47">
        <w:rPr>
          <w:rFonts w:eastAsia="SimSun"/>
          <w:lang w:eastAsia="en-US"/>
        </w:rPr>
        <w:t xml:space="preserve">reports </w:t>
      </w:r>
      <w:r w:rsidRPr="00882E54">
        <w:rPr>
          <w:rFonts w:eastAsia="SimSun"/>
        </w:rPr>
        <w:t>on</w:t>
      </w:r>
      <w:r w:rsidRPr="00E10C47">
        <w:rPr>
          <w:rFonts w:eastAsia="SimSun"/>
          <w:lang w:eastAsia="en-US"/>
        </w:rPr>
        <w:t xml:space="preserve"> broadband performance data (from March 2018) under the ACCC’s </w:t>
      </w:r>
      <w:r>
        <w:rPr>
          <w:rFonts w:eastAsia="SimSun"/>
          <w:lang w:eastAsia="en-US"/>
        </w:rPr>
        <w:t>Measuring Broadband Australia</w:t>
      </w:r>
      <w:r w:rsidRPr="002B3A2A">
        <w:rPr>
          <w:rFonts w:eastAsia="SimSun"/>
          <w:lang w:eastAsia="en-US"/>
        </w:rPr>
        <w:t xml:space="preserve"> </w:t>
      </w:r>
      <w:r w:rsidRPr="00E10C47">
        <w:rPr>
          <w:rFonts w:eastAsia="SimSun"/>
          <w:lang w:eastAsia="en-US"/>
        </w:rPr>
        <w:t>program.</w:t>
      </w:r>
    </w:p>
    <w:p w14:paraId="0AED5B1C" w14:textId="77777777" w:rsidR="00E01726" w:rsidRPr="00836552" w:rsidRDefault="00E41A00" w:rsidP="00882E54">
      <w:pPr>
        <w:pStyle w:val="Bulletlevel1"/>
        <w:rPr>
          <w:rFonts w:eastAsia="SimSun"/>
          <w:lang w:eastAsia="en-US"/>
        </w:rPr>
      </w:pPr>
      <w:r w:rsidRPr="00882E54">
        <w:rPr>
          <w:rFonts w:eastAsia="SimSun"/>
        </w:rPr>
        <w:t>Promoting</w:t>
      </w:r>
      <w:r>
        <w:rPr>
          <w:rFonts w:eastAsia="SimSun"/>
          <w:lang w:eastAsia="en-US"/>
        </w:rPr>
        <w:t xml:space="preserve"> industry adoption of the </w:t>
      </w:r>
      <w:r w:rsidRPr="006915EE">
        <w:rPr>
          <w:rFonts w:eastAsia="SimSun"/>
          <w:i/>
          <w:iCs/>
        </w:rPr>
        <w:t>Broadband</w:t>
      </w:r>
      <w:r w:rsidRPr="007C7AA7">
        <w:rPr>
          <w:rFonts w:eastAsia="SimSun"/>
          <w:i/>
          <w:iCs/>
          <w:lang w:eastAsia="en-US"/>
        </w:rPr>
        <w:t xml:space="preserve"> speed claims: Industry guidance</w:t>
      </w:r>
      <w:r>
        <w:rPr>
          <w:rFonts w:eastAsia="SimSun"/>
          <w:i/>
          <w:iCs/>
          <w:lang w:eastAsia="en-US"/>
        </w:rPr>
        <w:t xml:space="preserve"> </w:t>
      </w:r>
    </w:p>
    <w:p w14:paraId="1E570FAF" w14:textId="19952D08" w:rsidR="00E41A00" w:rsidRPr="00920B84" w:rsidRDefault="00E41A00" w:rsidP="00882E54">
      <w:pPr>
        <w:pStyle w:val="Bulletlevel1"/>
        <w:rPr>
          <w:rFonts w:eastAsia="SimSun"/>
          <w:lang w:eastAsia="en-US"/>
        </w:rPr>
      </w:pPr>
      <w:r w:rsidRPr="00920B84">
        <w:rPr>
          <w:rFonts w:eastAsia="SimSun"/>
          <w:lang w:eastAsia="en-US"/>
        </w:rPr>
        <w:t xml:space="preserve">Issuing </w:t>
      </w:r>
      <w:r>
        <w:rPr>
          <w:rFonts w:eastAsia="SimSun"/>
          <w:lang w:eastAsia="en-US"/>
        </w:rPr>
        <w:t xml:space="preserve">a </w:t>
      </w:r>
      <w:r w:rsidRPr="00920B84">
        <w:rPr>
          <w:rFonts w:eastAsia="SimSun"/>
          <w:lang w:eastAsia="en-US"/>
        </w:rPr>
        <w:t>final determination on the NBN Co SAU annual revenue determination (Long Term Revenue Constraint Methodology Determination)</w:t>
      </w:r>
      <w:r>
        <w:rPr>
          <w:rFonts w:eastAsia="SimSun"/>
          <w:lang w:eastAsia="en-US"/>
        </w:rPr>
        <w:t xml:space="preserve"> and price compliance</w:t>
      </w:r>
      <w:r w:rsidRPr="00920B84">
        <w:rPr>
          <w:rFonts w:eastAsia="SimSun"/>
          <w:lang w:eastAsia="en-US"/>
        </w:rPr>
        <w:t xml:space="preserve">. </w:t>
      </w:r>
    </w:p>
    <w:p w14:paraId="0D01800C" w14:textId="77777777" w:rsidR="00E41A00" w:rsidRPr="00882E54" w:rsidRDefault="00E41A00" w:rsidP="00882E54">
      <w:pPr>
        <w:pStyle w:val="Bulletlevel1"/>
        <w:rPr>
          <w:rFonts w:eastAsia="SimSun"/>
        </w:rPr>
      </w:pPr>
      <w:r w:rsidRPr="00882E54">
        <w:rPr>
          <w:rFonts w:eastAsia="SimSun"/>
        </w:rPr>
        <w:t>Assessing a variation to the section 87B undertaking given to the ACCC by Telstra Corporation Limited and NBN Co Limited in relation to the Definitive Agreements to ensure the continued application of the undertaking following changes to Telstra’s corporate structure.</w:t>
      </w:r>
    </w:p>
    <w:p w14:paraId="0D9A0D2D" w14:textId="77777777" w:rsidR="00E41A00" w:rsidRPr="00882E54" w:rsidRDefault="00E41A00" w:rsidP="00882E54">
      <w:pPr>
        <w:pStyle w:val="Bulletlevel1"/>
        <w:rPr>
          <w:rStyle w:val="Hyperlink"/>
          <w:rFonts w:eastAsia="SimSun"/>
          <w:color w:val="auto"/>
          <w:u w:val="none"/>
        </w:rPr>
      </w:pPr>
      <w:r w:rsidRPr="00882E54">
        <w:rPr>
          <w:rFonts w:eastAsia="SimSun"/>
        </w:rPr>
        <w:t xml:space="preserve">Participating in </w:t>
      </w:r>
      <w:proofErr w:type="gramStart"/>
      <w:r w:rsidRPr="00882E54">
        <w:rPr>
          <w:rFonts w:eastAsia="SimSun"/>
        </w:rPr>
        <w:t>a number of</w:t>
      </w:r>
      <w:proofErr w:type="gramEnd"/>
      <w:r w:rsidRPr="00882E54">
        <w:rPr>
          <w:rFonts w:eastAsia="SimSun"/>
        </w:rPr>
        <w:t xml:space="preserve"> industry-led working groups and forums with important implications for competition and consumer outcomes. </w:t>
      </w:r>
    </w:p>
    <w:p w14:paraId="69F82F64" w14:textId="77777777" w:rsidR="00E41A00" w:rsidRPr="00882E54" w:rsidRDefault="00E41A00" w:rsidP="00882E54">
      <w:pPr>
        <w:pStyle w:val="Bulletlevel1"/>
        <w:rPr>
          <w:rFonts w:eastAsia="SimSun"/>
        </w:rPr>
      </w:pPr>
      <w:r w:rsidRPr="00882E54">
        <w:rPr>
          <w:rFonts w:eastAsia="SimSun"/>
        </w:rPr>
        <w:t>Finalising industry guidance on the carrier separation obligations under Part 8 of the Telco Act and undertaking related compliance and education activities.</w:t>
      </w:r>
    </w:p>
    <w:p w14:paraId="713F0A6F" w14:textId="77777777" w:rsidR="00E41A00" w:rsidRPr="00882E54" w:rsidRDefault="00E41A00" w:rsidP="00882E54">
      <w:pPr>
        <w:pStyle w:val="Bulletlevel1"/>
        <w:rPr>
          <w:rFonts w:eastAsia="SimSun"/>
        </w:rPr>
      </w:pPr>
      <w:r w:rsidRPr="00882E54">
        <w:rPr>
          <w:rFonts w:eastAsia="SimSun"/>
        </w:rPr>
        <w:t xml:space="preserve">Consulting on a standard functional separation undertaking from </w:t>
      </w:r>
      <w:proofErr w:type="spellStart"/>
      <w:r w:rsidRPr="00882E54">
        <w:rPr>
          <w:rFonts w:eastAsia="SimSun"/>
        </w:rPr>
        <w:t>MyPort</w:t>
      </w:r>
      <w:proofErr w:type="spellEnd"/>
      <w:r w:rsidRPr="00882E54">
        <w:rPr>
          <w:rFonts w:eastAsia="SimSun"/>
        </w:rPr>
        <w:t xml:space="preserve"> Pty Ltd (trading as </w:t>
      </w:r>
      <w:proofErr w:type="spellStart"/>
      <w:r w:rsidRPr="00882E54">
        <w:rPr>
          <w:rFonts w:eastAsia="SimSun"/>
        </w:rPr>
        <w:t>Gigafy</w:t>
      </w:r>
      <w:proofErr w:type="spellEnd"/>
      <w:r w:rsidRPr="00882E54">
        <w:rPr>
          <w:rFonts w:eastAsia="SimSun"/>
        </w:rPr>
        <w:t>).</w:t>
      </w:r>
    </w:p>
    <w:p w14:paraId="1A802EE0" w14:textId="61F8CB37" w:rsidR="00E41A00" w:rsidRPr="00882E54" w:rsidRDefault="00E41A00" w:rsidP="00882E54">
      <w:pPr>
        <w:pStyle w:val="Bulletlevel1"/>
        <w:rPr>
          <w:rFonts w:eastAsia="SimSun"/>
        </w:rPr>
      </w:pPr>
      <w:r w:rsidRPr="00882E54">
        <w:rPr>
          <w:rFonts w:eastAsia="SimSun"/>
        </w:rPr>
        <w:t xml:space="preserve">Participating in Comms Alliance Working Groups on reforming </w:t>
      </w:r>
      <w:proofErr w:type="gramStart"/>
      <w:r w:rsidRPr="00882E54">
        <w:rPr>
          <w:rFonts w:eastAsia="SimSun"/>
        </w:rPr>
        <w:t>a number of</w:t>
      </w:r>
      <w:proofErr w:type="gramEnd"/>
      <w:r w:rsidRPr="00882E54">
        <w:rPr>
          <w:rFonts w:eastAsia="SimSun"/>
        </w:rPr>
        <w:t xml:space="preserve"> Industry Codes.</w:t>
      </w:r>
    </w:p>
    <w:p w14:paraId="4293063D" w14:textId="77777777" w:rsidR="00E41A00" w:rsidRPr="00882E54" w:rsidRDefault="00E41A00" w:rsidP="00882E54">
      <w:pPr>
        <w:pStyle w:val="Bulletlevel1"/>
        <w:rPr>
          <w:rFonts w:eastAsia="SimSun"/>
        </w:rPr>
      </w:pPr>
      <w:r w:rsidRPr="00882E54">
        <w:rPr>
          <w:rFonts w:eastAsia="SimSun"/>
        </w:rPr>
        <w:t xml:space="preserve">Consulting on NBN Co’s proposed variations to its special access undertaking lodged in March and November 2022. </w:t>
      </w:r>
    </w:p>
    <w:p w14:paraId="1D633B36" w14:textId="77777777" w:rsidR="00E41A00" w:rsidRPr="00882E54" w:rsidRDefault="00E41A00" w:rsidP="00882E54">
      <w:pPr>
        <w:pStyle w:val="Bulletlevel1"/>
        <w:rPr>
          <w:rFonts w:eastAsia="SimSun"/>
        </w:rPr>
      </w:pPr>
      <w:r w:rsidRPr="00882E54">
        <w:rPr>
          <w:rFonts w:eastAsia="SimSun"/>
        </w:rPr>
        <w:t>Issuing a draft decision to reject NBN Co’s November 2022 special access undertaking variation proposal.</w:t>
      </w:r>
    </w:p>
    <w:p w14:paraId="02E3536C" w14:textId="308E53FD" w:rsidR="00E41A00" w:rsidRPr="00882E54" w:rsidRDefault="00E41A00" w:rsidP="00882E54">
      <w:pPr>
        <w:pStyle w:val="Bulletlevel1"/>
        <w:rPr>
          <w:rFonts w:eastAsia="SimSun"/>
        </w:rPr>
      </w:pPr>
      <w:bookmarkStart w:id="133" w:name="_Hlk161408983"/>
      <w:r w:rsidRPr="00882E54">
        <w:rPr>
          <w:rFonts w:eastAsia="SimSun"/>
        </w:rPr>
        <w:t>Consulting on service quality and network performance record keeping rules for NBN Co</w:t>
      </w:r>
      <w:r w:rsidR="000677AE">
        <w:rPr>
          <w:rFonts w:eastAsia="SimSun"/>
        </w:rPr>
        <w:t>.</w:t>
      </w:r>
    </w:p>
    <w:bookmarkEnd w:id="133"/>
    <w:p w14:paraId="660410AD" w14:textId="5485D0A3" w:rsidR="00E41A00" w:rsidRPr="00420CCA" w:rsidRDefault="00E41A00" w:rsidP="00882E54">
      <w:pPr>
        <w:pStyle w:val="Bulletlevel1"/>
        <w:rPr>
          <w:rFonts w:eastAsia="SimSun"/>
        </w:rPr>
      </w:pPr>
      <w:proofErr w:type="gramStart"/>
      <w:r w:rsidRPr="00882E54">
        <w:rPr>
          <w:rFonts w:eastAsia="SimSun"/>
        </w:rPr>
        <w:t>Providing assistance</w:t>
      </w:r>
      <w:proofErr w:type="gramEnd"/>
      <w:r w:rsidRPr="00882E54">
        <w:rPr>
          <w:rFonts w:eastAsia="SimSun"/>
        </w:rPr>
        <w:t xml:space="preserve"> and advice to other areas of the ACCC in relation to enforcement activities, mergers and authorisation applications, including an application from Telstra Corporation Limited, Telstra Limited and NBN Co for authorisation to amend the Definitive Agreements</w:t>
      </w:r>
      <w:r w:rsidRPr="00420CCA">
        <w:rPr>
          <w:rFonts w:eastAsia="SimSun"/>
        </w:rPr>
        <w:t xml:space="preserve"> following a legal restructure to the Telstra Group</w:t>
      </w:r>
      <w:r w:rsidR="000677AE">
        <w:rPr>
          <w:rFonts w:eastAsia="SimSun"/>
        </w:rPr>
        <w:t>.</w:t>
      </w:r>
    </w:p>
    <w:p w14:paraId="4500B0C4" w14:textId="58D18705" w:rsidR="00E41A00" w:rsidRPr="008F7127" w:rsidRDefault="00E41A00" w:rsidP="00882E54">
      <w:pPr>
        <w:pStyle w:val="Bulletlevel1last"/>
        <w:rPr>
          <w:rFonts w:eastAsia="SimSun"/>
          <w:lang w:eastAsia="en-US"/>
        </w:rPr>
      </w:pPr>
      <w:r>
        <w:t>Progressing a public inquiry on a final access determination for the Superfast broadband access services (</w:t>
      </w:r>
      <w:r w:rsidRPr="00D8313D">
        <w:t>SBAS</w:t>
      </w:r>
      <w:r>
        <w:t>)</w:t>
      </w:r>
      <w:r w:rsidR="000677AE">
        <w:t>.</w:t>
      </w:r>
    </w:p>
    <w:p w14:paraId="468A199B" w14:textId="77777777" w:rsidR="00E41A00" w:rsidRPr="00882E54" w:rsidRDefault="00E41A00" w:rsidP="00882E54">
      <w:pPr>
        <w:pStyle w:val="Heading4"/>
        <w:rPr>
          <w:lang w:eastAsia="en-US"/>
        </w:rPr>
      </w:pPr>
      <w:r w:rsidRPr="00882E54">
        <w:rPr>
          <w:lang w:eastAsia="en-US"/>
        </w:rPr>
        <w:t xml:space="preserve">Mobiles, </w:t>
      </w:r>
      <w:proofErr w:type="gramStart"/>
      <w:r w:rsidRPr="00882E54">
        <w:rPr>
          <w:lang w:eastAsia="en-US"/>
        </w:rPr>
        <w:t>transmission</w:t>
      </w:r>
      <w:proofErr w:type="gramEnd"/>
      <w:r w:rsidRPr="00882E54">
        <w:rPr>
          <w:lang w:eastAsia="en-US"/>
        </w:rPr>
        <w:t xml:space="preserve"> and consumer (including NBN)</w:t>
      </w:r>
    </w:p>
    <w:p w14:paraId="3B05374F" w14:textId="77777777" w:rsidR="00E41A00" w:rsidRDefault="00E41A00" w:rsidP="00882E54">
      <w:pPr>
        <w:pStyle w:val="Bulletlevel1"/>
        <w:rPr>
          <w:rFonts w:eastAsia="SimSun"/>
          <w:lang w:eastAsia="en-US"/>
        </w:rPr>
      </w:pPr>
      <w:r w:rsidRPr="006B4840">
        <w:rPr>
          <w:rFonts w:eastAsia="SimSun"/>
          <w:lang w:eastAsia="en-US"/>
        </w:rPr>
        <w:t xml:space="preserve">Providing </w:t>
      </w:r>
      <w:r w:rsidRPr="00882E54">
        <w:rPr>
          <w:rFonts w:eastAsia="SimSun"/>
        </w:rPr>
        <w:t>advice</w:t>
      </w:r>
      <w:r w:rsidRPr="006B4840">
        <w:rPr>
          <w:rFonts w:eastAsia="SimSun"/>
          <w:lang w:eastAsia="en-US"/>
        </w:rPr>
        <w:t xml:space="preserve"> to other areas on matters such as mergers or authorisation </w:t>
      </w:r>
      <w:r w:rsidRPr="00E10C47">
        <w:rPr>
          <w:rFonts w:eastAsia="SimSun"/>
          <w:lang w:eastAsia="en-US"/>
        </w:rPr>
        <w:t xml:space="preserve">applications </w:t>
      </w:r>
      <w:r>
        <w:rPr>
          <w:rFonts w:eastAsia="SimSun"/>
          <w:lang w:eastAsia="en-US"/>
        </w:rPr>
        <w:t xml:space="preserve">and enforcement activities, including:  </w:t>
      </w:r>
    </w:p>
    <w:p w14:paraId="5227B008" w14:textId="77777777" w:rsidR="00E41A00" w:rsidRPr="008F7127" w:rsidRDefault="00E41A00" w:rsidP="00882E54">
      <w:pPr>
        <w:pStyle w:val="Bulletlevel2"/>
        <w:rPr>
          <w:rFonts w:eastAsia="SimSun"/>
        </w:rPr>
      </w:pPr>
      <w:r w:rsidRPr="008F7127">
        <w:rPr>
          <w:rFonts w:eastAsia="SimSun"/>
        </w:rPr>
        <w:t>a merger authorisation application for Telstra Corporation Limited to use spectrum held by TPG Telecom Limited, which is deemed to be an acquisition for the purposes of section 50 of the</w:t>
      </w:r>
      <w:r>
        <w:rPr>
          <w:rFonts w:eastAsia="SimSun"/>
        </w:rPr>
        <w:t xml:space="preserve"> Competition and Consumer Act</w:t>
      </w:r>
      <w:r>
        <w:rPr>
          <w:rFonts w:eastAsia="SimSun"/>
          <w:i/>
          <w:iCs/>
        </w:rPr>
        <w:t>.</w:t>
      </w:r>
    </w:p>
    <w:p w14:paraId="5799170B" w14:textId="77777777" w:rsidR="00E41A00" w:rsidRDefault="00E41A00" w:rsidP="00882E54">
      <w:pPr>
        <w:pStyle w:val="Bulletlevel1"/>
        <w:rPr>
          <w:rFonts w:eastAsia="SimSun"/>
          <w:lang w:eastAsia="en-US"/>
        </w:rPr>
      </w:pPr>
      <w:r w:rsidRPr="00E10C47">
        <w:rPr>
          <w:rFonts w:eastAsia="SimSun"/>
          <w:lang w:eastAsia="en-US"/>
        </w:rPr>
        <w:t xml:space="preserve">Providing advice to ministers, other government agencies and departments on request </w:t>
      </w:r>
      <w:r w:rsidRPr="00E10C47">
        <w:t xml:space="preserve">on various market developments, statements of intent and </w:t>
      </w:r>
      <w:r w:rsidRPr="00E10C47">
        <w:rPr>
          <w:rFonts w:eastAsia="SimSun"/>
          <w:lang w:eastAsia="en-US"/>
        </w:rPr>
        <w:t>on spectrum allocation limits</w:t>
      </w:r>
      <w:r>
        <w:rPr>
          <w:rFonts w:eastAsia="SimSun"/>
          <w:lang w:eastAsia="en-US"/>
        </w:rPr>
        <w:t>,</w:t>
      </w:r>
      <w:r w:rsidRPr="00E10C47">
        <w:rPr>
          <w:rFonts w:eastAsia="SimSun"/>
          <w:lang w:eastAsia="en-US"/>
        </w:rPr>
        <w:t xml:space="preserve"> </w:t>
      </w:r>
      <w:r w:rsidRPr="00E10C47">
        <w:t>including conducting public consultation</w:t>
      </w:r>
      <w:r>
        <w:t>:</w:t>
      </w:r>
      <w:r>
        <w:rPr>
          <w:rFonts w:eastAsia="SimSun"/>
          <w:lang w:eastAsia="en-US"/>
        </w:rPr>
        <w:t xml:space="preserve"> </w:t>
      </w:r>
    </w:p>
    <w:p w14:paraId="2715EFAB" w14:textId="260E62F5" w:rsidR="00E41A00" w:rsidRPr="004D37D3" w:rsidRDefault="000677AE" w:rsidP="00836552">
      <w:pPr>
        <w:pStyle w:val="Bulletlevel2"/>
        <w:rPr>
          <w:rFonts w:eastAsia="SimSun"/>
          <w:lang w:eastAsia="en-US"/>
        </w:rPr>
      </w:pPr>
      <w:r>
        <w:rPr>
          <w:rFonts w:eastAsia="SimSun"/>
          <w:lang w:eastAsia="en-US"/>
        </w:rPr>
        <w:t>f</w:t>
      </w:r>
      <w:r w:rsidR="00E41A00" w:rsidRPr="009D30E4">
        <w:rPr>
          <w:rFonts w:eastAsia="SimSun"/>
          <w:lang w:eastAsia="en-US"/>
        </w:rPr>
        <w:t>or</w:t>
      </w:r>
      <w:r w:rsidR="00E41A00">
        <w:rPr>
          <w:rFonts w:eastAsia="SimSun"/>
          <w:lang w:eastAsia="en-US"/>
        </w:rPr>
        <w:t xml:space="preserve"> example, the ACCC </w:t>
      </w:r>
      <w:r w:rsidR="00E41A00">
        <w:rPr>
          <w:lang w:eastAsia="en-US"/>
        </w:rPr>
        <w:t>provided advice to the ACMA on allocation limits for the allocation of spectrum licences in the 3.4 GHz and 3.7 GHz bands.</w:t>
      </w:r>
    </w:p>
    <w:p w14:paraId="0F983177" w14:textId="77777777" w:rsidR="00E41A00" w:rsidRDefault="00E41A00" w:rsidP="00882E54">
      <w:pPr>
        <w:pStyle w:val="Bulletlevel1"/>
        <w:rPr>
          <w:rFonts w:eastAsia="SimSun"/>
          <w:lang w:eastAsia="en-US"/>
        </w:rPr>
      </w:pPr>
      <w:r w:rsidRPr="00882E54">
        <w:rPr>
          <w:rFonts w:eastAsia="SimSun"/>
        </w:rPr>
        <w:lastRenderedPageBreak/>
        <w:t>Providing</w:t>
      </w:r>
      <w:r w:rsidRPr="006B4840">
        <w:rPr>
          <w:rFonts w:eastAsia="SimSun"/>
          <w:lang w:eastAsia="en-US"/>
        </w:rPr>
        <w:t xml:space="preserve"> submissions to consultation processes of other government agencies and departments’ policy and regulatory issues</w:t>
      </w:r>
      <w:r>
        <w:rPr>
          <w:rFonts w:eastAsia="SimSun"/>
          <w:lang w:eastAsia="en-US"/>
        </w:rPr>
        <w:t>, such as</w:t>
      </w:r>
    </w:p>
    <w:p w14:paraId="5CAE5A80" w14:textId="0D74016F" w:rsidR="00E41A00" w:rsidRDefault="00E41A00" w:rsidP="00836552">
      <w:pPr>
        <w:pStyle w:val="Bulletlevel2"/>
        <w:rPr>
          <w:rFonts w:eastAsia="SimSun"/>
          <w:lang w:eastAsia="en-US"/>
        </w:rPr>
      </w:pPr>
      <w:r>
        <w:rPr>
          <w:rFonts w:eastAsia="SimSun"/>
          <w:lang w:eastAsia="en-US"/>
        </w:rPr>
        <w:t>Communications Alliance’s review of the Telecommunications Consumer Protection Industry Codes</w:t>
      </w:r>
    </w:p>
    <w:p w14:paraId="27D2CA27" w14:textId="46AA2CF5" w:rsidR="00E41A00" w:rsidRDefault="00E01726" w:rsidP="00836552">
      <w:pPr>
        <w:pStyle w:val="Bulletlevel2"/>
        <w:rPr>
          <w:rFonts w:eastAsia="SimSun"/>
          <w:lang w:eastAsia="en-US"/>
        </w:rPr>
      </w:pPr>
      <w:r>
        <w:rPr>
          <w:rFonts w:eastAsia="SimSun"/>
          <w:lang w:eastAsia="en-US"/>
        </w:rPr>
        <w:t>t</w:t>
      </w:r>
      <w:r w:rsidR="00E41A00">
        <w:rPr>
          <w:rFonts w:eastAsia="SimSun"/>
          <w:lang w:eastAsia="en-US"/>
        </w:rPr>
        <w:t>he House of Representatives Standing Committee on Communications and the Arts’ inquiry on co-investment in multi-carrier regional mobile infrastructure</w:t>
      </w:r>
    </w:p>
    <w:p w14:paraId="5CA1F1FD" w14:textId="098B9DB5" w:rsidR="00E41A00" w:rsidRPr="00EB7134" w:rsidRDefault="000677AE" w:rsidP="00836552">
      <w:pPr>
        <w:pStyle w:val="Bulletlevel2"/>
        <w:rPr>
          <w:rFonts w:eastAsia="SimSun"/>
          <w:lang w:eastAsia="en-US"/>
        </w:rPr>
      </w:pPr>
      <w:r>
        <w:rPr>
          <w:rFonts w:eastAsia="SimSun"/>
          <w:lang w:eastAsia="en-US"/>
        </w:rPr>
        <w:t>t</w:t>
      </w:r>
      <w:r w:rsidR="00E41A00">
        <w:rPr>
          <w:rFonts w:eastAsia="SimSun"/>
          <w:lang w:eastAsia="en-US"/>
        </w:rPr>
        <w:t xml:space="preserve">he Department of Infrastructure, Transport, Regional Development, </w:t>
      </w:r>
      <w:proofErr w:type="gramStart"/>
      <w:r w:rsidR="00E41A00">
        <w:rPr>
          <w:rFonts w:eastAsia="SimSun"/>
          <w:lang w:eastAsia="en-US"/>
        </w:rPr>
        <w:t>Communications</w:t>
      </w:r>
      <w:proofErr w:type="gramEnd"/>
      <w:r w:rsidR="00E41A00">
        <w:rPr>
          <w:rFonts w:eastAsia="SimSun"/>
          <w:lang w:eastAsia="en-US"/>
        </w:rPr>
        <w:t xml:space="preserve"> and the Arts’ thematic review of the Customer Service Guarantee.</w:t>
      </w:r>
    </w:p>
    <w:p w14:paraId="4BCD5D1D" w14:textId="77777777" w:rsidR="00E41A00" w:rsidRPr="00882E54" w:rsidRDefault="00E41A00" w:rsidP="00882E54">
      <w:pPr>
        <w:pStyle w:val="Bulletlevel1"/>
        <w:rPr>
          <w:rFonts w:eastAsia="SimSun"/>
        </w:rPr>
      </w:pPr>
      <w:r w:rsidRPr="00D41371">
        <w:rPr>
          <w:rFonts w:eastAsia="SimSun"/>
          <w:lang w:eastAsia="en-US"/>
        </w:rPr>
        <w:t xml:space="preserve">Issuing the annual telecommunications report, </w:t>
      </w:r>
      <w:r w:rsidRPr="00D41371">
        <w:rPr>
          <w:rFonts w:eastAsia="SimSun"/>
          <w:i/>
          <w:lang w:eastAsia="en-US"/>
        </w:rPr>
        <w:t xml:space="preserve">Communications Market Report </w:t>
      </w:r>
      <w:r w:rsidRPr="00882E54">
        <w:rPr>
          <w:rFonts w:eastAsia="SimSun"/>
        </w:rPr>
        <w:t>(Division 11 and 12 report).</w:t>
      </w:r>
    </w:p>
    <w:p w14:paraId="2079F216" w14:textId="4C2DCF0B" w:rsidR="00E41A00" w:rsidRPr="00882E54" w:rsidRDefault="00E41A00" w:rsidP="00882E54">
      <w:pPr>
        <w:pStyle w:val="Bulletlevel1"/>
        <w:rPr>
          <w:rFonts w:eastAsia="SimSun"/>
        </w:rPr>
      </w:pPr>
      <w:r w:rsidRPr="00882E54">
        <w:rPr>
          <w:rFonts w:eastAsia="SimSun"/>
        </w:rPr>
        <w:t>Conducting the Regional Mobile Infrastructure Report 2022</w:t>
      </w:r>
      <w:r w:rsidR="00E01726">
        <w:t>–</w:t>
      </w:r>
      <w:r w:rsidRPr="00882E54">
        <w:rPr>
          <w:rFonts w:eastAsia="SimSun"/>
        </w:rPr>
        <w:t>23 and preparing a report on the findings to the Minister for Communications</w:t>
      </w:r>
      <w:r w:rsidR="000677AE">
        <w:rPr>
          <w:rFonts w:eastAsia="SimSun"/>
        </w:rPr>
        <w:t>.</w:t>
      </w:r>
      <w:r w:rsidRPr="00882E54">
        <w:rPr>
          <w:rFonts w:eastAsia="SimSun"/>
        </w:rPr>
        <w:t xml:space="preserve"> </w:t>
      </w:r>
    </w:p>
    <w:p w14:paraId="0148F396" w14:textId="4BF4DE98" w:rsidR="00E41A00" w:rsidRPr="00882E54" w:rsidRDefault="00E41A00" w:rsidP="00882E54">
      <w:pPr>
        <w:pStyle w:val="Bulletlevel1"/>
      </w:pPr>
      <w:r w:rsidRPr="00882E54">
        <w:rPr>
          <w:rFonts w:eastAsia="SimSun"/>
        </w:rPr>
        <w:t>Consulting on and updating various record-keeping rules (RKRs), including the Audit of Telecommunications Infrastructure RKR, Internet Activity RKR, Division 12 RKR and NBN Services in Operation RKR, including in response to requests from market participants to reflect new corporate structures</w:t>
      </w:r>
      <w:r w:rsidR="000677AE">
        <w:rPr>
          <w:rFonts w:eastAsia="SimSun"/>
        </w:rPr>
        <w:t>.</w:t>
      </w:r>
    </w:p>
    <w:p w14:paraId="66B580CE" w14:textId="77777777" w:rsidR="00E41A00" w:rsidRPr="00882E54" w:rsidRDefault="00E41A00" w:rsidP="00882E54">
      <w:pPr>
        <w:pStyle w:val="Bulletlevel1"/>
        <w:rPr>
          <w:rFonts w:eastAsia="SimSun"/>
        </w:rPr>
      </w:pPr>
      <w:r w:rsidRPr="00882E54">
        <w:rPr>
          <w:rFonts w:eastAsia="SimSun"/>
        </w:rPr>
        <w:t>Maintaining and collecting data through the Audit of Telecommunications Infrastructure Assets RKR, Telstra Customer Access Network RKR and NBN Services in Operations RKR.</w:t>
      </w:r>
    </w:p>
    <w:p w14:paraId="5C1B4B55" w14:textId="176DA444" w:rsidR="00E41A00" w:rsidRPr="00882E54" w:rsidRDefault="00E41A00" w:rsidP="00882E54">
      <w:pPr>
        <w:pStyle w:val="Bulletlevel1"/>
      </w:pPr>
      <w:r w:rsidRPr="00882E54">
        <w:t>Publishing relevant extracts from the NBN Services in Operations RKR and the Customer Access Network RKR in the quarterly NBN Wholesale Market Indicators Report and Snapshot of the Telstra Customer Access Network; and relevant extracts regarding mobile infrastructure from the Audit of Telecommunications Infrastructure Assets RKR</w:t>
      </w:r>
      <w:r w:rsidR="000677AE">
        <w:t>.</w:t>
      </w:r>
    </w:p>
    <w:p w14:paraId="1E25E1C9" w14:textId="651ECCB3" w:rsidR="00E41A00" w:rsidRPr="00882E54" w:rsidRDefault="00E41A00" w:rsidP="00882E54">
      <w:pPr>
        <w:pStyle w:val="Bulletlevel1"/>
      </w:pPr>
      <w:r w:rsidRPr="00882E54">
        <w:t>Publishing the annual Mobile Infrastructure Report and relevant data</w:t>
      </w:r>
      <w:r w:rsidR="000677AE">
        <w:t>.</w:t>
      </w:r>
    </w:p>
    <w:p w14:paraId="2E5390B2" w14:textId="77777777" w:rsidR="00E41A00" w:rsidRPr="00882E54" w:rsidRDefault="00E41A00" w:rsidP="00882E54">
      <w:pPr>
        <w:pStyle w:val="Bulletlevel1"/>
      </w:pPr>
      <w:r w:rsidRPr="00882E54">
        <w:t>Publishing biannual Internet Activity Reports that provide information on retail services in operations and data downloads across various technologies.</w:t>
      </w:r>
    </w:p>
    <w:p w14:paraId="56E2CABD" w14:textId="77777777" w:rsidR="00E41A00" w:rsidRPr="00882E54" w:rsidRDefault="00E41A00" w:rsidP="00882E54">
      <w:pPr>
        <w:pStyle w:val="Bulletlevel1"/>
        <w:rPr>
          <w:rFonts w:eastAsia="SimSun"/>
        </w:rPr>
      </w:pPr>
      <w:r w:rsidRPr="00882E54">
        <w:rPr>
          <w:rFonts w:eastAsia="SimSun"/>
        </w:rPr>
        <w:t>Consulting and engaging with industry on a range of regulatory matters, including telecommunications consumer issues, industry codes, numbering, consumer issues about NBN migration, and mobiles and transmission markets</w:t>
      </w:r>
      <w:r w:rsidRPr="00882E54">
        <w:t xml:space="preserve"> </w:t>
      </w:r>
      <w:r w:rsidRPr="00882E54">
        <w:rPr>
          <w:rFonts w:eastAsia="SimSun"/>
        </w:rPr>
        <w:t>with special attention to regional and rural areas of Australia.</w:t>
      </w:r>
    </w:p>
    <w:p w14:paraId="558898D7" w14:textId="77777777" w:rsidR="00E41A00" w:rsidRPr="00882E54" w:rsidRDefault="00E41A00" w:rsidP="00882E54">
      <w:pPr>
        <w:pStyle w:val="Bulletlevel1"/>
        <w:rPr>
          <w:rFonts w:eastAsia="SimSun"/>
        </w:rPr>
      </w:pPr>
      <w:r w:rsidRPr="00882E54">
        <w:rPr>
          <w:rFonts w:eastAsia="SimSun"/>
        </w:rPr>
        <w:t>Commencing a public inquiry into the declaration of the domestic transmission capacity service, fixed line services and domestic mobile terminating access service. A discussion paper was also published.</w:t>
      </w:r>
    </w:p>
    <w:p w14:paraId="745C4452" w14:textId="77777777" w:rsidR="00E41A00" w:rsidRPr="00882E54" w:rsidRDefault="00E41A00" w:rsidP="00882E54">
      <w:pPr>
        <w:pStyle w:val="Bulletlevel1"/>
        <w:rPr>
          <w:rFonts w:eastAsia="SimSun"/>
        </w:rPr>
      </w:pPr>
      <w:r w:rsidRPr="00882E54">
        <w:rPr>
          <w:rFonts w:eastAsia="SimSun"/>
        </w:rPr>
        <w:t>Consulting on and varying the final access determinations for the fixed line services to reflect changes in Telstra’s corporate structure.</w:t>
      </w:r>
    </w:p>
    <w:p w14:paraId="12B6044A" w14:textId="28329858" w:rsidR="00E41A00" w:rsidRPr="00882E54" w:rsidRDefault="00E41A00" w:rsidP="00882E54">
      <w:pPr>
        <w:pStyle w:val="Bulletlevel1"/>
        <w:rPr>
          <w:rFonts w:eastAsia="SimSun"/>
        </w:rPr>
      </w:pPr>
      <w:r w:rsidRPr="00882E54">
        <w:t xml:space="preserve">Providing Telstra SSU Annual Compliance Report 2021–22 to the </w:t>
      </w:r>
      <w:r w:rsidR="000677AE">
        <w:t>m</w:t>
      </w:r>
      <w:r w:rsidR="000677AE" w:rsidRPr="00882E54">
        <w:t>inister</w:t>
      </w:r>
      <w:r w:rsidRPr="00882E54">
        <w:t>.</w:t>
      </w:r>
    </w:p>
    <w:p w14:paraId="6BCF4028" w14:textId="77777777" w:rsidR="00E41A00" w:rsidRPr="00D8313D" w:rsidRDefault="00E41A00" w:rsidP="00882E54">
      <w:pPr>
        <w:pStyle w:val="Bulletlevel1"/>
        <w:rPr>
          <w:rFonts w:eastAsia="SimSun"/>
          <w:lang w:eastAsia="en-US"/>
        </w:rPr>
      </w:pPr>
      <w:r w:rsidRPr="00882E54">
        <w:t>Monitoring</w:t>
      </w:r>
      <w:r>
        <w:t xml:space="preserve"> Telstra’s compliance with its</w:t>
      </w:r>
      <w:r w:rsidRPr="00D8313D">
        <w:t xml:space="preserve"> Migration Plan</w:t>
      </w:r>
      <w:r>
        <w:t>.</w:t>
      </w:r>
    </w:p>
    <w:p w14:paraId="08DD1DFE" w14:textId="77777777" w:rsidR="00E41A00" w:rsidRPr="006B0192" w:rsidRDefault="00E41A00" w:rsidP="00882E54">
      <w:pPr>
        <w:pStyle w:val="Bulletlevel1last"/>
        <w:rPr>
          <w:rFonts w:eastAsia="SimSun"/>
          <w:lang w:eastAsia="en-US"/>
        </w:rPr>
      </w:pPr>
      <w:r w:rsidRPr="00D8313D">
        <w:rPr>
          <w:rFonts w:eastAsia="SimSun"/>
          <w:lang w:eastAsia="en-US"/>
        </w:rPr>
        <w:t>Assess</w:t>
      </w:r>
      <w:r>
        <w:rPr>
          <w:rFonts w:eastAsia="SimSun"/>
          <w:lang w:eastAsia="en-US"/>
        </w:rPr>
        <w:t>ing</w:t>
      </w:r>
      <w:r w:rsidRPr="00D8313D">
        <w:rPr>
          <w:rFonts w:eastAsia="SimSun"/>
          <w:lang w:eastAsia="en-US"/>
        </w:rPr>
        <w:t xml:space="preserve"> quarterly </w:t>
      </w:r>
      <w:r w:rsidRPr="00882E54">
        <w:rPr>
          <w:rFonts w:eastAsia="SimSun"/>
        </w:rPr>
        <w:t>information</w:t>
      </w:r>
      <w:r w:rsidRPr="00D8313D">
        <w:rPr>
          <w:rFonts w:eastAsia="SimSun"/>
          <w:lang w:eastAsia="en-US"/>
        </w:rPr>
        <w:t xml:space="preserve"> on access agreements in place for</w:t>
      </w:r>
      <w:r>
        <w:rPr>
          <w:rFonts w:eastAsia="SimSun"/>
          <w:lang w:eastAsia="en-US"/>
        </w:rPr>
        <w:t xml:space="preserve"> declared</w:t>
      </w:r>
      <w:r w:rsidRPr="00D8313D">
        <w:rPr>
          <w:rFonts w:eastAsia="SimSun"/>
          <w:lang w:eastAsia="en-US"/>
        </w:rPr>
        <w:t xml:space="preserve"> communication services</w:t>
      </w:r>
      <w:r>
        <w:rPr>
          <w:rFonts w:eastAsia="SimSun"/>
          <w:lang w:eastAsia="en-US"/>
        </w:rPr>
        <w:t>.</w:t>
      </w:r>
    </w:p>
    <w:p w14:paraId="25D45CA3" w14:textId="77777777" w:rsidR="00E41A00" w:rsidRPr="00AE6A60" w:rsidRDefault="00E41A00" w:rsidP="00882E54">
      <w:pPr>
        <w:pStyle w:val="Heading4"/>
        <w:rPr>
          <w:lang w:eastAsia="en-US"/>
        </w:rPr>
      </w:pPr>
      <w:r w:rsidRPr="00AE6A60">
        <w:rPr>
          <w:lang w:eastAsia="en-US"/>
        </w:rPr>
        <w:t>Other outputs</w:t>
      </w:r>
    </w:p>
    <w:p w14:paraId="5EF29801" w14:textId="77777777" w:rsidR="00E41A00" w:rsidRPr="00AE6A60" w:rsidRDefault="00E41A00" w:rsidP="00882E54">
      <w:pPr>
        <w:pStyle w:val="Paragraph"/>
        <w:rPr>
          <w:rFonts w:eastAsia="SimSun"/>
          <w:lang w:eastAsia="en-US"/>
        </w:rPr>
      </w:pPr>
      <w:r w:rsidRPr="00AE6A60">
        <w:rPr>
          <w:rFonts w:eastAsia="SimSun"/>
          <w:lang w:eastAsia="en-US"/>
        </w:rPr>
        <w:t xml:space="preserve">All other outputs in relation to the ACCC’s telecommunications functions and powers are considered in this category, including strategic liaison and coordination of regulatory affairs.  </w:t>
      </w:r>
    </w:p>
    <w:p w14:paraId="1BBE4072" w14:textId="77777777" w:rsidR="00E41A00" w:rsidRPr="00AE6A60" w:rsidRDefault="00E41A00" w:rsidP="00E41A00">
      <w:pPr>
        <w:pStyle w:val="Heading3"/>
        <w:spacing w:before="240" w:after="80"/>
      </w:pPr>
      <w:bookmarkStart w:id="134" w:name="_Toc67042582"/>
      <w:bookmarkStart w:id="135" w:name="_Toc108599217"/>
      <w:r w:rsidRPr="00AE6A60">
        <w:lastRenderedPageBreak/>
        <w:t>3.2.2</w:t>
      </w:r>
      <w:r w:rsidRPr="00AE6A60">
        <w:tab/>
        <w:t>Costs of the activity</w:t>
      </w:r>
      <w:bookmarkEnd w:id="134"/>
      <w:bookmarkEnd w:id="135"/>
    </w:p>
    <w:p w14:paraId="6CBB2656" w14:textId="77777777" w:rsidR="00E41A00" w:rsidRPr="006B4840" w:rsidRDefault="00E41A00" w:rsidP="00E41A00">
      <w:pPr>
        <w:pStyle w:val="Paragraph"/>
      </w:pPr>
      <w:r w:rsidRPr="00AE6A60">
        <w:t xml:space="preserve">The determination of the ACCC’s telecommunications costs to be recovered under the ACLC is based on a cost allocation model. There has been no change in the methodology used to determine the costs from the previous financial year. Both direct and support (indirect) costs incurred by the ACCC in exercising its telecommunications functions and powers are captured by the model. Telecommunication activities are aligned to discrete cost centres to capture direct costs. Support costs are allocated using an appropriate cost driver (further detail on support </w:t>
      </w:r>
      <w:r w:rsidRPr="004D37D3">
        <w:t xml:space="preserve">costs is provided later in this section). </w:t>
      </w:r>
    </w:p>
    <w:p w14:paraId="62BA91AC" w14:textId="77777777" w:rsidR="00E41A00" w:rsidRPr="00DC1701" w:rsidRDefault="00E41A00" w:rsidP="00882E54">
      <w:pPr>
        <w:pStyle w:val="Paragraph"/>
      </w:pPr>
      <w:r w:rsidRPr="006B4840">
        <w:t>The activity costs produced by the ACCC’s cost allocation m</w:t>
      </w:r>
      <w:r w:rsidRPr="00E10C47">
        <w:t>odel for 202</w:t>
      </w:r>
      <w:r>
        <w:t>2</w:t>
      </w:r>
      <w:r w:rsidRPr="00E10C47">
        <w:t>–2</w:t>
      </w:r>
      <w:r>
        <w:t>3</w:t>
      </w:r>
      <w:r w:rsidRPr="004D37D3">
        <w:t xml:space="preserve"> </w:t>
      </w:r>
      <w:proofErr w:type="gramStart"/>
      <w:r w:rsidRPr="004D37D3">
        <w:t>are</w:t>
      </w:r>
      <w:proofErr w:type="gramEnd"/>
      <w:r w:rsidRPr="004D37D3">
        <w:t xml:space="preserve"> based on the cost of services in accordance with the ACCC’s </w:t>
      </w:r>
      <w:r w:rsidRPr="00E10C47">
        <w:t>202</w:t>
      </w:r>
      <w:r>
        <w:t>2</w:t>
      </w:r>
      <w:r w:rsidRPr="00E10C47">
        <w:t>–2</w:t>
      </w:r>
      <w:r>
        <w:t>3</w:t>
      </w:r>
      <w:r w:rsidRPr="004D37D3">
        <w:t xml:space="preserve"> audited </w:t>
      </w:r>
      <w:r w:rsidRPr="00116B3A">
        <w:t>financial statements.</w:t>
      </w:r>
    </w:p>
    <w:p w14:paraId="2A736AFF" w14:textId="3DAB88F6" w:rsidR="00E41A00" w:rsidRPr="00AE6A60" w:rsidRDefault="00E41A00" w:rsidP="00882E54">
      <w:pPr>
        <w:pStyle w:val="Paragraphbeforelist"/>
      </w:pPr>
      <w:r w:rsidRPr="00116B3A">
        <w:t>Delivery costs of the MBA program (</w:t>
      </w:r>
      <w:r w:rsidRPr="00116B3A">
        <w:rPr>
          <w:i/>
        </w:rPr>
        <w:t>Cost Recovery Implementation Statement – Measuring Broadband</w:t>
      </w:r>
      <w:r w:rsidRPr="00AE6A60">
        <w:rPr>
          <w:i/>
        </w:rPr>
        <w:t xml:space="preserve"> Australia program</w:t>
      </w:r>
      <w:r w:rsidRPr="00ED6E01">
        <w:rPr>
          <w:iCs/>
        </w:rPr>
        <w:t>)</w:t>
      </w:r>
      <w:r w:rsidRPr="00AE6A60">
        <w:t xml:space="preserve"> </w:t>
      </w:r>
      <w:r>
        <w:t xml:space="preserve">are </w:t>
      </w:r>
      <w:r w:rsidRPr="00AE6A60">
        <w:t>not included in the ACLC cost calculations disclosed in T</w:t>
      </w:r>
      <w:r w:rsidRPr="0036276F">
        <w:t>able 13</w:t>
      </w:r>
      <w:r w:rsidRPr="00AE6A60">
        <w:t xml:space="preserve"> below. Supplier costs and </w:t>
      </w:r>
      <w:r w:rsidRPr="00882E54">
        <w:t>overheads</w:t>
      </w:r>
      <w:r w:rsidRPr="00AE6A60">
        <w:t xml:space="preserve"> for that program are tracked separately and are disclosed in </w:t>
      </w:r>
      <w:r w:rsidRPr="00B41FC8">
        <w:t>Attachment B</w:t>
      </w:r>
      <w:r w:rsidRPr="00AE6A60">
        <w:t>. However, the following costs are applicable to the ACLC:</w:t>
      </w:r>
    </w:p>
    <w:p w14:paraId="28DC879D" w14:textId="77777777" w:rsidR="00E41A00" w:rsidRPr="00AE6A60" w:rsidRDefault="00E41A00" w:rsidP="00882E54">
      <w:pPr>
        <w:pStyle w:val="Bulletlevel1last"/>
      </w:pPr>
      <w:r w:rsidRPr="00AE6A60">
        <w:t xml:space="preserve">Responsibility for any investigative and regulation work resulting from the MBA program’s findings will fall to ACCC staff as part of their business-as-usual telecommunications regulation function. </w:t>
      </w:r>
      <w:bookmarkStart w:id="136" w:name="_Hlk10637510"/>
      <w:r w:rsidRPr="00AE6A60">
        <w:t xml:space="preserve">These costs </w:t>
      </w:r>
      <w:r>
        <w:t>do</w:t>
      </w:r>
      <w:r w:rsidRPr="00AE6A60">
        <w:t xml:space="preserve"> not form part of the MBA program costs, </w:t>
      </w:r>
      <w:bookmarkStart w:id="137" w:name="_Hlk10720115"/>
      <w:r w:rsidRPr="00AE6A60">
        <w:t>instead they will be recovered through future ACLC attributable to paragraph 15(1)(b) of the Act</w:t>
      </w:r>
      <w:bookmarkEnd w:id="137"/>
      <w:r w:rsidRPr="00AE6A60">
        <w:t>.</w:t>
      </w:r>
    </w:p>
    <w:bookmarkEnd w:id="136"/>
    <w:p w14:paraId="2F4B56BF" w14:textId="77777777" w:rsidR="00E41A00" w:rsidRPr="006B4840" w:rsidRDefault="00E41A00" w:rsidP="00882E54">
      <w:pPr>
        <w:pStyle w:val="Paragraph"/>
      </w:pPr>
      <w:r w:rsidRPr="0036276F">
        <w:t>Table 1</w:t>
      </w:r>
      <w:r>
        <w:t>3</w:t>
      </w:r>
      <w:r w:rsidRPr="00AE6A60">
        <w:t xml:space="preserve"> provides details for the direct and support costs that the ACCC proposes to </w:t>
      </w:r>
      <w:r w:rsidRPr="004D37D3">
        <w:t xml:space="preserve">include in its </w:t>
      </w:r>
      <w:r w:rsidRPr="00882E54">
        <w:t>determination</w:t>
      </w:r>
      <w:r w:rsidRPr="004D37D3">
        <w:t xml:space="preserve"> of costs for the purpose of paragraph 15(1)(b) of the Act.</w:t>
      </w:r>
    </w:p>
    <w:p w14:paraId="784BA683" w14:textId="77777777" w:rsidR="00E41A00" w:rsidRPr="00882E54" w:rsidRDefault="00E41A00" w:rsidP="00882E54">
      <w:pPr>
        <w:pStyle w:val="Tableheading"/>
      </w:pPr>
      <w:r w:rsidRPr="00882E54">
        <w:t xml:space="preserve">The ACCC’s component at output level, 2023–24 (based on </w:t>
      </w:r>
      <w:r w:rsidRPr="00882E54">
        <w:br/>
        <w:t>2022–23 costs)</w:t>
      </w: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4A0" w:firstRow="1" w:lastRow="0" w:firstColumn="1" w:lastColumn="0" w:noHBand="0" w:noVBand="1"/>
        <w:tblCaption w:val="The ACCC’s component at output level, 2015–16"/>
        <w:tblDescription w:val="Includes the  direct, support and total costs for output activities."/>
      </w:tblPr>
      <w:tblGrid>
        <w:gridCol w:w="3823"/>
        <w:gridCol w:w="1652"/>
        <w:gridCol w:w="1652"/>
        <w:gridCol w:w="1652"/>
      </w:tblGrid>
      <w:tr w:rsidR="00E41A00" w:rsidRPr="00882E54" w14:paraId="0BACF583" w14:textId="77777777" w:rsidTr="006E2755">
        <w:trPr>
          <w:trHeight w:val="267"/>
        </w:trPr>
        <w:tc>
          <w:tcPr>
            <w:tcW w:w="3823" w:type="dxa"/>
            <w:shd w:val="clear" w:color="000000" w:fill="404040"/>
            <w:hideMark/>
          </w:tcPr>
          <w:p w14:paraId="093FFA96" w14:textId="77777777" w:rsidR="00E41A00" w:rsidRPr="00882E54" w:rsidRDefault="00E41A00" w:rsidP="00882E54">
            <w:pPr>
              <w:keepNext/>
              <w:keepLines/>
              <w:spacing w:after="0" w:line="280" w:lineRule="atLeast"/>
              <w:rPr>
                <w:b/>
                <w:color w:val="FFFFFF"/>
                <w:sz w:val="22"/>
                <w:szCs w:val="22"/>
              </w:rPr>
            </w:pPr>
            <w:r w:rsidRPr="00882E54">
              <w:rPr>
                <w:b/>
                <w:color w:val="FFFFFF"/>
                <w:sz w:val="22"/>
                <w:szCs w:val="22"/>
              </w:rPr>
              <w:t>Output activity</w:t>
            </w:r>
          </w:p>
        </w:tc>
        <w:tc>
          <w:tcPr>
            <w:tcW w:w="1652" w:type="dxa"/>
            <w:shd w:val="clear" w:color="000000" w:fill="404040"/>
            <w:hideMark/>
          </w:tcPr>
          <w:p w14:paraId="767CFDDE" w14:textId="77777777" w:rsidR="00E41A00" w:rsidRPr="00882E54" w:rsidRDefault="00E41A00" w:rsidP="00882E54">
            <w:pPr>
              <w:keepNext/>
              <w:keepLines/>
              <w:spacing w:after="0" w:line="280" w:lineRule="atLeast"/>
              <w:jc w:val="right"/>
              <w:rPr>
                <w:b/>
                <w:color w:val="FFFFFF"/>
                <w:sz w:val="22"/>
                <w:szCs w:val="22"/>
              </w:rPr>
            </w:pPr>
            <w:r w:rsidRPr="00882E54">
              <w:rPr>
                <w:b/>
                <w:color w:val="FFFFFF"/>
                <w:sz w:val="22"/>
                <w:szCs w:val="22"/>
              </w:rPr>
              <w:t>Direct costs</w:t>
            </w:r>
          </w:p>
        </w:tc>
        <w:tc>
          <w:tcPr>
            <w:tcW w:w="1652" w:type="dxa"/>
            <w:shd w:val="clear" w:color="000000" w:fill="404040"/>
            <w:hideMark/>
          </w:tcPr>
          <w:p w14:paraId="34242263" w14:textId="77777777" w:rsidR="00E41A00" w:rsidRPr="00882E54" w:rsidRDefault="00E41A00" w:rsidP="00882E54">
            <w:pPr>
              <w:keepNext/>
              <w:keepLines/>
              <w:spacing w:after="0" w:line="280" w:lineRule="atLeast"/>
              <w:jc w:val="right"/>
              <w:rPr>
                <w:b/>
                <w:color w:val="FFFFFF"/>
                <w:sz w:val="22"/>
                <w:szCs w:val="22"/>
              </w:rPr>
            </w:pPr>
            <w:r w:rsidRPr="00882E54">
              <w:rPr>
                <w:b/>
                <w:color w:val="FFFFFF"/>
                <w:sz w:val="22"/>
                <w:szCs w:val="22"/>
              </w:rPr>
              <w:t>Support costs</w:t>
            </w:r>
          </w:p>
        </w:tc>
        <w:tc>
          <w:tcPr>
            <w:tcW w:w="1652" w:type="dxa"/>
            <w:shd w:val="clear" w:color="000000" w:fill="404040"/>
            <w:hideMark/>
          </w:tcPr>
          <w:p w14:paraId="694809CD" w14:textId="77777777" w:rsidR="00E41A00" w:rsidRPr="00882E54" w:rsidRDefault="00E41A00" w:rsidP="00882E54">
            <w:pPr>
              <w:keepNext/>
              <w:keepLines/>
              <w:spacing w:after="0" w:line="280" w:lineRule="atLeast"/>
              <w:jc w:val="right"/>
              <w:rPr>
                <w:b/>
                <w:color w:val="FFFFFF"/>
                <w:sz w:val="22"/>
                <w:szCs w:val="22"/>
              </w:rPr>
            </w:pPr>
            <w:r w:rsidRPr="00882E54">
              <w:rPr>
                <w:b/>
                <w:color w:val="FFFFFF"/>
                <w:sz w:val="22"/>
                <w:szCs w:val="22"/>
              </w:rPr>
              <w:t>Total cost</w:t>
            </w:r>
          </w:p>
        </w:tc>
      </w:tr>
      <w:tr w:rsidR="00E41A00" w:rsidRPr="00882E54" w14:paraId="48F5FB17" w14:textId="77777777" w:rsidTr="006E2755">
        <w:trPr>
          <w:trHeight w:val="247"/>
        </w:trPr>
        <w:tc>
          <w:tcPr>
            <w:tcW w:w="3823" w:type="dxa"/>
            <w:shd w:val="clear" w:color="auto" w:fill="auto"/>
            <w:hideMark/>
          </w:tcPr>
          <w:p w14:paraId="0553559F" w14:textId="77777777" w:rsidR="00E41A00" w:rsidRPr="00882E54" w:rsidRDefault="00E41A00" w:rsidP="00882E54">
            <w:pPr>
              <w:keepNext/>
              <w:keepLines/>
              <w:spacing w:after="0" w:line="280" w:lineRule="atLeast"/>
              <w:rPr>
                <w:color w:val="000000"/>
                <w:sz w:val="22"/>
                <w:szCs w:val="22"/>
              </w:rPr>
            </w:pPr>
            <w:r w:rsidRPr="00882E54">
              <w:rPr>
                <w:color w:val="000000"/>
                <w:sz w:val="22"/>
                <w:szCs w:val="22"/>
              </w:rPr>
              <w:t>Communications markets and advocacy</w:t>
            </w:r>
          </w:p>
        </w:tc>
        <w:tc>
          <w:tcPr>
            <w:tcW w:w="1652" w:type="dxa"/>
            <w:shd w:val="clear" w:color="auto" w:fill="auto"/>
            <w:hideMark/>
          </w:tcPr>
          <w:p w14:paraId="69085C9F" w14:textId="789CCC6B" w:rsidR="00E41A00" w:rsidRPr="00882E54" w:rsidRDefault="00E41A00" w:rsidP="00882E54">
            <w:pPr>
              <w:keepNext/>
              <w:keepLines/>
              <w:spacing w:after="0" w:line="280" w:lineRule="atLeast"/>
              <w:jc w:val="right"/>
              <w:rPr>
                <w:rFonts w:cs="Arial"/>
                <w:color w:val="000000"/>
                <w:sz w:val="22"/>
                <w:szCs w:val="22"/>
              </w:rPr>
            </w:pPr>
            <w:r w:rsidRPr="00882E54">
              <w:rPr>
                <w:rFonts w:cs="Arial"/>
                <w:sz w:val="22"/>
                <w:szCs w:val="22"/>
              </w:rPr>
              <w:t>$5,032,150</w:t>
            </w:r>
          </w:p>
        </w:tc>
        <w:tc>
          <w:tcPr>
            <w:tcW w:w="1652" w:type="dxa"/>
            <w:shd w:val="clear" w:color="auto" w:fill="auto"/>
            <w:hideMark/>
          </w:tcPr>
          <w:p w14:paraId="344450B7" w14:textId="6EB9025F" w:rsidR="00E41A00" w:rsidRPr="00882E54" w:rsidRDefault="00E41A00" w:rsidP="000677AE">
            <w:pPr>
              <w:keepNext/>
              <w:keepLines/>
              <w:spacing w:after="0" w:line="280" w:lineRule="atLeast"/>
              <w:jc w:val="right"/>
              <w:rPr>
                <w:rFonts w:cs="Arial"/>
                <w:color w:val="000000"/>
                <w:sz w:val="22"/>
                <w:szCs w:val="22"/>
              </w:rPr>
            </w:pPr>
            <w:r w:rsidRPr="00882E54">
              <w:rPr>
                <w:rFonts w:cs="Arial"/>
                <w:color w:val="000000"/>
                <w:sz w:val="22"/>
                <w:szCs w:val="22"/>
              </w:rPr>
              <w:t>$2,293,028</w:t>
            </w:r>
          </w:p>
        </w:tc>
        <w:tc>
          <w:tcPr>
            <w:tcW w:w="1652" w:type="dxa"/>
            <w:shd w:val="clear" w:color="auto" w:fill="auto"/>
            <w:hideMark/>
          </w:tcPr>
          <w:p w14:paraId="1CDF98CF" w14:textId="2DC3C90E" w:rsidR="00E41A00" w:rsidRPr="00882E54" w:rsidRDefault="00E41A00" w:rsidP="000677AE">
            <w:pPr>
              <w:keepNext/>
              <w:keepLines/>
              <w:spacing w:after="0" w:line="280" w:lineRule="atLeast"/>
              <w:jc w:val="right"/>
              <w:rPr>
                <w:rFonts w:cs="Arial"/>
                <w:b/>
                <w:color w:val="000000"/>
                <w:sz w:val="22"/>
                <w:szCs w:val="22"/>
              </w:rPr>
            </w:pPr>
            <w:r w:rsidRPr="00882E54">
              <w:rPr>
                <w:rFonts w:cs="Arial"/>
                <w:b/>
                <w:color w:val="000000"/>
                <w:sz w:val="22"/>
                <w:szCs w:val="22"/>
              </w:rPr>
              <w:t>$7,325,178</w:t>
            </w:r>
          </w:p>
        </w:tc>
      </w:tr>
      <w:tr w:rsidR="00E41A00" w:rsidRPr="00882E54" w14:paraId="086532EA" w14:textId="77777777" w:rsidTr="006E2755">
        <w:trPr>
          <w:trHeight w:val="311"/>
        </w:trPr>
        <w:tc>
          <w:tcPr>
            <w:tcW w:w="3823" w:type="dxa"/>
            <w:shd w:val="clear" w:color="auto" w:fill="auto"/>
            <w:hideMark/>
          </w:tcPr>
          <w:p w14:paraId="1FAE7C8C" w14:textId="77777777" w:rsidR="00E41A00" w:rsidRPr="00882E54" w:rsidRDefault="00E41A00" w:rsidP="00882E54">
            <w:pPr>
              <w:keepNext/>
              <w:keepLines/>
              <w:spacing w:after="0" w:line="280" w:lineRule="atLeast"/>
              <w:rPr>
                <w:color w:val="000000"/>
                <w:sz w:val="22"/>
                <w:szCs w:val="22"/>
              </w:rPr>
            </w:pPr>
            <w:r w:rsidRPr="00882E54">
              <w:rPr>
                <w:color w:val="000000"/>
                <w:sz w:val="22"/>
                <w:szCs w:val="22"/>
              </w:rPr>
              <w:t xml:space="preserve">Mobiles, </w:t>
            </w:r>
            <w:proofErr w:type="gramStart"/>
            <w:r w:rsidRPr="00882E54">
              <w:rPr>
                <w:color w:val="000000"/>
                <w:sz w:val="22"/>
                <w:szCs w:val="22"/>
              </w:rPr>
              <w:t>transmission</w:t>
            </w:r>
            <w:proofErr w:type="gramEnd"/>
            <w:r w:rsidRPr="00882E54">
              <w:rPr>
                <w:color w:val="000000"/>
                <w:sz w:val="22"/>
                <w:szCs w:val="22"/>
              </w:rPr>
              <w:t xml:space="preserve"> and consumer (including NBN)</w:t>
            </w:r>
          </w:p>
        </w:tc>
        <w:tc>
          <w:tcPr>
            <w:tcW w:w="1652" w:type="dxa"/>
            <w:shd w:val="clear" w:color="auto" w:fill="auto"/>
            <w:hideMark/>
          </w:tcPr>
          <w:p w14:paraId="03ECBC83" w14:textId="4B04F72D" w:rsidR="00E41A00" w:rsidRPr="00882E54" w:rsidRDefault="00E41A00" w:rsidP="00882E54">
            <w:pPr>
              <w:keepNext/>
              <w:keepLines/>
              <w:spacing w:after="0" w:line="280" w:lineRule="atLeast"/>
              <w:jc w:val="right"/>
              <w:rPr>
                <w:rFonts w:cs="Arial"/>
                <w:color w:val="000000"/>
                <w:sz w:val="22"/>
                <w:szCs w:val="22"/>
              </w:rPr>
            </w:pPr>
            <w:r w:rsidRPr="00882E54">
              <w:rPr>
                <w:rFonts w:cs="Arial"/>
                <w:sz w:val="22"/>
                <w:szCs w:val="22"/>
              </w:rPr>
              <w:t>$2,461,153</w:t>
            </w:r>
          </w:p>
        </w:tc>
        <w:tc>
          <w:tcPr>
            <w:tcW w:w="1652" w:type="dxa"/>
            <w:shd w:val="clear" w:color="auto" w:fill="auto"/>
            <w:hideMark/>
          </w:tcPr>
          <w:p w14:paraId="6268573A" w14:textId="40C415A3" w:rsidR="00E41A00" w:rsidRPr="00882E54" w:rsidRDefault="00E41A00" w:rsidP="000677AE">
            <w:pPr>
              <w:keepNext/>
              <w:keepLines/>
              <w:spacing w:after="0" w:line="280" w:lineRule="atLeast"/>
              <w:jc w:val="right"/>
              <w:rPr>
                <w:rFonts w:cs="Arial"/>
                <w:color w:val="000000"/>
                <w:sz w:val="22"/>
                <w:szCs w:val="22"/>
              </w:rPr>
            </w:pPr>
            <w:r w:rsidRPr="00882E54">
              <w:rPr>
                <w:rFonts w:cs="Arial"/>
                <w:color w:val="000000"/>
                <w:sz w:val="22"/>
                <w:szCs w:val="22"/>
              </w:rPr>
              <w:t>$1,121,488</w:t>
            </w:r>
          </w:p>
        </w:tc>
        <w:tc>
          <w:tcPr>
            <w:tcW w:w="1652" w:type="dxa"/>
            <w:shd w:val="clear" w:color="auto" w:fill="auto"/>
            <w:hideMark/>
          </w:tcPr>
          <w:p w14:paraId="59896E9C" w14:textId="36B38920" w:rsidR="00E41A00" w:rsidRPr="00882E54" w:rsidRDefault="00E41A00" w:rsidP="000677AE">
            <w:pPr>
              <w:keepNext/>
              <w:keepLines/>
              <w:spacing w:after="0" w:line="280" w:lineRule="atLeast"/>
              <w:jc w:val="right"/>
              <w:rPr>
                <w:rFonts w:cs="Arial"/>
                <w:b/>
                <w:color w:val="000000"/>
                <w:sz w:val="22"/>
                <w:szCs w:val="22"/>
              </w:rPr>
            </w:pPr>
            <w:r w:rsidRPr="00882E54">
              <w:rPr>
                <w:rFonts w:cs="Arial"/>
                <w:b/>
                <w:color w:val="000000"/>
                <w:sz w:val="22"/>
                <w:szCs w:val="22"/>
              </w:rPr>
              <w:t>$3,582,641</w:t>
            </w:r>
          </w:p>
        </w:tc>
      </w:tr>
      <w:tr w:rsidR="00E41A00" w:rsidRPr="00882E54" w14:paraId="62AB32B0" w14:textId="77777777" w:rsidTr="00836552">
        <w:trPr>
          <w:trHeight w:val="406"/>
        </w:trPr>
        <w:tc>
          <w:tcPr>
            <w:tcW w:w="3823" w:type="dxa"/>
            <w:shd w:val="clear" w:color="auto" w:fill="auto"/>
            <w:hideMark/>
          </w:tcPr>
          <w:p w14:paraId="2D5EDF20" w14:textId="77777777" w:rsidR="00E41A00" w:rsidRPr="00882E54" w:rsidRDefault="00E41A00" w:rsidP="00882E54">
            <w:pPr>
              <w:keepNext/>
              <w:keepLines/>
              <w:spacing w:after="0" w:line="280" w:lineRule="atLeast"/>
              <w:rPr>
                <w:color w:val="000000"/>
                <w:sz w:val="22"/>
                <w:szCs w:val="22"/>
              </w:rPr>
            </w:pPr>
            <w:r w:rsidRPr="00882E54">
              <w:rPr>
                <w:color w:val="000000"/>
                <w:sz w:val="22"/>
                <w:szCs w:val="22"/>
              </w:rPr>
              <w:t>Other outputs</w:t>
            </w:r>
          </w:p>
        </w:tc>
        <w:tc>
          <w:tcPr>
            <w:tcW w:w="1652" w:type="dxa"/>
            <w:shd w:val="clear" w:color="auto" w:fill="auto"/>
            <w:hideMark/>
          </w:tcPr>
          <w:p w14:paraId="2BA2973B" w14:textId="77777777" w:rsidR="00E41A00" w:rsidRPr="00882E54" w:rsidRDefault="00E41A00" w:rsidP="00882E54">
            <w:pPr>
              <w:keepNext/>
              <w:keepLines/>
              <w:spacing w:after="0" w:line="280" w:lineRule="atLeast"/>
              <w:jc w:val="right"/>
              <w:rPr>
                <w:rFonts w:cs="Arial"/>
                <w:color w:val="000000"/>
                <w:sz w:val="22"/>
                <w:szCs w:val="22"/>
              </w:rPr>
            </w:pPr>
            <w:r w:rsidRPr="00882E54">
              <w:rPr>
                <w:rFonts w:cs="Arial"/>
                <w:sz w:val="22"/>
                <w:szCs w:val="22"/>
              </w:rPr>
              <w:t xml:space="preserve">$336,064 </w:t>
            </w:r>
          </w:p>
        </w:tc>
        <w:tc>
          <w:tcPr>
            <w:tcW w:w="1652" w:type="dxa"/>
            <w:shd w:val="clear" w:color="auto" w:fill="auto"/>
            <w:hideMark/>
          </w:tcPr>
          <w:p w14:paraId="1F708A75" w14:textId="7180B293" w:rsidR="00E41A00" w:rsidRPr="00882E54" w:rsidRDefault="00E41A00" w:rsidP="000677AE">
            <w:pPr>
              <w:keepNext/>
              <w:keepLines/>
              <w:spacing w:after="0" w:line="280" w:lineRule="atLeast"/>
              <w:jc w:val="right"/>
              <w:rPr>
                <w:rFonts w:cs="Arial"/>
                <w:color w:val="000000"/>
                <w:sz w:val="22"/>
                <w:szCs w:val="22"/>
              </w:rPr>
            </w:pPr>
            <w:r w:rsidRPr="00882E54">
              <w:rPr>
                <w:rFonts w:cs="Arial"/>
                <w:color w:val="000000"/>
                <w:sz w:val="22"/>
                <w:szCs w:val="22"/>
              </w:rPr>
              <w:t>$153,136</w:t>
            </w:r>
          </w:p>
        </w:tc>
        <w:tc>
          <w:tcPr>
            <w:tcW w:w="1652" w:type="dxa"/>
            <w:shd w:val="clear" w:color="auto" w:fill="auto"/>
            <w:hideMark/>
          </w:tcPr>
          <w:p w14:paraId="2FC639FC" w14:textId="11B6E9C0" w:rsidR="00E41A00" w:rsidRPr="00882E54" w:rsidRDefault="00E41A00" w:rsidP="000677AE">
            <w:pPr>
              <w:keepNext/>
              <w:keepLines/>
              <w:spacing w:after="0" w:line="280" w:lineRule="atLeast"/>
              <w:jc w:val="right"/>
              <w:rPr>
                <w:rFonts w:cs="Arial"/>
                <w:b/>
                <w:color w:val="000000"/>
                <w:sz w:val="22"/>
                <w:szCs w:val="22"/>
              </w:rPr>
            </w:pPr>
            <w:r w:rsidRPr="00882E54">
              <w:rPr>
                <w:rFonts w:cs="Arial"/>
                <w:b/>
                <w:color w:val="000000"/>
                <w:sz w:val="22"/>
                <w:szCs w:val="22"/>
              </w:rPr>
              <w:t>$489,200</w:t>
            </w:r>
          </w:p>
        </w:tc>
      </w:tr>
      <w:tr w:rsidR="00E41A00" w:rsidRPr="00882E54" w14:paraId="59501241" w14:textId="77777777" w:rsidTr="006E2755">
        <w:trPr>
          <w:trHeight w:val="379"/>
        </w:trPr>
        <w:tc>
          <w:tcPr>
            <w:tcW w:w="3823" w:type="dxa"/>
            <w:shd w:val="clear" w:color="auto" w:fill="D9D9D9" w:themeFill="background1" w:themeFillShade="D9"/>
            <w:vAlign w:val="center"/>
            <w:hideMark/>
          </w:tcPr>
          <w:p w14:paraId="5CC48857" w14:textId="77777777" w:rsidR="00E41A00" w:rsidRPr="00882E54" w:rsidRDefault="00E41A00" w:rsidP="00882E54">
            <w:pPr>
              <w:keepNext/>
              <w:keepLines/>
              <w:spacing w:after="0" w:line="280" w:lineRule="atLeast"/>
              <w:rPr>
                <w:b/>
                <w:color w:val="000000"/>
                <w:sz w:val="22"/>
                <w:szCs w:val="22"/>
              </w:rPr>
            </w:pPr>
            <w:r w:rsidRPr="00882E54">
              <w:rPr>
                <w:b/>
                <w:color w:val="000000"/>
                <w:sz w:val="22"/>
                <w:szCs w:val="22"/>
              </w:rPr>
              <w:t>Total costs</w:t>
            </w:r>
          </w:p>
        </w:tc>
        <w:tc>
          <w:tcPr>
            <w:tcW w:w="1652" w:type="dxa"/>
            <w:shd w:val="clear" w:color="auto" w:fill="D9D9D9" w:themeFill="background1" w:themeFillShade="D9"/>
            <w:hideMark/>
          </w:tcPr>
          <w:p w14:paraId="7AAF5BDA" w14:textId="77777777" w:rsidR="00E41A00" w:rsidRPr="00882E54" w:rsidRDefault="00E41A00" w:rsidP="00882E54">
            <w:pPr>
              <w:keepNext/>
              <w:keepLines/>
              <w:spacing w:after="0" w:line="280" w:lineRule="atLeast"/>
              <w:jc w:val="right"/>
              <w:rPr>
                <w:rFonts w:cs="Arial"/>
                <w:b/>
                <w:bCs/>
                <w:color w:val="000000"/>
                <w:sz w:val="22"/>
                <w:szCs w:val="22"/>
              </w:rPr>
            </w:pPr>
            <w:r w:rsidRPr="00882E54">
              <w:rPr>
                <w:rFonts w:cs="Arial"/>
                <w:b/>
                <w:bCs/>
                <w:sz w:val="22"/>
                <w:szCs w:val="22"/>
              </w:rPr>
              <w:t xml:space="preserve">$7,829,367 </w:t>
            </w:r>
          </w:p>
        </w:tc>
        <w:tc>
          <w:tcPr>
            <w:tcW w:w="1652" w:type="dxa"/>
            <w:shd w:val="clear" w:color="auto" w:fill="D9D9D9" w:themeFill="background1" w:themeFillShade="D9"/>
            <w:hideMark/>
          </w:tcPr>
          <w:p w14:paraId="3463A9C4" w14:textId="77777777" w:rsidR="00E41A00" w:rsidRPr="00882E54" w:rsidRDefault="00E41A00" w:rsidP="00882E54">
            <w:pPr>
              <w:keepNext/>
              <w:keepLines/>
              <w:spacing w:after="0" w:line="280" w:lineRule="atLeast"/>
              <w:jc w:val="right"/>
              <w:rPr>
                <w:rFonts w:cs="Arial"/>
                <w:b/>
                <w:color w:val="000000"/>
                <w:sz w:val="22"/>
                <w:szCs w:val="22"/>
              </w:rPr>
            </w:pPr>
            <w:r w:rsidRPr="00882E54">
              <w:rPr>
                <w:rFonts w:cs="Arial"/>
                <w:b/>
                <w:color w:val="000000"/>
                <w:sz w:val="22"/>
                <w:szCs w:val="22"/>
              </w:rPr>
              <w:t>$3,567,652</w:t>
            </w:r>
          </w:p>
          <w:p w14:paraId="6E748982" w14:textId="77777777" w:rsidR="00E41A00" w:rsidRPr="00882E54" w:rsidRDefault="00E41A00" w:rsidP="00882E54">
            <w:pPr>
              <w:keepNext/>
              <w:keepLines/>
              <w:spacing w:after="0" w:line="280" w:lineRule="atLeast"/>
              <w:jc w:val="right"/>
              <w:rPr>
                <w:rFonts w:cs="Arial"/>
                <w:b/>
                <w:color w:val="000000"/>
                <w:sz w:val="22"/>
                <w:szCs w:val="22"/>
              </w:rPr>
            </w:pPr>
          </w:p>
        </w:tc>
        <w:tc>
          <w:tcPr>
            <w:tcW w:w="1652" w:type="dxa"/>
            <w:shd w:val="clear" w:color="auto" w:fill="D9D9D9" w:themeFill="background1" w:themeFillShade="D9"/>
            <w:hideMark/>
          </w:tcPr>
          <w:p w14:paraId="07CC411B" w14:textId="77777777" w:rsidR="00E41A00" w:rsidRPr="00882E54" w:rsidRDefault="00E41A00" w:rsidP="00882E54">
            <w:pPr>
              <w:keepNext/>
              <w:keepLines/>
              <w:spacing w:after="0" w:line="280" w:lineRule="atLeast"/>
              <w:jc w:val="right"/>
              <w:rPr>
                <w:rFonts w:cs="Arial"/>
                <w:b/>
                <w:color w:val="000000"/>
                <w:sz w:val="22"/>
                <w:szCs w:val="22"/>
              </w:rPr>
            </w:pPr>
            <w:r w:rsidRPr="00882E54">
              <w:rPr>
                <w:rFonts w:cs="Arial"/>
                <w:b/>
                <w:color w:val="000000"/>
                <w:sz w:val="22"/>
                <w:szCs w:val="22"/>
              </w:rPr>
              <w:t>$11,397,019</w:t>
            </w:r>
          </w:p>
          <w:p w14:paraId="41EA6C78" w14:textId="77777777" w:rsidR="00E41A00" w:rsidRPr="00882E54" w:rsidRDefault="00E41A00" w:rsidP="00882E54">
            <w:pPr>
              <w:keepNext/>
              <w:keepLines/>
              <w:spacing w:after="0" w:line="280" w:lineRule="atLeast"/>
              <w:jc w:val="right"/>
              <w:rPr>
                <w:rFonts w:cs="Arial"/>
                <w:b/>
                <w:color w:val="000000"/>
                <w:sz w:val="22"/>
                <w:szCs w:val="22"/>
              </w:rPr>
            </w:pPr>
          </w:p>
        </w:tc>
      </w:tr>
    </w:tbl>
    <w:p w14:paraId="6FD93F92" w14:textId="77777777" w:rsidR="00E41A00" w:rsidRDefault="00E41A00" w:rsidP="00E41A00">
      <w:pPr>
        <w:pStyle w:val="Tableorfigurenote"/>
        <w:keepNext/>
        <w:keepLines/>
      </w:pPr>
      <w:r w:rsidRPr="001C6738">
        <w:t xml:space="preserve">Note: Sums may not add due to </w:t>
      </w:r>
      <w:r w:rsidRPr="009D30E4">
        <w:t>rounding</w:t>
      </w:r>
      <w:r>
        <w:t>.</w:t>
      </w:r>
    </w:p>
    <w:p w14:paraId="7C68BCD2" w14:textId="77777777" w:rsidR="00E41A00" w:rsidRPr="00AE6A60" w:rsidRDefault="00E41A00" w:rsidP="00E41A00">
      <w:pPr>
        <w:pStyle w:val="Paragraph"/>
        <w:rPr>
          <w:rFonts w:eastAsia="SimSun"/>
          <w:lang w:eastAsia="en-US"/>
        </w:rPr>
      </w:pPr>
      <w:r w:rsidRPr="00AE6A60">
        <w:rPr>
          <w:rFonts w:eastAsia="SimSun"/>
          <w:lang w:eastAsia="en-US"/>
        </w:rPr>
        <w:t xml:space="preserve">Direct costs are </w:t>
      </w:r>
      <w:r>
        <w:rPr>
          <w:rFonts w:eastAsia="SimSun"/>
          <w:lang w:eastAsia="en-US"/>
        </w:rPr>
        <w:t xml:space="preserve">those </w:t>
      </w:r>
      <w:r w:rsidRPr="00AE6A60">
        <w:rPr>
          <w:rFonts w:eastAsia="SimSun"/>
          <w:lang w:eastAsia="en-US"/>
        </w:rPr>
        <w:t xml:space="preserve">incurred directly by the ACCC’s communications function housed within the ACCC’s Infrastructure Division. These costs are attributed to discrete cost centres aligned with telecommunication output activities. They include staff salaries and other expenses, </w:t>
      </w:r>
      <w:r>
        <w:rPr>
          <w:rFonts w:eastAsia="SimSun"/>
          <w:lang w:eastAsia="en-US"/>
        </w:rPr>
        <w:t xml:space="preserve">such as </w:t>
      </w:r>
      <w:r w:rsidRPr="00AE6A60">
        <w:rPr>
          <w:rFonts w:eastAsia="SimSun"/>
          <w:lang w:eastAsia="en-US"/>
        </w:rPr>
        <w:t xml:space="preserve">contractors, consultants, suppliers, </w:t>
      </w:r>
      <w:proofErr w:type="gramStart"/>
      <w:r w:rsidRPr="00AE6A60">
        <w:rPr>
          <w:rFonts w:eastAsia="SimSun"/>
          <w:lang w:eastAsia="en-US"/>
        </w:rPr>
        <w:t>travel</w:t>
      </w:r>
      <w:proofErr w:type="gramEnd"/>
      <w:r w:rsidRPr="00AE6A60">
        <w:rPr>
          <w:rFonts w:eastAsia="SimSun"/>
          <w:lang w:eastAsia="en-US"/>
        </w:rPr>
        <w:t xml:space="preserve"> and office consumables. An annual review of executive effort related to the telecommunication</w:t>
      </w:r>
      <w:r>
        <w:rPr>
          <w:rFonts w:eastAsia="SimSun"/>
          <w:lang w:eastAsia="en-US"/>
        </w:rPr>
        <w:t>s</w:t>
      </w:r>
      <w:r w:rsidRPr="00AE6A60">
        <w:rPr>
          <w:rFonts w:eastAsia="SimSun"/>
          <w:lang w:eastAsia="en-US"/>
        </w:rPr>
        <w:t xml:space="preserve"> function provides a consistent approach for capturing costs into the allocation model.</w:t>
      </w:r>
      <w:r w:rsidRPr="0047453A">
        <w:rPr>
          <w:rFonts w:eastAsia="SimSun"/>
          <w:lang w:eastAsia="en-US"/>
        </w:rPr>
        <w:t xml:space="preserve"> </w:t>
      </w:r>
    </w:p>
    <w:p w14:paraId="5920BCFF" w14:textId="77777777" w:rsidR="00E41A00" w:rsidRPr="00AE6A60" w:rsidRDefault="00E41A00" w:rsidP="00882E54">
      <w:pPr>
        <w:pStyle w:val="Paragraphbeforelist"/>
        <w:rPr>
          <w:rFonts w:eastAsia="SimSun"/>
          <w:lang w:eastAsia="en-US"/>
        </w:rPr>
      </w:pPr>
      <w:r w:rsidRPr="00AE6A60">
        <w:rPr>
          <w:rFonts w:eastAsia="SimSun"/>
          <w:lang w:eastAsia="en-US"/>
        </w:rPr>
        <w:t xml:space="preserve">The support costs are </w:t>
      </w:r>
      <w:r>
        <w:rPr>
          <w:rFonts w:eastAsia="SimSun"/>
          <w:lang w:eastAsia="en-US"/>
        </w:rPr>
        <w:t>those</w:t>
      </w:r>
      <w:r w:rsidRPr="00AE6A60">
        <w:rPr>
          <w:rFonts w:eastAsia="SimSun"/>
          <w:lang w:eastAsia="en-US"/>
        </w:rPr>
        <w:t xml:space="preserve"> incurred by the ACCC’s corporate divisions,</w:t>
      </w:r>
      <w:r w:rsidRPr="00AE6A60">
        <w:rPr>
          <w:lang w:eastAsia="en-US"/>
        </w:rPr>
        <w:t xml:space="preserve"> including finance, human resources, legal, property, IT and regulatory. </w:t>
      </w:r>
      <w:r w:rsidRPr="00AE6A60">
        <w:rPr>
          <w:rFonts w:eastAsia="SimSun"/>
          <w:lang w:eastAsia="en-US"/>
        </w:rPr>
        <w:t xml:space="preserve">The costs include all support staff salaries and other expenses in relation to corporate support services (for example, </w:t>
      </w:r>
      <w:r w:rsidRPr="00AE6A60">
        <w:rPr>
          <w:rFonts w:eastAsia="SimSun"/>
          <w:lang w:eastAsia="en-US"/>
        </w:rPr>
        <w:lastRenderedPageBreak/>
        <w:t xml:space="preserve">consultancies, suppliers, </w:t>
      </w:r>
      <w:proofErr w:type="gramStart"/>
      <w:r w:rsidRPr="00AE6A60">
        <w:rPr>
          <w:rFonts w:eastAsia="SimSun"/>
          <w:lang w:eastAsia="en-US"/>
        </w:rPr>
        <w:t>depreciation</w:t>
      </w:r>
      <w:proofErr w:type="gramEnd"/>
      <w:r w:rsidRPr="00AE6A60">
        <w:rPr>
          <w:rFonts w:eastAsia="SimSun"/>
          <w:lang w:eastAsia="en-US"/>
        </w:rPr>
        <w:t xml:space="preserve"> and property/accommodation). These costs are allocated to activities using </w:t>
      </w:r>
      <w:r>
        <w:rPr>
          <w:rFonts w:eastAsia="SimSun"/>
          <w:lang w:eastAsia="en-US"/>
        </w:rPr>
        <w:t>3</w:t>
      </w:r>
      <w:r w:rsidRPr="00AE6A60">
        <w:rPr>
          <w:rFonts w:eastAsia="SimSun"/>
          <w:lang w:eastAsia="en-US"/>
        </w:rPr>
        <w:t xml:space="preserve"> cost drivers:  </w:t>
      </w:r>
    </w:p>
    <w:p w14:paraId="57FF7474" w14:textId="5DF253BA" w:rsidR="00E41A00" w:rsidRPr="00AE6A60" w:rsidRDefault="00E41A00" w:rsidP="00E01726">
      <w:pPr>
        <w:pStyle w:val="Bulletlevel1"/>
        <w:rPr>
          <w:rFonts w:eastAsia="SimSun"/>
          <w:lang w:eastAsia="en-US"/>
        </w:rPr>
      </w:pPr>
      <w:r w:rsidRPr="00AE6A60">
        <w:rPr>
          <w:rFonts w:eastAsia="SimSun"/>
          <w:lang w:eastAsia="en-US"/>
        </w:rPr>
        <w:t>legal expenditure</w:t>
      </w:r>
      <w:r>
        <w:rPr>
          <w:rFonts w:eastAsia="SimSun"/>
          <w:lang w:eastAsia="en-US"/>
        </w:rPr>
        <w:t xml:space="preserve"> – </w:t>
      </w:r>
      <w:r w:rsidRPr="00AE6A60">
        <w:rPr>
          <w:rFonts w:eastAsia="SimSun"/>
          <w:lang w:eastAsia="en-US"/>
        </w:rPr>
        <w:t xml:space="preserve">allocates the in-house legal support function, based on a proportion of usage </w:t>
      </w:r>
    </w:p>
    <w:p w14:paraId="7E235C9B" w14:textId="20125DD7" w:rsidR="00E41A00" w:rsidRPr="00AE6A60" w:rsidRDefault="00E41A00" w:rsidP="00882E54">
      <w:pPr>
        <w:pStyle w:val="Bulletlevel1"/>
        <w:rPr>
          <w:rFonts w:eastAsia="SimSun"/>
          <w:lang w:eastAsia="en-US"/>
        </w:rPr>
      </w:pPr>
      <w:r w:rsidRPr="00AE6A60">
        <w:rPr>
          <w:rFonts w:eastAsia="SimSun"/>
          <w:lang w:eastAsia="en-US"/>
        </w:rPr>
        <w:t>non-legal expenditure</w:t>
      </w:r>
      <w:r>
        <w:rPr>
          <w:rFonts w:eastAsia="SimSun"/>
          <w:lang w:eastAsia="en-US"/>
        </w:rPr>
        <w:t xml:space="preserve"> – </w:t>
      </w:r>
      <w:r w:rsidRPr="00AE6A60">
        <w:rPr>
          <w:rFonts w:eastAsia="SimSun"/>
          <w:lang w:eastAsia="en-US"/>
        </w:rPr>
        <w:t xml:space="preserve">allocates corporate costs not easily attributed to </w:t>
      </w:r>
      <w:r w:rsidRPr="00E01726">
        <w:rPr>
          <w:rFonts w:eastAsia="SimSun"/>
          <w:lang w:eastAsia="en-US"/>
        </w:rPr>
        <w:t xml:space="preserve">usage </w:t>
      </w:r>
      <w:r w:rsidRPr="00AE6A60">
        <w:rPr>
          <w:rFonts w:eastAsia="SimSun"/>
          <w:lang w:eastAsia="en-US"/>
        </w:rPr>
        <w:t xml:space="preserve">or headcount (for example, executive governance, </w:t>
      </w:r>
      <w:proofErr w:type="gramStart"/>
      <w:r w:rsidRPr="00AE6A60">
        <w:rPr>
          <w:rFonts w:eastAsia="SimSun"/>
          <w:lang w:eastAsia="en-US"/>
        </w:rPr>
        <w:t>assurance</w:t>
      </w:r>
      <w:proofErr w:type="gramEnd"/>
      <w:r w:rsidRPr="00AE6A60">
        <w:rPr>
          <w:rFonts w:eastAsia="SimSun"/>
          <w:lang w:eastAsia="en-US"/>
        </w:rPr>
        <w:t xml:space="preserve"> and strategic support)</w:t>
      </w:r>
    </w:p>
    <w:p w14:paraId="2DA497AD" w14:textId="77777777" w:rsidR="00E41A00" w:rsidRPr="00AE6A60" w:rsidRDefault="00E41A00" w:rsidP="00882E54">
      <w:pPr>
        <w:pStyle w:val="Bulletlevel1last"/>
        <w:rPr>
          <w:rFonts w:eastAsia="SimSun"/>
          <w:lang w:eastAsia="en-US"/>
        </w:rPr>
      </w:pPr>
      <w:r w:rsidRPr="00AE6A60">
        <w:rPr>
          <w:rFonts w:eastAsia="SimSun"/>
          <w:lang w:eastAsia="en-US"/>
        </w:rPr>
        <w:t>ASL</w:t>
      </w:r>
      <w:r>
        <w:rPr>
          <w:rFonts w:eastAsia="SimSun"/>
          <w:lang w:eastAsia="en-US"/>
        </w:rPr>
        <w:t xml:space="preserve"> – </w:t>
      </w:r>
      <w:r w:rsidRPr="00AE6A60">
        <w:rPr>
          <w:rFonts w:eastAsia="SimSun"/>
          <w:lang w:eastAsia="en-US"/>
        </w:rPr>
        <w:t>allocates overhead costs that are driven more by staffing than expenditure (for example, human resources, IT support and property costs).</w:t>
      </w:r>
    </w:p>
    <w:p w14:paraId="1E5B9AF2" w14:textId="77777777" w:rsidR="00E41A00" w:rsidRDefault="00E41A00" w:rsidP="00882E54">
      <w:pPr>
        <w:pStyle w:val="Paragraph"/>
        <w:rPr>
          <w:lang w:eastAsia="en-US"/>
        </w:rPr>
      </w:pPr>
      <w:r w:rsidRPr="00AE6A60">
        <w:rPr>
          <w:lang w:eastAsia="en-US"/>
        </w:rPr>
        <w:t>The output costs reported in Table 1</w:t>
      </w:r>
      <w:r>
        <w:rPr>
          <w:lang w:eastAsia="en-US"/>
        </w:rPr>
        <w:t>3</w:t>
      </w:r>
      <w:r w:rsidRPr="00AE6A60">
        <w:rPr>
          <w:lang w:eastAsia="en-US"/>
        </w:rPr>
        <w:t xml:space="preserve"> </w:t>
      </w:r>
      <w:r>
        <w:rPr>
          <w:lang w:eastAsia="en-US"/>
        </w:rPr>
        <w:t xml:space="preserve">reflect </w:t>
      </w:r>
      <w:r w:rsidRPr="00AE6A60">
        <w:rPr>
          <w:lang w:eastAsia="en-US"/>
        </w:rPr>
        <w:t>the cost object</w:t>
      </w:r>
      <w:r>
        <w:rPr>
          <w:lang w:eastAsia="en-US"/>
        </w:rPr>
        <w:t>s</w:t>
      </w:r>
      <w:r w:rsidRPr="00AE6A60">
        <w:rPr>
          <w:lang w:eastAsia="en-US"/>
        </w:rPr>
        <w:t xml:space="preserve"> captured at a lowest level by the ACCC. As an activity-based cost system is not used by the ACCC</w:t>
      </w:r>
      <w:r>
        <w:rPr>
          <w:lang w:eastAsia="en-US"/>
        </w:rPr>
        <w:t>;</w:t>
      </w:r>
      <w:r w:rsidRPr="00AE6A60">
        <w:rPr>
          <w:lang w:eastAsia="en-US"/>
        </w:rPr>
        <w:t xml:space="preserve"> these costs are captured at cost object level. </w:t>
      </w:r>
    </w:p>
    <w:p w14:paraId="3B53FA40" w14:textId="77777777" w:rsidR="00E41A00" w:rsidRPr="00AE6A60" w:rsidRDefault="00E41A00" w:rsidP="00882E54">
      <w:pPr>
        <w:pStyle w:val="Paragraph"/>
        <w:rPr>
          <w:lang w:eastAsia="en-US"/>
        </w:rPr>
      </w:pPr>
      <w:r w:rsidRPr="00AE6A60">
        <w:rPr>
          <w:lang w:eastAsia="en-US"/>
        </w:rPr>
        <w:t>T</w:t>
      </w:r>
      <w:r w:rsidRPr="0036276F">
        <w:rPr>
          <w:lang w:eastAsia="en-US"/>
        </w:rPr>
        <w:t>able 1</w:t>
      </w:r>
      <w:r>
        <w:rPr>
          <w:lang w:eastAsia="en-US"/>
        </w:rPr>
        <w:t>4</w:t>
      </w:r>
      <w:r w:rsidRPr="00AE6A60">
        <w:rPr>
          <w:lang w:eastAsia="en-US"/>
        </w:rPr>
        <w:t xml:space="preserve"> sets out the allocation method to be applied by the ACCC to each of the corporate categories.</w:t>
      </w:r>
    </w:p>
    <w:p w14:paraId="1FB435E7" w14:textId="77777777" w:rsidR="00E41A00" w:rsidRPr="00AE6A60" w:rsidRDefault="00E41A00" w:rsidP="00882E54">
      <w:pPr>
        <w:pStyle w:val="Tableheading"/>
      </w:pPr>
      <w:r w:rsidRPr="00AE6A60">
        <w:t>Allocation of the ACCC’s support costs</w:t>
      </w:r>
    </w:p>
    <w:tbl>
      <w:tblPr>
        <w:tblStyle w:val="TableGrid"/>
        <w:tblW w:w="8835" w:type="dxa"/>
        <w:tblInd w:w="-5" w:type="dxa"/>
        <w:tblLayout w:type="fixed"/>
        <w:tblCellMar>
          <w:top w:w="85" w:type="dxa"/>
          <w:left w:w="57" w:type="dxa"/>
          <w:bottom w:w="85" w:type="dxa"/>
          <w:right w:w="57" w:type="dxa"/>
        </w:tblCellMar>
        <w:tblLook w:val="04A0" w:firstRow="1" w:lastRow="0" w:firstColumn="1" w:lastColumn="0" w:noHBand="0" w:noVBand="1"/>
        <w:tblCaption w:val="Allocation of ACCC’s support costs"/>
        <w:tblDescription w:val="Includes categories, cost drivers and allocation methods."/>
      </w:tblPr>
      <w:tblGrid>
        <w:gridCol w:w="3079"/>
        <w:gridCol w:w="2275"/>
        <w:gridCol w:w="3481"/>
      </w:tblGrid>
      <w:tr w:rsidR="00E41A00" w:rsidRPr="00882E54" w14:paraId="11494489" w14:textId="77777777" w:rsidTr="006E2755">
        <w:trPr>
          <w:trHeight w:val="226"/>
          <w:tblHeader/>
        </w:trPr>
        <w:tc>
          <w:tcPr>
            <w:tcW w:w="3079" w:type="dxa"/>
            <w:shd w:val="clear" w:color="auto" w:fill="404040" w:themeFill="text1" w:themeFillTint="BF"/>
          </w:tcPr>
          <w:p w14:paraId="5F84B1C9" w14:textId="77777777" w:rsidR="00E41A00" w:rsidRPr="00882E54" w:rsidRDefault="00E41A00" w:rsidP="00882E54">
            <w:pPr>
              <w:pStyle w:val="TableHeading0"/>
              <w:keepNext/>
              <w:keepLines/>
              <w:spacing w:line="280" w:lineRule="atLeast"/>
              <w:rPr>
                <w:rFonts w:eastAsia="SimSun"/>
                <w:b w:val="0"/>
                <w:color w:val="FFFFFF" w:themeColor="background1"/>
                <w:sz w:val="22"/>
                <w:szCs w:val="22"/>
                <w:lang w:eastAsia="en-US"/>
              </w:rPr>
            </w:pPr>
            <w:r w:rsidRPr="00882E54">
              <w:rPr>
                <w:rFonts w:eastAsia="SimSun"/>
                <w:color w:val="FFFFFF" w:themeColor="background1"/>
                <w:sz w:val="22"/>
                <w:szCs w:val="22"/>
                <w:lang w:eastAsia="en-US"/>
              </w:rPr>
              <w:t>Category</w:t>
            </w:r>
          </w:p>
        </w:tc>
        <w:tc>
          <w:tcPr>
            <w:tcW w:w="2275" w:type="dxa"/>
            <w:shd w:val="clear" w:color="auto" w:fill="404040" w:themeFill="text1" w:themeFillTint="BF"/>
          </w:tcPr>
          <w:p w14:paraId="00A5682E" w14:textId="77777777" w:rsidR="00E41A00" w:rsidRPr="00882E54" w:rsidRDefault="00E41A00" w:rsidP="00882E54">
            <w:pPr>
              <w:pStyle w:val="TableHeading0"/>
              <w:keepNext/>
              <w:keepLines/>
              <w:spacing w:line="280" w:lineRule="atLeast"/>
              <w:rPr>
                <w:rFonts w:eastAsia="SimSun"/>
                <w:b w:val="0"/>
                <w:color w:val="FFFFFF" w:themeColor="background1"/>
                <w:sz w:val="22"/>
                <w:szCs w:val="22"/>
                <w:lang w:eastAsia="en-US"/>
              </w:rPr>
            </w:pPr>
            <w:r w:rsidRPr="00882E54">
              <w:rPr>
                <w:rFonts w:eastAsia="SimSun"/>
                <w:color w:val="FFFFFF" w:themeColor="background1"/>
                <w:sz w:val="22"/>
                <w:szCs w:val="22"/>
                <w:lang w:eastAsia="en-US"/>
              </w:rPr>
              <w:t>Cost driver</w:t>
            </w:r>
          </w:p>
        </w:tc>
        <w:tc>
          <w:tcPr>
            <w:tcW w:w="3481" w:type="dxa"/>
            <w:shd w:val="clear" w:color="auto" w:fill="404040" w:themeFill="text1" w:themeFillTint="BF"/>
          </w:tcPr>
          <w:p w14:paraId="649A5F5C" w14:textId="77777777" w:rsidR="00E41A00" w:rsidRPr="00882E54" w:rsidRDefault="00E41A00" w:rsidP="00882E54">
            <w:pPr>
              <w:pStyle w:val="TableHeading0"/>
              <w:keepNext/>
              <w:keepLines/>
              <w:spacing w:line="280" w:lineRule="atLeast"/>
              <w:rPr>
                <w:rFonts w:eastAsia="SimSun"/>
                <w:b w:val="0"/>
                <w:color w:val="FFFFFF" w:themeColor="background1"/>
                <w:sz w:val="22"/>
                <w:szCs w:val="22"/>
                <w:lang w:eastAsia="en-US"/>
              </w:rPr>
            </w:pPr>
            <w:r w:rsidRPr="00882E54">
              <w:rPr>
                <w:rFonts w:eastAsia="SimSun"/>
                <w:color w:val="FFFFFF" w:themeColor="background1"/>
                <w:sz w:val="22"/>
                <w:szCs w:val="22"/>
                <w:lang w:eastAsia="en-US"/>
              </w:rPr>
              <w:t>Allocation method</w:t>
            </w:r>
          </w:p>
        </w:tc>
      </w:tr>
      <w:tr w:rsidR="00E41A00" w:rsidRPr="00882E54" w14:paraId="4BC1507F" w14:textId="77777777" w:rsidTr="006E2755">
        <w:trPr>
          <w:trHeight w:val="226"/>
        </w:trPr>
        <w:tc>
          <w:tcPr>
            <w:tcW w:w="3079" w:type="dxa"/>
          </w:tcPr>
          <w:p w14:paraId="42D7013A" w14:textId="77777777" w:rsidR="00E41A00" w:rsidRPr="00882E54" w:rsidRDefault="00E41A00" w:rsidP="00882E54">
            <w:pPr>
              <w:keepNext/>
              <w:keepLines/>
              <w:spacing w:after="0" w:line="280" w:lineRule="atLeast"/>
              <w:rPr>
                <w:rFonts w:eastAsia="SimSun" w:cs="Arial"/>
                <w:sz w:val="22"/>
                <w:szCs w:val="22"/>
                <w:lang w:eastAsia="en-US"/>
              </w:rPr>
            </w:pPr>
            <w:r w:rsidRPr="00882E54">
              <w:rPr>
                <w:rFonts w:cs="Arial"/>
                <w:sz w:val="22"/>
                <w:szCs w:val="22"/>
              </w:rPr>
              <w:t>Executive</w:t>
            </w:r>
          </w:p>
        </w:tc>
        <w:tc>
          <w:tcPr>
            <w:tcW w:w="2275" w:type="dxa"/>
            <w:vMerge w:val="restart"/>
            <w:vAlign w:val="center"/>
          </w:tcPr>
          <w:p w14:paraId="4D56F685" w14:textId="77777777" w:rsidR="00E41A00" w:rsidRPr="00882E54" w:rsidRDefault="00E41A00" w:rsidP="00882E54">
            <w:pPr>
              <w:keepNext/>
              <w:keepLines/>
              <w:spacing w:after="0" w:line="280" w:lineRule="atLeast"/>
              <w:rPr>
                <w:rFonts w:eastAsia="SimSun" w:cs="Arial"/>
                <w:sz w:val="22"/>
                <w:szCs w:val="22"/>
                <w:lang w:eastAsia="en-US"/>
              </w:rPr>
            </w:pPr>
            <w:r w:rsidRPr="00882E54">
              <w:rPr>
                <w:rFonts w:eastAsia="SimSun" w:cs="Arial"/>
                <w:sz w:val="22"/>
                <w:szCs w:val="22"/>
                <w:lang w:eastAsia="en-US"/>
              </w:rPr>
              <w:t>Non-legal costs</w:t>
            </w:r>
          </w:p>
        </w:tc>
        <w:tc>
          <w:tcPr>
            <w:tcW w:w="3481" w:type="dxa"/>
            <w:vMerge w:val="restart"/>
            <w:vAlign w:val="center"/>
          </w:tcPr>
          <w:p w14:paraId="1C3C2E1A" w14:textId="77777777" w:rsidR="00E41A00" w:rsidRPr="00882E54" w:rsidRDefault="00E41A00" w:rsidP="00882E54">
            <w:pPr>
              <w:keepNext/>
              <w:keepLines/>
              <w:spacing w:after="0" w:line="280" w:lineRule="atLeast"/>
              <w:rPr>
                <w:rFonts w:eastAsia="SimSun" w:cs="Arial"/>
                <w:sz w:val="22"/>
                <w:szCs w:val="22"/>
                <w:lang w:eastAsia="en-US"/>
              </w:rPr>
            </w:pPr>
            <w:r w:rsidRPr="00882E54">
              <w:rPr>
                <w:rFonts w:eastAsia="SimSun" w:cs="Arial"/>
                <w:sz w:val="22"/>
                <w:szCs w:val="22"/>
                <w:lang w:eastAsia="en-US"/>
              </w:rPr>
              <w:t>Percentage allocation based on the proportion of the communications function component to the ACCC’s operational divisions* component</w:t>
            </w:r>
          </w:p>
        </w:tc>
      </w:tr>
      <w:tr w:rsidR="00E41A00" w:rsidRPr="00882E54" w14:paraId="3E985C1E" w14:textId="77777777" w:rsidTr="006E2755">
        <w:trPr>
          <w:trHeight w:val="226"/>
        </w:trPr>
        <w:tc>
          <w:tcPr>
            <w:tcW w:w="3079" w:type="dxa"/>
          </w:tcPr>
          <w:p w14:paraId="5239E2B1" w14:textId="77777777" w:rsidR="00E41A00" w:rsidRPr="00882E54" w:rsidRDefault="00E41A00" w:rsidP="00882E54">
            <w:pPr>
              <w:keepNext/>
              <w:keepLines/>
              <w:spacing w:after="0" w:line="280" w:lineRule="atLeast"/>
              <w:rPr>
                <w:rFonts w:eastAsia="SimSun" w:cs="Arial"/>
                <w:sz w:val="22"/>
                <w:szCs w:val="22"/>
                <w:lang w:eastAsia="en-US"/>
              </w:rPr>
            </w:pPr>
            <w:r w:rsidRPr="00882E54">
              <w:rPr>
                <w:rFonts w:cs="Arial"/>
                <w:sz w:val="22"/>
                <w:szCs w:val="22"/>
              </w:rPr>
              <w:t>Corporate management</w:t>
            </w:r>
          </w:p>
        </w:tc>
        <w:tc>
          <w:tcPr>
            <w:tcW w:w="2275" w:type="dxa"/>
            <w:vMerge/>
            <w:vAlign w:val="center"/>
          </w:tcPr>
          <w:p w14:paraId="11BA6FE1" w14:textId="77777777" w:rsidR="00E41A00" w:rsidRPr="00882E54" w:rsidRDefault="00E41A00" w:rsidP="00882E54">
            <w:pPr>
              <w:keepNext/>
              <w:keepLines/>
              <w:spacing w:after="0" w:line="280" w:lineRule="atLeast"/>
              <w:rPr>
                <w:rFonts w:eastAsia="SimSun" w:cs="Arial"/>
                <w:sz w:val="22"/>
                <w:szCs w:val="22"/>
                <w:lang w:eastAsia="en-US"/>
              </w:rPr>
            </w:pPr>
          </w:p>
        </w:tc>
        <w:tc>
          <w:tcPr>
            <w:tcW w:w="3481" w:type="dxa"/>
            <w:vMerge/>
          </w:tcPr>
          <w:p w14:paraId="3862BA78" w14:textId="77777777" w:rsidR="00E41A00" w:rsidRPr="00882E54" w:rsidRDefault="00E41A00" w:rsidP="00882E54">
            <w:pPr>
              <w:keepNext/>
              <w:keepLines/>
              <w:spacing w:after="0" w:line="280" w:lineRule="atLeast"/>
              <w:jc w:val="right"/>
              <w:rPr>
                <w:rFonts w:eastAsia="SimSun" w:cs="Arial"/>
                <w:sz w:val="22"/>
                <w:szCs w:val="22"/>
                <w:lang w:eastAsia="en-US"/>
              </w:rPr>
            </w:pPr>
          </w:p>
        </w:tc>
      </w:tr>
      <w:tr w:rsidR="00E41A00" w:rsidRPr="00882E54" w14:paraId="30E52058" w14:textId="77777777" w:rsidTr="006E2755">
        <w:trPr>
          <w:trHeight w:val="226"/>
        </w:trPr>
        <w:tc>
          <w:tcPr>
            <w:tcW w:w="3079" w:type="dxa"/>
          </w:tcPr>
          <w:p w14:paraId="7612D285" w14:textId="77777777" w:rsidR="00E41A00" w:rsidRPr="00882E54" w:rsidRDefault="00E41A00" w:rsidP="00882E54">
            <w:pPr>
              <w:keepNext/>
              <w:keepLines/>
              <w:spacing w:after="0" w:line="280" w:lineRule="atLeast"/>
              <w:rPr>
                <w:rFonts w:eastAsia="SimSun" w:cs="Arial"/>
                <w:sz w:val="22"/>
                <w:szCs w:val="22"/>
                <w:lang w:eastAsia="en-US"/>
              </w:rPr>
            </w:pPr>
            <w:r w:rsidRPr="00882E54">
              <w:rPr>
                <w:rFonts w:cs="Arial"/>
                <w:sz w:val="22"/>
                <w:szCs w:val="22"/>
              </w:rPr>
              <w:t>Corporate services</w:t>
            </w:r>
          </w:p>
        </w:tc>
        <w:tc>
          <w:tcPr>
            <w:tcW w:w="2275" w:type="dxa"/>
            <w:vMerge/>
            <w:vAlign w:val="center"/>
          </w:tcPr>
          <w:p w14:paraId="4B234089" w14:textId="77777777" w:rsidR="00E41A00" w:rsidRPr="00882E54" w:rsidRDefault="00E41A00" w:rsidP="00882E54">
            <w:pPr>
              <w:keepNext/>
              <w:keepLines/>
              <w:spacing w:after="0" w:line="280" w:lineRule="atLeast"/>
              <w:rPr>
                <w:rFonts w:eastAsia="SimSun" w:cs="Arial"/>
                <w:sz w:val="22"/>
                <w:szCs w:val="22"/>
                <w:lang w:eastAsia="en-US"/>
              </w:rPr>
            </w:pPr>
          </w:p>
        </w:tc>
        <w:tc>
          <w:tcPr>
            <w:tcW w:w="3481" w:type="dxa"/>
            <w:vMerge/>
          </w:tcPr>
          <w:p w14:paraId="226FAA4D" w14:textId="77777777" w:rsidR="00E41A00" w:rsidRPr="00882E54" w:rsidRDefault="00E41A00" w:rsidP="00882E54">
            <w:pPr>
              <w:keepNext/>
              <w:keepLines/>
              <w:spacing w:after="0" w:line="280" w:lineRule="atLeast"/>
              <w:jc w:val="right"/>
              <w:rPr>
                <w:rFonts w:eastAsia="SimSun" w:cs="Arial"/>
                <w:sz w:val="22"/>
                <w:szCs w:val="22"/>
                <w:lang w:eastAsia="en-US"/>
              </w:rPr>
            </w:pPr>
          </w:p>
        </w:tc>
      </w:tr>
      <w:tr w:rsidR="00E41A00" w:rsidRPr="00882E54" w14:paraId="7BC17392" w14:textId="77777777" w:rsidTr="006E2755">
        <w:trPr>
          <w:trHeight w:val="226"/>
        </w:trPr>
        <w:tc>
          <w:tcPr>
            <w:tcW w:w="3079" w:type="dxa"/>
          </w:tcPr>
          <w:p w14:paraId="611697AC" w14:textId="77777777" w:rsidR="00E41A00" w:rsidRPr="00882E54" w:rsidRDefault="00E41A00" w:rsidP="00882E54">
            <w:pPr>
              <w:keepNext/>
              <w:keepLines/>
              <w:spacing w:after="0" w:line="280" w:lineRule="atLeast"/>
              <w:rPr>
                <w:rFonts w:eastAsia="SimSun" w:cs="Arial"/>
                <w:sz w:val="22"/>
                <w:szCs w:val="22"/>
                <w:lang w:eastAsia="en-US"/>
              </w:rPr>
            </w:pPr>
            <w:r w:rsidRPr="00882E54">
              <w:rPr>
                <w:rFonts w:cs="Arial"/>
                <w:sz w:val="22"/>
                <w:szCs w:val="22"/>
              </w:rPr>
              <w:t>Finance</w:t>
            </w:r>
          </w:p>
        </w:tc>
        <w:tc>
          <w:tcPr>
            <w:tcW w:w="2275" w:type="dxa"/>
            <w:vMerge/>
            <w:vAlign w:val="center"/>
          </w:tcPr>
          <w:p w14:paraId="3AC59B2B" w14:textId="77777777" w:rsidR="00E41A00" w:rsidRPr="00882E54" w:rsidRDefault="00E41A00" w:rsidP="00882E54">
            <w:pPr>
              <w:keepNext/>
              <w:keepLines/>
              <w:spacing w:after="0" w:line="280" w:lineRule="atLeast"/>
              <w:rPr>
                <w:rFonts w:eastAsia="SimSun" w:cs="Arial"/>
                <w:sz w:val="22"/>
                <w:szCs w:val="22"/>
                <w:lang w:eastAsia="en-US"/>
              </w:rPr>
            </w:pPr>
          </w:p>
        </w:tc>
        <w:tc>
          <w:tcPr>
            <w:tcW w:w="3481" w:type="dxa"/>
            <w:vMerge/>
          </w:tcPr>
          <w:p w14:paraId="49DE99DC" w14:textId="77777777" w:rsidR="00E41A00" w:rsidRPr="00882E54" w:rsidRDefault="00E41A00" w:rsidP="00882E54">
            <w:pPr>
              <w:keepNext/>
              <w:keepLines/>
              <w:spacing w:after="0" w:line="280" w:lineRule="atLeast"/>
              <w:jc w:val="right"/>
              <w:rPr>
                <w:rFonts w:eastAsia="SimSun" w:cs="Arial"/>
                <w:sz w:val="22"/>
                <w:szCs w:val="22"/>
                <w:lang w:eastAsia="en-US"/>
              </w:rPr>
            </w:pPr>
          </w:p>
        </w:tc>
      </w:tr>
      <w:tr w:rsidR="00E41A00" w:rsidRPr="00882E54" w14:paraId="5727EEE3" w14:textId="77777777" w:rsidTr="006E2755">
        <w:trPr>
          <w:trHeight w:val="226"/>
        </w:trPr>
        <w:tc>
          <w:tcPr>
            <w:tcW w:w="3079" w:type="dxa"/>
          </w:tcPr>
          <w:p w14:paraId="477BA266" w14:textId="77777777" w:rsidR="00E41A00" w:rsidRPr="00882E54" w:rsidRDefault="00E41A00" w:rsidP="00882E54">
            <w:pPr>
              <w:keepNext/>
              <w:keepLines/>
              <w:spacing w:after="0" w:line="280" w:lineRule="atLeast"/>
              <w:rPr>
                <w:rFonts w:eastAsia="SimSun" w:cs="Arial"/>
                <w:sz w:val="22"/>
                <w:szCs w:val="22"/>
                <w:lang w:eastAsia="en-US"/>
              </w:rPr>
            </w:pPr>
            <w:r w:rsidRPr="00882E54">
              <w:rPr>
                <w:rFonts w:cs="Arial"/>
                <w:sz w:val="22"/>
                <w:szCs w:val="22"/>
              </w:rPr>
              <w:t>Strategic communications</w:t>
            </w:r>
          </w:p>
        </w:tc>
        <w:tc>
          <w:tcPr>
            <w:tcW w:w="2275" w:type="dxa"/>
            <w:vMerge/>
            <w:vAlign w:val="center"/>
          </w:tcPr>
          <w:p w14:paraId="6D11EE5B" w14:textId="77777777" w:rsidR="00E41A00" w:rsidRPr="00882E54" w:rsidRDefault="00E41A00" w:rsidP="00882E54">
            <w:pPr>
              <w:keepNext/>
              <w:keepLines/>
              <w:spacing w:after="0" w:line="280" w:lineRule="atLeast"/>
              <w:rPr>
                <w:rFonts w:eastAsia="SimSun" w:cs="Arial"/>
                <w:sz w:val="22"/>
                <w:szCs w:val="22"/>
                <w:lang w:eastAsia="en-US"/>
              </w:rPr>
            </w:pPr>
          </w:p>
        </w:tc>
        <w:tc>
          <w:tcPr>
            <w:tcW w:w="3481" w:type="dxa"/>
            <w:vMerge/>
          </w:tcPr>
          <w:p w14:paraId="63F207F3" w14:textId="77777777" w:rsidR="00E41A00" w:rsidRPr="00882E54" w:rsidRDefault="00E41A00" w:rsidP="00882E54">
            <w:pPr>
              <w:keepNext/>
              <w:keepLines/>
              <w:spacing w:after="0" w:line="280" w:lineRule="atLeast"/>
              <w:jc w:val="right"/>
              <w:rPr>
                <w:rFonts w:eastAsia="SimSun" w:cs="Arial"/>
                <w:sz w:val="22"/>
                <w:szCs w:val="22"/>
                <w:lang w:eastAsia="en-US"/>
              </w:rPr>
            </w:pPr>
          </w:p>
        </w:tc>
      </w:tr>
      <w:tr w:rsidR="00E41A00" w:rsidRPr="00882E54" w14:paraId="094E2CA6" w14:textId="77777777" w:rsidTr="006E2755">
        <w:trPr>
          <w:trHeight w:val="226"/>
        </w:trPr>
        <w:tc>
          <w:tcPr>
            <w:tcW w:w="3079" w:type="dxa"/>
          </w:tcPr>
          <w:p w14:paraId="32044CBD" w14:textId="77777777" w:rsidR="00E41A00" w:rsidRPr="00882E54" w:rsidRDefault="00E41A00" w:rsidP="00882E54">
            <w:pPr>
              <w:keepNext/>
              <w:keepLines/>
              <w:spacing w:after="0" w:line="280" w:lineRule="atLeast"/>
              <w:rPr>
                <w:rFonts w:eastAsia="SimSun" w:cs="Arial"/>
                <w:sz w:val="22"/>
                <w:szCs w:val="22"/>
                <w:lang w:eastAsia="en-US"/>
              </w:rPr>
            </w:pPr>
            <w:r w:rsidRPr="00882E54">
              <w:rPr>
                <w:rFonts w:cs="Arial"/>
                <w:sz w:val="22"/>
                <w:szCs w:val="22"/>
              </w:rPr>
              <w:t>Information and technology</w:t>
            </w:r>
          </w:p>
        </w:tc>
        <w:tc>
          <w:tcPr>
            <w:tcW w:w="2275" w:type="dxa"/>
            <w:vMerge w:val="restart"/>
            <w:vAlign w:val="center"/>
          </w:tcPr>
          <w:p w14:paraId="6A00B311" w14:textId="77777777" w:rsidR="00E41A00" w:rsidRPr="00882E54" w:rsidRDefault="00E41A00" w:rsidP="00882E54">
            <w:pPr>
              <w:keepNext/>
              <w:keepLines/>
              <w:spacing w:after="0" w:line="280" w:lineRule="atLeast"/>
              <w:rPr>
                <w:rFonts w:eastAsia="SimSun" w:cs="Arial"/>
                <w:sz w:val="22"/>
                <w:szCs w:val="22"/>
                <w:lang w:eastAsia="en-US"/>
              </w:rPr>
            </w:pPr>
            <w:r w:rsidRPr="00882E54">
              <w:rPr>
                <w:rFonts w:eastAsia="SimSun" w:cs="Arial"/>
                <w:sz w:val="22"/>
                <w:szCs w:val="22"/>
                <w:lang w:eastAsia="en-US"/>
              </w:rPr>
              <w:t>ASL</w:t>
            </w:r>
          </w:p>
        </w:tc>
        <w:tc>
          <w:tcPr>
            <w:tcW w:w="3481" w:type="dxa"/>
            <w:vMerge/>
          </w:tcPr>
          <w:p w14:paraId="37E28D29" w14:textId="77777777" w:rsidR="00E41A00" w:rsidRPr="00882E54" w:rsidRDefault="00E41A00" w:rsidP="00882E54">
            <w:pPr>
              <w:keepNext/>
              <w:keepLines/>
              <w:spacing w:after="0" w:line="280" w:lineRule="atLeast"/>
              <w:jc w:val="center"/>
              <w:rPr>
                <w:rFonts w:eastAsia="SimSun" w:cs="Arial"/>
                <w:sz w:val="22"/>
                <w:szCs w:val="22"/>
                <w:lang w:eastAsia="en-US"/>
              </w:rPr>
            </w:pPr>
          </w:p>
        </w:tc>
      </w:tr>
      <w:tr w:rsidR="00E41A00" w:rsidRPr="00882E54" w14:paraId="521FF092" w14:textId="77777777" w:rsidTr="006E2755">
        <w:trPr>
          <w:trHeight w:val="226"/>
        </w:trPr>
        <w:tc>
          <w:tcPr>
            <w:tcW w:w="3079" w:type="dxa"/>
          </w:tcPr>
          <w:p w14:paraId="17138C1D" w14:textId="77777777" w:rsidR="00E41A00" w:rsidRPr="00882E54" w:rsidRDefault="00E41A00" w:rsidP="00882E54">
            <w:pPr>
              <w:keepNext/>
              <w:keepLines/>
              <w:spacing w:after="0" w:line="280" w:lineRule="atLeast"/>
              <w:rPr>
                <w:rFonts w:eastAsia="SimSun" w:cs="Arial"/>
                <w:sz w:val="22"/>
                <w:szCs w:val="22"/>
                <w:lang w:eastAsia="en-US"/>
              </w:rPr>
            </w:pPr>
            <w:r w:rsidRPr="00882E54">
              <w:rPr>
                <w:rFonts w:cs="Arial"/>
                <w:sz w:val="22"/>
                <w:szCs w:val="22"/>
              </w:rPr>
              <w:t>Human resources</w:t>
            </w:r>
          </w:p>
        </w:tc>
        <w:tc>
          <w:tcPr>
            <w:tcW w:w="2275" w:type="dxa"/>
            <w:vMerge/>
            <w:vAlign w:val="center"/>
          </w:tcPr>
          <w:p w14:paraId="63F2E3AA" w14:textId="77777777" w:rsidR="00E41A00" w:rsidRPr="00882E54" w:rsidRDefault="00E41A00" w:rsidP="00882E54">
            <w:pPr>
              <w:keepNext/>
              <w:keepLines/>
              <w:spacing w:after="0" w:line="280" w:lineRule="atLeast"/>
              <w:rPr>
                <w:rFonts w:eastAsia="SimSun" w:cs="Arial"/>
                <w:sz w:val="22"/>
                <w:szCs w:val="22"/>
                <w:lang w:eastAsia="en-US"/>
              </w:rPr>
            </w:pPr>
          </w:p>
        </w:tc>
        <w:tc>
          <w:tcPr>
            <w:tcW w:w="3481" w:type="dxa"/>
            <w:vMerge/>
          </w:tcPr>
          <w:p w14:paraId="7814D442" w14:textId="77777777" w:rsidR="00E41A00" w:rsidRPr="00882E54" w:rsidRDefault="00E41A00" w:rsidP="00882E54">
            <w:pPr>
              <w:keepNext/>
              <w:keepLines/>
              <w:spacing w:after="0" w:line="280" w:lineRule="atLeast"/>
              <w:jc w:val="center"/>
              <w:rPr>
                <w:rFonts w:eastAsia="SimSun" w:cs="Arial"/>
                <w:sz w:val="22"/>
                <w:szCs w:val="22"/>
                <w:lang w:eastAsia="en-US"/>
              </w:rPr>
            </w:pPr>
          </w:p>
        </w:tc>
      </w:tr>
      <w:tr w:rsidR="00E41A00" w:rsidRPr="00882E54" w14:paraId="5935E7C8" w14:textId="77777777" w:rsidTr="006E2755">
        <w:trPr>
          <w:trHeight w:val="226"/>
        </w:trPr>
        <w:tc>
          <w:tcPr>
            <w:tcW w:w="3079" w:type="dxa"/>
          </w:tcPr>
          <w:p w14:paraId="2E5CEFFA" w14:textId="77777777" w:rsidR="00E41A00" w:rsidRPr="00882E54" w:rsidRDefault="00E41A00" w:rsidP="00882E54">
            <w:pPr>
              <w:keepNext/>
              <w:keepLines/>
              <w:spacing w:after="0" w:line="280" w:lineRule="atLeast"/>
              <w:rPr>
                <w:rFonts w:eastAsia="SimSun" w:cs="Arial"/>
                <w:sz w:val="22"/>
                <w:szCs w:val="22"/>
                <w:lang w:eastAsia="en-US"/>
              </w:rPr>
            </w:pPr>
            <w:r w:rsidRPr="00882E54">
              <w:rPr>
                <w:rFonts w:cs="Arial"/>
                <w:sz w:val="22"/>
                <w:szCs w:val="22"/>
              </w:rPr>
              <w:t>Property</w:t>
            </w:r>
          </w:p>
        </w:tc>
        <w:tc>
          <w:tcPr>
            <w:tcW w:w="2275" w:type="dxa"/>
            <w:vMerge/>
            <w:vAlign w:val="center"/>
          </w:tcPr>
          <w:p w14:paraId="3E6F029E" w14:textId="77777777" w:rsidR="00E41A00" w:rsidRPr="00882E54" w:rsidRDefault="00E41A00" w:rsidP="00882E54">
            <w:pPr>
              <w:keepNext/>
              <w:keepLines/>
              <w:spacing w:after="0" w:line="280" w:lineRule="atLeast"/>
              <w:rPr>
                <w:rFonts w:eastAsia="SimSun" w:cs="Arial"/>
                <w:sz w:val="22"/>
                <w:szCs w:val="22"/>
                <w:lang w:eastAsia="en-US"/>
              </w:rPr>
            </w:pPr>
          </w:p>
        </w:tc>
        <w:tc>
          <w:tcPr>
            <w:tcW w:w="3481" w:type="dxa"/>
            <w:vMerge/>
          </w:tcPr>
          <w:p w14:paraId="43C43519" w14:textId="77777777" w:rsidR="00E41A00" w:rsidRPr="00882E54" w:rsidRDefault="00E41A00" w:rsidP="00882E54">
            <w:pPr>
              <w:keepNext/>
              <w:keepLines/>
              <w:spacing w:after="0" w:line="280" w:lineRule="atLeast"/>
              <w:jc w:val="center"/>
              <w:rPr>
                <w:rFonts w:eastAsia="SimSun" w:cs="Arial"/>
                <w:sz w:val="22"/>
                <w:szCs w:val="22"/>
                <w:lang w:eastAsia="en-US"/>
              </w:rPr>
            </w:pPr>
          </w:p>
        </w:tc>
      </w:tr>
      <w:tr w:rsidR="00E41A00" w:rsidRPr="00882E54" w14:paraId="3DB4CFA2" w14:textId="77777777" w:rsidTr="006E2755">
        <w:trPr>
          <w:trHeight w:val="226"/>
        </w:trPr>
        <w:tc>
          <w:tcPr>
            <w:tcW w:w="3079" w:type="dxa"/>
          </w:tcPr>
          <w:p w14:paraId="0409CC7C" w14:textId="77777777" w:rsidR="00E41A00" w:rsidRPr="00882E54" w:rsidRDefault="00E41A00" w:rsidP="00882E54">
            <w:pPr>
              <w:keepNext/>
              <w:keepLines/>
              <w:spacing w:after="0" w:line="280" w:lineRule="atLeast"/>
              <w:rPr>
                <w:rFonts w:eastAsia="SimSun" w:cs="Arial"/>
                <w:sz w:val="22"/>
                <w:szCs w:val="22"/>
                <w:lang w:eastAsia="en-US"/>
              </w:rPr>
            </w:pPr>
            <w:r w:rsidRPr="00882E54">
              <w:rPr>
                <w:rFonts w:cs="Arial"/>
                <w:sz w:val="22"/>
                <w:szCs w:val="22"/>
              </w:rPr>
              <w:t>Asset usage</w:t>
            </w:r>
          </w:p>
        </w:tc>
        <w:tc>
          <w:tcPr>
            <w:tcW w:w="2275" w:type="dxa"/>
            <w:vMerge/>
            <w:vAlign w:val="center"/>
          </w:tcPr>
          <w:p w14:paraId="06F668F2" w14:textId="77777777" w:rsidR="00E41A00" w:rsidRPr="00882E54" w:rsidRDefault="00E41A00" w:rsidP="00882E54">
            <w:pPr>
              <w:keepNext/>
              <w:keepLines/>
              <w:spacing w:after="0" w:line="280" w:lineRule="atLeast"/>
              <w:rPr>
                <w:rFonts w:eastAsia="SimSun" w:cs="Arial"/>
                <w:sz w:val="22"/>
                <w:szCs w:val="22"/>
                <w:lang w:eastAsia="en-US"/>
              </w:rPr>
            </w:pPr>
          </w:p>
        </w:tc>
        <w:tc>
          <w:tcPr>
            <w:tcW w:w="3481" w:type="dxa"/>
            <w:vMerge/>
          </w:tcPr>
          <w:p w14:paraId="3624D2B9" w14:textId="77777777" w:rsidR="00E41A00" w:rsidRPr="00882E54" w:rsidRDefault="00E41A00" w:rsidP="00882E54">
            <w:pPr>
              <w:keepNext/>
              <w:keepLines/>
              <w:spacing w:after="0" w:line="280" w:lineRule="atLeast"/>
              <w:jc w:val="center"/>
              <w:rPr>
                <w:rFonts w:eastAsia="SimSun" w:cs="Arial"/>
                <w:sz w:val="22"/>
                <w:szCs w:val="22"/>
                <w:lang w:eastAsia="en-US"/>
              </w:rPr>
            </w:pPr>
          </w:p>
        </w:tc>
      </w:tr>
      <w:tr w:rsidR="00E41A00" w:rsidRPr="00882E54" w14:paraId="6AF60271" w14:textId="77777777" w:rsidTr="006E2755">
        <w:trPr>
          <w:trHeight w:val="226"/>
        </w:trPr>
        <w:tc>
          <w:tcPr>
            <w:tcW w:w="3079" w:type="dxa"/>
          </w:tcPr>
          <w:p w14:paraId="5C8E5E2E" w14:textId="77777777" w:rsidR="00E41A00" w:rsidRPr="00882E54" w:rsidRDefault="00E41A00" w:rsidP="00882E54">
            <w:pPr>
              <w:keepNext/>
              <w:keepLines/>
              <w:spacing w:after="0" w:line="280" w:lineRule="atLeast"/>
              <w:rPr>
                <w:rFonts w:cs="Arial"/>
                <w:sz w:val="22"/>
                <w:szCs w:val="22"/>
              </w:rPr>
            </w:pPr>
            <w:r w:rsidRPr="00882E54">
              <w:rPr>
                <w:rFonts w:cs="Arial"/>
                <w:sz w:val="22"/>
                <w:szCs w:val="22"/>
              </w:rPr>
              <w:t>Legal</w:t>
            </w:r>
          </w:p>
        </w:tc>
        <w:tc>
          <w:tcPr>
            <w:tcW w:w="2275" w:type="dxa"/>
            <w:vAlign w:val="center"/>
          </w:tcPr>
          <w:p w14:paraId="5CBFECDE" w14:textId="77777777" w:rsidR="00E41A00" w:rsidRPr="00882E54" w:rsidRDefault="00E41A00" w:rsidP="00882E54">
            <w:pPr>
              <w:keepNext/>
              <w:keepLines/>
              <w:spacing w:after="0" w:line="280" w:lineRule="atLeast"/>
              <w:rPr>
                <w:rFonts w:eastAsia="SimSun" w:cs="Arial"/>
                <w:sz w:val="22"/>
                <w:szCs w:val="22"/>
                <w:lang w:eastAsia="en-US"/>
              </w:rPr>
            </w:pPr>
            <w:r w:rsidRPr="00882E54">
              <w:rPr>
                <w:rFonts w:eastAsia="SimSun" w:cs="Arial"/>
                <w:sz w:val="22"/>
                <w:szCs w:val="22"/>
                <w:lang w:eastAsia="en-US"/>
              </w:rPr>
              <w:t>Legal costs</w:t>
            </w:r>
          </w:p>
        </w:tc>
        <w:tc>
          <w:tcPr>
            <w:tcW w:w="3481" w:type="dxa"/>
            <w:vMerge/>
          </w:tcPr>
          <w:p w14:paraId="49EED88A" w14:textId="77777777" w:rsidR="00E41A00" w:rsidRPr="00882E54" w:rsidRDefault="00E41A00" w:rsidP="00882E54">
            <w:pPr>
              <w:keepNext/>
              <w:keepLines/>
              <w:spacing w:after="0" w:line="280" w:lineRule="atLeast"/>
              <w:jc w:val="center"/>
              <w:rPr>
                <w:rFonts w:eastAsia="SimSun" w:cs="Arial"/>
                <w:sz w:val="22"/>
                <w:szCs w:val="22"/>
                <w:lang w:eastAsia="en-US"/>
              </w:rPr>
            </w:pPr>
          </w:p>
        </w:tc>
      </w:tr>
    </w:tbl>
    <w:p w14:paraId="7AC8A0DC" w14:textId="77777777" w:rsidR="00E41A00" w:rsidRPr="00AE6A60" w:rsidRDefault="00E41A00" w:rsidP="00E41A00">
      <w:pPr>
        <w:pStyle w:val="Tableorfigurenote"/>
        <w:rPr>
          <w:rFonts w:eastAsia="SimSun"/>
          <w:lang w:eastAsia="en-US"/>
        </w:rPr>
      </w:pPr>
      <w:r w:rsidRPr="00124995">
        <w:t>*ACCC’s operational divisions perform consumer and competition regulatory and enforcement functions.</w:t>
      </w:r>
    </w:p>
    <w:p w14:paraId="7DD002D7" w14:textId="77777777" w:rsidR="00E41A00" w:rsidRDefault="00E41A00" w:rsidP="00882E54">
      <w:pPr>
        <w:pStyle w:val="Paragraphbeforelist"/>
        <w:rPr>
          <w:rFonts w:eastAsia="SimSun"/>
          <w:lang w:eastAsia="en-US"/>
        </w:rPr>
      </w:pPr>
      <w:r w:rsidRPr="006B4840">
        <w:rPr>
          <w:rFonts w:eastAsia="SimSun"/>
          <w:lang w:eastAsia="en-US"/>
        </w:rPr>
        <w:t xml:space="preserve">The ACCC’s costs to be determined for the </w:t>
      </w:r>
      <w:r w:rsidRPr="00E10C47">
        <w:rPr>
          <w:rFonts w:eastAsia="SimSun"/>
          <w:lang w:eastAsia="en-US"/>
        </w:rPr>
        <w:t>202</w:t>
      </w:r>
      <w:r>
        <w:rPr>
          <w:rFonts w:eastAsia="SimSun"/>
          <w:lang w:eastAsia="en-US"/>
        </w:rPr>
        <w:t>3</w:t>
      </w:r>
      <w:r w:rsidRPr="00E10C47">
        <w:rPr>
          <w:rFonts w:eastAsia="SimSun"/>
          <w:lang w:eastAsia="en-US"/>
        </w:rPr>
        <w:t>–</w:t>
      </w:r>
      <w:r w:rsidRPr="00E10C47" w:rsidDel="0047453A">
        <w:rPr>
          <w:rFonts w:eastAsia="SimSun"/>
          <w:lang w:eastAsia="en-US"/>
        </w:rPr>
        <w:t>2</w:t>
      </w:r>
      <w:r>
        <w:rPr>
          <w:rFonts w:eastAsia="SimSun"/>
          <w:lang w:eastAsia="en-US"/>
        </w:rPr>
        <w:t>4</w:t>
      </w:r>
      <w:r w:rsidRPr="006B4840">
        <w:rPr>
          <w:rFonts w:eastAsia="SimSun"/>
          <w:lang w:eastAsia="en-US"/>
        </w:rPr>
        <w:t xml:space="preserve"> ACLC (excluding th</w:t>
      </w:r>
      <w:r w:rsidRPr="00EF7D4C">
        <w:rPr>
          <w:rFonts w:eastAsia="SimSun"/>
          <w:lang w:eastAsia="en-US"/>
        </w:rPr>
        <w:t xml:space="preserve">e MBA </w:t>
      </w:r>
      <w:r>
        <w:rPr>
          <w:rFonts w:eastAsia="SimSun"/>
          <w:lang w:eastAsia="en-US"/>
        </w:rPr>
        <w:t xml:space="preserve">program </w:t>
      </w:r>
      <w:r w:rsidRPr="00EF7D4C">
        <w:rPr>
          <w:rFonts w:eastAsia="SimSun"/>
          <w:lang w:eastAsia="en-US"/>
        </w:rPr>
        <w:t>cost</w:t>
      </w:r>
      <w:r w:rsidRPr="006B4840">
        <w:rPr>
          <w:rFonts w:eastAsia="SimSun"/>
          <w:lang w:eastAsia="en-US"/>
        </w:rPr>
        <w:t xml:space="preserve">s, which are discussed in Attachment B) have been calculated at </w:t>
      </w:r>
      <w:r>
        <w:rPr>
          <w:rFonts w:eastAsia="SimSun"/>
          <w:lang w:eastAsia="en-US"/>
        </w:rPr>
        <w:t>$</w:t>
      </w:r>
      <w:r>
        <w:t>11,397,019</w:t>
      </w:r>
      <w:r w:rsidRPr="006B4840">
        <w:rPr>
          <w:rFonts w:eastAsia="SimSun"/>
          <w:lang w:eastAsia="en-US"/>
        </w:rPr>
        <w:t xml:space="preserve">. This represents a </w:t>
      </w:r>
      <w:r>
        <w:rPr>
          <w:rFonts w:eastAsia="SimSun"/>
          <w:lang w:eastAsia="en-US"/>
        </w:rPr>
        <w:t>$1,186,158</w:t>
      </w:r>
      <w:r w:rsidRPr="00E10C47">
        <w:rPr>
          <w:spacing w:val="-2"/>
        </w:rPr>
        <w:t xml:space="preserve"> </w:t>
      </w:r>
      <w:r w:rsidRPr="00E10C47">
        <w:rPr>
          <w:rFonts w:eastAsia="SimSun"/>
          <w:lang w:eastAsia="en-US"/>
        </w:rPr>
        <w:t>(</w:t>
      </w:r>
      <w:r>
        <w:rPr>
          <w:rFonts w:eastAsia="SimSun"/>
          <w:lang w:eastAsia="en-US"/>
        </w:rPr>
        <w:t>11.6</w:t>
      </w:r>
      <w:r w:rsidRPr="00E10C47">
        <w:rPr>
          <w:rFonts w:eastAsia="SimSun"/>
          <w:lang w:eastAsia="en-US"/>
        </w:rPr>
        <w:t>%)</w:t>
      </w:r>
      <w:r w:rsidRPr="00AC01A6" w:rsidDel="005E198B">
        <w:rPr>
          <w:rFonts w:eastAsia="SimSun"/>
          <w:lang w:eastAsia="en-US"/>
        </w:rPr>
        <w:t xml:space="preserve"> </w:t>
      </w:r>
      <w:r>
        <w:rPr>
          <w:rFonts w:eastAsia="SimSun"/>
          <w:lang w:eastAsia="en-US"/>
        </w:rPr>
        <w:t>in</w:t>
      </w:r>
      <w:r w:rsidRPr="00AC01A6">
        <w:rPr>
          <w:rFonts w:eastAsia="SimSun"/>
          <w:lang w:eastAsia="en-US"/>
        </w:rPr>
        <w:t>crease from the previous year, largely driven by</w:t>
      </w:r>
      <w:r>
        <w:rPr>
          <w:rFonts w:eastAsia="SimSun"/>
          <w:lang w:eastAsia="en-US"/>
        </w:rPr>
        <w:t>:</w:t>
      </w:r>
    </w:p>
    <w:p w14:paraId="3009FA1A" w14:textId="677A34E6" w:rsidR="00E41A00" w:rsidRDefault="000677AE" w:rsidP="00882E54">
      <w:pPr>
        <w:pStyle w:val="Bulletlevel1"/>
        <w:rPr>
          <w:rFonts w:eastAsia="SimSun"/>
          <w:lang w:eastAsia="en-US"/>
        </w:rPr>
      </w:pPr>
      <w:r>
        <w:rPr>
          <w:rFonts w:eastAsia="SimSun"/>
          <w:lang w:eastAsia="en-US"/>
        </w:rPr>
        <w:t>i</w:t>
      </w:r>
      <w:r w:rsidR="00E41A00">
        <w:rPr>
          <w:rFonts w:eastAsia="SimSun"/>
          <w:lang w:eastAsia="en-US"/>
        </w:rPr>
        <w:t xml:space="preserve">ncreased employee costs to support the </w:t>
      </w:r>
      <w:r>
        <w:rPr>
          <w:rFonts w:eastAsia="SimSun"/>
          <w:lang w:eastAsia="en-US"/>
        </w:rPr>
        <w:t>g</w:t>
      </w:r>
      <w:r w:rsidR="00E41A00">
        <w:rPr>
          <w:rFonts w:eastAsia="SimSun"/>
          <w:lang w:eastAsia="en-US"/>
        </w:rPr>
        <w:t xml:space="preserve">overnment’s response to the </w:t>
      </w:r>
      <w:r w:rsidR="00E41A00" w:rsidRPr="00F81765">
        <w:rPr>
          <w:rFonts w:eastAsia="SimSun"/>
          <w:i/>
          <w:iCs/>
          <w:lang w:eastAsia="en-US"/>
        </w:rPr>
        <w:t>2021 Regional Telecommunications Review</w:t>
      </w:r>
      <w:r w:rsidR="00E41A00">
        <w:rPr>
          <w:rFonts w:eastAsia="SimSun"/>
          <w:lang w:eastAsia="en-US"/>
        </w:rPr>
        <w:t xml:space="preserve"> by conducting an</w:t>
      </w:r>
      <w:r w:rsidR="00E41A00" w:rsidRPr="0015451A">
        <w:rPr>
          <w:rFonts w:eastAsia="SimSun"/>
          <w:lang w:eastAsia="en-US"/>
        </w:rPr>
        <w:t xml:space="preserve"> inquir</w:t>
      </w:r>
      <w:r w:rsidR="00E41A00">
        <w:rPr>
          <w:rFonts w:eastAsia="SimSun"/>
          <w:lang w:eastAsia="en-US"/>
        </w:rPr>
        <w:t>y</w:t>
      </w:r>
      <w:r w:rsidR="00E41A00" w:rsidRPr="0015451A">
        <w:rPr>
          <w:rFonts w:eastAsia="SimSun"/>
          <w:lang w:eastAsia="en-US"/>
        </w:rPr>
        <w:t xml:space="preserve"> into access to towers and other infrastructure used in the supply of mobile services in regional areas</w:t>
      </w:r>
      <w:r w:rsidR="00E41A00" w:rsidRPr="00F81765">
        <w:rPr>
          <w:rFonts w:eastAsia="SimSun"/>
          <w:lang w:eastAsia="en-US"/>
        </w:rPr>
        <w:t>.</w:t>
      </w:r>
      <w:r w:rsidR="00E41A00">
        <w:rPr>
          <w:rFonts w:eastAsia="SimSun"/>
          <w:lang w:eastAsia="en-US"/>
        </w:rPr>
        <w:t xml:space="preserve"> This was funded through a budget measure in the 2022</w:t>
      </w:r>
      <w:r>
        <w:t>–</w:t>
      </w:r>
      <w:r w:rsidR="00E41A00">
        <w:rPr>
          <w:rFonts w:eastAsia="SimSun"/>
          <w:lang w:eastAsia="en-US"/>
        </w:rPr>
        <w:t xml:space="preserve">23 March Budget </w:t>
      </w:r>
    </w:p>
    <w:p w14:paraId="09CC8500" w14:textId="473897E0" w:rsidR="00E41A00" w:rsidRPr="00CD281B" w:rsidRDefault="000F4C8A" w:rsidP="00882E54">
      <w:pPr>
        <w:pStyle w:val="Bulletlevel1"/>
        <w:rPr>
          <w:rFonts w:eastAsia="SimSun"/>
          <w:lang w:eastAsia="en-US"/>
        </w:rPr>
      </w:pPr>
      <w:r>
        <w:rPr>
          <w:rFonts w:eastAsia="SimSun"/>
          <w:lang w:eastAsia="en-US"/>
        </w:rPr>
        <w:t>i</w:t>
      </w:r>
      <w:r w:rsidR="00E41A00" w:rsidRPr="00CD281B">
        <w:rPr>
          <w:rFonts w:eastAsia="SimSun"/>
          <w:lang w:eastAsia="en-US"/>
        </w:rPr>
        <w:t xml:space="preserve">ncreased consultancy costs due to the provision of external advice and support on the review of </w:t>
      </w:r>
      <w:r w:rsidR="00E41A00" w:rsidRPr="00F81765">
        <w:rPr>
          <w:rFonts w:eastAsia="SimSun"/>
          <w:lang w:eastAsia="en-US"/>
        </w:rPr>
        <w:t>NBN Co's Special Access Undertaking (SAU)</w:t>
      </w:r>
    </w:p>
    <w:p w14:paraId="3C10AE1F" w14:textId="2C267BE7" w:rsidR="00E41A00" w:rsidRPr="000677AE" w:rsidRDefault="000F4C8A" w:rsidP="00E07FF7">
      <w:pPr>
        <w:pStyle w:val="Bulletlevel1last"/>
        <w:rPr>
          <w:rFonts w:eastAsia="SimSun"/>
          <w:lang w:eastAsia="en-US"/>
        </w:rPr>
      </w:pPr>
      <w:r>
        <w:rPr>
          <w:rFonts w:eastAsia="SimSun"/>
          <w:lang w:eastAsia="en-US"/>
        </w:rPr>
        <w:t>r</w:t>
      </w:r>
      <w:r w:rsidR="00E41A00" w:rsidRPr="00CD281B">
        <w:rPr>
          <w:rFonts w:eastAsia="SimSun"/>
          <w:lang w:eastAsia="en-US"/>
        </w:rPr>
        <w:t xml:space="preserve">educed overhead costs due to </w:t>
      </w:r>
      <w:r w:rsidR="00E41A00" w:rsidRPr="00F81765">
        <w:rPr>
          <w:rFonts w:eastAsia="SimSun"/>
          <w:lang w:eastAsia="en-US"/>
        </w:rPr>
        <w:t xml:space="preserve">the ACCC’s </w:t>
      </w:r>
      <w:r w:rsidR="00E41A00">
        <w:rPr>
          <w:rFonts w:eastAsia="SimSun"/>
          <w:lang w:eastAsia="en-US"/>
        </w:rPr>
        <w:t xml:space="preserve">other </w:t>
      </w:r>
      <w:r w:rsidR="00E41A00" w:rsidRPr="00F81765">
        <w:rPr>
          <w:rFonts w:eastAsia="SimSun"/>
          <w:lang w:eastAsia="en-US"/>
        </w:rPr>
        <w:t xml:space="preserve">program areas expanding in size from new </w:t>
      </w:r>
      <w:r w:rsidR="000677AE">
        <w:rPr>
          <w:rFonts w:eastAsia="SimSun"/>
          <w:lang w:eastAsia="en-US"/>
        </w:rPr>
        <w:t>g</w:t>
      </w:r>
      <w:r w:rsidR="00E41A00" w:rsidRPr="00F81765">
        <w:rPr>
          <w:rFonts w:eastAsia="SimSun"/>
          <w:lang w:eastAsia="en-US"/>
        </w:rPr>
        <w:t>overnment work, and therefore absorbing more overhead costs than the previous year.</w:t>
      </w:r>
    </w:p>
    <w:p w14:paraId="556151C7" w14:textId="77777777" w:rsidR="00E41A00" w:rsidRPr="00A6442A" w:rsidRDefault="00E41A00" w:rsidP="00882E54">
      <w:pPr>
        <w:pStyle w:val="Tableheading"/>
        <w:rPr>
          <w:rFonts w:eastAsia="SimSun"/>
        </w:rPr>
      </w:pPr>
      <w:r w:rsidRPr="005E198B">
        <w:rPr>
          <w:rFonts w:eastAsia="SimSun"/>
        </w:rPr>
        <w:lastRenderedPageBreak/>
        <w:t xml:space="preserve">The ACCC’s component </w:t>
      </w:r>
      <w:r w:rsidRPr="001514C8">
        <w:rPr>
          <w:rFonts w:eastAsia="SimSun"/>
        </w:rPr>
        <w:t xml:space="preserve">for </w:t>
      </w:r>
      <w:r w:rsidRPr="005E198B">
        <w:rPr>
          <w:rFonts w:eastAsia="SimSun"/>
        </w:rPr>
        <w:t>202</w:t>
      </w:r>
      <w:r>
        <w:rPr>
          <w:rFonts w:eastAsia="SimSun"/>
        </w:rPr>
        <w:t>3</w:t>
      </w:r>
      <w:r w:rsidRPr="005E198B">
        <w:rPr>
          <w:rFonts w:eastAsia="SimSun"/>
        </w:rPr>
        <w:t>–2</w:t>
      </w:r>
      <w:r>
        <w:rPr>
          <w:rFonts w:eastAsia="SimSun"/>
        </w:rPr>
        <w:t>4</w:t>
      </w:r>
      <w:r w:rsidRPr="005E198B">
        <w:rPr>
          <w:rFonts w:eastAsia="SimSun"/>
        </w:rPr>
        <w:t xml:space="preserve"> ACLC</w:t>
      </w:r>
      <w:r>
        <w:rPr>
          <w:rFonts w:eastAsia="SimSun"/>
        </w:rPr>
        <w:t xml:space="preserve"> </w:t>
      </w:r>
      <w:r w:rsidRPr="005E198B">
        <w:rPr>
          <w:rFonts w:eastAsia="SimSun"/>
        </w:rPr>
        <w:t>(based on 202</w:t>
      </w:r>
      <w:r>
        <w:rPr>
          <w:rFonts w:eastAsia="SimSun"/>
        </w:rPr>
        <w:t>2</w:t>
      </w:r>
      <w:r w:rsidRPr="005E198B">
        <w:rPr>
          <w:rFonts w:eastAsia="SimSun"/>
        </w:rPr>
        <w:t>–2</w:t>
      </w:r>
      <w:r>
        <w:rPr>
          <w:rFonts w:eastAsia="SimSun"/>
        </w:rPr>
        <w:t>3</w:t>
      </w:r>
      <w:r w:rsidRPr="005E198B">
        <w:rPr>
          <w:rFonts w:eastAsia="SimSun"/>
        </w:rPr>
        <w:t xml:space="preserve"> costs) and </w:t>
      </w:r>
      <w:r w:rsidRPr="001514C8">
        <w:rPr>
          <w:rFonts w:eastAsia="SimSun"/>
        </w:rPr>
        <w:t>202</w:t>
      </w:r>
      <w:r>
        <w:rPr>
          <w:rFonts w:eastAsia="SimSun"/>
        </w:rPr>
        <w:t>2</w:t>
      </w:r>
      <w:r w:rsidRPr="001514C8">
        <w:rPr>
          <w:rFonts w:eastAsia="SimSun"/>
        </w:rPr>
        <w:t>–2</w:t>
      </w:r>
      <w:r>
        <w:rPr>
          <w:rFonts w:eastAsia="SimSun"/>
        </w:rPr>
        <w:t>3</w:t>
      </w:r>
      <w:r w:rsidRPr="001514C8">
        <w:rPr>
          <w:rFonts w:eastAsia="SimSun"/>
        </w:rPr>
        <w:t xml:space="preserve"> </w:t>
      </w:r>
      <w:r w:rsidRPr="001514C8" w:rsidDel="00C36CD7">
        <w:rPr>
          <w:rFonts w:eastAsia="SimSun"/>
        </w:rPr>
        <w:t>ACLC</w:t>
      </w:r>
      <w:r w:rsidRPr="001514C8">
        <w:rPr>
          <w:rFonts w:eastAsia="SimSun"/>
        </w:rPr>
        <w:t xml:space="preserve"> (based on 202</w:t>
      </w:r>
      <w:r>
        <w:rPr>
          <w:rFonts w:eastAsia="SimSun"/>
        </w:rPr>
        <w:t>1</w:t>
      </w:r>
      <w:r w:rsidRPr="001514C8">
        <w:rPr>
          <w:rFonts w:eastAsia="SimSun"/>
        </w:rPr>
        <w:t>–2</w:t>
      </w:r>
      <w:r>
        <w:rPr>
          <w:rFonts w:eastAsia="SimSun"/>
        </w:rPr>
        <w:t>2</w:t>
      </w:r>
      <w:r w:rsidRPr="001514C8">
        <w:rPr>
          <w:rFonts w:eastAsia="SimSun"/>
        </w:rPr>
        <w:t xml:space="preserve"> costs)</w:t>
      </w:r>
    </w:p>
    <w:tbl>
      <w:tblPr>
        <w:tblStyle w:val="TableGrid"/>
        <w:tblW w:w="8789" w:type="dxa"/>
        <w:tblInd w:w="-5" w:type="dxa"/>
        <w:tblLayout w:type="fixed"/>
        <w:tblCellMar>
          <w:top w:w="85" w:type="dxa"/>
          <w:left w:w="57" w:type="dxa"/>
          <w:bottom w:w="85" w:type="dxa"/>
          <w:right w:w="57" w:type="dxa"/>
        </w:tblCellMar>
        <w:tblLook w:val="04A0" w:firstRow="1" w:lastRow="0" w:firstColumn="1" w:lastColumn="0" w:noHBand="0" w:noVBand="1"/>
        <w:tblCaption w:val="The ACCC’s cost component"/>
        <w:tblDescription w:val="Includes costs for employees, consultancy and travel, and overheads as well as percentage change."/>
      </w:tblPr>
      <w:tblGrid>
        <w:gridCol w:w="3828"/>
        <w:gridCol w:w="1842"/>
        <w:gridCol w:w="1701"/>
        <w:gridCol w:w="1418"/>
      </w:tblGrid>
      <w:tr w:rsidR="00E41A00" w:rsidRPr="00882E54" w14:paraId="6A589F5A" w14:textId="77777777" w:rsidTr="006E2755">
        <w:trPr>
          <w:trHeight w:val="729"/>
          <w:tblHeader/>
        </w:trPr>
        <w:tc>
          <w:tcPr>
            <w:tcW w:w="3828" w:type="dxa"/>
            <w:shd w:val="clear" w:color="auto" w:fill="404040" w:themeFill="text1" w:themeFillTint="BF"/>
          </w:tcPr>
          <w:p w14:paraId="118B34EF" w14:textId="77777777" w:rsidR="00E41A00" w:rsidRPr="00882E54" w:rsidRDefault="00E41A00" w:rsidP="00882E54">
            <w:pPr>
              <w:pStyle w:val="TableHeading0"/>
              <w:spacing w:line="280" w:lineRule="atLeast"/>
              <w:rPr>
                <w:rFonts w:eastAsia="SimSun"/>
                <w:b w:val="0"/>
                <w:color w:val="FFFFFF" w:themeColor="background1"/>
                <w:sz w:val="22"/>
                <w:szCs w:val="22"/>
                <w:lang w:eastAsia="en-US"/>
              </w:rPr>
            </w:pPr>
            <w:r w:rsidRPr="00882E54">
              <w:rPr>
                <w:rFonts w:eastAsia="SimSun"/>
                <w:color w:val="FFFFFF" w:themeColor="background1"/>
                <w:sz w:val="22"/>
                <w:szCs w:val="22"/>
                <w:lang w:eastAsia="en-US"/>
              </w:rPr>
              <w:t xml:space="preserve"> Costs</w:t>
            </w:r>
          </w:p>
        </w:tc>
        <w:tc>
          <w:tcPr>
            <w:tcW w:w="1842" w:type="dxa"/>
            <w:shd w:val="clear" w:color="auto" w:fill="404040" w:themeFill="text1" w:themeFillTint="BF"/>
          </w:tcPr>
          <w:p w14:paraId="247A6F0C" w14:textId="77777777" w:rsidR="00E41A00" w:rsidRPr="00882E54" w:rsidRDefault="00E41A00" w:rsidP="00882E54">
            <w:pPr>
              <w:pStyle w:val="TableHeading0"/>
              <w:spacing w:after="80" w:line="280" w:lineRule="atLeast"/>
              <w:jc w:val="right"/>
              <w:rPr>
                <w:rFonts w:eastAsia="SimSun"/>
                <w:color w:val="FFFFFF" w:themeColor="background1"/>
                <w:sz w:val="22"/>
                <w:szCs w:val="22"/>
              </w:rPr>
            </w:pPr>
            <w:r w:rsidRPr="00882E54">
              <w:rPr>
                <w:rFonts w:cs="Arial"/>
                <w:color w:val="FFFFFF"/>
                <w:sz w:val="22"/>
                <w:szCs w:val="22"/>
              </w:rPr>
              <w:t xml:space="preserve"> 2022–23</w:t>
            </w:r>
            <w:r w:rsidRPr="00882E54">
              <w:rPr>
                <w:color w:val="FFFFFF"/>
                <w:sz w:val="22"/>
                <w:szCs w:val="22"/>
              </w:rPr>
              <w:t xml:space="preserve"> </w:t>
            </w:r>
            <w:r w:rsidRPr="00882E54" w:rsidDel="00866B11">
              <w:rPr>
                <w:rFonts w:eastAsia="SimSun"/>
                <w:color w:val="FFFFFF"/>
                <w:sz w:val="22"/>
                <w:szCs w:val="22"/>
              </w:rPr>
              <w:t>ACLC</w:t>
            </w:r>
          </w:p>
        </w:tc>
        <w:tc>
          <w:tcPr>
            <w:tcW w:w="1701" w:type="dxa"/>
            <w:shd w:val="clear" w:color="auto" w:fill="404040" w:themeFill="text1" w:themeFillTint="BF"/>
          </w:tcPr>
          <w:p w14:paraId="0802D802" w14:textId="77777777" w:rsidR="00E41A00" w:rsidRPr="00882E54" w:rsidRDefault="00E41A00" w:rsidP="00882E54">
            <w:pPr>
              <w:pStyle w:val="TableHeading0"/>
              <w:spacing w:after="80" w:line="280" w:lineRule="atLeast"/>
              <w:jc w:val="right"/>
              <w:rPr>
                <w:rFonts w:eastAsia="SimSun"/>
                <w:color w:val="FFFFFF" w:themeColor="background1"/>
                <w:sz w:val="22"/>
                <w:szCs w:val="22"/>
              </w:rPr>
            </w:pPr>
            <w:r w:rsidRPr="00882E54">
              <w:rPr>
                <w:rFonts w:cs="Arial"/>
                <w:color w:val="FFFFFF"/>
                <w:sz w:val="22"/>
                <w:szCs w:val="22"/>
              </w:rPr>
              <w:t>2021–22</w:t>
            </w:r>
            <w:r w:rsidRPr="00882E54">
              <w:rPr>
                <w:color w:val="FFFFFF"/>
                <w:sz w:val="22"/>
                <w:szCs w:val="22"/>
              </w:rPr>
              <w:t xml:space="preserve"> </w:t>
            </w:r>
            <w:r w:rsidRPr="00882E54" w:rsidDel="00866B11">
              <w:rPr>
                <w:rFonts w:eastAsia="SimSun"/>
                <w:color w:val="FFFFFF"/>
                <w:sz w:val="22"/>
                <w:szCs w:val="22"/>
              </w:rPr>
              <w:t>ACLC</w:t>
            </w:r>
          </w:p>
        </w:tc>
        <w:tc>
          <w:tcPr>
            <w:tcW w:w="1418" w:type="dxa"/>
            <w:shd w:val="clear" w:color="auto" w:fill="404040" w:themeFill="text1" w:themeFillTint="BF"/>
          </w:tcPr>
          <w:p w14:paraId="7025847D" w14:textId="77777777" w:rsidR="00E41A00" w:rsidRPr="00882E54" w:rsidRDefault="00E41A00" w:rsidP="00882E54">
            <w:pPr>
              <w:pStyle w:val="TableHeading0"/>
              <w:spacing w:line="280" w:lineRule="atLeast"/>
              <w:jc w:val="right"/>
              <w:rPr>
                <w:rFonts w:eastAsia="SimSun"/>
                <w:color w:val="FFFFFF" w:themeColor="background1"/>
                <w:sz w:val="22"/>
                <w:szCs w:val="22"/>
              </w:rPr>
            </w:pPr>
            <w:r w:rsidRPr="00882E54">
              <w:rPr>
                <w:color w:val="FFFFFF"/>
                <w:sz w:val="22"/>
                <w:szCs w:val="22"/>
              </w:rPr>
              <w:t>% change</w:t>
            </w:r>
            <w:r w:rsidRPr="00882E54">
              <w:rPr>
                <w:rFonts w:cs="Arial"/>
                <w:color w:val="FFFFFF"/>
                <w:sz w:val="22"/>
                <w:szCs w:val="22"/>
              </w:rPr>
              <w:br/>
            </w:r>
            <w:r w:rsidRPr="00882E54">
              <w:rPr>
                <w:color w:val="FFFFFF"/>
                <w:sz w:val="22"/>
                <w:szCs w:val="22"/>
              </w:rPr>
              <w:t>increase/</w:t>
            </w:r>
            <w:r w:rsidRPr="00882E54">
              <w:rPr>
                <w:color w:val="FFFFFF"/>
                <w:sz w:val="22"/>
                <w:szCs w:val="22"/>
              </w:rPr>
              <w:br/>
              <w:t>(decrease)</w:t>
            </w:r>
          </w:p>
        </w:tc>
      </w:tr>
      <w:tr w:rsidR="00E41A00" w:rsidRPr="00882E54" w14:paraId="5AB9AD43" w14:textId="77777777" w:rsidTr="006E2755">
        <w:trPr>
          <w:trHeight w:val="258"/>
        </w:trPr>
        <w:tc>
          <w:tcPr>
            <w:tcW w:w="3828" w:type="dxa"/>
          </w:tcPr>
          <w:p w14:paraId="64E627EB" w14:textId="77777777" w:rsidR="00E41A00" w:rsidRPr="00882E54" w:rsidRDefault="00E41A00" w:rsidP="00882E54">
            <w:pPr>
              <w:spacing w:after="0" w:line="280" w:lineRule="atLeast"/>
              <w:rPr>
                <w:rFonts w:eastAsia="SimSun" w:cs="Arial"/>
                <w:sz w:val="22"/>
                <w:szCs w:val="22"/>
                <w:lang w:eastAsia="en-US"/>
              </w:rPr>
            </w:pPr>
            <w:r w:rsidRPr="00882E54" w:rsidDel="006C058E">
              <w:rPr>
                <w:rFonts w:eastAsia="Calibri"/>
                <w:color w:val="000000"/>
                <w:sz w:val="22"/>
                <w:szCs w:val="22"/>
              </w:rPr>
              <w:t>Employees</w:t>
            </w:r>
          </w:p>
        </w:tc>
        <w:tc>
          <w:tcPr>
            <w:tcW w:w="1842" w:type="dxa"/>
            <w:tcBorders>
              <w:top w:val="single" w:sz="4" w:space="0" w:color="auto"/>
              <w:left w:val="single" w:sz="4" w:space="0" w:color="auto"/>
              <w:bottom w:val="single" w:sz="4" w:space="0" w:color="auto"/>
              <w:right w:val="single" w:sz="4" w:space="0" w:color="auto"/>
            </w:tcBorders>
          </w:tcPr>
          <w:p w14:paraId="6C96559C" w14:textId="77777777" w:rsidR="00E41A00" w:rsidRPr="00882E54" w:rsidRDefault="00E41A00" w:rsidP="00882E54">
            <w:pPr>
              <w:spacing w:after="0" w:line="280" w:lineRule="atLeast"/>
              <w:jc w:val="right"/>
              <w:rPr>
                <w:rFonts w:eastAsia="SimSun" w:cs="Arial"/>
                <w:sz w:val="22"/>
                <w:szCs w:val="22"/>
                <w:lang w:eastAsia="en-US"/>
              </w:rPr>
            </w:pPr>
            <w:r w:rsidRPr="00882E54">
              <w:rPr>
                <w:rFonts w:cs="Arial"/>
                <w:sz w:val="22"/>
                <w:szCs w:val="22"/>
              </w:rPr>
              <w:t xml:space="preserve"> 8,107,603 </w:t>
            </w:r>
          </w:p>
        </w:tc>
        <w:tc>
          <w:tcPr>
            <w:tcW w:w="1701" w:type="dxa"/>
            <w:tcBorders>
              <w:top w:val="single" w:sz="4" w:space="0" w:color="auto"/>
              <w:left w:val="single" w:sz="4" w:space="0" w:color="auto"/>
              <w:bottom w:val="single" w:sz="4" w:space="0" w:color="auto"/>
              <w:right w:val="single" w:sz="4" w:space="0" w:color="auto"/>
            </w:tcBorders>
          </w:tcPr>
          <w:p w14:paraId="5E5F2972" w14:textId="77777777" w:rsidR="00E41A00" w:rsidRPr="00882E54" w:rsidRDefault="00E41A00" w:rsidP="00882E54">
            <w:pPr>
              <w:spacing w:after="0" w:line="280" w:lineRule="atLeast"/>
              <w:jc w:val="right"/>
              <w:rPr>
                <w:rFonts w:eastAsia="SimSun" w:cs="Arial"/>
                <w:sz w:val="22"/>
                <w:szCs w:val="22"/>
                <w:lang w:eastAsia="en-US"/>
              </w:rPr>
            </w:pPr>
            <w:r w:rsidRPr="00882E54">
              <w:rPr>
                <w:rFonts w:cs="Arial"/>
                <w:sz w:val="22"/>
                <w:szCs w:val="22"/>
              </w:rPr>
              <w:t xml:space="preserve"> 7,396,374 </w:t>
            </w:r>
          </w:p>
        </w:tc>
        <w:tc>
          <w:tcPr>
            <w:tcW w:w="1418" w:type="dxa"/>
            <w:tcBorders>
              <w:top w:val="single" w:sz="4" w:space="0" w:color="auto"/>
              <w:left w:val="single" w:sz="4" w:space="0" w:color="auto"/>
              <w:bottom w:val="single" w:sz="4" w:space="0" w:color="auto"/>
              <w:right w:val="single" w:sz="4" w:space="0" w:color="auto"/>
            </w:tcBorders>
          </w:tcPr>
          <w:p w14:paraId="03C5EA49" w14:textId="77777777" w:rsidR="00E41A00" w:rsidRPr="00882E54" w:rsidRDefault="00E41A00" w:rsidP="00882E54">
            <w:pPr>
              <w:spacing w:after="0" w:line="280" w:lineRule="atLeast"/>
              <w:jc w:val="right"/>
              <w:rPr>
                <w:rFonts w:eastAsia="SimSun" w:cs="Arial"/>
                <w:color w:val="FF0000"/>
                <w:sz w:val="22"/>
                <w:szCs w:val="22"/>
                <w:lang w:eastAsia="en-US"/>
              </w:rPr>
            </w:pPr>
            <w:r w:rsidRPr="00882E54">
              <w:rPr>
                <w:rFonts w:cs="Arial"/>
                <w:sz w:val="22"/>
                <w:szCs w:val="22"/>
              </w:rPr>
              <w:t xml:space="preserve">9.6% </w:t>
            </w:r>
          </w:p>
        </w:tc>
      </w:tr>
      <w:tr w:rsidR="00E41A00" w:rsidRPr="00882E54" w14:paraId="32334001" w14:textId="77777777" w:rsidTr="006E2755">
        <w:trPr>
          <w:trHeight w:val="243"/>
        </w:trPr>
        <w:tc>
          <w:tcPr>
            <w:tcW w:w="3828" w:type="dxa"/>
          </w:tcPr>
          <w:p w14:paraId="2038CCC4" w14:textId="77777777" w:rsidR="00E41A00" w:rsidRPr="00882E54" w:rsidRDefault="00E41A00" w:rsidP="00882E54">
            <w:pPr>
              <w:spacing w:after="0" w:line="280" w:lineRule="atLeast"/>
              <w:rPr>
                <w:rFonts w:eastAsia="SimSun" w:cs="Arial"/>
                <w:sz w:val="22"/>
                <w:szCs w:val="22"/>
                <w:lang w:eastAsia="en-US"/>
              </w:rPr>
            </w:pPr>
            <w:r w:rsidRPr="00882E54" w:rsidDel="006C058E">
              <w:rPr>
                <w:rFonts w:eastAsia="Calibri"/>
                <w:color w:val="000000"/>
                <w:sz w:val="22"/>
                <w:szCs w:val="22"/>
              </w:rPr>
              <w:t>Consultancy and travel</w:t>
            </w:r>
          </w:p>
        </w:tc>
        <w:tc>
          <w:tcPr>
            <w:tcW w:w="1842" w:type="dxa"/>
            <w:tcBorders>
              <w:top w:val="single" w:sz="4" w:space="0" w:color="auto"/>
              <w:left w:val="single" w:sz="4" w:space="0" w:color="auto"/>
              <w:bottom w:val="single" w:sz="4" w:space="0" w:color="auto"/>
              <w:right w:val="single" w:sz="4" w:space="0" w:color="auto"/>
            </w:tcBorders>
          </w:tcPr>
          <w:p w14:paraId="3E14447C" w14:textId="77777777" w:rsidR="00E41A00" w:rsidRPr="00882E54" w:rsidRDefault="00E41A00" w:rsidP="00882E54">
            <w:pPr>
              <w:spacing w:after="0" w:line="280" w:lineRule="atLeast"/>
              <w:jc w:val="right"/>
              <w:rPr>
                <w:rFonts w:eastAsia="SimSun" w:cs="Arial"/>
                <w:sz w:val="22"/>
                <w:szCs w:val="22"/>
                <w:lang w:eastAsia="en-US"/>
              </w:rPr>
            </w:pPr>
            <w:r w:rsidRPr="00882E54">
              <w:rPr>
                <w:rFonts w:cs="Arial"/>
                <w:sz w:val="22"/>
                <w:szCs w:val="22"/>
              </w:rPr>
              <w:t xml:space="preserve"> 1,134,938 </w:t>
            </w:r>
          </w:p>
        </w:tc>
        <w:tc>
          <w:tcPr>
            <w:tcW w:w="1701" w:type="dxa"/>
            <w:tcBorders>
              <w:top w:val="single" w:sz="4" w:space="0" w:color="auto"/>
              <w:left w:val="single" w:sz="4" w:space="0" w:color="auto"/>
              <w:bottom w:val="single" w:sz="4" w:space="0" w:color="auto"/>
              <w:right w:val="single" w:sz="4" w:space="0" w:color="auto"/>
            </w:tcBorders>
          </w:tcPr>
          <w:p w14:paraId="2A941540" w14:textId="77777777" w:rsidR="00E41A00" w:rsidRPr="00882E54" w:rsidRDefault="00E41A00" w:rsidP="00882E54">
            <w:pPr>
              <w:spacing w:after="0" w:line="280" w:lineRule="atLeast"/>
              <w:jc w:val="right"/>
              <w:rPr>
                <w:rFonts w:eastAsia="SimSun" w:cs="Arial"/>
                <w:sz w:val="22"/>
                <w:szCs w:val="22"/>
                <w:lang w:eastAsia="en-US"/>
              </w:rPr>
            </w:pPr>
            <w:r w:rsidRPr="00882E54">
              <w:rPr>
                <w:rFonts w:cs="Arial"/>
                <w:sz w:val="22"/>
                <w:szCs w:val="22"/>
              </w:rPr>
              <w:t xml:space="preserve"> 89,128 </w:t>
            </w:r>
          </w:p>
        </w:tc>
        <w:tc>
          <w:tcPr>
            <w:tcW w:w="1418" w:type="dxa"/>
            <w:tcBorders>
              <w:top w:val="single" w:sz="4" w:space="0" w:color="auto"/>
              <w:left w:val="single" w:sz="4" w:space="0" w:color="auto"/>
              <w:bottom w:val="single" w:sz="4" w:space="0" w:color="auto"/>
              <w:right w:val="single" w:sz="4" w:space="0" w:color="auto"/>
            </w:tcBorders>
          </w:tcPr>
          <w:p w14:paraId="0E0007AD" w14:textId="77777777" w:rsidR="00E41A00" w:rsidRPr="00882E54" w:rsidRDefault="00E41A00" w:rsidP="00882E54">
            <w:pPr>
              <w:spacing w:after="0" w:line="280" w:lineRule="atLeast"/>
              <w:jc w:val="right"/>
              <w:rPr>
                <w:rFonts w:eastAsia="SimSun" w:cs="Arial"/>
                <w:color w:val="FF0000"/>
                <w:sz w:val="22"/>
                <w:szCs w:val="22"/>
                <w:lang w:eastAsia="en-US"/>
              </w:rPr>
            </w:pPr>
            <w:r w:rsidRPr="00882E54">
              <w:rPr>
                <w:rFonts w:cs="Arial"/>
                <w:sz w:val="22"/>
                <w:szCs w:val="22"/>
              </w:rPr>
              <w:t xml:space="preserve">1173.4% </w:t>
            </w:r>
          </w:p>
        </w:tc>
      </w:tr>
      <w:tr w:rsidR="00E41A00" w:rsidRPr="00882E54" w14:paraId="6C7C90E9" w14:textId="77777777" w:rsidTr="006E2755">
        <w:trPr>
          <w:trHeight w:val="243"/>
        </w:trPr>
        <w:tc>
          <w:tcPr>
            <w:tcW w:w="3828" w:type="dxa"/>
          </w:tcPr>
          <w:p w14:paraId="732B3D21" w14:textId="77777777" w:rsidR="00E41A00" w:rsidRPr="00882E54" w:rsidRDefault="00E41A00" w:rsidP="00882E54">
            <w:pPr>
              <w:spacing w:after="0" w:line="280" w:lineRule="atLeast"/>
              <w:rPr>
                <w:rFonts w:eastAsia="SimSun" w:cs="Arial"/>
                <w:sz w:val="22"/>
                <w:szCs w:val="22"/>
                <w:lang w:eastAsia="en-US"/>
              </w:rPr>
            </w:pPr>
            <w:r w:rsidRPr="00882E54">
              <w:rPr>
                <w:color w:val="000000"/>
                <w:sz w:val="22"/>
                <w:szCs w:val="22"/>
              </w:rPr>
              <w:t>Overheads</w:t>
            </w:r>
          </w:p>
        </w:tc>
        <w:tc>
          <w:tcPr>
            <w:tcW w:w="1842" w:type="dxa"/>
            <w:tcBorders>
              <w:top w:val="single" w:sz="4" w:space="0" w:color="auto"/>
              <w:left w:val="single" w:sz="4" w:space="0" w:color="auto"/>
              <w:bottom w:val="single" w:sz="4" w:space="0" w:color="auto"/>
              <w:right w:val="single" w:sz="4" w:space="0" w:color="auto"/>
            </w:tcBorders>
          </w:tcPr>
          <w:p w14:paraId="5CD501DD" w14:textId="77777777" w:rsidR="00E41A00" w:rsidRPr="00882E54" w:rsidRDefault="00E41A00" w:rsidP="00882E54">
            <w:pPr>
              <w:spacing w:after="0" w:line="280" w:lineRule="atLeast"/>
              <w:jc w:val="right"/>
              <w:rPr>
                <w:rFonts w:eastAsia="SimSun" w:cs="Arial"/>
                <w:sz w:val="22"/>
                <w:szCs w:val="22"/>
                <w:lang w:eastAsia="en-US"/>
              </w:rPr>
            </w:pPr>
            <w:r w:rsidRPr="00882E54">
              <w:rPr>
                <w:rFonts w:cs="Arial"/>
                <w:sz w:val="22"/>
                <w:szCs w:val="22"/>
              </w:rPr>
              <w:t xml:space="preserve"> 2,154,478 </w:t>
            </w:r>
          </w:p>
        </w:tc>
        <w:tc>
          <w:tcPr>
            <w:tcW w:w="1701" w:type="dxa"/>
            <w:tcBorders>
              <w:top w:val="single" w:sz="4" w:space="0" w:color="auto"/>
              <w:left w:val="single" w:sz="4" w:space="0" w:color="auto"/>
              <w:bottom w:val="single" w:sz="4" w:space="0" w:color="auto"/>
              <w:right w:val="single" w:sz="4" w:space="0" w:color="auto"/>
            </w:tcBorders>
          </w:tcPr>
          <w:p w14:paraId="72B56442" w14:textId="77777777" w:rsidR="00E41A00" w:rsidRPr="00882E54" w:rsidRDefault="00E41A00" w:rsidP="00882E54">
            <w:pPr>
              <w:spacing w:after="0" w:line="280" w:lineRule="atLeast"/>
              <w:jc w:val="right"/>
              <w:rPr>
                <w:rFonts w:eastAsia="SimSun" w:cs="Arial"/>
                <w:sz w:val="22"/>
                <w:szCs w:val="22"/>
                <w:lang w:eastAsia="en-US"/>
              </w:rPr>
            </w:pPr>
            <w:r w:rsidRPr="00882E54">
              <w:rPr>
                <w:rFonts w:cs="Arial"/>
                <w:sz w:val="22"/>
                <w:szCs w:val="22"/>
              </w:rPr>
              <w:t xml:space="preserve"> 2,725,359 </w:t>
            </w:r>
          </w:p>
        </w:tc>
        <w:tc>
          <w:tcPr>
            <w:tcW w:w="1418" w:type="dxa"/>
            <w:tcBorders>
              <w:top w:val="single" w:sz="4" w:space="0" w:color="auto"/>
              <w:left w:val="single" w:sz="4" w:space="0" w:color="auto"/>
              <w:bottom w:val="single" w:sz="4" w:space="0" w:color="auto"/>
              <w:right w:val="single" w:sz="4" w:space="0" w:color="auto"/>
            </w:tcBorders>
          </w:tcPr>
          <w:p w14:paraId="33D4242D" w14:textId="77777777" w:rsidR="00E41A00" w:rsidRPr="00882E54" w:rsidRDefault="00E41A00" w:rsidP="00882E54">
            <w:pPr>
              <w:spacing w:after="0" w:line="280" w:lineRule="atLeast"/>
              <w:jc w:val="right"/>
              <w:rPr>
                <w:rFonts w:eastAsia="SimSun" w:cs="Arial"/>
                <w:color w:val="FF0000"/>
                <w:sz w:val="22"/>
                <w:szCs w:val="22"/>
                <w:lang w:eastAsia="en-US"/>
              </w:rPr>
            </w:pPr>
            <w:r w:rsidRPr="00882E54">
              <w:rPr>
                <w:rFonts w:cs="Arial"/>
                <w:color w:val="FF0000"/>
                <w:sz w:val="22"/>
                <w:szCs w:val="22"/>
              </w:rPr>
              <w:t>(20.9%)</w:t>
            </w:r>
          </w:p>
        </w:tc>
      </w:tr>
      <w:tr w:rsidR="00E41A00" w:rsidRPr="00882E54" w14:paraId="2C7E9434" w14:textId="77777777" w:rsidTr="006E2755">
        <w:trPr>
          <w:trHeight w:val="258"/>
        </w:trPr>
        <w:tc>
          <w:tcPr>
            <w:tcW w:w="3828" w:type="dxa"/>
            <w:shd w:val="clear" w:color="auto" w:fill="D9D9D9" w:themeFill="background1" w:themeFillShade="D9"/>
          </w:tcPr>
          <w:p w14:paraId="01D02E30" w14:textId="77777777" w:rsidR="00E41A00" w:rsidRPr="00882E54" w:rsidRDefault="00E41A00" w:rsidP="00882E54">
            <w:pPr>
              <w:spacing w:after="0" w:line="280" w:lineRule="atLeast"/>
              <w:rPr>
                <w:rFonts w:eastAsia="SimSun" w:cs="Arial"/>
                <w:sz w:val="22"/>
                <w:szCs w:val="22"/>
                <w:lang w:eastAsia="en-US"/>
              </w:rPr>
            </w:pPr>
            <w:r w:rsidRPr="00882E54" w:rsidDel="006C058E">
              <w:rPr>
                <w:rFonts w:eastAsia="Calibri"/>
                <w:b/>
                <w:color w:val="000000"/>
                <w:sz w:val="22"/>
                <w:szCs w:val="22"/>
              </w:rPr>
              <w:t>Total costs</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889E83" w14:textId="77777777" w:rsidR="00E41A00" w:rsidRPr="00882E54" w:rsidRDefault="00E41A00" w:rsidP="00882E54">
            <w:pPr>
              <w:spacing w:after="0" w:line="280" w:lineRule="atLeast"/>
              <w:jc w:val="right"/>
              <w:rPr>
                <w:rFonts w:eastAsia="SimSun" w:cs="Arial"/>
                <w:b/>
                <w:bCs/>
                <w:sz w:val="22"/>
                <w:szCs w:val="22"/>
                <w:lang w:eastAsia="en-US"/>
              </w:rPr>
            </w:pPr>
            <w:r w:rsidRPr="00882E54">
              <w:rPr>
                <w:rFonts w:cs="Arial"/>
                <w:b/>
                <w:bCs/>
                <w:sz w:val="22"/>
                <w:szCs w:val="22"/>
              </w:rPr>
              <w:t xml:space="preserve"> 11,397,019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5CE79" w14:textId="77777777" w:rsidR="00E41A00" w:rsidRPr="00882E54" w:rsidRDefault="00E41A00" w:rsidP="00882E54">
            <w:pPr>
              <w:spacing w:after="0" w:line="280" w:lineRule="atLeast"/>
              <w:jc w:val="right"/>
              <w:rPr>
                <w:rFonts w:eastAsia="SimSun" w:cs="Arial"/>
                <w:b/>
                <w:bCs/>
                <w:sz w:val="22"/>
                <w:szCs w:val="22"/>
                <w:lang w:eastAsia="en-US"/>
              </w:rPr>
            </w:pPr>
            <w:r w:rsidRPr="00882E54">
              <w:rPr>
                <w:rFonts w:cs="Arial"/>
                <w:b/>
                <w:bCs/>
                <w:sz w:val="22"/>
                <w:szCs w:val="22"/>
              </w:rPr>
              <w:t xml:space="preserve"> 10,210,861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3EE25A" w14:textId="77777777" w:rsidR="00E41A00" w:rsidRPr="00882E54" w:rsidRDefault="00E41A00" w:rsidP="00882E54">
            <w:pPr>
              <w:spacing w:after="0" w:line="280" w:lineRule="atLeast"/>
              <w:jc w:val="right"/>
              <w:rPr>
                <w:rFonts w:eastAsia="SimSun" w:cs="Arial"/>
                <w:b/>
                <w:bCs/>
                <w:color w:val="FF0000"/>
                <w:sz w:val="22"/>
                <w:szCs w:val="22"/>
                <w:lang w:eastAsia="en-US"/>
              </w:rPr>
            </w:pPr>
            <w:r w:rsidRPr="00882E54">
              <w:rPr>
                <w:rFonts w:cs="Arial"/>
                <w:b/>
                <w:bCs/>
                <w:sz w:val="22"/>
                <w:szCs w:val="22"/>
              </w:rPr>
              <w:t>11.6%</w:t>
            </w:r>
          </w:p>
        </w:tc>
      </w:tr>
    </w:tbl>
    <w:p w14:paraId="0F084BE3" w14:textId="77777777" w:rsidR="00E41A00" w:rsidRPr="00B500A8" w:rsidRDefault="00E41A00" w:rsidP="00E41A00">
      <w:pPr>
        <w:pStyle w:val="Heading2"/>
        <w:keepLines/>
      </w:pPr>
      <w:bookmarkStart w:id="138" w:name="_Toc417990952"/>
      <w:bookmarkStart w:id="139" w:name="_Toc511634394"/>
      <w:bookmarkStart w:id="140" w:name="_Toc67042583"/>
      <w:bookmarkStart w:id="141" w:name="_Toc108599218"/>
      <w:bookmarkStart w:id="142" w:name="_Toc121920494"/>
      <w:bookmarkStart w:id="143" w:name="_Toc149735450"/>
      <w:bookmarkStart w:id="144" w:name="_Toc175123931"/>
      <w:bookmarkEnd w:id="124"/>
      <w:r w:rsidRPr="00B500A8">
        <w:t>3.3</w:t>
      </w:r>
      <w:r w:rsidRPr="00B500A8">
        <w:tab/>
        <w:t xml:space="preserve">Determination of cost component for the ITU </w:t>
      </w:r>
      <w:bookmarkEnd w:id="138"/>
      <w:r w:rsidRPr="00B500A8">
        <w:t>activity</w:t>
      </w:r>
      <w:bookmarkEnd w:id="139"/>
      <w:bookmarkEnd w:id="140"/>
      <w:bookmarkEnd w:id="141"/>
      <w:bookmarkEnd w:id="142"/>
      <w:bookmarkEnd w:id="143"/>
      <w:bookmarkEnd w:id="144"/>
    </w:p>
    <w:p w14:paraId="4C53F165" w14:textId="77777777" w:rsidR="00E41A00" w:rsidRPr="00AE6A60" w:rsidRDefault="00E41A00" w:rsidP="00E41A00">
      <w:pPr>
        <w:pStyle w:val="Paragraph"/>
        <w:keepNext/>
        <w:keepLines/>
      </w:pPr>
      <w:bookmarkStart w:id="145" w:name="_Hlk10637913"/>
      <w:r w:rsidRPr="00AE6A60">
        <w:t xml:space="preserve">The information in this section has been provided by </w:t>
      </w:r>
      <w:r>
        <w:t>DITRDCA</w:t>
      </w:r>
      <w:r w:rsidRPr="00AE6A60">
        <w:t>, setting out the cost</w:t>
      </w:r>
      <w:r>
        <w:t>-</w:t>
      </w:r>
      <w:r w:rsidRPr="00AE6A60">
        <w:t>recovery model used for the calculation of relevant costs to be included in the ACMA’s determination under paragraph 15(1)</w:t>
      </w:r>
      <w:r>
        <w:t>(c)</w:t>
      </w:r>
      <w:r w:rsidRPr="00AE6A60">
        <w:t xml:space="preserve"> of the Act.</w:t>
      </w:r>
    </w:p>
    <w:p w14:paraId="4B6096CB" w14:textId="77777777" w:rsidR="00E41A00" w:rsidRPr="00AE6A60" w:rsidRDefault="00E41A00" w:rsidP="00E41A00">
      <w:pPr>
        <w:pStyle w:val="Heading3"/>
        <w:keepLines/>
        <w:spacing w:after="80" w:line="240" w:lineRule="auto"/>
        <w:contextualSpacing/>
      </w:pPr>
      <w:bookmarkStart w:id="146" w:name="_Toc417990953"/>
      <w:bookmarkStart w:id="147" w:name="_Toc511634395"/>
      <w:bookmarkStart w:id="148" w:name="_Toc67042584"/>
      <w:bookmarkStart w:id="149" w:name="_Toc108599219"/>
      <w:bookmarkEnd w:id="145"/>
      <w:r w:rsidRPr="00AE6A60">
        <w:t>3.3.1</w:t>
      </w:r>
      <w:r w:rsidRPr="00AE6A60">
        <w:tab/>
        <w:t>Outputs and business processes of the activity</w:t>
      </w:r>
      <w:bookmarkEnd w:id="146"/>
      <w:bookmarkEnd w:id="147"/>
      <w:bookmarkEnd w:id="148"/>
      <w:bookmarkEnd w:id="149"/>
    </w:p>
    <w:p w14:paraId="5385C130" w14:textId="77777777" w:rsidR="00E41A00" w:rsidRPr="00882E54" w:rsidRDefault="00E41A00" w:rsidP="00882E54">
      <w:pPr>
        <w:pStyle w:val="Paragraph"/>
      </w:pPr>
      <w:r w:rsidRPr="00AE6A60">
        <w:t xml:space="preserve">This cost component (determined by the ACMA under paragraph 15(1)(c) of the Act) represents the </w:t>
      </w:r>
      <w:r w:rsidRPr="00882E54">
        <w:t xml:space="preserve">proportion of the Commonwealth’s annual contribution to the ITU budget associated with telecommunications for the calendar year 2023. The applicable amount is determined using calculations provided by DITRDCA. </w:t>
      </w:r>
    </w:p>
    <w:p w14:paraId="4D51274D" w14:textId="77777777" w:rsidR="00E41A00" w:rsidRPr="00AE6A60" w:rsidRDefault="00E41A00" w:rsidP="00882E54">
      <w:pPr>
        <w:pStyle w:val="Paragraph"/>
      </w:pPr>
      <w:r w:rsidRPr="00882E54">
        <w:t>The ITU is the specialised United Nations agency responsible for international cooperation for the use of telecommunications and the radiofrequency spectrum. It establishes treaty agreements and recommends standards for telecommunications and radiocommunications (including satellite) services. There are 193 member states of the ITU and more than 900 non-government members. DITRDCA manages Australia’s membership and engagement in the ITU. Australian</w:t>
      </w:r>
      <w:r w:rsidRPr="00AE6A60">
        <w:t xml:space="preserve"> organisations, both government and private, engage with the ITU. As the ITU forms part of the regulatory framework, it is appropriate to attribute ITU costs to the licensed carriers through the ACLC.</w:t>
      </w:r>
    </w:p>
    <w:p w14:paraId="3D5D9F26" w14:textId="77777777" w:rsidR="00E41A00" w:rsidRPr="00AE6A60" w:rsidRDefault="00E41A00" w:rsidP="00882E54">
      <w:pPr>
        <w:pStyle w:val="Paragraphbeforelist"/>
      </w:pPr>
      <w:r w:rsidRPr="00AE6A60">
        <w:t xml:space="preserve">The ITU’s work is carried out by </w:t>
      </w:r>
      <w:r>
        <w:t>3</w:t>
      </w:r>
      <w:r w:rsidRPr="00AE6A60">
        <w:t xml:space="preserve"> sectors:</w:t>
      </w:r>
    </w:p>
    <w:p w14:paraId="4BAF370A" w14:textId="77777777" w:rsidR="00E41A00" w:rsidRPr="00882E54" w:rsidRDefault="00E41A00" w:rsidP="00882E54">
      <w:pPr>
        <w:pStyle w:val="Bulletlevel1"/>
      </w:pPr>
      <w:r w:rsidRPr="00882E54">
        <w:t>Radiocommunication Sector (ITU-R) – manages the finite natural resources of the radiofrequency spectrum and satellite orbits.</w:t>
      </w:r>
    </w:p>
    <w:p w14:paraId="1BDF6A5A" w14:textId="77777777" w:rsidR="00E41A00" w:rsidRPr="00AE6A60" w:rsidRDefault="00E41A00" w:rsidP="00882E54">
      <w:pPr>
        <w:pStyle w:val="Bulletlevel1"/>
      </w:pPr>
      <w:r w:rsidRPr="00882E54">
        <w:t>Development</w:t>
      </w:r>
      <w:r w:rsidRPr="00AE6A60">
        <w:t xml:space="preserve"> Sector (ITU-D)</w:t>
      </w:r>
      <w:r>
        <w:t xml:space="preserve"> – </w:t>
      </w:r>
      <w:r w:rsidRPr="00AE6A60">
        <w:t xml:space="preserve">assists developing countries with information and communication technologies (ICTs), including promoting access to </w:t>
      </w:r>
      <w:r w:rsidRPr="00484E6F">
        <w:t>ICTs</w:t>
      </w:r>
      <w:r w:rsidRPr="00AE6A60">
        <w:t xml:space="preserve"> and actions that narrow the digital divide</w:t>
      </w:r>
      <w:r>
        <w:t>.</w:t>
      </w:r>
    </w:p>
    <w:p w14:paraId="64FFD1DD" w14:textId="77777777" w:rsidR="00E41A00" w:rsidRPr="00AE6A60" w:rsidRDefault="00E41A00" w:rsidP="00882E54">
      <w:pPr>
        <w:pStyle w:val="Bulletlevel1last"/>
      </w:pPr>
      <w:r w:rsidRPr="00882E54">
        <w:t>Telecommunication</w:t>
      </w:r>
      <w:r w:rsidRPr="00AE6A60">
        <w:t xml:space="preserve"> Standardisation Sector (ITU-T)</w:t>
      </w:r>
      <w:r>
        <w:t xml:space="preserve"> – </w:t>
      </w:r>
      <w:r w:rsidRPr="00AE6A60">
        <w:t xml:space="preserve">develops voluntary standards called ITU-T Recommendations. </w:t>
      </w:r>
    </w:p>
    <w:p w14:paraId="4522FCF4" w14:textId="77777777" w:rsidR="00E41A00" w:rsidRPr="00AE6A60" w:rsidRDefault="00E41A00" w:rsidP="00882E54">
      <w:pPr>
        <w:pStyle w:val="Paragraphbeforelist"/>
      </w:pPr>
      <w:r w:rsidRPr="00AE6A60">
        <w:t xml:space="preserve">The ITU is </w:t>
      </w:r>
      <w:r w:rsidRPr="00882E54">
        <w:t>responsible</w:t>
      </w:r>
      <w:r w:rsidRPr="00AE6A60">
        <w:t xml:space="preserve"> for </w:t>
      </w:r>
      <w:proofErr w:type="gramStart"/>
      <w:r w:rsidRPr="00AE6A60">
        <w:t>a number of</w:t>
      </w:r>
      <w:proofErr w:type="gramEnd"/>
      <w:r w:rsidRPr="00AE6A60">
        <w:t xml:space="preserve"> treaties, including:</w:t>
      </w:r>
    </w:p>
    <w:p w14:paraId="6A4EE52B" w14:textId="77777777" w:rsidR="00E41A00" w:rsidRPr="00882E54" w:rsidRDefault="00E41A00" w:rsidP="00882E54">
      <w:pPr>
        <w:pStyle w:val="Bulletlevel1"/>
      </w:pPr>
      <w:r w:rsidRPr="00882E54">
        <w:t>the ITU Constitution and Convention, which governs the organisation and its engagement</w:t>
      </w:r>
    </w:p>
    <w:p w14:paraId="6FBA9C3A" w14:textId="77777777" w:rsidR="00E41A00" w:rsidRPr="00AE6A60" w:rsidRDefault="00E41A00" w:rsidP="00882E54">
      <w:pPr>
        <w:pStyle w:val="Bulletlevel1"/>
        <w:rPr>
          <w:rFonts w:ascii="Calibri" w:hAnsi="Calibri"/>
          <w:szCs w:val="22"/>
        </w:rPr>
      </w:pPr>
      <w:r w:rsidRPr="00882E54">
        <w:t>the Radio</w:t>
      </w:r>
      <w:r w:rsidRPr="00AE6A60">
        <w:t xml:space="preserve"> Regulations, which govern the use of radiofrequency spectrum</w:t>
      </w:r>
    </w:p>
    <w:p w14:paraId="650855B4" w14:textId="77777777" w:rsidR="00E41A00" w:rsidRPr="006B0192" w:rsidRDefault="00E41A00" w:rsidP="00882E54">
      <w:pPr>
        <w:pStyle w:val="Bulletlevel1last"/>
        <w:rPr>
          <w:rFonts w:ascii="Calibri" w:hAnsi="Calibri"/>
          <w:szCs w:val="22"/>
        </w:rPr>
      </w:pPr>
      <w:r w:rsidRPr="00AE6A60">
        <w:t xml:space="preserve">the </w:t>
      </w:r>
      <w:r w:rsidRPr="00484E6F">
        <w:t>International Telecommunication Regulations</w:t>
      </w:r>
      <w:r w:rsidRPr="00AE6A60">
        <w:t xml:space="preserve">, which facilitate the interconnection of international </w:t>
      </w:r>
      <w:r w:rsidRPr="00882E54">
        <w:t>telecommunication</w:t>
      </w:r>
      <w:r w:rsidRPr="00AE6A60">
        <w:t xml:space="preserve"> services. </w:t>
      </w:r>
      <w:bookmarkStart w:id="150" w:name="_Toc417990954"/>
      <w:bookmarkStart w:id="151" w:name="_Toc511634396"/>
      <w:bookmarkStart w:id="152" w:name="_Toc67042585"/>
      <w:bookmarkStart w:id="153" w:name="_Toc108599220"/>
    </w:p>
    <w:p w14:paraId="0BCCC551" w14:textId="77777777" w:rsidR="00E41A00" w:rsidRPr="00AE6A60" w:rsidRDefault="00E41A00" w:rsidP="00E41A00">
      <w:pPr>
        <w:pStyle w:val="Heading3"/>
        <w:spacing w:after="80"/>
      </w:pPr>
      <w:r w:rsidRPr="00AE6A60">
        <w:lastRenderedPageBreak/>
        <w:t>3.3.2</w:t>
      </w:r>
      <w:r w:rsidRPr="00AE6A60">
        <w:tab/>
        <w:t>Costs of the activity</w:t>
      </w:r>
      <w:bookmarkEnd w:id="150"/>
      <w:bookmarkEnd w:id="151"/>
      <w:bookmarkEnd w:id="152"/>
      <w:bookmarkEnd w:id="153"/>
    </w:p>
    <w:p w14:paraId="49BA6F9E" w14:textId="77777777" w:rsidR="00E41A00" w:rsidRDefault="00E41A00" w:rsidP="00882E54">
      <w:pPr>
        <w:pStyle w:val="Paragraph"/>
      </w:pPr>
      <w:r w:rsidRPr="006B4840" w:rsidDel="00E45E51">
        <w:t xml:space="preserve">The Commonwealth contributions to the ITU are paid by </w:t>
      </w:r>
      <w:r w:rsidRPr="00AC01A6" w:rsidDel="00E45E51">
        <w:t>DITRDCA</w:t>
      </w:r>
      <w:r w:rsidRPr="00E10C47" w:rsidDel="00E45E51">
        <w:t xml:space="preserve"> each year as appropriated through the budget process. </w:t>
      </w:r>
      <w:r w:rsidRPr="00E10C47">
        <w:t xml:space="preserve">The contribution for the </w:t>
      </w:r>
      <w:r>
        <w:t>2023</w:t>
      </w:r>
      <w:r w:rsidRPr="006B4840">
        <w:t xml:space="preserve"> calendar year was </w:t>
      </w:r>
      <w:r w:rsidRPr="00E10C47">
        <w:t xml:space="preserve">4,725,000 </w:t>
      </w:r>
      <w:r>
        <w:t>Swiss francs, or A$7,510,314</w:t>
      </w:r>
      <w:r w:rsidRPr="00E10C47">
        <w:t>,</w:t>
      </w:r>
      <w:r w:rsidRPr="006B4840">
        <w:t xml:space="preserve"> using the exchange rate at the time payment was made. </w:t>
      </w:r>
    </w:p>
    <w:p w14:paraId="1058ED46" w14:textId="77777777" w:rsidR="00E41A00" w:rsidRPr="00AC01A6" w:rsidRDefault="00E41A00" w:rsidP="00882E54">
      <w:pPr>
        <w:pStyle w:val="Paragraph"/>
      </w:pPr>
      <w:r w:rsidRPr="00E10C47">
        <w:t>To determine the telecommunication</w:t>
      </w:r>
      <w:r>
        <w:t>s</w:t>
      </w:r>
      <w:r w:rsidRPr="00E10C47">
        <w:t xml:space="preserve"> component of the Commonwealth’s 202</w:t>
      </w:r>
      <w:r>
        <w:t>3</w:t>
      </w:r>
      <w:r w:rsidRPr="006B4840">
        <w:t xml:space="preserve"> contribution, the ACMA </w:t>
      </w:r>
      <w:r w:rsidRPr="00AC01A6">
        <w:t xml:space="preserve">has, on advice from </w:t>
      </w:r>
      <w:r w:rsidRPr="00E10C47">
        <w:t>DITRDCA, considered ITU-T’s share of the combined output costs for ITU-T and ITU-R. As outlined in Ta</w:t>
      </w:r>
      <w:r w:rsidRPr="0036276F">
        <w:t>ble 1</w:t>
      </w:r>
      <w:r>
        <w:t>6</w:t>
      </w:r>
      <w:r w:rsidRPr="00E10C47">
        <w:t>, the cost component of the contribution associated with the ACLC is the ITU-T activities of A$</w:t>
      </w:r>
      <w:r>
        <w:rPr>
          <w:color w:val="000000"/>
          <w:szCs w:val="20"/>
        </w:rPr>
        <w:t>2,179,686</w:t>
      </w:r>
      <w:r w:rsidRPr="006B4840">
        <w:t xml:space="preserve">. </w:t>
      </w:r>
      <w:r w:rsidRPr="00AC01A6">
        <w:t xml:space="preserve">The </w:t>
      </w:r>
      <w:r w:rsidRPr="00E10C47">
        <w:t xml:space="preserve">decrease of </w:t>
      </w:r>
      <w:r>
        <w:t>0.85</w:t>
      </w:r>
      <w:r w:rsidRPr="00E10C47" w:rsidDel="00DA4E3E">
        <w:t>%</w:t>
      </w:r>
      <w:r w:rsidRPr="006B4840">
        <w:t xml:space="preserve"> f</w:t>
      </w:r>
      <w:r w:rsidRPr="00AC01A6">
        <w:t xml:space="preserve">rom the previous year can </w:t>
      </w:r>
      <w:r w:rsidRPr="00E10C47">
        <w:t xml:space="preserve">largely be attributed to </w:t>
      </w:r>
      <w:r>
        <w:t>some increase in expenses on ITU-R activities</w:t>
      </w:r>
      <w:r w:rsidRPr="00E10C47">
        <w:t>.</w:t>
      </w:r>
      <w:r>
        <w:t xml:space="preserve"> The significant increase in total costs of 8.39% to A$7,510,314 is attributed to the difference in the exchange rate at the time of payment (the total amount in Swiss Francs did not change).</w:t>
      </w:r>
    </w:p>
    <w:p w14:paraId="3E9346FC" w14:textId="77777777" w:rsidR="00E41A00" w:rsidRDefault="00E41A00" w:rsidP="00882E54">
      <w:pPr>
        <w:pStyle w:val="Paragraph"/>
      </w:pPr>
      <w:r w:rsidRPr="00E10C47">
        <w:t>Table 1</w:t>
      </w:r>
      <w:r>
        <w:t>6</w:t>
      </w:r>
      <w:r w:rsidRPr="00E10C47">
        <w:t xml:space="preserve"> provides the comparison of ITU contributions for the </w:t>
      </w:r>
      <w:r>
        <w:t>2022</w:t>
      </w:r>
      <w:r w:rsidRPr="00E10C47">
        <w:t xml:space="preserve"> and </w:t>
      </w:r>
      <w:r>
        <w:t>2023</w:t>
      </w:r>
      <w:r w:rsidRPr="006B4840">
        <w:t xml:space="preserve"> </w:t>
      </w:r>
      <w:r w:rsidRPr="00AC01A6">
        <w:t>calendar years.</w:t>
      </w:r>
    </w:p>
    <w:p w14:paraId="3316FFFF" w14:textId="77777777" w:rsidR="00E41A00" w:rsidRPr="00E01726" w:rsidRDefault="00E41A00" w:rsidP="00882E54">
      <w:pPr>
        <w:pStyle w:val="Tableheading"/>
      </w:pPr>
      <w:r w:rsidRPr="00E01726">
        <w:t>Costs associated with ITU-T and ITU-R activities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left w:w="85" w:type="dxa"/>
          <w:bottom w:w="113" w:type="dxa"/>
          <w:right w:w="85" w:type="dxa"/>
        </w:tblCellMar>
        <w:tblLook w:val="01E0" w:firstRow="1" w:lastRow="1" w:firstColumn="1" w:lastColumn="1" w:noHBand="0" w:noVBand="0"/>
      </w:tblPr>
      <w:tblGrid>
        <w:gridCol w:w="2232"/>
        <w:gridCol w:w="2232"/>
        <w:gridCol w:w="2233"/>
        <w:gridCol w:w="2233"/>
      </w:tblGrid>
      <w:tr w:rsidR="00E41A00" w:rsidRPr="00E01726" w14:paraId="79A079E0" w14:textId="77777777" w:rsidTr="00E07FF7">
        <w:tc>
          <w:tcPr>
            <w:tcW w:w="2232" w:type="dxa"/>
            <w:tcBorders>
              <w:bottom w:val="single" w:sz="6" w:space="0" w:color="auto"/>
            </w:tcBorders>
            <w:shd w:val="clear" w:color="auto" w:fill="404040" w:themeFill="text1" w:themeFillTint="BF"/>
          </w:tcPr>
          <w:p w14:paraId="1467BA4C" w14:textId="77777777" w:rsidR="00E41A00" w:rsidRPr="00E01726" w:rsidRDefault="00E41A00" w:rsidP="00E01726">
            <w:pPr>
              <w:pStyle w:val="TableHeading0"/>
              <w:keepNext/>
              <w:keepLines/>
              <w:spacing w:line="280" w:lineRule="atLeast"/>
              <w:rPr>
                <w:rFonts w:cs="Arial"/>
                <w:color w:val="FFFFFF" w:themeColor="background1"/>
                <w:sz w:val="22"/>
                <w:szCs w:val="22"/>
              </w:rPr>
            </w:pPr>
            <w:r w:rsidRPr="00E01726">
              <w:rPr>
                <w:rFonts w:cs="Arial"/>
                <w:color w:val="FFFFFF"/>
                <w:sz w:val="22"/>
                <w:szCs w:val="22"/>
              </w:rPr>
              <w:t> </w:t>
            </w:r>
          </w:p>
        </w:tc>
        <w:tc>
          <w:tcPr>
            <w:tcW w:w="2232" w:type="dxa"/>
            <w:tcBorders>
              <w:bottom w:val="single" w:sz="6" w:space="0" w:color="auto"/>
            </w:tcBorders>
            <w:shd w:val="clear" w:color="auto" w:fill="404040" w:themeFill="text1" w:themeFillTint="BF"/>
            <w:tcMar>
              <w:left w:w="0" w:type="dxa"/>
              <w:right w:w="0" w:type="dxa"/>
            </w:tcMar>
          </w:tcPr>
          <w:p w14:paraId="6A62B539" w14:textId="77777777" w:rsidR="00E41A00" w:rsidRPr="00E01726" w:rsidRDefault="00E41A00" w:rsidP="00E07FF7">
            <w:pPr>
              <w:pStyle w:val="TableHeading0"/>
              <w:keepNext/>
              <w:keepLines/>
              <w:spacing w:line="280" w:lineRule="atLeast"/>
              <w:rPr>
                <w:rFonts w:cs="Arial"/>
                <w:color w:val="FFFFFF" w:themeColor="background1"/>
                <w:sz w:val="22"/>
                <w:szCs w:val="22"/>
              </w:rPr>
            </w:pPr>
            <w:r w:rsidRPr="00E01726" w:rsidDel="00573E15">
              <w:rPr>
                <w:rFonts w:cs="Arial"/>
                <w:color w:val="FFFFFF"/>
                <w:sz w:val="22"/>
                <w:szCs w:val="22"/>
              </w:rPr>
              <w:t>ITU-T</w:t>
            </w:r>
          </w:p>
        </w:tc>
        <w:tc>
          <w:tcPr>
            <w:tcW w:w="2233" w:type="dxa"/>
            <w:tcBorders>
              <w:bottom w:val="single" w:sz="6" w:space="0" w:color="auto"/>
            </w:tcBorders>
            <w:shd w:val="clear" w:color="auto" w:fill="404040" w:themeFill="text1" w:themeFillTint="BF"/>
          </w:tcPr>
          <w:p w14:paraId="67CF2DB6" w14:textId="77777777" w:rsidR="00E41A00" w:rsidRPr="00E01726" w:rsidRDefault="00E41A00" w:rsidP="00E07FF7">
            <w:pPr>
              <w:pStyle w:val="TableHeading0"/>
              <w:keepNext/>
              <w:keepLines/>
              <w:spacing w:line="280" w:lineRule="atLeast"/>
              <w:rPr>
                <w:rFonts w:cs="Arial"/>
                <w:color w:val="FFFFFF" w:themeColor="background1"/>
                <w:sz w:val="22"/>
                <w:szCs w:val="22"/>
              </w:rPr>
            </w:pPr>
            <w:r w:rsidRPr="00E01726" w:rsidDel="00573E15">
              <w:rPr>
                <w:rFonts w:cs="Arial"/>
                <w:color w:val="FFFFFF"/>
                <w:sz w:val="22"/>
                <w:szCs w:val="22"/>
              </w:rPr>
              <w:t>ITU-R</w:t>
            </w:r>
          </w:p>
        </w:tc>
        <w:tc>
          <w:tcPr>
            <w:tcW w:w="2233" w:type="dxa"/>
            <w:tcBorders>
              <w:bottom w:val="single" w:sz="6" w:space="0" w:color="auto"/>
            </w:tcBorders>
            <w:shd w:val="clear" w:color="auto" w:fill="404040" w:themeFill="text1" w:themeFillTint="BF"/>
          </w:tcPr>
          <w:p w14:paraId="12198F70" w14:textId="77777777" w:rsidR="00E41A00" w:rsidRPr="00E01726" w:rsidRDefault="00E41A00" w:rsidP="00E07FF7">
            <w:pPr>
              <w:pStyle w:val="TableHeading0"/>
              <w:keepNext/>
              <w:keepLines/>
              <w:spacing w:line="280" w:lineRule="atLeast"/>
              <w:rPr>
                <w:rFonts w:cs="Arial"/>
                <w:color w:val="FFFFFF" w:themeColor="background1"/>
                <w:sz w:val="22"/>
                <w:szCs w:val="22"/>
              </w:rPr>
            </w:pPr>
            <w:r w:rsidRPr="00E01726" w:rsidDel="00573E15">
              <w:rPr>
                <w:rFonts w:cs="Arial"/>
                <w:color w:val="FFFFFF"/>
                <w:sz w:val="22"/>
                <w:szCs w:val="22"/>
              </w:rPr>
              <w:t>Total</w:t>
            </w:r>
          </w:p>
        </w:tc>
      </w:tr>
      <w:tr w:rsidR="00E41A00" w:rsidRPr="00E01726" w14:paraId="757D66C9" w14:textId="77777777" w:rsidTr="00E07FF7">
        <w:tc>
          <w:tcPr>
            <w:tcW w:w="2232" w:type="dxa"/>
            <w:tcBorders>
              <w:bottom w:val="single" w:sz="6" w:space="0" w:color="auto"/>
            </w:tcBorders>
            <w:shd w:val="clear" w:color="auto" w:fill="D9D9D9" w:themeFill="background1" w:themeFillShade="D9"/>
          </w:tcPr>
          <w:p w14:paraId="1C707D70" w14:textId="77777777" w:rsidR="00E41A00" w:rsidRPr="00E01726" w:rsidRDefault="00E41A00" w:rsidP="00E07FF7">
            <w:pPr>
              <w:keepNext/>
              <w:keepLines/>
              <w:spacing w:after="0" w:line="280" w:lineRule="atLeast"/>
              <w:rPr>
                <w:rFonts w:cs="Arial"/>
                <w:b/>
                <w:sz w:val="22"/>
                <w:szCs w:val="22"/>
              </w:rPr>
            </w:pPr>
            <w:r w:rsidRPr="00E01726">
              <w:rPr>
                <w:rFonts w:cs="Arial"/>
                <w:b/>
                <w:bCs/>
                <w:color w:val="000000"/>
                <w:sz w:val="22"/>
                <w:szCs w:val="22"/>
              </w:rPr>
              <w:t> </w:t>
            </w:r>
          </w:p>
        </w:tc>
        <w:tc>
          <w:tcPr>
            <w:tcW w:w="2232" w:type="dxa"/>
            <w:tcBorders>
              <w:bottom w:val="single" w:sz="6" w:space="0" w:color="auto"/>
            </w:tcBorders>
            <w:shd w:val="clear" w:color="auto" w:fill="D9D9D9" w:themeFill="background1" w:themeFillShade="D9"/>
          </w:tcPr>
          <w:p w14:paraId="2288FD4B" w14:textId="77777777" w:rsidR="00E41A00" w:rsidRPr="00E01726" w:rsidRDefault="00E41A00" w:rsidP="00E07FF7">
            <w:pPr>
              <w:keepNext/>
              <w:keepLines/>
              <w:spacing w:after="0" w:line="280" w:lineRule="atLeast"/>
              <w:rPr>
                <w:rFonts w:cs="Arial"/>
                <w:b/>
                <w:sz w:val="22"/>
                <w:szCs w:val="22"/>
              </w:rPr>
            </w:pPr>
            <w:r w:rsidRPr="00E01726" w:rsidDel="00573E15">
              <w:rPr>
                <w:rFonts w:cs="Arial"/>
                <w:b/>
                <w:color w:val="000000"/>
                <w:sz w:val="22"/>
                <w:szCs w:val="22"/>
              </w:rPr>
              <w:t>A$</w:t>
            </w:r>
          </w:p>
        </w:tc>
        <w:tc>
          <w:tcPr>
            <w:tcW w:w="2233" w:type="dxa"/>
            <w:tcBorders>
              <w:bottom w:val="single" w:sz="6" w:space="0" w:color="auto"/>
            </w:tcBorders>
            <w:shd w:val="clear" w:color="auto" w:fill="D9D9D9" w:themeFill="background1" w:themeFillShade="D9"/>
          </w:tcPr>
          <w:p w14:paraId="7C69E449" w14:textId="77777777" w:rsidR="00E41A00" w:rsidRPr="00E01726" w:rsidRDefault="00E41A00" w:rsidP="00E07FF7">
            <w:pPr>
              <w:keepNext/>
              <w:keepLines/>
              <w:spacing w:after="0" w:line="280" w:lineRule="atLeast"/>
              <w:rPr>
                <w:rFonts w:cs="Arial"/>
                <w:b/>
                <w:sz w:val="22"/>
                <w:szCs w:val="22"/>
              </w:rPr>
            </w:pPr>
            <w:r w:rsidRPr="00E01726" w:rsidDel="00573E15">
              <w:rPr>
                <w:rFonts w:cs="Arial"/>
                <w:b/>
                <w:color w:val="000000"/>
                <w:sz w:val="22"/>
                <w:szCs w:val="22"/>
              </w:rPr>
              <w:t>A$</w:t>
            </w:r>
          </w:p>
        </w:tc>
        <w:tc>
          <w:tcPr>
            <w:tcW w:w="2233" w:type="dxa"/>
            <w:tcBorders>
              <w:bottom w:val="single" w:sz="6" w:space="0" w:color="auto"/>
            </w:tcBorders>
            <w:shd w:val="clear" w:color="auto" w:fill="D9D9D9" w:themeFill="background1" w:themeFillShade="D9"/>
          </w:tcPr>
          <w:p w14:paraId="0567ADA6" w14:textId="77777777" w:rsidR="00E41A00" w:rsidRPr="00E01726" w:rsidRDefault="00E41A00" w:rsidP="00E07FF7">
            <w:pPr>
              <w:keepNext/>
              <w:keepLines/>
              <w:spacing w:after="0" w:line="280" w:lineRule="atLeast"/>
              <w:rPr>
                <w:rFonts w:cs="Arial"/>
                <w:b/>
                <w:sz w:val="22"/>
                <w:szCs w:val="22"/>
              </w:rPr>
            </w:pPr>
            <w:r w:rsidRPr="00E01726" w:rsidDel="00573E15">
              <w:rPr>
                <w:rFonts w:cs="Arial"/>
                <w:b/>
                <w:color w:val="000000"/>
                <w:sz w:val="22"/>
                <w:szCs w:val="22"/>
              </w:rPr>
              <w:t>A$</w:t>
            </w:r>
          </w:p>
        </w:tc>
      </w:tr>
      <w:tr w:rsidR="00E41A00" w:rsidRPr="00E01726" w14:paraId="5CF0420D" w14:textId="77777777" w:rsidTr="00E07FF7">
        <w:tc>
          <w:tcPr>
            <w:tcW w:w="2232" w:type="dxa"/>
          </w:tcPr>
          <w:p w14:paraId="66DD10AC" w14:textId="77777777" w:rsidR="00E41A00" w:rsidRPr="00E01726" w:rsidRDefault="00E41A00" w:rsidP="00E01726">
            <w:pPr>
              <w:keepNext/>
              <w:keepLines/>
              <w:spacing w:after="0" w:line="280" w:lineRule="atLeast"/>
              <w:ind w:right="-142"/>
              <w:rPr>
                <w:rFonts w:cs="Arial"/>
                <w:bCs/>
                <w:sz w:val="22"/>
                <w:szCs w:val="22"/>
              </w:rPr>
            </w:pPr>
            <w:r w:rsidRPr="00E01726">
              <w:rPr>
                <w:rFonts w:cs="Arial"/>
                <w:color w:val="000000"/>
                <w:sz w:val="22"/>
                <w:szCs w:val="22"/>
              </w:rPr>
              <w:t>2023</w:t>
            </w:r>
          </w:p>
        </w:tc>
        <w:tc>
          <w:tcPr>
            <w:tcW w:w="2232" w:type="dxa"/>
          </w:tcPr>
          <w:p w14:paraId="49D586CD" w14:textId="77777777" w:rsidR="00E41A00" w:rsidRPr="00E01726" w:rsidRDefault="00E41A00" w:rsidP="00E07FF7">
            <w:pPr>
              <w:keepNext/>
              <w:keepLines/>
              <w:spacing w:after="0" w:line="280" w:lineRule="atLeast"/>
              <w:rPr>
                <w:rFonts w:cs="Arial"/>
                <w:sz w:val="22"/>
                <w:szCs w:val="22"/>
              </w:rPr>
            </w:pPr>
            <w:r w:rsidRPr="00E01726">
              <w:rPr>
                <w:rFonts w:cs="Arial"/>
                <w:sz w:val="22"/>
                <w:szCs w:val="22"/>
              </w:rPr>
              <w:t>2,179,686</w:t>
            </w:r>
          </w:p>
        </w:tc>
        <w:tc>
          <w:tcPr>
            <w:tcW w:w="2233" w:type="dxa"/>
          </w:tcPr>
          <w:p w14:paraId="1FA14B07" w14:textId="77777777" w:rsidR="00E41A00" w:rsidRPr="00E01726" w:rsidRDefault="00E41A00" w:rsidP="00E07FF7">
            <w:pPr>
              <w:keepNext/>
              <w:keepLines/>
              <w:spacing w:after="0" w:line="280" w:lineRule="atLeast"/>
              <w:ind w:right="34"/>
              <w:rPr>
                <w:rFonts w:cs="Arial"/>
                <w:sz w:val="22"/>
                <w:szCs w:val="22"/>
              </w:rPr>
            </w:pPr>
            <w:r w:rsidRPr="00E01726">
              <w:rPr>
                <w:rFonts w:cs="Arial"/>
                <w:sz w:val="22"/>
                <w:szCs w:val="22"/>
              </w:rPr>
              <w:t>5,330,628</w:t>
            </w:r>
          </w:p>
        </w:tc>
        <w:tc>
          <w:tcPr>
            <w:tcW w:w="2233" w:type="dxa"/>
          </w:tcPr>
          <w:p w14:paraId="09C81C3F" w14:textId="77777777" w:rsidR="00E41A00" w:rsidRPr="00E01726" w:rsidRDefault="00E41A00" w:rsidP="00E07FF7">
            <w:pPr>
              <w:keepNext/>
              <w:keepLines/>
              <w:spacing w:after="0" w:line="280" w:lineRule="atLeast"/>
              <w:rPr>
                <w:rFonts w:cs="Arial"/>
                <w:sz w:val="22"/>
                <w:szCs w:val="22"/>
              </w:rPr>
            </w:pPr>
            <w:r w:rsidRPr="00E01726">
              <w:rPr>
                <w:rFonts w:cs="Arial"/>
                <w:sz w:val="22"/>
                <w:szCs w:val="22"/>
              </w:rPr>
              <w:t>7,510,314</w:t>
            </w:r>
          </w:p>
        </w:tc>
      </w:tr>
      <w:tr w:rsidR="00E41A00" w:rsidRPr="00E01726" w14:paraId="1AC4BBFA" w14:textId="77777777" w:rsidTr="00E07FF7">
        <w:tc>
          <w:tcPr>
            <w:tcW w:w="2232" w:type="dxa"/>
          </w:tcPr>
          <w:p w14:paraId="0822CA29" w14:textId="77777777" w:rsidR="00E41A00" w:rsidRPr="00E01726" w:rsidRDefault="00E41A00" w:rsidP="00E01726">
            <w:pPr>
              <w:keepNext/>
              <w:keepLines/>
              <w:spacing w:after="0" w:line="280" w:lineRule="atLeast"/>
              <w:ind w:right="-142"/>
              <w:rPr>
                <w:rFonts w:cs="Arial"/>
                <w:bCs/>
                <w:sz w:val="22"/>
                <w:szCs w:val="22"/>
              </w:rPr>
            </w:pPr>
            <w:r w:rsidRPr="00E01726">
              <w:rPr>
                <w:rFonts w:cs="Arial"/>
                <w:color w:val="000000"/>
                <w:sz w:val="22"/>
                <w:szCs w:val="22"/>
              </w:rPr>
              <w:t>2022</w:t>
            </w:r>
          </w:p>
        </w:tc>
        <w:tc>
          <w:tcPr>
            <w:tcW w:w="2232" w:type="dxa"/>
          </w:tcPr>
          <w:p w14:paraId="39B24DC7" w14:textId="77777777" w:rsidR="00E41A00" w:rsidRPr="00E01726" w:rsidRDefault="00E41A00" w:rsidP="00E07FF7">
            <w:pPr>
              <w:keepNext/>
              <w:keepLines/>
              <w:spacing w:after="0" w:line="280" w:lineRule="atLeast"/>
              <w:rPr>
                <w:rFonts w:cs="Arial"/>
                <w:sz w:val="22"/>
                <w:szCs w:val="22"/>
              </w:rPr>
            </w:pPr>
            <w:r w:rsidRPr="00E01726">
              <w:rPr>
                <w:rFonts w:cs="Arial"/>
                <w:sz w:val="22"/>
                <w:szCs w:val="22"/>
              </w:rPr>
              <w:t>2,198,407</w:t>
            </w:r>
          </w:p>
        </w:tc>
        <w:tc>
          <w:tcPr>
            <w:tcW w:w="2233" w:type="dxa"/>
          </w:tcPr>
          <w:p w14:paraId="085E9EB1" w14:textId="77777777" w:rsidR="00E41A00" w:rsidRPr="00E01726" w:rsidRDefault="00E41A00" w:rsidP="00E07FF7">
            <w:pPr>
              <w:keepNext/>
              <w:keepLines/>
              <w:spacing w:after="0" w:line="280" w:lineRule="atLeast"/>
              <w:ind w:right="34"/>
              <w:rPr>
                <w:rFonts w:cs="Arial"/>
                <w:sz w:val="22"/>
                <w:szCs w:val="22"/>
              </w:rPr>
            </w:pPr>
            <w:r w:rsidRPr="00E01726">
              <w:rPr>
                <w:rFonts w:cs="Arial"/>
                <w:sz w:val="22"/>
                <w:szCs w:val="22"/>
              </w:rPr>
              <w:t>4,730,711</w:t>
            </w:r>
          </w:p>
        </w:tc>
        <w:tc>
          <w:tcPr>
            <w:tcW w:w="2233" w:type="dxa"/>
          </w:tcPr>
          <w:p w14:paraId="30FAA626" w14:textId="77777777" w:rsidR="00E41A00" w:rsidRPr="00E01726" w:rsidRDefault="00E41A00" w:rsidP="00E07FF7">
            <w:pPr>
              <w:keepNext/>
              <w:keepLines/>
              <w:spacing w:after="0" w:line="280" w:lineRule="atLeast"/>
              <w:rPr>
                <w:rFonts w:cs="Arial"/>
                <w:sz w:val="22"/>
                <w:szCs w:val="22"/>
              </w:rPr>
            </w:pPr>
            <w:r w:rsidRPr="00E01726">
              <w:rPr>
                <w:rFonts w:cs="Arial"/>
                <w:sz w:val="22"/>
                <w:szCs w:val="22"/>
              </w:rPr>
              <w:t>6,929,118</w:t>
            </w:r>
          </w:p>
        </w:tc>
      </w:tr>
      <w:tr w:rsidR="00E41A00" w:rsidRPr="00E01726" w14:paraId="0A651FD0" w14:textId="77777777" w:rsidTr="00E07FF7">
        <w:tc>
          <w:tcPr>
            <w:tcW w:w="2232" w:type="dxa"/>
            <w:tcBorders>
              <w:top w:val="single" w:sz="6" w:space="0" w:color="auto"/>
              <w:bottom w:val="single" w:sz="6" w:space="0" w:color="auto"/>
              <w:right w:val="single" w:sz="6" w:space="0" w:color="auto"/>
            </w:tcBorders>
          </w:tcPr>
          <w:p w14:paraId="086C13D4" w14:textId="77777777" w:rsidR="00E41A00" w:rsidRPr="00E01726" w:rsidRDefault="00E41A00" w:rsidP="00E01726">
            <w:pPr>
              <w:keepNext/>
              <w:keepLines/>
              <w:spacing w:after="0" w:line="280" w:lineRule="atLeast"/>
              <w:ind w:right="-142"/>
              <w:rPr>
                <w:rFonts w:cs="Arial"/>
                <w:bCs/>
                <w:sz w:val="22"/>
                <w:szCs w:val="22"/>
              </w:rPr>
            </w:pPr>
            <w:r w:rsidRPr="00E01726" w:rsidDel="00573E15">
              <w:rPr>
                <w:rFonts w:cs="Arial"/>
                <w:color w:val="000000"/>
                <w:sz w:val="22"/>
                <w:szCs w:val="22"/>
              </w:rPr>
              <w:t>Increase/(decrease)</w:t>
            </w:r>
          </w:p>
        </w:tc>
        <w:tc>
          <w:tcPr>
            <w:tcW w:w="2232" w:type="dxa"/>
            <w:tcBorders>
              <w:top w:val="single" w:sz="6" w:space="0" w:color="auto"/>
              <w:left w:val="single" w:sz="6" w:space="0" w:color="auto"/>
              <w:bottom w:val="single" w:sz="6" w:space="0" w:color="auto"/>
              <w:right w:val="single" w:sz="6" w:space="0" w:color="auto"/>
            </w:tcBorders>
            <w:shd w:val="clear" w:color="auto" w:fill="auto"/>
          </w:tcPr>
          <w:p w14:paraId="354173B9" w14:textId="77777777" w:rsidR="00E41A00" w:rsidRPr="00E01726" w:rsidRDefault="00E41A00" w:rsidP="00E07FF7">
            <w:pPr>
              <w:keepNext/>
              <w:keepLines/>
              <w:spacing w:after="0" w:line="280" w:lineRule="atLeast"/>
              <w:rPr>
                <w:rFonts w:cs="Arial"/>
                <w:color w:val="FF0000"/>
                <w:sz w:val="22"/>
                <w:szCs w:val="22"/>
              </w:rPr>
            </w:pPr>
            <w:r w:rsidRPr="00E01726">
              <w:rPr>
                <w:rFonts w:cs="Arial"/>
                <w:color w:val="FF0000"/>
                <w:sz w:val="22"/>
                <w:szCs w:val="22"/>
              </w:rPr>
              <w:t>(0.85%)</w:t>
            </w:r>
          </w:p>
        </w:tc>
        <w:tc>
          <w:tcPr>
            <w:tcW w:w="2233" w:type="dxa"/>
            <w:tcBorders>
              <w:top w:val="single" w:sz="6" w:space="0" w:color="auto"/>
              <w:left w:val="single" w:sz="6" w:space="0" w:color="auto"/>
              <w:bottom w:val="single" w:sz="6" w:space="0" w:color="auto"/>
              <w:right w:val="single" w:sz="6" w:space="0" w:color="auto"/>
            </w:tcBorders>
            <w:shd w:val="clear" w:color="auto" w:fill="auto"/>
          </w:tcPr>
          <w:p w14:paraId="2B015387" w14:textId="77777777" w:rsidR="00E41A00" w:rsidRPr="00E01726" w:rsidRDefault="00E41A00" w:rsidP="00E07FF7">
            <w:pPr>
              <w:keepNext/>
              <w:keepLines/>
              <w:spacing w:after="0" w:line="280" w:lineRule="atLeast"/>
              <w:rPr>
                <w:rFonts w:cs="Arial"/>
                <w:color w:val="FF0000"/>
                <w:sz w:val="22"/>
                <w:szCs w:val="22"/>
              </w:rPr>
            </w:pPr>
            <w:r w:rsidRPr="00E01726">
              <w:rPr>
                <w:rFonts w:cs="Arial"/>
                <w:sz w:val="22"/>
                <w:szCs w:val="22"/>
              </w:rPr>
              <w:t>12.68%</w:t>
            </w:r>
          </w:p>
        </w:tc>
        <w:tc>
          <w:tcPr>
            <w:tcW w:w="2233" w:type="dxa"/>
            <w:tcBorders>
              <w:top w:val="single" w:sz="6" w:space="0" w:color="auto"/>
              <w:left w:val="single" w:sz="6" w:space="0" w:color="auto"/>
              <w:bottom w:val="single" w:sz="6" w:space="0" w:color="auto"/>
              <w:right w:val="single" w:sz="6" w:space="0" w:color="auto"/>
            </w:tcBorders>
            <w:shd w:val="clear" w:color="auto" w:fill="auto"/>
          </w:tcPr>
          <w:p w14:paraId="6CEE3B48" w14:textId="77777777" w:rsidR="00E41A00" w:rsidRPr="00E01726" w:rsidRDefault="00E41A00" w:rsidP="00E07FF7">
            <w:pPr>
              <w:keepNext/>
              <w:keepLines/>
              <w:spacing w:after="0" w:line="280" w:lineRule="atLeast"/>
              <w:rPr>
                <w:rFonts w:cs="Arial"/>
                <w:sz w:val="22"/>
                <w:szCs w:val="22"/>
              </w:rPr>
            </w:pPr>
            <w:r w:rsidRPr="00E01726">
              <w:rPr>
                <w:rFonts w:cs="Arial"/>
                <w:sz w:val="22"/>
                <w:szCs w:val="22"/>
              </w:rPr>
              <w:t>8.39%</w:t>
            </w:r>
          </w:p>
        </w:tc>
      </w:tr>
      <w:tr w:rsidR="00E41A00" w:rsidRPr="00E01726" w14:paraId="48C70EB0" w14:textId="77777777" w:rsidTr="00E07FF7">
        <w:tc>
          <w:tcPr>
            <w:tcW w:w="2232" w:type="dxa"/>
            <w:tcBorders>
              <w:top w:val="single" w:sz="6" w:space="0" w:color="auto"/>
              <w:bottom w:val="single" w:sz="6" w:space="0" w:color="auto"/>
              <w:right w:val="single" w:sz="6" w:space="0" w:color="auto"/>
            </w:tcBorders>
          </w:tcPr>
          <w:p w14:paraId="64821C57" w14:textId="77777777" w:rsidR="00E41A00" w:rsidRPr="00E01726" w:rsidRDefault="00E41A00" w:rsidP="00E01726">
            <w:pPr>
              <w:keepNext/>
              <w:keepLines/>
              <w:spacing w:after="0" w:line="280" w:lineRule="atLeast"/>
              <w:ind w:right="-142"/>
              <w:rPr>
                <w:rFonts w:cs="Arial"/>
                <w:bCs/>
                <w:sz w:val="22"/>
                <w:szCs w:val="22"/>
              </w:rPr>
            </w:pPr>
            <w:r w:rsidRPr="00E01726">
              <w:rPr>
                <w:rFonts w:cs="Arial"/>
                <w:color w:val="000000"/>
                <w:sz w:val="22"/>
                <w:szCs w:val="22"/>
              </w:rPr>
              <w:t>Ratio 2023</w:t>
            </w:r>
          </w:p>
        </w:tc>
        <w:tc>
          <w:tcPr>
            <w:tcW w:w="2232" w:type="dxa"/>
            <w:tcBorders>
              <w:top w:val="single" w:sz="6" w:space="0" w:color="auto"/>
              <w:left w:val="single" w:sz="6" w:space="0" w:color="auto"/>
              <w:bottom w:val="single" w:sz="6" w:space="0" w:color="auto"/>
              <w:right w:val="single" w:sz="6" w:space="0" w:color="auto"/>
            </w:tcBorders>
            <w:shd w:val="clear" w:color="auto" w:fill="auto"/>
          </w:tcPr>
          <w:p w14:paraId="6E863522" w14:textId="77777777" w:rsidR="00E41A00" w:rsidRPr="00E01726" w:rsidRDefault="00E41A00" w:rsidP="00E07FF7">
            <w:pPr>
              <w:keepNext/>
              <w:keepLines/>
              <w:spacing w:after="0" w:line="280" w:lineRule="atLeast"/>
              <w:rPr>
                <w:rFonts w:cs="Arial"/>
                <w:sz w:val="22"/>
                <w:szCs w:val="22"/>
              </w:rPr>
            </w:pPr>
            <w:r w:rsidRPr="00E01726">
              <w:rPr>
                <w:rFonts w:cs="Arial"/>
                <w:sz w:val="22"/>
                <w:szCs w:val="22"/>
              </w:rPr>
              <w:t>29.02%</w:t>
            </w:r>
          </w:p>
        </w:tc>
        <w:tc>
          <w:tcPr>
            <w:tcW w:w="2233" w:type="dxa"/>
            <w:tcBorders>
              <w:top w:val="single" w:sz="6" w:space="0" w:color="auto"/>
              <w:left w:val="single" w:sz="6" w:space="0" w:color="auto"/>
              <w:bottom w:val="single" w:sz="6" w:space="0" w:color="auto"/>
              <w:right w:val="single" w:sz="6" w:space="0" w:color="auto"/>
            </w:tcBorders>
            <w:shd w:val="clear" w:color="auto" w:fill="auto"/>
          </w:tcPr>
          <w:p w14:paraId="2DB13909" w14:textId="77777777" w:rsidR="00E41A00" w:rsidRPr="00E01726" w:rsidRDefault="00E41A00" w:rsidP="00E07FF7">
            <w:pPr>
              <w:keepNext/>
              <w:keepLines/>
              <w:spacing w:after="0" w:line="280" w:lineRule="atLeast"/>
              <w:ind w:right="34"/>
              <w:rPr>
                <w:rFonts w:cs="Arial"/>
                <w:sz w:val="22"/>
                <w:szCs w:val="22"/>
              </w:rPr>
            </w:pPr>
            <w:r w:rsidRPr="00E01726">
              <w:rPr>
                <w:rFonts w:cs="Arial"/>
                <w:sz w:val="22"/>
                <w:szCs w:val="22"/>
              </w:rPr>
              <w:t>70.98%</w:t>
            </w:r>
          </w:p>
        </w:tc>
        <w:tc>
          <w:tcPr>
            <w:tcW w:w="2233" w:type="dxa"/>
            <w:tcBorders>
              <w:top w:val="single" w:sz="6" w:space="0" w:color="auto"/>
              <w:left w:val="single" w:sz="6" w:space="0" w:color="auto"/>
              <w:bottom w:val="single" w:sz="6" w:space="0" w:color="auto"/>
              <w:right w:val="single" w:sz="6" w:space="0" w:color="auto"/>
            </w:tcBorders>
            <w:shd w:val="clear" w:color="auto" w:fill="auto"/>
          </w:tcPr>
          <w:p w14:paraId="02E5E677" w14:textId="77777777" w:rsidR="00E41A00" w:rsidRPr="00E01726" w:rsidRDefault="00E41A00" w:rsidP="00E07FF7">
            <w:pPr>
              <w:keepNext/>
              <w:keepLines/>
              <w:spacing w:after="0" w:line="280" w:lineRule="atLeast"/>
              <w:rPr>
                <w:rFonts w:cs="Arial"/>
                <w:sz w:val="22"/>
                <w:szCs w:val="22"/>
              </w:rPr>
            </w:pPr>
          </w:p>
        </w:tc>
      </w:tr>
      <w:tr w:rsidR="00E41A00" w:rsidRPr="00E01726" w14:paraId="08251DD6" w14:textId="77777777" w:rsidTr="00E07FF7">
        <w:tc>
          <w:tcPr>
            <w:tcW w:w="2232" w:type="dxa"/>
            <w:tcBorders>
              <w:top w:val="single" w:sz="6" w:space="0" w:color="auto"/>
              <w:bottom w:val="single" w:sz="6" w:space="0" w:color="auto"/>
              <w:right w:val="single" w:sz="6" w:space="0" w:color="auto"/>
            </w:tcBorders>
          </w:tcPr>
          <w:p w14:paraId="178B5D45" w14:textId="77777777" w:rsidR="00E41A00" w:rsidRPr="00E01726" w:rsidRDefault="00E41A00" w:rsidP="00E01726">
            <w:pPr>
              <w:keepNext/>
              <w:keepLines/>
              <w:spacing w:after="0" w:line="280" w:lineRule="atLeast"/>
              <w:ind w:right="-142"/>
              <w:rPr>
                <w:rFonts w:cs="Arial"/>
                <w:bCs/>
                <w:sz w:val="22"/>
                <w:szCs w:val="22"/>
              </w:rPr>
            </w:pPr>
            <w:r w:rsidRPr="00E01726">
              <w:rPr>
                <w:rFonts w:cs="Arial"/>
                <w:color w:val="000000"/>
                <w:sz w:val="22"/>
                <w:szCs w:val="22"/>
              </w:rPr>
              <w:t>Ratio 2022</w:t>
            </w:r>
          </w:p>
        </w:tc>
        <w:tc>
          <w:tcPr>
            <w:tcW w:w="2232" w:type="dxa"/>
            <w:tcBorders>
              <w:top w:val="single" w:sz="6" w:space="0" w:color="auto"/>
              <w:left w:val="single" w:sz="6" w:space="0" w:color="auto"/>
              <w:bottom w:val="single" w:sz="6" w:space="0" w:color="auto"/>
              <w:right w:val="single" w:sz="6" w:space="0" w:color="auto"/>
            </w:tcBorders>
            <w:shd w:val="clear" w:color="auto" w:fill="auto"/>
          </w:tcPr>
          <w:p w14:paraId="5885D6B0" w14:textId="77777777" w:rsidR="00E41A00" w:rsidRPr="00E01726" w:rsidRDefault="00E41A00" w:rsidP="00E07FF7">
            <w:pPr>
              <w:keepNext/>
              <w:keepLines/>
              <w:spacing w:after="0" w:line="280" w:lineRule="atLeast"/>
              <w:rPr>
                <w:rFonts w:cs="Arial"/>
                <w:sz w:val="22"/>
                <w:szCs w:val="22"/>
              </w:rPr>
            </w:pPr>
            <w:r w:rsidRPr="00E01726">
              <w:rPr>
                <w:rFonts w:cs="Arial"/>
                <w:sz w:val="22"/>
                <w:szCs w:val="22"/>
              </w:rPr>
              <w:t>31.73%</w:t>
            </w:r>
          </w:p>
        </w:tc>
        <w:tc>
          <w:tcPr>
            <w:tcW w:w="2233" w:type="dxa"/>
            <w:tcBorders>
              <w:top w:val="single" w:sz="6" w:space="0" w:color="auto"/>
              <w:left w:val="single" w:sz="6" w:space="0" w:color="auto"/>
              <w:bottom w:val="single" w:sz="6" w:space="0" w:color="auto"/>
              <w:right w:val="single" w:sz="6" w:space="0" w:color="auto"/>
            </w:tcBorders>
            <w:shd w:val="clear" w:color="auto" w:fill="auto"/>
          </w:tcPr>
          <w:p w14:paraId="218A07BD" w14:textId="77777777" w:rsidR="00E41A00" w:rsidRPr="00E01726" w:rsidRDefault="00E41A00" w:rsidP="00E07FF7">
            <w:pPr>
              <w:keepNext/>
              <w:keepLines/>
              <w:spacing w:after="0" w:line="280" w:lineRule="atLeast"/>
              <w:ind w:right="34"/>
              <w:rPr>
                <w:rFonts w:cs="Arial"/>
                <w:sz w:val="22"/>
                <w:szCs w:val="22"/>
              </w:rPr>
            </w:pPr>
            <w:r w:rsidRPr="00E01726">
              <w:rPr>
                <w:rFonts w:cs="Arial"/>
                <w:sz w:val="22"/>
                <w:szCs w:val="22"/>
              </w:rPr>
              <w:t>68.27%</w:t>
            </w:r>
          </w:p>
        </w:tc>
        <w:tc>
          <w:tcPr>
            <w:tcW w:w="2233" w:type="dxa"/>
            <w:tcBorders>
              <w:top w:val="single" w:sz="6" w:space="0" w:color="auto"/>
              <w:left w:val="single" w:sz="6" w:space="0" w:color="auto"/>
              <w:bottom w:val="single" w:sz="6" w:space="0" w:color="auto"/>
              <w:right w:val="single" w:sz="6" w:space="0" w:color="auto"/>
            </w:tcBorders>
            <w:shd w:val="clear" w:color="auto" w:fill="auto"/>
          </w:tcPr>
          <w:p w14:paraId="4757A36B" w14:textId="77777777" w:rsidR="00E41A00" w:rsidRPr="00E01726" w:rsidRDefault="00E41A00" w:rsidP="00E07FF7">
            <w:pPr>
              <w:keepNext/>
              <w:keepLines/>
              <w:spacing w:after="0" w:line="280" w:lineRule="atLeast"/>
              <w:rPr>
                <w:rFonts w:cs="Arial"/>
                <w:sz w:val="22"/>
                <w:szCs w:val="22"/>
              </w:rPr>
            </w:pPr>
          </w:p>
        </w:tc>
      </w:tr>
      <w:tr w:rsidR="00E41A00" w:rsidRPr="00E01726" w14:paraId="6442CA59" w14:textId="77777777" w:rsidTr="00E07FF7">
        <w:tc>
          <w:tcPr>
            <w:tcW w:w="2232" w:type="dxa"/>
            <w:shd w:val="clear" w:color="auto" w:fill="D9D9D9" w:themeFill="background1" w:themeFillShade="D9"/>
          </w:tcPr>
          <w:p w14:paraId="12F645AE" w14:textId="77777777" w:rsidR="00E41A00" w:rsidRPr="00E01726" w:rsidRDefault="00E41A00" w:rsidP="00E07FF7">
            <w:pPr>
              <w:keepNext/>
              <w:keepLines/>
              <w:spacing w:after="0" w:line="280" w:lineRule="atLeast"/>
              <w:ind w:right="-142"/>
              <w:rPr>
                <w:rFonts w:cs="Arial"/>
                <w:b/>
                <w:sz w:val="22"/>
                <w:szCs w:val="22"/>
              </w:rPr>
            </w:pPr>
            <w:r w:rsidRPr="00E01726">
              <w:rPr>
                <w:rFonts w:cs="Arial"/>
                <w:b/>
                <w:bCs/>
                <w:color w:val="000000"/>
                <w:sz w:val="22"/>
                <w:szCs w:val="22"/>
              </w:rPr>
              <w:t> </w:t>
            </w:r>
          </w:p>
        </w:tc>
        <w:tc>
          <w:tcPr>
            <w:tcW w:w="2232" w:type="dxa"/>
            <w:shd w:val="clear" w:color="auto" w:fill="D9D9D9" w:themeFill="background1" w:themeFillShade="D9"/>
          </w:tcPr>
          <w:p w14:paraId="0CDBDAC3" w14:textId="77777777" w:rsidR="00E41A00" w:rsidRPr="00E01726" w:rsidRDefault="00E41A00" w:rsidP="00E07FF7">
            <w:pPr>
              <w:keepNext/>
              <w:keepLines/>
              <w:spacing w:after="0" w:line="280" w:lineRule="atLeast"/>
              <w:rPr>
                <w:rFonts w:cs="Arial"/>
                <w:b/>
                <w:sz w:val="22"/>
                <w:szCs w:val="22"/>
              </w:rPr>
            </w:pPr>
            <w:r w:rsidRPr="00E01726" w:rsidDel="00573E15">
              <w:rPr>
                <w:rFonts w:cs="Arial"/>
                <w:b/>
                <w:color w:val="000000"/>
                <w:sz w:val="22"/>
                <w:szCs w:val="22"/>
              </w:rPr>
              <w:t>Swiss Francs</w:t>
            </w:r>
          </w:p>
        </w:tc>
        <w:tc>
          <w:tcPr>
            <w:tcW w:w="2233" w:type="dxa"/>
            <w:shd w:val="clear" w:color="auto" w:fill="D9D9D9" w:themeFill="background1" w:themeFillShade="D9"/>
          </w:tcPr>
          <w:p w14:paraId="6964274E" w14:textId="77777777" w:rsidR="00E41A00" w:rsidRPr="00E01726" w:rsidRDefault="00E41A00" w:rsidP="00E07FF7">
            <w:pPr>
              <w:keepNext/>
              <w:keepLines/>
              <w:spacing w:after="0" w:line="280" w:lineRule="atLeast"/>
              <w:ind w:right="34"/>
              <w:rPr>
                <w:rFonts w:cs="Arial"/>
                <w:b/>
                <w:sz w:val="22"/>
                <w:szCs w:val="22"/>
              </w:rPr>
            </w:pPr>
            <w:r w:rsidRPr="00E01726" w:rsidDel="00573E15">
              <w:rPr>
                <w:rFonts w:cs="Arial"/>
                <w:b/>
                <w:color w:val="000000"/>
                <w:sz w:val="22"/>
                <w:szCs w:val="22"/>
              </w:rPr>
              <w:t>Swiss Francs</w:t>
            </w:r>
          </w:p>
        </w:tc>
        <w:tc>
          <w:tcPr>
            <w:tcW w:w="2233" w:type="dxa"/>
            <w:shd w:val="clear" w:color="auto" w:fill="D9D9D9" w:themeFill="background1" w:themeFillShade="D9"/>
          </w:tcPr>
          <w:p w14:paraId="4244CB94" w14:textId="77777777" w:rsidR="00E41A00" w:rsidRPr="00E01726" w:rsidRDefault="00E41A00" w:rsidP="00E07FF7">
            <w:pPr>
              <w:keepNext/>
              <w:keepLines/>
              <w:spacing w:after="0" w:line="280" w:lineRule="atLeast"/>
              <w:rPr>
                <w:rFonts w:cs="Arial"/>
                <w:b/>
                <w:sz w:val="22"/>
                <w:szCs w:val="22"/>
              </w:rPr>
            </w:pPr>
            <w:r w:rsidRPr="00E01726" w:rsidDel="00573E15">
              <w:rPr>
                <w:rFonts w:cs="Arial"/>
                <w:b/>
                <w:color w:val="000000"/>
                <w:sz w:val="22"/>
                <w:szCs w:val="22"/>
              </w:rPr>
              <w:t>Swiss Francs</w:t>
            </w:r>
          </w:p>
        </w:tc>
      </w:tr>
      <w:tr w:rsidR="00E41A00" w:rsidRPr="00E01726" w14:paraId="23A121B7" w14:textId="77777777" w:rsidTr="00E07FF7">
        <w:tc>
          <w:tcPr>
            <w:tcW w:w="2232" w:type="dxa"/>
            <w:tcBorders>
              <w:top w:val="single" w:sz="6" w:space="0" w:color="auto"/>
              <w:bottom w:val="single" w:sz="6" w:space="0" w:color="auto"/>
              <w:right w:val="single" w:sz="6" w:space="0" w:color="auto"/>
            </w:tcBorders>
          </w:tcPr>
          <w:p w14:paraId="7159B383" w14:textId="77777777" w:rsidR="00E41A00" w:rsidRPr="00E01726" w:rsidRDefault="00E41A00" w:rsidP="00E01726">
            <w:pPr>
              <w:keepNext/>
              <w:keepLines/>
              <w:spacing w:after="0" w:line="280" w:lineRule="atLeast"/>
              <w:ind w:right="-142"/>
              <w:rPr>
                <w:rFonts w:cs="Arial"/>
                <w:bCs/>
                <w:sz w:val="22"/>
                <w:szCs w:val="22"/>
              </w:rPr>
            </w:pPr>
            <w:r w:rsidRPr="00E01726">
              <w:rPr>
                <w:rFonts w:cs="Arial"/>
                <w:color w:val="000000"/>
                <w:sz w:val="22"/>
                <w:szCs w:val="22"/>
              </w:rPr>
              <w:t>2023</w:t>
            </w:r>
          </w:p>
        </w:tc>
        <w:tc>
          <w:tcPr>
            <w:tcW w:w="2232" w:type="dxa"/>
            <w:tcBorders>
              <w:top w:val="single" w:sz="6" w:space="0" w:color="auto"/>
              <w:left w:val="single" w:sz="6" w:space="0" w:color="auto"/>
              <w:bottom w:val="single" w:sz="6" w:space="0" w:color="auto"/>
              <w:right w:val="single" w:sz="6" w:space="0" w:color="auto"/>
            </w:tcBorders>
            <w:shd w:val="clear" w:color="auto" w:fill="auto"/>
          </w:tcPr>
          <w:p w14:paraId="19489A1C" w14:textId="77777777" w:rsidR="00E41A00" w:rsidRPr="00E01726" w:rsidRDefault="00E41A00" w:rsidP="00E07FF7">
            <w:pPr>
              <w:keepNext/>
              <w:keepLines/>
              <w:spacing w:after="0" w:line="280" w:lineRule="atLeast"/>
              <w:rPr>
                <w:rFonts w:cs="Arial"/>
                <w:sz w:val="22"/>
                <w:szCs w:val="22"/>
              </w:rPr>
            </w:pPr>
            <w:r w:rsidRPr="00E01726">
              <w:rPr>
                <w:rFonts w:cs="Arial"/>
                <w:sz w:val="22"/>
                <w:szCs w:val="22"/>
              </w:rPr>
              <w:t>1,371,316</w:t>
            </w:r>
          </w:p>
        </w:tc>
        <w:tc>
          <w:tcPr>
            <w:tcW w:w="2233" w:type="dxa"/>
            <w:tcBorders>
              <w:top w:val="single" w:sz="6" w:space="0" w:color="auto"/>
              <w:left w:val="single" w:sz="6" w:space="0" w:color="auto"/>
              <w:bottom w:val="single" w:sz="6" w:space="0" w:color="auto"/>
              <w:right w:val="single" w:sz="6" w:space="0" w:color="auto"/>
            </w:tcBorders>
            <w:shd w:val="clear" w:color="auto" w:fill="auto"/>
          </w:tcPr>
          <w:p w14:paraId="114CDED8" w14:textId="77777777" w:rsidR="00E41A00" w:rsidRPr="00E01726" w:rsidRDefault="00E41A00" w:rsidP="00E07FF7">
            <w:pPr>
              <w:keepNext/>
              <w:keepLines/>
              <w:spacing w:after="0" w:line="280" w:lineRule="atLeast"/>
              <w:ind w:right="34"/>
              <w:rPr>
                <w:rFonts w:cs="Arial"/>
                <w:sz w:val="22"/>
                <w:szCs w:val="22"/>
              </w:rPr>
            </w:pPr>
            <w:r w:rsidRPr="00E01726">
              <w:rPr>
                <w:rFonts w:cs="Arial"/>
                <w:sz w:val="22"/>
                <w:szCs w:val="22"/>
              </w:rPr>
              <w:t>3,353,684</w:t>
            </w:r>
          </w:p>
        </w:tc>
        <w:tc>
          <w:tcPr>
            <w:tcW w:w="2233" w:type="dxa"/>
            <w:tcBorders>
              <w:top w:val="single" w:sz="6" w:space="0" w:color="auto"/>
              <w:left w:val="single" w:sz="6" w:space="0" w:color="auto"/>
              <w:bottom w:val="single" w:sz="6" w:space="0" w:color="auto"/>
              <w:right w:val="single" w:sz="6" w:space="0" w:color="auto"/>
            </w:tcBorders>
            <w:shd w:val="clear" w:color="auto" w:fill="auto"/>
          </w:tcPr>
          <w:p w14:paraId="4D0DC090" w14:textId="77777777" w:rsidR="00E41A00" w:rsidRPr="00E01726" w:rsidRDefault="00E41A00" w:rsidP="00E07FF7">
            <w:pPr>
              <w:keepNext/>
              <w:keepLines/>
              <w:spacing w:after="0" w:line="280" w:lineRule="atLeast"/>
              <w:rPr>
                <w:rFonts w:cs="Arial"/>
                <w:sz w:val="22"/>
                <w:szCs w:val="22"/>
              </w:rPr>
            </w:pPr>
            <w:r w:rsidRPr="00E01726">
              <w:rPr>
                <w:rFonts w:cs="Arial"/>
                <w:sz w:val="22"/>
                <w:szCs w:val="22"/>
              </w:rPr>
              <w:t>4,725,000</w:t>
            </w:r>
          </w:p>
        </w:tc>
      </w:tr>
      <w:tr w:rsidR="00E41A00" w:rsidRPr="00E01726" w14:paraId="78F43A66" w14:textId="77777777" w:rsidTr="00E07FF7">
        <w:tc>
          <w:tcPr>
            <w:tcW w:w="2232" w:type="dxa"/>
            <w:tcBorders>
              <w:top w:val="single" w:sz="6" w:space="0" w:color="auto"/>
              <w:bottom w:val="single" w:sz="6" w:space="0" w:color="auto"/>
              <w:right w:val="single" w:sz="6" w:space="0" w:color="auto"/>
            </w:tcBorders>
          </w:tcPr>
          <w:p w14:paraId="7797354E" w14:textId="77777777" w:rsidR="00E41A00" w:rsidRPr="00E01726" w:rsidRDefault="00E41A00" w:rsidP="00E01726">
            <w:pPr>
              <w:keepNext/>
              <w:keepLines/>
              <w:spacing w:after="0" w:line="280" w:lineRule="atLeast"/>
              <w:ind w:right="-142"/>
              <w:rPr>
                <w:rFonts w:cs="Arial"/>
                <w:bCs/>
                <w:sz w:val="22"/>
                <w:szCs w:val="22"/>
              </w:rPr>
            </w:pPr>
            <w:r w:rsidRPr="00E01726">
              <w:rPr>
                <w:rFonts w:cs="Arial"/>
                <w:color w:val="000000"/>
                <w:sz w:val="22"/>
                <w:szCs w:val="22"/>
              </w:rPr>
              <w:t>2022</w:t>
            </w:r>
          </w:p>
        </w:tc>
        <w:tc>
          <w:tcPr>
            <w:tcW w:w="2232" w:type="dxa"/>
            <w:tcBorders>
              <w:top w:val="single" w:sz="6" w:space="0" w:color="auto"/>
              <w:left w:val="single" w:sz="6" w:space="0" w:color="auto"/>
              <w:bottom w:val="single" w:sz="6" w:space="0" w:color="auto"/>
              <w:right w:val="single" w:sz="6" w:space="0" w:color="auto"/>
            </w:tcBorders>
            <w:shd w:val="clear" w:color="auto" w:fill="auto"/>
          </w:tcPr>
          <w:p w14:paraId="7EE4EAA4" w14:textId="77777777" w:rsidR="00E41A00" w:rsidRPr="00E01726" w:rsidRDefault="00E41A00" w:rsidP="00E07FF7">
            <w:pPr>
              <w:keepNext/>
              <w:keepLines/>
              <w:spacing w:after="0" w:line="280" w:lineRule="atLeast"/>
              <w:rPr>
                <w:rFonts w:cs="Arial"/>
                <w:sz w:val="22"/>
                <w:szCs w:val="22"/>
              </w:rPr>
            </w:pPr>
            <w:r w:rsidRPr="00E01726">
              <w:rPr>
                <w:rFonts w:cs="Arial"/>
                <w:sz w:val="22"/>
                <w:szCs w:val="22"/>
              </w:rPr>
              <w:t>1,499,104</w:t>
            </w:r>
          </w:p>
        </w:tc>
        <w:tc>
          <w:tcPr>
            <w:tcW w:w="2233" w:type="dxa"/>
            <w:tcBorders>
              <w:top w:val="single" w:sz="6" w:space="0" w:color="auto"/>
              <w:left w:val="single" w:sz="6" w:space="0" w:color="auto"/>
              <w:bottom w:val="single" w:sz="6" w:space="0" w:color="auto"/>
              <w:right w:val="single" w:sz="6" w:space="0" w:color="auto"/>
            </w:tcBorders>
            <w:shd w:val="clear" w:color="auto" w:fill="auto"/>
          </w:tcPr>
          <w:p w14:paraId="2F0A98C7" w14:textId="77777777" w:rsidR="00E41A00" w:rsidRPr="00E01726" w:rsidRDefault="00E41A00" w:rsidP="00E07FF7">
            <w:pPr>
              <w:keepNext/>
              <w:keepLines/>
              <w:spacing w:after="0" w:line="280" w:lineRule="atLeast"/>
              <w:ind w:right="34"/>
              <w:rPr>
                <w:rFonts w:cs="Arial"/>
                <w:sz w:val="22"/>
                <w:szCs w:val="22"/>
              </w:rPr>
            </w:pPr>
            <w:r w:rsidRPr="00E01726">
              <w:rPr>
                <w:rFonts w:cs="Arial"/>
                <w:sz w:val="22"/>
                <w:szCs w:val="22"/>
              </w:rPr>
              <w:t>3,225,896</w:t>
            </w:r>
          </w:p>
        </w:tc>
        <w:tc>
          <w:tcPr>
            <w:tcW w:w="2233" w:type="dxa"/>
            <w:tcBorders>
              <w:top w:val="single" w:sz="6" w:space="0" w:color="auto"/>
              <w:left w:val="single" w:sz="6" w:space="0" w:color="auto"/>
              <w:bottom w:val="single" w:sz="6" w:space="0" w:color="auto"/>
              <w:right w:val="single" w:sz="6" w:space="0" w:color="auto"/>
            </w:tcBorders>
            <w:shd w:val="clear" w:color="auto" w:fill="auto"/>
          </w:tcPr>
          <w:p w14:paraId="4493E63B" w14:textId="77777777" w:rsidR="00E41A00" w:rsidRPr="00E01726" w:rsidRDefault="00E41A00" w:rsidP="00E07FF7">
            <w:pPr>
              <w:keepNext/>
              <w:keepLines/>
              <w:spacing w:after="0" w:line="280" w:lineRule="atLeast"/>
              <w:rPr>
                <w:rFonts w:cs="Arial"/>
                <w:sz w:val="22"/>
                <w:szCs w:val="22"/>
              </w:rPr>
            </w:pPr>
            <w:r w:rsidRPr="00E01726">
              <w:rPr>
                <w:rFonts w:cs="Arial"/>
                <w:sz w:val="22"/>
                <w:szCs w:val="22"/>
              </w:rPr>
              <w:t>4,725,000</w:t>
            </w:r>
          </w:p>
        </w:tc>
      </w:tr>
      <w:tr w:rsidR="00E41A00" w:rsidRPr="00E01726" w14:paraId="1EDB4419" w14:textId="77777777" w:rsidTr="00E07FF7">
        <w:tc>
          <w:tcPr>
            <w:tcW w:w="2232" w:type="dxa"/>
            <w:tcBorders>
              <w:top w:val="single" w:sz="6" w:space="0" w:color="auto"/>
              <w:bottom w:val="single" w:sz="6" w:space="0" w:color="auto"/>
              <w:right w:val="single" w:sz="6" w:space="0" w:color="auto"/>
            </w:tcBorders>
          </w:tcPr>
          <w:p w14:paraId="4C715A82" w14:textId="77777777" w:rsidR="00E41A00" w:rsidRPr="00E01726" w:rsidRDefault="00E41A00" w:rsidP="00E01726">
            <w:pPr>
              <w:keepNext/>
              <w:keepLines/>
              <w:spacing w:after="0" w:line="280" w:lineRule="atLeast"/>
              <w:ind w:right="-142"/>
              <w:rPr>
                <w:rFonts w:cs="Arial"/>
                <w:bCs/>
                <w:sz w:val="22"/>
                <w:szCs w:val="22"/>
              </w:rPr>
            </w:pPr>
            <w:r w:rsidRPr="00E01726" w:rsidDel="00573E15">
              <w:rPr>
                <w:rFonts w:cs="Arial"/>
                <w:color w:val="000000"/>
                <w:sz w:val="22"/>
                <w:szCs w:val="22"/>
              </w:rPr>
              <w:t>Increase/(decrease)</w:t>
            </w:r>
          </w:p>
        </w:tc>
        <w:tc>
          <w:tcPr>
            <w:tcW w:w="2232" w:type="dxa"/>
            <w:tcBorders>
              <w:top w:val="single" w:sz="6" w:space="0" w:color="auto"/>
              <w:left w:val="single" w:sz="6" w:space="0" w:color="auto"/>
              <w:bottom w:val="single" w:sz="6" w:space="0" w:color="auto"/>
              <w:right w:val="single" w:sz="6" w:space="0" w:color="auto"/>
            </w:tcBorders>
            <w:shd w:val="clear" w:color="auto" w:fill="auto"/>
          </w:tcPr>
          <w:p w14:paraId="33AA0605" w14:textId="77777777" w:rsidR="00E41A00" w:rsidRPr="00E01726" w:rsidRDefault="00E41A00" w:rsidP="00E07FF7">
            <w:pPr>
              <w:keepNext/>
              <w:keepLines/>
              <w:spacing w:after="0" w:line="280" w:lineRule="atLeast"/>
              <w:rPr>
                <w:rFonts w:cs="Arial"/>
                <w:sz w:val="22"/>
                <w:szCs w:val="22"/>
              </w:rPr>
            </w:pPr>
            <w:r w:rsidRPr="00E01726">
              <w:rPr>
                <w:rFonts w:cs="Arial"/>
                <w:color w:val="FF0000"/>
                <w:sz w:val="22"/>
                <w:szCs w:val="22"/>
              </w:rPr>
              <w:t>(8.52%)</w:t>
            </w:r>
          </w:p>
        </w:tc>
        <w:tc>
          <w:tcPr>
            <w:tcW w:w="2233" w:type="dxa"/>
            <w:tcBorders>
              <w:top w:val="single" w:sz="6" w:space="0" w:color="auto"/>
              <w:left w:val="single" w:sz="6" w:space="0" w:color="auto"/>
              <w:bottom w:val="single" w:sz="6" w:space="0" w:color="auto"/>
              <w:right w:val="single" w:sz="6" w:space="0" w:color="auto"/>
            </w:tcBorders>
            <w:shd w:val="clear" w:color="auto" w:fill="auto"/>
          </w:tcPr>
          <w:p w14:paraId="1CB5AAA9" w14:textId="77777777" w:rsidR="00E41A00" w:rsidRPr="00E01726" w:rsidRDefault="00E41A00" w:rsidP="00E07FF7">
            <w:pPr>
              <w:keepNext/>
              <w:keepLines/>
              <w:spacing w:after="0" w:line="280" w:lineRule="atLeast"/>
              <w:ind w:right="34"/>
              <w:rPr>
                <w:rFonts w:cs="Arial"/>
                <w:sz w:val="22"/>
                <w:szCs w:val="22"/>
              </w:rPr>
            </w:pPr>
            <w:r w:rsidRPr="00E01726">
              <w:rPr>
                <w:rFonts w:cs="Arial"/>
                <w:sz w:val="22"/>
                <w:szCs w:val="22"/>
              </w:rPr>
              <w:t>3.96%</w:t>
            </w:r>
          </w:p>
        </w:tc>
        <w:tc>
          <w:tcPr>
            <w:tcW w:w="2233" w:type="dxa"/>
            <w:tcBorders>
              <w:top w:val="single" w:sz="6" w:space="0" w:color="auto"/>
              <w:left w:val="single" w:sz="6" w:space="0" w:color="auto"/>
              <w:bottom w:val="single" w:sz="6" w:space="0" w:color="auto"/>
              <w:right w:val="single" w:sz="6" w:space="0" w:color="auto"/>
            </w:tcBorders>
            <w:shd w:val="clear" w:color="auto" w:fill="auto"/>
          </w:tcPr>
          <w:p w14:paraId="0060DBC2" w14:textId="77777777" w:rsidR="00E41A00" w:rsidRPr="00E01726" w:rsidRDefault="00E41A00" w:rsidP="00E07FF7">
            <w:pPr>
              <w:keepNext/>
              <w:keepLines/>
              <w:spacing w:after="0" w:line="280" w:lineRule="atLeast"/>
              <w:rPr>
                <w:rFonts w:cs="Arial"/>
                <w:sz w:val="22"/>
                <w:szCs w:val="22"/>
              </w:rPr>
            </w:pPr>
          </w:p>
        </w:tc>
      </w:tr>
    </w:tbl>
    <w:p w14:paraId="5CD02369" w14:textId="77777777" w:rsidR="00E41A00" w:rsidRPr="002257B6" w:rsidRDefault="00E41A00" w:rsidP="00E41A00">
      <w:pPr>
        <w:pStyle w:val="Heading2"/>
      </w:pPr>
      <w:bookmarkStart w:id="154" w:name="_Toc417990955"/>
      <w:bookmarkStart w:id="155" w:name="_Toc511634397"/>
      <w:bookmarkStart w:id="156" w:name="_Toc67042586"/>
      <w:bookmarkStart w:id="157" w:name="_Toc108599221"/>
      <w:bookmarkStart w:id="158" w:name="_Toc121920495"/>
      <w:bookmarkStart w:id="159" w:name="_Toc149735451"/>
      <w:bookmarkStart w:id="160" w:name="_Toc175123932"/>
      <w:r w:rsidRPr="002257B6">
        <w:t>3.4</w:t>
      </w:r>
      <w:r w:rsidRPr="002257B6">
        <w:tab/>
        <w:t>Determination of cost component for the development or variation of consumer protection codes</w:t>
      </w:r>
      <w:bookmarkEnd w:id="154"/>
      <w:bookmarkEnd w:id="155"/>
      <w:bookmarkEnd w:id="156"/>
      <w:bookmarkEnd w:id="157"/>
      <w:bookmarkEnd w:id="158"/>
      <w:bookmarkEnd w:id="159"/>
      <w:bookmarkEnd w:id="160"/>
    </w:p>
    <w:p w14:paraId="37EB6171" w14:textId="77777777" w:rsidR="00E41A00" w:rsidRPr="00AE6A60" w:rsidRDefault="00E41A00" w:rsidP="00E41A00">
      <w:pPr>
        <w:pStyle w:val="Heading3"/>
      </w:pPr>
      <w:bookmarkStart w:id="161" w:name="_Toc417990956"/>
      <w:bookmarkStart w:id="162" w:name="_Toc511634398"/>
      <w:bookmarkStart w:id="163" w:name="_Toc67042587"/>
      <w:bookmarkStart w:id="164" w:name="_Toc108599222"/>
      <w:r w:rsidRPr="00AE6A60">
        <w:t>3.4.1</w:t>
      </w:r>
      <w:r w:rsidRPr="00AE6A60">
        <w:tab/>
        <w:t>Outputs and business processes of the activity</w:t>
      </w:r>
      <w:bookmarkEnd w:id="161"/>
      <w:bookmarkEnd w:id="162"/>
      <w:bookmarkEnd w:id="163"/>
      <w:bookmarkEnd w:id="164"/>
    </w:p>
    <w:p w14:paraId="5C05EDE9" w14:textId="11ABAB25" w:rsidR="00E41A00" w:rsidRPr="00AE6A60" w:rsidRDefault="00E41A00" w:rsidP="00882E54">
      <w:pPr>
        <w:pStyle w:val="Paragraph"/>
      </w:pPr>
      <w:r w:rsidRPr="00AE6A60">
        <w:t xml:space="preserve">This component </w:t>
      </w:r>
      <w:r>
        <w:t>is</w:t>
      </w:r>
      <w:r w:rsidRPr="00AE6A60">
        <w:t xml:space="preserve"> determined by the ACMA under paragraph 15(</w:t>
      </w:r>
      <w:proofErr w:type="gramStart"/>
      <w:r w:rsidRPr="00AE6A60">
        <w:t>1)(</w:t>
      </w:r>
      <w:proofErr w:type="gramEnd"/>
      <w:r w:rsidRPr="00AE6A60">
        <w:t xml:space="preserve">ca) of </w:t>
      </w:r>
      <w:r w:rsidRPr="00484E6F">
        <w:t>the Act</w:t>
      </w:r>
      <w:r>
        <w:t>.</w:t>
      </w:r>
      <w:r w:rsidRPr="00AE6A60">
        <w:t xml:space="preserve"> </w:t>
      </w:r>
      <w:r>
        <w:t xml:space="preserve">It </w:t>
      </w:r>
      <w:r w:rsidRPr="00AE6A60">
        <w:t xml:space="preserve">represents the sum of the amounts paid under section 136C of the </w:t>
      </w:r>
      <w:r w:rsidRPr="00484E6F">
        <w:t>Telco Act</w:t>
      </w:r>
      <w:r w:rsidRPr="00AE6A60">
        <w:rPr>
          <w:i/>
        </w:rPr>
        <w:t xml:space="preserve"> </w:t>
      </w:r>
      <w:r w:rsidRPr="00AE6A60">
        <w:t xml:space="preserve">during the immediately preceding financial year (the </w:t>
      </w:r>
      <w:r>
        <w:t>2022</w:t>
      </w:r>
      <w:r w:rsidR="000F4C8A">
        <w:t>–</w:t>
      </w:r>
      <w:r>
        <w:t>23</w:t>
      </w:r>
      <w:r w:rsidRPr="00AE6A60">
        <w:t xml:space="preserve"> financial year). Section 136C of the Telco Act requires the ACMA (providing certain statutory preconditions are met) to make a payment on behalf of the Commonwealth to reimburse the costs incurred by a telecommunications industry body or association for the development or variation of an industry code (the output of this activity).</w:t>
      </w:r>
    </w:p>
    <w:p w14:paraId="6A84F6E2" w14:textId="77777777" w:rsidR="00E41A00" w:rsidRPr="00AE6A60" w:rsidRDefault="00E41A00" w:rsidP="00882E54">
      <w:pPr>
        <w:pStyle w:val="Paragraph"/>
      </w:pPr>
      <w:r w:rsidRPr="00AE6A60">
        <w:lastRenderedPageBreak/>
        <w:t xml:space="preserve">The industry body or association must first have obtained a declaration from the ACMA under section 136B of the Telco Act to be eligible to claim reimbursement of these costs and, within </w:t>
      </w:r>
      <w:r>
        <w:t>2</w:t>
      </w:r>
      <w:r w:rsidRPr="00AE6A60">
        <w:t xml:space="preserve"> years, provide a detailed claim </w:t>
      </w:r>
      <w:r>
        <w:t>for</w:t>
      </w:r>
      <w:r w:rsidRPr="00AE6A60">
        <w:t xml:space="preserve"> the code development or variation costs. The cost of the development or variation of an industry code is required to be verified by an independent auditor at the time the code or variation is submitted to the </w:t>
      </w:r>
      <w:r w:rsidRPr="00AE6A60" w:rsidDel="004238D5">
        <w:t>ACMA</w:t>
      </w:r>
      <w:r>
        <w:t xml:space="preserve"> and</w:t>
      </w:r>
      <w:r w:rsidRPr="00AE6A60">
        <w:t xml:space="preserve"> must be assessed by ACMA as a reimbursable cost in accordance with the Telco Act </w:t>
      </w:r>
      <w:r>
        <w:t xml:space="preserve">before </w:t>
      </w:r>
      <w:r w:rsidRPr="00AE6A60">
        <w:t xml:space="preserve">any payment </w:t>
      </w:r>
      <w:r>
        <w:t>is</w:t>
      </w:r>
      <w:r w:rsidRPr="00AE6A60">
        <w:t xml:space="preserve"> made.</w:t>
      </w:r>
    </w:p>
    <w:p w14:paraId="0A0023E2" w14:textId="77777777" w:rsidR="00E41A00" w:rsidRPr="00AE6A60" w:rsidRDefault="00E41A00" w:rsidP="00882E54">
      <w:pPr>
        <w:pStyle w:val="Paragraph"/>
      </w:pPr>
      <w:bookmarkStart w:id="165" w:name="_Hlk80793759"/>
      <w:r w:rsidRPr="00AE6A60">
        <w:t xml:space="preserve">Communications Alliance Ltd </w:t>
      </w:r>
      <w:bookmarkEnd w:id="165"/>
      <w:r w:rsidRPr="00AE6A60">
        <w:t>is an industry body that represents the telecommunications industry and develops codes as required. An industry body is only eligible to seek reimbursement for development or variation of consumer codes (</w:t>
      </w:r>
      <w:r>
        <w:t>that is,</w:t>
      </w:r>
      <w:r w:rsidRPr="00AE6A60">
        <w:t xml:space="preserve"> where industry codes wholly or mainly deal with matters relating to the relationship between carriage service providers and their retail customers). The industry codes are a key component of the co-regulatory approach to regulation in the telecommunications sector, which is intended to provide consumer protection in an efficient manner, with a low regulatory burden on industry. Industry codes, as a form of co-regulation, form part of the telecommunications regulatory framework and it is appropriate to attribute these costs to the licensed carriers through the ACLC.</w:t>
      </w:r>
    </w:p>
    <w:p w14:paraId="426D382B" w14:textId="77777777" w:rsidR="00E41A00" w:rsidRPr="00AE6A60" w:rsidRDefault="00E41A00" w:rsidP="00E41A00">
      <w:pPr>
        <w:pStyle w:val="Heading3"/>
      </w:pPr>
      <w:bookmarkStart w:id="166" w:name="_Toc417990957"/>
      <w:bookmarkStart w:id="167" w:name="_Toc511634399"/>
      <w:bookmarkStart w:id="168" w:name="_Toc67042588"/>
      <w:bookmarkStart w:id="169" w:name="_Toc108599223"/>
      <w:r w:rsidRPr="00AE6A60">
        <w:t>3.4.2</w:t>
      </w:r>
      <w:r w:rsidRPr="00AE6A60">
        <w:tab/>
        <w:t>Costs of the activity</w:t>
      </w:r>
      <w:bookmarkEnd w:id="166"/>
      <w:bookmarkEnd w:id="167"/>
      <w:bookmarkEnd w:id="168"/>
      <w:bookmarkEnd w:id="169"/>
    </w:p>
    <w:p w14:paraId="7310A3C2" w14:textId="30118E08" w:rsidR="00E41A00" w:rsidRPr="00AE6A60" w:rsidRDefault="00E41A00" w:rsidP="00882E54">
      <w:pPr>
        <w:pStyle w:val="Paragraph"/>
      </w:pPr>
      <w:bookmarkStart w:id="170" w:name="_Hlk8984411"/>
      <w:r w:rsidRPr="00147293">
        <w:t>No payments were made by the ACMA during the 2021</w:t>
      </w:r>
      <w:r w:rsidR="000F4C8A">
        <w:t>–</w:t>
      </w:r>
      <w:r w:rsidRPr="00147293">
        <w:t>22 or 2022</w:t>
      </w:r>
      <w:r w:rsidR="000F4C8A">
        <w:t>–</w:t>
      </w:r>
      <w:r w:rsidRPr="00147293">
        <w:t>23 financial years under section 136C of the Telco Act.</w:t>
      </w:r>
      <w:r w:rsidRPr="00AE6A60">
        <w:t xml:space="preserve"> </w:t>
      </w:r>
      <w:bookmarkEnd w:id="170"/>
    </w:p>
    <w:p w14:paraId="60673705" w14:textId="77777777" w:rsidR="00E41A00" w:rsidRPr="00AE6A60" w:rsidRDefault="00E41A00" w:rsidP="00E41A00">
      <w:pPr>
        <w:pStyle w:val="Heading2"/>
      </w:pPr>
      <w:bookmarkStart w:id="171" w:name="_Toc417990958"/>
      <w:bookmarkStart w:id="172" w:name="_Toc511634400"/>
      <w:bookmarkStart w:id="173" w:name="_Toc67042589"/>
      <w:bookmarkStart w:id="174" w:name="_Toc108599224"/>
      <w:bookmarkStart w:id="175" w:name="_Toc121920496"/>
      <w:bookmarkStart w:id="176" w:name="_Toc149735452"/>
      <w:bookmarkStart w:id="177" w:name="_Toc175123933"/>
      <w:r w:rsidRPr="00AE6A60">
        <w:t>3.5</w:t>
      </w:r>
      <w:r w:rsidRPr="00AE6A60">
        <w:tab/>
        <w:t>Determination of cost component for government grants for consumer representation and research</w:t>
      </w:r>
      <w:bookmarkEnd w:id="171"/>
      <w:bookmarkEnd w:id="172"/>
      <w:bookmarkEnd w:id="173"/>
      <w:bookmarkEnd w:id="174"/>
      <w:bookmarkEnd w:id="175"/>
      <w:bookmarkEnd w:id="176"/>
      <w:bookmarkEnd w:id="177"/>
    </w:p>
    <w:p w14:paraId="72B6AA3B" w14:textId="77777777" w:rsidR="00E41A00" w:rsidRPr="00AE6A60" w:rsidRDefault="00E41A00" w:rsidP="00882E54">
      <w:pPr>
        <w:pStyle w:val="Paragraph"/>
      </w:pPr>
      <w:r w:rsidRPr="00AE6A60">
        <w:t xml:space="preserve">The information in this section has been provided by </w:t>
      </w:r>
      <w:r>
        <w:t>DITRDCA</w:t>
      </w:r>
      <w:r w:rsidRPr="00AE6A60">
        <w:t>, setting out the cost</w:t>
      </w:r>
      <w:r>
        <w:t>-</w:t>
      </w:r>
      <w:r w:rsidRPr="00AE6A60">
        <w:t>recovery model it has used to determine the costs.</w:t>
      </w:r>
    </w:p>
    <w:p w14:paraId="64AD9D75" w14:textId="77777777" w:rsidR="00E41A00" w:rsidRPr="00AE6A60" w:rsidRDefault="00E41A00" w:rsidP="00E41A00">
      <w:pPr>
        <w:pStyle w:val="Heading3"/>
        <w:spacing w:after="80"/>
      </w:pPr>
      <w:bookmarkStart w:id="178" w:name="_Toc417990959"/>
      <w:bookmarkStart w:id="179" w:name="_Toc511634401"/>
      <w:bookmarkStart w:id="180" w:name="_Toc67042590"/>
      <w:bookmarkStart w:id="181" w:name="_Toc108599225"/>
      <w:r w:rsidRPr="00AE6A60">
        <w:t>3.5.1</w:t>
      </w:r>
      <w:r w:rsidRPr="00AE6A60">
        <w:tab/>
        <w:t>Outputs and business processes of the activity</w:t>
      </w:r>
      <w:bookmarkEnd w:id="178"/>
      <w:bookmarkEnd w:id="179"/>
      <w:bookmarkEnd w:id="180"/>
      <w:bookmarkEnd w:id="181"/>
    </w:p>
    <w:p w14:paraId="737E6D70" w14:textId="5C8CCE8E" w:rsidR="00E41A00" w:rsidRPr="00882E54" w:rsidRDefault="00E41A00" w:rsidP="00882E54">
      <w:pPr>
        <w:pStyle w:val="Paragraph"/>
      </w:pPr>
      <w:r w:rsidRPr="00AE6A60">
        <w:t xml:space="preserve">Under section 593 of the </w:t>
      </w:r>
      <w:r w:rsidRPr="00AE6A60">
        <w:rPr>
          <w:iCs/>
        </w:rPr>
        <w:t>Telco Act,</w:t>
      </w:r>
      <w:r w:rsidRPr="00AE6A60">
        <w:t xml:space="preserve"> the </w:t>
      </w:r>
      <w:r>
        <w:t>m</w:t>
      </w:r>
      <w:r w:rsidRPr="007005E2">
        <w:t>inister</w:t>
      </w:r>
      <w:r w:rsidRPr="00AE6A60">
        <w:t xml:space="preserve">, on behalf of the Commonwealth, has the power to make a grant of financial assistance to a consumer body for purposes in connection with the representation of the </w:t>
      </w:r>
      <w:r w:rsidRPr="00882E54">
        <w:t>interests of consumers in relation to telecommunications issues. The total of the grants likely to be made for the 2023</w:t>
      </w:r>
      <w:r w:rsidR="000F4C8A">
        <w:t>–</w:t>
      </w:r>
      <w:r w:rsidRPr="00882E54">
        <w:t>24 financial year was determined by DITRDCA.</w:t>
      </w:r>
    </w:p>
    <w:p w14:paraId="54395D05" w14:textId="77777777" w:rsidR="00E41A00" w:rsidRPr="00882E54" w:rsidRDefault="00E41A00" w:rsidP="00882E54">
      <w:pPr>
        <w:pStyle w:val="Paragraph"/>
      </w:pPr>
      <w:r w:rsidRPr="00882E54">
        <w:t xml:space="preserve">Since 2009–10, a grant has been provided to the Australian Communications Consumer Action Network (ACCAN). ACCAN is provided with around $2 million per annum as part of a multi-year grant agreement until 31 June 2027. Milestone payments for completing each stage of the activity, as set out in the grant agreement, are made directly by DITRDCA as the Commonwealth delegate. </w:t>
      </w:r>
    </w:p>
    <w:p w14:paraId="37B2620F" w14:textId="77777777" w:rsidR="00E41A00" w:rsidRPr="00882E54" w:rsidRDefault="00E41A00" w:rsidP="00882E54">
      <w:pPr>
        <w:pStyle w:val="Paragraph"/>
      </w:pPr>
      <w:r w:rsidRPr="00882E54">
        <w:t>ACCAN represents consumer interests in telecommunications, conducts research on current and emerging issues, and disseminates educational material to consumers. ACCAN coordinates responses to government-initiated processes and conducts conferences and workshops. Consumer education and advocacy form part of the telecommunications regulatory framework and it is appropriate to attribute these costs to the licensed carriers through the ACLC.</w:t>
      </w:r>
    </w:p>
    <w:p w14:paraId="516899BD" w14:textId="58F54B73" w:rsidR="00E41A00" w:rsidRDefault="00E41A00" w:rsidP="00882E54">
      <w:pPr>
        <w:pStyle w:val="Paragraph"/>
      </w:pPr>
      <w:r w:rsidRPr="00882E54">
        <w:lastRenderedPageBreak/>
        <w:t>ACCAN operates a competitive Independent Grants Program, which allows individuals and organisations to undertake research or</w:t>
      </w:r>
      <w:r w:rsidRPr="00AE6A60">
        <w:t xml:space="preserve"> representation projects in the interest of the telecommunications consumer. Further information can be obtained from </w:t>
      </w:r>
      <w:hyperlink r:id="rId24" w:history="1">
        <w:r w:rsidRPr="006915EE">
          <w:rPr>
            <w:rStyle w:val="Hyperlink"/>
          </w:rPr>
          <w:t>ACCAN’s website</w:t>
        </w:r>
      </w:hyperlink>
      <w:r w:rsidRPr="00AE6A60">
        <w:t>.</w:t>
      </w:r>
    </w:p>
    <w:p w14:paraId="34DEBBA8" w14:textId="77777777" w:rsidR="00E41A00" w:rsidRPr="00AE6A60" w:rsidRDefault="00E41A00" w:rsidP="00E41A00">
      <w:pPr>
        <w:pStyle w:val="Heading3"/>
        <w:spacing w:after="80"/>
      </w:pPr>
      <w:bookmarkStart w:id="182" w:name="_Toc417990960"/>
      <w:bookmarkStart w:id="183" w:name="_Toc511634402"/>
      <w:bookmarkStart w:id="184" w:name="_Toc67042591"/>
      <w:bookmarkStart w:id="185" w:name="_Toc108599226"/>
      <w:r w:rsidRPr="00AE6A60">
        <w:t>3.5.2</w:t>
      </w:r>
      <w:r w:rsidRPr="00AE6A60">
        <w:tab/>
        <w:t>Costs of the activity</w:t>
      </w:r>
      <w:bookmarkEnd w:id="182"/>
      <w:bookmarkEnd w:id="183"/>
      <w:bookmarkEnd w:id="184"/>
      <w:bookmarkEnd w:id="185"/>
    </w:p>
    <w:p w14:paraId="5FD1E742" w14:textId="1EF24A78" w:rsidR="00E41A00" w:rsidRPr="00E10C47" w:rsidRDefault="00E41A00" w:rsidP="00882E54">
      <w:pPr>
        <w:pStyle w:val="Paragraph"/>
        <w:rPr>
          <w:b/>
          <w:color w:val="323232"/>
        </w:rPr>
      </w:pPr>
      <w:r w:rsidRPr="00AE6A60">
        <w:t xml:space="preserve">The </w:t>
      </w:r>
      <w:r>
        <w:t>m</w:t>
      </w:r>
      <w:r w:rsidRPr="007005E2">
        <w:t>inister</w:t>
      </w:r>
      <w:r w:rsidRPr="00AE6A60">
        <w:t xml:space="preserve"> made a legislative instrument determining</w:t>
      </w:r>
      <w:r>
        <w:rPr>
          <w:rStyle w:val="FootnoteReference"/>
        </w:rPr>
        <w:footnoteReference w:id="10"/>
      </w:r>
      <w:r w:rsidRPr="00AE6A60">
        <w:t xml:space="preserve"> that an amount of </w:t>
      </w:r>
      <w:r>
        <w:t xml:space="preserve">$2,624,000 was </w:t>
      </w:r>
      <w:r w:rsidRPr="006B4840">
        <w:t xml:space="preserve">estimated to be paid in grants under section 593 of the </w:t>
      </w:r>
      <w:r>
        <w:t xml:space="preserve">Telco </w:t>
      </w:r>
      <w:r w:rsidRPr="006B4840">
        <w:t xml:space="preserve">Act during the </w:t>
      </w:r>
      <w:r>
        <w:t>2023</w:t>
      </w:r>
      <w:r w:rsidR="000F4C8A">
        <w:t>–</w:t>
      </w:r>
      <w:r>
        <w:t>24</w:t>
      </w:r>
      <w:r w:rsidRPr="006B4840">
        <w:t xml:space="preserve"> financial year. A breakdown of the expected use of the grants by ACCAN as the likely recipient has been provided by ACCAN </w:t>
      </w:r>
      <w:r w:rsidRPr="00AC01A6">
        <w:t xml:space="preserve">and </w:t>
      </w:r>
      <w:r w:rsidRPr="00E10C47">
        <w:t>is shown below in Tabl</w:t>
      </w:r>
      <w:r w:rsidRPr="0036276F">
        <w:t>e 1</w:t>
      </w:r>
      <w:r>
        <w:t>7</w:t>
      </w:r>
      <w:r w:rsidRPr="0036276F">
        <w:t>.</w:t>
      </w:r>
    </w:p>
    <w:p w14:paraId="12A1B6E8" w14:textId="77777777" w:rsidR="00E41A00" w:rsidRPr="00E10C47" w:rsidRDefault="00E41A00" w:rsidP="00882E54">
      <w:pPr>
        <w:pStyle w:val="Tableheading"/>
      </w:pPr>
      <w:r w:rsidRPr="00E10C47">
        <w:t>Consumer representation grant program</w:t>
      </w:r>
    </w:p>
    <w:tbl>
      <w:tblPr>
        <w:tblStyle w:val="TableGrid"/>
        <w:tblW w:w="7678" w:type="dxa"/>
        <w:tblCellMar>
          <w:top w:w="57" w:type="dxa"/>
          <w:bottom w:w="57" w:type="dxa"/>
        </w:tblCellMar>
        <w:tblLook w:val="04A0" w:firstRow="1" w:lastRow="0" w:firstColumn="1" w:lastColumn="0" w:noHBand="0" w:noVBand="1"/>
        <w:tblCaption w:val="Consumer representation grant program"/>
        <w:tblDescription w:val="Includes expenses and costs."/>
      </w:tblPr>
      <w:tblGrid>
        <w:gridCol w:w="4769"/>
        <w:gridCol w:w="2909"/>
      </w:tblGrid>
      <w:tr w:rsidR="00E41A00" w:rsidRPr="00882E54" w14:paraId="5B86B5CD" w14:textId="77777777" w:rsidTr="006E2755">
        <w:trPr>
          <w:trHeight w:val="240"/>
          <w:tblHeader/>
        </w:trPr>
        <w:tc>
          <w:tcPr>
            <w:tcW w:w="4769" w:type="dxa"/>
            <w:shd w:val="clear" w:color="auto" w:fill="404040" w:themeFill="text1" w:themeFillTint="BF"/>
          </w:tcPr>
          <w:p w14:paraId="60F29348" w14:textId="77777777" w:rsidR="00E41A00" w:rsidRPr="00882E54" w:rsidRDefault="00E41A00" w:rsidP="00882E54">
            <w:pPr>
              <w:pStyle w:val="TableHeading0"/>
              <w:keepNext/>
              <w:keepLines/>
              <w:spacing w:line="280" w:lineRule="atLeast"/>
              <w:rPr>
                <w:b w:val="0"/>
                <w:color w:val="FFFFFF" w:themeColor="background1"/>
                <w:sz w:val="22"/>
                <w:szCs w:val="22"/>
              </w:rPr>
            </w:pPr>
            <w:r w:rsidRPr="00882E54">
              <w:rPr>
                <w:color w:val="FFFFFF" w:themeColor="background1"/>
                <w:sz w:val="22"/>
                <w:szCs w:val="22"/>
              </w:rPr>
              <w:t>Expense</w:t>
            </w:r>
          </w:p>
        </w:tc>
        <w:tc>
          <w:tcPr>
            <w:tcW w:w="2909" w:type="dxa"/>
            <w:shd w:val="clear" w:color="auto" w:fill="404040" w:themeFill="text1" w:themeFillTint="BF"/>
          </w:tcPr>
          <w:p w14:paraId="5509296A" w14:textId="77777777" w:rsidR="00E41A00" w:rsidRPr="00882E54" w:rsidRDefault="00E41A00" w:rsidP="00882E54">
            <w:pPr>
              <w:pStyle w:val="TableHeading0"/>
              <w:keepNext/>
              <w:keepLines/>
              <w:spacing w:line="280" w:lineRule="atLeast"/>
              <w:jc w:val="right"/>
              <w:rPr>
                <w:b w:val="0"/>
                <w:color w:val="FFFFFF" w:themeColor="background1"/>
                <w:sz w:val="22"/>
                <w:szCs w:val="22"/>
              </w:rPr>
            </w:pPr>
            <w:r w:rsidRPr="00882E54">
              <w:rPr>
                <w:color w:val="FFFFFF" w:themeColor="background1"/>
                <w:sz w:val="22"/>
                <w:szCs w:val="22"/>
              </w:rPr>
              <w:t>Cost (million)</w:t>
            </w:r>
          </w:p>
        </w:tc>
      </w:tr>
      <w:tr w:rsidR="00E41A00" w:rsidRPr="00882E54" w14:paraId="7A9871B1" w14:textId="77777777" w:rsidTr="006E2755">
        <w:trPr>
          <w:trHeight w:val="255"/>
        </w:trPr>
        <w:tc>
          <w:tcPr>
            <w:tcW w:w="4769" w:type="dxa"/>
            <w:vAlign w:val="center"/>
          </w:tcPr>
          <w:p w14:paraId="59F961B2" w14:textId="77777777" w:rsidR="00E41A00" w:rsidRPr="00882E54" w:rsidRDefault="00E41A00" w:rsidP="00882E54">
            <w:pPr>
              <w:keepNext/>
              <w:keepLines/>
              <w:spacing w:after="0" w:line="280" w:lineRule="atLeast"/>
              <w:rPr>
                <w:sz w:val="22"/>
                <w:szCs w:val="22"/>
              </w:rPr>
            </w:pPr>
            <w:r w:rsidRPr="00882E54">
              <w:rPr>
                <w:sz w:val="22"/>
                <w:szCs w:val="22"/>
              </w:rPr>
              <w:t>Employee expenses</w:t>
            </w:r>
          </w:p>
        </w:tc>
        <w:tc>
          <w:tcPr>
            <w:tcW w:w="2909" w:type="dxa"/>
            <w:tcBorders>
              <w:top w:val="single" w:sz="4" w:space="0" w:color="auto"/>
              <w:left w:val="single" w:sz="4" w:space="0" w:color="auto"/>
              <w:bottom w:val="single" w:sz="4" w:space="0" w:color="auto"/>
              <w:right w:val="single" w:sz="4" w:space="0" w:color="auto"/>
            </w:tcBorders>
          </w:tcPr>
          <w:p w14:paraId="4F25DCE7" w14:textId="77777777" w:rsidR="00E41A00" w:rsidRPr="00882E54" w:rsidRDefault="00E41A00" w:rsidP="00882E54">
            <w:pPr>
              <w:keepNext/>
              <w:keepLines/>
              <w:spacing w:after="0" w:line="280" w:lineRule="atLeast"/>
              <w:jc w:val="right"/>
              <w:rPr>
                <w:rFonts w:cs="Arial"/>
                <w:sz w:val="22"/>
                <w:szCs w:val="22"/>
              </w:rPr>
            </w:pPr>
            <w:r w:rsidRPr="00882E54">
              <w:rPr>
                <w:rFonts w:cs="Arial"/>
                <w:sz w:val="22"/>
                <w:szCs w:val="22"/>
              </w:rPr>
              <w:t>$2.001</w:t>
            </w:r>
          </w:p>
        </w:tc>
      </w:tr>
      <w:tr w:rsidR="00E41A00" w:rsidRPr="00882E54" w14:paraId="7F6F041A" w14:textId="77777777" w:rsidTr="006E2755">
        <w:trPr>
          <w:trHeight w:val="240"/>
        </w:trPr>
        <w:tc>
          <w:tcPr>
            <w:tcW w:w="4769" w:type="dxa"/>
            <w:vAlign w:val="center"/>
          </w:tcPr>
          <w:p w14:paraId="454E8318" w14:textId="77777777" w:rsidR="00E41A00" w:rsidRPr="00882E54" w:rsidRDefault="00E41A00" w:rsidP="00882E54">
            <w:pPr>
              <w:keepNext/>
              <w:keepLines/>
              <w:spacing w:after="0" w:line="280" w:lineRule="atLeast"/>
              <w:rPr>
                <w:sz w:val="22"/>
                <w:szCs w:val="22"/>
              </w:rPr>
            </w:pPr>
            <w:r w:rsidRPr="00882E54">
              <w:rPr>
                <w:sz w:val="22"/>
                <w:szCs w:val="22"/>
              </w:rPr>
              <w:t>Administration expenses</w:t>
            </w:r>
          </w:p>
        </w:tc>
        <w:tc>
          <w:tcPr>
            <w:tcW w:w="2909" w:type="dxa"/>
            <w:tcBorders>
              <w:top w:val="single" w:sz="4" w:space="0" w:color="auto"/>
              <w:left w:val="single" w:sz="4" w:space="0" w:color="auto"/>
              <w:bottom w:val="single" w:sz="4" w:space="0" w:color="auto"/>
              <w:right w:val="single" w:sz="4" w:space="0" w:color="auto"/>
            </w:tcBorders>
          </w:tcPr>
          <w:p w14:paraId="700809DB" w14:textId="77777777" w:rsidR="00E41A00" w:rsidRPr="00882E54" w:rsidRDefault="00E41A00" w:rsidP="00882E54">
            <w:pPr>
              <w:keepNext/>
              <w:keepLines/>
              <w:spacing w:after="0" w:line="280" w:lineRule="atLeast"/>
              <w:jc w:val="right"/>
              <w:rPr>
                <w:rFonts w:cs="Arial"/>
                <w:sz w:val="22"/>
                <w:szCs w:val="22"/>
              </w:rPr>
            </w:pPr>
            <w:r w:rsidRPr="00882E54">
              <w:rPr>
                <w:rFonts w:cs="Arial"/>
                <w:sz w:val="22"/>
                <w:szCs w:val="22"/>
              </w:rPr>
              <w:t>$0.258</w:t>
            </w:r>
          </w:p>
        </w:tc>
      </w:tr>
      <w:tr w:rsidR="00E41A00" w:rsidRPr="00882E54" w14:paraId="2B2FB693" w14:textId="77777777" w:rsidTr="006E2755">
        <w:trPr>
          <w:trHeight w:val="240"/>
        </w:trPr>
        <w:tc>
          <w:tcPr>
            <w:tcW w:w="4769" w:type="dxa"/>
            <w:vAlign w:val="center"/>
          </w:tcPr>
          <w:p w14:paraId="60FD48DD" w14:textId="77777777" w:rsidR="00E41A00" w:rsidRPr="00882E54" w:rsidRDefault="00E41A00" w:rsidP="00882E54">
            <w:pPr>
              <w:keepNext/>
              <w:keepLines/>
              <w:spacing w:after="0" w:line="280" w:lineRule="atLeast"/>
              <w:rPr>
                <w:sz w:val="22"/>
                <w:szCs w:val="22"/>
              </w:rPr>
            </w:pPr>
            <w:r w:rsidRPr="00882E54">
              <w:rPr>
                <w:sz w:val="22"/>
                <w:szCs w:val="22"/>
              </w:rPr>
              <w:t>Independent grants program research projects</w:t>
            </w:r>
          </w:p>
        </w:tc>
        <w:tc>
          <w:tcPr>
            <w:tcW w:w="2909" w:type="dxa"/>
            <w:tcBorders>
              <w:top w:val="single" w:sz="4" w:space="0" w:color="auto"/>
              <w:left w:val="single" w:sz="4" w:space="0" w:color="auto"/>
              <w:bottom w:val="single" w:sz="4" w:space="0" w:color="auto"/>
              <w:right w:val="single" w:sz="4" w:space="0" w:color="auto"/>
            </w:tcBorders>
          </w:tcPr>
          <w:p w14:paraId="6FE12405" w14:textId="77777777" w:rsidR="00E41A00" w:rsidRPr="00882E54" w:rsidRDefault="00E41A00" w:rsidP="00882E54">
            <w:pPr>
              <w:keepNext/>
              <w:keepLines/>
              <w:spacing w:after="0" w:line="280" w:lineRule="atLeast"/>
              <w:jc w:val="right"/>
              <w:rPr>
                <w:rFonts w:cs="Arial"/>
                <w:sz w:val="22"/>
                <w:szCs w:val="22"/>
              </w:rPr>
            </w:pPr>
            <w:r w:rsidRPr="00882E54">
              <w:rPr>
                <w:rFonts w:cs="Arial"/>
                <w:sz w:val="22"/>
                <w:szCs w:val="22"/>
              </w:rPr>
              <w:t>$0.310</w:t>
            </w:r>
          </w:p>
        </w:tc>
      </w:tr>
      <w:tr w:rsidR="00E41A00" w:rsidRPr="00882E54" w14:paraId="5444FBCA" w14:textId="77777777" w:rsidTr="006E2755">
        <w:trPr>
          <w:trHeight w:val="240"/>
        </w:trPr>
        <w:tc>
          <w:tcPr>
            <w:tcW w:w="4769" w:type="dxa"/>
            <w:vAlign w:val="center"/>
          </w:tcPr>
          <w:p w14:paraId="607BE876" w14:textId="77777777" w:rsidR="00E41A00" w:rsidRPr="00882E54" w:rsidRDefault="00E41A00" w:rsidP="00882E54">
            <w:pPr>
              <w:keepNext/>
              <w:keepLines/>
              <w:spacing w:after="0" w:line="280" w:lineRule="atLeast"/>
              <w:rPr>
                <w:sz w:val="22"/>
                <w:szCs w:val="22"/>
              </w:rPr>
            </w:pPr>
            <w:r w:rsidRPr="00882E54">
              <w:rPr>
                <w:sz w:val="22"/>
                <w:szCs w:val="22"/>
              </w:rPr>
              <w:t>Committee expenses, travel, accommodation</w:t>
            </w:r>
          </w:p>
        </w:tc>
        <w:tc>
          <w:tcPr>
            <w:tcW w:w="2909" w:type="dxa"/>
            <w:tcBorders>
              <w:top w:val="single" w:sz="4" w:space="0" w:color="auto"/>
              <w:left w:val="single" w:sz="4" w:space="0" w:color="auto"/>
              <w:bottom w:val="single" w:sz="4" w:space="0" w:color="auto"/>
              <w:right w:val="single" w:sz="4" w:space="0" w:color="auto"/>
            </w:tcBorders>
          </w:tcPr>
          <w:p w14:paraId="0C91E684" w14:textId="77777777" w:rsidR="00E41A00" w:rsidRPr="00882E54" w:rsidRDefault="00E41A00" w:rsidP="00882E54">
            <w:pPr>
              <w:keepNext/>
              <w:keepLines/>
              <w:spacing w:after="0" w:line="280" w:lineRule="atLeast"/>
              <w:jc w:val="right"/>
              <w:rPr>
                <w:rFonts w:cs="Arial"/>
                <w:sz w:val="22"/>
                <w:szCs w:val="22"/>
              </w:rPr>
            </w:pPr>
            <w:r w:rsidRPr="00882E54">
              <w:rPr>
                <w:rFonts w:cs="Arial"/>
                <w:sz w:val="22"/>
                <w:szCs w:val="22"/>
              </w:rPr>
              <w:t>$0.055</w:t>
            </w:r>
          </w:p>
        </w:tc>
      </w:tr>
      <w:tr w:rsidR="00E41A00" w:rsidRPr="00882E54" w14:paraId="004D55ED" w14:textId="77777777" w:rsidTr="006E2755">
        <w:trPr>
          <w:trHeight w:val="255"/>
        </w:trPr>
        <w:tc>
          <w:tcPr>
            <w:tcW w:w="4769" w:type="dxa"/>
            <w:shd w:val="clear" w:color="auto" w:fill="D9D9D9" w:themeFill="background1" w:themeFillShade="D9"/>
            <w:vAlign w:val="center"/>
          </w:tcPr>
          <w:p w14:paraId="757C6A2B" w14:textId="77777777" w:rsidR="00E41A00" w:rsidRPr="00882E54" w:rsidRDefault="00E41A00" w:rsidP="00882E54">
            <w:pPr>
              <w:keepNext/>
              <w:keepLines/>
              <w:spacing w:after="0" w:line="280" w:lineRule="atLeast"/>
              <w:rPr>
                <w:sz w:val="22"/>
                <w:szCs w:val="22"/>
              </w:rPr>
            </w:pPr>
            <w:r w:rsidRPr="00882E54">
              <w:rPr>
                <w:b/>
                <w:bCs/>
                <w:sz w:val="22"/>
                <w:szCs w:val="22"/>
              </w:rPr>
              <w:t>Total</w:t>
            </w:r>
          </w:p>
        </w:tc>
        <w:tc>
          <w:tcPr>
            <w:tcW w:w="2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01E224" w14:textId="77777777" w:rsidR="00E41A00" w:rsidRPr="00882E54" w:rsidRDefault="00E41A00" w:rsidP="00882E54">
            <w:pPr>
              <w:keepNext/>
              <w:keepLines/>
              <w:spacing w:after="0" w:line="280" w:lineRule="atLeast"/>
              <w:jc w:val="right"/>
              <w:rPr>
                <w:rFonts w:cs="Arial"/>
                <w:b/>
                <w:bCs/>
                <w:sz w:val="22"/>
                <w:szCs w:val="22"/>
              </w:rPr>
            </w:pPr>
            <w:r w:rsidRPr="00882E54">
              <w:rPr>
                <w:rFonts w:cs="Arial"/>
                <w:b/>
                <w:bCs/>
                <w:sz w:val="22"/>
                <w:szCs w:val="22"/>
              </w:rPr>
              <w:t>$2.624</w:t>
            </w:r>
          </w:p>
        </w:tc>
      </w:tr>
    </w:tbl>
    <w:p w14:paraId="31E60638" w14:textId="77777777" w:rsidR="00E41A00" w:rsidRPr="009A6261" w:rsidRDefault="00E41A00" w:rsidP="00E41A00">
      <w:pPr>
        <w:pStyle w:val="Heading2"/>
      </w:pPr>
      <w:bookmarkStart w:id="186" w:name="_Toc355953991"/>
      <w:bookmarkStart w:id="187" w:name="_Toc385256320"/>
      <w:bookmarkStart w:id="188" w:name="_Toc417990961"/>
      <w:bookmarkStart w:id="189" w:name="_Toc511634403"/>
      <w:bookmarkStart w:id="190" w:name="_Toc67042592"/>
      <w:bookmarkStart w:id="191" w:name="_Toc108599227"/>
      <w:bookmarkStart w:id="192" w:name="_Toc121920497"/>
      <w:bookmarkStart w:id="193" w:name="_Toc149735453"/>
      <w:bookmarkStart w:id="194" w:name="calculationofcosts"/>
      <w:bookmarkStart w:id="195" w:name="_Toc175123934"/>
      <w:bookmarkEnd w:id="78"/>
      <w:r w:rsidRPr="009A6261">
        <w:t>3.6</w:t>
      </w:r>
      <w:r w:rsidRPr="009A6261">
        <w:tab/>
      </w:r>
      <w:bookmarkEnd w:id="186"/>
      <w:bookmarkEnd w:id="187"/>
      <w:r w:rsidRPr="009A6261">
        <w:t>Design of cost recovery charges</w:t>
      </w:r>
      <w:bookmarkEnd w:id="188"/>
      <w:bookmarkEnd w:id="189"/>
      <w:bookmarkEnd w:id="190"/>
      <w:bookmarkEnd w:id="191"/>
      <w:bookmarkEnd w:id="192"/>
      <w:bookmarkEnd w:id="193"/>
      <w:bookmarkEnd w:id="195"/>
    </w:p>
    <w:p w14:paraId="608950C2" w14:textId="4487F2B3" w:rsidR="00E41A00" w:rsidRPr="00AE6A60" w:rsidRDefault="00E41A00" w:rsidP="00882E54">
      <w:pPr>
        <w:pStyle w:val="Paragraph"/>
      </w:pPr>
      <w:r w:rsidRPr="002D6FB0">
        <w:t xml:space="preserve">The ACLC is imposed as a levy, which is considered appropriate as it encompasses </w:t>
      </w:r>
      <w:proofErr w:type="gramStart"/>
      <w:r w:rsidRPr="002D6FB0">
        <w:t>a number of</w:t>
      </w:r>
      <w:proofErr w:type="gramEnd"/>
      <w:r w:rsidRPr="002D6FB0">
        <w:t xml:space="preserve"> regulatory and other activities that may not be easily or cost</w:t>
      </w:r>
      <w:r w:rsidR="00A16917">
        <w:t>-</w:t>
      </w:r>
      <w:r w:rsidRPr="002D6FB0">
        <w:t xml:space="preserve">effectively attributed to individual licensed carriers and therefore translated into direct fees but can be attributed to the cost of regulation </w:t>
      </w:r>
      <w:r>
        <w:t>of</w:t>
      </w:r>
      <w:r w:rsidRPr="002D6FB0">
        <w:t xml:space="preserve"> the telecommunications industry as a group. The use of a carrier’s eligible revenue to calculate the carrier’s ACLC provides a reasonable reflection of effort and costs, and </w:t>
      </w:r>
      <w:r w:rsidRPr="00882E54">
        <w:t>industry</w:t>
      </w:r>
      <w:r w:rsidRPr="002D6FB0">
        <w:t xml:space="preserve"> understands and accepts this methodology. Furthermore, the eligible revenue of licensed carriers is utilised for the calculation of the Telecommunications Industry Levy imposed under the</w:t>
      </w:r>
      <w:r w:rsidRPr="00AE6A60">
        <w:t xml:space="preserve"> </w:t>
      </w:r>
      <w:r w:rsidRPr="00AE6A60">
        <w:rPr>
          <w:i/>
        </w:rPr>
        <w:t xml:space="preserve">Telecommunications (Industry Levy) Act 2012 </w:t>
      </w:r>
      <w:r w:rsidRPr="00AE6A60">
        <w:t>and assessed and collected by the ACMA in accordance with the TCPSS Act.</w:t>
      </w:r>
    </w:p>
    <w:p w14:paraId="0EEC1678" w14:textId="77777777" w:rsidR="00E41A00" w:rsidRPr="006B0192" w:rsidRDefault="00E41A00" w:rsidP="00E41A00">
      <w:pPr>
        <w:pStyle w:val="Paragraph"/>
      </w:pPr>
      <w:bookmarkStart w:id="196" w:name="_Hlk8984486"/>
      <w:r w:rsidRPr="00AE6A60">
        <w:t xml:space="preserve">The </w:t>
      </w:r>
      <w:r w:rsidRPr="00AE6A60">
        <w:rPr>
          <w:snapToGrid w:val="0"/>
        </w:rPr>
        <w:t xml:space="preserve">ACMA is required by the 2017 Direction </w:t>
      </w:r>
      <w:r w:rsidRPr="00AE6A60">
        <w:t xml:space="preserve">to ensure that the ACLC payable by any non-participating persons, as defined in the </w:t>
      </w:r>
      <w:bookmarkStart w:id="197" w:name="_Hlk13576071"/>
      <w:r w:rsidRPr="006915EE">
        <w:rPr>
          <w:iCs/>
        </w:rPr>
        <w:t>Telecommunications (Participating Persons) Determination 2015</w:t>
      </w:r>
      <w:bookmarkEnd w:id="197"/>
      <w:r>
        <w:rPr>
          <w:snapToGrid w:val="0"/>
        </w:rPr>
        <w:t>,</w:t>
      </w:r>
      <w:r w:rsidRPr="00AE6A60">
        <w:rPr>
          <w:snapToGrid w:val="0"/>
        </w:rPr>
        <w:t xml:space="preserve"> is zero, effectively exempting such carriers from contributing to the costs of telecommunications regulations through the ACLC. </w:t>
      </w:r>
      <w:r w:rsidRPr="00AE6A60">
        <w:t xml:space="preserve">Any change to this approach would require a change to the 2017 Direction or a change to the </w:t>
      </w:r>
      <w:r w:rsidRPr="00014C07">
        <w:t>Telecommunications (Participating Persons) Determination 2015</w:t>
      </w:r>
      <w:r w:rsidRPr="00AE6A60">
        <w:t>.</w:t>
      </w:r>
    </w:p>
    <w:p w14:paraId="1226B3F7" w14:textId="77777777" w:rsidR="00E41A00" w:rsidRPr="00AE6A60" w:rsidRDefault="00E41A00" w:rsidP="00E41A00">
      <w:pPr>
        <w:pStyle w:val="Paragraph"/>
      </w:pPr>
      <w:r w:rsidRPr="00AE6A60">
        <w:t xml:space="preserve">In accordance with the 2017 Direction, non-participating persons (generally, the smaller carriers) are required to be exempted from the liability to pay the ACLC. While the total ACLC includes costs that may be incurred in regulating non-participating persons, the ACMA estimates that the financial impact of exempting non-participating persons from the liability to pay the ACLC is insignificant. </w:t>
      </w:r>
    </w:p>
    <w:p w14:paraId="71D2D14F" w14:textId="77777777" w:rsidR="00E41A00" w:rsidRPr="00721C0E" w:rsidRDefault="00E41A00" w:rsidP="00E41A00">
      <w:pPr>
        <w:pStyle w:val="Heading2"/>
        <w:rPr>
          <w:sz w:val="24"/>
        </w:rPr>
      </w:pPr>
      <w:bookmarkStart w:id="198" w:name="_Toc121920498"/>
      <w:bookmarkStart w:id="199" w:name="_Toc149735454"/>
      <w:bookmarkStart w:id="200" w:name="OLE_LINK13"/>
      <w:bookmarkStart w:id="201" w:name="OLE_LINK14"/>
      <w:bookmarkStart w:id="202" w:name="_Toc175123935"/>
      <w:bookmarkEnd w:id="196"/>
      <w:r w:rsidRPr="00721C0E">
        <w:rPr>
          <w:sz w:val="24"/>
          <w:szCs w:val="24"/>
        </w:rPr>
        <w:lastRenderedPageBreak/>
        <w:t>Establishment of individual levy amounts</w:t>
      </w:r>
      <w:bookmarkEnd w:id="198"/>
      <w:bookmarkEnd w:id="199"/>
      <w:bookmarkEnd w:id="202"/>
    </w:p>
    <w:p w14:paraId="3FB4C7F3" w14:textId="77777777" w:rsidR="00E41A00" w:rsidRPr="004F2240" w:rsidRDefault="00E41A00" w:rsidP="00882E54">
      <w:pPr>
        <w:pStyle w:val="Paragraph"/>
      </w:pPr>
      <w:r>
        <w:t xml:space="preserve">To </w:t>
      </w:r>
      <w:r w:rsidRPr="00AE6A60">
        <w:t>ascertain</w:t>
      </w:r>
      <w:r>
        <w:t xml:space="preserve"> </w:t>
      </w:r>
      <w:r w:rsidRPr="00AE6A60">
        <w:t xml:space="preserve">the levy </w:t>
      </w:r>
      <w:r w:rsidRPr="004F2240">
        <w:t xml:space="preserve">for liable individual licensed carriers, their ‘eligible revenue’, as assessed by the ACMA, is used as a basis for allocating the total ACLC, except for the amount attributable to the MBA program.  </w:t>
      </w:r>
    </w:p>
    <w:p w14:paraId="15677FAF" w14:textId="77777777" w:rsidR="00E41A00" w:rsidRPr="004F2240" w:rsidRDefault="00E41A00" w:rsidP="00882E54">
      <w:pPr>
        <w:pStyle w:val="Paragraph"/>
      </w:pPr>
      <w:bookmarkStart w:id="203" w:name="_Hlk10648058"/>
      <w:proofErr w:type="gramStart"/>
      <w:r w:rsidRPr="004F2240">
        <w:t>In order to</w:t>
      </w:r>
      <w:proofErr w:type="gramEnd"/>
      <w:r w:rsidRPr="004F2240">
        <w:t xml:space="preserve"> establish the individual levy amount that relates to the MBA program, a portion of the ACCC’s costs determined under paragraph15(1)(b) of the Act has been allocated to individual liable carriers (that is, participating persons) on the basis of the number of NBN fixed-line connections operated by monitored service providers that are also participating persons. All the details, including the formula for the calculation of this component of the individual levy, are disclosed in section 3.2 of Attachment B.</w:t>
      </w:r>
      <w:bookmarkStart w:id="204" w:name="_Toc260128315"/>
      <w:bookmarkStart w:id="205" w:name="_Toc261431684"/>
      <w:bookmarkStart w:id="206" w:name="_Toc261431816"/>
      <w:bookmarkStart w:id="207" w:name="_Toc316465934"/>
      <w:bookmarkEnd w:id="203"/>
      <w:r w:rsidRPr="004F2240">
        <w:t xml:space="preserve"> </w:t>
      </w:r>
    </w:p>
    <w:p w14:paraId="3E9A1E36" w14:textId="77777777" w:rsidR="00E41A00" w:rsidRPr="004F2240" w:rsidRDefault="00E41A00" w:rsidP="00E41A00">
      <w:pPr>
        <w:pStyle w:val="Paragraph"/>
      </w:pPr>
      <w:r w:rsidRPr="004F2240">
        <w:t>The following formula is used for allocating the total charge (except the components of the overall charge applicable to the MBA program and the Consumer Safeguards Part A program) to individual liable carriers</w:t>
      </w:r>
      <w:bookmarkEnd w:id="204"/>
      <w:bookmarkEnd w:id="205"/>
      <w:bookmarkEnd w:id="206"/>
      <w:bookmarkEnd w:id="207"/>
      <w:r w:rsidRPr="004F2240">
        <w:t xml:space="preserve">. </w:t>
      </w:r>
      <w:bookmarkStart w:id="208" w:name="_Hlk98769684"/>
    </w:p>
    <w:p w14:paraId="3985DBF4" w14:textId="77777777" w:rsidR="00E41A00" w:rsidRPr="004F2240" w:rsidRDefault="00E41A00" w:rsidP="00882E54">
      <w:pPr>
        <w:pStyle w:val="Paragraphbeforelist"/>
      </w:pPr>
      <w:r w:rsidRPr="004F2240">
        <w:t xml:space="preserve">The formula allocates the total ACLC to the individual carriers, in the same proportion as their assessed eligible revenue bears to the total assessed eligible revenue of all participating persons: </w:t>
      </w:r>
    </w:p>
    <w:p w14:paraId="5F53ED6A" w14:textId="77777777" w:rsidR="00E41A00" w:rsidRPr="00882E54" w:rsidRDefault="003415D3" w:rsidP="00E41A00">
      <w:pPr>
        <w:keepNext/>
        <w:keepLines/>
        <w:spacing w:after="120"/>
        <w:rPr>
          <w:sz w:val="22"/>
          <w:szCs w:val="22"/>
        </w:rPr>
      </w:pPr>
      <m:oMathPara>
        <m:oMathParaPr>
          <m:jc m:val="left"/>
        </m:oMathParaPr>
        <m:oMath>
          <m:d>
            <m:dPr>
              <m:ctrlPr>
                <w:rPr>
                  <w:rFonts w:ascii="Cambria Math" w:hAnsi="Cambria Math" w:cs="Arial"/>
                  <w:sz w:val="22"/>
                  <w:szCs w:val="22"/>
                </w:rPr>
              </m:ctrlPr>
            </m:dPr>
            <m:e>
              <m:r>
                <w:rPr>
                  <w:rFonts w:ascii="Cambria Math" w:hAnsi="Cambria Math" w:cs="Arial"/>
                  <w:sz w:val="22"/>
                  <w:szCs w:val="22"/>
                </w:rPr>
                <m:t>MCA-OTC</m:t>
              </m:r>
            </m:e>
          </m:d>
          <m:r>
            <w:rPr>
              <w:rFonts w:ascii="Cambria Math" w:hAnsi="Cambria Math" w:cs="Arial"/>
              <w:sz w:val="22"/>
              <w:szCs w:val="22"/>
            </w:rPr>
            <m:t>×</m:t>
          </m:r>
          <m:f>
            <m:fPr>
              <m:ctrlPr>
                <w:rPr>
                  <w:rFonts w:ascii="Cambria Math" w:hAnsi="Cambria Math" w:cs="Arial"/>
                  <w:sz w:val="22"/>
                  <w:szCs w:val="22"/>
                </w:rPr>
              </m:ctrlPr>
            </m:fPr>
            <m:num>
              <m:r>
                <w:rPr>
                  <w:rFonts w:ascii="Cambria Math" w:hAnsi="Cambria Math" w:cs="Arial"/>
                  <w:sz w:val="22"/>
                  <w:szCs w:val="22"/>
                </w:rPr>
                <m:t>ER</m:t>
              </m:r>
            </m:num>
            <m:den>
              <m:r>
                <w:rPr>
                  <w:rFonts w:ascii="Cambria Math" w:hAnsi="Cambria Math" w:cs="Arial"/>
                  <w:sz w:val="22"/>
                  <w:szCs w:val="22"/>
                </w:rPr>
                <m:t>TER</m:t>
              </m:r>
            </m:den>
          </m:f>
        </m:oMath>
      </m:oMathPara>
    </w:p>
    <w:p w14:paraId="31C7EA2E" w14:textId="77777777" w:rsidR="00E41A00" w:rsidRPr="004F2240" w:rsidRDefault="00E41A00" w:rsidP="00882E54">
      <w:pPr>
        <w:pStyle w:val="Paragraphbeforelist"/>
      </w:pPr>
      <w:r w:rsidRPr="004F2240">
        <w:t>Where:</w:t>
      </w:r>
    </w:p>
    <w:p w14:paraId="5D6FA50D" w14:textId="77777777" w:rsidR="00E41A00" w:rsidRPr="00882E54" w:rsidRDefault="00E41A00" w:rsidP="00882E54">
      <w:pPr>
        <w:pStyle w:val="Bulletlevel1"/>
      </w:pPr>
      <w:r w:rsidRPr="004F2240">
        <w:t>MCA is the m</w:t>
      </w:r>
      <w:r w:rsidRPr="00882E54">
        <w:t>aximum charge amount</w:t>
      </w:r>
    </w:p>
    <w:p w14:paraId="1F1BC25C" w14:textId="77777777" w:rsidR="00E41A00" w:rsidRPr="004F2240" w:rsidRDefault="00E41A00" w:rsidP="00882E54">
      <w:pPr>
        <w:pStyle w:val="Bulletlevel1"/>
      </w:pPr>
      <w:r w:rsidRPr="00882E54">
        <w:t>OTC is the oth</w:t>
      </w:r>
      <w:r w:rsidRPr="004F2240">
        <w:t>er telecommunications charges</w:t>
      </w:r>
      <w:r w:rsidRPr="004F2240">
        <w:rPr>
          <w:rStyle w:val="FootnoteReference"/>
        </w:rPr>
        <w:footnoteReference w:id="11"/>
      </w:r>
    </w:p>
    <w:p w14:paraId="06FC06B6" w14:textId="2E6F02F4" w:rsidR="00E41A00" w:rsidRPr="004F2240" w:rsidRDefault="00E41A00" w:rsidP="00882E54">
      <w:pPr>
        <w:pStyle w:val="Bulletlevel1"/>
      </w:pPr>
      <w:r w:rsidRPr="004F2240">
        <w:t xml:space="preserve">ER is the individual carrier’s eligible revenue for the </w:t>
      </w:r>
      <w:r>
        <w:t>2022</w:t>
      </w:r>
      <w:r w:rsidR="00E01726">
        <w:t>–</w:t>
      </w:r>
      <w:r>
        <w:t>23</w:t>
      </w:r>
      <w:r w:rsidRPr="004F2240">
        <w:t xml:space="preserve"> financial year</w:t>
      </w:r>
    </w:p>
    <w:p w14:paraId="0D9A2BF1" w14:textId="73D127A0" w:rsidR="00E41A00" w:rsidRPr="004F2240" w:rsidRDefault="00E41A00" w:rsidP="00882E54">
      <w:pPr>
        <w:pStyle w:val="Bulletlevel1last"/>
      </w:pPr>
      <w:r w:rsidRPr="004F2240">
        <w:t xml:space="preserve">TER is the total eligible revenue for the </w:t>
      </w:r>
      <w:r>
        <w:t>2022</w:t>
      </w:r>
      <w:r w:rsidR="000F4C8A">
        <w:t>–</w:t>
      </w:r>
      <w:r>
        <w:t>23</w:t>
      </w:r>
      <w:r w:rsidRPr="004F2240">
        <w:t xml:space="preserve"> financial year.</w:t>
      </w:r>
    </w:p>
    <w:bookmarkEnd w:id="208"/>
    <w:p w14:paraId="6E947C63" w14:textId="77777777" w:rsidR="00E41A00" w:rsidRPr="004F2240" w:rsidRDefault="00E41A00" w:rsidP="00882E54">
      <w:pPr>
        <w:pStyle w:val="Paragraph"/>
      </w:pPr>
      <w:r w:rsidRPr="004F2240">
        <w:t xml:space="preserve">The ‘ER/TER’ determines the individual proportion of the carrier’s assessed eligible revenue relative to the total assessed eligible revenue for those carriers that are liable to pay the ACLC.  </w:t>
      </w:r>
      <w:bookmarkEnd w:id="200"/>
      <w:bookmarkEnd w:id="201"/>
    </w:p>
    <w:p w14:paraId="5174D8E0" w14:textId="77777777" w:rsidR="00E41A00" w:rsidRPr="00E07FF7" w:rsidRDefault="00E41A00" w:rsidP="00E41A00">
      <w:pPr>
        <w:spacing w:before="320" w:after="60"/>
        <w:rPr>
          <w:rStyle w:val="Heading2Char"/>
          <w:i/>
          <w:iCs w:val="0"/>
          <w:sz w:val="24"/>
          <w:szCs w:val="24"/>
        </w:rPr>
      </w:pPr>
      <w:bookmarkStart w:id="209" w:name="_Toc175123936"/>
      <w:r w:rsidRPr="00E07FF7">
        <w:rPr>
          <w:rStyle w:val="Heading2Char"/>
          <w:i/>
          <w:iCs w:val="0"/>
          <w:sz w:val="24"/>
          <w:szCs w:val="24"/>
        </w:rPr>
        <w:t>Fighting Scams</w:t>
      </w:r>
      <w:bookmarkEnd w:id="209"/>
    </w:p>
    <w:p w14:paraId="0AB0ED68" w14:textId="1D55B526" w:rsidR="00E41A00" w:rsidRPr="001A4749" w:rsidRDefault="00E41A00" w:rsidP="00882E54">
      <w:pPr>
        <w:pStyle w:val="Paragraph"/>
      </w:pPr>
      <w:r w:rsidRPr="001A4749">
        <w:t xml:space="preserve">It is </w:t>
      </w:r>
      <w:r>
        <w:t>proposed</w:t>
      </w:r>
      <w:r w:rsidRPr="001A4749">
        <w:t xml:space="preserve"> the costs </w:t>
      </w:r>
      <w:r>
        <w:t>incurred for</w:t>
      </w:r>
      <w:r w:rsidRPr="001A4749">
        <w:t xml:space="preserve"> this </w:t>
      </w:r>
      <w:r>
        <w:t xml:space="preserve">ongoing </w:t>
      </w:r>
      <w:r w:rsidRPr="001A4749">
        <w:t xml:space="preserve">measure will be fully cost recovered in arrears from </w:t>
      </w:r>
      <w:r>
        <w:t>all</w:t>
      </w:r>
      <w:r w:rsidRPr="001A4749">
        <w:t xml:space="preserve"> licenced carriers assessed as a participating person for the relevant financial year. </w:t>
      </w:r>
      <w:r>
        <w:t>T</w:t>
      </w:r>
      <w:r w:rsidRPr="001A4749">
        <w:t xml:space="preserve">he ‘eligible revenue’ </w:t>
      </w:r>
      <w:r>
        <w:t xml:space="preserve">of carriers </w:t>
      </w:r>
      <w:r w:rsidRPr="001A4749">
        <w:t xml:space="preserve">as assessed by the ACMA will be used as the basis for allocating the total ACLC, which will include Scams </w:t>
      </w:r>
      <w:r>
        <w:t>C</w:t>
      </w:r>
      <w:r w:rsidRPr="001A4749">
        <w:t xml:space="preserve">ode </w:t>
      </w:r>
      <w:r>
        <w:t>F</w:t>
      </w:r>
      <w:r w:rsidRPr="001A4749">
        <w:t>ramework costs. Accordingly, the costs of performing this telecommunications function, commencing in the 2024</w:t>
      </w:r>
      <w:r w:rsidR="000F4C8A">
        <w:t>–</w:t>
      </w:r>
      <w:r w:rsidRPr="001A4749">
        <w:t xml:space="preserve">25 financial year, will be recovered through the 2025–26 </w:t>
      </w:r>
      <w:r>
        <w:t>and future ACLCs</w:t>
      </w:r>
      <w:r w:rsidRPr="001A4749">
        <w:t>.  </w:t>
      </w:r>
    </w:p>
    <w:p w14:paraId="40907510" w14:textId="77777777" w:rsidR="00E41A00" w:rsidRPr="004F2240" w:rsidRDefault="00E41A00" w:rsidP="00E41A00">
      <w:pPr>
        <w:spacing w:before="320" w:after="60"/>
        <w:rPr>
          <w:sz w:val="24"/>
        </w:rPr>
      </w:pPr>
      <w:bookmarkStart w:id="210" w:name="_Toc121920499"/>
      <w:bookmarkStart w:id="211" w:name="_Toc149735455"/>
      <w:bookmarkStart w:id="212" w:name="_Toc175123937"/>
      <w:r w:rsidRPr="004F2240">
        <w:rPr>
          <w:rStyle w:val="Heading2Char"/>
          <w:sz w:val="24"/>
          <w:szCs w:val="24"/>
        </w:rPr>
        <w:t xml:space="preserve">Consumer Safeguards </w:t>
      </w:r>
      <w:bookmarkEnd w:id="210"/>
      <w:r w:rsidRPr="004F2240">
        <w:rPr>
          <w:rStyle w:val="Heading2Char"/>
          <w:sz w:val="24"/>
          <w:szCs w:val="24"/>
        </w:rPr>
        <w:t>Part A program</w:t>
      </w:r>
      <w:bookmarkEnd w:id="211"/>
      <w:bookmarkEnd w:id="212"/>
      <w:r w:rsidRPr="004F2240">
        <w:rPr>
          <w:rStyle w:val="FootnoteReference"/>
          <w:b/>
          <w:sz w:val="24"/>
        </w:rPr>
        <w:footnoteReference w:id="12"/>
      </w:r>
    </w:p>
    <w:p w14:paraId="00E7CF31" w14:textId="77777777" w:rsidR="00E41A00" w:rsidRPr="004F2240" w:rsidRDefault="00E41A00" w:rsidP="00882E54">
      <w:pPr>
        <w:pStyle w:val="Paragraph"/>
      </w:pPr>
      <w:r w:rsidRPr="004F2240">
        <w:t>The cost of performing this program forms part of the ACLC from the 2020–</w:t>
      </w:r>
      <w:r w:rsidRPr="004F2240" w:rsidDel="00DD0EE4">
        <w:t>2</w:t>
      </w:r>
      <w:r w:rsidRPr="004F2240" w:rsidDel="001008A8">
        <w:t>1</w:t>
      </w:r>
      <w:r w:rsidRPr="004F2240">
        <w:t xml:space="preserve"> financial year, ongoing, and is included as a part of the ACMA’s cost component determined under paragraph 15(1)(a) of the Act. The costs are recovered in arrears from those carriage service </w:t>
      </w:r>
      <w:r w:rsidRPr="004F2240">
        <w:lastRenderedPageBreak/>
        <w:t>providers that are required to report under the RKRs (that is, carriage service providers that were ‘qualifying retail carriage service providers’</w:t>
      </w:r>
      <w:r w:rsidRPr="004F2240">
        <w:rPr>
          <w:rStyle w:val="FootnoteReference"/>
        </w:rPr>
        <w:footnoteReference w:id="13"/>
      </w:r>
      <w:r w:rsidRPr="004F2240">
        <w:t xml:space="preserve"> during the relevant period) and are also carriers and participating persons.</w:t>
      </w:r>
    </w:p>
    <w:p w14:paraId="58043F40" w14:textId="10256C46" w:rsidR="00E41A00" w:rsidRPr="004F2240" w:rsidRDefault="00E41A00" w:rsidP="00882E54">
      <w:pPr>
        <w:pStyle w:val="Paragraph"/>
      </w:pPr>
      <w:r w:rsidRPr="004F2240">
        <w:t xml:space="preserve">For </w:t>
      </w:r>
      <w:r>
        <w:t>2023</w:t>
      </w:r>
      <w:r w:rsidR="000F4C8A">
        <w:t>–</w:t>
      </w:r>
      <w:r>
        <w:t>24</w:t>
      </w:r>
      <w:r w:rsidRPr="004F2240">
        <w:t>, the methodology to apportion the Consumer Safeguards Part A program costs to the liable carriers that report under the RKR</w:t>
      </w:r>
      <w:bookmarkStart w:id="213" w:name="_Hlk97733374"/>
      <w:r w:rsidRPr="004F2240">
        <w:t>s</w:t>
      </w:r>
      <w:bookmarkEnd w:id="213"/>
      <w:r w:rsidRPr="004F2240">
        <w:t xml:space="preserve"> is based on each carrier’s eligible revenue.</w:t>
      </w:r>
    </w:p>
    <w:p w14:paraId="35FB59C9" w14:textId="06B76438" w:rsidR="00E41A00" w:rsidRPr="004F2240" w:rsidRDefault="00E41A00" w:rsidP="00882E54">
      <w:pPr>
        <w:pStyle w:val="Paragraphbeforelist"/>
      </w:pPr>
      <w:r w:rsidRPr="004F2240">
        <w:t xml:space="preserve">Accordingly, the following formula is applied to allocate the total cost of the Consumer Safeguards Part A program for the </w:t>
      </w:r>
      <w:r>
        <w:t>2022</w:t>
      </w:r>
      <w:r w:rsidR="000F4C8A">
        <w:t>–</w:t>
      </w:r>
      <w:r>
        <w:t>23</w:t>
      </w:r>
      <w:r w:rsidRPr="004F2240">
        <w:t xml:space="preserve"> financial year to the individual qualifying retail carriage service providers. The formula allocates the cost in the same proportion as the qualifying retail carriage service provider’s assessed eligible revenue bears to the total assessed eligible revenue of all qualifying retail carriage service providers (QRCSPs):</w:t>
      </w:r>
    </w:p>
    <w:p w14:paraId="06B049AB" w14:textId="77777777" w:rsidR="00E41A00" w:rsidRPr="00882E54" w:rsidRDefault="00E41A00" w:rsidP="00E41A00">
      <w:pPr>
        <w:spacing w:after="120"/>
        <w:rPr>
          <w:sz w:val="22"/>
          <w:szCs w:val="22"/>
        </w:rPr>
      </w:pPr>
      <m:oMathPara>
        <m:oMathParaPr>
          <m:jc m:val="left"/>
        </m:oMathParaPr>
        <m:oMath>
          <m:r>
            <w:rPr>
              <w:rFonts w:ascii="Cambria Math" w:hAnsi="Cambria Math" w:cs="Arial"/>
              <w:sz w:val="22"/>
              <w:szCs w:val="22"/>
            </w:rPr>
            <m:t>CSPA×</m:t>
          </m:r>
          <m:f>
            <m:fPr>
              <m:ctrlPr>
                <w:rPr>
                  <w:rFonts w:ascii="Cambria Math" w:hAnsi="Cambria Math" w:cs="Arial"/>
                  <w:sz w:val="22"/>
                  <w:szCs w:val="22"/>
                </w:rPr>
              </m:ctrlPr>
            </m:fPr>
            <m:num>
              <m:r>
                <w:rPr>
                  <w:rFonts w:ascii="Cambria Math" w:hAnsi="Cambria Math" w:cs="Arial"/>
                  <w:sz w:val="22"/>
                  <w:szCs w:val="22"/>
                </w:rPr>
                <m:t>ER</m:t>
              </m:r>
            </m:num>
            <m:den>
              <m:r>
                <w:rPr>
                  <w:rFonts w:ascii="Cambria Math" w:hAnsi="Cambria Math" w:cs="Arial"/>
                  <w:sz w:val="22"/>
                  <w:szCs w:val="22"/>
                </w:rPr>
                <m:t>TERQRCSP</m:t>
              </m:r>
            </m:den>
          </m:f>
        </m:oMath>
      </m:oMathPara>
    </w:p>
    <w:p w14:paraId="3406C9D6" w14:textId="77777777" w:rsidR="00E41A00" w:rsidRPr="004F2240" w:rsidRDefault="00E41A00" w:rsidP="00882E54">
      <w:pPr>
        <w:pStyle w:val="Paragraphbeforelist"/>
      </w:pPr>
      <w:r w:rsidRPr="004F2240">
        <w:t>Where:</w:t>
      </w:r>
    </w:p>
    <w:p w14:paraId="0379F0BC" w14:textId="448C60F4" w:rsidR="00E41A00" w:rsidRPr="004F2240" w:rsidRDefault="00E41A00" w:rsidP="00882E54">
      <w:pPr>
        <w:pStyle w:val="Bulletlevel1"/>
      </w:pPr>
      <w:r w:rsidRPr="004F2240">
        <w:t xml:space="preserve">CSPA is the cost of the Consumer Safeguards Part A program for the </w:t>
      </w:r>
      <w:r>
        <w:t>2022</w:t>
      </w:r>
      <w:r w:rsidR="000F4C8A">
        <w:t>–</w:t>
      </w:r>
      <w:r>
        <w:t>23</w:t>
      </w:r>
      <w:r w:rsidRPr="004F2240">
        <w:t xml:space="preserve"> financial year</w:t>
      </w:r>
    </w:p>
    <w:p w14:paraId="7815158A" w14:textId="697B449C" w:rsidR="00E41A00" w:rsidRPr="004F2240" w:rsidRDefault="00E41A00" w:rsidP="00882E54">
      <w:pPr>
        <w:pStyle w:val="Bulletlevel1"/>
      </w:pPr>
      <w:r w:rsidRPr="004F2240">
        <w:t xml:space="preserve">ER is the individual carrier and QRCSP’s eligible revenue for the </w:t>
      </w:r>
      <w:r>
        <w:t>2022</w:t>
      </w:r>
      <w:r w:rsidR="000F4C8A">
        <w:t>–</w:t>
      </w:r>
      <w:r>
        <w:t>23</w:t>
      </w:r>
      <w:r w:rsidRPr="004F2240">
        <w:t xml:space="preserve"> financial year </w:t>
      </w:r>
    </w:p>
    <w:p w14:paraId="5BE846A4" w14:textId="3903F94D" w:rsidR="00E41A00" w:rsidRPr="004F2240" w:rsidRDefault="00E41A00" w:rsidP="00882E54">
      <w:pPr>
        <w:pStyle w:val="Bulletlevel1last"/>
      </w:pPr>
      <w:r w:rsidRPr="004F2240">
        <w:t xml:space="preserve">TERQRCSP is the </w:t>
      </w:r>
      <w:bookmarkStart w:id="214" w:name="_Hlk98944191"/>
      <w:r w:rsidRPr="004F2240">
        <w:t xml:space="preserve">total assessed eligible revenue of all QRCSPs </w:t>
      </w:r>
      <w:bookmarkEnd w:id="214"/>
      <w:r w:rsidRPr="004F2240">
        <w:t xml:space="preserve">(under the RKR) that were also participating persons for the </w:t>
      </w:r>
      <w:r>
        <w:t>2022</w:t>
      </w:r>
      <w:r w:rsidR="000F4C8A">
        <w:t>–</w:t>
      </w:r>
      <w:r>
        <w:t>23</w:t>
      </w:r>
      <w:r w:rsidRPr="004F2240">
        <w:t xml:space="preserve"> financial year.</w:t>
      </w:r>
    </w:p>
    <w:p w14:paraId="78EAF6FD" w14:textId="77777777" w:rsidR="00E41A00" w:rsidRPr="004F2240" w:rsidRDefault="00E41A00" w:rsidP="00882E54">
      <w:pPr>
        <w:pStyle w:val="Paragraphbeforelist"/>
      </w:pPr>
      <w:r w:rsidRPr="004F2240">
        <w:t xml:space="preserve">The instrument that the ACMA </w:t>
      </w:r>
      <w:r>
        <w:t>will make</w:t>
      </w:r>
      <w:r w:rsidRPr="004F2240">
        <w:t xml:space="preserve"> under section 14 of the Act includes information that allows every </w:t>
      </w:r>
      <w:r w:rsidRPr="00882E54">
        <w:t>carrier</w:t>
      </w:r>
      <w:r w:rsidRPr="004F2240">
        <w:t xml:space="preserve"> to determine the amount of carrier licence charge imposed on their carrier licence. </w:t>
      </w:r>
      <w:proofErr w:type="gramStart"/>
      <w:r w:rsidRPr="004F2240">
        <w:t>In order to</w:t>
      </w:r>
      <w:proofErr w:type="gramEnd"/>
      <w:r w:rsidRPr="004F2240">
        <w:t xml:space="preserve"> do so, having regard to the formula above, the determination made under section 14 of the Act:</w:t>
      </w:r>
    </w:p>
    <w:p w14:paraId="691239F3" w14:textId="77777777" w:rsidR="00E41A00" w:rsidRPr="004F2240" w:rsidRDefault="00E41A00" w:rsidP="00882E54">
      <w:pPr>
        <w:pStyle w:val="Bulletlevel1"/>
      </w:pPr>
      <w:r w:rsidRPr="004F2240">
        <w:t xml:space="preserve">specifies the CSPA </w:t>
      </w:r>
      <w:r w:rsidRPr="00882E54">
        <w:t>program</w:t>
      </w:r>
      <w:r w:rsidRPr="004F2240">
        <w:t xml:space="preserve"> cost as a dollar amount</w:t>
      </w:r>
    </w:p>
    <w:p w14:paraId="7B460ACC" w14:textId="77777777" w:rsidR="00E41A00" w:rsidRPr="004F2240" w:rsidRDefault="00E41A00" w:rsidP="00882E54">
      <w:pPr>
        <w:pStyle w:val="Bulletlevel1last"/>
      </w:pPr>
      <w:r w:rsidRPr="00882E54">
        <w:t>specifies</w:t>
      </w:r>
      <w:r w:rsidRPr="004F2240">
        <w:t xml:space="preserve"> the TERQRCSP as a dollar amount.</w:t>
      </w:r>
    </w:p>
    <w:p w14:paraId="4919270D" w14:textId="77777777" w:rsidR="00E41A00" w:rsidRPr="00882E54" w:rsidRDefault="00E41A00" w:rsidP="00882E54">
      <w:pPr>
        <w:pStyle w:val="Paragraph"/>
      </w:pPr>
      <w:r w:rsidRPr="004F2240">
        <w:t xml:space="preserve">The ACMA specifies the amount of the CSPA (as per Table 9 of this CRIS) and TERQRCSP in a </w:t>
      </w:r>
      <w:r w:rsidRPr="00882E54">
        <w:t xml:space="preserve">determination made under section 14 of the Act. </w:t>
      </w:r>
    </w:p>
    <w:p w14:paraId="64FBE9C6" w14:textId="77777777" w:rsidR="00E41A00" w:rsidRPr="00882E54" w:rsidRDefault="00E41A00" w:rsidP="00882E54">
      <w:pPr>
        <w:pStyle w:val="Paragraph"/>
      </w:pPr>
      <w:r w:rsidRPr="00882E54">
        <w:t xml:space="preserve">The names of the QRCSPs are also listed in the determination made under section 14 of the Act to readily determine the amount of ACLC payable by a carrier. </w:t>
      </w:r>
    </w:p>
    <w:p w14:paraId="2F4438C8" w14:textId="77777777" w:rsidR="00E41A00" w:rsidRPr="00882E54" w:rsidRDefault="00E41A00" w:rsidP="00882E54">
      <w:pPr>
        <w:pStyle w:val="Paragraph"/>
      </w:pPr>
      <w:r w:rsidRPr="00882E54">
        <w:t>To establish the total individual levy amount payable by liable licensed carriers, the ACMA includes the above methodologies and the methodology for the MBA program set out in Attachment B in the instrument made under subsection 14(1) of the Act.</w:t>
      </w:r>
    </w:p>
    <w:p w14:paraId="6743210D" w14:textId="77777777" w:rsidR="00E41A00" w:rsidRPr="004F2240" w:rsidRDefault="00E41A00" w:rsidP="00882E54">
      <w:pPr>
        <w:pStyle w:val="Paragraph"/>
      </w:pPr>
      <w:r w:rsidRPr="00882E54">
        <w:t>The summary of all components that are determined under paragraphs 15(1)(a) to 15(1)(d) of the Act (that is, sections 3.1, 3.2, 3.3, 3.4 and 3.5 in this CRIS and section 3.1 of Attachment B of</w:t>
      </w:r>
      <w:r w:rsidRPr="004F2240">
        <w:t xml:space="preserve"> this CRIS) are set out in Table 18</w:t>
      </w:r>
      <w:r>
        <w:t xml:space="preserve"> below</w:t>
      </w:r>
      <w:r w:rsidRPr="004F2240">
        <w:t>.</w:t>
      </w:r>
    </w:p>
    <w:p w14:paraId="1557EC1B" w14:textId="77777777" w:rsidR="00E41A00" w:rsidRPr="00882E54" w:rsidRDefault="00E41A00" w:rsidP="00882E54">
      <w:pPr>
        <w:pStyle w:val="Tableheading"/>
      </w:pPr>
      <w:r w:rsidRPr="00882E54">
        <w:lastRenderedPageBreak/>
        <w:t>ACLC summary by cost component</w:t>
      </w:r>
    </w:p>
    <w:tbl>
      <w:tblPr>
        <w:tblStyle w:val="TableGrid"/>
        <w:tblW w:w="8835" w:type="dxa"/>
        <w:tblCellMar>
          <w:top w:w="85" w:type="dxa"/>
          <w:left w:w="57" w:type="dxa"/>
          <w:bottom w:w="85" w:type="dxa"/>
          <w:right w:w="57" w:type="dxa"/>
        </w:tblCellMar>
        <w:tblLook w:val="04A0" w:firstRow="1" w:lastRow="0" w:firstColumn="1" w:lastColumn="0" w:noHBand="0" w:noVBand="1"/>
      </w:tblPr>
      <w:tblGrid>
        <w:gridCol w:w="1213"/>
        <w:gridCol w:w="6012"/>
        <w:gridCol w:w="1610"/>
      </w:tblGrid>
      <w:tr w:rsidR="00E41A00" w:rsidRPr="00882E54" w14:paraId="48BCA25E" w14:textId="77777777" w:rsidTr="006E2755">
        <w:trPr>
          <w:trHeight w:val="472"/>
        </w:trPr>
        <w:tc>
          <w:tcPr>
            <w:tcW w:w="1213" w:type="dxa"/>
            <w:shd w:val="clear" w:color="auto" w:fill="404040" w:themeFill="text1" w:themeFillTint="BF"/>
          </w:tcPr>
          <w:p w14:paraId="69098F5D" w14:textId="77777777" w:rsidR="00E41A00" w:rsidRPr="00882E54" w:rsidRDefault="00E41A00" w:rsidP="00882E54">
            <w:pPr>
              <w:pStyle w:val="ACMATableHeader"/>
              <w:keepNext/>
              <w:keepLines/>
              <w:numPr>
                <w:ilvl w:val="0"/>
                <w:numId w:val="0"/>
              </w:numPr>
              <w:spacing w:after="0" w:line="280" w:lineRule="atLeast"/>
              <w:rPr>
                <w:color w:val="FFFFFF" w:themeColor="background1"/>
                <w:sz w:val="22"/>
                <w:szCs w:val="22"/>
              </w:rPr>
            </w:pPr>
            <w:r w:rsidRPr="00882E54">
              <w:rPr>
                <w:color w:val="FFFFFF" w:themeColor="background1"/>
                <w:sz w:val="22"/>
                <w:szCs w:val="22"/>
              </w:rPr>
              <w:t>Reference in the Act</w:t>
            </w:r>
          </w:p>
        </w:tc>
        <w:tc>
          <w:tcPr>
            <w:tcW w:w="6012" w:type="dxa"/>
            <w:shd w:val="clear" w:color="auto" w:fill="404040" w:themeFill="text1" w:themeFillTint="BF"/>
          </w:tcPr>
          <w:p w14:paraId="2ECDCE89" w14:textId="77777777" w:rsidR="00E41A00" w:rsidRPr="00882E54" w:rsidRDefault="00E41A00" w:rsidP="00882E54">
            <w:pPr>
              <w:pStyle w:val="ACMATableHeader"/>
              <w:keepNext/>
              <w:keepLines/>
              <w:numPr>
                <w:ilvl w:val="0"/>
                <w:numId w:val="0"/>
              </w:numPr>
              <w:spacing w:after="0" w:line="280" w:lineRule="atLeast"/>
              <w:rPr>
                <w:color w:val="FFFFFF" w:themeColor="background1"/>
                <w:sz w:val="22"/>
                <w:szCs w:val="22"/>
              </w:rPr>
            </w:pPr>
            <w:r w:rsidRPr="00882E54">
              <w:rPr>
                <w:color w:val="FFFFFF" w:themeColor="background1"/>
                <w:sz w:val="22"/>
                <w:szCs w:val="22"/>
              </w:rPr>
              <w:t>Cost component</w:t>
            </w:r>
          </w:p>
        </w:tc>
        <w:tc>
          <w:tcPr>
            <w:tcW w:w="1610" w:type="dxa"/>
            <w:shd w:val="clear" w:color="auto" w:fill="404040" w:themeFill="text1" w:themeFillTint="BF"/>
          </w:tcPr>
          <w:p w14:paraId="287918E4" w14:textId="77777777" w:rsidR="00E41A00" w:rsidRPr="00882E54" w:rsidRDefault="00E41A00" w:rsidP="00882E54">
            <w:pPr>
              <w:pStyle w:val="ACMATableHeader"/>
              <w:keepNext/>
              <w:keepLines/>
              <w:numPr>
                <w:ilvl w:val="0"/>
                <w:numId w:val="0"/>
              </w:numPr>
              <w:spacing w:after="0" w:line="280" w:lineRule="atLeast"/>
              <w:jc w:val="right"/>
              <w:rPr>
                <w:color w:val="FFFFFF" w:themeColor="background1"/>
                <w:sz w:val="22"/>
                <w:szCs w:val="22"/>
              </w:rPr>
            </w:pPr>
            <w:r w:rsidRPr="00882E54">
              <w:rPr>
                <w:color w:val="FFFFFF" w:themeColor="background1"/>
                <w:sz w:val="22"/>
                <w:szCs w:val="22"/>
              </w:rPr>
              <w:t>2023–24 ACLC actual</w:t>
            </w:r>
            <w:r w:rsidRPr="00882E54">
              <w:rPr>
                <w:rStyle w:val="FootnoteReference"/>
                <w:color w:val="FFFFFF" w:themeColor="background1"/>
                <w:sz w:val="22"/>
                <w:szCs w:val="22"/>
              </w:rPr>
              <w:footnoteReference w:id="14"/>
            </w:r>
          </w:p>
        </w:tc>
      </w:tr>
      <w:tr w:rsidR="00E41A00" w:rsidRPr="00882E54" w14:paraId="4EABD8C9" w14:textId="77777777" w:rsidTr="006E2755">
        <w:trPr>
          <w:trHeight w:val="472"/>
        </w:trPr>
        <w:tc>
          <w:tcPr>
            <w:tcW w:w="1213" w:type="dxa"/>
          </w:tcPr>
          <w:p w14:paraId="07ADCB31" w14:textId="77777777" w:rsidR="00E41A00" w:rsidRPr="00882E54" w:rsidRDefault="00E41A00" w:rsidP="00882E54">
            <w:pPr>
              <w:pStyle w:val="ACMATableHeader"/>
              <w:keepNext/>
              <w:keepLines/>
              <w:numPr>
                <w:ilvl w:val="0"/>
                <w:numId w:val="0"/>
              </w:numPr>
              <w:spacing w:after="0" w:line="280" w:lineRule="atLeast"/>
              <w:rPr>
                <w:b w:val="0"/>
                <w:bCs w:val="0"/>
                <w:sz w:val="22"/>
                <w:szCs w:val="22"/>
              </w:rPr>
            </w:pPr>
            <w:r w:rsidRPr="00882E54">
              <w:rPr>
                <w:rFonts w:cs="Arial"/>
                <w:b w:val="0"/>
                <w:bCs w:val="0"/>
                <w:sz w:val="22"/>
                <w:szCs w:val="22"/>
              </w:rPr>
              <w:t>15(1)(a)</w:t>
            </w:r>
          </w:p>
        </w:tc>
        <w:tc>
          <w:tcPr>
            <w:tcW w:w="6012" w:type="dxa"/>
          </w:tcPr>
          <w:p w14:paraId="3158BE84" w14:textId="77777777" w:rsidR="00E41A00" w:rsidRPr="00882E54" w:rsidRDefault="00E41A00" w:rsidP="00882E54">
            <w:pPr>
              <w:pStyle w:val="ACMATableHeader"/>
              <w:keepNext/>
              <w:keepLines/>
              <w:numPr>
                <w:ilvl w:val="0"/>
                <w:numId w:val="0"/>
              </w:numPr>
              <w:spacing w:after="0" w:line="280" w:lineRule="atLeast"/>
              <w:rPr>
                <w:b w:val="0"/>
                <w:bCs w:val="0"/>
                <w:sz w:val="22"/>
                <w:szCs w:val="22"/>
              </w:rPr>
            </w:pPr>
            <w:r w:rsidRPr="00882E54">
              <w:rPr>
                <w:b w:val="0"/>
                <w:bCs w:val="0"/>
                <w:sz w:val="22"/>
                <w:szCs w:val="22"/>
              </w:rPr>
              <w:t xml:space="preserve">The </w:t>
            </w:r>
            <w:r w:rsidRPr="00882E54">
              <w:rPr>
                <w:rFonts w:cs="Arial"/>
                <w:b w:val="0"/>
                <w:bCs w:val="0"/>
                <w:sz w:val="22"/>
                <w:szCs w:val="22"/>
              </w:rPr>
              <w:t>ACMA’s cost component (including costs of the Consumer Safeguards Part A program)</w:t>
            </w:r>
          </w:p>
        </w:tc>
        <w:tc>
          <w:tcPr>
            <w:tcW w:w="1610" w:type="dxa"/>
          </w:tcPr>
          <w:p w14:paraId="34918BC5" w14:textId="77777777" w:rsidR="00E41A00" w:rsidRPr="00882E54" w:rsidRDefault="00E41A00" w:rsidP="00882E54">
            <w:pPr>
              <w:pStyle w:val="ACMATableHeader"/>
              <w:keepNext/>
              <w:keepLines/>
              <w:numPr>
                <w:ilvl w:val="0"/>
                <w:numId w:val="0"/>
              </w:numPr>
              <w:spacing w:after="0" w:line="280" w:lineRule="atLeast"/>
              <w:jc w:val="right"/>
              <w:rPr>
                <w:rFonts w:cs="Arial"/>
                <w:b w:val="0"/>
                <w:sz w:val="22"/>
                <w:szCs w:val="22"/>
              </w:rPr>
            </w:pPr>
            <w:r w:rsidRPr="00882E54">
              <w:rPr>
                <w:rFonts w:cs="Arial"/>
                <w:b w:val="0"/>
                <w:sz w:val="22"/>
                <w:szCs w:val="22"/>
              </w:rPr>
              <w:t>$13,640,608</w:t>
            </w:r>
          </w:p>
        </w:tc>
      </w:tr>
      <w:tr w:rsidR="00E41A00" w:rsidRPr="00882E54" w14:paraId="4687A14E" w14:textId="77777777" w:rsidTr="006E2755">
        <w:trPr>
          <w:trHeight w:val="264"/>
        </w:trPr>
        <w:tc>
          <w:tcPr>
            <w:tcW w:w="1213" w:type="dxa"/>
          </w:tcPr>
          <w:p w14:paraId="31A87727" w14:textId="77777777" w:rsidR="00E41A00" w:rsidRPr="00882E54" w:rsidRDefault="00E41A00" w:rsidP="00882E54">
            <w:pPr>
              <w:pStyle w:val="ACMATableHeader"/>
              <w:keepNext/>
              <w:keepLines/>
              <w:numPr>
                <w:ilvl w:val="0"/>
                <w:numId w:val="0"/>
              </w:numPr>
              <w:spacing w:after="0" w:line="280" w:lineRule="atLeast"/>
              <w:rPr>
                <w:b w:val="0"/>
                <w:bCs w:val="0"/>
                <w:sz w:val="22"/>
                <w:szCs w:val="22"/>
              </w:rPr>
            </w:pPr>
            <w:r w:rsidRPr="00882E54">
              <w:rPr>
                <w:rFonts w:cs="Arial"/>
                <w:b w:val="0"/>
                <w:bCs w:val="0"/>
                <w:sz w:val="22"/>
                <w:szCs w:val="22"/>
              </w:rPr>
              <w:t>15(1)(b)</w:t>
            </w:r>
          </w:p>
        </w:tc>
        <w:tc>
          <w:tcPr>
            <w:tcW w:w="6012" w:type="dxa"/>
          </w:tcPr>
          <w:p w14:paraId="26EFEEBB" w14:textId="77777777" w:rsidR="00E41A00" w:rsidRPr="00882E54" w:rsidRDefault="00E41A00" w:rsidP="00882E54">
            <w:pPr>
              <w:pStyle w:val="ACMATableHeader"/>
              <w:keepNext/>
              <w:keepLines/>
              <w:numPr>
                <w:ilvl w:val="0"/>
                <w:numId w:val="0"/>
              </w:numPr>
              <w:spacing w:after="0" w:line="280" w:lineRule="atLeast"/>
              <w:rPr>
                <w:b w:val="0"/>
                <w:bCs w:val="0"/>
                <w:sz w:val="22"/>
                <w:szCs w:val="22"/>
              </w:rPr>
            </w:pPr>
            <w:r w:rsidRPr="00882E54">
              <w:rPr>
                <w:rFonts w:cs="Arial"/>
                <w:b w:val="0"/>
                <w:bCs w:val="0"/>
                <w:sz w:val="22"/>
                <w:szCs w:val="22"/>
              </w:rPr>
              <w:t>ACCC’s cost component including the costs for the MBA program of $1,644,950</w:t>
            </w:r>
            <w:r w:rsidRPr="00882E54" w:rsidDel="004E4820">
              <w:rPr>
                <w:rFonts w:cs="Arial"/>
                <w:b w:val="0"/>
                <w:sz w:val="22"/>
                <w:szCs w:val="22"/>
              </w:rPr>
              <w:t xml:space="preserve"> </w:t>
            </w:r>
            <w:r w:rsidRPr="00882E54">
              <w:rPr>
                <w:rFonts w:cs="Arial"/>
                <w:b w:val="0"/>
                <w:bCs w:val="0"/>
                <w:sz w:val="22"/>
                <w:szCs w:val="22"/>
              </w:rPr>
              <w:t>(see section 3.2 of Attachment B of this CRIS)</w:t>
            </w:r>
          </w:p>
        </w:tc>
        <w:tc>
          <w:tcPr>
            <w:tcW w:w="1610" w:type="dxa"/>
          </w:tcPr>
          <w:p w14:paraId="5DA6546C" w14:textId="77777777" w:rsidR="00E41A00" w:rsidRPr="00882E54" w:rsidRDefault="00E41A00" w:rsidP="00882E54">
            <w:pPr>
              <w:spacing w:after="0" w:line="280" w:lineRule="atLeast"/>
              <w:jc w:val="right"/>
              <w:rPr>
                <w:rFonts w:cs="Arial"/>
                <w:color w:val="000000"/>
                <w:sz w:val="22"/>
                <w:szCs w:val="22"/>
              </w:rPr>
            </w:pPr>
            <w:r w:rsidRPr="00882E54">
              <w:rPr>
                <w:rFonts w:cs="Arial"/>
                <w:color w:val="000000"/>
                <w:sz w:val="22"/>
                <w:szCs w:val="22"/>
              </w:rPr>
              <w:t>$13,041,969</w:t>
            </w:r>
          </w:p>
          <w:p w14:paraId="5101A0EE" w14:textId="77777777" w:rsidR="00E41A00" w:rsidRPr="00882E54" w:rsidRDefault="00E41A00" w:rsidP="00882E54">
            <w:pPr>
              <w:pStyle w:val="ACMATableHeader"/>
              <w:keepNext/>
              <w:keepLines/>
              <w:numPr>
                <w:ilvl w:val="0"/>
                <w:numId w:val="0"/>
              </w:numPr>
              <w:spacing w:after="0" w:line="280" w:lineRule="atLeast"/>
              <w:jc w:val="right"/>
              <w:rPr>
                <w:rFonts w:cs="Arial"/>
                <w:b w:val="0"/>
                <w:sz w:val="22"/>
                <w:szCs w:val="22"/>
              </w:rPr>
            </w:pPr>
          </w:p>
        </w:tc>
      </w:tr>
      <w:tr w:rsidR="00E41A00" w:rsidRPr="00882E54" w14:paraId="272AC5CE" w14:textId="77777777" w:rsidTr="006E2755">
        <w:trPr>
          <w:trHeight w:val="230"/>
        </w:trPr>
        <w:tc>
          <w:tcPr>
            <w:tcW w:w="1213" w:type="dxa"/>
          </w:tcPr>
          <w:p w14:paraId="5C43F4D1" w14:textId="77777777" w:rsidR="00E41A00" w:rsidRPr="00882E54" w:rsidRDefault="00E41A00" w:rsidP="00882E54">
            <w:pPr>
              <w:pStyle w:val="ACMATableHeader"/>
              <w:keepNext/>
              <w:keepLines/>
              <w:numPr>
                <w:ilvl w:val="0"/>
                <w:numId w:val="0"/>
              </w:numPr>
              <w:spacing w:after="0" w:line="280" w:lineRule="atLeast"/>
              <w:rPr>
                <w:b w:val="0"/>
                <w:bCs w:val="0"/>
                <w:sz w:val="22"/>
                <w:szCs w:val="22"/>
              </w:rPr>
            </w:pPr>
            <w:r w:rsidRPr="00882E54">
              <w:rPr>
                <w:rFonts w:cs="Arial"/>
                <w:b w:val="0"/>
                <w:bCs w:val="0"/>
                <w:sz w:val="22"/>
                <w:szCs w:val="22"/>
              </w:rPr>
              <w:t>15(1)(c)</w:t>
            </w:r>
          </w:p>
        </w:tc>
        <w:tc>
          <w:tcPr>
            <w:tcW w:w="6012" w:type="dxa"/>
          </w:tcPr>
          <w:p w14:paraId="3613DAB5" w14:textId="77777777" w:rsidR="00E41A00" w:rsidRPr="00882E54" w:rsidRDefault="00E41A00" w:rsidP="00882E54">
            <w:pPr>
              <w:pStyle w:val="ACMATableHeader"/>
              <w:keepNext/>
              <w:keepLines/>
              <w:numPr>
                <w:ilvl w:val="0"/>
                <w:numId w:val="0"/>
              </w:numPr>
              <w:spacing w:after="0" w:line="280" w:lineRule="atLeast"/>
              <w:rPr>
                <w:b w:val="0"/>
                <w:bCs w:val="0"/>
                <w:sz w:val="22"/>
                <w:szCs w:val="22"/>
              </w:rPr>
            </w:pPr>
            <w:r w:rsidRPr="00882E54">
              <w:rPr>
                <w:rFonts w:cs="Arial"/>
                <w:b w:val="0"/>
                <w:bCs w:val="0"/>
                <w:sz w:val="22"/>
                <w:szCs w:val="22"/>
              </w:rPr>
              <w:t>Proportion of ITU contribution</w:t>
            </w:r>
          </w:p>
        </w:tc>
        <w:tc>
          <w:tcPr>
            <w:tcW w:w="1610" w:type="dxa"/>
            <w:vAlign w:val="center"/>
          </w:tcPr>
          <w:p w14:paraId="32BA10FF" w14:textId="77777777" w:rsidR="00E41A00" w:rsidRPr="00882E54" w:rsidRDefault="00E41A00" w:rsidP="00882E54">
            <w:pPr>
              <w:pStyle w:val="ACMATableHeader"/>
              <w:keepNext/>
              <w:keepLines/>
              <w:numPr>
                <w:ilvl w:val="0"/>
                <w:numId w:val="0"/>
              </w:numPr>
              <w:spacing w:after="0" w:line="280" w:lineRule="atLeast"/>
              <w:jc w:val="right"/>
              <w:rPr>
                <w:rFonts w:cs="Arial"/>
                <w:b w:val="0"/>
                <w:sz w:val="22"/>
                <w:szCs w:val="22"/>
              </w:rPr>
            </w:pPr>
            <w:r w:rsidRPr="00882E54">
              <w:rPr>
                <w:rFonts w:cs="Arial"/>
                <w:b w:val="0"/>
                <w:color w:val="000000"/>
                <w:sz w:val="22"/>
                <w:szCs w:val="22"/>
              </w:rPr>
              <w:t>$2,179,686</w:t>
            </w:r>
          </w:p>
        </w:tc>
      </w:tr>
      <w:tr w:rsidR="00E41A00" w:rsidRPr="00882E54" w14:paraId="7B9E5341" w14:textId="77777777" w:rsidTr="006E2755">
        <w:trPr>
          <w:trHeight w:val="714"/>
        </w:trPr>
        <w:tc>
          <w:tcPr>
            <w:tcW w:w="1213" w:type="dxa"/>
          </w:tcPr>
          <w:p w14:paraId="2EF32809" w14:textId="77777777" w:rsidR="00E41A00" w:rsidRPr="00882E54" w:rsidRDefault="00E41A00" w:rsidP="00882E54">
            <w:pPr>
              <w:pStyle w:val="ACMATableHeader"/>
              <w:keepNext/>
              <w:keepLines/>
              <w:numPr>
                <w:ilvl w:val="0"/>
                <w:numId w:val="0"/>
              </w:numPr>
              <w:spacing w:after="0" w:line="280" w:lineRule="atLeast"/>
              <w:rPr>
                <w:b w:val="0"/>
                <w:bCs w:val="0"/>
                <w:sz w:val="22"/>
                <w:szCs w:val="22"/>
              </w:rPr>
            </w:pPr>
            <w:r w:rsidRPr="00882E54">
              <w:rPr>
                <w:rFonts w:cs="Arial"/>
                <w:b w:val="0"/>
                <w:bCs w:val="0"/>
                <w:sz w:val="22"/>
                <w:szCs w:val="22"/>
              </w:rPr>
              <w:t>15(</w:t>
            </w:r>
            <w:proofErr w:type="gramStart"/>
            <w:r w:rsidRPr="00882E54">
              <w:rPr>
                <w:rFonts w:cs="Arial"/>
                <w:b w:val="0"/>
                <w:bCs w:val="0"/>
                <w:sz w:val="22"/>
                <w:szCs w:val="22"/>
              </w:rPr>
              <w:t>1)(</w:t>
            </w:r>
            <w:proofErr w:type="gramEnd"/>
            <w:r w:rsidRPr="00882E54">
              <w:rPr>
                <w:rFonts w:cs="Arial"/>
                <w:b w:val="0"/>
                <w:bCs w:val="0"/>
                <w:sz w:val="22"/>
                <w:szCs w:val="22"/>
              </w:rPr>
              <w:t>ca)</w:t>
            </w:r>
          </w:p>
        </w:tc>
        <w:tc>
          <w:tcPr>
            <w:tcW w:w="6012" w:type="dxa"/>
          </w:tcPr>
          <w:p w14:paraId="41539D96" w14:textId="77777777" w:rsidR="00E41A00" w:rsidRPr="00882E54" w:rsidRDefault="00E41A00" w:rsidP="00882E54">
            <w:pPr>
              <w:pStyle w:val="ACMATableHeader"/>
              <w:keepNext/>
              <w:keepLines/>
              <w:numPr>
                <w:ilvl w:val="0"/>
                <w:numId w:val="0"/>
              </w:numPr>
              <w:spacing w:after="0" w:line="280" w:lineRule="atLeast"/>
              <w:rPr>
                <w:b w:val="0"/>
                <w:bCs w:val="0"/>
                <w:sz w:val="22"/>
                <w:szCs w:val="22"/>
              </w:rPr>
            </w:pPr>
            <w:r w:rsidRPr="00882E54">
              <w:rPr>
                <w:rFonts w:cs="Arial"/>
                <w:b w:val="0"/>
                <w:bCs w:val="0"/>
                <w:sz w:val="22"/>
                <w:szCs w:val="22"/>
              </w:rPr>
              <w:t>Costs for reimbursements of costs for the development or variation of consumer protection related industry codes paid under section 136C of the Telco Act</w:t>
            </w:r>
          </w:p>
        </w:tc>
        <w:tc>
          <w:tcPr>
            <w:tcW w:w="1610" w:type="dxa"/>
          </w:tcPr>
          <w:p w14:paraId="3FD165CC" w14:textId="77777777" w:rsidR="00E41A00" w:rsidRPr="00882E54" w:rsidRDefault="00E41A00" w:rsidP="00882E54">
            <w:pPr>
              <w:spacing w:after="0" w:line="280" w:lineRule="atLeast"/>
              <w:jc w:val="right"/>
              <w:rPr>
                <w:rFonts w:cs="Arial"/>
                <w:color w:val="000000"/>
                <w:sz w:val="22"/>
                <w:szCs w:val="22"/>
              </w:rPr>
            </w:pPr>
            <w:r w:rsidRPr="00882E54">
              <w:rPr>
                <w:rFonts w:cs="Arial"/>
                <w:color w:val="000000"/>
                <w:sz w:val="22"/>
                <w:szCs w:val="22"/>
              </w:rPr>
              <w:t>$0</w:t>
            </w:r>
          </w:p>
          <w:p w14:paraId="5F3B28EF" w14:textId="77777777" w:rsidR="00E41A00" w:rsidRPr="00882E54" w:rsidRDefault="00E41A00" w:rsidP="00882E54">
            <w:pPr>
              <w:pStyle w:val="ACMATableHeader"/>
              <w:keepNext/>
              <w:keepLines/>
              <w:numPr>
                <w:ilvl w:val="0"/>
                <w:numId w:val="0"/>
              </w:numPr>
              <w:spacing w:after="0" w:line="280" w:lineRule="atLeast"/>
              <w:jc w:val="right"/>
              <w:rPr>
                <w:rFonts w:cs="Arial"/>
                <w:b w:val="0"/>
                <w:sz w:val="22"/>
                <w:szCs w:val="22"/>
              </w:rPr>
            </w:pPr>
          </w:p>
        </w:tc>
      </w:tr>
      <w:tr w:rsidR="00E41A00" w:rsidRPr="00882E54" w14:paraId="7EB270E3" w14:textId="77777777" w:rsidTr="006E2755">
        <w:trPr>
          <w:trHeight w:val="21"/>
        </w:trPr>
        <w:tc>
          <w:tcPr>
            <w:tcW w:w="1213" w:type="dxa"/>
          </w:tcPr>
          <w:p w14:paraId="03ECDD2D" w14:textId="77777777" w:rsidR="00E41A00" w:rsidRPr="00882E54" w:rsidRDefault="00E41A00" w:rsidP="00882E54">
            <w:pPr>
              <w:pStyle w:val="ACMATableHeader"/>
              <w:keepNext/>
              <w:keepLines/>
              <w:numPr>
                <w:ilvl w:val="0"/>
                <w:numId w:val="0"/>
              </w:numPr>
              <w:spacing w:after="0" w:line="280" w:lineRule="atLeast"/>
              <w:rPr>
                <w:b w:val="0"/>
                <w:bCs w:val="0"/>
                <w:sz w:val="22"/>
                <w:szCs w:val="22"/>
              </w:rPr>
            </w:pPr>
            <w:r w:rsidRPr="00882E54">
              <w:rPr>
                <w:rFonts w:cs="Arial"/>
                <w:b w:val="0"/>
                <w:bCs w:val="0"/>
                <w:sz w:val="22"/>
                <w:szCs w:val="22"/>
              </w:rPr>
              <w:t>15(1)(d)</w:t>
            </w:r>
          </w:p>
        </w:tc>
        <w:tc>
          <w:tcPr>
            <w:tcW w:w="6012" w:type="dxa"/>
          </w:tcPr>
          <w:p w14:paraId="30EDC4DD" w14:textId="77777777" w:rsidR="00E41A00" w:rsidRPr="00882E54" w:rsidRDefault="00E41A00" w:rsidP="00882E54">
            <w:pPr>
              <w:pStyle w:val="ACMATableHeader"/>
              <w:keepNext/>
              <w:keepLines/>
              <w:numPr>
                <w:ilvl w:val="0"/>
                <w:numId w:val="0"/>
              </w:numPr>
              <w:spacing w:after="0" w:line="280" w:lineRule="atLeast"/>
              <w:rPr>
                <w:b w:val="0"/>
                <w:bCs w:val="0"/>
                <w:sz w:val="22"/>
                <w:szCs w:val="22"/>
              </w:rPr>
            </w:pPr>
            <w:r w:rsidRPr="00882E54">
              <w:rPr>
                <w:rFonts w:cs="Arial"/>
                <w:b w:val="0"/>
                <w:bCs w:val="0"/>
                <w:sz w:val="22"/>
                <w:szCs w:val="22"/>
              </w:rPr>
              <w:t>Government grants – consumer representation and research</w:t>
            </w:r>
          </w:p>
        </w:tc>
        <w:tc>
          <w:tcPr>
            <w:tcW w:w="1610" w:type="dxa"/>
          </w:tcPr>
          <w:p w14:paraId="2CA630FF" w14:textId="77777777" w:rsidR="00E41A00" w:rsidRPr="00882E54" w:rsidRDefault="00E41A00" w:rsidP="00882E54">
            <w:pPr>
              <w:pStyle w:val="ACMATableHeader"/>
              <w:keepNext/>
              <w:keepLines/>
              <w:numPr>
                <w:ilvl w:val="0"/>
                <w:numId w:val="0"/>
              </w:numPr>
              <w:spacing w:after="0" w:line="280" w:lineRule="atLeast"/>
              <w:jc w:val="right"/>
              <w:rPr>
                <w:rFonts w:cs="Arial"/>
                <w:b w:val="0"/>
                <w:sz w:val="22"/>
                <w:szCs w:val="22"/>
              </w:rPr>
            </w:pPr>
            <w:r w:rsidRPr="00882E54">
              <w:rPr>
                <w:rFonts w:cs="Arial"/>
                <w:b w:val="0"/>
                <w:sz w:val="22"/>
                <w:szCs w:val="22"/>
              </w:rPr>
              <w:t>$2,624,000</w:t>
            </w:r>
          </w:p>
        </w:tc>
      </w:tr>
      <w:tr w:rsidR="00E41A00" w:rsidRPr="00882E54" w14:paraId="329BA38D" w14:textId="77777777" w:rsidTr="006E2755">
        <w:trPr>
          <w:trHeight w:val="230"/>
        </w:trPr>
        <w:tc>
          <w:tcPr>
            <w:tcW w:w="7225" w:type="dxa"/>
            <w:gridSpan w:val="2"/>
            <w:shd w:val="clear" w:color="auto" w:fill="D9D9D9" w:themeFill="background1" w:themeFillShade="D9"/>
          </w:tcPr>
          <w:p w14:paraId="1EA1B4E5" w14:textId="77777777" w:rsidR="00E41A00" w:rsidRPr="00882E54" w:rsidRDefault="00E41A00" w:rsidP="00882E54">
            <w:pPr>
              <w:pStyle w:val="ACMATableHeader"/>
              <w:keepNext/>
              <w:keepLines/>
              <w:numPr>
                <w:ilvl w:val="0"/>
                <w:numId w:val="0"/>
              </w:numPr>
              <w:spacing w:after="0" w:line="280" w:lineRule="atLeast"/>
              <w:rPr>
                <w:sz w:val="22"/>
                <w:szCs w:val="22"/>
              </w:rPr>
            </w:pPr>
            <w:r w:rsidRPr="00882E54">
              <w:rPr>
                <w:sz w:val="22"/>
                <w:szCs w:val="22"/>
              </w:rPr>
              <w:t>Total</w:t>
            </w:r>
          </w:p>
        </w:tc>
        <w:tc>
          <w:tcPr>
            <w:tcW w:w="1610" w:type="dxa"/>
            <w:shd w:val="clear" w:color="auto" w:fill="D9D9D9" w:themeFill="background1" w:themeFillShade="D9"/>
          </w:tcPr>
          <w:p w14:paraId="3CA5758E" w14:textId="77777777" w:rsidR="00E41A00" w:rsidRPr="00882E54" w:rsidRDefault="00E41A00" w:rsidP="00882E54">
            <w:pPr>
              <w:pStyle w:val="ACMATableHeader"/>
              <w:keepNext/>
              <w:keepLines/>
              <w:numPr>
                <w:ilvl w:val="0"/>
                <w:numId w:val="0"/>
              </w:numPr>
              <w:spacing w:after="0" w:line="280" w:lineRule="atLeast"/>
              <w:jc w:val="right"/>
              <w:rPr>
                <w:rFonts w:cs="Arial"/>
                <w:bCs w:val="0"/>
                <w:sz w:val="22"/>
                <w:szCs w:val="22"/>
              </w:rPr>
            </w:pPr>
            <w:r w:rsidRPr="00882E54">
              <w:rPr>
                <w:rFonts w:cs="Arial"/>
                <w:bCs w:val="0"/>
                <w:color w:val="000000"/>
                <w:sz w:val="22"/>
                <w:szCs w:val="22"/>
              </w:rPr>
              <w:t>$31,486,263</w:t>
            </w:r>
          </w:p>
        </w:tc>
      </w:tr>
    </w:tbl>
    <w:p w14:paraId="17DE1F55" w14:textId="77777777" w:rsidR="00E41A00" w:rsidRPr="00B06E09" w:rsidRDefault="00E41A00" w:rsidP="00E41A00">
      <w:pPr>
        <w:pStyle w:val="Heading1"/>
      </w:pPr>
      <w:bookmarkStart w:id="215" w:name="_Toc355953993"/>
      <w:bookmarkStart w:id="216" w:name="_Toc385256321"/>
      <w:bookmarkStart w:id="217" w:name="_Toc417990962"/>
      <w:bookmarkStart w:id="218" w:name="_Toc511634404"/>
      <w:bookmarkStart w:id="219" w:name="_Toc67042593"/>
      <w:bookmarkStart w:id="220" w:name="_Toc108599228"/>
      <w:bookmarkStart w:id="221" w:name="_Toc121920500"/>
      <w:bookmarkStart w:id="222" w:name="_Toc149735456"/>
      <w:bookmarkStart w:id="223" w:name="_Toc175123938"/>
      <w:r w:rsidRPr="00B06E09">
        <w:lastRenderedPageBreak/>
        <w:t xml:space="preserve">4. </w:t>
      </w:r>
      <w:r w:rsidRPr="00B06E09">
        <w:tab/>
      </w:r>
      <w:bookmarkStart w:id="224" w:name="_Hlk141695502"/>
      <w:bookmarkEnd w:id="215"/>
      <w:bookmarkEnd w:id="216"/>
      <w:r w:rsidRPr="00B06E09">
        <w:t>Risk assessment</w:t>
      </w:r>
      <w:bookmarkEnd w:id="217"/>
      <w:bookmarkEnd w:id="218"/>
      <w:bookmarkEnd w:id="219"/>
      <w:bookmarkEnd w:id="220"/>
      <w:bookmarkEnd w:id="221"/>
      <w:bookmarkEnd w:id="222"/>
      <w:bookmarkEnd w:id="224"/>
      <w:bookmarkEnd w:id="223"/>
    </w:p>
    <w:p w14:paraId="3F64C1D1" w14:textId="0EF6E4C1" w:rsidR="00E41A00" w:rsidRPr="00B06E09" w:rsidRDefault="00E41A00" w:rsidP="00882E54">
      <w:pPr>
        <w:pStyle w:val="Paragraph"/>
        <w:rPr>
          <w:rFonts w:eastAsia="Calibri"/>
          <w:lang w:eastAsia="en-US"/>
        </w:rPr>
      </w:pPr>
      <w:r w:rsidRPr="00B06E09">
        <w:rPr>
          <w:rFonts w:eastAsia="Calibri"/>
          <w:lang w:eastAsia="en-US"/>
        </w:rPr>
        <w:t xml:space="preserve">The ACMA has carried out a risk assessment for each cost component of the </w:t>
      </w:r>
      <w:r>
        <w:rPr>
          <w:rFonts w:eastAsia="Calibri"/>
          <w:lang w:eastAsia="en-US"/>
        </w:rPr>
        <w:t>2023</w:t>
      </w:r>
      <w:r w:rsidR="000F4C8A">
        <w:t>–</w:t>
      </w:r>
      <w:r>
        <w:rPr>
          <w:rFonts w:eastAsia="Calibri"/>
          <w:lang w:eastAsia="en-US"/>
        </w:rPr>
        <w:t>24</w:t>
      </w:r>
      <w:r w:rsidRPr="00B06E09">
        <w:rPr>
          <w:rFonts w:eastAsia="Calibri"/>
          <w:lang w:eastAsia="en-US"/>
        </w:rPr>
        <w:t xml:space="preserve"> ACLC, resulting in an overall rating of medium. The individual ratings for each cost component are shown in Ta</w:t>
      </w:r>
      <w:r w:rsidRPr="0036276F">
        <w:rPr>
          <w:rFonts w:eastAsia="Calibri"/>
          <w:lang w:eastAsia="en-US"/>
        </w:rPr>
        <w:t>ble 1</w:t>
      </w:r>
      <w:r>
        <w:rPr>
          <w:rFonts w:eastAsia="Calibri"/>
          <w:lang w:eastAsia="en-US"/>
        </w:rPr>
        <w:t>9</w:t>
      </w:r>
      <w:r w:rsidRPr="00B06E09">
        <w:rPr>
          <w:rFonts w:eastAsia="Calibri"/>
          <w:lang w:eastAsia="en-US"/>
        </w:rPr>
        <w:t xml:space="preserve"> and are b</w:t>
      </w:r>
      <w:r w:rsidRPr="00B06E09">
        <w:t xml:space="preserve">ased on assessment of the criteria in the </w:t>
      </w:r>
      <w:r w:rsidRPr="009F7521">
        <w:rPr>
          <w:u w:color="0000FF"/>
        </w:rPr>
        <w:t>Regulatory Charging Risk Assessment</w:t>
      </w:r>
      <w:r>
        <w:t xml:space="preserve"> template from the Department of Finance website.</w:t>
      </w:r>
    </w:p>
    <w:p w14:paraId="176C42C6" w14:textId="492701E7" w:rsidR="00E41A00" w:rsidRPr="00882E54" w:rsidRDefault="00E01726" w:rsidP="00882E54">
      <w:pPr>
        <w:pStyle w:val="Tableheading"/>
        <w:rPr>
          <w:rFonts w:eastAsia="Calibri"/>
        </w:rPr>
      </w:pPr>
      <w:r>
        <w:t xml:space="preserve"> </w:t>
      </w:r>
      <w:r w:rsidR="00E41A00" w:rsidRPr="00882E54">
        <w:t xml:space="preserve">Risk ratings for ACLC components </w:t>
      </w:r>
    </w:p>
    <w:tbl>
      <w:tblPr>
        <w:tblStyle w:val="TableGrid"/>
        <w:tblW w:w="8840" w:type="dxa"/>
        <w:tblCellMar>
          <w:top w:w="85" w:type="dxa"/>
          <w:left w:w="57" w:type="dxa"/>
          <w:bottom w:w="85" w:type="dxa"/>
          <w:right w:w="57" w:type="dxa"/>
        </w:tblCellMar>
        <w:tblLook w:val="04A0" w:firstRow="1" w:lastRow="0" w:firstColumn="1" w:lastColumn="0" w:noHBand="0" w:noVBand="1"/>
        <w:tblCaption w:val="Risk rating for ACLC components"/>
        <w:tblDescription w:val="Includes the reference in the Act, cost component and risk rating."/>
      </w:tblPr>
      <w:tblGrid>
        <w:gridCol w:w="2139"/>
        <w:gridCol w:w="5093"/>
        <w:gridCol w:w="1608"/>
      </w:tblGrid>
      <w:tr w:rsidR="00E41A00" w:rsidRPr="00882E54" w14:paraId="193F4532" w14:textId="77777777" w:rsidTr="006E2755">
        <w:trPr>
          <w:cantSplit/>
          <w:trHeight w:val="230"/>
          <w:tblHeader/>
        </w:trPr>
        <w:tc>
          <w:tcPr>
            <w:tcW w:w="2139" w:type="dxa"/>
            <w:shd w:val="clear" w:color="auto" w:fill="404040" w:themeFill="text1" w:themeFillTint="BF"/>
          </w:tcPr>
          <w:p w14:paraId="2F4A6339" w14:textId="77777777" w:rsidR="00E41A00" w:rsidRPr="00882E54" w:rsidRDefault="00E41A00" w:rsidP="00882E54">
            <w:pPr>
              <w:pStyle w:val="TableHeading0"/>
              <w:spacing w:line="280" w:lineRule="atLeast"/>
              <w:rPr>
                <w:rFonts w:eastAsia="Calibri"/>
                <w:color w:val="FFFFFF" w:themeColor="background1"/>
                <w:sz w:val="22"/>
                <w:szCs w:val="22"/>
                <w:lang w:eastAsia="en-US"/>
              </w:rPr>
            </w:pPr>
            <w:r w:rsidRPr="00882E54">
              <w:rPr>
                <w:color w:val="FFFFFF" w:themeColor="background1"/>
                <w:sz w:val="22"/>
                <w:szCs w:val="22"/>
              </w:rPr>
              <w:t>Reference in the Act</w:t>
            </w:r>
          </w:p>
        </w:tc>
        <w:tc>
          <w:tcPr>
            <w:tcW w:w="5093" w:type="dxa"/>
            <w:shd w:val="clear" w:color="auto" w:fill="404040" w:themeFill="text1" w:themeFillTint="BF"/>
          </w:tcPr>
          <w:p w14:paraId="53CD4B83" w14:textId="77777777" w:rsidR="00E41A00" w:rsidRPr="00882E54" w:rsidRDefault="00E41A00" w:rsidP="00882E54">
            <w:pPr>
              <w:pStyle w:val="TableHeading0"/>
              <w:spacing w:line="280" w:lineRule="atLeast"/>
              <w:rPr>
                <w:rFonts w:eastAsia="Calibri"/>
                <w:color w:val="FFFFFF" w:themeColor="background1"/>
                <w:sz w:val="22"/>
                <w:szCs w:val="22"/>
                <w:lang w:eastAsia="en-US"/>
              </w:rPr>
            </w:pPr>
            <w:r w:rsidRPr="00882E54">
              <w:rPr>
                <w:color w:val="FFFFFF" w:themeColor="background1"/>
                <w:sz w:val="22"/>
                <w:szCs w:val="22"/>
              </w:rPr>
              <w:t>Cost component</w:t>
            </w:r>
          </w:p>
        </w:tc>
        <w:tc>
          <w:tcPr>
            <w:tcW w:w="1608" w:type="dxa"/>
            <w:shd w:val="clear" w:color="auto" w:fill="404040" w:themeFill="text1" w:themeFillTint="BF"/>
          </w:tcPr>
          <w:p w14:paraId="05D6B736" w14:textId="77777777" w:rsidR="00E41A00" w:rsidRPr="00882E54" w:rsidRDefault="00E41A00" w:rsidP="00882E54">
            <w:pPr>
              <w:pStyle w:val="TableHeading0"/>
              <w:spacing w:line="280" w:lineRule="atLeast"/>
              <w:rPr>
                <w:rFonts w:eastAsia="Calibri"/>
                <w:color w:val="FFFFFF" w:themeColor="background1"/>
                <w:sz w:val="22"/>
                <w:szCs w:val="22"/>
                <w:lang w:eastAsia="en-US"/>
              </w:rPr>
            </w:pPr>
            <w:r w:rsidRPr="00882E54">
              <w:rPr>
                <w:color w:val="FFFFFF" w:themeColor="background1"/>
                <w:sz w:val="22"/>
                <w:szCs w:val="22"/>
              </w:rPr>
              <w:t>Risk rating</w:t>
            </w:r>
          </w:p>
        </w:tc>
      </w:tr>
      <w:tr w:rsidR="00E41A00" w:rsidRPr="00882E54" w14:paraId="71A617DC" w14:textId="77777777" w:rsidTr="006E2755">
        <w:trPr>
          <w:cantSplit/>
          <w:trHeight w:val="230"/>
          <w:tblHeader/>
        </w:trPr>
        <w:tc>
          <w:tcPr>
            <w:tcW w:w="2139" w:type="dxa"/>
          </w:tcPr>
          <w:p w14:paraId="2B4E59F2" w14:textId="77777777" w:rsidR="00E41A00" w:rsidRPr="00882E54" w:rsidRDefault="00E41A00" w:rsidP="00882E54">
            <w:pPr>
              <w:autoSpaceDE w:val="0"/>
              <w:autoSpaceDN w:val="0"/>
              <w:adjustRightInd w:val="0"/>
              <w:spacing w:after="0" w:line="280" w:lineRule="atLeast"/>
              <w:rPr>
                <w:rFonts w:eastAsia="Calibri" w:cs="Arial"/>
                <w:color w:val="000000"/>
                <w:sz w:val="22"/>
                <w:szCs w:val="22"/>
                <w:lang w:eastAsia="en-US"/>
              </w:rPr>
            </w:pPr>
            <w:r w:rsidRPr="00882E54">
              <w:rPr>
                <w:rFonts w:cs="Arial"/>
                <w:sz w:val="22"/>
                <w:szCs w:val="22"/>
              </w:rPr>
              <w:t>15(1)(a)</w:t>
            </w:r>
          </w:p>
        </w:tc>
        <w:tc>
          <w:tcPr>
            <w:tcW w:w="5093" w:type="dxa"/>
          </w:tcPr>
          <w:p w14:paraId="77DD5707" w14:textId="77777777" w:rsidR="00E41A00" w:rsidRPr="00882E54" w:rsidRDefault="00E41A00" w:rsidP="00882E54">
            <w:pPr>
              <w:autoSpaceDE w:val="0"/>
              <w:autoSpaceDN w:val="0"/>
              <w:adjustRightInd w:val="0"/>
              <w:spacing w:after="0" w:line="280" w:lineRule="atLeast"/>
              <w:rPr>
                <w:rFonts w:eastAsia="Calibri" w:cs="Arial"/>
                <w:color w:val="000000"/>
                <w:sz w:val="22"/>
                <w:szCs w:val="22"/>
                <w:lang w:eastAsia="en-US"/>
              </w:rPr>
            </w:pPr>
            <w:r w:rsidRPr="00882E54">
              <w:rPr>
                <w:rFonts w:cs="Arial"/>
                <w:sz w:val="22"/>
                <w:szCs w:val="22"/>
              </w:rPr>
              <w:t>ACMA’s cost component</w:t>
            </w:r>
          </w:p>
        </w:tc>
        <w:tc>
          <w:tcPr>
            <w:tcW w:w="1608" w:type="dxa"/>
            <w:shd w:val="clear" w:color="auto" w:fill="auto"/>
          </w:tcPr>
          <w:p w14:paraId="016097A4" w14:textId="77777777" w:rsidR="00E41A00" w:rsidRPr="00882E54" w:rsidRDefault="00E41A00" w:rsidP="00882E54">
            <w:pPr>
              <w:autoSpaceDE w:val="0"/>
              <w:autoSpaceDN w:val="0"/>
              <w:adjustRightInd w:val="0"/>
              <w:spacing w:after="0" w:line="280" w:lineRule="atLeast"/>
              <w:rPr>
                <w:rFonts w:eastAsia="Calibri" w:cs="Arial"/>
                <w:color w:val="000000"/>
                <w:sz w:val="22"/>
                <w:szCs w:val="22"/>
                <w:lang w:eastAsia="en-US"/>
              </w:rPr>
            </w:pPr>
            <w:r w:rsidRPr="00882E54">
              <w:rPr>
                <w:rFonts w:cs="Arial"/>
                <w:sz w:val="22"/>
                <w:szCs w:val="22"/>
              </w:rPr>
              <w:t>Medium</w:t>
            </w:r>
          </w:p>
        </w:tc>
      </w:tr>
      <w:tr w:rsidR="00E41A00" w:rsidRPr="00882E54" w14:paraId="2A53071C" w14:textId="77777777" w:rsidTr="006E2755">
        <w:trPr>
          <w:cantSplit/>
          <w:trHeight w:val="230"/>
          <w:tblHeader/>
        </w:trPr>
        <w:tc>
          <w:tcPr>
            <w:tcW w:w="2139" w:type="dxa"/>
          </w:tcPr>
          <w:p w14:paraId="0BEE565A" w14:textId="77777777" w:rsidR="00E41A00" w:rsidRPr="00882E54" w:rsidRDefault="00E41A00" w:rsidP="00882E54">
            <w:pPr>
              <w:autoSpaceDE w:val="0"/>
              <w:autoSpaceDN w:val="0"/>
              <w:adjustRightInd w:val="0"/>
              <w:spacing w:after="0" w:line="280" w:lineRule="atLeast"/>
              <w:rPr>
                <w:rFonts w:eastAsia="Calibri" w:cs="Arial"/>
                <w:color w:val="000000"/>
                <w:sz w:val="22"/>
                <w:szCs w:val="22"/>
                <w:lang w:eastAsia="en-US"/>
              </w:rPr>
            </w:pPr>
            <w:r w:rsidRPr="00882E54">
              <w:rPr>
                <w:rFonts w:cs="Arial"/>
                <w:sz w:val="22"/>
                <w:szCs w:val="22"/>
              </w:rPr>
              <w:t>15(1)(b)</w:t>
            </w:r>
          </w:p>
        </w:tc>
        <w:tc>
          <w:tcPr>
            <w:tcW w:w="5093" w:type="dxa"/>
          </w:tcPr>
          <w:p w14:paraId="51736A46" w14:textId="77777777" w:rsidR="00E41A00" w:rsidRPr="00882E54" w:rsidRDefault="00E41A00" w:rsidP="00882E54">
            <w:pPr>
              <w:autoSpaceDE w:val="0"/>
              <w:autoSpaceDN w:val="0"/>
              <w:adjustRightInd w:val="0"/>
              <w:spacing w:after="0" w:line="280" w:lineRule="atLeast"/>
              <w:rPr>
                <w:rFonts w:eastAsia="Calibri" w:cs="Arial"/>
                <w:color w:val="000000"/>
                <w:sz w:val="22"/>
                <w:szCs w:val="22"/>
                <w:lang w:eastAsia="en-US"/>
              </w:rPr>
            </w:pPr>
            <w:r w:rsidRPr="00882E54">
              <w:rPr>
                <w:rFonts w:cs="Arial"/>
                <w:sz w:val="22"/>
                <w:szCs w:val="22"/>
              </w:rPr>
              <w:t>ACCC’s cost component</w:t>
            </w:r>
          </w:p>
        </w:tc>
        <w:tc>
          <w:tcPr>
            <w:tcW w:w="1608" w:type="dxa"/>
            <w:shd w:val="clear" w:color="auto" w:fill="auto"/>
          </w:tcPr>
          <w:p w14:paraId="53C0E661" w14:textId="77777777" w:rsidR="00E41A00" w:rsidRPr="00882E54" w:rsidRDefault="00E41A00" w:rsidP="00882E54">
            <w:pPr>
              <w:autoSpaceDE w:val="0"/>
              <w:autoSpaceDN w:val="0"/>
              <w:adjustRightInd w:val="0"/>
              <w:spacing w:after="0" w:line="280" w:lineRule="atLeast"/>
              <w:rPr>
                <w:rFonts w:eastAsia="Calibri" w:cs="Arial"/>
                <w:color w:val="000000"/>
                <w:sz w:val="22"/>
                <w:szCs w:val="22"/>
                <w:lang w:eastAsia="en-US"/>
              </w:rPr>
            </w:pPr>
            <w:r w:rsidRPr="00882E54">
              <w:rPr>
                <w:rFonts w:cs="Arial"/>
                <w:sz w:val="22"/>
                <w:szCs w:val="22"/>
              </w:rPr>
              <w:t>Medium</w:t>
            </w:r>
          </w:p>
        </w:tc>
      </w:tr>
      <w:tr w:rsidR="00E41A00" w:rsidRPr="00882E54" w14:paraId="36418283" w14:textId="77777777" w:rsidTr="006E2755">
        <w:trPr>
          <w:cantSplit/>
          <w:trHeight w:val="230"/>
          <w:tblHeader/>
        </w:trPr>
        <w:tc>
          <w:tcPr>
            <w:tcW w:w="2139" w:type="dxa"/>
          </w:tcPr>
          <w:p w14:paraId="4E4477EA" w14:textId="77777777" w:rsidR="00E41A00" w:rsidRPr="00882E54" w:rsidRDefault="00E41A00" w:rsidP="00882E54">
            <w:pPr>
              <w:autoSpaceDE w:val="0"/>
              <w:autoSpaceDN w:val="0"/>
              <w:adjustRightInd w:val="0"/>
              <w:spacing w:after="0" w:line="280" w:lineRule="atLeast"/>
              <w:rPr>
                <w:rFonts w:eastAsia="Calibri" w:cs="Arial"/>
                <w:color w:val="000000"/>
                <w:sz w:val="22"/>
                <w:szCs w:val="22"/>
                <w:lang w:eastAsia="en-US"/>
              </w:rPr>
            </w:pPr>
            <w:r w:rsidRPr="00882E54">
              <w:rPr>
                <w:rFonts w:cs="Arial"/>
                <w:sz w:val="22"/>
                <w:szCs w:val="22"/>
              </w:rPr>
              <w:t>15(1)(c)</w:t>
            </w:r>
          </w:p>
        </w:tc>
        <w:tc>
          <w:tcPr>
            <w:tcW w:w="5093" w:type="dxa"/>
          </w:tcPr>
          <w:p w14:paraId="33B9356F" w14:textId="77777777" w:rsidR="00E41A00" w:rsidRPr="00882E54" w:rsidRDefault="00E41A00" w:rsidP="00882E54">
            <w:pPr>
              <w:autoSpaceDE w:val="0"/>
              <w:autoSpaceDN w:val="0"/>
              <w:adjustRightInd w:val="0"/>
              <w:spacing w:after="0" w:line="280" w:lineRule="atLeast"/>
              <w:rPr>
                <w:rFonts w:eastAsia="Calibri" w:cs="Arial"/>
                <w:color w:val="000000"/>
                <w:sz w:val="22"/>
                <w:szCs w:val="22"/>
                <w:lang w:eastAsia="en-US"/>
              </w:rPr>
            </w:pPr>
            <w:r w:rsidRPr="00882E54">
              <w:rPr>
                <w:rFonts w:cs="Arial"/>
                <w:sz w:val="22"/>
                <w:szCs w:val="22"/>
              </w:rPr>
              <w:t>Commonwealth’s ITU contribution</w:t>
            </w:r>
          </w:p>
        </w:tc>
        <w:tc>
          <w:tcPr>
            <w:tcW w:w="1608" w:type="dxa"/>
            <w:shd w:val="clear" w:color="auto" w:fill="auto"/>
          </w:tcPr>
          <w:p w14:paraId="6343AC9A" w14:textId="77777777" w:rsidR="00E41A00" w:rsidRPr="00882E54" w:rsidRDefault="00E41A00" w:rsidP="00882E54">
            <w:pPr>
              <w:autoSpaceDE w:val="0"/>
              <w:autoSpaceDN w:val="0"/>
              <w:adjustRightInd w:val="0"/>
              <w:spacing w:after="0" w:line="280" w:lineRule="atLeast"/>
              <w:rPr>
                <w:rFonts w:eastAsia="Calibri" w:cs="Arial"/>
                <w:color w:val="000000"/>
                <w:sz w:val="22"/>
                <w:szCs w:val="22"/>
                <w:lang w:eastAsia="en-US"/>
              </w:rPr>
            </w:pPr>
            <w:r w:rsidRPr="00882E54">
              <w:rPr>
                <w:rFonts w:cs="Arial"/>
                <w:sz w:val="22"/>
                <w:szCs w:val="22"/>
              </w:rPr>
              <w:t>Medium</w:t>
            </w:r>
          </w:p>
        </w:tc>
      </w:tr>
      <w:tr w:rsidR="00E41A00" w:rsidRPr="00882E54" w14:paraId="3E412A91" w14:textId="77777777" w:rsidTr="006E2755">
        <w:trPr>
          <w:cantSplit/>
          <w:trHeight w:val="529"/>
          <w:tblHeader/>
        </w:trPr>
        <w:tc>
          <w:tcPr>
            <w:tcW w:w="2139" w:type="dxa"/>
          </w:tcPr>
          <w:p w14:paraId="0A38AB04" w14:textId="77777777" w:rsidR="00E41A00" w:rsidRPr="00882E54" w:rsidRDefault="00E41A00" w:rsidP="00882E54">
            <w:pPr>
              <w:autoSpaceDE w:val="0"/>
              <w:autoSpaceDN w:val="0"/>
              <w:adjustRightInd w:val="0"/>
              <w:spacing w:after="0" w:line="280" w:lineRule="atLeast"/>
              <w:rPr>
                <w:rFonts w:eastAsia="Calibri" w:cs="Arial"/>
                <w:color w:val="000000"/>
                <w:sz w:val="22"/>
                <w:szCs w:val="22"/>
                <w:lang w:eastAsia="en-US"/>
              </w:rPr>
            </w:pPr>
            <w:r w:rsidRPr="00882E54">
              <w:rPr>
                <w:rFonts w:cs="Arial"/>
                <w:sz w:val="22"/>
                <w:szCs w:val="22"/>
              </w:rPr>
              <w:t>15(</w:t>
            </w:r>
            <w:proofErr w:type="gramStart"/>
            <w:r w:rsidRPr="00882E54">
              <w:rPr>
                <w:rFonts w:cs="Arial"/>
                <w:sz w:val="22"/>
                <w:szCs w:val="22"/>
              </w:rPr>
              <w:t>1)(</w:t>
            </w:r>
            <w:proofErr w:type="gramEnd"/>
            <w:r w:rsidRPr="00882E54">
              <w:rPr>
                <w:rFonts w:cs="Arial"/>
                <w:sz w:val="22"/>
                <w:szCs w:val="22"/>
              </w:rPr>
              <w:t>ca)</w:t>
            </w:r>
          </w:p>
        </w:tc>
        <w:tc>
          <w:tcPr>
            <w:tcW w:w="5093" w:type="dxa"/>
          </w:tcPr>
          <w:p w14:paraId="3B05809C" w14:textId="77777777" w:rsidR="00E41A00" w:rsidRPr="00882E54" w:rsidRDefault="00E41A00" w:rsidP="00882E54">
            <w:pPr>
              <w:autoSpaceDE w:val="0"/>
              <w:autoSpaceDN w:val="0"/>
              <w:adjustRightInd w:val="0"/>
              <w:spacing w:after="0" w:line="280" w:lineRule="atLeast"/>
              <w:rPr>
                <w:rFonts w:eastAsia="Calibri" w:cs="Arial"/>
                <w:color w:val="000000"/>
                <w:sz w:val="22"/>
                <w:szCs w:val="22"/>
                <w:lang w:eastAsia="en-US"/>
              </w:rPr>
            </w:pPr>
            <w:r w:rsidRPr="00882E54">
              <w:rPr>
                <w:rFonts w:cs="Arial"/>
                <w:sz w:val="22"/>
                <w:szCs w:val="22"/>
              </w:rPr>
              <w:t>Costs for reimbursement of costs for the development or variation of consumer protection related industry codes paid under section 136C of the Telco Act</w:t>
            </w:r>
          </w:p>
        </w:tc>
        <w:tc>
          <w:tcPr>
            <w:tcW w:w="1608" w:type="dxa"/>
            <w:shd w:val="clear" w:color="auto" w:fill="auto"/>
          </w:tcPr>
          <w:p w14:paraId="5D23B770" w14:textId="77777777" w:rsidR="00E41A00" w:rsidRPr="00882E54" w:rsidRDefault="00E41A00" w:rsidP="00882E54">
            <w:pPr>
              <w:autoSpaceDE w:val="0"/>
              <w:autoSpaceDN w:val="0"/>
              <w:adjustRightInd w:val="0"/>
              <w:spacing w:after="0" w:line="280" w:lineRule="atLeast"/>
              <w:rPr>
                <w:rFonts w:eastAsia="Calibri" w:cs="Arial"/>
                <w:color w:val="000000"/>
                <w:sz w:val="22"/>
                <w:szCs w:val="22"/>
                <w:lang w:eastAsia="en-US"/>
              </w:rPr>
            </w:pPr>
            <w:r w:rsidRPr="00882E54">
              <w:rPr>
                <w:rFonts w:eastAsia="Calibri" w:cs="Arial"/>
                <w:color w:val="000000"/>
                <w:sz w:val="22"/>
                <w:szCs w:val="22"/>
                <w:lang w:eastAsia="en-US"/>
              </w:rPr>
              <w:t>Medium</w:t>
            </w:r>
          </w:p>
        </w:tc>
      </w:tr>
      <w:tr w:rsidR="00E41A00" w:rsidRPr="00882E54" w14:paraId="44111D1E" w14:textId="77777777" w:rsidTr="006E2755">
        <w:trPr>
          <w:cantSplit/>
          <w:trHeight w:val="202"/>
          <w:tblHeader/>
        </w:trPr>
        <w:tc>
          <w:tcPr>
            <w:tcW w:w="2139" w:type="dxa"/>
          </w:tcPr>
          <w:p w14:paraId="650ABF36" w14:textId="77777777" w:rsidR="00E41A00" w:rsidRPr="00882E54" w:rsidRDefault="00E41A00" w:rsidP="00882E54">
            <w:pPr>
              <w:autoSpaceDE w:val="0"/>
              <w:autoSpaceDN w:val="0"/>
              <w:adjustRightInd w:val="0"/>
              <w:spacing w:after="0" w:line="280" w:lineRule="atLeast"/>
              <w:rPr>
                <w:rFonts w:eastAsia="Calibri" w:cs="Arial"/>
                <w:color w:val="000000"/>
                <w:sz w:val="22"/>
                <w:szCs w:val="22"/>
                <w:lang w:eastAsia="en-US"/>
              </w:rPr>
            </w:pPr>
            <w:r w:rsidRPr="00882E54">
              <w:rPr>
                <w:rFonts w:cs="Arial"/>
                <w:sz w:val="22"/>
                <w:szCs w:val="22"/>
              </w:rPr>
              <w:t>15(1)(d)</w:t>
            </w:r>
          </w:p>
        </w:tc>
        <w:tc>
          <w:tcPr>
            <w:tcW w:w="5093" w:type="dxa"/>
          </w:tcPr>
          <w:p w14:paraId="68565FD8" w14:textId="77777777" w:rsidR="00E41A00" w:rsidRPr="00882E54" w:rsidRDefault="00E41A00" w:rsidP="00882E54">
            <w:pPr>
              <w:autoSpaceDE w:val="0"/>
              <w:autoSpaceDN w:val="0"/>
              <w:adjustRightInd w:val="0"/>
              <w:spacing w:after="0" w:line="280" w:lineRule="atLeast"/>
              <w:rPr>
                <w:rFonts w:eastAsia="Calibri" w:cs="Arial"/>
                <w:color w:val="000000"/>
                <w:sz w:val="22"/>
                <w:szCs w:val="22"/>
                <w:lang w:eastAsia="en-US"/>
              </w:rPr>
            </w:pPr>
            <w:r w:rsidRPr="00882E54">
              <w:rPr>
                <w:rFonts w:cs="Arial"/>
                <w:sz w:val="22"/>
                <w:szCs w:val="22"/>
              </w:rPr>
              <w:t>Government grants – consumer representation and research</w:t>
            </w:r>
          </w:p>
        </w:tc>
        <w:tc>
          <w:tcPr>
            <w:tcW w:w="1608" w:type="dxa"/>
            <w:shd w:val="clear" w:color="auto" w:fill="auto"/>
          </w:tcPr>
          <w:p w14:paraId="54A7CA84" w14:textId="77777777" w:rsidR="00E41A00" w:rsidRPr="00882E54" w:rsidRDefault="00E41A00" w:rsidP="00882E54">
            <w:pPr>
              <w:autoSpaceDE w:val="0"/>
              <w:autoSpaceDN w:val="0"/>
              <w:adjustRightInd w:val="0"/>
              <w:spacing w:after="0" w:line="280" w:lineRule="atLeast"/>
              <w:rPr>
                <w:rFonts w:eastAsia="Calibri" w:cs="Arial"/>
                <w:color w:val="000000"/>
                <w:sz w:val="22"/>
                <w:szCs w:val="22"/>
                <w:lang w:eastAsia="en-US"/>
              </w:rPr>
            </w:pPr>
            <w:r w:rsidRPr="00882E54">
              <w:rPr>
                <w:rFonts w:cs="Arial"/>
                <w:sz w:val="22"/>
                <w:szCs w:val="22"/>
              </w:rPr>
              <w:t>Medium</w:t>
            </w:r>
          </w:p>
        </w:tc>
      </w:tr>
      <w:tr w:rsidR="00E41A00" w:rsidRPr="00882E54" w14:paraId="748BCB19" w14:textId="77777777" w:rsidTr="006E2755">
        <w:trPr>
          <w:cantSplit/>
          <w:trHeight w:val="230"/>
          <w:tblHeader/>
        </w:trPr>
        <w:tc>
          <w:tcPr>
            <w:tcW w:w="7232" w:type="dxa"/>
            <w:gridSpan w:val="2"/>
            <w:shd w:val="clear" w:color="auto" w:fill="D9D9D9" w:themeFill="background1" w:themeFillShade="D9"/>
          </w:tcPr>
          <w:p w14:paraId="5F96E8B4" w14:textId="77777777" w:rsidR="00E41A00" w:rsidRPr="00882E54" w:rsidRDefault="00E41A00" w:rsidP="00882E54">
            <w:pPr>
              <w:autoSpaceDE w:val="0"/>
              <w:autoSpaceDN w:val="0"/>
              <w:adjustRightInd w:val="0"/>
              <w:spacing w:after="0" w:line="280" w:lineRule="atLeast"/>
              <w:rPr>
                <w:rFonts w:eastAsia="Calibri" w:cs="Arial"/>
                <w:color w:val="000000"/>
                <w:sz w:val="22"/>
                <w:szCs w:val="22"/>
                <w:lang w:eastAsia="en-US"/>
              </w:rPr>
            </w:pPr>
            <w:r w:rsidRPr="00882E54">
              <w:rPr>
                <w:rFonts w:cs="Arial"/>
                <w:b/>
                <w:sz w:val="22"/>
                <w:szCs w:val="22"/>
              </w:rPr>
              <w:t>Overall rating</w:t>
            </w:r>
          </w:p>
        </w:tc>
        <w:tc>
          <w:tcPr>
            <w:tcW w:w="1608" w:type="dxa"/>
            <w:shd w:val="clear" w:color="auto" w:fill="D9D9D9" w:themeFill="background1" w:themeFillShade="D9"/>
          </w:tcPr>
          <w:p w14:paraId="3B6A354E" w14:textId="77777777" w:rsidR="00E41A00" w:rsidRPr="00882E54" w:rsidRDefault="00E41A00" w:rsidP="00882E54">
            <w:pPr>
              <w:autoSpaceDE w:val="0"/>
              <w:autoSpaceDN w:val="0"/>
              <w:adjustRightInd w:val="0"/>
              <w:spacing w:after="0" w:line="280" w:lineRule="atLeast"/>
              <w:rPr>
                <w:rFonts w:eastAsia="Calibri" w:cs="Arial"/>
                <w:b/>
                <w:color w:val="000000"/>
                <w:sz w:val="22"/>
                <w:szCs w:val="22"/>
                <w:lang w:eastAsia="en-US"/>
              </w:rPr>
            </w:pPr>
            <w:r w:rsidRPr="00882E54">
              <w:rPr>
                <w:rFonts w:cs="Arial"/>
                <w:b/>
                <w:sz w:val="22"/>
                <w:szCs w:val="22"/>
              </w:rPr>
              <w:t>Medium</w:t>
            </w:r>
          </w:p>
        </w:tc>
      </w:tr>
    </w:tbl>
    <w:p w14:paraId="31FB6F26" w14:textId="77777777" w:rsidR="00E41A00" w:rsidRPr="00882E54" w:rsidRDefault="00E41A00" w:rsidP="00E07FF7">
      <w:pPr>
        <w:pStyle w:val="Paragraph"/>
        <w:spacing w:before="240"/>
      </w:pPr>
      <w:r w:rsidRPr="0040394B">
        <w:t xml:space="preserve">The risk rating </w:t>
      </w:r>
      <w:r>
        <w:t xml:space="preserve">of medium </w:t>
      </w:r>
      <w:r w:rsidRPr="0040394B">
        <w:t xml:space="preserve">is based on assessment of the criteria in the Regulatory Charging Risk Assessment Template. </w:t>
      </w:r>
      <w:r>
        <w:t>T</w:t>
      </w:r>
      <w:r w:rsidRPr="000C7493">
        <w:t xml:space="preserve">here are </w:t>
      </w:r>
      <w:r w:rsidRPr="00882E54">
        <w:t xml:space="preserve">no complexities associated with this charging regime. The ACLC is being charged as a levy and does not require any new legislative changes, nor does it involve working with </w:t>
      </w:r>
      <w:r w:rsidRPr="00882E54">
        <w:rPr>
          <w:rFonts w:eastAsia="Calibri"/>
        </w:rPr>
        <w:t>state, territory and/or local government entities</w:t>
      </w:r>
      <w:r w:rsidRPr="00882E54">
        <w:t xml:space="preserve">. </w:t>
      </w:r>
    </w:p>
    <w:p w14:paraId="15E3E265" w14:textId="77777777" w:rsidR="00E41A00" w:rsidRPr="00882E54" w:rsidRDefault="00E41A00" w:rsidP="00882E54">
      <w:pPr>
        <w:pStyle w:val="Paragraph"/>
      </w:pPr>
      <w:r w:rsidRPr="00882E54">
        <w:t xml:space="preserve">For the MBA program, a risk rating is provided in section 4 of Attachment B. </w:t>
      </w:r>
      <w:bookmarkStart w:id="225" w:name="_Toc417990963"/>
      <w:bookmarkStart w:id="226" w:name="_Toc511634405"/>
      <w:bookmarkStart w:id="227" w:name="_Toc67042594"/>
      <w:bookmarkStart w:id="228" w:name="_Toc108599229"/>
      <w:bookmarkStart w:id="229" w:name="_Toc121920501"/>
    </w:p>
    <w:p w14:paraId="6270EB25" w14:textId="77777777" w:rsidR="00E41A00" w:rsidRPr="00AE6A60" w:rsidRDefault="00E41A00" w:rsidP="00E41A00">
      <w:pPr>
        <w:pStyle w:val="Heading1"/>
      </w:pPr>
      <w:bookmarkStart w:id="230" w:name="_Toc149735457"/>
      <w:bookmarkStart w:id="231" w:name="_Toc175123939"/>
      <w:r w:rsidRPr="00AE6A60">
        <w:lastRenderedPageBreak/>
        <w:t xml:space="preserve">5. </w:t>
      </w:r>
      <w:r w:rsidRPr="00AE6A60">
        <w:tab/>
        <w:t>Stakeholder engagement</w:t>
      </w:r>
      <w:bookmarkEnd w:id="230"/>
      <w:bookmarkEnd w:id="231"/>
    </w:p>
    <w:bookmarkEnd w:id="225"/>
    <w:bookmarkEnd w:id="226"/>
    <w:bookmarkEnd w:id="227"/>
    <w:bookmarkEnd w:id="228"/>
    <w:bookmarkEnd w:id="229"/>
    <w:p w14:paraId="20F9DBF6" w14:textId="635F5D12" w:rsidR="00E41A00" w:rsidRPr="00202502" w:rsidRDefault="00E41A00" w:rsidP="00882E54">
      <w:pPr>
        <w:pStyle w:val="Paragraphbeforelist"/>
        <w:rPr>
          <w:i/>
        </w:rPr>
      </w:pPr>
      <w:r w:rsidRPr="00202502">
        <w:t>The ACMA regularly consults with stakeholders about telecommunications regulatory matters</w:t>
      </w:r>
      <w:r w:rsidRPr="00A6313A">
        <w:t xml:space="preserve">. </w:t>
      </w:r>
      <w:r w:rsidRPr="00202502">
        <w:t>In 202</w:t>
      </w:r>
      <w:r>
        <w:t>2</w:t>
      </w:r>
      <w:r w:rsidR="00E01726" w:rsidRPr="00D91A6F">
        <w:t>–</w:t>
      </w:r>
      <w:r>
        <w:t>23</w:t>
      </w:r>
      <w:r w:rsidRPr="00202502">
        <w:t xml:space="preserve">, </w:t>
      </w:r>
      <w:r w:rsidR="001B13CC">
        <w:t xml:space="preserve">among other matters </w:t>
      </w:r>
      <w:r w:rsidRPr="00202502">
        <w:t>the ACMA consulted on:</w:t>
      </w:r>
    </w:p>
    <w:p w14:paraId="2C7826F6" w14:textId="77777777" w:rsidR="00E41A00" w:rsidRDefault="00E41A00" w:rsidP="00882E54">
      <w:pPr>
        <w:pStyle w:val="Bulletlevel1"/>
      </w:pPr>
      <w:r w:rsidRPr="00D91A6F">
        <w:t>the ACLC for the 2021–22 financial year</w:t>
      </w:r>
    </w:p>
    <w:p w14:paraId="187B86DB" w14:textId="6AFF480A" w:rsidR="00E41A00" w:rsidRDefault="00E41A00" w:rsidP="00882E54">
      <w:pPr>
        <w:pStyle w:val="Bulletlevel1"/>
      </w:pPr>
      <w:r>
        <w:t>the 2023-24 Fees for Service CRIS</w:t>
      </w:r>
      <w:r w:rsidR="00E01726">
        <w:t xml:space="preserve"> (first consultation)</w:t>
      </w:r>
    </w:p>
    <w:p w14:paraId="55F15114" w14:textId="5E7B878A" w:rsidR="00E41A00" w:rsidRDefault="00E01726" w:rsidP="00882E54">
      <w:pPr>
        <w:pStyle w:val="Bulletlevel1"/>
      </w:pPr>
      <w:r>
        <w:t>a p</w:t>
      </w:r>
      <w:r w:rsidR="00E41A00" w:rsidRPr="006554D5">
        <w:t>roposal to vary the Telecommunications Numbering Plan 2015</w:t>
      </w:r>
    </w:p>
    <w:p w14:paraId="25C05E15" w14:textId="440BA627" w:rsidR="00E41A00" w:rsidRDefault="00E01726" w:rsidP="00882E54">
      <w:pPr>
        <w:pStyle w:val="Bulletlevel1"/>
      </w:pPr>
      <w:r>
        <w:t>a p</w:t>
      </w:r>
      <w:r w:rsidR="00E41A00">
        <w:t xml:space="preserve">roposal to make the new </w:t>
      </w:r>
      <w:r w:rsidR="00E41A00" w:rsidRPr="00B7121C">
        <w:t xml:space="preserve">Telecommunications Mobile Equipment Air Interface Standard </w:t>
      </w:r>
      <w:r w:rsidR="00E41A00">
        <w:t xml:space="preserve">2022 </w:t>
      </w:r>
      <w:r w:rsidR="00E41A00" w:rsidRPr="00B7121C">
        <w:t>and consequential amendments to associated instrument</w:t>
      </w:r>
    </w:p>
    <w:p w14:paraId="5FE62218" w14:textId="0DF20B06" w:rsidR="00E41A00" w:rsidRDefault="00E01726" w:rsidP="00882E54">
      <w:pPr>
        <w:pStyle w:val="Bulletlevel1last"/>
      </w:pPr>
      <w:r>
        <w:t>a p</w:t>
      </w:r>
      <w:r w:rsidR="00E41A00" w:rsidRPr="00A263EB">
        <w:t>roposal to include QR codes in the Telecommunications Labelling Notice and repeal 3 telecommunications standards</w:t>
      </w:r>
      <w:r>
        <w:t>.</w:t>
      </w:r>
    </w:p>
    <w:p w14:paraId="7558F303" w14:textId="77777777" w:rsidR="00E41A00" w:rsidRPr="00AE6A60" w:rsidRDefault="00E41A00" w:rsidP="00882E54">
      <w:pPr>
        <w:pStyle w:val="Paragraphbeforelist"/>
      </w:pPr>
      <w:r w:rsidRPr="00AE6A60">
        <w:t xml:space="preserve">The </w:t>
      </w:r>
      <w:r w:rsidRPr="00882E54">
        <w:t>ACCC</w:t>
      </w:r>
      <w:r w:rsidRPr="00AE6A60">
        <w:t xml:space="preserve"> advise</w:t>
      </w:r>
      <w:r>
        <w:t>d</w:t>
      </w:r>
      <w:r w:rsidRPr="00AE6A60">
        <w:t xml:space="preserve"> that it has engaged with stakeholders through price-setting consultations and regulatory matters. The </w:t>
      </w:r>
      <w:r>
        <w:t xml:space="preserve">ACCC’s </w:t>
      </w:r>
      <w:r w:rsidRPr="00AE6A60">
        <w:t xml:space="preserve">key areas of </w:t>
      </w:r>
      <w:r>
        <w:t>engagement</w:t>
      </w:r>
      <w:r w:rsidRPr="006A460F">
        <w:t xml:space="preserve"> in </w:t>
      </w:r>
      <w:r w:rsidRPr="00E10C47">
        <w:t>202</w:t>
      </w:r>
      <w:r>
        <w:t>2</w:t>
      </w:r>
      <w:r w:rsidRPr="00E10C47">
        <w:t>–2</w:t>
      </w:r>
      <w:r>
        <w:t>3</w:t>
      </w:r>
      <w:r w:rsidRPr="00AE6A60">
        <w:t xml:space="preserve"> included:  </w:t>
      </w:r>
    </w:p>
    <w:p w14:paraId="706F9DD1" w14:textId="340E4845" w:rsidR="00E41A00" w:rsidRPr="000A0FA2" w:rsidRDefault="00E41A00" w:rsidP="00882E54">
      <w:pPr>
        <w:pStyle w:val="Bulletlevel1"/>
      </w:pPr>
      <w:r w:rsidRPr="008F7127">
        <w:rPr>
          <w:rFonts w:eastAsia="SimSun"/>
        </w:rPr>
        <w:t>Consult</w:t>
      </w:r>
      <w:r>
        <w:rPr>
          <w:rFonts w:eastAsia="SimSun"/>
        </w:rPr>
        <w:t>ing</w:t>
      </w:r>
      <w:r w:rsidRPr="008F7127">
        <w:rPr>
          <w:rFonts w:eastAsia="SimSun"/>
        </w:rPr>
        <w:t xml:space="preserve"> on NBN Co</w:t>
      </w:r>
      <w:r>
        <w:rPr>
          <w:rFonts w:eastAsia="SimSun"/>
        </w:rPr>
        <w:t>’s proposed variations to its special access undertaking lodged in March and November 2022, including hosting an industry workshop in August 2022</w:t>
      </w:r>
      <w:r w:rsidR="000F4C8A">
        <w:rPr>
          <w:rFonts w:eastAsia="SimSun"/>
        </w:rPr>
        <w:t>.</w:t>
      </w:r>
    </w:p>
    <w:p w14:paraId="05065224" w14:textId="44BF6655" w:rsidR="00E41A00" w:rsidRDefault="00E41A00" w:rsidP="00882E54">
      <w:pPr>
        <w:pStyle w:val="Bulletlevel1"/>
      </w:pPr>
      <w:r>
        <w:t>Consulting on the need for allocation limits for the 3.4 GHz and 3.7 GHz band allocations</w:t>
      </w:r>
      <w:r w:rsidR="000F4C8A">
        <w:t>.</w:t>
      </w:r>
    </w:p>
    <w:p w14:paraId="5E89E241" w14:textId="6B1019BB" w:rsidR="00E41A00" w:rsidRPr="006B0192" w:rsidRDefault="00E41A00" w:rsidP="00882E54">
      <w:pPr>
        <w:pStyle w:val="Bulletlevel1"/>
      </w:pPr>
      <w:r>
        <w:t xml:space="preserve">Consulting on whether declarations of 9 telecommunication services should be extended, revoked, </w:t>
      </w:r>
      <w:proofErr w:type="gramStart"/>
      <w:r>
        <w:t>varied</w:t>
      </w:r>
      <w:proofErr w:type="gramEnd"/>
      <w:r>
        <w:t xml:space="preserve"> or allowed to expire</w:t>
      </w:r>
      <w:r w:rsidR="000F4C8A">
        <w:t>.</w:t>
      </w:r>
    </w:p>
    <w:p w14:paraId="6AB9B3C6" w14:textId="77777777" w:rsidR="00E41A00" w:rsidRPr="006B0192" w:rsidRDefault="00E41A00" w:rsidP="00882E54">
      <w:pPr>
        <w:pStyle w:val="Bulletlevel1"/>
      </w:pPr>
      <w:r>
        <w:t>U</w:t>
      </w:r>
      <w:r w:rsidRPr="007005E2">
        <w:t>pdat</w:t>
      </w:r>
      <w:r>
        <w:t>ing</w:t>
      </w:r>
      <w:r w:rsidRPr="006B0192">
        <w:t xml:space="preserve"> explanatory material on non-discrimination provisions applying to NBN Co and other access providers.</w:t>
      </w:r>
    </w:p>
    <w:p w14:paraId="71329CCD" w14:textId="77777777" w:rsidR="00E41A00" w:rsidRPr="006B0192" w:rsidRDefault="00E41A00" w:rsidP="00882E54">
      <w:pPr>
        <w:pStyle w:val="Bulletlevel1"/>
      </w:pPr>
      <w:r>
        <w:t>P</w:t>
      </w:r>
      <w:r w:rsidRPr="007005E2">
        <w:t>ropos</w:t>
      </w:r>
      <w:r>
        <w:t>ing</w:t>
      </w:r>
      <w:r w:rsidRPr="006B0192">
        <w:t xml:space="preserve"> changes to the Broadband Speed Claims Industry Guidelines to promote transparent information about upload speeds and fixed wireless speeds.</w:t>
      </w:r>
    </w:p>
    <w:p w14:paraId="3DB65790" w14:textId="77777777" w:rsidR="00E41A00" w:rsidRPr="006B0192" w:rsidRDefault="00E41A00" w:rsidP="00882E54">
      <w:pPr>
        <w:pStyle w:val="Bulletlevel1"/>
      </w:pPr>
      <w:r>
        <w:t>R</w:t>
      </w:r>
      <w:r w:rsidRPr="007005E2">
        <w:t>eleasing</w:t>
      </w:r>
      <w:r w:rsidRPr="006B0192">
        <w:t xml:space="preserve"> draft guidance on the carrier separation rules in Part 8 of the Telecommunications Act for consultation. </w:t>
      </w:r>
    </w:p>
    <w:p w14:paraId="174A0928" w14:textId="77777777" w:rsidR="00E41A00" w:rsidRPr="006B0192" w:rsidRDefault="00E41A00" w:rsidP="00882E54">
      <w:pPr>
        <w:pStyle w:val="Bulletlevel1"/>
      </w:pPr>
      <w:r>
        <w:t>P</w:t>
      </w:r>
      <w:r w:rsidRPr="007005E2">
        <w:t>romoting</w:t>
      </w:r>
      <w:r w:rsidRPr="006B0192">
        <w:t xml:space="preserve"> competition to ensure an efficiently functioning communications market.</w:t>
      </w:r>
    </w:p>
    <w:p w14:paraId="0E4DEED8" w14:textId="3AE09BE1" w:rsidR="00E41A00" w:rsidRPr="006B0192" w:rsidRDefault="00E41A00" w:rsidP="00882E54">
      <w:pPr>
        <w:pStyle w:val="Bulletlevel1"/>
      </w:pPr>
      <w:r>
        <w:t>R</w:t>
      </w:r>
      <w:r w:rsidRPr="007005E2">
        <w:t>egulating</w:t>
      </w:r>
      <w:r w:rsidRPr="006B0192">
        <w:t xml:space="preserve"> access to certain telecommunications services including the superfast broadband access service</w:t>
      </w:r>
      <w:r w:rsidR="000F4C8A">
        <w:t>.</w:t>
      </w:r>
      <w:r w:rsidRPr="006B0192">
        <w:t xml:space="preserve"> </w:t>
      </w:r>
    </w:p>
    <w:p w14:paraId="5ED0877E" w14:textId="77777777" w:rsidR="00E41A00" w:rsidRDefault="00E41A00" w:rsidP="00882E54">
      <w:pPr>
        <w:pStyle w:val="Bulletlevel1"/>
      </w:pPr>
      <w:r>
        <w:t>P</w:t>
      </w:r>
      <w:r w:rsidRPr="007005E2">
        <w:t>romoting</w:t>
      </w:r>
      <w:r w:rsidRPr="006B0192">
        <w:t xml:space="preserve"> com</w:t>
      </w:r>
      <w:r w:rsidRPr="00AE6A60">
        <w:t xml:space="preserve">petition through regulation of the NBN and encouraging transparency and appropriate consumer safeguards in the migration to the </w:t>
      </w:r>
      <w:r w:rsidRPr="007005E2">
        <w:t>NBN</w:t>
      </w:r>
      <w:r>
        <w:t>.</w:t>
      </w:r>
    </w:p>
    <w:p w14:paraId="00EAE15E" w14:textId="77777777" w:rsidR="00E41A00" w:rsidRDefault="00E41A00" w:rsidP="00882E54">
      <w:pPr>
        <w:pStyle w:val="Bulletlevel1"/>
      </w:pPr>
      <w:r>
        <w:t>M</w:t>
      </w:r>
      <w:r w:rsidRPr="007005E2">
        <w:t>onitoring</w:t>
      </w:r>
      <w:r w:rsidRPr="00AE6A60">
        <w:t xml:space="preserve"> industry consolidation and the impact on competition within the communications market.</w:t>
      </w:r>
    </w:p>
    <w:p w14:paraId="4DD4788A" w14:textId="09083F33" w:rsidR="00E41A00" w:rsidRPr="00B46F8F" w:rsidRDefault="00E41A00" w:rsidP="00882E54">
      <w:pPr>
        <w:pStyle w:val="Bulletlevel1"/>
      </w:pPr>
      <w:r w:rsidRPr="00B46F8F">
        <w:t>Consulting on service quality and network performance record keeping rules for NBN Co</w:t>
      </w:r>
      <w:r w:rsidR="000F4C8A">
        <w:t>.</w:t>
      </w:r>
    </w:p>
    <w:p w14:paraId="6B21121C" w14:textId="77777777" w:rsidR="00E41A00" w:rsidRDefault="00E41A00" w:rsidP="00882E54">
      <w:pPr>
        <w:pStyle w:val="Bulletlevel1"/>
      </w:pPr>
      <w:r>
        <w:t xml:space="preserve">Consulting with consumers on access to towers and associate infrastructure in regional, rural, </w:t>
      </w:r>
      <w:proofErr w:type="gramStart"/>
      <w:r>
        <w:t>remote</w:t>
      </w:r>
      <w:proofErr w:type="gramEnd"/>
      <w:r>
        <w:t xml:space="preserve"> and peri-urban Australia, as part of the Regional Mobile Infrastructure Inquiry.</w:t>
      </w:r>
    </w:p>
    <w:p w14:paraId="6EC0A884" w14:textId="77777777" w:rsidR="00E41A00" w:rsidRPr="00AE6A60" w:rsidRDefault="00E41A00" w:rsidP="00882E54">
      <w:pPr>
        <w:pStyle w:val="Bulletlevel1last"/>
      </w:pPr>
      <w:r>
        <w:t xml:space="preserve">Consulting with telecommunications providers on the technical feasibility of temporary mobile </w:t>
      </w:r>
      <w:r w:rsidRPr="00882E54">
        <w:t>roaming</w:t>
      </w:r>
      <w:r>
        <w:t xml:space="preserve"> during natural disasters and emergencies.</w:t>
      </w:r>
    </w:p>
    <w:p w14:paraId="5AFD770A" w14:textId="5F8AD14C" w:rsidR="00E41A00" w:rsidRPr="009A47EF" w:rsidRDefault="00E41A00" w:rsidP="00E41A00">
      <w:pPr>
        <w:pStyle w:val="Paragraph"/>
      </w:pPr>
      <w:bookmarkStart w:id="232" w:name="_Toc355953992"/>
      <w:bookmarkStart w:id="233" w:name="_Toc385256322"/>
      <w:bookmarkStart w:id="234" w:name="_Toc417990964"/>
      <w:bookmarkStart w:id="235" w:name="_Toc511634406"/>
      <w:bookmarkStart w:id="236" w:name="_Toc67042595"/>
      <w:bookmarkStart w:id="237" w:name="_Toc108599230"/>
      <w:r w:rsidRPr="001275FC">
        <w:rPr>
          <w:lang w:eastAsia="en-US"/>
        </w:rPr>
        <w:t xml:space="preserve">To maintain active </w:t>
      </w:r>
      <w:r w:rsidRPr="001174F9">
        <w:rPr>
          <w:lang w:eastAsia="en-US"/>
        </w:rPr>
        <w:t xml:space="preserve">involvement with industry, the ACMA </w:t>
      </w:r>
      <w:r>
        <w:rPr>
          <w:lang w:eastAsia="en-US"/>
        </w:rPr>
        <w:t xml:space="preserve">will </w:t>
      </w:r>
      <w:r w:rsidRPr="001174F9">
        <w:rPr>
          <w:lang w:eastAsia="en-US"/>
        </w:rPr>
        <w:t xml:space="preserve">publish a consultation paper and a draft version of this CRIS on its website for a </w:t>
      </w:r>
      <w:r w:rsidRPr="001174F9">
        <w:rPr>
          <w:iCs/>
          <w:lang w:eastAsia="en-US"/>
        </w:rPr>
        <w:t xml:space="preserve">4-week period from </w:t>
      </w:r>
      <w:r w:rsidR="00AC24C5">
        <w:rPr>
          <w:iCs/>
          <w:lang w:eastAsia="en-US"/>
        </w:rPr>
        <w:t>19</w:t>
      </w:r>
      <w:r w:rsidR="00AC24C5" w:rsidRPr="00A6313A">
        <w:rPr>
          <w:iCs/>
          <w:lang w:eastAsia="en-US"/>
        </w:rPr>
        <w:t> </w:t>
      </w:r>
      <w:r w:rsidRPr="00A6313A">
        <w:rPr>
          <w:iCs/>
          <w:lang w:eastAsia="en-US"/>
        </w:rPr>
        <w:t xml:space="preserve">August to </w:t>
      </w:r>
      <w:r w:rsidR="00AC24C5">
        <w:rPr>
          <w:iCs/>
          <w:lang w:eastAsia="en-US"/>
        </w:rPr>
        <w:t>16 </w:t>
      </w:r>
      <w:r w:rsidRPr="00A6313A">
        <w:rPr>
          <w:iCs/>
          <w:lang w:eastAsia="en-US"/>
        </w:rPr>
        <w:t>September 2024</w:t>
      </w:r>
      <w:r>
        <w:rPr>
          <w:iCs/>
          <w:lang w:eastAsia="en-US"/>
        </w:rPr>
        <w:t xml:space="preserve"> </w:t>
      </w:r>
      <w:r w:rsidRPr="001174F9">
        <w:rPr>
          <w:iCs/>
          <w:lang w:eastAsia="en-US"/>
        </w:rPr>
        <w:t>for feedback.</w:t>
      </w:r>
      <w:r w:rsidRPr="001174F9">
        <w:t xml:space="preserve"> </w:t>
      </w:r>
    </w:p>
    <w:p w14:paraId="48CC9778" w14:textId="77777777" w:rsidR="00E41A00" w:rsidRPr="009A47EF" w:rsidRDefault="00E41A00" w:rsidP="00E41A00">
      <w:pPr>
        <w:pStyle w:val="Heading1"/>
      </w:pPr>
      <w:bookmarkStart w:id="238" w:name="_Toc121920502"/>
      <w:bookmarkStart w:id="239" w:name="_Toc149735458"/>
      <w:bookmarkStart w:id="240" w:name="_Toc175123940"/>
      <w:r w:rsidRPr="009A47EF">
        <w:lastRenderedPageBreak/>
        <w:t xml:space="preserve">6. </w:t>
      </w:r>
      <w:r w:rsidRPr="009A47EF">
        <w:tab/>
        <w:t>F</w:t>
      </w:r>
      <w:bookmarkEnd w:id="232"/>
      <w:r w:rsidRPr="009A47EF">
        <w:t xml:space="preserve">inancial </w:t>
      </w:r>
      <w:bookmarkEnd w:id="233"/>
      <w:r w:rsidRPr="009A47EF">
        <w:t>estimates</w:t>
      </w:r>
      <w:bookmarkEnd w:id="234"/>
      <w:bookmarkEnd w:id="235"/>
      <w:bookmarkEnd w:id="236"/>
      <w:bookmarkEnd w:id="237"/>
      <w:bookmarkEnd w:id="238"/>
      <w:bookmarkEnd w:id="239"/>
      <w:bookmarkEnd w:id="240"/>
    </w:p>
    <w:p w14:paraId="6BDBB274" w14:textId="77777777" w:rsidR="00E41A00" w:rsidRPr="00AE6A60" w:rsidRDefault="00E41A00" w:rsidP="00882E54">
      <w:pPr>
        <w:pStyle w:val="Paragraph"/>
      </w:pPr>
      <w:r w:rsidRPr="00AE6A60">
        <w:t xml:space="preserve">Financial estimates for </w:t>
      </w:r>
      <w:r w:rsidRPr="00882E54">
        <w:t>each</w:t>
      </w:r>
      <w:r w:rsidRPr="00AE6A60">
        <w:t xml:space="preserve"> component of the ACLC to be determined under section 15 </w:t>
      </w:r>
      <w:r>
        <w:t xml:space="preserve">of the Act </w:t>
      </w:r>
      <w:r w:rsidRPr="00AE6A60">
        <w:t xml:space="preserve">for </w:t>
      </w:r>
      <w:r w:rsidRPr="006A460F">
        <w:t xml:space="preserve">the </w:t>
      </w:r>
      <w:r w:rsidRPr="00E10C47">
        <w:t>202</w:t>
      </w:r>
      <w:r>
        <w:t>3</w:t>
      </w:r>
      <w:r w:rsidRPr="00E10C47">
        <w:t>–2</w:t>
      </w:r>
      <w:r>
        <w:t>4</w:t>
      </w:r>
      <w:r w:rsidRPr="006A460F">
        <w:t xml:space="preserve"> fi</w:t>
      </w:r>
      <w:r w:rsidRPr="00AE6A60">
        <w:t xml:space="preserve">nancial year are provided in Table </w:t>
      </w:r>
      <w:r>
        <w:t>20</w:t>
      </w:r>
      <w:r w:rsidRPr="00AE6A60">
        <w:t xml:space="preserve">, along with forecasts over the next </w:t>
      </w:r>
      <w:r>
        <w:t>3</w:t>
      </w:r>
      <w:r w:rsidRPr="00AE6A60">
        <w:t xml:space="preserve"> years. </w:t>
      </w:r>
    </w:p>
    <w:p w14:paraId="665A0081" w14:textId="6D04B2EB" w:rsidR="00E41A00" w:rsidRPr="00AE6A60" w:rsidRDefault="00E01726" w:rsidP="00882E54">
      <w:pPr>
        <w:pStyle w:val="Tableheading"/>
      </w:pPr>
      <w:r>
        <w:t xml:space="preserve"> </w:t>
      </w:r>
      <w:r w:rsidR="00E41A00" w:rsidRPr="00AE6A60">
        <w:t>Financial estimates by activity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1129"/>
        <w:gridCol w:w="2112"/>
        <w:gridCol w:w="1307"/>
        <w:gridCol w:w="1307"/>
        <w:gridCol w:w="1307"/>
        <w:gridCol w:w="1307"/>
        <w:gridCol w:w="1307"/>
      </w:tblGrid>
      <w:tr w:rsidR="00E41A00" w:rsidRPr="00F23786" w14:paraId="4AF7BC10" w14:textId="77777777" w:rsidTr="00E07FF7">
        <w:trPr>
          <w:trHeight w:val="512"/>
          <w:tblHeader/>
        </w:trPr>
        <w:tc>
          <w:tcPr>
            <w:tcW w:w="1129" w:type="dxa"/>
            <w:shd w:val="clear" w:color="000000" w:fill="404040"/>
            <w:hideMark/>
          </w:tcPr>
          <w:p w14:paraId="25D23227" w14:textId="77777777" w:rsidR="00E41A00" w:rsidRPr="00F23786" w:rsidRDefault="00E41A00" w:rsidP="000F4C8A">
            <w:pPr>
              <w:spacing w:after="0" w:line="280" w:lineRule="atLeast"/>
              <w:rPr>
                <w:rFonts w:cs="Arial"/>
                <w:b/>
                <w:color w:val="FFFFFF"/>
                <w:sz w:val="22"/>
                <w:szCs w:val="22"/>
              </w:rPr>
            </w:pPr>
            <w:r w:rsidRPr="00F23786">
              <w:rPr>
                <w:rFonts w:cs="Arial"/>
                <w:b/>
                <w:color w:val="FFFFFF" w:themeColor="background1"/>
                <w:sz w:val="22"/>
                <w:szCs w:val="22"/>
              </w:rPr>
              <w:t>Ref. in the Act</w:t>
            </w:r>
          </w:p>
        </w:tc>
        <w:tc>
          <w:tcPr>
            <w:tcW w:w="2112" w:type="dxa"/>
            <w:shd w:val="clear" w:color="000000" w:fill="404040"/>
            <w:hideMark/>
          </w:tcPr>
          <w:p w14:paraId="0BDABB1E" w14:textId="77777777" w:rsidR="00E41A00" w:rsidRPr="00F23786" w:rsidRDefault="00E41A00" w:rsidP="000F4C8A">
            <w:pPr>
              <w:spacing w:after="0" w:line="280" w:lineRule="atLeast"/>
              <w:rPr>
                <w:rFonts w:cs="Arial"/>
                <w:b/>
                <w:color w:val="FFFFFF"/>
                <w:sz w:val="22"/>
                <w:szCs w:val="22"/>
              </w:rPr>
            </w:pPr>
            <w:r w:rsidRPr="00F23786">
              <w:rPr>
                <w:rFonts w:cs="Arial"/>
                <w:b/>
                <w:color w:val="FFFFFF" w:themeColor="background1"/>
                <w:sz w:val="22"/>
                <w:szCs w:val="22"/>
              </w:rPr>
              <w:t>Component</w:t>
            </w:r>
          </w:p>
        </w:tc>
        <w:tc>
          <w:tcPr>
            <w:tcW w:w="1307" w:type="dxa"/>
            <w:shd w:val="clear" w:color="000000" w:fill="404040"/>
            <w:hideMark/>
          </w:tcPr>
          <w:p w14:paraId="6149232C" w14:textId="77777777" w:rsidR="00E41A00" w:rsidRPr="00F23786" w:rsidRDefault="00E41A00" w:rsidP="000F4C8A">
            <w:pPr>
              <w:spacing w:after="0" w:line="280" w:lineRule="atLeast"/>
              <w:jc w:val="right"/>
              <w:rPr>
                <w:rFonts w:cs="Arial"/>
                <w:b/>
                <w:color w:val="FFFFFF"/>
                <w:sz w:val="22"/>
                <w:szCs w:val="22"/>
              </w:rPr>
            </w:pPr>
            <w:r w:rsidRPr="00F23786">
              <w:rPr>
                <w:rFonts w:cs="Arial"/>
                <w:b/>
                <w:bCs/>
                <w:color w:val="FFFFFF"/>
                <w:sz w:val="22"/>
                <w:szCs w:val="22"/>
              </w:rPr>
              <w:t>2023–24</w:t>
            </w:r>
            <w:r w:rsidRPr="00F23786">
              <w:rPr>
                <w:rFonts w:cs="Arial"/>
                <w:b/>
                <w:color w:val="FFFFFF"/>
                <w:sz w:val="22"/>
                <w:szCs w:val="22"/>
              </w:rPr>
              <w:t xml:space="preserve"> budget</w:t>
            </w:r>
          </w:p>
          <w:p w14:paraId="4DD72E71" w14:textId="77777777" w:rsidR="00E41A00" w:rsidRPr="00F23786" w:rsidRDefault="00E41A00" w:rsidP="000F4C8A">
            <w:pPr>
              <w:spacing w:after="0" w:line="280" w:lineRule="atLeast"/>
              <w:jc w:val="right"/>
              <w:rPr>
                <w:rFonts w:cs="Arial"/>
                <w:b/>
                <w:color w:val="FFFFFF"/>
                <w:sz w:val="22"/>
                <w:szCs w:val="22"/>
              </w:rPr>
            </w:pPr>
            <w:r w:rsidRPr="00F23786">
              <w:rPr>
                <w:rFonts w:cs="Arial"/>
                <w:b/>
                <w:color w:val="FFFFFF"/>
                <w:sz w:val="22"/>
                <w:szCs w:val="22"/>
              </w:rPr>
              <w:t>($million)</w:t>
            </w:r>
          </w:p>
        </w:tc>
        <w:tc>
          <w:tcPr>
            <w:tcW w:w="1307" w:type="dxa"/>
            <w:shd w:val="clear" w:color="000000" w:fill="404040"/>
            <w:hideMark/>
          </w:tcPr>
          <w:p w14:paraId="531D8EA0" w14:textId="77777777" w:rsidR="00E41A00" w:rsidRPr="00F23786" w:rsidRDefault="00E41A00" w:rsidP="000F4C8A">
            <w:pPr>
              <w:spacing w:after="0" w:line="280" w:lineRule="atLeast"/>
              <w:jc w:val="right"/>
              <w:rPr>
                <w:rFonts w:cs="Arial"/>
                <w:b/>
                <w:color w:val="FFFFFF"/>
                <w:sz w:val="22"/>
                <w:szCs w:val="22"/>
              </w:rPr>
            </w:pPr>
            <w:r w:rsidRPr="00F23786">
              <w:rPr>
                <w:rFonts w:cs="Arial"/>
                <w:b/>
                <w:bCs/>
                <w:color w:val="FFFFFF"/>
                <w:sz w:val="22"/>
                <w:szCs w:val="22"/>
              </w:rPr>
              <w:t>2023–24</w:t>
            </w:r>
            <w:r w:rsidRPr="00F23786">
              <w:rPr>
                <w:rFonts w:cs="Arial"/>
                <w:b/>
                <w:color w:val="FFFFFF"/>
                <w:sz w:val="22"/>
                <w:szCs w:val="22"/>
              </w:rPr>
              <w:t xml:space="preserve"> revised budget</w:t>
            </w:r>
          </w:p>
          <w:p w14:paraId="2FF56758" w14:textId="77777777" w:rsidR="00E41A00" w:rsidRPr="00F23786" w:rsidRDefault="00E41A00" w:rsidP="000F4C8A">
            <w:pPr>
              <w:spacing w:after="0" w:line="280" w:lineRule="atLeast"/>
              <w:jc w:val="right"/>
              <w:rPr>
                <w:rFonts w:cs="Arial"/>
                <w:b/>
                <w:color w:val="FFFFFF"/>
                <w:sz w:val="22"/>
                <w:szCs w:val="22"/>
              </w:rPr>
            </w:pPr>
            <w:r w:rsidRPr="00F23786">
              <w:rPr>
                <w:rFonts w:cs="Arial"/>
                <w:b/>
                <w:color w:val="FFFFFF"/>
                <w:sz w:val="22"/>
                <w:szCs w:val="22"/>
              </w:rPr>
              <w:t>($million)</w:t>
            </w:r>
          </w:p>
        </w:tc>
        <w:tc>
          <w:tcPr>
            <w:tcW w:w="1307" w:type="dxa"/>
            <w:shd w:val="clear" w:color="000000" w:fill="404040"/>
            <w:hideMark/>
          </w:tcPr>
          <w:p w14:paraId="748A5EED" w14:textId="77777777" w:rsidR="00E41A00" w:rsidRPr="00F23786" w:rsidRDefault="00E41A00" w:rsidP="000F4C8A">
            <w:pPr>
              <w:spacing w:after="0" w:line="280" w:lineRule="atLeast"/>
              <w:jc w:val="right"/>
              <w:rPr>
                <w:rFonts w:cs="Arial"/>
                <w:b/>
                <w:color w:val="FFFFFF"/>
                <w:sz w:val="22"/>
                <w:szCs w:val="22"/>
              </w:rPr>
            </w:pPr>
            <w:r w:rsidRPr="00F23786">
              <w:rPr>
                <w:rFonts w:cs="Arial"/>
                <w:b/>
                <w:bCs/>
                <w:color w:val="FFFFFF"/>
                <w:sz w:val="22"/>
                <w:szCs w:val="22"/>
              </w:rPr>
              <w:t>2024–25</w:t>
            </w:r>
            <w:r w:rsidRPr="00F23786">
              <w:rPr>
                <w:rFonts w:cs="Arial"/>
                <w:b/>
                <w:color w:val="FFFFFF"/>
                <w:sz w:val="22"/>
                <w:szCs w:val="22"/>
              </w:rPr>
              <w:t xml:space="preserve"> budget</w:t>
            </w:r>
          </w:p>
          <w:p w14:paraId="7B68A0A2" w14:textId="77777777" w:rsidR="00E41A00" w:rsidRPr="00F23786" w:rsidRDefault="00E41A00" w:rsidP="000F4C8A">
            <w:pPr>
              <w:spacing w:after="0" w:line="280" w:lineRule="atLeast"/>
              <w:jc w:val="right"/>
              <w:rPr>
                <w:rFonts w:cs="Arial"/>
                <w:b/>
                <w:color w:val="FFFFFF"/>
                <w:sz w:val="22"/>
                <w:szCs w:val="22"/>
              </w:rPr>
            </w:pPr>
            <w:r w:rsidRPr="00F23786">
              <w:rPr>
                <w:rFonts w:cs="Arial"/>
                <w:b/>
                <w:color w:val="FFFFFF"/>
                <w:sz w:val="22"/>
                <w:szCs w:val="22"/>
              </w:rPr>
              <w:t>($million)</w:t>
            </w:r>
          </w:p>
        </w:tc>
        <w:tc>
          <w:tcPr>
            <w:tcW w:w="1307" w:type="dxa"/>
            <w:shd w:val="clear" w:color="000000" w:fill="404040"/>
            <w:hideMark/>
          </w:tcPr>
          <w:p w14:paraId="77E74E79" w14:textId="7EE05C96" w:rsidR="00E41A00" w:rsidRPr="00F23786" w:rsidRDefault="00E41A00" w:rsidP="000F4C8A">
            <w:pPr>
              <w:spacing w:after="0" w:line="280" w:lineRule="atLeast"/>
              <w:jc w:val="right"/>
              <w:rPr>
                <w:rFonts w:cs="Arial"/>
                <w:b/>
                <w:color w:val="FFFFFF"/>
                <w:sz w:val="22"/>
                <w:szCs w:val="22"/>
              </w:rPr>
            </w:pPr>
            <w:r w:rsidRPr="00F23786">
              <w:rPr>
                <w:rFonts w:cs="Arial"/>
                <w:b/>
                <w:bCs/>
                <w:color w:val="FFFFFF"/>
                <w:sz w:val="22"/>
                <w:szCs w:val="22"/>
              </w:rPr>
              <w:t>2025</w:t>
            </w:r>
            <w:r w:rsidR="000F4C8A" w:rsidRPr="00E07FF7">
              <w:rPr>
                <w:b/>
                <w:bCs/>
                <w:color w:val="FFFFFF" w:themeColor="background1"/>
              </w:rPr>
              <w:t>–</w:t>
            </w:r>
            <w:r w:rsidRPr="00F23786">
              <w:rPr>
                <w:rFonts w:cs="Arial"/>
                <w:b/>
                <w:bCs/>
                <w:color w:val="FFFFFF"/>
                <w:sz w:val="22"/>
                <w:szCs w:val="22"/>
              </w:rPr>
              <w:t>26</w:t>
            </w:r>
            <w:r w:rsidRPr="00F23786">
              <w:rPr>
                <w:rFonts w:cs="Arial"/>
                <w:b/>
                <w:color w:val="FFFFFF"/>
                <w:sz w:val="22"/>
                <w:szCs w:val="22"/>
              </w:rPr>
              <w:t xml:space="preserve"> budget</w:t>
            </w:r>
          </w:p>
          <w:p w14:paraId="7FBA803F" w14:textId="77777777" w:rsidR="00E41A00" w:rsidRPr="00F23786" w:rsidRDefault="00E41A00" w:rsidP="000F4C8A">
            <w:pPr>
              <w:spacing w:after="0" w:line="280" w:lineRule="atLeast"/>
              <w:jc w:val="right"/>
              <w:rPr>
                <w:rFonts w:cs="Arial"/>
                <w:b/>
                <w:color w:val="FFFFFF"/>
                <w:sz w:val="22"/>
                <w:szCs w:val="22"/>
              </w:rPr>
            </w:pPr>
            <w:r w:rsidRPr="00F23786">
              <w:rPr>
                <w:rFonts w:cs="Arial"/>
                <w:b/>
                <w:color w:val="FFFFFF"/>
                <w:sz w:val="22"/>
                <w:szCs w:val="22"/>
              </w:rPr>
              <w:t>($million)</w:t>
            </w:r>
          </w:p>
        </w:tc>
        <w:tc>
          <w:tcPr>
            <w:tcW w:w="1307" w:type="dxa"/>
            <w:shd w:val="clear" w:color="000000" w:fill="404040"/>
            <w:hideMark/>
          </w:tcPr>
          <w:p w14:paraId="30D700AD" w14:textId="004CDB76" w:rsidR="00E41A00" w:rsidRPr="00F23786" w:rsidRDefault="00E41A00" w:rsidP="000F4C8A">
            <w:pPr>
              <w:spacing w:after="0" w:line="280" w:lineRule="atLeast"/>
              <w:jc w:val="right"/>
              <w:rPr>
                <w:rFonts w:cs="Arial"/>
                <w:b/>
                <w:color w:val="FFFFFF"/>
                <w:sz w:val="22"/>
                <w:szCs w:val="22"/>
              </w:rPr>
            </w:pPr>
            <w:r w:rsidRPr="00F23786">
              <w:rPr>
                <w:rFonts w:cs="Arial"/>
                <w:b/>
                <w:bCs/>
                <w:color w:val="FFFFFF"/>
                <w:sz w:val="22"/>
                <w:szCs w:val="22"/>
              </w:rPr>
              <w:t>2026</w:t>
            </w:r>
            <w:r w:rsidR="000F4C8A" w:rsidRPr="00E07FF7">
              <w:rPr>
                <w:color w:val="FFFFFF" w:themeColor="background1"/>
              </w:rPr>
              <w:t>–</w:t>
            </w:r>
            <w:r w:rsidRPr="00F23786">
              <w:rPr>
                <w:rFonts w:cs="Arial"/>
                <w:b/>
                <w:bCs/>
                <w:color w:val="FFFFFF"/>
                <w:sz w:val="22"/>
                <w:szCs w:val="22"/>
              </w:rPr>
              <w:t>27</w:t>
            </w:r>
            <w:r w:rsidRPr="00F23786">
              <w:rPr>
                <w:rFonts w:cs="Arial"/>
                <w:b/>
                <w:color w:val="FFFFFF"/>
                <w:sz w:val="22"/>
                <w:szCs w:val="22"/>
              </w:rPr>
              <w:t xml:space="preserve"> budget</w:t>
            </w:r>
          </w:p>
          <w:p w14:paraId="4341B634" w14:textId="77777777" w:rsidR="00E41A00" w:rsidRPr="00F23786" w:rsidRDefault="00E41A00" w:rsidP="000F4C8A">
            <w:pPr>
              <w:spacing w:after="0" w:line="280" w:lineRule="atLeast"/>
              <w:jc w:val="right"/>
              <w:rPr>
                <w:rFonts w:cs="Arial"/>
                <w:b/>
                <w:color w:val="FFFFFF"/>
                <w:sz w:val="22"/>
                <w:szCs w:val="22"/>
              </w:rPr>
            </w:pPr>
            <w:r w:rsidRPr="00F23786">
              <w:rPr>
                <w:rFonts w:cs="Arial"/>
                <w:b/>
                <w:color w:val="FFFFFF"/>
                <w:sz w:val="22"/>
                <w:szCs w:val="22"/>
              </w:rPr>
              <w:t>($million)</w:t>
            </w:r>
          </w:p>
        </w:tc>
      </w:tr>
      <w:tr w:rsidR="00E41A00" w:rsidRPr="00F23786" w14:paraId="74C02A51" w14:textId="77777777" w:rsidTr="00E07FF7">
        <w:trPr>
          <w:trHeight w:val="266"/>
        </w:trPr>
        <w:tc>
          <w:tcPr>
            <w:tcW w:w="1129" w:type="dxa"/>
            <w:shd w:val="clear" w:color="auto" w:fill="auto"/>
            <w:hideMark/>
          </w:tcPr>
          <w:p w14:paraId="1CF67D1E"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15(1)(a)</w:t>
            </w:r>
          </w:p>
        </w:tc>
        <w:tc>
          <w:tcPr>
            <w:tcW w:w="2112" w:type="dxa"/>
            <w:shd w:val="clear" w:color="auto" w:fill="auto"/>
            <w:hideMark/>
          </w:tcPr>
          <w:p w14:paraId="372AB06E"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ACMA telecommunications expenses</w:t>
            </w:r>
          </w:p>
        </w:tc>
        <w:tc>
          <w:tcPr>
            <w:tcW w:w="1307" w:type="dxa"/>
            <w:shd w:val="clear" w:color="auto" w:fill="auto"/>
            <w:vAlign w:val="center"/>
            <w:hideMark/>
          </w:tcPr>
          <w:p w14:paraId="7BBF3F34"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13.141 </w:t>
            </w:r>
          </w:p>
        </w:tc>
        <w:tc>
          <w:tcPr>
            <w:tcW w:w="1307" w:type="dxa"/>
            <w:shd w:val="clear" w:color="auto" w:fill="auto"/>
            <w:vAlign w:val="center"/>
            <w:hideMark/>
          </w:tcPr>
          <w:p w14:paraId="72E8A686"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14.095 </w:t>
            </w:r>
          </w:p>
        </w:tc>
        <w:tc>
          <w:tcPr>
            <w:tcW w:w="1307" w:type="dxa"/>
            <w:shd w:val="clear" w:color="auto" w:fill="auto"/>
            <w:vAlign w:val="center"/>
            <w:hideMark/>
          </w:tcPr>
          <w:p w14:paraId="62494D9A"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14.095 </w:t>
            </w:r>
          </w:p>
        </w:tc>
        <w:tc>
          <w:tcPr>
            <w:tcW w:w="1307" w:type="dxa"/>
            <w:shd w:val="clear" w:color="auto" w:fill="auto"/>
            <w:vAlign w:val="center"/>
            <w:hideMark/>
          </w:tcPr>
          <w:p w14:paraId="3132EE94"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14.095 </w:t>
            </w:r>
          </w:p>
        </w:tc>
        <w:tc>
          <w:tcPr>
            <w:tcW w:w="1307" w:type="dxa"/>
            <w:shd w:val="clear" w:color="auto" w:fill="auto"/>
            <w:vAlign w:val="center"/>
            <w:hideMark/>
          </w:tcPr>
          <w:p w14:paraId="09F7713F"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14.095 </w:t>
            </w:r>
          </w:p>
        </w:tc>
      </w:tr>
      <w:tr w:rsidR="00E41A00" w:rsidRPr="00F23786" w14:paraId="7EC8E6EA" w14:textId="77777777" w:rsidTr="00E07FF7">
        <w:trPr>
          <w:trHeight w:val="266"/>
        </w:trPr>
        <w:tc>
          <w:tcPr>
            <w:tcW w:w="1129" w:type="dxa"/>
            <w:shd w:val="clear" w:color="auto" w:fill="auto"/>
            <w:hideMark/>
          </w:tcPr>
          <w:p w14:paraId="0B245A9E"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15(1)(b)</w:t>
            </w:r>
          </w:p>
        </w:tc>
        <w:tc>
          <w:tcPr>
            <w:tcW w:w="2112" w:type="dxa"/>
            <w:shd w:val="clear" w:color="auto" w:fill="auto"/>
            <w:hideMark/>
          </w:tcPr>
          <w:p w14:paraId="0CB5162D"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 xml:space="preserve">ACCC telecommunications expenses </w:t>
            </w:r>
          </w:p>
        </w:tc>
        <w:tc>
          <w:tcPr>
            <w:tcW w:w="1307" w:type="dxa"/>
            <w:shd w:val="clear" w:color="auto" w:fill="auto"/>
            <w:hideMark/>
          </w:tcPr>
          <w:p w14:paraId="1A20675C" w14:textId="77777777" w:rsidR="00E41A00" w:rsidRPr="00F23786" w:rsidRDefault="00E41A00" w:rsidP="000F4C8A">
            <w:pPr>
              <w:spacing w:after="0" w:line="280" w:lineRule="atLeast"/>
              <w:jc w:val="right"/>
              <w:rPr>
                <w:rFonts w:cs="Arial"/>
                <w:color w:val="000000"/>
                <w:sz w:val="22"/>
                <w:szCs w:val="22"/>
              </w:rPr>
            </w:pPr>
            <w:r w:rsidRPr="00F23786">
              <w:rPr>
                <w:rFonts w:cs="Arial"/>
                <w:sz w:val="22"/>
                <w:szCs w:val="22"/>
              </w:rPr>
              <w:t>10.704</w:t>
            </w:r>
          </w:p>
        </w:tc>
        <w:tc>
          <w:tcPr>
            <w:tcW w:w="1307" w:type="dxa"/>
            <w:shd w:val="clear" w:color="auto" w:fill="auto"/>
            <w:hideMark/>
          </w:tcPr>
          <w:p w14:paraId="6829F1F0" w14:textId="77777777" w:rsidR="00E41A00" w:rsidRPr="00F23786" w:rsidRDefault="00E41A00" w:rsidP="000F4C8A">
            <w:pPr>
              <w:spacing w:after="0" w:line="280" w:lineRule="atLeast"/>
              <w:jc w:val="right"/>
              <w:rPr>
                <w:rFonts w:cs="Arial"/>
                <w:color w:val="000000"/>
                <w:sz w:val="22"/>
                <w:szCs w:val="22"/>
              </w:rPr>
            </w:pPr>
            <w:r w:rsidRPr="00F23786">
              <w:rPr>
                <w:rFonts w:cs="Arial"/>
                <w:sz w:val="22"/>
                <w:szCs w:val="22"/>
              </w:rPr>
              <w:t>12.077</w:t>
            </w:r>
          </w:p>
        </w:tc>
        <w:tc>
          <w:tcPr>
            <w:tcW w:w="1307" w:type="dxa"/>
            <w:shd w:val="clear" w:color="auto" w:fill="auto"/>
            <w:hideMark/>
          </w:tcPr>
          <w:p w14:paraId="2C3362E6" w14:textId="77777777" w:rsidR="00E41A00" w:rsidRPr="00F23786" w:rsidRDefault="00E41A00" w:rsidP="000F4C8A">
            <w:pPr>
              <w:spacing w:after="0" w:line="280" w:lineRule="atLeast"/>
              <w:jc w:val="right"/>
              <w:rPr>
                <w:rFonts w:cs="Arial"/>
                <w:color w:val="000000"/>
                <w:sz w:val="22"/>
                <w:szCs w:val="22"/>
              </w:rPr>
            </w:pPr>
            <w:r w:rsidRPr="00F23786">
              <w:rPr>
                <w:rFonts w:cs="Arial"/>
                <w:sz w:val="22"/>
                <w:szCs w:val="22"/>
              </w:rPr>
              <w:t>12.077</w:t>
            </w:r>
          </w:p>
        </w:tc>
        <w:tc>
          <w:tcPr>
            <w:tcW w:w="1307" w:type="dxa"/>
            <w:shd w:val="clear" w:color="auto" w:fill="auto"/>
            <w:hideMark/>
          </w:tcPr>
          <w:p w14:paraId="4A65DBCF" w14:textId="77777777" w:rsidR="00E41A00" w:rsidRPr="00F23786" w:rsidRDefault="00E41A00" w:rsidP="000F4C8A">
            <w:pPr>
              <w:spacing w:after="0" w:line="280" w:lineRule="atLeast"/>
              <w:jc w:val="right"/>
              <w:rPr>
                <w:rFonts w:cs="Arial"/>
                <w:color w:val="000000"/>
                <w:sz w:val="22"/>
                <w:szCs w:val="22"/>
              </w:rPr>
            </w:pPr>
            <w:r w:rsidRPr="00F23786">
              <w:rPr>
                <w:rFonts w:cs="Arial"/>
                <w:sz w:val="22"/>
                <w:szCs w:val="22"/>
              </w:rPr>
              <w:t>11.390</w:t>
            </w:r>
          </w:p>
        </w:tc>
        <w:tc>
          <w:tcPr>
            <w:tcW w:w="1307" w:type="dxa"/>
            <w:shd w:val="clear" w:color="auto" w:fill="auto"/>
            <w:hideMark/>
          </w:tcPr>
          <w:p w14:paraId="40AE6E43" w14:textId="77777777" w:rsidR="00E41A00" w:rsidRPr="00F23786" w:rsidRDefault="00E41A00" w:rsidP="000F4C8A">
            <w:pPr>
              <w:spacing w:after="0" w:line="280" w:lineRule="atLeast"/>
              <w:jc w:val="right"/>
              <w:rPr>
                <w:rFonts w:cs="Arial"/>
                <w:color w:val="000000"/>
                <w:sz w:val="22"/>
                <w:szCs w:val="22"/>
              </w:rPr>
            </w:pPr>
            <w:r w:rsidRPr="00F23786">
              <w:rPr>
                <w:rFonts w:cs="Arial"/>
                <w:sz w:val="22"/>
                <w:szCs w:val="22"/>
              </w:rPr>
              <w:t>11.390</w:t>
            </w:r>
          </w:p>
        </w:tc>
      </w:tr>
      <w:tr w:rsidR="00E41A00" w:rsidRPr="00F23786" w14:paraId="0487A7F8" w14:textId="77777777" w:rsidTr="00E07FF7">
        <w:trPr>
          <w:trHeight w:val="266"/>
        </w:trPr>
        <w:tc>
          <w:tcPr>
            <w:tcW w:w="1129" w:type="dxa"/>
            <w:shd w:val="clear" w:color="auto" w:fill="auto"/>
            <w:hideMark/>
          </w:tcPr>
          <w:p w14:paraId="7C4F9265"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15(1)(c)</w:t>
            </w:r>
          </w:p>
        </w:tc>
        <w:tc>
          <w:tcPr>
            <w:tcW w:w="2112" w:type="dxa"/>
            <w:shd w:val="clear" w:color="auto" w:fill="auto"/>
            <w:hideMark/>
          </w:tcPr>
          <w:p w14:paraId="13B02268"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Commonwealth’s ITU contribution</w:t>
            </w:r>
          </w:p>
        </w:tc>
        <w:tc>
          <w:tcPr>
            <w:tcW w:w="1307" w:type="dxa"/>
            <w:shd w:val="clear" w:color="auto" w:fill="auto"/>
            <w:vAlign w:val="center"/>
            <w:hideMark/>
          </w:tcPr>
          <w:p w14:paraId="6724B10B"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2.089 </w:t>
            </w:r>
          </w:p>
        </w:tc>
        <w:tc>
          <w:tcPr>
            <w:tcW w:w="1307" w:type="dxa"/>
            <w:shd w:val="clear" w:color="auto" w:fill="auto"/>
            <w:vAlign w:val="center"/>
            <w:hideMark/>
          </w:tcPr>
          <w:p w14:paraId="05A8D4DB"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2.290 </w:t>
            </w:r>
          </w:p>
        </w:tc>
        <w:tc>
          <w:tcPr>
            <w:tcW w:w="1307" w:type="dxa"/>
            <w:shd w:val="clear" w:color="auto" w:fill="auto"/>
            <w:vAlign w:val="center"/>
            <w:hideMark/>
          </w:tcPr>
          <w:p w14:paraId="38FA9194"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2.334 </w:t>
            </w:r>
          </w:p>
        </w:tc>
        <w:tc>
          <w:tcPr>
            <w:tcW w:w="1307" w:type="dxa"/>
            <w:shd w:val="clear" w:color="auto" w:fill="auto"/>
            <w:vAlign w:val="center"/>
            <w:hideMark/>
          </w:tcPr>
          <w:p w14:paraId="7FAFA132"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2.334 </w:t>
            </w:r>
          </w:p>
        </w:tc>
        <w:tc>
          <w:tcPr>
            <w:tcW w:w="1307" w:type="dxa"/>
            <w:shd w:val="clear" w:color="auto" w:fill="auto"/>
            <w:vAlign w:val="center"/>
            <w:hideMark/>
          </w:tcPr>
          <w:p w14:paraId="0FC7F17B"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2.323 </w:t>
            </w:r>
          </w:p>
        </w:tc>
      </w:tr>
      <w:tr w:rsidR="00E41A00" w:rsidRPr="00F23786" w14:paraId="7FE1A8D1" w14:textId="77777777" w:rsidTr="00E07FF7">
        <w:trPr>
          <w:trHeight w:val="661"/>
        </w:trPr>
        <w:tc>
          <w:tcPr>
            <w:tcW w:w="1129" w:type="dxa"/>
            <w:shd w:val="clear" w:color="auto" w:fill="auto"/>
            <w:hideMark/>
          </w:tcPr>
          <w:p w14:paraId="634395FB"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w:t>
            </w:r>
            <w:proofErr w:type="gramStart"/>
            <w:r w:rsidRPr="00F23786">
              <w:rPr>
                <w:rFonts w:cs="Arial"/>
                <w:color w:val="000000"/>
                <w:sz w:val="22"/>
                <w:szCs w:val="22"/>
              </w:rPr>
              <w:t>1)(</w:t>
            </w:r>
            <w:proofErr w:type="gramEnd"/>
            <w:r w:rsidRPr="00F23786">
              <w:rPr>
                <w:rFonts w:cs="Arial"/>
                <w:color w:val="000000"/>
                <w:sz w:val="22"/>
                <w:szCs w:val="22"/>
              </w:rPr>
              <w:t>ca)</w:t>
            </w:r>
          </w:p>
        </w:tc>
        <w:tc>
          <w:tcPr>
            <w:tcW w:w="2112" w:type="dxa"/>
            <w:shd w:val="clear" w:color="auto" w:fill="auto"/>
            <w:hideMark/>
          </w:tcPr>
          <w:p w14:paraId="32DDA390"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Amounts reimbursed to industry groups for development or variation of consumer protection-related industry codes</w:t>
            </w:r>
          </w:p>
        </w:tc>
        <w:tc>
          <w:tcPr>
            <w:tcW w:w="1307" w:type="dxa"/>
            <w:shd w:val="clear" w:color="auto" w:fill="auto"/>
            <w:vAlign w:val="center"/>
            <w:hideMark/>
          </w:tcPr>
          <w:p w14:paraId="7BD89BEF"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0.300 </w:t>
            </w:r>
          </w:p>
        </w:tc>
        <w:tc>
          <w:tcPr>
            <w:tcW w:w="1307" w:type="dxa"/>
            <w:shd w:val="clear" w:color="auto" w:fill="auto"/>
            <w:vAlign w:val="center"/>
            <w:hideMark/>
          </w:tcPr>
          <w:p w14:paraId="3FE30ABF"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0.300 </w:t>
            </w:r>
          </w:p>
        </w:tc>
        <w:tc>
          <w:tcPr>
            <w:tcW w:w="1307" w:type="dxa"/>
            <w:shd w:val="clear" w:color="auto" w:fill="auto"/>
            <w:vAlign w:val="center"/>
            <w:hideMark/>
          </w:tcPr>
          <w:p w14:paraId="04202306"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0.300 </w:t>
            </w:r>
          </w:p>
        </w:tc>
        <w:tc>
          <w:tcPr>
            <w:tcW w:w="1307" w:type="dxa"/>
            <w:shd w:val="clear" w:color="auto" w:fill="auto"/>
            <w:vAlign w:val="center"/>
            <w:hideMark/>
          </w:tcPr>
          <w:p w14:paraId="5FEC444A"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0.300 </w:t>
            </w:r>
          </w:p>
        </w:tc>
        <w:tc>
          <w:tcPr>
            <w:tcW w:w="1307" w:type="dxa"/>
            <w:shd w:val="clear" w:color="auto" w:fill="auto"/>
            <w:vAlign w:val="center"/>
            <w:hideMark/>
          </w:tcPr>
          <w:p w14:paraId="0604C40C"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0.300 </w:t>
            </w:r>
          </w:p>
        </w:tc>
      </w:tr>
      <w:tr w:rsidR="00E41A00" w:rsidRPr="00F23786" w14:paraId="37DC39E2" w14:textId="77777777" w:rsidTr="00E07FF7">
        <w:trPr>
          <w:trHeight w:val="443"/>
        </w:trPr>
        <w:tc>
          <w:tcPr>
            <w:tcW w:w="1129" w:type="dxa"/>
            <w:shd w:val="clear" w:color="auto" w:fill="auto"/>
            <w:hideMark/>
          </w:tcPr>
          <w:p w14:paraId="0F165D6E"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15(1)(d)</w:t>
            </w:r>
          </w:p>
        </w:tc>
        <w:tc>
          <w:tcPr>
            <w:tcW w:w="2112" w:type="dxa"/>
            <w:shd w:val="clear" w:color="auto" w:fill="auto"/>
            <w:hideMark/>
          </w:tcPr>
          <w:p w14:paraId="680AF00B"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Estimated government grants – consumer representation and research</w:t>
            </w:r>
          </w:p>
        </w:tc>
        <w:tc>
          <w:tcPr>
            <w:tcW w:w="1307" w:type="dxa"/>
            <w:shd w:val="clear" w:color="auto" w:fill="auto"/>
            <w:vAlign w:val="center"/>
            <w:hideMark/>
          </w:tcPr>
          <w:p w14:paraId="06A7C0D9"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2.624 </w:t>
            </w:r>
          </w:p>
        </w:tc>
        <w:tc>
          <w:tcPr>
            <w:tcW w:w="1307" w:type="dxa"/>
            <w:shd w:val="clear" w:color="auto" w:fill="auto"/>
            <w:vAlign w:val="center"/>
            <w:hideMark/>
          </w:tcPr>
          <w:p w14:paraId="6C9DF90E"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2.624 </w:t>
            </w:r>
          </w:p>
        </w:tc>
        <w:tc>
          <w:tcPr>
            <w:tcW w:w="1307" w:type="dxa"/>
            <w:shd w:val="clear" w:color="auto" w:fill="auto"/>
            <w:vAlign w:val="center"/>
            <w:hideMark/>
          </w:tcPr>
          <w:p w14:paraId="03687F15"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2.721 </w:t>
            </w:r>
          </w:p>
        </w:tc>
        <w:tc>
          <w:tcPr>
            <w:tcW w:w="1307" w:type="dxa"/>
            <w:shd w:val="clear" w:color="auto" w:fill="auto"/>
            <w:vAlign w:val="center"/>
            <w:hideMark/>
          </w:tcPr>
          <w:p w14:paraId="5ADFF8CE"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2.784 </w:t>
            </w:r>
          </w:p>
        </w:tc>
        <w:tc>
          <w:tcPr>
            <w:tcW w:w="1307" w:type="dxa"/>
            <w:shd w:val="clear" w:color="auto" w:fill="auto"/>
            <w:vAlign w:val="center"/>
            <w:hideMark/>
          </w:tcPr>
          <w:p w14:paraId="5D58EF2B"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2.847 </w:t>
            </w:r>
          </w:p>
        </w:tc>
      </w:tr>
      <w:tr w:rsidR="00E41A00" w:rsidRPr="00F23786" w14:paraId="4DCE50F1" w14:textId="77777777" w:rsidTr="00E07FF7">
        <w:trPr>
          <w:trHeight w:val="266"/>
        </w:trPr>
        <w:tc>
          <w:tcPr>
            <w:tcW w:w="3241" w:type="dxa"/>
            <w:gridSpan w:val="2"/>
            <w:shd w:val="clear" w:color="000000" w:fill="D9D9D9"/>
            <w:hideMark/>
          </w:tcPr>
          <w:p w14:paraId="16A57735" w14:textId="77777777" w:rsidR="00E41A00" w:rsidRPr="00F23786" w:rsidRDefault="00E41A00" w:rsidP="00F23786">
            <w:pPr>
              <w:spacing w:after="0" w:line="280" w:lineRule="atLeast"/>
              <w:rPr>
                <w:rFonts w:cs="Arial"/>
                <w:b/>
                <w:color w:val="000000"/>
                <w:sz w:val="22"/>
                <w:szCs w:val="22"/>
              </w:rPr>
            </w:pPr>
            <w:r w:rsidRPr="00F23786">
              <w:rPr>
                <w:rFonts w:cs="Arial"/>
                <w:b/>
                <w:color w:val="000000"/>
                <w:sz w:val="22"/>
                <w:szCs w:val="22"/>
              </w:rPr>
              <w:t>Total expenses</w:t>
            </w:r>
          </w:p>
        </w:tc>
        <w:tc>
          <w:tcPr>
            <w:tcW w:w="1307" w:type="dxa"/>
            <w:shd w:val="clear" w:color="000000" w:fill="D9D9D9"/>
            <w:vAlign w:val="center"/>
            <w:hideMark/>
          </w:tcPr>
          <w:p w14:paraId="64DAF981" w14:textId="77777777" w:rsidR="00E41A00" w:rsidRPr="00F23786" w:rsidRDefault="00E41A00" w:rsidP="000F4C8A">
            <w:pPr>
              <w:spacing w:after="0" w:line="280" w:lineRule="atLeast"/>
              <w:jc w:val="right"/>
              <w:rPr>
                <w:rFonts w:cs="Arial"/>
                <w:b/>
                <w:color w:val="000000"/>
                <w:sz w:val="22"/>
                <w:szCs w:val="22"/>
              </w:rPr>
            </w:pPr>
            <w:r w:rsidRPr="00F23786">
              <w:rPr>
                <w:rFonts w:cs="Arial"/>
                <w:b/>
                <w:bCs/>
                <w:color w:val="000000"/>
                <w:sz w:val="22"/>
                <w:szCs w:val="22"/>
              </w:rPr>
              <w:t xml:space="preserve">28.858 </w:t>
            </w:r>
          </w:p>
        </w:tc>
        <w:tc>
          <w:tcPr>
            <w:tcW w:w="1307" w:type="dxa"/>
            <w:shd w:val="clear" w:color="000000" w:fill="D9D9D9"/>
            <w:vAlign w:val="center"/>
            <w:hideMark/>
          </w:tcPr>
          <w:p w14:paraId="3FA2AE1E" w14:textId="77777777" w:rsidR="00E41A00" w:rsidRPr="00F23786" w:rsidRDefault="00E41A00" w:rsidP="000F4C8A">
            <w:pPr>
              <w:spacing w:after="0" w:line="280" w:lineRule="atLeast"/>
              <w:jc w:val="right"/>
              <w:rPr>
                <w:rFonts w:cs="Arial"/>
                <w:b/>
                <w:color w:val="000000"/>
                <w:sz w:val="22"/>
                <w:szCs w:val="22"/>
              </w:rPr>
            </w:pPr>
            <w:r w:rsidRPr="00F23786">
              <w:rPr>
                <w:rFonts w:cs="Arial"/>
                <w:b/>
                <w:bCs/>
                <w:color w:val="000000"/>
                <w:sz w:val="22"/>
                <w:szCs w:val="22"/>
              </w:rPr>
              <w:t xml:space="preserve">31.386 </w:t>
            </w:r>
          </w:p>
        </w:tc>
        <w:tc>
          <w:tcPr>
            <w:tcW w:w="1307" w:type="dxa"/>
            <w:shd w:val="clear" w:color="000000" w:fill="D9D9D9"/>
            <w:vAlign w:val="center"/>
            <w:hideMark/>
          </w:tcPr>
          <w:p w14:paraId="5EFE9016" w14:textId="77777777" w:rsidR="00E41A00" w:rsidRPr="00F23786" w:rsidRDefault="00E41A00" w:rsidP="000F4C8A">
            <w:pPr>
              <w:spacing w:after="0" w:line="280" w:lineRule="atLeast"/>
              <w:jc w:val="right"/>
              <w:rPr>
                <w:rFonts w:cs="Arial"/>
                <w:b/>
                <w:color w:val="000000"/>
                <w:sz w:val="22"/>
                <w:szCs w:val="22"/>
              </w:rPr>
            </w:pPr>
            <w:r w:rsidRPr="00F23786">
              <w:rPr>
                <w:rFonts w:cs="Arial"/>
                <w:b/>
                <w:bCs/>
                <w:color w:val="000000"/>
                <w:sz w:val="22"/>
                <w:szCs w:val="22"/>
              </w:rPr>
              <w:t xml:space="preserve">31.527 </w:t>
            </w:r>
          </w:p>
        </w:tc>
        <w:tc>
          <w:tcPr>
            <w:tcW w:w="1307" w:type="dxa"/>
            <w:shd w:val="clear" w:color="000000" w:fill="D9D9D9"/>
            <w:vAlign w:val="center"/>
            <w:hideMark/>
          </w:tcPr>
          <w:p w14:paraId="66EA7801" w14:textId="77777777" w:rsidR="00E41A00" w:rsidRPr="00F23786" w:rsidRDefault="00E41A00" w:rsidP="000F4C8A">
            <w:pPr>
              <w:spacing w:after="0" w:line="280" w:lineRule="atLeast"/>
              <w:jc w:val="right"/>
              <w:rPr>
                <w:rFonts w:cs="Arial"/>
                <w:b/>
                <w:color w:val="000000"/>
                <w:sz w:val="22"/>
                <w:szCs w:val="22"/>
              </w:rPr>
            </w:pPr>
            <w:r w:rsidRPr="00F23786">
              <w:rPr>
                <w:rFonts w:cs="Arial"/>
                <w:b/>
                <w:bCs/>
                <w:color w:val="000000"/>
                <w:sz w:val="22"/>
                <w:szCs w:val="22"/>
              </w:rPr>
              <w:t xml:space="preserve">30.903 </w:t>
            </w:r>
          </w:p>
        </w:tc>
        <w:tc>
          <w:tcPr>
            <w:tcW w:w="1307" w:type="dxa"/>
            <w:shd w:val="clear" w:color="000000" w:fill="D9D9D9"/>
            <w:vAlign w:val="center"/>
            <w:hideMark/>
          </w:tcPr>
          <w:p w14:paraId="4C0A9A4D" w14:textId="77777777" w:rsidR="00E41A00" w:rsidRPr="00F23786" w:rsidRDefault="00E41A00" w:rsidP="000F4C8A">
            <w:pPr>
              <w:spacing w:after="0" w:line="280" w:lineRule="atLeast"/>
              <w:jc w:val="right"/>
              <w:rPr>
                <w:rFonts w:cs="Arial"/>
                <w:b/>
                <w:color w:val="000000"/>
                <w:sz w:val="22"/>
                <w:szCs w:val="22"/>
              </w:rPr>
            </w:pPr>
            <w:r w:rsidRPr="00F23786">
              <w:rPr>
                <w:rFonts w:cs="Arial"/>
                <w:b/>
                <w:bCs/>
                <w:color w:val="000000"/>
                <w:sz w:val="22"/>
                <w:szCs w:val="22"/>
              </w:rPr>
              <w:t xml:space="preserve">30.955 </w:t>
            </w:r>
          </w:p>
        </w:tc>
      </w:tr>
      <w:tr w:rsidR="00E41A00" w:rsidRPr="00F23786" w14:paraId="4AEFE374" w14:textId="77777777" w:rsidTr="00E07FF7">
        <w:trPr>
          <w:trHeight w:val="266"/>
        </w:trPr>
        <w:tc>
          <w:tcPr>
            <w:tcW w:w="1129" w:type="dxa"/>
            <w:shd w:val="clear" w:color="auto" w:fill="auto"/>
            <w:hideMark/>
          </w:tcPr>
          <w:p w14:paraId="7F0406A3"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15(1)(a)</w:t>
            </w:r>
          </w:p>
        </w:tc>
        <w:tc>
          <w:tcPr>
            <w:tcW w:w="2112" w:type="dxa"/>
            <w:shd w:val="clear" w:color="auto" w:fill="auto"/>
            <w:hideMark/>
          </w:tcPr>
          <w:p w14:paraId="587F9A4B"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ACMA telecommunications expenses</w:t>
            </w:r>
          </w:p>
        </w:tc>
        <w:tc>
          <w:tcPr>
            <w:tcW w:w="1307" w:type="dxa"/>
            <w:shd w:val="clear" w:color="auto" w:fill="auto"/>
            <w:vAlign w:val="center"/>
            <w:hideMark/>
          </w:tcPr>
          <w:p w14:paraId="324F0B7C"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13.597 </w:t>
            </w:r>
          </w:p>
        </w:tc>
        <w:tc>
          <w:tcPr>
            <w:tcW w:w="1307" w:type="dxa"/>
            <w:shd w:val="clear" w:color="auto" w:fill="auto"/>
            <w:vAlign w:val="center"/>
            <w:hideMark/>
          </w:tcPr>
          <w:p w14:paraId="1D785E87"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13.641 </w:t>
            </w:r>
          </w:p>
        </w:tc>
        <w:tc>
          <w:tcPr>
            <w:tcW w:w="1307" w:type="dxa"/>
            <w:shd w:val="clear" w:color="auto" w:fill="auto"/>
            <w:vAlign w:val="center"/>
            <w:hideMark/>
          </w:tcPr>
          <w:p w14:paraId="2DCF29A6"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14.095 </w:t>
            </w:r>
          </w:p>
        </w:tc>
        <w:tc>
          <w:tcPr>
            <w:tcW w:w="1307" w:type="dxa"/>
            <w:shd w:val="clear" w:color="auto" w:fill="auto"/>
            <w:vAlign w:val="center"/>
            <w:hideMark/>
          </w:tcPr>
          <w:p w14:paraId="7F7D9F84"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14.095 </w:t>
            </w:r>
          </w:p>
        </w:tc>
        <w:tc>
          <w:tcPr>
            <w:tcW w:w="1307" w:type="dxa"/>
            <w:shd w:val="clear" w:color="auto" w:fill="auto"/>
            <w:vAlign w:val="center"/>
            <w:hideMark/>
          </w:tcPr>
          <w:p w14:paraId="115D7F78"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14.095 </w:t>
            </w:r>
          </w:p>
        </w:tc>
      </w:tr>
      <w:tr w:rsidR="00E41A00" w:rsidRPr="00F23786" w14:paraId="7AF595BE" w14:textId="77777777" w:rsidTr="00E07FF7">
        <w:trPr>
          <w:trHeight w:val="266"/>
        </w:trPr>
        <w:tc>
          <w:tcPr>
            <w:tcW w:w="1129" w:type="dxa"/>
            <w:shd w:val="clear" w:color="auto" w:fill="auto"/>
            <w:hideMark/>
          </w:tcPr>
          <w:p w14:paraId="6FF5B034"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15(1)(b)</w:t>
            </w:r>
          </w:p>
        </w:tc>
        <w:tc>
          <w:tcPr>
            <w:tcW w:w="2112" w:type="dxa"/>
            <w:shd w:val="clear" w:color="auto" w:fill="auto"/>
            <w:hideMark/>
          </w:tcPr>
          <w:p w14:paraId="3F75BDA4"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 xml:space="preserve">ACCC telecommunications expenses </w:t>
            </w:r>
          </w:p>
        </w:tc>
        <w:tc>
          <w:tcPr>
            <w:tcW w:w="1307" w:type="dxa"/>
            <w:shd w:val="clear" w:color="auto" w:fill="auto"/>
            <w:hideMark/>
          </w:tcPr>
          <w:p w14:paraId="22F91512" w14:textId="77777777" w:rsidR="00E41A00" w:rsidRPr="00F23786" w:rsidRDefault="00E41A00" w:rsidP="000F4C8A">
            <w:pPr>
              <w:spacing w:after="0" w:line="280" w:lineRule="atLeast"/>
              <w:jc w:val="right"/>
              <w:rPr>
                <w:rFonts w:cs="Arial"/>
                <w:color w:val="000000"/>
                <w:sz w:val="22"/>
                <w:szCs w:val="22"/>
              </w:rPr>
            </w:pPr>
            <w:r w:rsidRPr="00F23786">
              <w:rPr>
                <w:rFonts w:cs="Arial"/>
                <w:sz w:val="22"/>
                <w:szCs w:val="22"/>
              </w:rPr>
              <w:t>12.547</w:t>
            </w:r>
          </w:p>
        </w:tc>
        <w:tc>
          <w:tcPr>
            <w:tcW w:w="1307" w:type="dxa"/>
            <w:shd w:val="clear" w:color="auto" w:fill="auto"/>
            <w:hideMark/>
          </w:tcPr>
          <w:p w14:paraId="48AA1ADF" w14:textId="77777777" w:rsidR="00E41A00" w:rsidRPr="00F23786" w:rsidRDefault="00E41A00" w:rsidP="000F4C8A">
            <w:pPr>
              <w:spacing w:after="0" w:line="280" w:lineRule="atLeast"/>
              <w:jc w:val="right"/>
              <w:rPr>
                <w:rFonts w:cs="Arial"/>
                <w:color w:val="000000"/>
                <w:sz w:val="22"/>
                <w:szCs w:val="22"/>
              </w:rPr>
            </w:pPr>
            <w:r w:rsidRPr="00F23786">
              <w:rPr>
                <w:rFonts w:cs="Arial"/>
                <w:sz w:val="22"/>
                <w:szCs w:val="22"/>
              </w:rPr>
              <w:t>11.397</w:t>
            </w:r>
          </w:p>
        </w:tc>
        <w:tc>
          <w:tcPr>
            <w:tcW w:w="1307" w:type="dxa"/>
            <w:shd w:val="clear" w:color="auto" w:fill="auto"/>
            <w:hideMark/>
          </w:tcPr>
          <w:p w14:paraId="40D5B3DB" w14:textId="77777777" w:rsidR="00E41A00" w:rsidRPr="00F23786" w:rsidRDefault="00E41A00" w:rsidP="000F4C8A">
            <w:pPr>
              <w:spacing w:after="0" w:line="280" w:lineRule="atLeast"/>
              <w:jc w:val="right"/>
              <w:rPr>
                <w:rFonts w:cs="Arial"/>
                <w:color w:val="000000"/>
                <w:sz w:val="22"/>
                <w:szCs w:val="22"/>
              </w:rPr>
            </w:pPr>
            <w:r w:rsidRPr="00F23786">
              <w:rPr>
                <w:rFonts w:cs="Arial"/>
                <w:sz w:val="22"/>
                <w:szCs w:val="22"/>
              </w:rPr>
              <w:t>12.077</w:t>
            </w:r>
          </w:p>
        </w:tc>
        <w:tc>
          <w:tcPr>
            <w:tcW w:w="1307" w:type="dxa"/>
            <w:shd w:val="clear" w:color="auto" w:fill="auto"/>
            <w:hideMark/>
          </w:tcPr>
          <w:p w14:paraId="6161A00A" w14:textId="77777777" w:rsidR="00E41A00" w:rsidRPr="00F23786" w:rsidRDefault="00E41A00" w:rsidP="000F4C8A">
            <w:pPr>
              <w:spacing w:after="0" w:line="280" w:lineRule="atLeast"/>
              <w:jc w:val="right"/>
              <w:rPr>
                <w:rFonts w:cs="Arial"/>
                <w:color w:val="000000"/>
                <w:sz w:val="22"/>
                <w:szCs w:val="22"/>
              </w:rPr>
            </w:pPr>
            <w:r w:rsidRPr="00F23786">
              <w:rPr>
                <w:rFonts w:cs="Arial"/>
                <w:sz w:val="22"/>
                <w:szCs w:val="22"/>
              </w:rPr>
              <w:t>12.077</w:t>
            </w:r>
          </w:p>
        </w:tc>
        <w:tc>
          <w:tcPr>
            <w:tcW w:w="1307" w:type="dxa"/>
            <w:shd w:val="clear" w:color="auto" w:fill="auto"/>
            <w:hideMark/>
          </w:tcPr>
          <w:p w14:paraId="79458468" w14:textId="77777777" w:rsidR="00E41A00" w:rsidRPr="00F23786" w:rsidRDefault="00E41A00" w:rsidP="000F4C8A">
            <w:pPr>
              <w:spacing w:after="0" w:line="280" w:lineRule="atLeast"/>
              <w:jc w:val="right"/>
              <w:rPr>
                <w:rFonts w:cs="Arial"/>
                <w:color w:val="000000"/>
                <w:sz w:val="22"/>
                <w:szCs w:val="22"/>
              </w:rPr>
            </w:pPr>
            <w:r w:rsidRPr="00F23786">
              <w:rPr>
                <w:rFonts w:cs="Arial"/>
                <w:sz w:val="22"/>
                <w:szCs w:val="22"/>
              </w:rPr>
              <w:t>11.390</w:t>
            </w:r>
          </w:p>
        </w:tc>
      </w:tr>
      <w:tr w:rsidR="00E41A00" w:rsidRPr="00F23786" w14:paraId="578CDA52" w14:textId="77777777" w:rsidTr="00E07FF7">
        <w:trPr>
          <w:trHeight w:val="266"/>
        </w:trPr>
        <w:tc>
          <w:tcPr>
            <w:tcW w:w="1129" w:type="dxa"/>
            <w:shd w:val="clear" w:color="auto" w:fill="auto"/>
            <w:hideMark/>
          </w:tcPr>
          <w:p w14:paraId="3A7EA5EA"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15(1)(c)</w:t>
            </w:r>
          </w:p>
        </w:tc>
        <w:tc>
          <w:tcPr>
            <w:tcW w:w="2112" w:type="dxa"/>
            <w:shd w:val="clear" w:color="auto" w:fill="auto"/>
            <w:hideMark/>
          </w:tcPr>
          <w:p w14:paraId="27AFE0A5"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Commonwealth’s ITU contribution</w:t>
            </w:r>
          </w:p>
        </w:tc>
        <w:tc>
          <w:tcPr>
            <w:tcW w:w="1307" w:type="dxa"/>
            <w:shd w:val="clear" w:color="auto" w:fill="auto"/>
            <w:vAlign w:val="center"/>
            <w:hideMark/>
          </w:tcPr>
          <w:p w14:paraId="2149DD3B"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2.089 </w:t>
            </w:r>
          </w:p>
        </w:tc>
        <w:tc>
          <w:tcPr>
            <w:tcW w:w="1307" w:type="dxa"/>
            <w:shd w:val="clear" w:color="auto" w:fill="auto"/>
            <w:vAlign w:val="center"/>
            <w:hideMark/>
          </w:tcPr>
          <w:p w14:paraId="29B8D842"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2.290 </w:t>
            </w:r>
          </w:p>
        </w:tc>
        <w:tc>
          <w:tcPr>
            <w:tcW w:w="1307" w:type="dxa"/>
            <w:shd w:val="clear" w:color="auto" w:fill="auto"/>
            <w:vAlign w:val="center"/>
            <w:hideMark/>
          </w:tcPr>
          <w:p w14:paraId="334D1BD1"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2.334 </w:t>
            </w:r>
          </w:p>
        </w:tc>
        <w:tc>
          <w:tcPr>
            <w:tcW w:w="1307" w:type="dxa"/>
            <w:shd w:val="clear" w:color="auto" w:fill="auto"/>
            <w:vAlign w:val="center"/>
            <w:hideMark/>
          </w:tcPr>
          <w:p w14:paraId="3030F17A"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2.334 </w:t>
            </w:r>
          </w:p>
        </w:tc>
        <w:tc>
          <w:tcPr>
            <w:tcW w:w="1307" w:type="dxa"/>
            <w:shd w:val="clear" w:color="auto" w:fill="auto"/>
            <w:vAlign w:val="center"/>
            <w:hideMark/>
          </w:tcPr>
          <w:p w14:paraId="60AC92E9"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2.323 </w:t>
            </w:r>
          </w:p>
        </w:tc>
      </w:tr>
      <w:tr w:rsidR="00E41A00" w:rsidRPr="00F23786" w14:paraId="22431478" w14:textId="77777777" w:rsidTr="00E07FF7">
        <w:trPr>
          <w:trHeight w:val="661"/>
        </w:trPr>
        <w:tc>
          <w:tcPr>
            <w:tcW w:w="1129" w:type="dxa"/>
            <w:shd w:val="clear" w:color="auto" w:fill="auto"/>
            <w:hideMark/>
          </w:tcPr>
          <w:p w14:paraId="51A06849"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lastRenderedPageBreak/>
              <w:t>15(</w:t>
            </w:r>
            <w:proofErr w:type="gramStart"/>
            <w:r w:rsidRPr="00F23786">
              <w:rPr>
                <w:rFonts w:cs="Arial"/>
                <w:color w:val="000000"/>
                <w:sz w:val="22"/>
                <w:szCs w:val="22"/>
              </w:rPr>
              <w:t>1)(</w:t>
            </w:r>
            <w:proofErr w:type="gramEnd"/>
            <w:r w:rsidRPr="00F23786">
              <w:rPr>
                <w:rFonts w:cs="Arial"/>
                <w:color w:val="000000"/>
                <w:sz w:val="22"/>
                <w:szCs w:val="22"/>
              </w:rPr>
              <w:t>ca)</w:t>
            </w:r>
          </w:p>
        </w:tc>
        <w:tc>
          <w:tcPr>
            <w:tcW w:w="2112" w:type="dxa"/>
            <w:shd w:val="clear" w:color="auto" w:fill="auto"/>
            <w:hideMark/>
          </w:tcPr>
          <w:p w14:paraId="11CD92F6"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Amounts reimbursed to industry groups for development or variation of consumer protection-related industry codes</w:t>
            </w:r>
          </w:p>
        </w:tc>
        <w:tc>
          <w:tcPr>
            <w:tcW w:w="1307" w:type="dxa"/>
            <w:shd w:val="clear" w:color="auto" w:fill="auto"/>
            <w:vAlign w:val="center"/>
            <w:hideMark/>
          </w:tcPr>
          <w:p w14:paraId="168BA410"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0.300 </w:t>
            </w:r>
          </w:p>
        </w:tc>
        <w:tc>
          <w:tcPr>
            <w:tcW w:w="1307" w:type="dxa"/>
            <w:shd w:val="clear" w:color="auto" w:fill="auto"/>
            <w:vAlign w:val="center"/>
            <w:hideMark/>
          </w:tcPr>
          <w:p w14:paraId="0621B23D"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0.300 </w:t>
            </w:r>
          </w:p>
        </w:tc>
        <w:tc>
          <w:tcPr>
            <w:tcW w:w="1307" w:type="dxa"/>
            <w:shd w:val="clear" w:color="auto" w:fill="auto"/>
            <w:vAlign w:val="center"/>
            <w:hideMark/>
          </w:tcPr>
          <w:p w14:paraId="55BF7905"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0.300 </w:t>
            </w:r>
          </w:p>
        </w:tc>
        <w:tc>
          <w:tcPr>
            <w:tcW w:w="1307" w:type="dxa"/>
            <w:shd w:val="clear" w:color="auto" w:fill="auto"/>
            <w:vAlign w:val="center"/>
            <w:hideMark/>
          </w:tcPr>
          <w:p w14:paraId="2D928AC3"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0.300 </w:t>
            </w:r>
          </w:p>
        </w:tc>
        <w:tc>
          <w:tcPr>
            <w:tcW w:w="1307" w:type="dxa"/>
            <w:shd w:val="clear" w:color="auto" w:fill="auto"/>
            <w:vAlign w:val="center"/>
            <w:hideMark/>
          </w:tcPr>
          <w:p w14:paraId="69E21B6D"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0.300 </w:t>
            </w:r>
          </w:p>
        </w:tc>
      </w:tr>
      <w:tr w:rsidR="00E41A00" w:rsidRPr="00F23786" w14:paraId="735D77C7" w14:textId="77777777" w:rsidTr="00E07FF7">
        <w:trPr>
          <w:trHeight w:val="443"/>
        </w:trPr>
        <w:tc>
          <w:tcPr>
            <w:tcW w:w="1129" w:type="dxa"/>
            <w:shd w:val="clear" w:color="auto" w:fill="auto"/>
            <w:hideMark/>
          </w:tcPr>
          <w:p w14:paraId="0274FA57"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15(1)(d)</w:t>
            </w:r>
          </w:p>
        </w:tc>
        <w:tc>
          <w:tcPr>
            <w:tcW w:w="2112" w:type="dxa"/>
            <w:shd w:val="clear" w:color="auto" w:fill="auto"/>
            <w:hideMark/>
          </w:tcPr>
          <w:p w14:paraId="5CB49EAA"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Estimated government grants – consumer representation and research</w:t>
            </w:r>
          </w:p>
        </w:tc>
        <w:tc>
          <w:tcPr>
            <w:tcW w:w="1307" w:type="dxa"/>
            <w:shd w:val="clear" w:color="auto" w:fill="auto"/>
            <w:vAlign w:val="center"/>
            <w:hideMark/>
          </w:tcPr>
          <w:p w14:paraId="1837CF68"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2.624 </w:t>
            </w:r>
          </w:p>
        </w:tc>
        <w:tc>
          <w:tcPr>
            <w:tcW w:w="1307" w:type="dxa"/>
            <w:shd w:val="clear" w:color="auto" w:fill="auto"/>
            <w:vAlign w:val="center"/>
            <w:hideMark/>
          </w:tcPr>
          <w:p w14:paraId="301C85A0"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2.624 </w:t>
            </w:r>
          </w:p>
        </w:tc>
        <w:tc>
          <w:tcPr>
            <w:tcW w:w="1307" w:type="dxa"/>
            <w:shd w:val="clear" w:color="auto" w:fill="auto"/>
            <w:vAlign w:val="center"/>
            <w:hideMark/>
          </w:tcPr>
          <w:p w14:paraId="513F117B"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2.721 </w:t>
            </w:r>
          </w:p>
        </w:tc>
        <w:tc>
          <w:tcPr>
            <w:tcW w:w="1307" w:type="dxa"/>
            <w:shd w:val="clear" w:color="auto" w:fill="auto"/>
            <w:vAlign w:val="center"/>
            <w:hideMark/>
          </w:tcPr>
          <w:p w14:paraId="7B8E8B06"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2.784 </w:t>
            </w:r>
          </w:p>
        </w:tc>
        <w:tc>
          <w:tcPr>
            <w:tcW w:w="1307" w:type="dxa"/>
            <w:shd w:val="clear" w:color="auto" w:fill="auto"/>
            <w:vAlign w:val="center"/>
            <w:hideMark/>
          </w:tcPr>
          <w:p w14:paraId="2678623D" w14:textId="77777777" w:rsidR="00E41A00" w:rsidRPr="00F23786" w:rsidRDefault="00E41A00" w:rsidP="000F4C8A">
            <w:pPr>
              <w:spacing w:after="0" w:line="280" w:lineRule="atLeast"/>
              <w:jc w:val="right"/>
              <w:rPr>
                <w:rFonts w:cs="Arial"/>
                <w:color w:val="000000"/>
                <w:sz w:val="22"/>
                <w:szCs w:val="22"/>
              </w:rPr>
            </w:pPr>
            <w:r w:rsidRPr="00F23786">
              <w:rPr>
                <w:rFonts w:cs="Arial"/>
                <w:color w:val="000000"/>
                <w:sz w:val="22"/>
                <w:szCs w:val="22"/>
              </w:rPr>
              <w:t xml:space="preserve">2.847 </w:t>
            </w:r>
          </w:p>
        </w:tc>
      </w:tr>
      <w:tr w:rsidR="00E41A00" w:rsidRPr="00F23786" w14:paraId="0C779A5E" w14:textId="77777777" w:rsidTr="00E07FF7">
        <w:trPr>
          <w:trHeight w:val="266"/>
        </w:trPr>
        <w:tc>
          <w:tcPr>
            <w:tcW w:w="3241" w:type="dxa"/>
            <w:gridSpan w:val="2"/>
            <w:shd w:val="clear" w:color="000000" w:fill="D9D9D9"/>
            <w:hideMark/>
          </w:tcPr>
          <w:p w14:paraId="63C90148" w14:textId="77777777" w:rsidR="00E41A00" w:rsidRPr="00F23786" w:rsidRDefault="00E41A00" w:rsidP="00F23786">
            <w:pPr>
              <w:spacing w:after="0" w:line="280" w:lineRule="atLeast"/>
              <w:rPr>
                <w:rFonts w:cs="Arial"/>
                <w:b/>
                <w:color w:val="000000"/>
                <w:sz w:val="22"/>
                <w:szCs w:val="22"/>
              </w:rPr>
            </w:pPr>
            <w:r w:rsidRPr="00F23786">
              <w:rPr>
                <w:rFonts w:cs="Arial"/>
                <w:b/>
                <w:color w:val="000000"/>
                <w:sz w:val="22"/>
                <w:szCs w:val="22"/>
              </w:rPr>
              <w:t>Total revenue</w:t>
            </w:r>
          </w:p>
        </w:tc>
        <w:tc>
          <w:tcPr>
            <w:tcW w:w="1307" w:type="dxa"/>
            <w:shd w:val="clear" w:color="000000" w:fill="D9D9D9"/>
            <w:vAlign w:val="center"/>
            <w:hideMark/>
          </w:tcPr>
          <w:p w14:paraId="314307E4" w14:textId="77777777" w:rsidR="00E41A00" w:rsidRPr="00F23786" w:rsidRDefault="00E41A00" w:rsidP="000F4C8A">
            <w:pPr>
              <w:spacing w:after="0" w:line="280" w:lineRule="atLeast"/>
              <w:jc w:val="right"/>
              <w:rPr>
                <w:rFonts w:cs="Arial"/>
                <w:b/>
                <w:color w:val="000000"/>
                <w:sz w:val="22"/>
                <w:szCs w:val="22"/>
              </w:rPr>
            </w:pPr>
            <w:r w:rsidRPr="00F23786">
              <w:rPr>
                <w:rFonts w:cs="Arial"/>
                <w:b/>
                <w:bCs/>
                <w:color w:val="000000"/>
                <w:sz w:val="22"/>
                <w:szCs w:val="22"/>
              </w:rPr>
              <w:t xml:space="preserve">31.157 </w:t>
            </w:r>
          </w:p>
        </w:tc>
        <w:tc>
          <w:tcPr>
            <w:tcW w:w="1307" w:type="dxa"/>
            <w:shd w:val="clear" w:color="000000" w:fill="D9D9D9"/>
            <w:vAlign w:val="center"/>
            <w:hideMark/>
          </w:tcPr>
          <w:p w14:paraId="73927C68" w14:textId="77777777" w:rsidR="00E41A00" w:rsidRPr="00F23786" w:rsidRDefault="00E41A00" w:rsidP="000F4C8A">
            <w:pPr>
              <w:spacing w:after="0" w:line="280" w:lineRule="atLeast"/>
              <w:jc w:val="right"/>
              <w:rPr>
                <w:rFonts w:cs="Arial"/>
                <w:b/>
                <w:color w:val="000000"/>
                <w:sz w:val="22"/>
                <w:szCs w:val="22"/>
              </w:rPr>
            </w:pPr>
            <w:r w:rsidRPr="00F23786">
              <w:rPr>
                <w:rFonts w:cs="Arial"/>
                <w:b/>
                <w:bCs/>
                <w:color w:val="000000"/>
                <w:sz w:val="22"/>
                <w:szCs w:val="22"/>
              </w:rPr>
              <w:t xml:space="preserve">30.252 </w:t>
            </w:r>
          </w:p>
        </w:tc>
        <w:tc>
          <w:tcPr>
            <w:tcW w:w="1307" w:type="dxa"/>
            <w:shd w:val="clear" w:color="000000" w:fill="D9D9D9"/>
            <w:vAlign w:val="center"/>
            <w:hideMark/>
          </w:tcPr>
          <w:p w14:paraId="55BBA607" w14:textId="77777777" w:rsidR="00E41A00" w:rsidRPr="00F23786" w:rsidRDefault="00E41A00" w:rsidP="000F4C8A">
            <w:pPr>
              <w:spacing w:after="0" w:line="280" w:lineRule="atLeast"/>
              <w:jc w:val="right"/>
              <w:rPr>
                <w:rFonts w:cs="Arial"/>
                <w:b/>
                <w:color w:val="000000"/>
                <w:sz w:val="22"/>
                <w:szCs w:val="22"/>
              </w:rPr>
            </w:pPr>
            <w:r w:rsidRPr="00F23786">
              <w:rPr>
                <w:rFonts w:cs="Arial"/>
                <w:b/>
                <w:bCs/>
                <w:color w:val="000000"/>
                <w:sz w:val="22"/>
                <w:szCs w:val="22"/>
              </w:rPr>
              <w:t xml:space="preserve">31.527 </w:t>
            </w:r>
          </w:p>
        </w:tc>
        <w:tc>
          <w:tcPr>
            <w:tcW w:w="1307" w:type="dxa"/>
            <w:shd w:val="clear" w:color="000000" w:fill="D9D9D9"/>
            <w:vAlign w:val="center"/>
            <w:hideMark/>
          </w:tcPr>
          <w:p w14:paraId="1ADD4B50" w14:textId="77777777" w:rsidR="00E41A00" w:rsidRPr="00F23786" w:rsidRDefault="00E41A00" w:rsidP="000F4C8A">
            <w:pPr>
              <w:spacing w:after="0" w:line="280" w:lineRule="atLeast"/>
              <w:jc w:val="right"/>
              <w:rPr>
                <w:rFonts w:cs="Arial"/>
                <w:b/>
                <w:color w:val="000000"/>
                <w:sz w:val="22"/>
                <w:szCs w:val="22"/>
              </w:rPr>
            </w:pPr>
            <w:r w:rsidRPr="00F23786">
              <w:rPr>
                <w:rFonts w:cs="Arial"/>
                <w:b/>
                <w:bCs/>
                <w:color w:val="000000"/>
                <w:sz w:val="22"/>
                <w:szCs w:val="22"/>
              </w:rPr>
              <w:t xml:space="preserve">31.590 </w:t>
            </w:r>
          </w:p>
        </w:tc>
        <w:tc>
          <w:tcPr>
            <w:tcW w:w="1307" w:type="dxa"/>
            <w:shd w:val="clear" w:color="000000" w:fill="D9D9D9"/>
            <w:vAlign w:val="center"/>
            <w:hideMark/>
          </w:tcPr>
          <w:p w14:paraId="369EFDB3" w14:textId="77777777" w:rsidR="00E41A00" w:rsidRPr="00F23786" w:rsidRDefault="00E41A00" w:rsidP="000F4C8A">
            <w:pPr>
              <w:spacing w:after="0" w:line="280" w:lineRule="atLeast"/>
              <w:jc w:val="right"/>
              <w:rPr>
                <w:rFonts w:cs="Arial"/>
                <w:b/>
                <w:color w:val="000000"/>
                <w:sz w:val="22"/>
                <w:szCs w:val="22"/>
              </w:rPr>
            </w:pPr>
            <w:r w:rsidRPr="00F23786">
              <w:rPr>
                <w:rFonts w:cs="Arial"/>
                <w:b/>
                <w:bCs/>
                <w:color w:val="000000"/>
                <w:sz w:val="22"/>
                <w:szCs w:val="22"/>
              </w:rPr>
              <w:t xml:space="preserve">30.955 </w:t>
            </w:r>
          </w:p>
        </w:tc>
      </w:tr>
      <w:tr w:rsidR="00E41A00" w:rsidRPr="00F23786" w14:paraId="5BB141D1" w14:textId="77777777" w:rsidTr="00E07FF7">
        <w:trPr>
          <w:trHeight w:val="266"/>
        </w:trPr>
        <w:tc>
          <w:tcPr>
            <w:tcW w:w="3241" w:type="dxa"/>
            <w:gridSpan w:val="2"/>
            <w:shd w:val="clear" w:color="000000" w:fill="D9D9D9"/>
            <w:hideMark/>
          </w:tcPr>
          <w:p w14:paraId="6369AF8F" w14:textId="77777777" w:rsidR="00E41A00" w:rsidRPr="00F23786" w:rsidRDefault="00E41A00" w:rsidP="00F23786">
            <w:pPr>
              <w:spacing w:after="0" w:line="280" w:lineRule="atLeast"/>
              <w:rPr>
                <w:rFonts w:cs="Arial"/>
                <w:b/>
                <w:color w:val="000000"/>
                <w:sz w:val="22"/>
                <w:szCs w:val="22"/>
              </w:rPr>
            </w:pPr>
            <w:r w:rsidRPr="00F23786">
              <w:rPr>
                <w:rFonts w:cs="Arial"/>
                <w:b/>
                <w:color w:val="000000"/>
                <w:sz w:val="22"/>
                <w:szCs w:val="22"/>
              </w:rPr>
              <w:t>Balance</w:t>
            </w:r>
          </w:p>
        </w:tc>
        <w:tc>
          <w:tcPr>
            <w:tcW w:w="1307" w:type="dxa"/>
            <w:shd w:val="clear" w:color="000000" w:fill="D9D9D9"/>
            <w:vAlign w:val="center"/>
            <w:hideMark/>
          </w:tcPr>
          <w:p w14:paraId="6880EF9E" w14:textId="77777777" w:rsidR="00E41A00" w:rsidRPr="00F23786" w:rsidRDefault="00E41A00" w:rsidP="000F4C8A">
            <w:pPr>
              <w:spacing w:after="0" w:line="280" w:lineRule="atLeast"/>
              <w:jc w:val="right"/>
              <w:rPr>
                <w:rFonts w:cs="Arial"/>
                <w:b/>
                <w:sz w:val="22"/>
                <w:szCs w:val="22"/>
              </w:rPr>
            </w:pPr>
            <w:r w:rsidRPr="00F23786">
              <w:rPr>
                <w:rFonts w:cs="Arial"/>
                <w:b/>
                <w:bCs/>
                <w:sz w:val="22"/>
                <w:szCs w:val="22"/>
              </w:rPr>
              <w:t xml:space="preserve">2.299 </w:t>
            </w:r>
          </w:p>
        </w:tc>
        <w:tc>
          <w:tcPr>
            <w:tcW w:w="1307" w:type="dxa"/>
            <w:shd w:val="clear" w:color="000000" w:fill="D9D9D9"/>
            <w:vAlign w:val="center"/>
            <w:hideMark/>
          </w:tcPr>
          <w:p w14:paraId="3575651A" w14:textId="77777777" w:rsidR="00E41A00" w:rsidRPr="00F23786" w:rsidRDefault="00E41A00" w:rsidP="000F4C8A">
            <w:pPr>
              <w:spacing w:after="0" w:line="280" w:lineRule="atLeast"/>
              <w:jc w:val="right"/>
              <w:rPr>
                <w:rFonts w:cs="Arial"/>
                <w:b/>
                <w:color w:val="000000"/>
                <w:sz w:val="22"/>
                <w:szCs w:val="22"/>
              </w:rPr>
            </w:pPr>
            <w:r w:rsidRPr="00F23786">
              <w:rPr>
                <w:rFonts w:cs="Arial"/>
                <w:b/>
                <w:bCs/>
                <w:color w:val="FF0000"/>
                <w:sz w:val="22"/>
                <w:szCs w:val="22"/>
              </w:rPr>
              <w:t xml:space="preserve">(1.135) </w:t>
            </w:r>
          </w:p>
        </w:tc>
        <w:tc>
          <w:tcPr>
            <w:tcW w:w="1307" w:type="dxa"/>
            <w:shd w:val="clear" w:color="000000" w:fill="D9D9D9"/>
            <w:vAlign w:val="center"/>
            <w:hideMark/>
          </w:tcPr>
          <w:p w14:paraId="73B47514" w14:textId="77777777" w:rsidR="00E41A00" w:rsidRPr="00F23786" w:rsidRDefault="00E41A00" w:rsidP="000F4C8A">
            <w:pPr>
              <w:spacing w:after="0" w:line="280" w:lineRule="atLeast"/>
              <w:jc w:val="right"/>
              <w:rPr>
                <w:rFonts w:cs="Arial"/>
                <w:b/>
                <w:color w:val="000000"/>
                <w:sz w:val="22"/>
                <w:szCs w:val="22"/>
              </w:rPr>
            </w:pPr>
            <w:r w:rsidRPr="00F23786">
              <w:rPr>
                <w:rFonts w:cs="Arial"/>
                <w:b/>
                <w:bCs/>
                <w:sz w:val="22"/>
                <w:szCs w:val="22"/>
              </w:rPr>
              <w:t xml:space="preserve">0.000 </w:t>
            </w:r>
          </w:p>
        </w:tc>
        <w:tc>
          <w:tcPr>
            <w:tcW w:w="1307" w:type="dxa"/>
            <w:shd w:val="clear" w:color="000000" w:fill="D9D9D9"/>
            <w:vAlign w:val="center"/>
            <w:hideMark/>
          </w:tcPr>
          <w:p w14:paraId="6CFC69EA" w14:textId="77777777" w:rsidR="00E41A00" w:rsidRPr="00F23786" w:rsidRDefault="00E41A00" w:rsidP="000F4C8A">
            <w:pPr>
              <w:spacing w:after="0" w:line="280" w:lineRule="atLeast"/>
              <w:jc w:val="right"/>
              <w:rPr>
                <w:rFonts w:cs="Arial"/>
                <w:b/>
                <w:color w:val="000000"/>
                <w:sz w:val="22"/>
                <w:szCs w:val="22"/>
              </w:rPr>
            </w:pPr>
            <w:r w:rsidRPr="00F23786">
              <w:rPr>
                <w:rFonts w:cs="Arial"/>
                <w:b/>
                <w:bCs/>
                <w:color w:val="000000"/>
                <w:sz w:val="22"/>
                <w:szCs w:val="22"/>
              </w:rPr>
              <w:t xml:space="preserve">0.687 </w:t>
            </w:r>
          </w:p>
        </w:tc>
        <w:tc>
          <w:tcPr>
            <w:tcW w:w="1307" w:type="dxa"/>
            <w:shd w:val="clear" w:color="000000" w:fill="D9D9D9"/>
            <w:vAlign w:val="center"/>
            <w:hideMark/>
          </w:tcPr>
          <w:p w14:paraId="2A781458" w14:textId="77777777" w:rsidR="00E41A00" w:rsidRPr="00F23786" w:rsidRDefault="00E41A00" w:rsidP="000F4C8A">
            <w:pPr>
              <w:spacing w:after="0" w:line="280" w:lineRule="atLeast"/>
              <w:jc w:val="right"/>
              <w:rPr>
                <w:rFonts w:cs="Arial"/>
                <w:b/>
                <w:sz w:val="22"/>
                <w:szCs w:val="22"/>
              </w:rPr>
            </w:pPr>
            <w:r w:rsidRPr="00F23786">
              <w:rPr>
                <w:rFonts w:cs="Arial"/>
                <w:b/>
                <w:bCs/>
                <w:sz w:val="22"/>
                <w:szCs w:val="22"/>
              </w:rPr>
              <w:t>0.000</w:t>
            </w:r>
            <w:r w:rsidRPr="00F23786">
              <w:rPr>
                <w:rFonts w:cs="Arial"/>
                <w:b/>
                <w:bCs/>
                <w:color w:val="FF0000"/>
                <w:sz w:val="22"/>
                <w:szCs w:val="22"/>
              </w:rPr>
              <w:t xml:space="preserve"> </w:t>
            </w:r>
          </w:p>
        </w:tc>
      </w:tr>
    </w:tbl>
    <w:p w14:paraId="3A36E490" w14:textId="77777777" w:rsidR="00E41A00" w:rsidRPr="00F23786" w:rsidRDefault="00E41A00" w:rsidP="00F23786">
      <w:pPr>
        <w:pStyle w:val="Paragraph"/>
        <w:spacing w:before="240"/>
      </w:pPr>
      <w:r w:rsidRPr="00B70DB3">
        <w:t>The cost components recovered through the ACLC revenue are determined in accordance with the Act. The Act requires the components under paragraph 15(1)(a), 15(1)(b) and 15(</w:t>
      </w:r>
      <w:proofErr w:type="gramStart"/>
      <w:r w:rsidRPr="00B70DB3">
        <w:t>1)(</w:t>
      </w:r>
      <w:proofErr w:type="gramEnd"/>
      <w:r w:rsidRPr="00B70DB3">
        <w:t xml:space="preserve">ca) </w:t>
      </w:r>
      <w:r>
        <w:t xml:space="preserve">of the Act </w:t>
      </w:r>
      <w:r w:rsidRPr="00B70DB3">
        <w:t>to be calculated on the costs that are incurred in the financial year immediately preceding the financial year for which the ACLC is imposed. As a result, the revenues for 15(1)(a), 15(1)(b) and 15(</w:t>
      </w:r>
      <w:proofErr w:type="gramStart"/>
      <w:r w:rsidRPr="00B70DB3">
        <w:t>1)(</w:t>
      </w:r>
      <w:proofErr w:type="gramEnd"/>
      <w:r w:rsidRPr="00B70DB3">
        <w:t xml:space="preserve">ca) </w:t>
      </w:r>
      <w:r>
        <w:t xml:space="preserve">of the Act </w:t>
      </w:r>
      <w:r w:rsidRPr="00B70DB3">
        <w:t>are based on the previ</w:t>
      </w:r>
      <w:r w:rsidRPr="00AE6A60">
        <w:t xml:space="preserve">ous year’s expenditure. Under the Act, the cost component under </w:t>
      </w:r>
      <w:r w:rsidRPr="00F23786">
        <w:t xml:space="preserve">paragraph 15(1)(c) of the Act relates to the calendar year in which the beginning of the financial year for imposing the ACLC occurs. </w:t>
      </w:r>
      <w:proofErr w:type="gramStart"/>
      <w:r w:rsidRPr="00F23786">
        <w:t>In order to</w:t>
      </w:r>
      <w:proofErr w:type="gramEnd"/>
      <w:r w:rsidRPr="00F23786">
        <w:t xml:space="preserve"> translate the expenditure incurred in the calendar year to the respective fiscal year, an average expenditure of 2 consecutive calendar years is used. This creates a lag in recognising the revenue, which can result in a surplus or deficit balance (that is, a timing difference) for each financial year. </w:t>
      </w:r>
    </w:p>
    <w:p w14:paraId="66EB48E5" w14:textId="5DE825A1" w:rsidR="00E41A00" w:rsidRPr="00F23786" w:rsidRDefault="00E41A00" w:rsidP="00F23786">
      <w:pPr>
        <w:pStyle w:val="Paragraph"/>
      </w:pPr>
      <w:r w:rsidRPr="00F23786">
        <w:t>Section 2.1 of this CRIS notes that the government has provided $3.7 million, which was reduced from $7.2 million appropriated in the 2019</w:t>
      </w:r>
      <w:r w:rsidR="000F4C8A">
        <w:t>–</w:t>
      </w:r>
      <w:r w:rsidRPr="00F23786">
        <w:t>20 Budget to the ACMA for the delivery of the telecommunications Consumer Safeguards Part A program.</w:t>
      </w:r>
      <w:r w:rsidRPr="00E07FF7">
        <w:rPr>
          <w:rStyle w:val="FootnoteReference"/>
        </w:rPr>
        <w:footnoteReference w:id="15"/>
      </w:r>
      <w:r w:rsidRPr="00F23786">
        <w:t xml:space="preserve"> The estimated costs of these activities have been incorporated in the ACMA’s expected telecommunications functions costs and revenue components above.</w:t>
      </w:r>
    </w:p>
    <w:p w14:paraId="409C052A" w14:textId="77777777" w:rsidR="00FC728F" w:rsidRDefault="00FC728F">
      <w:pPr>
        <w:spacing w:after="0" w:line="240" w:lineRule="auto"/>
        <w:rPr>
          <w:rFonts w:cs="Arial"/>
          <w:sz w:val="22"/>
        </w:rPr>
      </w:pPr>
      <w:r>
        <w:br w:type="page"/>
      </w:r>
    </w:p>
    <w:p w14:paraId="373C82A8" w14:textId="33982B40" w:rsidR="00E41A00" w:rsidRPr="00AE6A60" w:rsidRDefault="00E41A00" w:rsidP="00F23786">
      <w:pPr>
        <w:pStyle w:val="Paragraph"/>
      </w:pPr>
      <w:r w:rsidRPr="00F23786">
        <w:lastRenderedPageBreak/>
        <w:t>The forecasts for the ACCC do not include any expenditure or revenue from the MBA program. These have been disclosed separately in Attachment B in this document. The increase in forecast expenditure in 2023–24 and 2024</w:t>
      </w:r>
      <w:r w:rsidR="000F4C8A">
        <w:t>–</w:t>
      </w:r>
      <w:r w:rsidRPr="00F23786">
        <w:t>25 mainly reflects increased activity on access declarations and determinations. The nature of this work is cyclical and therefore there should be a reduction in expenditure from 2025</w:t>
      </w:r>
      <w:r w:rsidR="000F4C8A">
        <w:t>–</w:t>
      </w:r>
      <w:r w:rsidRPr="00F23786">
        <w:t>26. The forecast increases in the grant for consumer representation</w:t>
      </w:r>
      <w:r w:rsidRPr="00AE6A60">
        <w:t xml:space="preserve"> and research reflect indexation movements. </w:t>
      </w:r>
    </w:p>
    <w:p w14:paraId="276D30B0" w14:textId="77777777" w:rsidR="00E41A00" w:rsidRPr="00AE6A60" w:rsidRDefault="00E41A00" w:rsidP="00E41A00">
      <w:pPr>
        <w:pStyle w:val="Heading1"/>
        <w:spacing w:after="120"/>
      </w:pPr>
      <w:bookmarkStart w:id="241" w:name="_Toc417990965"/>
      <w:bookmarkStart w:id="242" w:name="_Toc511634407"/>
      <w:bookmarkStart w:id="243" w:name="_Toc67042596"/>
      <w:bookmarkStart w:id="244" w:name="_Toc108599231"/>
      <w:bookmarkStart w:id="245" w:name="_Toc121920503"/>
      <w:bookmarkStart w:id="246" w:name="_Toc149735459"/>
      <w:bookmarkStart w:id="247" w:name="_Toc355953994"/>
      <w:bookmarkStart w:id="248" w:name="_Toc385256323"/>
      <w:bookmarkStart w:id="249" w:name="_Toc175123941"/>
      <w:r w:rsidRPr="00AE6A60">
        <w:lastRenderedPageBreak/>
        <w:t xml:space="preserve">7A. </w:t>
      </w:r>
      <w:r w:rsidRPr="00AE6A60">
        <w:tab/>
        <w:t>Financial performance</w:t>
      </w:r>
      <w:bookmarkEnd w:id="241"/>
      <w:bookmarkEnd w:id="242"/>
      <w:bookmarkEnd w:id="243"/>
      <w:bookmarkEnd w:id="244"/>
      <w:bookmarkEnd w:id="245"/>
      <w:bookmarkEnd w:id="246"/>
      <w:bookmarkEnd w:id="249"/>
    </w:p>
    <w:p w14:paraId="22F1989F" w14:textId="2547D6CF" w:rsidR="00E41A00" w:rsidRPr="00AE6A60" w:rsidRDefault="00E41A00" w:rsidP="00F23786">
      <w:pPr>
        <w:pStyle w:val="Paragraph"/>
      </w:pPr>
      <w:r w:rsidRPr="00AE6A60">
        <w:t xml:space="preserve">Table </w:t>
      </w:r>
      <w:r>
        <w:t>21 lists h</w:t>
      </w:r>
      <w:r w:rsidRPr="00AE6A60">
        <w:t xml:space="preserve">istorical actual financial results for ACLC for </w:t>
      </w:r>
      <w:r>
        <w:t>the 2022–23 financial year</w:t>
      </w:r>
      <w:r w:rsidRPr="00AE6A60">
        <w:t xml:space="preserve"> and previou</w:t>
      </w:r>
      <w:r w:rsidRPr="00E01726">
        <w:t xml:space="preserve">s </w:t>
      </w:r>
      <w:r w:rsidR="00C57A02" w:rsidRPr="00E01726">
        <w:t xml:space="preserve">4 </w:t>
      </w:r>
      <w:r w:rsidRPr="00E01726">
        <w:t>financial</w:t>
      </w:r>
      <w:r w:rsidRPr="00AE6A60">
        <w:t xml:space="preserve"> years.</w:t>
      </w:r>
    </w:p>
    <w:p w14:paraId="2978C695" w14:textId="77777777" w:rsidR="00E41A00" w:rsidRPr="00F23786" w:rsidRDefault="00E41A00" w:rsidP="00F23786">
      <w:pPr>
        <w:pStyle w:val="Tableheading"/>
      </w:pPr>
      <w:r w:rsidRPr="00F23786">
        <w:t>Historical ACLC expenses and revenue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1129"/>
        <w:gridCol w:w="2835"/>
        <w:gridCol w:w="1162"/>
        <w:gridCol w:w="1162"/>
        <w:gridCol w:w="1163"/>
        <w:gridCol w:w="1162"/>
        <w:gridCol w:w="1163"/>
      </w:tblGrid>
      <w:tr w:rsidR="00E01726" w:rsidRPr="00F23786" w14:paraId="0E2178F6" w14:textId="77777777" w:rsidTr="00E07FF7">
        <w:trPr>
          <w:trHeight w:val="459"/>
          <w:tblHeader/>
        </w:trPr>
        <w:tc>
          <w:tcPr>
            <w:tcW w:w="1129" w:type="dxa"/>
            <w:shd w:val="clear" w:color="000000" w:fill="404040"/>
            <w:hideMark/>
          </w:tcPr>
          <w:p w14:paraId="19670C29" w14:textId="77777777" w:rsidR="00E41A00" w:rsidRPr="00F23786" w:rsidRDefault="00E41A00" w:rsidP="00F23786">
            <w:pPr>
              <w:spacing w:after="0" w:line="280" w:lineRule="atLeast"/>
              <w:rPr>
                <w:rFonts w:cs="Arial"/>
                <w:b/>
                <w:bCs/>
                <w:color w:val="FFFFFF"/>
                <w:sz w:val="22"/>
                <w:szCs w:val="22"/>
              </w:rPr>
            </w:pPr>
            <w:r w:rsidRPr="00F23786">
              <w:rPr>
                <w:rFonts w:cs="Arial"/>
                <w:b/>
                <w:bCs/>
                <w:color w:val="FFFFFF"/>
                <w:sz w:val="22"/>
                <w:szCs w:val="22"/>
              </w:rPr>
              <w:t>Ref. in the Act</w:t>
            </w:r>
          </w:p>
        </w:tc>
        <w:tc>
          <w:tcPr>
            <w:tcW w:w="2835" w:type="dxa"/>
            <w:shd w:val="clear" w:color="000000" w:fill="404040"/>
            <w:hideMark/>
          </w:tcPr>
          <w:p w14:paraId="214A460E" w14:textId="77777777" w:rsidR="00E41A00" w:rsidRPr="00F23786" w:rsidRDefault="00E41A00" w:rsidP="00F23786">
            <w:pPr>
              <w:spacing w:after="0" w:line="280" w:lineRule="atLeast"/>
              <w:rPr>
                <w:rFonts w:cs="Arial"/>
                <w:b/>
                <w:bCs/>
                <w:color w:val="FFFFFF"/>
                <w:sz w:val="22"/>
                <w:szCs w:val="22"/>
              </w:rPr>
            </w:pPr>
            <w:r w:rsidRPr="00F23786">
              <w:rPr>
                <w:rFonts w:cs="Arial"/>
                <w:b/>
                <w:bCs/>
                <w:color w:val="FFFFFF"/>
                <w:sz w:val="22"/>
                <w:szCs w:val="22"/>
              </w:rPr>
              <w:t>Component</w:t>
            </w:r>
          </w:p>
        </w:tc>
        <w:tc>
          <w:tcPr>
            <w:tcW w:w="1162" w:type="dxa"/>
            <w:shd w:val="clear" w:color="000000" w:fill="404040"/>
            <w:vAlign w:val="center"/>
            <w:hideMark/>
          </w:tcPr>
          <w:p w14:paraId="396E53AA" w14:textId="77777777" w:rsidR="00E41A00" w:rsidRPr="00F23786" w:rsidRDefault="00E41A00" w:rsidP="00C57A02">
            <w:pPr>
              <w:spacing w:after="0" w:line="280" w:lineRule="atLeast"/>
              <w:jc w:val="right"/>
              <w:rPr>
                <w:rFonts w:cs="Arial"/>
                <w:b/>
                <w:color w:val="FFFFFF"/>
                <w:sz w:val="22"/>
                <w:szCs w:val="22"/>
              </w:rPr>
            </w:pPr>
            <w:r w:rsidRPr="00F23786">
              <w:rPr>
                <w:rFonts w:cs="Arial"/>
                <w:b/>
                <w:bCs/>
                <w:color w:val="FFFFFF"/>
                <w:sz w:val="22"/>
                <w:szCs w:val="22"/>
              </w:rPr>
              <w:t xml:space="preserve">2022–23 </w:t>
            </w:r>
          </w:p>
          <w:p w14:paraId="588C6CA9" w14:textId="77777777" w:rsidR="00E41A00" w:rsidRPr="00F23786" w:rsidRDefault="00E41A00" w:rsidP="00C57A02">
            <w:pPr>
              <w:spacing w:after="0" w:line="280" w:lineRule="atLeast"/>
              <w:jc w:val="right"/>
              <w:rPr>
                <w:rFonts w:cs="Arial"/>
                <w:b/>
                <w:bCs/>
                <w:color w:val="FFFFFF"/>
                <w:sz w:val="22"/>
                <w:szCs w:val="22"/>
              </w:rPr>
            </w:pPr>
            <w:r w:rsidRPr="00F23786">
              <w:rPr>
                <w:rFonts w:cs="Arial"/>
                <w:b/>
                <w:color w:val="FFFFFF"/>
                <w:sz w:val="22"/>
                <w:szCs w:val="22"/>
              </w:rPr>
              <w:t>($million)</w:t>
            </w:r>
          </w:p>
        </w:tc>
        <w:tc>
          <w:tcPr>
            <w:tcW w:w="1162" w:type="dxa"/>
            <w:shd w:val="clear" w:color="000000" w:fill="404040"/>
            <w:vAlign w:val="center"/>
            <w:hideMark/>
          </w:tcPr>
          <w:p w14:paraId="1E316950" w14:textId="77777777" w:rsidR="00E41A00" w:rsidRPr="00F23786" w:rsidRDefault="00E41A00" w:rsidP="00C57A02">
            <w:pPr>
              <w:spacing w:after="0" w:line="280" w:lineRule="atLeast"/>
              <w:jc w:val="right"/>
              <w:rPr>
                <w:rFonts w:cs="Arial"/>
                <w:b/>
                <w:color w:val="FFFFFF"/>
                <w:sz w:val="22"/>
                <w:szCs w:val="22"/>
              </w:rPr>
            </w:pPr>
            <w:r w:rsidRPr="00F23786">
              <w:rPr>
                <w:rFonts w:cs="Arial"/>
                <w:b/>
                <w:bCs/>
                <w:color w:val="FFFFFF"/>
                <w:sz w:val="22"/>
                <w:szCs w:val="22"/>
              </w:rPr>
              <w:t xml:space="preserve">2021–22 </w:t>
            </w:r>
          </w:p>
          <w:p w14:paraId="68A1D456" w14:textId="77777777" w:rsidR="00E41A00" w:rsidRPr="00F23786" w:rsidRDefault="00E41A00" w:rsidP="00C57A02">
            <w:pPr>
              <w:spacing w:after="0" w:line="280" w:lineRule="atLeast"/>
              <w:jc w:val="right"/>
              <w:rPr>
                <w:rFonts w:cs="Arial"/>
                <w:b/>
                <w:bCs/>
                <w:color w:val="FFFFFF"/>
                <w:sz w:val="22"/>
                <w:szCs w:val="22"/>
              </w:rPr>
            </w:pPr>
            <w:r w:rsidRPr="00F23786">
              <w:rPr>
                <w:rFonts w:cs="Arial"/>
                <w:b/>
                <w:color w:val="FFFFFF"/>
                <w:sz w:val="22"/>
                <w:szCs w:val="22"/>
              </w:rPr>
              <w:t>($million)</w:t>
            </w:r>
          </w:p>
        </w:tc>
        <w:tc>
          <w:tcPr>
            <w:tcW w:w="1163" w:type="dxa"/>
            <w:shd w:val="clear" w:color="000000" w:fill="404040"/>
            <w:vAlign w:val="center"/>
            <w:hideMark/>
          </w:tcPr>
          <w:p w14:paraId="235BE2E0" w14:textId="77777777" w:rsidR="00E41A00" w:rsidRPr="00F23786" w:rsidRDefault="00E41A00" w:rsidP="00C57A02">
            <w:pPr>
              <w:spacing w:after="0" w:line="280" w:lineRule="atLeast"/>
              <w:jc w:val="right"/>
              <w:rPr>
                <w:rFonts w:cs="Arial"/>
                <w:b/>
                <w:color w:val="FFFFFF"/>
                <w:sz w:val="22"/>
                <w:szCs w:val="22"/>
              </w:rPr>
            </w:pPr>
            <w:r w:rsidRPr="00F23786">
              <w:rPr>
                <w:rFonts w:cs="Arial"/>
                <w:b/>
                <w:color w:val="FFFFFF"/>
                <w:sz w:val="22"/>
                <w:szCs w:val="22"/>
              </w:rPr>
              <w:t>2020–21</w:t>
            </w:r>
          </w:p>
          <w:p w14:paraId="171B79FA" w14:textId="77777777" w:rsidR="00E41A00" w:rsidRPr="00F23786" w:rsidRDefault="00E41A00" w:rsidP="00C57A02">
            <w:pPr>
              <w:spacing w:after="0" w:line="280" w:lineRule="atLeast"/>
              <w:jc w:val="right"/>
              <w:rPr>
                <w:rFonts w:cs="Arial"/>
                <w:b/>
                <w:bCs/>
                <w:color w:val="FFFFFF"/>
                <w:sz w:val="22"/>
                <w:szCs w:val="22"/>
              </w:rPr>
            </w:pPr>
            <w:r w:rsidRPr="00F23786">
              <w:rPr>
                <w:rFonts w:cs="Arial"/>
                <w:b/>
                <w:color w:val="FFFFFF"/>
                <w:sz w:val="22"/>
                <w:szCs w:val="22"/>
              </w:rPr>
              <w:t>($million)</w:t>
            </w:r>
          </w:p>
        </w:tc>
        <w:tc>
          <w:tcPr>
            <w:tcW w:w="1162" w:type="dxa"/>
            <w:shd w:val="clear" w:color="000000" w:fill="404040"/>
            <w:vAlign w:val="center"/>
            <w:hideMark/>
          </w:tcPr>
          <w:p w14:paraId="1423340E" w14:textId="77777777" w:rsidR="00E41A00" w:rsidRPr="00F23786" w:rsidRDefault="00E41A00" w:rsidP="00C57A02">
            <w:pPr>
              <w:spacing w:after="0" w:line="280" w:lineRule="atLeast"/>
              <w:jc w:val="right"/>
              <w:rPr>
                <w:rFonts w:cs="Arial"/>
                <w:b/>
                <w:color w:val="FFFFFF"/>
                <w:sz w:val="22"/>
                <w:szCs w:val="22"/>
              </w:rPr>
            </w:pPr>
            <w:r w:rsidRPr="00F23786">
              <w:rPr>
                <w:rFonts w:cs="Arial"/>
                <w:b/>
                <w:color w:val="FFFFFF"/>
                <w:sz w:val="22"/>
                <w:szCs w:val="22"/>
              </w:rPr>
              <w:t>2019–20</w:t>
            </w:r>
          </w:p>
          <w:p w14:paraId="2590B476" w14:textId="77777777" w:rsidR="00E41A00" w:rsidRPr="00F23786" w:rsidRDefault="00E41A00" w:rsidP="00C57A02">
            <w:pPr>
              <w:spacing w:after="0" w:line="280" w:lineRule="atLeast"/>
              <w:jc w:val="right"/>
              <w:rPr>
                <w:rFonts w:cs="Arial"/>
                <w:b/>
                <w:bCs/>
                <w:color w:val="FFFFFF"/>
                <w:sz w:val="22"/>
                <w:szCs w:val="22"/>
              </w:rPr>
            </w:pPr>
            <w:r w:rsidRPr="00F23786">
              <w:rPr>
                <w:rFonts w:cs="Arial"/>
                <w:b/>
                <w:color w:val="FFFFFF"/>
                <w:sz w:val="22"/>
                <w:szCs w:val="22"/>
              </w:rPr>
              <w:t>($million)</w:t>
            </w:r>
          </w:p>
        </w:tc>
        <w:tc>
          <w:tcPr>
            <w:tcW w:w="1163" w:type="dxa"/>
            <w:shd w:val="clear" w:color="000000" w:fill="404040"/>
            <w:vAlign w:val="center"/>
            <w:hideMark/>
          </w:tcPr>
          <w:p w14:paraId="3B67CF43" w14:textId="77777777" w:rsidR="00E41A00" w:rsidRPr="00F23786" w:rsidRDefault="00E41A00" w:rsidP="00C57A02">
            <w:pPr>
              <w:spacing w:after="0" w:line="280" w:lineRule="atLeast"/>
              <w:jc w:val="right"/>
              <w:rPr>
                <w:rFonts w:cs="Arial"/>
                <w:b/>
                <w:color w:val="FFFFFF"/>
                <w:sz w:val="22"/>
                <w:szCs w:val="22"/>
              </w:rPr>
            </w:pPr>
            <w:r w:rsidRPr="00F23786">
              <w:rPr>
                <w:rFonts w:cs="Arial"/>
                <w:b/>
                <w:color w:val="FFFFFF"/>
                <w:sz w:val="22"/>
                <w:szCs w:val="22"/>
              </w:rPr>
              <w:t>2018–19</w:t>
            </w:r>
          </w:p>
          <w:p w14:paraId="18870041" w14:textId="77777777" w:rsidR="00E41A00" w:rsidRPr="00F23786" w:rsidRDefault="00E41A00" w:rsidP="00C57A02">
            <w:pPr>
              <w:spacing w:after="0" w:line="280" w:lineRule="atLeast"/>
              <w:jc w:val="right"/>
              <w:rPr>
                <w:rFonts w:cs="Arial"/>
                <w:b/>
                <w:bCs/>
                <w:color w:val="FFFFFF"/>
                <w:sz w:val="22"/>
                <w:szCs w:val="22"/>
              </w:rPr>
            </w:pPr>
            <w:r w:rsidRPr="00F23786">
              <w:rPr>
                <w:rFonts w:cs="Arial"/>
                <w:b/>
                <w:color w:val="FFFFFF"/>
                <w:sz w:val="22"/>
                <w:szCs w:val="22"/>
              </w:rPr>
              <w:t>($million)</w:t>
            </w:r>
          </w:p>
        </w:tc>
      </w:tr>
      <w:tr w:rsidR="00E01726" w:rsidRPr="00F23786" w14:paraId="20978CAA" w14:textId="77777777" w:rsidTr="00E01726">
        <w:trPr>
          <w:trHeight w:val="459"/>
        </w:trPr>
        <w:tc>
          <w:tcPr>
            <w:tcW w:w="1129" w:type="dxa"/>
            <w:shd w:val="clear" w:color="auto" w:fill="auto"/>
            <w:hideMark/>
          </w:tcPr>
          <w:p w14:paraId="352A2373"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15(1)(a)</w:t>
            </w:r>
          </w:p>
        </w:tc>
        <w:tc>
          <w:tcPr>
            <w:tcW w:w="2835" w:type="dxa"/>
            <w:shd w:val="clear" w:color="auto" w:fill="auto"/>
            <w:hideMark/>
          </w:tcPr>
          <w:p w14:paraId="2C9EC174"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 xml:space="preserve">ACMA telecommunications expenses </w:t>
            </w:r>
          </w:p>
        </w:tc>
        <w:tc>
          <w:tcPr>
            <w:tcW w:w="1162" w:type="dxa"/>
            <w:shd w:val="clear" w:color="auto" w:fill="auto"/>
            <w:vAlign w:val="center"/>
            <w:hideMark/>
          </w:tcPr>
          <w:p w14:paraId="61704E57" w14:textId="77777777" w:rsidR="00E41A00" w:rsidRPr="00F23786" w:rsidRDefault="00E41A00" w:rsidP="00C57A02">
            <w:pPr>
              <w:spacing w:after="0" w:line="280" w:lineRule="atLeast"/>
              <w:jc w:val="right"/>
              <w:rPr>
                <w:rFonts w:cs="Arial"/>
                <w:color w:val="000000"/>
                <w:sz w:val="22"/>
                <w:szCs w:val="22"/>
                <w:highlight w:val="yellow"/>
              </w:rPr>
            </w:pPr>
            <w:r w:rsidRPr="00F23786">
              <w:rPr>
                <w:rFonts w:cs="Arial"/>
                <w:color w:val="000000"/>
                <w:sz w:val="22"/>
                <w:szCs w:val="22"/>
              </w:rPr>
              <w:t>13.641</w:t>
            </w:r>
          </w:p>
        </w:tc>
        <w:tc>
          <w:tcPr>
            <w:tcW w:w="1162" w:type="dxa"/>
            <w:shd w:val="clear" w:color="auto" w:fill="auto"/>
            <w:vAlign w:val="center"/>
            <w:hideMark/>
          </w:tcPr>
          <w:p w14:paraId="2C7A3939"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12.918</w:t>
            </w:r>
          </w:p>
        </w:tc>
        <w:tc>
          <w:tcPr>
            <w:tcW w:w="1163" w:type="dxa"/>
            <w:shd w:val="clear" w:color="auto" w:fill="auto"/>
            <w:vAlign w:val="center"/>
            <w:hideMark/>
          </w:tcPr>
          <w:p w14:paraId="67F1FC79"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14.943</w:t>
            </w:r>
          </w:p>
        </w:tc>
        <w:tc>
          <w:tcPr>
            <w:tcW w:w="1162" w:type="dxa"/>
            <w:shd w:val="clear" w:color="auto" w:fill="auto"/>
            <w:vAlign w:val="center"/>
            <w:hideMark/>
          </w:tcPr>
          <w:p w14:paraId="496F93B6"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14.390</w:t>
            </w:r>
          </w:p>
        </w:tc>
        <w:tc>
          <w:tcPr>
            <w:tcW w:w="1163" w:type="dxa"/>
            <w:shd w:val="clear" w:color="auto" w:fill="auto"/>
            <w:vAlign w:val="center"/>
            <w:hideMark/>
          </w:tcPr>
          <w:p w14:paraId="58827A38"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13.319</w:t>
            </w:r>
          </w:p>
        </w:tc>
      </w:tr>
      <w:tr w:rsidR="00E01726" w:rsidRPr="00F23786" w14:paraId="38196F4C" w14:textId="77777777" w:rsidTr="00E01726">
        <w:trPr>
          <w:trHeight w:val="931"/>
        </w:trPr>
        <w:tc>
          <w:tcPr>
            <w:tcW w:w="1129" w:type="dxa"/>
            <w:shd w:val="clear" w:color="auto" w:fill="auto"/>
            <w:hideMark/>
          </w:tcPr>
          <w:p w14:paraId="70FC12D2"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15(1)(b)</w:t>
            </w:r>
          </w:p>
        </w:tc>
        <w:tc>
          <w:tcPr>
            <w:tcW w:w="2835" w:type="dxa"/>
            <w:shd w:val="clear" w:color="auto" w:fill="auto"/>
            <w:hideMark/>
          </w:tcPr>
          <w:p w14:paraId="116B03EB"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ACCC telecommunications expenses (including the costs for the MBA program)</w:t>
            </w:r>
          </w:p>
        </w:tc>
        <w:tc>
          <w:tcPr>
            <w:tcW w:w="1162" w:type="dxa"/>
            <w:shd w:val="clear" w:color="auto" w:fill="auto"/>
            <w:hideMark/>
          </w:tcPr>
          <w:p w14:paraId="51820B23" w14:textId="77777777" w:rsidR="00E41A00" w:rsidRPr="00F23786" w:rsidRDefault="00E41A00" w:rsidP="00C57A02">
            <w:pPr>
              <w:spacing w:after="0" w:line="280" w:lineRule="atLeast"/>
              <w:jc w:val="right"/>
              <w:rPr>
                <w:rFonts w:cs="Arial"/>
                <w:color w:val="000000"/>
                <w:sz w:val="22"/>
                <w:szCs w:val="22"/>
              </w:rPr>
            </w:pPr>
            <w:r w:rsidRPr="00F23786">
              <w:rPr>
                <w:rFonts w:cs="Arial"/>
                <w:sz w:val="22"/>
                <w:szCs w:val="22"/>
              </w:rPr>
              <w:t>13.042</w:t>
            </w:r>
          </w:p>
        </w:tc>
        <w:tc>
          <w:tcPr>
            <w:tcW w:w="1162" w:type="dxa"/>
            <w:shd w:val="clear" w:color="auto" w:fill="auto"/>
            <w:hideMark/>
          </w:tcPr>
          <w:p w14:paraId="04F22379" w14:textId="77777777" w:rsidR="00E41A00" w:rsidRPr="00F23786" w:rsidRDefault="00E41A00" w:rsidP="00C57A02">
            <w:pPr>
              <w:spacing w:after="0" w:line="280" w:lineRule="atLeast"/>
              <w:jc w:val="right"/>
              <w:rPr>
                <w:rFonts w:cs="Arial"/>
                <w:color w:val="000000"/>
                <w:sz w:val="22"/>
                <w:szCs w:val="22"/>
              </w:rPr>
            </w:pPr>
            <w:r w:rsidRPr="00F23786">
              <w:rPr>
                <w:rFonts w:cs="Arial"/>
                <w:sz w:val="22"/>
                <w:szCs w:val="22"/>
              </w:rPr>
              <w:t>12.049</w:t>
            </w:r>
          </w:p>
        </w:tc>
        <w:tc>
          <w:tcPr>
            <w:tcW w:w="1163" w:type="dxa"/>
            <w:shd w:val="clear" w:color="auto" w:fill="auto"/>
            <w:hideMark/>
          </w:tcPr>
          <w:p w14:paraId="58477FB2" w14:textId="77777777" w:rsidR="00E41A00" w:rsidRPr="00F23786" w:rsidRDefault="00E41A00" w:rsidP="00C57A02">
            <w:pPr>
              <w:spacing w:after="0" w:line="280" w:lineRule="atLeast"/>
              <w:jc w:val="right"/>
              <w:rPr>
                <w:rFonts w:cs="Arial"/>
                <w:color w:val="000000"/>
                <w:sz w:val="22"/>
                <w:szCs w:val="22"/>
              </w:rPr>
            </w:pPr>
            <w:r w:rsidRPr="00F23786">
              <w:rPr>
                <w:rFonts w:cs="Arial"/>
                <w:sz w:val="22"/>
                <w:szCs w:val="22"/>
              </w:rPr>
              <w:t>11.201</w:t>
            </w:r>
          </w:p>
        </w:tc>
        <w:tc>
          <w:tcPr>
            <w:tcW w:w="1162" w:type="dxa"/>
            <w:shd w:val="clear" w:color="auto" w:fill="auto"/>
            <w:hideMark/>
          </w:tcPr>
          <w:p w14:paraId="49FAA5FB" w14:textId="77777777" w:rsidR="00E41A00" w:rsidRPr="00F23786" w:rsidRDefault="00E41A00" w:rsidP="00C57A02">
            <w:pPr>
              <w:spacing w:after="0" w:line="280" w:lineRule="atLeast"/>
              <w:jc w:val="right"/>
              <w:rPr>
                <w:rFonts w:cs="Arial"/>
                <w:color w:val="000000"/>
                <w:sz w:val="22"/>
                <w:szCs w:val="22"/>
              </w:rPr>
            </w:pPr>
            <w:r w:rsidRPr="00F23786">
              <w:rPr>
                <w:rFonts w:cs="Arial"/>
                <w:sz w:val="22"/>
                <w:szCs w:val="22"/>
              </w:rPr>
              <w:t>12.623</w:t>
            </w:r>
          </w:p>
        </w:tc>
        <w:tc>
          <w:tcPr>
            <w:tcW w:w="1163" w:type="dxa"/>
            <w:shd w:val="clear" w:color="auto" w:fill="auto"/>
            <w:hideMark/>
          </w:tcPr>
          <w:p w14:paraId="2FBE719D" w14:textId="77777777" w:rsidR="00E41A00" w:rsidRPr="00F23786" w:rsidRDefault="00E41A00" w:rsidP="00C57A02">
            <w:pPr>
              <w:spacing w:after="0" w:line="280" w:lineRule="atLeast"/>
              <w:jc w:val="right"/>
              <w:rPr>
                <w:rFonts w:cs="Arial"/>
                <w:color w:val="000000"/>
                <w:sz w:val="22"/>
                <w:szCs w:val="22"/>
              </w:rPr>
            </w:pPr>
            <w:r w:rsidRPr="00F23786">
              <w:rPr>
                <w:rFonts w:cs="Arial"/>
                <w:sz w:val="22"/>
                <w:szCs w:val="22"/>
              </w:rPr>
              <w:t>11.878</w:t>
            </w:r>
          </w:p>
        </w:tc>
      </w:tr>
      <w:tr w:rsidR="00E01726" w:rsidRPr="00F23786" w14:paraId="4C82EC75" w14:textId="77777777" w:rsidTr="00E01726">
        <w:trPr>
          <w:trHeight w:val="459"/>
        </w:trPr>
        <w:tc>
          <w:tcPr>
            <w:tcW w:w="1129" w:type="dxa"/>
            <w:shd w:val="clear" w:color="auto" w:fill="auto"/>
            <w:hideMark/>
          </w:tcPr>
          <w:p w14:paraId="42CF9997"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15(1)(c)</w:t>
            </w:r>
          </w:p>
        </w:tc>
        <w:tc>
          <w:tcPr>
            <w:tcW w:w="2835" w:type="dxa"/>
            <w:shd w:val="clear" w:color="auto" w:fill="auto"/>
            <w:hideMark/>
          </w:tcPr>
          <w:p w14:paraId="31440DAC"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Commonwealth’s ITU contribution</w:t>
            </w:r>
          </w:p>
        </w:tc>
        <w:tc>
          <w:tcPr>
            <w:tcW w:w="1162" w:type="dxa"/>
            <w:shd w:val="clear" w:color="auto" w:fill="auto"/>
            <w:vAlign w:val="center"/>
            <w:hideMark/>
          </w:tcPr>
          <w:p w14:paraId="1ACD54D5"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3.266</w:t>
            </w:r>
          </w:p>
        </w:tc>
        <w:tc>
          <w:tcPr>
            <w:tcW w:w="1162" w:type="dxa"/>
            <w:shd w:val="clear" w:color="auto" w:fill="auto"/>
            <w:vAlign w:val="center"/>
            <w:hideMark/>
          </w:tcPr>
          <w:p w14:paraId="523C1E95"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3.043</w:t>
            </w:r>
          </w:p>
        </w:tc>
        <w:tc>
          <w:tcPr>
            <w:tcW w:w="1163" w:type="dxa"/>
            <w:shd w:val="clear" w:color="auto" w:fill="auto"/>
            <w:vAlign w:val="center"/>
            <w:hideMark/>
          </w:tcPr>
          <w:p w14:paraId="676E249A"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3.153</w:t>
            </w:r>
          </w:p>
        </w:tc>
        <w:tc>
          <w:tcPr>
            <w:tcW w:w="1162" w:type="dxa"/>
            <w:shd w:val="clear" w:color="auto" w:fill="auto"/>
            <w:vAlign w:val="center"/>
            <w:hideMark/>
          </w:tcPr>
          <w:p w14:paraId="077F060F"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2.149</w:t>
            </w:r>
          </w:p>
        </w:tc>
        <w:tc>
          <w:tcPr>
            <w:tcW w:w="1163" w:type="dxa"/>
            <w:shd w:val="clear" w:color="auto" w:fill="auto"/>
            <w:vAlign w:val="center"/>
            <w:hideMark/>
          </w:tcPr>
          <w:p w14:paraId="2F182652"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2.030</w:t>
            </w:r>
          </w:p>
        </w:tc>
      </w:tr>
      <w:tr w:rsidR="00E01726" w:rsidRPr="00F23786" w14:paraId="7DD202C5" w14:textId="77777777" w:rsidTr="00E01726">
        <w:trPr>
          <w:trHeight w:val="931"/>
        </w:trPr>
        <w:tc>
          <w:tcPr>
            <w:tcW w:w="1129" w:type="dxa"/>
            <w:shd w:val="clear" w:color="auto" w:fill="auto"/>
            <w:hideMark/>
          </w:tcPr>
          <w:p w14:paraId="55B62815"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w:t>
            </w:r>
            <w:proofErr w:type="gramStart"/>
            <w:r w:rsidRPr="00F23786">
              <w:rPr>
                <w:rFonts w:cs="Arial"/>
                <w:color w:val="000000"/>
                <w:sz w:val="22"/>
                <w:szCs w:val="22"/>
              </w:rPr>
              <w:t>1)(</w:t>
            </w:r>
            <w:proofErr w:type="gramEnd"/>
            <w:r w:rsidRPr="00F23786">
              <w:rPr>
                <w:rFonts w:cs="Arial"/>
                <w:color w:val="000000"/>
                <w:sz w:val="22"/>
                <w:szCs w:val="22"/>
              </w:rPr>
              <w:t>ca)</w:t>
            </w:r>
          </w:p>
        </w:tc>
        <w:tc>
          <w:tcPr>
            <w:tcW w:w="2835" w:type="dxa"/>
            <w:shd w:val="clear" w:color="auto" w:fill="auto"/>
            <w:hideMark/>
          </w:tcPr>
          <w:p w14:paraId="482C96D4"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Amounts reimbursed to industry groups for development or variation of consumer protection related industry codes</w:t>
            </w:r>
          </w:p>
        </w:tc>
        <w:tc>
          <w:tcPr>
            <w:tcW w:w="1162" w:type="dxa"/>
            <w:shd w:val="clear" w:color="auto" w:fill="auto"/>
            <w:vAlign w:val="center"/>
            <w:hideMark/>
          </w:tcPr>
          <w:p w14:paraId="71A31DC0" w14:textId="77777777" w:rsidR="00E41A00" w:rsidRPr="00F23786" w:rsidRDefault="00E41A00" w:rsidP="00C57A02">
            <w:pPr>
              <w:spacing w:after="0" w:line="280" w:lineRule="atLeast"/>
              <w:jc w:val="right"/>
              <w:rPr>
                <w:rFonts w:cs="Arial"/>
                <w:color w:val="000000"/>
                <w:sz w:val="22"/>
                <w:szCs w:val="22"/>
              </w:rPr>
            </w:pPr>
            <w:r w:rsidRPr="00F23786" w:rsidDel="002079AD">
              <w:rPr>
                <w:rFonts w:cs="Arial"/>
                <w:color w:val="000000"/>
                <w:sz w:val="22"/>
                <w:szCs w:val="22"/>
              </w:rPr>
              <w:t>0.000</w:t>
            </w:r>
          </w:p>
        </w:tc>
        <w:tc>
          <w:tcPr>
            <w:tcW w:w="1162" w:type="dxa"/>
            <w:shd w:val="clear" w:color="auto" w:fill="auto"/>
            <w:vAlign w:val="center"/>
            <w:hideMark/>
          </w:tcPr>
          <w:p w14:paraId="19B94DAE"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0.000</w:t>
            </w:r>
          </w:p>
        </w:tc>
        <w:tc>
          <w:tcPr>
            <w:tcW w:w="1163" w:type="dxa"/>
            <w:shd w:val="clear" w:color="auto" w:fill="auto"/>
            <w:vAlign w:val="center"/>
            <w:hideMark/>
          </w:tcPr>
          <w:p w14:paraId="74E5DAA8"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0.000</w:t>
            </w:r>
          </w:p>
        </w:tc>
        <w:tc>
          <w:tcPr>
            <w:tcW w:w="1162" w:type="dxa"/>
            <w:shd w:val="clear" w:color="auto" w:fill="auto"/>
            <w:vAlign w:val="center"/>
            <w:hideMark/>
          </w:tcPr>
          <w:p w14:paraId="3102660E"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0.165</w:t>
            </w:r>
          </w:p>
        </w:tc>
        <w:tc>
          <w:tcPr>
            <w:tcW w:w="1163" w:type="dxa"/>
            <w:shd w:val="clear" w:color="auto" w:fill="auto"/>
            <w:vAlign w:val="center"/>
            <w:hideMark/>
          </w:tcPr>
          <w:p w14:paraId="4411E6DA" w14:textId="77777777" w:rsidR="00E41A00" w:rsidRPr="00F23786" w:rsidRDefault="00E41A00" w:rsidP="00C57A02">
            <w:pPr>
              <w:spacing w:after="0" w:line="280" w:lineRule="atLeast"/>
              <w:jc w:val="right"/>
              <w:rPr>
                <w:rFonts w:cs="Arial"/>
                <w:color w:val="000000"/>
                <w:sz w:val="22"/>
                <w:szCs w:val="22"/>
              </w:rPr>
            </w:pPr>
            <w:r w:rsidRPr="00F23786" w:rsidDel="002079AD">
              <w:rPr>
                <w:rFonts w:cs="Arial"/>
                <w:color w:val="000000"/>
                <w:sz w:val="22"/>
                <w:szCs w:val="22"/>
              </w:rPr>
              <w:t>0.000</w:t>
            </w:r>
          </w:p>
        </w:tc>
      </w:tr>
      <w:tr w:rsidR="00E01726" w:rsidRPr="00F23786" w14:paraId="0F5ED7C8" w14:textId="77777777" w:rsidTr="00E01726">
        <w:trPr>
          <w:trHeight w:val="695"/>
        </w:trPr>
        <w:tc>
          <w:tcPr>
            <w:tcW w:w="1129" w:type="dxa"/>
            <w:shd w:val="clear" w:color="auto" w:fill="auto"/>
            <w:hideMark/>
          </w:tcPr>
          <w:p w14:paraId="7CC14E00"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15(1)(d)</w:t>
            </w:r>
          </w:p>
        </w:tc>
        <w:tc>
          <w:tcPr>
            <w:tcW w:w="2835" w:type="dxa"/>
            <w:shd w:val="clear" w:color="auto" w:fill="auto"/>
            <w:hideMark/>
          </w:tcPr>
          <w:p w14:paraId="1EDA61BE"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 xml:space="preserve">Estimated government grants </w:t>
            </w:r>
            <w:r w:rsidRPr="00F23786">
              <w:rPr>
                <w:rFonts w:cs="Arial"/>
                <w:iCs/>
                <w:sz w:val="22"/>
                <w:szCs w:val="22"/>
              </w:rPr>
              <w:t xml:space="preserve">– </w:t>
            </w:r>
            <w:r w:rsidRPr="00F23786">
              <w:rPr>
                <w:rFonts w:cs="Arial"/>
                <w:color w:val="000000"/>
                <w:sz w:val="22"/>
                <w:szCs w:val="22"/>
              </w:rPr>
              <w:t>consumer representation and research</w:t>
            </w:r>
          </w:p>
        </w:tc>
        <w:tc>
          <w:tcPr>
            <w:tcW w:w="1162" w:type="dxa"/>
            <w:shd w:val="clear" w:color="auto" w:fill="auto"/>
            <w:vAlign w:val="center"/>
            <w:hideMark/>
          </w:tcPr>
          <w:p w14:paraId="3AE486B9"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2.488</w:t>
            </w:r>
          </w:p>
        </w:tc>
        <w:tc>
          <w:tcPr>
            <w:tcW w:w="1162" w:type="dxa"/>
            <w:shd w:val="clear" w:color="auto" w:fill="auto"/>
            <w:vAlign w:val="center"/>
            <w:hideMark/>
          </w:tcPr>
          <w:p w14:paraId="6C1132BB"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2.381</w:t>
            </w:r>
          </w:p>
        </w:tc>
        <w:tc>
          <w:tcPr>
            <w:tcW w:w="1163" w:type="dxa"/>
            <w:shd w:val="clear" w:color="auto" w:fill="auto"/>
            <w:vAlign w:val="center"/>
            <w:hideMark/>
          </w:tcPr>
          <w:p w14:paraId="6AD433BB"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2.358</w:t>
            </w:r>
          </w:p>
        </w:tc>
        <w:tc>
          <w:tcPr>
            <w:tcW w:w="1162" w:type="dxa"/>
            <w:shd w:val="clear" w:color="auto" w:fill="auto"/>
            <w:vAlign w:val="center"/>
            <w:hideMark/>
          </w:tcPr>
          <w:p w14:paraId="69D17A40"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2.322</w:t>
            </w:r>
          </w:p>
        </w:tc>
        <w:tc>
          <w:tcPr>
            <w:tcW w:w="1163" w:type="dxa"/>
            <w:shd w:val="clear" w:color="auto" w:fill="auto"/>
            <w:vAlign w:val="center"/>
            <w:hideMark/>
          </w:tcPr>
          <w:p w14:paraId="244BEA0E"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2.296</w:t>
            </w:r>
          </w:p>
        </w:tc>
      </w:tr>
      <w:tr w:rsidR="00E01726" w:rsidRPr="00F23786" w14:paraId="46FDA4C3" w14:textId="77777777" w:rsidTr="00E01726">
        <w:trPr>
          <w:trHeight w:val="224"/>
        </w:trPr>
        <w:tc>
          <w:tcPr>
            <w:tcW w:w="3964" w:type="dxa"/>
            <w:gridSpan w:val="2"/>
            <w:shd w:val="clear" w:color="000000" w:fill="D9D9D9"/>
            <w:hideMark/>
          </w:tcPr>
          <w:p w14:paraId="4488CC14" w14:textId="77777777" w:rsidR="00E41A00" w:rsidRPr="00F23786" w:rsidRDefault="00E41A00" w:rsidP="00F23786">
            <w:pPr>
              <w:spacing w:after="0" w:line="280" w:lineRule="atLeast"/>
              <w:rPr>
                <w:rFonts w:cs="Arial"/>
                <w:b/>
                <w:bCs/>
                <w:color w:val="000000"/>
                <w:sz w:val="22"/>
                <w:szCs w:val="22"/>
              </w:rPr>
            </w:pPr>
            <w:r w:rsidRPr="00F23786">
              <w:rPr>
                <w:rFonts w:cs="Arial"/>
                <w:b/>
                <w:bCs/>
                <w:color w:val="000000"/>
                <w:sz w:val="22"/>
                <w:szCs w:val="22"/>
              </w:rPr>
              <w:t>Total expenses</w:t>
            </w:r>
          </w:p>
        </w:tc>
        <w:tc>
          <w:tcPr>
            <w:tcW w:w="1162" w:type="dxa"/>
            <w:shd w:val="clear" w:color="000000" w:fill="D9D9D9"/>
            <w:vAlign w:val="center"/>
            <w:hideMark/>
          </w:tcPr>
          <w:p w14:paraId="4F09EC7D" w14:textId="77777777" w:rsidR="00E41A00" w:rsidRPr="00F23786" w:rsidRDefault="00E41A00" w:rsidP="00C57A02">
            <w:pPr>
              <w:spacing w:after="0" w:line="280" w:lineRule="atLeast"/>
              <w:jc w:val="right"/>
              <w:rPr>
                <w:rFonts w:cs="Arial"/>
                <w:b/>
                <w:color w:val="000000"/>
                <w:sz w:val="22"/>
                <w:szCs w:val="22"/>
              </w:rPr>
            </w:pPr>
            <w:r w:rsidRPr="00F23786">
              <w:rPr>
                <w:rFonts w:cs="Arial"/>
                <w:b/>
                <w:bCs/>
                <w:color w:val="000000"/>
                <w:sz w:val="22"/>
                <w:szCs w:val="22"/>
              </w:rPr>
              <w:t>32.437</w:t>
            </w:r>
          </w:p>
        </w:tc>
        <w:tc>
          <w:tcPr>
            <w:tcW w:w="1162" w:type="dxa"/>
            <w:shd w:val="clear" w:color="000000" w:fill="D9D9D9"/>
            <w:vAlign w:val="center"/>
            <w:hideMark/>
          </w:tcPr>
          <w:p w14:paraId="4AC24D5A" w14:textId="77777777" w:rsidR="00E41A00" w:rsidRPr="00F23786" w:rsidRDefault="00E41A00" w:rsidP="00C57A02">
            <w:pPr>
              <w:spacing w:after="0" w:line="280" w:lineRule="atLeast"/>
              <w:jc w:val="right"/>
              <w:rPr>
                <w:rFonts w:cs="Arial"/>
                <w:b/>
                <w:color w:val="000000"/>
                <w:sz w:val="22"/>
                <w:szCs w:val="22"/>
              </w:rPr>
            </w:pPr>
            <w:r w:rsidRPr="00F23786">
              <w:rPr>
                <w:rFonts w:cs="Arial"/>
                <w:b/>
                <w:bCs/>
                <w:color w:val="000000"/>
                <w:sz w:val="22"/>
                <w:szCs w:val="22"/>
              </w:rPr>
              <w:t>30.391</w:t>
            </w:r>
          </w:p>
        </w:tc>
        <w:tc>
          <w:tcPr>
            <w:tcW w:w="1163" w:type="dxa"/>
            <w:shd w:val="clear" w:color="000000" w:fill="D9D9D9"/>
            <w:vAlign w:val="center"/>
            <w:hideMark/>
          </w:tcPr>
          <w:p w14:paraId="1B1E5CA6" w14:textId="77777777" w:rsidR="00E41A00" w:rsidRPr="00F23786" w:rsidRDefault="00E41A00" w:rsidP="00C57A02">
            <w:pPr>
              <w:spacing w:after="0" w:line="280" w:lineRule="atLeast"/>
              <w:jc w:val="right"/>
              <w:rPr>
                <w:rFonts w:cs="Arial"/>
                <w:b/>
                <w:color w:val="000000"/>
                <w:sz w:val="22"/>
                <w:szCs w:val="22"/>
              </w:rPr>
            </w:pPr>
            <w:r w:rsidRPr="00F23786">
              <w:rPr>
                <w:rFonts w:cs="Arial"/>
                <w:b/>
                <w:bCs/>
                <w:color w:val="000000"/>
                <w:sz w:val="22"/>
                <w:szCs w:val="22"/>
              </w:rPr>
              <w:t>31.655</w:t>
            </w:r>
          </w:p>
        </w:tc>
        <w:tc>
          <w:tcPr>
            <w:tcW w:w="1162" w:type="dxa"/>
            <w:shd w:val="clear" w:color="000000" w:fill="D9D9D9"/>
            <w:vAlign w:val="center"/>
            <w:hideMark/>
          </w:tcPr>
          <w:p w14:paraId="76D515CE" w14:textId="77777777" w:rsidR="00E41A00" w:rsidRPr="00F23786" w:rsidRDefault="00E41A00" w:rsidP="00C57A02">
            <w:pPr>
              <w:spacing w:after="0" w:line="280" w:lineRule="atLeast"/>
              <w:jc w:val="right"/>
              <w:rPr>
                <w:rFonts w:cs="Arial"/>
                <w:b/>
                <w:color w:val="000000"/>
                <w:sz w:val="22"/>
                <w:szCs w:val="22"/>
              </w:rPr>
            </w:pPr>
            <w:r w:rsidRPr="00F23786">
              <w:rPr>
                <w:rFonts w:cs="Arial"/>
                <w:b/>
                <w:bCs/>
                <w:color w:val="000000"/>
                <w:sz w:val="22"/>
                <w:szCs w:val="22"/>
              </w:rPr>
              <w:t>31.649</w:t>
            </w:r>
          </w:p>
        </w:tc>
        <w:tc>
          <w:tcPr>
            <w:tcW w:w="1163" w:type="dxa"/>
            <w:shd w:val="clear" w:color="000000" w:fill="D9D9D9"/>
            <w:vAlign w:val="center"/>
            <w:hideMark/>
          </w:tcPr>
          <w:p w14:paraId="67B2874E" w14:textId="77777777" w:rsidR="00E41A00" w:rsidRPr="00F23786" w:rsidRDefault="00E41A00" w:rsidP="00C57A02">
            <w:pPr>
              <w:spacing w:after="0" w:line="280" w:lineRule="atLeast"/>
              <w:jc w:val="right"/>
              <w:rPr>
                <w:rFonts w:cs="Arial"/>
                <w:b/>
                <w:color w:val="000000"/>
                <w:sz w:val="22"/>
                <w:szCs w:val="22"/>
              </w:rPr>
            </w:pPr>
            <w:r w:rsidRPr="00F23786">
              <w:rPr>
                <w:rFonts w:cs="Arial"/>
                <w:b/>
                <w:bCs/>
                <w:color w:val="000000"/>
                <w:sz w:val="22"/>
                <w:szCs w:val="22"/>
              </w:rPr>
              <w:t>29.523</w:t>
            </w:r>
          </w:p>
        </w:tc>
      </w:tr>
      <w:tr w:rsidR="00E01726" w:rsidRPr="00F23786" w14:paraId="0112F755" w14:textId="77777777" w:rsidTr="00E01726">
        <w:trPr>
          <w:trHeight w:val="459"/>
        </w:trPr>
        <w:tc>
          <w:tcPr>
            <w:tcW w:w="1129" w:type="dxa"/>
            <w:shd w:val="clear" w:color="auto" w:fill="auto"/>
            <w:hideMark/>
          </w:tcPr>
          <w:p w14:paraId="0BA69620"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15(1)(a)</w:t>
            </w:r>
          </w:p>
        </w:tc>
        <w:tc>
          <w:tcPr>
            <w:tcW w:w="2835" w:type="dxa"/>
            <w:shd w:val="clear" w:color="auto" w:fill="auto"/>
            <w:hideMark/>
          </w:tcPr>
          <w:p w14:paraId="10D9EF78"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ACMA telecommunications revenue</w:t>
            </w:r>
          </w:p>
        </w:tc>
        <w:tc>
          <w:tcPr>
            <w:tcW w:w="1162" w:type="dxa"/>
            <w:shd w:val="clear" w:color="auto" w:fill="auto"/>
            <w:vAlign w:val="center"/>
            <w:hideMark/>
          </w:tcPr>
          <w:p w14:paraId="13C477A8" w14:textId="77777777" w:rsidR="00E41A00" w:rsidRPr="00F23786" w:rsidRDefault="00E41A00" w:rsidP="00C57A02">
            <w:pPr>
              <w:spacing w:after="0" w:line="280" w:lineRule="atLeast"/>
              <w:jc w:val="right"/>
              <w:rPr>
                <w:rFonts w:cs="Arial"/>
                <w:color w:val="000000"/>
                <w:sz w:val="22"/>
                <w:szCs w:val="22"/>
                <w:highlight w:val="yellow"/>
              </w:rPr>
            </w:pPr>
            <w:r w:rsidRPr="00F23786">
              <w:rPr>
                <w:rFonts w:cs="Arial"/>
                <w:color w:val="000000"/>
                <w:sz w:val="22"/>
                <w:szCs w:val="22"/>
              </w:rPr>
              <w:t>12.918</w:t>
            </w:r>
          </w:p>
        </w:tc>
        <w:tc>
          <w:tcPr>
            <w:tcW w:w="1162" w:type="dxa"/>
            <w:shd w:val="clear" w:color="auto" w:fill="auto"/>
            <w:vAlign w:val="center"/>
            <w:hideMark/>
          </w:tcPr>
          <w:p w14:paraId="732F302F" w14:textId="77777777" w:rsidR="00E41A00" w:rsidRPr="00F23786" w:rsidRDefault="00E41A00" w:rsidP="00C57A02">
            <w:pPr>
              <w:spacing w:after="0" w:line="280" w:lineRule="atLeast"/>
              <w:jc w:val="right"/>
              <w:rPr>
                <w:rFonts w:cs="Arial"/>
                <w:color w:val="000000"/>
                <w:sz w:val="22"/>
                <w:szCs w:val="22"/>
                <w:highlight w:val="yellow"/>
              </w:rPr>
            </w:pPr>
            <w:r w:rsidRPr="00F23786">
              <w:rPr>
                <w:rFonts w:cs="Arial"/>
                <w:color w:val="000000"/>
                <w:sz w:val="22"/>
                <w:szCs w:val="22"/>
              </w:rPr>
              <w:t>14.943</w:t>
            </w:r>
          </w:p>
        </w:tc>
        <w:tc>
          <w:tcPr>
            <w:tcW w:w="1163" w:type="dxa"/>
            <w:shd w:val="clear" w:color="auto" w:fill="auto"/>
            <w:vAlign w:val="center"/>
            <w:hideMark/>
          </w:tcPr>
          <w:p w14:paraId="74587834" w14:textId="77777777" w:rsidR="00E41A00" w:rsidRPr="00F23786" w:rsidRDefault="00E41A00" w:rsidP="00C57A02">
            <w:pPr>
              <w:spacing w:after="0" w:line="280" w:lineRule="atLeast"/>
              <w:jc w:val="right"/>
              <w:rPr>
                <w:rFonts w:cs="Arial"/>
                <w:color w:val="000000"/>
                <w:sz w:val="22"/>
                <w:szCs w:val="22"/>
                <w:highlight w:val="yellow"/>
              </w:rPr>
            </w:pPr>
            <w:r w:rsidRPr="00F23786">
              <w:rPr>
                <w:rFonts w:cs="Arial"/>
                <w:color w:val="000000"/>
                <w:sz w:val="22"/>
                <w:szCs w:val="22"/>
              </w:rPr>
              <w:t>14.390</w:t>
            </w:r>
          </w:p>
        </w:tc>
        <w:tc>
          <w:tcPr>
            <w:tcW w:w="1162" w:type="dxa"/>
            <w:shd w:val="clear" w:color="auto" w:fill="auto"/>
            <w:vAlign w:val="center"/>
            <w:hideMark/>
          </w:tcPr>
          <w:p w14:paraId="010849EC" w14:textId="77777777" w:rsidR="00E41A00" w:rsidRPr="00F23786" w:rsidRDefault="00E41A00" w:rsidP="00C57A02">
            <w:pPr>
              <w:spacing w:after="0" w:line="280" w:lineRule="atLeast"/>
              <w:jc w:val="right"/>
              <w:rPr>
                <w:rFonts w:cs="Arial"/>
                <w:color w:val="000000"/>
                <w:sz w:val="22"/>
                <w:szCs w:val="22"/>
                <w:highlight w:val="yellow"/>
              </w:rPr>
            </w:pPr>
            <w:r w:rsidRPr="00F23786">
              <w:rPr>
                <w:rFonts w:cs="Arial"/>
                <w:color w:val="000000"/>
                <w:sz w:val="22"/>
                <w:szCs w:val="22"/>
              </w:rPr>
              <w:t>13.319</w:t>
            </w:r>
          </w:p>
        </w:tc>
        <w:tc>
          <w:tcPr>
            <w:tcW w:w="1163" w:type="dxa"/>
            <w:shd w:val="clear" w:color="auto" w:fill="auto"/>
            <w:vAlign w:val="center"/>
            <w:hideMark/>
          </w:tcPr>
          <w:p w14:paraId="36088CEC" w14:textId="77777777" w:rsidR="00E41A00" w:rsidRPr="00F23786" w:rsidRDefault="00E41A00" w:rsidP="00C57A02">
            <w:pPr>
              <w:spacing w:after="0" w:line="280" w:lineRule="atLeast"/>
              <w:jc w:val="right"/>
              <w:rPr>
                <w:rFonts w:cs="Arial"/>
                <w:color w:val="000000"/>
                <w:sz w:val="22"/>
                <w:szCs w:val="22"/>
                <w:highlight w:val="yellow"/>
              </w:rPr>
            </w:pPr>
            <w:r w:rsidRPr="00F23786">
              <w:rPr>
                <w:rFonts w:cs="Arial"/>
                <w:color w:val="000000"/>
                <w:sz w:val="22"/>
                <w:szCs w:val="22"/>
              </w:rPr>
              <w:t>13.398</w:t>
            </w:r>
          </w:p>
        </w:tc>
      </w:tr>
      <w:tr w:rsidR="00E01726" w:rsidRPr="00F23786" w14:paraId="0F570804" w14:textId="77777777" w:rsidTr="00E01726">
        <w:trPr>
          <w:trHeight w:val="931"/>
        </w:trPr>
        <w:tc>
          <w:tcPr>
            <w:tcW w:w="1129" w:type="dxa"/>
            <w:shd w:val="clear" w:color="auto" w:fill="auto"/>
            <w:hideMark/>
          </w:tcPr>
          <w:p w14:paraId="4FA71C4B"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15(1)(b)</w:t>
            </w:r>
          </w:p>
        </w:tc>
        <w:tc>
          <w:tcPr>
            <w:tcW w:w="2835" w:type="dxa"/>
            <w:shd w:val="clear" w:color="auto" w:fill="auto"/>
            <w:hideMark/>
          </w:tcPr>
          <w:p w14:paraId="58F54DBA"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ACCC telecommunications revenue (including the revenue for the MBA program since 2017</w:t>
            </w:r>
            <w:r w:rsidRPr="00F23786">
              <w:rPr>
                <w:rFonts w:cs="Arial"/>
                <w:iCs/>
                <w:sz w:val="22"/>
                <w:szCs w:val="22"/>
              </w:rPr>
              <w:t>–</w:t>
            </w:r>
            <w:r w:rsidRPr="00F23786">
              <w:rPr>
                <w:rFonts w:cs="Arial"/>
                <w:color w:val="000000"/>
                <w:sz w:val="22"/>
                <w:szCs w:val="22"/>
              </w:rPr>
              <w:t>18)</w:t>
            </w:r>
          </w:p>
        </w:tc>
        <w:tc>
          <w:tcPr>
            <w:tcW w:w="1162" w:type="dxa"/>
            <w:shd w:val="clear" w:color="auto" w:fill="auto"/>
            <w:hideMark/>
          </w:tcPr>
          <w:p w14:paraId="55B3ADC3" w14:textId="77777777" w:rsidR="00E41A00" w:rsidRPr="00F23786" w:rsidRDefault="00E41A00" w:rsidP="00C57A02">
            <w:pPr>
              <w:spacing w:after="0" w:line="280" w:lineRule="atLeast"/>
              <w:jc w:val="right"/>
              <w:rPr>
                <w:rFonts w:cs="Arial"/>
                <w:color w:val="000000"/>
                <w:sz w:val="22"/>
                <w:szCs w:val="22"/>
              </w:rPr>
            </w:pPr>
            <w:r w:rsidRPr="00F23786">
              <w:rPr>
                <w:rFonts w:cs="Arial"/>
                <w:sz w:val="22"/>
                <w:szCs w:val="22"/>
              </w:rPr>
              <w:t>12.049</w:t>
            </w:r>
          </w:p>
        </w:tc>
        <w:tc>
          <w:tcPr>
            <w:tcW w:w="1162" w:type="dxa"/>
            <w:shd w:val="clear" w:color="auto" w:fill="auto"/>
            <w:hideMark/>
          </w:tcPr>
          <w:p w14:paraId="691DFFD5" w14:textId="77777777" w:rsidR="00E41A00" w:rsidRPr="00F23786" w:rsidRDefault="00E41A00" w:rsidP="00C57A02">
            <w:pPr>
              <w:spacing w:after="0" w:line="280" w:lineRule="atLeast"/>
              <w:jc w:val="right"/>
              <w:rPr>
                <w:rFonts w:cs="Arial"/>
                <w:color w:val="000000"/>
                <w:sz w:val="22"/>
                <w:szCs w:val="22"/>
              </w:rPr>
            </w:pPr>
            <w:r w:rsidRPr="00F23786">
              <w:rPr>
                <w:rFonts w:cs="Arial"/>
                <w:sz w:val="22"/>
                <w:szCs w:val="22"/>
              </w:rPr>
              <w:t>11.201</w:t>
            </w:r>
          </w:p>
        </w:tc>
        <w:tc>
          <w:tcPr>
            <w:tcW w:w="1163" w:type="dxa"/>
            <w:shd w:val="clear" w:color="auto" w:fill="auto"/>
            <w:hideMark/>
          </w:tcPr>
          <w:p w14:paraId="3EEC8118" w14:textId="77777777" w:rsidR="00E41A00" w:rsidRPr="00F23786" w:rsidRDefault="00E41A00" w:rsidP="00C57A02">
            <w:pPr>
              <w:spacing w:after="0" w:line="280" w:lineRule="atLeast"/>
              <w:jc w:val="right"/>
              <w:rPr>
                <w:rFonts w:cs="Arial"/>
                <w:color w:val="000000"/>
                <w:sz w:val="22"/>
                <w:szCs w:val="22"/>
              </w:rPr>
            </w:pPr>
            <w:r w:rsidRPr="00F23786">
              <w:rPr>
                <w:rFonts w:cs="Arial"/>
                <w:sz w:val="22"/>
                <w:szCs w:val="22"/>
              </w:rPr>
              <w:t>12.623</w:t>
            </w:r>
          </w:p>
        </w:tc>
        <w:tc>
          <w:tcPr>
            <w:tcW w:w="1162" w:type="dxa"/>
            <w:shd w:val="clear" w:color="auto" w:fill="auto"/>
            <w:hideMark/>
          </w:tcPr>
          <w:p w14:paraId="12215315" w14:textId="77777777" w:rsidR="00E41A00" w:rsidRPr="00F23786" w:rsidRDefault="00E41A00" w:rsidP="00C57A02">
            <w:pPr>
              <w:spacing w:after="0" w:line="280" w:lineRule="atLeast"/>
              <w:jc w:val="right"/>
              <w:rPr>
                <w:rFonts w:cs="Arial"/>
                <w:color w:val="000000"/>
                <w:sz w:val="22"/>
                <w:szCs w:val="22"/>
              </w:rPr>
            </w:pPr>
            <w:r w:rsidRPr="00F23786">
              <w:rPr>
                <w:rFonts w:cs="Arial"/>
                <w:sz w:val="22"/>
                <w:szCs w:val="22"/>
              </w:rPr>
              <w:t>11.878</w:t>
            </w:r>
          </w:p>
        </w:tc>
        <w:tc>
          <w:tcPr>
            <w:tcW w:w="1163" w:type="dxa"/>
            <w:shd w:val="clear" w:color="auto" w:fill="auto"/>
            <w:hideMark/>
          </w:tcPr>
          <w:p w14:paraId="237D0C8B" w14:textId="77777777" w:rsidR="00E41A00" w:rsidRPr="00F23786" w:rsidRDefault="00E41A00" w:rsidP="00C57A02">
            <w:pPr>
              <w:spacing w:after="0" w:line="280" w:lineRule="atLeast"/>
              <w:jc w:val="right"/>
              <w:rPr>
                <w:rFonts w:cs="Arial"/>
                <w:color w:val="000000"/>
                <w:sz w:val="22"/>
                <w:szCs w:val="22"/>
              </w:rPr>
            </w:pPr>
            <w:r w:rsidRPr="00F23786">
              <w:rPr>
                <w:rFonts w:cs="Arial"/>
                <w:sz w:val="22"/>
                <w:szCs w:val="22"/>
              </w:rPr>
              <w:t>13.296</w:t>
            </w:r>
          </w:p>
        </w:tc>
      </w:tr>
      <w:tr w:rsidR="00E01726" w:rsidRPr="00F23786" w14:paraId="132700C8" w14:textId="77777777" w:rsidTr="00E01726">
        <w:trPr>
          <w:trHeight w:val="459"/>
        </w:trPr>
        <w:tc>
          <w:tcPr>
            <w:tcW w:w="1129" w:type="dxa"/>
            <w:shd w:val="clear" w:color="auto" w:fill="auto"/>
            <w:hideMark/>
          </w:tcPr>
          <w:p w14:paraId="18DB3AED"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15(1)(c)</w:t>
            </w:r>
          </w:p>
        </w:tc>
        <w:tc>
          <w:tcPr>
            <w:tcW w:w="2835" w:type="dxa"/>
            <w:shd w:val="clear" w:color="auto" w:fill="auto"/>
            <w:hideMark/>
          </w:tcPr>
          <w:p w14:paraId="2D7055CA"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Commonwealth’s ITU contribution</w:t>
            </w:r>
          </w:p>
        </w:tc>
        <w:tc>
          <w:tcPr>
            <w:tcW w:w="1162" w:type="dxa"/>
            <w:shd w:val="clear" w:color="auto" w:fill="auto"/>
            <w:vAlign w:val="center"/>
            <w:hideMark/>
          </w:tcPr>
          <w:p w14:paraId="4997E8FE"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3.154</w:t>
            </w:r>
          </w:p>
        </w:tc>
        <w:tc>
          <w:tcPr>
            <w:tcW w:w="1162" w:type="dxa"/>
            <w:shd w:val="clear" w:color="auto" w:fill="auto"/>
            <w:vAlign w:val="center"/>
            <w:hideMark/>
          </w:tcPr>
          <w:p w14:paraId="63D24478"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3.040</w:t>
            </w:r>
          </w:p>
        </w:tc>
        <w:tc>
          <w:tcPr>
            <w:tcW w:w="1163" w:type="dxa"/>
            <w:shd w:val="clear" w:color="auto" w:fill="auto"/>
            <w:vAlign w:val="center"/>
            <w:hideMark/>
          </w:tcPr>
          <w:p w14:paraId="14999486"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2.332</w:t>
            </w:r>
          </w:p>
        </w:tc>
        <w:tc>
          <w:tcPr>
            <w:tcW w:w="1162" w:type="dxa"/>
            <w:shd w:val="clear" w:color="auto" w:fill="auto"/>
            <w:vAlign w:val="center"/>
            <w:hideMark/>
          </w:tcPr>
          <w:p w14:paraId="62E3A5DB"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2.109</w:t>
            </w:r>
          </w:p>
        </w:tc>
        <w:tc>
          <w:tcPr>
            <w:tcW w:w="1163" w:type="dxa"/>
            <w:shd w:val="clear" w:color="auto" w:fill="auto"/>
            <w:vAlign w:val="center"/>
            <w:hideMark/>
          </w:tcPr>
          <w:p w14:paraId="525E9FD8"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2.149</w:t>
            </w:r>
          </w:p>
        </w:tc>
      </w:tr>
      <w:tr w:rsidR="00E01726" w:rsidRPr="00F23786" w14:paraId="3F8E005A" w14:textId="77777777" w:rsidTr="00E01726">
        <w:trPr>
          <w:trHeight w:val="1167"/>
        </w:trPr>
        <w:tc>
          <w:tcPr>
            <w:tcW w:w="1129" w:type="dxa"/>
            <w:shd w:val="clear" w:color="auto" w:fill="auto"/>
            <w:hideMark/>
          </w:tcPr>
          <w:p w14:paraId="5A55ADEE"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w:t>
            </w:r>
            <w:proofErr w:type="gramStart"/>
            <w:r w:rsidRPr="00F23786">
              <w:rPr>
                <w:rFonts w:cs="Arial"/>
                <w:color w:val="000000"/>
                <w:sz w:val="22"/>
                <w:szCs w:val="22"/>
              </w:rPr>
              <w:t>1)(</w:t>
            </w:r>
            <w:proofErr w:type="gramEnd"/>
            <w:r w:rsidRPr="00F23786">
              <w:rPr>
                <w:rFonts w:cs="Arial"/>
                <w:color w:val="000000"/>
                <w:sz w:val="22"/>
                <w:szCs w:val="22"/>
              </w:rPr>
              <w:t>ca)</w:t>
            </w:r>
          </w:p>
        </w:tc>
        <w:tc>
          <w:tcPr>
            <w:tcW w:w="2835" w:type="dxa"/>
            <w:shd w:val="clear" w:color="auto" w:fill="auto"/>
            <w:hideMark/>
          </w:tcPr>
          <w:p w14:paraId="23FE62EC"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Amounts reimbursed to industry groups for development or variation of consumer protection-related industry codes</w:t>
            </w:r>
          </w:p>
        </w:tc>
        <w:tc>
          <w:tcPr>
            <w:tcW w:w="1162" w:type="dxa"/>
            <w:shd w:val="clear" w:color="auto" w:fill="auto"/>
            <w:vAlign w:val="center"/>
            <w:hideMark/>
          </w:tcPr>
          <w:p w14:paraId="7125BAF1"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0.000</w:t>
            </w:r>
          </w:p>
        </w:tc>
        <w:tc>
          <w:tcPr>
            <w:tcW w:w="1162" w:type="dxa"/>
            <w:shd w:val="clear" w:color="auto" w:fill="auto"/>
            <w:vAlign w:val="center"/>
            <w:hideMark/>
          </w:tcPr>
          <w:p w14:paraId="4F81AD21"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0.000</w:t>
            </w:r>
          </w:p>
        </w:tc>
        <w:tc>
          <w:tcPr>
            <w:tcW w:w="1163" w:type="dxa"/>
            <w:shd w:val="clear" w:color="auto" w:fill="auto"/>
            <w:vAlign w:val="center"/>
            <w:hideMark/>
          </w:tcPr>
          <w:p w14:paraId="3CDBB550"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0.165</w:t>
            </w:r>
          </w:p>
        </w:tc>
        <w:tc>
          <w:tcPr>
            <w:tcW w:w="1162" w:type="dxa"/>
            <w:shd w:val="clear" w:color="auto" w:fill="auto"/>
            <w:vAlign w:val="center"/>
            <w:hideMark/>
          </w:tcPr>
          <w:p w14:paraId="53C78E3C" w14:textId="77777777" w:rsidR="00E41A00" w:rsidRPr="00F23786" w:rsidRDefault="00E41A00" w:rsidP="00C57A02">
            <w:pPr>
              <w:spacing w:after="0" w:line="280" w:lineRule="atLeast"/>
              <w:jc w:val="right"/>
              <w:rPr>
                <w:rFonts w:cs="Arial"/>
                <w:color w:val="000000"/>
                <w:sz w:val="22"/>
                <w:szCs w:val="22"/>
              </w:rPr>
            </w:pPr>
            <w:r w:rsidRPr="00F23786" w:rsidDel="00564C97">
              <w:rPr>
                <w:rFonts w:cs="Arial"/>
                <w:color w:val="000000"/>
                <w:sz w:val="22"/>
                <w:szCs w:val="22"/>
              </w:rPr>
              <w:t>0.000</w:t>
            </w:r>
          </w:p>
        </w:tc>
        <w:tc>
          <w:tcPr>
            <w:tcW w:w="1163" w:type="dxa"/>
            <w:shd w:val="clear" w:color="auto" w:fill="auto"/>
            <w:vAlign w:val="center"/>
            <w:hideMark/>
          </w:tcPr>
          <w:p w14:paraId="29A87B46" w14:textId="77777777" w:rsidR="00E41A00" w:rsidRPr="00F23786" w:rsidRDefault="00E41A00" w:rsidP="00C57A02">
            <w:pPr>
              <w:spacing w:after="0" w:line="280" w:lineRule="atLeast"/>
              <w:jc w:val="right"/>
              <w:rPr>
                <w:rFonts w:cs="Arial"/>
                <w:color w:val="000000"/>
                <w:sz w:val="22"/>
                <w:szCs w:val="22"/>
              </w:rPr>
            </w:pPr>
            <w:r w:rsidRPr="00F23786" w:rsidDel="00564C97">
              <w:rPr>
                <w:rFonts w:cs="Arial"/>
                <w:color w:val="000000"/>
                <w:sz w:val="22"/>
                <w:szCs w:val="22"/>
              </w:rPr>
              <w:t>0.000</w:t>
            </w:r>
          </w:p>
        </w:tc>
      </w:tr>
      <w:tr w:rsidR="00E01726" w:rsidRPr="00F23786" w14:paraId="2E424D8E" w14:textId="77777777" w:rsidTr="00E01726">
        <w:trPr>
          <w:trHeight w:val="695"/>
        </w:trPr>
        <w:tc>
          <w:tcPr>
            <w:tcW w:w="1129" w:type="dxa"/>
            <w:shd w:val="clear" w:color="auto" w:fill="auto"/>
            <w:hideMark/>
          </w:tcPr>
          <w:p w14:paraId="45B040F4"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15(1)(d)</w:t>
            </w:r>
          </w:p>
        </w:tc>
        <w:tc>
          <w:tcPr>
            <w:tcW w:w="2835" w:type="dxa"/>
            <w:shd w:val="clear" w:color="auto" w:fill="auto"/>
            <w:hideMark/>
          </w:tcPr>
          <w:p w14:paraId="15B8BCB1" w14:textId="77777777" w:rsidR="00E41A00" w:rsidRPr="00F23786" w:rsidRDefault="00E41A00" w:rsidP="00F23786">
            <w:pPr>
              <w:spacing w:after="0" w:line="280" w:lineRule="atLeast"/>
              <w:rPr>
                <w:rFonts w:cs="Arial"/>
                <w:color w:val="000000"/>
                <w:sz w:val="22"/>
                <w:szCs w:val="22"/>
              </w:rPr>
            </w:pPr>
            <w:r w:rsidRPr="00F23786">
              <w:rPr>
                <w:rFonts w:cs="Arial"/>
                <w:color w:val="000000"/>
                <w:sz w:val="22"/>
                <w:szCs w:val="22"/>
              </w:rPr>
              <w:t xml:space="preserve">Estimated government grants </w:t>
            </w:r>
            <w:r w:rsidRPr="00F23786">
              <w:rPr>
                <w:rFonts w:cs="Arial"/>
                <w:iCs/>
                <w:sz w:val="22"/>
                <w:szCs w:val="22"/>
              </w:rPr>
              <w:t xml:space="preserve">– </w:t>
            </w:r>
            <w:r w:rsidRPr="00F23786">
              <w:rPr>
                <w:rFonts w:cs="Arial"/>
                <w:color w:val="000000"/>
                <w:sz w:val="22"/>
                <w:szCs w:val="22"/>
              </w:rPr>
              <w:t>consumer representation and research</w:t>
            </w:r>
          </w:p>
        </w:tc>
        <w:tc>
          <w:tcPr>
            <w:tcW w:w="1162" w:type="dxa"/>
            <w:shd w:val="clear" w:color="auto" w:fill="auto"/>
            <w:vAlign w:val="center"/>
            <w:hideMark/>
          </w:tcPr>
          <w:p w14:paraId="6B2B82ED"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2.488</w:t>
            </w:r>
          </w:p>
        </w:tc>
        <w:tc>
          <w:tcPr>
            <w:tcW w:w="1162" w:type="dxa"/>
            <w:shd w:val="clear" w:color="auto" w:fill="auto"/>
            <w:vAlign w:val="center"/>
            <w:hideMark/>
          </w:tcPr>
          <w:p w14:paraId="7F4AB9E0"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2.381</w:t>
            </w:r>
          </w:p>
        </w:tc>
        <w:tc>
          <w:tcPr>
            <w:tcW w:w="1163" w:type="dxa"/>
            <w:shd w:val="clear" w:color="auto" w:fill="auto"/>
            <w:vAlign w:val="center"/>
            <w:hideMark/>
          </w:tcPr>
          <w:p w14:paraId="70C9C946"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2.358</w:t>
            </w:r>
          </w:p>
        </w:tc>
        <w:tc>
          <w:tcPr>
            <w:tcW w:w="1162" w:type="dxa"/>
            <w:shd w:val="clear" w:color="auto" w:fill="auto"/>
            <w:vAlign w:val="center"/>
            <w:hideMark/>
          </w:tcPr>
          <w:p w14:paraId="083B68DC"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2.322</w:t>
            </w:r>
          </w:p>
        </w:tc>
        <w:tc>
          <w:tcPr>
            <w:tcW w:w="1163" w:type="dxa"/>
            <w:shd w:val="clear" w:color="auto" w:fill="auto"/>
            <w:vAlign w:val="center"/>
            <w:hideMark/>
          </w:tcPr>
          <w:p w14:paraId="6A327F16" w14:textId="77777777" w:rsidR="00E41A00" w:rsidRPr="00F23786" w:rsidRDefault="00E41A00" w:rsidP="00C57A02">
            <w:pPr>
              <w:spacing w:after="0" w:line="280" w:lineRule="atLeast"/>
              <w:jc w:val="right"/>
              <w:rPr>
                <w:rFonts w:cs="Arial"/>
                <w:color w:val="000000"/>
                <w:sz w:val="22"/>
                <w:szCs w:val="22"/>
              </w:rPr>
            </w:pPr>
            <w:r w:rsidRPr="00F23786">
              <w:rPr>
                <w:rFonts w:cs="Arial"/>
                <w:color w:val="000000"/>
                <w:sz w:val="22"/>
                <w:szCs w:val="22"/>
              </w:rPr>
              <w:t>2.296</w:t>
            </w:r>
          </w:p>
        </w:tc>
      </w:tr>
      <w:tr w:rsidR="00E01726" w:rsidRPr="00F23786" w14:paraId="1A357009" w14:textId="77777777" w:rsidTr="00E01726">
        <w:trPr>
          <w:trHeight w:val="224"/>
        </w:trPr>
        <w:tc>
          <w:tcPr>
            <w:tcW w:w="3964" w:type="dxa"/>
            <w:gridSpan w:val="2"/>
            <w:shd w:val="clear" w:color="000000" w:fill="D9D9D9"/>
            <w:hideMark/>
          </w:tcPr>
          <w:p w14:paraId="40A5FCE7" w14:textId="77777777" w:rsidR="00E41A00" w:rsidRPr="00F23786" w:rsidRDefault="00E41A00" w:rsidP="00F23786">
            <w:pPr>
              <w:spacing w:after="0" w:line="280" w:lineRule="atLeast"/>
              <w:rPr>
                <w:rFonts w:cs="Arial"/>
                <w:b/>
                <w:bCs/>
                <w:color w:val="000000"/>
                <w:sz w:val="22"/>
                <w:szCs w:val="22"/>
              </w:rPr>
            </w:pPr>
            <w:r w:rsidRPr="00F23786">
              <w:rPr>
                <w:rFonts w:cs="Arial"/>
                <w:b/>
                <w:bCs/>
                <w:color w:val="000000"/>
                <w:sz w:val="22"/>
                <w:szCs w:val="22"/>
              </w:rPr>
              <w:lastRenderedPageBreak/>
              <w:t>Total revenue</w:t>
            </w:r>
          </w:p>
        </w:tc>
        <w:tc>
          <w:tcPr>
            <w:tcW w:w="1162" w:type="dxa"/>
            <w:shd w:val="clear" w:color="000000" w:fill="D9D9D9"/>
            <w:vAlign w:val="center"/>
            <w:hideMark/>
          </w:tcPr>
          <w:p w14:paraId="3AE40C39" w14:textId="77777777" w:rsidR="00E41A00" w:rsidRPr="00F23786" w:rsidRDefault="00E41A00" w:rsidP="00C57A02">
            <w:pPr>
              <w:spacing w:after="0" w:line="280" w:lineRule="atLeast"/>
              <w:jc w:val="right"/>
              <w:rPr>
                <w:rFonts w:cs="Arial"/>
                <w:b/>
                <w:color w:val="000000"/>
                <w:sz w:val="22"/>
                <w:szCs w:val="22"/>
                <w:highlight w:val="yellow"/>
              </w:rPr>
            </w:pPr>
            <w:r w:rsidRPr="00F23786">
              <w:rPr>
                <w:rFonts w:cs="Arial"/>
                <w:b/>
                <w:bCs/>
                <w:color w:val="000000"/>
                <w:sz w:val="22"/>
                <w:szCs w:val="22"/>
              </w:rPr>
              <w:t>30.609</w:t>
            </w:r>
          </w:p>
        </w:tc>
        <w:tc>
          <w:tcPr>
            <w:tcW w:w="1162" w:type="dxa"/>
            <w:shd w:val="clear" w:color="000000" w:fill="D9D9D9"/>
            <w:vAlign w:val="center"/>
            <w:hideMark/>
          </w:tcPr>
          <w:p w14:paraId="59B5CC89" w14:textId="77777777" w:rsidR="00E41A00" w:rsidRPr="00F23786" w:rsidRDefault="00E41A00" w:rsidP="00C57A02">
            <w:pPr>
              <w:spacing w:after="0" w:line="280" w:lineRule="atLeast"/>
              <w:jc w:val="right"/>
              <w:rPr>
                <w:rFonts w:cs="Arial"/>
                <w:b/>
                <w:color w:val="000000"/>
                <w:sz w:val="22"/>
                <w:szCs w:val="22"/>
                <w:highlight w:val="yellow"/>
              </w:rPr>
            </w:pPr>
            <w:r w:rsidRPr="00F23786">
              <w:rPr>
                <w:rFonts w:cs="Arial"/>
                <w:b/>
                <w:bCs/>
                <w:color w:val="000000"/>
                <w:sz w:val="22"/>
                <w:szCs w:val="22"/>
              </w:rPr>
              <w:t>31.565</w:t>
            </w:r>
          </w:p>
        </w:tc>
        <w:tc>
          <w:tcPr>
            <w:tcW w:w="1163" w:type="dxa"/>
            <w:shd w:val="clear" w:color="000000" w:fill="D9D9D9"/>
            <w:vAlign w:val="center"/>
            <w:hideMark/>
          </w:tcPr>
          <w:p w14:paraId="2E7477D7" w14:textId="77777777" w:rsidR="00E41A00" w:rsidRPr="00F23786" w:rsidRDefault="00E41A00" w:rsidP="00C57A02">
            <w:pPr>
              <w:spacing w:after="0" w:line="280" w:lineRule="atLeast"/>
              <w:jc w:val="right"/>
              <w:rPr>
                <w:rFonts w:cs="Arial"/>
                <w:b/>
                <w:color w:val="000000"/>
                <w:sz w:val="22"/>
                <w:szCs w:val="22"/>
                <w:highlight w:val="yellow"/>
              </w:rPr>
            </w:pPr>
            <w:r w:rsidRPr="00F23786">
              <w:rPr>
                <w:rFonts w:cs="Arial"/>
                <w:b/>
                <w:bCs/>
                <w:color w:val="000000"/>
                <w:sz w:val="22"/>
                <w:szCs w:val="22"/>
              </w:rPr>
              <w:t>31.868</w:t>
            </w:r>
          </w:p>
        </w:tc>
        <w:tc>
          <w:tcPr>
            <w:tcW w:w="1162" w:type="dxa"/>
            <w:shd w:val="clear" w:color="000000" w:fill="D9D9D9"/>
            <w:vAlign w:val="center"/>
            <w:hideMark/>
          </w:tcPr>
          <w:p w14:paraId="4526454D" w14:textId="77777777" w:rsidR="00E41A00" w:rsidRPr="00F23786" w:rsidRDefault="00E41A00" w:rsidP="00C57A02">
            <w:pPr>
              <w:spacing w:after="0" w:line="280" w:lineRule="atLeast"/>
              <w:jc w:val="right"/>
              <w:rPr>
                <w:rFonts w:cs="Arial"/>
                <w:b/>
                <w:color w:val="000000"/>
                <w:sz w:val="22"/>
                <w:szCs w:val="22"/>
                <w:highlight w:val="yellow"/>
              </w:rPr>
            </w:pPr>
            <w:r w:rsidRPr="00F23786">
              <w:rPr>
                <w:rFonts w:cs="Arial"/>
                <w:b/>
                <w:bCs/>
                <w:color w:val="000000"/>
                <w:sz w:val="22"/>
                <w:szCs w:val="22"/>
              </w:rPr>
              <w:t>29.628</w:t>
            </w:r>
          </w:p>
        </w:tc>
        <w:tc>
          <w:tcPr>
            <w:tcW w:w="1163" w:type="dxa"/>
            <w:shd w:val="clear" w:color="000000" w:fill="D9D9D9"/>
            <w:vAlign w:val="center"/>
            <w:hideMark/>
          </w:tcPr>
          <w:p w14:paraId="683D7EC6" w14:textId="77777777" w:rsidR="00E41A00" w:rsidRPr="00F23786" w:rsidRDefault="00E41A00" w:rsidP="00C57A02">
            <w:pPr>
              <w:spacing w:after="0" w:line="280" w:lineRule="atLeast"/>
              <w:jc w:val="right"/>
              <w:rPr>
                <w:rFonts w:cs="Arial"/>
                <w:b/>
                <w:color w:val="000000"/>
                <w:sz w:val="22"/>
                <w:szCs w:val="22"/>
                <w:highlight w:val="yellow"/>
              </w:rPr>
            </w:pPr>
            <w:r w:rsidRPr="00F23786">
              <w:rPr>
                <w:rFonts w:cs="Arial"/>
                <w:b/>
                <w:bCs/>
                <w:color w:val="000000"/>
                <w:sz w:val="22"/>
                <w:szCs w:val="22"/>
              </w:rPr>
              <w:t>31.139</w:t>
            </w:r>
          </w:p>
        </w:tc>
      </w:tr>
      <w:tr w:rsidR="00E01726" w:rsidRPr="00F23786" w14:paraId="4BD41E59" w14:textId="77777777" w:rsidTr="00E01726">
        <w:trPr>
          <w:trHeight w:val="224"/>
        </w:trPr>
        <w:tc>
          <w:tcPr>
            <w:tcW w:w="3964" w:type="dxa"/>
            <w:gridSpan w:val="2"/>
            <w:shd w:val="clear" w:color="000000" w:fill="D9D9D9"/>
            <w:hideMark/>
          </w:tcPr>
          <w:p w14:paraId="0F17D7A6" w14:textId="77777777" w:rsidR="00E41A00" w:rsidRPr="00F23786" w:rsidRDefault="00E41A00" w:rsidP="00F23786">
            <w:pPr>
              <w:spacing w:after="0" w:line="280" w:lineRule="atLeast"/>
              <w:rPr>
                <w:rFonts w:cs="Arial"/>
                <w:b/>
                <w:bCs/>
                <w:color w:val="000000"/>
                <w:sz w:val="22"/>
                <w:szCs w:val="22"/>
              </w:rPr>
            </w:pPr>
            <w:r w:rsidRPr="00F23786">
              <w:rPr>
                <w:rFonts w:cs="Arial"/>
                <w:b/>
                <w:bCs/>
                <w:color w:val="000000"/>
                <w:sz w:val="22"/>
                <w:szCs w:val="22"/>
              </w:rPr>
              <w:t>Balance</w:t>
            </w:r>
          </w:p>
        </w:tc>
        <w:tc>
          <w:tcPr>
            <w:tcW w:w="1162" w:type="dxa"/>
            <w:shd w:val="clear" w:color="000000" w:fill="D9D9D9"/>
            <w:vAlign w:val="center"/>
            <w:hideMark/>
          </w:tcPr>
          <w:p w14:paraId="20B8AEA2" w14:textId="77777777" w:rsidR="00E41A00" w:rsidRPr="00F23786" w:rsidRDefault="00E41A00" w:rsidP="00C57A02">
            <w:pPr>
              <w:spacing w:after="0" w:line="280" w:lineRule="atLeast"/>
              <w:jc w:val="right"/>
              <w:rPr>
                <w:rFonts w:cs="Arial"/>
                <w:b/>
                <w:color w:val="000000"/>
                <w:sz w:val="22"/>
                <w:szCs w:val="22"/>
                <w:highlight w:val="yellow"/>
              </w:rPr>
            </w:pPr>
            <w:r w:rsidRPr="00F23786">
              <w:rPr>
                <w:rFonts w:cs="Arial"/>
                <w:b/>
                <w:bCs/>
                <w:color w:val="FF0000"/>
                <w:sz w:val="22"/>
                <w:szCs w:val="22"/>
              </w:rPr>
              <w:t>(1.828)</w:t>
            </w:r>
          </w:p>
        </w:tc>
        <w:tc>
          <w:tcPr>
            <w:tcW w:w="1162" w:type="dxa"/>
            <w:shd w:val="clear" w:color="000000" w:fill="D9D9D9"/>
            <w:vAlign w:val="center"/>
            <w:hideMark/>
          </w:tcPr>
          <w:p w14:paraId="68104096" w14:textId="77777777" w:rsidR="00E41A00" w:rsidRPr="00F23786" w:rsidRDefault="00E41A00" w:rsidP="00C57A02">
            <w:pPr>
              <w:spacing w:after="0" w:line="280" w:lineRule="atLeast"/>
              <w:jc w:val="right"/>
              <w:rPr>
                <w:rFonts w:cs="Arial"/>
                <w:b/>
                <w:color w:val="000000"/>
                <w:sz w:val="22"/>
                <w:szCs w:val="22"/>
                <w:highlight w:val="yellow"/>
              </w:rPr>
            </w:pPr>
            <w:r w:rsidRPr="00F23786">
              <w:rPr>
                <w:rFonts w:cs="Arial"/>
                <w:b/>
                <w:bCs/>
                <w:sz w:val="22"/>
                <w:szCs w:val="22"/>
              </w:rPr>
              <w:t xml:space="preserve">1.174 </w:t>
            </w:r>
          </w:p>
        </w:tc>
        <w:tc>
          <w:tcPr>
            <w:tcW w:w="1163" w:type="dxa"/>
            <w:shd w:val="clear" w:color="000000" w:fill="D9D9D9"/>
            <w:vAlign w:val="center"/>
            <w:hideMark/>
          </w:tcPr>
          <w:p w14:paraId="528A9C1F" w14:textId="77777777" w:rsidR="00E41A00" w:rsidRPr="00F23786" w:rsidRDefault="00E41A00" w:rsidP="00C57A02">
            <w:pPr>
              <w:spacing w:after="0" w:line="280" w:lineRule="atLeast"/>
              <w:jc w:val="right"/>
              <w:rPr>
                <w:rFonts w:cs="Arial"/>
                <w:b/>
                <w:color w:val="000000"/>
                <w:sz w:val="22"/>
                <w:szCs w:val="22"/>
                <w:highlight w:val="yellow"/>
              </w:rPr>
            </w:pPr>
            <w:r w:rsidRPr="00F23786">
              <w:rPr>
                <w:rFonts w:cs="Arial"/>
                <w:b/>
                <w:bCs/>
                <w:sz w:val="22"/>
                <w:szCs w:val="22"/>
              </w:rPr>
              <w:t xml:space="preserve">0.213 </w:t>
            </w:r>
          </w:p>
        </w:tc>
        <w:tc>
          <w:tcPr>
            <w:tcW w:w="1162" w:type="dxa"/>
            <w:shd w:val="clear" w:color="000000" w:fill="D9D9D9"/>
            <w:vAlign w:val="center"/>
            <w:hideMark/>
          </w:tcPr>
          <w:p w14:paraId="2A94451A" w14:textId="77777777" w:rsidR="00E41A00" w:rsidRPr="00F23786" w:rsidRDefault="00E41A00" w:rsidP="00C57A02">
            <w:pPr>
              <w:spacing w:after="0" w:line="280" w:lineRule="atLeast"/>
              <w:jc w:val="right"/>
              <w:rPr>
                <w:rFonts w:cs="Arial"/>
                <w:b/>
                <w:color w:val="000000"/>
                <w:sz w:val="22"/>
                <w:szCs w:val="22"/>
                <w:highlight w:val="yellow"/>
              </w:rPr>
            </w:pPr>
            <w:r w:rsidRPr="00F23786">
              <w:rPr>
                <w:rFonts w:cs="Arial"/>
                <w:b/>
                <w:bCs/>
                <w:color w:val="FF0000"/>
                <w:sz w:val="22"/>
                <w:szCs w:val="22"/>
              </w:rPr>
              <w:t>(2.021)</w:t>
            </w:r>
          </w:p>
        </w:tc>
        <w:tc>
          <w:tcPr>
            <w:tcW w:w="1163" w:type="dxa"/>
            <w:shd w:val="clear" w:color="000000" w:fill="D9D9D9"/>
            <w:vAlign w:val="center"/>
            <w:hideMark/>
          </w:tcPr>
          <w:p w14:paraId="152BC93E" w14:textId="77777777" w:rsidR="00E41A00" w:rsidRPr="00F23786" w:rsidRDefault="00E41A00" w:rsidP="00C57A02">
            <w:pPr>
              <w:spacing w:after="0" w:line="280" w:lineRule="atLeast"/>
              <w:jc w:val="right"/>
              <w:rPr>
                <w:rFonts w:cs="Arial"/>
                <w:b/>
                <w:color w:val="000000"/>
                <w:sz w:val="22"/>
                <w:szCs w:val="22"/>
                <w:highlight w:val="yellow"/>
              </w:rPr>
            </w:pPr>
            <w:r w:rsidRPr="00F23786">
              <w:rPr>
                <w:rFonts w:cs="Arial"/>
                <w:b/>
                <w:bCs/>
                <w:sz w:val="22"/>
                <w:szCs w:val="22"/>
              </w:rPr>
              <w:t xml:space="preserve">1.616 </w:t>
            </w:r>
          </w:p>
        </w:tc>
      </w:tr>
    </w:tbl>
    <w:p w14:paraId="239D1978" w14:textId="77777777" w:rsidR="00E41A00" w:rsidRPr="002A6FBA" w:rsidRDefault="00E41A00" w:rsidP="00E41A00">
      <w:pPr>
        <w:pStyle w:val="Tableorfigurenote"/>
      </w:pPr>
      <w:r w:rsidRPr="00124995">
        <w:t>Note: The revenues for 15(1)(a), 15(1)(b) and 15(</w:t>
      </w:r>
      <w:proofErr w:type="gramStart"/>
      <w:r w:rsidRPr="00124995">
        <w:t>1)(</w:t>
      </w:r>
      <w:proofErr w:type="gramEnd"/>
      <w:r w:rsidRPr="00124995">
        <w:t xml:space="preserve">ca) are based on the previous year’s expenditure. The revenue for 15(1)(c) is derived by averaging the expenditure for the year in which the </w:t>
      </w:r>
      <w:r w:rsidRPr="002A6FBA">
        <w:t>charges are made and the previous year. The revenue for 15(1)(d) is based on the same year’s expenditure. Further details appear in section 6.</w:t>
      </w:r>
    </w:p>
    <w:p w14:paraId="5CE6E1F7" w14:textId="50087F84" w:rsidR="00E41A00" w:rsidRPr="00AE6A60" w:rsidRDefault="00E41A00" w:rsidP="00F23786">
      <w:pPr>
        <w:pStyle w:val="Paragraph"/>
      </w:pPr>
      <w:r w:rsidRPr="00AE6A60">
        <w:t>As the ACLC is set on an annual basis, the actual costs of activities are ascertained before they translate into the charges for the applicable period. This reduces the risk of over</w:t>
      </w:r>
      <w:r>
        <w:t>-</w:t>
      </w:r>
      <w:r w:rsidRPr="00AE6A60">
        <w:t xml:space="preserve"> or under</w:t>
      </w:r>
      <w:r>
        <w:t>-</w:t>
      </w:r>
      <w:r w:rsidRPr="00F23786">
        <w:t>recovery</w:t>
      </w:r>
      <w:r w:rsidRPr="00AE6A60">
        <w:t xml:space="preserve"> from the telecommunications industry. The balance reflects the surplus or deficit that occurred due to the lag between the actual expenses incurred and the recognition of the corresponding revenue, as noted in </w:t>
      </w:r>
      <w:r w:rsidRPr="00E01726">
        <w:t>section 6</w:t>
      </w:r>
      <w:r w:rsidR="00E01726" w:rsidRPr="00E07FF7">
        <w:t>:</w:t>
      </w:r>
      <w:r w:rsidRPr="00E01726">
        <w:t xml:space="preserve"> Financial estimates,</w:t>
      </w:r>
      <w:r>
        <w:t xml:space="preserve"> </w:t>
      </w:r>
      <w:r w:rsidRPr="00AE6A60">
        <w:t xml:space="preserve">above. </w:t>
      </w:r>
    </w:p>
    <w:p w14:paraId="2077A49D" w14:textId="7110CD42" w:rsidR="00E41A00" w:rsidRPr="00F23786" w:rsidRDefault="00E41A00" w:rsidP="00F23786">
      <w:pPr>
        <w:pStyle w:val="Paragraph"/>
      </w:pPr>
      <w:r>
        <w:t xml:space="preserve">The increase in </w:t>
      </w:r>
      <w:r>
        <w:rPr>
          <w:iCs/>
        </w:rPr>
        <w:t>the</w:t>
      </w:r>
      <w:r w:rsidRPr="00E8129B">
        <w:rPr>
          <w:iCs/>
        </w:rPr>
        <w:t xml:space="preserve"> </w:t>
      </w:r>
      <w:r>
        <w:t>ACMA’s expenditure in the 2022</w:t>
      </w:r>
      <w:r w:rsidR="00E63B22">
        <w:t>–</w:t>
      </w:r>
      <w:r>
        <w:t xml:space="preserve">23 financial year is explained in </w:t>
      </w:r>
      <w:r w:rsidRPr="00484E6F">
        <w:t>section 3.1.1.</w:t>
      </w:r>
    </w:p>
    <w:p w14:paraId="28F2D362" w14:textId="77777777" w:rsidR="00E41A00" w:rsidRPr="00F23786" w:rsidRDefault="00E41A00" w:rsidP="00F23786">
      <w:pPr>
        <w:pStyle w:val="Paragraph"/>
      </w:pPr>
      <w:r w:rsidRPr="00F23786">
        <w:t>The</w:t>
      </w:r>
      <w:r w:rsidRPr="00F23786" w:rsidDel="00385CC2">
        <w:t xml:space="preserve"> </w:t>
      </w:r>
      <w:r w:rsidRPr="00F23786">
        <w:t>increase in the ACCC’s expenditure for the 2022–23 financial year is explained in section 3.2.2.</w:t>
      </w:r>
    </w:p>
    <w:p w14:paraId="06A420DC" w14:textId="77777777" w:rsidR="00E41A00" w:rsidRPr="00AE6A60" w:rsidRDefault="00E41A00" w:rsidP="00E41A00">
      <w:pPr>
        <w:pStyle w:val="Heading1"/>
      </w:pPr>
      <w:bookmarkStart w:id="250" w:name="_Toc417990966"/>
      <w:bookmarkStart w:id="251" w:name="_Toc511634408"/>
      <w:bookmarkStart w:id="252" w:name="_Toc67042597"/>
      <w:bookmarkStart w:id="253" w:name="_Toc108599232"/>
      <w:bookmarkStart w:id="254" w:name="_Toc121920504"/>
      <w:bookmarkStart w:id="255" w:name="_Toc149735460"/>
      <w:bookmarkStart w:id="256" w:name="_Toc175123942"/>
      <w:r w:rsidRPr="00AE6A60">
        <w:lastRenderedPageBreak/>
        <w:t xml:space="preserve">7B. </w:t>
      </w:r>
      <w:r w:rsidRPr="00AE6A60">
        <w:tab/>
        <w:t>Non-financial performance</w:t>
      </w:r>
      <w:bookmarkEnd w:id="250"/>
      <w:bookmarkEnd w:id="251"/>
      <w:bookmarkEnd w:id="252"/>
      <w:bookmarkEnd w:id="253"/>
      <w:bookmarkEnd w:id="254"/>
      <w:bookmarkEnd w:id="255"/>
      <w:bookmarkEnd w:id="256"/>
    </w:p>
    <w:p w14:paraId="618D4B9F" w14:textId="77777777" w:rsidR="00E41A00" w:rsidRPr="00143B2F" w:rsidRDefault="00E41A00" w:rsidP="00E41A00">
      <w:pPr>
        <w:pStyle w:val="Heading2"/>
        <w:keepNext w:val="0"/>
      </w:pPr>
      <w:bookmarkStart w:id="257" w:name="_Toc511634409"/>
      <w:bookmarkStart w:id="258" w:name="_Toc67042598"/>
      <w:bookmarkStart w:id="259" w:name="_Toc121920505"/>
      <w:bookmarkStart w:id="260" w:name="_Toc149735461"/>
      <w:bookmarkStart w:id="261" w:name="_Toc175123943"/>
      <w:r w:rsidRPr="00143B2F">
        <w:t>The ACMA’s cost component</w:t>
      </w:r>
      <w:bookmarkEnd w:id="257"/>
      <w:bookmarkEnd w:id="258"/>
      <w:bookmarkEnd w:id="259"/>
      <w:bookmarkEnd w:id="260"/>
      <w:bookmarkEnd w:id="261"/>
    </w:p>
    <w:p w14:paraId="049AF958" w14:textId="77777777" w:rsidR="00E41A00" w:rsidRPr="00AE6A60" w:rsidRDefault="00E41A00" w:rsidP="00F23786">
      <w:pPr>
        <w:pStyle w:val="Paragraph"/>
      </w:pPr>
      <w:r w:rsidRPr="00AE6A60">
        <w:t>The ACMA’s performance measures for its deliverables for telecommunications services are provided in Table 2</w:t>
      </w:r>
      <w:r>
        <w:t>2</w:t>
      </w:r>
      <w:r w:rsidRPr="00AE6A60">
        <w:t>.</w:t>
      </w:r>
    </w:p>
    <w:p w14:paraId="485C4BA2" w14:textId="12D35E67" w:rsidR="00E41A00" w:rsidRDefault="00E01726" w:rsidP="00E41A00">
      <w:pPr>
        <w:pStyle w:val="Tableheading"/>
        <w:keepNext w:val="0"/>
        <w:tabs>
          <w:tab w:val="clear" w:pos="964"/>
          <w:tab w:val="num" w:pos="1248"/>
        </w:tabs>
        <w:spacing w:line="240" w:lineRule="atLeast"/>
      </w:pPr>
      <w:r>
        <w:t xml:space="preserve"> </w:t>
      </w:r>
      <w:r w:rsidR="00E41A00" w:rsidRPr="00AE6A60">
        <w:t>Deliverables and performance indicators</w:t>
      </w:r>
    </w:p>
    <w:tbl>
      <w:tblPr>
        <w:tblW w:w="55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firstRow="1" w:lastRow="0" w:firstColumn="1" w:lastColumn="0" w:noHBand="0" w:noVBand="1"/>
        <w:tblCaption w:val="Deliverables and key performance indicators (KPIs)"/>
      </w:tblPr>
      <w:tblGrid>
        <w:gridCol w:w="5024"/>
        <w:gridCol w:w="5036"/>
      </w:tblGrid>
      <w:tr w:rsidR="00E41A00" w:rsidRPr="00F23786" w14:paraId="6F107327" w14:textId="77777777" w:rsidTr="00F23786">
        <w:trPr>
          <w:cantSplit/>
          <w:trHeight w:val="272"/>
          <w:tblHeader/>
        </w:trPr>
        <w:tc>
          <w:tcPr>
            <w:tcW w:w="2497" w:type="pct"/>
            <w:shd w:val="clear" w:color="auto" w:fill="404040" w:themeFill="text1" w:themeFillTint="BF"/>
          </w:tcPr>
          <w:p w14:paraId="17CE5534" w14:textId="77777777" w:rsidR="00E41A00" w:rsidRPr="00F23786" w:rsidRDefault="00E41A00" w:rsidP="00F23786">
            <w:pPr>
              <w:pStyle w:val="TableHeading0"/>
              <w:keepNext/>
              <w:keepLines/>
              <w:spacing w:line="280" w:lineRule="atLeast"/>
              <w:rPr>
                <w:b w:val="0"/>
                <w:color w:val="FFFFFF" w:themeColor="background1"/>
                <w:sz w:val="22"/>
                <w:szCs w:val="22"/>
              </w:rPr>
            </w:pPr>
            <w:r w:rsidRPr="00F23786">
              <w:rPr>
                <w:color w:val="FFFFFF" w:themeColor="background1"/>
                <w:sz w:val="22"/>
                <w:szCs w:val="22"/>
              </w:rPr>
              <w:t>Deliverable</w:t>
            </w:r>
          </w:p>
        </w:tc>
        <w:tc>
          <w:tcPr>
            <w:tcW w:w="2503" w:type="pct"/>
            <w:shd w:val="clear" w:color="auto" w:fill="404040" w:themeFill="text1" w:themeFillTint="BF"/>
          </w:tcPr>
          <w:p w14:paraId="61A76D14" w14:textId="77777777" w:rsidR="00E41A00" w:rsidRPr="00F23786" w:rsidRDefault="00E41A00" w:rsidP="00F23786">
            <w:pPr>
              <w:pStyle w:val="TableHeading0"/>
              <w:keepNext/>
              <w:keepLines/>
              <w:spacing w:line="280" w:lineRule="atLeast"/>
              <w:rPr>
                <w:b w:val="0"/>
                <w:color w:val="FFFFFF" w:themeColor="background1"/>
                <w:sz w:val="22"/>
                <w:szCs w:val="22"/>
              </w:rPr>
            </w:pPr>
            <w:r w:rsidRPr="00F23786">
              <w:rPr>
                <w:color w:val="FFFFFF" w:themeColor="background1"/>
                <w:sz w:val="22"/>
                <w:szCs w:val="22"/>
              </w:rPr>
              <w:t>KPI</w:t>
            </w:r>
          </w:p>
        </w:tc>
      </w:tr>
      <w:tr w:rsidR="00E41A00" w:rsidRPr="00F23786" w14:paraId="5911F0F7" w14:textId="77777777" w:rsidTr="00F23786">
        <w:trPr>
          <w:cantSplit/>
          <w:trHeight w:val="346"/>
          <w:tblHeader/>
        </w:trPr>
        <w:tc>
          <w:tcPr>
            <w:tcW w:w="2497" w:type="pct"/>
          </w:tcPr>
          <w:p w14:paraId="651E85AB" w14:textId="77777777" w:rsidR="00E41A00" w:rsidRPr="00F23786" w:rsidRDefault="00E41A00" w:rsidP="00F23786">
            <w:pPr>
              <w:spacing w:after="0" w:line="280" w:lineRule="atLeast"/>
              <w:rPr>
                <w:rFonts w:cs="Arial"/>
                <w:sz w:val="22"/>
                <w:szCs w:val="22"/>
              </w:rPr>
            </w:pPr>
            <w:r w:rsidRPr="00F23786">
              <w:rPr>
                <w:sz w:val="22"/>
                <w:szCs w:val="22"/>
              </w:rPr>
              <w:t>The activity-based costing model is updated annually.</w:t>
            </w:r>
          </w:p>
        </w:tc>
        <w:tc>
          <w:tcPr>
            <w:tcW w:w="2503" w:type="pct"/>
          </w:tcPr>
          <w:p w14:paraId="5EFADD8A" w14:textId="77777777" w:rsidR="00E41A00" w:rsidRPr="00F23786" w:rsidRDefault="00E41A00" w:rsidP="00F23786">
            <w:pPr>
              <w:pStyle w:val="Paragraph"/>
              <w:spacing w:after="0"/>
              <w:rPr>
                <w:szCs w:val="22"/>
              </w:rPr>
            </w:pPr>
            <w:r w:rsidRPr="00F23786">
              <w:rPr>
                <w:szCs w:val="22"/>
              </w:rPr>
              <w:t>Regulatory costs are reviewed and independently audited prior to charging.</w:t>
            </w:r>
          </w:p>
        </w:tc>
      </w:tr>
      <w:tr w:rsidR="00E41A00" w:rsidRPr="00F23786" w14:paraId="684D9F0B" w14:textId="77777777" w:rsidTr="00F23786">
        <w:trPr>
          <w:cantSplit/>
          <w:trHeight w:val="346"/>
          <w:tblHeader/>
        </w:trPr>
        <w:tc>
          <w:tcPr>
            <w:tcW w:w="2497" w:type="pct"/>
          </w:tcPr>
          <w:p w14:paraId="20561AE9" w14:textId="77777777" w:rsidR="00E41A00" w:rsidRPr="00F23786" w:rsidRDefault="00E41A00" w:rsidP="00F23786">
            <w:pPr>
              <w:spacing w:after="0" w:line="280" w:lineRule="atLeast"/>
              <w:rPr>
                <w:rFonts w:cs="Arial"/>
                <w:sz w:val="22"/>
                <w:szCs w:val="22"/>
              </w:rPr>
            </w:pPr>
            <w:r w:rsidRPr="00F23786">
              <w:rPr>
                <w:sz w:val="22"/>
                <w:szCs w:val="22"/>
              </w:rPr>
              <w:t xml:space="preserve">Enforcement action is commensurate with realised or potential harm and incentivises improved compliance. </w:t>
            </w:r>
          </w:p>
        </w:tc>
        <w:tc>
          <w:tcPr>
            <w:tcW w:w="2503" w:type="pct"/>
          </w:tcPr>
          <w:p w14:paraId="225314B1" w14:textId="77777777" w:rsidR="00E41A00" w:rsidRPr="00F23786" w:rsidRDefault="00E41A00" w:rsidP="00F23786">
            <w:pPr>
              <w:spacing w:after="0" w:line="280" w:lineRule="atLeast"/>
              <w:rPr>
                <w:rFonts w:cs="Arial"/>
                <w:sz w:val="22"/>
                <w:szCs w:val="22"/>
              </w:rPr>
            </w:pPr>
            <w:r w:rsidRPr="00F23786">
              <w:rPr>
                <w:sz w:val="22"/>
                <w:szCs w:val="22"/>
              </w:rPr>
              <w:t>Ensure effective telecommunications safeguards are maintained by a graduated and strategic risk-based approach to enforcement, recognising that the primary focus in enforcement action is to help regulated entities achieve ongoing compliance with their obligations.</w:t>
            </w:r>
          </w:p>
        </w:tc>
      </w:tr>
      <w:tr w:rsidR="00E41A00" w:rsidRPr="00F23786" w14:paraId="21544284" w14:textId="77777777" w:rsidTr="00F23786">
        <w:trPr>
          <w:cantSplit/>
          <w:trHeight w:val="346"/>
          <w:tblHeader/>
        </w:trPr>
        <w:tc>
          <w:tcPr>
            <w:tcW w:w="2497" w:type="pct"/>
          </w:tcPr>
          <w:p w14:paraId="04DB538C" w14:textId="77777777" w:rsidR="00E41A00" w:rsidRPr="00F23786" w:rsidRDefault="00E41A00" w:rsidP="00F23786">
            <w:pPr>
              <w:spacing w:after="0" w:line="280" w:lineRule="atLeast"/>
              <w:rPr>
                <w:rFonts w:cs="Arial"/>
                <w:sz w:val="22"/>
                <w:szCs w:val="22"/>
              </w:rPr>
            </w:pPr>
            <w:r w:rsidRPr="00F23786">
              <w:rPr>
                <w:sz w:val="22"/>
                <w:szCs w:val="22"/>
              </w:rPr>
              <w:t xml:space="preserve">Our research capability will enhance our understanding of the industries that we regulate and the regulatory environment to support better decision-making. </w:t>
            </w:r>
          </w:p>
        </w:tc>
        <w:tc>
          <w:tcPr>
            <w:tcW w:w="2503" w:type="pct"/>
          </w:tcPr>
          <w:p w14:paraId="6D20E092" w14:textId="77777777" w:rsidR="00E41A00" w:rsidRPr="00F23786" w:rsidRDefault="00E41A00" w:rsidP="00F23786">
            <w:pPr>
              <w:spacing w:after="0" w:line="280" w:lineRule="atLeast"/>
              <w:rPr>
                <w:rFonts w:cs="Arial"/>
                <w:sz w:val="22"/>
                <w:szCs w:val="22"/>
              </w:rPr>
            </w:pPr>
            <w:r w:rsidRPr="00F23786">
              <w:rPr>
                <w:sz w:val="22"/>
                <w:szCs w:val="22"/>
              </w:rPr>
              <w:t>The ACMA is informed by research and environmental scanning.</w:t>
            </w:r>
          </w:p>
        </w:tc>
      </w:tr>
    </w:tbl>
    <w:p w14:paraId="388896FF" w14:textId="77777777" w:rsidR="00E41A00" w:rsidRDefault="00E41A00" w:rsidP="00E41A00">
      <w:pPr>
        <w:pStyle w:val="Paragraph"/>
        <w:spacing w:after="0"/>
        <w:rPr>
          <w:highlight w:val="yellow"/>
        </w:rPr>
      </w:pPr>
    </w:p>
    <w:p w14:paraId="6B1594B1" w14:textId="4E09B569" w:rsidR="00E41A00" w:rsidRPr="00AE6A60" w:rsidRDefault="00E41A00" w:rsidP="00F23786">
      <w:pPr>
        <w:pStyle w:val="Paragraph"/>
      </w:pPr>
      <w:r w:rsidRPr="00412EC8">
        <w:t>The</w:t>
      </w:r>
      <w:r>
        <w:t xml:space="preserve"> ACMA’s vision and strategic priorities are outlined in its</w:t>
      </w:r>
      <w:r w:rsidRPr="00AE6A60">
        <w:t xml:space="preserve"> </w:t>
      </w:r>
      <w:hyperlink r:id="rId25" w:history="1">
        <w:r w:rsidR="00E63B22">
          <w:rPr>
            <w:rStyle w:val="Hyperlink"/>
          </w:rPr>
          <w:t>2022–23 corporate plan</w:t>
        </w:r>
      </w:hyperlink>
      <w:r>
        <w:t xml:space="preserve"> and its activities and </w:t>
      </w:r>
      <w:r w:rsidRPr="00F23786">
        <w:t>performance</w:t>
      </w:r>
      <w:r w:rsidRPr="00AE6A60">
        <w:t xml:space="preserve"> for the financial year</w:t>
      </w:r>
      <w:r>
        <w:t xml:space="preserve"> are recorded in the </w:t>
      </w:r>
      <w:hyperlink r:id="rId26" w:history="1">
        <w:r w:rsidR="00E63B22">
          <w:rPr>
            <w:rStyle w:val="Hyperlink"/>
          </w:rPr>
          <w:t>2022–23 annual report</w:t>
        </w:r>
      </w:hyperlink>
      <w:r>
        <w:t>.</w:t>
      </w:r>
    </w:p>
    <w:p w14:paraId="35F64542" w14:textId="77777777" w:rsidR="00E41A00" w:rsidRPr="00143B2F" w:rsidRDefault="00E41A00" w:rsidP="00E41A00">
      <w:pPr>
        <w:pStyle w:val="Heading2"/>
      </w:pPr>
      <w:bookmarkStart w:id="262" w:name="_Toc511634410"/>
      <w:bookmarkStart w:id="263" w:name="_Toc67042599"/>
      <w:bookmarkStart w:id="264" w:name="_Toc121920506"/>
      <w:bookmarkStart w:id="265" w:name="_Toc149735462"/>
      <w:bookmarkStart w:id="266" w:name="_Toc175123944"/>
      <w:r w:rsidRPr="00143B2F">
        <w:t>The ACCC’s cost component</w:t>
      </w:r>
      <w:bookmarkEnd w:id="262"/>
      <w:bookmarkEnd w:id="263"/>
      <w:bookmarkEnd w:id="264"/>
      <w:bookmarkEnd w:id="265"/>
      <w:bookmarkEnd w:id="266"/>
    </w:p>
    <w:p w14:paraId="43CBD1AA" w14:textId="77777777" w:rsidR="00E41A00" w:rsidRPr="00AE6A60" w:rsidRDefault="00E41A00" w:rsidP="00F23786">
      <w:pPr>
        <w:pStyle w:val="Paragraphbeforelist"/>
      </w:pPr>
      <w:r w:rsidRPr="00AE6A60">
        <w:t xml:space="preserve">The ACCC is responsible for the economic regulation of the communications sector, which </w:t>
      </w:r>
      <w:r w:rsidRPr="00F23786">
        <w:t>includes</w:t>
      </w:r>
      <w:r w:rsidRPr="00AE6A60">
        <w:t>:</w:t>
      </w:r>
    </w:p>
    <w:p w14:paraId="7D3734AE" w14:textId="77777777" w:rsidR="00E41A00" w:rsidRPr="00F23786" w:rsidRDefault="00E41A00" w:rsidP="00F23786">
      <w:pPr>
        <w:pStyle w:val="Bulletlevel1"/>
      </w:pPr>
      <w:r w:rsidRPr="00F23786">
        <w:t>assessing and enforcing terms of access to the NBN in an SAU from NBN Co</w:t>
      </w:r>
    </w:p>
    <w:p w14:paraId="49ECF3D1" w14:textId="77777777" w:rsidR="00E41A00" w:rsidRPr="00F23786" w:rsidRDefault="00E41A00" w:rsidP="00F23786">
      <w:pPr>
        <w:pStyle w:val="Bulletlevel1"/>
      </w:pPr>
      <w:r w:rsidRPr="00F23786">
        <w:t>assessing and enforcing Telstra’s SSU and plan to migrate its customers to the NBN</w:t>
      </w:r>
    </w:p>
    <w:p w14:paraId="22527577" w14:textId="77777777" w:rsidR="00E41A00" w:rsidRPr="00F23786" w:rsidRDefault="00E41A00" w:rsidP="00F23786">
      <w:pPr>
        <w:pStyle w:val="Bulletlevel1"/>
      </w:pPr>
      <w:r w:rsidRPr="00F23786">
        <w:t>setting wholesale prices and terms of access for declared services</w:t>
      </w:r>
    </w:p>
    <w:p w14:paraId="50711638" w14:textId="77777777" w:rsidR="00E41A00" w:rsidRPr="00AE6A60" w:rsidRDefault="00E41A00" w:rsidP="00F23786">
      <w:pPr>
        <w:pStyle w:val="Bulletlevel1"/>
      </w:pPr>
      <w:r w:rsidRPr="00F23786">
        <w:t>monitoring</w:t>
      </w:r>
      <w:r w:rsidRPr="00AE6A60">
        <w:t xml:space="preserve"> and reporting on prices and competition in the communications sector</w:t>
      </w:r>
    </w:p>
    <w:p w14:paraId="1D6E40D5" w14:textId="77777777" w:rsidR="00E41A00" w:rsidRDefault="00E41A00" w:rsidP="00F23786">
      <w:pPr>
        <w:pStyle w:val="Bulletlevel1last"/>
      </w:pPr>
      <w:r w:rsidRPr="00F23786">
        <w:t>investigating</w:t>
      </w:r>
      <w:r w:rsidRPr="00AE6A60">
        <w:t xml:space="preserve"> claims of anti-competitive conduct in the communications sector. </w:t>
      </w:r>
    </w:p>
    <w:p w14:paraId="29B9E0BB" w14:textId="77777777" w:rsidR="00E41A00" w:rsidRPr="00F23786" w:rsidRDefault="00E41A00" w:rsidP="00F23786">
      <w:pPr>
        <w:pStyle w:val="Paragraphbeforelist"/>
      </w:pPr>
      <w:r w:rsidRPr="00F23786">
        <w:t xml:space="preserve">The ACCC advises that its performance measures for these deliverables include: </w:t>
      </w:r>
    </w:p>
    <w:p w14:paraId="5AEF25FF" w14:textId="77777777" w:rsidR="00E41A00" w:rsidRPr="00F23786" w:rsidRDefault="00E41A00" w:rsidP="00F23786">
      <w:pPr>
        <w:pStyle w:val="Bulletlevel1"/>
      </w:pPr>
      <w:r w:rsidRPr="00F23786">
        <w:t xml:space="preserve">formulating regulatory decisions that promote the long-term interests of end-users </w:t>
      </w:r>
    </w:p>
    <w:p w14:paraId="23918D17" w14:textId="77777777" w:rsidR="00E41A00" w:rsidRPr="00F23786" w:rsidRDefault="00E41A00" w:rsidP="00F23786">
      <w:pPr>
        <w:pStyle w:val="Bulletlevel1"/>
      </w:pPr>
      <w:r w:rsidRPr="00F23786">
        <w:t>providing monitoring reports to government in relation to highly concentrated or emerging markets</w:t>
      </w:r>
    </w:p>
    <w:p w14:paraId="21DE82F3" w14:textId="65198EE7" w:rsidR="00E41A00" w:rsidRPr="00F24FD0" w:rsidRDefault="00E41A00" w:rsidP="00F23786">
      <w:pPr>
        <w:pStyle w:val="Bulletlevel1last"/>
        <w:rPr>
          <w:szCs w:val="20"/>
          <w:u w:val="single"/>
        </w:rPr>
      </w:pPr>
      <w:r>
        <w:t>i</w:t>
      </w:r>
      <w:r w:rsidRPr="00412EC8">
        <w:t>mprov</w:t>
      </w:r>
      <w:r>
        <w:t>ing the efficient operation of communication markets by enforcing industry-specific competition and market rules.</w:t>
      </w:r>
    </w:p>
    <w:p w14:paraId="705264B7" w14:textId="77777777" w:rsidR="00E41A00" w:rsidRPr="00143B2F" w:rsidRDefault="00E41A00" w:rsidP="00E41A00">
      <w:pPr>
        <w:pStyle w:val="Heading2"/>
      </w:pPr>
      <w:bookmarkStart w:id="267" w:name="_Toc511634411"/>
      <w:bookmarkStart w:id="268" w:name="_Toc67042600"/>
      <w:bookmarkStart w:id="269" w:name="_Toc121920507"/>
      <w:bookmarkStart w:id="270" w:name="_Toc149735463"/>
      <w:bookmarkStart w:id="271" w:name="_Toc175123945"/>
      <w:r w:rsidRPr="00143B2F">
        <w:t>ITU contribution</w:t>
      </w:r>
      <w:bookmarkEnd w:id="267"/>
      <w:bookmarkEnd w:id="268"/>
      <w:bookmarkEnd w:id="269"/>
      <w:bookmarkEnd w:id="270"/>
      <w:bookmarkEnd w:id="271"/>
    </w:p>
    <w:p w14:paraId="23EEA26A" w14:textId="77777777" w:rsidR="00E41A00" w:rsidRPr="00AE6A60" w:rsidRDefault="00E41A00" w:rsidP="00F23786">
      <w:pPr>
        <w:pStyle w:val="Paragraph"/>
      </w:pPr>
      <w:r w:rsidRPr="00AE6A60">
        <w:t xml:space="preserve">As the ITU is responsible for the International Telecommunication Regulations, its main deliverables are to </w:t>
      </w:r>
      <w:r w:rsidRPr="00F23786">
        <w:t>promote</w:t>
      </w:r>
      <w:r w:rsidRPr="00AE6A60">
        <w:t xml:space="preserve"> international cooperation, </w:t>
      </w:r>
      <w:proofErr w:type="gramStart"/>
      <w:r w:rsidRPr="00AE6A60">
        <w:t>collaboration</w:t>
      </w:r>
      <w:proofErr w:type="gramEnd"/>
      <w:r w:rsidRPr="00AE6A60">
        <w:t xml:space="preserve"> and regulation as </w:t>
      </w:r>
      <w:r w:rsidRPr="00AE6A60">
        <w:lastRenderedPageBreak/>
        <w:t>appropriate, and to support domestic priorities in the telecommunications industry, so that industry, business and government can effectively engage in the international telecommunications landscape.</w:t>
      </w:r>
    </w:p>
    <w:p w14:paraId="14D97F92" w14:textId="77777777" w:rsidR="00E41A00" w:rsidRPr="00143B2F" w:rsidRDefault="00E41A00" w:rsidP="00E41A00">
      <w:pPr>
        <w:pStyle w:val="Heading2"/>
        <w:rPr>
          <w:lang w:val="en-GB"/>
        </w:rPr>
      </w:pPr>
      <w:bookmarkStart w:id="272" w:name="_Toc511634412"/>
      <w:bookmarkStart w:id="273" w:name="_Toc67042601"/>
      <w:bookmarkStart w:id="274" w:name="_Toc121920508"/>
      <w:bookmarkStart w:id="275" w:name="_Toc149735464"/>
      <w:bookmarkStart w:id="276" w:name="_Toc175123946"/>
      <w:r w:rsidRPr="00143B2F">
        <w:t>Government grants – consumer representation and research</w:t>
      </w:r>
      <w:bookmarkEnd w:id="272"/>
      <w:bookmarkEnd w:id="273"/>
      <w:bookmarkEnd w:id="274"/>
      <w:bookmarkEnd w:id="275"/>
      <w:bookmarkEnd w:id="276"/>
    </w:p>
    <w:p w14:paraId="76FFCD51" w14:textId="407A2CCC" w:rsidR="00E41A00" w:rsidRDefault="00E41A00" w:rsidP="00F23786">
      <w:pPr>
        <w:pStyle w:val="Paragraph"/>
        <w:rPr>
          <w:lang w:val="en-GB"/>
        </w:rPr>
      </w:pPr>
      <w:r w:rsidRPr="00AE6A60">
        <w:rPr>
          <w:lang w:val="en-GB"/>
        </w:rPr>
        <w:t xml:space="preserve">Section 593 </w:t>
      </w:r>
      <w:r w:rsidRPr="00AE6A60">
        <w:t>of the Telco Act</w:t>
      </w:r>
      <w:r w:rsidRPr="00AE6A60">
        <w:rPr>
          <w:i/>
        </w:rPr>
        <w:t xml:space="preserve"> </w:t>
      </w:r>
      <w:r w:rsidRPr="00AE6A60">
        <w:t xml:space="preserve">enables the </w:t>
      </w:r>
      <w:r>
        <w:t>m</w:t>
      </w:r>
      <w:r w:rsidRPr="00412EC8">
        <w:t>inister</w:t>
      </w:r>
      <w:r w:rsidRPr="00AE6A60">
        <w:t xml:space="preserve"> to make </w:t>
      </w:r>
      <w:r w:rsidRPr="00AE6A60">
        <w:rPr>
          <w:lang w:val="en-GB"/>
        </w:rPr>
        <w:t>grants of financial assistance to consumer bodies to support consumer representation in the telecommunications sector and to persons or bodies in connection with research into the social, economic, environmental, or technological implications of developments.</w:t>
      </w:r>
    </w:p>
    <w:p w14:paraId="4E748EFE" w14:textId="7A5000C1" w:rsidR="00E41A00" w:rsidRPr="00AE6A60" w:rsidRDefault="00E41A00" w:rsidP="00F23786">
      <w:pPr>
        <w:pStyle w:val="Paragraph"/>
      </w:pPr>
      <w:r w:rsidRPr="00AE6A60">
        <w:rPr>
          <w:lang w:val="en-GB"/>
        </w:rPr>
        <w:t xml:space="preserve">ACCAN has been the sole recipient of the grant since 2009–10 </w:t>
      </w:r>
      <w:r>
        <w:rPr>
          <w:lang w:val="en-GB"/>
        </w:rPr>
        <w:t xml:space="preserve">and </w:t>
      </w:r>
      <w:r w:rsidRPr="00AE6A60">
        <w:rPr>
          <w:lang w:val="en-GB"/>
        </w:rPr>
        <w:t>is expected to continue to be given this financial assistance to enable it to conduct activities necessary for an effective peak communications consumer advocate, including representation, research, consumer education and participation in self-regulatory activities.</w:t>
      </w:r>
    </w:p>
    <w:p w14:paraId="689E75C5" w14:textId="77777777" w:rsidR="00E41A00" w:rsidRPr="00AE6A60" w:rsidRDefault="00E41A00" w:rsidP="00F23786">
      <w:pPr>
        <w:pStyle w:val="Paragraph"/>
        <w:rPr>
          <w:lang w:val="en-GB"/>
        </w:rPr>
      </w:pPr>
      <w:r w:rsidRPr="00AE6A60">
        <w:rPr>
          <w:lang w:val="en-GB"/>
        </w:rPr>
        <w:t xml:space="preserve">ACCAN also operates a competitive </w:t>
      </w:r>
      <w:r>
        <w:rPr>
          <w:lang w:val="en-GB"/>
        </w:rPr>
        <w:t>i</w:t>
      </w:r>
      <w:r w:rsidRPr="00AE6A60">
        <w:rPr>
          <w:lang w:val="en-GB"/>
        </w:rPr>
        <w:t xml:space="preserve">ndependent </w:t>
      </w:r>
      <w:r>
        <w:rPr>
          <w:lang w:val="en-GB"/>
        </w:rPr>
        <w:t>g</w:t>
      </w:r>
      <w:r w:rsidRPr="00AE6A60">
        <w:rPr>
          <w:lang w:val="en-GB"/>
        </w:rPr>
        <w:t xml:space="preserve">rants </w:t>
      </w:r>
      <w:r>
        <w:rPr>
          <w:lang w:val="en-GB"/>
        </w:rPr>
        <w:t>p</w:t>
      </w:r>
      <w:r w:rsidRPr="00AE6A60">
        <w:rPr>
          <w:lang w:val="en-GB"/>
        </w:rPr>
        <w:t xml:space="preserve">rogram, which allows individuals and organisations to undertake research or representation projects in the interest of the telecommunications consumer. </w:t>
      </w:r>
    </w:p>
    <w:p w14:paraId="2218FC0E" w14:textId="77777777" w:rsidR="00E41A00" w:rsidRPr="00AE6A60" w:rsidRDefault="00E41A00" w:rsidP="00E41A00">
      <w:pPr>
        <w:pStyle w:val="Heading1"/>
      </w:pPr>
      <w:bookmarkStart w:id="277" w:name="_Toc417990967"/>
      <w:bookmarkStart w:id="278" w:name="_Toc511634413"/>
      <w:bookmarkStart w:id="279" w:name="_Toc67042602"/>
      <w:bookmarkStart w:id="280" w:name="_Toc108599233"/>
      <w:bookmarkStart w:id="281" w:name="_Toc121920509"/>
      <w:bookmarkStart w:id="282" w:name="_Toc149735465"/>
      <w:bookmarkStart w:id="283" w:name="_Toc175123947"/>
      <w:r w:rsidRPr="00AE6A60">
        <w:lastRenderedPageBreak/>
        <w:t>8.</w:t>
      </w:r>
      <w:r w:rsidRPr="00AE6A60">
        <w:tab/>
      </w:r>
      <w:bookmarkEnd w:id="247"/>
      <w:r w:rsidRPr="00AE6A60">
        <w:t>Key forward dates and events</w:t>
      </w:r>
      <w:bookmarkEnd w:id="248"/>
      <w:bookmarkEnd w:id="277"/>
      <w:bookmarkEnd w:id="278"/>
      <w:bookmarkEnd w:id="279"/>
      <w:bookmarkEnd w:id="280"/>
      <w:bookmarkEnd w:id="281"/>
      <w:bookmarkEnd w:id="282"/>
      <w:bookmarkEnd w:id="283"/>
    </w:p>
    <w:p w14:paraId="338A77BC" w14:textId="2D4C22D8" w:rsidR="00E41A00" w:rsidRPr="00AE6A60" w:rsidRDefault="00E41A00" w:rsidP="00F23786">
      <w:pPr>
        <w:pStyle w:val="Paragraph"/>
      </w:pPr>
      <w:r w:rsidRPr="00AE6A60">
        <w:t xml:space="preserve">Reflecting the annual nature of the ACLC, the CRIS is updated </w:t>
      </w:r>
      <w:r>
        <w:t>each year</w:t>
      </w:r>
      <w:r w:rsidRPr="00AE6A60">
        <w:t xml:space="preserve">. The key forward events and dates for the ACLC process for the </w:t>
      </w:r>
      <w:r>
        <w:t>2024-25</w:t>
      </w:r>
      <w:r w:rsidRPr="00AE6A60">
        <w:t xml:space="preserve"> financial year are provided in </w:t>
      </w:r>
      <w:r w:rsidR="00E01726" w:rsidRPr="00AE6A60">
        <w:t>Ta</w:t>
      </w:r>
      <w:r w:rsidR="00E01726" w:rsidRPr="00F95878">
        <w:t>ble</w:t>
      </w:r>
      <w:r w:rsidR="00E01726">
        <w:t> </w:t>
      </w:r>
      <w:r w:rsidRPr="00F95878">
        <w:t>2</w:t>
      </w:r>
      <w:r>
        <w:t>3</w:t>
      </w:r>
      <w:r w:rsidRPr="00AE6A60">
        <w:t xml:space="preserve">.  </w:t>
      </w:r>
    </w:p>
    <w:p w14:paraId="6220282F" w14:textId="030EFD29" w:rsidR="00E41A00" w:rsidRPr="00AE6A60" w:rsidRDefault="00E01726" w:rsidP="00F23786">
      <w:pPr>
        <w:pStyle w:val="Tableheading"/>
      </w:pPr>
      <w:r>
        <w:t xml:space="preserve"> </w:t>
      </w:r>
      <w:r w:rsidR="00E41A00" w:rsidRPr="00AE6A60">
        <w:t>Key forward dates and events</w:t>
      </w:r>
    </w:p>
    <w:tbl>
      <w:tblPr>
        <w:tblW w:w="48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Key forward dates and events"/>
        <w:tblDescription w:val="Update of forward financial estimates (section 6) in Dec 2016; Update of actual costs in May 2017."/>
      </w:tblPr>
      <w:tblGrid>
        <w:gridCol w:w="6216"/>
        <w:gridCol w:w="2514"/>
      </w:tblGrid>
      <w:tr w:rsidR="00E41A00" w:rsidRPr="00F23786" w14:paraId="7D4685C2" w14:textId="77777777" w:rsidTr="006E2755">
        <w:trPr>
          <w:cantSplit/>
          <w:trHeight w:val="85"/>
          <w:tblHeader/>
        </w:trPr>
        <w:tc>
          <w:tcPr>
            <w:tcW w:w="3560" w:type="pct"/>
            <w:shd w:val="clear" w:color="auto" w:fill="404040" w:themeFill="text1" w:themeFillTint="BF"/>
          </w:tcPr>
          <w:p w14:paraId="06B27875" w14:textId="77777777" w:rsidR="00E41A00" w:rsidRPr="00F23786" w:rsidRDefault="00E41A00" w:rsidP="00F23786">
            <w:pPr>
              <w:pStyle w:val="TableHeading0"/>
              <w:spacing w:line="280" w:lineRule="atLeast"/>
              <w:rPr>
                <w:b w:val="0"/>
                <w:color w:val="FFFFFF" w:themeColor="background1"/>
                <w:sz w:val="22"/>
                <w:szCs w:val="22"/>
              </w:rPr>
            </w:pPr>
            <w:r w:rsidRPr="00F23786">
              <w:rPr>
                <w:color w:val="FFFFFF" w:themeColor="background1"/>
                <w:sz w:val="22"/>
                <w:szCs w:val="22"/>
              </w:rPr>
              <w:t>Key events</w:t>
            </w:r>
          </w:p>
        </w:tc>
        <w:tc>
          <w:tcPr>
            <w:tcW w:w="1440" w:type="pct"/>
            <w:tcBorders>
              <w:top w:val="single" w:sz="6" w:space="0" w:color="auto"/>
            </w:tcBorders>
            <w:shd w:val="clear" w:color="auto" w:fill="404040" w:themeFill="text1" w:themeFillTint="BF"/>
          </w:tcPr>
          <w:p w14:paraId="07C3CAC4" w14:textId="77777777" w:rsidR="00E41A00" w:rsidRPr="00F23786" w:rsidRDefault="00E41A00" w:rsidP="00F23786">
            <w:pPr>
              <w:pStyle w:val="TableHeading0"/>
              <w:spacing w:line="280" w:lineRule="atLeast"/>
              <w:rPr>
                <w:b w:val="0"/>
                <w:color w:val="FFFFFF" w:themeColor="background1"/>
                <w:sz w:val="22"/>
                <w:szCs w:val="22"/>
              </w:rPr>
            </w:pPr>
            <w:r w:rsidRPr="00F23786">
              <w:rPr>
                <w:color w:val="FFFFFF" w:themeColor="background1"/>
                <w:sz w:val="22"/>
                <w:szCs w:val="22"/>
              </w:rPr>
              <w:t>Date</w:t>
            </w:r>
          </w:p>
        </w:tc>
      </w:tr>
      <w:tr w:rsidR="00E41A00" w:rsidRPr="00F23786" w14:paraId="171CA0F9" w14:textId="77777777" w:rsidTr="006E2755">
        <w:trPr>
          <w:cantSplit/>
          <w:trHeight w:val="247"/>
          <w:tblHeader/>
        </w:trPr>
        <w:tc>
          <w:tcPr>
            <w:tcW w:w="3560" w:type="pct"/>
          </w:tcPr>
          <w:p w14:paraId="15866B66" w14:textId="77777777" w:rsidR="00E41A00" w:rsidRPr="00F23786" w:rsidRDefault="00E41A00" w:rsidP="00F23786">
            <w:pPr>
              <w:spacing w:after="0" w:line="280" w:lineRule="atLeast"/>
              <w:ind w:right="-142"/>
              <w:rPr>
                <w:rFonts w:cs="Arial"/>
                <w:sz w:val="22"/>
                <w:szCs w:val="22"/>
              </w:rPr>
            </w:pPr>
            <w:r w:rsidRPr="00F23786">
              <w:rPr>
                <w:rFonts w:cs="Arial"/>
                <w:sz w:val="22"/>
                <w:szCs w:val="22"/>
              </w:rPr>
              <w:t>Update of forward estimates</w:t>
            </w:r>
          </w:p>
        </w:tc>
        <w:tc>
          <w:tcPr>
            <w:tcW w:w="1440" w:type="pct"/>
          </w:tcPr>
          <w:p w14:paraId="60D2EEB6" w14:textId="77777777" w:rsidR="00E41A00" w:rsidRPr="00F23786" w:rsidRDefault="00E41A00" w:rsidP="00F23786">
            <w:pPr>
              <w:spacing w:after="0" w:line="280" w:lineRule="atLeast"/>
              <w:rPr>
                <w:rFonts w:cs="Arial"/>
                <w:sz w:val="22"/>
                <w:szCs w:val="22"/>
              </w:rPr>
            </w:pPr>
            <w:r w:rsidRPr="00F23786">
              <w:rPr>
                <w:sz w:val="22"/>
                <w:szCs w:val="22"/>
              </w:rPr>
              <w:t xml:space="preserve">By </w:t>
            </w:r>
            <w:r w:rsidRPr="00F23786">
              <w:rPr>
                <w:rFonts w:cs="Arial"/>
                <w:sz w:val="22"/>
                <w:szCs w:val="22"/>
              </w:rPr>
              <w:t>July 2025</w:t>
            </w:r>
          </w:p>
        </w:tc>
      </w:tr>
      <w:tr w:rsidR="00E41A00" w:rsidRPr="00F23786" w14:paraId="18A49F32" w14:textId="77777777" w:rsidTr="006E2755">
        <w:trPr>
          <w:cantSplit/>
          <w:trHeight w:val="197"/>
          <w:tblHeader/>
        </w:trPr>
        <w:tc>
          <w:tcPr>
            <w:tcW w:w="3560" w:type="pct"/>
          </w:tcPr>
          <w:p w14:paraId="405836AA" w14:textId="77777777" w:rsidR="00E41A00" w:rsidRPr="00F23786" w:rsidRDefault="00E41A00" w:rsidP="00F23786">
            <w:pPr>
              <w:spacing w:after="0" w:line="280" w:lineRule="atLeast"/>
              <w:ind w:right="-142"/>
              <w:rPr>
                <w:rFonts w:cs="Arial"/>
                <w:sz w:val="22"/>
                <w:szCs w:val="22"/>
              </w:rPr>
            </w:pPr>
            <w:r w:rsidRPr="00F23786">
              <w:rPr>
                <w:rFonts w:cs="Arial"/>
                <w:sz w:val="22"/>
                <w:szCs w:val="22"/>
              </w:rPr>
              <w:t>Update of actual costs</w:t>
            </w:r>
          </w:p>
        </w:tc>
        <w:tc>
          <w:tcPr>
            <w:tcW w:w="1440" w:type="pct"/>
          </w:tcPr>
          <w:p w14:paraId="1335F92B" w14:textId="77777777" w:rsidR="00E41A00" w:rsidRPr="00F23786" w:rsidRDefault="00E41A00" w:rsidP="00F23786">
            <w:pPr>
              <w:spacing w:after="0" w:line="280" w:lineRule="atLeast"/>
              <w:rPr>
                <w:rFonts w:cs="Arial"/>
                <w:sz w:val="22"/>
                <w:szCs w:val="22"/>
              </w:rPr>
            </w:pPr>
            <w:r w:rsidRPr="00F23786">
              <w:rPr>
                <w:rFonts w:cs="Arial"/>
                <w:sz w:val="22"/>
                <w:szCs w:val="22"/>
              </w:rPr>
              <w:t xml:space="preserve"> </w:t>
            </w:r>
            <w:r w:rsidRPr="00F23786">
              <w:rPr>
                <w:sz w:val="22"/>
                <w:szCs w:val="22"/>
              </w:rPr>
              <w:t xml:space="preserve">By </w:t>
            </w:r>
            <w:r w:rsidRPr="00F23786">
              <w:rPr>
                <w:rFonts w:cs="Arial"/>
                <w:sz w:val="22"/>
                <w:szCs w:val="22"/>
              </w:rPr>
              <w:t>July 2025</w:t>
            </w:r>
          </w:p>
        </w:tc>
      </w:tr>
    </w:tbl>
    <w:p w14:paraId="7E7BF9F5" w14:textId="77777777" w:rsidR="00E41A00" w:rsidRPr="00AE6A60" w:rsidRDefault="00E41A00" w:rsidP="00E41A00">
      <w:pPr>
        <w:pStyle w:val="Heading1"/>
      </w:pPr>
      <w:bookmarkStart w:id="284" w:name="_Toc355953995"/>
      <w:bookmarkStart w:id="285" w:name="_Toc385256324"/>
      <w:bookmarkStart w:id="286" w:name="_Toc417990968"/>
      <w:bookmarkStart w:id="287" w:name="_Toc511634414"/>
      <w:bookmarkStart w:id="288" w:name="_Toc67042603"/>
      <w:bookmarkStart w:id="289" w:name="_Toc108599234"/>
      <w:bookmarkStart w:id="290" w:name="_Toc121920510"/>
      <w:bookmarkStart w:id="291" w:name="_Toc149735466"/>
      <w:bookmarkStart w:id="292" w:name="_Toc175123948"/>
      <w:bookmarkEnd w:id="194"/>
      <w:r w:rsidRPr="00AE6A60">
        <w:lastRenderedPageBreak/>
        <w:t xml:space="preserve">9. </w:t>
      </w:r>
      <w:r w:rsidRPr="00AE6A60">
        <w:tab/>
      </w:r>
      <w:bookmarkEnd w:id="284"/>
      <w:r w:rsidRPr="00AE6A60">
        <w:t>CRIS approval and change register</w:t>
      </w:r>
      <w:bookmarkEnd w:id="285"/>
      <w:bookmarkEnd w:id="286"/>
      <w:bookmarkEnd w:id="287"/>
      <w:bookmarkEnd w:id="288"/>
      <w:bookmarkEnd w:id="289"/>
      <w:bookmarkEnd w:id="290"/>
      <w:bookmarkEnd w:id="291"/>
      <w:bookmarkEnd w:id="292"/>
    </w:p>
    <w:p w14:paraId="75312011" w14:textId="0240F48E" w:rsidR="00E41A00" w:rsidRPr="00AE6A60" w:rsidRDefault="00E01726" w:rsidP="003677B2">
      <w:pPr>
        <w:pStyle w:val="Tableheading"/>
      </w:pPr>
      <w:r>
        <w:t xml:space="preserve"> </w:t>
      </w:r>
      <w:r w:rsidR="00E41A00" w:rsidRPr="00AE6A60">
        <w:t>Change register</w:t>
      </w:r>
    </w:p>
    <w:tbl>
      <w:tblPr>
        <w:tblStyle w:val="TableGrid"/>
        <w:tblW w:w="9351" w:type="dxa"/>
        <w:tblCellMar>
          <w:top w:w="85" w:type="dxa"/>
          <w:left w:w="57" w:type="dxa"/>
          <w:bottom w:w="85" w:type="dxa"/>
          <w:right w:w="57" w:type="dxa"/>
        </w:tblCellMar>
        <w:tblLook w:val="04A0" w:firstRow="1" w:lastRow="0" w:firstColumn="1" w:lastColumn="0" w:noHBand="0" w:noVBand="1"/>
        <w:tblCaption w:val="CRIS approval and change register"/>
      </w:tblPr>
      <w:tblGrid>
        <w:gridCol w:w="2122"/>
        <w:gridCol w:w="3543"/>
        <w:gridCol w:w="2127"/>
        <w:gridCol w:w="1559"/>
      </w:tblGrid>
      <w:tr w:rsidR="00E41A00" w:rsidRPr="003677B2" w14:paraId="20DC08B1" w14:textId="77777777" w:rsidTr="00E07FF7">
        <w:trPr>
          <w:tblHeader/>
        </w:trPr>
        <w:tc>
          <w:tcPr>
            <w:tcW w:w="2122" w:type="dxa"/>
            <w:shd w:val="clear" w:color="auto" w:fill="404040" w:themeFill="text1" w:themeFillTint="BF"/>
          </w:tcPr>
          <w:p w14:paraId="78A813F3" w14:textId="77777777" w:rsidR="00E41A00" w:rsidRPr="003677B2" w:rsidRDefault="00E41A00" w:rsidP="003677B2">
            <w:pPr>
              <w:pStyle w:val="TableHeading0"/>
              <w:spacing w:line="280" w:lineRule="atLeast"/>
              <w:rPr>
                <w:rFonts w:cs="Arial"/>
                <w:b w:val="0"/>
                <w:color w:val="FFFFFF" w:themeColor="background1"/>
                <w:sz w:val="22"/>
                <w:szCs w:val="22"/>
              </w:rPr>
            </w:pPr>
            <w:r w:rsidRPr="003677B2">
              <w:rPr>
                <w:rFonts w:cs="Arial"/>
                <w:color w:val="FFFFFF" w:themeColor="background1"/>
                <w:sz w:val="22"/>
                <w:szCs w:val="22"/>
              </w:rPr>
              <w:t>Date</w:t>
            </w:r>
          </w:p>
        </w:tc>
        <w:tc>
          <w:tcPr>
            <w:tcW w:w="3543" w:type="dxa"/>
            <w:shd w:val="clear" w:color="auto" w:fill="404040" w:themeFill="text1" w:themeFillTint="BF"/>
          </w:tcPr>
          <w:p w14:paraId="63124125" w14:textId="77777777" w:rsidR="00E41A00" w:rsidRPr="003677B2" w:rsidRDefault="00E41A00" w:rsidP="003677B2">
            <w:pPr>
              <w:pStyle w:val="TableHeading0"/>
              <w:spacing w:line="280" w:lineRule="atLeast"/>
              <w:rPr>
                <w:rFonts w:cs="Arial"/>
                <w:b w:val="0"/>
                <w:color w:val="FFFFFF" w:themeColor="background1"/>
                <w:sz w:val="22"/>
                <w:szCs w:val="22"/>
              </w:rPr>
            </w:pPr>
            <w:r w:rsidRPr="003677B2">
              <w:rPr>
                <w:rFonts w:cs="Arial"/>
                <w:color w:val="FFFFFF" w:themeColor="background1"/>
                <w:sz w:val="22"/>
                <w:szCs w:val="22"/>
              </w:rPr>
              <w:t>Description</w:t>
            </w:r>
          </w:p>
        </w:tc>
        <w:tc>
          <w:tcPr>
            <w:tcW w:w="2127" w:type="dxa"/>
            <w:shd w:val="clear" w:color="auto" w:fill="404040" w:themeFill="text1" w:themeFillTint="BF"/>
          </w:tcPr>
          <w:p w14:paraId="4E5A099F" w14:textId="77777777" w:rsidR="00E41A00" w:rsidRPr="003677B2" w:rsidRDefault="00E41A00" w:rsidP="003677B2">
            <w:pPr>
              <w:pStyle w:val="TableHeading0"/>
              <w:spacing w:line="280" w:lineRule="atLeast"/>
              <w:rPr>
                <w:rFonts w:cs="Arial"/>
                <w:b w:val="0"/>
                <w:color w:val="FFFFFF" w:themeColor="background1"/>
                <w:sz w:val="22"/>
                <w:szCs w:val="22"/>
              </w:rPr>
            </w:pPr>
            <w:r w:rsidRPr="003677B2">
              <w:rPr>
                <w:rFonts w:cs="Arial"/>
                <w:color w:val="FFFFFF" w:themeColor="background1"/>
                <w:sz w:val="22"/>
                <w:szCs w:val="22"/>
              </w:rPr>
              <w:t>Approved by</w:t>
            </w:r>
          </w:p>
        </w:tc>
        <w:tc>
          <w:tcPr>
            <w:tcW w:w="1559" w:type="dxa"/>
            <w:shd w:val="clear" w:color="auto" w:fill="404040" w:themeFill="text1" w:themeFillTint="BF"/>
          </w:tcPr>
          <w:p w14:paraId="6F300927" w14:textId="77777777" w:rsidR="00E41A00" w:rsidRPr="003677B2" w:rsidRDefault="00E41A00" w:rsidP="003677B2">
            <w:pPr>
              <w:pStyle w:val="TableHeading0"/>
              <w:spacing w:line="280" w:lineRule="atLeast"/>
              <w:rPr>
                <w:rFonts w:cs="Arial"/>
                <w:b w:val="0"/>
                <w:color w:val="FFFFFF" w:themeColor="background1"/>
                <w:sz w:val="22"/>
                <w:szCs w:val="22"/>
              </w:rPr>
            </w:pPr>
            <w:r w:rsidRPr="003677B2">
              <w:rPr>
                <w:rFonts w:cs="Arial"/>
                <w:color w:val="FFFFFF" w:themeColor="background1"/>
                <w:sz w:val="22"/>
                <w:szCs w:val="22"/>
              </w:rPr>
              <w:t>Comments</w:t>
            </w:r>
          </w:p>
        </w:tc>
      </w:tr>
      <w:tr w:rsidR="00E41A00" w:rsidRPr="003677B2" w14:paraId="7CA79F24" w14:textId="77777777" w:rsidTr="00E07FF7">
        <w:trPr>
          <w:trHeight w:val="332"/>
        </w:trPr>
        <w:tc>
          <w:tcPr>
            <w:tcW w:w="2122" w:type="dxa"/>
            <w:shd w:val="clear" w:color="auto" w:fill="auto"/>
          </w:tcPr>
          <w:p w14:paraId="34463AF4" w14:textId="77777777" w:rsidR="00E41A00" w:rsidRPr="003677B2" w:rsidRDefault="00E41A00" w:rsidP="003677B2">
            <w:pPr>
              <w:spacing w:after="0" w:line="280" w:lineRule="atLeast"/>
              <w:rPr>
                <w:rFonts w:cs="Arial"/>
                <w:sz w:val="22"/>
                <w:szCs w:val="22"/>
              </w:rPr>
            </w:pPr>
          </w:p>
        </w:tc>
        <w:tc>
          <w:tcPr>
            <w:tcW w:w="3543" w:type="dxa"/>
            <w:shd w:val="clear" w:color="auto" w:fill="auto"/>
          </w:tcPr>
          <w:p w14:paraId="05507584" w14:textId="61DA58D7" w:rsidR="00E41A00" w:rsidRPr="003677B2" w:rsidRDefault="00E41A00" w:rsidP="003677B2">
            <w:pPr>
              <w:spacing w:after="0" w:line="280" w:lineRule="atLeast"/>
              <w:rPr>
                <w:rFonts w:cs="Arial"/>
                <w:sz w:val="22"/>
                <w:szCs w:val="22"/>
              </w:rPr>
            </w:pPr>
            <w:r w:rsidRPr="003677B2">
              <w:rPr>
                <w:rFonts w:cs="Arial"/>
                <w:sz w:val="22"/>
                <w:szCs w:val="22"/>
              </w:rPr>
              <w:t>Approval of the 2023</w:t>
            </w:r>
            <w:r w:rsidR="00E01726" w:rsidRPr="003677B2">
              <w:rPr>
                <w:rFonts w:cs="Arial"/>
                <w:sz w:val="22"/>
                <w:szCs w:val="22"/>
              </w:rPr>
              <w:t>–</w:t>
            </w:r>
            <w:r w:rsidRPr="003677B2">
              <w:rPr>
                <w:rFonts w:cs="Arial"/>
                <w:sz w:val="22"/>
                <w:szCs w:val="22"/>
              </w:rPr>
              <w:t>24 CRIS</w:t>
            </w:r>
          </w:p>
        </w:tc>
        <w:tc>
          <w:tcPr>
            <w:tcW w:w="2127" w:type="dxa"/>
            <w:shd w:val="clear" w:color="auto" w:fill="auto"/>
          </w:tcPr>
          <w:p w14:paraId="7AB8F861" w14:textId="77777777" w:rsidR="00E41A00" w:rsidRPr="003677B2" w:rsidRDefault="00E41A00" w:rsidP="003677B2">
            <w:pPr>
              <w:tabs>
                <w:tab w:val="left" w:pos="510"/>
              </w:tabs>
              <w:spacing w:after="0" w:line="280" w:lineRule="atLeast"/>
              <w:rPr>
                <w:rFonts w:cs="Arial"/>
                <w:sz w:val="22"/>
                <w:szCs w:val="22"/>
              </w:rPr>
            </w:pPr>
            <w:r w:rsidRPr="003677B2">
              <w:rPr>
                <w:rFonts w:cs="Arial"/>
                <w:sz w:val="22"/>
                <w:szCs w:val="22"/>
              </w:rPr>
              <w:t>Minister for Communications</w:t>
            </w:r>
          </w:p>
        </w:tc>
        <w:tc>
          <w:tcPr>
            <w:tcW w:w="1559" w:type="dxa"/>
            <w:shd w:val="clear" w:color="auto" w:fill="auto"/>
          </w:tcPr>
          <w:p w14:paraId="251DA09E" w14:textId="77777777" w:rsidR="00E41A00" w:rsidRPr="003677B2" w:rsidRDefault="00E41A00" w:rsidP="003677B2">
            <w:pPr>
              <w:spacing w:after="0" w:line="280" w:lineRule="atLeast"/>
              <w:rPr>
                <w:rFonts w:cs="Arial"/>
                <w:b/>
                <w:i/>
                <w:sz w:val="22"/>
                <w:szCs w:val="22"/>
              </w:rPr>
            </w:pPr>
          </w:p>
        </w:tc>
      </w:tr>
      <w:tr w:rsidR="00E41A00" w:rsidRPr="003677B2" w14:paraId="0752BABB" w14:textId="77777777" w:rsidTr="00E07FF7">
        <w:trPr>
          <w:trHeight w:val="332"/>
        </w:trPr>
        <w:tc>
          <w:tcPr>
            <w:tcW w:w="2122" w:type="dxa"/>
            <w:shd w:val="clear" w:color="auto" w:fill="auto"/>
          </w:tcPr>
          <w:p w14:paraId="45912ECD" w14:textId="77777777" w:rsidR="00E41A00" w:rsidRPr="003677B2" w:rsidRDefault="00E41A00" w:rsidP="003677B2">
            <w:pPr>
              <w:spacing w:after="0" w:line="280" w:lineRule="atLeast"/>
              <w:rPr>
                <w:rFonts w:cs="Arial"/>
                <w:sz w:val="22"/>
                <w:szCs w:val="22"/>
              </w:rPr>
            </w:pPr>
          </w:p>
        </w:tc>
        <w:tc>
          <w:tcPr>
            <w:tcW w:w="3543" w:type="dxa"/>
            <w:shd w:val="clear" w:color="auto" w:fill="auto"/>
          </w:tcPr>
          <w:p w14:paraId="6DBD38B9" w14:textId="7032812B" w:rsidR="00E41A00" w:rsidRPr="003677B2" w:rsidRDefault="00E41A00" w:rsidP="003677B2">
            <w:pPr>
              <w:spacing w:after="0" w:line="280" w:lineRule="atLeast"/>
              <w:rPr>
                <w:rFonts w:cs="Arial"/>
                <w:sz w:val="22"/>
                <w:szCs w:val="22"/>
              </w:rPr>
            </w:pPr>
            <w:r w:rsidRPr="003677B2">
              <w:rPr>
                <w:rFonts w:cs="Arial"/>
                <w:sz w:val="22"/>
                <w:szCs w:val="22"/>
              </w:rPr>
              <w:t>Certification of the 2023</w:t>
            </w:r>
            <w:r w:rsidR="00E01726" w:rsidRPr="003677B2">
              <w:rPr>
                <w:rFonts w:cs="Arial"/>
                <w:sz w:val="22"/>
                <w:szCs w:val="22"/>
              </w:rPr>
              <w:t>–</w:t>
            </w:r>
            <w:r w:rsidRPr="003677B2">
              <w:rPr>
                <w:rFonts w:cs="Arial"/>
                <w:sz w:val="22"/>
                <w:szCs w:val="22"/>
              </w:rPr>
              <w:t>24 CRIS</w:t>
            </w:r>
          </w:p>
        </w:tc>
        <w:tc>
          <w:tcPr>
            <w:tcW w:w="2127" w:type="dxa"/>
            <w:shd w:val="clear" w:color="auto" w:fill="auto"/>
          </w:tcPr>
          <w:p w14:paraId="0F3611A3" w14:textId="77777777" w:rsidR="00E41A00" w:rsidRPr="003677B2" w:rsidRDefault="00E41A00" w:rsidP="003677B2">
            <w:pPr>
              <w:tabs>
                <w:tab w:val="left" w:pos="510"/>
              </w:tabs>
              <w:spacing w:after="0" w:line="280" w:lineRule="atLeast"/>
              <w:rPr>
                <w:rFonts w:cs="Arial"/>
                <w:sz w:val="22"/>
                <w:szCs w:val="22"/>
              </w:rPr>
            </w:pPr>
            <w:r w:rsidRPr="003677B2">
              <w:rPr>
                <w:rFonts w:cs="Arial"/>
                <w:sz w:val="22"/>
                <w:szCs w:val="22"/>
              </w:rPr>
              <w:t>ACMA Chair</w:t>
            </w:r>
          </w:p>
        </w:tc>
        <w:tc>
          <w:tcPr>
            <w:tcW w:w="1559" w:type="dxa"/>
            <w:shd w:val="clear" w:color="auto" w:fill="auto"/>
          </w:tcPr>
          <w:p w14:paraId="284F5A94" w14:textId="77777777" w:rsidR="00E41A00" w:rsidRPr="003677B2" w:rsidRDefault="00E41A00" w:rsidP="003677B2">
            <w:pPr>
              <w:spacing w:after="0" w:line="280" w:lineRule="atLeast"/>
              <w:rPr>
                <w:rFonts w:cs="Arial"/>
                <w:b/>
                <w:i/>
                <w:sz w:val="22"/>
                <w:szCs w:val="22"/>
              </w:rPr>
            </w:pPr>
          </w:p>
        </w:tc>
      </w:tr>
      <w:tr w:rsidR="00E41A00" w:rsidRPr="003677B2" w14:paraId="25978919" w14:textId="77777777" w:rsidTr="00E07FF7">
        <w:trPr>
          <w:trHeight w:val="332"/>
        </w:trPr>
        <w:tc>
          <w:tcPr>
            <w:tcW w:w="2122" w:type="dxa"/>
            <w:shd w:val="clear" w:color="auto" w:fill="auto"/>
          </w:tcPr>
          <w:p w14:paraId="0BD25F0B" w14:textId="07A4EB5F" w:rsidR="00E41A00" w:rsidRPr="003677B2" w:rsidRDefault="00642E84" w:rsidP="003677B2">
            <w:pPr>
              <w:spacing w:after="0" w:line="280" w:lineRule="atLeast"/>
              <w:rPr>
                <w:rFonts w:cs="Arial"/>
                <w:sz w:val="22"/>
                <w:szCs w:val="22"/>
              </w:rPr>
            </w:pPr>
            <w:r w:rsidRPr="003677B2">
              <w:rPr>
                <w:rFonts w:cs="Arial"/>
                <w:sz w:val="22"/>
                <w:szCs w:val="22"/>
              </w:rPr>
              <w:t>1</w:t>
            </w:r>
            <w:r>
              <w:rPr>
                <w:rFonts w:cs="Arial"/>
                <w:sz w:val="22"/>
                <w:szCs w:val="22"/>
              </w:rPr>
              <w:t>9</w:t>
            </w:r>
            <w:r w:rsidRPr="003677B2">
              <w:rPr>
                <w:rFonts w:cs="Arial"/>
                <w:sz w:val="22"/>
                <w:szCs w:val="22"/>
              </w:rPr>
              <w:t xml:space="preserve"> </w:t>
            </w:r>
            <w:r w:rsidR="00E41A00" w:rsidRPr="003677B2">
              <w:rPr>
                <w:rFonts w:cs="Arial"/>
                <w:sz w:val="22"/>
                <w:szCs w:val="22"/>
              </w:rPr>
              <w:t xml:space="preserve">August to </w:t>
            </w:r>
            <w:r w:rsidRPr="003677B2">
              <w:rPr>
                <w:rFonts w:cs="Arial"/>
                <w:sz w:val="22"/>
                <w:szCs w:val="22"/>
              </w:rPr>
              <w:t>1</w:t>
            </w:r>
            <w:r>
              <w:rPr>
                <w:rFonts w:cs="Arial"/>
                <w:sz w:val="22"/>
                <w:szCs w:val="22"/>
              </w:rPr>
              <w:t>6</w:t>
            </w:r>
            <w:r w:rsidRPr="003677B2">
              <w:rPr>
                <w:rFonts w:cs="Arial"/>
                <w:sz w:val="22"/>
                <w:szCs w:val="22"/>
              </w:rPr>
              <w:t xml:space="preserve"> </w:t>
            </w:r>
            <w:r w:rsidR="00E41A00" w:rsidRPr="003677B2">
              <w:rPr>
                <w:rFonts w:cs="Arial"/>
                <w:sz w:val="22"/>
                <w:szCs w:val="22"/>
              </w:rPr>
              <w:t>September 2024</w:t>
            </w:r>
          </w:p>
        </w:tc>
        <w:tc>
          <w:tcPr>
            <w:tcW w:w="3543" w:type="dxa"/>
            <w:shd w:val="clear" w:color="auto" w:fill="auto"/>
          </w:tcPr>
          <w:p w14:paraId="2094EAEF" w14:textId="5BDEB2A4" w:rsidR="00E41A00" w:rsidRPr="003677B2" w:rsidRDefault="00E41A00" w:rsidP="003677B2">
            <w:pPr>
              <w:spacing w:after="0" w:line="280" w:lineRule="atLeast"/>
              <w:rPr>
                <w:rFonts w:cs="Arial"/>
                <w:sz w:val="22"/>
                <w:szCs w:val="22"/>
              </w:rPr>
            </w:pPr>
            <w:r w:rsidRPr="003677B2">
              <w:rPr>
                <w:rFonts w:cs="Arial"/>
                <w:sz w:val="22"/>
                <w:szCs w:val="22"/>
              </w:rPr>
              <w:t>Consultation for 4 weeks on the 2023</w:t>
            </w:r>
            <w:r w:rsidR="00E01726" w:rsidRPr="003677B2">
              <w:rPr>
                <w:rFonts w:cs="Arial"/>
                <w:sz w:val="22"/>
                <w:szCs w:val="22"/>
              </w:rPr>
              <w:t>–</w:t>
            </w:r>
            <w:r w:rsidRPr="003677B2">
              <w:rPr>
                <w:rFonts w:cs="Arial"/>
                <w:sz w:val="22"/>
                <w:szCs w:val="22"/>
              </w:rPr>
              <w:t>24 draft CRIS</w:t>
            </w:r>
          </w:p>
        </w:tc>
        <w:tc>
          <w:tcPr>
            <w:tcW w:w="2127" w:type="dxa"/>
            <w:shd w:val="clear" w:color="auto" w:fill="auto"/>
          </w:tcPr>
          <w:p w14:paraId="0C05A6AC" w14:textId="77777777" w:rsidR="00E41A00" w:rsidRPr="003677B2" w:rsidRDefault="00E41A00" w:rsidP="003677B2">
            <w:pPr>
              <w:tabs>
                <w:tab w:val="left" w:pos="510"/>
              </w:tabs>
              <w:spacing w:after="0" w:line="280" w:lineRule="atLeast"/>
              <w:rPr>
                <w:rFonts w:cs="Arial"/>
                <w:sz w:val="22"/>
                <w:szCs w:val="22"/>
              </w:rPr>
            </w:pPr>
            <w:r w:rsidRPr="003677B2">
              <w:rPr>
                <w:rFonts w:cs="Arial"/>
                <w:sz w:val="22"/>
                <w:szCs w:val="22"/>
              </w:rPr>
              <w:t>ACMA Authority</w:t>
            </w:r>
          </w:p>
        </w:tc>
        <w:tc>
          <w:tcPr>
            <w:tcW w:w="1559" w:type="dxa"/>
            <w:shd w:val="clear" w:color="auto" w:fill="auto"/>
          </w:tcPr>
          <w:p w14:paraId="4FD7D1C6" w14:textId="77777777" w:rsidR="00E41A00" w:rsidRPr="003677B2" w:rsidRDefault="00E41A00" w:rsidP="003677B2">
            <w:pPr>
              <w:spacing w:after="0" w:line="280" w:lineRule="atLeast"/>
              <w:rPr>
                <w:rFonts w:cs="Arial"/>
                <w:b/>
                <w:i/>
                <w:sz w:val="22"/>
                <w:szCs w:val="22"/>
              </w:rPr>
            </w:pPr>
          </w:p>
        </w:tc>
      </w:tr>
      <w:tr w:rsidR="00E41A00" w:rsidRPr="003677B2" w14:paraId="30C9CF01" w14:textId="77777777" w:rsidTr="00E07FF7">
        <w:trPr>
          <w:trHeight w:val="112"/>
        </w:trPr>
        <w:tc>
          <w:tcPr>
            <w:tcW w:w="2122" w:type="dxa"/>
            <w:shd w:val="clear" w:color="auto" w:fill="auto"/>
          </w:tcPr>
          <w:p w14:paraId="41735AB3" w14:textId="77777777" w:rsidR="00E41A00" w:rsidRPr="003677B2" w:rsidRDefault="00E41A00" w:rsidP="003677B2">
            <w:pPr>
              <w:spacing w:after="0" w:line="280" w:lineRule="atLeast"/>
              <w:rPr>
                <w:rFonts w:cs="Arial"/>
                <w:sz w:val="22"/>
                <w:szCs w:val="22"/>
              </w:rPr>
            </w:pPr>
            <w:r w:rsidRPr="003677B2">
              <w:rPr>
                <w:rFonts w:cs="Arial"/>
                <w:sz w:val="22"/>
                <w:szCs w:val="22"/>
              </w:rPr>
              <w:t>17 November 2023</w:t>
            </w:r>
          </w:p>
        </w:tc>
        <w:tc>
          <w:tcPr>
            <w:tcW w:w="3543" w:type="dxa"/>
            <w:shd w:val="clear" w:color="auto" w:fill="auto"/>
          </w:tcPr>
          <w:p w14:paraId="016B5DF9" w14:textId="77777777" w:rsidR="00E41A00" w:rsidRPr="003677B2" w:rsidRDefault="00E41A00" w:rsidP="003677B2">
            <w:pPr>
              <w:spacing w:after="0" w:line="280" w:lineRule="atLeast"/>
              <w:rPr>
                <w:rFonts w:cs="Arial"/>
                <w:sz w:val="22"/>
                <w:szCs w:val="22"/>
              </w:rPr>
            </w:pPr>
            <w:r w:rsidRPr="003677B2">
              <w:rPr>
                <w:rFonts w:cs="Arial"/>
                <w:sz w:val="22"/>
                <w:szCs w:val="22"/>
              </w:rPr>
              <w:t>Approval of the 2022–23 CRIS</w:t>
            </w:r>
          </w:p>
        </w:tc>
        <w:tc>
          <w:tcPr>
            <w:tcW w:w="2127" w:type="dxa"/>
            <w:shd w:val="clear" w:color="auto" w:fill="auto"/>
          </w:tcPr>
          <w:p w14:paraId="0F00BDE0" w14:textId="77777777" w:rsidR="00E41A00" w:rsidRPr="003677B2" w:rsidRDefault="00E41A00" w:rsidP="003677B2">
            <w:pPr>
              <w:tabs>
                <w:tab w:val="left" w:pos="510"/>
              </w:tabs>
              <w:spacing w:after="0" w:line="280" w:lineRule="atLeast"/>
              <w:rPr>
                <w:rFonts w:cs="Arial"/>
                <w:sz w:val="22"/>
                <w:szCs w:val="22"/>
              </w:rPr>
            </w:pPr>
            <w:r w:rsidRPr="003677B2">
              <w:rPr>
                <w:rFonts w:cs="Arial"/>
                <w:sz w:val="22"/>
                <w:szCs w:val="22"/>
              </w:rPr>
              <w:t>Minister for Communications</w:t>
            </w:r>
          </w:p>
        </w:tc>
        <w:tc>
          <w:tcPr>
            <w:tcW w:w="1559" w:type="dxa"/>
            <w:shd w:val="clear" w:color="auto" w:fill="auto"/>
          </w:tcPr>
          <w:p w14:paraId="2A80F87E" w14:textId="77777777" w:rsidR="00E41A00" w:rsidRPr="003677B2" w:rsidRDefault="00E41A00" w:rsidP="003677B2">
            <w:pPr>
              <w:spacing w:after="0" w:line="280" w:lineRule="atLeast"/>
              <w:rPr>
                <w:rFonts w:cs="Arial"/>
                <w:b/>
                <w:i/>
                <w:sz w:val="22"/>
                <w:szCs w:val="22"/>
              </w:rPr>
            </w:pPr>
          </w:p>
        </w:tc>
      </w:tr>
      <w:tr w:rsidR="00E41A00" w:rsidRPr="003677B2" w14:paraId="559DE1A9" w14:textId="77777777" w:rsidTr="00E07FF7">
        <w:trPr>
          <w:trHeight w:val="332"/>
        </w:trPr>
        <w:tc>
          <w:tcPr>
            <w:tcW w:w="2122" w:type="dxa"/>
            <w:shd w:val="clear" w:color="auto" w:fill="auto"/>
          </w:tcPr>
          <w:p w14:paraId="491737A9" w14:textId="77777777" w:rsidR="00E41A00" w:rsidRPr="003677B2" w:rsidRDefault="00E41A00" w:rsidP="003677B2">
            <w:pPr>
              <w:spacing w:after="0" w:line="280" w:lineRule="atLeast"/>
              <w:rPr>
                <w:rFonts w:cs="Arial"/>
                <w:sz w:val="22"/>
                <w:szCs w:val="22"/>
              </w:rPr>
            </w:pPr>
            <w:r w:rsidRPr="003677B2">
              <w:rPr>
                <w:rFonts w:cs="Arial"/>
                <w:sz w:val="22"/>
                <w:szCs w:val="22"/>
              </w:rPr>
              <w:t xml:space="preserve">27 October 2023 </w:t>
            </w:r>
          </w:p>
        </w:tc>
        <w:tc>
          <w:tcPr>
            <w:tcW w:w="3543" w:type="dxa"/>
            <w:shd w:val="clear" w:color="auto" w:fill="auto"/>
          </w:tcPr>
          <w:p w14:paraId="1ABF2BDF" w14:textId="77777777" w:rsidR="00E41A00" w:rsidRPr="003677B2" w:rsidRDefault="00E41A00" w:rsidP="003677B2">
            <w:pPr>
              <w:spacing w:after="0" w:line="280" w:lineRule="atLeast"/>
              <w:rPr>
                <w:rFonts w:cs="Arial"/>
                <w:sz w:val="22"/>
                <w:szCs w:val="22"/>
              </w:rPr>
            </w:pPr>
            <w:r w:rsidRPr="003677B2">
              <w:rPr>
                <w:rFonts w:cs="Arial"/>
                <w:sz w:val="22"/>
                <w:szCs w:val="22"/>
              </w:rPr>
              <w:t>Certification of the 2022–23 CRIS</w:t>
            </w:r>
          </w:p>
        </w:tc>
        <w:tc>
          <w:tcPr>
            <w:tcW w:w="2127" w:type="dxa"/>
            <w:shd w:val="clear" w:color="auto" w:fill="auto"/>
          </w:tcPr>
          <w:p w14:paraId="3302C129" w14:textId="77777777" w:rsidR="00E41A00" w:rsidRPr="003677B2" w:rsidRDefault="00E41A00" w:rsidP="003677B2">
            <w:pPr>
              <w:tabs>
                <w:tab w:val="left" w:pos="510"/>
              </w:tabs>
              <w:spacing w:after="0" w:line="280" w:lineRule="atLeast"/>
              <w:rPr>
                <w:rFonts w:cs="Arial"/>
                <w:sz w:val="22"/>
                <w:szCs w:val="22"/>
              </w:rPr>
            </w:pPr>
            <w:r w:rsidRPr="003677B2">
              <w:rPr>
                <w:rFonts w:cs="Arial"/>
                <w:sz w:val="22"/>
                <w:szCs w:val="22"/>
              </w:rPr>
              <w:t>ACMA Chair</w:t>
            </w:r>
          </w:p>
        </w:tc>
        <w:tc>
          <w:tcPr>
            <w:tcW w:w="1559" w:type="dxa"/>
            <w:shd w:val="clear" w:color="auto" w:fill="auto"/>
          </w:tcPr>
          <w:p w14:paraId="0BB90FC0" w14:textId="77777777" w:rsidR="00E41A00" w:rsidRPr="003677B2" w:rsidRDefault="00E41A00" w:rsidP="003677B2">
            <w:pPr>
              <w:spacing w:after="0" w:line="280" w:lineRule="atLeast"/>
              <w:rPr>
                <w:rFonts w:cs="Arial"/>
                <w:b/>
                <w:i/>
                <w:sz w:val="22"/>
                <w:szCs w:val="22"/>
              </w:rPr>
            </w:pPr>
          </w:p>
        </w:tc>
      </w:tr>
      <w:tr w:rsidR="00E41A00" w:rsidRPr="003677B2" w14:paraId="0323650C" w14:textId="77777777" w:rsidTr="00E07FF7">
        <w:trPr>
          <w:trHeight w:val="332"/>
        </w:trPr>
        <w:tc>
          <w:tcPr>
            <w:tcW w:w="2122" w:type="dxa"/>
            <w:shd w:val="clear" w:color="auto" w:fill="auto"/>
          </w:tcPr>
          <w:p w14:paraId="24E6F0FB" w14:textId="77777777" w:rsidR="00E41A00" w:rsidRPr="003677B2" w:rsidRDefault="00E41A00" w:rsidP="003677B2">
            <w:pPr>
              <w:spacing w:after="0" w:line="280" w:lineRule="atLeast"/>
              <w:rPr>
                <w:rFonts w:cs="Arial"/>
                <w:sz w:val="22"/>
                <w:szCs w:val="22"/>
              </w:rPr>
            </w:pPr>
            <w:r w:rsidRPr="003677B2">
              <w:rPr>
                <w:rFonts w:cs="Arial"/>
                <w:sz w:val="22"/>
                <w:szCs w:val="22"/>
              </w:rPr>
              <w:t>18 September to 16 October 2023</w:t>
            </w:r>
          </w:p>
        </w:tc>
        <w:tc>
          <w:tcPr>
            <w:tcW w:w="3543" w:type="dxa"/>
            <w:shd w:val="clear" w:color="auto" w:fill="auto"/>
          </w:tcPr>
          <w:p w14:paraId="4AB785D4" w14:textId="77777777" w:rsidR="00E41A00" w:rsidRPr="003677B2" w:rsidRDefault="00E41A00" w:rsidP="003677B2">
            <w:pPr>
              <w:spacing w:after="0" w:line="280" w:lineRule="atLeast"/>
              <w:rPr>
                <w:rFonts w:cs="Arial"/>
                <w:sz w:val="22"/>
                <w:szCs w:val="22"/>
              </w:rPr>
            </w:pPr>
            <w:r w:rsidRPr="003677B2">
              <w:rPr>
                <w:rFonts w:cs="Arial"/>
                <w:sz w:val="22"/>
                <w:szCs w:val="22"/>
              </w:rPr>
              <w:t>Consultation for 4 weeks on the 2022–23 draft CRIS</w:t>
            </w:r>
          </w:p>
        </w:tc>
        <w:tc>
          <w:tcPr>
            <w:tcW w:w="2127" w:type="dxa"/>
            <w:shd w:val="clear" w:color="auto" w:fill="auto"/>
          </w:tcPr>
          <w:p w14:paraId="7D95FC24" w14:textId="77777777" w:rsidR="00E41A00" w:rsidRPr="003677B2" w:rsidRDefault="00E41A00" w:rsidP="003677B2">
            <w:pPr>
              <w:tabs>
                <w:tab w:val="left" w:pos="510"/>
              </w:tabs>
              <w:spacing w:after="0" w:line="280" w:lineRule="atLeast"/>
              <w:rPr>
                <w:rFonts w:cs="Arial"/>
                <w:sz w:val="22"/>
                <w:szCs w:val="22"/>
              </w:rPr>
            </w:pPr>
            <w:r w:rsidRPr="003677B2">
              <w:rPr>
                <w:rFonts w:cs="Arial"/>
                <w:sz w:val="22"/>
                <w:szCs w:val="22"/>
              </w:rPr>
              <w:t>ACMA Authority</w:t>
            </w:r>
          </w:p>
        </w:tc>
        <w:tc>
          <w:tcPr>
            <w:tcW w:w="1559" w:type="dxa"/>
            <w:shd w:val="clear" w:color="auto" w:fill="auto"/>
          </w:tcPr>
          <w:p w14:paraId="7DF6E104" w14:textId="77777777" w:rsidR="00E41A00" w:rsidRPr="003677B2" w:rsidRDefault="00E41A00" w:rsidP="003677B2">
            <w:pPr>
              <w:spacing w:after="0" w:line="280" w:lineRule="atLeast"/>
              <w:rPr>
                <w:rFonts w:cs="Arial"/>
                <w:b/>
                <w:i/>
                <w:sz w:val="22"/>
                <w:szCs w:val="22"/>
              </w:rPr>
            </w:pPr>
          </w:p>
        </w:tc>
      </w:tr>
      <w:tr w:rsidR="00E41A00" w:rsidRPr="003677B2" w14:paraId="46F0FA44" w14:textId="77777777" w:rsidTr="00E07FF7">
        <w:trPr>
          <w:trHeight w:val="24"/>
        </w:trPr>
        <w:tc>
          <w:tcPr>
            <w:tcW w:w="2122" w:type="dxa"/>
            <w:shd w:val="clear" w:color="auto" w:fill="auto"/>
          </w:tcPr>
          <w:p w14:paraId="7FE823F2" w14:textId="77777777" w:rsidR="00E41A00" w:rsidRPr="003677B2" w:rsidRDefault="00E41A00" w:rsidP="003677B2">
            <w:pPr>
              <w:spacing w:after="0" w:line="280" w:lineRule="atLeast"/>
              <w:rPr>
                <w:rFonts w:cs="Arial"/>
                <w:sz w:val="22"/>
                <w:szCs w:val="22"/>
              </w:rPr>
            </w:pPr>
            <w:r w:rsidRPr="003677B2">
              <w:rPr>
                <w:rFonts w:cs="Arial"/>
                <w:sz w:val="22"/>
                <w:szCs w:val="22"/>
              </w:rPr>
              <w:t>26 April 2023</w:t>
            </w:r>
          </w:p>
        </w:tc>
        <w:tc>
          <w:tcPr>
            <w:tcW w:w="3543" w:type="dxa"/>
            <w:shd w:val="clear" w:color="auto" w:fill="auto"/>
          </w:tcPr>
          <w:p w14:paraId="07B7E9AA" w14:textId="77777777" w:rsidR="00E41A00" w:rsidRPr="003677B2" w:rsidRDefault="00E41A00" w:rsidP="003677B2">
            <w:pPr>
              <w:spacing w:after="0" w:line="280" w:lineRule="atLeast"/>
              <w:rPr>
                <w:rFonts w:cs="Arial"/>
                <w:sz w:val="22"/>
                <w:szCs w:val="22"/>
              </w:rPr>
            </w:pPr>
            <w:r w:rsidRPr="003677B2">
              <w:rPr>
                <w:rFonts w:cs="Arial"/>
                <w:sz w:val="22"/>
                <w:szCs w:val="22"/>
              </w:rPr>
              <w:t>Approval of the 2021–22 CRIS</w:t>
            </w:r>
          </w:p>
        </w:tc>
        <w:tc>
          <w:tcPr>
            <w:tcW w:w="2127" w:type="dxa"/>
            <w:shd w:val="clear" w:color="auto" w:fill="auto"/>
          </w:tcPr>
          <w:p w14:paraId="358BD4C8" w14:textId="77777777" w:rsidR="00E41A00" w:rsidRPr="003677B2" w:rsidRDefault="00E41A00" w:rsidP="003677B2">
            <w:pPr>
              <w:tabs>
                <w:tab w:val="left" w:pos="510"/>
              </w:tabs>
              <w:spacing w:after="0" w:line="280" w:lineRule="atLeast"/>
              <w:rPr>
                <w:rFonts w:cs="Arial"/>
                <w:sz w:val="22"/>
                <w:szCs w:val="22"/>
              </w:rPr>
            </w:pPr>
            <w:r w:rsidRPr="003677B2">
              <w:rPr>
                <w:rFonts w:cs="Arial"/>
                <w:sz w:val="22"/>
                <w:szCs w:val="22"/>
              </w:rPr>
              <w:t>Minister for Communications</w:t>
            </w:r>
          </w:p>
        </w:tc>
        <w:tc>
          <w:tcPr>
            <w:tcW w:w="1559" w:type="dxa"/>
            <w:shd w:val="clear" w:color="auto" w:fill="auto"/>
          </w:tcPr>
          <w:p w14:paraId="506ED512" w14:textId="77777777" w:rsidR="00E41A00" w:rsidRPr="003677B2" w:rsidRDefault="00E41A00" w:rsidP="003677B2">
            <w:pPr>
              <w:spacing w:after="0" w:line="280" w:lineRule="atLeast"/>
              <w:rPr>
                <w:rFonts w:cs="Arial"/>
                <w:b/>
                <w:i/>
                <w:sz w:val="22"/>
                <w:szCs w:val="22"/>
              </w:rPr>
            </w:pPr>
          </w:p>
        </w:tc>
      </w:tr>
      <w:tr w:rsidR="00E41A00" w:rsidRPr="003677B2" w14:paraId="165DE7B7" w14:textId="77777777" w:rsidTr="00E07FF7">
        <w:trPr>
          <w:trHeight w:val="332"/>
        </w:trPr>
        <w:tc>
          <w:tcPr>
            <w:tcW w:w="2122" w:type="dxa"/>
            <w:shd w:val="clear" w:color="auto" w:fill="auto"/>
          </w:tcPr>
          <w:p w14:paraId="25BDDDAB" w14:textId="77777777" w:rsidR="00E41A00" w:rsidRPr="003677B2" w:rsidRDefault="00E41A00" w:rsidP="003677B2">
            <w:pPr>
              <w:spacing w:after="0" w:line="280" w:lineRule="atLeast"/>
              <w:rPr>
                <w:rFonts w:cs="Arial"/>
                <w:sz w:val="22"/>
                <w:szCs w:val="22"/>
              </w:rPr>
            </w:pPr>
            <w:r w:rsidRPr="003677B2">
              <w:rPr>
                <w:rFonts w:cs="Arial"/>
                <w:sz w:val="22"/>
                <w:szCs w:val="22"/>
              </w:rPr>
              <w:t>28 March 2023</w:t>
            </w:r>
          </w:p>
        </w:tc>
        <w:tc>
          <w:tcPr>
            <w:tcW w:w="3543" w:type="dxa"/>
            <w:shd w:val="clear" w:color="auto" w:fill="auto"/>
          </w:tcPr>
          <w:p w14:paraId="7FEDB039" w14:textId="77777777" w:rsidR="00E41A00" w:rsidRPr="003677B2" w:rsidRDefault="00E41A00" w:rsidP="003677B2">
            <w:pPr>
              <w:spacing w:after="0" w:line="280" w:lineRule="atLeast"/>
              <w:rPr>
                <w:rFonts w:cs="Arial"/>
                <w:sz w:val="22"/>
                <w:szCs w:val="22"/>
              </w:rPr>
            </w:pPr>
            <w:r w:rsidRPr="003677B2">
              <w:rPr>
                <w:rFonts w:cs="Arial"/>
                <w:sz w:val="22"/>
                <w:szCs w:val="22"/>
              </w:rPr>
              <w:t>Certification of the 2021–22 CRIS</w:t>
            </w:r>
          </w:p>
        </w:tc>
        <w:tc>
          <w:tcPr>
            <w:tcW w:w="2127" w:type="dxa"/>
            <w:shd w:val="clear" w:color="auto" w:fill="auto"/>
          </w:tcPr>
          <w:p w14:paraId="5C8E895E" w14:textId="77777777" w:rsidR="00E41A00" w:rsidRPr="003677B2" w:rsidRDefault="00E41A00" w:rsidP="003677B2">
            <w:pPr>
              <w:tabs>
                <w:tab w:val="left" w:pos="510"/>
              </w:tabs>
              <w:spacing w:after="0" w:line="280" w:lineRule="atLeast"/>
              <w:rPr>
                <w:rFonts w:cs="Arial"/>
                <w:sz w:val="22"/>
                <w:szCs w:val="22"/>
              </w:rPr>
            </w:pPr>
            <w:r w:rsidRPr="003677B2">
              <w:rPr>
                <w:rFonts w:cs="Arial"/>
                <w:sz w:val="22"/>
                <w:szCs w:val="22"/>
              </w:rPr>
              <w:t>ACMA Chair</w:t>
            </w:r>
          </w:p>
        </w:tc>
        <w:tc>
          <w:tcPr>
            <w:tcW w:w="1559" w:type="dxa"/>
            <w:shd w:val="clear" w:color="auto" w:fill="auto"/>
          </w:tcPr>
          <w:p w14:paraId="6338D55B" w14:textId="77777777" w:rsidR="00E41A00" w:rsidRPr="003677B2" w:rsidRDefault="00E41A00" w:rsidP="003677B2">
            <w:pPr>
              <w:spacing w:after="0" w:line="280" w:lineRule="atLeast"/>
              <w:rPr>
                <w:rFonts w:cs="Arial"/>
                <w:b/>
                <w:i/>
                <w:sz w:val="22"/>
                <w:szCs w:val="22"/>
              </w:rPr>
            </w:pPr>
          </w:p>
        </w:tc>
      </w:tr>
      <w:tr w:rsidR="00E41A00" w:rsidRPr="003677B2" w14:paraId="45DF87D4" w14:textId="77777777" w:rsidTr="00E07FF7">
        <w:trPr>
          <w:trHeight w:val="332"/>
        </w:trPr>
        <w:tc>
          <w:tcPr>
            <w:tcW w:w="2122" w:type="dxa"/>
          </w:tcPr>
          <w:p w14:paraId="2B8F2149" w14:textId="77777777" w:rsidR="00E41A00" w:rsidRPr="003677B2" w:rsidRDefault="00E41A00" w:rsidP="003677B2">
            <w:pPr>
              <w:spacing w:after="0" w:line="280" w:lineRule="atLeast"/>
              <w:rPr>
                <w:rFonts w:cs="Arial"/>
                <w:sz w:val="22"/>
                <w:szCs w:val="22"/>
              </w:rPr>
            </w:pPr>
            <w:r w:rsidRPr="003677B2">
              <w:rPr>
                <w:rFonts w:cs="Arial"/>
                <w:sz w:val="22"/>
                <w:szCs w:val="22"/>
              </w:rPr>
              <w:t>16 December 2022 to 3 February 2023</w:t>
            </w:r>
          </w:p>
        </w:tc>
        <w:tc>
          <w:tcPr>
            <w:tcW w:w="3543" w:type="dxa"/>
          </w:tcPr>
          <w:p w14:paraId="2CFCC423" w14:textId="77777777" w:rsidR="00E41A00" w:rsidRPr="003677B2" w:rsidRDefault="00E41A00" w:rsidP="003677B2">
            <w:pPr>
              <w:spacing w:after="0" w:line="280" w:lineRule="atLeast"/>
              <w:rPr>
                <w:rFonts w:cs="Arial"/>
                <w:sz w:val="22"/>
                <w:szCs w:val="22"/>
              </w:rPr>
            </w:pPr>
            <w:r w:rsidRPr="003677B2">
              <w:rPr>
                <w:rFonts w:cs="Arial"/>
                <w:sz w:val="22"/>
                <w:szCs w:val="22"/>
              </w:rPr>
              <w:t>Consultation for 7 weeks on the 2021–22 draft CRIS</w:t>
            </w:r>
          </w:p>
        </w:tc>
        <w:tc>
          <w:tcPr>
            <w:tcW w:w="2127" w:type="dxa"/>
          </w:tcPr>
          <w:p w14:paraId="77FD4BA7" w14:textId="77777777" w:rsidR="00E41A00" w:rsidRPr="003677B2" w:rsidRDefault="00E41A00" w:rsidP="003677B2">
            <w:pPr>
              <w:tabs>
                <w:tab w:val="left" w:pos="510"/>
              </w:tabs>
              <w:spacing w:after="0" w:line="280" w:lineRule="atLeast"/>
              <w:rPr>
                <w:rFonts w:cs="Arial"/>
                <w:sz w:val="22"/>
                <w:szCs w:val="22"/>
              </w:rPr>
            </w:pPr>
            <w:r w:rsidRPr="003677B2">
              <w:rPr>
                <w:rFonts w:cs="Arial"/>
                <w:sz w:val="22"/>
                <w:szCs w:val="22"/>
              </w:rPr>
              <w:t>ACMA Authority</w:t>
            </w:r>
          </w:p>
        </w:tc>
        <w:tc>
          <w:tcPr>
            <w:tcW w:w="1559" w:type="dxa"/>
          </w:tcPr>
          <w:p w14:paraId="4B4C36CF" w14:textId="77777777" w:rsidR="00E41A00" w:rsidRPr="003677B2" w:rsidRDefault="00E41A00" w:rsidP="003677B2">
            <w:pPr>
              <w:spacing w:after="0" w:line="280" w:lineRule="atLeast"/>
              <w:rPr>
                <w:rFonts w:cs="Arial"/>
                <w:b/>
                <w:i/>
                <w:sz w:val="22"/>
                <w:szCs w:val="22"/>
              </w:rPr>
            </w:pPr>
          </w:p>
        </w:tc>
      </w:tr>
      <w:tr w:rsidR="00E41A00" w:rsidRPr="003677B2" w14:paraId="3E1C7477" w14:textId="77777777" w:rsidTr="00E07FF7">
        <w:trPr>
          <w:trHeight w:val="274"/>
        </w:trPr>
        <w:tc>
          <w:tcPr>
            <w:tcW w:w="2122" w:type="dxa"/>
          </w:tcPr>
          <w:p w14:paraId="2B6AA7AF" w14:textId="77777777" w:rsidR="00E41A00" w:rsidRPr="003677B2" w:rsidRDefault="00E41A00" w:rsidP="003677B2">
            <w:pPr>
              <w:spacing w:after="0" w:line="280" w:lineRule="atLeast"/>
              <w:rPr>
                <w:rFonts w:cs="Arial"/>
                <w:sz w:val="22"/>
                <w:szCs w:val="22"/>
              </w:rPr>
            </w:pPr>
            <w:r w:rsidRPr="003677B2">
              <w:rPr>
                <w:rFonts w:cs="Arial"/>
                <w:sz w:val="22"/>
                <w:szCs w:val="22"/>
              </w:rPr>
              <w:t>23 September 2022</w:t>
            </w:r>
          </w:p>
        </w:tc>
        <w:tc>
          <w:tcPr>
            <w:tcW w:w="3543" w:type="dxa"/>
          </w:tcPr>
          <w:p w14:paraId="35AFABFB" w14:textId="77777777" w:rsidR="00E41A00" w:rsidRPr="003677B2" w:rsidRDefault="00E41A00" w:rsidP="003677B2">
            <w:pPr>
              <w:spacing w:after="0" w:line="280" w:lineRule="atLeast"/>
              <w:rPr>
                <w:rFonts w:cs="Arial"/>
                <w:sz w:val="22"/>
                <w:szCs w:val="22"/>
              </w:rPr>
            </w:pPr>
            <w:r w:rsidRPr="003677B2">
              <w:rPr>
                <w:rFonts w:cs="Arial"/>
                <w:sz w:val="22"/>
                <w:szCs w:val="22"/>
              </w:rPr>
              <w:t xml:space="preserve">Approval of the </w:t>
            </w:r>
          </w:p>
          <w:p w14:paraId="2F6599FF" w14:textId="77777777" w:rsidR="00E41A00" w:rsidRPr="003677B2" w:rsidRDefault="00E41A00" w:rsidP="003677B2">
            <w:pPr>
              <w:spacing w:after="0" w:line="280" w:lineRule="atLeast"/>
              <w:rPr>
                <w:rFonts w:cs="Arial"/>
                <w:sz w:val="22"/>
                <w:szCs w:val="22"/>
              </w:rPr>
            </w:pPr>
            <w:r w:rsidRPr="003677B2">
              <w:rPr>
                <w:rFonts w:cs="Arial"/>
                <w:sz w:val="22"/>
                <w:szCs w:val="22"/>
              </w:rPr>
              <w:t>2020–21 CRIS</w:t>
            </w:r>
          </w:p>
        </w:tc>
        <w:tc>
          <w:tcPr>
            <w:tcW w:w="2127" w:type="dxa"/>
          </w:tcPr>
          <w:p w14:paraId="67D18EFF" w14:textId="77777777" w:rsidR="00E41A00" w:rsidRPr="003677B2" w:rsidRDefault="00E41A00" w:rsidP="003677B2">
            <w:pPr>
              <w:tabs>
                <w:tab w:val="left" w:pos="510"/>
              </w:tabs>
              <w:spacing w:after="0" w:line="280" w:lineRule="atLeast"/>
              <w:rPr>
                <w:rFonts w:cs="Arial"/>
                <w:sz w:val="22"/>
                <w:szCs w:val="22"/>
              </w:rPr>
            </w:pPr>
            <w:r w:rsidRPr="003677B2">
              <w:rPr>
                <w:rFonts w:cs="Arial"/>
                <w:sz w:val="22"/>
                <w:szCs w:val="22"/>
              </w:rPr>
              <w:t>Minister for Communications</w:t>
            </w:r>
          </w:p>
        </w:tc>
        <w:tc>
          <w:tcPr>
            <w:tcW w:w="1559" w:type="dxa"/>
          </w:tcPr>
          <w:p w14:paraId="6D67B1CA" w14:textId="77777777" w:rsidR="00E41A00" w:rsidRPr="003677B2" w:rsidRDefault="00E41A00" w:rsidP="003677B2">
            <w:pPr>
              <w:spacing w:after="0" w:line="280" w:lineRule="atLeast"/>
              <w:rPr>
                <w:rFonts w:cs="Arial"/>
                <w:b/>
                <w:i/>
                <w:sz w:val="22"/>
                <w:szCs w:val="22"/>
              </w:rPr>
            </w:pPr>
          </w:p>
        </w:tc>
      </w:tr>
      <w:tr w:rsidR="00E41A00" w:rsidRPr="003677B2" w14:paraId="67759900" w14:textId="77777777" w:rsidTr="00E07FF7">
        <w:tc>
          <w:tcPr>
            <w:tcW w:w="2122" w:type="dxa"/>
          </w:tcPr>
          <w:p w14:paraId="64ACCA3A" w14:textId="77777777" w:rsidR="00E41A00" w:rsidRPr="003677B2" w:rsidRDefault="00E41A00" w:rsidP="003677B2">
            <w:pPr>
              <w:spacing w:after="0" w:line="280" w:lineRule="atLeast"/>
              <w:rPr>
                <w:rFonts w:cs="Arial"/>
                <w:sz w:val="22"/>
                <w:szCs w:val="22"/>
              </w:rPr>
            </w:pPr>
            <w:r w:rsidRPr="003677B2">
              <w:rPr>
                <w:rFonts w:cs="Arial"/>
                <w:sz w:val="22"/>
                <w:szCs w:val="22"/>
              </w:rPr>
              <w:t>18 August 2022</w:t>
            </w:r>
          </w:p>
        </w:tc>
        <w:tc>
          <w:tcPr>
            <w:tcW w:w="3543" w:type="dxa"/>
          </w:tcPr>
          <w:p w14:paraId="53D6FA78" w14:textId="77777777" w:rsidR="00E41A00" w:rsidRPr="003677B2" w:rsidRDefault="00E41A00" w:rsidP="003677B2">
            <w:pPr>
              <w:spacing w:after="0" w:line="280" w:lineRule="atLeast"/>
              <w:rPr>
                <w:rFonts w:cs="Arial"/>
                <w:sz w:val="22"/>
                <w:szCs w:val="22"/>
              </w:rPr>
            </w:pPr>
            <w:r w:rsidRPr="003677B2">
              <w:rPr>
                <w:rFonts w:cs="Arial"/>
                <w:sz w:val="22"/>
                <w:szCs w:val="22"/>
              </w:rPr>
              <w:t>Certification of the 2020–21 CRIS</w:t>
            </w:r>
          </w:p>
        </w:tc>
        <w:tc>
          <w:tcPr>
            <w:tcW w:w="2127" w:type="dxa"/>
          </w:tcPr>
          <w:p w14:paraId="7953C0E8" w14:textId="77777777" w:rsidR="00E41A00" w:rsidRPr="003677B2" w:rsidRDefault="00E41A00" w:rsidP="003677B2">
            <w:pPr>
              <w:spacing w:after="0" w:line="280" w:lineRule="atLeast"/>
              <w:rPr>
                <w:rFonts w:cs="Arial"/>
                <w:sz w:val="22"/>
                <w:szCs w:val="22"/>
              </w:rPr>
            </w:pPr>
            <w:r w:rsidRPr="003677B2">
              <w:rPr>
                <w:rFonts w:cs="Arial"/>
                <w:sz w:val="22"/>
                <w:szCs w:val="22"/>
              </w:rPr>
              <w:t>ACMA Chair</w:t>
            </w:r>
          </w:p>
        </w:tc>
        <w:tc>
          <w:tcPr>
            <w:tcW w:w="1559" w:type="dxa"/>
          </w:tcPr>
          <w:p w14:paraId="1D1C7307" w14:textId="77777777" w:rsidR="00E41A00" w:rsidRPr="003677B2" w:rsidRDefault="00E41A00" w:rsidP="003677B2">
            <w:pPr>
              <w:spacing w:after="0" w:line="280" w:lineRule="atLeast"/>
              <w:rPr>
                <w:rFonts w:cs="Arial"/>
                <w:b/>
                <w:i/>
                <w:sz w:val="22"/>
                <w:szCs w:val="22"/>
              </w:rPr>
            </w:pPr>
          </w:p>
        </w:tc>
      </w:tr>
      <w:tr w:rsidR="00E41A00" w:rsidRPr="003677B2" w14:paraId="5E965A2E" w14:textId="77777777" w:rsidTr="00E07FF7">
        <w:tc>
          <w:tcPr>
            <w:tcW w:w="2122" w:type="dxa"/>
          </w:tcPr>
          <w:p w14:paraId="257B7D74" w14:textId="77777777" w:rsidR="00E41A00" w:rsidRPr="003677B2" w:rsidRDefault="00E41A00" w:rsidP="003677B2">
            <w:pPr>
              <w:spacing w:after="0" w:line="280" w:lineRule="atLeast"/>
              <w:rPr>
                <w:rFonts w:cs="Arial"/>
                <w:sz w:val="22"/>
                <w:szCs w:val="22"/>
              </w:rPr>
            </w:pPr>
            <w:r w:rsidRPr="003677B2">
              <w:rPr>
                <w:rFonts w:cs="Arial"/>
                <w:sz w:val="22"/>
                <w:szCs w:val="22"/>
              </w:rPr>
              <w:t xml:space="preserve">5 April 2022 to </w:t>
            </w:r>
            <w:r w:rsidRPr="003677B2">
              <w:rPr>
                <w:rFonts w:cs="Arial"/>
                <w:sz w:val="22"/>
                <w:szCs w:val="22"/>
              </w:rPr>
              <w:br/>
              <w:t>2 May 2022</w:t>
            </w:r>
          </w:p>
        </w:tc>
        <w:tc>
          <w:tcPr>
            <w:tcW w:w="3543" w:type="dxa"/>
          </w:tcPr>
          <w:p w14:paraId="0D888690" w14:textId="77777777" w:rsidR="00E41A00" w:rsidRPr="003677B2" w:rsidRDefault="00E41A00" w:rsidP="003677B2">
            <w:pPr>
              <w:spacing w:after="0" w:line="280" w:lineRule="atLeast"/>
              <w:rPr>
                <w:rFonts w:cs="Arial"/>
                <w:sz w:val="22"/>
                <w:szCs w:val="22"/>
              </w:rPr>
            </w:pPr>
            <w:r w:rsidRPr="003677B2">
              <w:rPr>
                <w:rFonts w:cs="Arial"/>
                <w:sz w:val="22"/>
                <w:szCs w:val="22"/>
              </w:rPr>
              <w:t>Consultation for 4 weeks on the 2020–21 draft CRIS</w:t>
            </w:r>
          </w:p>
        </w:tc>
        <w:tc>
          <w:tcPr>
            <w:tcW w:w="2127" w:type="dxa"/>
          </w:tcPr>
          <w:p w14:paraId="499EF75D" w14:textId="77777777" w:rsidR="00E41A00" w:rsidRPr="003677B2" w:rsidRDefault="00E41A00" w:rsidP="003677B2">
            <w:pPr>
              <w:spacing w:after="0" w:line="280" w:lineRule="atLeast"/>
              <w:rPr>
                <w:rFonts w:cs="Arial"/>
                <w:sz w:val="22"/>
                <w:szCs w:val="22"/>
              </w:rPr>
            </w:pPr>
            <w:r w:rsidRPr="003677B2">
              <w:rPr>
                <w:rFonts w:cs="Arial"/>
                <w:sz w:val="22"/>
                <w:szCs w:val="22"/>
              </w:rPr>
              <w:t>ACMA Authority</w:t>
            </w:r>
          </w:p>
        </w:tc>
        <w:tc>
          <w:tcPr>
            <w:tcW w:w="1559" w:type="dxa"/>
          </w:tcPr>
          <w:p w14:paraId="72847556" w14:textId="77777777" w:rsidR="00E41A00" w:rsidRPr="003677B2" w:rsidRDefault="00E41A00" w:rsidP="003677B2">
            <w:pPr>
              <w:spacing w:after="0" w:line="280" w:lineRule="atLeast"/>
              <w:rPr>
                <w:rFonts w:cs="Arial"/>
                <w:b/>
                <w:i/>
                <w:sz w:val="22"/>
                <w:szCs w:val="22"/>
              </w:rPr>
            </w:pPr>
          </w:p>
        </w:tc>
      </w:tr>
      <w:tr w:rsidR="00E41A00" w:rsidRPr="003677B2" w14:paraId="665E8B19" w14:textId="77777777" w:rsidTr="00E07FF7">
        <w:tc>
          <w:tcPr>
            <w:tcW w:w="2122" w:type="dxa"/>
          </w:tcPr>
          <w:p w14:paraId="490E6CF4" w14:textId="77777777" w:rsidR="00E41A00" w:rsidRPr="003677B2" w:rsidRDefault="00E41A00" w:rsidP="003677B2">
            <w:pPr>
              <w:spacing w:after="0" w:line="280" w:lineRule="atLeast"/>
              <w:rPr>
                <w:rFonts w:cs="Arial"/>
                <w:sz w:val="22"/>
                <w:szCs w:val="22"/>
              </w:rPr>
            </w:pPr>
            <w:r w:rsidRPr="003677B2">
              <w:rPr>
                <w:rFonts w:cs="Arial"/>
                <w:sz w:val="22"/>
                <w:szCs w:val="22"/>
              </w:rPr>
              <w:t>7June 2021</w:t>
            </w:r>
          </w:p>
        </w:tc>
        <w:tc>
          <w:tcPr>
            <w:tcW w:w="3543" w:type="dxa"/>
          </w:tcPr>
          <w:p w14:paraId="4976A91A" w14:textId="77777777" w:rsidR="00E41A00" w:rsidRPr="003677B2" w:rsidRDefault="00E41A00" w:rsidP="003677B2">
            <w:pPr>
              <w:spacing w:after="0" w:line="280" w:lineRule="atLeast"/>
              <w:rPr>
                <w:rFonts w:cs="Arial"/>
                <w:sz w:val="22"/>
                <w:szCs w:val="22"/>
              </w:rPr>
            </w:pPr>
            <w:r w:rsidRPr="003677B2">
              <w:rPr>
                <w:rFonts w:cs="Arial"/>
                <w:sz w:val="22"/>
                <w:szCs w:val="22"/>
              </w:rPr>
              <w:t>Approval of the 2019–20 CRIS</w:t>
            </w:r>
          </w:p>
        </w:tc>
        <w:tc>
          <w:tcPr>
            <w:tcW w:w="2127" w:type="dxa"/>
          </w:tcPr>
          <w:p w14:paraId="684229D4" w14:textId="77777777" w:rsidR="00E41A00" w:rsidRPr="003677B2" w:rsidRDefault="00E41A00" w:rsidP="003677B2">
            <w:pPr>
              <w:spacing w:after="0" w:line="280" w:lineRule="atLeast"/>
              <w:rPr>
                <w:rFonts w:cs="Arial"/>
                <w:sz w:val="22"/>
                <w:szCs w:val="22"/>
              </w:rPr>
            </w:pPr>
            <w:r w:rsidRPr="003677B2">
              <w:rPr>
                <w:rFonts w:cs="Arial"/>
                <w:sz w:val="22"/>
                <w:szCs w:val="22"/>
              </w:rPr>
              <w:t xml:space="preserve">Minister for Communications, Urban Infrastructure, </w:t>
            </w:r>
            <w:proofErr w:type="gramStart"/>
            <w:r w:rsidRPr="003677B2">
              <w:rPr>
                <w:rFonts w:cs="Arial"/>
                <w:sz w:val="22"/>
                <w:szCs w:val="22"/>
              </w:rPr>
              <w:t>Cities</w:t>
            </w:r>
            <w:proofErr w:type="gramEnd"/>
            <w:r w:rsidRPr="003677B2">
              <w:rPr>
                <w:rFonts w:cs="Arial"/>
                <w:sz w:val="22"/>
                <w:szCs w:val="22"/>
              </w:rPr>
              <w:t xml:space="preserve"> and the Arts</w:t>
            </w:r>
          </w:p>
        </w:tc>
        <w:tc>
          <w:tcPr>
            <w:tcW w:w="1559" w:type="dxa"/>
          </w:tcPr>
          <w:p w14:paraId="4D4B8C9F" w14:textId="77777777" w:rsidR="00E41A00" w:rsidRPr="003677B2" w:rsidRDefault="00E41A00" w:rsidP="003677B2">
            <w:pPr>
              <w:spacing w:after="0" w:line="280" w:lineRule="atLeast"/>
              <w:rPr>
                <w:rFonts w:cs="Arial"/>
                <w:b/>
                <w:i/>
                <w:sz w:val="22"/>
                <w:szCs w:val="22"/>
              </w:rPr>
            </w:pPr>
          </w:p>
        </w:tc>
      </w:tr>
      <w:tr w:rsidR="00E41A00" w:rsidRPr="003677B2" w14:paraId="5897AAB4" w14:textId="77777777" w:rsidTr="00E07FF7">
        <w:tc>
          <w:tcPr>
            <w:tcW w:w="2122" w:type="dxa"/>
          </w:tcPr>
          <w:p w14:paraId="540B2808" w14:textId="77777777" w:rsidR="00E41A00" w:rsidRPr="003677B2" w:rsidRDefault="00E41A00" w:rsidP="003677B2">
            <w:pPr>
              <w:spacing w:after="0" w:line="280" w:lineRule="atLeast"/>
              <w:rPr>
                <w:rFonts w:cs="Arial"/>
                <w:sz w:val="22"/>
                <w:szCs w:val="22"/>
              </w:rPr>
            </w:pPr>
            <w:bookmarkStart w:id="293" w:name="_Hlk96339161"/>
            <w:r w:rsidRPr="003677B2">
              <w:rPr>
                <w:rFonts w:cs="Arial"/>
                <w:sz w:val="22"/>
                <w:szCs w:val="22"/>
              </w:rPr>
              <w:t>24 May 2021</w:t>
            </w:r>
          </w:p>
        </w:tc>
        <w:tc>
          <w:tcPr>
            <w:tcW w:w="3543" w:type="dxa"/>
          </w:tcPr>
          <w:p w14:paraId="4B0B8E9A" w14:textId="77777777" w:rsidR="00E41A00" w:rsidRPr="003677B2" w:rsidRDefault="00E41A00" w:rsidP="003677B2">
            <w:pPr>
              <w:spacing w:after="0" w:line="280" w:lineRule="atLeast"/>
              <w:rPr>
                <w:rFonts w:cs="Arial"/>
                <w:sz w:val="22"/>
                <w:szCs w:val="22"/>
              </w:rPr>
            </w:pPr>
            <w:r w:rsidRPr="003677B2">
              <w:rPr>
                <w:rFonts w:cs="Arial"/>
                <w:sz w:val="22"/>
                <w:szCs w:val="22"/>
              </w:rPr>
              <w:t>Certification of the 2019–20 CRIS</w:t>
            </w:r>
          </w:p>
        </w:tc>
        <w:tc>
          <w:tcPr>
            <w:tcW w:w="2127" w:type="dxa"/>
          </w:tcPr>
          <w:p w14:paraId="156A7FAB" w14:textId="77777777" w:rsidR="00E41A00" w:rsidRPr="003677B2" w:rsidRDefault="00E41A00" w:rsidP="003677B2">
            <w:pPr>
              <w:spacing w:after="0" w:line="280" w:lineRule="atLeast"/>
              <w:rPr>
                <w:rFonts w:cs="Arial"/>
                <w:sz w:val="22"/>
                <w:szCs w:val="22"/>
              </w:rPr>
            </w:pPr>
            <w:r w:rsidRPr="003677B2">
              <w:rPr>
                <w:rFonts w:cs="Arial"/>
                <w:sz w:val="22"/>
                <w:szCs w:val="22"/>
              </w:rPr>
              <w:t>ACMA Chair</w:t>
            </w:r>
          </w:p>
        </w:tc>
        <w:tc>
          <w:tcPr>
            <w:tcW w:w="1559" w:type="dxa"/>
          </w:tcPr>
          <w:p w14:paraId="31B06ECE" w14:textId="77777777" w:rsidR="00E41A00" w:rsidRPr="003677B2" w:rsidRDefault="00E41A00" w:rsidP="003677B2">
            <w:pPr>
              <w:spacing w:after="0" w:line="280" w:lineRule="atLeast"/>
              <w:rPr>
                <w:rFonts w:cs="Arial"/>
                <w:b/>
                <w:i/>
                <w:sz w:val="22"/>
                <w:szCs w:val="22"/>
              </w:rPr>
            </w:pPr>
          </w:p>
        </w:tc>
      </w:tr>
      <w:tr w:rsidR="00E41A00" w:rsidRPr="003677B2" w14:paraId="6F79DD45" w14:textId="77777777" w:rsidTr="00E07FF7">
        <w:tc>
          <w:tcPr>
            <w:tcW w:w="2122" w:type="dxa"/>
          </w:tcPr>
          <w:p w14:paraId="4D7C9B60" w14:textId="77777777" w:rsidR="00E41A00" w:rsidRPr="003677B2" w:rsidRDefault="00E41A00" w:rsidP="003677B2">
            <w:pPr>
              <w:spacing w:after="0" w:line="280" w:lineRule="atLeast"/>
              <w:rPr>
                <w:rFonts w:cs="Arial"/>
                <w:sz w:val="22"/>
                <w:szCs w:val="22"/>
              </w:rPr>
            </w:pPr>
            <w:r w:rsidRPr="003677B2">
              <w:rPr>
                <w:rFonts w:cs="Arial"/>
                <w:sz w:val="22"/>
                <w:szCs w:val="22"/>
              </w:rPr>
              <w:t>29 March 2021</w:t>
            </w:r>
          </w:p>
        </w:tc>
        <w:tc>
          <w:tcPr>
            <w:tcW w:w="3543" w:type="dxa"/>
          </w:tcPr>
          <w:p w14:paraId="40617F80" w14:textId="77777777" w:rsidR="00E41A00" w:rsidRPr="003677B2" w:rsidRDefault="00E41A00" w:rsidP="003677B2">
            <w:pPr>
              <w:spacing w:after="0" w:line="280" w:lineRule="atLeast"/>
              <w:rPr>
                <w:rFonts w:cs="Arial"/>
                <w:sz w:val="22"/>
                <w:szCs w:val="22"/>
              </w:rPr>
            </w:pPr>
            <w:r w:rsidRPr="003677B2">
              <w:rPr>
                <w:rFonts w:cs="Arial"/>
                <w:sz w:val="22"/>
                <w:szCs w:val="22"/>
              </w:rPr>
              <w:t>Consultation for 4 weeks in the 2019–20 draft CRIS</w:t>
            </w:r>
          </w:p>
        </w:tc>
        <w:tc>
          <w:tcPr>
            <w:tcW w:w="2127" w:type="dxa"/>
          </w:tcPr>
          <w:p w14:paraId="7765323B" w14:textId="77777777" w:rsidR="00E41A00" w:rsidRPr="003677B2" w:rsidRDefault="00E41A00" w:rsidP="003677B2">
            <w:pPr>
              <w:spacing w:after="0" w:line="280" w:lineRule="atLeast"/>
              <w:rPr>
                <w:rFonts w:cs="Arial"/>
                <w:sz w:val="22"/>
                <w:szCs w:val="22"/>
              </w:rPr>
            </w:pPr>
            <w:r w:rsidRPr="003677B2">
              <w:rPr>
                <w:rFonts w:cs="Arial"/>
                <w:sz w:val="22"/>
                <w:szCs w:val="22"/>
              </w:rPr>
              <w:t>ACMA Authority</w:t>
            </w:r>
          </w:p>
        </w:tc>
        <w:tc>
          <w:tcPr>
            <w:tcW w:w="1559" w:type="dxa"/>
          </w:tcPr>
          <w:p w14:paraId="0044EE62" w14:textId="77777777" w:rsidR="00E41A00" w:rsidRPr="003677B2" w:rsidRDefault="00E41A00" w:rsidP="003677B2">
            <w:pPr>
              <w:spacing w:after="0" w:line="280" w:lineRule="atLeast"/>
              <w:rPr>
                <w:rFonts w:cs="Arial"/>
                <w:b/>
                <w:i/>
                <w:sz w:val="22"/>
                <w:szCs w:val="22"/>
              </w:rPr>
            </w:pPr>
          </w:p>
        </w:tc>
      </w:tr>
      <w:tr w:rsidR="00E41A00" w:rsidRPr="003677B2" w14:paraId="7BC76635" w14:textId="77777777" w:rsidTr="00E07FF7">
        <w:tc>
          <w:tcPr>
            <w:tcW w:w="2122" w:type="dxa"/>
          </w:tcPr>
          <w:p w14:paraId="312A9EB3" w14:textId="77777777" w:rsidR="00E41A00" w:rsidRPr="003677B2" w:rsidRDefault="00E41A00" w:rsidP="003677B2">
            <w:pPr>
              <w:spacing w:after="0" w:line="280" w:lineRule="atLeast"/>
              <w:rPr>
                <w:rFonts w:cs="Arial"/>
                <w:sz w:val="22"/>
                <w:szCs w:val="22"/>
              </w:rPr>
            </w:pPr>
            <w:bookmarkStart w:id="294" w:name="_Hlk63688001"/>
            <w:bookmarkEnd w:id="293"/>
            <w:r w:rsidRPr="003677B2">
              <w:rPr>
                <w:rFonts w:cs="Arial"/>
                <w:sz w:val="22"/>
                <w:szCs w:val="22"/>
              </w:rPr>
              <w:t>26 November 2019</w:t>
            </w:r>
          </w:p>
        </w:tc>
        <w:tc>
          <w:tcPr>
            <w:tcW w:w="3543" w:type="dxa"/>
          </w:tcPr>
          <w:p w14:paraId="4B16F9D7" w14:textId="77777777" w:rsidR="00E41A00" w:rsidRPr="003677B2" w:rsidRDefault="00E41A00" w:rsidP="003677B2">
            <w:pPr>
              <w:spacing w:after="0" w:line="280" w:lineRule="atLeast"/>
              <w:rPr>
                <w:rFonts w:cs="Arial"/>
                <w:sz w:val="22"/>
                <w:szCs w:val="22"/>
              </w:rPr>
            </w:pPr>
            <w:r w:rsidRPr="003677B2">
              <w:rPr>
                <w:rFonts w:cs="Arial"/>
                <w:sz w:val="22"/>
                <w:szCs w:val="22"/>
              </w:rPr>
              <w:t>Approval of the 2018–19 CRIS – Version 5.1</w:t>
            </w:r>
          </w:p>
        </w:tc>
        <w:tc>
          <w:tcPr>
            <w:tcW w:w="2127" w:type="dxa"/>
          </w:tcPr>
          <w:p w14:paraId="4B7B8B84" w14:textId="77777777" w:rsidR="00E41A00" w:rsidRPr="003677B2" w:rsidRDefault="00E41A00" w:rsidP="003677B2">
            <w:pPr>
              <w:spacing w:after="0" w:line="280" w:lineRule="atLeast"/>
              <w:rPr>
                <w:rFonts w:cs="Arial"/>
                <w:sz w:val="22"/>
                <w:szCs w:val="22"/>
              </w:rPr>
            </w:pPr>
            <w:r w:rsidRPr="003677B2">
              <w:rPr>
                <w:rFonts w:cs="Arial"/>
                <w:sz w:val="22"/>
                <w:szCs w:val="22"/>
              </w:rPr>
              <w:t xml:space="preserve">Minister for Communications, </w:t>
            </w:r>
            <w:r w:rsidRPr="003677B2">
              <w:rPr>
                <w:rFonts w:cs="Arial"/>
                <w:sz w:val="22"/>
                <w:szCs w:val="22"/>
              </w:rPr>
              <w:lastRenderedPageBreak/>
              <w:t xml:space="preserve">Cyber </w:t>
            </w:r>
            <w:proofErr w:type="gramStart"/>
            <w:r w:rsidRPr="003677B2">
              <w:rPr>
                <w:rFonts w:cs="Arial"/>
                <w:sz w:val="22"/>
                <w:szCs w:val="22"/>
              </w:rPr>
              <w:t>Safety</w:t>
            </w:r>
            <w:proofErr w:type="gramEnd"/>
            <w:r w:rsidRPr="003677B2">
              <w:rPr>
                <w:rFonts w:cs="Arial"/>
                <w:sz w:val="22"/>
                <w:szCs w:val="22"/>
              </w:rPr>
              <w:t xml:space="preserve"> and the Arts</w:t>
            </w:r>
          </w:p>
        </w:tc>
        <w:tc>
          <w:tcPr>
            <w:tcW w:w="1559" w:type="dxa"/>
          </w:tcPr>
          <w:p w14:paraId="5DA41BB2" w14:textId="77777777" w:rsidR="00E41A00" w:rsidRPr="003677B2" w:rsidRDefault="00E41A00" w:rsidP="003677B2">
            <w:pPr>
              <w:spacing w:after="0" w:line="280" w:lineRule="atLeast"/>
              <w:rPr>
                <w:rFonts w:cs="Arial"/>
                <w:b/>
                <w:i/>
                <w:sz w:val="22"/>
                <w:szCs w:val="22"/>
              </w:rPr>
            </w:pPr>
          </w:p>
        </w:tc>
      </w:tr>
      <w:tr w:rsidR="00E41A00" w:rsidRPr="003677B2" w14:paraId="4ABF71C5" w14:textId="77777777" w:rsidTr="00E07FF7">
        <w:trPr>
          <w:trHeight w:val="206"/>
        </w:trPr>
        <w:tc>
          <w:tcPr>
            <w:tcW w:w="2122" w:type="dxa"/>
          </w:tcPr>
          <w:p w14:paraId="2BA90AB2" w14:textId="77777777" w:rsidR="00E41A00" w:rsidRPr="003677B2" w:rsidRDefault="00E41A00" w:rsidP="003677B2">
            <w:pPr>
              <w:spacing w:after="0" w:line="280" w:lineRule="atLeast"/>
              <w:rPr>
                <w:rFonts w:cs="Arial"/>
                <w:sz w:val="22"/>
                <w:szCs w:val="22"/>
              </w:rPr>
            </w:pPr>
            <w:r w:rsidRPr="003677B2">
              <w:rPr>
                <w:rFonts w:cs="Arial"/>
                <w:sz w:val="22"/>
                <w:szCs w:val="22"/>
              </w:rPr>
              <w:t>30 October 2019</w:t>
            </w:r>
          </w:p>
        </w:tc>
        <w:tc>
          <w:tcPr>
            <w:tcW w:w="3543" w:type="dxa"/>
          </w:tcPr>
          <w:p w14:paraId="0F0C29DB" w14:textId="77777777" w:rsidR="00E41A00" w:rsidRPr="003677B2" w:rsidRDefault="00E41A00" w:rsidP="003677B2">
            <w:pPr>
              <w:spacing w:after="0" w:line="280" w:lineRule="atLeast"/>
              <w:rPr>
                <w:rFonts w:cs="Arial"/>
                <w:sz w:val="22"/>
                <w:szCs w:val="22"/>
              </w:rPr>
            </w:pPr>
            <w:r w:rsidRPr="003677B2">
              <w:rPr>
                <w:rFonts w:cs="Arial"/>
                <w:sz w:val="22"/>
                <w:szCs w:val="22"/>
              </w:rPr>
              <w:t>Certification of the 2018–19 CRIS – Version 5.1</w:t>
            </w:r>
          </w:p>
        </w:tc>
        <w:tc>
          <w:tcPr>
            <w:tcW w:w="2127" w:type="dxa"/>
          </w:tcPr>
          <w:p w14:paraId="60AE6C35" w14:textId="77777777" w:rsidR="00E41A00" w:rsidRPr="003677B2" w:rsidRDefault="00E41A00" w:rsidP="003677B2">
            <w:pPr>
              <w:spacing w:after="0" w:line="280" w:lineRule="atLeast"/>
              <w:rPr>
                <w:rFonts w:cs="Arial"/>
                <w:sz w:val="22"/>
                <w:szCs w:val="22"/>
              </w:rPr>
            </w:pPr>
            <w:r w:rsidRPr="003677B2">
              <w:rPr>
                <w:rFonts w:cs="Arial"/>
                <w:sz w:val="22"/>
                <w:szCs w:val="22"/>
              </w:rPr>
              <w:t>ACMA Chair</w:t>
            </w:r>
          </w:p>
        </w:tc>
        <w:tc>
          <w:tcPr>
            <w:tcW w:w="1559" w:type="dxa"/>
          </w:tcPr>
          <w:p w14:paraId="1E7A0931" w14:textId="77777777" w:rsidR="00E41A00" w:rsidRPr="003677B2" w:rsidRDefault="00E41A00" w:rsidP="003677B2">
            <w:pPr>
              <w:spacing w:after="0" w:line="280" w:lineRule="atLeast"/>
              <w:rPr>
                <w:rFonts w:cs="Arial"/>
                <w:b/>
                <w:i/>
                <w:sz w:val="22"/>
                <w:szCs w:val="22"/>
              </w:rPr>
            </w:pPr>
          </w:p>
        </w:tc>
      </w:tr>
      <w:bookmarkEnd w:id="294"/>
      <w:tr w:rsidR="00E41A00" w:rsidRPr="003677B2" w14:paraId="113E3DEB" w14:textId="77777777" w:rsidTr="00E07FF7">
        <w:tc>
          <w:tcPr>
            <w:tcW w:w="2122" w:type="dxa"/>
          </w:tcPr>
          <w:p w14:paraId="2D7C6BA8" w14:textId="77777777" w:rsidR="00E41A00" w:rsidRPr="003677B2" w:rsidRDefault="00E41A00" w:rsidP="003677B2">
            <w:pPr>
              <w:spacing w:after="0" w:line="280" w:lineRule="atLeast"/>
              <w:rPr>
                <w:rFonts w:cs="Arial"/>
                <w:sz w:val="22"/>
                <w:szCs w:val="22"/>
              </w:rPr>
            </w:pPr>
            <w:r w:rsidRPr="003677B2">
              <w:rPr>
                <w:rFonts w:cs="Arial"/>
                <w:sz w:val="22"/>
                <w:szCs w:val="22"/>
              </w:rPr>
              <w:t>22 July 2019</w:t>
            </w:r>
          </w:p>
        </w:tc>
        <w:tc>
          <w:tcPr>
            <w:tcW w:w="3543" w:type="dxa"/>
          </w:tcPr>
          <w:p w14:paraId="193AE4C0" w14:textId="77777777" w:rsidR="00E41A00" w:rsidRPr="003677B2" w:rsidRDefault="00E41A00" w:rsidP="003677B2">
            <w:pPr>
              <w:spacing w:after="0" w:line="280" w:lineRule="atLeast"/>
              <w:rPr>
                <w:rFonts w:cs="Arial"/>
                <w:sz w:val="22"/>
                <w:szCs w:val="22"/>
              </w:rPr>
            </w:pPr>
            <w:r w:rsidRPr="003677B2">
              <w:rPr>
                <w:rFonts w:cs="Arial"/>
                <w:sz w:val="22"/>
                <w:szCs w:val="22"/>
              </w:rPr>
              <w:t xml:space="preserve">Consultation for 4 weeks on the 2018–19 draft CRIS – Version 5.0 </w:t>
            </w:r>
          </w:p>
        </w:tc>
        <w:tc>
          <w:tcPr>
            <w:tcW w:w="2127" w:type="dxa"/>
          </w:tcPr>
          <w:p w14:paraId="03664FA1" w14:textId="77777777" w:rsidR="00E41A00" w:rsidRPr="003677B2" w:rsidRDefault="00E41A00" w:rsidP="003677B2">
            <w:pPr>
              <w:spacing w:after="0" w:line="280" w:lineRule="atLeast"/>
              <w:rPr>
                <w:rFonts w:cs="Arial"/>
                <w:sz w:val="22"/>
                <w:szCs w:val="22"/>
              </w:rPr>
            </w:pPr>
            <w:r w:rsidRPr="003677B2">
              <w:rPr>
                <w:rFonts w:cs="Arial"/>
                <w:sz w:val="22"/>
                <w:szCs w:val="22"/>
              </w:rPr>
              <w:t>ACMA Authority</w:t>
            </w:r>
          </w:p>
        </w:tc>
        <w:tc>
          <w:tcPr>
            <w:tcW w:w="1559" w:type="dxa"/>
          </w:tcPr>
          <w:p w14:paraId="0709779C" w14:textId="77777777" w:rsidR="00E41A00" w:rsidRPr="003677B2" w:rsidRDefault="00E41A00" w:rsidP="003677B2">
            <w:pPr>
              <w:spacing w:after="0" w:line="280" w:lineRule="atLeast"/>
              <w:rPr>
                <w:rFonts w:cs="Arial"/>
                <w:b/>
                <w:i/>
                <w:sz w:val="22"/>
                <w:szCs w:val="22"/>
              </w:rPr>
            </w:pPr>
          </w:p>
        </w:tc>
      </w:tr>
      <w:tr w:rsidR="00E41A00" w:rsidRPr="003677B2" w14:paraId="7C1F06B3" w14:textId="77777777" w:rsidTr="00E07FF7">
        <w:tc>
          <w:tcPr>
            <w:tcW w:w="2122" w:type="dxa"/>
          </w:tcPr>
          <w:p w14:paraId="1BDA1439" w14:textId="77777777" w:rsidR="00E41A00" w:rsidRPr="003677B2" w:rsidRDefault="00E41A00" w:rsidP="003677B2">
            <w:pPr>
              <w:spacing w:after="0" w:line="280" w:lineRule="atLeast"/>
              <w:rPr>
                <w:rFonts w:cs="Arial"/>
                <w:sz w:val="22"/>
                <w:szCs w:val="22"/>
              </w:rPr>
            </w:pPr>
            <w:r w:rsidRPr="003677B2">
              <w:rPr>
                <w:rFonts w:cs="Arial"/>
                <w:sz w:val="22"/>
                <w:szCs w:val="22"/>
              </w:rPr>
              <w:t>13 December 2018</w:t>
            </w:r>
          </w:p>
        </w:tc>
        <w:tc>
          <w:tcPr>
            <w:tcW w:w="3543" w:type="dxa"/>
          </w:tcPr>
          <w:p w14:paraId="18469CDC" w14:textId="77777777" w:rsidR="00E41A00" w:rsidRPr="003677B2" w:rsidRDefault="00E41A00" w:rsidP="003677B2">
            <w:pPr>
              <w:spacing w:after="0" w:line="280" w:lineRule="atLeast"/>
              <w:rPr>
                <w:rFonts w:cs="Arial"/>
                <w:sz w:val="22"/>
                <w:szCs w:val="22"/>
              </w:rPr>
            </w:pPr>
            <w:r w:rsidRPr="003677B2">
              <w:rPr>
                <w:rFonts w:cs="Arial"/>
                <w:sz w:val="22"/>
                <w:szCs w:val="22"/>
              </w:rPr>
              <w:t>Approval of the 2017–18 CRIS – Version 4.1</w:t>
            </w:r>
          </w:p>
        </w:tc>
        <w:tc>
          <w:tcPr>
            <w:tcW w:w="2127" w:type="dxa"/>
          </w:tcPr>
          <w:p w14:paraId="67FC68B4" w14:textId="77777777" w:rsidR="00E41A00" w:rsidRPr="003677B2" w:rsidRDefault="00E41A00" w:rsidP="003677B2">
            <w:pPr>
              <w:spacing w:after="0" w:line="280" w:lineRule="atLeast"/>
              <w:rPr>
                <w:rFonts w:cs="Arial"/>
                <w:sz w:val="22"/>
                <w:szCs w:val="22"/>
              </w:rPr>
            </w:pPr>
            <w:r w:rsidRPr="003677B2">
              <w:rPr>
                <w:rFonts w:cs="Arial"/>
                <w:sz w:val="22"/>
                <w:szCs w:val="22"/>
              </w:rPr>
              <w:t>Minister for Communications and the Arts</w:t>
            </w:r>
          </w:p>
        </w:tc>
        <w:tc>
          <w:tcPr>
            <w:tcW w:w="1559" w:type="dxa"/>
          </w:tcPr>
          <w:p w14:paraId="5949B7DA" w14:textId="77777777" w:rsidR="00E41A00" w:rsidRPr="003677B2" w:rsidRDefault="00E41A00" w:rsidP="003677B2">
            <w:pPr>
              <w:spacing w:after="0" w:line="280" w:lineRule="atLeast"/>
              <w:rPr>
                <w:rFonts w:cs="Arial"/>
                <w:b/>
                <w:i/>
                <w:sz w:val="22"/>
                <w:szCs w:val="22"/>
              </w:rPr>
            </w:pPr>
          </w:p>
        </w:tc>
      </w:tr>
      <w:tr w:rsidR="00E41A00" w:rsidRPr="003677B2" w14:paraId="080D2C37" w14:textId="77777777" w:rsidTr="00E07FF7">
        <w:tc>
          <w:tcPr>
            <w:tcW w:w="2122" w:type="dxa"/>
          </w:tcPr>
          <w:p w14:paraId="4D50FF6E" w14:textId="77777777" w:rsidR="00E41A00" w:rsidRPr="003677B2" w:rsidRDefault="00E41A00" w:rsidP="003677B2">
            <w:pPr>
              <w:spacing w:after="0" w:line="280" w:lineRule="atLeast"/>
              <w:rPr>
                <w:rFonts w:cs="Arial"/>
                <w:sz w:val="22"/>
                <w:szCs w:val="22"/>
              </w:rPr>
            </w:pPr>
            <w:r w:rsidRPr="003677B2">
              <w:rPr>
                <w:rFonts w:cs="Arial"/>
                <w:sz w:val="22"/>
                <w:szCs w:val="22"/>
              </w:rPr>
              <w:t>8 November 2018</w:t>
            </w:r>
          </w:p>
        </w:tc>
        <w:tc>
          <w:tcPr>
            <w:tcW w:w="3543" w:type="dxa"/>
          </w:tcPr>
          <w:p w14:paraId="37640949" w14:textId="77777777" w:rsidR="00E41A00" w:rsidRPr="003677B2" w:rsidRDefault="00E41A00" w:rsidP="003677B2">
            <w:pPr>
              <w:spacing w:after="0" w:line="280" w:lineRule="atLeast"/>
              <w:rPr>
                <w:rFonts w:cs="Arial"/>
                <w:sz w:val="22"/>
                <w:szCs w:val="22"/>
              </w:rPr>
            </w:pPr>
            <w:r w:rsidRPr="003677B2">
              <w:rPr>
                <w:rFonts w:cs="Arial"/>
                <w:sz w:val="22"/>
                <w:szCs w:val="22"/>
              </w:rPr>
              <w:t>Certification of the 2017–18 CRIS – Version 4.1</w:t>
            </w:r>
          </w:p>
        </w:tc>
        <w:tc>
          <w:tcPr>
            <w:tcW w:w="2127" w:type="dxa"/>
          </w:tcPr>
          <w:p w14:paraId="13C505B2" w14:textId="77777777" w:rsidR="00E41A00" w:rsidRPr="003677B2" w:rsidRDefault="00E41A00" w:rsidP="003677B2">
            <w:pPr>
              <w:spacing w:after="0" w:line="280" w:lineRule="atLeast"/>
              <w:rPr>
                <w:rFonts w:cs="Arial"/>
                <w:sz w:val="22"/>
                <w:szCs w:val="22"/>
              </w:rPr>
            </w:pPr>
            <w:r w:rsidRPr="003677B2">
              <w:rPr>
                <w:rFonts w:cs="Arial"/>
                <w:sz w:val="22"/>
                <w:szCs w:val="22"/>
              </w:rPr>
              <w:t>ACMA Chair</w:t>
            </w:r>
          </w:p>
        </w:tc>
        <w:tc>
          <w:tcPr>
            <w:tcW w:w="1559" w:type="dxa"/>
          </w:tcPr>
          <w:p w14:paraId="08783EC8" w14:textId="77777777" w:rsidR="00E41A00" w:rsidRPr="003677B2" w:rsidRDefault="00E41A00" w:rsidP="003677B2">
            <w:pPr>
              <w:spacing w:after="0" w:line="280" w:lineRule="atLeast"/>
              <w:rPr>
                <w:rFonts w:cs="Arial"/>
                <w:b/>
                <w:i/>
                <w:sz w:val="22"/>
                <w:szCs w:val="22"/>
              </w:rPr>
            </w:pPr>
          </w:p>
        </w:tc>
      </w:tr>
      <w:tr w:rsidR="00E41A00" w:rsidRPr="003677B2" w14:paraId="3C816486" w14:textId="77777777" w:rsidTr="00E07FF7">
        <w:tc>
          <w:tcPr>
            <w:tcW w:w="2122" w:type="dxa"/>
          </w:tcPr>
          <w:p w14:paraId="7C65FE3D" w14:textId="77777777" w:rsidR="00E41A00" w:rsidRPr="003677B2" w:rsidRDefault="00E41A00" w:rsidP="003677B2">
            <w:pPr>
              <w:spacing w:after="0" w:line="280" w:lineRule="atLeast"/>
              <w:rPr>
                <w:rFonts w:cs="Arial"/>
                <w:sz w:val="22"/>
                <w:szCs w:val="22"/>
              </w:rPr>
            </w:pPr>
            <w:r w:rsidRPr="003677B2">
              <w:rPr>
                <w:rFonts w:cs="Arial"/>
                <w:sz w:val="22"/>
                <w:szCs w:val="22"/>
              </w:rPr>
              <w:t>12 April 2018</w:t>
            </w:r>
          </w:p>
        </w:tc>
        <w:tc>
          <w:tcPr>
            <w:tcW w:w="3543" w:type="dxa"/>
          </w:tcPr>
          <w:p w14:paraId="6FD75634" w14:textId="77777777" w:rsidR="00E41A00" w:rsidRPr="003677B2" w:rsidRDefault="00E41A00" w:rsidP="003677B2">
            <w:pPr>
              <w:spacing w:after="0" w:line="280" w:lineRule="atLeast"/>
              <w:rPr>
                <w:rFonts w:cs="Arial"/>
                <w:sz w:val="22"/>
                <w:szCs w:val="22"/>
              </w:rPr>
            </w:pPr>
            <w:r w:rsidRPr="003677B2">
              <w:rPr>
                <w:rFonts w:cs="Arial"/>
                <w:sz w:val="22"/>
                <w:szCs w:val="22"/>
              </w:rPr>
              <w:t xml:space="preserve">Consultation for 6 weeks on the 2017–18 draft CRIS – Version 4.0 </w:t>
            </w:r>
          </w:p>
        </w:tc>
        <w:tc>
          <w:tcPr>
            <w:tcW w:w="2127" w:type="dxa"/>
          </w:tcPr>
          <w:p w14:paraId="33130666" w14:textId="77777777" w:rsidR="00E41A00" w:rsidRPr="003677B2" w:rsidRDefault="00E41A00" w:rsidP="003677B2">
            <w:pPr>
              <w:spacing w:after="0" w:line="280" w:lineRule="atLeast"/>
              <w:rPr>
                <w:rFonts w:cs="Arial"/>
                <w:sz w:val="22"/>
                <w:szCs w:val="22"/>
              </w:rPr>
            </w:pPr>
            <w:r w:rsidRPr="003677B2">
              <w:rPr>
                <w:rFonts w:cs="Arial"/>
                <w:sz w:val="22"/>
                <w:szCs w:val="22"/>
              </w:rPr>
              <w:t>ACMA Authority</w:t>
            </w:r>
          </w:p>
        </w:tc>
        <w:tc>
          <w:tcPr>
            <w:tcW w:w="1559" w:type="dxa"/>
          </w:tcPr>
          <w:p w14:paraId="7BE9341E" w14:textId="77777777" w:rsidR="00E41A00" w:rsidRPr="003677B2" w:rsidRDefault="00E41A00" w:rsidP="003677B2">
            <w:pPr>
              <w:spacing w:after="0" w:line="280" w:lineRule="atLeast"/>
              <w:rPr>
                <w:rFonts w:cs="Arial"/>
                <w:b/>
                <w:i/>
                <w:sz w:val="22"/>
                <w:szCs w:val="22"/>
              </w:rPr>
            </w:pPr>
          </w:p>
        </w:tc>
      </w:tr>
      <w:tr w:rsidR="00E41A00" w:rsidRPr="003677B2" w14:paraId="487351E8" w14:textId="77777777" w:rsidTr="00E07FF7">
        <w:tc>
          <w:tcPr>
            <w:tcW w:w="2122" w:type="dxa"/>
          </w:tcPr>
          <w:p w14:paraId="4AFA4BCF" w14:textId="77777777" w:rsidR="00E41A00" w:rsidRPr="003677B2" w:rsidRDefault="00E41A00" w:rsidP="003677B2">
            <w:pPr>
              <w:spacing w:after="0" w:line="280" w:lineRule="atLeast"/>
              <w:rPr>
                <w:rFonts w:cs="Arial"/>
                <w:sz w:val="22"/>
                <w:szCs w:val="22"/>
              </w:rPr>
            </w:pPr>
            <w:r w:rsidRPr="003677B2">
              <w:rPr>
                <w:rFonts w:cs="Arial"/>
                <w:sz w:val="22"/>
                <w:szCs w:val="22"/>
              </w:rPr>
              <w:t>17 July 2017</w:t>
            </w:r>
          </w:p>
        </w:tc>
        <w:tc>
          <w:tcPr>
            <w:tcW w:w="3543" w:type="dxa"/>
          </w:tcPr>
          <w:p w14:paraId="7F3B29F3" w14:textId="77777777" w:rsidR="00E41A00" w:rsidRPr="003677B2" w:rsidRDefault="00E41A00" w:rsidP="003677B2">
            <w:pPr>
              <w:spacing w:after="0" w:line="280" w:lineRule="atLeast"/>
              <w:rPr>
                <w:rFonts w:cs="Arial"/>
                <w:sz w:val="22"/>
                <w:szCs w:val="22"/>
              </w:rPr>
            </w:pPr>
            <w:r w:rsidRPr="003677B2">
              <w:rPr>
                <w:rFonts w:cs="Arial"/>
                <w:sz w:val="22"/>
                <w:szCs w:val="22"/>
              </w:rPr>
              <w:t>Approval of the 2016–17 CRIS – Version 3.1</w:t>
            </w:r>
          </w:p>
        </w:tc>
        <w:tc>
          <w:tcPr>
            <w:tcW w:w="2127" w:type="dxa"/>
          </w:tcPr>
          <w:p w14:paraId="1BC542BF" w14:textId="77777777" w:rsidR="00E41A00" w:rsidRPr="003677B2" w:rsidRDefault="00E41A00" w:rsidP="003677B2">
            <w:pPr>
              <w:spacing w:after="0" w:line="280" w:lineRule="atLeast"/>
              <w:rPr>
                <w:rFonts w:cs="Arial"/>
                <w:sz w:val="22"/>
                <w:szCs w:val="22"/>
              </w:rPr>
            </w:pPr>
            <w:r w:rsidRPr="003677B2">
              <w:rPr>
                <w:rFonts w:cs="Arial"/>
                <w:sz w:val="22"/>
                <w:szCs w:val="22"/>
              </w:rPr>
              <w:t>Minister for Communications and the Arts</w:t>
            </w:r>
          </w:p>
        </w:tc>
        <w:tc>
          <w:tcPr>
            <w:tcW w:w="1559" w:type="dxa"/>
          </w:tcPr>
          <w:p w14:paraId="799E496A" w14:textId="77777777" w:rsidR="00E41A00" w:rsidRPr="003677B2" w:rsidRDefault="00E41A00" w:rsidP="003677B2">
            <w:pPr>
              <w:spacing w:after="0" w:line="280" w:lineRule="atLeast"/>
              <w:rPr>
                <w:rFonts w:cs="Arial"/>
                <w:b/>
                <w:i/>
                <w:sz w:val="22"/>
                <w:szCs w:val="22"/>
              </w:rPr>
            </w:pPr>
          </w:p>
        </w:tc>
      </w:tr>
      <w:tr w:rsidR="00E41A00" w:rsidRPr="003677B2" w14:paraId="17D29E3A" w14:textId="77777777" w:rsidTr="00E07FF7">
        <w:tc>
          <w:tcPr>
            <w:tcW w:w="2122" w:type="dxa"/>
          </w:tcPr>
          <w:p w14:paraId="0B1A086D" w14:textId="77777777" w:rsidR="00E41A00" w:rsidRPr="003677B2" w:rsidRDefault="00E41A00" w:rsidP="003677B2">
            <w:pPr>
              <w:spacing w:after="0" w:line="280" w:lineRule="atLeast"/>
              <w:rPr>
                <w:rFonts w:cs="Arial"/>
                <w:sz w:val="22"/>
                <w:szCs w:val="22"/>
              </w:rPr>
            </w:pPr>
            <w:r w:rsidRPr="003677B2">
              <w:rPr>
                <w:rFonts w:cs="Arial"/>
                <w:sz w:val="22"/>
                <w:szCs w:val="22"/>
              </w:rPr>
              <w:t>29 June 2017</w:t>
            </w:r>
          </w:p>
        </w:tc>
        <w:tc>
          <w:tcPr>
            <w:tcW w:w="3543" w:type="dxa"/>
          </w:tcPr>
          <w:p w14:paraId="00C1FA98" w14:textId="77777777" w:rsidR="00E41A00" w:rsidRPr="003677B2" w:rsidRDefault="00E41A00" w:rsidP="003677B2">
            <w:pPr>
              <w:spacing w:after="0" w:line="280" w:lineRule="atLeast"/>
              <w:rPr>
                <w:rFonts w:cs="Arial"/>
                <w:sz w:val="22"/>
                <w:szCs w:val="22"/>
              </w:rPr>
            </w:pPr>
            <w:r w:rsidRPr="003677B2">
              <w:rPr>
                <w:rFonts w:cs="Arial"/>
                <w:sz w:val="22"/>
                <w:szCs w:val="22"/>
              </w:rPr>
              <w:t>Certification of the 2016–17 CRIS – Version 3.1</w:t>
            </w:r>
          </w:p>
        </w:tc>
        <w:tc>
          <w:tcPr>
            <w:tcW w:w="2127" w:type="dxa"/>
          </w:tcPr>
          <w:p w14:paraId="2CB74727" w14:textId="77777777" w:rsidR="00E41A00" w:rsidRPr="003677B2" w:rsidRDefault="00E41A00" w:rsidP="003677B2">
            <w:pPr>
              <w:spacing w:after="0" w:line="280" w:lineRule="atLeast"/>
              <w:rPr>
                <w:rFonts w:cs="Arial"/>
                <w:sz w:val="22"/>
                <w:szCs w:val="22"/>
              </w:rPr>
            </w:pPr>
            <w:r w:rsidRPr="003677B2">
              <w:rPr>
                <w:rFonts w:cs="Arial"/>
                <w:sz w:val="22"/>
                <w:szCs w:val="22"/>
              </w:rPr>
              <w:t>ACMA Acting Chair</w:t>
            </w:r>
          </w:p>
        </w:tc>
        <w:tc>
          <w:tcPr>
            <w:tcW w:w="1559" w:type="dxa"/>
          </w:tcPr>
          <w:p w14:paraId="0E3163E9" w14:textId="77777777" w:rsidR="00E41A00" w:rsidRPr="003677B2" w:rsidRDefault="00E41A00" w:rsidP="003677B2">
            <w:pPr>
              <w:spacing w:after="0" w:line="280" w:lineRule="atLeast"/>
              <w:rPr>
                <w:rFonts w:cs="Arial"/>
                <w:b/>
                <w:i/>
                <w:sz w:val="22"/>
                <w:szCs w:val="22"/>
              </w:rPr>
            </w:pPr>
          </w:p>
        </w:tc>
      </w:tr>
      <w:tr w:rsidR="00E41A00" w:rsidRPr="003677B2" w14:paraId="276C17E7" w14:textId="77777777" w:rsidTr="00E07FF7">
        <w:trPr>
          <w:trHeight w:val="246"/>
        </w:trPr>
        <w:tc>
          <w:tcPr>
            <w:tcW w:w="2122" w:type="dxa"/>
          </w:tcPr>
          <w:p w14:paraId="060CD839" w14:textId="77777777" w:rsidR="00E41A00" w:rsidRPr="003677B2" w:rsidRDefault="00E41A00" w:rsidP="003677B2">
            <w:pPr>
              <w:spacing w:after="0" w:line="280" w:lineRule="atLeast"/>
              <w:rPr>
                <w:rFonts w:cs="Arial"/>
                <w:sz w:val="22"/>
                <w:szCs w:val="22"/>
              </w:rPr>
            </w:pPr>
            <w:r w:rsidRPr="003677B2">
              <w:rPr>
                <w:rFonts w:cs="Arial"/>
                <w:sz w:val="22"/>
                <w:szCs w:val="22"/>
              </w:rPr>
              <w:t>18 April 2017</w:t>
            </w:r>
          </w:p>
        </w:tc>
        <w:tc>
          <w:tcPr>
            <w:tcW w:w="3543" w:type="dxa"/>
          </w:tcPr>
          <w:p w14:paraId="35CFC6EE" w14:textId="77777777" w:rsidR="00E41A00" w:rsidRPr="003677B2" w:rsidRDefault="00E41A00" w:rsidP="003677B2">
            <w:pPr>
              <w:spacing w:after="0" w:line="280" w:lineRule="atLeast"/>
              <w:rPr>
                <w:rFonts w:cs="Arial"/>
                <w:sz w:val="22"/>
                <w:szCs w:val="22"/>
              </w:rPr>
            </w:pPr>
            <w:r w:rsidRPr="003677B2">
              <w:rPr>
                <w:rFonts w:cs="Arial"/>
                <w:sz w:val="22"/>
                <w:szCs w:val="22"/>
              </w:rPr>
              <w:t xml:space="preserve">Consultation for 4 weeks on the 2016–17 draft CRIS – Version 3.0 </w:t>
            </w:r>
          </w:p>
        </w:tc>
        <w:tc>
          <w:tcPr>
            <w:tcW w:w="2127" w:type="dxa"/>
          </w:tcPr>
          <w:p w14:paraId="7F0F6DD7" w14:textId="77777777" w:rsidR="00E41A00" w:rsidRPr="003677B2" w:rsidRDefault="00E41A00" w:rsidP="003677B2">
            <w:pPr>
              <w:spacing w:after="0" w:line="280" w:lineRule="atLeast"/>
              <w:rPr>
                <w:rFonts w:cs="Arial"/>
                <w:sz w:val="22"/>
                <w:szCs w:val="22"/>
              </w:rPr>
            </w:pPr>
            <w:r w:rsidRPr="003677B2">
              <w:rPr>
                <w:rFonts w:cs="Arial"/>
                <w:sz w:val="22"/>
                <w:szCs w:val="22"/>
              </w:rPr>
              <w:t>ACMA Authority</w:t>
            </w:r>
          </w:p>
        </w:tc>
        <w:tc>
          <w:tcPr>
            <w:tcW w:w="1559" w:type="dxa"/>
          </w:tcPr>
          <w:p w14:paraId="0DF5BD4E" w14:textId="77777777" w:rsidR="00E41A00" w:rsidRPr="003677B2" w:rsidRDefault="00E41A00" w:rsidP="003677B2">
            <w:pPr>
              <w:spacing w:after="0" w:line="280" w:lineRule="atLeast"/>
              <w:rPr>
                <w:rFonts w:cs="Arial"/>
                <w:b/>
                <w:i/>
                <w:sz w:val="22"/>
                <w:szCs w:val="22"/>
              </w:rPr>
            </w:pPr>
          </w:p>
        </w:tc>
      </w:tr>
      <w:tr w:rsidR="00E41A00" w:rsidRPr="003677B2" w14:paraId="0494897C" w14:textId="77777777" w:rsidTr="00E07FF7">
        <w:tc>
          <w:tcPr>
            <w:tcW w:w="2122" w:type="dxa"/>
          </w:tcPr>
          <w:p w14:paraId="78DDC617" w14:textId="77777777" w:rsidR="00E41A00" w:rsidRPr="003677B2" w:rsidRDefault="00E41A00" w:rsidP="003677B2">
            <w:pPr>
              <w:spacing w:after="0" w:line="280" w:lineRule="atLeast"/>
              <w:rPr>
                <w:rFonts w:cs="Arial"/>
                <w:sz w:val="22"/>
                <w:szCs w:val="22"/>
              </w:rPr>
            </w:pPr>
            <w:r w:rsidRPr="003677B2">
              <w:rPr>
                <w:rFonts w:cs="Arial"/>
                <w:sz w:val="22"/>
                <w:szCs w:val="22"/>
              </w:rPr>
              <w:t>30 May 2016</w:t>
            </w:r>
          </w:p>
        </w:tc>
        <w:tc>
          <w:tcPr>
            <w:tcW w:w="3543" w:type="dxa"/>
          </w:tcPr>
          <w:p w14:paraId="6F056400" w14:textId="77777777" w:rsidR="00E41A00" w:rsidRPr="003677B2" w:rsidRDefault="00E41A00" w:rsidP="003677B2">
            <w:pPr>
              <w:spacing w:after="0" w:line="280" w:lineRule="atLeast"/>
              <w:rPr>
                <w:rFonts w:cs="Arial"/>
                <w:sz w:val="22"/>
                <w:szCs w:val="22"/>
              </w:rPr>
            </w:pPr>
            <w:r w:rsidRPr="003677B2">
              <w:rPr>
                <w:rFonts w:cs="Arial"/>
                <w:sz w:val="22"/>
                <w:szCs w:val="22"/>
              </w:rPr>
              <w:t>Approval of the 2015–16 CRIS – Version 2.0</w:t>
            </w:r>
          </w:p>
        </w:tc>
        <w:tc>
          <w:tcPr>
            <w:tcW w:w="2127" w:type="dxa"/>
          </w:tcPr>
          <w:p w14:paraId="3CDA59BF" w14:textId="77777777" w:rsidR="00E41A00" w:rsidRPr="003677B2" w:rsidRDefault="00E41A00" w:rsidP="003677B2">
            <w:pPr>
              <w:spacing w:after="0" w:line="280" w:lineRule="atLeast"/>
              <w:rPr>
                <w:rFonts w:cs="Arial"/>
                <w:sz w:val="22"/>
                <w:szCs w:val="22"/>
              </w:rPr>
            </w:pPr>
            <w:r w:rsidRPr="003677B2">
              <w:rPr>
                <w:rFonts w:cs="Arial"/>
                <w:sz w:val="22"/>
                <w:szCs w:val="22"/>
              </w:rPr>
              <w:t>Minister for Communications and the Arts</w:t>
            </w:r>
          </w:p>
        </w:tc>
        <w:tc>
          <w:tcPr>
            <w:tcW w:w="1559" w:type="dxa"/>
          </w:tcPr>
          <w:p w14:paraId="1FB1D712" w14:textId="77777777" w:rsidR="00E41A00" w:rsidRPr="003677B2" w:rsidRDefault="00E41A00" w:rsidP="003677B2">
            <w:pPr>
              <w:spacing w:after="0" w:line="280" w:lineRule="atLeast"/>
              <w:rPr>
                <w:rFonts w:cs="Arial"/>
                <w:b/>
                <w:i/>
                <w:sz w:val="22"/>
                <w:szCs w:val="22"/>
              </w:rPr>
            </w:pPr>
          </w:p>
        </w:tc>
      </w:tr>
      <w:tr w:rsidR="00E41A00" w:rsidRPr="003677B2" w14:paraId="5371DE22" w14:textId="77777777" w:rsidTr="00E07FF7">
        <w:tc>
          <w:tcPr>
            <w:tcW w:w="2122" w:type="dxa"/>
          </w:tcPr>
          <w:p w14:paraId="516B1983" w14:textId="77777777" w:rsidR="00E41A00" w:rsidRPr="003677B2" w:rsidRDefault="00E41A00" w:rsidP="003677B2">
            <w:pPr>
              <w:spacing w:after="0" w:line="280" w:lineRule="atLeast"/>
              <w:rPr>
                <w:rFonts w:cs="Arial"/>
                <w:sz w:val="22"/>
                <w:szCs w:val="22"/>
              </w:rPr>
            </w:pPr>
            <w:r w:rsidRPr="003677B2">
              <w:rPr>
                <w:rFonts w:cs="Arial"/>
                <w:sz w:val="22"/>
                <w:szCs w:val="22"/>
              </w:rPr>
              <w:t>18 May 2016</w:t>
            </w:r>
          </w:p>
        </w:tc>
        <w:tc>
          <w:tcPr>
            <w:tcW w:w="3543" w:type="dxa"/>
          </w:tcPr>
          <w:p w14:paraId="14BE8AAA" w14:textId="77777777" w:rsidR="00E41A00" w:rsidRPr="003677B2" w:rsidRDefault="00E41A00" w:rsidP="003677B2">
            <w:pPr>
              <w:spacing w:after="0" w:line="280" w:lineRule="atLeast"/>
              <w:rPr>
                <w:rFonts w:cs="Arial"/>
                <w:sz w:val="22"/>
                <w:szCs w:val="22"/>
              </w:rPr>
            </w:pPr>
            <w:r w:rsidRPr="003677B2">
              <w:rPr>
                <w:rFonts w:cs="Arial"/>
                <w:sz w:val="22"/>
                <w:szCs w:val="22"/>
              </w:rPr>
              <w:t>Certification of the 2015–16 CRIS – Version 2.0</w:t>
            </w:r>
          </w:p>
        </w:tc>
        <w:tc>
          <w:tcPr>
            <w:tcW w:w="2127" w:type="dxa"/>
          </w:tcPr>
          <w:p w14:paraId="6CDA4797" w14:textId="77777777" w:rsidR="00E41A00" w:rsidRPr="003677B2" w:rsidRDefault="00E41A00" w:rsidP="003677B2">
            <w:pPr>
              <w:spacing w:after="0" w:line="280" w:lineRule="atLeast"/>
              <w:rPr>
                <w:rFonts w:cs="Arial"/>
                <w:sz w:val="22"/>
                <w:szCs w:val="22"/>
              </w:rPr>
            </w:pPr>
            <w:r w:rsidRPr="003677B2">
              <w:rPr>
                <w:rFonts w:cs="Arial"/>
                <w:sz w:val="22"/>
                <w:szCs w:val="22"/>
              </w:rPr>
              <w:t>ACMA Acting Chair</w:t>
            </w:r>
          </w:p>
        </w:tc>
        <w:tc>
          <w:tcPr>
            <w:tcW w:w="1559" w:type="dxa"/>
          </w:tcPr>
          <w:p w14:paraId="0CF94FAA" w14:textId="77777777" w:rsidR="00E41A00" w:rsidRPr="003677B2" w:rsidRDefault="00E41A00" w:rsidP="003677B2">
            <w:pPr>
              <w:spacing w:after="0" w:line="280" w:lineRule="atLeast"/>
              <w:rPr>
                <w:rFonts w:cs="Arial"/>
                <w:b/>
                <w:i/>
                <w:sz w:val="22"/>
                <w:szCs w:val="22"/>
              </w:rPr>
            </w:pPr>
          </w:p>
        </w:tc>
      </w:tr>
      <w:tr w:rsidR="00E41A00" w:rsidRPr="003677B2" w14:paraId="780D4B2B" w14:textId="77777777" w:rsidTr="00E07FF7">
        <w:tc>
          <w:tcPr>
            <w:tcW w:w="2122" w:type="dxa"/>
          </w:tcPr>
          <w:p w14:paraId="5263B317" w14:textId="77777777" w:rsidR="00E41A00" w:rsidRPr="003677B2" w:rsidRDefault="00E41A00" w:rsidP="003677B2">
            <w:pPr>
              <w:spacing w:after="0" w:line="280" w:lineRule="atLeast"/>
              <w:rPr>
                <w:rFonts w:cs="Arial"/>
                <w:sz w:val="22"/>
                <w:szCs w:val="22"/>
              </w:rPr>
            </w:pPr>
            <w:r w:rsidRPr="003677B2">
              <w:rPr>
                <w:rFonts w:cs="Arial"/>
                <w:sz w:val="22"/>
                <w:szCs w:val="22"/>
              </w:rPr>
              <w:t>24 June 2015</w:t>
            </w:r>
          </w:p>
        </w:tc>
        <w:tc>
          <w:tcPr>
            <w:tcW w:w="3543" w:type="dxa"/>
          </w:tcPr>
          <w:p w14:paraId="55DA530B" w14:textId="77777777" w:rsidR="00E41A00" w:rsidRPr="003677B2" w:rsidRDefault="00E41A00" w:rsidP="003677B2">
            <w:pPr>
              <w:spacing w:after="0" w:line="280" w:lineRule="atLeast"/>
              <w:rPr>
                <w:rFonts w:cs="Arial"/>
                <w:sz w:val="22"/>
                <w:szCs w:val="22"/>
              </w:rPr>
            </w:pPr>
            <w:r w:rsidRPr="003677B2">
              <w:rPr>
                <w:rFonts w:cs="Arial"/>
                <w:sz w:val="22"/>
                <w:szCs w:val="22"/>
              </w:rPr>
              <w:t>Approval of the 2014–15 CRIS – Version 1.0</w:t>
            </w:r>
          </w:p>
        </w:tc>
        <w:tc>
          <w:tcPr>
            <w:tcW w:w="2127" w:type="dxa"/>
          </w:tcPr>
          <w:p w14:paraId="33B0B718" w14:textId="77777777" w:rsidR="00E41A00" w:rsidRPr="003677B2" w:rsidRDefault="00E41A00" w:rsidP="003677B2">
            <w:pPr>
              <w:spacing w:after="0" w:line="280" w:lineRule="atLeast"/>
              <w:rPr>
                <w:rFonts w:cs="Arial"/>
                <w:sz w:val="22"/>
                <w:szCs w:val="22"/>
              </w:rPr>
            </w:pPr>
            <w:r w:rsidRPr="003677B2">
              <w:rPr>
                <w:rFonts w:cs="Arial"/>
                <w:sz w:val="22"/>
                <w:szCs w:val="22"/>
              </w:rPr>
              <w:t>Minister for Communications</w:t>
            </w:r>
          </w:p>
        </w:tc>
        <w:tc>
          <w:tcPr>
            <w:tcW w:w="1559" w:type="dxa"/>
          </w:tcPr>
          <w:p w14:paraId="1D6CF55A" w14:textId="77777777" w:rsidR="00E41A00" w:rsidRPr="003677B2" w:rsidRDefault="00E41A00" w:rsidP="003677B2">
            <w:pPr>
              <w:spacing w:after="0" w:line="280" w:lineRule="atLeast"/>
              <w:rPr>
                <w:rFonts w:cs="Arial"/>
                <w:b/>
                <w:i/>
                <w:sz w:val="22"/>
                <w:szCs w:val="22"/>
              </w:rPr>
            </w:pPr>
          </w:p>
        </w:tc>
      </w:tr>
      <w:tr w:rsidR="00E41A00" w:rsidRPr="003677B2" w14:paraId="6F7FCB79" w14:textId="77777777" w:rsidTr="00E07FF7">
        <w:tc>
          <w:tcPr>
            <w:tcW w:w="2122" w:type="dxa"/>
          </w:tcPr>
          <w:p w14:paraId="3109A9C8" w14:textId="77777777" w:rsidR="00E41A00" w:rsidRPr="003677B2" w:rsidRDefault="00E41A00" w:rsidP="003677B2">
            <w:pPr>
              <w:spacing w:after="0" w:line="280" w:lineRule="atLeast"/>
              <w:rPr>
                <w:rFonts w:cs="Arial"/>
                <w:b/>
                <w:i/>
                <w:sz w:val="22"/>
                <w:szCs w:val="22"/>
              </w:rPr>
            </w:pPr>
            <w:r w:rsidRPr="003677B2">
              <w:rPr>
                <w:rFonts w:cs="Arial"/>
                <w:sz w:val="22"/>
                <w:szCs w:val="22"/>
              </w:rPr>
              <w:t>29 May 2015</w:t>
            </w:r>
          </w:p>
        </w:tc>
        <w:tc>
          <w:tcPr>
            <w:tcW w:w="3543" w:type="dxa"/>
          </w:tcPr>
          <w:p w14:paraId="5AC32C8E" w14:textId="77777777" w:rsidR="00E41A00" w:rsidRPr="003677B2" w:rsidRDefault="00E41A00" w:rsidP="003677B2">
            <w:pPr>
              <w:spacing w:after="0" w:line="280" w:lineRule="atLeast"/>
              <w:rPr>
                <w:rFonts w:cs="Arial"/>
                <w:b/>
                <w:i/>
                <w:sz w:val="22"/>
                <w:szCs w:val="22"/>
              </w:rPr>
            </w:pPr>
            <w:r w:rsidRPr="003677B2">
              <w:rPr>
                <w:rFonts w:cs="Arial"/>
                <w:sz w:val="22"/>
                <w:szCs w:val="22"/>
              </w:rPr>
              <w:t>Certification of the 2014–15 CRIS – Version 1.0</w:t>
            </w:r>
          </w:p>
        </w:tc>
        <w:tc>
          <w:tcPr>
            <w:tcW w:w="2127" w:type="dxa"/>
          </w:tcPr>
          <w:p w14:paraId="0C9127B2" w14:textId="77777777" w:rsidR="00E41A00" w:rsidRPr="003677B2" w:rsidRDefault="00E41A00" w:rsidP="003677B2">
            <w:pPr>
              <w:spacing w:after="0" w:line="280" w:lineRule="atLeast"/>
              <w:rPr>
                <w:rFonts w:cs="Arial"/>
                <w:b/>
                <w:i/>
                <w:sz w:val="22"/>
                <w:szCs w:val="22"/>
              </w:rPr>
            </w:pPr>
            <w:r w:rsidRPr="003677B2">
              <w:rPr>
                <w:rFonts w:cs="Arial"/>
                <w:sz w:val="22"/>
                <w:szCs w:val="22"/>
              </w:rPr>
              <w:t>ACMA Chair</w:t>
            </w:r>
          </w:p>
        </w:tc>
        <w:tc>
          <w:tcPr>
            <w:tcW w:w="1559" w:type="dxa"/>
          </w:tcPr>
          <w:p w14:paraId="37AC7E8D" w14:textId="77777777" w:rsidR="00E41A00" w:rsidRPr="003677B2" w:rsidRDefault="00E41A00" w:rsidP="003677B2">
            <w:pPr>
              <w:spacing w:after="0" w:line="280" w:lineRule="atLeast"/>
              <w:rPr>
                <w:rFonts w:cs="Arial"/>
                <w:b/>
                <w:i/>
                <w:sz w:val="22"/>
                <w:szCs w:val="22"/>
              </w:rPr>
            </w:pPr>
          </w:p>
        </w:tc>
      </w:tr>
    </w:tbl>
    <w:p w14:paraId="14ADE283" w14:textId="77777777" w:rsidR="00E41A00" w:rsidRPr="00AE6A60" w:rsidRDefault="00E41A00" w:rsidP="00E41A00">
      <w:pPr>
        <w:pStyle w:val="ACMABodyText"/>
        <w:tabs>
          <w:tab w:val="left" w:pos="1843"/>
        </w:tabs>
        <w:spacing w:after="80"/>
        <w:ind w:right="-142"/>
        <w:rPr>
          <w:rFonts w:cs="Arial"/>
          <w:sz w:val="20"/>
          <w:szCs w:val="20"/>
        </w:rPr>
      </w:pPr>
    </w:p>
    <w:p w14:paraId="6DD77150" w14:textId="77777777" w:rsidR="00E41A00" w:rsidRPr="00AE6A60" w:rsidRDefault="00E41A00" w:rsidP="00E41A00">
      <w:pPr>
        <w:pStyle w:val="Heading1"/>
        <w:ind w:right="-142"/>
      </w:pPr>
      <w:bookmarkStart w:id="295" w:name="_Toc385256327"/>
      <w:bookmarkStart w:id="296" w:name="_Toc417990972"/>
      <w:bookmarkStart w:id="297" w:name="_Toc511634415"/>
      <w:bookmarkStart w:id="298" w:name="_Toc67042604"/>
      <w:bookmarkStart w:id="299" w:name="_Toc108599235"/>
      <w:bookmarkStart w:id="300" w:name="_Toc121920511"/>
      <w:bookmarkStart w:id="301" w:name="_Toc149735467"/>
      <w:bookmarkStart w:id="302" w:name="_Toc175123949"/>
      <w:r w:rsidRPr="00AE6A60">
        <w:lastRenderedPageBreak/>
        <w:t xml:space="preserve">Attachment </w:t>
      </w:r>
      <w:bookmarkEnd w:id="295"/>
      <w:bookmarkEnd w:id="296"/>
      <w:r w:rsidRPr="00AE6A60">
        <w:t>A: Telecommunications activities not included in the ACLC</w:t>
      </w:r>
      <w:bookmarkEnd w:id="297"/>
      <w:bookmarkEnd w:id="298"/>
      <w:bookmarkEnd w:id="299"/>
      <w:bookmarkEnd w:id="300"/>
      <w:bookmarkEnd w:id="301"/>
      <w:bookmarkEnd w:id="302"/>
    </w:p>
    <w:p w14:paraId="7D22ECF7" w14:textId="77777777" w:rsidR="00E41A00" w:rsidRPr="00F75C04" w:rsidRDefault="00E41A00" w:rsidP="00E41A00">
      <w:pPr>
        <w:pStyle w:val="Heading2"/>
      </w:pPr>
      <w:bookmarkStart w:id="303" w:name="_Toc121920512"/>
      <w:bookmarkStart w:id="304" w:name="_Toc149735468"/>
      <w:bookmarkStart w:id="305" w:name="_Toc175123950"/>
      <w:r w:rsidRPr="00143B2F">
        <w:t>Smartnumbers allocation activities</w:t>
      </w:r>
      <w:bookmarkEnd w:id="303"/>
      <w:bookmarkEnd w:id="304"/>
      <w:bookmarkEnd w:id="305"/>
    </w:p>
    <w:p w14:paraId="3FE9B6F1" w14:textId="77777777" w:rsidR="00E41A00" w:rsidRPr="00AE6A60" w:rsidRDefault="00E41A00" w:rsidP="003677B2">
      <w:pPr>
        <w:pStyle w:val="Paragraph"/>
      </w:pPr>
      <w:bookmarkStart w:id="306" w:name="_Toc260128306"/>
      <w:bookmarkStart w:id="307" w:name="_Toc261431675"/>
      <w:bookmarkStart w:id="308" w:name="_Toc261431807"/>
      <w:bookmarkStart w:id="309" w:name="_Toc316465912"/>
      <w:r w:rsidRPr="00AE6A60">
        <w:t xml:space="preserve">The costs associated with the allocation of smartnumbers in the numbering system are not recovered from industry on the basis that </w:t>
      </w:r>
      <w:r>
        <w:t xml:space="preserve">these </w:t>
      </w:r>
      <w:r w:rsidRPr="00AE6A60">
        <w:t>costs would be offset by allocation proceeds</w:t>
      </w:r>
      <w:bookmarkEnd w:id="306"/>
      <w:bookmarkEnd w:id="307"/>
      <w:bookmarkEnd w:id="308"/>
      <w:r w:rsidRPr="00AE6A60">
        <w:t>, except for a registration charge, which is cost</w:t>
      </w:r>
      <w:r>
        <w:t>-</w:t>
      </w:r>
      <w:r w:rsidRPr="00AE6A60">
        <w:t>recovered on a fee basis for the use of the numbering system.</w:t>
      </w:r>
      <w:bookmarkEnd w:id="309"/>
    </w:p>
    <w:p w14:paraId="041C1518" w14:textId="77777777" w:rsidR="00E41A00" w:rsidRPr="00A47A30" w:rsidRDefault="00E41A00" w:rsidP="00E41A00">
      <w:pPr>
        <w:pStyle w:val="Heading2"/>
      </w:pPr>
      <w:bookmarkStart w:id="310" w:name="_Toc121920513"/>
      <w:bookmarkStart w:id="311" w:name="_Toc149735469"/>
      <w:bookmarkStart w:id="312" w:name="_Toc175123951"/>
      <w:r>
        <w:t>Anti-s</w:t>
      </w:r>
      <w:r w:rsidRPr="00143B2F">
        <w:t>pam and e-security activities</w:t>
      </w:r>
      <w:bookmarkEnd w:id="310"/>
      <w:bookmarkEnd w:id="311"/>
      <w:bookmarkEnd w:id="312"/>
    </w:p>
    <w:p w14:paraId="4461EF84" w14:textId="77777777" w:rsidR="00E41A00" w:rsidRPr="00AE6A60" w:rsidRDefault="00E41A00" w:rsidP="003677B2">
      <w:pPr>
        <w:pStyle w:val="Paragraph"/>
      </w:pPr>
      <w:bookmarkStart w:id="313" w:name="_Toc260128307"/>
      <w:bookmarkStart w:id="314" w:name="_Toc261431676"/>
      <w:bookmarkStart w:id="315" w:name="_Toc261431808"/>
      <w:bookmarkStart w:id="316" w:name="_Toc316465913"/>
      <w:r>
        <w:t>C</w:t>
      </w:r>
      <w:r w:rsidRPr="00AE6A60">
        <w:t>osts associated with anti-spam</w:t>
      </w:r>
      <w:r>
        <w:t xml:space="preserve"> activities </w:t>
      </w:r>
      <w:r w:rsidRPr="00AE6A60">
        <w:t xml:space="preserve">carried out in accordance with the </w:t>
      </w:r>
      <w:r w:rsidRPr="00AE6A60">
        <w:rPr>
          <w:i/>
        </w:rPr>
        <w:t>Spam Act 2003</w:t>
      </w:r>
      <w:r w:rsidRPr="00AE6A60">
        <w:t xml:space="preserve"> and e-security activities are considered not appropriate to recover from telecommunications carriers, as the direct beneficiaries are the members of the public. </w:t>
      </w:r>
      <w:bookmarkEnd w:id="313"/>
      <w:bookmarkEnd w:id="314"/>
      <w:bookmarkEnd w:id="315"/>
      <w:bookmarkEnd w:id="316"/>
    </w:p>
    <w:p w14:paraId="7C2E84D3" w14:textId="77777777" w:rsidR="00E41A00" w:rsidRPr="00F75C04" w:rsidRDefault="00E41A00" w:rsidP="00E41A00">
      <w:pPr>
        <w:pStyle w:val="Heading2"/>
      </w:pPr>
      <w:bookmarkStart w:id="317" w:name="_Toc121920514"/>
      <w:bookmarkStart w:id="318" w:name="_Toc149735470"/>
      <w:bookmarkStart w:id="319" w:name="_Toc175123952"/>
      <w:r w:rsidRPr="00143B2F">
        <w:t>Do Not Call Register and telemarketing-related activities</w:t>
      </w:r>
      <w:bookmarkEnd w:id="317"/>
      <w:bookmarkEnd w:id="318"/>
      <w:bookmarkEnd w:id="319"/>
    </w:p>
    <w:p w14:paraId="1FAA85BF" w14:textId="77777777" w:rsidR="00E41A00" w:rsidRPr="00AE6A60" w:rsidRDefault="00E41A00" w:rsidP="003677B2">
      <w:pPr>
        <w:pStyle w:val="Paragraph"/>
      </w:pPr>
      <w:r w:rsidRPr="00AE6A60">
        <w:t xml:space="preserve">In accordance with subsection 15(4) of the Act, the activities conducted under the </w:t>
      </w:r>
      <w:r w:rsidRPr="00AE6A60">
        <w:rPr>
          <w:i/>
        </w:rPr>
        <w:t>Do Not Call Register</w:t>
      </w:r>
      <w:r w:rsidRPr="001514C8">
        <w:rPr>
          <w:i/>
        </w:rPr>
        <w:t xml:space="preserve"> Act </w:t>
      </w:r>
      <w:r w:rsidRPr="00AE6A60">
        <w:rPr>
          <w:i/>
        </w:rPr>
        <w:t xml:space="preserve">2006 </w:t>
      </w:r>
      <w:r w:rsidRPr="00AE6A60">
        <w:t xml:space="preserve">and the </w:t>
      </w:r>
      <w:r w:rsidRPr="00AE6A60">
        <w:rPr>
          <w:i/>
        </w:rPr>
        <w:t>Telecommunications</w:t>
      </w:r>
      <w:r w:rsidRPr="001514C8">
        <w:rPr>
          <w:i/>
        </w:rPr>
        <w:t xml:space="preserve"> Act</w:t>
      </w:r>
      <w:r w:rsidRPr="00AE6A60">
        <w:rPr>
          <w:i/>
        </w:rPr>
        <w:t xml:space="preserve"> 1997</w:t>
      </w:r>
      <w:r w:rsidRPr="00AE6A60">
        <w:t xml:space="preserve">, to the extent that they relate to telemarketing, do not form part of </w:t>
      </w:r>
      <w:r w:rsidRPr="00AE6A60">
        <w:rPr>
          <w:iCs/>
        </w:rPr>
        <w:t xml:space="preserve">the </w:t>
      </w:r>
      <w:r w:rsidRPr="00AE6A60">
        <w:t>ACMA’s telecommunications functions and powers</w:t>
      </w:r>
      <w:r>
        <w:t xml:space="preserve"> for the purposes of the Act</w:t>
      </w:r>
      <w:r w:rsidRPr="00AE6A60">
        <w:t>.</w:t>
      </w:r>
    </w:p>
    <w:p w14:paraId="6BD9A3DC" w14:textId="77777777" w:rsidR="00E41A00" w:rsidRPr="008509CE" w:rsidRDefault="00E41A00" w:rsidP="00E41A00">
      <w:pPr>
        <w:pStyle w:val="Heading2"/>
      </w:pPr>
      <w:bookmarkStart w:id="320" w:name="_Toc121920515"/>
      <w:bookmarkStart w:id="321" w:name="_Toc149735471"/>
      <w:bookmarkStart w:id="322" w:name="_Toc175123953"/>
      <w:r w:rsidRPr="00143B2F">
        <w:t>Public in</w:t>
      </w:r>
      <w:r w:rsidRPr="008509CE">
        <w:t>formation activities</w:t>
      </w:r>
      <w:bookmarkEnd w:id="320"/>
      <w:bookmarkEnd w:id="321"/>
      <w:bookmarkEnd w:id="322"/>
    </w:p>
    <w:p w14:paraId="177026F6" w14:textId="77777777" w:rsidR="00E41A00" w:rsidRPr="00AE6A60" w:rsidRDefault="00E41A00" w:rsidP="003677B2">
      <w:pPr>
        <w:pStyle w:val="Paragraph"/>
      </w:pPr>
      <w:r w:rsidRPr="008509CE">
        <w:t>The costs of consumer awareness</w:t>
      </w:r>
      <w:r w:rsidRPr="008509CE" w:rsidDel="00497F45">
        <w:t xml:space="preserve"> </w:t>
      </w:r>
      <w:r w:rsidRPr="008509CE">
        <w:t xml:space="preserve">information and activities </w:t>
      </w:r>
      <w:proofErr w:type="gramStart"/>
      <w:r w:rsidRPr="008509CE">
        <w:t>are considered to be</w:t>
      </w:r>
      <w:proofErr w:type="gramEnd"/>
      <w:r w:rsidRPr="008509CE">
        <w:t xml:space="preserve"> more appropriately met through </w:t>
      </w:r>
      <w:r w:rsidRPr="003677B2">
        <w:t>budget</w:t>
      </w:r>
      <w:r w:rsidRPr="008509CE">
        <w:t xml:space="preserve"> funding.</w:t>
      </w:r>
    </w:p>
    <w:p w14:paraId="44935E8B" w14:textId="77777777" w:rsidR="00E41A00" w:rsidRPr="00F75C04" w:rsidRDefault="00E41A00" w:rsidP="00E41A00">
      <w:pPr>
        <w:pStyle w:val="Heading2"/>
      </w:pPr>
      <w:bookmarkStart w:id="323" w:name="_Toc121920516"/>
      <w:bookmarkStart w:id="324" w:name="_Toc149735472"/>
      <w:bookmarkStart w:id="325" w:name="_Toc175123954"/>
      <w:r w:rsidRPr="00143B2F">
        <w:t>Other telecommunications activities</w:t>
      </w:r>
      <w:bookmarkEnd w:id="323"/>
      <w:bookmarkEnd w:id="324"/>
      <w:bookmarkEnd w:id="325"/>
    </w:p>
    <w:p w14:paraId="649ED6A8" w14:textId="77777777" w:rsidR="00E41A00" w:rsidRPr="00AE6A60" w:rsidRDefault="00E41A00" w:rsidP="003677B2">
      <w:pPr>
        <w:pStyle w:val="Paragraphbeforelist"/>
        <w:rPr>
          <w:i/>
        </w:rPr>
      </w:pPr>
      <w:r w:rsidRPr="00AE6A60">
        <w:t>The following activities are delivered on a fee-for-service basis or</w:t>
      </w:r>
      <w:r>
        <w:t xml:space="preserve"> recovered through</w:t>
      </w:r>
      <w:r w:rsidRPr="00AE6A60">
        <w:t xml:space="preserve"> taxation:</w:t>
      </w:r>
    </w:p>
    <w:p w14:paraId="3C9DD4E8" w14:textId="77777777" w:rsidR="00E41A00" w:rsidRPr="00AE6A60" w:rsidRDefault="00E41A00" w:rsidP="003677B2">
      <w:pPr>
        <w:pStyle w:val="Bulletlevel1"/>
      </w:pPr>
      <w:r w:rsidRPr="00AE6A60">
        <w:t>carrier licence applications</w:t>
      </w:r>
    </w:p>
    <w:p w14:paraId="0DFD9503" w14:textId="77777777" w:rsidR="00E41A00" w:rsidRPr="00AE6A60" w:rsidRDefault="00E41A00" w:rsidP="003677B2">
      <w:pPr>
        <w:pStyle w:val="Bulletlevel1"/>
      </w:pPr>
      <w:r w:rsidRPr="00AE6A60">
        <w:t>nominated carrier declaration licence applications</w:t>
      </w:r>
    </w:p>
    <w:p w14:paraId="544A4791" w14:textId="77777777" w:rsidR="00E41A00" w:rsidRPr="00AE6A60" w:rsidRDefault="00E41A00" w:rsidP="003677B2">
      <w:pPr>
        <w:pStyle w:val="Bulletlevel1"/>
      </w:pPr>
      <w:r w:rsidRPr="00AE6A60">
        <w:t>numbering applications for allocation of geographic numbers</w:t>
      </w:r>
    </w:p>
    <w:p w14:paraId="40A85759" w14:textId="77777777" w:rsidR="00E41A00" w:rsidRPr="00AE6A60" w:rsidRDefault="00E41A00" w:rsidP="003677B2">
      <w:pPr>
        <w:pStyle w:val="Bulletlevel1"/>
      </w:pPr>
      <w:r w:rsidRPr="00AE6A60">
        <w:t xml:space="preserve">numbering applications for allocation of numbers charged under the </w:t>
      </w:r>
      <w:r w:rsidRPr="00AE6A60">
        <w:rPr>
          <w:i/>
        </w:rPr>
        <w:t>Telecommunications (Numbering Charges) Act 1997</w:t>
      </w:r>
    </w:p>
    <w:p w14:paraId="152BCAB9" w14:textId="77777777" w:rsidR="00E41A00" w:rsidRPr="00AE6A60" w:rsidRDefault="00E41A00" w:rsidP="003677B2">
      <w:pPr>
        <w:pStyle w:val="Bulletlevel1"/>
      </w:pPr>
      <w:r w:rsidRPr="00AE6A60">
        <w:t>submarine cable installation permit applications</w:t>
      </w:r>
    </w:p>
    <w:p w14:paraId="4C0CE96F" w14:textId="77777777" w:rsidR="00E41A00" w:rsidRPr="00AE6A60" w:rsidRDefault="00E41A00" w:rsidP="003677B2">
      <w:pPr>
        <w:pStyle w:val="Bulletlevel1last"/>
      </w:pPr>
      <w:r w:rsidRPr="00AE6A60">
        <w:t>connection permit applications.</w:t>
      </w:r>
    </w:p>
    <w:p w14:paraId="26641314" w14:textId="77777777" w:rsidR="00E41A00" w:rsidRPr="00AE6A60" w:rsidRDefault="00E41A00" w:rsidP="00E41A00">
      <w:pPr>
        <w:pStyle w:val="Heading1"/>
      </w:pPr>
      <w:bookmarkStart w:id="326" w:name="_Toc511634416"/>
      <w:bookmarkStart w:id="327" w:name="_Toc67042605"/>
      <w:bookmarkStart w:id="328" w:name="_Toc108599236"/>
      <w:bookmarkStart w:id="329" w:name="_Toc121920517"/>
      <w:bookmarkStart w:id="330" w:name="_Toc149735473"/>
      <w:bookmarkStart w:id="331" w:name="_Hlk98508581"/>
      <w:bookmarkStart w:id="332" w:name="_Hlk10725306"/>
      <w:bookmarkStart w:id="333" w:name="_Toc175123955"/>
      <w:r w:rsidRPr="00AE6A60">
        <w:lastRenderedPageBreak/>
        <w:t>Attachment B:</w:t>
      </w:r>
      <w:r w:rsidRPr="00AE6A60">
        <w:br/>
        <w:t>Cost Recovery Implementation Statement</w:t>
      </w:r>
      <w:r>
        <w:t xml:space="preserve"> – </w:t>
      </w:r>
      <w:r w:rsidRPr="00AE6A60">
        <w:t>Measuring Broadband Australia program</w:t>
      </w:r>
      <w:bookmarkEnd w:id="326"/>
      <w:bookmarkEnd w:id="327"/>
      <w:bookmarkEnd w:id="328"/>
      <w:bookmarkEnd w:id="329"/>
      <w:bookmarkEnd w:id="330"/>
      <w:bookmarkEnd w:id="333"/>
    </w:p>
    <w:p w14:paraId="683CB23E" w14:textId="77777777" w:rsidR="00E41A00" w:rsidRPr="00AE6A60" w:rsidRDefault="00E41A00" w:rsidP="00E41A00">
      <w:pPr>
        <w:pStyle w:val="Heading2"/>
      </w:pPr>
      <w:bookmarkStart w:id="334" w:name="_Toc511294482"/>
      <w:bookmarkStart w:id="335" w:name="_Toc511634417"/>
      <w:bookmarkStart w:id="336" w:name="_Toc26786357"/>
      <w:bookmarkStart w:id="337" w:name="_Toc67042606"/>
      <w:bookmarkStart w:id="338" w:name="_Toc108599237"/>
      <w:bookmarkStart w:id="339" w:name="_Toc121920518"/>
      <w:bookmarkStart w:id="340" w:name="_Toc149735474"/>
      <w:bookmarkStart w:id="341" w:name="_Toc175123956"/>
      <w:r w:rsidRPr="00AE6A60">
        <w:t xml:space="preserve">1. </w:t>
      </w:r>
      <w:r w:rsidRPr="00AE6A60">
        <w:tab/>
        <w:t>Introduction</w:t>
      </w:r>
      <w:bookmarkEnd w:id="334"/>
      <w:bookmarkEnd w:id="335"/>
      <w:bookmarkEnd w:id="336"/>
      <w:bookmarkEnd w:id="337"/>
      <w:bookmarkEnd w:id="338"/>
      <w:bookmarkEnd w:id="339"/>
      <w:bookmarkEnd w:id="340"/>
      <w:bookmarkEnd w:id="341"/>
    </w:p>
    <w:p w14:paraId="7B8ED567" w14:textId="77777777" w:rsidR="00E41A00" w:rsidRPr="00AE6A60" w:rsidRDefault="00E41A00" w:rsidP="00E41A00">
      <w:pPr>
        <w:pStyle w:val="Heading3"/>
      </w:pPr>
      <w:bookmarkStart w:id="342" w:name="_Toc511294483"/>
      <w:bookmarkStart w:id="343" w:name="_Toc511634418"/>
      <w:bookmarkStart w:id="344" w:name="_Toc26786358"/>
      <w:bookmarkStart w:id="345" w:name="_Toc67042607"/>
      <w:bookmarkStart w:id="346" w:name="_Toc108599238"/>
      <w:r w:rsidRPr="00AE6A60">
        <w:t xml:space="preserve">1.1 </w:t>
      </w:r>
      <w:r w:rsidRPr="00AE6A60">
        <w:tab/>
        <w:t>Purpose of the Cost Recovery Implementation Statement</w:t>
      </w:r>
      <w:bookmarkEnd w:id="342"/>
      <w:bookmarkEnd w:id="343"/>
      <w:bookmarkEnd w:id="344"/>
      <w:bookmarkEnd w:id="345"/>
      <w:bookmarkEnd w:id="346"/>
    </w:p>
    <w:p w14:paraId="319DCB4D" w14:textId="77777777" w:rsidR="00E41A00" w:rsidRPr="00AE6A60" w:rsidRDefault="00E41A00" w:rsidP="003677B2">
      <w:pPr>
        <w:pStyle w:val="Paragraph"/>
      </w:pPr>
      <w:bookmarkStart w:id="347" w:name="_Hlk8140631"/>
      <w:r w:rsidRPr="00AE6A60">
        <w:t xml:space="preserve">This addendum to the Annual Carrier Licence Charge (ACLC) Cost Recovery Implementation Statement (CRIS) provides information on how the Australian Communications </w:t>
      </w:r>
      <w:r w:rsidRPr="003677B2">
        <w:t>and</w:t>
      </w:r>
      <w:r w:rsidRPr="00AE6A60">
        <w:t xml:space="preserve"> Media Authority (ACMA) incorporates the portion of the Australian Competition and Consumer Commission’s (ACCC) costs, which </w:t>
      </w:r>
      <w:r>
        <w:t>are</w:t>
      </w:r>
      <w:r w:rsidRPr="00AE6A60">
        <w:t xml:space="preserve"> determined under paragraph 15(1)(b) of the Act that relate to its Measuring Broadband Australia (MBA) program. </w:t>
      </w:r>
      <w:bookmarkEnd w:id="347"/>
      <w:r w:rsidRPr="00AE6A60">
        <w:t xml:space="preserve">This addendum is required as the method for recovering </w:t>
      </w:r>
      <w:r>
        <w:t xml:space="preserve">the </w:t>
      </w:r>
      <w:r w:rsidRPr="00AE6A60">
        <w:t xml:space="preserve">MBA program costs differs from that used to recover the costs of other activities funded via the ACLC. Accordingly, the information in this CRIS </w:t>
      </w:r>
      <w:r>
        <w:t>a</w:t>
      </w:r>
      <w:r w:rsidRPr="00AE6A60">
        <w:t>ddendum has been provided by the ACCC.</w:t>
      </w:r>
    </w:p>
    <w:p w14:paraId="0D8D1E9E" w14:textId="77777777" w:rsidR="00E41A00" w:rsidRDefault="00E41A00" w:rsidP="003677B2">
      <w:pPr>
        <w:pStyle w:val="Paragraph"/>
      </w:pPr>
      <w:r w:rsidRPr="006A460F">
        <w:t>This statement reports financial performance for 201</w:t>
      </w:r>
      <w:r>
        <w:t>8</w:t>
      </w:r>
      <w:r w:rsidRPr="006A460F">
        <w:t>–1</w:t>
      </w:r>
      <w:r>
        <w:t>9</w:t>
      </w:r>
      <w:r w:rsidRPr="006A460F">
        <w:t xml:space="preserve"> to </w:t>
      </w:r>
      <w:r w:rsidRPr="00E10C47">
        <w:t>202</w:t>
      </w:r>
      <w:r>
        <w:t>2</w:t>
      </w:r>
      <w:r w:rsidRPr="00E10C47">
        <w:t>–2</w:t>
      </w:r>
      <w:r>
        <w:t>3</w:t>
      </w:r>
      <w:r w:rsidRPr="006A460F">
        <w:t xml:space="preserve"> financial years and contains financial forecasts for the </w:t>
      </w:r>
      <w:r w:rsidRPr="00E10C47">
        <w:t>202</w:t>
      </w:r>
      <w:r>
        <w:t>3</w:t>
      </w:r>
      <w:r w:rsidRPr="00E10C47">
        <w:t>–</w:t>
      </w:r>
      <w:r w:rsidRPr="00E10C47" w:rsidDel="004D0FEC">
        <w:t>2</w:t>
      </w:r>
      <w:r>
        <w:t>4</w:t>
      </w:r>
      <w:r w:rsidRPr="006A460F">
        <w:t xml:space="preserve"> financial year and </w:t>
      </w:r>
      <w:r>
        <w:t>3</w:t>
      </w:r>
      <w:r w:rsidRPr="006A460F">
        <w:t xml:space="preserve"> forward years (financial years </w:t>
      </w:r>
      <w:r w:rsidRPr="00E10C47">
        <w:t>202</w:t>
      </w:r>
      <w:r>
        <w:t>3</w:t>
      </w:r>
      <w:r w:rsidRPr="00E10C47">
        <w:t>–</w:t>
      </w:r>
      <w:r w:rsidRPr="00E10C47" w:rsidDel="004D0FEC">
        <w:t>2</w:t>
      </w:r>
      <w:r>
        <w:t>4</w:t>
      </w:r>
      <w:r w:rsidRPr="00E10C47">
        <w:t xml:space="preserve"> to 202</w:t>
      </w:r>
      <w:r>
        <w:t>5</w:t>
      </w:r>
      <w:r w:rsidRPr="00E10C47">
        <w:t>–2</w:t>
      </w:r>
      <w:r>
        <w:t>6</w:t>
      </w:r>
      <w:r w:rsidRPr="006A460F">
        <w:t>).</w:t>
      </w:r>
      <w:r>
        <w:t xml:space="preserve"> </w:t>
      </w:r>
    </w:p>
    <w:p w14:paraId="79DC5E79" w14:textId="77777777" w:rsidR="00E41A00" w:rsidRPr="00AE6A60" w:rsidRDefault="00E41A00" w:rsidP="00E41A00">
      <w:pPr>
        <w:pStyle w:val="Heading3"/>
      </w:pPr>
      <w:bookmarkStart w:id="348" w:name="_Toc511294484"/>
      <w:bookmarkStart w:id="349" w:name="_Toc511634419"/>
      <w:bookmarkStart w:id="350" w:name="_Toc26786359"/>
      <w:bookmarkStart w:id="351" w:name="_Toc67042608"/>
      <w:bookmarkStart w:id="352" w:name="_Toc108599239"/>
      <w:r w:rsidRPr="00AE6A60">
        <w:t>1.2</w:t>
      </w:r>
      <w:r>
        <w:tab/>
      </w:r>
      <w:r>
        <w:tab/>
      </w:r>
      <w:r w:rsidRPr="00AE6A60">
        <w:t>Background and description of activity</w:t>
      </w:r>
      <w:bookmarkEnd w:id="348"/>
      <w:bookmarkEnd w:id="349"/>
      <w:bookmarkEnd w:id="350"/>
      <w:bookmarkEnd w:id="351"/>
      <w:bookmarkEnd w:id="352"/>
    </w:p>
    <w:p w14:paraId="16214850" w14:textId="77777777" w:rsidR="00E41A00" w:rsidRPr="00AE6A60" w:rsidRDefault="00E41A00" w:rsidP="003677B2">
      <w:pPr>
        <w:pStyle w:val="Paragraph"/>
      </w:pPr>
      <w:r w:rsidRPr="004F2240">
        <w:t xml:space="preserve">Under the </w:t>
      </w:r>
      <w:r w:rsidRPr="004F2240">
        <w:rPr>
          <w:i/>
        </w:rPr>
        <w:t xml:space="preserve">Telecommunications (Carrier Licence Charges) Act 1997 </w:t>
      </w:r>
      <w:r w:rsidRPr="004F2240">
        <w:t xml:space="preserve">(the Act), the ACLC is used to fund the exercise of </w:t>
      </w:r>
      <w:r w:rsidRPr="004F2240">
        <w:rPr>
          <w:iCs/>
        </w:rPr>
        <w:t xml:space="preserve">the </w:t>
      </w:r>
      <w:r w:rsidRPr="004F2240">
        <w:t>ACMA’s and ACCC’s telecommunicati</w:t>
      </w:r>
      <w:r w:rsidRPr="00AE6A60">
        <w:t>ons functions and powers, the Commonwealth’s contribution to the International Telecommunication Union (ITU)</w:t>
      </w:r>
      <w:r>
        <w:t xml:space="preserve">, </w:t>
      </w:r>
      <w:r w:rsidRPr="00AA0866">
        <w:t xml:space="preserve">the amount reimbursed for the development or variation of industry codes under Part 6 of the </w:t>
      </w:r>
      <w:r w:rsidRPr="00AE6A60">
        <w:rPr>
          <w:i/>
        </w:rPr>
        <w:t>Telecommunications Act 1997</w:t>
      </w:r>
      <w:r w:rsidRPr="00AE6A60">
        <w:t xml:space="preserve"> (Telco Act) and relevant telecommunications grants made by the </w:t>
      </w:r>
      <w:r>
        <w:t>former m</w:t>
      </w:r>
      <w:r w:rsidRPr="00AE6A60">
        <w:t xml:space="preserve">inister for </w:t>
      </w:r>
      <w:r w:rsidRPr="00F87B71">
        <w:t>Communications, Urban Infrastructure, Cities and the Arts</w:t>
      </w:r>
      <w:r w:rsidRPr="00AE6A60">
        <w:t xml:space="preserve">. Costs associated with the MBA program are included in the ACCC’s determination of its costs under paragraph 15(1)(b) of the Act and are therefore to be recovered via the ACLC, consistent with the ACCC’s functions of monitoring the telecommunications industry and promoting competition and consumer benefits. </w:t>
      </w:r>
    </w:p>
    <w:p w14:paraId="15DFDE63" w14:textId="77777777" w:rsidR="00E41A00" w:rsidRPr="00AE6A60" w:rsidRDefault="00E41A00" w:rsidP="00E41A00">
      <w:pPr>
        <w:pStyle w:val="Paragraph"/>
      </w:pPr>
      <w:r w:rsidRPr="00AE6A60">
        <w:t xml:space="preserve">The MBA program monitors </w:t>
      </w:r>
      <w:r w:rsidRPr="008509CE">
        <w:t>National Broadband Network (NBN)</w:t>
      </w:r>
      <w:r w:rsidRPr="00AE6A60">
        <w:t xml:space="preserve"> fixed-line services provided by carriers and carriage service providers with significant market presence, including resellers</w:t>
      </w:r>
      <w:r>
        <w:t>.</w:t>
      </w:r>
    </w:p>
    <w:p w14:paraId="48632DB8" w14:textId="77777777" w:rsidR="00E41A00" w:rsidRPr="00AE6A60" w:rsidRDefault="00E41A00" w:rsidP="00E41A00">
      <w:pPr>
        <w:pStyle w:val="Paragraph"/>
        <w:rPr>
          <w:szCs w:val="20"/>
          <w:lang w:eastAsia="en-US"/>
        </w:rPr>
      </w:pPr>
      <w:r w:rsidRPr="00AE6A60">
        <w:rPr>
          <w:szCs w:val="20"/>
          <w:lang w:eastAsia="en-US"/>
        </w:rPr>
        <w:t xml:space="preserve">The key output of the MBA program is public reporting of objective and reliable information </w:t>
      </w:r>
      <w:r>
        <w:rPr>
          <w:szCs w:val="20"/>
          <w:lang w:eastAsia="en-US"/>
        </w:rPr>
        <w:t>about</w:t>
      </w:r>
      <w:r w:rsidRPr="00AE6A60">
        <w:rPr>
          <w:szCs w:val="20"/>
          <w:lang w:eastAsia="en-US"/>
        </w:rPr>
        <w:t xml:space="preserve"> the performance and reliability of fixed-line broadband services to inform consumer</w:t>
      </w:r>
      <w:r>
        <w:rPr>
          <w:szCs w:val="20"/>
          <w:lang w:eastAsia="en-US"/>
        </w:rPr>
        <w:t xml:space="preserve"> choice</w:t>
      </w:r>
      <w:r w:rsidRPr="00AE6A60">
        <w:rPr>
          <w:szCs w:val="20"/>
          <w:lang w:eastAsia="en-US"/>
        </w:rPr>
        <w:t>.</w:t>
      </w:r>
      <w:r>
        <w:rPr>
          <w:szCs w:val="20"/>
          <w:lang w:eastAsia="en-US"/>
        </w:rPr>
        <w:t xml:space="preserve"> The scope of the MBA program was expanded as part of the 2021 renewal to target NBN fixed wireless, higher speed services (with download speeds exceeding 100 Mbps) and other fixed-line and wireless networks that compete with the NBN. The MBA reports have included NBN fixed wireless data since March 2021, initially as a proof of concept.</w:t>
      </w:r>
    </w:p>
    <w:p w14:paraId="1FDDB6B3" w14:textId="77777777" w:rsidR="00E41A00" w:rsidRPr="00AE6A60" w:rsidRDefault="00E41A00" w:rsidP="00E41A00">
      <w:pPr>
        <w:pStyle w:val="Paragraph"/>
      </w:pPr>
      <w:r w:rsidRPr="00AE6A60">
        <w:t>Consistent with the Australian Government Charging Framework 2015 and t</w:t>
      </w:r>
      <w:r w:rsidRPr="008509CE">
        <w:t>he Act,</w:t>
      </w:r>
      <w:r w:rsidRPr="00AE6A60">
        <w:t xml:space="preserve"> costs of the MBA program will be recovered in arrears from monitored carriers via the ACLC.</w:t>
      </w:r>
    </w:p>
    <w:p w14:paraId="17B6B61D" w14:textId="77777777" w:rsidR="00E41A00" w:rsidRPr="00AE6A60" w:rsidRDefault="00E41A00" w:rsidP="003677B2">
      <w:pPr>
        <w:pStyle w:val="Paragraph"/>
      </w:pPr>
      <w:bookmarkStart w:id="353" w:name="_Hlk25672679"/>
      <w:r w:rsidRPr="00AE6A60">
        <w:lastRenderedPageBreak/>
        <w:t xml:space="preserve">For more information about the MBA program, please refer to </w:t>
      </w:r>
      <w:r>
        <w:t xml:space="preserve">the </w:t>
      </w:r>
      <w:hyperlink r:id="rId27" w:history="1">
        <w:r w:rsidRPr="00AE6A60">
          <w:rPr>
            <w:rStyle w:val="Hyperlink"/>
          </w:rPr>
          <w:t>ACCC website</w:t>
        </w:r>
      </w:hyperlink>
      <w:r w:rsidRPr="00AE6A60">
        <w:t>.</w:t>
      </w:r>
      <w:bookmarkEnd w:id="353"/>
    </w:p>
    <w:p w14:paraId="57753C24" w14:textId="77777777" w:rsidR="00E41A00" w:rsidRPr="00AE6A60" w:rsidRDefault="00E41A00" w:rsidP="00E41A00">
      <w:pPr>
        <w:pStyle w:val="Heading3"/>
      </w:pPr>
      <w:bookmarkStart w:id="354" w:name="_Toc511294485"/>
      <w:bookmarkStart w:id="355" w:name="_Toc511634420"/>
      <w:bookmarkStart w:id="356" w:name="_Toc26786360"/>
      <w:bookmarkStart w:id="357" w:name="_Toc67042609"/>
      <w:bookmarkStart w:id="358" w:name="_Toc108599240"/>
      <w:r w:rsidRPr="00AE6A60">
        <w:t>1.3</w:t>
      </w:r>
      <w:r>
        <w:tab/>
      </w:r>
      <w:r>
        <w:tab/>
      </w:r>
      <w:r w:rsidRPr="00AE6A60">
        <w:t>Stakeholders</w:t>
      </w:r>
      <w:bookmarkEnd w:id="354"/>
      <w:bookmarkEnd w:id="355"/>
      <w:bookmarkEnd w:id="356"/>
      <w:bookmarkEnd w:id="357"/>
      <w:bookmarkEnd w:id="358"/>
    </w:p>
    <w:p w14:paraId="47912777" w14:textId="77777777" w:rsidR="00E41A00" w:rsidRPr="00AE6A60" w:rsidRDefault="00E41A00" w:rsidP="003677B2">
      <w:pPr>
        <w:pStyle w:val="Paragraph"/>
      </w:pPr>
      <w:r w:rsidRPr="00AE6A60">
        <w:t>The key stakeholders are the ACCC, and telecommunications carriers, carriage service providers, industry bodies (for example, Communications Alliance), consumers and consumer bodies</w:t>
      </w:r>
      <w:r>
        <w:t xml:space="preserve"> – </w:t>
      </w:r>
      <w:r w:rsidRPr="00AE6A60">
        <w:t>for example, the Australian Communications Consumer Action N</w:t>
      </w:r>
      <w:r w:rsidRPr="00F227BB">
        <w:t>etwork (ACCAN).</w:t>
      </w:r>
      <w:r w:rsidRPr="00AE6A60" w:rsidDel="00863C10">
        <w:t xml:space="preserve"> </w:t>
      </w:r>
    </w:p>
    <w:p w14:paraId="26A3D9C6" w14:textId="77777777" w:rsidR="00E41A00" w:rsidRPr="00AE6A60" w:rsidRDefault="00E41A00" w:rsidP="00E41A00">
      <w:pPr>
        <w:pStyle w:val="Heading2"/>
      </w:pPr>
      <w:bookmarkStart w:id="359" w:name="_Toc511294486"/>
      <w:bookmarkStart w:id="360" w:name="_Toc511634421"/>
      <w:bookmarkStart w:id="361" w:name="_Toc26786361"/>
      <w:bookmarkStart w:id="362" w:name="_Toc67042610"/>
      <w:bookmarkStart w:id="363" w:name="_Toc108599241"/>
      <w:bookmarkStart w:id="364" w:name="_Toc121920519"/>
      <w:bookmarkStart w:id="365" w:name="_Toc149735475"/>
      <w:bookmarkStart w:id="366" w:name="_Toc175123957"/>
      <w:r w:rsidRPr="00AE6A60">
        <w:t xml:space="preserve">2. </w:t>
      </w:r>
      <w:r w:rsidRPr="00AE6A60">
        <w:tab/>
        <w:t>Policy and statutory authority to undertake cost recovery</w:t>
      </w:r>
      <w:bookmarkEnd w:id="359"/>
      <w:bookmarkEnd w:id="360"/>
      <w:bookmarkEnd w:id="361"/>
      <w:bookmarkEnd w:id="362"/>
      <w:bookmarkEnd w:id="363"/>
      <w:bookmarkEnd w:id="364"/>
      <w:bookmarkEnd w:id="365"/>
      <w:bookmarkEnd w:id="366"/>
    </w:p>
    <w:p w14:paraId="76E636BA" w14:textId="77777777" w:rsidR="00E41A00" w:rsidRPr="00AE6A60" w:rsidRDefault="00E41A00" w:rsidP="00E41A00">
      <w:pPr>
        <w:pStyle w:val="Heading3"/>
      </w:pPr>
      <w:bookmarkStart w:id="367" w:name="_Toc454268359"/>
      <w:bookmarkStart w:id="368" w:name="_Toc511294487"/>
      <w:bookmarkStart w:id="369" w:name="_Toc511634422"/>
      <w:bookmarkStart w:id="370" w:name="_Toc26786362"/>
      <w:bookmarkStart w:id="371" w:name="_Toc67042611"/>
      <w:bookmarkStart w:id="372" w:name="_Toc108599242"/>
      <w:r w:rsidRPr="00AE6A60">
        <w:t>2.1</w:t>
      </w:r>
      <w:r>
        <w:t xml:space="preserve"> </w:t>
      </w:r>
      <w:r w:rsidRPr="00AE6A60">
        <w:tab/>
        <w:t>Government policy approval to recover costs</w:t>
      </w:r>
      <w:bookmarkEnd w:id="367"/>
      <w:bookmarkEnd w:id="368"/>
      <w:bookmarkEnd w:id="369"/>
      <w:bookmarkEnd w:id="370"/>
      <w:bookmarkEnd w:id="371"/>
      <w:bookmarkEnd w:id="372"/>
      <w:r w:rsidRPr="00AE6A60">
        <w:t xml:space="preserve"> </w:t>
      </w:r>
    </w:p>
    <w:p w14:paraId="78CE6771" w14:textId="77777777" w:rsidR="00E41A00" w:rsidRPr="00AE6A60" w:rsidRDefault="00E41A00" w:rsidP="003677B2">
      <w:pPr>
        <w:pStyle w:val="Paragraph"/>
      </w:pPr>
      <w:r w:rsidRPr="00AE6A60">
        <w:t xml:space="preserve">The activities undertaken under the MBA program form part of the ACCC’s statutory responsibilities of monitoring industry and providing information to consumers.  </w:t>
      </w:r>
    </w:p>
    <w:p w14:paraId="21634D38" w14:textId="77777777" w:rsidR="00E41A00" w:rsidRDefault="00E41A00" w:rsidP="003677B2">
      <w:pPr>
        <w:pStyle w:val="Paragraph"/>
        <w:rPr>
          <w:szCs w:val="20"/>
        </w:rPr>
      </w:pPr>
      <w:r w:rsidRPr="00AE6A60">
        <w:rPr>
          <w:szCs w:val="20"/>
        </w:rPr>
        <w:t>In April 2017, the government announced the introduction of the MBA program, administered by the ACCC.</w:t>
      </w:r>
      <w:r w:rsidRPr="00AE6A60">
        <w:rPr>
          <w:rStyle w:val="FootnoteReference"/>
          <w:szCs w:val="20"/>
        </w:rPr>
        <w:footnoteReference w:id="16"/>
      </w:r>
      <w:r w:rsidRPr="00AE6A60">
        <w:rPr>
          <w:szCs w:val="20"/>
        </w:rPr>
        <w:t xml:space="preserve"> Funding of $7.0 million over </w:t>
      </w:r>
      <w:r>
        <w:rPr>
          <w:szCs w:val="20"/>
        </w:rPr>
        <w:t>4</w:t>
      </w:r>
      <w:r w:rsidRPr="00AE6A60">
        <w:rPr>
          <w:szCs w:val="20"/>
        </w:rPr>
        <w:t xml:space="preserve"> years (to 2020–21) was provided to the ACCC to establish the MBA program as part of the 2017–18 Budget.</w:t>
      </w:r>
      <w:r w:rsidRPr="00AE6A60">
        <w:rPr>
          <w:rStyle w:val="FootnoteReference"/>
          <w:szCs w:val="20"/>
        </w:rPr>
        <w:footnoteReference w:id="17"/>
      </w:r>
      <w:r w:rsidRPr="00AE6A60">
        <w:rPr>
          <w:szCs w:val="20"/>
        </w:rPr>
        <w:t xml:space="preserve"> </w:t>
      </w:r>
    </w:p>
    <w:p w14:paraId="799617DC" w14:textId="77777777" w:rsidR="00E41A00" w:rsidRDefault="00E41A00" w:rsidP="00E41A00">
      <w:pPr>
        <w:pStyle w:val="Paragraph"/>
      </w:pPr>
      <w:r>
        <w:t>As part of the 2020–21 Budget, further funding of $7.7 million over 4 years was provided by the government to continue and extend the MBA program. Fixed wireless broadband services will now be included in the program to ensure consumers in additional regional and emerging market segments can make informed choices about broadband services. The program will also be expanded to monitor non-NBN networks as well as new higher speed services and support for access to business applications. The expected MBA program expenditure over the next 4 years has been reflected in T</w:t>
      </w:r>
      <w:r w:rsidRPr="00F95878">
        <w:t>able B2.</w:t>
      </w:r>
    </w:p>
    <w:p w14:paraId="0E1E4DCF" w14:textId="77777777" w:rsidR="00E41A00" w:rsidRPr="00AE6A60" w:rsidRDefault="00E41A00" w:rsidP="003677B2">
      <w:pPr>
        <w:pStyle w:val="Paragraph"/>
        <w:rPr>
          <w:szCs w:val="20"/>
        </w:rPr>
      </w:pPr>
      <w:r w:rsidRPr="00AE6A60">
        <w:rPr>
          <w:szCs w:val="20"/>
        </w:rPr>
        <w:t>The ACMA’s role is to administer the cost recovery for the MBA program as part of the existing ACLC cost-recovery process</w:t>
      </w:r>
      <w:r>
        <w:rPr>
          <w:szCs w:val="20"/>
        </w:rPr>
        <w:t>, which commenced</w:t>
      </w:r>
      <w:r w:rsidRPr="00AE6A60">
        <w:rPr>
          <w:szCs w:val="20"/>
        </w:rPr>
        <w:t xml:space="preserve"> from the 2018–19</w:t>
      </w:r>
      <w:r w:rsidRPr="009B2105">
        <w:rPr>
          <w:szCs w:val="20"/>
        </w:rPr>
        <w:t xml:space="preserve"> </w:t>
      </w:r>
      <w:r w:rsidRPr="003677B2">
        <w:t>financial</w:t>
      </w:r>
      <w:r w:rsidRPr="00AE6A60">
        <w:rPr>
          <w:szCs w:val="20"/>
        </w:rPr>
        <w:t xml:space="preserve"> year.</w:t>
      </w:r>
    </w:p>
    <w:p w14:paraId="3B9BAD7B" w14:textId="77777777" w:rsidR="00E41A00" w:rsidRPr="00AE6A60" w:rsidRDefault="00E41A00" w:rsidP="00E41A00">
      <w:pPr>
        <w:pStyle w:val="Heading3"/>
      </w:pPr>
      <w:bookmarkStart w:id="373" w:name="_Toc454268360"/>
      <w:bookmarkStart w:id="374" w:name="_Toc511294488"/>
      <w:bookmarkStart w:id="375" w:name="_Toc511634423"/>
      <w:bookmarkStart w:id="376" w:name="_Toc26786363"/>
      <w:bookmarkStart w:id="377" w:name="_Toc67042612"/>
      <w:bookmarkStart w:id="378" w:name="_Toc108599243"/>
      <w:r w:rsidRPr="00AE6A60">
        <w:t>2.2</w:t>
      </w:r>
      <w:r>
        <w:tab/>
      </w:r>
      <w:r>
        <w:tab/>
      </w:r>
      <w:r w:rsidRPr="00AE6A60">
        <w:t>Statutory authority to impose cost</w:t>
      </w:r>
      <w:r>
        <w:t>-</w:t>
      </w:r>
      <w:r w:rsidRPr="00AE6A60">
        <w:t>recovery charges</w:t>
      </w:r>
      <w:bookmarkEnd w:id="373"/>
      <w:bookmarkEnd w:id="374"/>
      <w:bookmarkEnd w:id="375"/>
      <w:bookmarkEnd w:id="376"/>
      <w:bookmarkEnd w:id="377"/>
      <w:bookmarkEnd w:id="378"/>
    </w:p>
    <w:p w14:paraId="5E5B12C3" w14:textId="77777777" w:rsidR="00E41A00" w:rsidRPr="00AE6A60" w:rsidRDefault="00E41A00" w:rsidP="003677B2">
      <w:pPr>
        <w:pStyle w:val="Paragraph"/>
      </w:pPr>
      <w:r w:rsidRPr="00AE6A60">
        <w:t>Section 12 of the Act imposes an annual charge on carrier licences that are in force at the beginning of a financial year (1 July 20</w:t>
      </w:r>
      <w:r>
        <w:t>23</w:t>
      </w:r>
      <w:r w:rsidRPr="00AE6A60">
        <w:t xml:space="preserve"> for the purposes of this CRIS).</w:t>
      </w:r>
    </w:p>
    <w:p w14:paraId="66EB9CD4" w14:textId="77777777" w:rsidR="00E41A00" w:rsidRPr="00AE6A60" w:rsidRDefault="00E41A00" w:rsidP="003677B2">
      <w:pPr>
        <w:pStyle w:val="Paragraph"/>
      </w:pPr>
      <w:r w:rsidRPr="00AE6A60">
        <w:t xml:space="preserve">Subsection 14(1) of the Act specifies that the amount of the charge to be imposed on a carrier licence is the amount ascertained in accordance with a written determination made by </w:t>
      </w:r>
      <w:r w:rsidRPr="00AE6A60">
        <w:rPr>
          <w:iCs/>
        </w:rPr>
        <w:t>the</w:t>
      </w:r>
      <w:r w:rsidRPr="00AE6A60">
        <w:t xml:space="preserve"> ACMA.</w:t>
      </w:r>
    </w:p>
    <w:p w14:paraId="77EC509F" w14:textId="77777777" w:rsidR="00E41A00" w:rsidRPr="00AE6A60" w:rsidRDefault="00E41A00" w:rsidP="003677B2">
      <w:pPr>
        <w:pStyle w:val="Paragraph"/>
      </w:pPr>
      <w:r w:rsidRPr="00AE6A60">
        <w:t>Subsection 15(1) of the Act requires that the total of the charges that are imposed on carrier licences in force at the beginning of a financial year must not exceed the sum of the cost components identified in paragraphs 15(1)(a) to 15(1)(d) of the Act (see Tab</w:t>
      </w:r>
      <w:r w:rsidRPr="00F95878">
        <w:t>le B1)</w:t>
      </w:r>
      <w:r w:rsidRPr="00AE6A60">
        <w:t xml:space="preserve">. </w:t>
      </w:r>
    </w:p>
    <w:p w14:paraId="3FDDDB46" w14:textId="77777777" w:rsidR="00E41A00" w:rsidRPr="00AE6A60" w:rsidRDefault="00E41A00" w:rsidP="003677B2">
      <w:pPr>
        <w:pStyle w:val="Paragraph"/>
      </w:pPr>
      <w:r w:rsidRPr="00AE6A60">
        <w:t>The ACCC’s determination in relation to the costs described in paragraph 15(1)(b) of the Act, relates to the ACCC’s telecommunications powers and functions. The ACCC will incorporate the relevant costs applicable to the MBA program. Further information on the contribution of the MBA program to these cost components is provided in Section 3.1 (below).</w:t>
      </w:r>
    </w:p>
    <w:p w14:paraId="3D31DB7B" w14:textId="77777777" w:rsidR="00E41A00" w:rsidRPr="00AE6A60" w:rsidRDefault="00E41A00" w:rsidP="003677B2">
      <w:pPr>
        <w:pStyle w:val="Paragraph"/>
      </w:pPr>
      <w:r w:rsidRPr="00AE6A60">
        <w:lastRenderedPageBreak/>
        <w:t xml:space="preserve">All determinations will be registered on the Federal Register of </w:t>
      </w:r>
      <w:r>
        <w:t xml:space="preserve">Legislation </w:t>
      </w:r>
      <w:r w:rsidRPr="00AE6A60">
        <w:t xml:space="preserve">and commence before the invoices for the ACLC are </w:t>
      </w:r>
      <w:r>
        <w:t>sent</w:t>
      </w:r>
      <w:r w:rsidRPr="00AE6A60">
        <w:t xml:space="preserve"> by </w:t>
      </w:r>
      <w:r w:rsidRPr="00AE6A60">
        <w:rPr>
          <w:iCs/>
        </w:rPr>
        <w:t xml:space="preserve">the </w:t>
      </w:r>
      <w:r w:rsidRPr="00AE6A60">
        <w:t>ACMA to the licensed carriers</w:t>
      </w:r>
      <w:r>
        <w:t xml:space="preserve"> who are liable to pay the charge</w:t>
      </w:r>
      <w:r w:rsidRPr="00AE6A60">
        <w:t>.</w:t>
      </w:r>
    </w:p>
    <w:p w14:paraId="3CBDC95D" w14:textId="77777777" w:rsidR="00E41A00" w:rsidRPr="00E07FF7" w:rsidRDefault="00E41A00" w:rsidP="00E41A00">
      <w:pPr>
        <w:pStyle w:val="ACMATableHeader"/>
        <w:keepNext/>
        <w:numPr>
          <w:ilvl w:val="0"/>
          <w:numId w:val="0"/>
        </w:numPr>
        <w:ind w:left="964" w:hanging="964"/>
        <w:rPr>
          <w:sz w:val="22"/>
          <w:szCs w:val="22"/>
        </w:rPr>
      </w:pPr>
      <w:r w:rsidRPr="00E07FF7">
        <w:rPr>
          <w:sz w:val="22"/>
          <w:szCs w:val="22"/>
        </w:rPr>
        <w:t>Table B1: Structural components of the ACLC applicable to MBA program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4A0" w:firstRow="1" w:lastRow="0" w:firstColumn="1" w:lastColumn="0" w:noHBand="0" w:noVBand="1"/>
        <w:tblCaption w:val="Structural components of the ACLC"/>
        <w:tblDescription w:val="Includes reference in the Act and cost component"/>
      </w:tblPr>
      <w:tblGrid>
        <w:gridCol w:w="2841"/>
        <w:gridCol w:w="6213"/>
      </w:tblGrid>
      <w:tr w:rsidR="00E41A00" w:rsidRPr="00AE6A60" w14:paraId="525DEAE5" w14:textId="77777777" w:rsidTr="006E2755">
        <w:trPr>
          <w:trHeight w:val="130"/>
          <w:tblHeader/>
        </w:trPr>
        <w:tc>
          <w:tcPr>
            <w:tcW w:w="1569" w:type="pct"/>
            <w:tcBorders>
              <w:top w:val="single" w:sz="6" w:space="0" w:color="auto"/>
              <w:left w:val="single" w:sz="6" w:space="0" w:color="auto"/>
              <w:bottom w:val="single" w:sz="6" w:space="0" w:color="auto"/>
              <w:right w:val="single" w:sz="6" w:space="0" w:color="auto"/>
            </w:tcBorders>
            <w:shd w:val="clear" w:color="auto" w:fill="404040" w:themeFill="text1" w:themeFillTint="BF"/>
            <w:hideMark/>
          </w:tcPr>
          <w:p w14:paraId="57E2B9CB" w14:textId="77777777" w:rsidR="00E41A00" w:rsidRPr="00E07FF7" w:rsidRDefault="00E41A00" w:rsidP="006E2755">
            <w:pPr>
              <w:pStyle w:val="TableHeading0"/>
              <w:rPr>
                <w:b w:val="0"/>
                <w:color w:val="FFFFFF" w:themeColor="background1"/>
                <w:sz w:val="22"/>
                <w:szCs w:val="22"/>
              </w:rPr>
            </w:pPr>
            <w:r w:rsidRPr="00E07FF7">
              <w:rPr>
                <w:color w:val="FFFFFF" w:themeColor="background1"/>
                <w:sz w:val="22"/>
                <w:szCs w:val="22"/>
              </w:rPr>
              <w:t>Reference in the Act</w:t>
            </w:r>
          </w:p>
        </w:tc>
        <w:tc>
          <w:tcPr>
            <w:tcW w:w="3431" w:type="pct"/>
            <w:tcBorders>
              <w:top w:val="single" w:sz="6" w:space="0" w:color="auto"/>
              <w:left w:val="single" w:sz="6" w:space="0" w:color="auto"/>
              <w:bottom w:val="single" w:sz="6" w:space="0" w:color="auto"/>
              <w:right w:val="single" w:sz="6" w:space="0" w:color="auto"/>
            </w:tcBorders>
            <w:shd w:val="clear" w:color="auto" w:fill="404040" w:themeFill="text1" w:themeFillTint="BF"/>
            <w:hideMark/>
          </w:tcPr>
          <w:p w14:paraId="2FFE85C0" w14:textId="77777777" w:rsidR="00E41A00" w:rsidRPr="00E07FF7" w:rsidRDefault="00E41A00" w:rsidP="006E2755">
            <w:pPr>
              <w:pStyle w:val="TableHeading0"/>
              <w:rPr>
                <w:b w:val="0"/>
                <w:color w:val="FFFFFF" w:themeColor="background1"/>
                <w:sz w:val="22"/>
                <w:szCs w:val="22"/>
              </w:rPr>
            </w:pPr>
            <w:r w:rsidRPr="00E07FF7">
              <w:rPr>
                <w:color w:val="FFFFFF" w:themeColor="background1"/>
                <w:sz w:val="22"/>
                <w:szCs w:val="22"/>
              </w:rPr>
              <w:t>Cost component</w:t>
            </w:r>
          </w:p>
        </w:tc>
      </w:tr>
      <w:tr w:rsidR="00E41A00" w:rsidRPr="00AE6A60" w14:paraId="3BC61737" w14:textId="77777777" w:rsidTr="006E2755">
        <w:trPr>
          <w:trHeight w:val="222"/>
          <w:tblHeader/>
        </w:trPr>
        <w:tc>
          <w:tcPr>
            <w:tcW w:w="1569" w:type="pct"/>
            <w:tcBorders>
              <w:top w:val="single" w:sz="6" w:space="0" w:color="auto"/>
              <w:left w:val="single" w:sz="6" w:space="0" w:color="auto"/>
              <w:bottom w:val="single" w:sz="6" w:space="0" w:color="auto"/>
              <w:right w:val="single" w:sz="6" w:space="0" w:color="auto"/>
            </w:tcBorders>
            <w:hideMark/>
          </w:tcPr>
          <w:p w14:paraId="78092C5A" w14:textId="77777777" w:rsidR="00E41A00" w:rsidRPr="00E07FF7" w:rsidRDefault="00E41A00" w:rsidP="006E2755">
            <w:pPr>
              <w:keepNext/>
              <w:spacing w:after="0"/>
              <w:rPr>
                <w:rFonts w:cs="Arial"/>
                <w:sz w:val="22"/>
                <w:szCs w:val="22"/>
              </w:rPr>
            </w:pPr>
            <w:r w:rsidRPr="00E07FF7">
              <w:rPr>
                <w:rFonts w:cs="Arial"/>
                <w:sz w:val="22"/>
                <w:szCs w:val="22"/>
              </w:rPr>
              <w:t>15(1)(a)</w:t>
            </w:r>
          </w:p>
        </w:tc>
        <w:tc>
          <w:tcPr>
            <w:tcW w:w="3431" w:type="pct"/>
            <w:tcBorders>
              <w:top w:val="single" w:sz="6" w:space="0" w:color="auto"/>
              <w:left w:val="single" w:sz="6" w:space="0" w:color="auto"/>
              <w:bottom w:val="single" w:sz="6" w:space="0" w:color="auto"/>
              <w:right w:val="single" w:sz="6" w:space="0" w:color="auto"/>
            </w:tcBorders>
            <w:hideMark/>
          </w:tcPr>
          <w:p w14:paraId="12F77EBF" w14:textId="77777777" w:rsidR="00E41A00" w:rsidRPr="00E07FF7" w:rsidRDefault="00E41A00" w:rsidP="006E2755">
            <w:pPr>
              <w:keepNext/>
              <w:spacing w:after="0"/>
              <w:rPr>
                <w:rFonts w:cs="Arial"/>
                <w:sz w:val="22"/>
                <w:szCs w:val="22"/>
              </w:rPr>
            </w:pPr>
            <w:r w:rsidRPr="00E07FF7">
              <w:rPr>
                <w:rFonts w:cs="Arial"/>
                <w:sz w:val="22"/>
                <w:szCs w:val="22"/>
              </w:rPr>
              <w:t>Not applicable – ACMA’s cost component</w:t>
            </w:r>
          </w:p>
        </w:tc>
      </w:tr>
      <w:tr w:rsidR="00E41A00" w:rsidRPr="00AE6A60" w14:paraId="56107B74" w14:textId="77777777" w:rsidTr="006E2755">
        <w:trPr>
          <w:trHeight w:val="414"/>
          <w:tblHeader/>
        </w:trPr>
        <w:tc>
          <w:tcPr>
            <w:tcW w:w="1569" w:type="pct"/>
            <w:tcBorders>
              <w:top w:val="single" w:sz="6" w:space="0" w:color="auto"/>
              <w:left w:val="single" w:sz="6" w:space="0" w:color="auto"/>
              <w:bottom w:val="single" w:sz="6" w:space="0" w:color="auto"/>
              <w:right w:val="single" w:sz="6" w:space="0" w:color="auto"/>
            </w:tcBorders>
            <w:hideMark/>
          </w:tcPr>
          <w:p w14:paraId="39756ACE" w14:textId="77777777" w:rsidR="00E41A00" w:rsidRPr="00E07FF7" w:rsidRDefault="00E41A00" w:rsidP="006E2755">
            <w:pPr>
              <w:keepNext/>
              <w:spacing w:after="0"/>
              <w:rPr>
                <w:rFonts w:cs="Arial"/>
                <w:sz w:val="22"/>
                <w:szCs w:val="22"/>
              </w:rPr>
            </w:pPr>
            <w:r w:rsidRPr="00E07FF7">
              <w:rPr>
                <w:rFonts w:cs="Arial"/>
                <w:sz w:val="22"/>
                <w:szCs w:val="22"/>
              </w:rPr>
              <w:t>15(1)(b)</w:t>
            </w:r>
          </w:p>
        </w:tc>
        <w:tc>
          <w:tcPr>
            <w:tcW w:w="3431" w:type="pct"/>
            <w:tcBorders>
              <w:top w:val="single" w:sz="6" w:space="0" w:color="auto"/>
              <w:left w:val="single" w:sz="6" w:space="0" w:color="auto"/>
              <w:bottom w:val="single" w:sz="6" w:space="0" w:color="auto"/>
              <w:right w:val="single" w:sz="6" w:space="0" w:color="auto"/>
            </w:tcBorders>
            <w:hideMark/>
          </w:tcPr>
          <w:p w14:paraId="688F21CC" w14:textId="77777777" w:rsidR="00E41A00" w:rsidRPr="00E07FF7" w:rsidRDefault="00E41A00" w:rsidP="006E2755">
            <w:pPr>
              <w:keepNext/>
              <w:spacing w:after="0"/>
              <w:rPr>
                <w:rFonts w:cs="Arial"/>
                <w:sz w:val="22"/>
                <w:szCs w:val="22"/>
              </w:rPr>
            </w:pPr>
            <w:r w:rsidRPr="00E07FF7">
              <w:rPr>
                <w:rFonts w:cs="Arial"/>
                <w:sz w:val="22"/>
                <w:szCs w:val="22"/>
              </w:rPr>
              <w:t>The ACCC’s cost component – this is to incorporate relevant costs applicable to the MBA program</w:t>
            </w:r>
          </w:p>
        </w:tc>
      </w:tr>
      <w:tr w:rsidR="00E41A00" w:rsidRPr="00AE6A60" w14:paraId="6967826D" w14:textId="77777777" w:rsidTr="006E2755">
        <w:trPr>
          <w:trHeight w:val="420"/>
          <w:tblHeader/>
        </w:trPr>
        <w:tc>
          <w:tcPr>
            <w:tcW w:w="1569" w:type="pct"/>
            <w:tcBorders>
              <w:top w:val="single" w:sz="6" w:space="0" w:color="auto"/>
              <w:left w:val="single" w:sz="6" w:space="0" w:color="auto"/>
              <w:bottom w:val="single" w:sz="6" w:space="0" w:color="auto"/>
              <w:right w:val="single" w:sz="6" w:space="0" w:color="auto"/>
            </w:tcBorders>
            <w:hideMark/>
          </w:tcPr>
          <w:p w14:paraId="515D0401" w14:textId="77777777" w:rsidR="00E41A00" w:rsidRPr="00E07FF7" w:rsidRDefault="00E41A00" w:rsidP="006E2755">
            <w:pPr>
              <w:keepNext/>
              <w:spacing w:after="0"/>
              <w:rPr>
                <w:rFonts w:cs="Arial"/>
                <w:sz w:val="22"/>
                <w:szCs w:val="22"/>
              </w:rPr>
            </w:pPr>
            <w:r w:rsidRPr="00E07FF7">
              <w:rPr>
                <w:rFonts w:cs="Arial"/>
                <w:sz w:val="22"/>
                <w:szCs w:val="22"/>
              </w:rPr>
              <w:t>15(1)(c)</w:t>
            </w:r>
          </w:p>
        </w:tc>
        <w:tc>
          <w:tcPr>
            <w:tcW w:w="3431" w:type="pct"/>
            <w:tcBorders>
              <w:top w:val="single" w:sz="6" w:space="0" w:color="auto"/>
              <w:left w:val="single" w:sz="6" w:space="0" w:color="auto"/>
              <w:bottom w:val="single" w:sz="6" w:space="0" w:color="auto"/>
              <w:right w:val="single" w:sz="6" w:space="0" w:color="auto"/>
            </w:tcBorders>
            <w:hideMark/>
          </w:tcPr>
          <w:p w14:paraId="786F85A8" w14:textId="77777777" w:rsidR="00E41A00" w:rsidRPr="00E07FF7" w:rsidRDefault="00E41A00" w:rsidP="006E2755">
            <w:pPr>
              <w:keepNext/>
              <w:spacing w:after="0"/>
              <w:rPr>
                <w:rFonts w:cs="Arial"/>
                <w:sz w:val="22"/>
                <w:szCs w:val="22"/>
              </w:rPr>
            </w:pPr>
            <w:r w:rsidRPr="00E07FF7">
              <w:rPr>
                <w:rFonts w:cs="Arial"/>
                <w:sz w:val="22"/>
                <w:szCs w:val="22"/>
              </w:rPr>
              <w:t>Not applicable – Commonwealth’s contribution to the International Telecommunication Union (ITU)</w:t>
            </w:r>
          </w:p>
        </w:tc>
      </w:tr>
      <w:tr w:rsidR="00E41A00" w:rsidRPr="00AE6A60" w14:paraId="423D8805" w14:textId="77777777" w:rsidTr="006E2755">
        <w:trPr>
          <w:trHeight w:val="405"/>
          <w:tblHeader/>
        </w:trPr>
        <w:tc>
          <w:tcPr>
            <w:tcW w:w="1569" w:type="pct"/>
            <w:tcBorders>
              <w:top w:val="single" w:sz="6" w:space="0" w:color="auto"/>
              <w:left w:val="single" w:sz="6" w:space="0" w:color="auto"/>
              <w:bottom w:val="single" w:sz="6" w:space="0" w:color="auto"/>
              <w:right w:val="single" w:sz="6" w:space="0" w:color="auto"/>
            </w:tcBorders>
            <w:hideMark/>
          </w:tcPr>
          <w:p w14:paraId="43038E4D" w14:textId="77777777" w:rsidR="00E41A00" w:rsidRPr="00E07FF7" w:rsidRDefault="00E41A00" w:rsidP="006E2755">
            <w:pPr>
              <w:keepNext/>
              <w:spacing w:after="0"/>
              <w:rPr>
                <w:rFonts w:cs="Arial"/>
                <w:sz w:val="22"/>
                <w:szCs w:val="22"/>
              </w:rPr>
            </w:pPr>
            <w:r w:rsidRPr="00E07FF7">
              <w:rPr>
                <w:rFonts w:cs="Arial"/>
                <w:sz w:val="22"/>
                <w:szCs w:val="22"/>
              </w:rPr>
              <w:t>15(</w:t>
            </w:r>
            <w:proofErr w:type="gramStart"/>
            <w:r w:rsidRPr="00E07FF7">
              <w:rPr>
                <w:rFonts w:cs="Arial"/>
                <w:sz w:val="22"/>
                <w:szCs w:val="22"/>
              </w:rPr>
              <w:t>1)(</w:t>
            </w:r>
            <w:proofErr w:type="gramEnd"/>
            <w:r w:rsidRPr="00E07FF7">
              <w:rPr>
                <w:rFonts w:cs="Arial"/>
                <w:sz w:val="22"/>
                <w:szCs w:val="22"/>
              </w:rPr>
              <w:t>ca)</w:t>
            </w:r>
          </w:p>
        </w:tc>
        <w:tc>
          <w:tcPr>
            <w:tcW w:w="3431" w:type="pct"/>
            <w:tcBorders>
              <w:top w:val="single" w:sz="6" w:space="0" w:color="auto"/>
              <w:left w:val="single" w:sz="6" w:space="0" w:color="auto"/>
              <w:bottom w:val="single" w:sz="6" w:space="0" w:color="auto"/>
              <w:right w:val="single" w:sz="6" w:space="0" w:color="auto"/>
            </w:tcBorders>
            <w:hideMark/>
          </w:tcPr>
          <w:p w14:paraId="7A76FFBA" w14:textId="77777777" w:rsidR="00E41A00" w:rsidRPr="00E07FF7" w:rsidRDefault="00E41A00" w:rsidP="006E2755">
            <w:pPr>
              <w:keepNext/>
              <w:spacing w:after="0"/>
              <w:rPr>
                <w:rFonts w:cs="Arial"/>
                <w:sz w:val="22"/>
                <w:szCs w:val="22"/>
              </w:rPr>
            </w:pPr>
            <w:r w:rsidRPr="00E07FF7">
              <w:rPr>
                <w:rFonts w:cs="Arial"/>
                <w:sz w:val="22"/>
                <w:szCs w:val="22"/>
              </w:rPr>
              <w:t>Not applicable – reimbursement of cost of developing or varying consumer protection-related industry codes</w:t>
            </w:r>
          </w:p>
        </w:tc>
      </w:tr>
      <w:tr w:rsidR="00E41A00" w:rsidRPr="00AE6A60" w14:paraId="15E1D18E" w14:textId="77777777" w:rsidTr="006E2755">
        <w:trPr>
          <w:trHeight w:val="399"/>
          <w:tblHeader/>
        </w:trPr>
        <w:tc>
          <w:tcPr>
            <w:tcW w:w="1569" w:type="pct"/>
            <w:tcBorders>
              <w:top w:val="single" w:sz="6" w:space="0" w:color="auto"/>
              <w:left w:val="single" w:sz="6" w:space="0" w:color="auto"/>
              <w:bottom w:val="single" w:sz="6" w:space="0" w:color="auto"/>
              <w:right w:val="single" w:sz="6" w:space="0" w:color="auto"/>
            </w:tcBorders>
            <w:hideMark/>
          </w:tcPr>
          <w:p w14:paraId="4D97EEA0" w14:textId="77777777" w:rsidR="00E41A00" w:rsidRPr="00E07FF7" w:rsidRDefault="00E41A00" w:rsidP="006E2755">
            <w:pPr>
              <w:keepNext/>
              <w:spacing w:after="0"/>
              <w:rPr>
                <w:rFonts w:cs="Arial"/>
                <w:sz w:val="22"/>
                <w:szCs w:val="22"/>
              </w:rPr>
            </w:pPr>
            <w:r w:rsidRPr="00E07FF7">
              <w:rPr>
                <w:rFonts w:cs="Arial"/>
                <w:sz w:val="22"/>
                <w:szCs w:val="22"/>
              </w:rPr>
              <w:t>15(1)(d)</w:t>
            </w:r>
          </w:p>
        </w:tc>
        <w:tc>
          <w:tcPr>
            <w:tcW w:w="3431" w:type="pct"/>
            <w:tcBorders>
              <w:top w:val="single" w:sz="6" w:space="0" w:color="auto"/>
              <w:left w:val="single" w:sz="6" w:space="0" w:color="auto"/>
              <w:bottom w:val="single" w:sz="6" w:space="0" w:color="auto"/>
              <w:right w:val="single" w:sz="6" w:space="0" w:color="auto"/>
            </w:tcBorders>
            <w:hideMark/>
          </w:tcPr>
          <w:p w14:paraId="58AA3C8D" w14:textId="77777777" w:rsidR="00E41A00" w:rsidRPr="00E07FF7" w:rsidRDefault="00E41A00" w:rsidP="006E2755">
            <w:pPr>
              <w:keepNext/>
              <w:spacing w:after="0"/>
              <w:rPr>
                <w:rFonts w:cs="Arial"/>
                <w:sz w:val="22"/>
                <w:szCs w:val="22"/>
              </w:rPr>
            </w:pPr>
            <w:r w:rsidRPr="00E07FF7">
              <w:rPr>
                <w:rFonts w:cs="Arial"/>
                <w:sz w:val="22"/>
                <w:szCs w:val="22"/>
              </w:rPr>
              <w:t>Not applicable – government grants – consumer representation and research</w:t>
            </w:r>
          </w:p>
        </w:tc>
      </w:tr>
    </w:tbl>
    <w:p w14:paraId="1330F062" w14:textId="77777777" w:rsidR="00E41A00" w:rsidRPr="00AE6A60" w:rsidRDefault="00E41A00" w:rsidP="00E07FF7">
      <w:pPr>
        <w:pStyle w:val="ACMASpaceaftertable"/>
        <w:spacing w:after="0"/>
      </w:pPr>
    </w:p>
    <w:p w14:paraId="57829121" w14:textId="77777777" w:rsidR="00E41A00" w:rsidRPr="00AE6A60" w:rsidRDefault="00E41A00" w:rsidP="00E07FF7">
      <w:pPr>
        <w:pStyle w:val="Heading2"/>
        <w:spacing w:before="240"/>
      </w:pPr>
      <w:bookmarkStart w:id="379" w:name="_Toc511294489"/>
      <w:bookmarkStart w:id="380" w:name="_Toc511634424"/>
      <w:bookmarkStart w:id="381" w:name="_Toc26786364"/>
      <w:bookmarkStart w:id="382" w:name="_Toc67042613"/>
      <w:bookmarkStart w:id="383" w:name="_Toc108599244"/>
      <w:bookmarkStart w:id="384" w:name="_Toc121920520"/>
      <w:bookmarkStart w:id="385" w:name="_Toc149735476"/>
      <w:bookmarkStart w:id="386" w:name="_Toc175123958"/>
      <w:r w:rsidRPr="00AE6A60">
        <w:t>3.</w:t>
      </w:r>
      <w:r w:rsidRPr="00AE6A60">
        <w:tab/>
        <w:t>Cost</w:t>
      </w:r>
      <w:r>
        <w:t>-</w:t>
      </w:r>
      <w:r w:rsidRPr="003677B2">
        <w:t>recovery</w:t>
      </w:r>
      <w:r w:rsidRPr="00AE6A60">
        <w:t xml:space="preserve"> model</w:t>
      </w:r>
      <w:bookmarkEnd w:id="379"/>
      <w:bookmarkEnd w:id="380"/>
      <w:bookmarkEnd w:id="381"/>
      <w:bookmarkEnd w:id="382"/>
      <w:bookmarkEnd w:id="383"/>
      <w:bookmarkEnd w:id="384"/>
      <w:bookmarkEnd w:id="385"/>
      <w:bookmarkEnd w:id="386"/>
    </w:p>
    <w:p w14:paraId="47067B4D" w14:textId="77777777" w:rsidR="00E41A00" w:rsidRPr="00AE6A60" w:rsidRDefault="00E41A00" w:rsidP="003677B2">
      <w:pPr>
        <w:pStyle w:val="Paragraph"/>
      </w:pPr>
      <w:r w:rsidRPr="00AE6A60">
        <w:t xml:space="preserve">There are </w:t>
      </w:r>
      <w:r>
        <w:t>5</w:t>
      </w:r>
      <w:r w:rsidRPr="00AE6A60">
        <w:t xml:space="preserve"> distinct activities (cost components) that are included in the total amount of the ACLC and levied on carrier licences on an annual basis. The ACCC’s cost component under paragraph 15(1)(b) of the Act (see below) include</w:t>
      </w:r>
      <w:r>
        <w:t>s</w:t>
      </w:r>
      <w:r w:rsidRPr="00AE6A60">
        <w:t xml:space="preserve"> an additional cost for its telecommunications functions relating to the administration of the MBA program for the 201</w:t>
      </w:r>
      <w:r>
        <w:t>9</w:t>
      </w:r>
      <w:r w:rsidRPr="00AE6A60">
        <w:t>–</w:t>
      </w:r>
      <w:r>
        <w:t>20</w:t>
      </w:r>
      <w:r w:rsidRPr="00AE6A60">
        <w:t xml:space="preserve"> to </w:t>
      </w:r>
      <w:r>
        <w:t>2025–26 financial years</w:t>
      </w:r>
      <w:r w:rsidRPr="00AE6A60">
        <w:t>.</w:t>
      </w:r>
    </w:p>
    <w:p w14:paraId="5EB50A6B" w14:textId="77777777" w:rsidR="00E41A00" w:rsidRPr="00AE6A60" w:rsidRDefault="00E41A00" w:rsidP="003677B2">
      <w:pPr>
        <w:pStyle w:val="Heading3"/>
      </w:pPr>
      <w:bookmarkStart w:id="387" w:name="_Toc511294490"/>
      <w:bookmarkStart w:id="388" w:name="_Toc511634425"/>
      <w:bookmarkStart w:id="389" w:name="_Toc26786365"/>
      <w:bookmarkStart w:id="390" w:name="_Toc67042614"/>
      <w:bookmarkStart w:id="391" w:name="_Toc108599245"/>
      <w:r w:rsidRPr="00AE6A60">
        <w:t>3.1</w:t>
      </w:r>
      <w:r>
        <w:t xml:space="preserve"> </w:t>
      </w:r>
      <w:r w:rsidRPr="00AE6A60">
        <w:tab/>
        <w:t>Determination of cost component under paragraph 15(1)(b) of the Act</w:t>
      </w:r>
      <w:r>
        <w:t xml:space="preserve"> – </w:t>
      </w:r>
      <w:r w:rsidRPr="00AE6A60">
        <w:t>the ACCC’s MBA-related activities</w:t>
      </w:r>
      <w:bookmarkEnd w:id="387"/>
      <w:bookmarkEnd w:id="388"/>
      <w:bookmarkEnd w:id="389"/>
      <w:bookmarkEnd w:id="390"/>
      <w:bookmarkEnd w:id="391"/>
      <w:r w:rsidRPr="00AE6A60">
        <w:t xml:space="preserve"> </w:t>
      </w:r>
    </w:p>
    <w:p w14:paraId="625D95B8" w14:textId="77777777" w:rsidR="00E41A00" w:rsidRPr="00AE6A60" w:rsidRDefault="00E41A00" w:rsidP="00E41A00">
      <w:pPr>
        <w:pStyle w:val="Heading4"/>
      </w:pPr>
      <w:bookmarkStart w:id="392" w:name="_Toc511294491"/>
      <w:bookmarkStart w:id="393" w:name="_Toc511634426"/>
      <w:bookmarkStart w:id="394" w:name="_Toc26786366"/>
      <w:bookmarkStart w:id="395" w:name="_Toc67042615"/>
      <w:r w:rsidRPr="00AE6A60">
        <w:t>3.1.1</w:t>
      </w:r>
      <w:r w:rsidRPr="00AE6A60">
        <w:tab/>
        <w:t>Outputs and business processes of the activity</w:t>
      </w:r>
      <w:bookmarkEnd w:id="392"/>
      <w:bookmarkEnd w:id="393"/>
      <w:bookmarkEnd w:id="394"/>
      <w:bookmarkEnd w:id="395"/>
    </w:p>
    <w:p w14:paraId="3B458E6F" w14:textId="77777777" w:rsidR="00E41A00" w:rsidRPr="00AE6A60" w:rsidRDefault="00E41A00" w:rsidP="003677B2">
      <w:pPr>
        <w:pStyle w:val="Paragraph"/>
      </w:pPr>
      <w:r w:rsidRPr="00AE6A60">
        <w:t xml:space="preserve">This component represents the ACCC’s costs incurred during </w:t>
      </w:r>
      <w:r w:rsidRPr="006A460F">
        <w:t xml:space="preserve">the </w:t>
      </w:r>
      <w:r w:rsidRPr="00E10C47">
        <w:t>202</w:t>
      </w:r>
      <w:r>
        <w:t>2</w:t>
      </w:r>
      <w:r w:rsidRPr="00E10C47">
        <w:t>–2</w:t>
      </w:r>
      <w:r>
        <w:t>3</w:t>
      </w:r>
      <w:r w:rsidRPr="006A460F">
        <w:t xml:space="preserve"> </w:t>
      </w:r>
      <w:r w:rsidRPr="00E10C47">
        <w:t>financial year in delivering the MBA program that are attributable to its telecommunications</w:t>
      </w:r>
      <w:r w:rsidRPr="00AE6A60">
        <w:t xml:space="preserve"> functions and powers. While the ACCC has a range of telecommunications functions and powers, any outputs of business processes that do not map directly to the MBA program delivery are not included in determining this cost component.</w:t>
      </w:r>
    </w:p>
    <w:p w14:paraId="767602F3" w14:textId="77777777" w:rsidR="00E41A00" w:rsidRPr="00AE6A60" w:rsidRDefault="00E41A00" w:rsidP="003677B2">
      <w:pPr>
        <w:pStyle w:val="Paragraphbeforelist"/>
        <w:rPr>
          <w:lang w:eastAsia="en-US"/>
        </w:rPr>
      </w:pPr>
      <w:r w:rsidRPr="00AE6A60">
        <w:rPr>
          <w:lang w:eastAsia="en-US"/>
        </w:rPr>
        <w:t xml:space="preserve">The delivery of the MBA program is underpinned by </w:t>
      </w:r>
      <w:proofErr w:type="gramStart"/>
      <w:r w:rsidRPr="00AE6A60">
        <w:rPr>
          <w:lang w:eastAsia="en-US"/>
        </w:rPr>
        <w:t>a number of</w:t>
      </w:r>
      <w:proofErr w:type="gramEnd"/>
      <w:r w:rsidRPr="00AE6A60">
        <w:rPr>
          <w:lang w:eastAsia="en-US"/>
        </w:rPr>
        <w:t xml:space="preserve"> key business processes, the cost of which is to be charged to industry. These processes include:</w:t>
      </w:r>
    </w:p>
    <w:p w14:paraId="285C212F" w14:textId="2AE7A70C" w:rsidR="00E41A00" w:rsidRPr="00AE6A60" w:rsidRDefault="00E41A00" w:rsidP="003677B2">
      <w:pPr>
        <w:pStyle w:val="Bulletlevel1"/>
        <w:rPr>
          <w:rFonts w:eastAsia="SimSun"/>
          <w:lang w:eastAsia="en-US"/>
        </w:rPr>
      </w:pPr>
      <w:r w:rsidRPr="00AE6A60">
        <w:rPr>
          <w:rFonts w:eastAsia="SimSun"/>
          <w:lang w:eastAsia="en-US"/>
        </w:rPr>
        <w:t>recruitment of potential participants and selection of participants receiving broadband services matching those the ACCC has chosen to include in its reporting (for example, certain combinations of broadband technology, retail service providers and speed tier</w:t>
      </w:r>
      <w:r w:rsidRPr="00AE6A60">
        <w:rPr>
          <w:rStyle w:val="FootnoteReference"/>
          <w:rFonts w:eastAsia="SimSun"/>
          <w:lang w:eastAsia="en-US"/>
        </w:rPr>
        <w:footnoteReference w:id="18"/>
      </w:r>
      <w:r w:rsidRPr="00AE6A60">
        <w:rPr>
          <w:rFonts w:eastAsia="SimSun"/>
          <w:lang w:eastAsia="en-US"/>
        </w:rPr>
        <w:t>)</w:t>
      </w:r>
      <w:r>
        <w:rPr>
          <w:rFonts w:eastAsia="SimSun"/>
          <w:lang w:eastAsia="en-US"/>
        </w:rPr>
        <w:t>.</w:t>
      </w:r>
    </w:p>
    <w:p w14:paraId="7171DA1E" w14:textId="75A9E880" w:rsidR="00E41A00" w:rsidRPr="00AE6A60" w:rsidRDefault="00E41A00" w:rsidP="003677B2">
      <w:pPr>
        <w:pStyle w:val="Bulletlevel1"/>
        <w:rPr>
          <w:rFonts w:eastAsia="SimSun"/>
          <w:lang w:eastAsia="en-US"/>
        </w:rPr>
      </w:pPr>
      <w:r w:rsidRPr="00AE6A60">
        <w:rPr>
          <w:rFonts w:eastAsia="SimSun"/>
          <w:lang w:eastAsia="en-US"/>
        </w:rPr>
        <w:t>distribution and management of monitoring devices</w:t>
      </w:r>
      <w:r>
        <w:rPr>
          <w:rFonts w:eastAsia="SimSun"/>
          <w:lang w:eastAsia="en-US"/>
        </w:rPr>
        <w:t>.</w:t>
      </w:r>
    </w:p>
    <w:p w14:paraId="37C9AD21" w14:textId="71D2FB56" w:rsidR="00E41A00" w:rsidRPr="00AE6A60" w:rsidRDefault="00E41A00" w:rsidP="003677B2">
      <w:pPr>
        <w:pStyle w:val="Bulletlevel1"/>
        <w:rPr>
          <w:rFonts w:eastAsia="SimSun"/>
          <w:lang w:eastAsia="en-US"/>
        </w:rPr>
      </w:pPr>
      <w:r w:rsidRPr="00AE6A60">
        <w:rPr>
          <w:rFonts w:eastAsia="SimSun"/>
          <w:lang w:eastAsia="en-US"/>
        </w:rPr>
        <w:t xml:space="preserve">collection of NBN fixed-line speed and reliability data from approximately </w:t>
      </w:r>
      <w:r>
        <w:rPr>
          <w:rFonts w:eastAsia="SimSun"/>
          <w:lang w:eastAsia="en-US"/>
        </w:rPr>
        <w:t xml:space="preserve">2032 active </w:t>
      </w:r>
      <w:r w:rsidRPr="00AE6A60">
        <w:rPr>
          <w:rFonts w:eastAsia="SimSun"/>
          <w:lang w:eastAsia="en-US"/>
        </w:rPr>
        <w:t>volunteers</w:t>
      </w:r>
      <w:r>
        <w:rPr>
          <w:rFonts w:eastAsia="SimSun"/>
          <w:lang w:eastAsia="en-US"/>
        </w:rPr>
        <w:t xml:space="preserve"> (out of a total of 4292 deployed devices)</w:t>
      </w:r>
      <w:r w:rsidRPr="00AE6A60">
        <w:rPr>
          <w:rFonts w:eastAsia="SimSun"/>
          <w:lang w:eastAsia="en-US"/>
        </w:rPr>
        <w:t xml:space="preserve"> across different service providers and different retail offerings</w:t>
      </w:r>
      <w:r>
        <w:rPr>
          <w:rFonts w:eastAsia="SimSun"/>
          <w:lang w:eastAsia="en-US"/>
        </w:rPr>
        <w:t>.</w:t>
      </w:r>
    </w:p>
    <w:p w14:paraId="4F03AB1F" w14:textId="12BFBE83" w:rsidR="00E41A00" w:rsidRPr="00AE6A60" w:rsidRDefault="00E41A00" w:rsidP="003677B2">
      <w:pPr>
        <w:pStyle w:val="Bulletlevel1"/>
        <w:rPr>
          <w:rFonts w:eastAsia="SimSun"/>
          <w:lang w:eastAsia="en-US"/>
        </w:rPr>
      </w:pPr>
      <w:r w:rsidRPr="00AE6A60">
        <w:rPr>
          <w:rFonts w:eastAsia="SimSun"/>
          <w:lang w:eastAsia="en-US"/>
        </w:rPr>
        <w:t>analysis of test results to determine speed and reliability and identify causes of performance issues</w:t>
      </w:r>
      <w:r>
        <w:rPr>
          <w:rFonts w:eastAsia="SimSun"/>
          <w:lang w:eastAsia="en-US"/>
        </w:rPr>
        <w:t>.</w:t>
      </w:r>
    </w:p>
    <w:p w14:paraId="5AC89FD3" w14:textId="13CA986D" w:rsidR="00E41A00" w:rsidRPr="00AE6A60" w:rsidRDefault="00E41A00" w:rsidP="003677B2">
      <w:pPr>
        <w:pStyle w:val="Bulletlevel1last"/>
        <w:rPr>
          <w:rFonts w:eastAsia="SimSun"/>
          <w:lang w:eastAsia="en-US"/>
        </w:rPr>
      </w:pPr>
      <w:r w:rsidRPr="00AE6A60">
        <w:rPr>
          <w:rFonts w:eastAsia="SimSun"/>
          <w:lang w:eastAsia="en-US"/>
        </w:rPr>
        <w:lastRenderedPageBreak/>
        <w:t>regular publication of detailed real-world performance (speed/reliability) data.</w:t>
      </w:r>
    </w:p>
    <w:p w14:paraId="5DA83A24" w14:textId="77777777" w:rsidR="00E41A00" w:rsidRPr="00AE6A60" w:rsidRDefault="00E41A00" w:rsidP="003677B2">
      <w:pPr>
        <w:pStyle w:val="Paragraph"/>
      </w:pPr>
      <w:r w:rsidRPr="00AE6A60">
        <w:t>The cost of these charges to industry will be calculated annually by the ACCC and is included in its paragraph 15(1)(b) determination so that it can be recovered through the existing ACLC charging framework.</w:t>
      </w:r>
    </w:p>
    <w:p w14:paraId="19CB64C7" w14:textId="77777777" w:rsidR="00E41A00" w:rsidRPr="00AE6A60" w:rsidRDefault="00E41A00" w:rsidP="00E41A00">
      <w:pPr>
        <w:pStyle w:val="Heading4"/>
      </w:pPr>
      <w:bookmarkStart w:id="396" w:name="_Toc511294492"/>
      <w:bookmarkStart w:id="397" w:name="_Toc511634427"/>
      <w:bookmarkStart w:id="398" w:name="_Toc26786367"/>
      <w:bookmarkStart w:id="399" w:name="_Toc67042616"/>
      <w:r w:rsidRPr="00AE6A60">
        <w:t>3.1.2</w:t>
      </w:r>
      <w:r w:rsidRPr="00AE6A60">
        <w:tab/>
        <w:t>Costs of the activity</w:t>
      </w:r>
      <w:bookmarkEnd w:id="396"/>
      <w:bookmarkEnd w:id="397"/>
      <w:bookmarkEnd w:id="398"/>
      <w:bookmarkEnd w:id="399"/>
    </w:p>
    <w:p w14:paraId="2AE5D6C6" w14:textId="77777777" w:rsidR="00E41A00" w:rsidRPr="00AE6A60" w:rsidRDefault="00E41A00" w:rsidP="003677B2">
      <w:pPr>
        <w:pStyle w:val="Paragraphbeforelist"/>
      </w:pPr>
      <w:r w:rsidRPr="00AE6A60">
        <w:t>The primary cost drivers for the MBA are:</w:t>
      </w:r>
    </w:p>
    <w:p w14:paraId="4E6D3169" w14:textId="2B1C6C08" w:rsidR="00E41A00" w:rsidRPr="003677B2" w:rsidRDefault="00E01726" w:rsidP="003677B2">
      <w:pPr>
        <w:pStyle w:val="Bulletlevel1"/>
        <w:rPr>
          <w:rFonts w:eastAsia="SimSun"/>
        </w:rPr>
      </w:pPr>
      <w:r w:rsidRPr="003677B2">
        <w:rPr>
          <w:rFonts w:eastAsia="SimSun"/>
        </w:rPr>
        <w:t>purchas</w:t>
      </w:r>
      <w:r>
        <w:rPr>
          <w:rFonts w:eastAsia="SimSun"/>
        </w:rPr>
        <w:t>ing</w:t>
      </w:r>
      <w:r w:rsidRPr="003677B2">
        <w:rPr>
          <w:rFonts w:eastAsia="SimSun"/>
        </w:rPr>
        <w:t xml:space="preserve"> </w:t>
      </w:r>
      <w:r w:rsidR="00E41A00" w:rsidRPr="003677B2">
        <w:rPr>
          <w:rFonts w:eastAsia="SimSun"/>
        </w:rPr>
        <w:t xml:space="preserve">and </w:t>
      </w:r>
      <w:r w:rsidRPr="003677B2">
        <w:rPr>
          <w:rFonts w:eastAsia="SimSun"/>
        </w:rPr>
        <w:t>distributi</w:t>
      </w:r>
      <w:r>
        <w:rPr>
          <w:rFonts w:eastAsia="SimSun"/>
        </w:rPr>
        <w:t xml:space="preserve">ng </w:t>
      </w:r>
      <w:r w:rsidR="00E41A00" w:rsidRPr="003677B2">
        <w:rPr>
          <w:rFonts w:eastAsia="SimSun"/>
        </w:rPr>
        <w:t>monitoring devices (one per monitored service)</w:t>
      </w:r>
    </w:p>
    <w:p w14:paraId="4E0D6DEC" w14:textId="6E4C56BA" w:rsidR="00E41A00" w:rsidRPr="003677B2" w:rsidRDefault="00E01726" w:rsidP="003677B2">
      <w:pPr>
        <w:pStyle w:val="Bulletlevel1"/>
        <w:rPr>
          <w:rFonts w:eastAsia="SimSun"/>
        </w:rPr>
      </w:pPr>
      <w:r w:rsidRPr="003677B2">
        <w:rPr>
          <w:rFonts w:eastAsia="SimSun"/>
        </w:rPr>
        <w:t>maint</w:t>
      </w:r>
      <w:r>
        <w:rPr>
          <w:rFonts w:eastAsia="SimSun"/>
        </w:rPr>
        <w:t>aining</w:t>
      </w:r>
      <w:r w:rsidRPr="003677B2">
        <w:rPr>
          <w:rFonts w:eastAsia="SimSun"/>
        </w:rPr>
        <w:t xml:space="preserve"> </w:t>
      </w:r>
      <w:r w:rsidR="00E41A00" w:rsidRPr="003677B2">
        <w:rPr>
          <w:rFonts w:eastAsia="SimSun"/>
        </w:rPr>
        <w:t>test servers</w:t>
      </w:r>
    </w:p>
    <w:p w14:paraId="743EDC56" w14:textId="653F9025" w:rsidR="00E41A00" w:rsidRPr="003677B2" w:rsidRDefault="00E01726" w:rsidP="003677B2">
      <w:pPr>
        <w:pStyle w:val="Bulletlevel1"/>
        <w:rPr>
          <w:rFonts w:eastAsia="SimSun"/>
        </w:rPr>
      </w:pPr>
      <w:r w:rsidRPr="003677B2">
        <w:rPr>
          <w:rFonts w:eastAsia="SimSun"/>
        </w:rPr>
        <w:t>maint</w:t>
      </w:r>
      <w:r>
        <w:rPr>
          <w:rFonts w:eastAsia="SimSun"/>
        </w:rPr>
        <w:t>aining</w:t>
      </w:r>
      <w:r w:rsidRPr="003677B2">
        <w:rPr>
          <w:rFonts w:eastAsia="SimSun"/>
        </w:rPr>
        <w:t xml:space="preserve"> </w:t>
      </w:r>
      <w:r w:rsidR="00E41A00" w:rsidRPr="003677B2">
        <w:rPr>
          <w:rFonts w:eastAsia="SimSun"/>
        </w:rPr>
        <w:t xml:space="preserve">and/or </w:t>
      </w:r>
      <w:r w:rsidRPr="003677B2">
        <w:rPr>
          <w:rFonts w:eastAsia="SimSun"/>
        </w:rPr>
        <w:t>replac</w:t>
      </w:r>
      <w:r>
        <w:rPr>
          <w:rFonts w:eastAsia="SimSun"/>
        </w:rPr>
        <w:t xml:space="preserve">ing </w:t>
      </w:r>
      <w:r w:rsidR="00E41A00" w:rsidRPr="003677B2">
        <w:rPr>
          <w:rFonts w:eastAsia="SimSun"/>
        </w:rPr>
        <w:t xml:space="preserve">testing devices as </w:t>
      </w:r>
      <w:r w:rsidR="00E41A00" w:rsidRPr="003677B2" w:rsidDel="00C36CD7">
        <w:rPr>
          <w:rFonts w:eastAsia="SimSun"/>
        </w:rPr>
        <w:t>needed</w:t>
      </w:r>
      <w:r w:rsidR="00E41A00" w:rsidRPr="003677B2">
        <w:rPr>
          <w:rFonts w:eastAsia="SimSun"/>
        </w:rPr>
        <w:t>.</w:t>
      </w:r>
    </w:p>
    <w:p w14:paraId="2A97B4C6" w14:textId="6F7B0435" w:rsidR="00E41A00" w:rsidRPr="003677B2" w:rsidRDefault="00E01726" w:rsidP="003677B2">
      <w:pPr>
        <w:pStyle w:val="Bulletlevel1"/>
        <w:rPr>
          <w:rFonts w:eastAsia="SimSun"/>
        </w:rPr>
      </w:pPr>
      <w:r w:rsidRPr="003677B2">
        <w:rPr>
          <w:rFonts w:eastAsia="SimSun"/>
        </w:rPr>
        <w:t>recruit</w:t>
      </w:r>
      <w:r>
        <w:rPr>
          <w:rFonts w:eastAsia="SimSun"/>
        </w:rPr>
        <w:t xml:space="preserve">ing </w:t>
      </w:r>
      <w:r w:rsidR="00E41A00" w:rsidRPr="003677B2">
        <w:rPr>
          <w:rFonts w:eastAsia="SimSun"/>
        </w:rPr>
        <w:t xml:space="preserve">and </w:t>
      </w:r>
      <w:r w:rsidRPr="003677B2">
        <w:rPr>
          <w:rFonts w:eastAsia="SimSun"/>
        </w:rPr>
        <w:t>maint</w:t>
      </w:r>
      <w:r>
        <w:rPr>
          <w:rFonts w:eastAsia="SimSun"/>
        </w:rPr>
        <w:t>aining</w:t>
      </w:r>
      <w:r w:rsidRPr="003677B2">
        <w:rPr>
          <w:rFonts w:eastAsia="SimSun"/>
        </w:rPr>
        <w:t xml:space="preserve"> </w:t>
      </w:r>
      <w:r w:rsidR="00E41A00" w:rsidRPr="003677B2">
        <w:rPr>
          <w:rFonts w:eastAsia="SimSun"/>
        </w:rPr>
        <w:t>volunteer base</w:t>
      </w:r>
    </w:p>
    <w:p w14:paraId="18FEC834" w14:textId="079AA6C7" w:rsidR="00E41A00" w:rsidRPr="00AE6A60" w:rsidRDefault="00E01726" w:rsidP="003677B2">
      <w:pPr>
        <w:pStyle w:val="Bulletlevel1"/>
        <w:rPr>
          <w:rFonts w:eastAsia="SimSun"/>
          <w:lang w:eastAsia="en-US"/>
        </w:rPr>
      </w:pPr>
      <w:r w:rsidRPr="003677B2">
        <w:rPr>
          <w:rFonts w:eastAsia="SimSun"/>
        </w:rPr>
        <w:t>establish</w:t>
      </w:r>
      <w:r>
        <w:rPr>
          <w:rFonts w:eastAsia="SimSun"/>
        </w:rPr>
        <w:t>ing</w:t>
      </w:r>
      <w:r w:rsidRPr="003677B2">
        <w:rPr>
          <w:rFonts w:eastAsia="SimSun"/>
        </w:rPr>
        <w:t xml:space="preserve"> </w:t>
      </w:r>
      <w:r w:rsidR="00E41A00" w:rsidRPr="003677B2">
        <w:rPr>
          <w:rFonts w:eastAsia="SimSun"/>
        </w:rPr>
        <w:t xml:space="preserve">and </w:t>
      </w:r>
      <w:r w:rsidRPr="003677B2">
        <w:rPr>
          <w:rFonts w:eastAsia="SimSun"/>
        </w:rPr>
        <w:t>operati</w:t>
      </w:r>
      <w:r>
        <w:rPr>
          <w:rFonts w:eastAsia="SimSun"/>
        </w:rPr>
        <w:t>ng</w:t>
      </w:r>
      <w:r w:rsidRPr="003677B2">
        <w:rPr>
          <w:rFonts w:eastAsia="SimSun"/>
        </w:rPr>
        <w:t xml:space="preserve"> </w:t>
      </w:r>
      <w:r w:rsidR="00E41A00" w:rsidRPr="003677B2">
        <w:rPr>
          <w:rFonts w:eastAsia="SimSun"/>
        </w:rPr>
        <w:t xml:space="preserve">testing servers and system, including software, </w:t>
      </w:r>
      <w:proofErr w:type="gramStart"/>
      <w:r w:rsidR="00E41A00" w:rsidRPr="003677B2">
        <w:rPr>
          <w:rFonts w:eastAsia="SimSun"/>
        </w:rPr>
        <w:t>hosting</w:t>
      </w:r>
      <w:proofErr w:type="gramEnd"/>
      <w:r w:rsidR="00E41A00" w:rsidRPr="003677B2">
        <w:rPr>
          <w:rFonts w:eastAsia="SimSun"/>
        </w:rPr>
        <w:t xml:space="preserve"> and bandwidth</w:t>
      </w:r>
      <w:r w:rsidR="00E41A00" w:rsidRPr="00AE6A60">
        <w:rPr>
          <w:rFonts w:eastAsia="SimSun"/>
          <w:lang w:eastAsia="en-US"/>
        </w:rPr>
        <w:t xml:space="preserve"> </w:t>
      </w:r>
      <w:r w:rsidR="00E41A00" w:rsidRPr="00AE6A60" w:rsidDel="00C36CD7">
        <w:rPr>
          <w:rFonts w:eastAsia="SimSun"/>
          <w:lang w:eastAsia="en-US"/>
        </w:rPr>
        <w:t>charges</w:t>
      </w:r>
      <w:r w:rsidR="00E41A00" w:rsidRPr="00AE6A60">
        <w:rPr>
          <w:rFonts w:eastAsia="SimSun"/>
          <w:lang w:eastAsia="en-US"/>
        </w:rPr>
        <w:t>.</w:t>
      </w:r>
    </w:p>
    <w:p w14:paraId="0153362E" w14:textId="49ED2BE0" w:rsidR="00E41A00" w:rsidRPr="00AE6A60" w:rsidRDefault="00E01726" w:rsidP="003677B2">
      <w:pPr>
        <w:pStyle w:val="Bulletlevel1last"/>
        <w:rPr>
          <w:rFonts w:eastAsia="SimSun"/>
          <w:lang w:eastAsia="en-US"/>
        </w:rPr>
      </w:pPr>
      <w:r w:rsidRPr="00AE6A60">
        <w:rPr>
          <w:rFonts w:eastAsia="SimSun"/>
          <w:lang w:eastAsia="en-US"/>
        </w:rPr>
        <w:t>produc</w:t>
      </w:r>
      <w:r>
        <w:rPr>
          <w:rFonts w:eastAsia="SimSun"/>
          <w:lang w:eastAsia="en-US"/>
        </w:rPr>
        <w:t>ing</w:t>
      </w:r>
      <w:r w:rsidRPr="00AE6A60">
        <w:rPr>
          <w:rFonts w:eastAsia="SimSun"/>
          <w:lang w:eastAsia="en-US"/>
        </w:rPr>
        <w:t xml:space="preserve"> </w:t>
      </w:r>
      <w:r w:rsidR="00E41A00" w:rsidRPr="00AE6A60">
        <w:rPr>
          <w:rFonts w:eastAsia="SimSun"/>
          <w:lang w:eastAsia="en-US"/>
        </w:rPr>
        <w:t xml:space="preserve">quarterly </w:t>
      </w:r>
      <w:r w:rsidR="00E41A00" w:rsidRPr="003677B2">
        <w:rPr>
          <w:rFonts w:eastAsia="SimSun"/>
        </w:rPr>
        <w:t>and</w:t>
      </w:r>
      <w:r w:rsidR="00E41A00" w:rsidRPr="00AE6A60">
        <w:rPr>
          <w:rFonts w:eastAsia="SimSun"/>
          <w:lang w:eastAsia="en-US"/>
        </w:rPr>
        <w:t xml:space="preserve"> other reports based on the MBA program data.</w:t>
      </w:r>
    </w:p>
    <w:p w14:paraId="70523A88" w14:textId="77777777" w:rsidR="00E41A00" w:rsidRPr="00AE6A60" w:rsidRDefault="00E41A00" w:rsidP="003677B2">
      <w:pPr>
        <w:pStyle w:val="Paragraph"/>
      </w:pPr>
      <w:r w:rsidRPr="00AE6A60">
        <w:t xml:space="preserve">Table </w:t>
      </w:r>
      <w:r>
        <w:t>B</w:t>
      </w:r>
      <w:r w:rsidRPr="00AE6A60">
        <w:t xml:space="preserve">2 provides details of the ACCC’s MBA program expenses by financial year </w:t>
      </w:r>
      <w:r>
        <w:t xml:space="preserve">for the next 3 years. This includes an update to the 2022–23 </w:t>
      </w:r>
      <w:r w:rsidRPr="003677B2">
        <w:t>budget</w:t>
      </w:r>
      <w:r>
        <w:t xml:space="preserve"> profile related to the initial MBA program, and the expected expenditure profile for the program continuation and extension from 1 July 2022.</w:t>
      </w:r>
    </w:p>
    <w:p w14:paraId="1D9C599D" w14:textId="77777777" w:rsidR="00E41A00" w:rsidRPr="003677B2" w:rsidRDefault="00E41A00" w:rsidP="00E41A00">
      <w:pPr>
        <w:pStyle w:val="ACMATableHeader"/>
        <w:numPr>
          <w:ilvl w:val="0"/>
          <w:numId w:val="0"/>
        </w:numPr>
        <w:ind w:left="964" w:hanging="964"/>
        <w:rPr>
          <w:sz w:val="22"/>
          <w:szCs w:val="22"/>
        </w:rPr>
      </w:pPr>
      <w:bookmarkStart w:id="400" w:name="_Hlk57975133"/>
      <w:r w:rsidRPr="003677B2">
        <w:rPr>
          <w:sz w:val="22"/>
          <w:szCs w:val="22"/>
        </w:rPr>
        <w:t xml:space="preserve">Table B2: The ACCC’s anticipated program </w:t>
      </w:r>
      <w:r w:rsidRPr="003677B2" w:rsidDel="00C36CD7">
        <w:rPr>
          <w:sz w:val="22"/>
          <w:szCs w:val="22"/>
        </w:rPr>
        <w:t>expenses</w:t>
      </w:r>
    </w:p>
    <w:tbl>
      <w:tblPr>
        <w:tblW w:w="471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Caption w:val="The ACCC’s component at output level, 2015–16"/>
        <w:tblDescription w:val="Includes the  direct, support and total costs for output activities."/>
      </w:tblPr>
      <w:tblGrid>
        <w:gridCol w:w="4185"/>
        <w:gridCol w:w="1509"/>
        <w:gridCol w:w="1509"/>
        <w:gridCol w:w="1340"/>
      </w:tblGrid>
      <w:tr w:rsidR="00E41A00" w:rsidRPr="003677B2" w14:paraId="26899BAD" w14:textId="77777777" w:rsidTr="006E2755">
        <w:trPr>
          <w:trHeight w:val="371"/>
          <w:tblHeader/>
        </w:trPr>
        <w:tc>
          <w:tcPr>
            <w:tcW w:w="2449" w:type="pct"/>
            <w:shd w:val="clear" w:color="auto" w:fill="404040" w:themeFill="text1" w:themeFillTint="BF"/>
            <w:vAlign w:val="center"/>
          </w:tcPr>
          <w:bookmarkEnd w:id="400"/>
          <w:p w14:paraId="122691C3" w14:textId="77777777" w:rsidR="00E41A00" w:rsidRPr="003677B2" w:rsidRDefault="00E41A00" w:rsidP="003677B2">
            <w:pPr>
              <w:pStyle w:val="TableHeading0"/>
              <w:spacing w:line="280" w:lineRule="atLeast"/>
              <w:rPr>
                <w:bCs/>
                <w:color w:val="FFFFFF" w:themeColor="background1"/>
                <w:sz w:val="22"/>
                <w:szCs w:val="22"/>
              </w:rPr>
            </w:pPr>
            <w:r w:rsidRPr="003677B2">
              <w:rPr>
                <w:bCs/>
                <w:color w:val="FFFFFF" w:themeColor="background1"/>
                <w:sz w:val="22"/>
                <w:szCs w:val="22"/>
              </w:rPr>
              <w:t>Expense</w:t>
            </w:r>
          </w:p>
        </w:tc>
        <w:tc>
          <w:tcPr>
            <w:tcW w:w="883" w:type="pct"/>
            <w:shd w:val="clear" w:color="auto" w:fill="404040" w:themeFill="text1" w:themeFillTint="BF"/>
            <w:vAlign w:val="center"/>
          </w:tcPr>
          <w:p w14:paraId="6CB2A261" w14:textId="77777777" w:rsidR="00E41A00" w:rsidRPr="003677B2" w:rsidRDefault="00E41A00" w:rsidP="003677B2">
            <w:pPr>
              <w:pStyle w:val="TableHeading0"/>
              <w:spacing w:line="280" w:lineRule="atLeast"/>
              <w:jc w:val="right"/>
              <w:rPr>
                <w:color w:val="FFFFFF"/>
                <w:sz w:val="22"/>
                <w:szCs w:val="22"/>
              </w:rPr>
            </w:pPr>
            <w:r w:rsidRPr="003677B2">
              <w:rPr>
                <w:color w:val="FFFFFF"/>
                <w:sz w:val="22"/>
                <w:szCs w:val="22"/>
              </w:rPr>
              <w:t>Budget</w:t>
            </w:r>
            <w:r w:rsidRPr="003677B2">
              <w:rPr>
                <w:rFonts w:cs="Arial"/>
                <w:color w:val="FFFFFF"/>
                <w:sz w:val="22"/>
                <w:szCs w:val="22"/>
              </w:rPr>
              <w:t xml:space="preserve"> </w:t>
            </w:r>
          </w:p>
          <w:p w14:paraId="1C0C5A74" w14:textId="77777777" w:rsidR="00E41A00" w:rsidRPr="003677B2" w:rsidRDefault="00E41A00" w:rsidP="003677B2">
            <w:pPr>
              <w:pStyle w:val="TableHeading0"/>
              <w:spacing w:line="280" w:lineRule="atLeast"/>
              <w:jc w:val="right"/>
              <w:rPr>
                <w:rFonts w:cs="Arial"/>
                <w:color w:val="FFFFFF"/>
                <w:sz w:val="22"/>
                <w:szCs w:val="22"/>
              </w:rPr>
            </w:pPr>
            <w:r w:rsidRPr="003677B2">
              <w:rPr>
                <w:rFonts w:cs="Arial"/>
                <w:color w:val="FFFFFF"/>
                <w:sz w:val="22"/>
                <w:szCs w:val="22"/>
              </w:rPr>
              <w:t xml:space="preserve">2023–24 </w:t>
            </w:r>
          </w:p>
          <w:p w14:paraId="20F6C752" w14:textId="77777777" w:rsidR="00E41A00" w:rsidRPr="003677B2" w:rsidRDefault="00E41A00" w:rsidP="003677B2">
            <w:pPr>
              <w:pStyle w:val="TableHeading0"/>
              <w:spacing w:line="280" w:lineRule="atLeast"/>
              <w:jc w:val="right"/>
              <w:rPr>
                <w:color w:val="FFFFFF" w:themeColor="background1"/>
                <w:sz w:val="22"/>
                <w:szCs w:val="22"/>
              </w:rPr>
            </w:pPr>
            <w:r w:rsidRPr="003677B2">
              <w:rPr>
                <w:color w:val="FFFFFF"/>
                <w:sz w:val="22"/>
                <w:szCs w:val="22"/>
              </w:rPr>
              <w:t>($</w:t>
            </w:r>
            <w:r w:rsidRPr="003677B2" w:rsidDel="00156945">
              <w:rPr>
                <w:color w:val="FFFFFF"/>
                <w:sz w:val="22"/>
                <w:szCs w:val="22"/>
              </w:rPr>
              <w:t>m</w:t>
            </w:r>
            <w:r w:rsidRPr="003677B2" w:rsidDel="00156945">
              <w:rPr>
                <w:bCs/>
                <w:color w:val="FFFFFF"/>
                <w:sz w:val="22"/>
                <w:szCs w:val="22"/>
              </w:rPr>
              <w:t>illion</w:t>
            </w:r>
            <w:r w:rsidRPr="003677B2">
              <w:rPr>
                <w:bCs/>
                <w:color w:val="FFFFFF"/>
                <w:sz w:val="22"/>
                <w:szCs w:val="22"/>
              </w:rPr>
              <w:t>)</w:t>
            </w:r>
          </w:p>
        </w:tc>
        <w:tc>
          <w:tcPr>
            <w:tcW w:w="883" w:type="pct"/>
            <w:shd w:val="clear" w:color="auto" w:fill="404040" w:themeFill="text1" w:themeFillTint="BF"/>
            <w:vAlign w:val="center"/>
          </w:tcPr>
          <w:p w14:paraId="36494A97" w14:textId="77777777" w:rsidR="00E41A00" w:rsidRPr="003677B2" w:rsidRDefault="00E41A00" w:rsidP="003677B2">
            <w:pPr>
              <w:pStyle w:val="TableHeading0"/>
              <w:spacing w:line="280" w:lineRule="atLeast"/>
              <w:jc w:val="right"/>
              <w:rPr>
                <w:color w:val="FFFFFF"/>
                <w:sz w:val="22"/>
                <w:szCs w:val="22"/>
              </w:rPr>
            </w:pPr>
            <w:r w:rsidRPr="003677B2">
              <w:rPr>
                <w:color w:val="FFFFFF"/>
                <w:sz w:val="22"/>
                <w:szCs w:val="22"/>
              </w:rPr>
              <w:t>Budget</w:t>
            </w:r>
          </w:p>
          <w:p w14:paraId="34BF465E" w14:textId="77777777" w:rsidR="00E41A00" w:rsidRPr="003677B2" w:rsidRDefault="00E41A00" w:rsidP="003677B2">
            <w:pPr>
              <w:pStyle w:val="TableHeading0"/>
              <w:spacing w:line="280" w:lineRule="atLeast"/>
              <w:jc w:val="right"/>
              <w:rPr>
                <w:rFonts w:cs="Arial"/>
                <w:color w:val="FFFFFF"/>
                <w:sz w:val="22"/>
                <w:szCs w:val="22"/>
              </w:rPr>
            </w:pPr>
            <w:r w:rsidRPr="003677B2">
              <w:rPr>
                <w:rFonts w:cs="Arial"/>
                <w:color w:val="FFFFFF"/>
                <w:sz w:val="22"/>
                <w:szCs w:val="22"/>
              </w:rPr>
              <w:t>2024–25</w:t>
            </w:r>
          </w:p>
          <w:p w14:paraId="28FB50E0" w14:textId="77777777" w:rsidR="00E41A00" w:rsidRPr="003677B2" w:rsidRDefault="00E41A00" w:rsidP="003677B2">
            <w:pPr>
              <w:pStyle w:val="TableHeading0"/>
              <w:spacing w:line="280" w:lineRule="atLeast"/>
              <w:jc w:val="right"/>
              <w:rPr>
                <w:color w:val="FFFFFF" w:themeColor="background1"/>
                <w:sz w:val="22"/>
                <w:szCs w:val="22"/>
              </w:rPr>
            </w:pPr>
            <w:r w:rsidRPr="003677B2">
              <w:rPr>
                <w:rFonts w:cs="Arial"/>
                <w:b w:val="0"/>
                <w:color w:val="FFFFFF"/>
                <w:sz w:val="22"/>
                <w:szCs w:val="22"/>
              </w:rPr>
              <w:t xml:space="preserve"> </w:t>
            </w:r>
            <w:r w:rsidRPr="003677B2">
              <w:rPr>
                <w:rFonts w:cs="Arial"/>
                <w:bCs/>
                <w:color w:val="FFFFFF"/>
                <w:sz w:val="22"/>
                <w:szCs w:val="22"/>
              </w:rPr>
              <w:t>($</w:t>
            </w:r>
            <w:r w:rsidRPr="003677B2" w:rsidDel="00156945">
              <w:rPr>
                <w:color w:val="FFFFFF"/>
                <w:sz w:val="22"/>
                <w:szCs w:val="22"/>
              </w:rPr>
              <w:t>million</w:t>
            </w:r>
            <w:r w:rsidRPr="003677B2">
              <w:rPr>
                <w:color w:val="FFFFFF"/>
                <w:sz w:val="22"/>
                <w:szCs w:val="22"/>
              </w:rPr>
              <w:t>)</w:t>
            </w:r>
          </w:p>
        </w:tc>
        <w:tc>
          <w:tcPr>
            <w:tcW w:w="784" w:type="pct"/>
            <w:shd w:val="clear" w:color="auto" w:fill="404040" w:themeFill="text1" w:themeFillTint="BF"/>
            <w:vAlign w:val="center"/>
          </w:tcPr>
          <w:p w14:paraId="4C5A7B37" w14:textId="77777777" w:rsidR="00E41A00" w:rsidRPr="003677B2" w:rsidRDefault="00E41A00" w:rsidP="003677B2">
            <w:pPr>
              <w:pStyle w:val="TableHeading0"/>
              <w:spacing w:line="280" w:lineRule="atLeast"/>
              <w:jc w:val="right"/>
              <w:rPr>
                <w:color w:val="FFFFFF"/>
                <w:sz w:val="22"/>
                <w:szCs w:val="22"/>
              </w:rPr>
            </w:pPr>
            <w:r w:rsidRPr="003677B2">
              <w:rPr>
                <w:color w:val="FFFFFF"/>
                <w:sz w:val="22"/>
                <w:szCs w:val="22"/>
              </w:rPr>
              <w:t>Budget</w:t>
            </w:r>
            <w:r w:rsidRPr="003677B2">
              <w:rPr>
                <w:rFonts w:cs="Arial"/>
                <w:color w:val="FFFFFF"/>
                <w:sz w:val="22"/>
                <w:szCs w:val="22"/>
              </w:rPr>
              <w:t xml:space="preserve"> </w:t>
            </w:r>
          </w:p>
          <w:p w14:paraId="4635BEA7" w14:textId="77777777" w:rsidR="00E41A00" w:rsidRPr="003677B2" w:rsidRDefault="00E41A00" w:rsidP="003677B2">
            <w:pPr>
              <w:pStyle w:val="TableHeading0"/>
              <w:spacing w:line="280" w:lineRule="atLeast"/>
              <w:jc w:val="right"/>
              <w:rPr>
                <w:rFonts w:cs="Arial"/>
                <w:color w:val="FFFFFF"/>
                <w:sz w:val="22"/>
                <w:szCs w:val="22"/>
              </w:rPr>
            </w:pPr>
            <w:r w:rsidRPr="003677B2">
              <w:rPr>
                <w:rFonts w:cs="Arial"/>
                <w:color w:val="FFFFFF"/>
                <w:sz w:val="22"/>
                <w:szCs w:val="22"/>
              </w:rPr>
              <w:t xml:space="preserve"> 2025–</w:t>
            </w:r>
            <w:r w:rsidRPr="003677B2" w:rsidDel="00C36CD7">
              <w:rPr>
                <w:rFonts w:cs="Arial"/>
                <w:color w:val="FFFFFF"/>
                <w:sz w:val="22"/>
                <w:szCs w:val="22"/>
              </w:rPr>
              <w:t>26</w:t>
            </w:r>
          </w:p>
          <w:p w14:paraId="16DFE60F" w14:textId="77777777" w:rsidR="00E41A00" w:rsidRPr="003677B2" w:rsidRDefault="00E41A00" w:rsidP="003677B2">
            <w:pPr>
              <w:pStyle w:val="TableHeading0"/>
              <w:spacing w:line="280" w:lineRule="atLeast"/>
              <w:jc w:val="right"/>
              <w:rPr>
                <w:color w:val="FFFFFF" w:themeColor="background1"/>
                <w:sz w:val="22"/>
                <w:szCs w:val="22"/>
              </w:rPr>
            </w:pPr>
            <w:r w:rsidRPr="003677B2">
              <w:rPr>
                <w:rFonts w:cs="Arial"/>
                <w:bCs/>
                <w:color w:val="FFFFFF"/>
                <w:sz w:val="22"/>
                <w:szCs w:val="22"/>
              </w:rPr>
              <w:t>($</w:t>
            </w:r>
            <w:r w:rsidRPr="003677B2" w:rsidDel="00156945">
              <w:rPr>
                <w:color w:val="FFFFFF"/>
                <w:sz w:val="22"/>
                <w:szCs w:val="22"/>
              </w:rPr>
              <w:t>million</w:t>
            </w:r>
            <w:r w:rsidRPr="003677B2">
              <w:rPr>
                <w:color w:val="FFFFFF"/>
                <w:sz w:val="22"/>
                <w:szCs w:val="22"/>
              </w:rPr>
              <w:t>)</w:t>
            </w:r>
          </w:p>
        </w:tc>
      </w:tr>
      <w:tr w:rsidR="00E41A00" w:rsidRPr="003677B2" w14:paraId="4A07AA04" w14:textId="77777777" w:rsidTr="006E2755">
        <w:trPr>
          <w:trHeight w:val="262"/>
        </w:trPr>
        <w:tc>
          <w:tcPr>
            <w:tcW w:w="2449" w:type="pct"/>
          </w:tcPr>
          <w:p w14:paraId="0826079B" w14:textId="77777777" w:rsidR="00E41A00" w:rsidRPr="003677B2" w:rsidRDefault="00E41A00" w:rsidP="003677B2">
            <w:pPr>
              <w:keepNext/>
              <w:spacing w:after="0" w:line="280" w:lineRule="atLeast"/>
              <w:rPr>
                <w:rFonts w:cs="Arial"/>
                <w:sz w:val="22"/>
                <w:szCs w:val="22"/>
              </w:rPr>
            </w:pPr>
            <w:r w:rsidRPr="003677B2">
              <w:rPr>
                <w:sz w:val="22"/>
                <w:szCs w:val="22"/>
              </w:rPr>
              <w:t>MBA program budgeted expenses</w:t>
            </w:r>
          </w:p>
        </w:tc>
        <w:tc>
          <w:tcPr>
            <w:tcW w:w="883" w:type="pct"/>
          </w:tcPr>
          <w:p w14:paraId="35FE6AEC" w14:textId="77777777" w:rsidR="00E41A00" w:rsidRPr="003677B2" w:rsidRDefault="00E41A00" w:rsidP="003677B2">
            <w:pPr>
              <w:keepNext/>
              <w:spacing w:after="0" w:line="280" w:lineRule="atLeast"/>
              <w:jc w:val="right"/>
              <w:rPr>
                <w:rFonts w:cs="Arial"/>
                <w:color w:val="000000"/>
                <w:sz w:val="22"/>
                <w:szCs w:val="22"/>
              </w:rPr>
            </w:pPr>
            <w:r w:rsidRPr="003677B2">
              <w:rPr>
                <w:rFonts w:cs="Arial"/>
                <w:sz w:val="22"/>
                <w:szCs w:val="22"/>
              </w:rPr>
              <w:t xml:space="preserve"> $1.939 </w:t>
            </w:r>
          </w:p>
        </w:tc>
        <w:tc>
          <w:tcPr>
            <w:tcW w:w="883" w:type="pct"/>
          </w:tcPr>
          <w:p w14:paraId="7C58C09D" w14:textId="77777777" w:rsidR="00E41A00" w:rsidRPr="003677B2" w:rsidRDefault="00E41A00" w:rsidP="003677B2">
            <w:pPr>
              <w:keepNext/>
              <w:spacing w:after="0" w:line="280" w:lineRule="atLeast"/>
              <w:jc w:val="right"/>
              <w:rPr>
                <w:rFonts w:cs="Arial"/>
                <w:color w:val="000000"/>
                <w:sz w:val="22"/>
                <w:szCs w:val="22"/>
              </w:rPr>
            </w:pPr>
            <w:r w:rsidRPr="003677B2">
              <w:rPr>
                <w:rFonts w:cs="Arial"/>
                <w:sz w:val="22"/>
                <w:szCs w:val="22"/>
              </w:rPr>
              <w:t xml:space="preserve"> $1.939 </w:t>
            </w:r>
          </w:p>
        </w:tc>
        <w:tc>
          <w:tcPr>
            <w:tcW w:w="784" w:type="pct"/>
          </w:tcPr>
          <w:p w14:paraId="73E241EA" w14:textId="77777777" w:rsidR="00E41A00" w:rsidRPr="003677B2" w:rsidRDefault="00E41A00" w:rsidP="003677B2">
            <w:pPr>
              <w:keepNext/>
              <w:spacing w:after="0" w:line="280" w:lineRule="atLeast"/>
              <w:jc w:val="right"/>
              <w:rPr>
                <w:rFonts w:cs="Arial"/>
                <w:color w:val="000000"/>
                <w:sz w:val="22"/>
                <w:szCs w:val="22"/>
              </w:rPr>
            </w:pPr>
            <w:r w:rsidRPr="003677B2">
              <w:rPr>
                <w:rFonts w:cs="Arial"/>
                <w:sz w:val="22"/>
                <w:szCs w:val="22"/>
              </w:rPr>
              <w:t xml:space="preserve"> $0.000 </w:t>
            </w:r>
          </w:p>
        </w:tc>
      </w:tr>
    </w:tbl>
    <w:p w14:paraId="2312269C" w14:textId="77777777" w:rsidR="00E41A00" w:rsidRPr="00AE6A60" w:rsidRDefault="00E41A00" w:rsidP="00E41A00">
      <w:pPr>
        <w:pStyle w:val="ACMASpaceaftertable"/>
        <w:spacing w:after="120"/>
        <w:rPr>
          <w:rFonts w:eastAsia="SimSun"/>
          <w:lang w:eastAsia="en-US"/>
        </w:rPr>
      </w:pPr>
    </w:p>
    <w:p w14:paraId="0A5FE945" w14:textId="1EC95BD7" w:rsidR="00E41A00" w:rsidRPr="003677B2" w:rsidRDefault="00E41A00" w:rsidP="003677B2">
      <w:pPr>
        <w:pStyle w:val="Paragraph"/>
        <w:rPr>
          <w:rFonts w:eastAsia="SimSun"/>
        </w:rPr>
      </w:pPr>
      <w:r w:rsidRPr="00AE6A60">
        <w:rPr>
          <w:rFonts w:eastAsia="SimSun"/>
          <w:szCs w:val="20"/>
          <w:lang w:eastAsia="en-US"/>
        </w:rPr>
        <w:t xml:space="preserve">Costs associated with ACCC </w:t>
      </w:r>
      <w:r w:rsidRPr="00AE6A60">
        <w:rPr>
          <w:rFonts w:eastAsia="SimSun"/>
          <w:lang w:eastAsia="en-US"/>
        </w:rPr>
        <w:t>project</w:t>
      </w:r>
      <w:r w:rsidR="00E01726">
        <w:rPr>
          <w:rFonts w:eastAsia="SimSun"/>
          <w:lang w:eastAsia="en-US"/>
        </w:rPr>
        <w:t xml:space="preserve"> and </w:t>
      </w:r>
      <w:r w:rsidRPr="00AE6A60">
        <w:rPr>
          <w:rFonts w:eastAsia="SimSun"/>
          <w:lang w:eastAsia="en-US"/>
        </w:rPr>
        <w:t xml:space="preserve">contract </w:t>
      </w:r>
      <w:proofErr w:type="gramStart"/>
      <w:r w:rsidRPr="00AE6A60">
        <w:rPr>
          <w:rFonts w:eastAsia="SimSun"/>
          <w:lang w:eastAsia="en-US"/>
        </w:rPr>
        <w:t>management</w:t>
      </w:r>
      <w:proofErr w:type="gramEnd"/>
      <w:r w:rsidRPr="00AE6A60">
        <w:rPr>
          <w:rFonts w:eastAsia="SimSun"/>
          <w:lang w:eastAsia="en-US"/>
        </w:rPr>
        <w:t xml:space="preserve"> and publishing results is not cost</w:t>
      </w:r>
      <w:r>
        <w:rPr>
          <w:rFonts w:eastAsia="SimSun"/>
          <w:lang w:eastAsia="en-US"/>
        </w:rPr>
        <w:t>-</w:t>
      </w:r>
      <w:r w:rsidRPr="00AE6A60">
        <w:rPr>
          <w:rFonts w:eastAsia="SimSun"/>
          <w:lang w:eastAsia="en-US"/>
        </w:rPr>
        <w:t xml:space="preserve">recovered under the MBA program. </w:t>
      </w:r>
      <w:r w:rsidRPr="003677B2">
        <w:rPr>
          <w:rFonts w:eastAsia="SimSun"/>
        </w:rPr>
        <w:t>Instead, these costs are recovered through the ACLC component (other than the MBA program costs) attributable to paragraph 15(1)(b) of the Act.</w:t>
      </w:r>
    </w:p>
    <w:p w14:paraId="1C84B131" w14:textId="77777777" w:rsidR="00E41A00" w:rsidRPr="00AE6A60" w:rsidRDefault="00E41A00" w:rsidP="003677B2">
      <w:pPr>
        <w:pStyle w:val="Paragraph"/>
        <w:rPr>
          <w:rFonts w:eastAsia="SimSun"/>
          <w:lang w:eastAsia="en-US"/>
        </w:rPr>
      </w:pPr>
      <w:r w:rsidRPr="003677B2">
        <w:rPr>
          <w:rFonts w:eastAsia="SimSun"/>
        </w:rPr>
        <w:t>The ACCC’s paragraph 15(1)(b) component for the MBA program for the 2023</w:t>
      </w:r>
      <w:r w:rsidRPr="003677B2">
        <w:t>–</w:t>
      </w:r>
      <w:r w:rsidRPr="003677B2" w:rsidDel="00312C57">
        <w:rPr>
          <w:rFonts w:eastAsia="SimSun"/>
        </w:rPr>
        <w:t>2</w:t>
      </w:r>
      <w:r w:rsidRPr="003677B2">
        <w:rPr>
          <w:rFonts w:eastAsia="SimSun"/>
        </w:rPr>
        <w:t>4 ACLC, representing the costs incurred during 2022</w:t>
      </w:r>
      <w:r w:rsidRPr="003677B2">
        <w:t>–</w:t>
      </w:r>
      <w:r w:rsidRPr="003677B2">
        <w:rPr>
          <w:rFonts w:eastAsia="SimSun"/>
        </w:rPr>
        <w:t xml:space="preserve">23, has been calculated at $1,644,950 </w:t>
      </w:r>
      <w:r w:rsidRPr="003677B2">
        <w:t>(Table B3)</w:t>
      </w:r>
      <w:r w:rsidRPr="003677B2">
        <w:rPr>
          <w:rFonts w:eastAsia="SimSun"/>
        </w:rPr>
        <w:t>. The budget for 2022</w:t>
      </w:r>
      <w:r w:rsidRPr="003677B2">
        <w:t>–</w:t>
      </w:r>
      <w:r w:rsidRPr="003677B2">
        <w:rPr>
          <w:rFonts w:eastAsia="SimSun"/>
        </w:rPr>
        <w:t>23 was $</w:t>
      </w:r>
      <w:r w:rsidRPr="003677B2">
        <w:t xml:space="preserve">2,051,917 </w:t>
      </w:r>
      <w:r w:rsidRPr="003677B2">
        <w:rPr>
          <w:rFonts w:eastAsia="SimSun"/>
        </w:rPr>
        <w:t>and therefore</w:t>
      </w:r>
      <w:r w:rsidRPr="006A460F">
        <w:rPr>
          <w:rFonts w:eastAsia="SimSun"/>
          <w:lang w:eastAsia="en-US"/>
        </w:rPr>
        <w:t xml:space="preserve"> the cost of providing MBA </w:t>
      </w:r>
      <w:r w:rsidRPr="00D5545F">
        <w:rPr>
          <w:rFonts w:eastAsia="SimSun"/>
          <w:lang w:eastAsia="en-US"/>
        </w:rPr>
        <w:t>services was $</w:t>
      </w:r>
      <w:r w:rsidRPr="007809F4">
        <w:rPr>
          <w:rFonts w:eastAsia="SimSun"/>
          <w:lang w:eastAsia="en-US"/>
        </w:rPr>
        <w:t>406</w:t>
      </w:r>
      <w:r w:rsidRPr="00D5545F">
        <w:rPr>
          <w:rFonts w:eastAsia="SimSun"/>
          <w:lang w:eastAsia="en-US"/>
        </w:rPr>
        <w:t>,</w:t>
      </w:r>
      <w:r w:rsidRPr="007809F4">
        <w:rPr>
          <w:rFonts w:eastAsia="SimSun"/>
          <w:lang w:eastAsia="en-US"/>
        </w:rPr>
        <w:t>967</w:t>
      </w:r>
      <w:r w:rsidRPr="00D5545F">
        <w:rPr>
          <w:rFonts w:eastAsia="SimSun"/>
          <w:lang w:eastAsia="en-US"/>
        </w:rPr>
        <w:t xml:space="preserve"> less than expected. The</w:t>
      </w:r>
      <w:r w:rsidRPr="006A460F">
        <w:rPr>
          <w:rFonts w:eastAsia="SimSun"/>
          <w:lang w:eastAsia="en-US"/>
        </w:rPr>
        <w:t xml:space="preserve"> ACCC still aims to finish budget neutral by the end of the program extension</w:t>
      </w:r>
      <w:r>
        <w:rPr>
          <w:rFonts w:eastAsia="SimSun"/>
          <w:lang w:eastAsia="en-US"/>
        </w:rPr>
        <w:t>. The revised budget profile has been presented in Table B2.</w:t>
      </w:r>
    </w:p>
    <w:p w14:paraId="298E7653" w14:textId="77777777" w:rsidR="00E41A00" w:rsidRPr="003677B2" w:rsidRDefault="00E41A00" w:rsidP="00FC728F">
      <w:pPr>
        <w:pStyle w:val="ACMATableHeader"/>
        <w:keepNext/>
        <w:keepLines/>
        <w:numPr>
          <w:ilvl w:val="0"/>
          <w:numId w:val="0"/>
        </w:numPr>
        <w:ind w:left="964" w:hanging="964"/>
        <w:rPr>
          <w:sz w:val="22"/>
          <w:szCs w:val="22"/>
        </w:rPr>
      </w:pPr>
      <w:bookmarkStart w:id="401" w:name="_Hlk57976348"/>
      <w:r w:rsidRPr="003677B2">
        <w:rPr>
          <w:sz w:val="22"/>
          <w:szCs w:val="22"/>
        </w:rPr>
        <w:lastRenderedPageBreak/>
        <w:t>Table B3: The ACCC’s cost component for the MBA program.</w:t>
      </w:r>
    </w:p>
    <w:tbl>
      <w:tblPr>
        <w:tblStyle w:val="TableGrid"/>
        <w:tblW w:w="8647" w:type="dxa"/>
        <w:tblInd w:w="-5" w:type="dxa"/>
        <w:tblLayout w:type="fixed"/>
        <w:tblCellMar>
          <w:top w:w="57" w:type="dxa"/>
          <w:left w:w="85" w:type="dxa"/>
          <w:bottom w:w="57" w:type="dxa"/>
          <w:right w:w="85" w:type="dxa"/>
        </w:tblCellMar>
        <w:tblLook w:val="04A0" w:firstRow="1" w:lastRow="0" w:firstColumn="1" w:lastColumn="0" w:noHBand="0" w:noVBand="1"/>
        <w:tblCaption w:val="The ACCC’s component at output level, 2015–16"/>
        <w:tblDescription w:val="Includes the  direct, support and total costs for output activities."/>
      </w:tblPr>
      <w:tblGrid>
        <w:gridCol w:w="2686"/>
        <w:gridCol w:w="2120"/>
        <w:gridCol w:w="1818"/>
        <w:gridCol w:w="2023"/>
      </w:tblGrid>
      <w:tr w:rsidR="00E41A00" w:rsidRPr="003677B2" w14:paraId="4E850AFC" w14:textId="77777777" w:rsidTr="00B81642">
        <w:trPr>
          <w:trHeight w:val="646"/>
          <w:tblHeader/>
        </w:trPr>
        <w:tc>
          <w:tcPr>
            <w:tcW w:w="2686" w:type="dxa"/>
            <w:shd w:val="clear" w:color="auto" w:fill="404040" w:themeFill="text1" w:themeFillTint="BF"/>
          </w:tcPr>
          <w:bookmarkEnd w:id="401"/>
          <w:p w14:paraId="595E199B" w14:textId="77777777" w:rsidR="00E41A00" w:rsidRPr="003677B2" w:rsidRDefault="00E41A00" w:rsidP="00B81642">
            <w:pPr>
              <w:pStyle w:val="TableHeading0"/>
              <w:keepNext/>
              <w:keepLines/>
              <w:spacing w:line="280" w:lineRule="atLeast"/>
              <w:rPr>
                <w:rFonts w:eastAsia="SimSun"/>
                <w:color w:val="FFFFFF" w:themeColor="background1"/>
                <w:sz w:val="22"/>
                <w:szCs w:val="22"/>
              </w:rPr>
            </w:pPr>
            <w:r w:rsidRPr="003677B2">
              <w:rPr>
                <w:rFonts w:eastAsia="SimSun"/>
                <w:color w:val="FFFFFF" w:themeColor="background1"/>
                <w:sz w:val="22"/>
                <w:szCs w:val="22"/>
                <w:lang w:eastAsia="en-US"/>
              </w:rPr>
              <w:t>Costs</w:t>
            </w:r>
          </w:p>
        </w:tc>
        <w:tc>
          <w:tcPr>
            <w:tcW w:w="2120" w:type="dxa"/>
            <w:shd w:val="clear" w:color="auto" w:fill="404040" w:themeFill="text1" w:themeFillTint="BF"/>
          </w:tcPr>
          <w:p w14:paraId="0A0925C8" w14:textId="4EE12FC1" w:rsidR="00E41A00" w:rsidRPr="003677B2" w:rsidRDefault="00E41A00" w:rsidP="00B81642">
            <w:pPr>
              <w:pStyle w:val="TableHeading0"/>
              <w:keepNext/>
              <w:keepLines/>
              <w:spacing w:line="280" w:lineRule="atLeast"/>
              <w:jc w:val="right"/>
              <w:rPr>
                <w:rFonts w:eastAsia="SimSun"/>
                <w:b w:val="0"/>
                <w:color w:val="FFFFFF" w:themeColor="background1"/>
                <w:sz w:val="22"/>
                <w:szCs w:val="22"/>
                <w:lang w:eastAsia="en-US"/>
              </w:rPr>
            </w:pPr>
            <w:r w:rsidRPr="003677B2">
              <w:rPr>
                <w:rFonts w:eastAsia="SimSun"/>
                <w:color w:val="FFFFFF" w:themeColor="background1"/>
                <w:sz w:val="22"/>
                <w:szCs w:val="22"/>
                <w:lang w:eastAsia="en-US"/>
              </w:rPr>
              <w:t>202</w:t>
            </w:r>
            <w:r w:rsidRPr="00E63B22">
              <w:rPr>
                <w:rFonts w:eastAsia="SimSun"/>
                <w:color w:val="FFFFFF" w:themeColor="background1"/>
                <w:sz w:val="22"/>
                <w:szCs w:val="22"/>
                <w:lang w:eastAsia="en-US"/>
              </w:rPr>
              <w:t>3</w:t>
            </w:r>
            <w:r w:rsidR="00E63B22" w:rsidRPr="00B81642">
              <w:rPr>
                <w:color w:val="FFFFFF" w:themeColor="background1"/>
              </w:rPr>
              <w:t>–</w:t>
            </w:r>
            <w:r w:rsidRPr="003677B2">
              <w:rPr>
                <w:rFonts w:eastAsia="SimSun"/>
                <w:color w:val="FFFFFF" w:themeColor="background1"/>
                <w:sz w:val="22"/>
                <w:szCs w:val="22"/>
                <w:lang w:eastAsia="en-US"/>
              </w:rPr>
              <w:t>24</w:t>
            </w:r>
          </w:p>
          <w:p w14:paraId="1BFB0E4C" w14:textId="77777777" w:rsidR="00E41A00" w:rsidRPr="003677B2" w:rsidRDefault="00E41A00" w:rsidP="00B81642">
            <w:pPr>
              <w:pStyle w:val="TableHeading0"/>
              <w:keepNext/>
              <w:keepLines/>
              <w:spacing w:line="280" w:lineRule="atLeast"/>
              <w:jc w:val="right"/>
              <w:rPr>
                <w:rFonts w:eastAsia="SimSun"/>
                <w:b w:val="0"/>
                <w:color w:val="FFFFFF" w:themeColor="background1"/>
                <w:sz w:val="22"/>
                <w:szCs w:val="22"/>
                <w:lang w:eastAsia="en-US"/>
              </w:rPr>
            </w:pPr>
            <w:r w:rsidRPr="003677B2">
              <w:rPr>
                <w:rFonts w:eastAsia="SimSun"/>
                <w:color w:val="FFFFFF" w:themeColor="background1"/>
                <w:sz w:val="22"/>
                <w:szCs w:val="22"/>
                <w:lang w:eastAsia="en-US"/>
              </w:rPr>
              <w:t>ACLC</w:t>
            </w:r>
            <w:r w:rsidRPr="003677B2">
              <w:rPr>
                <w:rFonts w:eastAsia="SimSun"/>
                <w:color w:val="FFFFFF" w:themeColor="background1"/>
                <w:sz w:val="22"/>
                <w:szCs w:val="22"/>
                <w:lang w:eastAsia="en-US"/>
              </w:rPr>
              <w:br/>
              <w:t xml:space="preserve"> (based on</w:t>
            </w:r>
          </w:p>
          <w:p w14:paraId="09604CA2" w14:textId="77777777" w:rsidR="00E41A00" w:rsidRPr="003677B2" w:rsidRDefault="00E41A00" w:rsidP="00B81642">
            <w:pPr>
              <w:pStyle w:val="TableHeading0"/>
              <w:keepNext/>
              <w:keepLines/>
              <w:spacing w:line="280" w:lineRule="atLeast"/>
              <w:jc w:val="right"/>
              <w:rPr>
                <w:rFonts w:eastAsia="SimSun"/>
                <w:color w:val="FFFFFF" w:themeColor="background1"/>
                <w:sz w:val="22"/>
                <w:szCs w:val="22"/>
                <w:lang w:eastAsia="en-US"/>
              </w:rPr>
            </w:pPr>
            <w:r w:rsidRPr="003677B2">
              <w:rPr>
                <w:rFonts w:eastAsia="SimSun"/>
                <w:color w:val="FFFFFF" w:themeColor="background1"/>
                <w:sz w:val="22"/>
                <w:szCs w:val="22"/>
                <w:lang w:eastAsia="en-US"/>
              </w:rPr>
              <w:t>2022–23 costs)</w:t>
            </w:r>
          </w:p>
          <w:p w14:paraId="4E68A038" w14:textId="77777777" w:rsidR="00E41A00" w:rsidRPr="003677B2" w:rsidRDefault="00E41A00" w:rsidP="00B81642">
            <w:pPr>
              <w:pStyle w:val="TableHeading0"/>
              <w:keepNext/>
              <w:keepLines/>
              <w:spacing w:line="280" w:lineRule="atLeast"/>
              <w:jc w:val="right"/>
              <w:rPr>
                <w:rFonts w:eastAsia="SimSun"/>
                <w:color w:val="FFFFFF" w:themeColor="background1"/>
                <w:sz w:val="22"/>
                <w:szCs w:val="22"/>
                <w:lang w:eastAsia="en-US"/>
              </w:rPr>
            </w:pPr>
          </w:p>
        </w:tc>
        <w:tc>
          <w:tcPr>
            <w:tcW w:w="1818" w:type="dxa"/>
            <w:shd w:val="clear" w:color="auto" w:fill="404040" w:themeFill="text1" w:themeFillTint="BF"/>
          </w:tcPr>
          <w:p w14:paraId="1ED7551E" w14:textId="2FF1D97A" w:rsidR="00E41A00" w:rsidRPr="003677B2" w:rsidRDefault="00E41A00" w:rsidP="00B81642">
            <w:pPr>
              <w:pStyle w:val="TableHeading0"/>
              <w:keepNext/>
              <w:keepLines/>
              <w:spacing w:line="280" w:lineRule="atLeast"/>
              <w:jc w:val="right"/>
              <w:rPr>
                <w:rFonts w:eastAsia="SimSun"/>
                <w:b w:val="0"/>
                <w:color w:val="FFFFFF" w:themeColor="background1"/>
                <w:sz w:val="22"/>
                <w:szCs w:val="22"/>
                <w:lang w:eastAsia="en-US"/>
              </w:rPr>
            </w:pPr>
            <w:r w:rsidRPr="003677B2">
              <w:rPr>
                <w:rFonts w:eastAsia="SimSun"/>
                <w:color w:val="FFFFFF" w:themeColor="background1"/>
                <w:sz w:val="22"/>
                <w:szCs w:val="22"/>
                <w:lang w:eastAsia="en-US"/>
              </w:rPr>
              <w:t>202</w:t>
            </w:r>
            <w:r w:rsidRPr="00E63B22">
              <w:rPr>
                <w:rFonts w:eastAsia="SimSun"/>
                <w:color w:val="FFFFFF" w:themeColor="background1"/>
                <w:sz w:val="22"/>
                <w:szCs w:val="22"/>
                <w:lang w:eastAsia="en-US"/>
              </w:rPr>
              <w:t>2</w:t>
            </w:r>
            <w:r w:rsidR="00E63B22" w:rsidRPr="00B81642">
              <w:rPr>
                <w:color w:val="FFFFFF" w:themeColor="background1"/>
              </w:rPr>
              <w:t>–</w:t>
            </w:r>
            <w:r w:rsidRPr="003677B2">
              <w:rPr>
                <w:rFonts w:eastAsia="SimSun"/>
                <w:color w:val="FFFFFF" w:themeColor="background1"/>
                <w:sz w:val="22"/>
                <w:szCs w:val="22"/>
                <w:lang w:eastAsia="en-US"/>
              </w:rPr>
              <w:t>23</w:t>
            </w:r>
          </w:p>
          <w:p w14:paraId="45E93265" w14:textId="77777777" w:rsidR="00E41A00" w:rsidRPr="003677B2" w:rsidRDefault="00E41A00" w:rsidP="00B81642">
            <w:pPr>
              <w:pStyle w:val="TableHeading0"/>
              <w:keepNext/>
              <w:keepLines/>
              <w:spacing w:line="280" w:lineRule="atLeast"/>
              <w:jc w:val="right"/>
              <w:rPr>
                <w:rFonts w:eastAsia="SimSun"/>
                <w:color w:val="FFFFFF" w:themeColor="background1"/>
                <w:sz w:val="22"/>
                <w:szCs w:val="22"/>
                <w:lang w:eastAsia="en-US"/>
              </w:rPr>
            </w:pPr>
            <w:r w:rsidRPr="003677B2">
              <w:rPr>
                <w:rFonts w:eastAsia="SimSun"/>
                <w:color w:val="FFFFFF" w:themeColor="background1"/>
                <w:sz w:val="22"/>
                <w:szCs w:val="22"/>
                <w:lang w:eastAsia="en-US"/>
              </w:rPr>
              <w:t xml:space="preserve">ACLC </w:t>
            </w:r>
            <w:r w:rsidRPr="003677B2">
              <w:rPr>
                <w:rFonts w:eastAsia="SimSun"/>
                <w:color w:val="FFFFFF" w:themeColor="background1"/>
                <w:sz w:val="22"/>
                <w:szCs w:val="22"/>
                <w:lang w:eastAsia="en-US"/>
              </w:rPr>
              <w:br/>
              <w:t xml:space="preserve">(based on </w:t>
            </w:r>
          </w:p>
          <w:p w14:paraId="1E3F2602" w14:textId="77777777" w:rsidR="00E41A00" w:rsidRPr="003677B2" w:rsidRDefault="00E41A00" w:rsidP="00B81642">
            <w:pPr>
              <w:pStyle w:val="TableHeading0"/>
              <w:keepNext/>
              <w:keepLines/>
              <w:spacing w:line="280" w:lineRule="atLeast"/>
              <w:jc w:val="right"/>
              <w:rPr>
                <w:rFonts w:eastAsia="SimSun"/>
                <w:color w:val="FFFFFF" w:themeColor="background1"/>
                <w:sz w:val="22"/>
                <w:szCs w:val="22"/>
                <w:lang w:eastAsia="en-US"/>
              </w:rPr>
            </w:pPr>
            <w:r w:rsidRPr="003677B2">
              <w:rPr>
                <w:rFonts w:eastAsia="SimSun"/>
                <w:color w:val="FFFFFF" w:themeColor="background1"/>
                <w:sz w:val="22"/>
                <w:szCs w:val="22"/>
                <w:lang w:eastAsia="en-US"/>
              </w:rPr>
              <w:t>2021–22 costs)</w:t>
            </w:r>
          </w:p>
          <w:p w14:paraId="77A1E1FB" w14:textId="77777777" w:rsidR="00E41A00" w:rsidRPr="003677B2" w:rsidRDefault="00E41A00" w:rsidP="00B81642">
            <w:pPr>
              <w:pStyle w:val="TableHeading0"/>
              <w:keepNext/>
              <w:keepLines/>
              <w:spacing w:line="280" w:lineRule="atLeast"/>
              <w:jc w:val="right"/>
              <w:rPr>
                <w:rFonts w:eastAsia="SimSun"/>
                <w:color w:val="FFFFFF" w:themeColor="background1"/>
                <w:sz w:val="22"/>
                <w:szCs w:val="22"/>
                <w:lang w:eastAsia="en-US"/>
              </w:rPr>
            </w:pPr>
          </w:p>
        </w:tc>
        <w:tc>
          <w:tcPr>
            <w:tcW w:w="2023" w:type="dxa"/>
            <w:shd w:val="clear" w:color="auto" w:fill="404040" w:themeFill="text1" w:themeFillTint="BF"/>
          </w:tcPr>
          <w:p w14:paraId="1867506C" w14:textId="77777777" w:rsidR="00E41A00" w:rsidRPr="003677B2" w:rsidRDefault="00E41A00" w:rsidP="00B81642">
            <w:pPr>
              <w:pStyle w:val="TableHeading0"/>
              <w:keepNext/>
              <w:keepLines/>
              <w:spacing w:line="280" w:lineRule="atLeast"/>
              <w:jc w:val="right"/>
              <w:rPr>
                <w:rFonts w:eastAsia="SimSun"/>
                <w:color w:val="FFFFFF" w:themeColor="background1"/>
                <w:sz w:val="22"/>
                <w:szCs w:val="22"/>
              </w:rPr>
            </w:pPr>
            <w:r w:rsidRPr="003677B2">
              <w:rPr>
                <w:rFonts w:eastAsia="SimSun"/>
                <w:color w:val="FFFFFF" w:themeColor="background1"/>
                <w:sz w:val="22"/>
                <w:szCs w:val="22"/>
                <w:lang w:eastAsia="en-US"/>
              </w:rPr>
              <w:t>% change*</w:t>
            </w:r>
          </w:p>
        </w:tc>
      </w:tr>
      <w:tr w:rsidR="00E41A00" w:rsidRPr="003677B2" w14:paraId="42D6ADEF" w14:textId="77777777" w:rsidTr="00B81642">
        <w:trPr>
          <w:trHeight w:val="21"/>
        </w:trPr>
        <w:tc>
          <w:tcPr>
            <w:tcW w:w="2686" w:type="dxa"/>
          </w:tcPr>
          <w:p w14:paraId="610357E3" w14:textId="77777777" w:rsidR="00E41A00" w:rsidRPr="003677B2" w:rsidRDefault="00E41A00" w:rsidP="00B81642">
            <w:pPr>
              <w:keepNext/>
              <w:keepLines/>
              <w:spacing w:after="0" w:line="280" w:lineRule="atLeast"/>
              <w:rPr>
                <w:rFonts w:eastAsia="SimSun" w:cs="Arial"/>
                <w:sz w:val="22"/>
                <w:szCs w:val="22"/>
                <w:lang w:eastAsia="en-US"/>
              </w:rPr>
            </w:pPr>
            <w:r w:rsidRPr="003677B2">
              <w:rPr>
                <w:rFonts w:eastAsia="Calibri" w:cs="Arial"/>
                <w:sz w:val="22"/>
                <w:szCs w:val="22"/>
              </w:rPr>
              <w:t>MBA program expenses</w:t>
            </w:r>
          </w:p>
        </w:tc>
        <w:tc>
          <w:tcPr>
            <w:tcW w:w="2120" w:type="dxa"/>
          </w:tcPr>
          <w:p w14:paraId="584F8059" w14:textId="77777777" w:rsidR="00E41A00" w:rsidRPr="003677B2" w:rsidRDefault="00E41A00" w:rsidP="00B81642">
            <w:pPr>
              <w:keepNext/>
              <w:keepLines/>
              <w:spacing w:after="0" w:line="280" w:lineRule="atLeast"/>
              <w:jc w:val="right"/>
              <w:rPr>
                <w:rFonts w:eastAsia="SimSun" w:cs="Arial"/>
                <w:sz w:val="22"/>
                <w:szCs w:val="22"/>
                <w:lang w:eastAsia="en-US"/>
              </w:rPr>
            </w:pPr>
            <w:r w:rsidRPr="003677B2">
              <w:rPr>
                <w:rFonts w:cs="Arial"/>
                <w:sz w:val="22"/>
                <w:szCs w:val="22"/>
              </w:rPr>
              <w:t xml:space="preserve">$1,644,950 </w:t>
            </w:r>
          </w:p>
        </w:tc>
        <w:tc>
          <w:tcPr>
            <w:tcW w:w="1818" w:type="dxa"/>
          </w:tcPr>
          <w:p w14:paraId="7CFBAAD9" w14:textId="77777777" w:rsidR="00E41A00" w:rsidRPr="003677B2" w:rsidRDefault="00E41A00" w:rsidP="00B81642">
            <w:pPr>
              <w:keepNext/>
              <w:keepLines/>
              <w:spacing w:after="0" w:line="280" w:lineRule="atLeast"/>
              <w:jc w:val="right"/>
              <w:rPr>
                <w:rFonts w:eastAsia="SimSun" w:cs="Arial"/>
                <w:sz w:val="22"/>
                <w:szCs w:val="22"/>
                <w:lang w:eastAsia="en-US"/>
              </w:rPr>
            </w:pPr>
            <w:r w:rsidRPr="003677B2">
              <w:rPr>
                <w:rFonts w:cs="Arial"/>
                <w:sz w:val="22"/>
                <w:szCs w:val="22"/>
              </w:rPr>
              <w:t xml:space="preserve">$1,837,902 </w:t>
            </w:r>
          </w:p>
        </w:tc>
        <w:tc>
          <w:tcPr>
            <w:tcW w:w="2023" w:type="dxa"/>
          </w:tcPr>
          <w:p w14:paraId="7FCEFD41" w14:textId="5F0CB927" w:rsidR="00E41A00" w:rsidRPr="003677B2" w:rsidRDefault="00E41A00" w:rsidP="00B81642">
            <w:pPr>
              <w:keepNext/>
              <w:keepLines/>
              <w:spacing w:after="0" w:line="280" w:lineRule="atLeast"/>
              <w:jc w:val="right"/>
              <w:rPr>
                <w:rFonts w:eastAsia="SimSun" w:cs="Arial"/>
                <w:sz w:val="22"/>
                <w:szCs w:val="22"/>
                <w:lang w:eastAsia="en-US"/>
              </w:rPr>
            </w:pPr>
            <w:r w:rsidRPr="003677B2">
              <w:rPr>
                <w:rFonts w:cs="Arial"/>
                <w:color w:val="FF0000"/>
                <w:sz w:val="22"/>
                <w:szCs w:val="22"/>
              </w:rPr>
              <w:t>(10.5%)</w:t>
            </w:r>
          </w:p>
        </w:tc>
      </w:tr>
    </w:tbl>
    <w:p w14:paraId="40DB8576" w14:textId="77777777" w:rsidR="00E41A00" w:rsidRPr="00AE6A60" w:rsidRDefault="00E41A00" w:rsidP="00B81642">
      <w:pPr>
        <w:pStyle w:val="Tableorfigurenote"/>
        <w:keepNext/>
        <w:keepLines/>
      </w:pPr>
      <w:r w:rsidRPr="00124995">
        <w:t>*Increase/</w:t>
      </w:r>
      <w:r w:rsidRPr="002A6FBA">
        <w:t>(decrease)</w:t>
      </w:r>
      <w:r w:rsidRPr="00AE6A60">
        <w:t>.</w:t>
      </w:r>
    </w:p>
    <w:p w14:paraId="409BDF53" w14:textId="670C51F5" w:rsidR="00E41A00" w:rsidRPr="007809F4" w:rsidRDefault="00E41A00" w:rsidP="003677B2">
      <w:pPr>
        <w:pStyle w:val="Paragraphbeforelist"/>
        <w:rPr>
          <w:i/>
        </w:rPr>
      </w:pPr>
      <w:r w:rsidRPr="007809F4">
        <w:t>Table B3 indicates that the 2023-24 ACLC costs have decreased by $192,952 (10.5%) from the previous year. This mostly relates to one-off costs incurred during 2021</w:t>
      </w:r>
      <w:r w:rsidR="00E63B22">
        <w:t>–</w:t>
      </w:r>
      <w:r w:rsidRPr="007809F4">
        <w:t>22 that did not continue into the 2022</w:t>
      </w:r>
      <w:r w:rsidR="00E63B22">
        <w:t>–</w:t>
      </w:r>
      <w:r w:rsidRPr="007809F4">
        <w:t>23 financial year. This included:</w:t>
      </w:r>
    </w:p>
    <w:p w14:paraId="36D35CBA" w14:textId="47ED0ECB" w:rsidR="00E41A00" w:rsidRPr="007809F4" w:rsidRDefault="00E63B22" w:rsidP="003677B2">
      <w:pPr>
        <w:pStyle w:val="Bulletlevel1"/>
      </w:pPr>
      <w:r>
        <w:t>w</w:t>
      </w:r>
      <w:r w:rsidR="00E41A00" w:rsidRPr="007809F4">
        <w:t xml:space="preserve">ork </w:t>
      </w:r>
      <w:r w:rsidR="00E41A00" w:rsidRPr="003677B2">
        <w:t>involved</w:t>
      </w:r>
      <w:r w:rsidR="00E41A00" w:rsidRPr="007809F4">
        <w:t xml:space="preserve"> with procurement processes for an external service provider to help with the delivery of the extended MBA program </w:t>
      </w:r>
    </w:p>
    <w:p w14:paraId="3ED86358" w14:textId="6C5D6AB8" w:rsidR="00E41A00" w:rsidRDefault="00E63B22" w:rsidP="003677B2">
      <w:pPr>
        <w:pStyle w:val="Bulletlevel1last"/>
      </w:pPr>
      <w:r>
        <w:t>p</w:t>
      </w:r>
      <w:r w:rsidR="00E41A00" w:rsidRPr="007809F4">
        <w:t xml:space="preserve">rocurement of a report comparing the performance of the broadband networks in Australia and New Zealand. </w:t>
      </w:r>
      <w:bookmarkStart w:id="402" w:name="_Toc511294493"/>
      <w:bookmarkStart w:id="403" w:name="_Toc511634428"/>
      <w:bookmarkStart w:id="404" w:name="_Toc26786368"/>
      <w:bookmarkStart w:id="405" w:name="_Toc67042617"/>
      <w:bookmarkStart w:id="406" w:name="_Toc108599246"/>
    </w:p>
    <w:p w14:paraId="0E67F725" w14:textId="77777777" w:rsidR="00E41A00" w:rsidRPr="00AE6A60" w:rsidRDefault="00E41A00" w:rsidP="003677B2">
      <w:pPr>
        <w:pStyle w:val="Heading3"/>
      </w:pPr>
      <w:r w:rsidRPr="00AE6A60">
        <w:t>3.2</w:t>
      </w:r>
      <w:r w:rsidRPr="00AE6A60">
        <w:tab/>
      </w:r>
      <w:r>
        <w:tab/>
      </w:r>
      <w:r w:rsidRPr="00AE6A60">
        <w:t>Design of cost recovery charges</w:t>
      </w:r>
      <w:bookmarkEnd w:id="402"/>
      <w:bookmarkEnd w:id="403"/>
      <w:bookmarkEnd w:id="404"/>
      <w:bookmarkEnd w:id="405"/>
      <w:bookmarkEnd w:id="406"/>
    </w:p>
    <w:p w14:paraId="4581078E" w14:textId="77777777" w:rsidR="00E41A00" w:rsidRPr="00AE6A60" w:rsidRDefault="00E41A00" w:rsidP="00E41A00">
      <w:pPr>
        <w:pStyle w:val="Paragraph"/>
      </w:pPr>
      <w:r w:rsidRPr="00AE6A60">
        <w:t xml:space="preserve">The portion of the efficient costs of the program to be </w:t>
      </w:r>
      <w:r w:rsidRPr="00644DB3">
        <w:t>cost reco</w:t>
      </w:r>
      <w:r w:rsidRPr="00AE6A60">
        <w:t xml:space="preserve">vered (as opposed to the proportion of costs </w:t>
      </w:r>
      <w:r>
        <w:t>that</w:t>
      </w:r>
      <w:r w:rsidRPr="00AE6A60">
        <w:t xml:space="preserve"> are absorbed) are to </w:t>
      </w:r>
      <w:r w:rsidRPr="00861BF9">
        <w:t xml:space="preserve">be levied on the carriers </w:t>
      </w:r>
      <w:r w:rsidRPr="00644DB3">
        <w:t>whose</w:t>
      </w:r>
      <w:r w:rsidRPr="00861BF9">
        <w:t xml:space="preserve"> services are subject to testing via the program (that is, they are the recipients</w:t>
      </w:r>
      <w:r w:rsidRPr="00543EBD">
        <w:t xml:space="preserve"> of the activity)</w:t>
      </w:r>
      <w:r w:rsidRPr="00FB6B91">
        <w:t xml:space="preserve"> through the ACLC calculation, for the duration of that testing. Note that this includes levying both retail</w:t>
      </w:r>
      <w:r w:rsidRPr="004700ED">
        <w:t xml:space="preserve"> </w:t>
      </w:r>
      <w:r w:rsidRPr="00543EBD">
        <w:t xml:space="preserve">carriers </w:t>
      </w:r>
      <w:r w:rsidRPr="00644DB3">
        <w:t>whose</w:t>
      </w:r>
      <w:r w:rsidRPr="00543EBD">
        <w:t xml:space="preserve"> own retail services are being monitored, and wholesale carriers </w:t>
      </w:r>
      <w:r w:rsidRPr="00644DB3">
        <w:t>where</w:t>
      </w:r>
      <w:r w:rsidRPr="00543EBD">
        <w:t xml:space="preserve"> their reseller’s retail services are being m</w:t>
      </w:r>
      <w:r w:rsidRPr="00F40872">
        <w:t xml:space="preserve">onitored. In accordance with the calculation of the ACLC levy, </w:t>
      </w:r>
      <w:r>
        <w:t xml:space="preserve">and the 2017 Direction, </w:t>
      </w:r>
      <w:r w:rsidRPr="00F40872">
        <w:t>non</w:t>
      </w:r>
      <w:r>
        <w:noBreakHyphen/>
      </w:r>
      <w:r w:rsidRPr="00F40872">
        <w:t xml:space="preserve">participating persons (that is, the smaller carriers) within the meaning of the </w:t>
      </w:r>
      <w:r w:rsidRPr="0017614E">
        <w:rPr>
          <w:iCs/>
        </w:rPr>
        <w:t>Telecommunications (Participating Persons) Determination 2015</w:t>
      </w:r>
      <w:r w:rsidRPr="00F40872">
        <w:t xml:space="preserve"> must be exempted from the liability to </w:t>
      </w:r>
      <w:r>
        <w:t xml:space="preserve">pay any ACLC, including any costs </w:t>
      </w:r>
      <w:r w:rsidRPr="00F40872">
        <w:t>associated with the MBA program.</w:t>
      </w:r>
    </w:p>
    <w:p w14:paraId="020BA682" w14:textId="77777777" w:rsidR="00E41A00" w:rsidRPr="00AE6A60" w:rsidRDefault="00E41A00" w:rsidP="003677B2">
      <w:pPr>
        <w:pStyle w:val="Paragraphbeforelist"/>
      </w:pPr>
      <w:r w:rsidRPr="00AE6A60">
        <w:t>The cost imposed on a carrier via the ACLC for the MBA program is calculated according to the following formula:</w:t>
      </w:r>
    </w:p>
    <w:p w14:paraId="13FF8D7D" w14:textId="77777777" w:rsidR="00E41A00" w:rsidRPr="003677B2" w:rsidRDefault="00E41A00" w:rsidP="00E41A00">
      <w:pPr>
        <w:spacing w:after="120"/>
        <w:rPr>
          <w:rFonts w:asciiTheme="minorHAnsi" w:eastAsia="Calibri" w:hAnsiTheme="minorHAnsi"/>
          <w:sz w:val="22"/>
          <w:szCs w:val="22"/>
        </w:rPr>
      </w:pPr>
      <m:oMathPara>
        <m:oMathParaPr>
          <m:jc m:val="left"/>
        </m:oMathParaPr>
        <m:oMath>
          <m:r>
            <w:rPr>
              <w:rFonts w:ascii="Cambria Math" w:eastAsia="Calibri" w:hAnsi="Cambria Math"/>
              <w:sz w:val="22"/>
              <w:szCs w:val="22"/>
            </w:rPr>
            <m:t>APC×</m:t>
          </m:r>
          <m:f>
            <m:fPr>
              <m:ctrlPr>
                <w:rPr>
                  <w:rFonts w:ascii="Cambria Math" w:eastAsia="Calibri" w:hAnsi="Cambria Math"/>
                  <w:i/>
                  <w:sz w:val="22"/>
                  <w:szCs w:val="22"/>
                </w:rPr>
              </m:ctrlPr>
            </m:fPr>
            <m:num>
              <m:r>
                <w:rPr>
                  <w:rFonts w:ascii="Cambria Math" w:eastAsia="Calibri" w:hAnsi="Cambria Math"/>
                  <w:sz w:val="22"/>
                  <w:szCs w:val="22"/>
                </w:rPr>
                <m:t>FLC</m:t>
              </m:r>
            </m:num>
            <m:den>
              <m:r>
                <w:rPr>
                  <w:rFonts w:ascii="Cambria Math" w:eastAsia="Calibri" w:hAnsi="Cambria Math"/>
                  <w:sz w:val="22"/>
                  <w:szCs w:val="22"/>
                </w:rPr>
                <m:t>TFLC</m:t>
              </m:r>
            </m:den>
          </m:f>
        </m:oMath>
      </m:oMathPara>
    </w:p>
    <w:p w14:paraId="4DE3BA18" w14:textId="77777777" w:rsidR="00E41A00" w:rsidRPr="00AE6A60" w:rsidRDefault="00E41A00" w:rsidP="003677B2">
      <w:pPr>
        <w:pStyle w:val="Paragraphbeforelist"/>
      </w:pPr>
      <w:r w:rsidRPr="00AE6A60">
        <w:t>Where:</w:t>
      </w:r>
    </w:p>
    <w:p w14:paraId="346718B7" w14:textId="0F7CA66F" w:rsidR="00E41A00" w:rsidRPr="003677B2" w:rsidRDefault="00E41A00" w:rsidP="003677B2">
      <w:pPr>
        <w:pStyle w:val="Bulletlevel1"/>
        <w:rPr>
          <w:rFonts w:eastAsia="SimSun"/>
        </w:rPr>
      </w:pPr>
      <w:r w:rsidRPr="00AE6A60">
        <w:rPr>
          <w:rFonts w:eastAsia="SimSun"/>
          <w:lang w:eastAsia="en-US"/>
        </w:rPr>
        <w:t xml:space="preserve">APC </w:t>
      </w:r>
      <w:r w:rsidRPr="00AE6A60">
        <w:rPr>
          <w:rFonts w:eastAsia="SimSun"/>
        </w:rPr>
        <w:t xml:space="preserve">is the MBA annual program costs, incurred by the ACCC, during the financial year as determined by the ACCC </w:t>
      </w:r>
      <w:r w:rsidRPr="003677B2">
        <w:rPr>
          <w:rFonts w:eastAsia="SimSun"/>
        </w:rPr>
        <w:t>as part of its paragraph 15(1)(b) determination</w:t>
      </w:r>
    </w:p>
    <w:p w14:paraId="722BF0D4" w14:textId="3C09A06E" w:rsidR="00E41A00" w:rsidRPr="00AE6A60" w:rsidRDefault="00E41A00" w:rsidP="003677B2">
      <w:pPr>
        <w:pStyle w:val="Bulletlevel1"/>
        <w:rPr>
          <w:rFonts w:eastAsia="SimSun"/>
          <w:lang w:eastAsia="en-US"/>
        </w:rPr>
      </w:pPr>
      <w:r w:rsidRPr="003677B2">
        <w:rPr>
          <w:rFonts w:eastAsia="SimSun"/>
        </w:rPr>
        <w:t>FLC is the total number of NBN fixed-line connections operated by the monitored service provider that is also a participating</w:t>
      </w:r>
      <w:r>
        <w:rPr>
          <w:rFonts w:eastAsia="SimSun"/>
        </w:rPr>
        <w:t xml:space="preserve"> person</w:t>
      </w:r>
      <w:r w:rsidRPr="00AE6A60">
        <w:rPr>
          <w:rFonts w:eastAsia="SimSun"/>
        </w:rPr>
        <w:t xml:space="preserve"> in a test</w:t>
      </w:r>
      <w:r w:rsidRPr="00AE6A60">
        <w:rPr>
          <w:rFonts w:eastAsia="SimSun"/>
          <w:lang w:eastAsia="en-US"/>
        </w:rPr>
        <w:t xml:space="preserve"> segment during the financial year</w:t>
      </w:r>
    </w:p>
    <w:p w14:paraId="1AC2F8BE" w14:textId="77777777" w:rsidR="00E41A00" w:rsidRPr="00AE6A60" w:rsidRDefault="00E41A00" w:rsidP="003677B2">
      <w:pPr>
        <w:pStyle w:val="Bulletlevel1last"/>
        <w:rPr>
          <w:rFonts w:eastAsia="SimSun"/>
          <w:lang w:eastAsia="en-US"/>
        </w:rPr>
      </w:pPr>
      <w:r w:rsidRPr="00AE6A60">
        <w:rPr>
          <w:rFonts w:eastAsia="SimSun"/>
          <w:lang w:eastAsia="en-US"/>
        </w:rPr>
        <w:t xml:space="preserve">TFLC is the total </w:t>
      </w:r>
      <w:r w:rsidRPr="003677B2">
        <w:rPr>
          <w:rFonts w:eastAsia="SimSun"/>
        </w:rPr>
        <w:t>number</w:t>
      </w:r>
      <w:r w:rsidRPr="00AE6A60">
        <w:rPr>
          <w:rFonts w:eastAsia="SimSun"/>
          <w:lang w:eastAsia="en-US"/>
        </w:rPr>
        <w:t xml:space="preserve"> of NBN fixed-line connections operated by all monitored service providers </w:t>
      </w:r>
      <w:r>
        <w:rPr>
          <w:rFonts w:eastAsia="SimSun"/>
          <w:lang w:eastAsia="en-US"/>
        </w:rPr>
        <w:t>that</w:t>
      </w:r>
      <w:r w:rsidRPr="00AE6A60">
        <w:rPr>
          <w:rFonts w:eastAsia="SimSun"/>
          <w:lang w:eastAsia="en-US"/>
        </w:rPr>
        <w:t xml:space="preserve"> are also participating persons.</w:t>
      </w:r>
    </w:p>
    <w:p w14:paraId="44CD5116" w14:textId="77777777" w:rsidR="00E41A00" w:rsidRPr="003677B2" w:rsidRDefault="00E41A00" w:rsidP="003677B2">
      <w:pPr>
        <w:pStyle w:val="Paragraph"/>
      </w:pPr>
      <w:r w:rsidRPr="00AE6A60">
        <w:t xml:space="preserve">The MBA program provides information about a variety of monitored ‘test segments’, namely fixed-line NBN connection classes each comprising an access technology and/or by speed tier. Annual </w:t>
      </w:r>
      <w:r w:rsidRPr="003677B2">
        <w:t>MBA program costs are allocated to each carrier based upon the volume of fixed-line NBN connections that they acquired in the relevant period within these ‘test segments’, expressed as a proportion of the total number of such connections acquired by all monitored service providers that are also participating persons.</w:t>
      </w:r>
    </w:p>
    <w:p w14:paraId="13AC9E73" w14:textId="77777777" w:rsidR="00E41A00" w:rsidRPr="003677B2" w:rsidRDefault="00E41A00" w:rsidP="003677B2">
      <w:pPr>
        <w:pStyle w:val="Paragraph"/>
      </w:pPr>
      <w:r w:rsidRPr="003677B2">
        <w:lastRenderedPageBreak/>
        <w:t>The number of NBN fixed-line connections in any financial year will be established based on NBN’s quarterly reporting to the ACCC on the number of fixed-line NBN connections.</w:t>
      </w:r>
    </w:p>
    <w:p w14:paraId="60475301" w14:textId="77777777" w:rsidR="00E41A00" w:rsidRPr="003677B2" w:rsidRDefault="00E41A00" w:rsidP="003677B2">
      <w:pPr>
        <w:pStyle w:val="Paragraph"/>
      </w:pPr>
      <w:r w:rsidRPr="003677B2">
        <w:t>Partial-year participation in the MBA program will be charged on a pro-rata basis on the number of quarters in which monitoring occurs. It is not anticipated that monitoring of providers will change within a given financial year, however, this methodology accommodates new NBN service provider entrants.</w:t>
      </w:r>
    </w:p>
    <w:p w14:paraId="2B48342B" w14:textId="77777777" w:rsidR="00E41A00" w:rsidRPr="00AE6A60" w:rsidRDefault="00E41A00" w:rsidP="003677B2">
      <w:pPr>
        <w:pStyle w:val="Paragraph"/>
      </w:pPr>
      <w:bookmarkStart w:id="407" w:name="_Hlk8120198"/>
      <w:r w:rsidRPr="003677B2">
        <w:t>Invoicing for the charging activity will</w:t>
      </w:r>
      <w:r w:rsidRPr="00AE6A60">
        <w:t xml:space="preserve"> occur in accordance with existing ACLC arrangements. </w:t>
      </w:r>
    </w:p>
    <w:p w14:paraId="0C061131" w14:textId="77777777" w:rsidR="00E41A00" w:rsidRPr="00AE6A60" w:rsidRDefault="00E41A00" w:rsidP="00E41A00">
      <w:pPr>
        <w:pStyle w:val="Heading2"/>
        <w:keepLines/>
      </w:pPr>
      <w:bookmarkStart w:id="408" w:name="_Toc511294494"/>
      <w:bookmarkStart w:id="409" w:name="_Toc511634429"/>
      <w:bookmarkStart w:id="410" w:name="_Toc26786369"/>
      <w:bookmarkStart w:id="411" w:name="_Toc67042618"/>
      <w:bookmarkStart w:id="412" w:name="_Toc108599247"/>
      <w:bookmarkStart w:id="413" w:name="_Toc121920521"/>
      <w:bookmarkStart w:id="414" w:name="_Toc149735477"/>
      <w:bookmarkStart w:id="415" w:name="_Toc175123959"/>
      <w:bookmarkEnd w:id="407"/>
      <w:r w:rsidRPr="00AE6A60">
        <w:t xml:space="preserve">4. </w:t>
      </w:r>
      <w:r w:rsidRPr="00AE6A60">
        <w:tab/>
        <w:t>Risk assessment</w:t>
      </w:r>
      <w:bookmarkEnd w:id="408"/>
      <w:bookmarkEnd w:id="409"/>
      <w:bookmarkEnd w:id="410"/>
      <w:bookmarkEnd w:id="411"/>
      <w:bookmarkEnd w:id="412"/>
      <w:bookmarkEnd w:id="413"/>
      <w:bookmarkEnd w:id="414"/>
      <w:bookmarkEnd w:id="415"/>
    </w:p>
    <w:p w14:paraId="5FCE47C9" w14:textId="77777777" w:rsidR="00E41A00" w:rsidRPr="00AE6A60" w:rsidRDefault="00E41A00" w:rsidP="003677B2">
      <w:pPr>
        <w:pStyle w:val="Paragraph"/>
        <w:rPr>
          <w:rFonts w:eastAsia="Calibri"/>
          <w:lang w:eastAsia="en-US"/>
        </w:rPr>
      </w:pPr>
      <w:r w:rsidRPr="00AE6A60">
        <w:rPr>
          <w:rFonts w:eastAsia="Calibri"/>
          <w:lang w:eastAsia="en-US"/>
        </w:rPr>
        <w:t xml:space="preserve">A risk assessment has been completed for each component of the MBA program cost recovery, </w:t>
      </w:r>
      <w:r w:rsidRPr="003677B2">
        <w:rPr>
          <w:rFonts w:eastAsia="Calibri"/>
        </w:rPr>
        <w:t>resulting</w:t>
      </w:r>
      <w:r w:rsidRPr="00AE6A60">
        <w:rPr>
          <w:rFonts w:eastAsia="Calibri"/>
          <w:lang w:eastAsia="en-US"/>
        </w:rPr>
        <w:t xml:space="preserve"> in an overall risk rating of medium, with the following individual ratings for each cost component</w:t>
      </w:r>
      <w:r>
        <w:rPr>
          <w:rFonts w:eastAsia="Calibri"/>
          <w:lang w:eastAsia="en-US"/>
        </w:rPr>
        <w:t xml:space="preserve"> set out in Table B4 below</w:t>
      </w:r>
      <w:r w:rsidRPr="00AE6A60">
        <w:rPr>
          <w:rFonts w:eastAsia="Calibri"/>
          <w:lang w:eastAsia="en-US"/>
        </w:rPr>
        <w:t>.</w:t>
      </w:r>
    </w:p>
    <w:p w14:paraId="07A4D2B3" w14:textId="22711924" w:rsidR="00E41A00" w:rsidRPr="003677B2" w:rsidRDefault="00E41A00" w:rsidP="00E41A00">
      <w:pPr>
        <w:pStyle w:val="ACMATableHeader"/>
        <w:keepNext/>
        <w:keepLines/>
        <w:numPr>
          <w:ilvl w:val="0"/>
          <w:numId w:val="0"/>
        </w:numPr>
        <w:ind w:left="964" w:hanging="964"/>
        <w:rPr>
          <w:sz w:val="22"/>
          <w:szCs w:val="22"/>
        </w:rPr>
      </w:pPr>
      <w:r w:rsidRPr="003677B2">
        <w:rPr>
          <w:sz w:val="22"/>
          <w:szCs w:val="22"/>
        </w:rPr>
        <w:t>Table B4: Risk ratings for MBA cost recovery</w:t>
      </w:r>
      <w:bookmarkStart w:id="416" w:name="_Hlk57976363"/>
    </w:p>
    <w:tbl>
      <w:tblPr>
        <w:tblStyle w:val="TableGrid"/>
        <w:tblW w:w="5000" w:type="pct"/>
        <w:tblCellMar>
          <w:top w:w="85" w:type="dxa"/>
          <w:left w:w="57" w:type="dxa"/>
          <w:bottom w:w="85" w:type="dxa"/>
          <w:right w:w="57" w:type="dxa"/>
        </w:tblCellMar>
        <w:tblLook w:val="04A0" w:firstRow="1" w:lastRow="0" w:firstColumn="1" w:lastColumn="0" w:noHBand="0" w:noVBand="1"/>
        <w:tblCaption w:val="Risk rating for ACLC components"/>
        <w:tblDescription w:val="Includes the reference in the Act, cost component and risk rating."/>
      </w:tblPr>
      <w:tblGrid>
        <w:gridCol w:w="3376"/>
        <w:gridCol w:w="4184"/>
        <w:gridCol w:w="1500"/>
      </w:tblGrid>
      <w:tr w:rsidR="00E41A00" w:rsidRPr="003677B2" w14:paraId="528C4C5E" w14:textId="77777777" w:rsidTr="006E2755">
        <w:trPr>
          <w:cantSplit/>
          <w:trHeight w:val="297"/>
          <w:tblHeader/>
        </w:trPr>
        <w:tc>
          <w:tcPr>
            <w:tcW w:w="1863" w:type="pct"/>
            <w:shd w:val="clear" w:color="auto" w:fill="404040" w:themeFill="text1" w:themeFillTint="BF"/>
          </w:tcPr>
          <w:bookmarkEnd w:id="416"/>
          <w:p w14:paraId="5933C6FC" w14:textId="77777777" w:rsidR="00E41A00" w:rsidRPr="003677B2" w:rsidRDefault="00E41A00" w:rsidP="003677B2">
            <w:pPr>
              <w:pStyle w:val="TableHeading0"/>
              <w:keepNext/>
              <w:keepLines/>
              <w:spacing w:line="280" w:lineRule="atLeast"/>
              <w:rPr>
                <w:rFonts w:eastAsia="Calibri"/>
                <w:color w:val="FFFFFF" w:themeColor="background1"/>
                <w:sz w:val="22"/>
                <w:szCs w:val="22"/>
                <w:lang w:eastAsia="en-US"/>
              </w:rPr>
            </w:pPr>
            <w:r w:rsidRPr="003677B2">
              <w:rPr>
                <w:color w:val="FFFFFF" w:themeColor="background1"/>
                <w:sz w:val="22"/>
                <w:szCs w:val="22"/>
              </w:rPr>
              <w:t>Risk factor</w:t>
            </w:r>
          </w:p>
        </w:tc>
        <w:tc>
          <w:tcPr>
            <w:tcW w:w="2309" w:type="pct"/>
            <w:shd w:val="clear" w:color="auto" w:fill="404040" w:themeFill="text1" w:themeFillTint="BF"/>
          </w:tcPr>
          <w:p w14:paraId="3265A6F6" w14:textId="77777777" w:rsidR="00E41A00" w:rsidRPr="003677B2" w:rsidRDefault="00E41A00" w:rsidP="003677B2">
            <w:pPr>
              <w:pStyle w:val="TableHeading0"/>
              <w:keepNext/>
              <w:keepLines/>
              <w:spacing w:line="280" w:lineRule="atLeast"/>
              <w:rPr>
                <w:rFonts w:eastAsia="Calibri"/>
                <w:color w:val="FFFFFF" w:themeColor="background1"/>
                <w:sz w:val="22"/>
                <w:szCs w:val="22"/>
                <w:lang w:eastAsia="en-US"/>
              </w:rPr>
            </w:pPr>
            <w:r w:rsidRPr="003677B2">
              <w:rPr>
                <w:color w:val="FFFFFF" w:themeColor="background1"/>
                <w:sz w:val="22"/>
                <w:szCs w:val="22"/>
              </w:rPr>
              <w:t>Rationale for risk rating</w:t>
            </w:r>
          </w:p>
        </w:tc>
        <w:tc>
          <w:tcPr>
            <w:tcW w:w="828" w:type="pct"/>
            <w:shd w:val="clear" w:color="auto" w:fill="404040" w:themeFill="text1" w:themeFillTint="BF"/>
          </w:tcPr>
          <w:p w14:paraId="00C2F70D" w14:textId="77777777" w:rsidR="00E41A00" w:rsidRPr="003677B2" w:rsidRDefault="00E41A00" w:rsidP="003677B2">
            <w:pPr>
              <w:pStyle w:val="TableHeading0"/>
              <w:keepNext/>
              <w:keepLines/>
              <w:spacing w:line="280" w:lineRule="atLeast"/>
              <w:rPr>
                <w:color w:val="FFFFFF" w:themeColor="background1"/>
                <w:sz w:val="22"/>
                <w:szCs w:val="22"/>
              </w:rPr>
            </w:pPr>
            <w:r w:rsidRPr="003677B2">
              <w:rPr>
                <w:color w:val="FFFFFF" w:themeColor="background1"/>
                <w:sz w:val="22"/>
                <w:szCs w:val="22"/>
              </w:rPr>
              <w:t>Risk rating</w:t>
            </w:r>
          </w:p>
        </w:tc>
      </w:tr>
      <w:tr w:rsidR="00E41A00" w:rsidRPr="003677B2" w14:paraId="3D569707" w14:textId="77777777" w:rsidTr="006E2755">
        <w:trPr>
          <w:cantSplit/>
          <w:tblHeader/>
        </w:trPr>
        <w:tc>
          <w:tcPr>
            <w:tcW w:w="1863" w:type="pct"/>
          </w:tcPr>
          <w:p w14:paraId="6B5A9727" w14:textId="77777777" w:rsidR="00E41A00" w:rsidRPr="003677B2" w:rsidRDefault="00E41A00" w:rsidP="003677B2">
            <w:pPr>
              <w:keepNext/>
              <w:keepLines/>
              <w:autoSpaceDE w:val="0"/>
              <w:autoSpaceDN w:val="0"/>
              <w:adjustRightInd w:val="0"/>
              <w:spacing w:after="0" w:line="280" w:lineRule="atLeast"/>
              <w:rPr>
                <w:rFonts w:eastAsia="Calibri" w:cs="Arial"/>
                <w:color w:val="000000"/>
                <w:sz w:val="22"/>
                <w:szCs w:val="22"/>
                <w:lang w:eastAsia="en-US"/>
              </w:rPr>
            </w:pPr>
            <w:r w:rsidRPr="003677B2">
              <w:rPr>
                <w:sz w:val="22"/>
                <w:szCs w:val="22"/>
              </w:rPr>
              <w:t>What is the change in annual cost-recovery revenue for the activity?</w:t>
            </w:r>
          </w:p>
        </w:tc>
        <w:tc>
          <w:tcPr>
            <w:tcW w:w="2309" w:type="pct"/>
          </w:tcPr>
          <w:p w14:paraId="0D6592C8" w14:textId="77777777" w:rsidR="00E41A00" w:rsidRPr="003677B2" w:rsidRDefault="00E41A00" w:rsidP="003677B2">
            <w:pPr>
              <w:keepNext/>
              <w:keepLines/>
              <w:autoSpaceDE w:val="0"/>
              <w:autoSpaceDN w:val="0"/>
              <w:adjustRightInd w:val="0"/>
              <w:spacing w:after="0" w:line="280" w:lineRule="atLeast"/>
              <w:rPr>
                <w:rFonts w:eastAsia="Calibri" w:cs="Arial"/>
                <w:color w:val="000000"/>
                <w:sz w:val="22"/>
                <w:szCs w:val="22"/>
                <w:lang w:eastAsia="en-US"/>
              </w:rPr>
            </w:pPr>
            <w:r w:rsidRPr="003677B2">
              <w:rPr>
                <w:sz w:val="22"/>
                <w:szCs w:val="22"/>
              </w:rPr>
              <w:t>Resulting change to total ACLC of greater than 10%</w:t>
            </w:r>
          </w:p>
        </w:tc>
        <w:tc>
          <w:tcPr>
            <w:tcW w:w="828" w:type="pct"/>
          </w:tcPr>
          <w:p w14:paraId="0CBCAD72" w14:textId="77777777" w:rsidR="00E41A00" w:rsidRPr="003677B2" w:rsidRDefault="00E41A00" w:rsidP="003677B2">
            <w:pPr>
              <w:keepNext/>
              <w:keepLines/>
              <w:autoSpaceDE w:val="0"/>
              <w:autoSpaceDN w:val="0"/>
              <w:adjustRightInd w:val="0"/>
              <w:spacing w:after="0" w:line="280" w:lineRule="atLeast"/>
              <w:rPr>
                <w:sz w:val="22"/>
                <w:szCs w:val="22"/>
              </w:rPr>
            </w:pPr>
            <w:r w:rsidRPr="003677B2">
              <w:rPr>
                <w:sz w:val="22"/>
                <w:szCs w:val="22"/>
              </w:rPr>
              <w:t>Medium</w:t>
            </w:r>
          </w:p>
        </w:tc>
      </w:tr>
      <w:tr w:rsidR="00E41A00" w:rsidRPr="003677B2" w14:paraId="5C973955" w14:textId="77777777" w:rsidTr="006E2755">
        <w:trPr>
          <w:cantSplit/>
          <w:tblHeader/>
        </w:trPr>
        <w:tc>
          <w:tcPr>
            <w:tcW w:w="1863" w:type="pct"/>
          </w:tcPr>
          <w:p w14:paraId="3DECAC41" w14:textId="77777777" w:rsidR="00E41A00" w:rsidRPr="003677B2" w:rsidRDefault="00E41A00" w:rsidP="003677B2">
            <w:pPr>
              <w:autoSpaceDE w:val="0"/>
              <w:autoSpaceDN w:val="0"/>
              <w:adjustRightInd w:val="0"/>
              <w:spacing w:after="0" w:line="280" w:lineRule="atLeast"/>
              <w:rPr>
                <w:rFonts w:eastAsia="Calibri" w:cs="Arial"/>
                <w:color w:val="000000"/>
                <w:sz w:val="22"/>
                <w:szCs w:val="22"/>
                <w:lang w:eastAsia="en-US"/>
              </w:rPr>
            </w:pPr>
            <w:r w:rsidRPr="003677B2">
              <w:rPr>
                <w:sz w:val="22"/>
                <w:szCs w:val="22"/>
              </w:rPr>
              <w:t>What is the expected change in total annual revenue after the proposed changes?</w:t>
            </w:r>
          </w:p>
        </w:tc>
        <w:tc>
          <w:tcPr>
            <w:tcW w:w="2309" w:type="pct"/>
          </w:tcPr>
          <w:p w14:paraId="3B9902BE" w14:textId="77777777" w:rsidR="00E41A00" w:rsidRPr="003677B2" w:rsidRDefault="00E41A00" w:rsidP="003677B2">
            <w:pPr>
              <w:autoSpaceDE w:val="0"/>
              <w:autoSpaceDN w:val="0"/>
              <w:adjustRightInd w:val="0"/>
              <w:spacing w:after="0" w:line="280" w:lineRule="atLeast"/>
              <w:rPr>
                <w:rFonts w:eastAsia="Calibri" w:cs="Arial"/>
                <w:color w:val="000000"/>
                <w:sz w:val="22"/>
                <w:szCs w:val="22"/>
                <w:lang w:eastAsia="en-US"/>
              </w:rPr>
            </w:pPr>
            <w:r w:rsidRPr="003677B2">
              <w:rPr>
                <w:sz w:val="22"/>
                <w:szCs w:val="22"/>
              </w:rPr>
              <w:t>Total annual cost recovery of less than $10 million</w:t>
            </w:r>
          </w:p>
        </w:tc>
        <w:tc>
          <w:tcPr>
            <w:tcW w:w="828" w:type="pct"/>
          </w:tcPr>
          <w:p w14:paraId="780B17A6" w14:textId="77777777" w:rsidR="00E41A00" w:rsidRPr="003677B2" w:rsidRDefault="00E41A00" w:rsidP="003677B2">
            <w:pPr>
              <w:autoSpaceDE w:val="0"/>
              <w:autoSpaceDN w:val="0"/>
              <w:adjustRightInd w:val="0"/>
              <w:spacing w:after="0" w:line="280" w:lineRule="atLeast"/>
              <w:rPr>
                <w:sz w:val="22"/>
                <w:szCs w:val="22"/>
              </w:rPr>
            </w:pPr>
            <w:r w:rsidRPr="003677B2">
              <w:rPr>
                <w:sz w:val="22"/>
                <w:szCs w:val="22"/>
              </w:rPr>
              <w:t>Low</w:t>
            </w:r>
          </w:p>
        </w:tc>
      </w:tr>
      <w:tr w:rsidR="00E41A00" w:rsidRPr="003677B2" w14:paraId="385D6C89" w14:textId="77777777" w:rsidTr="006E2755">
        <w:trPr>
          <w:cantSplit/>
          <w:tblHeader/>
        </w:trPr>
        <w:tc>
          <w:tcPr>
            <w:tcW w:w="1863" w:type="pct"/>
          </w:tcPr>
          <w:p w14:paraId="307F5FCD" w14:textId="77777777" w:rsidR="00E41A00" w:rsidRPr="003677B2" w:rsidRDefault="00E41A00" w:rsidP="003677B2">
            <w:pPr>
              <w:autoSpaceDE w:val="0"/>
              <w:autoSpaceDN w:val="0"/>
              <w:adjustRightInd w:val="0"/>
              <w:spacing w:after="0" w:line="280" w:lineRule="atLeast"/>
              <w:rPr>
                <w:rFonts w:eastAsia="Calibri" w:cs="Arial"/>
                <w:color w:val="000000"/>
                <w:sz w:val="22"/>
                <w:szCs w:val="22"/>
                <w:lang w:eastAsia="en-US"/>
              </w:rPr>
            </w:pPr>
            <w:r w:rsidRPr="003677B2">
              <w:rPr>
                <w:sz w:val="22"/>
                <w:szCs w:val="22"/>
              </w:rPr>
              <w:t>What does the policy proposal or change in the cost-recovered activity involve?</w:t>
            </w:r>
          </w:p>
        </w:tc>
        <w:tc>
          <w:tcPr>
            <w:tcW w:w="2309" w:type="pct"/>
          </w:tcPr>
          <w:p w14:paraId="218B00DC" w14:textId="77777777" w:rsidR="00E41A00" w:rsidRPr="003677B2" w:rsidRDefault="00E41A00" w:rsidP="003677B2">
            <w:pPr>
              <w:autoSpaceDE w:val="0"/>
              <w:autoSpaceDN w:val="0"/>
              <w:adjustRightInd w:val="0"/>
              <w:spacing w:after="0" w:line="280" w:lineRule="atLeast"/>
              <w:rPr>
                <w:rFonts w:eastAsia="Calibri" w:cs="Arial"/>
                <w:color w:val="000000"/>
                <w:sz w:val="22"/>
                <w:szCs w:val="22"/>
                <w:lang w:eastAsia="en-US"/>
              </w:rPr>
            </w:pPr>
            <w:r w:rsidRPr="003677B2">
              <w:rPr>
                <w:sz w:val="22"/>
                <w:szCs w:val="22"/>
              </w:rPr>
              <w:t>Change in the level of existing cost-recovery charges</w:t>
            </w:r>
          </w:p>
        </w:tc>
        <w:tc>
          <w:tcPr>
            <w:tcW w:w="828" w:type="pct"/>
          </w:tcPr>
          <w:p w14:paraId="6CACB30A" w14:textId="77777777" w:rsidR="00E41A00" w:rsidRPr="003677B2" w:rsidRDefault="00E41A00" w:rsidP="003677B2">
            <w:pPr>
              <w:autoSpaceDE w:val="0"/>
              <w:autoSpaceDN w:val="0"/>
              <w:adjustRightInd w:val="0"/>
              <w:spacing w:after="0" w:line="280" w:lineRule="atLeast"/>
              <w:rPr>
                <w:sz w:val="22"/>
                <w:szCs w:val="22"/>
              </w:rPr>
            </w:pPr>
            <w:r w:rsidRPr="003677B2">
              <w:rPr>
                <w:sz w:val="22"/>
                <w:szCs w:val="22"/>
              </w:rPr>
              <w:t>Low</w:t>
            </w:r>
          </w:p>
        </w:tc>
      </w:tr>
      <w:tr w:rsidR="00E41A00" w:rsidRPr="003677B2" w14:paraId="052DF2A3" w14:textId="77777777" w:rsidTr="006E2755">
        <w:trPr>
          <w:cantSplit/>
          <w:tblHeader/>
        </w:trPr>
        <w:tc>
          <w:tcPr>
            <w:tcW w:w="1863" w:type="pct"/>
          </w:tcPr>
          <w:p w14:paraId="73199ECE" w14:textId="77777777" w:rsidR="00E41A00" w:rsidRPr="003677B2" w:rsidRDefault="00E41A00" w:rsidP="003677B2">
            <w:pPr>
              <w:autoSpaceDE w:val="0"/>
              <w:autoSpaceDN w:val="0"/>
              <w:adjustRightInd w:val="0"/>
              <w:spacing w:after="0" w:line="280" w:lineRule="atLeast"/>
              <w:rPr>
                <w:rFonts w:eastAsia="Calibri" w:cs="Arial"/>
                <w:color w:val="000000"/>
                <w:sz w:val="22"/>
                <w:szCs w:val="22"/>
                <w:lang w:eastAsia="en-US"/>
              </w:rPr>
            </w:pPr>
            <w:r w:rsidRPr="003677B2">
              <w:rPr>
                <w:sz w:val="22"/>
                <w:szCs w:val="22"/>
              </w:rPr>
              <w:t>What type of cost-recovery charges will be used?</w:t>
            </w:r>
          </w:p>
        </w:tc>
        <w:tc>
          <w:tcPr>
            <w:tcW w:w="2309" w:type="pct"/>
          </w:tcPr>
          <w:p w14:paraId="38EE3946" w14:textId="77777777" w:rsidR="00E41A00" w:rsidRPr="003677B2" w:rsidRDefault="00E41A00" w:rsidP="003677B2">
            <w:pPr>
              <w:autoSpaceDE w:val="0"/>
              <w:autoSpaceDN w:val="0"/>
              <w:adjustRightInd w:val="0"/>
              <w:spacing w:after="0" w:line="280" w:lineRule="atLeast"/>
              <w:rPr>
                <w:rFonts w:eastAsia="Calibri" w:cs="Arial"/>
                <w:color w:val="000000"/>
                <w:sz w:val="22"/>
                <w:szCs w:val="22"/>
                <w:lang w:eastAsia="en-US"/>
              </w:rPr>
            </w:pPr>
            <w:r w:rsidRPr="003677B2">
              <w:rPr>
                <w:sz w:val="22"/>
                <w:szCs w:val="22"/>
              </w:rPr>
              <w:t>Fees and levies</w:t>
            </w:r>
          </w:p>
        </w:tc>
        <w:tc>
          <w:tcPr>
            <w:tcW w:w="828" w:type="pct"/>
          </w:tcPr>
          <w:p w14:paraId="261816C3" w14:textId="77777777" w:rsidR="00E41A00" w:rsidRPr="003677B2" w:rsidRDefault="00E41A00" w:rsidP="003677B2">
            <w:pPr>
              <w:autoSpaceDE w:val="0"/>
              <w:autoSpaceDN w:val="0"/>
              <w:adjustRightInd w:val="0"/>
              <w:spacing w:after="0" w:line="280" w:lineRule="atLeast"/>
              <w:rPr>
                <w:sz w:val="22"/>
                <w:szCs w:val="22"/>
              </w:rPr>
            </w:pPr>
            <w:r w:rsidRPr="003677B2" w:rsidDel="00B502D6">
              <w:rPr>
                <w:sz w:val="22"/>
                <w:szCs w:val="22"/>
              </w:rPr>
              <w:t>Medium</w:t>
            </w:r>
          </w:p>
        </w:tc>
      </w:tr>
      <w:tr w:rsidR="00E41A00" w:rsidRPr="003677B2" w14:paraId="3E7493C9" w14:textId="77777777" w:rsidTr="006E2755">
        <w:trPr>
          <w:cantSplit/>
          <w:tblHeader/>
        </w:trPr>
        <w:tc>
          <w:tcPr>
            <w:tcW w:w="1863" w:type="pct"/>
          </w:tcPr>
          <w:p w14:paraId="4EC208BE" w14:textId="77777777" w:rsidR="00E41A00" w:rsidRPr="003677B2" w:rsidRDefault="00E41A00" w:rsidP="003677B2">
            <w:pPr>
              <w:autoSpaceDE w:val="0"/>
              <w:autoSpaceDN w:val="0"/>
              <w:adjustRightInd w:val="0"/>
              <w:spacing w:after="0" w:line="280" w:lineRule="atLeast"/>
              <w:rPr>
                <w:rFonts w:eastAsia="Calibri" w:cs="Arial"/>
                <w:color w:val="000000"/>
                <w:sz w:val="22"/>
                <w:szCs w:val="22"/>
                <w:lang w:eastAsia="en-US"/>
              </w:rPr>
            </w:pPr>
            <w:r w:rsidRPr="003677B2">
              <w:rPr>
                <w:sz w:val="22"/>
                <w:szCs w:val="22"/>
              </w:rPr>
              <w:t>What legislative requirements are necessary for the imposition of cost-recovery charges?</w:t>
            </w:r>
          </w:p>
        </w:tc>
        <w:tc>
          <w:tcPr>
            <w:tcW w:w="2309" w:type="pct"/>
          </w:tcPr>
          <w:p w14:paraId="04D63D57" w14:textId="77777777" w:rsidR="00E41A00" w:rsidRPr="003677B2" w:rsidRDefault="00E41A00" w:rsidP="003677B2">
            <w:pPr>
              <w:autoSpaceDE w:val="0"/>
              <w:autoSpaceDN w:val="0"/>
              <w:adjustRightInd w:val="0"/>
              <w:spacing w:after="0" w:line="280" w:lineRule="atLeast"/>
              <w:rPr>
                <w:rFonts w:eastAsia="Calibri" w:cs="Arial"/>
                <w:color w:val="000000"/>
                <w:sz w:val="22"/>
                <w:szCs w:val="22"/>
                <w:lang w:eastAsia="en-US"/>
              </w:rPr>
            </w:pPr>
            <w:r w:rsidRPr="003677B2">
              <w:rPr>
                <w:sz w:val="22"/>
                <w:szCs w:val="22"/>
              </w:rPr>
              <w:t xml:space="preserve">Does not involve primary legislation but does involve the making of subordinate legislation </w:t>
            </w:r>
          </w:p>
        </w:tc>
        <w:tc>
          <w:tcPr>
            <w:tcW w:w="828" w:type="pct"/>
          </w:tcPr>
          <w:p w14:paraId="29FBDDB1" w14:textId="77777777" w:rsidR="00E41A00" w:rsidRPr="003677B2" w:rsidRDefault="00E41A00" w:rsidP="003677B2">
            <w:pPr>
              <w:autoSpaceDE w:val="0"/>
              <w:autoSpaceDN w:val="0"/>
              <w:adjustRightInd w:val="0"/>
              <w:spacing w:after="0" w:line="280" w:lineRule="atLeast"/>
              <w:rPr>
                <w:sz w:val="22"/>
                <w:szCs w:val="22"/>
              </w:rPr>
            </w:pPr>
            <w:r w:rsidRPr="003677B2">
              <w:rPr>
                <w:sz w:val="22"/>
                <w:szCs w:val="22"/>
              </w:rPr>
              <w:t>Low</w:t>
            </w:r>
          </w:p>
        </w:tc>
      </w:tr>
      <w:tr w:rsidR="00E41A00" w:rsidRPr="003677B2" w14:paraId="43101CED" w14:textId="77777777" w:rsidTr="006E2755">
        <w:trPr>
          <w:cantSplit/>
          <w:tblHeader/>
        </w:trPr>
        <w:tc>
          <w:tcPr>
            <w:tcW w:w="1863" w:type="pct"/>
          </w:tcPr>
          <w:p w14:paraId="1956609C" w14:textId="77777777" w:rsidR="00E41A00" w:rsidRPr="003677B2" w:rsidRDefault="00E41A00" w:rsidP="003677B2">
            <w:pPr>
              <w:autoSpaceDE w:val="0"/>
              <w:autoSpaceDN w:val="0"/>
              <w:adjustRightInd w:val="0"/>
              <w:spacing w:after="0" w:line="280" w:lineRule="atLeast"/>
              <w:rPr>
                <w:rFonts w:eastAsia="Calibri" w:cs="Arial"/>
                <w:color w:val="000000"/>
                <w:sz w:val="22"/>
                <w:szCs w:val="22"/>
                <w:lang w:eastAsia="en-US"/>
              </w:rPr>
            </w:pPr>
            <w:r w:rsidRPr="003677B2">
              <w:rPr>
                <w:sz w:val="22"/>
                <w:szCs w:val="22"/>
              </w:rPr>
              <w:t>Does the proposal involve working with other Commonwealth, state/territory and/or local government entities?</w:t>
            </w:r>
          </w:p>
        </w:tc>
        <w:tc>
          <w:tcPr>
            <w:tcW w:w="2309" w:type="pct"/>
          </w:tcPr>
          <w:p w14:paraId="21C50B4D" w14:textId="77777777" w:rsidR="00E41A00" w:rsidRPr="003677B2" w:rsidRDefault="00E41A00" w:rsidP="003677B2">
            <w:pPr>
              <w:autoSpaceDE w:val="0"/>
              <w:autoSpaceDN w:val="0"/>
              <w:adjustRightInd w:val="0"/>
              <w:spacing w:after="0" w:line="280" w:lineRule="atLeast"/>
              <w:rPr>
                <w:rFonts w:eastAsia="Calibri" w:cs="Arial"/>
                <w:color w:val="000000"/>
                <w:sz w:val="22"/>
                <w:szCs w:val="22"/>
                <w:lang w:eastAsia="en-US"/>
              </w:rPr>
            </w:pPr>
            <w:r w:rsidRPr="003677B2">
              <w:rPr>
                <w:sz w:val="22"/>
                <w:szCs w:val="22"/>
              </w:rPr>
              <w:t>Involves only Commonwealth entities</w:t>
            </w:r>
          </w:p>
        </w:tc>
        <w:tc>
          <w:tcPr>
            <w:tcW w:w="828" w:type="pct"/>
          </w:tcPr>
          <w:p w14:paraId="1F4F5F84" w14:textId="77777777" w:rsidR="00E41A00" w:rsidRPr="003677B2" w:rsidRDefault="00E41A00" w:rsidP="003677B2">
            <w:pPr>
              <w:autoSpaceDE w:val="0"/>
              <w:autoSpaceDN w:val="0"/>
              <w:adjustRightInd w:val="0"/>
              <w:spacing w:after="0" w:line="280" w:lineRule="atLeast"/>
              <w:rPr>
                <w:sz w:val="22"/>
                <w:szCs w:val="22"/>
              </w:rPr>
            </w:pPr>
            <w:r w:rsidRPr="003677B2">
              <w:rPr>
                <w:sz w:val="22"/>
                <w:szCs w:val="22"/>
              </w:rPr>
              <w:t>Low</w:t>
            </w:r>
          </w:p>
        </w:tc>
      </w:tr>
      <w:tr w:rsidR="00E41A00" w:rsidRPr="003677B2" w14:paraId="2E37AFAF" w14:textId="77777777" w:rsidTr="006E2755">
        <w:trPr>
          <w:cantSplit/>
          <w:tblHeader/>
        </w:trPr>
        <w:tc>
          <w:tcPr>
            <w:tcW w:w="1863" w:type="pct"/>
          </w:tcPr>
          <w:p w14:paraId="5C327EFF" w14:textId="77777777" w:rsidR="00E41A00" w:rsidRPr="003677B2" w:rsidRDefault="00E41A00" w:rsidP="003677B2">
            <w:pPr>
              <w:autoSpaceDE w:val="0"/>
              <w:autoSpaceDN w:val="0"/>
              <w:adjustRightInd w:val="0"/>
              <w:spacing w:after="0" w:line="280" w:lineRule="atLeast"/>
              <w:rPr>
                <w:rFonts w:eastAsia="Calibri" w:cs="Arial"/>
                <w:color w:val="000000"/>
                <w:sz w:val="22"/>
                <w:szCs w:val="22"/>
                <w:lang w:eastAsia="en-US"/>
              </w:rPr>
            </w:pPr>
            <w:r w:rsidRPr="003677B2">
              <w:rPr>
                <w:sz w:val="22"/>
                <w:szCs w:val="22"/>
              </w:rPr>
              <w:t xml:space="preserve">What will be the expected impact of cost recovery on payers? </w:t>
            </w:r>
          </w:p>
        </w:tc>
        <w:tc>
          <w:tcPr>
            <w:tcW w:w="2309" w:type="pct"/>
          </w:tcPr>
          <w:p w14:paraId="183EE0BE" w14:textId="77777777" w:rsidR="00E41A00" w:rsidRPr="003677B2" w:rsidRDefault="00E41A00" w:rsidP="003677B2">
            <w:pPr>
              <w:autoSpaceDE w:val="0"/>
              <w:autoSpaceDN w:val="0"/>
              <w:adjustRightInd w:val="0"/>
              <w:spacing w:after="0" w:line="280" w:lineRule="atLeast"/>
              <w:rPr>
                <w:rFonts w:eastAsia="Calibri" w:cs="Arial"/>
                <w:color w:val="000000"/>
                <w:sz w:val="22"/>
                <w:szCs w:val="22"/>
                <w:lang w:eastAsia="en-US"/>
              </w:rPr>
            </w:pPr>
            <w:r w:rsidRPr="003677B2">
              <w:rPr>
                <w:sz w:val="22"/>
                <w:szCs w:val="22"/>
              </w:rPr>
              <w:t>The additional cost imposed by the program is low</w:t>
            </w:r>
          </w:p>
        </w:tc>
        <w:tc>
          <w:tcPr>
            <w:tcW w:w="828" w:type="pct"/>
          </w:tcPr>
          <w:p w14:paraId="3F40A646" w14:textId="77777777" w:rsidR="00E41A00" w:rsidRPr="003677B2" w:rsidRDefault="00E41A00" w:rsidP="003677B2">
            <w:pPr>
              <w:autoSpaceDE w:val="0"/>
              <w:autoSpaceDN w:val="0"/>
              <w:adjustRightInd w:val="0"/>
              <w:spacing w:after="0" w:line="280" w:lineRule="atLeast"/>
              <w:rPr>
                <w:sz w:val="22"/>
                <w:szCs w:val="22"/>
              </w:rPr>
            </w:pPr>
            <w:r w:rsidRPr="003677B2">
              <w:rPr>
                <w:sz w:val="22"/>
                <w:szCs w:val="22"/>
              </w:rPr>
              <w:t>Low</w:t>
            </w:r>
          </w:p>
        </w:tc>
      </w:tr>
      <w:tr w:rsidR="00E41A00" w:rsidRPr="003677B2" w14:paraId="1BB5EF53" w14:textId="77777777" w:rsidTr="006E2755">
        <w:trPr>
          <w:cantSplit/>
          <w:tblHeader/>
        </w:trPr>
        <w:tc>
          <w:tcPr>
            <w:tcW w:w="1863" w:type="pct"/>
          </w:tcPr>
          <w:p w14:paraId="295BA7C3" w14:textId="77777777" w:rsidR="00E41A00" w:rsidRPr="003677B2" w:rsidRDefault="00E41A00" w:rsidP="003677B2">
            <w:pPr>
              <w:autoSpaceDE w:val="0"/>
              <w:autoSpaceDN w:val="0"/>
              <w:adjustRightInd w:val="0"/>
              <w:spacing w:after="0" w:line="280" w:lineRule="atLeast"/>
              <w:rPr>
                <w:rFonts w:eastAsia="Calibri" w:cs="Arial"/>
                <w:color w:val="000000"/>
                <w:sz w:val="22"/>
                <w:szCs w:val="22"/>
                <w:lang w:eastAsia="en-US"/>
              </w:rPr>
            </w:pPr>
            <w:r w:rsidRPr="003677B2">
              <w:rPr>
                <w:sz w:val="22"/>
                <w:szCs w:val="22"/>
              </w:rPr>
              <w:t>What consultation has occurred with payers and other stakeholders about the cost recovery?</w:t>
            </w:r>
          </w:p>
        </w:tc>
        <w:tc>
          <w:tcPr>
            <w:tcW w:w="2309" w:type="pct"/>
          </w:tcPr>
          <w:p w14:paraId="3C3FBFDA" w14:textId="77777777" w:rsidR="00E41A00" w:rsidRPr="003677B2" w:rsidRDefault="00E41A00" w:rsidP="003677B2">
            <w:pPr>
              <w:autoSpaceDE w:val="0"/>
              <w:autoSpaceDN w:val="0"/>
              <w:adjustRightInd w:val="0"/>
              <w:spacing w:after="0" w:line="280" w:lineRule="atLeast"/>
              <w:rPr>
                <w:rFonts w:eastAsia="Calibri" w:cs="Arial"/>
                <w:color w:val="000000"/>
                <w:sz w:val="22"/>
                <w:szCs w:val="22"/>
                <w:lang w:eastAsia="en-US"/>
              </w:rPr>
            </w:pPr>
            <w:r w:rsidRPr="003677B2">
              <w:rPr>
                <w:sz w:val="22"/>
                <w:szCs w:val="22"/>
              </w:rPr>
              <w:t xml:space="preserve">Consulted – no issues raised </w:t>
            </w:r>
          </w:p>
        </w:tc>
        <w:tc>
          <w:tcPr>
            <w:tcW w:w="828" w:type="pct"/>
          </w:tcPr>
          <w:p w14:paraId="74AFEA21" w14:textId="77777777" w:rsidR="00E41A00" w:rsidRPr="003677B2" w:rsidRDefault="00E41A00" w:rsidP="003677B2">
            <w:pPr>
              <w:autoSpaceDE w:val="0"/>
              <w:autoSpaceDN w:val="0"/>
              <w:adjustRightInd w:val="0"/>
              <w:spacing w:after="0" w:line="280" w:lineRule="atLeast"/>
              <w:rPr>
                <w:sz w:val="22"/>
                <w:szCs w:val="22"/>
              </w:rPr>
            </w:pPr>
            <w:r w:rsidRPr="003677B2">
              <w:rPr>
                <w:sz w:val="22"/>
                <w:szCs w:val="22"/>
              </w:rPr>
              <w:t>Low</w:t>
            </w:r>
          </w:p>
        </w:tc>
      </w:tr>
      <w:tr w:rsidR="00E41A00" w:rsidRPr="003677B2" w14:paraId="1E10BF29" w14:textId="77777777" w:rsidTr="006E2755">
        <w:trPr>
          <w:cantSplit/>
          <w:tblHeader/>
        </w:trPr>
        <w:tc>
          <w:tcPr>
            <w:tcW w:w="4172" w:type="pct"/>
            <w:gridSpan w:val="2"/>
            <w:shd w:val="clear" w:color="auto" w:fill="D9D9D9" w:themeFill="background1" w:themeFillShade="D9"/>
          </w:tcPr>
          <w:p w14:paraId="2DAAF608" w14:textId="77777777" w:rsidR="00E41A00" w:rsidRPr="003677B2" w:rsidRDefault="00E41A00" w:rsidP="003677B2">
            <w:pPr>
              <w:autoSpaceDE w:val="0"/>
              <w:autoSpaceDN w:val="0"/>
              <w:adjustRightInd w:val="0"/>
              <w:spacing w:after="0" w:line="280" w:lineRule="atLeast"/>
              <w:rPr>
                <w:rFonts w:eastAsia="Calibri" w:cs="Arial"/>
                <w:b/>
                <w:color w:val="000000"/>
                <w:sz w:val="22"/>
                <w:szCs w:val="22"/>
                <w:lang w:eastAsia="en-US"/>
              </w:rPr>
            </w:pPr>
            <w:r w:rsidRPr="003677B2">
              <w:rPr>
                <w:rFonts w:cs="Arial"/>
                <w:b/>
                <w:sz w:val="22"/>
                <w:szCs w:val="22"/>
              </w:rPr>
              <w:t>Overall rating</w:t>
            </w:r>
          </w:p>
        </w:tc>
        <w:tc>
          <w:tcPr>
            <w:tcW w:w="828" w:type="pct"/>
            <w:shd w:val="clear" w:color="auto" w:fill="D9D9D9" w:themeFill="background1" w:themeFillShade="D9"/>
          </w:tcPr>
          <w:p w14:paraId="12AD5133" w14:textId="77777777" w:rsidR="00E41A00" w:rsidRPr="003677B2" w:rsidRDefault="00E41A00" w:rsidP="003677B2">
            <w:pPr>
              <w:autoSpaceDE w:val="0"/>
              <w:autoSpaceDN w:val="0"/>
              <w:adjustRightInd w:val="0"/>
              <w:spacing w:after="0" w:line="280" w:lineRule="atLeast"/>
              <w:rPr>
                <w:rFonts w:cs="Arial"/>
                <w:b/>
                <w:sz w:val="22"/>
                <w:szCs w:val="22"/>
              </w:rPr>
            </w:pPr>
            <w:r w:rsidRPr="003677B2">
              <w:rPr>
                <w:rFonts w:cs="Arial"/>
                <w:b/>
                <w:sz w:val="22"/>
                <w:szCs w:val="22"/>
              </w:rPr>
              <w:t>Medium</w:t>
            </w:r>
          </w:p>
        </w:tc>
      </w:tr>
    </w:tbl>
    <w:p w14:paraId="03825320" w14:textId="78E6D6A1" w:rsidR="00E41A00" w:rsidRPr="00AE6A60" w:rsidRDefault="00E41A00" w:rsidP="003677B2">
      <w:pPr>
        <w:pStyle w:val="Paragraph"/>
      </w:pPr>
      <w:r w:rsidRPr="653324D8">
        <w:lastRenderedPageBreak/>
        <w:t xml:space="preserve">The </w:t>
      </w:r>
      <w:r>
        <w:t>overall</w:t>
      </w:r>
      <w:r w:rsidRPr="653324D8">
        <w:t xml:space="preserve"> risk rating is based on assessment of the criteria in </w:t>
      </w:r>
      <w:r w:rsidRPr="007809F4">
        <w:t>the Regulatory Charging Risk Assessment Template</w:t>
      </w:r>
      <w:r w:rsidRPr="00AE6A60">
        <w:rPr>
          <w:szCs w:val="20"/>
        </w:rPr>
        <w:t xml:space="preserve">. </w:t>
      </w:r>
      <w:r w:rsidRPr="653324D8">
        <w:t xml:space="preserve">Due to an overall risk rating of medium, this CRIS can be approved by the responsible </w:t>
      </w:r>
      <w:r>
        <w:t>minister</w:t>
      </w:r>
      <w:r w:rsidRPr="653324D8">
        <w:t xml:space="preserve"> to commence charging and does not require approval from the </w:t>
      </w:r>
      <w:r w:rsidR="00D93730">
        <w:t>f</w:t>
      </w:r>
      <w:r w:rsidRPr="653324D8">
        <w:t>inance</w:t>
      </w:r>
      <w:r>
        <w:t xml:space="preserve"> </w:t>
      </w:r>
      <w:r w:rsidR="00D93730">
        <w:t>m</w:t>
      </w:r>
      <w:r w:rsidRPr="653324D8">
        <w:t>inister.</w:t>
      </w:r>
    </w:p>
    <w:p w14:paraId="39BBB430" w14:textId="77777777" w:rsidR="00E41A00" w:rsidRPr="00AE6A60" w:rsidRDefault="00E41A00" w:rsidP="00E41A00">
      <w:pPr>
        <w:pStyle w:val="Heading2"/>
      </w:pPr>
      <w:bookmarkStart w:id="417" w:name="_Toc511294495"/>
      <w:bookmarkStart w:id="418" w:name="_Toc511634430"/>
      <w:bookmarkStart w:id="419" w:name="_Toc26786370"/>
      <w:bookmarkStart w:id="420" w:name="_Toc67042619"/>
      <w:bookmarkStart w:id="421" w:name="_Toc108599248"/>
      <w:bookmarkStart w:id="422" w:name="_Toc121920522"/>
      <w:bookmarkStart w:id="423" w:name="_Toc149735478"/>
      <w:bookmarkStart w:id="424" w:name="_Toc175123960"/>
      <w:r w:rsidRPr="00AE6A60">
        <w:t xml:space="preserve">5. </w:t>
      </w:r>
      <w:r w:rsidRPr="00AE6A60">
        <w:tab/>
        <w:t>Stakeholder engagement</w:t>
      </w:r>
      <w:bookmarkEnd w:id="417"/>
      <w:bookmarkEnd w:id="418"/>
      <w:bookmarkEnd w:id="419"/>
      <w:bookmarkEnd w:id="420"/>
      <w:bookmarkEnd w:id="421"/>
      <w:bookmarkEnd w:id="422"/>
      <w:bookmarkEnd w:id="423"/>
      <w:bookmarkEnd w:id="424"/>
    </w:p>
    <w:p w14:paraId="70FC6CCD" w14:textId="77777777" w:rsidR="00E41A00" w:rsidRPr="00590AA5" w:rsidRDefault="00E41A00" w:rsidP="003677B2">
      <w:pPr>
        <w:pStyle w:val="Paragraph"/>
        <w:rPr>
          <w:lang w:eastAsia="en-US"/>
        </w:rPr>
      </w:pPr>
      <w:r w:rsidRPr="00590AA5">
        <w:rPr>
          <w:lang w:eastAsia="en-US"/>
        </w:rPr>
        <w:t xml:space="preserve">In August 2013, the ACCC released a consultation paper, </w:t>
      </w:r>
      <w:r w:rsidRPr="00590AA5">
        <w:rPr>
          <w:i/>
          <w:lang w:eastAsia="en-US"/>
        </w:rPr>
        <w:t>Broadband Performance Monitoring and Reporting in the Australian Context</w:t>
      </w:r>
      <w:r w:rsidRPr="00590AA5">
        <w:rPr>
          <w:lang w:eastAsia="en-US"/>
        </w:rPr>
        <w:t xml:space="preserve">. The paper outlined the policy rationale for the MBA program, noted similar international </w:t>
      </w:r>
      <w:r w:rsidRPr="003677B2">
        <w:t>examples</w:t>
      </w:r>
      <w:r w:rsidRPr="00590AA5">
        <w:rPr>
          <w:lang w:eastAsia="en-US"/>
        </w:rPr>
        <w:t xml:space="preserve"> and sought views on questions of methodology and the reporting approach.</w:t>
      </w:r>
    </w:p>
    <w:p w14:paraId="1EE6ECBC" w14:textId="77777777" w:rsidR="00E41A00" w:rsidRPr="00AE6A60" w:rsidRDefault="00E41A00" w:rsidP="003677B2">
      <w:pPr>
        <w:pStyle w:val="Paragraph"/>
        <w:rPr>
          <w:iCs/>
          <w:lang w:eastAsia="en-US"/>
        </w:rPr>
      </w:pPr>
      <w:r w:rsidRPr="00590AA5">
        <w:rPr>
          <w:lang w:eastAsia="en-US"/>
        </w:rPr>
        <w:t>The consultation produced a range of views from stakeholders. Support for the development of measurement tools and other technologies to better inform the consumer was expressed by ACCAN, Choi</w:t>
      </w:r>
      <w:r w:rsidRPr="004F2240">
        <w:rPr>
          <w:lang w:eastAsia="en-US"/>
        </w:rPr>
        <w:t>ce, Google and NBN Co Limited (NBN Co).</w:t>
      </w:r>
    </w:p>
    <w:p w14:paraId="1C14B04E" w14:textId="77777777" w:rsidR="00E41A00" w:rsidRPr="00AE6A60" w:rsidRDefault="00E41A00" w:rsidP="003677B2">
      <w:pPr>
        <w:pStyle w:val="Paragraph"/>
        <w:rPr>
          <w:iCs/>
          <w:szCs w:val="20"/>
          <w:lang w:eastAsia="en-US"/>
        </w:rPr>
      </w:pPr>
      <w:proofErr w:type="gramStart"/>
      <w:r w:rsidRPr="00AE6A60">
        <w:rPr>
          <w:iCs/>
          <w:szCs w:val="20"/>
          <w:lang w:eastAsia="en-US"/>
        </w:rPr>
        <w:t>A number of</w:t>
      </w:r>
      <w:proofErr w:type="gramEnd"/>
      <w:r w:rsidRPr="00AE6A60">
        <w:rPr>
          <w:iCs/>
          <w:szCs w:val="20"/>
          <w:lang w:eastAsia="en-US"/>
        </w:rPr>
        <w:t xml:space="preserve"> stakeholders, including Telstra, Optus and AAPT indicated that they would like greater clarity on the ACCC policy objectives and raised concerns around certain features of the proposed </w:t>
      </w:r>
      <w:r w:rsidRPr="003677B2">
        <w:rPr>
          <w:lang w:eastAsia="en-US"/>
        </w:rPr>
        <w:t>program</w:t>
      </w:r>
      <w:r w:rsidRPr="00AE6A60">
        <w:rPr>
          <w:iCs/>
          <w:szCs w:val="20"/>
          <w:lang w:eastAsia="en-US"/>
        </w:rPr>
        <w:t xml:space="preserve">. </w:t>
      </w:r>
      <w:proofErr w:type="gramStart"/>
      <w:r w:rsidRPr="00AE6A60">
        <w:rPr>
          <w:iCs/>
          <w:szCs w:val="20"/>
          <w:lang w:eastAsia="en-US"/>
        </w:rPr>
        <w:t>In particular, Communications Alliance</w:t>
      </w:r>
      <w:proofErr w:type="gramEnd"/>
      <w:r>
        <w:rPr>
          <w:iCs/>
          <w:szCs w:val="20"/>
          <w:lang w:eastAsia="en-US"/>
        </w:rPr>
        <w:t xml:space="preserve"> </w:t>
      </w:r>
      <w:r w:rsidRPr="00AE6A60">
        <w:rPr>
          <w:iCs/>
          <w:szCs w:val="20"/>
          <w:lang w:eastAsia="en-US"/>
        </w:rPr>
        <w:t>expressed strong doubts that consumers want or would benefit from the information that the program would produce.</w:t>
      </w:r>
    </w:p>
    <w:p w14:paraId="60BC692A" w14:textId="77777777" w:rsidR="00E41A00" w:rsidRPr="00AE6A60" w:rsidRDefault="00E41A00" w:rsidP="003677B2">
      <w:pPr>
        <w:pStyle w:val="Paragraph"/>
        <w:rPr>
          <w:iCs/>
          <w:szCs w:val="20"/>
          <w:lang w:eastAsia="en-US"/>
        </w:rPr>
      </w:pPr>
      <w:r w:rsidRPr="00AE6A60">
        <w:rPr>
          <w:iCs/>
          <w:szCs w:val="20"/>
          <w:lang w:eastAsia="en-US"/>
        </w:rPr>
        <w:t xml:space="preserve">All submitters expressed a strong preference to remain engaged with the ACCC over the further </w:t>
      </w:r>
      <w:r w:rsidRPr="003677B2">
        <w:rPr>
          <w:lang w:eastAsia="en-US"/>
        </w:rPr>
        <w:t>development</w:t>
      </w:r>
      <w:r w:rsidRPr="00AE6A60">
        <w:rPr>
          <w:iCs/>
          <w:szCs w:val="20"/>
          <w:lang w:eastAsia="en-US"/>
        </w:rPr>
        <w:t xml:space="preserve"> of the program. The ACCC provided an open letter in response to submissions in October 2013, expanding on its policy objectives and responding to issues raised in the stakeholder submissions. </w:t>
      </w:r>
    </w:p>
    <w:p w14:paraId="371B5F61" w14:textId="77777777" w:rsidR="00E41A00" w:rsidRPr="00AE6A60" w:rsidRDefault="00E41A00" w:rsidP="003677B2">
      <w:pPr>
        <w:pStyle w:val="Paragraph"/>
        <w:rPr>
          <w:iCs/>
          <w:szCs w:val="20"/>
          <w:lang w:eastAsia="en-US"/>
        </w:rPr>
      </w:pPr>
      <w:r w:rsidRPr="00AE6A60">
        <w:rPr>
          <w:iCs/>
          <w:szCs w:val="20"/>
          <w:lang w:eastAsia="en-US"/>
        </w:rPr>
        <w:t xml:space="preserve">Following the release of the open letter, the ACCC conducted a ‘closed’ consultation process from December 2013 through March 2014. This gave key industry stakeholders the chance to discuss their </w:t>
      </w:r>
      <w:r w:rsidRPr="003677B2">
        <w:rPr>
          <w:lang w:eastAsia="en-US"/>
        </w:rPr>
        <w:t>views</w:t>
      </w:r>
      <w:r w:rsidRPr="00AE6A60">
        <w:rPr>
          <w:iCs/>
          <w:szCs w:val="20"/>
          <w:lang w:eastAsia="en-US"/>
        </w:rPr>
        <w:t xml:space="preserve"> with the ACCC in more detail and to provide further input on specific issues associated with the design and implementation of the proposed MBA program.</w:t>
      </w:r>
    </w:p>
    <w:p w14:paraId="3026CE07" w14:textId="77777777" w:rsidR="00E41A00" w:rsidRPr="00AE6A60" w:rsidRDefault="00E41A00" w:rsidP="003677B2">
      <w:pPr>
        <w:pStyle w:val="Paragraph"/>
        <w:rPr>
          <w:iCs/>
          <w:szCs w:val="20"/>
          <w:lang w:eastAsia="en-US"/>
        </w:rPr>
      </w:pPr>
      <w:r w:rsidRPr="00AE6A60">
        <w:rPr>
          <w:iCs/>
          <w:szCs w:val="20"/>
          <w:lang w:eastAsia="en-US"/>
        </w:rPr>
        <w:t xml:space="preserve">The ACCC subsequently released a </w:t>
      </w:r>
      <w:hyperlink r:id="rId28" w:history="1">
        <w:r w:rsidRPr="00AE6A60">
          <w:rPr>
            <w:rStyle w:val="Hyperlink"/>
            <w:iCs/>
            <w:szCs w:val="20"/>
            <w:lang w:eastAsia="en-US"/>
          </w:rPr>
          <w:t>position paper</w:t>
        </w:r>
      </w:hyperlink>
      <w:r w:rsidRPr="00AE6A60">
        <w:rPr>
          <w:iCs/>
          <w:szCs w:val="20"/>
          <w:lang w:eastAsia="en-US"/>
        </w:rPr>
        <w:t xml:space="preserve"> in June 2014 that outlined the proposed program </w:t>
      </w:r>
      <w:r w:rsidRPr="003677B2">
        <w:rPr>
          <w:lang w:eastAsia="en-US"/>
        </w:rPr>
        <w:t>specifications</w:t>
      </w:r>
      <w:r w:rsidRPr="00AE6A60">
        <w:rPr>
          <w:iCs/>
          <w:szCs w:val="20"/>
          <w:lang w:eastAsia="en-US"/>
        </w:rPr>
        <w:t xml:space="preserve"> taking into account previous consultations and introduced the pilot MBA program. The pilot was conducted over a period of </w:t>
      </w:r>
      <w:r>
        <w:rPr>
          <w:iCs/>
          <w:szCs w:val="20"/>
          <w:lang w:eastAsia="en-US"/>
        </w:rPr>
        <w:t>3</w:t>
      </w:r>
      <w:r w:rsidRPr="00AE6A60">
        <w:rPr>
          <w:iCs/>
          <w:szCs w:val="20"/>
          <w:lang w:eastAsia="en-US"/>
        </w:rPr>
        <w:t xml:space="preserve"> months from March to May 2015.</w:t>
      </w:r>
    </w:p>
    <w:p w14:paraId="5BBAA873" w14:textId="77777777" w:rsidR="00E41A00" w:rsidRPr="00AE6A60" w:rsidRDefault="00E41A00" w:rsidP="003677B2">
      <w:pPr>
        <w:pStyle w:val="Paragraph"/>
        <w:rPr>
          <w:iCs/>
          <w:szCs w:val="20"/>
          <w:lang w:eastAsia="en-US"/>
        </w:rPr>
      </w:pPr>
      <w:r w:rsidRPr="00AE6A60">
        <w:rPr>
          <w:iCs/>
          <w:szCs w:val="20"/>
          <w:lang w:eastAsia="en-US"/>
        </w:rPr>
        <w:t xml:space="preserve">In September 2015, the ACCC released a </w:t>
      </w:r>
      <w:hyperlink r:id="rId29" w:history="1">
        <w:r w:rsidRPr="00AE6A60">
          <w:rPr>
            <w:rStyle w:val="Hyperlink"/>
            <w:iCs/>
            <w:szCs w:val="20"/>
            <w:lang w:eastAsia="en-US"/>
          </w:rPr>
          <w:t>report</w:t>
        </w:r>
      </w:hyperlink>
      <w:r w:rsidRPr="00AE6A60">
        <w:rPr>
          <w:iCs/>
          <w:szCs w:val="20"/>
          <w:lang w:eastAsia="en-US"/>
        </w:rPr>
        <w:t xml:space="preserve"> on the results from the pilot program and noted that further consideration and consultation was needed to determine which funding model would receive </w:t>
      </w:r>
      <w:r w:rsidRPr="003677B2">
        <w:rPr>
          <w:lang w:eastAsia="en-US"/>
        </w:rPr>
        <w:t>support</w:t>
      </w:r>
      <w:r w:rsidRPr="00AE6A60">
        <w:rPr>
          <w:iCs/>
          <w:szCs w:val="20"/>
          <w:lang w:eastAsia="en-US"/>
        </w:rPr>
        <w:t xml:space="preserve"> and cooperation.</w:t>
      </w:r>
    </w:p>
    <w:p w14:paraId="22DD2FAD" w14:textId="77777777" w:rsidR="00E41A00" w:rsidRPr="00AE6A60" w:rsidRDefault="00E41A00" w:rsidP="00E41A00">
      <w:pPr>
        <w:pStyle w:val="Paragraph"/>
        <w:rPr>
          <w:rFonts w:ascii="Calibri" w:hAnsi="Calibri"/>
          <w:szCs w:val="22"/>
        </w:rPr>
      </w:pPr>
      <w:r w:rsidRPr="00AE6A60">
        <w:t>Following the government’s decision to proceed with the MBA program in April 2017, the ACCC published a request for tender on AusTender on 30 May 2017. The competitive open tender to appoint a testing provider closed on 26 June 2017. The tender was conducted in accordance with Commonwealth government procurement policy and rules.</w:t>
      </w:r>
      <w:r>
        <w:t xml:space="preserve"> The ACCC will also engage in a competitive open tender to appoint a testing provider for the MBA program extension.</w:t>
      </w:r>
    </w:p>
    <w:p w14:paraId="1A7AC8E8" w14:textId="77777777" w:rsidR="00E41A00" w:rsidRPr="00AE6A60" w:rsidRDefault="00E41A00" w:rsidP="00E41A00">
      <w:pPr>
        <w:pStyle w:val="Paragraph"/>
        <w:rPr>
          <w:iCs/>
          <w:szCs w:val="20"/>
          <w:lang w:eastAsia="en-US"/>
        </w:rPr>
      </w:pPr>
      <w:r w:rsidRPr="00AE6A60">
        <w:rPr>
          <w:iCs/>
          <w:szCs w:val="20"/>
          <w:lang w:eastAsia="en-US"/>
        </w:rPr>
        <w:t xml:space="preserve">The former Department of Communications and the Arts consulted with both industry and government bodies and informed these parties that it </w:t>
      </w:r>
      <w:r>
        <w:rPr>
          <w:iCs/>
          <w:szCs w:val="20"/>
          <w:lang w:eastAsia="en-US"/>
        </w:rPr>
        <w:t>wa</w:t>
      </w:r>
      <w:r w:rsidRPr="00AE6A60">
        <w:rPr>
          <w:iCs/>
          <w:szCs w:val="20"/>
          <w:lang w:eastAsia="en-US"/>
        </w:rPr>
        <w:t>s proposed that funding w</w:t>
      </w:r>
      <w:r>
        <w:rPr>
          <w:iCs/>
          <w:szCs w:val="20"/>
          <w:lang w:eastAsia="en-US"/>
        </w:rPr>
        <w:t>ould</w:t>
      </w:r>
      <w:r w:rsidRPr="00AE6A60">
        <w:rPr>
          <w:iCs/>
          <w:szCs w:val="20"/>
          <w:lang w:eastAsia="en-US"/>
        </w:rPr>
        <w:t xml:space="preserve"> be recovered through the ACLC.</w:t>
      </w:r>
    </w:p>
    <w:p w14:paraId="737A2393" w14:textId="77777777" w:rsidR="00E41A00" w:rsidRPr="00AE6A60" w:rsidRDefault="00E41A00" w:rsidP="00E41A00">
      <w:pPr>
        <w:pStyle w:val="Paragraph"/>
      </w:pPr>
      <w:r w:rsidRPr="00AE6A60">
        <w:t xml:space="preserve">A draft CRIS addendum was published on </w:t>
      </w:r>
      <w:r w:rsidRPr="00AE6A60">
        <w:rPr>
          <w:iCs/>
        </w:rPr>
        <w:t xml:space="preserve">the </w:t>
      </w:r>
      <w:r w:rsidRPr="00AE6A60">
        <w:t xml:space="preserve">ACMA’s website for a </w:t>
      </w:r>
      <w:r>
        <w:t>6</w:t>
      </w:r>
      <w:r w:rsidRPr="00AE6A60">
        <w:t xml:space="preserve">-week period from 16 April 2018 for public comment. </w:t>
      </w:r>
    </w:p>
    <w:p w14:paraId="2FB3C08E" w14:textId="77777777" w:rsidR="00E41A00" w:rsidRPr="00AE6A60" w:rsidRDefault="00E41A00" w:rsidP="003677B2">
      <w:pPr>
        <w:pStyle w:val="Paragraph"/>
      </w:pPr>
      <w:r w:rsidRPr="00AE6A60">
        <w:lastRenderedPageBreak/>
        <w:t xml:space="preserve">On 7 and 8 December 2017, the ACCC hosted </w:t>
      </w:r>
      <w:r>
        <w:t>2</w:t>
      </w:r>
      <w:r w:rsidRPr="00AE6A60">
        <w:t xml:space="preserve"> briefings delivered by the successful testing provider, SamKnows for industry participants including key retail service providers and their representative bodies. During the workshop SamKnows representatives delivered detailed presentations covering the technical aspects of </w:t>
      </w:r>
      <w:r w:rsidRPr="00AE6A60">
        <w:rPr>
          <w:lang w:eastAsia="en-US"/>
        </w:rPr>
        <w:t>the</w:t>
      </w:r>
      <w:r w:rsidRPr="00AE6A60">
        <w:t xml:space="preserve"> program and the testing methodologies.</w:t>
      </w:r>
    </w:p>
    <w:p w14:paraId="1DEECEB2" w14:textId="77777777" w:rsidR="00E41A00" w:rsidRDefault="00E41A00" w:rsidP="003677B2">
      <w:pPr>
        <w:pStyle w:val="Paragraph"/>
      </w:pPr>
      <w:r w:rsidRPr="00AE6A60">
        <w:t xml:space="preserve">The ACCC published its first MBA report in March 2018. The release of the report was preceded by an industry briefing involving </w:t>
      </w:r>
      <w:r w:rsidRPr="00AE6A60">
        <w:rPr>
          <w:lang w:eastAsia="en-US"/>
        </w:rPr>
        <w:t>carriers</w:t>
      </w:r>
      <w:r w:rsidRPr="00AE6A60">
        <w:t xml:space="preserve"> covered by the report as well as other stakeholders. The last report published during the </w:t>
      </w:r>
      <w:r>
        <w:t>2019–20</w:t>
      </w:r>
      <w:r w:rsidRPr="00AE6A60">
        <w:t xml:space="preserve"> financial year was in May 20</w:t>
      </w:r>
      <w:r>
        <w:t>20</w:t>
      </w:r>
      <w:r w:rsidRPr="00AE6A60">
        <w:t xml:space="preserve">. All published reports are located on the </w:t>
      </w:r>
      <w:hyperlink r:id="rId30" w:history="1">
        <w:r w:rsidRPr="00AE6A60">
          <w:rPr>
            <w:rStyle w:val="Hyperlink"/>
          </w:rPr>
          <w:t>MBA website</w:t>
        </w:r>
      </w:hyperlink>
      <w:r w:rsidRPr="00AE6A60">
        <w:t xml:space="preserve">. </w:t>
      </w:r>
    </w:p>
    <w:p w14:paraId="6D7C4499" w14:textId="77777777" w:rsidR="00E41A00" w:rsidRDefault="00E41A00" w:rsidP="00E41A00">
      <w:pPr>
        <w:pStyle w:val="Paragraph"/>
        <w:keepNext/>
        <w:keepLines/>
      </w:pPr>
      <w:r>
        <w:t xml:space="preserve">In 2020, the ACCC undertook a </w:t>
      </w:r>
      <w:hyperlink r:id="rId31" w:history="1">
        <w:r>
          <w:rPr>
            <w:rStyle w:val="Hyperlink"/>
          </w:rPr>
          <w:t>review of the effectiveness of the MBA program</w:t>
        </w:r>
      </w:hyperlink>
      <w:r>
        <w:t>. The review was undertaken in consultation with DITRDCA. The consultation paper was shared with a range of nominated stakeholders for their comment during October and November 2020. A public consumer survey was also undertaken on the ACCC consultation hub.</w:t>
      </w:r>
    </w:p>
    <w:p w14:paraId="53609BCA" w14:textId="77777777" w:rsidR="00E41A00" w:rsidRDefault="00E41A00" w:rsidP="00E41A00">
      <w:pPr>
        <w:pStyle w:val="Paragraph"/>
      </w:pPr>
      <w:r>
        <w:t xml:space="preserve">Submissions were received from key stakeholders including Telstra, Optus, NBN Co, Communications Alliance and </w:t>
      </w:r>
      <w:proofErr w:type="gramStart"/>
      <w:r>
        <w:t>a number of</w:t>
      </w:r>
      <w:proofErr w:type="gramEnd"/>
      <w:r>
        <w:t xml:space="preserve"> consumer advocates. </w:t>
      </w:r>
    </w:p>
    <w:p w14:paraId="3C45781D" w14:textId="77777777" w:rsidR="00E41A00" w:rsidRDefault="00E41A00" w:rsidP="00E41A00">
      <w:pPr>
        <w:pStyle w:val="Paragraph"/>
      </w:pPr>
      <w:r>
        <w:t xml:space="preserve">The review demonstrated that the program had met its objectives and strongly contributed to improving competition and consumer outcomes in broadband markets. Consumer advocates expressed support for the expansion of the program to benefit consumers outside of the NBN fixed-line footprint. Submissions also identified </w:t>
      </w:r>
      <w:proofErr w:type="gramStart"/>
      <w:r>
        <w:t>a number of</w:t>
      </w:r>
      <w:proofErr w:type="gramEnd"/>
      <w:r>
        <w:t xml:space="preserve"> improvements and enhancements to the program to ensure it continues to provide reliable, informative and timely data to the market. Following the Australian Government’s decision to extend the program, the ACCC is continuing to engage with stakeholders to implement improvements and to expand the scope of the program to NBN fixed wireless and non-NBN networks.</w:t>
      </w:r>
    </w:p>
    <w:p w14:paraId="501DC14F" w14:textId="5E48DC08" w:rsidR="00E41A00" w:rsidRDefault="00E41A00" w:rsidP="00E41A00">
      <w:pPr>
        <w:pStyle w:val="Paragraph"/>
      </w:pPr>
      <w:r>
        <w:t xml:space="preserve">The ACCC engaged with industry stakeholders in early 2023 via the </w:t>
      </w:r>
      <w:r w:rsidRPr="00D43A50">
        <w:t>ACMA’s 2021</w:t>
      </w:r>
      <w:r>
        <w:t>–</w:t>
      </w:r>
      <w:r w:rsidRPr="00D43A50">
        <w:t>22</w:t>
      </w:r>
      <w:r>
        <w:t xml:space="preserve"> ACLC CRIS consultation process on issues including cost transparency, testing device deployment and the appropriateness of program cost allocations. The Communications Alliance also submitted that the ACCC should conduct a review of the program </w:t>
      </w:r>
      <w:r w:rsidR="00E01726">
        <w:t xml:space="preserve">a </w:t>
      </w:r>
      <w:r>
        <w:t xml:space="preserve">year after its renewal. </w:t>
      </w:r>
    </w:p>
    <w:p w14:paraId="208DC633" w14:textId="77777777" w:rsidR="00E41A00" w:rsidRDefault="00E41A00" w:rsidP="00E41A00">
      <w:pPr>
        <w:pStyle w:val="Paragraph"/>
      </w:pPr>
      <w:r>
        <w:t xml:space="preserve">The ACCC noted the transparency provided by the annual CRIS process, and that the program is running in line with its budget and is expected to be budget neutral at its conclusion following changes in the sequencing of budgeted activities. The ACCC also noted that it is working with service providers to expand panels, focusing on admitting new volunteers that add value to the program. </w:t>
      </w:r>
    </w:p>
    <w:p w14:paraId="79F9457A" w14:textId="77777777" w:rsidR="00E41A00" w:rsidRDefault="00E41A00" w:rsidP="00E41A00">
      <w:pPr>
        <w:pStyle w:val="Paragraph"/>
      </w:pPr>
      <w:r>
        <w:t xml:space="preserve">The ACCC referred to its 2020 review of the program, </w:t>
      </w:r>
      <w:r w:rsidRPr="00D43A50">
        <w:t>which</w:t>
      </w:r>
      <w:r>
        <w:t xml:space="preserve"> found it to be effective and meeting its </w:t>
      </w:r>
      <w:r>
        <w:rPr>
          <w:lang w:eastAsia="en-US"/>
        </w:rPr>
        <w:t>objectives</w:t>
      </w:r>
      <w:r>
        <w:t>. The ACCC noted that any further review of the program should occur towards the scheduled end of the program.</w:t>
      </w:r>
    </w:p>
    <w:p w14:paraId="6AEB46F0" w14:textId="77777777" w:rsidR="00E41A00" w:rsidRPr="00AE6A60" w:rsidRDefault="00E41A00" w:rsidP="00E41A00">
      <w:pPr>
        <w:pStyle w:val="Heading2"/>
      </w:pPr>
      <w:bookmarkStart w:id="425" w:name="_Toc511294496"/>
      <w:bookmarkStart w:id="426" w:name="_Toc511634431"/>
      <w:bookmarkStart w:id="427" w:name="_Toc26786371"/>
      <w:bookmarkStart w:id="428" w:name="_Toc67042620"/>
      <w:bookmarkStart w:id="429" w:name="_Toc108599249"/>
      <w:bookmarkStart w:id="430" w:name="_Toc121920523"/>
      <w:bookmarkStart w:id="431" w:name="_Toc149735479"/>
      <w:bookmarkStart w:id="432" w:name="_Toc175123961"/>
      <w:r w:rsidRPr="00AE6A60">
        <w:t xml:space="preserve">6. </w:t>
      </w:r>
      <w:r w:rsidRPr="00AE6A60">
        <w:tab/>
        <w:t>Financial estimates</w:t>
      </w:r>
      <w:bookmarkEnd w:id="425"/>
      <w:bookmarkEnd w:id="426"/>
      <w:bookmarkEnd w:id="427"/>
      <w:bookmarkEnd w:id="428"/>
      <w:bookmarkEnd w:id="429"/>
      <w:bookmarkEnd w:id="430"/>
      <w:bookmarkEnd w:id="431"/>
      <w:bookmarkEnd w:id="432"/>
    </w:p>
    <w:p w14:paraId="5F0D5B7F" w14:textId="77777777" w:rsidR="00E41A00" w:rsidRPr="00AE6A60" w:rsidRDefault="00E41A00" w:rsidP="003677B2">
      <w:pPr>
        <w:pStyle w:val="Paragraph"/>
        <w:rPr>
          <w:iCs/>
        </w:rPr>
      </w:pPr>
      <w:r w:rsidRPr="00AE6A60">
        <w:rPr>
          <w:iCs/>
        </w:rPr>
        <w:t>Financial estimates for the cost of providing the MBA program for the financial year 20</w:t>
      </w:r>
      <w:r>
        <w:rPr>
          <w:iCs/>
        </w:rPr>
        <w:t>22</w:t>
      </w:r>
      <w:r w:rsidRPr="00AE6A60">
        <w:t>–</w:t>
      </w:r>
      <w:r w:rsidRPr="00AE6A60">
        <w:rPr>
          <w:iCs/>
        </w:rPr>
        <w:t>2</w:t>
      </w:r>
      <w:r>
        <w:rPr>
          <w:iCs/>
        </w:rPr>
        <w:t>3</w:t>
      </w:r>
      <w:r w:rsidRPr="00AE6A60">
        <w:rPr>
          <w:iCs/>
        </w:rPr>
        <w:t xml:space="preserve"> and </w:t>
      </w:r>
      <w:r>
        <w:rPr>
          <w:iCs/>
        </w:rPr>
        <w:t>3</w:t>
      </w:r>
      <w:r w:rsidRPr="00AE6A60">
        <w:rPr>
          <w:iCs/>
        </w:rPr>
        <w:t xml:space="preserve"> forward years are </w:t>
      </w:r>
      <w:r w:rsidRPr="003677B2">
        <w:rPr>
          <w:lang w:eastAsia="en-US"/>
        </w:rPr>
        <w:t>provided</w:t>
      </w:r>
      <w:r w:rsidRPr="00AE6A60">
        <w:rPr>
          <w:iCs/>
        </w:rPr>
        <w:t xml:space="preserve"> in Tabl</w:t>
      </w:r>
      <w:r w:rsidRPr="00F95878">
        <w:rPr>
          <w:iCs/>
        </w:rPr>
        <w:t>e B5</w:t>
      </w:r>
      <w:r w:rsidRPr="00AE6A60">
        <w:rPr>
          <w:iCs/>
        </w:rPr>
        <w:t xml:space="preserve">. </w:t>
      </w:r>
    </w:p>
    <w:p w14:paraId="1E7C1026" w14:textId="77777777" w:rsidR="00E41A00" w:rsidRPr="003677B2" w:rsidRDefault="00E41A00" w:rsidP="00FC728F">
      <w:pPr>
        <w:pStyle w:val="ACMATableHeader"/>
        <w:keepNext/>
        <w:numPr>
          <w:ilvl w:val="0"/>
          <w:numId w:val="0"/>
        </w:numPr>
        <w:rPr>
          <w:sz w:val="22"/>
          <w:szCs w:val="22"/>
        </w:rPr>
      </w:pPr>
      <w:bookmarkStart w:id="433" w:name="_Hlk57986425"/>
      <w:r w:rsidRPr="003677B2">
        <w:rPr>
          <w:sz w:val="22"/>
          <w:szCs w:val="22"/>
        </w:rPr>
        <w:lastRenderedPageBreak/>
        <w:t xml:space="preserve">Table B5: </w:t>
      </w:r>
      <w:r w:rsidRPr="003677B2" w:rsidDel="002B440D">
        <w:rPr>
          <w:sz w:val="22"/>
          <w:szCs w:val="22"/>
        </w:rPr>
        <w:t xml:space="preserve"> </w:t>
      </w:r>
      <w:r w:rsidRPr="003677B2">
        <w:rPr>
          <w:sz w:val="22"/>
          <w:szCs w:val="22"/>
        </w:rPr>
        <w:t>Financial performance and estimates by activity</w:t>
      </w:r>
      <w:bookmarkStart w:id="434" w:name="_Hlk8141284"/>
    </w:p>
    <w:tbl>
      <w:tblPr>
        <w:tblW w:w="55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1271"/>
        <w:gridCol w:w="1098"/>
        <w:gridCol w:w="1098"/>
        <w:gridCol w:w="1098"/>
        <w:gridCol w:w="1099"/>
        <w:gridCol w:w="1099"/>
        <w:gridCol w:w="1099"/>
        <w:gridCol w:w="1099"/>
        <w:gridCol w:w="1099"/>
      </w:tblGrid>
      <w:tr w:rsidR="00E63B22" w:rsidRPr="00E63B22" w14:paraId="497D54D6" w14:textId="77777777" w:rsidTr="00E63B22">
        <w:trPr>
          <w:trHeight w:val="640"/>
          <w:tblHeader/>
        </w:trPr>
        <w:tc>
          <w:tcPr>
            <w:tcW w:w="632" w:type="pct"/>
            <w:shd w:val="clear" w:color="000000" w:fill="404040"/>
            <w:hideMark/>
          </w:tcPr>
          <w:bookmarkEnd w:id="433"/>
          <w:bookmarkEnd w:id="434"/>
          <w:p w14:paraId="188442B2" w14:textId="77777777" w:rsidR="00E41A00" w:rsidRPr="00FC728F" w:rsidRDefault="00E41A00" w:rsidP="003677B2">
            <w:pPr>
              <w:pStyle w:val="TableHeading0"/>
              <w:spacing w:line="280" w:lineRule="atLeast"/>
              <w:rPr>
                <w:color w:val="FFFFFF" w:themeColor="background1"/>
                <w:szCs w:val="20"/>
              </w:rPr>
            </w:pPr>
            <w:r w:rsidRPr="00FC728F">
              <w:rPr>
                <w:rFonts w:cs="Arial"/>
                <w:color w:val="FFFFFF" w:themeColor="background1"/>
                <w:szCs w:val="20"/>
              </w:rPr>
              <w:t>Component</w:t>
            </w:r>
          </w:p>
        </w:tc>
        <w:tc>
          <w:tcPr>
            <w:tcW w:w="546" w:type="pct"/>
            <w:shd w:val="clear" w:color="000000" w:fill="404040"/>
          </w:tcPr>
          <w:p w14:paraId="24FF65AE" w14:textId="77777777" w:rsidR="00E41A00" w:rsidRPr="00FC728F" w:rsidRDefault="00E41A00" w:rsidP="003677B2">
            <w:pPr>
              <w:pStyle w:val="TableHeading0"/>
              <w:spacing w:line="280" w:lineRule="atLeast"/>
              <w:jc w:val="right"/>
              <w:rPr>
                <w:rFonts w:cs="Arial"/>
                <w:color w:val="FFFFFF"/>
                <w:szCs w:val="20"/>
              </w:rPr>
            </w:pPr>
            <w:r w:rsidRPr="00FC728F">
              <w:rPr>
                <w:rFonts w:cs="Arial"/>
                <w:color w:val="FFFFFF"/>
                <w:szCs w:val="20"/>
              </w:rPr>
              <w:t>2018–19</w:t>
            </w:r>
            <w:r w:rsidRPr="00FC728F">
              <w:rPr>
                <w:rFonts w:cs="Arial"/>
                <w:color w:val="FFFFFF"/>
                <w:szCs w:val="20"/>
              </w:rPr>
              <w:br/>
            </w:r>
            <w:r w:rsidRPr="00FC728F" w:rsidDel="00F02EF9">
              <w:rPr>
                <w:color w:val="FFFFFF"/>
                <w:szCs w:val="20"/>
              </w:rPr>
              <w:t>actual</w:t>
            </w:r>
            <w:r w:rsidRPr="00FC728F" w:rsidDel="00F02EF9">
              <w:rPr>
                <w:color w:val="FFFFFF"/>
                <w:szCs w:val="20"/>
              </w:rPr>
              <w:br/>
              <w:t>($million)</w:t>
            </w:r>
          </w:p>
        </w:tc>
        <w:tc>
          <w:tcPr>
            <w:tcW w:w="546" w:type="pct"/>
            <w:shd w:val="clear" w:color="000000" w:fill="404040"/>
            <w:vAlign w:val="center"/>
            <w:hideMark/>
          </w:tcPr>
          <w:p w14:paraId="74EC94D5" w14:textId="77777777" w:rsidR="00E41A00" w:rsidRPr="00FC728F" w:rsidRDefault="00E41A00" w:rsidP="003677B2">
            <w:pPr>
              <w:pStyle w:val="TableHeading0"/>
              <w:spacing w:line="280" w:lineRule="atLeast"/>
              <w:jc w:val="right"/>
              <w:rPr>
                <w:color w:val="FFFFFF" w:themeColor="background1"/>
                <w:szCs w:val="20"/>
              </w:rPr>
            </w:pPr>
            <w:r w:rsidRPr="00FC728F">
              <w:rPr>
                <w:rFonts w:cs="Arial"/>
                <w:color w:val="FFFFFF"/>
                <w:szCs w:val="20"/>
              </w:rPr>
              <w:t>2019–20</w:t>
            </w:r>
            <w:r w:rsidRPr="00FC728F">
              <w:rPr>
                <w:rFonts w:cs="Arial"/>
                <w:color w:val="FFFFFF"/>
                <w:szCs w:val="20"/>
              </w:rPr>
              <w:br/>
            </w:r>
            <w:r w:rsidRPr="00FC728F" w:rsidDel="00F02EF9">
              <w:rPr>
                <w:color w:val="FFFFFF"/>
                <w:szCs w:val="20"/>
              </w:rPr>
              <w:t>actual</w:t>
            </w:r>
            <w:r w:rsidRPr="00FC728F" w:rsidDel="00F02EF9">
              <w:rPr>
                <w:color w:val="FFFFFF"/>
                <w:szCs w:val="20"/>
              </w:rPr>
              <w:br/>
              <w:t>($million)</w:t>
            </w:r>
          </w:p>
        </w:tc>
        <w:tc>
          <w:tcPr>
            <w:tcW w:w="546" w:type="pct"/>
            <w:shd w:val="clear" w:color="000000" w:fill="404040"/>
            <w:vAlign w:val="center"/>
            <w:hideMark/>
          </w:tcPr>
          <w:p w14:paraId="33169A4D" w14:textId="77777777" w:rsidR="00E41A00" w:rsidRPr="00FC728F" w:rsidRDefault="00E41A00" w:rsidP="003677B2">
            <w:pPr>
              <w:pStyle w:val="TableHeading0"/>
              <w:spacing w:line="280" w:lineRule="atLeast"/>
              <w:jc w:val="right"/>
              <w:rPr>
                <w:color w:val="FFFFFF" w:themeColor="background1"/>
                <w:szCs w:val="20"/>
              </w:rPr>
            </w:pPr>
            <w:r w:rsidRPr="00FC728F">
              <w:rPr>
                <w:rFonts w:cs="Arial"/>
                <w:color w:val="FFFFFF"/>
                <w:szCs w:val="20"/>
              </w:rPr>
              <w:t>2020–21</w:t>
            </w:r>
            <w:r w:rsidRPr="00FC728F">
              <w:rPr>
                <w:rFonts w:cs="Arial"/>
                <w:color w:val="FFFFFF"/>
                <w:szCs w:val="20"/>
              </w:rPr>
              <w:br/>
            </w:r>
            <w:r w:rsidRPr="00FC728F" w:rsidDel="00F02EF9">
              <w:rPr>
                <w:rFonts w:cs="Arial"/>
                <w:color w:val="FFFFFF"/>
                <w:szCs w:val="20"/>
              </w:rPr>
              <w:t>actual</w:t>
            </w:r>
            <w:r w:rsidRPr="00FC728F" w:rsidDel="00F02EF9">
              <w:rPr>
                <w:color w:val="FFFFFF"/>
                <w:szCs w:val="20"/>
              </w:rPr>
              <w:br/>
              <w:t>($million)</w:t>
            </w:r>
          </w:p>
        </w:tc>
        <w:tc>
          <w:tcPr>
            <w:tcW w:w="546" w:type="pct"/>
            <w:shd w:val="clear" w:color="000000" w:fill="404040"/>
            <w:vAlign w:val="center"/>
            <w:hideMark/>
          </w:tcPr>
          <w:p w14:paraId="052A5D9C" w14:textId="77777777" w:rsidR="00E41A00" w:rsidRPr="00FC728F" w:rsidRDefault="00E41A00" w:rsidP="003677B2">
            <w:pPr>
              <w:pStyle w:val="TableHeading0"/>
              <w:spacing w:line="280" w:lineRule="atLeast"/>
              <w:jc w:val="right"/>
              <w:rPr>
                <w:color w:val="FFFFFF" w:themeColor="background1"/>
                <w:szCs w:val="20"/>
              </w:rPr>
            </w:pPr>
            <w:r w:rsidRPr="00FC728F">
              <w:rPr>
                <w:rFonts w:cs="Arial"/>
                <w:color w:val="FFFFFF"/>
                <w:szCs w:val="20"/>
              </w:rPr>
              <w:t>2021–22</w:t>
            </w:r>
            <w:r w:rsidRPr="00FC728F">
              <w:rPr>
                <w:rFonts w:cs="Arial"/>
                <w:color w:val="FFFFFF"/>
                <w:szCs w:val="20"/>
              </w:rPr>
              <w:br/>
            </w:r>
            <w:r w:rsidRPr="00FC728F" w:rsidDel="00F02EF9">
              <w:rPr>
                <w:rFonts w:cs="Arial"/>
                <w:color w:val="FFFFFF"/>
                <w:szCs w:val="20"/>
              </w:rPr>
              <w:t>actual</w:t>
            </w:r>
            <w:r w:rsidRPr="00FC728F" w:rsidDel="00F02EF9">
              <w:rPr>
                <w:color w:val="FFFFFF"/>
                <w:szCs w:val="20"/>
              </w:rPr>
              <w:br/>
              <w:t>($million)</w:t>
            </w:r>
          </w:p>
        </w:tc>
        <w:tc>
          <w:tcPr>
            <w:tcW w:w="546" w:type="pct"/>
            <w:shd w:val="clear" w:color="000000" w:fill="404040"/>
            <w:vAlign w:val="center"/>
            <w:hideMark/>
          </w:tcPr>
          <w:p w14:paraId="4555D0C9" w14:textId="77777777" w:rsidR="00E41A00" w:rsidRPr="00FC728F" w:rsidRDefault="00E41A00" w:rsidP="003677B2">
            <w:pPr>
              <w:pStyle w:val="TableHeading0"/>
              <w:spacing w:line="280" w:lineRule="atLeast"/>
              <w:jc w:val="right"/>
              <w:rPr>
                <w:color w:val="FFFFFF" w:themeColor="background1"/>
                <w:szCs w:val="20"/>
              </w:rPr>
            </w:pPr>
            <w:r w:rsidRPr="00FC728F">
              <w:rPr>
                <w:rFonts w:cs="Arial"/>
                <w:color w:val="FFFFFF"/>
                <w:szCs w:val="20"/>
              </w:rPr>
              <w:t>2022–23</w:t>
            </w:r>
            <w:r w:rsidRPr="00FC728F">
              <w:rPr>
                <w:rFonts w:cs="Arial"/>
                <w:color w:val="FFFFFF"/>
                <w:szCs w:val="20"/>
              </w:rPr>
              <w:br/>
              <w:t>actual</w:t>
            </w:r>
            <w:r w:rsidRPr="00FC728F" w:rsidDel="00F02EF9">
              <w:rPr>
                <w:color w:val="FFFFFF"/>
                <w:szCs w:val="20"/>
              </w:rPr>
              <w:br/>
              <w:t>($million)</w:t>
            </w:r>
          </w:p>
        </w:tc>
        <w:tc>
          <w:tcPr>
            <w:tcW w:w="546" w:type="pct"/>
            <w:shd w:val="clear" w:color="000000" w:fill="404040"/>
            <w:vAlign w:val="center"/>
            <w:hideMark/>
          </w:tcPr>
          <w:p w14:paraId="083781D2" w14:textId="77777777" w:rsidR="00E41A00" w:rsidRPr="00FC728F" w:rsidRDefault="00E41A00" w:rsidP="003677B2">
            <w:pPr>
              <w:pStyle w:val="TableHeading0"/>
              <w:spacing w:line="280" w:lineRule="atLeast"/>
              <w:jc w:val="right"/>
              <w:rPr>
                <w:color w:val="FFFFFF" w:themeColor="background1"/>
                <w:szCs w:val="20"/>
              </w:rPr>
            </w:pPr>
            <w:r w:rsidRPr="00FC728F">
              <w:rPr>
                <w:rFonts w:cs="Arial"/>
                <w:color w:val="FFFFFF"/>
                <w:szCs w:val="20"/>
              </w:rPr>
              <w:t>2023–24</w:t>
            </w:r>
            <w:r w:rsidRPr="00FC728F">
              <w:rPr>
                <w:rFonts w:cs="Arial"/>
                <w:color w:val="FFFFFF"/>
                <w:szCs w:val="20"/>
              </w:rPr>
              <w:br/>
            </w:r>
            <w:r w:rsidRPr="00FC728F" w:rsidDel="00F02EF9">
              <w:rPr>
                <w:rFonts w:cs="Arial"/>
                <w:color w:val="FFFFFF"/>
                <w:szCs w:val="20"/>
              </w:rPr>
              <w:t>budget</w:t>
            </w:r>
            <w:r w:rsidRPr="00FC728F" w:rsidDel="00F02EF9">
              <w:rPr>
                <w:color w:val="FFFFFF"/>
                <w:szCs w:val="20"/>
              </w:rPr>
              <w:br/>
              <w:t>($million)</w:t>
            </w:r>
          </w:p>
        </w:tc>
        <w:tc>
          <w:tcPr>
            <w:tcW w:w="546" w:type="pct"/>
            <w:shd w:val="clear" w:color="000000" w:fill="404040"/>
            <w:vAlign w:val="center"/>
          </w:tcPr>
          <w:p w14:paraId="547BFDC0" w14:textId="77777777" w:rsidR="00E41A00" w:rsidRPr="00FC728F" w:rsidRDefault="00E41A00" w:rsidP="003677B2">
            <w:pPr>
              <w:pStyle w:val="TableHeading0"/>
              <w:spacing w:line="280" w:lineRule="atLeast"/>
              <w:jc w:val="right"/>
              <w:rPr>
                <w:rFonts w:cs="Arial"/>
                <w:color w:val="FFFFFF" w:themeColor="background1"/>
                <w:szCs w:val="20"/>
              </w:rPr>
            </w:pPr>
            <w:r w:rsidRPr="00FC728F">
              <w:rPr>
                <w:rFonts w:cs="Arial"/>
                <w:color w:val="FFFFFF"/>
                <w:szCs w:val="20"/>
              </w:rPr>
              <w:t>2024–25</w:t>
            </w:r>
            <w:r w:rsidRPr="00FC728F">
              <w:rPr>
                <w:rFonts w:cs="Arial"/>
                <w:color w:val="FFFFFF"/>
                <w:szCs w:val="20"/>
              </w:rPr>
              <w:br/>
            </w:r>
            <w:r w:rsidRPr="00FC728F" w:rsidDel="00F02EF9">
              <w:rPr>
                <w:rFonts w:cs="Arial"/>
                <w:color w:val="FFFFFF"/>
                <w:szCs w:val="20"/>
              </w:rPr>
              <w:t>budget</w:t>
            </w:r>
            <w:r w:rsidRPr="00FC728F" w:rsidDel="00F02EF9">
              <w:rPr>
                <w:color w:val="FFFFFF"/>
                <w:szCs w:val="20"/>
              </w:rPr>
              <w:br/>
              <w:t>($million)</w:t>
            </w:r>
          </w:p>
        </w:tc>
        <w:tc>
          <w:tcPr>
            <w:tcW w:w="546" w:type="pct"/>
            <w:shd w:val="clear" w:color="000000" w:fill="404040"/>
            <w:vAlign w:val="center"/>
          </w:tcPr>
          <w:p w14:paraId="33C28BE3" w14:textId="77777777" w:rsidR="00E41A00" w:rsidRPr="00FC728F" w:rsidRDefault="00E41A00" w:rsidP="003677B2">
            <w:pPr>
              <w:pStyle w:val="TableHeading0"/>
              <w:spacing w:line="280" w:lineRule="atLeast"/>
              <w:jc w:val="right"/>
              <w:rPr>
                <w:rFonts w:cs="Arial"/>
                <w:color w:val="FFFFFF"/>
                <w:szCs w:val="20"/>
              </w:rPr>
            </w:pPr>
            <w:r w:rsidRPr="00FC728F">
              <w:rPr>
                <w:rFonts w:cs="Arial"/>
                <w:color w:val="FFFFFF"/>
                <w:szCs w:val="20"/>
              </w:rPr>
              <w:t>2025–26</w:t>
            </w:r>
            <w:r w:rsidRPr="00FC728F">
              <w:rPr>
                <w:rFonts w:cs="Arial"/>
                <w:color w:val="FFFFFF"/>
                <w:szCs w:val="20"/>
              </w:rPr>
              <w:br/>
            </w:r>
            <w:r w:rsidRPr="00FC728F" w:rsidDel="00F02EF9">
              <w:rPr>
                <w:rFonts w:cs="Arial"/>
                <w:color w:val="FFFFFF"/>
                <w:szCs w:val="20"/>
              </w:rPr>
              <w:t>budget</w:t>
            </w:r>
            <w:r w:rsidRPr="00FC728F" w:rsidDel="00F02EF9">
              <w:rPr>
                <w:color w:val="FFFFFF"/>
                <w:szCs w:val="20"/>
              </w:rPr>
              <w:br/>
              <w:t>($million)</w:t>
            </w:r>
          </w:p>
        </w:tc>
      </w:tr>
      <w:tr w:rsidR="00E63B22" w:rsidRPr="00E63B22" w14:paraId="5EB7C86E" w14:textId="77777777" w:rsidTr="00E63B22">
        <w:trPr>
          <w:trHeight w:val="238"/>
          <w:tblHeader/>
        </w:trPr>
        <w:tc>
          <w:tcPr>
            <w:tcW w:w="632" w:type="pct"/>
            <w:shd w:val="clear" w:color="auto" w:fill="auto"/>
            <w:hideMark/>
          </w:tcPr>
          <w:p w14:paraId="682C799F" w14:textId="77777777" w:rsidR="00E41A00" w:rsidRPr="00FC728F" w:rsidRDefault="00E41A00" w:rsidP="003677B2">
            <w:pPr>
              <w:spacing w:after="0" w:line="280" w:lineRule="atLeast"/>
              <w:rPr>
                <w:rFonts w:cs="Arial"/>
                <w:color w:val="000000"/>
                <w:szCs w:val="20"/>
              </w:rPr>
            </w:pPr>
            <w:r w:rsidRPr="00FC728F">
              <w:rPr>
                <w:rFonts w:cs="Arial"/>
                <w:color w:val="000000"/>
                <w:szCs w:val="20"/>
              </w:rPr>
              <w:t>MBA program expenses</w:t>
            </w:r>
          </w:p>
        </w:tc>
        <w:tc>
          <w:tcPr>
            <w:tcW w:w="546" w:type="pct"/>
          </w:tcPr>
          <w:p w14:paraId="0D42A779" w14:textId="77777777" w:rsidR="00E41A00" w:rsidRPr="00FC728F" w:rsidRDefault="00E41A00" w:rsidP="003677B2">
            <w:pPr>
              <w:spacing w:after="0" w:line="280" w:lineRule="atLeast"/>
              <w:jc w:val="right"/>
              <w:rPr>
                <w:rFonts w:cs="Arial"/>
                <w:szCs w:val="20"/>
              </w:rPr>
            </w:pPr>
            <w:r w:rsidRPr="00FC728F">
              <w:rPr>
                <w:rFonts w:cs="Arial"/>
                <w:szCs w:val="20"/>
              </w:rPr>
              <w:t>1.702</w:t>
            </w:r>
          </w:p>
        </w:tc>
        <w:tc>
          <w:tcPr>
            <w:tcW w:w="546" w:type="pct"/>
            <w:shd w:val="clear" w:color="auto" w:fill="auto"/>
          </w:tcPr>
          <w:p w14:paraId="511F9736" w14:textId="77777777" w:rsidR="00E41A00" w:rsidRPr="00FC728F" w:rsidRDefault="00E41A00" w:rsidP="003677B2">
            <w:pPr>
              <w:spacing w:after="0" w:line="280" w:lineRule="atLeast"/>
              <w:jc w:val="right"/>
              <w:rPr>
                <w:rFonts w:cs="Arial"/>
                <w:color w:val="000000"/>
                <w:szCs w:val="20"/>
              </w:rPr>
            </w:pPr>
            <w:r w:rsidRPr="00FC728F">
              <w:rPr>
                <w:rFonts w:cs="Arial"/>
                <w:szCs w:val="20"/>
              </w:rPr>
              <w:t xml:space="preserve"> 1.599 </w:t>
            </w:r>
          </w:p>
        </w:tc>
        <w:tc>
          <w:tcPr>
            <w:tcW w:w="546" w:type="pct"/>
            <w:shd w:val="clear" w:color="auto" w:fill="auto"/>
          </w:tcPr>
          <w:p w14:paraId="43F8CCAE" w14:textId="77777777" w:rsidR="00E41A00" w:rsidRPr="00FC728F" w:rsidRDefault="00E41A00" w:rsidP="003677B2">
            <w:pPr>
              <w:spacing w:after="0" w:line="280" w:lineRule="atLeast"/>
              <w:jc w:val="right"/>
              <w:rPr>
                <w:rFonts w:cs="Arial"/>
                <w:color w:val="000000"/>
                <w:szCs w:val="20"/>
              </w:rPr>
            </w:pPr>
            <w:r w:rsidRPr="00FC728F">
              <w:rPr>
                <w:rFonts w:cs="Arial"/>
                <w:szCs w:val="20"/>
              </w:rPr>
              <w:t xml:space="preserve"> 1.640 </w:t>
            </w:r>
          </w:p>
        </w:tc>
        <w:tc>
          <w:tcPr>
            <w:tcW w:w="546" w:type="pct"/>
            <w:shd w:val="clear" w:color="auto" w:fill="auto"/>
          </w:tcPr>
          <w:p w14:paraId="3AD115CA" w14:textId="77777777" w:rsidR="00E41A00" w:rsidRPr="00FC728F" w:rsidRDefault="00E41A00" w:rsidP="003677B2">
            <w:pPr>
              <w:spacing w:after="0" w:line="280" w:lineRule="atLeast"/>
              <w:jc w:val="right"/>
              <w:rPr>
                <w:rFonts w:cs="Arial"/>
                <w:color w:val="000000"/>
                <w:szCs w:val="20"/>
              </w:rPr>
            </w:pPr>
            <w:r w:rsidRPr="00FC728F">
              <w:rPr>
                <w:rFonts w:cs="Arial"/>
                <w:szCs w:val="20"/>
              </w:rPr>
              <w:t xml:space="preserve"> 1.838 </w:t>
            </w:r>
          </w:p>
        </w:tc>
        <w:tc>
          <w:tcPr>
            <w:tcW w:w="546" w:type="pct"/>
            <w:shd w:val="clear" w:color="auto" w:fill="auto"/>
          </w:tcPr>
          <w:p w14:paraId="023DB36A" w14:textId="77777777" w:rsidR="00E41A00" w:rsidRPr="00FC728F" w:rsidRDefault="00E41A00" w:rsidP="003677B2">
            <w:pPr>
              <w:spacing w:after="0" w:line="280" w:lineRule="atLeast"/>
              <w:jc w:val="right"/>
              <w:rPr>
                <w:rFonts w:cs="Arial"/>
                <w:color w:val="000000"/>
                <w:szCs w:val="20"/>
              </w:rPr>
            </w:pPr>
            <w:r w:rsidRPr="00FC728F">
              <w:rPr>
                <w:rFonts w:cs="Arial"/>
                <w:szCs w:val="20"/>
              </w:rPr>
              <w:t xml:space="preserve"> 1.645 </w:t>
            </w:r>
          </w:p>
        </w:tc>
        <w:tc>
          <w:tcPr>
            <w:tcW w:w="546" w:type="pct"/>
          </w:tcPr>
          <w:p w14:paraId="1418927F" w14:textId="77777777" w:rsidR="00E41A00" w:rsidRPr="00FC728F" w:rsidRDefault="00E41A00" w:rsidP="003677B2">
            <w:pPr>
              <w:spacing w:after="0" w:line="280" w:lineRule="atLeast"/>
              <w:jc w:val="right"/>
              <w:rPr>
                <w:rFonts w:cs="Arial"/>
                <w:color w:val="000000"/>
                <w:szCs w:val="20"/>
              </w:rPr>
            </w:pPr>
            <w:r w:rsidRPr="00FC728F">
              <w:rPr>
                <w:rFonts w:cs="Arial"/>
                <w:szCs w:val="20"/>
              </w:rPr>
              <w:t xml:space="preserve"> 1.939 </w:t>
            </w:r>
          </w:p>
        </w:tc>
        <w:tc>
          <w:tcPr>
            <w:tcW w:w="546" w:type="pct"/>
          </w:tcPr>
          <w:p w14:paraId="0DB8D354" w14:textId="77777777" w:rsidR="00E41A00" w:rsidRPr="00FC728F" w:rsidRDefault="00E41A00" w:rsidP="003677B2">
            <w:pPr>
              <w:spacing w:after="0" w:line="280" w:lineRule="atLeast"/>
              <w:jc w:val="right"/>
              <w:rPr>
                <w:rFonts w:cs="Arial"/>
                <w:color w:val="000000"/>
                <w:szCs w:val="20"/>
              </w:rPr>
            </w:pPr>
            <w:r w:rsidRPr="00FC728F">
              <w:rPr>
                <w:rFonts w:cs="Arial"/>
                <w:szCs w:val="20"/>
              </w:rPr>
              <w:t xml:space="preserve"> 1.939 </w:t>
            </w:r>
          </w:p>
        </w:tc>
        <w:tc>
          <w:tcPr>
            <w:tcW w:w="546" w:type="pct"/>
          </w:tcPr>
          <w:p w14:paraId="0690090C" w14:textId="77777777" w:rsidR="00E41A00" w:rsidRPr="00FC728F" w:rsidRDefault="00E41A00" w:rsidP="003677B2">
            <w:pPr>
              <w:spacing w:after="0" w:line="280" w:lineRule="atLeast"/>
              <w:jc w:val="right"/>
              <w:rPr>
                <w:rFonts w:cs="Arial"/>
                <w:szCs w:val="20"/>
              </w:rPr>
            </w:pPr>
            <w:r w:rsidRPr="00FC728F">
              <w:rPr>
                <w:rFonts w:cs="Arial"/>
                <w:szCs w:val="20"/>
              </w:rPr>
              <w:t>0.000</w:t>
            </w:r>
          </w:p>
        </w:tc>
      </w:tr>
      <w:tr w:rsidR="00E63B22" w:rsidRPr="00E63B22" w14:paraId="588AD90E" w14:textId="77777777" w:rsidTr="00E63B22">
        <w:trPr>
          <w:trHeight w:val="65"/>
          <w:tblHeader/>
        </w:trPr>
        <w:tc>
          <w:tcPr>
            <w:tcW w:w="632" w:type="pct"/>
            <w:shd w:val="clear" w:color="auto" w:fill="auto"/>
            <w:hideMark/>
          </w:tcPr>
          <w:p w14:paraId="4B911135" w14:textId="77777777" w:rsidR="00E41A00" w:rsidRPr="00FC728F" w:rsidRDefault="00E41A00" w:rsidP="003677B2">
            <w:pPr>
              <w:spacing w:after="0" w:line="280" w:lineRule="atLeast"/>
              <w:rPr>
                <w:rFonts w:cs="Arial"/>
                <w:color w:val="000000"/>
                <w:szCs w:val="20"/>
              </w:rPr>
            </w:pPr>
            <w:r w:rsidRPr="00FC728F">
              <w:rPr>
                <w:rFonts w:cs="Arial"/>
                <w:color w:val="000000"/>
                <w:szCs w:val="20"/>
              </w:rPr>
              <w:t>ACLC revenue</w:t>
            </w:r>
          </w:p>
        </w:tc>
        <w:tc>
          <w:tcPr>
            <w:tcW w:w="546" w:type="pct"/>
          </w:tcPr>
          <w:p w14:paraId="174DF1A7" w14:textId="77777777" w:rsidR="00E41A00" w:rsidRPr="00FC728F" w:rsidRDefault="00E41A00" w:rsidP="003677B2">
            <w:pPr>
              <w:spacing w:after="0" w:line="280" w:lineRule="atLeast"/>
              <w:jc w:val="right"/>
              <w:rPr>
                <w:rFonts w:cs="Arial"/>
                <w:szCs w:val="20"/>
              </w:rPr>
            </w:pPr>
            <w:r w:rsidRPr="00FC728F">
              <w:rPr>
                <w:rFonts w:cs="Arial"/>
                <w:szCs w:val="20"/>
              </w:rPr>
              <w:t>1.532</w:t>
            </w:r>
          </w:p>
        </w:tc>
        <w:tc>
          <w:tcPr>
            <w:tcW w:w="546" w:type="pct"/>
            <w:shd w:val="clear" w:color="auto" w:fill="auto"/>
          </w:tcPr>
          <w:p w14:paraId="243C4D84" w14:textId="77777777" w:rsidR="00E41A00" w:rsidRPr="00FC728F" w:rsidRDefault="00E41A00" w:rsidP="003677B2">
            <w:pPr>
              <w:spacing w:after="0" w:line="280" w:lineRule="atLeast"/>
              <w:jc w:val="right"/>
              <w:rPr>
                <w:rFonts w:cs="Arial"/>
                <w:color w:val="000000"/>
                <w:szCs w:val="20"/>
              </w:rPr>
            </w:pPr>
            <w:r w:rsidRPr="00FC728F">
              <w:rPr>
                <w:rFonts w:cs="Arial"/>
                <w:szCs w:val="20"/>
              </w:rPr>
              <w:t xml:space="preserve"> 1.702 </w:t>
            </w:r>
          </w:p>
        </w:tc>
        <w:tc>
          <w:tcPr>
            <w:tcW w:w="546" w:type="pct"/>
            <w:shd w:val="clear" w:color="auto" w:fill="auto"/>
          </w:tcPr>
          <w:p w14:paraId="38767D1F" w14:textId="22F143DD" w:rsidR="00E41A00" w:rsidRPr="00FC728F" w:rsidRDefault="00E41A00" w:rsidP="003677B2">
            <w:pPr>
              <w:spacing w:after="0" w:line="280" w:lineRule="atLeast"/>
              <w:jc w:val="right"/>
              <w:rPr>
                <w:rFonts w:cs="Arial"/>
                <w:color w:val="000000"/>
                <w:szCs w:val="20"/>
              </w:rPr>
            </w:pPr>
            <w:r w:rsidRPr="00FC728F">
              <w:rPr>
                <w:rFonts w:cs="Arial"/>
                <w:szCs w:val="20"/>
              </w:rPr>
              <w:t xml:space="preserve">1.599 </w:t>
            </w:r>
          </w:p>
        </w:tc>
        <w:tc>
          <w:tcPr>
            <w:tcW w:w="546" w:type="pct"/>
          </w:tcPr>
          <w:p w14:paraId="34AAE2A2" w14:textId="77777777" w:rsidR="00E41A00" w:rsidRPr="00FC728F" w:rsidRDefault="00E41A00" w:rsidP="003677B2">
            <w:pPr>
              <w:spacing w:after="0" w:line="280" w:lineRule="atLeast"/>
              <w:jc w:val="right"/>
              <w:rPr>
                <w:rFonts w:cs="Arial"/>
                <w:color w:val="000000"/>
                <w:szCs w:val="20"/>
              </w:rPr>
            </w:pPr>
            <w:r w:rsidRPr="00FC728F">
              <w:rPr>
                <w:rFonts w:cs="Arial"/>
                <w:szCs w:val="20"/>
              </w:rPr>
              <w:t xml:space="preserve"> 1.640 </w:t>
            </w:r>
          </w:p>
        </w:tc>
        <w:tc>
          <w:tcPr>
            <w:tcW w:w="546" w:type="pct"/>
            <w:shd w:val="clear" w:color="auto" w:fill="auto"/>
          </w:tcPr>
          <w:p w14:paraId="1AC5288F" w14:textId="77777777" w:rsidR="00E41A00" w:rsidRPr="00FC728F" w:rsidRDefault="00E41A00" w:rsidP="003677B2">
            <w:pPr>
              <w:spacing w:after="0" w:line="280" w:lineRule="atLeast"/>
              <w:jc w:val="right"/>
              <w:rPr>
                <w:rFonts w:cs="Arial"/>
                <w:color w:val="000000"/>
                <w:szCs w:val="20"/>
              </w:rPr>
            </w:pPr>
            <w:r w:rsidRPr="00FC728F">
              <w:rPr>
                <w:rFonts w:cs="Arial"/>
                <w:szCs w:val="20"/>
              </w:rPr>
              <w:t xml:space="preserve"> 1.838 </w:t>
            </w:r>
          </w:p>
        </w:tc>
        <w:tc>
          <w:tcPr>
            <w:tcW w:w="546" w:type="pct"/>
          </w:tcPr>
          <w:p w14:paraId="18B1C946" w14:textId="77777777" w:rsidR="00E41A00" w:rsidRPr="00FC728F" w:rsidRDefault="00E41A00" w:rsidP="003677B2">
            <w:pPr>
              <w:spacing w:after="0" w:line="280" w:lineRule="atLeast"/>
              <w:jc w:val="right"/>
              <w:rPr>
                <w:rFonts w:cs="Arial"/>
                <w:color w:val="000000"/>
                <w:szCs w:val="20"/>
              </w:rPr>
            </w:pPr>
            <w:r w:rsidRPr="00FC728F">
              <w:rPr>
                <w:rFonts w:cs="Arial"/>
                <w:szCs w:val="20"/>
              </w:rPr>
              <w:t xml:space="preserve"> 1.645 </w:t>
            </w:r>
          </w:p>
        </w:tc>
        <w:tc>
          <w:tcPr>
            <w:tcW w:w="546" w:type="pct"/>
          </w:tcPr>
          <w:p w14:paraId="7783354E" w14:textId="77777777" w:rsidR="00E41A00" w:rsidRPr="00FC728F" w:rsidRDefault="00E41A00" w:rsidP="003677B2">
            <w:pPr>
              <w:spacing w:after="0" w:line="280" w:lineRule="atLeast"/>
              <w:jc w:val="right"/>
              <w:rPr>
                <w:rFonts w:cs="Arial"/>
                <w:color w:val="000000"/>
                <w:szCs w:val="20"/>
              </w:rPr>
            </w:pPr>
            <w:r w:rsidRPr="00FC728F">
              <w:rPr>
                <w:rFonts w:cs="Arial"/>
                <w:szCs w:val="20"/>
              </w:rPr>
              <w:t xml:space="preserve"> 1.939 </w:t>
            </w:r>
          </w:p>
        </w:tc>
        <w:tc>
          <w:tcPr>
            <w:tcW w:w="546" w:type="pct"/>
          </w:tcPr>
          <w:p w14:paraId="7FA0D7FC" w14:textId="77777777" w:rsidR="00E41A00" w:rsidRPr="00FC728F" w:rsidRDefault="00E41A00" w:rsidP="003677B2">
            <w:pPr>
              <w:spacing w:after="0" w:line="280" w:lineRule="atLeast"/>
              <w:jc w:val="right"/>
              <w:rPr>
                <w:rFonts w:cs="Arial"/>
                <w:szCs w:val="20"/>
              </w:rPr>
            </w:pPr>
            <w:r w:rsidRPr="00FC728F">
              <w:rPr>
                <w:rFonts w:cs="Arial"/>
                <w:szCs w:val="20"/>
              </w:rPr>
              <w:t>1.939</w:t>
            </w:r>
          </w:p>
        </w:tc>
      </w:tr>
      <w:tr w:rsidR="00E63B22" w:rsidRPr="00E63B22" w14:paraId="3675B29A" w14:textId="77777777" w:rsidTr="00E63B22">
        <w:trPr>
          <w:trHeight w:val="65"/>
          <w:tblHeader/>
        </w:trPr>
        <w:tc>
          <w:tcPr>
            <w:tcW w:w="632" w:type="pct"/>
            <w:shd w:val="clear" w:color="auto" w:fill="D9D9D9" w:themeFill="background1" w:themeFillShade="D9"/>
          </w:tcPr>
          <w:p w14:paraId="61B5C753" w14:textId="77777777" w:rsidR="00E41A00" w:rsidRPr="00FC728F" w:rsidRDefault="00E41A00" w:rsidP="003677B2">
            <w:pPr>
              <w:spacing w:after="0" w:line="280" w:lineRule="atLeast"/>
              <w:rPr>
                <w:rFonts w:cs="Arial"/>
                <w:color w:val="000000"/>
                <w:szCs w:val="20"/>
              </w:rPr>
            </w:pPr>
            <w:r w:rsidRPr="00FC728F">
              <w:rPr>
                <w:rFonts w:cs="Arial"/>
                <w:b/>
                <w:bCs/>
                <w:color w:val="000000"/>
                <w:szCs w:val="20"/>
              </w:rPr>
              <w:t>Balance</w:t>
            </w:r>
          </w:p>
        </w:tc>
        <w:tc>
          <w:tcPr>
            <w:tcW w:w="546" w:type="pct"/>
            <w:shd w:val="clear" w:color="auto" w:fill="D9D9D9" w:themeFill="background1" w:themeFillShade="D9"/>
          </w:tcPr>
          <w:p w14:paraId="15ACA1CF" w14:textId="77777777" w:rsidR="00E41A00" w:rsidRPr="00FC728F" w:rsidRDefault="00E41A00" w:rsidP="003677B2">
            <w:pPr>
              <w:spacing w:after="0" w:line="280" w:lineRule="atLeast"/>
              <w:jc w:val="right"/>
              <w:rPr>
                <w:rFonts w:cs="Arial"/>
                <w:b/>
                <w:bCs/>
                <w:color w:val="FF0000"/>
                <w:szCs w:val="20"/>
              </w:rPr>
            </w:pPr>
            <w:r w:rsidRPr="00FC728F">
              <w:rPr>
                <w:rFonts w:cs="Arial"/>
                <w:b/>
                <w:bCs/>
                <w:color w:val="FF0000"/>
                <w:szCs w:val="20"/>
              </w:rPr>
              <w:t>(0.170)</w:t>
            </w:r>
          </w:p>
        </w:tc>
        <w:tc>
          <w:tcPr>
            <w:tcW w:w="546" w:type="pct"/>
            <w:shd w:val="clear" w:color="auto" w:fill="D9D9D9" w:themeFill="background1" w:themeFillShade="D9"/>
          </w:tcPr>
          <w:p w14:paraId="1AC82FD5" w14:textId="77777777" w:rsidR="00E41A00" w:rsidRPr="00FC728F" w:rsidRDefault="00E41A00" w:rsidP="003677B2">
            <w:pPr>
              <w:spacing w:after="0" w:line="280" w:lineRule="atLeast"/>
              <w:jc w:val="right"/>
              <w:rPr>
                <w:rFonts w:cs="Arial"/>
                <w:b/>
                <w:bCs/>
                <w:color w:val="000000"/>
                <w:szCs w:val="20"/>
              </w:rPr>
            </w:pPr>
            <w:r w:rsidRPr="00FC728F">
              <w:rPr>
                <w:rFonts w:cs="Arial"/>
                <w:b/>
                <w:bCs/>
                <w:szCs w:val="20"/>
              </w:rPr>
              <w:t xml:space="preserve"> 0.103 </w:t>
            </w:r>
          </w:p>
        </w:tc>
        <w:tc>
          <w:tcPr>
            <w:tcW w:w="546" w:type="pct"/>
            <w:shd w:val="clear" w:color="auto" w:fill="D9D9D9" w:themeFill="background1" w:themeFillShade="D9"/>
          </w:tcPr>
          <w:p w14:paraId="0CDFC99C" w14:textId="77777777" w:rsidR="00E41A00" w:rsidRPr="00FC728F" w:rsidRDefault="00E41A00" w:rsidP="003677B2">
            <w:pPr>
              <w:spacing w:after="0" w:line="280" w:lineRule="atLeast"/>
              <w:jc w:val="right"/>
              <w:rPr>
                <w:rFonts w:cs="Arial"/>
                <w:b/>
                <w:bCs/>
                <w:color w:val="FF0000"/>
                <w:szCs w:val="20"/>
              </w:rPr>
            </w:pPr>
            <w:r w:rsidRPr="00FC728F">
              <w:rPr>
                <w:rFonts w:cs="Arial"/>
                <w:b/>
                <w:bCs/>
                <w:color w:val="FF0000"/>
                <w:szCs w:val="20"/>
              </w:rPr>
              <w:t xml:space="preserve"> (0.041)</w:t>
            </w:r>
          </w:p>
        </w:tc>
        <w:tc>
          <w:tcPr>
            <w:tcW w:w="546" w:type="pct"/>
            <w:shd w:val="clear" w:color="auto" w:fill="D9D9D9" w:themeFill="background1" w:themeFillShade="D9"/>
          </w:tcPr>
          <w:p w14:paraId="0046273D" w14:textId="77777777" w:rsidR="00E41A00" w:rsidRPr="00FC728F" w:rsidRDefault="00E41A00" w:rsidP="003677B2">
            <w:pPr>
              <w:spacing w:after="0" w:line="280" w:lineRule="atLeast"/>
              <w:jc w:val="right"/>
              <w:rPr>
                <w:rFonts w:cs="Arial"/>
                <w:b/>
                <w:bCs/>
                <w:color w:val="000000"/>
                <w:szCs w:val="20"/>
              </w:rPr>
            </w:pPr>
            <w:r w:rsidRPr="00FC728F">
              <w:rPr>
                <w:rFonts w:cs="Arial"/>
                <w:b/>
                <w:bCs/>
                <w:color w:val="FF0000"/>
                <w:szCs w:val="20"/>
              </w:rPr>
              <w:t xml:space="preserve"> (0.198)</w:t>
            </w:r>
          </w:p>
        </w:tc>
        <w:tc>
          <w:tcPr>
            <w:tcW w:w="546" w:type="pct"/>
            <w:shd w:val="clear" w:color="auto" w:fill="D9D9D9" w:themeFill="background1" w:themeFillShade="D9"/>
          </w:tcPr>
          <w:p w14:paraId="1E5C002A" w14:textId="77777777" w:rsidR="00E41A00" w:rsidRPr="00FC728F" w:rsidRDefault="00E41A00" w:rsidP="003677B2">
            <w:pPr>
              <w:spacing w:after="0" w:line="280" w:lineRule="atLeast"/>
              <w:jc w:val="right"/>
              <w:rPr>
                <w:rFonts w:cs="Arial"/>
                <w:b/>
                <w:bCs/>
                <w:color w:val="000000"/>
                <w:szCs w:val="20"/>
              </w:rPr>
            </w:pPr>
            <w:r w:rsidRPr="00FC728F">
              <w:rPr>
                <w:rFonts w:cs="Arial"/>
                <w:b/>
                <w:bCs/>
                <w:szCs w:val="20"/>
              </w:rPr>
              <w:t xml:space="preserve"> 0.193 </w:t>
            </w:r>
          </w:p>
        </w:tc>
        <w:tc>
          <w:tcPr>
            <w:tcW w:w="546" w:type="pct"/>
            <w:shd w:val="clear" w:color="auto" w:fill="D9D9D9" w:themeFill="background1" w:themeFillShade="D9"/>
          </w:tcPr>
          <w:p w14:paraId="4A7F1D28" w14:textId="77777777" w:rsidR="00E41A00" w:rsidRPr="00FC728F" w:rsidRDefault="00E41A00" w:rsidP="003677B2">
            <w:pPr>
              <w:spacing w:after="0" w:line="280" w:lineRule="atLeast"/>
              <w:jc w:val="right"/>
              <w:rPr>
                <w:rFonts w:cs="Arial"/>
                <w:b/>
                <w:bCs/>
                <w:color w:val="000000"/>
                <w:szCs w:val="20"/>
              </w:rPr>
            </w:pPr>
            <w:r w:rsidRPr="00FC728F">
              <w:rPr>
                <w:rFonts w:cs="Arial"/>
                <w:b/>
                <w:bCs/>
                <w:color w:val="FF0000"/>
                <w:szCs w:val="20"/>
              </w:rPr>
              <w:t xml:space="preserve"> (0.294)</w:t>
            </w:r>
          </w:p>
        </w:tc>
        <w:tc>
          <w:tcPr>
            <w:tcW w:w="546" w:type="pct"/>
            <w:shd w:val="clear" w:color="auto" w:fill="D9D9D9" w:themeFill="background1" w:themeFillShade="D9"/>
          </w:tcPr>
          <w:p w14:paraId="098E5DDA" w14:textId="77777777" w:rsidR="00E41A00" w:rsidRPr="00FC728F" w:rsidRDefault="00E41A00" w:rsidP="003677B2">
            <w:pPr>
              <w:spacing w:after="0" w:line="280" w:lineRule="atLeast"/>
              <w:jc w:val="right"/>
              <w:rPr>
                <w:rFonts w:cs="Arial"/>
                <w:b/>
                <w:bCs/>
                <w:color w:val="000000"/>
                <w:szCs w:val="20"/>
              </w:rPr>
            </w:pPr>
            <w:r w:rsidRPr="00FC728F">
              <w:rPr>
                <w:rFonts w:cs="Arial"/>
                <w:b/>
                <w:bCs/>
                <w:szCs w:val="20"/>
              </w:rPr>
              <w:t xml:space="preserve">0.000   </w:t>
            </w:r>
          </w:p>
        </w:tc>
        <w:tc>
          <w:tcPr>
            <w:tcW w:w="546" w:type="pct"/>
            <w:shd w:val="clear" w:color="auto" w:fill="D9D9D9" w:themeFill="background1" w:themeFillShade="D9"/>
          </w:tcPr>
          <w:p w14:paraId="35B33143" w14:textId="77777777" w:rsidR="00E41A00" w:rsidRPr="00FC728F" w:rsidRDefault="00E41A00" w:rsidP="003677B2">
            <w:pPr>
              <w:spacing w:after="0" w:line="280" w:lineRule="atLeast"/>
              <w:jc w:val="right"/>
              <w:rPr>
                <w:rFonts w:cs="Arial"/>
                <w:b/>
                <w:bCs/>
                <w:szCs w:val="20"/>
              </w:rPr>
            </w:pPr>
            <w:r w:rsidRPr="00FC728F">
              <w:rPr>
                <w:rFonts w:cs="Arial"/>
                <w:b/>
                <w:bCs/>
                <w:szCs w:val="20"/>
              </w:rPr>
              <w:t>1.939</w:t>
            </w:r>
          </w:p>
        </w:tc>
      </w:tr>
      <w:tr w:rsidR="00E63B22" w:rsidRPr="00E63B22" w14:paraId="6ED81330" w14:textId="77777777" w:rsidTr="00E63B22">
        <w:trPr>
          <w:trHeight w:val="65"/>
          <w:tblHeader/>
        </w:trPr>
        <w:tc>
          <w:tcPr>
            <w:tcW w:w="632" w:type="pct"/>
            <w:shd w:val="clear" w:color="auto" w:fill="D9D9D9" w:themeFill="background1" w:themeFillShade="D9"/>
          </w:tcPr>
          <w:p w14:paraId="5C51A0ED" w14:textId="77777777" w:rsidR="00E41A00" w:rsidRPr="00FC728F" w:rsidRDefault="00E41A00" w:rsidP="003677B2">
            <w:pPr>
              <w:spacing w:after="0" w:line="280" w:lineRule="atLeast"/>
              <w:rPr>
                <w:rFonts w:cs="Arial"/>
                <w:color w:val="000000"/>
                <w:szCs w:val="20"/>
              </w:rPr>
            </w:pPr>
            <w:bookmarkStart w:id="435" w:name="_Hlk7707145"/>
            <w:r w:rsidRPr="00FC728F">
              <w:rPr>
                <w:rFonts w:cs="Arial"/>
                <w:b/>
                <w:bCs/>
                <w:color w:val="000000"/>
                <w:szCs w:val="20"/>
              </w:rPr>
              <w:t>Cumulative balance</w:t>
            </w:r>
          </w:p>
        </w:tc>
        <w:tc>
          <w:tcPr>
            <w:tcW w:w="546" w:type="pct"/>
            <w:shd w:val="clear" w:color="auto" w:fill="D9D9D9" w:themeFill="background1" w:themeFillShade="D9"/>
          </w:tcPr>
          <w:p w14:paraId="42977BEA" w14:textId="77777777" w:rsidR="00E41A00" w:rsidRPr="00FC728F" w:rsidRDefault="00E41A00" w:rsidP="003677B2">
            <w:pPr>
              <w:spacing w:after="0" w:line="280" w:lineRule="atLeast"/>
              <w:jc w:val="right"/>
              <w:rPr>
                <w:rFonts w:cs="Arial"/>
                <w:b/>
                <w:bCs/>
                <w:color w:val="FF0000"/>
                <w:szCs w:val="20"/>
              </w:rPr>
            </w:pPr>
            <w:r w:rsidRPr="00FC728F">
              <w:rPr>
                <w:rFonts w:cs="Arial"/>
                <w:b/>
                <w:bCs/>
                <w:color w:val="FF0000"/>
                <w:szCs w:val="20"/>
              </w:rPr>
              <w:t>(1.702)</w:t>
            </w:r>
          </w:p>
        </w:tc>
        <w:tc>
          <w:tcPr>
            <w:tcW w:w="546" w:type="pct"/>
            <w:shd w:val="clear" w:color="auto" w:fill="D9D9D9" w:themeFill="background1" w:themeFillShade="D9"/>
          </w:tcPr>
          <w:p w14:paraId="4879955A" w14:textId="77777777" w:rsidR="00E41A00" w:rsidRPr="00FC728F" w:rsidRDefault="00E41A00" w:rsidP="003677B2">
            <w:pPr>
              <w:spacing w:after="0" w:line="280" w:lineRule="atLeast"/>
              <w:jc w:val="right"/>
              <w:rPr>
                <w:rFonts w:cs="Arial"/>
                <w:b/>
                <w:bCs/>
                <w:color w:val="FF0000"/>
                <w:szCs w:val="20"/>
              </w:rPr>
            </w:pPr>
            <w:r w:rsidRPr="00FC728F">
              <w:rPr>
                <w:rFonts w:cs="Arial"/>
                <w:b/>
                <w:bCs/>
                <w:color w:val="FF0000"/>
                <w:szCs w:val="20"/>
              </w:rPr>
              <w:t xml:space="preserve"> (1.599)</w:t>
            </w:r>
          </w:p>
        </w:tc>
        <w:tc>
          <w:tcPr>
            <w:tcW w:w="546" w:type="pct"/>
            <w:shd w:val="clear" w:color="auto" w:fill="D9D9D9" w:themeFill="background1" w:themeFillShade="D9"/>
          </w:tcPr>
          <w:p w14:paraId="7B637343" w14:textId="77777777" w:rsidR="00E41A00" w:rsidRPr="00FC728F" w:rsidRDefault="00E41A00" w:rsidP="003677B2">
            <w:pPr>
              <w:spacing w:after="0" w:line="280" w:lineRule="atLeast"/>
              <w:jc w:val="right"/>
              <w:rPr>
                <w:rFonts w:cs="Arial"/>
                <w:b/>
                <w:bCs/>
                <w:color w:val="FF0000"/>
                <w:szCs w:val="20"/>
              </w:rPr>
            </w:pPr>
            <w:r w:rsidRPr="00FC728F">
              <w:rPr>
                <w:rFonts w:cs="Arial"/>
                <w:b/>
                <w:bCs/>
                <w:color w:val="FF0000"/>
                <w:szCs w:val="20"/>
              </w:rPr>
              <w:t xml:space="preserve"> (1.640)</w:t>
            </w:r>
          </w:p>
        </w:tc>
        <w:tc>
          <w:tcPr>
            <w:tcW w:w="546" w:type="pct"/>
            <w:shd w:val="clear" w:color="auto" w:fill="D9D9D9" w:themeFill="background1" w:themeFillShade="D9"/>
          </w:tcPr>
          <w:p w14:paraId="3149BBD0" w14:textId="77777777" w:rsidR="00E41A00" w:rsidRPr="00FC728F" w:rsidRDefault="00E41A00" w:rsidP="003677B2">
            <w:pPr>
              <w:spacing w:after="0" w:line="280" w:lineRule="atLeast"/>
              <w:jc w:val="right"/>
              <w:rPr>
                <w:rFonts w:cs="Arial"/>
                <w:b/>
                <w:bCs/>
                <w:color w:val="FF0000"/>
                <w:szCs w:val="20"/>
              </w:rPr>
            </w:pPr>
            <w:r w:rsidRPr="00FC728F">
              <w:rPr>
                <w:rFonts w:cs="Arial"/>
                <w:b/>
                <w:bCs/>
                <w:color w:val="FF0000"/>
                <w:szCs w:val="20"/>
              </w:rPr>
              <w:t xml:space="preserve"> (1.838)</w:t>
            </w:r>
          </w:p>
        </w:tc>
        <w:tc>
          <w:tcPr>
            <w:tcW w:w="546" w:type="pct"/>
            <w:shd w:val="clear" w:color="auto" w:fill="D9D9D9" w:themeFill="background1" w:themeFillShade="D9"/>
          </w:tcPr>
          <w:p w14:paraId="74B6F8BF" w14:textId="77777777" w:rsidR="00E41A00" w:rsidRPr="00FC728F" w:rsidRDefault="00E41A00" w:rsidP="003677B2">
            <w:pPr>
              <w:spacing w:after="0" w:line="280" w:lineRule="atLeast"/>
              <w:jc w:val="right"/>
              <w:rPr>
                <w:rFonts w:cs="Arial"/>
                <w:b/>
                <w:bCs/>
                <w:color w:val="FF0000"/>
                <w:szCs w:val="20"/>
              </w:rPr>
            </w:pPr>
            <w:r w:rsidRPr="00FC728F">
              <w:rPr>
                <w:rFonts w:cs="Arial"/>
                <w:b/>
                <w:bCs/>
                <w:color w:val="FF0000"/>
                <w:szCs w:val="20"/>
              </w:rPr>
              <w:t xml:space="preserve"> (1.645)</w:t>
            </w:r>
          </w:p>
        </w:tc>
        <w:tc>
          <w:tcPr>
            <w:tcW w:w="546" w:type="pct"/>
            <w:shd w:val="clear" w:color="auto" w:fill="D9D9D9" w:themeFill="background1" w:themeFillShade="D9"/>
          </w:tcPr>
          <w:p w14:paraId="2A719D97" w14:textId="77777777" w:rsidR="00E41A00" w:rsidRPr="00FC728F" w:rsidRDefault="00E41A00" w:rsidP="003677B2">
            <w:pPr>
              <w:spacing w:after="0" w:line="280" w:lineRule="atLeast"/>
              <w:jc w:val="right"/>
              <w:rPr>
                <w:rFonts w:cs="Arial"/>
                <w:b/>
                <w:bCs/>
                <w:color w:val="FF0000"/>
                <w:szCs w:val="20"/>
              </w:rPr>
            </w:pPr>
            <w:r w:rsidRPr="00FC728F">
              <w:rPr>
                <w:rFonts w:cs="Arial"/>
                <w:b/>
                <w:bCs/>
                <w:color w:val="FF0000"/>
                <w:szCs w:val="20"/>
              </w:rPr>
              <w:t xml:space="preserve"> (1.939)</w:t>
            </w:r>
          </w:p>
        </w:tc>
        <w:tc>
          <w:tcPr>
            <w:tcW w:w="546" w:type="pct"/>
            <w:shd w:val="clear" w:color="auto" w:fill="D9D9D9" w:themeFill="background1" w:themeFillShade="D9"/>
          </w:tcPr>
          <w:p w14:paraId="63B77A67" w14:textId="77777777" w:rsidR="00E41A00" w:rsidRPr="00FC728F" w:rsidRDefault="00E41A00" w:rsidP="003677B2">
            <w:pPr>
              <w:spacing w:after="0" w:line="280" w:lineRule="atLeast"/>
              <w:jc w:val="right"/>
              <w:rPr>
                <w:rFonts w:cs="Arial"/>
                <w:b/>
                <w:bCs/>
                <w:color w:val="FF0000"/>
                <w:szCs w:val="20"/>
              </w:rPr>
            </w:pPr>
            <w:r w:rsidRPr="00FC728F">
              <w:rPr>
                <w:rFonts w:cs="Arial"/>
                <w:b/>
                <w:bCs/>
                <w:color w:val="FF0000"/>
                <w:szCs w:val="20"/>
              </w:rPr>
              <w:t xml:space="preserve"> (1.939)</w:t>
            </w:r>
          </w:p>
        </w:tc>
        <w:tc>
          <w:tcPr>
            <w:tcW w:w="546" w:type="pct"/>
            <w:shd w:val="clear" w:color="auto" w:fill="D9D9D9" w:themeFill="background1" w:themeFillShade="D9"/>
          </w:tcPr>
          <w:p w14:paraId="10DFA560" w14:textId="77777777" w:rsidR="00E41A00" w:rsidRPr="00FC728F" w:rsidRDefault="00E41A00" w:rsidP="003677B2">
            <w:pPr>
              <w:spacing w:after="0" w:line="280" w:lineRule="atLeast"/>
              <w:jc w:val="right"/>
              <w:rPr>
                <w:rFonts w:cs="Arial"/>
                <w:b/>
                <w:bCs/>
                <w:color w:val="FF0000"/>
                <w:szCs w:val="20"/>
              </w:rPr>
            </w:pPr>
            <w:r w:rsidRPr="00FC728F">
              <w:rPr>
                <w:rFonts w:cs="Arial"/>
                <w:b/>
                <w:bCs/>
                <w:szCs w:val="20"/>
              </w:rPr>
              <w:t>0.000</w:t>
            </w:r>
          </w:p>
        </w:tc>
      </w:tr>
    </w:tbl>
    <w:bookmarkEnd w:id="435"/>
    <w:p w14:paraId="726504EE" w14:textId="77777777" w:rsidR="00E41A00" w:rsidRPr="00AE6A60" w:rsidRDefault="00E41A00" w:rsidP="00FC728F">
      <w:pPr>
        <w:pStyle w:val="Paragraph"/>
        <w:spacing w:before="240"/>
      </w:pPr>
      <w:r w:rsidRPr="00AE6A60">
        <w:t xml:space="preserve">These costs will be recouped through the ACLC, </w:t>
      </w:r>
      <w:r>
        <w:t>which is</w:t>
      </w:r>
      <w:r w:rsidRPr="00AE6A60">
        <w:t xml:space="preserve"> determined by </w:t>
      </w:r>
      <w:r w:rsidRPr="00AE6A60">
        <w:rPr>
          <w:iCs/>
        </w:rPr>
        <w:t xml:space="preserve">the </w:t>
      </w:r>
      <w:r w:rsidRPr="00AE6A60">
        <w:t xml:space="preserve">ACMA under </w:t>
      </w:r>
      <w:r>
        <w:t xml:space="preserve">section 14 of </w:t>
      </w:r>
      <w:r w:rsidRPr="00AE6A60">
        <w:t xml:space="preserve">the Act. These charges are levied in the </w:t>
      </w:r>
      <w:r w:rsidRPr="00AE6A60">
        <w:rPr>
          <w:lang w:eastAsia="en-US"/>
        </w:rPr>
        <w:t>financial</w:t>
      </w:r>
      <w:r w:rsidRPr="00AE6A60">
        <w:t xml:space="preserve"> year after the financial year in which the costs are incurred, resulting in a deficit equal to the previous financial year’s expenses being carried forward.</w:t>
      </w:r>
    </w:p>
    <w:p w14:paraId="287B1F44" w14:textId="77777777" w:rsidR="00E41A00" w:rsidRDefault="00E41A00" w:rsidP="003677B2">
      <w:pPr>
        <w:pStyle w:val="Paragraph"/>
      </w:pPr>
      <w:r w:rsidRPr="00AE6A60">
        <w:t>Overall, the MBA program is expected to finish budget neutral. The administrative costs associated with implementing the MBA program will not be co</w:t>
      </w:r>
      <w:r w:rsidRPr="00644DB3">
        <w:t>st recover</w:t>
      </w:r>
      <w:r w:rsidRPr="00AE6A60">
        <w:t>ed using the formula set out at sectio</w:t>
      </w:r>
      <w:r w:rsidRPr="00644DB3">
        <w:t>n 3.2</w:t>
      </w:r>
      <w:r>
        <w:t xml:space="preserve"> of this Attachment B</w:t>
      </w:r>
      <w:r w:rsidRPr="00AE6A60">
        <w:t xml:space="preserve">, but instead </w:t>
      </w:r>
      <w:r>
        <w:t>is</w:t>
      </w:r>
      <w:r w:rsidRPr="00AE6A60">
        <w:t xml:space="preserve"> captured in the component of the ACLC determined under paragraph 15(1)(b) of the Act, using the formula based on the eligible revenue set out at sec</w:t>
      </w:r>
      <w:r w:rsidRPr="00644DB3">
        <w:t>tion 3.6</w:t>
      </w:r>
      <w:r w:rsidRPr="00AE6A60">
        <w:t xml:space="preserve"> of the CRIS.</w:t>
      </w:r>
    </w:p>
    <w:p w14:paraId="166B3079" w14:textId="77777777" w:rsidR="00E41A00" w:rsidRPr="00AE6A60" w:rsidRDefault="00E41A00" w:rsidP="00E41A00">
      <w:pPr>
        <w:pStyle w:val="Heading2"/>
      </w:pPr>
      <w:bookmarkStart w:id="436" w:name="_Toc511294497"/>
      <w:bookmarkStart w:id="437" w:name="_Toc511634432"/>
      <w:bookmarkStart w:id="438" w:name="_Toc26786372"/>
      <w:bookmarkStart w:id="439" w:name="_Toc67042621"/>
      <w:bookmarkStart w:id="440" w:name="_Toc108599250"/>
      <w:bookmarkStart w:id="441" w:name="_Toc121920524"/>
      <w:bookmarkStart w:id="442" w:name="_Toc149735480"/>
      <w:bookmarkStart w:id="443" w:name="_Toc175123962"/>
      <w:r w:rsidRPr="00AE6A60">
        <w:t>7A.</w:t>
      </w:r>
      <w:r w:rsidRPr="00AE6A60">
        <w:tab/>
        <w:t>Financial performance</w:t>
      </w:r>
      <w:bookmarkEnd w:id="436"/>
      <w:bookmarkEnd w:id="437"/>
      <w:bookmarkEnd w:id="438"/>
      <w:bookmarkEnd w:id="439"/>
      <w:bookmarkEnd w:id="440"/>
      <w:bookmarkEnd w:id="441"/>
      <w:bookmarkEnd w:id="442"/>
      <w:bookmarkEnd w:id="443"/>
    </w:p>
    <w:p w14:paraId="292F5159" w14:textId="77777777" w:rsidR="00E41A00" w:rsidRPr="00AE6A60" w:rsidRDefault="00E41A00" w:rsidP="003677B2">
      <w:pPr>
        <w:pStyle w:val="Paragraph"/>
        <w:rPr>
          <w:iCs/>
        </w:rPr>
      </w:pPr>
      <w:r w:rsidRPr="00AE6A60">
        <w:rPr>
          <w:iCs/>
        </w:rPr>
        <w:t>The</w:t>
      </w:r>
      <w:r>
        <w:rPr>
          <w:iCs/>
        </w:rPr>
        <w:t xml:space="preserve"> MBA p</w:t>
      </w:r>
      <w:r w:rsidRPr="00D43A50">
        <w:rPr>
          <w:iCs/>
        </w:rPr>
        <w:t>rogram’</w:t>
      </w:r>
      <w:r>
        <w:rPr>
          <w:iCs/>
        </w:rPr>
        <w:t>s</w:t>
      </w:r>
      <w:r w:rsidRPr="00AE6A60">
        <w:rPr>
          <w:iCs/>
        </w:rPr>
        <w:t xml:space="preserve"> </w:t>
      </w:r>
      <w:r w:rsidRPr="00E10C47">
        <w:rPr>
          <w:iCs/>
        </w:rPr>
        <w:t>financial</w:t>
      </w:r>
      <w:r w:rsidRPr="00AE6A60">
        <w:rPr>
          <w:iCs/>
        </w:rPr>
        <w:t xml:space="preserve"> </w:t>
      </w:r>
      <w:r>
        <w:rPr>
          <w:iCs/>
        </w:rPr>
        <w:t xml:space="preserve">year </w:t>
      </w:r>
      <w:r w:rsidRPr="00AE6A60">
        <w:rPr>
          <w:iCs/>
        </w:rPr>
        <w:t xml:space="preserve">results </w:t>
      </w:r>
      <w:r>
        <w:rPr>
          <w:iCs/>
        </w:rPr>
        <w:t xml:space="preserve">for </w:t>
      </w:r>
      <w:r w:rsidRPr="00D43A50">
        <w:rPr>
          <w:iCs/>
        </w:rPr>
        <w:t>2018</w:t>
      </w:r>
      <w:r>
        <w:rPr>
          <w:iCs/>
        </w:rPr>
        <w:t>–</w:t>
      </w:r>
      <w:r w:rsidRPr="00D43A50">
        <w:rPr>
          <w:iCs/>
        </w:rPr>
        <w:t>19 to 202</w:t>
      </w:r>
      <w:r>
        <w:rPr>
          <w:iCs/>
        </w:rPr>
        <w:t>2–</w:t>
      </w:r>
      <w:r w:rsidRPr="00D43A50">
        <w:rPr>
          <w:iCs/>
        </w:rPr>
        <w:t>2</w:t>
      </w:r>
      <w:r>
        <w:rPr>
          <w:iCs/>
        </w:rPr>
        <w:t xml:space="preserve">3 </w:t>
      </w:r>
      <w:proofErr w:type="gramStart"/>
      <w:r w:rsidRPr="00AE6A60">
        <w:rPr>
          <w:iCs/>
        </w:rPr>
        <w:t>are</w:t>
      </w:r>
      <w:proofErr w:type="gramEnd"/>
      <w:r w:rsidRPr="00AE6A60">
        <w:rPr>
          <w:iCs/>
        </w:rPr>
        <w:t xml:space="preserve"> </w:t>
      </w:r>
      <w:r w:rsidRPr="003677B2">
        <w:rPr>
          <w:lang w:eastAsia="en-US"/>
        </w:rPr>
        <w:t>reported</w:t>
      </w:r>
      <w:r w:rsidRPr="00AE6A60">
        <w:rPr>
          <w:iCs/>
        </w:rPr>
        <w:t xml:space="preserve"> in T</w:t>
      </w:r>
      <w:r w:rsidRPr="00F95878">
        <w:rPr>
          <w:iCs/>
        </w:rPr>
        <w:t>able B5.</w:t>
      </w:r>
    </w:p>
    <w:p w14:paraId="17509070" w14:textId="77777777" w:rsidR="00E41A00" w:rsidRPr="00AE6A60" w:rsidRDefault="00E41A00" w:rsidP="003677B2">
      <w:pPr>
        <w:pStyle w:val="Paragraph"/>
        <w:rPr>
          <w:iCs/>
        </w:rPr>
      </w:pPr>
      <w:r w:rsidRPr="00AE6A60">
        <w:rPr>
          <w:iCs/>
        </w:rPr>
        <w:t xml:space="preserve">Following the approach for all the cost components recovered through the ACLC, the MBA program expenses are also set on an annual basis. This means the actual </w:t>
      </w:r>
      <w:r w:rsidRPr="003677B2">
        <w:rPr>
          <w:lang w:eastAsia="en-US"/>
        </w:rPr>
        <w:t>costs</w:t>
      </w:r>
      <w:r w:rsidRPr="00AE6A60">
        <w:rPr>
          <w:iCs/>
        </w:rPr>
        <w:t xml:space="preserve"> of activities are ascertained before they translate into the charges for the applicable period. This reduces the risk of over or under</w:t>
      </w:r>
      <w:r>
        <w:rPr>
          <w:iCs/>
        </w:rPr>
        <w:t>-</w:t>
      </w:r>
      <w:r w:rsidRPr="00AE6A60">
        <w:rPr>
          <w:iCs/>
        </w:rPr>
        <w:t>recovery from the telecommunications industry.</w:t>
      </w:r>
    </w:p>
    <w:p w14:paraId="08C1C8A5" w14:textId="77777777" w:rsidR="00E41A00" w:rsidRPr="00AE6A60" w:rsidRDefault="00E41A00" w:rsidP="00E41A00">
      <w:pPr>
        <w:pStyle w:val="Heading2"/>
        <w:keepLines/>
      </w:pPr>
      <w:bookmarkStart w:id="444" w:name="_Toc511294498"/>
      <w:bookmarkStart w:id="445" w:name="_Toc511634433"/>
      <w:bookmarkStart w:id="446" w:name="_Toc26786373"/>
      <w:bookmarkStart w:id="447" w:name="_Toc67042622"/>
      <w:bookmarkStart w:id="448" w:name="_Toc108599251"/>
      <w:bookmarkStart w:id="449" w:name="_Toc121920525"/>
      <w:bookmarkStart w:id="450" w:name="_Toc149735481"/>
      <w:bookmarkStart w:id="451" w:name="_Toc175123963"/>
      <w:r w:rsidRPr="00AE6A60">
        <w:t>7B.</w:t>
      </w:r>
      <w:r w:rsidRPr="00AE6A60">
        <w:tab/>
        <w:t>Non-financial performance</w:t>
      </w:r>
      <w:bookmarkEnd w:id="444"/>
      <w:bookmarkEnd w:id="445"/>
      <w:bookmarkEnd w:id="446"/>
      <w:bookmarkEnd w:id="447"/>
      <w:bookmarkEnd w:id="448"/>
      <w:bookmarkEnd w:id="449"/>
      <w:bookmarkEnd w:id="450"/>
      <w:bookmarkEnd w:id="451"/>
    </w:p>
    <w:p w14:paraId="0D3B1F03" w14:textId="77777777" w:rsidR="00E41A00" w:rsidRPr="003739D5" w:rsidRDefault="00E41A00" w:rsidP="00E41A00">
      <w:pPr>
        <w:pStyle w:val="Paragraphbeforelist"/>
      </w:pPr>
      <w:r w:rsidRPr="003739D5">
        <w:t xml:space="preserve">The MBA program’s activities and outputs for </w:t>
      </w:r>
      <w:r w:rsidRPr="00D43A50">
        <w:t>202</w:t>
      </w:r>
      <w:r>
        <w:t>2–</w:t>
      </w:r>
      <w:r w:rsidRPr="00D43A50">
        <w:t>2</w:t>
      </w:r>
      <w:r>
        <w:t>3</w:t>
      </w:r>
      <w:r w:rsidRPr="003739D5">
        <w:t xml:space="preserve"> included</w:t>
      </w:r>
      <w:r>
        <w:t>:</w:t>
      </w:r>
    </w:p>
    <w:p w14:paraId="30216AFE" w14:textId="7A6A5B43" w:rsidR="00E41A00" w:rsidRPr="004A173D" w:rsidRDefault="00E63B22" w:rsidP="00FC728F">
      <w:pPr>
        <w:pStyle w:val="Bulletlevel1"/>
      </w:pPr>
      <w:r w:rsidRPr="004A173D">
        <w:t xml:space="preserve">4 </w:t>
      </w:r>
      <w:r w:rsidR="00E41A00" w:rsidRPr="004A173D">
        <w:t>quarterly monitoring reports, including longitudinal and time series data</w:t>
      </w:r>
    </w:p>
    <w:p w14:paraId="0D124EE5" w14:textId="5E584678" w:rsidR="00E41A00" w:rsidRPr="004A173D" w:rsidRDefault="00E41A00" w:rsidP="00FC728F">
      <w:pPr>
        <w:pStyle w:val="Bulletlevel1"/>
      </w:pPr>
      <w:r w:rsidRPr="004A173D">
        <w:t>examin</w:t>
      </w:r>
      <w:r w:rsidR="004A173D" w:rsidRPr="004A173D">
        <w:t>ing</w:t>
      </w:r>
      <w:r w:rsidRPr="004A173D">
        <w:t xml:space="preserve"> how latency is impacted by heavy, concurrent broadband use</w:t>
      </w:r>
    </w:p>
    <w:p w14:paraId="126958A6" w14:textId="20A3976D" w:rsidR="00E41A00" w:rsidRDefault="00E01726" w:rsidP="00FC728F">
      <w:pPr>
        <w:pStyle w:val="Bulletlevel1"/>
      </w:pPr>
      <w:r w:rsidRPr="004A173D">
        <w:t>examining</w:t>
      </w:r>
      <w:r w:rsidR="00E41A00" w:rsidRPr="004A173D">
        <w:t xml:space="preserve"> how broadband services support the needs of gamers in terms of latency to key</w:t>
      </w:r>
      <w:r w:rsidR="00E41A00">
        <w:t xml:space="preserve"> games’ servers</w:t>
      </w:r>
    </w:p>
    <w:p w14:paraId="6E7A8748" w14:textId="3EF4FAC7" w:rsidR="00E41A00" w:rsidRPr="00AE6A60" w:rsidRDefault="00E63B22" w:rsidP="00FC728F">
      <w:pPr>
        <w:pStyle w:val="Bulletlevel1last"/>
        <w:rPr>
          <w:u w:val="single"/>
        </w:rPr>
      </w:pPr>
      <w:r>
        <w:t>g</w:t>
      </w:r>
      <w:r w:rsidR="00E41A00" w:rsidRPr="003739D5">
        <w:t xml:space="preserve">rowth in panel sizes </w:t>
      </w:r>
      <w:r w:rsidR="00E41A00" w:rsidRPr="004A173D">
        <w:t>particularly</w:t>
      </w:r>
      <w:r w:rsidR="00E41A00">
        <w:t xml:space="preserve"> targeting </w:t>
      </w:r>
      <w:r w:rsidR="00E41A00" w:rsidRPr="003739D5">
        <w:t>new reporting segments including other superfast networks</w:t>
      </w:r>
      <w:r w:rsidR="00E41A00">
        <w:t>, NBN fixed wireless</w:t>
      </w:r>
      <w:r w:rsidR="00E41A00" w:rsidRPr="003739D5">
        <w:t xml:space="preserve"> and additional retailers</w:t>
      </w:r>
      <w:r w:rsidR="00E41A00">
        <w:t>.</w:t>
      </w:r>
    </w:p>
    <w:p w14:paraId="6DA4D116" w14:textId="77777777" w:rsidR="00E41A00" w:rsidRDefault="00E41A00" w:rsidP="00E41A00">
      <w:pPr>
        <w:pStyle w:val="Paragraph"/>
      </w:pPr>
      <w:r w:rsidRPr="00AE6A60">
        <w:t>Table</w:t>
      </w:r>
      <w:r>
        <w:t>s</w:t>
      </w:r>
      <w:r w:rsidRPr="00AE6A60">
        <w:t xml:space="preserve"> </w:t>
      </w:r>
      <w:r>
        <w:t>B</w:t>
      </w:r>
      <w:r w:rsidRPr="00AE6A60">
        <w:t xml:space="preserve">6 </w:t>
      </w:r>
      <w:r>
        <w:t xml:space="preserve">and B6A </w:t>
      </w:r>
      <w:r w:rsidRPr="00AE6A60">
        <w:t xml:space="preserve">provide comparisons between forecast and actual monitoring device deployment. The device deployments lagged in 2017–18 because of the longer than expected start-up phase of the MBA program and delays in the NBN rollout. </w:t>
      </w:r>
      <w:r w:rsidRPr="001B6CB3">
        <w:t xml:space="preserve">The latter </w:t>
      </w:r>
      <w:r w:rsidRPr="001B6CB3">
        <w:lastRenderedPageBreak/>
        <w:t>required the program to delay device deployments to achieve a representative sample on the newer access technologies and later release sites.</w:t>
      </w:r>
      <w:bookmarkStart w:id="452" w:name="_Hlk83116103"/>
    </w:p>
    <w:p w14:paraId="66F6239D" w14:textId="77777777" w:rsidR="00E41A00" w:rsidRPr="003677B2" w:rsidRDefault="00E41A00" w:rsidP="00E41A00">
      <w:pPr>
        <w:pStyle w:val="ACMATableHeader"/>
        <w:keepNext/>
        <w:keepLines/>
        <w:numPr>
          <w:ilvl w:val="0"/>
          <w:numId w:val="0"/>
        </w:numPr>
        <w:rPr>
          <w:sz w:val="22"/>
          <w:szCs w:val="22"/>
        </w:rPr>
      </w:pPr>
      <w:r w:rsidRPr="003677B2">
        <w:rPr>
          <w:sz w:val="22"/>
          <w:szCs w:val="22"/>
        </w:rPr>
        <w:t>Table B6: The ACCC’s device deployment profile</w:t>
      </w:r>
      <w:bookmarkStart w:id="453" w:name="_Hlk57986436"/>
      <w:r w:rsidRPr="003677B2">
        <w:rPr>
          <w:sz w:val="22"/>
          <w:szCs w:val="22"/>
        </w:rPr>
        <w:t xml:space="preserve"> (actual)</w:t>
      </w:r>
    </w:p>
    <w:tbl>
      <w:tblPr>
        <w:tblW w:w="55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57" w:type="dxa"/>
        </w:tblCellMar>
        <w:tblLook w:val="04A0" w:firstRow="1" w:lastRow="0" w:firstColumn="1" w:lastColumn="0" w:noHBand="0" w:noVBand="1"/>
        <w:tblCaption w:val="The ACCC’s anticipated device deployment profile"/>
      </w:tblPr>
      <w:tblGrid>
        <w:gridCol w:w="3821"/>
        <w:gridCol w:w="1248"/>
        <w:gridCol w:w="1247"/>
        <w:gridCol w:w="1247"/>
        <w:gridCol w:w="1247"/>
        <w:gridCol w:w="1247"/>
      </w:tblGrid>
      <w:tr w:rsidR="00E41A00" w:rsidRPr="003677B2" w14:paraId="6C3B82CE" w14:textId="77777777" w:rsidTr="00FC728F">
        <w:trPr>
          <w:trHeight w:val="244"/>
          <w:tblHeader/>
        </w:trPr>
        <w:tc>
          <w:tcPr>
            <w:tcW w:w="1899" w:type="pct"/>
            <w:shd w:val="clear" w:color="auto" w:fill="404040" w:themeFill="text1" w:themeFillTint="BF"/>
          </w:tcPr>
          <w:bookmarkEnd w:id="452"/>
          <w:bookmarkEnd w:id="453"/>
          <w:p w14:paraId="0BC12A29" w14:textId="77777777" w:rsidR="00E41A00" w:rsidRPr="003677B2" w:rsidRDefault="00E41A00" w:rsidP="003677B2">
            <w:pPr>
              <w:pStyle w:val="TableHeading0"/>
              <w:keepNext/>
              <w:keepLines/>
              <w:spacing w:line="280" w:lineRule="atLeast"/>
              <w:rPr>
                <w:bCs/>
                <w:color w:val="FFFFFF" w:themeColor="background1"/>
                <w:sz w:val="22"/>
                <w:szCs w:val="22"/>
              </w:rPr>
            </w:pPr>
            <w:r w:rsidRPr="003677B2">
              <w:rPr>
                <w:bCs/>
                <w:color w:val="FFFFFF" w:themeColor="background1"/>
                <w:sz w:val="22"/>
                <w:szCs w:val="22"/>
              </w:rPr>
              <w:t>Details</w:t>
            </w:r>
          </w:p>
        </w:tc>
        <w:tc>
          <w:tcPr>
            <w:tcW w:w="620" w:type="pct"/>
            <w:shd w:val="clear" w:color="auto" w:fill="404040" w:themeFill="text1" w:themeFillTint="BF"/>
          </w:tcPr>
          <w:p w14:paraId="0C7B1E7F" w14:textId="77777777" w:rsidR="00E41A00" w:rsidRPr="003677B2" w:rsidRDefault="00E41A00" w:rsidP="003677B2">
            <w:pPr>
              <w:pStyle w:val="TableHeading0"/>
              <w:keepNext/>
              <w:keepLines/>
              <w:spacing w:line="280" w:lineRule="atLeast"/>
              <w:jc w:val="right"/>
              <w:rPr>
                <w:color w:val="FFFFFF" w:themeColor="background1"/>
                <w:sz w:val="22"/>
                <w:szCs w:val="22"/>
              </w:rPr>
            </w:pPr>
            <w:r w:rsidRPr="003677B2" w:rsidDel="003D47CC">
              <w:rPr>
                <w:color w:val="FFFFFF"/>
                <w:sz w:val="22"/>
                <w:szCs w:val="22"/>
              </w:rPr>
              <w:t>2017–18</w:t>
            </w:r>
          </w:p>
        </w:tc>
        <w:tc>
          <w:tcPr>
            <w:tcW w:w="620" w:type="pct"/>
            <w:shd w:val="clear" w:color="auto" w:fill="404040" w:themeFill="text1" w:themeFillTint="BF"/>
          </w:tcPr>
          <w:p w14:paraId="6A4D9912" w14:textId="77777777" w:rsidR="00E41A00" w:rsidRPr="003677B2" w:rsidRDefault="00E41A00" w:rsidP="003677B2">
            <w:pPr>
              <w:pStyle w:val="TableHeading0"/>
              <w:keepNext/>
              <w:keepLines/>
              <w:spacing w:line="280" w:lineRule="atLeast"/>
              <w:jc w:val="right"/>
              <w:rPr>
                <w:bCs/>
                <w:color w:val="FFFFFF" w:themeColor="background1"/>
                <w:sz w:val="22"/>
                <w:szCs w:val="22"/>
              </w:rPr>
            </w:pPr>
            <w:r w:rsidRPr="003677B2" w:rsidDel="003D47CC">
              <w:rPr>
                <w:color w:val="FFFFFF"/>
                <w:sz w:val="22"/>
                <w:szCs w:val="22"/>
              </w:rPr>
              <w:t>2018–19</w:t>
            </w:r>
          </w:p>
        </w:tc>
        <w:tc>
          <w:tcPr>
            <w:tcW w:w="620" w:type="pct"/>
            <w:shd w:val="clear" w:color="auto" w:fill="404040" w:themeFill="text1" w:themeFillTint="BF"/>
          </w:tcPr>
          <w:p w14:paraId="3DF62473" w14:textId="77777777" w:rsidR="00E41A00" w:rsidRPr="003677B2" w:rsidRDefault="00E41A00" w:rsidP="003677B2">
            <w:pPr>
              <w:pStyle w:val="TableHeading0"/>
              <w:keepNext/>
              <w:keepLines/>
              <w:spacing w:line="280" w:lineRule="atLeast"/>
              <w:jc w:val="right"/>
              <w:rPr>
                <w:color w:val="FFFFFF" w:themeColor="background1"/>
                <w:sz w:val="22"/>
                <w:szCs w:val="22"/>
              </w:rPr>
            </w:pPr>
            <w:r w:rsidRPr="003677B2" w:rsidDel="003D47CC">
              <w:rPr>
                <w:color w:val="FFFFFF"/>
                <w:sz w:val="22"/>
                <w:szCs w:val="22"/>
              </w:rPr>
              <w:t>2019–20</w:t>
            </w:r>
          </w:p>
        </w:tc>
        <w:tc>
          <w:tcPr>
            <w:tcW w:w="620" w:type="pct"/>
            <w:tcBorders>
              <w:top w:val="single" w:sz="6" w:space="0" w:color="auto"/>
            </w:tcBorders>
            <w:shd w:val="clear" w:color="auto" w:fill="404040" w:themeFill="text1" w:themeFillTint="BF"/>
          </w:tcPr>
          <w:p w14:paraId="26E1329C" w14:textId="77777777" w:rsidR="00E41A00" w:rsidRPr="003677B2" w:rsidRDefault="00E41A00" w:rsidP="003677B2">
            <w:pPr>
              <w:pStyle w:val="TableHeading0"/>
              <w:keepNext/>
              <w:keepLines/>
              <w:spacing w:line="280" w:lineRule="atLeast"/>
              <w:jc w:val="right"/>
              <w:rPr>
                <w:bCs/>
                <w:color w:val="FFFFFF" w:themeColor="background1"/>
                <w:sz w:val="22"/>
                <w:szCs w:val="22"/>
              </w:rPr>
            </w:pPr>
            <w:r w:rsidRPr="003677B2" w:rsidDel="003D47CC">
              <w:rPr>
                <w:color w:val="FFFFFF"/>
                <w:sz w:val="22"/>
                <w:szCs w:val="22"/>
              </w:rPr>
              <w:t>2020–21</w:t>
            </w:r>
          </w:p>
        </w:tc>
        <w:tc>
          <w:tcPr>
            <w:tcW w:w="620" w:type="pct"/>
            <w:tcBorders>
              <w:top w:val="single" w:sz="6" w:space="0" w:color="auto"/>
            </w:tcBorders>
            <w:shd w:val="clear" w:color="auto" w:fill="404040" w:themeFill="text1" w:themeFillTint="BF"/>
          </w:tcPr>
          <w:p w14:paraId="285F548E" w14:textId="77777777" w:rsidR="00E41A00" w:rsidRPr="003677B2" w:rsidRDefault="00E41A00" w:rsidP="003677B2">
            <w:pPr>
              <w:pStyle w:val="TableHeading0"/>
              <w:keepNext/>
              <w:keepLines/>
              <w:spacing w:line="280" w:lineRule="atLeast"/>
              <w:jc w:val="right"/>
              <w:rPr>
                <w:color w:val="FFFFFF" w:themeColor="background1"/>
                <w:sz w:val="22"/>
                <w:szCs w:val="22"/>
              </w:rPr>
            </w:pPr>
            <w:r w:rsidRPr="003677B2">
              <w:rPr>
                <w:rFonts w:cs="Arial"/>
                <w:color w:val="FFFFFF"/>
                <w:sz w:val="22"/>
                <w:szCs w:val="22"/>
              </w:rPr>
              <w:t>2021–22</w:t>
            </w:r>
          </w:p>
        </w:tc>
      </w:tr>
      <w:tr w:rsidR="00E41A00" w:rsidRPr="003677B2" w14:paraId="58174FDF" w14:textId="77777777" w:rsidTr="00FC728F">
        <w:trPr>
          <w:trHeight w:val="432"/>
        </w:trPr>
        <w:tc>
          <w:tcPr>
            <w:tcW w:w="1899" w:type="pct"/>
          </w:tcPr>
          <w:p w14:paraId="42161405" w14:textId="77777777" w:rsidR="00E41A00" w:rsidRPr="003677B2" w:rsidRDefault="00E41A00" w:rsidP="003677B2">
            <w:pPr>
              <w:keepNext/>
              <w:keepLines/>
              <w:spacing w:after="0" w:line="280" w:lineRule="atLeast"/>
              <w:rPr>
                <w:rFonts w:cs="Arial"/>
                <w:sz w:val="22"/>
                <w:szCs w:val="22"/>
              </w:rPr>
            </w:pPr>
            <w:r w:rsidRPr="003677B2">
              <w:rPr>
                <w:rFonts w:cs="Arial"/>
                <w:sz w:val="22"/>
                <w:szCs w:val="22"/>
              </w:rPr>
              <w:t>Original forecast of total number of measurement devices deployed</w:t>
            </w:r>
          </w:p>
        </w:tc>
        <w:tc>
          <w:tcPr>
            <w:tcW w:w="620" w:type="pct"/>
          </w:tcPr>
          <w:p w14:paraId="640ACEF8" w14:textId="77777777" w:rsidR="00E41A00" w:rsidRPr="003677B2" w:rsidRDefault="00E41A00" w:rsidP="003677B2">
            <w:pPr>
              <w:keepNext/>
              <w:keepLines/>
              <w:spacing w:after="0" w:line="280" w:lineRule="atLeast"/>
              <w:jc w:val="right"/>
              <w:rPr>
                <w:rFonts w:cs="Arial"/>
                <w:color w:val="000000"/>
                <w:sz w:val="22"/>
                <w:szCs w:val="22"/>
              </w:rPr>
            </w:pPr>
            <w:r w:rsidRPr="003677B2" w:rsidDel="00C813E7">
              <w:rPr>
                <w:rFonts w:cs="Arial"/>
                <w:color w:val="000000"/>
                <w:sz w:val="22"/>
                <w:szCs w:val="22"/>
              </w:rPr>
              <w:t>2,500</w:t>
            </w:r>
          </w:p>
        </w:tc>
        <w:tc>
          <w:tcPr>
            <w:tcW w:w="620" w:type="pct"/>
          </w:tcPr>
          <w:p w14:paraId="0DB2E10E" w14:textId="77777777" w:rsidR="00E41A00" w:rsidRPr="003677B2" w:rsidRDefault="00E41A00" w:rsidP="003677B2">
            <w:pPr>
              <w:keepNext/>
              <w:keepLines/>
              <w:spacing w:after="0" w:line="280" w:lineRule="atLeast"/>
              <w:jc w:val="right"/>
              <w:rPr>
                <w:rFonts w:cs="Arial"/>
                <w:color w:val="000000"/>
                <w:sz w:val="22"/>
                <w:szCs w:val="22"/>
              </w:rPr>
            </w:pPr>
            <w:r w:rsidRPr="003677B2" w:rsidDel="00C813E7">
              <w:rPr>
                <w:rFonts w:cs="Arial"/>
                <w:color w:val="000000"/>
                <w:sz w:val="22"/>
                <w:szCs w:val="22"/>
              </w:rPr>
              <w:t>3,300</w:t>
            </w:r>
          </w:p>
        </w:tc>
        <w:tc>
          <w:tcPr>
            <w:tcW w:w="620" w:type="pct"/>
          </w:tcPr>
          <w:p w14:paraId="22708B36" w14:textId="77777777" w:rsidR="00E41A00" w:rsidRPr="003677B2" w:rsidRDefault="00E41A00" w:rsidP="003677B2">
            <w:pPr>
              <w:keepNext/>
              <w:keepLines/>
              <w:spacing w:after="0" w:line="280" w:lineRule="atLeast"/>
              <w:jc w:val="right"/>
              <w:rPr>
                <w:rFonts w:cs="Arial"/>
                <w:color w:val="000000"/>
                <w:sz w:val="22"/>
                <w:szCs w:val="22"/>
              </w:rPr>
            </w:pPr>
            <w:r w:rsidRPr="003677B2" w:rsidDel="00C813E7">
              <w:rPr>
                <w:rFonts w:cs="Arial"/>
                <w:color w:val="000000"/>
                <w:sz w:val="22"/>
                <w:szCs w:val="22"/>
              </w:rPr>
              <w:t>3,800</w:t>
            </w:r>
          </w:p>
        </w:tc>
        <w:tc>
          <w:tcPr>
            <w:tcW w:w="620" w:type="pct"/>
          </w:tcPr>
          <w:p w14:paraId="52996823" w14:textId="77777777" w:rsidR="00E41A00" w:rsidRPr="003677B2" w:rsidRDefault="00E41A00" w:rsidP="003677B2">
            <w:pPr>
              <w:keepNext/>
              <w:keepLines/>
              <w:spacing w:after="0" w:line="280" w:lineRule="atLeast"/>
              <w:jc w:val="right"/>
              <w:rPr>
                <w:rFonts w:cs="Arial"/>
                <w:color w:val="000000"/>
                <w:sz w:val="22"/>
                <w:szCs w:val="22"/>
              </w:rPr>
            </w:pPr>
            <w:r w:rsidRPr="003677B2" w:rsidDel="00C813E7">
              <w:rPr>
                <w:rFonts w:cs="Arial"/>
                <w:color w:val="000000"/>
                <w:sz w:val="22"/>
                <w:szCs w:val="22"/>
              </w:rPr>
              <w:t>&gt;=4,000</w:t>
            </w:r>
          </w:p>
        </w:tc>
        <w:tc>
          <w:tcPr>
            <w:tcW w:w="620" w:type="pct"/>
          </w:tcPr>
          <w:p w14:paraId="623CF887" w14:textId="77777777" w:rsidR="00E41A00" w:rsidRPr="003677B2" w:rsidRDefault="00E41A00" w:rsidP="003677B2">
            <w:pPr>
              <w:keepNext/>
              <w:keepLines/>
              <w:spacing w:after="0" w:line="280" w:lineRule="atLeast"/>
              <w:jc w:val="right"/>
              <w:rPr>
                <w:rFonts w:cs="Arial"/>
                <w:sz w:val="22"/>
                <w:szCs w:val="22"/>
              </w:rPr>
            </w:pPr>
            <w:r w:rsidRPr="003677B2">
              <w:rPr>
                <w:rFonts w:cs="Arial"/>
                <w:color w:val="000000"/>
                <w:sz w:val="22"/>
                <w:szCs w:val="22"/>
              </w:rPr>
              <w:t>5,000</w:t>
            </w:r>
          </w:p>
        </w:tc>
      </w:tr>
      <w:tr w:rsidR="00E41A00" w:rsidRPr="003677B2" w14:paraId="4B490D09" w14:textId="77777777" w:rsidTr="00FC728F">
        <w:trPr>
          <w:trHeight w:val="598"/>
        </w:trPr>
        <w:tc>
          <w:tcPr>
            <w:tcW w:w="1899" w:type="pct"/>
          </w:tcPr>
          <w:p w14:paraId="11600F62" w14:textId="77777777" w:rsidR="00E41A00" w:rsidRPr="003677B2" w:rsidRDefault="00E41A00" w:rsidP="003677B2">
            <w:pPr>
              <w:keepNext/>
              <w:keepLines/>
              <w:spacing w:after="0" w:line="280" w:lineRule="atLeast"/>
              <w:rPr>
                <w:rFonts w:cs="Arial"/>
                <w:sz w:val="22"/>
                <w:szCs w:val="22"/>
              </w:rPr>
            </w:pPr>
            <w:r w:rsidRPr="003677B2">
              <w:rPr>
                <w:rFonts w:cs="Arial"/>
                <w:sz w:val="22"/>
                <w:szCs w:val="22"/>
              </w:rPr>
              <w:t>Actual total number of measurement devices deployed</w:t>
            </w:r>
          </w:p>
        </w:tc>
        <w:tc>
          <w:tcPr>
            <w:tcW w:w="620" w:type="pct"/>
          </w:tcPr>
          <w:p w14:paraId="2D3ACF43" w14:textId="77777777" w:rsidR="00E41A00" w:rsidRPr="003677B2" w:rsidRDefault="00E41A00" w:rsidP="003677B2">
            <w:pPr>
              <w:keepNext/>
              <w:keepLines/>
              <w:spacing w:after="0" w:line="280" w:lineRule="atLeast"/>
              <w:jc w:val="right"/>
              <w:rPr>
                <w:rFonts w:cs="Arial"/>
                <w:color w:val="000000"/>
                <w:sz w:val="22"/>
                <w:szCs w:val="22"/>
              </w:rPr>
            </w:pPr>
            <w:r w:rsidRPr="003677B2" w:rsidDel="00F65B32">
              <w:rPr>
                <w:rFonts w:cs="Arial"/>
                <w:color w:val="000000"/>
                <w:sz w:val="22"/>
                <w:szCs w:val="22"/>
              </w:rPr>
              <w:t>1,200</w:t>
            </w:r>
          </w:p>
        </w:tc>
        <w:tc>
          <w:tcPr>
            <w:tcW w:w="620" w:type="pct"/>
          </w:tcPr>
          <w:p w14:paraId="442DFAB5" w14:textId="77777777" w:rsidR="00E41A00" w:rsidRPr="003677B2" w:rsidRDefault="00E41A00" w:rsidP="003677B2">
            <w:pPr>
              <w:keepNext/>
              <w:keepLines/>
              <w:spacing w:after="0" w:line="280" w:lineRule="atLeast"/>
              <w:jc w:val="right"/>
              <w:rPr>
                <w:rFonts w:cs="Arial"/>
                <w:color w:val="000000"/>
                <w:sz w:val="22"/>
                <w:szCs w:val="22"/>
              </w:rPr>
            </w:pPr>
            <w:r w:rsidRPr="003677B2" w:rsidDel="00F65B32">
              <w:rPr>
                <w:rFonts w:cs="Arial"/>
                <w:color w:val="000000"/>
                <w:sz w:val="22"/>
                <w:szCs w:val="22"/>
              </w:rPr>
              <w:t>2,100</w:t>
            </w:r>
          </w:p>
        </w:tc>
        <w:tc>
          <w:tcPr>
            <w:tcW w:w="620" w:type="pct"/>
            <w:tcBorders>
              <w:top w:val="single" w:sz="6" w:space="0" w:color="auto"/>
              <w:left w:val="single" w:sz="6" w:space="0" w:color="auto"/>
              <w:bottom w:val="single" w:sz="6" w:space="0" w:color="auto"/>
              <w:right w:val="single" w:sz="6" w:space="0" w:color="auto"/>
            </w:tcBorders>
          </w:tcPr>
          <w:p w14:paraId="32F7C287" w14:textId="77777777" w:rsidR="00E41A00" w:rsidRPr="003677B2" w:rsidRDefault="00E41A00" w:rsidP="003677B2">
            <w:pPr>
              <w:keepNext/>
              <w:keepLines/>
              <w:spacing w:after="0" w:line="280" w:lineRule="atLeast"/>
              <w:jc w:val="right"/>
              <w:rPr>
                <w:rFonts w:cs="Arial"/>
                <w:color w:val="000000"/>
                <w:sz w:val="22"/>
                <w:szCs w:val="22"/>
              </w:rPr>
            </w:pPr>
            <w:r w:rsidRPr="003677B2" w:rsidDel="00F65B32">
              <w:rPr>
                <w:rFonts w:cs="Arial"/>
                <w:color w:val="000000"/>
                <w:sz w:val="22"/>
                <w:szCs w:val="22"/>
              </w:rPr>
              <w:t>2,483</w:t>
            </w:r>
          </w:p>
        </w:tc>
        <w:tc>
          <w:tcPr>
            <w:tcW w:w="620" w:type="pct"/>
            <w:tcBorders>
              <w:top w:val="single" w:sz="6" w:space="0" w:color="auto"/>
              <w:left w:val="single" w:sz="6" w:space="0" w:color="auto"/>
              <w:bottom w:val="single" w:sz="6" w:space="0" w:color="auto"/>
              <w:right w:val="single" w:sz="6" w:space="0" w:color="auto"/>
            </w:tcBorders>
          </w:tcPr>
          <w:p w14:paraId="65EE8789" w14:textId="77777777" w:rsidR="00E41A00" w:rsidRPr="003677B2" w:rsidRDefault="00E41A00" w:rsidP="003677B2">
            <w:pPr>
              <w:keepNext/>
              <w:keepLines/>
              <w:spacing w:after="0" w:line="280" w:lineRule="atLeast"/>
              <w:jc w:val="right"/>
              <w:rPr>
                <w:rFonts w:cs="Arial"/>
                <w:color w:val="000000"/>
                <w:sz w:val="22"/>
                <w:szCs w:val="22"/>
              </w:rPr>
            </w:pPr>
            <w:r w:rsidRPr="003677B2" w:rsidDel="00F65B32">
              <w:rPr>
                <w:rFonts w:cs="Arial"/>
                <w:color w:val="000000"/>
                <w:sz w:val="22"/>
                <w:szCs w:val="22"/>
              </w:rPr>
              <w:t>3,088</w:t>
            </w:r>
          </w:p>
        </w:tc>
        <w:tc>
          <w:tcPr>
            <w:tcW w:w="620" w:type="pct"/>
            <w:tcBorders>
              <w:top w:val="single" w:sz="6" w:space="0" w:color="auto"/>
              <w:left w:val="single" w:sz="6" w:space="0" w:color="auto"/>
              <w:bottom w:val="single" w:sz="6" w:space="0" w:color="auto"/>
              <w:right w:val="single" w:sz="6" w:space="0" w:color="auto"/>
            </w:tcBorders>
          </w:tcPr>
          <w:p w14:paraId="0AD29273" w14:textId="77777777" w:rsidR="00E41A00" w:rsidRPr="003677B2" w:rsidRDefault="00E41A00" w:rsidP="003677B2">
            <w:pPr>
              <w:keepNext/>
              <w:keepLines/>
              <w:spacing w:after="0" w:line="280" w:lineRule="atLeast"/>
              <w:jc w:val="right"/>
              <w:rPr>
                <w:rFonts w:cs="Arial"/>
                <w:spacing w:val="-4"/>
                <w:sz w:val="22"/>
                <w:szCs w:val="22"/>
              </w:rPr>
            </w:pPr>
            <w:r w:rsidRPr="003677B2">
              <w:rPr>
                <w:rFonts w:cs="Arial"/>
                <w:color w:val="000000"/>
                <w:sz w:val="22"/>
                <w:szCs w:val="22"/>
              </w:rPr>
              <w:t>3,591</w:t>
            </w:r>
          </w:p>
        </w:tc>
      </w:tr>
      <w:tr w:rsidR="00E41A00" w:rsidRPr="003677B2" w14:paraId="7D82026F" w14:textId="77777777" w:rsidTr="00FC728F">
        <w:trPr>
          <w:trHeight w:val="231"/>
        </w:trPr>
        <w:tc>
          <w:tcPr>
            <w:tcW w:w="1899" w:type="pct"/>
            <w:shd w:val="clear" w:color="auto" w:fill="D9D9D9" w:themeFill="background1" w:themeFillShade="D9"/>
          </w:tcPr>
          <w:p w14:paraId="4C85E225" w14:textId="77777777" w:rsidR="00E41A00" w:rsidRPr="003677B2" w:rsidRDefault="00E41A00" w:rsidP="003677B2">
            <w:pPr>
              <w:keepNext/>
              <w:keepLines/>
              <w:spacing w:after="0" w:line="280" w:lineRule="atLeast"/>
              <w:rPr>
                <w:rFonts w:cs="Arial"/>
                <w:b/>
                <w:sz w:val="22"/>
                <w:szCs w:val="22"/>
              </w:rPr>
            </w:pPr>
            <w:r w:rsidRPr="003677B2">
              <w:rPr>
                <w:rFonts w:cs="Arial"/>
                <w:b/>
                <w:sz w:val="22"/>
                <w:szCs w:val="22"/>
              </w:rPr>
              <w:t>Variation</w:t>
            </w:r>
          </w:p>
        </w:tc>
        <w:tc>
          <w:tcPr>
            <w:tcW w:w="620" w:type="pct"/>
            <w:shd w:val="clear" w:color="auto" w:fill="D9D9D9" w:themeFill="background1" w:themeFillShade="D9"/>
          </w:tcPr>
          <w:p w14:paraId="4741710B" w14:textId="77777777" w:rsidR="00E41A00" w:rsidRPr="003677B2" w:rsidRDefault="00E41A00" w:rsidP="003677B2">
            <w:pPr>
              <w:keepNext/>
              <w:keepLines/>
              <w:spacing w:after="0" w:line="280" w:lineRule="atLeast"/>
              <w:jc w:val="right"/>
              <w:rPr>
                <w:rFonts w:cs="Arial"/>
                <w:b/>
                <w:sz w:val="22"/>
                <w:szCs w:val="22"/>
              </w:rPr>
            </w:pPr>
            <w:r w:rsidRPr="003677B2" w:rsidDel="00DA2E94">
              <w:rPr>
                <w:rFonts w:cs="Arial"/>
                <w:b/>
                <w:color w:val="FF0000"/>
                <w:sz w:val="22"/>
                <w:szCs w:val="22"/>
              </w:rPr>
              <w:t>(1,300)</w:t>
            </w:r>
          </w:p>
        </w:tc>
        <w:tc>
          <w:tcPr>
            <w:tcW w:w="620" w:type="pct"/>
            <w:shd w:val="clear" w:color="auto" w:fill="D9D9D9" w:themeFill="background1" w:themeFillShade="D9"/>
          </w:tcPr>
          <w:p w14:paraId="349A9767" w14:textId="77777777" w:rsidR="00E41A00" w:rsidRPr="003677B2" w:rsidRDefault="00E41A00" w:rsidP="003677B2">
            <w:pPr>
              <w:keepNext/>
              <w:keepLines/>
              <w:spacing w:after="0" w:line="280" w:lineRule="atLeast"/>
              <w:jc w:val="right"/>
              <w:rPr>
                <w:rFonts w:cs="Arial"/>
                <w:b/>
                <w:sz w:val="22"/>
                <w:szCs w:val="22"/>
              </w:rPr>
            </w:pPr>
            <w:r w:rsidRPr="003677B2" w:rsidDel="00DA2E94">
              <w:rPr>
                <w:rFonts w:cs="Arial"/>
                <w:b/>
                <w:color w:val="FF0000"/>
                <w:sz w:val="22"/>
                <w:szCs w:val="22"/>
              </w:rPr>
              <w:t>(1,200)</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AF0D2E" w14:textId="77777777" w:rsidR="00E41A00" w:rsidRPr="003677B2" w:rsidRDefault="00E41A00" w:rsidP="003677B2">
            <w:pPr>
              <w:keepNext/>
              <w:keepLines/>
              <w:spacing w:after="0" w:line="280" w:lineRule="atLeast"/>
              <w:jc w:val="right"/>
              <w:rPr>
                <w:rFonts w:cs="Arial"/>
                <w:b/>
                <w:sz w:val="22"/>
                <w:szCs w:val="22"/>
              </w:rPr>
            </w:pPr>
            <w:r w:rsidRPr="003677B2" w:rsidDel="00DA2E94">
              <w:rPr>
                <w:rFonts w:cs="Arial"/>
                <w:b/>
                <w:color w:val="FF0000"/>
                <w:sz w:val="22"/>
                <w:szCs w:val="22"/>
              </w:rPr>
              <w:t>(1,317)</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99717B" w14:textId="77777777" w:rsidR="00E41A00" w:rsidRPr="003677B2" w:rsidRDefault="00E41A00" w:rsidP="003677B2">
            <w:pPr>
              <w:keepNext/>
              <w:keepLines/>
              <w:spacing w:after="0" w:line="280" w:lineRule="atLeast"/>
              <w:jc w:val="right"/>
              <w:rPr>
                <w:rFonts w:cs="Arial"/>
                <w:b/>
                <w:sz w:val="22"/>
                <w:szCs w:val="22"/>
              </w:rPr>
            </w:pPr>
            <w:r w:rsidRPr="003677B2" w:rsidDel="00DA2E94">
              <w:rPr>
                <w:rFonts w:cs="Arial"/>
                <w:b/>
                <w:color w:val="FF0000"/>
                <w:sz w:val="22"/>
                <w:szCs w:val="22"/>
              </w:rPr>
              <w:t>(912)</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A35860" w14:textId="77777777" w:rsidR="00E41A00" w:rsidRPr="003677B2" w:rsidRDefault="00E41A00" w:rsidP="003677B2">
            <w:pPr>
              <w:keepNext/>
              <w:keepLines/>
              <w:spacing w:after="0" w:line="280" w:lineRule="atLeast"/>
              <w:jc w:val="right"/>
              <w:rPr>
                <w:rFonts w:cs="Arial"/>
                <w:b/>
                <w:spacing w:val="-2"/>
                <w:sz w:val="22"/>
                <w:szCs w:val="22"/>
              </w:rPr>
            </w:pPr>
            <w:r w:rsidRPr="003677B2">
              <w:rPr>
                <w:rFonts w:cs="Arial"/>
                <w:b/>
                <w:color w:val="FF0000"/>
                <w:sz w:val="22"/>
                <w:szCs w:val="22"/>
              </w:rPr>
              <w:t>(1,409)</w:t>
            </w:r>
          </w:p>
        </w:tc>
      </w:tr>
    </w:tbl>
    <w:p w14:paraId="7FA458ED" w14:textId="77777777" w:rsidR="00E41A00" w:rsidRPr="00AE6A60" w:rsidRDefault="00E41A00" w:rsidP="00E41A00">
      <w:pPr>
        <w:spacing w:line="240" w:lineRule="auto"/>
      </w:pPr>
    </w:p>
    <w:p w14:paraId="5EF47EFF" w14:textId="77777777" w:rsidR="00E41A00" w:rsidRPr="003677B2" w:rsidRDefault="00E41A00" w:rsidP="00E41A00">
      <w:pPr>
        <w:pStyle w:val="ACMATableHeader"/>
        <w:keepNext/>
        <w:keepLines/>
        <w:numPr>
          <w:ilvl w:val="0"/>
          <w:numId w:val="0"/>
        </w:numPr>
        <w:ind w:left="964" w:hanging="964"/>
        <w:rPr>
          <w:sz w:val="22"/>
          <w:szCs w:val="22"/>
        </w:rPr>
      </w:pPr>
      <w:r w:rsidRPr="003677B2">
        <w:rPr>
          <w:sz w:val="22"/>
          <w:szCs w:val="22"/>
        </w:rPr>
        <w:t>Table B6A: The ACCC’s device deployment profile (forecast)</w:t>
      </w:r>
    </w:p>
    <w:tbl>
      <w:tblPr>
        <w:tblW w:w="55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Caption w:val="The ACCC’s anticipated device deployment profile"/>
      </w:tblPr>
      <w:tblGrid>
        <w:gridCol w:w="3850"/>
        <w:gridCol w:w="1550"/>
        <w:gridCol w:w="1550"/>
        <w:gridCol w:w="1550"/>
        <w:gridCol w:w="1550"/>
      </w:tblGrid>
      <w:tr w:rsidR="00E41A00" w:rsidRPr="003677B2" w14:paraId="1E04043C" w14:textId="77777777" w:rsidTr="00FC728F">
        <w:trPr>
          <w:trHeight w:val="361"/>
          <w:tblHeader/>
        </w:trPr>
        <w:tc>
          <w:tcPr>
            <w:tcW w:w="1915" w:type="pct"/>
            <w:tcBorders>
              <w:top w:val="single" w:sz="6" w:space="0" w:color="auto"/>
              <w:left w:val="single" w:sz="6" w:space="0" w:color="auto"/>
              <w:bottom w:val="single" w:sz="6" w:space="0" w:color="auto"/>
              <w:right w:val="single" w:sz="6" w:space="0" w:color="auto"/>
            </w:tcBorders>
            <w:shd w:val="clear" w:color="auto" w:fill="404040" w:themeFill="text1" w:themeFillTint="BF"/>
            <w:hideMark/>
          </w:tcPr>
          <w:p w14:paraId="64B8E310" w14:textId="77777777" w:rsidR="00E41A00" w:rsidRPr="003677B2" w:rsidRDefault="00E41A00" w:rsidP="003677B2">
            <w:pPr>
              <w:pStyle w:val="TableHeading0"/>
              <w:keepNext/>
              <w:keepLines/>
              <w:spacing w:line="280" w:lineRule="atLeast"/>
              <w:rPr>
                <w:bCs/>
                <w:color w:val="FFFFFF" w:themeColor="background1"/>
                <w:sz w:val="22"/>
                <w:szCs w:val="22"/>
              </w:rPr>
            </w:pPr>
            <w:r w:rsidRPr="003677B2">
              <w:rPr>
                <w:bCs/>
                <w:color w:val="FFFFFF" w:themeColor="background1"/>
                <w:sz w:val="22"/>
                <w:szCs w:val="22"/>
              </w:rPr>
              <w:t>Details</w:t>
            </w:r>
          </w:p>
        </w:tc>
        <w:tc>
          <w:tcPr>
            <w:tcW w:w="771" w:type="pct"/>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23EBC244" w14:textId="77777777" w:rsidR="00E41A00" w:rsidRPr="003677B2" w:rsidRDefault="00E41A00" w:rsidP="003677B2">
            <w:pPr>
              <w:pStyle w:val="TableHeading0"/>
              <w:keepNext/>
              <w:keepLines/>
              <w:spacing w:line="280" w:lineRule="atLeast"/>
              <w:jc w:val="right"/>
              <w:rPr>
                <w:color w:val="FFFFFF" w:themeColor="background1"/>
                <w:sz w:val="22"/>
                <w:szCs w:val="22"/>
              </w:rPr>
            </w:pPr>
            <w:r w:rsidRPr="003677B2">
              <w:rPr>
                <w:rFonts w:cs="Arial"/>
                <w:color w:val="FFFFFF"/>
                <w:sz w:val="22"/>
                <w:szCs w:val="22"/>
              </w:rPr>
              <w:t>2022–</w:t>
            </w:r>
            <w:r w:rsidRPr="003677B2">
              <w:rPr>
                <w:rFonts w:cs="Arial"/>
                <w:bCs/>
                <w:color w:val="FFFFFF"/>
                <w:sz w:val="22"/>
                <w:szCs w:val="22"/>
              </w:rPr>
              <w:t>23</w:t>
            </w:r>
          </w:p>
        </w:tc>
        <w:tc>
          <w:tcPr>
            <w:tcW w:w="771" w:type="pct"/>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2688824C" w14:textId="77777777" w:rsidR="00E41A00" w:rsidRPr="003677B2" w:rsidRDefault="00E41A00" w:rsidP="003677B2">
            <w:pPr>
              <w:pStyle w:val="TableHeading0"/>
              <w:keepNext/>
              <w:keepLines/>
              <w:spacing w:line="280" w:lineRule="atLeast"/>
              <w:jc w:val="right"/>
              <w:rPr>
                <w:bCs/>
                <w:color w:val="FFFFFF" w:themeColor="background1"/>
                <w:sz w:val="22"/>
                <w:szCs w:val="22"/>
              </w:rPr>
            </w:pPr>
            <w:r w:rsidRPr="003677B2">
              <w:rPr>
                <w:rFonts w:cs="Arial"/>
                <w:color w:val="FFFFFF"/>
                <w:sz w:val="22"/>
                <w:szCs w:val="22"/>
              </w:rPr>
              <w:t>2023–</w:t>
            </w:r>
            <w:r w:rsidRPr="003677B2">
              <w:rPr>
                <w:rFonts w:cs="Arial"/>
                <w:bCs/>
                <w:color w:val="FFFFFF"/>
                <w:sz w:val="22"/>
                <w:szCs w:val="22"/>
              </w:rPr>
              <w:t>24</w:t>
            </w:r>
          </w:p>
        </w:tc>
        <w:tc>
          <w:tcPr>
            <w:tcW w:w="771" w:type="pct"/>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5DFB5E0C" w14:textId="77777777" w:rsidR="00E41A00" w:rsidRPr="003677B2" w:rsidRDefault="00E41A00" w:rsidP="003677B2">
            <w:pPr>
              <w:pStyle w:val="TableHeading0"/>
              <w:keepNext/>
              <w:keepLines/>
              <w:spacing w:line="280" w:lineRule="atLeast"/>
              <w:jc w:val="right"/>
              <w:rPr>
                <w:color w:val="FFFFFF" w:themeColor="background1"/>
                <w:sz w:val="22"/>
                <w:szCs w:val="22"/>
              </w:rPr>
            </w:pPr>
            <w:r w:rsidRPr="003677B2">
              <w:rPr>
                <w:color w:val="FFFFFF"/>
                <w:sz w:val="22"/>
                <w:szCs w:val="22"/>
              </w:rPr>
              <w:t>2024–25</w:t>
            </w:r>
          </w:p>
        </w:tc>
        <w:tc>
          <w:tcPr>
            <w:tcW w:w="771" w:type="pct"/>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0F53D44B" w14:textId="77777777" w:rsidR="00E41A00" w:rsidRPr="003677B2" w:rsidRDefault="00E41A00" w:rsidP="003677B2">
            <w:pPr>
              <w:pStyle w:val="TableHeading0"/>
              <w:keepNext/>
              <w:keepLines/>
              <w:spacing w:line="280" w:lineRule="atLeast"/>
              <w:jc w:val="right"/>
              <w:rPr>
                <w:bCs/>
                <w:color w:val="FFFFFF" w:themeColor="background1"/>
                <w:sz w:val="22"/>
                <w:szCs w:val="22"/>
              </w:rPr>
            </w:pPr>
            <w:r w:rsidRPr="003677B2">
              <w:rPr>
                <w:rFonts w:cs="Arial"/>
                <w:color w:val="FFFFFF"/>
                <w:sz w:val="22"/>
                <w:szCs w:val="22"/>
              </w:rPr>
              <w:t>2025–</w:t>
            </w:r>
            <w:r w:rsidRPr="003677B2">
              <w:rPr>
                <w:rFonts w:cs="Arial"/>
                <w:bCs/>
                <w:color w:val="FFFFFF"/>
                <w:sz w:val="22"/>
                <w:szCs w:val="22"/>
              </w:rPr>
              <w:t>26</w:t>
            </w:r>
          </w:p>
        </w:tc>
      </w:tr>
      <w:tr w:rsidR="00E41A00" w:rsidRPr="003677B2" w14:paraId="66F09E48" w14:textId="77777777" w:rsidTr="00FC728F">
        <w:trPr>
          <w:trHeight w:val="256"/>
        </w:trPr>
        <w:tc>
          <w:tcPr>
            <w:tcW w:w="1915" w:type="pct"/>
            <w:tcBorders>
              <w:top w:val="single" w:sz="6" w:space="0" w:color="auto"/>
              <w:left w:val="single" w:sz="6" w:space="0" w:color="auto"/>
              <w:bottom w:val="single" w:sz="6" w:space="0" w:color="auto"/>
              <w:right w:val="single" w:sz="6" w:space="0" w:color="auto"/>
            </w:tcBorders>
            <w:hideMark/>
          </w:tcPr>
          <w:p w14:paraId="1B23341C" w14:textId="77777777" w:rsidR="00E41A00" w:rsidRPr="003677B2" w:rsidRDefault="00E41A00" w:rsidP="003677B2">
            <w:pPr>
              <w:keepNext/>
              <w:keepLines/>
              <w:spacing w:after="0" w:line="280" w:lineRule="atLeast"/>
              <w:rPr>
                <w:rFonts w:cs="Arial"/>
                <w:sz w:val="22"/>
                <w:szCs w:val="22"/>
              </w:rPr>
            </w:pPr>
            <w:r w:rsidRPr="003677B2">
              <w:rPr>
                <w:rFonts w:cs="Arial"/>
                <w:sz w:val="22"/>
                <w:szCs w:val="22"/>
              </w:rPr>
              <w:t>Original forecast of total number of measurement devices deployed</w:t>
            </w:r>
          </w:p>
        </w:tc>
        <w:tc>
          <w:tcPr>
            <w:tcW w:w="771" w:type="pct"/>
            <w:tcBorders>
              <w:top w:val="single" w:sz="6" w:space="0" w:color="auto"/>
              <w:left w:val="single" w:sz="6" w:space="0" w:color="auto"/>
              <w:bottom w:val="single" w:sz="6" w:space="0" w:color="auto"/>
              <w:right w:val="single" w:sz="6" w:space="0" w:color="auto"/>
            </w:tcBorders>
            <w:hideMark/>
          </w:tcPr>
          <w:p w14:paraId="3092E67F" w14:textId="77777777" w:rsidR="00E41A00" w:rsidRPr="003677B2" w:rsidRDefault="00E41A00" w:rsidP="003677B2">
            <w:pPr>
              <w:keepNext/>
              <w:keepLines/>
              <w:spacing w:after="0" w:line="280" w:lineRule="atLeast"/>
              <w:jc w:val="right"/>
              <w:rPr>
                <w:rFonts w:cs="Arial"/>
                <w:color w:val="000000"/>
                <w:sz w:val="22"/>
                <w:szCs w:val="22"/>
              </w:rPr>
            </w:pPr>
            <w:r w:rsidRPr="003677B2">
              <w:rPr>
                <w:rFonts w:cs="Arial"/>
                <w:color w:val="000000"/>
                <w:sz w:val="22"/>
                <w:szCs w:val="22"/>
              </w:rPr>
              <w:t>5,500</w:t>
            </w:r>
          </w:p>
        </w:tc>
        <w:tc>
          <w:tcPr>
            <w:tcW w:w="771" w:type="pct"/>
            <w:tcBorders>
              <w:top w:val="single" w:sz="6" w:space="0" w:color="auto"/>
              <w:left w:val="single" w:sz="6" w:space="0" w:color="auto"/>
              <w:bottom w:val="single" w:sz="6" w:space="0" w:color="auto"/>
              <w:right w:val="single" w:sz="6" w:space="0" w:color="auto"/>
            </w:tcBorders>
            <w:hideMark/>
          </w:tcPr>
          <w:p w14:paraId="0EA16530" w14:textId="77777777" w:rsidR="00E41A00" w:rsidRPr="003677B2" w:rsidRDefault="00E41A00" w:rsidP="003677B2">
            <w:pPr>
              <w:keepNext/>
              <w:keepLines/>
              <w:spacing w:after="0" w:line="280" w:lineRule="atLeast"/>
              <w:jc w:val="right"/>
              <w:rPr>
                <w:rFonts w:cs="Arial"/>
                <w:color w:val="000000"/>
                <w:sz w:val="22"/>
                <w:szCs w:val="22"/>
              </w:rPr>
            </w:pPr>
            <w:r w:rsidRPr="003677B2" w:rsidDel="006D0683">
              <w:rPr>
                <w:rFonts w:cs="Arial"/>
                <w:color w:val="000000"/>
                <w:sz w:val="22"/>
                <w:szCs w:val="22"/>
              </w:rPr>
              <w:t>5,500</w:t>
            </w:r>
          </w:p>
        </w:tc>
        <w:tc>
          <w:tcPr>
            <w:tcW w:w="771" w:type="pct"/>
            <w:tcBorders>
              <w:top w:val="single" w:sz="6" w:space="0" w:color="auto"/>
              <w:left w:val="single" w:sz="6" w:space="0" w:color="auto"/>
              <w:bottom w:val="single" w:sz="6" w:space="0" w:color="auto"/>
              <w:right w:val="single" w:sz="6" w:space="0" w:color="auto"/>
            </w:tcBorders>
            <w:hideMark/>
          </w:tcPr>
          <w:p w14:paraId="60B3AE1D" w14:textId="77777777" w:rsidR="00E41A00" w:rsidRPr="003677B2" w:rsidRDefault="00E41A00" w:rsidP="003677B2">
            <w:pPr>
              <w:keepNext/>
              <w:keepLines/>
              <w:spacing w:after="0" w:line="280" w:lineRule="atLeast"/>
              <w:jc w:val="right"/>
              <w:rPr>
                <w:rFonts w:cs="Arial"/>
                <w:color w:val="000000"/>
                <w:sz w:val="22"/>
                <w:szCs w:val="22"/>
              </w:rPr>
            </w:pPr>
            <w:r w:rsidRPr="003677B2" w:rsidDel="006D0683">
              <w:rPr>
                <w:rFonts w:cs="Arial"/>
                <w:color w:val="000000"/>
                <w:sz w:val="22"/>
                <w:szCs w:val="22"/>
              </w:rPr>
              <w:t>5,500</w:t>
            </w:r>
          </w:p>
        </w:tc>
        <w:tc>
          <w:tcPr>
            <w:tcW w:w="771" w:type="pct"/>
            <w:tcBorders>
              <w:top w:val="single" w:sz="6" w:space="0" w:color="auto"/>
              <w:left w:val="single" w:sz="6" w:space="0" w:color="auto"/>
              <w:bottom w:val="single" w:sz="6" w:space="0" w:color="auto"/>
              <w:right w:val="single" w:sz="6" w:space="0" w:color="auto"/>
            </w:tcBorders>
            <w:hideMark/>
          </w:tcPr>
          <w:p w14:paraId="682B79E8" w14:textId="77777777" w:rsidR="00E41A00" w:rsidRPr="003677B2" w:rsidRDefault="00E41A00" w:rsidP="003677B2">
            <w:pPr>
              <w:keepNext/>
              <w:keepLines/>
              <w:spacing w:after="0" w:line="280" w:lineRule="atLeast"/>
              <w:jc w:val="right"/>
              <w:rPr>
                <w:rFonts w:cs="Arial"/>
                <w:color w:val="000000"/>
                <w:sz w:val="22"/>
                <w:szCs w:val="22"/>
              </w:rPr>
            </w:pPr>
            <w:r w:rsidRPr="003677B2" w:rsidDel="006D0683">
              <w:rPr>
                <w:rFonts w:cs="Arial"/>
                <w:color w:val="000000"/>
                <w:sz w:val="22"/>
                <w:szCs w:val="22"/>
              </w:rPr>
              <w:t>5,500</w:t>
            </w:r>
          </w:p>
        </w:tc>
      </w:tr>
      <w:tr w:rsidR="00E41A00" w:rsidRPr="003677B2" w14:paraId="77096D49" w14:textId="77777777" w:rsidTr="00FC728F">
        <w:trPr>
          <w:trHeight w:val="446"/>
        </w:trPr>
        <w:tc>
          <w:tcPr>
            <w:tcW w:w="1915" w:type="pct"/>
            <w:tcBorders>
              <w:top w:val="single" w:sz="6" w:space="0" w:color="auto"/>
              <w:left w:val="single" w:sz="6" w:space="0" w:color="auto"/>
              <w:bottom w:val="single" w:sz="6" w:space="0" w:color="auto"/>
              <w:right w:val="single" w:sz="6" w:space="0" w:color="auto"/>
            </w:tcBorders>
            <w:hideMark/>
          </w:tcPr>
          <w:p w14:paraId="37F52AAA" w14:textId="77777777" w:rsidR="00E41A00" w:rsidRPr="003677B2" w:rsidRDefault="00E41A00" w:rsidP="003677B2">
            <w:pPr>
              <w:keepNext/>
              <w:keepLines/>
              <w:spacing w:after="0" w:line="280" w:lineRule="atLeast"/>
              <w:rPr>
                <w:rFonts w:cs="Arial"/>
                <w:sz w:val="22"/>
                <w:szCs w:val="22"/>
              </w:rPr>
            </w:pPr>
            <w:r w:rsidRPr="003677B2">
              <w:rPr>
                <w:rFonts w:cs="Arial"/>
                <w:sz w:val="22"/>
                <w:szCs w:val="22"/>
              </w:rPr>
              <w:t>Actual total number of measurement devices deployed</w:t>
            </w:r>
          </w:p>
        </w:tc>
        <w:tc>
          <w:tcPr>
            <w:tcW w:w="771" w:type="pct"/>
            <w:tcBorders>
              <w:top w:val="single" w:sz="6" w:space="0" w:color="auto"/>
              <w:left w:val="single" w:sz="6" w:space="0" w:color="auto"/>
              <w:bottom w:val="single" w:sz="6" w:space="0" w:color="auto"/>
              <w:right w:val="single" w:sz="6" w:space="0" w:color="auto"/>
            </w:tcBorders>
            <w:hideMark/>
          </w:tcPr>
          <w:p w14:paraId="537294EC" w14:textId="77777777" w:rsidR="00E41A00" w:rsidRPr="003677B2" w:rsidRDefault="00E41A00" w:rsidP="003677B2">
            <w:pPr>
              <w:keepNext/>
              <w:keepLines/>
              <w:spacing w:after="0" w:line="280" w:lineRule="atLeast"/>
              <w:jc w:val="right"/>
              <w:rPr>
                <w:rFonts w:cs="Arial"/>
                <w:color w:val="000000"/>
                <w:sz w:val="22"/>
                <w:szCs w:val="22"/>
              </w:rPr>
            </w:pPr>
            <w:r w:rsidRPr="003677B2">
              <w:rPr>
                <w:rFonts w:cs="Arial"/>
                <w:color w:val="000000"/>
                <w:sz w:val="22"/>
                <w:szCs w:val="22"/>
              </w:rPr>
              <w:t>4292</w:t>
            </w:r>
          </w:p>
        </w:tc>
        <w:tc>
          <w:tcPr>
            <w:tcW w:w="771" w:type="pct"/>
            <w:tcBorders>
              <w:top w:val="single" w:sz="6" w:space="0" w:color="auto"/>
              <w:left w:val="single" w:sz="6" w:space="0" w:color="auto"/>
              <w:bottom w:val="single" w:sz="6" w:space="0" w:color="auto"/>
              <w:right w:val="single" w:sz="6" w:space="0" w:color="auto"/>
            </w:tcBorders>
            <w:hideMark/>
          </w:tcPr>
          <w:p w14:paraId="6DC8016A" w14:textId="77777777" w:rsidR="00E41A00" w:rsidRPr="003677B2" w:rsidRDefault="00E41A00" w:rsidP="003677B2">
            <w:pPr>
              <w:keepNext/>
              <w:keepLines/>
              <w:spacing w:after="0" w:line="280" w:lineRule="atLeast"/>
              <w:jc w:val="right"/>
              <w:rPr>
                <w:rFonts w:cs="Arial"/>
                <w:color w:val="000000"/>
                <w:sz w:val="22"/>
                <w:szCs w:val="22"/>
              </w:rPr>
            </w:pPr>
            <w:r w:rsidRPr="003677B2" w:rsidDel="006D0683">
              <w:rPr>
                <w:rFonts w:cs="Arial"/>
                <w:color w:val="000000"/>
                <w:sz w:val="22"/>
                <w:szCs w:val="22"/>
              </w:rPr>
              <w:t>To be reported</w:t>
            </w:r>
          </w:p>
        </w:tc>
        <w:tc>
          <w:tcPr>
            <w:tcW w:w="771" w:type="pct"/>
            <w:tcBorders>
              <w:top w:val="single" w:sz="6" w:space="0" w:color="auto"/>
              <w:left w:val="single" w:sz="6" w:space="0" w:color="auto"/>
              <w:bottom w:val="single" w:sz="6" w:space="0" w:color="auto"/>
              <w:right w:val="single" w:sz="6" w:space="0" w:color="auto"/>
            </w:tcBorders>
            <w:hideMark/>
          </w:tcPr>
          <w:p w14:paraId="2CEB3DFD" w14:textId="77777777" w:rsidR="00E41A00" w:rsidRPr="003677B2" w:rsidRDefault="00E41A00" w:rsidP="003677B2">
            <w:pPr>
              <w:keepNext/>
              <w:keepLines/>
              <w:spacing w:after="0" w:line="280" w:lineRule="atLeast"/>
              <w:jc w:val="right"/>
              <w:rPr>
                <w:rFonts w:cs="Arial"/>
                <w:color w:val="000000"/>
                <w:sz w:val="22"/>
                <w:szCs w:val="22"/>
              </w:rPr>
            </w:pPr>
            <w:r w:rsidRPr="003677B2" w:rsidDel="006D0683">
              <w:rPr>
                <w:rFonts w:cs="Arial"/>
                <w:color w:val="000000"/>
                <w:sz w:val="22"/>
                <w:szCs w:val="22"/>
              </w:rPr>
              <w:t>To be reported</w:t>
            </w:r>
          </w:p>
        </w:tc>
        <w:tc>
          <w:tcPr>
            <w:tcW w:w="771" w:type="pct"/>
            <w:tcBorders>
              <w:top w:val="single" w:sz="6" w:space="0" w:color="auto"/>
              <w:left w:val="single" w:sz="6" w:space="0" w:color="auto"/>
              <w:bottom w:val="single" w:sz="6" w:space="0" w:color="auto"/>
              <w:right w:val="single" w:sz="6" w:space="0" w:color="auto"/>
            </w:tcBorders>
            <w:hideMark/>
          </w:tcPr>
          <w:p w14:paraId="57B5DDC3" w14:textId="77777777" w:rsidR="00E41A00" w:rsidRPr="003677B2" w:rsidRDefault="00E41A00" w:rsidP="003677B2">
            <w:pPr>
              <w:keepNext/>
              <w:keepLines/>
              <w:spacing w:after="0" w:line="280" w:lineRule="atLeast"/>
              <w:jc w:val="right"/>
              <w:rPr>
                <w:rFonts w:cs="Arial"/>
                <w:color w:val="000000"/>
                <w:sz w:val="22"/>
                <w:szCs w:val="22"/>
              </w:rPr>
            </w:pPr>
            <w:r w:rsidRPr="003677B2" w:rsidDel="006D0683">
              <w:rPr>
                <w:rFonts w:cs="Arial"/>
                <w:color w:val="000000"/>
                <w:sz w:val="22"/>
                <w:szCs w:val="22"/>
              </w:rPr>
              <w:t>To be reported</w:t>
            </w:r>
          </w:p>
        </w:tc>
      </w:tr>
      <w:tr w:rsidR="00E41A00" w:rsidRPr="003677B2" w14:paraId="324D97E8" w14:textId="77777777" w:rsidTr="00FC728F">
        <w:trPr>
          <w:trHeight w:val="253"/>
        </w:trPr>
        <w:tc>
          <w:tcPr>
            <w:tcW w:w="1915"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FB2757E" w14:textId="77777777" w:rsidR="00E41A00" w:rsidRPr="003677B2" w:rsidRDefault="00E41A00" w:rsidP="003677B2">
            <w:pPr>
              <w:keepNext/>
              <w:keepLines/>
              <w:spacing w:after="0" w:line="280" w:lineRule="atLeast"/>
              <w:rPr>
                <w:rFonts w:cs="Arial"/>
                <w:b/>
                <w:sz w:val="22"/>
                <w:szCs w:val="22"/>
              </w:rPr>
            </w:pPr>
            <w:r w:rsidRPr="003677B2">
              <w:rPr>
                <w:rFonts w:cs="Arial"/>
                <w:b/>
                <w:sz w:val="22"/>
                <w:szCs w:val="22"/>
              </w:rPr>
              <w:t>Variation</w:t>
            </w:r>
          </w:p>
        </w:tc>
        <w:tc>
          <w:tcPr>
            <w:tcW w:w="771"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C5232DF" w14:textId="77777777" w:rsidR="00E41A00" w:rsidRPr="003677B2" w:rsidRDefault="00E41A00" w:rsidP="003677B2">
            <w:pPr>
              <w:keepNext/>
              <w:keepLines/>
              <w:spacing w:after="0" w:line="280" w:lineRule="atLeast"/>
              <w:jc w:val="right"/>
              <w:rPr>
                <w:rFonts w:cs="Arial"/>
                <w:b/>
                <w:color w:val="FF0000"/>
                <w:sz w:val="22"/>
                <w:szCs w:val="22"/>
              </w:rPr>
            </w:pPr>
            <w:r w:rsidRPr="003677B2">
              <w:rPr>
                <w:rFonts w:cs="Arial"/>
                <w:b/>
                <w:color w:val="FF0000"/>
                <w:sz w:val="22"/>
                <w:szCs w:val="22"/>
              </w:rPr>
              <w:t>(1208)</w:t>
            </w:r>
          </w:p>
        </w:tc>
        <w:tc>
          <w:tcPr>
            <w:tcW w:w="771"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767585" w14:textId="77777777" w:rsidR="00E41A00" w:rsidRPr="003677B2" w:rsidRDefault="00E41A00" w:rsidP="003677B2">
            <w:pPr>
              <w:keepNext/>
              <w:keepLines/>
              <w:spacing w:after="0" w:line="280" w:lineRule="atLeast"/>
              <w:jc w:val="right"/>
              <w:rPr>
                <w:rFonts w:cs="Arial"/>
                <w:b/>
                <w:sz w:val="22"/>
                <w:szCs w:val="22"/>
              </w:rPr>
            </w:pPr>
            <w:r w:rsidRPr="003677B2" w:rsidDel="006D0683">
              <w:rPr>
                <w:rFonts w:cs="Arial"/>
                <w:b/>
                <w:color w:val="000000"/>
                <w:sz w:val="22"/>
                <w:szCs w:val="22"/>
              </w:rPr>
              <w:t>To be reported</w:t>
            </w:r>
          </w:p>
        </w:tc>
        <w:tc>
          <w:tcPr>
            <w:tcW w:w="771"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387475C" w14:textId="77777777" w:rsidR="00E41A00" w:rsidRPr="003677B2" w:rsidRDefault="00E41A00" w:rsidP="003677B2">
            <w:pPr>
              <w:keepNext/>
              <w:keepLines/>
              <w:spacing w:after="0" w:line="280" w:lineRule="atLeast"/>
              <w:jc w:val="right"/>
              <w:rPr>
                <w:rFonts w:cs="Arial"/>
                <w:b/>
                <w:sz w:val="22"/>
                <w:szCs w:val="22"/>
              </w:rPr>
            </w:pPr>
            <w:r w:rsidRPr="003677B2" w:rsidDel="006D0683">
              <w:rPr>
                <w:rFonts w:cs="Arial"/>
                <w:b/>
                <w:color w:val="000000"/>
                <w:sz w:val="22"/>
                <w:szCs w:val="22"/>
              </w:rPr>
              <w:t>To be reported</w:t>
            </w:r>
          </w:p>
        </w:tc>
        <w:tc>
          <w:tcPr>
            <w:tcW w:w="771"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7C9584E" w14:textId="3CA67015" w:rsidR="00E41A00" w:rsidRPr="003677B2" w:rsidRDefault="00E41A00" w:rsidP="003677B2">
            <w:pPr>
              <w:keepNext/>
              <w:keepLines/>
              <w:spacing w:after="0" w:line="280" w:lineRule="atLeast"/>
              <w:jc w:val="right"/>
              <w:rPr>
                <w:rFonts w:cs="Arial"/>
                <w:b/>
                <w:sz w:val="22"/>
                <w:szCs w:val="22"/>
              </w:rPr>
            </w:pPr>
            <w:r w:rsidRPr="003677B2" w:rsidDel="006D0683">
              <w:rPr>
                <w:rFonts w:cs="Arial"/>
                <w:b/>
                <w:color w:val="000000"/>
                <w:sz w:val="22"/>
                <w:szCs w:val="22"/>
              </w:rPr>
              <w:t xml:space="preserve">To be </w:t>
            </w:r>
            <w:r w:rsidR="00511E94">
              <w:rPr>
                <w:rFonts w:cs="Arial"/>
                <w:b/>
                <w:color w:val="000000"/>
                <w:sz w:val="22"/>
                <w:szCs w:val="22"/>
              </w:rPr>
              <w:br/>
            </w:r>
            <w:r w:rsidRPr="003677B2" w:rsidDel="006D0683">
              <w:rPr>
                <w:rFonts w:cs="Arial"/>
                <w:b/>
                <w:color w:val="000000"/>
                <w:sz w:val="22"/>
                <w:szCs w:val="22"/>
              </w:rPr>
              <w:t>reported</w:t>
            </w:r>
          </w:p>
        </w:tc>
      </w:tr>
    </w:tbl>
    <w:p w14:paraId="65C96483" w14:textId="77777777" w:rsidR="00E41A00" w:rsidRPr="00AE6A60" w:rsidRDefault="00E41A00" w:rsidP="00FC728F">
      <w:pPr>
        <w:pStyle w:val="Paragraph"/>
        <w:spacing w:before="240"/>
      </w:pPr>
      <w:r w:rsidRPr="00AE6A60">
        <w:t>The ACCC publishes reports of MBA program results on its website</w:t>
      </w:r>
      <w:r>
        <w:t xml:space="preserve"> </w:t>
      </w:r>
      <w:r w:rsidRPr="00AE6A60">
        <w:t>–</w:t>
      </w:r>
      <w:r>
        <w:t xml:space="preserve"> </w:t>
      </w:r>
      <w:hyperlink r:id="rId32" w:history="1">
        <w:r w:rsidRPr="00AE6A60">
          <w:rPr>
            <w:rStyle w:val="Hyperlink"/>
          </w:rPr>
          <w:t>Measuring Broadband Australia program</w:t>
        </w:r>
      </w:hyperlink>
      <w:r w:rsidRPr="00AE6A60">
        <w:t xml:space="preserve"> and </w:t>
      </w:r>
      <w:hyperlink r:id="rId33" w:history="1">
        <w:r>
          <w:rPr>
            <w:rStyle w:val="Hyperlink"/>
          </w:rPr>
          <w:t>b</w:t>
        </w:r>
        <w:r w:rsidRPr="00024640">
          <w:rPr>
            <w:rStyle w:val="Hyperlink"/>
          </w:rPr>
          <w:t>roadband</w:t>
        </w:r>
        <w:r w:rsidRPr="00AE6A60">
          <w:rPr>
            <w:rStyle w:val="Hyperlink"/>
          </w:rPr>
          <w:t xml:space="preserve"> performance data</w:t>
        </w:r>
      </w:hyperlink>
      <w:r w:rsidRPr="00AE6A60">
        <w:t>. Further non-financial performance data will be included in future CRIS documentation.</w:t>
      </w:r>
      <w:bookmarkEnd w:id="331"/>
    </w:p>
    <w:p w14:paraId="7A21EF7F" w14:textId="77777777" w:rsidR="00E41A00" w:rsidRPr="00AE6A60" w:rsidRDefault="00E41A00" w:rsidP="00E41A00">
      <w:pPr>
        <w:pStyle w:val="Heading2"/>
      </w:pPr>
      <w:bookmarkStart w:id="454" w:name="_Toc511294499"/>
      <w:bookmarkStart w:id="455" w:name="_Toc511634434"/>
      <w:bookmarkStart w:id="456" w:name="_Toc26786374"/>
      <w:bookmarkStart w:id="457" w:name="_Toc67042623"/>
      <w:bookmarkStart w:id="458" w:name="_Toc108599252"/>
      <w:bookmarkStart w:id="459" w:name="_Toc121920526"/>
      <w:bookmarkStart w:id="460" w:name="_Toc149735482"/>
      <w:bookmarkStart w:id="461" w:name="_Toc175123964"/>
      <w:r w:rsidRPr="00AE6A60">
        <w:t>8.</w:t>
      </w:r>
      <w:r w:rsidRPr="00AE6A60">
        <w:tab/>
        <w:t>Key forward dates and events</w:t>
      </w:r>
      <w:bookmarkEnd w:id="454"/>
      <w:bookmarkEnd w:id="455"/>
      <w:bookmarkEnd w:id="456"/>
      <w:bookmarkEnd w:id="457"/>
      <w:bookmarkEnd w:id="458"/>
      <w:bookmarkEnd w:id="459"/>
      <w:bookmarkEnd w:id="460"/>
      <w:bookmarkEnd w:id="461"/>
    </w:p>
    <w:p w14:paraId="02EDC949" w14:textId="30BE0668" w:rsidR="00E41A00" w:rsidRPr="00AE6A60" w:rsidRDefault="00E41A00" w:rsidP="003677B2">
      <w:pPr>
        <w:pStyle w:val="Paragraph"/>
      </w:pPr>
      <w:r w:rsidRPr="00AE6A60">
        <w:t xml:space="preserve">Reflecting the annual nature of the ACLC, the CRIS </w:t>
      </w:r>
      <w:r>
        <w:t xml:space="preserve">for </w:t>
      </w:r>
      <w:r w:rsidRPr="00AE6A60">
        <w:t xml:space="preserve">the MBA program costs will also be updated </w:t>
      </w:r>
      <w:r>
        <w:t>each year</w:t>
      </w:r>
      <w:r w:rsidRPr="00AE6A60">
        <w:t xml:space="preserve">. The key forward events and dates for the ACLC process for the </w:t>
      </w:r>
      <w:r>
        <w:t>2023</w:t>
      </w:r>
      <w:r w:rsidR="000F7FDA">
        <w:t>–</w:t>
      </w:r>
      <w:r>
        <w:t xml:space="preserve">24 </w:t>
      </w:r>
      <w:r w:rsidRPr="00AE6A60">
        <w:t xml:space="preserve">financial year are provided below in Table </w:t>
      </w:r>
      <w:r>
        <w:t>B</w:t>
      </w:r>
      <w:r w:rsidRPr="00AE6A60">
        <w:t>7.</w:t>
      </w:r>
    </w:p>
    <w:p w14:paraId="774FA997" w14:textId="77777777" w:rsidR="00E41A00" w:rsidRPr="003677B2" w:rsidRDefault="00E41A00" w:rsidP="00E41A00">
      <w:pPr>
        <w:pStyle w:val="ACMATableHeader"/>
        <w:keepNext/>
        <w:keepLines/>
        <w:numPr>
          <w:ilvl w:val="0"/>
          <w:numId w:val="0"/>
        </w:numPr>
        <w:ind w:left="964" w:hanging="964"/>
        <w:rPr>
          <w:sz w:val="22"/>
          <w:szCs w:val="22"/>
        </w:rPr>
      </w:pPr>
      <w:r w:rsidRPr="003677B2">
        <w:rPr>
          <w:sz w:val="22"/>
          <w:szCs w:val="22"/>
        </w:rPr>
        <w:t>Table B7: Key forward dates and events</w:t>
      </w:r>
      <w:bookmarkStart w:id="462" w:name="_Hlk57986598"/>
    </w:p>
    <w:tbl>
      <w:tblPr>
        <w:tblW w:w="55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Key forward dates and events"/>
        <w:tblDescription w:val="Update of forward financial estimates (section 6) in Dec 2016; Update of actual costs in May 2017."/>
      </w:tblPr>
      <w:tblGrid>
        <w:gridCol w:w="5025"/>
        <w:gridCol w:w="5025"/>
      </w:tblGrid>
      <w:tr w:rsidR="00E41A00" w:rsidRPr="003677B2" w14:paraId="42C79A5F" w14:textId="77777777" w:rsidTr="006E2755">
        <w:trPr>
          <w:cantSplit/>
          <w:trHeight w:val="85"/>
          <w:tblHeader/>
        </w:trPr>
        <w:tc>
          <w:tcPr>
            <w:tcW w:w="2500" w:type="pct"/>
            <w:shd w:val="clear" w:color="auto" w:fill="404040" w:themeFill="text1" w:themeFillTint="BF"/>
          </w:tcPr>
          <w:bookmarkEnd w:id="462"/>
          <w:p w14:paraId="462A0F47" w14:textId="77777777" w:rsidR="00E41A00" w:rsidRPr="003677B2" w:rsidRDefault="00E41A00" w:rsidP="003677B2">
            <w:pPr>
              <w:pStyle w:val="TableHeading0"/>
              <w:spacing w:line="280" w:lineRule="atLeast"/>
              <w:rPr>
                <w:b w:val="0"/>
                <w:color w:val="FFFFFF" w:themeColor="background1"/>
                <w:sz w:val="22"/>
                <w:szCs w:val="22"/>
              </w:rPr>
            </w:pPr>
            <w:r w:rsidRPr="003677B2">
              <w:rPr>
                <w:color w:val="FFFFFF" w:themeColor="background1"/>
                <w:sz w:val="22"/>
                <w:szCs w:val="22"/>
              </w:rPr>
              <w:t>Key events</w:t>
            </w:r>
          </w:p>
        </w:tc>
        <w:tc>
          <w:tcPr>
            <w:tcW w:w="2500" w:type="pct"/>
            <w:tcBorders>
              <w:top w:val="single" w:sz="6" w:space="0" w:color="auto"/>
            </w:tcBorders>
            <w:shd w:val="clear" w:color="auto" w:fill="404040" w:themeFill="text1" w:themeFillTint="BF"/>
          </w:tcPr>
          <w:p w14:paraId="5698E64A" w14:textId="77777777" w:rsidR="00E41A00" w:rsidRPr="003677B2" w:rsidRDefault="00E41A00" w:rsidP="003677B2">
            <w:pPr>
              <w:pStyle w:val="TableHeading0"/>
              <w:spacing w:line="280" w:lineRule="atLeast"/>
              <w:rPr>
                <w:b w:val="0"/>
                <w:color w:val="FFFFFF" w:themeColor="background1"/>
                <w:sz w:val="22"/>
                <w:szCs w:val="22"/>
              </w:rPr>
            </w:pPr>
            <w:r w:rsidRPr="003677B2">
              <w:rPr>
                <w:color w:val="FFFFFF" w:themeColor="background1"/>
                <w:sz w:val="22"/>
                <w:szCs w:val="22"/>
              </w:rPr>
              <w:t>Date</w:t>
            </w:r>
          </w:p>
        </w:tc>
      </w:tr>
      <w:tr w:rsidR="00E41A00" w:rsidRPr="003677B2" w14:paraId="5E8DD82F" w14:textId="77777777" w:rsidTr="006E2755">
        <w:trPr>
          <w:cantSplit/>
          <w:trHeight w:val="247"/>
          <w:tblHeader/>
        </w:trPr>
        <w:tc>
          <w:tcPr>
            <w:tcW w:w="2500" w:type="pct"/>
          </w:tcPr>
          <w:p w14:paraId="7E7A0127" w14:textId="77777777" w:rsidR="00E41A00" w:rsidRPr="003677B2" w:rsidRDefault="00E41A00" w:rsidP="003677B2">
            <w:pPr>
              <w:spacing w:after="0" w:line="280" w:lineRule="atLeast"/>
              <w:ind w:right="-142"/>
              <w:rPr>
                <w:rFonts w:cs="Arial"/>
                <w:sz w:val="22"/>
                <w:szCs w:val="22"/>
              </w:rPr>
            </w:pPr>
            <w:r w:rsidRPr="003677B2">
              <w:rPr>
                <w:rFonts w:cs="Arial"/>
                <w:sz w:val="22"/>
                <w:szCs w:val="22"/>
              </w:rPr>
              <w:t>Update of forward estimates</w:t>
            </w:r>
          </w:p>
        </w:tc>
        <w:tc>
          <w:tcPr>
            <w:tcW w:w="2500" w:type="pct"/>
          </w:tcPr>
          <w:p w14:paraId="298B42C9" w14:textId="77777777" w:rsidR="00E41A00" w:rsidRPr="003677B2" w:rsidRDefault="00E41A00" w:rsidP="003677B2">
            <w:pPr>
              <w:spacing w:after="0" w:line="280" w:lineRule="atLeast"/>
              <w:rPr>
                <w:sz w:val="22"/>
                <w:szCs w:val="22"/>
              </w:rPr>
            </w:pPr>
            <w:r w:rsidRPr="003677B2">
              <w:rPr>
                <w:sz w:val="22"/>
                <w:szCs w:val="22"/>
              </w:rPr>
              <w:t xml:space="preserve">By </w:t>
            </w:r>
            <w:r w:rsidRPr="003677B2">
              <w:rPr>
                <w:rFonts w:cs="Arial"/>
                <w:sz w:val="22"/>
                <w:szCs w:val="22"/>
              </w:rPr>
              <w:t>July 2025</w:t>
            </w:r>
          </w:p>
        </w:tc>
      </w:tr>
      <w:tr w:rsidR="00E41A00" w:rsidRPr="003677B2" w14:paraId="79E351B6" w14:textId="77777777" w:rsidTr="006E2755">
        <w:trPr>
          <w:cantSplit/>
          <w:trHeight w:val="197"/>
          <w:tblHeader/>
        </w:trPr>
        <w:tc>
          <w:tcPr>
            <w:tcW w:w="2500" w:type="pct"/>
          </w:tcPr>
          <w:p w14:paraId="02AB61A3" w14:textId="77777777" w:rsidR="00E41A00" w:rsidRPr="003677B2" w:rsidRDefault="00E41A00" w:rsidP="003677B2">
            <w:pPr>
              <w:spacing w:after="0" w:line="280" w:lineRule="atLeast"/>
              <w:ind w:right="-142"/>
              <w:rPr>
                <w:rFonts w:cs="Arial"/>
                <w:sz w:val="22"/>
                <w:szCs w:val="22"/>
              </w:rPr>
            </w:pPr>
            <w:r w:rsidRPr="003677B2">
              <w:rPr>
                <w:rFonts w:cs="Arial"/>
                <w:sz w:val="22"/>
                <w:szCs w:val="22"/>
              </w:rPr>
              <w:t>Update of actual costs</w:t>
            </w:r>
          </w:p>
        </w:tc>
        <w:tc>
          <w:tcPr>
            <w:tcW w:w="2500" w:type="pct"/>
          </w:tcPr>
          <w:p w14:paraId="03CD6689" w14:textId="77777777" w:rsidR="00E41A00" w:rsidRPr="003677B2" w:rsidRDefault="00E41A00" w:rsidP="003677B2">
            <w:pPr>
              <w:spacing w:after="0" w:line="280" w:lineRule="atLeast"/>
              <w:rPr>
                <w:sz w:val="22"/>
                <w:szCs w:val="22"/>
              </w:rPr>
            </w:pPr>
            <w:r w:rsidRPr="003677B2">
              <w:rPr>
                <w:sz w:val="22"/>
                <w:szCs w:val="22"/>
              </w:rPr>
              <w:t xml:space="preserve">By </w:t>
            </w:r>
            <w:r w:rsidRPr="003677B2">
              <w:rPr>
                <w:rFonts w:cs="Arial"/>
                <w:sz w:val="22"/>
                <w:szCs w:val="22"/>
              </w:rPr>
              <w:t>July 2025</w:t>
            </w:r>
          </w:p>
        </w:tc>
      </w:tr>
      <w:bookmarkEnd w:id="332"/>
    </w:tbl>
    <w:p w14:paraId="20C2AFF1" w14:textId="77777777" w:rsidR="00E41A00" w:rsidRDefault="00E41A00" w:rsidP="00E41A00">
      <w:pPr>
        <w:pStyle w:val="ACMABodyText"/>
        <w:tabs>
          <w:tab w:val="left" w:pos="1843"/>
        </w:tabs>
        <w:spacing w:after="80"/>
        <w:ind w:right="-142"/>
        <w:rPr>
          <w:rFonts w:cs="Arial"/>
          <w:sz w:val="20"/>
          <w:szCs w:val="20"/>
        </w:rPr>
      </w:pPr>
    </w:p>
    <w:p w14:paraId="67E46C6B" w14:textId="77777777" w:rsidR="00E41A00" w:rsidRPr="00AE6A60" w:rsidRDefault="00E41A00" w:rsidP="00E41A00">
      <w:pPr>
        <w:pStyle w:val="Heading1"/>
      </w:pPr>
      <w:bookmarkStart w:id="463" w:name="_Toc108599253"/>
      <w:bookmarkStart w:id="464" w:name="_Toc121920527"/>
      <w:bookmarkStart w:id="465" w:name="_Toc149735483"/>
      <w:bookmarkStart w:id="466" w:name="_Toc175123965"/>
      <w:r w:rsidRPr="00AE6A60">
        <w:lastRenderedPageBreak/>
        <w:t>Glossary</w:t>
      </w:r>
      <w:bookmarkEnd w:id="463"/>
      <w:bookmarkEnd w:id="464"/>
      <w:bookmarkEnd w:id="465"/>
      <w:bookmarkEnd w:id="466"/>
    </w:p>
    <w:p w14:paraId="412023BB" w14:textId="77777777" w:rsidR="00E41A00" w:rsidRPr="003677B2" w:rsidRDefault="00E41A00" w:rsidP="003677B2">
      <w:pPr>
        <w:pStyle w:val="ACMABodyText"/>
        <w:tabs>
          <w:tab w:val="left" w:pos="1843"/>
        </w:tabs>
        <w:spacing w:after="80"/>
        <w:ind w:left="1843" w:right="-142" w:hanging="1843"/>
        <w:rPr>
          <w:rFonts w:cs="Arial"/>
          <w:sz w:val="22"/>
          <w:szCs w:val="22"/>
        </w:rPr>
      </w:pPr>
      <w:r w:rsidRPr="003677B2">
        <w:rPr>
          <w:rFonts w:cs="Arial"/>
          <w:sz w:val="22"/>
          <w:szCs w:val="22"/>
        </w:rPr>
        <w:t>2017 Direction</w:t>
      </w:r>
      <w:r w:rsidRPr="003677B2">
        <w:rPr>
          <w:rFonts w:cs="Arial"/>
          <w:sz w:val="22"/>
          <w:szCs w:val="22"/>
        </w:rPr>
        <w:tab/>
        <w:t>Australian Communications and Media Authority (Annual Carrier Licence Charge) Direction 2017</w:t>
      </w:r>
    </w:p>
    <w:p w14:paraId="09079521"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ABM</w:t>
      </w:r>
      <w:r w:rsidRPr="003677B2">
        <w:rPr>
          <w:rFonts w:cs="Arial"/>
          <w:sz w:val="22"/>
          <w:szCs w:val="22"/>
        </w:rPr>
        <w:tab/>
        <w:t>activity-based management</w:t>
      </w:r>
    </w:p>
    <w:p w14:paraId="02F0BE73"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ACCAN</w:t>
      </w:r>
      <w:r w:rsidRPr="003677B2">
        <w:rPr>
          <w:rFonts w:cs="Arial"/>
          <w:sz w:val="22"/>
          <w:szCs w:val="22"/>
        </w:rPr>
        <w:tab/>
        <w:t>Australian Communications Consumer Action Network</w:t>
      </w:r>
    </w:p>
    <w:p w14:paraId="68C702BD"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ACCC</w:t>
      </w:r>
      <w:r w:rsidRPr="003677B2">
        <w:rPr>
          <w:rFonts w:cs="Arial"/>
          <w:sz w:val="22"/>
          <w:szCs w:val="22"/>
        </w:rPr>
        <w:tab/>
        <w:t>Australian Competition and Consumer Commission</w:t>
      </w:r>
    </w:p>
    <w:p w14:paraId="35C0F902"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ACLC</w:t>
      </w:r>
      <w:r w:rsidRPr="003677B2">
        <w:rPr>
          <w:rFonts w:cs="Arial"/>
          <w:sz w:val="22"/>
          <w:szCs w:val="22"/>
        </w:rPr>
        <w:tab/>
        <w:t>Annual Carrier Licence Charge</w:t>
      </w:r>
    </w:p>
    <w:p w14:paraId="471DA53B"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 xml:space="preserve">ACMA </w:t>
      </w:r>
      <w:r w:rsidRPr="003677B2">
        <w:rPr>
          <w:rFonts w:cs="Arial"/>
          <w:sz w:val="22"/>
          <w:szCs w:val="22"/>
        </w:rPr>
        <w:tab/>
        <w:t>Australian Communications and Media Authority</w:t>
      </w:r>
    </w:p>
    <w:p w14:paraId="5758AAAA" w14:textId="77777777" w:rsidR="00E41A00" w:rsidRPr="003677B2" w:rsidRDefault="00E41A00" w:rsidP="003677B2">
      <w:pPr>
        <w:pStyle w:val="ACMABodyText"/>
        <w:tabs>
          <w:tab w:val="left" w:pos="1843"/>
        </w:tabs>
        <w:spacing w:after="80"/>
        <w:ind w:right="-142"/>
        <w:rPr>
          <w:rFonts w:cs="Arial"/>
          <w:i/>
          <w:sz w:val="22"/>
          <w:szCs w:val="22"/>
        </w:rPr>
      </w:pPr>
      <w:r w:rsidRPr="003677B2">
        <w:rPr>
          <w:rFonts w:cs="Arial"/>
          <w:sz w:val="22"/>
          <w:szCs w:val="22"/>
        </w:rPr>
        <w:t>ACMA Act</w:t>
      </w:r>
      <w:r w:rsidRPr="003677B2">
        <w:rPr>
          <w:rFonts w:cs="Arial"/>
          <w:sz w:val="22"/>
          <w:szCs w:val="22"/>
        </w:rPr>
        <w:tab/>
      </w:r>
      <w:r w:rsidRPr="003677B2">
        <w:rPr>
          <w:rFonts w:cs="Arial"/>
          <w:i/>
          <w:sz w:val="22"/>
          <w:szCs w:val="22"/>
        </w:rPr>
        <w:t>Australian Communications and Media Authority Act 2005</w:t>
      </w:r>
    </w:p>
    <w:p w14:paraId="7F981A9D"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 xml:space="preserve">APC </w:t>
      </w:r>
      <w:r w:rsidRPr="003677B2">
        <w:rPr>
          <w:rFonts w:cs="Arial"/>
          <w:sz w:val="22"/>
          <w:szCs w:val="22"/>
        </w:rPr>
        <w:tab/>
        <w:t>annual program costs by financial year</w:t>
      </w:r>
    </w:p>
    <w:p w14:paraId="0941F798"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ASL</w:t>
      </w:r>
      <w:r w:rsidRPr="003677B2">
        <w:rPr>
          <w:rFonts w:cs="Arial"/>
          <w:sz w:val="22"/>
          <w:szCs w:val="22"/>
        </w:rPr>
        <w:tab/>
        <w:t>average staffing level</w:t>
      </w:r>
    </w:p>
    <w:p w14:paraId="42C42DC1"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CRIS</w:t>
      </w:r>
      <w:r w:rsidRPr="003677B2">
        <w:rPr>
          <w:rFonts w:cs="Arial"/>
          <w:sz w:val="22"/>
          <w:szCs w:val="22"/>
        </w:rPr>
        <w:tab/>
        <w:t>Cost Recovery Implementation Statement</w:t>
      </w:r>
    </w:p>
    <w:p w14:paraId="7B1C0D0B" w14:textId="77777777" w:rsidR="00E41A00" w:rsidRPr="003677B2" w:rsidRDefault="00E41A00" w:rsidP="003677B2">
      <w:pPr>
        <w:pStyle w:val="ACMABodyText"/>
        <w:tabs>
          <w:tab w:val="left" w:pos="1843"/>
        </w:tabs>
        <w:spacing w:after="80"/>
        <w:ind w:left="1843" w:right="-142" w:hanging="1843"/>
        <w:rPr>
          <w:rFonts w:cs="Arial"/>
          <w:sz w:val="22"/>
          <w:szCs w:val="22"/>
        </w:rPr>
      </w:pPr>
      <w:r w:rsidRPr="003677B2">
        <w:rPr>
          <w:rFonts w:cs="Arial"/>
          <w:sz w:val="22"/>
          <w:szCs w:val="22"/>
        </w:rPr>
        <w:t>CSP</w:t>
      </w:r>
      <w:r w:rsidRPr="003677B2">
        <w:rPr>
          <w:rFonts w:cs="Arial"/>
          <w:sz w:val="22"/>
          <w:szCs w:val="22"/>
        </w:rPr>
        <w:tab/>
        <w:t>carriage service provider</w:t>
      </w:r>
    </w:p>
    <w:p w14:paraId="7E2D4738" w14:textId="77777777" w:rsidR="00E41A00" w:rsidRPr="003677B2" w:rsidRDefault="00E41A00" w:rsidP="003677B2">
      <w:pPr>
        <w:pStyle w:val="ACMABodyText"/>
        <w:tabs>
          <w:tab w:val="left" w:pos="1843"/>
        </w:tabs>
        <w:spacing w:after="80"/>
        <w:ind w:left="1843" w:right="-142" w:hanging="1843"/>
        <w:rPr>
          <w:rFonts w:cs="Arial"/>
          <w:sz w:val="22"/>
          <w:szCs w:val="22"/>
        </w:rPr>
      </w:pPr>
      <w:r w:rsidRPr="003677B2">
        <w:rPr>
          <w:rFonts w:cs="Arial"/>
          <w:sz w:val="22"/>
          <w:szCs w:val="22"/>
        </w:rPr>
        <w:t>CSPA</w:t>
      </w:r>
      <w:r w:rsidRPr="003677B2">
        <w:rPr>
          <w:rFonts w:cs="Arial"/>
          <w:sz w:val="22"/>
          <w:szCs w:val="22"/>
        </w:rPr>
        <w:tab/>
        <w:t>Consumer Safeguards Part A program cost</w:t>
      </w:r>
    </w:p>
    <w:p w14:paraId="2A1222A9" w14:textId="2A1572BD" w:rsidR="00E41A00" w:rsidRPr="003677B2" w:rsidRDefault="00E41A00" w:rsidP="003677B2">
      <w:pPr>
        <w:pStyle w:val="ACMABodyText"/>
        <w:tabs>
          <w:tab w:val="left" w:pos="1843"/>
        </w:tabs>
        <w:spacing w:after="80"/>
        <w:ind w:left="1843" w:right="-142" w:hanging="1843"/>
        <w:rPr>
          <w:rFonts w:cs="Arial"/>
          <w:sz w:val="22"/>
          <w:szCs w:val="22"/>
        </w:rPr>
      </w:pPr>
      <w:r w:rsidRPr="003677B2">
        <w:rPr>
          <w:rFonts w:cs="Arial"/>
          <w:sz w:val="22"/>
          <w:szCs w:val="22"/>
        </w:rPr>
        <w:t>DITRDCA</w:t>
      </w:r>
      <w:r w:rsidRPr="003677B2">
        <w:rPr>
          <w:rFonts w:cs="Arial"/>
          <w:sz w:val="22"/>
          <w:szCs w:val="22"/>
        </w:rPr>
        <w:tab/>
        <w:t>Department of Infrastructure, Transport, Regional Development</w:t>
      </w:r>
      <w:r w:rsidR="00021DBD">
        <w:rPr>
          <w:rFonts w:cs="Arial"/>
          <w:sz w:val="22"/>
          <w:szCs w:val="22"/>
        </w:rPr>
        <w:t>,</w:t>
      </w:r>
      <w:r w:rsidRPr="003677B2">
        <w:rPr>
          <w:rFonts w:cs="Arial"/>
          <w:sz w:val="22"/>
          <w:szCs w:val="22"/>
        </w:rPr>
        <w:t xml:space="preserve"> </w:t>
      </w:r>
      <w:proofErr w:type="gramStart"/>
      <w:r w:rsidRPr="003677B2">
        <w:rPr>
          <w:rFonts w:cs="Arial"/>
          <w:sz w:val="22"/>
          <w:szCs w:val="22"/>
        </w:rPr>
        <w:t>Communications</w:t>
      </w:r>
      <w:proofErr w:type="gramEnd"/>
      <w:r w:rsidRPr="003677B2">
        <w:rPr>
          <w:rFonts w:cs="Arial"/>
          <w:sz w:val="22"/>
          <w:szCs w:val="22"/>
        </w:rPr>
        <w:t xml:space="preserve"> and the Arts</w:t>
      </w:r>
    </w:p>
    <w:p w14:paraId="14C875DA"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ER</w:t>
      </w:r>
      <w:r w:rsidRPr="003677B2">
        <w:rPr>
          <w:rFonts w:cs="Arial"/>
          <w:sz w:val="22"/>
          <w:szCs w:val="22"/>
        </w:rPr>
        <w:tab/>
        <w:t xml:space="preserve">eligible revenue </w:t>
      </w:r>
    </w:p>
    <w:p w14:paraId="695DF878" w14:textId="77777777" w:rsidR="00E41A00" w:rsidRPr="003677B2" w:rsidRDefault="00E41A00" w:rsidP="003677B2">
      <w:pPr>
        <w:pStyle w:val="ACMABodyText"/>
        <w:tabs>
          <w:tab w:val="left" w:pos="1843"/>
        </w:tabs>
        <w:spacing w:after="80"/>
        <w:ind w:left="1843" w:right="-142" w:hanging="1843"/>
        <w:rPr>
          <w:rFonts w:cs="Arial"/>
          <w:sz w:val="22"/>
          <w:szCs w:val="22"/>
        </w:rPr>
      </w:pPr>
      <w:r w:rsidRPr="003677B2">
        <w:rPr>
          <w:rFonts w:cs="Arial"/>
          <w:sz w:val="22"/>
          <w:szCs w:val="22"/>
        </w:rPr>
        <w:t xml:space="preserve">FLC </w:t>
      </w:r>
      <w:r w:rsidRPr="003677B2">
        <w:rPr>
          <w:rFonts w:cs="Arial"/>
          <w:sz w:val="22"/>
          <w:szCs w:val="22"/>
        </w:rPr>
        <w:tab/>
        <w:t xml:space="preserve">total number of NBN fixed-line connections operated by the monitored service provider in a test segment </w:t>
      </w:r>
    </w:p>
    <w:p w14:paraId="55121059"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Guidelines</w:t>
      </w:r>
      <w:r w:rsidRPr="003677B2">
        <w:rPr>
          <w:rFonts w:cs="Arial"/>
          <w:sz w:val="22"/>
          <w:szCs w:val="22"/>
        </w:rPr>
        <w:tab/>
        <w:t>Australian Government Cost Recovery Guidelines (RMG 304)</w:t>
      </w:r>
    </w:p>
    <w:p w14:paraId="310A10BB"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ICT</w:t>
      </w:r>
      <w:r w:rsidRPr="003677B2">
        <w:rPr>
          <w:rFonts w:cs="Arial"/>
          <w:sz w:val="22"/>
          <w:szCs w:val="22"/>
        </w:rPr>
        <w:tab/>
        <w:t>information and communication technology</w:t>
      </w:r>
    </w:p>
    <w:p w14:paraId="6A30AD13"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IPND</w:t>
      </w:r>
      <w:r w:rsidRPr="003677B2">
        <w:rPr>
          <w:rFonts w:cs="Arial"/>
          <w:sz w:val="22"/>
          <w:szCs w:val="22"/>
        </w:rPr>
        <w:tab/>
        <w:t>Integrated Public Number Database</w:t>
      </w:r>
    </w:p>
    <w:p w14:paraId="686C9541"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IT</w:t>
      </w:r>
      <w:r w:rsidRPr="003677B2">
        <w:rPr>
          <w:rFonts w:cs="Arial"/>
          <w:sz w:val="22"/>
          <w:szCs w:val="22"/>
        </w:rPr>
        <w:tab/>
        <w:t>information technology</w:t>
      </w:r>
    </w:p>
    <w:p w14:paraId="28A6D946"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ITU</w:t>
      </w:r>
      <w:r w:rsidRPr="003677B2">
        <w:rPr>
          <w:rFonts w:cs="Arial"/>
          <w:sz w:val="22"/>
          <w:szCs w:val="22"/>
        </w:rPr>
        <w:tab/>
        <w:t>International Telecommunication Union</w:t>
      </w:r>
    </w:p>
    <w:p w14:paraId="23EA132B"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ITU-D</w:t>
      </w:r>
      <w:r w:rsidRPr="003677B2">
        <w:rPr>
          <w:rFonts w:cs="Arial"/>
          <w:sz w:val="22"/>
          <w:szCs w:val="22"/>
        </w:rPr>
        <w:tab/>
        <w:t>International Telecommunication Union – Development Sector</w:t>
      </w:r>
    </w:p>
    <w:p w14:paraId="65EE300F" w14:textId="77777777" w:rsidR="00E41A00" w:rsidRPr="003677B2" w:rsidRDefault="00E41A00" w:rsidP="003677B2">
      <w:pPr>
        <w:pStyle w:val="ACMABodyText"/>
        <w:tabs>
          <w:tab w:val="left" w:pos="1843"/>
        </w:tabs>
        <w:spacing w:after="80"/>
        <w:ind w:left="1843" w:right="-142" w:hanging="1843"/>
        <w:rPr>
          <w:rFonts w:cs="Arial"/>
          <w:sz w:val="22"/>
          <w:szCs w:val="22"/>
        </w:rPr>
      </w:pPr>
      <w:r w:rsidRPr="003677B2">
        <w:rPr>
          <w:rFonts w:cs="Arial"/>
          <w:sz w:val="22"/>
          <w:szCs w:val="22"/>
        </w:rPr>
        <w:t>ITU-R</w:t>
      </w:r>
      <w:r w:rsidRPr="003677B2">
        <w:rPr>
          <w:rFonts w:cs="Arial"/>
          <w:sz w:val="22"/>
          <w:szCs w:val="22"/>
        </w:rPr>
        <w:tab/>
        <w:t>International Telecommunication Union – Radiocommunication Sector</w:t>
      </w:r>
    </w:p>
    <w:p w14:paraId="7DB6AEAD" w14:textId="77777777" w:rsidR="00E41A00" w:rsidRPr="003677B2" w:rsidRDefault="00E41A00" w:rsidP="003677B2">
      <w:pPr>
        <w:pStyle w:val="ACMABodyText"/>
        <w:tabs>
          <w:tab w:val="left" w:pos="1843"/>
        </w:tabs>
        <w:spacing w:after="80"/>
        <w:ind w:left="1843" w:right="-142" w:hanging="1843"/>
        <w:rPr>
          <w:rFonts w:cs="Arial"/>
          <w:sz w:val="22"/>
          <w:szCs w:val="22"/>
        </w:rPr>
      </w:pPr>
      <w:r w:rsidRPr="003677B2">
        <w:rPr>
          <w:rFonts w:cs="Arial"/>
          <w:sz w:val="22"/>
          <w:szCs w:val="22"/>
        </w:rPr>
        <w:t>ITU-T</w:t>
      </w:r>
      <w:r w:rsidRPr="003677B2">
        <w:rPr>
          <w:rFonts w:cs="Arial"/>
          <w:sz w:val="22"/>
          <w:szCs w:val="22"/>
        </w:rPr>
        <w:tab/>
      </w:r>
      <w:bookmarkStart w:id="467" w:name="_Hlk98920924"/>
      <w:r w:rsidRPr="003677B2">
        <w:rPr>
          <w:rFonts w:cs="Arial"/>
          <w:sz w:val="22"/>
          <w:szCs w:val="22"/>
        </w:rPr>
        <w:t>International Telecommunication Union – Telecommunication Standardization Sector</w:t>
      </w:r>
      <w:bookmarkEnd w:id="467"/>
    </w:p>
    <w:p w14:paraId="64580D05"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 xml:space="preserve">MBA program </w:t>
      </w:r>
      <w:r w:rsidRPr="003677B2">
        <w:rPr>
          <w:rFonts w:cs="Arial"/>
          <w:sz w:val="22"/>
          <w:szCs w:val="22"/>
        </w:rPr>
        <w:tab/>
        <w:t>Measuring Broadband Australia program</w:t>
      </w:r>
    </w:p>
    <w:p w14:paraId="20F8617E"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MCA</w:t>
      </w:r>
      <w:r w:rsidRPr="003677B2">
        <w:rPr>
          <w:rFonts w:cs="Arial"/>
          <w:sz w:val="22"/>
          <w:szCs w:val="22"/>
        </w:rPr>
        <w:tab/>
        <w:t>maximum charge amount</w:t>
      </w:r>
    </w:p>
    <w:p w14:paraId="73C0EF18"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NBN</w:t>
      </w:r>
      <w:r w:rsidRPr="003677B2">
        <w:rPr>
          <w:rFonts w:cs="Arial"/>
          <w:sz w:val="22"/>
          <w:szCs w:val="22"/>
        </w:rPr>
        <w:tab/>
        <w:t>National Broadband Network</w:t>
      </w:r>
    </w:p>
    <w:p w14:paraId="4BA16122"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NBN Co</w:t>
      </w:r>
      <w:r w:rsidRPr="003677B2">
        <w:rPr>
          <w:rFonts w:cs="Arial"/>
          <w:sz w:val="22"/>
          <w:szCs w:val="22"/>
        </w:rPr>
        <w:tab/>
        <w:t>NBN Co Limited</w:t>
      </w:r>
    </w:p>
    <w:p w14:paraId="0918211C"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OTC</w:t>
      </w:r>
      <w:r w:rsidRPr="003677B2">
        <w:rPr>
          <w:rFonts w:cs="Arial"/>
          <w:sz w:val="22"/>
          <w:szCs w:val="22"/>
        </w:rPr>
        <w:tab/>
        <w:t>other telecommunications charges</w:t>
      </w:r>
    </w:p>
    <w:p w14:paraId="7DBAD4C8" w14:textId="77777777" w:rsidR="00E41A00" w:rsidRPr="003677B2" w:rsidRDefault="00E41A00" w:rsidP="003677B2">
      <w:pPr>
        <w:pStyle w:val="ACMABodyText"/>
        <w:tabs>
          <w:tab w:val="left" w:pos="1843"/>
        </w:tabs>
        <w:spacing w:after="80"/>
        <w:ind w:left="1843" w:right="-142" w:hanging="1843"/>
        <w:rPr>
          <w:rFonts w:eastAsia="SimSun" w:cs="Arial"/>
          <w:sz w:val="22"/>
          <w:szCs w:val="22"/>
        </w:rPr>
      </w:pPr>
      <w:r w:rsidRPr="003677B2">
        <w:rPr>
          <w:rFonts w:eastAsia="SimSun" w:cs="Arial"/>
          <w:sz w:val="22"/>
          <w:szCs w:val="22"/>
        </w:rPr>
        <w:t>RKR</w:t>
      </w:r>
      <w:r w:rsidRPr="003677B2">
        <w:rPr>
          <w:rFonts w:eastAsia="SimSun" w:cs="Arial"/>
          <w:sz w:val="22"/>
          <w:szCs w:val="22"/>
        </w:rPr>
        <w:tab/>
        <w:t>Telecommunications (Consumer Complaints) Record-Keeping Rules 2018</w:t>
      </w:r>
    </w:p>
    <w:p w14:paraId="038203E8"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RSP</w:t>
      </w:r>
      <w:r w:rsidRPr="003677B2">
        <w:rPr>
          <w:rFonts w:cs="Arial"/>
          <w:sz w:val="22"/>
          <w:szCs w:val="22"/>
        </w:rPr>
        <w:tab/>
        <w:t>retail service provider</w:t>
      </w:r>
    </w:p>
    <w:p w14:paraId="2DDC8983"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SAU</w:t>
      </w:r>
      <w:r w:rsidRPr="003677B2">
        <w:rPr>
          <w:rFonts w:cs="Arial"/>
          <w:sz w:val="22"/>
          <w:szCs w:val="22"/>
        </w:rPr>
        <w:tab/>
        <w:t>special access undertaking</w:t>
      </w:r>
    </w:p>
    <w:p w14:paraId="00944335"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SIO</w:t>
      </w:r>
      <w:r w:rsidRPr="003677B2">
        <w:rPr>
          <w:rFonts w:cs="Arial"/>
          <w:sz w:val="22"/>
          <w:szCs w:val="22"/>
        </w:rPr>
        <w:tab/>
        <w:t xml:space="preserve">services in operation  </w:t>
      </w:r>
    </w:p>
    <w:p w14:paraId="52E2E8D9" w14:textId="77777777" w:rsidR="00E41A00" w:rsidRPr="003677B2" w:rsidRDefault="00E41A00" w:rsidP="003677B2">
      <w:pPr>
        <w:pStyle w:val="ACMABodyText"/>
        <w:tabs>
          <w:tab w:val="left" w:pos="1843"/>
        </w:tabs>
        <w:spacing w:after="80"/>
        <w:ind w:right="-142"/>
        <w:rPr>
          <w:rFonts w:cs="Arial"/>
          <w:sz w:val="22"/>
          <w:szCs w:val="22"/>
        </w:rPr>
      </w:pPr>
      <w:r w:rsidRPr="003677B2">
        <w:rPr>
          <w:rFonts w:cs="Arial"/>
          <w:sz w:val="22"/>
          <w:szCs w:val="22"/>
        </w:rPr>
        <w:t>SSU</w:t>
      </w:r>
      <w:r w:rsidRPr="003677B2">
        <w:rPr>
          <w:rFonts w:cs="Arial"/>
          <w:sz w:val="22"/>
          <w:szCs w:val="22"/>
        </w:rPr>
        <w:tab/>
      </w:r>
      <w:bookmarkStart w:id="468" w:name="_Hlk98507883"/>
      <w:r w:rsidRPr="003677B2">
        <w:rPr>
          <w:rFonts w:cs="Arial"/>
          <w:sz w:val="22"/>
          <w:szCs w:val="22"/>
        </w:rPr>
        <w:t>structural separation undertaking</w:t>
      </w:r>
      <w:bookmarkEnd w:id="468"/>
    </w:p>
    <w:p w14:paraId="660BA732" w14:textId="77777777" w:rsidR="00E41A00" w:rsidRPr="003677B2" w:rsidRDefault="00E41A00" w:rsidP="003677B2">
      <w:pPr>
        <w:pStyle w:val="ACMABodyText"/>
        <w:tabs>
          <w:tab w:val="left" w:pos="1843"/>
        </w:tabs>
        <w:spacing w:after="80"/>
        <w:ind w:left="1843" w:right="-142" w:hanging="1843"/>
        <w:rPr>
          <w:rFonts w:cs="Arial"/>
          <w:sz w:val="22"/>
          <w:szCs w:val="22"/>
        </w:rPr>
      </w:pPr>
      <w:r w:rsidRPr="003677B2">
        <w:rPr>
          <w:rFonts w:cs="Arial"/>
          <w:sz w:val="22"/>
          <w:szCs w:val="22"/>
        </w:rPr>
        <w:lastRenderedPageBreak/>
        <w:t>TCPSS Act</w:t>
      </w:r>
      <w:r w:rsidRPr="003677B2">
        <w:rPr>
          <w:rFonts w:cs="Arial"/>
          <w:sz w:val="22"/>
          <w:szCs w:val="22"/>
        </w:rPr>
        <w:tab/>
      </w:r>
      <w:r w:rsidRPr="003677B2">
        <w:rPr>
          <w:rFonts w:cs="Arial"/>
          <w:i/>
          <w:sz w:val="22"/>
          <w:szCs w:val="22"/>
        </w:rPr>
        <w:t>Telecommunications (Consumer Protection and Service Standards) Act 1999</w:t>
      </w:r>
    </w:p>
    <w:p w14:paraId="681A10B6" w14:textId="77777777" w:rsidR="00E41A00" w:rsidRPr="003677B2" w:rsidRDefault="00E41A00" w:rsidP="003677B2">
      <w:pPr>
        <w:pStyle w:val="ACMABodyText"/>
        <w:keepNext/>
        <w:keepLines/>
        <w:tabs>
          <w:tab w:val="left" w:pos="1843"/>
        </w:tabs>
        <w:spacing w:after="80"/>
        <w:ind w:right="-142"/>
        <w:rPr>
          <w:rFonts w:cs="Arial"/>
          <w:i/>
          <w:sz w:val="22"/>
          <w:szCs w:val="22"/>
        </w:rPr>
      </w:pPr>
      <w:r w:rsidRPr="003677B2">
        <w:rPr>
          <w:rFonts w:cs="Arial"/>
          <w:sz w:val="22"/>
          <w:szCs w:val="22"/>
        </w:rPr>
        <w:t>Telco Act</w:t>
      </w:r>
      <w:r w:rsidRPr="003677B2">
        <w:rPr>
          <w:rFonts w:cs="Arial"/>
          <w:sz w:val="22"/>
          <w:szCs w:val="22"/>
        </w:rPr>
        <w:tab/>
      </w:r>
      <w:r w:rsidRPr="003677B2">
        <w:rPr>
          <w:rFonts w:cs="Arial"/>
          <w:i/>
          <w:sz w:val="22"/>
          <w:szCs w:val="22"/>
        </w:rPr>
        <w:t>Telecommunications Act 1997</w:t>
      </w:r>
    </w:p>
    <w:p w14:paraId="4B00175E" w14:textId="77777777" w:rsidR="00E41A00" w:rsidRPr="003677B2" w:rsidRDefault="00E41A00" w:rsidP="003677B2">
      <w:pPr>
        <w:pStyle w:val="ACMABodyText"/>
        <w:keepNext/>
        <w:keepLines/>
        <w:tabs>
          <w:tab w:val="left" w:pos="1843"/>
        </w:tabs>
        <w:spacing w:after="80"/>
        <w:ind w:right="-142"/>
        <w:rPr>
          <w:rFonts w:cs="Arial"/>
          <w:sz w:val="22"/>
          <w:szCs w:val="22"/>
        </w:rPr>
      </w:pPr>
      <w:r w:rsidRPr="003677B2">
        <w:rPr>
          <w:rFonts w:cs="Arial"/>
          <w:sz w:val="22"/>
          <w:szCs w:val="22"/>
        </w:rPr>
        <w:t>TER</w:t>
      </w:r>
      <w:r w:rsidRPr="003677B2">
        <w:rPr>
          <w:rFonts w:cs="Arial"/>
          <w:sz w:val="22"/>
          <w:szCs w:val="22"/>
        </w:rPr>
        <w:tab/>
        <w:t>total eligible revenue</w:t>
      </w:r>
    </w:p>
    <w:p w14:paraId="5D8D57A6" w14:textId="77777777" w:rsidR="00E41A00" w:rsidRPr="003677B2" w:rsidRDefault="00E41A00" w:rsidP="003677B2">
      <w:pPr>
        <w:keepNext/>
        <w:keepLines/>
        <w:spacing w:after="80" w:line="280" w:lineRule="atLeast"/>
        <w:ind w:left="1872" w:hanging="1872"/>
        <w:rPr>
          <w:sz w:val="22"/>
          <w:szCs w:val="22"/>
        </w:rPr>
      </w:pPr>
      <w:r w:rsidRPr="003677B2">
        <w:rPr>
          <w:sz w:val="22"/>
          <w:szCs w:val="22"/>
        </w:rPr>
        <w:t>TERQRCSP</w:t>
      </w:r>
      <w:r w:rsidRPr="003677B2">
        <w:rPr>
          <w:sz w:val="22"/>
          <w:szCs w:val="22"/>
        </w:rPr>
        <w:tab/>
        <w:t>total assessed eligible revenue of all qualifying retail carriage service providers</w:t>
      </w:r>
    </w:p>
    <w:p w14:paraId="126867BB" w14:textId="77777777" w:rsidR="00E41A00" w:rsidRPr="003677B2" w:rsidRDefault="00E41A00" w:rsidP="003677B2">
      <w:pPr>
        <w:keepNext/>
        <w:keepLines/>
        <w:spacing w:after="80" w:line="280" w:lineRule="atLeast"/>
        <w:ind w:left="1872" w:hanging="1872"/>
        <w:rPr>
          <w:sz w:val="22"/>
          <w:szCs w:val="22"/>
        </w:rPr>
      </w:pPr>
      <w:r w:rsidRPr="003677B2">
        <w:rPr>
          <w:sz w:val="22"/>
          <w:szCs w:val="22"/>
        </w:rPr>
        <w:t xml:space="preserve">TFLC </w:t>
      </w:r>
      <w:r w:rsidRPr="003677B2">
        <w:rPr>
          <w:sz w:val="22"/>
          <w:szCs w:val="22"/>
        </w:rPr>
        <w:tab/>
        <w:t>total number of NBN fixed-line connections operated by all monitored service providers</w:t>
      </w:r>
    </w:p>
    <w:p w14:paraId="4A601E0A" w14:textId="77777777" w:rsidR="00E41A00" w:rsidRPr="003677B2" w:rsidRDefault="00E41A00" w:rsidP="003677B2">
      <w:pPr>
        <w:pStyle w:val="ACMABodyText"/>
        <w:keepNext/>
        <w:keepLines/>
        <w:tabs>
          <w:tab w:val="left" w:pos="1843"/>
        </w:tabs>
        <w:spacing w:after="80"/>
        <w:ind w:right="-142"/>
        <w:rPr>
          <w:rFonts w:cs="Arial"/>
          <w:i/>
          <w:iCs/>
          <w:sz w:val="22"/>
          <w:szCs w:val="22"/>
        </w:rPr>
      </w:pPr>
      <w:r w:rsidRPr="003677B2">
        <w:rPr>
          <w:rFonts w:cs="Arial"/>
          <w:sz w:val="22"/>
          <w:szCs w:val="22"/>
        </w:rPr>
        <w:t>the Act</w:t>
      </w:r>
      <w:r w:rsidRPr="003677B2">
        <w:rPr>
          <w:rFonts w:cs="Arial"/>
          <w:sz w:val="22"/>
          <w:szCs w:val="22"/>
        </w:rPr>
        <w:tab/>
      </w:r>
      <w:r w:rsidRPr="003677B2">
        <w:rPr>
          <w:rFonts w:cs="Arial"/>
          <w:i/>
          <w:sz w:val="22"/>
          <w:szCs w:val="22"/>
        </w:rPr>
        <w:t>Telecommunications (</w:t>
      </w:r>
      <w:r w:rsidRPr="003677B2">
        <w:rPr>
          <w:rFonts w:cs="Arial"/>
          <w:i/>
          <w:iCs/>
          <w:sz w:val="22"/>
          <w:szCs w:val="22"/>
        </w:rPr>
        <w:t>Carrier Licence Charges) Act 1997</w:t>
      </w:r>
    </w:p>
    <w:p w14:paraId="68E6B27E" w14:textId="08F2E0C8" w:rsidR="00E41A00" w:rsidRPr="003677B2" w:rsidRDefault="00E41A00" w:rsidP="00FC728F">
      <w:pPr>
        <w:keepNext/>
        <w:keepLines/>
        <w:spacing w:after="80" w:line="280" w:lineRule="atLeast"/>
        <w:ind w:left="1872" w:hanging="1872"/>
        <w:rPr>
          <w:szCs w:val="22"/>
        </w:rPr>
      </w:pPr>
      <w:r w:rsidRPr="003677B2">
        <w:rPr>
          <w:szCs w:val="22"/>
        </w:rPr>
        <w:t>TIO</w:t>
      </w:r>
      <w:r w:rsidRPr="003677B2">
        <w:rPr>
          <w:szCs w:val="22"/>
        </w:rPr>
        <w:tab/>
      </w:r>
      <w:r w:rsidRPr="00FC728F">
        <w:rPr>
          <w:sz w:val="22"/>
          <w:szCs w:val="22"/>
        </w:rPr>
        <w:t>Telecommunications</w:t>
      </w:r>
      <w:r w:rsidRPr="003677B2">
        <w:rPr>
          <w:szCs w:val="22"/>
        </w:rPr>
        <w:t xml:space="preserve"> Industry Ombudsman</w:t>
      </w:r>
    </w:p>
    <w:sectPr w:rsidR="00E41A00" w:rsidRPr="003677B2" w:rsidSect="005A62E5">
      <w:headerReference w:type="even" r:id="rId34"/>
      <w:headerReference w:type="default" r:id="rId35"/>
      <w:footerReference w:type="even" r:id="rId36"/>
      <w:footerReference w:type="default" r:id="rId37"/>
      <w:pgSz w:w="11906" w:h="16838" w:code="9"/>
      <w:pgMar w:top="1418" w:right="1418" w:bottom="1134" w:left="1418"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6C31" w14:textId="77777777" w:rsidR="00B239F0" w:rsidRDefault="00B239F0">
      <w:r>
        <w:separator/>
      </w:r>
    </w:p>
  </w:endnote>
  <w:endnote w:type="continuationSeparator" w:id="0">
    <w:p w14:paraId="173E3F7D" w14:textId="77777777" w:rsidR="00B239F0" w:rsidRDefault="00B2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60B9" w14:textId="77777777" w:rsidR="005E250B" w:rsidRDefault="005E250B" w:rsidP="005E250B">
    <w:pPr>
      <w:pStyle w:val="Footer"/>
      <w:jc w:val="right"/>
    </w:pPr>
    <w:r w:rsidRPr="005E250B">
      <w:rPr>
        <w:noProof/>
        <w:vertAlign w:val="subscript"/>
      </w:rPr>
      <w:drawing>
        <wp:inline distT="0" distB="0" distL="0" distR="0" wp14:anchorId="4D277855" wp14:editId="7E4044E5">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06FF"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B8FF"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FA1E"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195E3348"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CBCD"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742A7067"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DD21" w14:textId="77777777" w:rsidR="00C053A1" w:rsidRPr="005A62E5" w:rsidRDefault="005A62E5" w:rsidP="005A62E5">
    <w:pPr>
      <w:pStyle w:val="Header"/>
      <w:tabs>
        <w:tab w:val="clear" w:pos="4153"/>
        <w:tab w:val="clear" w:pos="8306"/>
        <w:tab w:val="right" w:pos="9072"/>
      </w:tabs>
      <w:rPr>
        <w:noProof/>
        <w:sz w:val="20"/>
      </w:rPr>
    </w:pPr>
    <w:r>
      <w:rPr>
        <w:color w:val="505050"/>
      </w:rPr>
      <w:t>Australian Communications and Media Authority</w:t>
    </w:r>
    <w:r>
      <w:rPr>
        <w:color w:val="505050"/>
      </w:rPr>
      <w:tab/>
    </w:r>
    <w:r w:rsidRPr="005A62E5">
      <w:rPr>
        <w:color w:val="505050"/>
      </w:rPr>
      <w:fldChar w:fldCharType="begin"/>
    </w:r>
    <w:r w:rsidRPr="005A62E5">
      <w:rPr>
        <w:color w:val="505050"/>
      </w:rPr>
      <w:instrText xml:space="preserve"> PAGE   \* MERGEFORMAT </w:instrText>
    </w:r>
    <w:r w:rsidRPr="005A62E5">
      <w:rPr>
        <w:color w:val="505050"/>
      </w:rPr>
      <w:fldChar w:fldCharType="separate"/>
    </w:r>
    <w:r w:rsidRPr="005A62E5">
      <w:rPr>
        <w:noProof/>
        <w:color w:val="505050"/>
      </w:rPr>
      <w:t>1</w:t>
    </w:r>
    <w:r w:rsidRPr="005A62E5">
      <w:rPr>
        <w:noProof/>
        <w:color w:val="50505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8023"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3051688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037F"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7264935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EAD0" w14:textId="77777777" w:rsidR="00B239F0" w:rsidRDefault="00B239F0" w:rsidP="00DB3A64">
      <w:pPr>
        <w:spacing w:after="0"/>
      </w:pPr>
      <w:r>
        <w:separator/>
      </w:r>
    </w:p>
  </w:footnote>
  <w:footnote w:type="continuationSeparator" w:id="0">
    <w:p w14:paraId="6E1FEB3D" w14:textId="77777777" w:rsidR="00B239F0" w:rsidRDefault="00B239F0">
      <w:r>
        <w:continuationSeparator/>
      </w:r>
    </w:p>
  </w:footnote>
  <w:footnote w:id="1">
    <w:p w14:paraId="21AF72B9" w14:textId="77777777" w:rsidR="00E41A00" w:rsidRDefault="00E41A00" w:rsidP="00E41A00">
      <w:pPr>
        <w:pStyle w:val="FootnoteText"/>
      </w:pPr>
      <w:r>
        <w:rPr>
          <w:rStyle w:val="FootnoteReference"/>
        </w:rPr>
        <w:footnoteRef/>
      </w:r>
      <w:r>
        <w:t xml:space="preserve"> This can be accessed from: </w:t>
      </w:r>
      <w:hyperlink r:id="rId1" w:history="1">
        <w:r w:rsidRPr="0095444A">
          <w:rPr>
            <w:rStyle w:val="Hyperlink"/>
          </w:rPr>
          <w:t>www.legislation.gov.au/Details/F2017L00542</w:t>
        </w:r>
      </w:hyperlink>
      <w:r w:rsidRPr="005B4096">
        <w:rPr>
          <w:rStyle w:val="Hyperlink"/>
          <w:color w:val="auto"/>
          <w:u w:val="none"/>
        </w:rPr>
        <w:t>.</w:t>
      </w:r>
      <w:r w:rsidRPr="00F5728D">
        <w:t xml:space="preserve"> </w:t>
      </w:r>
    </w:p>
  </w:footnote>
  <w:footnote w:id="2">
    <w:p w14:paraId="62D0EAB0" w14:textId="77777777" w:rsidR="00E41A00" w:rsidRDefault="00E41A00" w:rsidP="00E41A00">
      <w:pPr>
        <w:pStyle w:val="FootnoteText"/>
      </w:pPr>
      <w:r w:rsidRPr="0075757A">
        <w:rPr>
          <w:rStyle w:val="FootnoteReference"/>
        </w:rPr>
        <w:footnoteRef/>
      </w:r>
      <w:r w:rsidRPr="0075757A">
        <w:t xml:space="preserve"> See the </w:t>
      </w:r>
      <w:hyperlink r:id="rId2" w:history="1">
        <w:r w:rsidRPr="00600F17">
          <w:rPr>
            <w:rStyle w:val="Hyperlink"/>
          </w:rPr>
          <w:t>Telecommunications (Participating Persons) Determination 2015</w:t>
        </w:r>
      </w:hyperlink>
      <w:r w:rsidRPr="00474739">
        <w:rPr>
          <w:i/>
          <w:iCs/>
        </w:rPr>
        <w:t xml:space="preserve"> </w:t>
      </w:r>
      <w:r w:rsidRPr="0075757A">
        <w:rPr>
          <w:iCs/>
        </w:rPr>
        <w:t>for m</w:t>
      </w:r>
      <w:r w:rsidRPr="0075757A">
        <w:t>ore information.</w:t>
      </w:r>
    </w:p>
  </w:footnote>
  <w:footnote w:id="3">
    <w:p w14:paraId="50287F9C" w14:textId="77777777" w:rsidR="00E41A00" w:rsidRPr="00377E42" w:rsidRDefault="00E41A00" w:rsidP="00E41A00">
      <w:pPr>
        <w:pStyle w:val="FootnoteText"/>
      </w:pPr>
      <w:r w:rsidRPr="003C501D">
        <w:rPr>
          <w:rStyle w:val="FootnoteReference"/>
          <w:rFonts w:cs="Arial"/>
        </w:rPr>
        <w:footnoteRef/>
      </w:r>
      <w:r w:rsidRPr="003C501D">
        <w:t xml:space="preserve"> </w:t>
      </w:r>
      <w:hyperlink r:id="rId3" w:history="1">
        <w:r w:rsidRPr="003C501D">
          <w:rPr>
            <w:rStyle w:val="Hyperlink"/>
          </w:rPr>
          <w:t>https://archive.budget.gov.au/1996-97/statement4/bst04.pdf</w:t>
        </w:r>
      </w:hyperlink>
      <w:r>
        <w:t xml:space="preserve">, </w:t>
      </w:r>
      <w:hyperlink r:id="rId4" w:history="1">
        <w:r w:rsidRPr="00443BC3">
          <w:rPr>
            <w:rStyle w:val="Hyperlink"/>
          </w:rPr>
          <w:t>https://archive.budget.gov.au/2005-06/myefo/myefo_2005-06.pdf</w:t>
        </w:r>
      </w:hyperlink>
      <w:r>
        <w:t xml:space="preserve">, </w:t>
      </w:r>
      <w:hyperlink r:id="rId5" w:history="1">
        <w:r w:rsidRPr="00443BC3">
          <w:rPr>
            <w:rStyle w:val="Hyperlink"/>
          </w:rPr>
          <w:t>https://archive.budget.gov.au/2009-10/bp2/bp2_consolidated.pdf</w:t>
        </w:r>
      </w:hyperlink>
      <w:r>
        <w:t xml:space="preserve">, </w:t>
      </w:r>
      <w:hyperlink r:id="rId6" w:history="1">
        <w:r w:rsidRPr="00443BC3">
          <w:rPr>
            <w:rStyle w:val="Hyperlink"/>
          </w:rPr>
          <w:t>https://archive.budget.gov.au/2009-10/myefo/MYEFO_2009-10.pdf</w:t>
        </w:r>
      </w:hyperlink>
      <w:r>
        <w:t xml:space="preserve">, </w:t>
      </w:r>
      <w:hyperlink r:id="rId7" w:history="1">
        <w:r w:rsidRPr="00443BC3">
          <w:rPr>
            <w:rStyle w:val="Hyperlink"/>
          </w:rPr>
          <w:t>https://archive.budget.gov.au/2010-11/bp2/bp2.pdf</w:t>
        </w:r>
      </w:hyperlink>
      <w:r>
        <w:t xml:space="preserve">, </w:t>
      </w:r>
      <w:hyperlink r:id="rId8" w:history="1">
        <w:r w:rsidRPr="00443BC3">
          <w:rPr>
            <w:rStyle w:val="Hyperlink"/>
          </w:rPr>
          <w:t>https://archive.budget.gov.au/2011-12/bp2/bp2.pdf</w:t>
        </w:r>
      </w:hyperlink>
      <w:r>
        <w:t xml:space="preserve">, </w:t>
      </w:r>
      <w:hyperlink r:id="rId9" w:history="1">
        <w:r w:rsidRPr="00443BC3">
          <w:rPr>
            <w:rStyle w:val="Hyperlink"/>
          </w:rPr>
          <w:t>https://archive.budget.gov.au/2013-14/bp2/BP2_consolidated.pdf</w:t>
        </w:r>
      </w:hyperlink>
      <w:r>
        <w:t xml:space="preserve">, </w:t>
      </w:r>
      <w:hyperlink r:id="rId10" w:history="1">
        <w:r w:rsidRPr="00443BC3">
          <w:rPr>
            <w:rStyle w:val="Hyperlink"/>
          </w:rPr>
          <w:t>https://archive.budget.gov.au/2014-15/bp2/BP2_consolidated.pdf</w:t>
        </w:r>
      </w:hyperlink>
      <w:r w:rsidRPr="00A11442">
        <w:rPr>
          <w:u w:color="0000FF"/>
        </w:rPr>
        <w:t>.</w:t>
      </w:r>
    </w:p>
  </w:footnote>
  <w:footnote w:id="4">
    <w:p w14:paraId="3CB4586B" w14:textId="77777777" w:rsidR="00E41A00" w:rsidRPr="002223D2" w:rsidRDefault="00E41A00" w:rsidP="00E41A00">
      <w:pPr>
        <w:pStyle w:val="FootnoteText"/>
      </w:pPr>
      <w:r w:rsidRPr="002223D2">
        <w:rPr>
          <w:rStyle w:val="FootnoteReference"/>
        </w:rPr>
        <w:footnoteRef/>
      </w:r>
      <w:r w:rsidRPr="002223D2">
        <w:t xml:space="preserve"> The 2017 </w:t>
      </w:r>
      <w:r>
        <w:t xml:space="preserve">Direction </w:t>
      </w:r>
      <w:r w:rsidRPr="002223D2">
        <w:t>defines relevant financial year as the financial year tha</w:t>
      </w:r>
      <w:r>
        <w:t>t begins on 1 July 2017</w:t>
      </w:r>
      <w:r w:rsidRPr="002223D2">
        <w:t xml:space="preserve"> and each later financial year</w:t>
      </w:r>
      <w:r>
        <w:t xml:space="preserve">. </w:t>
      </w:r>
    </w:p>
  </w:footnote>
  <w:footnote w:id="5">
    <w:p w14:paraId="6DB0C50E" w14:textId="77777777" w:rsidR="00E41A00" w:rsidRPr="00F65D9C" w:rsidRDefault="00E41A00" w:rsidP="00E41A00">
      <w:pPr>
        <w:pStyle w:val="FootnoteText"/>
      </w:pPr>
      <w:r>
        <w:rPr>
          <w:rStyle w:val="FootnoteReference"/>
        </w:rPr>
        <w:footnoteRef/>
      </w:r>
      <w:r>
        <w:t xml:space="preserve"> The term non-participating person for the purpose of the 2017 Direction has the same meaning as in subsection 4(3) of the </w:t>
      </w:r>
      <w:r w:rsidRPr="00146CA0">
        <w:rPr>
          <w:iCs/>
        </w:rPr>
        <w:t>Telecommunications (Participating Persons) Determination 2015</w:t>
      </w:r>
      <w:r>
        <w:rPr>
          <w:i/>
        </w:rPr>
        <w:t>.</w:t>
      </w:r>
    </w:p>
  </w:footnote>
  <w:footnote w:id="6">
    <w:p w14:paraId="31848F2A" w14:textId="77777777" w:rsidR="00E41A00" w:rsidRDefault="00E41A00" w:rsidP="00E41A00">
      <w:pPr>
        <w:pStyle w:val="FootnoteText"/>
      </w:pPr>
      <w:r w:rsidRPr="007B5ADB">
        <w:rPr>
          <w:rStyle w:val="FootnoteReference"/>
        </w:rPr>
        <w:footnoteRef/>
      </w:r>
      <w:r w:rsidRPr="007B5ADB">
        <w:t xml:space="preserve"> This component may incorporate costs indirectly related to the MBA program (for example</w:t>
      </w:r>
      <w:r>
        <w:t>,</w:t>
      </w:r>
      <w:r w:rsidRPr="007B5ADB">
        <w:t xml:space="preserve"> administration costs, contract management and publishing of results costs) associated more generally with the ACLC.</w:t>
      </w:r>
      <w:r>
        <w:t xml:space="preserve"> </w:t>
      </w:r>
      <w:r w:rsidRPr="0062541E">
        <w:t xml:space="preserve">However, costs </w:t>
      </w:r>
      <w:r>
        <w:t>that</w:t>
      </w:r>
      <w:r w:rsidRPr="0062541E">
        <w:t xml:space="preserve"> directly relate to the </w:t>
      </w:r>
      <w:r w:rsidRPr="003B4101">
        <w:t>MBA progra</w:t>
      </w:r>
      <w:r w:rsidRPr="0062541E">
        <w:t xml:space="preserve">m are not included </w:t>
      </w:r>
      <w:r w:rsidRPr="000518A7">
        <w:t>in T</w:t>
      </w:r>
      <w:r w:rsidRPr="003B4101">
        <w:t>able 1, but are disclosed in Attachment B.</w:t>
      </w:r>
      <w:r>
        <w:t xml:space="preserve"> </w:t>
      </w:r>
    </w:p>
  </w:footnote>
  <w:footnote w:id="7">
    <w:p w14:paraId="45751972" w14:textId="77777777" w:rsidR="00E41A00" w:rsidRDefault="00E41A00" w:rsidP="00E41A00">
      <w:pPr>
        <w:pStyle w:val="FootnoteText"/>
      </w:pPr>
      <w:r>
        <w:rPr>
          <w:rStyle w:val="FootnoteReference"/>
        </w:rPr>
        <w:footnoteRef/>
      </w:r>
      <w:r>
        <w:t xml:space="preserve"> </w:t>
      </w:r>
      <w:hyperlink r:id="rId11" w:history="1">
        <w:r>
          <w:rPr>
            <w:rStyle w:val="Hyperlink"/>
          </w:rPr>
          <w:t>Federal Register of Legislation - Telecommunications (Carrier Licence Charges) (Paragraph 15(1)(d)) Determination 2024</w:t>
        </w:r>
      </w:hyperlink>
    </w:p>
  </w:footnote>
  <w:footnote w:id="8">
    <w:p w14:paraId="385E066D" w14:textId="77777777" w:rsidR="00E41A00" w:rsidRDefault="00E41A00" w:rsidP="00E41A00">
      <w:pPr>
        <w:pStyle w:val="FootnoteText"/>
      </w:pPr>
      <w:r>
        <w:rPr>
          <w:rStyle w:val="FootnoteReference"/>
        </w:rPr>
        <w:footnoteRef/>
      </w:r>
      <w:r>
        <w:t xml:space="preserve"> </w:t>
      </w:r>
      <w:hyperlink r:id="rId12" w:history="1">
        <w:r w:rsidRPr="00A146F3">
          <w:rPr>
            <w:rStyle w:val="Hyperlink"/>
          </w:rPr>
          <w:t>Telecommunications (Carrier Licence Charges) (Paragraph 15(1)(d)) Determination 2024 (legislation.gov.au)</w:t>
        </w:r>
      </w:hyperlink>
      <w:r>
        <w:t xml:space="preserve"> </w:t>
      </w:r>
    </w:p>
  </w:footnote>
  <w:footnote w:id="9">
    <w:p w14:paraId="0A295F8A" w14:textId="77777777" w:rsidR="00E41A00" w:rsidRDefault="00E41A00" w:rsidP="00E41A00">
      <w:pPr>
        <w:pStyle w:val="FootnoteText"/>
      </w:pPr>
      <w:r>
        <w:rPr>
          <w:rStyle w:val="FootnoteReference"/>
        </w:rPr>
        <w:footnoteRef/>
      </w:r>
      <w:r>
        <w:t xml:space="preserve"> Subsection 15(4) of the Act defines the terms ‘ACMA’s telecommunications functions’ and ‘ACMA’s telecommunications powers’ for the purposes of the Act. </w:t>
      </w:r>
    </w:p>
  </w:footnote>
  <w:footnote w:id="10">
    <w:p w14:paraId="7042DFBC" w14:textId="77777777" w:rsidR="00E41A00" w:rsidRDefault="00E41A00" w:rsidP="00E41A00">
      <w:pPr>
        <w:pStyle w:val="FootnoteText"/>
      </w:pPr>
      <w:r>
        <w:rPr>
          <w:rStyle w:val="FootnoteReference"/>
        </w:rPr>
        <w:footnoteRef/>
      </w:r>
      <w:r>
        <w:t xml:space="preserve"> </w:t>
      </w:r>
      <w:hyperlink r:id="rId13" w:history="1">
        <w:r>
          <w:rPr>
            <w:rStyle w:val="Hyperlink"/>
          </w:rPr>
          <w:t>https://www.legislation.gov.au/F2024L00392</w:t>
        </w:r>
      </w:hyperlink>
    </w:p>
  </w:footnote>
  <w:footnote w:id="11">
    <w:p w14:paraId="508E2EC0" w14:textId="77777777" w:rsidR="00E41A00" w:rsidRDefault="00E41A00" w:rsidP="00E41A00">
      <w:pPr>
        <w:pStyle w:val="FootnoteText"/>
      </w:pPr>
      <w:r>
        <w:rPr>
          <w:rStyle w:val="FootnoteReference"/>
        </w:rPr>
        <w:footnoteRef/>
      </w:r>
      <w:r>
        <w:t xml:space="preserve"> </w:t>
      </w:r>
      <w:r w:rsidRPr="00DB265F">
        <w:t>This is the amount of the ACMA’s costs for the immediately preceding financial year that is attributable to its telecommunications functions and powers but has been met from telecommunications charges other than the ACLC (see Attachment A). This amount also excludes the costs of activities prescribed under subsection 15(4) of the Act in relation to the Do Not Call Register and telemarketing activities.</w:t>
      </w:r>
    </w:p>
  </w:footnote>
  <w:footnote w:id="12">
    <w:p w14:paraId="79A45489" w14:textId="77777777" w:rsidR="00E41A00" w:rsidRDefault="00E41A00" w:rsidP="00E41A00">
      <w:pPr>
        <w:pStyle w:val="FootnoteText"/>
      </w:pPr>
      <w:r>
        <w:rPr>
          <w:rStyle w:val="FootnoteReference"/>
        </w:rPr>
        <w:footnoteRef/>
      </w:r>
      <w:r>
        <w:t xml:space="preserve"> </w:t>
      </w:r>
      <w:hyperlink r:id="rId14" w:history="1">
        <w:r w:rsidRPr="00A95FD2">
          <w:rPr>
            <w:rStyle w:val="Hyperlink"/>
          </w:rPr>
          <w:t>www.communications.gov.au/documents/part-complaints-handling-and-consumer-redress-consumer-safeguards-review-report-minister</w:t>
        </w:r>
      </w:hyperlink>
    </w:p>
  </w:footnote>
  <w:footnote w:id="13">
    <w:p w14:paraId="304C1557" w14:textId="77777777" w:rsidR="00E41A00" w:rsidRDefault="00E41A00" w:rsidP="00E41A00">
      <w:pPr>
        <w:pStyle w:val="FootnoteText"/>
      </w:pPr>
      <w:r>
        <w:rPr>
          <w:rStyle w:val="FootnoteReference"/>
        </w:rPr>
        <w:footnoteRef/>
      </w:r>
      <w:r>
        <w:t xml:space="preserve"> The term ‘qualifying retail carriage servicer provider’ is defined in section 7 of the RKRs. </w:t>
      </w:r>
    </w:p>
  </w:footnote>
  <w:footnote w:id="14">
    <w:p w14:paraId="71DB70F6" w14:textId="206BF79F" w:rsidR="00E41A00" w:rsidRDefault="00E41A00" w:rsidP="00E41A00">
      <w:pPr>
        <w:pStyle w:val="FootnoteText"/>
      </w:pPr>
      <w:r>
        <w:rPr>
          <w:rStyle w:val="FootnoteReference"/>
        </w:rPr>
        <w:footnoteRef/>
      </w:r>
      <w:r>
        <w:t xml:space="preserve"> </w:t>
      </w:r>
      <w:r w:rsidRPr="00720272">
        <w:rPr>
          <w:rFonts w:cs="Arial"/>
        </w:rPr>
        <w:t>The Act requires the components under paragraph 15(1)(a)</w:t>
      </w:r>
      <w:r>
        <w:rPr>
          <w:rFonts w:cs="Arial"/>
        </w:rPr>
        <w:t xml:space="preserve">, </w:t>
      </w:r>
      <w:r w:rsidRPr="00720272">
        <w:rPr>
          <w:rFonts w:cs="Arial"/>
        </w:rPr>
        <w:t>15(1)(b) and 15(1)(ca) to be calculated on the costs that are incurred in the financial year immediately preceding the financial year for which the charges are imposed</w:t>
      </w:r>
      <w:r>
        <w:rPr>
          <w:rFonts w:cs="Arial"/>
        </w:rPr>
        <w:t xml:space="preserve"> (the 2022</w:t>
      </w:r>
      <w:r w:rsidR="000F4C8A">
        <w:t>–</w:t>
      </w:r>
      <w:r>
        <w:rPr>
          <w:rFonts w:cs="Arial"/>
        </w:rPr>
        <w:t>23 financial year). T</w:t>
      </w:r>
      <w:r w:rsidRPr="00D35E14">
        <w:t xml:space="preserve">he cost component under paragraph 15(1)(c) relates to the calendar year </w:t>
      </w:r>
      <w:r>
        <w:t xml:space="preserve">(the 2023 calendar year) </w:t>
      </w:r>
      <w:r w:rsidRPr="00D35E14">
        <w:t>in which the beginning of the financial year for imposing the ACLC occurs.</w:t>
      </w:r>
      <w:r>
        <w:t xml:space="preserve"> The component under paragraph 15(1)(d) relates to the 2023</w:t>
      </w:r>
      <w:r w:rsidR="000F4C8A">
        <w:t>–</w:t>
      </w:r>
      <w:r>
        <w:t>24 financial year.</w:t>
      </w:r>
    </w:p>
  </w:footnote>
  <w:footnote w:id="15">
    <w:p w14:paraId="0A897CB7" w14:textId="77777777" w:rsidR="00E41A00" w:rsidRDefault="00E41A00" w:rsidP="00E41A00">
      <w:pPr>
        <w:pStyle w:val="FootnoteText"/>
      </w:pPr>
      <w:r>
        <w:rPr>
          <w:rStyle w:val="FootnoteReference"/>
        </w:rPr>
        <w:footnoteRef/>
      </w:r>
      <w:r>
        <w:t xml:space="preserve"> </w:t>
      </w:r>
      <w:hyperlink r:id="rId15" w:history="1">
        <w:r w:rsidRPr="00393089">
          <w:rPr>
            <w:rStyle w:val="Hyperlink"/>
          </w:rPr>
          <w:t>www.budget.gov.au/</w:t>
        </w:r>
        <w:r>
          <w:rPr>
            <w:rStyle w:val="Hyperlink"/>
          </w:rPr>
          <w:t>2019–20</w:t>
        </w:r>
        <w:r w:rsidRPr="00393089">
          <w:rPr>
            <w:rStyle w:val="Hyperlink"/>
          </w:rPr>
          <w:t>/content/bp2/index.htm</w:t>
        </w:r>
      </w:hyperlink>
      <w:r>
        <w:rPr>
          <w:rStyle w:val="Hyperlink"/>
        </w:rPr>
        <w:t xml:space="preserve"> </w:t>
      </w:r>
    </w:p>
  </w:footnote>
  <w:footnote w:id="16">
    <w:p w14:paraId="578228F5" w14:textId="77777777" w:rsidR="00E41A00" w:rsidRDefault="00E41A00" w:rsidP="00E41A00">
      <w:pPr>
        <w:pStyle w:val="FootnoteText"/>
      </w:pPr>
      <w:r>
        <w:rPr>
          <w:rStyle w:val="FootnoteReference"/>
        </w:rPr>
        <w:footnoteRef/>
      </w:r>
      <w:r>
        <w:t xml:space="preserve"> Australian Competition and Consumer Commission (2017), </w:t>
      </w:r>
      <w:r w:rsidRPr="009D2B04">
        <w:rPr>
          <w:i/>
        </w:rPr>
        <w:t>ACCC to monitor Australia's broadband performance</w:t>
      </w:r>
      <w:r>
        <w:t xml:space="preserve">, </w:t>
      </w:r>
      <w:hyperlink r:id="rId16" w:history="1">
        <w:r w:rsidRPr="00565F9A">
          <w:rPr>
            <w:rStyle w:val="Hyperlink"/>
          </w:rPr>
          <w:t>www.accc.gov.au/media-release/accc-to-monitor-australias-broadband-performance</w:t>
        </w:r>
      </w:hyperlink>
      <w:r>
        <w:rPr>
          <w:rStyle w:val="Hyperlink"/>
        </w:rPr>
        <w:t>.</w:t>
      </w:r>
    </w:p>
  </w:footnote>
  <w:footnote w:id="17">
    <w:p w14:paraId="376A2CDA" w14:textId="77777777" w:rsidR="00E41A00" w:rsidRDefault="00E41A00" w:rsidP="00E41A00">
      <w:pPr>
        <w:pStyle w:val="FootnoteText"/>
      </w:pPr>
      <w:r>
        <w:rPr>
          <w:rStyle w:val="FootnoteReference"/>
        </w:rPr>
        <w:footnoteRef/>
      </w:r>
      <w:r>
        <w:t xml:space="preserve"> Portfolio Budget Statements 2017</w:t>
      </w:r>
      <w:r w:rsidRPr="00DF1372">
        <w:rPr>
          <w:rFonts w:cs="Arial"/>
        </w:rPr>
        <w:t>–</w:t>
      </w:r>
      <w:r>
        <w:t xml:space="preserve">18 Budget Related Paper No. 1.16 Treasury Portfolio, </w:t>
      </w:r>
      <w:hyperlink r:id="rId17" w:history="1">
        <w:r w:rsidRPr="00B45D9C">
          <w:rPr>
            <w:rStyle w:val="Hyperlink"/>
          </w:rPr>
          <w:t>https://static.treasury.gov.au/uploads/sites/1/2017/06/PBS-2.pdf</w:t>
        </w:r>
      </w:hyperlink>
      <w:r>
        <w:t xml:space="preserve">, p. 83. </w:t>
      </w:r>
    </w:p>
  </w:footnote>
  <w:footnote w:id="18">
    <w:p w14:paraId="7F47659B" w14:textId="77777777" w:rsidR="00E41A00" w:rsidRDefault="00E41A00" w:rsidP="00E41A00">
      <w:pPr>
        <w:pStyle w:val="FootnoteText"/>
      </w:pPr>
      <w:r>
        <w:rPr>
          <w:rStyle w:val="FootnoteReference"/>
        </w:rPr>
        <w:footnoteRef/>
      </w:r>
      <w:r>
        <w:t xml:space="preserve"> </w:t>
      </w:r>
      <w:r w:rsidRPr="006D0585">
        <w:t>Speed tier refers to the NBN speed option being used to provide the volunteer’s broadband service (</w:t>
      </w:r>
      <w:r>
        <w:t>for example,</w:t>
      </w:r>
      <w:r w:rsidRPr="006D0585">
        <w:t xml:space="preserve"> 12/1 Mbps, 25/5 Mbps)</w:t>
      </w:r>
      <w:r>
        <w:t>,</w:t>
      </w:r>
      <w:r w:rsidRPr="006D0585">
        <w:t xml:space="preserve"> being a speed tier that the ACCC has chosen to include in </w:t>
      </w:r>
      <w:r>
        <w:t>its</w:t>
      </w:r>
      <w:r w:rsidRPr="006D0585">
        <w:t xml:space="preserve">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CDD2" w14:textId="77777777" w:rsidR="00C053A1" w:rsidRPr="005A62E5" w:rsidRDefault="005A62E5" w:rsidP="005A62E5">
    <w:pPr>
      <w:pStyle w:val="Header"/>
    </w:pPr>
    <w:r>
      <w:rPr>
        <w:noProof/>
      </w:rPr>
      <w:drawing>
        <wp:inline distT="0" distB="0" distL="0" distR="0" wp14:anchorId="2B855D9A" wp14:editId="48E3D589">
          <wp:extent cx="3229598" cy="381000"/>
          <wp:effectExtent l="0" t="0" r="952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3300801" cy="389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E6CB"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4E45"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60DE"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81C43E2" w14:textId="77777777" w:rsidTr="003B0421">
      <w:trPr>
        <w:trHeight w:hRule="exact" w:val="988"/>
      </w:trPr>
      <w:tc>
        <w:tcPr>
          <w:tcW w:w="7678" w:type="dxa"/>
          <w:shd w:val="clear" w:color="auto" w:fill="auto"/>
        </w:tcPr>
        <w:p w14:paraId="1C47C34E" w14:textId="77777777" w:rsidR="00971914" w:rsidRDefault="00971914" w:rsidP="00971914">
          <w:pPr>
            <w:pStyle w:val="Header"/>
          </w:pPr>
        </w:p>
      </w:tc>
    </w:tr>
    <w:tr w:rsidR="00971914" w14:paraId="1BE256F6" w14:textId="77777777" w:rsidTr="003B0421">
      <w:tc>
        <w:tcPr>
          <w:tcW w:w="7678" w:type="dxa"/>
          <w:shd w:val="clear" w:color="auto" w:fill="auto"/>
        </w:tcPr>
        <w:p w14:paraId="3F64DF96" w14:textId="77777777" w:rsidR="00971914" w:rsidRDefault="00971914" w:rsidP="00971914">
          <w:pPr>
            <w:pStyle w:val="GridTable31"/>
          </w:pPr>
          <w:r>
            <w:t xml:space="preserve">Contents </w:t>
          </w:r>
          <w:r w:rsidRPr="00915B1C">
            <w:rPr>
              <w:b w:val="0"/>
              <w:spacing w:val="0"/>
              <w:sz w:val="28"/>
              <w:szCs w:val="28"/>
            </w:rPr>
            <w:t>(Continued)</w:t>
          </w:r>
        </w:p>
      </w:tc>
    </w:tr>
    <w:tr w:rsidR="00971914" w14:paraId="7F0FCE28" w14:textId="77777777" w:rsidTr="003B0421">
      <w:trPr>
        <w:trHeight w:val="1220"/>
      </w:trPr>
      <w:tc>
        <w:tcPr>
          <w:tcW w:w="7678" w:type="dxa"/>
          <w:shd w:val="clear" w:color="auto" w:fill="auto"/>
        </w:tcPr>
        <w:p w14:paraId="552ECA32" w14:textId="77777777" w:rsidR="00971914" w:rsidRDefault="00971914" w:rsidP="00971914"/>
      </w:tc>
    </w:tr>
  </w:tbl>
  <w:p w14:paraId="1C64C740"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DEA48AA" w14:textId="77777777" w:rsidTr="003B0421">
      <w:trPr>
        <w:trHeight w:hRule="exact" w:val="988"/>
      </w:trPr>
      <w:tc>
        <w:tcPr>
          <w:tcW w:w="7678" w:type="dxa"/>
          <w:shd w:val="clear" w:color="auto" w:fill="auto"/>
        </w:tcPr>
        <w:p w14:paraId="6CD2CC08" w14:textId="77777777" w:rsidR="00971914" w:rsidRDefault="00971914" w:rsidP="00971914">
          <w:pPr>
            <w:pStyle w:val="Header"/>
          </w:pPr>
        </w:p>
      </w:tc>
    </w:tr>
    <w:tr w:rsidR="00971914" w14:paraId="2573A335" w14:textId="77777777" w:rsidTr="003B0421">
      <w:tc>
        <w:tcPr>
          <w:tcW w:w="7678" w:type="dxa"/>
          <w:shd w:val="clear" w:color="auto" w:fill="auto"/>
        </w:tcPr>
        <w:p w14:paraId="4FF2820A" w14:textId="77777777" w:rsidR="00971914" w:rsidRDefault="00971914" w:rsidP="00971914">
          <w:pPr>
            <w:pStyle w:val="GridTable31"/>
          </w:pPr>
          <w:r>
            <w:t xml:space="preserve">Contents </w:t>
          </w:r>
          <w:r w:rsidRPr="00915B1C">
            <w:rPr>
              <w:b w:val="0"/>
              <w:spacing w:val="0"/>
              <w:sz w:val="28"/>
              <w:szCs w:val="28"/>
            </w:rPr>
            <w:t>(Continued)</w:t>
          </w:r>
        </w:p>
      </w:tc>
    </w:tr>
    <w:tr w:rsidR="00971914" w14:paraId="6B7D88EA" w14:textId="77777777" w:rsidTr="003B0421">
      <w:trPr>
        <w:trHeight w:val="1220"/>
      </w:trPr>
      <w:tc>
        <w:tcPr>
          <w:tcW w:w="7678" w:type="dxa"/>
          <w:shd w:val="clear" w:color="auto" w:fill="auto"/>
        </w:tcPr>
        <w:p w14:paraId="6048FF78" w14:textId="77777777" w:rsidR="00971914" w:rsidRDefault="00971914" w:rsidP="00971914"/>
      </w:tc>
    </w:tr>
  </w:tbl>
  <w:p w14:paraId="49FA6F8B"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0D72"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D659"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93C0CEB6"/>
    <w:lvl w:ilvl="0">
      <w:start w:val="1"/>
      <w:numFmt w:val="decimal"/>
      <w:pStyle w:val="ListNumber"/>
      <w:lvlText w:val="%1."/>
      <w:lvlJc w:val="left"/>
      <w:pPr>
        <w:ind w:left="360" w:hanging="360"/>
      </w:pPr>
      <w:rPr>
        <w:rFonts w:hint="default"/>
        <w:b w:val="0"/>
        <w:bCs/>
        <w:caps/>
        <w:sz w:val="22"/>
        <w:szCs w:val="28"/>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EB55F81"/>
    <w:multiLevelType w:val="hybridMultilevel"/>
    <w:tmpl w:val="884A1BC8"/>
    <w:lvl w:ilvl="0" w:tplc="32204036">
      <w:start w:val="1"/>
      <w:numFmt w:val="decimal"/>
      <w:pStyle w:val="LegislationLvl1"/>
      <w:lvlText w:val="%1"/>
      <w:lvlJc w:val="left"/>
      <w:pPr>
        <w:tabs>
          <w:tab w:val="num" w:pos="1176"/>
        </w:tabs>
        <w:ind w:left="1176" w:hanging="720"/>
      </w:pPr>
      <w:rPr>
        <w:rFonts w:hint="default"/>
      </w:rPr>
    </w:lvl>
    <w:lvl w:ilvl="1" w:tplc="93C69154">
      <w:start w:val="1"/>
      <w:numFmt w:val="decimal"/>
      <w:pStyle w:val="LegislationLvl2"/>
      <w:lvlText w:val="(%2)"/>
      <w:lvlJc w:val="left"/>
      <w:pPr>
        <w:tabs>
          <w:tab w:val="num" w:pos="1536"/>
        </w:tabs>
        <w:ind w:left="1536" w:hanging="360"/>
      </w:pPr>
      <w:rPr>
        <w:rFonts w:hint="default"/>
      </w:rPr>
    </w:lvl>
    <w:lvl w:ilvl="2" w:tplc="BD8A0056">
      <w:start w:val="1"/>
      <w:numFmt w:val="lowerLetter"/>
      <w:pStyle w:val="LegislationLvl1"/>
      <w:lvlText w:val="(%3)"/>
      <w:lvlJc w:val="left"/>
      <w:pPr>
        <w:tabs>
          <w:tab w:val="num" w:pos="2436"/>
        </w:tabs>
        <w:ind w:left="2436" w:hanging="360"/>
      </w:pPr>
      <w:rPr>
        <w:rFonts w:hint="default"/>
      </w:rPr>
    </w:lvl>
    <w:lvl w:ilvl="3" w:tplc="BF665EE0">
      <w:start w:val="1"/>
      <w:numFmt w:val="lowerRoman"/>
      <w:pStyle w:val="LegislationLvl2"/>
      <w:lvlText w:val="(%4)"/>
      <w:lvlJc w:val="right"/>
      <w:pPr>
        <w:tabs>
          <w:tab w:val="num" w:pos="2796"/>
        </w:tabs>
        <w:ind w:left="2796" w:hanging="180"/>
      </w:pPr>
      <w:rPr>
        <w:rFonts w:hint="default"/>
      </w:rPr>
    </w:lvl>
    <w:lvl w:ilvl="4" w:tplc="04090019">
      <w:start w:val="1"/>
      <w:numFmt w:val="lowerLetter"/>
      <w:lvlText w:val="%5."/>
      <w:lvlJc w:val="left"/>
      <w:pPr>
        <w:tabs>
          <w:tab w:val="num" w:pos="3696"/>
        </w:tabs>
        <w:ind w:left="3696" w:hanging="360"/>
      </w:pPr>
    </w:lvl>
    <w:lvl w:ilvl="5" w:tplc="0409001B">
      <w:start w:val="1"/>
      <w:numFmt w:val="lowerRoman"/>
      <w:lvlText w:val="%6."/>
      <w:lvlJc w:val="right"/>
      <w:pPr>
        <w:tabs>
          <w:tab w:val="num" w:pos="4416"/>
        </w:tabs>
        <w:ind w:left="4416" w:hanging="180"/>
      </w:pPr>
    </w:lvl>
    <w:lvl w:ilvl="6" w:tplc="0409000F">
      <w:start w:val="1"/>
      <w:numFmt w:val="decimal"/>
      <w:lvlText w:val="%7."/>
      <w:lvlJc w:val="left"/>
      <w:pPr>
        <w:tabs>
          <w:tab w:val="num" w:pos="5136"/>
        </w:tabs>
        <w:ind w:left="5136" w:hanging="360"/>
      </w:pPr>
    </w:lvl>
    <w:lvl w:ilvl="7" w:tplc="04090019">
      <w:start w:val="1"/>
      <w:numFmt w:val="lowerLetter"/>
      <w:lvlText w:val="%8."/>
      <w:lvlJc w:val="left"/>
      <w:pPr>
        <w:tabs>
          <w:tab w:val="num" w:pos="5856"/>
        </w:tabs>
        <w:ind w:left="5856" w:hanging="360"/>
      </w:pPr>
    </w:lvl>
    <w:lvl w:ilvl="8" w:tplc="0409001B">
      <w:start w:val="1"/>
      <w:numFmt w:val="lowerRoman"/>
      <w:lvlText w:val="%9."/>
      <w:lvlJc w:val="right"/>
      <w:pPr>
        <w:tabs>
          <w:tab w:val="num" w:pos="6576"/>
        </w:tabs>
        <w:ind w:left="6576" w:hanging="180"/>
      </w:pPr>
    </w:lvl>
  </w:abstractNum>
  <w:abstractNum w:abstractNumId="5" w15:restartNumberingAfterBreak="0">
    <w:nsid w:val="11AD521D"/>
    <w:multiLevelType w:val="hybridMultilevel"/>
    <w:tmpl w:val="B108FD84"/>
    <w:lvl w:ilvl="0" w:tplc="DD00C67E">
      <w:start w:val="1"/>
      <w:numFmt w:val="bullet"/>
      <w:pStyle w:val="Bulletlevel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A097B21"/>
    <w:multiLevelType w:val="hybridMultilevel"/>
    <w:tmpl w:val="0A6049EA"/>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F73A97"/>
    <w:multiLevelType w:val="hybridMultilevel"/>
    <w:tmpl w:val="D592EBA8"/>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10" w15:restartNumberingAfterBreak="0">
    <w:nsid w:val="3435097D"/>
    <w:multiLevelType w:val="hybridMultilevel"/>
    <w:tmpl w:val="7326FCDC"/>
    <w:lvl w:ilvl="0" w:tplc="8DFEE398">
      <w:start w:val="1"/>
      <w:numFmt w:val="bullet"/>
      <w:pStyle w:val="Bulletlevel2las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4ADB6E73"/>
    <w:multiLevelType w:val="hybridMultilevel"/>
    <w:tmpl w:val="FC0E5C90"/>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C3E245E"/>
    <w:multiLevelType w:val="hybridMultilevel"/>
    <w:tmpl w:val="C4904A4A"/>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FCF73DD"/>
    <w:multiLevelType w:val="hybridMultilevel"/>
    <w:tmpl w:val="6B90F10A"/>
    <w:lvl w:ilvl="0" w:tplc="C296A452">
      <w:start w:val="1"/>
      <w:numFmt w:val="bullet"/>
      <w:pStyle w:val="Bullet1"/>
      <w:lvlText w:val="•"/>
      <w:lvlJc w:val="left"/>
      <w:pPr>
        <w:ind w:left="360" w:hanging="360"/>
      </w:pPr>
      <w:rPr>
        <w:rFonts w:ascii="Arial" w:hAnsi="Arial" w:cs="Times New Roman" w:hint="default"/>
      </w:rPr>
    </w:lvl>
    <w:lvl w:ilvl="1" w:tplc="A2AC32E2">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2E1A81"/>
    <w:multiLevelType w:val="hybridMultilevel"/>
    <w:tmpl w:val="D8885FB6"/>
    <w:lvl w:ilvl="0" w:tplc="1026004E">
      <w:start w:val="1"/>
      <w:numFmt w:val="bullet"/>
      <w:pStyle w:val="Bulletlevel1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030409"/>
    <w:multiLevelType w:val="hybridMultilevel"/>
    <w:tmpl w:val="194A93A6"/>
    <w:lvl w:ilvl="0" w:tplc="44EEC084">
      <w:start w:val="1"/>
      <w:numFmt w:val="bullet"/>
      <w:lvlText w:val="&gt;"/>
      <w:lvlJc w:val="left"/>
      <w:pPr>
        <w:ind w:left="720" w:hanging="360"/>
      </w:pPr>
      <w:rPr>
        <w:rFonts w:ascii="HelveticaNeueLT Std" w:hAnsi="HelveticaNeueLT Std"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BC098E"/>
    <w:multiLevelType w:val="hybridMultilevel"/>
    <w:tmpl w:val="2E386898"/>
    <w:lvl w:ilvl="0" w:tplc="BD340FDA">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5E33D2"/>
    <w:multiLevelType w:val="hybridMultilevel"/>
    <w:tmpl w:val="5748E7B0"/>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251DE9"/>
    <w:multiLevelType w:val="hybridMultilevel"/>
    <w:tmpl w:val="8CF61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8"/>
  </w:num>
  <w:num w:numId="6" w16cid:durableId="818768531">
    <w:abstractNumId w:val="16"/>
  </w:num>
  <w:num w:numId="7" w16cid:durableId="636617026">
    <w:abstractNumId w:val="14"/>
  </w:num>
  <w:num w:numId="8" w16cid:durableId="227307242">
    <w:abstractNumId w:val="15"/>
  </w:num>
  <w:num w:numId="9" w16cid:durableId="1325478460">
    <w:abstractNumId w:val="17"/>
  </w:num>
  <w:num w:numId="10" w16cid:durableId="44449778">
    <w:abstractNumId w:val="20"/>
  </w:num>
  <w:num w:numId="11" w16cid:durableId="319240718">
    <w:abstractNumId w:val="18"/>
  </w:num>
  <w:num w:numId="12" w16cid:durableId="1091731347">
    <w:abstractNumId w:val="5"/>
  </w:num>
  <w:num w:numId="13" w16cid:durableId="1733236431">
    <w:abstractNumId w:val="10"/>
  </w:num>
  <w:num w:numId="14" w16cid:durableId="1318996281">
    <w:abstractNumId w:val="9"/>
  </w:num>
  <w:num w:numId="15" w16cid:durableId="1182432230">
    <w:abstractNumId w:val="4"/>
    <w:lvlOverride w:ilvl="0">
      <w:startOverride w:val="1"/>
    </w:lvlOverride>
  </w:num>
  <w:num w:numId="16" w16cid:durableId="1505583698">
    <w:abstractNumId w:val="13"/>
  </w:num>
  <w:num w:numId="17" w16cid:durableId="1318454344">
    <w:abstractNumId w:val="21"/>
  </w:num>
  <w:num w:numId="18" w16cid:durableId="1073357306">
    <w:abstractNumId w:val="6"/>
  </w:num>
  <w:num w:numId="19" w16cid:durableId="1094012129">
    <w:abstractNumId w:val="7"/>
  </w:num>
  <w:num w:numId="20" w16cid:durableId="1081870361">
    <w:abstractNumId w:val="11"/>
  </w:num>
  <w:num w:numId="21" w16cid:durableId="637493933">
    <w:abstractNumId w:val="12"/>
  </w:num>
  <w:num w:numId="22" w16cid:durableId="1436707960">
    <w:abstractNumId w:val="19"/>
  </w:num>
  <w:num w:numId="23" w16cid:durableId="24419375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00"/>
    <w:rsid w:val="00010667"/>
    <w:rsid w:val="000129D5"/>
    <w:rsid w:val="00015AE7"/>
    <w:rsid w:val="000164F6"/>
    <w:rsid w:val="00016E21"/>
    <w:rsid w:val="0001719C"/>
    <w:rsid w:val="00021DBD"/>
    <w:rsid w:val="0002224E"/>
    <w:rsid w:val="000245E5"/>
    <w:rsid w:val="00026F91"/>
    <w:rsid w:val="000313E8"/>
    <w:rsid w:val="0004764C"/>
    <w:rsid w:val="0005011A"/>
    <w:rsid w:val="0005045A"/>
    <w:rsid w:val="00051C1E"/>
    <w:rsid w:val="000539F9"/>
    <w:rsid w:val="00054C27"/>
    <w:rsid w:val="00055EC3"/>
    <w:rsid w:val="000563CE"/>
    <w:rsid w:val="00062369"/>
    <w:rsid w:val="000659B6"/>
    <w:rsid w:val="0006686F"/>
    <w:rsid w:val="0006722A"/>
    <w:rsid w:val="000677AE"/>
    <w:rsid w:val="000732CF"/>
    <w:rsid w:val="00075B96"/>
    <w:rsid w:val="0008196A"/>
    <w:rsid w:val="000915ED"/>
    <w:rsid w:val="0009209D"/>
    <w:rsid w:val="0009463C"/>
    <w:rsid w:val="000969BD"/>
    <w:rsid w:val="000969BF"/>
    <w:rsid w:val="000971BD"/>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0F4C8A"/>
    <w:rsid w:val="000F7FDA"/>
    <w:rsid w:val="0010267F"/>
    <w:rsid w:val="00103829"/>
    <w:rsid w:val="00111FCE"/>
    <w:rsid w:val="00113F84"/>
    <w:rsid w:val="00121B03"/>
    <w:rsid w:val="001229A5"/>
    <w:rsid w:val="00122C4C"/>
    <w:rsid w:val="0012489B"/>
    <w:rsid w:val="00130017"/>
    <w:rsid w:val="00130F91"/>
    <w:rsid w:val="001349ED"/>
    <w:rsid w:val="00137424"/>
    <w:rsid w:val="00140318"/>
    <w:rsid w:val="00141AD9"/>
    <w:rsid w:val="00146CE6"/>
    <w:rsid w:val="00152903"/>
    <w:rsid w:val="00153FD5"/>
    <w:rsid w:val="0015614F"/>
    <w:rsid w:val="001577C2"/>
    <w:rsid w:val="001633C4"/>
    <w:rsid w:val="001704D5"/>
    <w:rsid w:val="00171591"/>
    <w:rsid w:val="00173981"/>
    <w:rsid w:val="0017719D"/>
    <w:rsid w:val="00181180"/>
    <w:rsid w:val="00183FD7"/>
    <w:rsid w:val="00185CAB"/>
    <w:rsid w:val="001875B7"/>
    <w:rsid w:val="00187CB3"/>
    <w:rsid w:val="0019050A"/>
    <w:rsid w:val="001910D4"/>
    <w:rsid w:val="00193F3A"/>
    <w:rsid w:val="001976E3"/>
    <w:rsid w:val="00197A96"/>
    <w:rsid w:val="001A44EC"/>
    <w:rsid w:val="001B13CC"/>
    <w:rsid w:val="001B28D9"/>
    <w:rsid w:val="001B58AA"/>
    <w:rsid w:val="001B7E48"/>
    <w:rsid w:val="001C09E7"/>
    <w:rsid w:val="001C17CE"/>
    <w:rsid w:val="001C36CA"/>
    <w:rsid w:val="001C44D1"/>
    <w:rsid w:val="001C5510"/>
    <w:rsid w:val="001C6AEE"/>
    <w:rsid w:val="001C7630"/>
    <w:rsid w:val="001D4DD0"/>
    <w:rsid w:val="001D6D15"/>
    <w:rsid w:val="001F054E"/>
    <w:rsid w:val="001F7558"/>
    <w:rsid w:val="00205B57"/>
    <w:rsid w:val="002157E0"/>
    <w:rsid w:val="00216A57"/>
    <w:rsid w:val="002170EB"/>
    <w:rsid w:val="00217448"/>
    <w:rsid w:val="0022334F"/>
    <w:rsid w:val="00226819"/>
    <w:rsid w:val="00233101"/>
    <w:rsid w:val="00233817"/>
    <w:rsid w:val="002367FF"/>
    <w:rsid w:val="00240CE9"/>
    <w:rsid w:val="002434BA"/>
    <w:rsid w:val="00246089"/>
    <w:rsid w:val="00246093"/>
    <w:rsid w:val="00246702"/>
    <w:rsid w:val="00246E76"/>
    <w:rsid w:val="00247C59"/>
    <w:rsid w:val="00247F2E"/>
    <w:rsid w:val="00250ADC"/>
    <w:rsid w:val="00250B07"/>
    <w:rsid w:val="00257553"/>
    <w:rsid w:val="00260FB2"/>
    <w:rsid w:val="00262128"/>
    <w:rsid w:val="0027165D"/>
    <w:rsid w:val="00273CEB"/>
    <w:rsid w:val="00281C89"/>
    <w:rsid w:val="0028282F"/>
    <w:rsid w:val="00284A74"/>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E30A9"/>
    <w:rsid w:val="002E4DDC"/>
    <w:rsid w:val="00302480"/>
    <w:rsid w:val="00302758"/>
    <w:rsid w:val="00306491"/>
    <w:rsid w:val="003125DD"/>
    <w:rsid w:val="003165E6"/>
    <w:rsid w:val="003215B5"/>
    <w:rsid w:val="003221CF"/>
    <w:rsid w:val="003233ED"/>
    <w:rsid w:val="00324D9F"/>
    <w:rsid w:val="00327948"/>
    <w:rsid w:val="0033000F"/>
    <w:rsid w:val="00332011"/>
    <w:rsid w:val="00332518"/>
    <w:rsid w:val="00332925"/>
    <w:rsid w:val="003332ED"/>
    <w:rsid w:val="003368DC"/>
    <w:rsid w:val="00345927"/>
    <w:rsid w:val="00350584"/>
    <w:rsid w:val="00351857"/>
    <w:rsid w:val="003545E8"/>
    <w:rsid w:val="003610E1"/>
    <w:rsid w:val="003671BE"/>
    <w:rsid w:val="003677B2"/>
    <w:rsid w:val="00372485"/>
    <w:rsid w:val="00373200"/>
    <w:rsid w:val="00375EF5"/>
    <w:rsid w:val="003767A5"/>
    <w:rsid w:val="00380258"/>
    <w:rsid w:val="00381D15"/>
    <w:rsid w:val="00383AA2"/>
    <w:rsid w:val="00385254"/>
    <w:rsid w:val="00396E58"/>
    <w:rsid w:val="003A04DB"/>
    <w:rsid w:val="003A1D01"/>
    <w:rsid w:val="003A5F5B"/>
    <w:rsid w:val="003A789A"/>
    <w:rsid w:val="003B12EC"/>
    <w:rsid w:val="003C4631"/>
    <w:rsid w:val="003C77E0"/>
    <w:rsid w:val="003D17D7"/>
    <w:rsid w:val="003D2678"/>
    <w:rsid w:val="003D71A3"/>
    <w:rsid w:val="003E01F3"/>
    <w:rsid w:val="003E2B8A"/>
    <w:rsid w:val="003F10EE"/>
    <w:rsid w:val="003F16F6"/>
    <w:rsid w:val="003F1B47"/>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1C5"/>
    <w:rsid w:val="0045124D"/>
    <w:rsid w:val="00454596"/>
    <w:rsid w:val="0045605D"/>
    <w:rsid w:val="0046135B"/>
    <w:rsid w:val="00461D47"/>
    <w:rsid w:val="004718CC"/>
    <w:rsid w:val="00481695"/>
    <w:rsid w:val="00495A96"/>
    <w:rsid w:val="00495BB3"/>
    <w:rsid w:val="004962DC"/>
    <w:rsid w:val="004A173D"/>
    <w:rsid w:val="004A56BB"/>
    <w:rsid w:val="004A70D6"/>
    <w:rsid w:val="004B1751"/>
    <w:rsid w:val="004C0253"/>
    <w:rsid w:val="004D3AEA"/>
    <w:rsid w:val="004D56FF"/>
    <w:rsid w:val="004E2D1D"/>
    <w:rsid w:val="004E39D3"/>
    <w:rsid w:val="004E508A"/>
    <w:rsid w:val="004E616D"/>
    <w:rsid w:val="004F1BDE"/>
    <w:rsid w:val="004F2CEE"/>
    <w:rsid w:val="004F556E"/>
    <w:rsid w:val="004F591C"/>
    <w:rsid w:val="004F7F44"/>
    <w:rsid w:val="005037B4"/>
    <w:rsid w:val="005079BF"/>
    <w:rsid w:val="00511E94"/>
    <w:rsid w:val="0051269A"/>
    <w:rsid w:val="005144FA"/>
    <w:rsid w:val="005219E7"/>
    <w:rsid w:val="00521ED4"/>
    <w:rsid w:val="00525B37"/>
    <w:rsid w:val="00531B9A"/>
    <w:rsid w:val="00531D15"/>
    <w:rsid w:val="00537604"/>
    <w:rsid w:val="00542377"/>
    <w:rsid w:val="005476EB"/>
    <w:rsid w:val="00551782"/>
    <w:rsid w:val="00563EF1"/>
    <w:rsid w:val="00566AB4"/>
    <w:rsid w:val="00575AC5"/>
    <w:rsid w:val="0057605D"/>
    <w:rsid w:val="00581347"/>
    <w:rsid w:val="00581AC9"/>
    <w:rsid w:val="005849F8"/>
    <w:rsid w:val="005936A6"/>
    <w:rsid w:val="005938DF"/>
    <w:rsid w:val="00594E9C"/>
    <w:rsid w:val="005A099B"/>
    <w:rsid w:val="005A2D9C"/>
    <w:rsid w:val="005A55FE"/>
    <w:rsid w:val="005A62E5"/>
    <w:rsid w:val="005A6A11"/>
    <w:rsid w:val="005D2502"/>
    <w:rsid w:val="005D40BB"/>
    <w:rsid w:val="005D47F3"/>
    <w:rsid w:val="005D49BF"/>
    <w:rsid w:val="005D4AA5"/>
    <w:rsid w:val="005D6F4E"/>
    <w:rsid w:val="005D7C73"/>
    <w:rsid w:val="005E250B"/>
    <w:rsid w:val="005E3ACD"/>
    <w:rsid w:val="005E7226"/>
    <w:rsid w:val="005E7A57"/>
    <w:rsid w:val="005F24B0"/>
    <w:rsid w:val="00601B57"/>
    <w:rsid w:val="00604315"/>
    <w:rsid w:val="00604E26"/>
    <w:rsid w:val="0060523F"/>
    <w:rsid w:val="006052CF"/>
    <w:rsid w:val="00607B8D"/>
    <w:rsid w:val="00611F5C"/>
    <w:rsid w:val="00613C38"/>
    <w:rsid w:val="00616E09"/>
    <w:rsid w:val="00622A3B"/>
    <w:rsid w:val="00622EEA"/>
    <w:rsid w:val="0062396C"/>
    <w:rsid w:val="00623FF9"/>
    <w:rsid w:val="00627D4E"/>
    <w:rsid w:val="00632B89"/>
    <w:rsid w:val="0063346D"/>
    <w:rsid w:val="00634478"/>
    <w:rsid w:val="00642E84"/>
    <w:rsid w:val="00644373"/>
    <w:rsid w:val="00645915"/>
    <w:rsid w:val="006519C3"/>
    <w:rsid w:val="00652B30"/>
    <w:rsid w:val="00652BBD"/>
    <w:rsid w:val="00656345"/>
    <w:rsid w:val="00656DC6"/>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52DE"/>
    <w:rsid w:val="006B5717"/>
    <w:rsid w:val="006B582F"/>
    <w:rsid w:val="006B5EB2"/>
    <w:rsid w:val="006C0CEB"/>
    <w:rsid w:val="006C1631"/>
    <w:rsid w:val="006C3B1E"/>
    <w:rsid w:val="006C47FD"/>
    <w:rsid w:val="006C5C19"/>
    <w:rsid w:val="006C70A0"/>
    <w:rsid w:val="006D27CB"/>
    <w:rsid w:val="006D2F08"/>
    <w:rsid w:val="006D4D01"/>
    <w:rsid w:val="006D576C"/>
    <w:rsid w:val="006D5865"/>
    <w:rsid w:val="006E4B1B"/>
    <w:rsid w:val="006E5445"/>
    <w:rsid w:val="006E7D93"/>
    <w:rsid w:val="006F4943"/>
    <w:rsid w:val="007029A3"/>
    <w:rsid w:val="00702EA1"/>
    <w:rsid w:val="00706E4E"/>
    <w:rsid w:val="0070791C"/>
    <w:rsid w:val="00710185"/>
    <w:rsid w:val="0071383C"/>
    <w:rsid w:val="007141A7"/>
    <w:rsid w:val="00714748"/>
    <w:rsid w:val="007152CD"/>
    <w:rsid w:val="00715722"/>
    <w:rsid w:val="00721032"/>
    <w:rsid w:val="00721B55"/>
    <w:rsid w:val="00726CE4"/>
    <w:rsid w:val="00734143"/>
    <w:rsid w:val="00737E47"/>
    <w:rsid w:val="00740EAC"/>
    <w:rsid w:val="00744956"/>
    <w:rsid w:val="00745A5C"/>
    <w:rsid w:val="0074605F"/>
    <w:rsid w:val="00747E94"/>
    <w:rsid w:val="00754C83"/>
    <w:rsid w:val="00761A23"/>
    <w:rsid w:val="00761E5C"/>
    <w:rsid w:val="00765DF8"/>
    <w:rsid w:val="00766749"/>
    <w:rsid w:val="00767C1B"/>
    <w:rsid w:val="007714A9"/>
    <w:rsid w:val="00774F88"/>
    <w:rsid w:val="00774FDB"/>
    <w:rsid w:val="007775FC"/>
    <w:rsid w:val="00777BA2"/>
    <w:rsid w:val="00781408"/>
    <w:rsid w:val="00784F7F"/>
    <w:rsid w:val="007878BD"/>
    <w:rsid w:val="00790900"/>
    <w:rsid w:val="00790BD4"/>
    <w:rsid w:val="00796F25"/>
    <w:rsid w:val="007A2E98"/>
    <w:rsid w:val="007A3BA3"/>
    <w:rsid w:val="007A6CC0"/>
    <w:rsid w:val="007A7FEC"/>
    <w:rsid w:val="007B1499"/>
    <w:rsid w:val="007B1BBF"/>
    <w:rsid w:val="007B2960"/>
    <w:rsid w:val="007B355D"/>
    <w:rsid w:val="007B5117"/>
    <w:rsid w:val="007B7980"/>
    <w:rsid w:val="007C0DEF"/>
    <w:rsid w:val="007C5D5A"/>
    <w:rsid w:val="007C607F"/>
    <w:rsid w:val="007C6820"/>
    <w:rsid w:val="007C6E44"/>
    <w:rsid w:val="007C79DD"/>
    <w:rsid w:val="007D1A97"/>
    <w:rsid w:val="007D2CD6"/>
    <w:rsid w:val="007D3063"/>
    <w:rsid w:val="007D3CEB"/>
    <w:rsid w:val="007E3375"/>
    <w:rsid w:val="007E7683"/>
    <w:rsid w:val="007F49FA"/>
    <w:rsid w:val="007F54C4"/>
    <w:rsid w:val="007F6E9A"/>
    <w:rsid w:val="00800CCD"/>
    <w:rsid w:val="008044D4"/>
    <w:rsid w:val="00810AB4"/>
    <w:rsid w:val="00817B56"/>
    <w:rsid w:val="00821A88"/>
    <w:rsid w:val="0082495D"/>
    <w:rsid w:val="00831AC3"/>
    <w:rsid w:val="00836552"/>
    <w:rsid w:val="00836FCE"/>
    <w:rsid w:val="008408FF"/>
    <w:rsid w:val="00851F3F"/>
    <w:rsid w:val="0085618F"/>
    <w:rsid w:val="00856EDC"/>
    <w:rsid w:val="008623B5"/>
    <w:rsid w:val="00870ABA"/>
    <w:rsid w:val="008710E1"/>
    <w:rsid w:val="008716E5"/>
    <w:rsid w:val="00881CA9"/>
    <w:rsid w:val="00882E54"/>
    <w:rsid w:val="0088339A"/>
    <w:rsid w:val="00883628"/>
    <w:rsid w:val="00885544"/>
    <w:rsid w:val="0088634E"/>
    <w:rsid w:val="00890151"/>
    <w:rsid w:val="00893AB8"/>
    <w:rsid w:val="008A04C8"/>
    <w:rsid w:val="008A6913"/>
    <w:rsid w:val="008B70F3"/>
    <w:rsid w:val="008B71C4"/>
    <w:rsid w:val="008B76DF"/>
    <w:rsid w:val="008C10F4"/>
    <w:rsid w:val="008C65F7"/>
    <w:rsid w:val="008E4767"/>
    <w:rsid w:val="008E7A8C"/>
    <w:rsid w:val="008F7669"/>
    <w:rsid w:val="0090203B"/>
    <w:rsid w:val="00902432"/>
    <w:rsid w:val="00903285"/>
    <w:rsid w:val="00906F40"/>
    <w:rsid w:val="0090731E"/>
    <w:rsid w:val="00915B1C"/>
    <w:rsid w:val="009174F3"/>
    <w:rsid w:val="0091797D"/>
    <w:rsid w:val="00923CBA"/>
    <w:rsid w:val="009242EB"/>
    <w:rsid w:val="00926703"/>
    <w:rsid w:val="00927691"/>
    <w:rsid w:val="00927A5F"/>
    <w:rsid w:val="00930510"/>
    <w:rsid w:val="00935B63"/>
    <w:rsid w:val="0094078F"/>
    <w:rsid w:val="00940FA3"/>
    <w:rsid w:val="00941FB0"/>
    <w:rsid w:val="009426D4"/>
    <w:rsid w:val="00947F25"/>
    <w:rsid w:val="00950159"/>
    <w:rsid w:val="0095490B"/>
    <w:rsid w:val="00960A33"/>
    <w:rsid w:val="00971914"/>
    <w:rsid w:val="00974363"/>
    <w:rsid w:val="00981898"/>
    <w:rsid w:val="0099577C"/>
    <w:rsid w:val="009B24A5"/>
    <w:rsid w:val="009B2601"/>
    <w:rsid w:val="009B4E9E"/>
    <w:rsid w:val="009C1690"/>
    <w:rsid w:val="009C6881"/>
    <w:rsid w:val="009C7759"/>
    <w:rsid w:val="009D043D"/>
    <w:rsid w:val="009D07C8"/>
    <w:rsid w:val="009D1D05"/>
    <w:rsid w:val="009D2529"/>
    <w:rsid w:val="009D6C71"/>
    <w:rsid w:val="009E0631"/>
    <w:rsid w:val="009E16D0"/>
    <w:rsid w:val="009E2051"/>
    <w:rsid w:val="009E38FD"/>
    <w:rsid w:val="009F13D6"/>
    <w:rsid w:val="009F4C6B"/>
    <w:rsid w:val="009F78A8"/>
    <w:rsid w:val="00A02AD6"/>
    <w:rsid w:val="00A07096"/>
    <w:rsid w:val="00A07318"/>
    <w:rsid w:val="00A11370"/>
    <w:rsid w:val="00A16917"/>
    <w:rsid w:val="00A17B1B"/>
    <w:rsid w:val="00A224CE"/>
    <w:rsid w:val="00A22522"/>
    <w:rsid w:val="00A2440D"/>
    <w:rsid w:val="00A24882"/>
    <w:rsid w:val="00A24AFD"/>
    <w:rsid w:val="00A24F5C"/>
    <w:rsid w:val="00A32518"/>
    <w:rsid w:val="00A32F96"/>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24E8"/>
    <w:rsid w:val="00A967FD"/>
    <w:rsid w:val="00AA1F0B"/>
    <w:rsid w:val="00AA2DE5"/>
    <w:rsid w:val="00AB156C"/>
    <w:rsid w:val="00AB5A0D"/>
    <w:rsid w:val="00AB6814"/>
    <w:rsid w:val="00AC04BA"/>
    <w:rsid w:val="00AC0E39"/>
    <w:rsid w:val="00AC24C5"/>
    <w:rsid w:val="00AD3082"/>
    <w:rsid w:val="00AD32B4"/>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125DE"/>
    <w:rsid w:val="00B13FDD"/>
    <w:rsid w:val="00B22EB2"/>
    <w:rsid w:val="00B239F0"/>
    <w:rsid w:val="00B27442"/>
    <w:rsid w:val="00B31167"/>
    <w:rsid w:val="00B329D8"/>
    <w:rsid w:val="00B32BB9"/>
    <w:rsid w:val="00B33AE1"/>
    <w:rsid w:val="00B37C38"/>
    <w:rsid w:val="00B41FC8"/>
    <w:rsid w:val="00B4288C"/>
    <w:rsid w:val="00B43262"/>
    <w:rsid w:val="00B44100"/>
    <w:rsid w:val="00B46CBA"/>
    <w:rsid w:val="00B46F94"/>
    <w:rsid w:val="00B6003C"/>
    <w:rsid w:val="00B61F03"/>
    <w:rsid w:val="00B626E4"/>
    <w:rsid w:val="00B72F4A"/>
    <w:rsid w:val="00B81642"/>
    <w:rsid w:val="00B83C27"/>
    <w:rsid w:val="00B84BC3"/>
    <w:rsid w:val="00B84BDD"/>
    <w:rsid w:val="00B92812"/>
    <w:rsid w:val="00BB45A1"/>
    <w:rsid w:val="00BB7686"/>
    <w:rsid w:val="00BC2081"/>
    <w:rsid w:val="00BC23F9"/>
    <w:rsid w:val="00BC3421"/>
    <w:rsid w:val="00BC732C"/>
    <w:rsid w:val="00BD1CE1"/>
    <w:rsid w:val="00BD4421"/>
    <w:rsid w:val="00BD7249"/>
    <w:rsid w:val="00BE2580"/>
    <w:rsid w:val="00BE266D"/>
    <w:rsid w:val="00BE35CB"/>
    <w:rsid w:val="00BE3938"/>
    <w:rsid w:val="00BE4C11"/>
    <w:rsid w:val="00BE6805"/>
    <w:rsid w:val="00BE71C0"/>
    <w:rsid w:val="00BF610C"/>
    <w:rsid w:val="00C0060B"/>
    <w:rsid w:val="00C01A6C"/>
    <w:rsid w:val="00C0277D"/>
    <w:rsid w:val="00C053A1"/>
    <w:rsid w:val="00C16198"/>
    <w:rsid w:val="00C2083D"/>
    <w:rsid w:val="00C24A53"/>
    <w:rsid w:val="00C34A05"/>
    <w:rsid w:val="00C35CCE"/>
    <w:rsid w:val="00C4032F"/>
    <w:rsid w:val="00C44047"/>
    <w:rsid w:val="00C45155"/>
    <w:rsid w:val="00C5498F"/>
    <w:rsid w:val="00C55235"/>
    <w:rsid w:val="00C55D36"/>
    <w:rsid w:val="00C57A02"/>
    <w:rsid w:val="00C646AE"/>
    <w:rsid w:val="00C64CD0"/>
    <w:rsid w:val="00C6684F"/>
    <w:rsid w:val="00C70E70"/>
    <w:rsid w:val="00C75F8D"/>
    <w:rsid w:val="00C77380"/>
    <w:rsid w:val="00C81BBA"/>
    <w:rsid w:val="00C82940"/>
    <w:rsid w:val="00C87E8A"/>
    <w:rsid w:val="00C97736"/>
    <w:rsid w:val="00CA345A"/>
    <w:rsid w:val="00CB1E82"/>
    <w:rsid w:val="00CB4BA8"/>
    <w:rsid w:val="00CB52D7"/>
    <w:rsid w:val="00CB7B48"/>
    <w:rsid w:val="00CC6732"/>
    <w:rsid w:val="00CE0BB5"/>
    <w:rsid w:val="00CE3C96"/>
    <w:rsid w:val="00CE51A8"/>
    <w:rsid w:val="00CF369B"/>
    <w:rsid w:val="00D00E28"/>
    <w:rsid w:val="00D0269E"/>
    <w:rsid w:val="00D05D6C"/>
    <w:rsid w:val="00D0680A"/>
    <w:rsid w:val="00D15810"/>
    <w:rsid w:val="00D16D4E"/>
    <w:rsid w:val="00D16FE3"/>
    <w:rsid w:val="00D27F41"/>
    <w:rsid w:val="00D36441"/>
    <w:rsid w:val="00D37B23"/>
    <w:rsid w:val="00D4064E"/>
    <w:rsid w:val="00D414E9"/>
    <w:rsid w:val="00D42EF0"/>
    <w:rsid w:val="00D44E9B"/>
    <w:rsid w:val="00D45FD2"/>
    <w:rsid w:val="00D47AEB"/>
    <w:rsid w:val="00D50DB9"/>
    <w:rsid w:val="00D51302"/>
    <w:rsid w:val="00D52C43"/>
    <w:rsid w:val="00D60571"/>
    <w:rsid w:val="00D6507F"/>
    <w:rsid w:val="00D730BC"/>
    <w:rsid w:val="00D73912"/>
    <w:rsid w:val="00D80DAF"/>
    <w:rsid w:val="00D85226"/>
    <w:rsid w:val="00D87B94"/>
    <w:rsid w:val="00D92D49"/>
    <w:rsid w:val="00D92EC1"/>
    <w:rsid w:val="00D93730"/>
    <w:rsid w:val="00D96DEA"/>
    <w:rsid w:val="00DA4E41"/>
    <w:rsid w:val="00DB117A"/>
    <w:rsid w:val="00DB3A64"/>
    <w:rsid w:val="00DB5173"/>
    <w:rsid w:val="00DB7873"/>
    <w:rsid w:val="00DC187B"/>
    <w:rsid w:val="00DC7DEF"/>
    <w:rsid w:val="00DD1A43"/>
    <w:rsid w:val="00DD73C2"/>
    <w:rsid w:val="00DE319B"/>
    <w:rsid w:val="00DF0799"/>
    <w:rsid w:val="00DF2237"/>
    <w:rsid w:val="00DF34FE"/>
    <w:rsid w:val="00DF56AA"/>
    <w:rsid w:val="00DF56AF"/>
    <w:rsid w:val="00DF78E7"/>
    <w:rsid w:val="00E01726"/>
    <w:rsid w:val="00E07FF7"/>
    <w:rsid w:val="00E110E0"/>
    <w:rsid w:val="00E11E68"/>
    <w:rsid w:val="00E15371"/>
    <w:rsid w:val="00E23372"/>
    <w:rsid w:val="00E24104"/>
    <w:rsid w:val="00E302D0"/>
    <w:rsid w:val="00E35707"/>
    <w:rsid w:val="00E36AA1"/>
    <w:rsid w:val="00E41A00"/>
    <w:rsid w:val="00E41ECB"/>
    <w:rsid w:val="00E42676"/>
    <w:rsid w:val="00E54FDB"/>
    <w:rsid w:val="00E5617D"/>
    <w:rsid w:val="00E563D7"/>
    <w:rsid w:val="00E63B22"/>
    <w:rsid w:val="00E663F4"/>
    <w:rsid w:val="00E66601"/>
    <w:rsid w:val="00E666F2"/>
    <w:rsid w:val="00E66DD4"/>
    <w:rsid w:val="00E748CC"/>
    <w:rsid w:val="00E75415"/>
    <w:rsid w:val="00E775B1"/>
    <w:rsid w:val="00E8152A"/>
    <w:rsid w:val="00E93629"/>
    <w:rsid w:val="00E93B5C"/>
    <w:rsid w:val="00E94CEC"/>
    <w:rsid w:val="00EA04EF"/>
    <w:rsid w:val="00EA6F19"/>
    <w:rsid w:val="00EB7090"/>
    <w:rsid w:val="00EC1BBE"/>
    <w:rsid w:val="00EC2B68"/>
    <w:rsid w:val="00EC3AEF"/>
    <w:rsid w:val="00EC5CD7"/>
    <w:rsid w:val="00EE5FB3"/>
    <w:rsid w:val="00EE7F79"/>
    <w:rsid w:val="00EF715A"/>
    <w:rsid w:val="00F01BC3"/>
    <w:rsid w:val="00F04366"/>
    <w:rsid w:val="00F06E14"/>
    <w:rsid w:val="00F179D4"/>
    <w:rsid w:val="00F22D2A"/>
    <w:rsid w:val="00F23786"/>
    <w:rsid w:val="00F26009"/>
    <w:rsid w:val="00F33C56"/>
    <w:rsid w:val="00F347C7"/>
    <w:rsid w:val="00F34848"/>
    <w:rsid w:val="00F42D46"/>
    <w:rsid w:val="00F4496C"/>
    <w:rsid w:val="00F44F3A"/>
    <w:rsid w:val="00F45DD5"/>
    <w:rsid w:val="00F51F10"/>
    <w:rsid w:val="00F529A5"/>
    <w:rsid w:val="00F60F00"/>
    <w:rsid w:val="00F614C0"/>
    <w:rsid w:val="00F61C77"/>
    <w:rsid w:val="00F7389C"/>
    <w:rsid w:val="00F83848"/>
    <w:rsid w:val="00F975E9"/>
    <w:rsid w:val="00FA1B7D"/>
    <w:rsid w:val="00FC07B9"/>
    <w:rsid w:val="00FC4E21"/>
    <w:rsid w:val="00FC5F6D"/>
    <w:rsid w:val="00FC728F"/>
    <w:rsid w:val="00FD0107"/>
    <w:rsid w:val="00FD2C2F"/>
    <w:rsid w:val="00FD3620"/>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7F0C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lsdException w:name="heading 5" w:uiPriority="99"/>
    <w:lsdException w:name="heading 6" w:uiPriority="99"/>
    <w:lsdException w:name="heading 7" w:uiPriority="99"/>
    <w:lsdException w:name="heading 8" w:uiPriority="99"/>
    <w:lsdException w:name="heading 9" w:uiPriority="99"/>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C6820"/>
    <w:pPr>
      <w:spacing w:after="240" w:line="240" w:lineRule="atLeast"/>
    </w:pPr>
    <w:rPr>
      <w:rFonts w:ascii="Arial" w:hAnsi="Arial"/>
      <w:sz w:val="20"/>
    </w:rPr>
  </w:style>
  <w:style w:type="paragraph" w:styleId="Heading1">
    <w:name w:val="heading 1"/>
    <w:basedOn w:val="Normal"/>
    <w:next w:val="Normal"/>
    <w:link w:val="Heading1Char"/>
    <w:uiPriority w:val="99"/>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99"/>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99"/>
    <w:qFormat/>
    <w:rsid w:val="00613C38"/>
    <w:pPr>
      <w:keepNext/>
      <w:spacing w:before="60" w:after="60" w:line="280" w:lineRule="atLeast"/>
      <w:outlineLvl w:val="2"/>
    </w:pPr>
    <w:rPr>
      <w:rFonts w:cs="Arial"/>
      <w:b/>
      <w:bCs/>
      <w:sz w:val="22"/>
      <w:szCs w:val="26"/>
    </w:rPr>
  </w:style>
  <w:style w:type="paragraph" w:styleId="Heading4">
    <w:name w:val="heading 4"/>
    <w:basedOn w:val="BodySubHeader"/>
    <w:next w:val="Normal"/>
    <w:uiPriority w:val="99"/>
    <w:qFormat/>
    <w:rsid w:val="00613C38"/>
    <w:pPr>
      <w:spacing w:line="280" w:lineRule="atLeast"/>
      <w:outlineLvl w:val="3"/>
    </w:pPr>
    <w:rPr>
      <w:rFonts w:cs="Arial"/>
      <w:sz w:val="22"/>
    </w:rPr>
  </w:style>
  <w:style w:type="paragraph" w:styleId="Heading5">
    <w:name w:val="heading 5"/>
    <w:basedOn w:val="Normal"/>
    <w:next w:val="Normal"/>
    <w:uiPriority w:val="99"/>
    <w:qFormat/>
    <w:rsid w:val="00AD5436"/>
    <w:pPr>
      <w:numPr>
        <w:ilvl w:val="4"/>
        <w:numId w:val="5"/>
      </w:numPr>
      <w:spacing w:before="240" w:after="60"/>
      <w:outlineLvl w:val="4"/>
    </w:pPr>
    <w:rPr>
      <w:b/>
      <w:bCs/>
      <w:i/>
      <w:iCs/>
      <w:sz w:val="26"/>
      <w:szCs w:val="26"/>
    </w:rPr>
  </w:style>
  <w:style w:type="paragraph" w:styleId="Heading6">
    <w:name w:val="heading 6"/>
    <w:basedOn w:val="Normal"/>
    <w:next w:val="Normal"/>
    <w:uiPriority w:val="99"/>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uiPriority w:val="99"/>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uiPriority w:val="99"/>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7C6820"/>
    <w:pPr>
      <w:numPr>
        <w:numId w:val="3"/>
      </w:numPr>
      <w:spacing w:after="80" w:line="260" w:lineRule="atLeast"/>
      <w:ind w:left="284" w:hanging="284"/>
    </w:pPr>
    <w:rPr>
      <w:sz w:val="22"/>
    </w:rPr>
  </w:style>
  <w:style w:type="paragraph" w:styleId="ListNumber2">
    <w:name w:val="List Number 2"/>
    <w:basedOn w:val="Normal"/>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E66601"/>
    <w:pPr>
      <w:pageBreakBefore/>
      <w:spacing w:after="36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D60571"/>
    <w:pPr>
      <w:tabs>
        <w:tab w:val="right" w:pos="9072"/>
      </w:tabs>
      <w:spacing w:before="280" w:after="80" w:line="320" w:lineRule="exact"/>
    </w:pPr>
    <w:rPr>
      <w:b/>
      <w:noProof/>
      <w:spacing w:val="-14"/>
      <w:sz w:val="28"/>
    </w:rPr>
  </w:style>
  <w:style w:type="paragraph" w:styleId="TOC2">
    <w:name w:val="toc 2"/>
    <w:basedOn w:val="Normal"/>
    <w:next w:val="Normal"/>
    <w:uiPriority w:val="39"/>
    <w:qFormat/>
    <w:rsid w:val="00D60571"/>
    <w:pPr>
      <w:tabs>
        <w:tab w:val="right" w:pos="9072"/>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D60571"/>
    <w:pPr>
      <w:tabs>
        <w:tab w:val="right" w:pos="9072"/>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rsid w:val="00566AB4"/>
    <w:rPr>
      <w:rFonts w:ascii="Arial" w:hAnsi="Arial"/>
      <w:vertAlign w:val="superscript"/>
    </w:rPr>
  </w:style>
  <w:style w:type="paragraph" w:styleId="FootnoteText">
    <w:name w:val="footnote text"/>
    <w:aliases w:val="Footnote text,ACMA Footnote Text,ABA Footnote Text"/>
    <w:basedOn w:val="Normal"/>
    <w:link w:val="FootnoteTextChar"/>
    <w:rsid w:val="00A17B1B"/>
    <w:pPr>
      <w:spacing w:after="0" w:line="200" w:lineRule="atLeast"/>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613C38"/>
    <w:pPr>
      <w:numPr>
        <w:numId w:val="10"/>
      </w:numPr>
      <w:spacing w:line="280" w:lineRule="atLeast"/>
      <w:ind w:left="284" w:hanging="284"/>
    </w:pPr>
    <w:rPr>
      <w:rFonts w:cs="Arial"/>
      <w:sz w:val="22"/>
    </w:rPr>
  </w:style>
  <w:style w:type="paragraph" w:customStyle="1" w:styleId="ACMACorporateAddressHeader">
    <w:name w:val="ACMA_CorporateAddressHeader"/>
    <w:basedOn w:val="Normal"/>
    <w:next w:val="ACMACorporateAddresses"/>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unhideWhenUsed/>
    <w:qFormat/>
    <w:rsid w:val="00FC07B9"/>
    <w:pPr>
      <w:spacing w:before="0" w:after="120"/>
    </w:pPr>
    <w:rPr>
      <w:b w:val="0"/>
    </w:rPr>
  </w:style>
  <w:style w:type="paragraph" w:customStyle="1" w:styleId="ACMACopyrightHeader">
    <w:name w:val="ACMA_CopyrightHeader"/>
    <w:basedOn w:val="ACMACorporateAddressHeader"/>
    <w:unhideWhenUsed/>
    <w:qFormat/>
    <w:rsid w:val="00950159"/>
    <w:pPr>
      <w:spacing w:before="3000"/>
    </w:pPr>
  </w:style>
  <w:style w:type="paragraph" w:customStyle="1" w:styleId="ACMACClogo">
    <w:name w:val="ACMA_CClogo"/>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613C38"/>
    <w:pPr>
      <w:spacing w:line="280" w:lineRule="atLeast"/>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character" w:customStyle="1" w:styleId="Heading1Char">
    <w:name w:val="Heading 1 Char"/>
    <w:basedOn w:val="DefaultParagraphFont"/>
    <w:link w:val="Heading1"/>
    <w:uiPriority w:val="99"/>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99"/>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613C38"/>
    <w:rPr>
      <w:rFonts w:ascii="Arial" w:hAnsi="Arial" w:cs="Arial"/>
      <w:b/>
      <w:bCs/>
      <w:sz w:val="22"/>
      <w:szCs w:val="26"/>
    </w:rPr>
  </w:style>
  <w:style w:type="paragraph" w:customStyle="1" w:styleId="Paragraph">
    <w:name w:val="Paragraph"/>
    <w:basedOn w:val="Normal"/>
    <w:qFormat/>
    <w:rsid w:val="00613C38"/>
    <w:pPr>
      <w:spacing w:line="280" w:lineRule="atLeast"/>
    </w:pPr>
    <w:rPr>
      <w:rFonts w:cs="Arial"/>
      <w:sz w:val="22"/>
    </w:rPr>
  </w:style>
  <w:style w:type="paragraph" w:customStyle="1" w:styleId="Bulletlevel2">
    <w:name w:val="Bullet level 2"/>
    <w:basedOn w:val="ListBullet2"/>
    <w:uiPriority w:val="7"/>
    <w:qFormat/>
    <w:rsid w:val="00613C38"/>
    <w:pPr>
      <w:numPr>
        <w:numId w:val="12"/>
      </w:numPr>
      <w:tabs>
        <w:tab w:val="left" w:pos="295"/>
      </w:tabs>
      <w:spacing w:line="280" w:lineRule="atLeast"/>
      <w:ind w:left="568" w:hanging="284"/>
    </w:pPr>
    <w:rPr>
      <w:rFonts w:cs="Arial"/>
      <w:sz w:val="22"/>
    </w:rPr>
  </w:style>
  <w:style w:type="paragraph" w:customStyle="1" w:styleId="Bulletlevel1last">
    <w:name w:val="Bullet level 1 last"/>
    <w:basedOn w:val="ListBulletLast"/>
    <w:uiPriority w:val="6"/>
    <w:qFormat/>
    <w:rsid w:val="00613C38"/>
    <w:pPr>
      <w:numPr>
        <w:numId w:val="11"/>
      </w:numPr>
      <w:spacing w:line="280" w:lineRule="atLeast"/>
      <w:ind w:left="284" w:hanging="284"/>
    </w:pPr>
    <w:rPr>
      <w:sz w:val="22"/>
    </w:rPr>
  </w:style>
  <w:style w:type="paragraph" w:customStyle="1" w:styleId="Numberlistlevel2">
    <w:name w:val="Number list level 2"/>
    <w:basedOn w:val="ListNumber2"/>
    <w:uiPriority w:val="11"/>
    <w:qFormat/>
    <w:rsid w:val="00613C38"/>
    <w:pPr>
      <w:spacing w:line="280" w:lineRule="atLeast"/>
      <w:ind w:left="738" w:hanging="284"/>
    </w:pPr>
    <w:rPr>
      <w:sz w:val="22"/>
    </w:rPr>
  </w:style>
  <w:style w:type="paragraph" w:customStyle="1" w:styleId="Numberlistlast">
    <w:name w:val="Number list last"/>
    <w:basedOn w:val="ListNumberLast"/>
    <w:uiPriority w:val="10"/>
    <w:qFormat/>
    <w:rsid w:val="00613C38"/>
    <w:pPr>
      <w:spacing w:line="280" w:lineRule="atLeast"/>
      <w:ind w:left="284" w:hanging="284"/>
    </w:pPr>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5A62E5"/>
    <w:pPr>
      <w:numPr>
        <w:numId w:val="13"/>
      </w:numPr>
      <w:spacing w:after="240"/>
      <w:ind w:left="568" w:hanging="284"/>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613C38"/>
    <w:pPr>
      <w:keepNext/>
      <w:spacing w:line="280" w:lineRule="atLeast"/>
    </w:pPr>
    <w:rPr>
      <w:sz w:val="22"/>
    </w:r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13C38"/>
    <w:pPr>
      <w:keepNext/>
      <w:spacing w:line="280" w:lineRule="atLeast"/>
    </w:pPr>
    <w:rPr>
      <w:sz w:val="22"/>
    </w:r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uiPriority w:val="99"/>
    <w:semiHidden/>
    <w:rsid w:val="004511C5"/>
    <w:rPr>
      <w:rFonts w:ascii="Arial" w:hAnsi="Arial"/>
      <w:sz w:val="20"/>
    </w:rPr>
  </w:style>
  <w:style w:type="paragraph" w:customStyle="1" w:styleId="Executivesummarysubheading">
    <w:name w:val="Executive summary subheading"/>
    <w:basedOn w:val="Heading4"/>
    <w:uiPriority w:val="3"/>
    <w:qFormat/>
    <w:rsid w:val="00613C38"/>
    <w:pPr>
      <w:spacing w:after="80"/>
    </w:pPr>
  </w:style>
  <w:style w:type="paragraph" w:customStyle="1" w:styleId="ACMAReportTitle">
    <w:name w:val="ACMA_ReportTitle"/>
    <w:basedOn w:val="Normal"/>
    <w:qFormat/>
    <w:rsid w:val="00E41A00"/>
    <w:pPr>
      <w:spacing w:after="0" w:line="560" w:lineRule="exact"/>
    </w:pPr>
    <w:rPr>
      <w:b/>
      <w:spacing w:val="-28"/>
      <w:sz w:val="53"/>
    </w:rPr>
  </w:style>
  <w:style w:type="paragraph" w:customStyle="1" w:styleId="ACMAReportSubTitle">
    <w:name w:val="ACMA_ReportSubTitle"/>
    <w:basedOn w:val="Normal"/>
    <w:qFormat/>
    <w:rsid w:val="00E41A00"/>
    <w:pPr>
      <w:spacing w:after="200" w:line="560" w:lineRule="exact"/>
    </w:pPr>
    <w:rPr>
      <w:color w:val="323232"/>
      <w:spacing w:val="-28"/>
      <w:sz w:val="53"/>
    </w:rPr>
  </w:style>
  <w:style w:type="character" w:customStyle="1" w:styleId="FootnoteTextChar">
    <w:name w:val="Footnote Text Char"/>
    <w:aliases w:val="Footnote text Char,ACMA Footnote Text Char,ABA Footnote Text Char"/>
    <w:basedOn w:val="DefaultParagraphFont"/>
    <w:link w:val="FootnoteText"/>
    <w:rsid w:val="00E41A00"/>
    <w:rPr>
      <w:rFonts w:ascii="Arial" w:hAnsi="Arial"/>
      <w:sz w:val="16"/>
      <w:szCs w:val="16"/>
    </w:rPr>
  </w:style>
  <w:style w:type="paragraph" w:customStyle="1" w:styleId="ACMABulletLevel1">
    <w:name w:val="ACMA Bullet Level 1"/>
    <w:uiPriority w:val="99"/>
    <w:rsid w:val="00E41A00"/>
    <w:pPr>
      <w:numPr>
        <w:numId w:val="14"/>
      </w:numPr>
      <w:spacing w:after="120"/>
    </w:pPr>
    <w:rPr>
      <w:rFonts w:ascii="Arial" w:hAnsi="Arial"/>
      <w:lang w:eastAsia="en-US"/>
    </w:rPr>
  </w:style>
  <w:style w:type="paragraph" w:customStyle="1" w:styleId="Bodysubheader0">
    <w:name w:val="Body sub header"/>
    <w:basedOn w:val="Normal"/>
    <w:next w:val="Normal"/>
    <w:rsid w:val="00E41A00"/>
    <w:pPr>
      <w:spacing w:after="40"/>
    </w:pPr>
    <w:rPr>
      <w:b/>
      <w:i/>
    </w:rPr>
  </w:style>
  <w:style w:type="paragraph" w:styleId="ListParagraph">
    <w:name w:val="List Paragraph"/>
    <w:aliases w:val="List Paragraph—numbers,NFP GP Bulleted List,List Paragraph1,Recommendation"/>
    <w:basedOn w:val="Normal"/>
    <w:link w:val="ListParagraphChar"/>
    <w:uiPriority w:val="1"/>
    <w:qFormat/>
    <w:rsid w:val="00E41A00"/>
    <w:pPr>
      <w:spacing w:after="0"/>
      <w:ind w:left="720"/>
      <w:contextualSpacing/>
    </w:pPr>
    <w:rPr>
      <w:rFonts w:ascii="HelveticaNeueLT Std Lt" w:hAnsi="HelveticaNeueLT Std Lt"/>
    </w:rPr>
  </w:style>
  <w:style w:type="paragraph" w:customStyle="1" w:styleId="ACMAReportDate">
    <w:name w:val="ACMA_ReportDate"/>
    <w:basedOn w:val="ACMAReportSubTitle"/>
    <w:qFormat/>
    <w:rsid w:val="00E41A00"/>
    <w:pPr>
      <w:spacing w:after="1200" w:line="240" w:lineRule="auto"/>
    </w:pPr>
    <w:rPr>
      <w:caps/>
      <w:spacing w:val="-10"/>
      <w:sz w:val="20"/>
    </w:rPr>
  </w:style>
  <w:style w:type="paragraph" w:customStyle="1" w:styleId="TableHeading0">
    <w:name w:val="Table Heading"/>
    <w:basedOn w:val="Normal"/>
    <w:qFormat/>
    <w:rsid w:val="00E41A00"/>
    <w:pPr>
      <w:spacing w:after="0"/>
    </w:pPr>
    <w:rPr>
      <w:b/>
    </w:rPr>
  </w:style>
  <w:style w:type="paragraph" w:customStyle="1" w:styleId="ACMAExecSummaryHeading">
    <w:name w:val="ACMA_ExecSummaryHeading"/>
    <w:basedOn w:val="Normal"/>
    <w:qFormat/>
    <w:rsid w:val="00E41A00"/>
    <w:pPr>
      <w:spacing w:after="1440" w:line="550" w:lineRule="exact"/>
    </w:pPr>
    <w:rPr>
      <w:b/>
      <w:color w:val="323232"/>
      <w:spacing w:val="-18"/>
      <w:sz w:val="53"/>
    </w:rPr>
  </w:style>
  <w:style w:type="character" w:styleId="Strong">
    <w:name w:val="Strong"/>
    <w:basedOn w:val="DefaultParagraphFont"/>
    <w:semiHidden/>
    <w:qFormat/>
    <w:rsid w:val="00E41A00"/>
    <w:rPr>
      <w:b/>
      <w:bCs/>
    </w:rPr>
  </w:style>
  <w:style w:type="paragraph" w:customStyle="1" w:styleId="ACMANormalTabbed">
    <w:name w:val="ACMA_NormalTabbed"/>
    <w:basedOn w:val="Normal"/>
    <w:qFormat/>
    <w:rsid w:val="00E41A00"/>
    <w:pPr>
      <w:tabs>
        <w:tab w:val="left" w:pos="1134"/>
      </w:tabs>
    </w:pPr>
  </w:style>
  <w:style w:type="paragraph" w:customStyle="1" w:styleId="ACMASpaceaftertable">
    <w:name w:val="ACMA_Space after table"/>
    <w:basedOn w:val="Normal"/>
    <w:qFormat/>
    <w:rsid w:val="00E41A00"/>
    <w:rPr>
      <w:rFonts w:cs="Arial"/>
    </w:rPr>
  </w:style>
  <w:style w:type="paragraph" w:customStyle="1" w:styleId="ReportTitle0">
    <w:name w:val="Report Title"/>
    <w:basedOn w:val="Normal"/>
    <w:rsid w:val="00E41A00"/>
    <w:pPr>
      <w:spacing w:after="0" w:line="560" w:lineRule="exact"/>
    </w:pPr>
    <w:rPr>
      <w:b/>
      <w:color w:val="4D4D4F"/>
      <w:spacing w:val="-28"/>
      <w:sz w:val="53"/>
    </w:rPr>
  </w:style>
  <w:style w:type="paragraph" w:customStyle="1" w:styleId="ReportSubtitle0">
    <w:name w:val="Report Sub title"/>
    <w:basedOn w:val="Normal"/>
    <w:rsid w:val="00E41A00"/>
    <w:pPr>
      <w:spacing w:after="0" w:line="560" w:lineRule="exact"/>
    </w:pPr>
    <w:rPr>
      <w:color w:val="808285"/>
      <w:spacing w:val="-28"/>
      <w:sz w:val="53"/>
    </w:rPr>
  </w:style>
  <w:style w:type="paragraph" w:customStyle="1" w:styleId="ReportDate0">
    <w:name w:val="Report Date"/>
    <w:basedOn w:val="ReportSubtitle0"/>
    <w:rsid w:val="00E41A00"/>
    <w:pPr>
      <w:spacing w:line="240" w:lineRule="auto"/>
    </w:pPr>
    <w:rPr>
      <w:caps/>
      <w:spacing w:val="-10"/>
      <w:sz w:val="20"/>
    </w:rPr>
  </w:style>
  <w:style w:type="paragraph" w:customStyle="1" w:styleId="ExecSummaryHeading0">
    <w:name w:val="Exec Summary Heading"/>
    <w:basedOn w:val="Normal"/>
    <w:rsid w:val="00E41A00"/>
    <w:pPr>
      <w:spacing w:after="1440" w:line="550" w:lineRule="exact"/>
    </w:pPr>
    <w:rPr>
      <w:b/>
      <w:color w:val="4D4D4F"/>
      <w:spacing w:val="-18"/>
      <w:sz w:val="53"/>
    </w:rPr>
  </w:style>
  <w:style w:type="paragraph" w:styleId="TOC9">
    <w:name w:val="toc 9"/>
    <w:aliases w:val="TOC ExecSumm"/>
    <w:basedOn w:val="Normal"/>
    <w:next w:val="Normal"/>
    <w:rsid w:val="00E41A00"/>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E41A00"/>
    <w:pPr>
      <w:spacing w:after="0" w:line="560" w:lineRule="exact"/>
    </w:pPr>
    <w:rPr>
      <w:color w:val="808285"/>
      <w:spacing w:val="-28"/>
      <w:sz w:val="53"/>
    </w:rPr>
  </w:style>
  <w:style w:type="character" w:customStyle="1" w:styleId="apple-style-span">
    <w:name w:val="apple-style-span"/>
    <w:basedOn w:val="DefaultParagraphFont"/>
    <w:rsid w:val="00E41A00"/>
  </w:style>
  <w:style w:type="paragraph" w:customStyle="1" w:styleId="ACMABodyText">
    <w:name w:val="ACMA Body Text"/>
    <w:link w:val="ACMABodyTextChar"/>
    <w:rsid w:val="00E41A00"/>
    <w:pPr>
      <w:suppressAutoHyphens/>
      <w:spacing w:before="80" w:after="120" w:line="280" w:lineRule="atLeast"/>
    </w:pPr>
    <w:rPr>
      <w:rFonts w:ascii="Arial" w:hAnsi="Arial"/>
      <w:lang w:eastAsia="en-US"/>
    </w:rPr>
  </w:style>
  <w:style w:type="character" w:customStyle="1" w:styleId="ACMABodyTextChar">
    <w:name w:val="ACMA Body Text Char"/>
    <w:basedOn w:val="DefaultParagraphFont"/>
    <w:link w:val="ACMABodyText"/>
    <w:locked/>
    <w:rsid w:val="00E41A00"/>
    <w:rPr>
      <w:rFonts w:ascii="Arial" w:hAnsi="Arial"/>
      <w:lang w:eastAsia="en-US"/>
    </w:rPr>
  </w:style>
  <w:style w:type="paragraph" w:customStyle="1" w:styleId="ACMAHeading2">
    <w:name w:val="ACMA Heading 2"/>
    <w:next w:val="ACMABodyText"/>
    <w:uiPriority w:val="99"/>
    <w:rsid w:val="00E41A00"/>
    <w:pPr>
      <w:keepNext/>
      <w:suppressAutoHyphens/>
      <w:spacing w:before="240"/>
      <w:outlineLvl w:val="2"/>
    </w:pPr>
    <w:rPr>
      <w:rFonts w:ascii="Arial" w:hAnsi="Arial" w:cs="Arial"/>
      <w:b/>
      <w:bCs/>
      <w:caps/>
      <w:sz w:val="26"/>
      <w:szCs w:val="26"/>
      <w:lang w:val="en-US" w:eastAsia="en-US"/>
    </w:rPr>
  </w:style>
  <w:style w:type="paragraph" w:customStyle="1" w:styleId="Pa11">
    <w:name w:val="Pa11"/>
    <w:basedOn w:val="Normal"/>
    <w:next w:val="Normal"/>
    <w:uiPriority w:val="99"/>
    <w:rsid w:val="00E41A00"/>
    <w:pPr>
      <w:widowControl w:val="0"/>
      <w:autoSpaceDE w:val="0"/>
      <w:autoSpaceDN w:val="0"/>
      <w:adjustRightInd w:val="0"/>
      <w:spacing w:after="160" w:line="201" w:lineRule="atLeast"/>
    </w:pPr>
    <w:rPr>
      <w:rFonts w:ascii="Univers" w:eastAsia="SimSun" w:hAnsi="Univers" w:cs="Univers"/>
      <w:sz w:val="24"/>
      <w:lang w:val="en-US" w:eastAsia="en-US"/>
    </w:rPr>
  </w:style>
  <w:style w:type="paragraph" w:customStyle="1" w:styleId="Pa12">
    <w:name w:val="Pa12"/>
    <w:basedOn w:val="Normal"/>
    <w:next w:val="Normal"/>
    <w:uiPriority w:val="99"/>
    <w:rsid w:val="00E41A00"/>
    <w:pPr>
      <w:widowControl w:val="0"/>
      <w:autoSpaceDE w:val="0"/>
      <w:autoSpaceDN w:val="0"/>
      <w:adjustRightInd w:val="0"/>
      <w:spacing w:after="160" w:line="241" w:lineRule="atLeast"/>
    </w:pPr>
    <w:rPr>
      <w:rFonts w:ascii="Univers" w:eastAsia="SimSun" w:hAnsi="Univers" w:cs="Univers"/>
      <w:sz w:val="24"/>
      <w:lang w:val="en-US" w:eastAsia="en-US"/>
    </w:rPr>
  </w:style>
  <w:style w:type="paragraph" w:styleId="BodyText">
    <w:name w:val="Body Text"/>
    <w:basedOn w:val="Normal"/>
    <w:link w:val="BodyTextChar"/>
    <w:uiPriority w:val="99"/>
    <w:rsid w:val="00E41A00"/>
    <w:pPr>
      <w:spacing w:after="0" w:line="240" w:lineRule="auto"/>
    </w:pPr>
    <w:rPr>
      <w:i/>
      <w:iCs/>
      <w:color w:val="999999"/>
      <w:lang w:eastAsia="en-US"/>
    </w:rPr>
  </w:style>
  <w:style w:type="character" w:customStyle="1" w:styleId="BodyTextChar">
    <w:name w:val="Body Text Char"/>
    <w:basedOn w:val="DefaultParagraphFont"/>
    <w:link w:val="BodyText"/>
    <w:uiPriority w:val="99"/>
    <w:rsid w:val="00E41A00"/>
    <w:rPr>
      <w:rFonts w:ascii="Arial" w:hAnsi="Arial"/>
      <w:i/>
      <w:iCs/>
      <w:color w:val="999999"/>
      <w:sz w:val="20"/>
      <w:lang w:eastAsia="en-US"/>
    </w:rPr>
  </w:style>
  <w:style w:type="paragraph" w:customStyle="1" w:styleId="LegislationLvl1">
    <w:name w:val="Legislation Lvl 1"/>
    <w:uiPriority w:val="99"/>
    <w:rsid w:val="00E41A00"/>
    <w:pPr>
      <w:numPr>
        <w:ilvl w:val="2"/>
        <w:numId w:val="15"/>
      </w:numPr>
      <w:tabs>
        <w:tab w:val="clear" w:pos="2436"/>
        <w:tab w:val="num" w:pos="851"/>
        <w:tab w:val="num" w:pos="1176"/>
      </w:tabs>
      <w:ind w:left="850" w:hanging="493"/>
    </w:pPr>
    <w:rPr>
      <w:rFonts w:ascii="Arial" w:hAnsi="Arial"/>
      <w:sz w:val="22"/>
      <w:szCs w:val="22"/>
      <w:lang w:eastAsia="en-US"/>
    </w:rPr>
  </w:style>
  <w:style w:type="paragraph" w:customStyle="1" w:styleId="LegislationLvl2">
    <w:name w:val="Legislation Lvl 2"/>
    <w:uiPriority w:val="99"/>
    <w:rsid w:val="00E41A00"/>
    <w:pPr>
      <w:numPr>
        <w:ilvl w:val="3"/>
        <w:numId w:val="15"/>
      </w:numPr>
      <w:tabs>
        <w:tab w:val="clear" w:pos="2796"/>
        <w:tab w:val="num" w:pos="1418"/>
        <w:tab w:val="num" w:pos="1536"/>
      </w:tabs>
      <w:ind w:left="1418" w:hanging="567"/>
    </w:pPr>
    <w:rPr>
      <w:rFonts w:ascii="Arial" w:hAnsi="Arial"/>
      <w:sz w:val="22"/>
      <w:szCs w:val="22"/>
      <w:lang w:eastAsia="en-US"/>
    </w:rPr>
  </w:style>
  <w:style w:type="paragraph" w:customStyle="1" w:styleId="LegislationLvl3">
    <w:name w:val="Legislation Lvl 3"/>
    <w:uiPriority w:val="99"/>
    <w:rsid w:val="00E41A00"/>
    <w:pPr>
      <w:tabs>
        <w:tab w:val="num" w:pos="1985"/>
        <w:tab w:val="num" w:pos="2436"/>
      </w:tabs>
      <w:ind w:left="1985" w:hanging="567"/>
    </w:pPr>
    <w:rPr>
      <w:rFonts w:ascii="Arial" w:hAnsi="Arial"/>
      <w:sz w:val="22"/>
      <w:szCs w:val="22"/>
      <w:lang w:eastAsia="en-US"/>
    </w:rPr>
  </w:style>
  <w:style w:type="paragraph" w:customStyle="1" w:styleId="LegislationLvl4">
    <w:name w:val="Legislation Lvl 4"/>
    <w:uiPriority w:val="99"/>
    <w:rsid w:val="00E41A00"/>
    <w:pPr>
      <w:tabs>
        <w:tab w:val="num" w:pos="2694"/>
        <w:tab w:val="num" w:pos="2796"/>
      </w:tabs>
      <w:ind w:left="2694" w:hanging="426"/>
    </w:pPr>
    <w:rPr>
      <w:rFonts w:ascii="Arial" w:hAnsi="Arial"/>
      <w:sz w:val="22"/>
      <w:szCs w:val="22"/>
      <w:lang w:eastAsia="en-US"/>
    </w:rPr>
  </w:style>
  <w:style w:type="paragraph" w:customStyle="1" w:styleId="ExampleText">
    <w:name w:val="Example Text"/>
    <w:basedOn w:val="Normal"/>
    <w:rsid w:val="00E41A00"/>
    <w:pPr>
      <w:spacing w:line="260" w:lineRule="exact"/>
    </w:pPr>
    <w:rPr>
      <w:rFonts w:ascii="Book Antiqua" w:hAnsi="Book Antiqua"/>
      <w:i/>
      <w:color w:val="FF0000"/>
      <w:lang w:eastAsia="en-US"/>
    </w:rPr>
  </w:style>
  <w:style w:type="paragraph" w:customStyle="1" w:styleId="Default">
    <w:name w:val="Default"/>
    <w:rsid w:val="00E41A00"/>
    <w:pPr>
      <w:autoSpaceDE w:val="0"/>
      <w:autoSpaceDN w:val="0"/>
      <w:adjustRightInd w:val="0"/>
    </w:pPr>
    <w:rPr>
      <w:rFonts w:ascii="Symbol" w:hAnsi="Symbol" w:cs="Symbol"/>
      <w:color w:val="000000"/>
    </w:rPr>
  </w:style>
  <w:style w:type="character" w:customStyle="1" w:styleId="EndnoteTextChar">
    <w:name w:val="Endnote Text Char"/>
    <w:basedOn w:val="DefaultParagraphFont"/>
    <w:link w:val="EndnoteText"/>
    <w:semiHidden/>
    <w:rsid w:val="00E41A00"/>
    <w:rPr>
      <w:rFonts w:ascii="HelveticaNeueLT Std Lt" w:hAnsi="HelveticaNeueLT Std Lt"/>
    </w:rPr>
  </w:style>
  <w:style w:type="paragraph" w:styleId="EndnoteText">
    <w:name w:val="endnote text"/>
    <w:basedOn w:val="Normal"/>
    <w:link w:val="EndnoteTextChar"/>
    <w:semiHidden/>
    <w:rsid w:val="00E41A00"/>
    <w:pPr>
      <w:spacing w:after="0" w:line="240" w:lineRule="auto"/>
    </w:pPr>
    <w:rPr>
      <w:rFonts w:ascii="HelveticaNeueLT Std Lt" w:hAnsi="HelveticaNeueLT Std Lt"/>
      <w:sz w:val="24"/>
    </w:rPr>
  </w:style>
  <w:style w:type="character" w:customStyle="1" w:styleId="EndnoteTextChar1">
    <w:name w:val="Endnote Text Char1"/>
    <w:basedOn w:val="DefaultParagraphFont"/>
    <w:semiHidden/>
    <w:rsid w:val="00E41A00"/>
    <w:rPr>
      <w:rFonts w:ascii="Arial" w:hAnsi="Arial"/>
      <w:sz w:val="20"/>
      <w:szCs w:val="20"/>
    </w:rPr>
  </w:style>
  <w:style w:type="paragraph" w:customStyle="1" w:styleId="R1">
    <w:name w:val="R1"/>
    <w:aliases w:val="1. or 1.(1)"/>
    <w:basedOn w:val="Normal"/>
    <w:next w:val="P1"/>
    <w:rsid w:val="00E41A00"/>
    <w:pPr>
      <w:tabs>
        <w:tab w:val="right" w:pos="1080"/>
        <w:tab w:val="left" w:pos="1260"/>
        <w:tab w:val="left" w:pos="1800"/>
      </w:tabs>
      <w:autoSpaceDE w:val="0"/>
      <w:autoSpaceDN w:val="0"/>
      <w:spacing w:before="120" w:after="0" w:line="240" w:lineRule="auto"/>
      <w:jc w:val="both"/>
    </w:pPr>
    <w:rPr>
      <w:rFonts w:ascii="Times" w:hAnsi="Times" w:cs="Times"/>
      <w:sz w:val="26"/>
      <w:szCs w:val="26"/>
    </w:rPr>
  </w:style>
  <w:style w:type="paragraph" w:customStyle="1" w:styleId="P1">
    <w:name w:val="P1"/>
    <w:aliases w:val="(a)"/>
    <w:basedOn w:val="Normal"/>
    <w:rsid w:val="00E41A00"/>
    <w:pPr>
      <w:tabs>
        <w:tab w:val="right" w:pos="1080"/>
      </w:tabs>
      <w:autoSpaceDE w:val="0"/>
      <w:autoSpaceDN w:val="0"/>
      <w:spacing w:before="40" w:after="0" w:line="260" w:lineRule="atLeast"/>
      <w:ind w:left="1276" w:hanging="1280"/>
      <w:jc w:val="both"/>
    </w:pPr>
    <w:rPr>
      <w:rFonts w:ascii="Times" w:hAnsi="Times" w:cs="Times"/>
      <w:sz w:val="26"/>
      <w:szCs w:val="26"/>
    </w:rPr>
  </w:style>
  <w:style w:type="table" w:customStyle="1" w:styleId="TableGrid1">
    <w:name w:val="Table Grid1"/>
    <w:basedOn w:val="TableNormal"/>
    <w:next w:val="TableGrid"/>
    <w:uiPriority w:val="59"/>
    <w:rsid w:val="00E41A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aliases w:val="a"/>
    <w:basedOn w:val="Normal"/>
    <w:link w:val="paragraphChar"/>
    <w:rsid w:val="00E41A00"/>
    <w:pPr>
      <w:tabs>
        <w:tab w:val="right" w:pos="1531"/>
      </w:tabs>
      <w:spacing w:before="40" w:after="0" w:line="240" w:lineRule="auto"/>
      <w:ind w:left="1644" w:hanging="1644"/>
    </w:pPr>
    <w:rPr>
      <w:rFonts w:ascii="Times New Roman" w:hAnsi="Times New Roman"/>
      <w:sz w:val="22"/>
      <w:szCs w:val="20"/>
    </w:rPr>
  </w:style>
  <w:style w:type="paragraph" w:customStyle="1" w:styleId="Definition">
    <w:name w:val="Definition"/>
    <w:aliases w:val="dd"/>
    <w:basedOn w:val="Normal"/>
    <w:rsid w:val="00E41A00"/>
    <w:pPr>
      <w:spacing w:before="180" w:after="0" w:line="240" w:lineRule="auto"/>
      <w:ind w:left="1134"/>
    </w:pPr>
    <w:rPr>
      <w:rFonts w:ascii="Times New Roman" w:hAnsi="Times New Roman"/>
      <w:sz w:val="22"/>
      <w:szCs w:val="20"/>
    </w:rPr>
  </w:style>
  <w:style w:type="character" w:customStyle="1" w:styleId="paragraphChar">
    <w:name w:val="paragraph Char"/>
    <w:aliases w:val="a Char"/>
    <w:basedOn w:val="DefaultParagraphFont"/>
    <w:link w:val="paragraph0"/>
    <w:rsid w:val="00E41A00"/>
    <w:rPr>
      <w:sz w:val="22"/>
      <w:szCs w:val="20"/>
    </w:rPr>
  </w:style>
  <w:style w:type="table" w:customStyle="1" w:styleId="TableGrid2">
    <w:name w:val="Table Grid2"/>
    <w:basedOn w:val="TableNormal"/>
    <w:next w:val="TableGrid"/>
    <w:uiPriority w:val="59"/>
    <w:rsid w:val="00E41A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E41A00"/>
    <w:rPr>
      <w:vertAlign w:val="superscript"/>
    </w:rPr>
  </w:style>
  <w:style w:type="paragraph" w:customStyle="1" w:styleId="hr">
    <w:name w:val="hr"/>
    <w:basedOn w:val="Normal"/>
    <w:rsid w:val="00E41A00"/>
    <w:pPr>
      <w:spacing w:before="100" w:beforeAutospacing="1" w:after="100" w:afterAutospacing="1" w:line="240" w:lineRule="auto"/>
    </w:pPr>
    <w:rPr>
      <w:rFonts w:ascii="Times New Roman" w:hAnsi="Times New Roman"/>
      <w:sz w:val="24"/>
    </w:rPr>
  </w:style>
  <w:style w:type="paragraph" w:customStyle="1" w:styleId="r10">
    <w:name w:val="r1"/>
    <w:basedOn w:val="Normal"/>
    <w:rsid w:val="00E41A00"/>
    <w:pPr>
      <w:spacing w:before="100" w:beforeAutospacing="1" w:after="100" w:afterAutospacing="1" w:line="240" w:lineRule="auto"/>
    </w:pPr>
    <w:rPr>
      <w:rFonts w:ascii="Times New Roman" w:hAnsi="Times New Roman"/>
      <w:sz w:val="24"/>
    </w:rPr>
  </w:style>
  <w:style w:type="paragraph" w:customStyle="1" w:styleId="p10">
    <w:name w:val="p1"/>
    <w:basedOn w:val="Normal"/>
    <w:rsid w:val="00E41A00"/>
    <w:pPr>
      <w:spacing w:before="100" w:beforeAutospacing="1" w:after="100" w:afterAutospacing="1"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E41A00"/>
    <w:rPr>
      <w:color w:val="605E5C"/>
      <w:shd w:val="clear" w:color="auto" w:fill="E1DFDD"/>
    </w:rPr>
  </w:style>
  <w:style w:type="character" w:customStyle="1" w:styleId="UnresolvedMention2">
    <w:name w:val="Unresolved Mention2"/>
    <w:basedOn w:val="DefaultParagraphFont"/>
    <w:uiPriority w:val="99"/>
    <w:semiHidden/>
    <w:unhideWhenUsed/>
    <w:rsid w:val="00E41A00"/>
    <w:rPr>
      <w:color w:val="605E5C"/>
      <w:shd w:val="clear" w:color="auto" w:fill="E1DFDD"/>
    </w:rPr>
  </w:style>
  <w:style w:type="character" w:customStyle="1" w:styleId="UnresolvedMention3">
    <w:name w:val="Unresolved Mention3"/>
    <w:basedOn w:val="DefaultParagraphFont"/>
    <w:uiPriority w:val="99"/>
    <w:semiHidden/>
    <w:unhideWhenUsed/>
    <w:rsid w:val="00E41A00"/>
    <w:rPr>
      <w:color w:val="605E5C"/>
      <w:shd w:val="clear" w:color="auto" w:fill="E1DFDD"/>
    </w:rPr>
  </w:style>
  <w:style w:type="paragraph" w:customStyle="1" w:styleId="Bullet1">
    <w:name w:val="Bullet 1"/>
    <w:basedOn w:val="BodyText"/>
    <w:qFormat/>
    <w:rsid w:val="00E41A00"/>
    <w:pPr>
      <w:numPr>
        <w:numId w:val="16"/>
      </w:numPr>
      <w:tabs>
        <w:tab w:val="num" w:pos="360"/>
        <w:tab w:val="left" w:pos="2268"/>
        <w:tab w:val="left" w:pos="5669"/>
      </w:tabs>
      <w:suppressAutoHyphens/>
      <w:spacing w:after="240" w:line="240" w:lineRule="atLeast"/>
      <w:ind w:left="0" w:firstLine="0"/>
    </w:pPr>
    <w:rPr>
      <w:rFonts w:eastAsia="Cambria" w:cs="Calibri"/>
      <w:i w:val="0"/>
      <w:iCs w:val="0"/>
      <w:color w:val="1C1C1C"/>
      <w:spacing w:val="-2"/>
      <w:szCs w:val="19"/>
      <w:lang w:val="en-US"/>
    </w:rPr>
  </w:style>
  <w:style w:type="paragraph" w:customStyle="1" w:styleId="TableParagraph">
    <w:name w:val="Table Paragraph"/>
    <w:basedOn w:val="Normal"/>
    <w:uiPriority w:val="1"/>
    <w:qFormat/>
    <w:rsid w:val="00E41A00"/>
    <w:pPr>
      <w:widowControl w:val="0"/>
      <w:autoSpaceDE w:val="0"/>
      <w:autoSpaceDN w:val="0"/>
      <w:spacing w:after="0" w:line="240" w:lineRule="auto"/>
    </w:pPr>
    <w:rPr>
      <w:rFonts w:eastAsia="Arial" w:cs="Arial"/>
      <w:sz w:val="22"/>
      <w:szCs w:val="22"/>
      <w:lang w:val="en-US" w:eastAsia="en-US"/>
    </w:rPr>
  </w:style>
  <w:style w:type="character" w:customStyle="1" w:styleId="ListParagraphChar">
    <w:name w:val="List Paragraph Char"/>
    <w:aliases w:val="List Paragraph—numbers Char,NFP GP Bulleted List Char,List Paragraph1 Char,Recommendation Char"/>
    <w:basedOn w:val="DefaultParagraphFont"/>
    <w:link w:val="ListParagraph"/>
    <w:uiPriority w:val="1"/>
    <w:locked/>
    <w:rsid w:val="00E41A00"/>
    <w:rPr>
      <w:rFonts w:ascii="HelveticaNeueLT Std Lt" w:hAnsi="HelveticaNeueLT Std Lt"/>
      <w:sz w:val="20"/>
    </w:rPr>
  </w:style>
  <w:style w:type="paragraph" w:styleId="NormalWeb">
    <w:name w:val="Normal (Web)"/>
    <w:basedOn w:val="Normal"/>
    <w:uiPriority w:val="99"/>
    <w:semiHidden/>
    <w:unhideWhenUsed/>
    <w:rsid w:val="00E41A00"/>
    <w:pPr>
      <w:spacing w:before="100" w:beforeAutospacing="1" w:after="100" w:afterAutospacing="1" w:line="240" w:lineRule="auto"/>
    </w:pPr>
    <w:rPr>
      <w:rFonts w:ascii="Calibri" w:eastAsiaTheme="minorHAnsi" w:hAnsi="Calibri" w:cs="Calibri"/>
      <w:sz w:val="22"/>
      <w:szCs w:val="22"/>
    </w:rPr>
  </w:style>
  <w:style w:type="table" w:customStyle="1" w:styleId="TableGrid3">
    <w:name w:val="Table Grid3"/>
    <w:basedOn w:val="TableNormal"/>
    <w:next w:val="TableGrid"/>
    <w:uiPriority w:val="39"/>
    <w:rsid w:val="00E41A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41A00"/>
    <w:rPr>
      <w:color w:val="2B579A"/>
      <w:shd w:val="clear" w:color="auto" w:fill="E1DFDD"/>
    </w:rPr>
  </w:style>
  <w:style w:type="character" w:customStyle="1" w:styleId="normaltextrun">
    <w:name w:val="normaltextrun"/>
    <w:basedOn w:val="DefaultParagraphFont"/>
    <w:rsid w:val="00E41A00"/>
  </w:style>
  <w:style w:type="character" w:customStyle="1" w:styleId="eop">
    <w:name w:val="eop"/>
    <w:basedOn w:val="DefaultParagraphFont"/>
    <w:rsid w:val="00E4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5.xml"/><Relationship Id="rId26" Type="http://schemas.openxmlformats.org/officeDocument/2006/relationships/hyperlink" Target="https://www.acma.gov.au/sites/default/files/2023-10/ACMA%20and%20eSafety%20Commissioner%20annual%20report%202022-23.pdf" TargetMode="Externa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acma.gov.au/sites/default/files/2022-08/Corporate%20plan%202022-23.pdf" TargetMode="External"/><Relationship Id="rId33" Type="http://schemas.openxmlformats.org/officeDocument/2006/relationships/hyperlink" Target="https://www.accc.gov.au/consumers/internet-landline-services/broadband-performance-dat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accc.gov.au/regulated-infrastructure/communications/monitoring-reporting/measuring-broadband-australia-program/pilot-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www.accan.org.au/" TargetMode="External"/><Relationship Id="rId32" Type="http://schemas.openxmlformats.org/officeDocument/2006/relationships/hyperlink" Target="https://www.accc.gov.au/by-industry/telecommunications-and-internet/telecommunications-monitoring/measuring-broadband-australia-program/statement-of-expectations" TargetMode="External"/><Relationship Id="rId37"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acma.gov.au/sites/default/files/2023-10/ACMA%20and%20eSafety%20Commissioner%20annual%20report%202022-23.pdf" TargetMode="External"/><Relationship Id="rId28" Type="http://schemas.openxmlformats.org/officeDocument/2006/relationships/hyperlink" Target="https://www.accc.gov.au/regulated-infrastructure/communications/monitoring-reporting/measuring-broadband-australia-program/position-paper" TargetMode="Externa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www.accc.gov.au/regulated-infrastructure/communications/monitoring-reporting/measuring-broadband-australia-program/review-of-the-progra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s://www.accc.gov.au/consumers/internet-landline-services/monitoring-broadband-performance" TargetMode="External"/><Relationship Id="rId30" Type="http://schemas.openxmlformats.org/officeDocument/2006/relationships/hyperlink" Target="https://www.accc.gov.au/regulated-infrastructure/communications/monitoring-reporting/measuring-broadband-australia-program" TargetMode="External"/><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rchive.budget.gov.au/2011-12/bp2/bp2.pdf" TargetMode="External"/><Relationship Id="rId13" Type="http://schemas.openxmlformats.org/officeDocument/2006/relationships/hyperlink" Target="https://www.legislation.gov.au/F2024L00392/asmade/text" TargetMode="External"/><Relationship Id="rId3" Type="http://schemas.openxmlformats.org/officeDocument/2006/relationships/hyperlink" Target="https://archive.budget.gov.au/1996-97/statement4/bst04.pdf" TargetMode="External"/><Relationship Id="rId7" Type="http://schemas.openxmlformats.org/officeDocument/2006/relationships/hyperlink" Target="https://archive.budget.gov.au/2010-11/bp2/bp2.pdf" TargetMode="External"/><Relationship Id="rId12" Type="http://schemas.openxmlformats.org/officeDocument/2006/relationships/hyperlink" Target="https://www.legislation.gov.au/F2024L00392/asmade/text" TargetMode="External"/><Relationship Id="rId17" Type="http://schemas.openxmlformats.org/officeDocument/2006/relationships/hyperlink" Target="https://static.treasury.gov.au/uploads/sites/1/2017/06/PBS-2.pdf" TargetMode="External"/><Relationship Id="rId2" Type="http://schemas.openxmlformats.org/officeDocument/2006/relationships/hyperlink" Target="https://www.legislation.gov.au/Details/F2015L01117" TargetMode="External"/><Relationship Id="rId16" Type="http://schemas.openxmlformats.org/officeDocument/2006/relationships/hyperlink" Target="https://www.accc.gov.au/media-release/accc-to-monitor-australias-broadband-performance" TargetMode="External"/><Relationship Id="rId1" Type="http://schemas.openxmlformats.org/officeDocument/2006/relationships/hyperlink" Target="https://www.legislation.gov.au/Details/F2017L00542" TargetMode="External"/><Relationship Id="rId6" Type="http://schemas.openxmlformats.org/officeDocument/2006/relationships/hyperlink" Target="https://archive.budget.gov.au/2009-10/myefo/MYEFO_2009-10.pdf" TargetMode="External"/><Relationship Id="rId11" Type="http://schemas.openxmlformats.org/officeDocument/2006/relationships/hyperlink" Target="https://www.legislation.gov.au/F2024L00392/asmade/text" TargetMode="External"/><Relationship Id="rId5" Type="http://schemas.openxmlformats.org/officeDocument/2006/relationships/hyperlink" Target="https://archive.budget.gov.au/2009-10/bp2/bp2_consolidated.pdf" TargetMode="External"/><Relationship Id="rId15" Type="http://schemas.openxmlformats.org/officeDocument/2006/relationships/hyperlink" Target="https://www.budget.gov.au/2019-20/content/bp2/index.htm" TargetMode="External"/><Relationship Id="rId10" Type="http://schemas.openxmlformats.org/officeDocument/2006/relationships/hyperlink" Target="https://archive.budget.gov.au/2014-15/bp2/BP2_consolidated.pdf" TargetMode="External"/><Relationship Id="rId4" Type="http://schemas.openxmlformats.org/officeDocument/2006/relationships/hyperlink" Target="https://archive.budget.gov.au/2005-06/myefo/myefo_2005-06.pdf" TargetMode="External"/><Relationship Id="rId9" Type="http://schemas.openxmlformats.org/officeDocument/2006/relationships/hyperlink" Target="https://archive.budget.gov.au/2013-14/bp2/BP2_consolidated.pdf" TargetMode="External"/><Relationship Id="rId14" Type="http://schemas.openxmlformats.org/officeDocument/2006/relationships/hyperlink" Target="https://www.communications.gov.au/documents/part-complaints-handling-and-consumer-redress-consumer-safeguards-review-report-mini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FFFFF"/>
      </a:lt2>
      <a:accent1>
        <a:srgbClr val="00A0A4"/>
      </a:accent1>
      <a:accent2>
        <a:srgbClr val="7C426F"/>
      </a:accent2>
      <a:accent3>
        <a:srgbClr val="39457C"/>
      </a:accent3>
      <a:accent4>
        <a:srgbClr val="85BEC2"/>
      </a:accent4>
      <a:accent5>
        <a:srgbClr val="CBB6CA"/>
      </a:accent5>
      <a:accent6>
        <a:srgbClr val="D3E5E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16787</Words>
  <Characters>96531</Characters>
  <Application>Microsoft Office Word</Application>
  <DocSecurity>0</DocSecurity>
  <Lines>2839</Lines>
  <Paragraphs>1920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2024-08-20T23:12:00Z</dcterms:created>
  <dcterms:modified xsi:type="dcterms:W3CDTF">2024-08-20T23:12:00Z</dcterms:modified>
  <cp:category/>
</cp:coreProperties>
</file>