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0A9A" w14:textId="7DFF56CD" w:rsidR="00BE459D" w:rsidRDefault="00B30A6C" w:rsidP="00526070">
      <w:pPr>
        <w:pStyle w:val="ACMAHeading1"/>
        <w:spacing w:before="240" w:after="240"/>
      </w:pPr>
      <w:r w:rsidRPr="006C52DF">
        <w:t xml:space="preserve">Investigation </w:t>
      </w:r>
      <w:r w:rsidR="0079419E" w:rsidRPr="006C52DF">
        <w:t>r</w:t>
      </w:r>
      <w:r w:rsidRPr="006C52DF">
        <w:t xml:space="preserve">eport </w:t>
      </w:r>
      <w:r w:rsidR="003643B7" w:rsidRPr="006C52DF">
        <w:t>(</w:t>
      </w:r>
      <w:r w:rsidR="003643B7" w:rsidRPr="006C52DF">
        <w:rPr>
          <w:rStyle w:val="Emphasis"/>
          <w:i w:val="0"/>
        </w:rPr>
        <w:t>consolidated</w:t>
      </w:r>
      <w:r w:rsidR="003643B7" w:rsidRPr="006C52DF">
        <w:t xml:space="preserve">) </w:t>
      </w:r>
      <w:r w:rsidR="0079419E" w:rsidRPr="006C52DF">
        <w:t>n</w:t>
      </w:r>
      <w:r w:rsidRPr="006C52DF">
        <w:t xml:space="preserve">o. </w:t>
      </w:r>
      <w:r w:rsidR="00EF41B0" w:rsidRPr="006C52DF">
        <w:rPr>
          <w:rStyle w:val="Emphasis"/>
          <w:i w:val="0"/>
        </w:rPr>
        <w:t>BI-</w:t>
      </w:r>
      <w:r w:rsidR="00495EEA" w:rsidRPr="006C52DF">
        <w:rPr>
          <w:rStyle w:val="Emphasis"/>
          <w:i w:val="0"/>
        </w:rPr>
        <w:t>678, BI-680 and BI-681</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5E47E5" w14:paraId="1F12AA87"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Pr>
          <w:p w14:paraId="6BFD7F73" w14:textId="77777777" w:rsidR="005E47E5" w:rsidRPr="0033104B" w:rsidRDefault="003E08A5" w:rsidP="0033104B">
            <w:pPr>
              <w:pStyle w:val="ACMATableHeading"/>
            </w:pPr>
            <w:bookmarkStart w:id="0" w:name="ColumnTitle"/>
            <w:r w:rsidRPr="0033104B">
              <w:t>Summary</w:t>
            </w:r>
          </w:p>
        </w:tc>
        <w:tc>
          <w:tcPr>
            <w:tcW w:w="5724" w:type="dxa"/>
          </w:tcPr>
          <w:p w14:paraId="770F3FE2" w14:textId="77777777" w:rsidR="005E47E5" w:rsidRPr="00B261EE" w:rsidRDefault="005E47E5" w:rsidP="00CC369B">
            <w:pPr>
              <w:pStyle w:val="ACMATableHeading"/>
            </w:pPr>
          </w:p>
        </w:tc>
      </w:tr>
      <w:tr w:rsidR="002A12E7" w14:paraId="05AE28EA" w14:textId="77777777" w:rsidTr="002A12E7">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double" w:sz="4" w:space="0" w:color="auto"/>
              <w:bottom w:val="double" w:sz="4" w:space="0" w:color="auto"/>
              <w:right w:val="single" w:sz="4" w:space="0" w:color="auto"/>
            </w:tcBorders>
            <w:shd w:val="clear" w:color="auto" w:fill="auto"/>
          </w:tcPr>
          <w:p w14:paraId="2C7FAA34" w14:textId="762106F8" w:rsidR="002A12E7" w:rsidRPr="0033104B" w:rsidRDefault="002A12E7" w:rsidP="003E6D28">
            <w:pPr>
              <w:pStyle w:val="ACMATableBody"/>
              <w:rPr>
                <w:b/>
              </w:rPr>
            </w:pPr>
            <w:r w:rsidRPr="0033104B">
              <w:rPr>
                <w:b/>
              </w:rPr>
              <w:t>Relevan</w:t>
            </w:r>
            <w:r w:rsidRPr="0068051B">
              <w:rPr>
                <w:b/>
              </w:rPr>
              <w:t xml:space="preserve">t </w:t>
            </w:r>
            <w:r>
              <w:rPr>
                <w:b/>
              </w:rPr>
              <w:t>legislation</w:t>
            </w:r>
          </w:p>
        </w:tc>
        <w:tc>
          <w:tcPr>
            <w:tcW w:w="5724" w:type="dxa"/>
            <w:tcBorders>
              <w:top w:val="double" w:sz="4" w:space="0" w:color="auto"/>
              <w:left w:val="single" w:sz="4" w:space="0" w:color="auto"/>
              <w:bottom w:val="double" w:sz="4" w:space="0" w:color="auto"/>
            </w:tcBorders>
            <w:shd w:val="clear" w:color="auto" w:fill="auto"/>
          </w:tcPr>
          <w:p w14:paraId="56A7EA99" w14:textId="77777777" w:rsidR="002A12E7" w:rsidRDefault="002A12E7" w:rsidP="003E6D28">
            <w:pPr>
              <w:pStyle w:val="ACMATableBody"/>
              <w:rPr>
                <w:rFonts w:cs="Arial"/>
                <w:i/>
                <w:iCs/>
              </w:rPr>
            </w:pPr>
            <w:r w:rsidRPr="0068051B">
              <w:rPr>
                <w:rFonts w:cs="Arial"/>
                <w:i/>
                <w:iCs/>
              </w:rPr>
              <w:t xml:space="preserve">Broadcasting Services </w:t>
            </w:r>
            <w:r>
              <w:rPr>
                <w:rFonts w:cs="Arial"/>
                <w:i/>
                <w:iCs/>
              </w:rPr>
              <w:t xml:space="preserve">Act 1992 </w:t>
            </w:r>
            <w:r w:rsidRPr="002A12E7">
              <w:rPr>
                <w:rFonts w:cs="Arial"/>
              </w:rPr>
              <w:t xml:space="preserve">(the </w:t>
            </w:r>
            <w:r w:rsidRPr="002A12E7">
              <w:rPr>
                <w:rFonts w:cs="Arial"/>
                <w:b/>
                <w:bCs/>
              </w:rPr>
              <w:t>BSA</w:t>
            </w:r>
            <w:r w:rsidRPr="002A12E7">
              <w:rPr>
                <w:rFonts w:cs="Arial"/>
              </w:rPr>
              <w:t>)</w:t>
            </w:r>
            <w:r w:rsidRPr="0068051B">
              <w:rPr>
                <w:rFonts w:cs="Arial"/>
                <w:i/>
                <w:iCs/>
              </w:rPr>
              <w:t xml:space="preserve"> </w:t>
            </w:r>
          </w:p>
          <w:p w14:paraId="38B15246" w14:textId="4B198C6E" w:rsidR="002A12E7" w:rsidRPr="0068051B" w:rsidRDefault="002A12E7" w:rsidP="003E6D28">
            <w:pPr>
              <w:pStyle w:val="ACMATableBody"/>
              <w:rPr>
                <w:i/>
                <w:iCs/>
              </w:rPr>
            </w:pPr>
            <w:r w:rsidRPr="0068051B">
              <w:rPr>
                <w:rFonts w:cs="Arial"/>
                <w:i/>
                <w:iCs/>
              </w:rPr>
              <w:t xml:space="preserve">Broadcasting Services (Commercial Radio Current Affairs Disclosure) Standard 2022 </w:t>
            </w:r>
            <w:r>
              <w:rPr>
                <w:rFonts w:cs="Arial"/>
              </w:rPr>
              <w:t>(the</w:t>
            </w:r>
            <w:r w:rsidR="007460FA">
              <w:rPr>
                <w:rFonts w:cs="Arial"/>
              </w:rPr>
              <w:t xml:space="preserve"> </w:t>
            </w:r>
            <w:r w:rsidRPr="002A12E7">
              <w:rPr>
                <w:rFonts w:cs="Arial"/>
                <w:b/>
                <w:bCs/>
              </w:rPr>
              <w:t>Standard</w:t>
            </w:r>
            <w:r>
              <w:rPr>
                <w:rFonts w:cs="Arial"/>
              </w:rPr>
              <w:t>)</w:t>
            </w:r>
          </w:p>
        </w:tc>
      </w:tr>
      <w:tr w:rsidR="00E01828" w14:paraId="145546C7" w14:textId="77777777" w:rsidTr="00E01828">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double" w:sz="4" w:space="0" w:color="auto"/>
              <w:bottom w:val="double" w:sz="4" w:space="0" w:color="auto"/>
              <w:right w:val="single" w:sz="4" w:space="0" w:color="auto"/>
            </w:tcBorders>
            <w:shd w:val="clear" w:color="auto" w:fill="auto"/>
          </w:tcPr>
          <w:p w14:paraId="64682B98" w14:textId="575696E9" w:rsidR="00E01828" w:rsidRPr="0033104B" w:rsidRDefault="00E01828" w:rsidP="003E6D28">
            <w:pPr>
              <w:pStyle w:val="ACMATableBody"/>
              <w:rPr>
                <w:b/>
              </w:rPr>
            </w:pPr>
            <w:r>
              <w:rPr>
                <w:b/>
              </w:rPr>
              <w:t>Date finalised</w:t>
            </w:r>
          </w:p>
        </w:tc>
        <w:tc>
          <w:tcPr>
            <w:tcW w:w="5724" w:type="dxa"/>
            <w:tcBorders>
              <w:top w:val="double" w:sz="4" w:space="0" w:color="auto"/>
              <w:left w:val="single" w:sz="4" w:space="0" w:color="auto"/>
              <w:bottom w:val="double" w:sz="4" w:space="0" w:color="auto"/>
            </w:tcBorders>
            <w:shd w:val="clear" w:color="auto" w:fill="auto"/>
          </w:tcPr>
          <w:p w14:paraId="0B5D460E" w14:textId="68859040" w:rsidR="00E01828" w:rsidRPr="00E01828" w:rsidRDefault="00B01248" w:rsidP="003E6D28">
            <w:pPr>
              <w:pStyle w:val="ACMATableBody"/>
              <w:rPr>
                <w:rFonts w:cs="Arial"/>
              </w:rPr>
            </w:pPr>
            <w:r>
              <w:rPr>
                <w:rFonts w:cs="Arial"/>
              </w:rPr>
              <w:t>5 July 2024</w:t>
            </w:r>
          </w:p>
        </w:tc>
      </w:tr>
      <w:tr w:rsidR="00FA06CD" w14:paraId="4336187B" w14:textId="77777777" w:rsidTr="00526070">
        <w:trPr>
          <w:cnfStyle w:val="100000000000" w:firstRow="1" w:lastRow="0" w:firstColumn="0" w:lastColumn="0" w:oddVBand="0" w:evenVBand="0" w:oddHBand="0" w:evenHBand="0" w:firstRowFirstColumn="0" w:firstRowLastColumn="0" w:lastRowFirstColumn="0" w:lastRowLastColumn="0"/>
          <w:tblHeader/>
        </w:trPr>
        <w:tc>
          <w:tcPr>
            <w:tcW w:w="8336" w:type="dxa"/>
            <w:gridSpan w:val="2"/>
            <w:tcBorders>
              <w:top w:val="double" w:sz="4" w:space="0" w:color="auto"/>
              <w:bottom w:val="single" w:sz="4" w:space="0" w:color="auto"/>
            </w:tcBorders>
            <w:shd w:val="clear" w:color="auto" w:fill="D9D9D9" w:themeFill="background1" w:themeFillShade="D9"/>
          </w:tcPr>
          <w:p w14:paraId="679466BC" w14:textId="13B6C51D" w:rsidR="00FA06CD" w:rsidRDefault="00FA06CD" w:rsidP="0033104B">
            <w:pPr>
              <w:pStyle w:val="ACMATableBody"/>
              <w:rPr>
                <w:highlight w:val="yellow"/>
              </w:rPr>
            </w:pPr>
            <w:r>
              <w:rPr>
                <w:b/>
              </w:rPr>
              <w:t xml:space="preserve">Investigation </w:t>
            </w:r>
            <w:r w:rsidRPr="00495EEA">
              <w:rPr>
                <w:b/>
              </w:rPr>
              <w:t>BI-678</w:t>
            </w:r>
          </w:p>
        </w:tc>
      </w:tr>
      <w:bookmarkEnd w:id="0"/>
      <w:tr w:rsidR="005E47E5" w14:paraId="17811E60" w14:textId="77777777" w:rsidTr="002A12E7">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A24C666" w14:textId="2A883630" w:rsidR="005E47E5" w:rsidRPr="0033104B" w:rsidRDefault="0008659A" w:rsidP="0033104B">
            <w:pPr>
              <w:pStyle w:val="ACMATableBody"/>
              <w:rPr>
                <w:b/>
              </w:rPr>
            </w:pPr>
            <w:r w:rsidRPr="0008659A">
              <w:rPr>
                <w:b/>
              </w:rPr>
              <w:t>Licensee [service]</w:t>
            </w:r>
          </w:p>
        </w:tc>
        <w:tc>
          <w:tcPr>
            <w:tcW w:w="5724" w:type="dxa"/>
            <w:tcBorders>
              <w:top w:val="single" w:sz="4" w:space="0" w:color="auto"/>
              <w:left w:val="single" w:sz="4" w:space="0" w:color="auto"/>
              <w:bottom w:val="single" w:sz="4" w:space="0" w:color="auto"/>
            </w:tcBorders>
            <w:shd w:val="clear" w:color="auto" w:fill="auto"/>
          </w:tcPr>
          <w:p w14:paraId="5FDC0A39" w14:textId="7054BD80" w:rsidR="005E47E5" w:rsidRPr="0008659A" w:rsidRDefault="0008659A" w:rsidP="0033104B">
            <w:pPr>
              <w:pStyle w:val="ACMATableBody"/>
              <w:rPr>
                <w:bCs/>
                <w:highlight w:val="yellow"/>
              </w:rPr>
            </w:pPr>
            <w:r w:rsidRPr="0008659A">
              <w:rPr>
                <w:bCs/>
              </w:rPr>
              <w:t>Radio 2GB Sydney Pty Ltd [2GB]</w:t>
            </w:r>
          </w:p>
        </w:tc>
      </w:tr>
      <w:tr w:rsidR="004E0B99" w14:paraId="2D988256" w14:textId="77777777" w:rsidTr="000E3534">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F771168" w14:textId="47B1F434" w:rsidR="004E0B99" w:rsidRPr="00631C73" w:rsidRDefault="004E0B99" w:rsidP="000E3534">
            <w:pPr>
              <w:pStyle w:val="ACMATableBody"/>
              <w:rPr>
                <w:b/>
              </w:rPr>
            </w:pPr>
            <w:r w:rsidRPr="00631C73">
              <w:rPr>
                <w:b/>
              </w:rPr>
              <w:t>Finding</w:t>
            </w:r>
            <w:r w:rsidR="004E70A2" w:rsidRPr="00631C73">
              <w:rPr>
                <w:b/>
              </w:rPr>
              <w:t>s</w:t>
            </w:r>
          </w:p>
        </w:tc>
        <w:tc>
          <w:tcPr>
            <w:tcW w:w="5724" w:type="dxa"/>
            <w:tcBorders>
              <w:top w:val="single" w:sz="4" w:space="0" w:color="auto"/>
              <w:left w:val="single" w:sz="4" w:space="0" w:color="auto"/>
              <w:bottom w:val="single" w:sz="4" w:space="0" w:color="auto"/>
            </w:tcBorders>
            <w:shd w:val="clear" w:color="auto" w:fill="auto"/>
          </w:tcPr>
          <w:p w14:paraId="25E39607" w14:textId="5AB31889" w:rsidR="004E0B99" w:rsidRPr="00631C73" w:rsidRDefault="004E0B99" w:rsidP="000E3534">
            <w:pPr>
              <w:pStyle w:val="ACMATableBody"/>
              <w:rPr>
                <w:rFonts w:cs="Arial"/>
              </w:rPr>
            </w:pPr>
            <w:r w:rsidRPr="00631C73">
              <w:rPr>
                <w:rFonts w:cs="Arial"/>
              </w:rPr>
              <w:t>Breach of</w:t>
            </w:r>
            <w:r w:rsidR="0068051B" w:rsidRPr="00631C73">
              <w:rPr>
                <w:rFonts w:cs="Arial"/>
              </w:rPr>
              <w:t xml:space="preserve"> </w:t>
            </w:r>
            <w:r w:rsidRPr="00631C73">
              <w:rPr>
                <w:rFonts w:cs="Arial"/>
              </w:rPr>
              <w:t>subsection</w:t>
            </w:r>
            <w:r w:rsidR="0068051B" w:rsidRPr="00631C73">
              <w:rPr>
                <w:rFonts w:cs="Arial"/>
              </w:rPr>
              <w:t xml:space="preserve"> 10(2) </w:t>
            </w:r>
            <w:r w:rsidRPr="00631C73">
              <w:rPr>
                <w:rFonts w:cs="Arial"/>
              </w:rPr>
              <w:t>[</w:t>
            </w:r>
            <w:r w:rsidR="0068051B" w:rsidRPr="00631C73">
              <w:rPr>
                <w:rFonts w:cs="Arial"/>
              </w:rPr>
              <w:t>disclosure announcement</w:t>
            </w:r>
            <w:r w:rsidRPr="00631C73">
              <w:rPr>
                <w:rFonts w:cs="Arial"/>
              </w:rPr>
              <w:t xml:space="preserve">] </w:t>
            </w:r>
            <w:r w:rsidR="002A12E7" w:rsidRPr="00631C73">
              <w:rPr>
                <w:rFonts w:cs="Arial"/>
              </w:rPr>
              <w:t>of the Standard</w:t>
            </w:r>
          </w:p>
          <w:p w14:paraId="4DD2ACF9" w14:textId="7FFAB20B" w:rsidR="004E0B99" w:rsidRDefault="004E0B99" w:rsidP="000E3534">
            <w:pPr>
              <w:pStyle w:val="ACMATableBody"/>
            </w:pPr>
            <w:r w:rsidRPr="00631C73">
              <w:rPr>
                <w:rFonts w:cs="Arial"/>
              </w:rPr>
              <w:t xml:space="preserve">Breach of </w:t>
            </w:r>
            <w:r w:rsidR="0068051B" w:rsidRPr="00631C73">
              <w:rPr>
                <w:rFonts w:cs="Arial"/>
              </w:rPr>
              <w:t xml:space="preserve">section 13 </w:t>
            </w:r>
            <w:r w:rsidRPr="00631C73">
              <w:rPr>
                <w:rFonts w:cs="Arial"/>
              </w:rPr>
              <w:t>[</w:t>
            </w:r>
            <w:r w:rsidR="0068051B" w:rsidRPr="00631C73">
              <w:rPr>
                <w:rFonts w:cs="Arial"/>
              </w:rPr>
              <w:t>contents of register</w:t>
            </w:r>
            <w:r w:rsidRPr="00631C73">
              <w:rPr>
                <w:rFonts w:cs="Arial"/>
              </w:rPr>
              <w:t>]</w:t>
            </w:r>
            <w:r w:rsidRPr="00631C73">
              <w:t xml:space="preserve"> </w:t>
            </w:r>
            <w:r w:rsidR="002A12E7" w:rsidRPr="00631C73">
              <w:t>of the Standard</w:t>
            </w:r>
          </w:p>
          <w:p w14:paraId="1E54C224" w14:textId="2814B7B5" w:rsidR="003A00D4" w:rsidRDefault="003A00D4" w:rsidP="000E3534">
            <w:pPr>
              <w:pStyle w:val="ACMATableBody"/>
            </w:pPr>
            <w:r>
              <w:t>Breach of section 15 [licensee must keep commercial agreements]</w:t>
            </w:r>
            <w:r w:rsidR="00AD7863">
              <w:t xml:space="preserve"> of the Standard</w:t>
            </w:r>
          </w:p>
          <w:p w14:paraId="26FF5CD1" w14:textId="239ECE15" w:rsidR="002A12E7" w:rsidRPr="00631C73" w:rsidRDefault="002A12E7" w:rsidP="000E3534">
            <w:pPr>
              <w:pStyle w:val="ACMATableBody"/>
            </w:pPr>
            <w:r w:rsidRPr="00631C73">
              <w:rPr>
                <w:rFonts w:cs="Arial"/>
              </w:rPr>
              <w:t xml:space="preserve">Breach of </w:t>
            </w:r>
            <w:r w:rsidR="00760450" w:rsidRPr="00631C73">
              <w:rPr>
                <w:rFonts w:cs="Arial"/>
              </w:rPr>
              <w:t>paragraph 8(1)(b)</w:t>
            </w:r>
            <w:r w:rsidRPr="00631C73">
              <w:rPr>
                <w:rFonts w:cs="Arial"/>
              </w:rPr>
              <w:t xml:space="preserve"> [</w:t>
            </w:r>
            <w:r w:rsidR="00760450" w:rsidRPr="00631C73">
              <w:rPr>
                <w:rFonts w:cs="Arial"/>
              </w:rPr>
              <w:t>comply with</w:t>
            </w:r>
            <w:r w:rsidRPr="00631C73">
              <w:t xml:space="preserve"> </w:t>
            </w:r>
            <w:r w:rsidR="00760450" w:rsidRPr="00631C73">
              <w:t>s</w:t>
            </w:r>
            <w:r w:rsidRPr="00631C73">
              <w:t>tandard</w:t>
            </w:r>
            <w:r w:rsidR="00760450" w:rsidRPr="00631C73">
              <w:t>s] of Schedule 2 to the BSA</w:t>
            </w:r>
          </w:p>
        </w:tc>
      </w:tr>
      <w:tr w:rsidR="00495EEA" w14:paraId="1DEFFF59" w14:textId="77777777" w:rsidTr="003E6D28">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1F61CE0" w14:textId="06A9A2C3" w:rsidR="00495EEA" w:rsidRPr="0033104B" w:rsidRDefault="00495EEA" w:rsidP="003E6D28">
            <w:pPr>
              <w:pStyle w:val="ACMATableBody"/>
              <w:rPr>
                <w:b/>
              </w:rPr>
            </w:pPr>
            <w:r>
              <w:rPr>
                <w:b/>
              </w:rPr>
              <w:t>P</w:t>
            </w:r>
            <w:r w:rsidRPr="0033104B">
              <w:rPr>
                <w:b/>
              </w:rPr>
              <w:t>rogram</w:t>
            </w:r>
            <w:r>
              <w:rPr>
                <w:b/>
              </w:rPr>
              <w:t xml:space="preserve"> [type]</w:t>
            </w:r>
          </w:p>
        </w:tc>
        <w:tc>
          <w:tcPr>
            <w:tcW w:w="5724" w:type="dxa"/>
            <w:tcBorders>
              <w:top w:val="single" w:sz="4" w:space="0" w:color="auto"/>
              <w:left w:val="single" w:sz="4" w:space="0" w:color="auto"/>
              <w:bottom w:val="single" w:sz="4" w:space="0" w:color="auto"/>
            </w:tcBorders>
            <w:shd w:val="clear" w:color="auto" w:fill="auto"/>
          </w:tcPr>
          <w:p w14:paraId="79BE8B39" w14:textId="010834C7" w:rsidR="00495EEA" w:rsidRPr="004E0B99" w:rsidRDefault="00495EEA" w:rsidP="003E6D28">
            <w:pPr>
              <w:pStyle w:val="ACMATableBody"/>
              <w:rPr>
                <w:iCs/>
                <w:highlight w:val="yellow"/>
              </w:rPr>
            </w:pPr>
            <w:r w:rsidRPr="00264D11">
              <w:rPr>
                <w:i/>
              </w:rPr>
              <w:t>Ben Fordham Live</w:t>
            </w:r>
            <w:r w:rsidRPr="00264D11">
              <w:rPr>
                <w:iCs/>
              </w:rPr>
              <w:t xml:space="preserve"> [current affairs]</w:t>
            </w:r>
          </w:p>
        </w:tc>
      </w:tr>
      <w:tr w:rsidR="00495EEA" w14:paraId="162B1C58" w14:textId="77777777" w:rsidTr="00495EEA">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double" w:sz="4" w:space="0" w:color="auto"/>
              <w:right w:val="single" w:sz="4" w:space="0" w:color="auto"/>
            </w:tcBorders>
            <w:shd w:val="clear" w:color="auto" w:fill="auto"/>
          </w:tcPr>
          <w:p w14:paraId="1B23B3B4" w14:textId="495252C8" w:rsidR="00495EEA" w:rsidRPr="0033104B" w:rsidRDefault="00495EEA" w:rsidP="003E6D28">
            <w:pPr>
              <w:pStyle w:val="ACMATableBody"/>
              <w:rPr>
                <w:b/>
              </w:rPr>
            </w:pPr>
            <w:r w:rsidRPr="00747CC0">
              <w:rPr>
                <w:b/>
              </w:rPr>
              <w:t xml:space="preserve">Date </w:t>
            </w:r>
            <w:r w:rsidRPr="0033104B">
              <w:rPr>
                <w:b/>
              </w:rPr>
              <w:t>of broadcast</w:t>
            </w:r>
          </w:p>
        </w:tc>
        <w:tc>
          <w:tcPr>
            <w:tcW w:w="5724" w:type="dxa"/>
            <w:tcBorders>
              <w:top w:val="single" w:sz="4" w:space="0" w:color="auto"/>
              <w:left w:val="single" w:sz="4" w:space="0" w:color="auto"/>
              <w:bottom w:val="double" w:sz="4" w:space="0" w:color="auto"/>
            </w:tcBorders>
            <w:shd w:val="clear" w:color="auto" w:fill="auto"/>
          </w:tcPr>
          <w:p w14:paraId="43B1C6F9" w14:textId="7A2FD76F" w:rsidR="00495EEA" w:rsidRDefault="00495EEA" w:rsidP="003E6D28">
            <w:pPr>
              <w:pStyle w:val="ACMATableBody"/>
            </w:pPr>
            <w:r>
              <w:t>3 August 2023</w:t>
            </w:r>
          </w:p>
        </w:tc>
      </w:tr>
      <w:tr w:rsidR="00FA06CD" w:rsidRPr="0008659A" w14:paraId="3AB511E6" w14:textId="77777777" w:rsidTr="00526070">
        <w:trPr>
          <w:cnfStyle w:val="100000000000" w:firstRow="1" w:lastRow="0" w:firstColumn="0" w:lastColumn="0" w:oddVBand="0" w:evenVBand="0" w:oddHBand="0" w:evenHBand="0" w:firstRowFirstColumn="0" w:firstRowLastColumn="0" w:lastRowFirstColumn="0" w:lastRowLastColumn="0"/>
          <w:tblHeader/>
        </w:trPr>
        <w:tc>
          <w:tcPr>
            <w:tcW w:w="8336" w:type="dxa"/>
            <w:gridSpan w:val="2"/>
            <w:tcBorders>
              <w:top w:val="double" w:sz="4" w:space="0" w:color="auto"/>
              <w:bottom w:val="single" w:sz="4" w:space="0" w:color="auto"/>
            </w:tcBorders>
            <w:shd w:val="clear" w:color="auto" w:fill="D9D9D9" w:themeFill="background1" w:themeFillShade="D9"/>
          </w:tcPr>
          <w:p w14:paraId="5901F230" w14:textId="5C276170" w:rsidR="00FA06CD" w:rsidRPr="0008659A" w:rsidRDefault="00FA06CD" w:rsidP="0008659A">
            <w:pPr>
              <w:pStyle w:val="ACMATableBody"/>
              <w:rPr>
                <w:b/>
              </w:rPr>
            </w:pPr>
            <w:r>
              <w:rPr>
                <w:b/>
              </w:rPr>
              <w:t xml:space="preserve">Investigation </w:t>
            </w:r>
            <w:r w:rsidRPr="0008659A">
              <w:rPr>
                <w:b/>
              </w:rPr>
              <w:t>BI-680</w:t>
            </w:r>
          </w:p>
        </w:tc>
      </w:tr>
      <w:tr w:rsidR="0008659A" w14:paraId="027AD137" w14:textId="77777777" w:rsidTr="00495EEA">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double" w:sz="4" w:space="0" w:color="auto"/>
              <w:bottom w:val="single" w:sz="4" w:space="0" w:color="auto"/>
              <w:right w:val="single" w:sz="4" w:space="0" w:color="auto"/>
            </w:tcBorders>
            <w:shd w:val="clear" w:color="auto" w:fill="auto"/>
          </w:tcPr>
          <w:p w14:paraId="79D13386" w14:textId="5DEF6CFE" w:rsidR="0008659A" w:rsidRPr="007A4A1A" w:rsidRDefault="0008659A" w:rsidP="0008659A">
            <w:pPr>
              <w:pStyle w:val="ACMATableBody"/>
              <w:rPr>
                <w:b/>
                <w:highlight w:val="yellow"/>
              </w:rPr>
            </w:pPr>
            <w:r w:rsidRPr="0008659A">
              <w:rPr>
                <w:b/>
              </w:rPr>
              <w:t>Licensee [service]</w:t>
            </w:r>
          </w:p>
        </w:tc>
        <w:tc>
          <w:tcPr>
            <w:tcW w:w="5724" w:type="dxa"/>
            <w:tcBorders>
              <w:top w:val="double" w:sz="4" w:space="0" w:color="auto"/>
              <w:left w:val="single" w:sz="4" w:space="0" w:color="auto"/>
              <w:bottom w:val="single" w:sz="4" w:space="0" w:color="auto"/>
            </w:tcBorders>
            <w:shd w:val="clear" w:color="auto" w:fill="auto"/>
          </w:tcPr>
          <w:p w14:paraId="69B2913D" w14:textId="38B246DA" w:rsidR="0008659A" w:rsidRPr="0008659A" w:rsidRDefault="0008659A" w:rsidP="0008659A">
            <w:pPr>
              <w:pStyle w:val="ACMATableBody"/>
              <w:rPr>
                <w:rFonts w:cs="Arial"/>
                <w:bCs/>
                <w:highlight w:val="yellow"/>
              </w:rPr>
            </w:pPr>
            <w:r w:rsidRPr="0008659A">
              <w:rPr>
                <w:bCs/>
              </w:rPr>
              <w:t xml:space="preserve">Radio </w:t>
            </w:r>
            <w:r>
              <w:rPr>
                <w:bCs/>
              </w:rPr>
              <w:t>3AW</w:t>
            </w:r>
            <w:r w:rsidRPr="0008659A">
              <w:rPr>
                <w:bCs/>
              </w:rPr>
              <w:t xml:space="preserve"> </w:t>
            </w:r>
            <w:r>
              <w:rPr>
                <w:bCs/>
              </w:rPr>
              <w:t>Melbourne</w:t>
            </w:r>
            <w:r w:rsidRPr="0008659A">
              <w:rPr>
                <w:bCs/>
              </w:rPr>
              <w:t xml:space="preserve"> Pty Ltd [</w:t>
            </w:r>
            <w:r>
              <w:rPr>
                <w:bCs/>
              </w:rPr>
              <w:t>3AW</w:t>
            </w:r>
            <w:r w:rsidRPr="0008659A">
              <w:rPr>
                <w:bCs/>
              </w:rPr>
              <w:t>]</w:t>
            </w:r>
          </w:p>
        </w:tc>
      </w:tr>
      <w:tr w:rsidR="0008659A" w14:paraId="735A5DD8" w14:textId="77777777" w:rsidTr="003E6D28">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7EB144F" w14:textId="10F240F1" w:rsidR="0008659A" w:rsidRPr="00CA4132" w:rsidRDefault="0008659A" w:rsidP="0008659A">
            <w:pPr>
              <w:pStyle w:val="ACMATableBody"/>
              <w:rPr>
                <w:b/>
              </w:rPr>
            </w:pPr>
            <w:r w:rsidRPr="00CA4132">
              <w:rPr>
                <w:b/>
              </w:rPr>
              <w:t>Finding</w:t>
            </w:r>
            <w:r w:rsidR="006E7405" w:rsidRPr="00CA4132">
              <w:rPr>
                <w:b/>
              </w:rPr>
              <w:t>s</w:t>
            </w:r>
          </w:p>
        </w:tc>
        <w:tc>
          <w:tcPr>
            <w:tcW w:w="5724" w:type="dxa"/>
            <w:tcBorders>
              <w:top w:val="single" w:sz="4" w:space="0" w:color="auto"/>
              <w:left w:val="single" w:sz="4" w:space="0" w:color="auto"/>
              <w:bottom w:val="single" w:sz="4" w:space="0" w:color="auto"/>
            </w:tcBorders>
            <w:shd w:val="clear" w:color="auto" w:fill="auto"/>
          </w:tcPr>
          <w:p w14:paraId="33B90A4F" w14:textId="4E38A1F5" w:rsidR="00F84831" w:rsidRPr="00631C73" w:rsidRDefault="00C075A6" w:rsidP="00F84831">
            <w:pPr>
              <w:pStyle w:val="ACMATableBody"/>
              <w:rPr>
                <w:rFonts w:cs="Arial"/>
              </w:rPr>
            </w:pPr>
            <w:r w:rsidRPr="00CA4132">
              <w:rPr>
                <w:rFonts w:cs="Arial"/>
              </w:rPr>
              <w:t>Breac</w:t>
            </w:r>
            <w:r w:rsidR="006E7405" w:rsidRPr="00CA4132">
              <w:rPr>
                <w:rFonts w:cs="Arial"/>
              </w:rPr>
              <w:t>h</w:t>
            </w:r>
            <w:r w:rsidRPr="00CA4132">
              <w:rPr>
                <w:rFonts w:cs="Arial"/>
              </w:rPr>
              <w:t xml:space="preserve"> of subsection 10(2) [disclosure announcement] </w:t>
            </w:r>
            <w:r w:rsidR="00F84831" w:rsidRPr="00631C73">
              <w:rPr>
                <w:rFonts w:cs="Arial"/>
              </w:rPr>
              <w:t>of the Standard</w:t>
            </w:r>
          </w:p>
          <w:p w14:paraId="414A35EF" w14:textId="5C64B279" w:rsidR="00F84831" w:rsidRPr="00631C73" w:rsidRDefault="00C075A6" w:rsidP="00F84831">
            <w:pPr>
              <w:pStyle w:val="ACMATableBody"/>
              <w:rPr>
                <w:rFonts w:cs="Arial"/>
              </w:rPr>
            </w:pPr>
            <w:r w:rsidRPr="00CA4132">
              <w:rPr>
                <w:rFonts w:cs="Arial"/>
              </w:rPr>
              <w:t>Breach of section 13 [contents of register]</w:t>
            </w:r>
            <w:r w:rsidR="00760450" w:rsidRPr="00CA4132">
              <w:rPr>
                <w:rFonts w:cs="Arial"/>
              </w:rPr>
              <w:t xml:space="preserve"> </w:t>
            </w:r>
            <w:r w:rsidR="00F84831" w:rsidRPr="00631C73">
              <w:rPr>
                <w:rFonts w:cs="Arial"/>
              </w:rPr>
              <w:t>of the</w:t>
            </w:r>
            <w:r w:rsidR="00F84831">
              <w:rPr>
                <w:rFonts w:cs="Arial"/>
              </w:rPr>
              <w:t xml:space="preserve"> </w:t>
            </w:r>
            <w:r w:rsidR="00F84831" w:rsidRPr="00631C73">
              <w:rPr>
                <w:rFonts w:cs="Arial"/>
              </w:rPr>
              <w:t>Standard</w:t>
            </w:r>
          </w:p>
          <w:p w14:paraId="1E81C474" w14:textId="28BC0697" w:rsidR="0008659A" w:rsidRPr="00CA4132" w:rsidRDefault="00760450" w:rsidP="00C075A6">
            <w:pPr>
              <w:pStyle w:val="ACMATableBody"/>
              <w:rPr>
                <w:rFonts w:cs="Arial"/>
              </w:rPr>
            </w:pPr>
            <w:r w:rsidRPr="00CA4132">
              <w:rPr>
                <w:rFonts w:cs="Arial"/>
              </w:rPr>
              <w:t>Breach of paragraph 8(1)(b) [comply with</w:t>
            </w:r>
            <w:r w:rsidRPr="00CA4132">
              <w:t xml:space="preserve"> </w:t>
            </w:r>
            <w:r w:rsidR="00260D37">
              <w:t>s</w:t>
            </w:r>
            <w:r w:rsidRPr="00CA4132">
              <w:t>tandards] of Schedule 2 to the BSA</w:t>
            </w:r>
          </w:p>
        </w:tc>
      </w:tr>
      <w:tr w:rsidR="0008659A" w14:paraId="3A4DE1CA" w14:textId="77777777" w:rsidTr="003E6D28">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F2B95B9" w14:textId="5D152927" w:rsidR="0008659A" w:rsidRPr="0033104B" w:rsidRDefault="0008659A" w:rsidP="0008659A">
            <w:pPr>
              <w:pStyle w:val="ACMATableBody"/>
              <w:rPr>
                <w:b/>
              </w:rPr>
            </w:pPr>
            <w:r>
              <w:rPr>
                <w:b/>
              </w:rPr>
              <w:t>P</w:t>
            </w:r>
            <w:r w:rsidRPr="0033104B">
              <w:rPr>
                <w:b/>
              </w:rPr>
              <w:t>rogram</w:t>
            </w:r>
            <w:r>
              <w:rPr>
                <w:b/>
              </w:rPr>
              <w:t xml:space="preserve"> [type]</w:t>
            </w:r>
          </w:p>
        </w:tc>
        <w:tc>
          <w:tcPr>
            <w:tcW w:w="5724" w:type="dxa"/>
            <w:tcBorders>
              <w:top w:val="single" w:sz="4" w:space="0" w:color="auto"/>
              <w:left w:val="single" w:sz="4" w:space="0" w:color="auto"/>
              <w:bottom w:val="single" w:sz="4" w:space="0" w:color="auto"/>
            </w:tcBorders>
            <w:shd w:val="clear" w:color="auto" w:fill="auto"/>
          </w:tcPr>
          <w:p w14:paraId="161B8F1C" w14:textId="2779C4BA" w:rsidR="0008659A" w:rsidRPr="004E0B99" w:rsidRDefault="0008659A" w:rsidP="0008659A">
            <w:pPr>
              <w:pStyle w:val="ACMATableBody"/>
              <w:rPr>
                <w:iCs/>
                <w:highlight w:val="yellow"/>
              </w:rPr>
            </w:pPr>
            <w:r w:rsidRPr="0008659A">
              <w:rPr>
                <w:i/>
              </w:rPr>
              <w:t>3AW Afternoons</w:t>
            </w:r>
            <w:r w:rsidRPr="0008659A">
              <w:rPr>
                <w:iCs/>
              </w:rPr>
              <w:t xml:space="preserve"> [current affairs]</w:t>
            </w:r>
          </w:p>
        </w:tc>
      </w:tr>
      <w:tr w:rsidR="0008659A" w14:paraId="36245F95" w14:textId="77777777" w:rsidTr="00495EEA">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double" w:sz="4" w:space="0" w:color="auto"/>
              <w:right w:val="single" w:sz="4" w:space="0" w:color="auto"/>
            </w:tcBorders>
            <w:shd w:val="clear" w:color="auto" w:fill="auto"/>
          </w:tcPr>
          <w:p w14:paraId="58DBDA33" w14:textId="49A7F067" w:rsidR="0008659A" w:rsidRPr="0033104B" w:rsidRDefault="0008659A" w:rsidP="0008659A">
            <w:pPr>
              <w:pStyle w:val="ACMATableBody"/>
              <w:rPr>
                <w:b/>
              </w:rPr>
            </w:pPr>
            <w:r w:rsidRPr="00747CC0">
              <w:rPr>
                <w:b/>
              </w:rPr>
              <w:t xml:space="preserve">Date </w:t>
            </w:r>
            <w:r w:rsidRPr="0033104B">
              <w:rPr>
                <w:b/>
              </w:rPr>
              <w:t>of broadcast</w:t>
            </w:r>
            <w:r w:rsidR="00FA6E41">
              <w:rPr>
                <w:b/>
              </w:rPr>
              <w:t>s</w:t>
            </w:r>
          </w:p>
        </w:tc>
        <w:tc>
          <w:tcPr>
            <w:tcW w:w="5724" w:type="dxa"/>
            <w:tcBorders>
              <w:top w:val="single" w:sz="4" w:space="0" w:color="auto"/>
              <w:left w:val="single" w:sz="4" w:space="0" w:color="auto"/>
              <w:bottom w:val="double" w:sz="4" w:space="0" w:color="auto"/>
            </w:tcBorders>
            <w:shd w:val="clear" w:color="auto" w:fill="auto"/>
          </w:tcPr>
          <w:p w14:paraId="054EABE0" w14:textId="3D986151" w:rsidR="0008659A" w:rsidRDefault="0008659A" w:rsidP="0008659A">
            <w:pPr>
              <w:pStyle w:val="ACMATableBody"/>
            </w:pPr>
            <w:r>
              <w:t>2 August 2023</w:t>
            </w:r>
            <w:r w:rsidR="00FA6E41">
              <w:t xml:space="preserve"> and 28 August 2023</w:t>
            </w:r>
          </w:p>
        </w:tc>
      </w:tr>
    </w:tbl>
    <w:p w14:paraId="285BFF09" w14:textId="77777777" w:rsidR="00526070" w:rsidRDefault="00526070"/>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FA06CD" w:rsidRPr="0008659A" w14:paraId="772C64F2" w14:textId="77777777" w:rsidTr="00526070">
        <w:trPr>
          <w:cnfStyle w:val="100000000000" w:firstRow="1" w:lastRow="0" w:firstColumn="0" w:lastColumn="0" w:oddVBand="0" w:evenVBand="0" w:oddHBand="0" w:evenHBand="0" w:firstRowFirstColumn="0" w:firstRowLastColumn="0" w:lastRowFirstColumn="0" w:lastRowLastColumn="0"/>
          <w:tblHeader/>
        </w:trPr>
        <w:tc>
          <w:tcPr>
            <w:tcW w:w="8336" w:type="dxa"/>
            <w:gridSpan w:val="2"/>
            <w:tcBorders>
              <w:top w:val="double" w:sz="4" w:space="0" w:color="auto"/>
              <w:bottom w:val="single" w:sz="4" w:space="0" w:color="auto"/>
            </w:tcBorders>
            <w:shd w:val="clear" w:color="auto" w:fill="D9D9D9" w:themeFill="background1" w:themeFillShade="D9"/>
          </w:tcPr>
          <w:p w14:paraId="798B7C4C" w14:textId="21A44778" w:rsidR="00FA06CD" w:rsidRPr="0008659A" w:rsidRDefault="00FA06CD" w:rsidP="003E6D28">
            <w:pPr>
              <w:pStyle w:val="ACMATableBody"/>
              <w:rPr>
                <w:b/>
              </w:rPr>
            </w:pPr>
            <w:bookmarkStart w:id="1" w:name="_Hlk170815996"/>
            <w:r>
              <w:rPr>
                <w:b/>
              </w:rPr>
              <w:lastRenderedPageBreak/>
              <w:t xml:space="preserve">Investigation </w:t>
            </w:r>
            <w:r w:rsidRPr="0008659A">
              <w:rPr>
                <w:b/>
              </w:rPr>
              <w:t>BI-68</w:t>
            </w:r>
            <w:r>
              <w:rPr>
                <w:b/>
              </w:rPr>
              <w:t>1</w:t>
            </w:r>
          </w:p>
        </w:tc>
      </w:tr>
      <w:tr w:rsidR="0008659A" w14:paraId="3FEB20BB" w14:textId="77777777" w:rsidTr="00495EEA">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double" w:sz="4" w:space="0" w:color="auto"/>
              <w:bottom w:val="single" w:sz="4" w:space="0" w:color="auto"/>
              <w:right w:val="single" w:sz="4" w:space="0" w:color="auto"/>
            </w:tcBorders>
            <w:shd w:val="clear" w:color="auto" w:fill="auto"/>
          </w:tcPr>
          <w:p w14:paraId="49B7522D" w14:textId="18720D91" w:rsidR="0008659A" w:rsidRPr="007A4A1A" w:rsidRDefault="0008659A" w:rsidP="0008659A">
            <w:pPr>
              <w:pStyle w:val="ACMATableBody"/>
              <w:rPr>
                <w:b/>
                <w:highlight w:val="yellow"/>
              </w:rPr>
            </w:pPr>
            <w:r w:rsidRPr="0008659A">
              <w:rPr>
                <w:b/>
              </w:rPr>
              <w:t>Licensee [service]</w:t>
            </w:r>
          </w:p>
        </w:tc>
        <w:tc>
          <w:tcPr>
            <w:tcW w:w="5724" w:type="dxa"/>
            <w:tcBorders>
              <w:top w:val="double" w:sz="4" w:space="0" w:color="auto"/>
              <w:left w:val="single" w:sz="4" w:space="0" w:color="auto"/>
              <w:bottom w:val="single" w:sz="4" w:space="0" w:color="auto"/>
            </w:tcBorders>
            <w:shd w:val="clear" w:color="auto" w:fill="auto"/>
          </w:tcPr>
          <w:p w14:paraId="18D86017" w14:textId="6D223298" w:rsidR="0008659A" w:rsidRPr="0008659A" w:rsidRDefault="0008659A" w:rsidP="0008659A">
            <w:pPr>
              <w:pStyle w:val="ACMATableBody"/>
              <w:rPr>
                <w:rFonts w:cs="Arial"/>
                <w:bCs/>
                <w:highlight w:val="yellow"/>
              </w:rPr>
            </w:pPr>
            <w:r w:rsidRPr="0008659A">
              <w:rPr>
                <w:bCs/>
              </w:rPr>
              <w:t xml:space="preserve">Radio </w:t>
            </w:r>
            <w:r w:rsidR="004B74B8">
              <w:rPr>
                <w:bCs/>
              </w:rPr>
              <w:t>4BC</w:t>
            </w:r>
            <w:r w:rsidRPr="0008659A">
              <w:rPr>
                <w:bCs/>
              </w:rPr>
              <w:t xml:space="preserve"> Brisbane Pty Limited [4BC]</w:t>
            </w:r>
          </w:p>
        </w:tc>
      </w:tr>
      <w:tr w:rsidR="0008659A" w14:paraId="473ACA10" w14:textId="77777777" w:rsidTr="00526070">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double" w:sz="4" w:space="0" w:color="auto"/>
              <w:right w:val="single" w:sz="4" w:space="0" w:color="auto"/>
            </w:tcBorders>
            <w:shd w:val="clear" w:color="auto" w:fill="auto"/>
          </w:tcPr>
          <w:p w14:paraId="3A537FA0" w14:textId="21ABB212" w:rsidR="0008659A" w:rsidRPr="002D700A" w:rsidRDefault="0008659A" w:rsidP="0008659A">
            <w:pPr>
              <w:pStyle w:val="ACMATableBody"/>
              <w:rPr>
                <w:b/>
              </w:rPr>
            </w:pPr>
            <w:r w:rsidRPr="002D700A">
              <w:rPr>
                <w:b/>
              </w:rPr>
              <w:t>Finding</w:t>
            </w:r>
            <w:r w:rsidR="002D700A" w:rsidRPr="002D700A">
              <w:rPr>
                <w:b/>
              </w:rPr>
              <w:t>s</w:t>
            </w:r>
          </w:p>
        </w:tc>
        <w:tc>
          <w:tcPr>
            <w:tcW w:w="5724" w:type="dxa"/>
            <w:tcBorders>
              <w:top w:val="single" w:sz="4" w:space="0" w:color="auto"/>
              <w:left w:val="single" w:sz="4" w:space="0" w:color="auto"/>
              <w:bottom w:val="double" w:sz="4" w:space="0" w:color="auto"/>
            </w:tcBorders>
            <w:shd w:val="clear" w:color="auto" w:fill="auto"/>
          </w:tcPr>
          <w:p w14:paraId="786FE257" w14:textId="068E8795" w:rsidR="00F84831" w:rsidRPr="002D700A" w:rsidRDefault="00C075A6" w:rsidP="00F84831">
            <w:pPr>
              <w:pStyle w:val="ACMATableBody"/>
              <w:rPr>
                <w:rFonts w:cs="Arial"/>
              </w:rPr>
            </w:pPr>
            <w:r w:rsidRPr="002D700A">
              <w:rPr>
                <w:rFonts w:cs="Arial"/>
              </w:rPr>
              <w:t>No breach of section 13 [contents of register]</w:t>
            </w:r>
            <w:r w:rsidR="00F84831" w:rsidRPr="002D700A">
              <w:rPr>
                <w:rFonts w:cs="Arial"/>
              </w:rPr>
              <w:t xml:space="preserve"> of the Standard</w:t>
            </w:r>
          </w:p>
          <w:p w14:paraId="1CE6398E" w14:textId="39C05805" w:rsidR="00760450" w:rsidRPr="002D700A" w:rsidRDefault="00760450" w:rsidP="00C075A6">
            <w:pPr>
              <w:pStyle w:val="ACMATableBody"/>
              <w:rPr>
                <w:rFonts w:cs="Arial"/>
              </w:rPr>
            </w:pPr>
            <w:r w:rsidRPr="002D700A">
              <w:rPr>
                <w:rFonts w:cs="Arial"/>
              </w:rPr>
              <w:t>No breach of paragraph 8(1)(b) [comply with</w:t>
            </w:r>
            <w:r w:rsidRPr="002D700A">
              <w:t xml:space="preserve"> </w:t>
            </w:r>
            <w:r w:rsidR="00260D37">
              <w:t>s</w:t>
            </w:r>
            <w:r w:rsidRPr="002D700A">
              <w:t>tandards] of Schedule 2 to the BSA</w:t>
            </w:r>
          </w:p>
        </w:tc>
      </w:tr>
      <w:bookmarkEnd w:id="1"/>
      <w:tr w:rsidR="00526070" w14:paraId="1A57D9C8" w14:textId="77777777" w:rsidTr="00526070">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double" w:sz="4" w:space="0" w:color="auto"/>
              <w:bottom w:val="double" w:sz="4" w:space="0" w:color="auto"/>
            </w:tcBorders>
            <w:shd w:val="clear" w:color="auto" w:fill="D9D9D9" w:themeFill="background1" w:themeFillShade="D9"/>
          </w:tcPr>
          <w:p w14:paraId="0340049B" w14:textId="2EA35966" w:rsidR="00526070" w:rsidRPr="002D700A" w:rsidRDefault="00EF06A3" w:rsidP="0008659A">
            <w:pPr>
              <w:pStyle w:val="ACMATableBody"/>
              <w:rPr>
                <w:b/>
              </w:rPr>
            </w:pPr>
            <w:r>
              <w:rPr>
                <w:b/>
              </w:rPr>
              <w:t>General</w:t>
            </w:r>
          </w:p>
        </w:tc>
        <w:tc>
          <w:tcPr>
            <w:tcW w:w="5724" w:type="dxa"/>
            <w:tcBorders>
              <w:top w:val="single" w:sz="4" w:space="0" w:color="auto"/>
              <w:bottom w:val="double" w:sz="4" w:space="0" w:color="auto"/>
            </w:tcBorders>
            <w:shd w:val="clear" w:color="auto" w:fill="D9D9D9" w:themeFill="background1" w:themeFillShade="D9"/>
          </w:tcPr>
          <w:p w14:paraId="49FD6D53" w14:textId="77777777" w:rsidR="00526070" w:rsidRPr="002D700A" w:rsidRDefault="00526070" w:rsidP="00F84831">
            <w:pPr>
              <w:pStyle w:val="ACMATableBody"/>
              <w:rPr>
                <w:rFonts w:cs="Arial"/>
              </w:rPr>
            </w:pPr>
          </w:p>
        </w:tc>
      </w:tr>
      <w:tr w:rsidR="0008659A" w14:paraId="58C68AEC"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54B2678" w14:textId="643A7677" w:rsidR="0008659A" w:rsidRPr="0033104B" w:rsidRDefault="0008659A" w:rsidP="0008659A">
            <w:pPr>
              <w:pStyle w:val="ACMATableBody"/>
              <w:rPr>
                <w:b/>
              </w:rPr>
            </w:pPr>
            <w:r w:rsidRPr="0033104B">
              <w:rPr>
                <w:b/>
              </w:rPr>
              <w:t>Type of service</w:t>
            </w:r>
            <w:r>
              <w:rPr>
                <w:b/>
              </w:rPr>
              <w:t>s</w:t>
            </w:r>
          </w:p>
        </w:tc>
        <w:tc>
          <w:tcPr>
            <w:tcW w:w="5724" w:type="dxa"/>
            <w:tcBorders>
              <w:top w:val="single" w:sz="4" w:space="0" w:color="auto"/>
              <w:left w:val="single" w:sz="4" w:space="0" w:color="auto"/>
              <w:bottom w:val="single" w:sz="4" w:space="0" w:color="auto"/>
            </w:tcBorders>
            <w:shd w:val="clear" w:color="auto" w:fill="auto"/>
          </w:tcPr>
          <w:p w14:paraId="3F0FB604" w14:textId="61E241DA" w:rsidR="0008659A" w:rsidRPr="00747CC0" w:rsidRDefault="0008659A" w:rsidP="0008659A">
            <w:pPr>
              <w:pStyle w:val="ACMATableBody"/>
              <w:rPr>
                <w:highlight w:val="yellow"/>
              </w:rPr>
            </w:pPr>
            <w:r w:rsidRPr="0008659A">
              <w:t>Commercial broadcasting—radio</w:t>
            </w:r>
          </w:p>
        </w:tc>
      </w:tr>
      <w:tr w:rsidR="0008659A" w14:paraId="21E95465"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3CC66E9" w14:textId="77777777" w:rsidR="0008659A" w:rsidRPr="0033104B" w:rsidRDefault="0008659A" w:rsidP="0008659A">
            <w:pPr>
              <w:pStyle w:val="ACMATableBody"/>
              <w:rPr>
                <w:b/>
              </w:rPr>
            </w:pPr>
            <w:r>
              <w:rPr>
                <w:b/>
              </w:rPr>
              <w:t>Attachments</w:t>
            </w:r>
          </w:p>
        </w:tc>
        <w:tc>
          <w:tcPr>
            <w:tcW w:w="5724" w:type="dxa"/>
            <w:tcBorders>
              <w:top w:val="single" w:sz="4" w:space="0" w:color="auto"/>
              <w:left w:val="single" w:sz="4" w:space="0" w:color="auto"/>
              <w:bottom w:val="single" w:sz="4" w:space="0" w:color="auto"/>
            </w:tcBorders>
            <w:shd w:val="clear" w:color="auto" w:fill="auto"/>
          </w:tcPr>
          <w:p w14:paraId="7C072AC6" w14:textId="77777777" w:rsidR="0008659A" w:rsidRDefault="005F2A04" w:rsidP="003C6B4D">
            <w:pPr>
              <w:pStyle w:val="ACMABodyText"/>
              <w:spacing w:before="40" w:after="120" w:line="280" w:lineRule="atLeast"/>
              <w:rPr>
                <w:bCs/>
              </w:rPr>
            </w:pPr>
            <w:r>
              <w:rPr>
                <w:b/>
              </w:rPr>
              <w:t>A</w:t>
            </w:r>
            <w:r w:rsidR="0008659A" w:rsidRPr="00F61594">
              <w:rPr>
                <w:b/>
              </w:rPr>
              <w:t xml:space="preserve"> </w:t>
            </w:r>
            <w:r w:rsidR="0008659A">
              <w:rPr>
                <w:b/>
              </w:rPr>
              <w:t>–</w:t>
            </w:r>
            <w:r w:rsidR="0008659A" w:rsidRPr="00F61594">
              <w:rPr>
                <w:bCs/>
              </w:rPr>
              <w:t xml:space="preserve"> </w:t>
            </w:r>
            <w:r w:rsidR="0008659A">
              <w:rPr>
                <w:bCs/>
              </w:rPr>
              <w:t xml:space="preserve">relevant provisions </w:t>
            </w:r>
          </w:p>
          <w:p w14:paraId="225E9791" w14:textId="467B71C6" w:rsidR="008F3FA7" w:rsidRPr="008F3FA7" w:rsidRDefault="008F3FA7" w:rsidP="003C6B4D">
            <w:pPr>
              <w:pStyle w:val="ACMABodyText"/>
              <w:spacing w:before="40" w:after="120" w:line="280" w:lineRule="atLeast"/>
              <w:rPr>
                <w:b/>
                <w:bCs/>
                <w:iCs/>
                <w:highlight w:val="yellow"/>
              </w:rPr>
            </w:pPr>
            <w:r w:rsidRPr="008F3FA7">
              <w:rPr>
                <w:b/>
                <w:bCs/>
                <w:iCs/>
              </w:rPr>
              <w:t xml:space="preserve">B – </w:t>
            </w:r>
            <w:r w:rsidRPr="008F3FA7">
              <w:rPr>
                <w:iCs/>
              </w:rPr>
              <w:t>commercial agreements held by Jacqui Felgate</w:t>
            </w:r>
          </w:p>
        </w:tc>
      </w:tr>
    </w:tbl>
    <w:p w14:paraId="0F575B72" w14:textId="77777777" w:rsidR="001C6546" w:rsidRPr="00972DB3" w:rsidRDefault="00D668E3" w:rsidP="00972DB3">
      <w:pPr>
        <w:pStyle w:val="ACMABodyText"/>
        <w:rPr>
          <w:rFonts w:eastAsiaTheme="minorHAnsi"/>
          <w:i/>
        </w:rPr>
      </w:pPr>
      <w:r>
        <w:br w:type="page"/>
      </w:r>
    </w:p>
    <w:p w14:paraId="255BD319" w14:textId="77777777" w:rsidR="001C6546" w:rsidRPr="007A7C97" w:rsidRDefault="007B047A" w:rsidP="001C6546">
      <w:pPr>
        <w:pStyle w:val="ACMAHeading2"/>
      </w:pPr>
      <w:r>
        <w:lastRenderedPageBreak/>
        <w:t>Background</w:t>
      </w:r>
    </w:p>
    <w:p w14:paraId="6860E6C8" w14:textId="77777777" w:rsidR="00C075A6" w:rsidRPr="00C075A6" w:rsidRDefault="00C075A6" w:rsidP="001C6546">
      <w:pPr>
        <w:pStyle w:val="ACMABodyText"/>
        <w:rPr>
          <w:b/>
          <w:bCs/>
        </w:rPr>
      </w:pPr>
      <w:r w:rsidRPr="00C075A6">
        <w:rPr>
          <w:b/>
          <w:bCs/>
        </w:rPr>
        <w:t>BI-678</w:t>
      </w:r>
    </w:p>
    <w:p w14:paraId="4EBE1FC7" w14:textId="212A21D7" w:rsidR="00281F78" w:rsidRPr="00295713" w:rsidRDefault="001C6546" w:rsidP="001C6546">
      <w:pPr>
        <w:pStyle w:val="ACMABodyText"/>
      </w:pPr>
      <w:r w:rsidRPr="00295713">
        <w:t xml:space="preserve">In </w:t>
      </w:r>
      <w:r w:rsidR="00B3784E" w:rsidRPr="00295713">
        <w:t>September 2023</w:t>
      </w:r>
      <w:r w:rsidRPr="00295713">
        <w:t xml:space="preserve">, the Australian Communications and Media Authority (the </w:t>
      </w:r>
      <w:r w:rsidRPr="00F757DE">
        <w:rPr>
          <w:b/>
          <w:bCs/>
        </w:rPr>
        <w:t>ACMA</w:t>
      </w:r>
      <w:r w:rsidRPr="00295713">
        <w:t xml:space="preserve">) commenced an investigation </w:t>
      </w:r>
      <w:r w:rsidR="00205CDE" w:rsidRPr="00295713">
        <w:t>under</w:t>
      </w:r>
      <w:r w:rsidR="00CD2711" w:rsidRPr="00295713">
        <w:t xml:space="preserve"> </w:t>
      </w:r>
      <w:r w:rsidR="00205CDE" w:rsidRPr="00295713">
        <w:t xml:space="preserve">the </w:t>
      </w:r>
      <w:r w:rsidR="00205CDE" w:rsidRPr="00295713">
        <w:rPr>
          <w:i/>
        </w:rPr>
        <w:t xml:space="preserve">Broadcasting Services Act 1992 </w:t>
      </w:r>
      <w:r w:rsidR="00205CDE" w:rsidRPr="00295713">
        <w:t xml:space="preserve">(the </w:t>
      </w:r>
      <w:r w:rsidR="00205CDE" w:rsidRPr="00F757DE">
        <w:rPr>
          <w:b/>
          <w:bCs/>
        </w:rPr>
        <w:t>BSA</w:t>
      </w:r>
      <w:r w:rsidR="00205CDE" w:rsidRPr="00295713">
        <w:t xml:space="preserve">) </w:t>
      </w:r>
      <w:r w:rsidR="00550001" w:rsidRPr="00295713">
        <w:t>into</w:t>
      </w:r>
      <w:r w:rsidR="00295713">
        <w:t xml:space="preserve"> a broadcast of</w:t>
      </w:r>
      <w:r w:rsidR="00213AFF" w:rsidRPr="00295713">
        <w:t xml:space="preserve"> </w:t>
      </w:r>
      <w:r w:rsidR="00B3784E" w:rsidRPr="00295713">
        <w:rPr>
          <w:i/>
          <w:iCs/>
        </w:rPr>
        <w:t>Ben Fordham Live</w:t>
      </w:r>
      <w:r w:rsidR="00281F78" w:rsidRPr="00295713">
        <w:t>.</w:t>
      </w:r>
    </w:p>
    <w:p w14:paraId="6ED5E9E2" w14:textId="7CF0308D" w:rsidR="001C6546" w:rsidRPr="00295713" w:rsidRDefault="00281F78" w:rsidP="001C6546">
      <w:pPr>
        <w:pStyle w:val="ACMABodyText"/>
      </w:pPr>
      <w:r w:rsidRPr="00295713">
        <w:t>The program was</w:t>
      </w:r>
      <w:r w:rsidR="001C6546" w:rsidRPr="00295713">
        <w:t xml:space="preserve"> broadcast on </w:t>
      </w:r>
      <w:r w:rsidR="00B3784E" w:rsidRPr="00295713">
        <w:t xml:space="preserve">2GB </w:t>
      </w:r>
      <w:r w:rsidR="001C6546" w:rsidRPr="00295713">
        <w:t xml:space="preserve">by </w:t>
      </w:r>
      <w:r w:rsidR="00B3784E" w:rsidRPr="00295713">
        <w:t xml:space="preserve">Radio 2GB Sydney Pty Ltd (the </w:t>
      </w:r>
      <w:r w:rsidR="00B3784E" w:rsidRPr="00295713">
        <w:rPr>
          <w:b/>
          <w:bCs/>
        </w:rPr>
        <w:t>2GB Licensee</w:t>
      </w:r>
      <w:r w:rsidR="00B3784E" w:rsidRPr="00295713">
        <w:t>)</w:t>
      </w:r>
      <w:r w:rsidR="001C6546" w:rsidRPr="00295713">
        <w:t xml:space="preserve"> on </w:t>
      </w:r>
      <w:r w:rsidR="00B3784E" w:rsidRPr="00295713">
        <w:t>3</w:t>
      </w:r>
      <w:r w:rsidR="00295713">
        <w:t> </w:t>
      </w:r>
      <w:r w:rsidR="00B3784E" w:rsidRPr="00295713">
        <w:t>August 2023</w:t>
      </w:r>
      <w:r w:rsidR="00213AFF" w:rsidRPr="00295713">
        <w:t xml:space="preserve"> at </w:t>
      </w:r>
      <w:r w:rsidR="005D7449">
        <w:t>5</w:t>
      </w:r>
      <w:r w:rsidR="00B3784E" w:rsidRPr="00295713">
        <w:t>:30</w:t>
      </w:r>
      <w:r w:rsidR="00F757DE">
        <w:t xml:space="preserve"> </w:t>
      </w:r>
      <w:r w:rsidR="00B3784E" w:rsidRPr="00295713">
        <w:t>am</w:t>
      </w:r>
      <w:r w:rsidR="001C6546" w:rsidRPr="00295713">
        <w:t>.</w:t>
      </w:r>
    </w:p>
    <w:p w14:paraId="1F7A8614" w14:textId="72DC89C1" w:rsidR="006162E4" w:rsidRDefault="00205CDE" w:rsidP="00F03742">
      <w:pPr>
        <w:pStyle w:val="ACMABodyText"/>
      </w:pPr>
      <w:r w:rsidRPr="00295713">
        <w:t xml:space="preserve">The </w:t>
      </w:r>
      <w:r w:rsidR="00213AFF" w:rsidRPr="00295713">
        <w:t xml:space="preserve">ACMA received </w:t>
      </w:r>
      <w:r w:rsidR="00295713" w:rsidRPr="00295713">
        <w:t>information that indicated a commercial agreement between the host of the program, Mr Ben Fordham, and Uber Australia Pty Ltd (</w:t>
      </w:r>
      <w:r w:rsidR="00295713" w:rsidRPr="00295713">
        <w:rPr>
          <w:b/>
          <w:bCs/>
        </w:rPr>
        <w:t>Uber</w:t>
      </w:r>
      <w:r w:rsidR="00295713" w:rsidRPr="00295713">
        <w:t>)</w:t>
      </w:r>
      <w:r w:rsidR="00295713">
        <w:t>, was not</w:t>
      </w:r>
      <w:r w:rsidR="00295713" w:rsidRPr="00295713">
        <w:t xml:space="preserve"> disclose</w:t>
      </w:r>
      <w:r w:rsidR="00295713">
        <w:t>d</w:t>
      </w:r>
      <w:r w:rsidR="00295713" w:rsidRPr="00295713">
        <w:t xml:space="preserve"> on-air when </w:t>
      </w:r>
      <w:r w:rsidR="00295713">
        <w:t>Mr Fordham</w:t>
      </w:r>
      <w:r w:rsidR="00295713" w:rsidRPr="00295713">
        <w:t xml:space="preserve"> made comments that </w:t>
      </w:r>
      <w:r w:rsidR="00295713">
        <w:t>appeared to be</w:t>
      </w:r>
      <w:r w:rsidR="00295713" w:rsidRPr="00295713">
        <w:t xml:space="preserve"> favourable to Uber</w:t>
      </w:r>
      <w:r w:rsidR="006162E4" w:rsidRPr="00295713">
        <w:t>.</w:t>
      </w:r>
    </w:p>
    <w:p w14:paraId="119DAE79" w14:textId="11D7481C" w:rsidR="00264D11" w:rsidRPr="00295713" w:rsidRDefault="00264D11" w:rsidP="00F03742">
      <w:pPr>
        <w:pStyle w:val="ACMABodyText"/>
        <w:rPr>
          <w:sz w:val="18"/>
          <w:szCs w:val="18"/>
        </w:rPr>
      </w:pPr>
      <w:r>
        <w:t xml:space="preserve">In November 2023, </w:t>
      </w:r>
      <w:r w:rsidR="00F757DE">
        <w:t>following receipt of the 2GB Licensee’s responses to enquiries from the ACMA, t</w:t>
      </w:r>
      <w:r>
        <w:t xml:space="preserve">he ACMA extended the scope of this investigation to </w:t>
      </w:r>
      <w:r w:rsidR="00F757DE">
        <w:t xml:space="preserve">include an </w:t>
      </w:r>
      <w:r>
        <w:t>examin</w:t>
      </w:r>
      <w:r w:rsidR="00F757DE">
        <w:t>ation of</w:t>
      </w:r>
      <w:r>
        <w:t xml:space="preserve"> the </w:t>
      </w:r>
      <w:r w:rsidR="00CF6810">
        <w:t>content</w:t>
      </w:r>
      <w:r w:rsidR="00F757DE">
        <w:t xml:space="preserve"> of the 2GB Licensee’s online register of commercial agreements</w:t>
      </w:r>
      <w:r w:rsidR="00B625F9">
        <w:t xml:space="preserve"> and</w:t>
      </w:r>
      <w:r w:rsidR="009B1205">
        <w:t xml:space="preserve"> the requirement to keep commercial agreements</w:t>
      </w:r>
      <w:r w:rsidR="00F757DE">
        <w:t>.</w:t>
      </w:r>
    </w:p>
    <w:p w14:paraId="3A767439" w14:textId="17D8ADAD" w:rsidR="009D3591" w:rsidRDefault="009D3591" w:rsidP="001C6546">
      <w:pPr>
        <w:pStyle w:val="ACMABodyText"/>
      </w:pPr>
      <w:r w:rsidRPr="00295713">
        <w:t>The ACMA has</w:t>
      </w:r>
      <w:r w:rsidR="00AF0D57" w:rsidRPr="00295713">
        <w:t xml:space="preserve"> </w:t>
      </w:r>
      <w:r w:rsidRPr="00295713">
        <w:t>investigate</w:t>
      </w:r>
      <w:r w:rsidR="00F03742" w:rsidRPr="00295713">
        <w:t>d</w:t>
      </w:r>
      <w:r w:rsidR="006526F9" w:rsidRPr="00295713">
        <w:t xml:space="preserve"> </w:t>
      </w:r>
      <w:r w:rsidRPr="00295713">
        <w:t xml:space="preserve">the </w:t>
      </w:r>
      <w:r w:rsidR="00295713" w:rsidRPr="00295713">
        <w:t>2GB L</w:t>
      </w:r>
      <w:r w:rsidRPr="00295713">
        <w:t>icensee’s</w:t>
      </w:r>
      <w:r w:rsidR="00295713" w:rsidRPr="00295713">
        <w:t xml:space="preserve"> </w:t>
      </w:r>
      <w:r w:rsidRPr="00295713">
        <w:t xml:space="preserve">compliance </w:t>
      </w:r>
      <w:r w:rsidR="00013EAC" w:rsidRPr="00295713">
        <w:t>with</w:t>
      </w:r>
      <w:r w:rsidR="00295713" w:rsidRPr="00295713">
        <w:t xml:space="preserve"> subsection 10(2) of the </w:t>
      </w:r>
      <w:r w:rsidR="00295713" w:rsidRPr="00295713">
        <w:rPr>
          <w:i/>
          <w:iCs/>
        </w:rPr>
        <w:t>Broadcasting Services (Commercial Radio Current Affairs Disclosure) Standard 2022</w:t>
      </w:r>
      <w:r w:rsidR="00295713" w:rsidRPr="00295713">
        <w:t xml:space="preserve"> (the </w:t>
      </w:r>
      <w:r w:rsidR="00295713" w:rsidRPr="00295713">
        <w:rPr>
          <w:b/>
          <w:bCs/>
        </w:rPr>
        <w:t>Standard</w:t>
      </w:r>
      <w:r w:rsidR="00295713" w:rsidRPr="00295713">
        <w:t>)</w:t>
      </w:r>
      <w:r w:rsidR="00F757DE">
        <w:t xml:space="preserve"> relating to on-air disclosure announcements</w:t>
      </w:r>
      <w:r w:rsidR="00295713" w:rsidRPr="00295713">
        <w:t xml:space="preserve">, </w:t>
      </w:r>
      <w:r w:rsidR="00F757DE">
        <w:t>section 13 of the</w:t>
      </w:r>
      <w:r w:rsidR="005E17FC">
        <w:t xml:space="preserve"> </w:t>
      </w:r>
      <w:r w:rsidR="00F757DE">
        <w:t>Standard, relating to the content of online registers of commercial agreements</w:t>
      </w:r>
      <w:r w:rsidR="005D00EB">
        <w:t xml:space="preserve"> and</w:t>
      </w:r>
      <w:r w:rsidR="00F757DE">
        <w:t xml:space="preserve"> </w:t>
      </w:r>
      <w:r w:rsidR="00B94716">
        <w:t xml:space="preserve">section 15 relating to keeping </w:t>
      </w:r>
      <w:r w:rsidR="00A52E42">
        <w:t>commercial agreements</w:t>
      </w:r>
      <w:r w:rsidR="005D00EB">
        <w:t>.</w:t>
      </w:r>
      <w:r w:rsidR="00A52E42">
        <w:t xml:space="preserve"> </w:t>
      </w:r>
      <w:r w:rsidR="00610D68">
        <w:t>T</w:t>
      </w:r>
      <w:r w:rsidR="00A52E42">
        <w:t xml:space="preserve">he ACMA has </w:t>
      </w:r>
      <w:r w:rsidR="00F807FE">
        <w:t xml:space="preserve">also </w:t>
      </w:r>
      <w:r w:rsidR="00A52E42">
        <w:t xml:space="preserve">investigated </w:t>
      </w:r>
      <w:r w:rsidR="00F757DE">
        <w:t xml:space="preserve">compliance with </w:t>
      </w:r>
      <w:r w:rsidR="00295713" w:rsidRPr="00295713">
        <w:t xml:space="preserve">paragraph 8(1)(b) of Schedule 2 to the </w:t>
      </w:r>
      <w:r w:rsidR="00295713" w:rsidRPr="00B712B7">
        <w:t>BSA</w:t>
      </w:r>
      <w:r w:rsidR="00B1562A">
        <w:t>, which requires licensees to comply with the Standard</w:t>
      </w:r>
      <w:r w:rsidR="00295713" w:rsidRPr="00295713">
        <w:t>.</w:t>
      </w:r>
    </w:p>
    <w:p w14:paraId="3AC57D07" w14:textId="0661EA59" w:rsidR="00C075A6" w:rsidRDefault="00C075A6" w:rsidP="001C6546">
      <w:pPr>
        <w:pStyle w:val="ACMABodyText"/>
        <w:rPr>
          <w:b/>
          <w:bCs/>
        </w:rPr>
      </w:pPr>
      <w:r w:rsidRPr="00C075A6">
        <w:rPr>
          <w:b/>
          <w:bCs/>
        </w:rPr>
        <w:t>BI-680</w:t>
      </w:r>
    </w:p>
    <w:p w14:paraId="26A9D41C" w14:textId="0EB47E33" w:rsidR="00F757DE" w:rsidRPr="00295713" w:rsidRDefault="00F757DE" w:rsidP="00F757DE">
      <w:pPr>
        <w:pStyle w:val="ACMABodyText"/>
      </w:pPr>
      <w:r w:rsidRPr="00295713">
        <w:t xml:space="preserve">In </w:t>
      </w:r>
      <w:r>
        <w:t>Novem</w:t>
      </w:r>
      <w:r w:rsidRPr="00295713">
        <w:t>ber 2023, the ACMA commenced an investigation under the BSA into</w:t>
      </w:r>
      <w:r>
        <w:t xml:space="preserve"> a broadcast of</w:t>
      </w:r>
      <w:r w:rsidRPr="00295713">
        <w:t xml:space="preserve"> </w:t>
      </w:r>
      <w:r>
        <w:rPr>
          <w:i/>
          <w:iCs/>
        </w:rPr>
        <w:t>3AW Afternoons</w:t>
      </w:r>
      <w:r w:rsidRPr="00295713">
        <w:t>.</w:t>
      </w:r>
    </w:p>
    <w:p w14:paraId="5C3AF08A" w14:textId="5DC9FC1F" w:rsidR="00F757DE" w:rsidRPr="00295713" w:rsidRDefault="00F757DE" w:rsidP="00F757DE">
      <w:pPr>
        <w:pStyle w:val="ACMABodyText"/>
      </w:pPr>
      <w:r w:rsidRPr="00295713">
        <w:t xml:space="preserve">The program was broadcast on </w:t>
      </w:r>
      <w:r>
        <w:t>3AW</w:t>
      </w:r>
      <w:r w:rsidRPr="00295713">
        <w:t xml:space="preserve"> by Radio </w:t>
      </w:r>
      <w:r>
        <w:t>3AW Melbourne</w:t>
      </w:r>
      <w:r w:rsidRPr="00295713">
        <w:t xml:space="preserve"> Pty Ltd (the </w:t>
      </w:r>
      <w:r w:rsidRPr="00F757DE">
        <w:rPr>
          <w:b/>
          <w:bCs/>
        </w:rPr>
        <w:t xml:space="preserve">3AW </w:t>
      </w:r>
      <w:r w:rsidRPr="00295713">
        <w:rPr>
          <w:b/>
          <w:bCs/>
        </w:rPr>
        <w:t>Licensee</w:t>
      </w:r>
      <w:r w:rsidRPr="00295713">
        <w:t xml:space="preserve">) on </w:t>
      </w:r>
      <w:r>
        <w:t>2 </w:t>
      </w:r>
      <w:r w:rsidRPr="00295713">
        <w:t xml:space="preserve">August 2023 at </w:t>
      </w:r>
      <w:r>
        <w:t>12</w:t>
      </w:r>
      <w:r w:rsidRPr="00295713">
        <w:t>:</w:t>
      </w:r>
      <w:r>
        <w:t>0</w:t>
      </w:r>
      <w:r w:rsidRPr="00295713">
        <w:t>0</w:t>
      </w:r>
      <w:r>
        <w:t xml:space="preserve"> p</w:t>
      </w:r>
      <w:r w:rsidRPr="00295713">
        <w:t>m.</w:t>
      </w:r>
    </w:p>
    <w:p w14:paraId="5C2ACB14" w14:textId="1180D4A6" w:rsidR="00F757DE" w:rsidRDefault="00F757DE" w:rsidP="00F757DE">
      <w:pPr>
        <w:pStyle w:val="ACMABodyText"/>
      </w:pPr>
      <w:r w:rsidRPr="00295713">
        <w:t>The ACMA received information that indicated a commercial agreement between the host of the program, M</w:t>
      </w:r>
      <w:r>
        <w:t>s Jacqui Felgate</w:t>
      </w:r>
      <w:r w:rsidRPr="00295713">
        <w:t xml:space="preserve">, and </w:t>
      </w:r>
      <w:r>
        <w:t xml:space="preserve">Virgin Australia </w:t>
      </w:r>
      <w:r w:rsidR="00B712B7">
        <w:t>Airline</w:t>
      </w:r>
      <w:r w:rsidR="00F807FE">
        <w:t>s</w:t>
      </w:r>
      <w:r w:rsidR="00B712B7">
        <w:t xml:space="preserve"> Pty Ltd (</w:t>
      </w:r>
      <w:r w:rsidR="00B712B7" w:rsidRPr="00B712B7">
        <w:rPr>
          <w:b/>
          <w:bCs/>
        </w:rPr>
        <w:t>Virgin</w:t>
      </w:r>
      <w:r w:rsidR="003A00D4">
        <w:t>)</w:t>
      </w:r>
      <w:r>
        <w:t>, was not</w:t>
      </w:r>
      <w:r w:rsidRPr="00295713">
        <w:t xml:space="preserve"> disclose</w:t>
      </w:r>
      <w:r>
        <w:t>d</w:t>
      </w:r>
      <w:r w:rsidRPr="00295713">
        <w:t xml:space="preserve"> on-air when </w:t>
      </w:r>
      <w:r>
        <w:t>M</w:t>
      </w:r>
      <w:r w:rsidR="00B712B7">
        <w:t>s Felgate m</w:t>
      </w:r>
      <w:r w:rsidRPr="00295713">
        <w:t xml:space="preserve">ade </w:t>
      </w:r>
      <w:r w:rsidR="00B712B7">
        <w:t>statements</w:t>
      </w:r>
      <w:r w:rsidRPr="00295713">
        <w:t xml:space="preserve"> that </w:t>
      </w:r>
      <w:r>
        <w:t>appeared to be</w:t>
      </w:r>
      <w:r w:rsidRPr="00295713">
        <w:t xml:space="preserve"> favourable to </w:t>
      </w:r>
      <w:r w:rsidR="00B712B7" w:rsidRPr="003A00D4">
        <w:t>Virgin</w:t>
      </w:r>
      <w:r w:rsidRPr="003A00D4">
        <w:t>.</w:t>
      </w:r>
    </w:p>
    <w:p w14:paraId="492FDCFA" w14:textId="31974A41" w:rsidR="003C111B" w:rsidRPr="000A21FA" w:rsidRDefault="009B549E" w:rsidP="00F757DE">
      <w:pPr>
        <w:pStyle w:val="ACMABodyText"/>
      </w:pPr>
      <w:r>
        <w:t xml:space="preserve">The ACMA </w:t>
      </w:r>
      <w:r w:rsidR="00D25F8B">
        <w:t xml:space="preserve">subsequently received information </w:t>
      </w:r>
      <w:r w:rsidR="000A21FA">
        <w:t>about a broadcast of</w:t>
      </w:r>
      <w:r w:rsidR="000A21FA" w:rsidRPr="00295713">
        <w:t xml:space="preserve"> </w:t>
      </w:r>
      <w:r w:rsidR="000A21FA">
        <w:rPr>
          <w:i/>
          <w:iCs/>
        </w:rPr>
        <w:t xml:space="preserve">3AW Afternoons </w:t>
      </w:r>
      <w:r w:rsidR="000A21FA">
        <w:t>broadcas</w:t>
      </w:r>
      <w:r w:rsidR="00A05D0B">
        <w:t>t on 28 August 2023 at 12.00</w:t>
      </w:r>
      <w:r w:rsidR="00DA04D7">
        <w:t xml:space="preserve"> pm.</w:t>
      </w:r>
    </w:p>
    <w:p w14:paraId="5007FF45" w14:textId="05922B89" w:rsidR="003635B1" w:rsidRDefault="00DA04D7" w:rsidP="00F757DE">
      <w:pPr>
        <w:pStyle w:val="ACMABodyText"/>
      </w:pPr>
      <w:r>
        <w:t xml:space="preserve">The information </w:t>
      </w:r>
      <w:r w:rsidR="00664A53" w:rsidRPr="00295713">
        <w:t>indicated a commercial agreement between the host of the program, M</w:t>
      </w:r>
      <w:r w:rsidR="00664A53">
        <w:t>s Jacqui Felgate</w:t>
      </w:r>
      <w:r w:rsidR="00664A53" w:rsidRPr="00295713">
        <w:t xml:space="preserve">, and </w:t>
      </w:r>
      <w:r w:rsidR="00664A53">
        <w:t>BMW, was not</w:t>
      </w:r>
      <w:r w:rsidR="00664A53" w:rsidRPr="00295713">
        <w:t xml:space="preserve"> disclose</w:t>
      </w:r>
      <w:r w:rsidR="00664A53">
        <w:t>d</w:t>
      </w:r>
      <w:r w:rsidR="00664A53" w:rsidRPr="00295713">
        <w:t xml:space="preserve"> on-air when </w:t>
      </w:r>
      <w:r w:rsidR="00664A53">
        <w:t>Ms Felgate m</w:t>
      </w:r>
      <w:r w:rsidR="00664A53" w:rsidRPr="00295713">
        <w:t xml:space="preserve">ade </w:t>
      </w:r>
      <w:r w:rsidR="00664A53">
        <w:t>statements</w:t>
      </w:r>
      <w:r w:rsidR="00664A53" w:rsidRPr="00295713">
        <w:t xml:space="preserve"> that </w:t>
      </w:r>
      <w:r w:rsidR="00664A53">
        <w:t>appeared to be</w:t>
      </w:r>
      <w:r w:rsidR="00664A53" w:rsidRPr="00295713">
        <w:t xml:space="preserve"> favourable to </w:t>
      </w:r>
      <w:r w:rsidR="003C111B">
        <w:t>BMW</w:t>
      </w:r>
      <w:r w:rsidR="00013669">
        <w:t>.</w:t>
      </w:r>
    </w:p>
    <w:p w14:paraId="70BD9C26" w14:textId="726D62AD" w:rsidR="00F757DE" w:rsidRPr="00295713" w:rsidRDefault="00610D68" w:rsidP="00F757DE">
      <w:pPr>
        <w:pStyle w:val="ACMABodyText"/>
        <w:rPr>
          <w:sz w:val="18"/>
          <w:szCs w:val="18"/>
        </w:rPr>
      </w:pPr>
      <w:r>
        <w:t>F</w:t>
      </w:r>
      <w:r w:rsidR="00F757DE">
        <w:t xml:space="preserve">ollowing receipt of responses from the </w:t>
      </w:r>
      <w:r w:rsidR="00B712B7">
        <w:t>3AW</w:t>
      </w:r>
      <w:r w:rsidR="00F757DE">
        <w:t xml:space="preserve"> Licensee to enquiries</w:t>
      </w:r>
      <w:r w:rsidR="00B712B7">
        <w:t xml:space="preserve"> from the ACMA</w:t>
      </w:r>
      <w:r w:rsidR="00F757DE">
        <w:t>, the ACMA include</w:t>
      </w:r>
      <w:r w:rsidR="00B712B7">
        <w:t>d in this investigation</w:t>
      </w:r>
      <w:r w:rsidR="00F757DE">
        <w:t xml:space="preserve"> an examination of the </w:t>
      </w:r>
      <w:r w:rsidR="00CF6810">
        <w:t>content</w:t>
      </w:r>
      <w:r w:rsidR="00F757DE">
        <w:t xml:space="preserve"> of the </w:t>
      </w:r>
      <w:r w:rsidR="00B712B7">
        <w:t>3AW</w:t>
      </w:r>
      <w:r w:rsidR="00F757DE">
        <w:t xml:space="preserve"> Licensee’s online register of commercial agreements.</w:t>
      </w:r>
    </w:p>
    <w:p w14:paraId="75681E89" w14:textId="5CDF2407" w:rsidR="00F757DE" w:rsidRDefault="00F757DE" w:rsidP="00F757DE">
      <w:pPr>
        <w:pStyle w:val="ACMABodyText"/>
      </w:pPr>
      <w:r w:rsidRPr="00295713">
        <w:t xml:space="preserve">The ACMA has investigated the </w:t>
      </w:r>
      <w:r w:rsidR="00B712B7">
        <w:t>3AW</w:t>
      </w:r>
      <w:r w:rsidRPr="00295713">
        <w:t xml:space="preserve"> Licensee’s compliance with subsection 10(2) of the </w:t>
      </w:r>
      <w:r w:rsidRPr="00B712B7">
        <w:t>Standard</w:t>
      </w:r>
      <w:r w:rsidR="00B712B7">
        <w:t>,</w:t>
      </w:r>
      <w:r>
        <w:t xml:space="preserve"> relating to on-air disclosure announcements</w:t>
      </w:r>
      <w:r w:rsidRPr="00295713">
        <w:t xml:space="preserve">, and </w:t>
      </w:r>
      <w:r>
        <w:t xml:space="preserve">section 13 of the Standard, relating to the content of online registers of commercial agreements, and </w:t>
      </w:r>
      <w:r w:rsidRPr="00295713">
        <w:t xml:space="preserve">consequently, </w:t>
      </w:r>
      <w:r>
        <w:t xml:space="preserve">compliance with </w:t>
      </w:r>
      <w:r w:rsidRPr="00295713">
        <w:t xml:space="preserve">paragraph 8(1)(b) of Schedule 2 to the </w:t>
      </w:r>
      <w:r w:rsidR="00B712B7">
        <w:t>BSA</w:t>
      </w:r>
      <w:r w:rsidR="00B1562A">
        <w:t>, which requires licensees to comply with the Standard</w:t>
      </w:r>
      <w:r w:rsidRPr="00295713">
        <w:t>.</w:t>
      </w:r>
    </w:p>
    <w:p w14:paraId="2E100848" w14:textId="77777777" w:rsidR="00B40BEF" w:rsidRDefault="00B40BEF" w:rsidP="001C6546">
      <w:pPr>
        <w:pStyle w:val="ACMABodyText"/>
        <w:rPr>
          <w:b/>
          <w:bCs/>
        </w:rPr>
      </w:pPr>
    </w:p>
    <w:p w14:paraId="55AEC177" w14:textId="26733DA1" w:rsidR="00C075A6" w:rsidRDefault="00C075A6" w:rsidP="001C6546">
      <w:pPr>
        <w:pStyle w:val="ACMABodyText"/>
        <w:rPr>
          <w:b/>
          <w:bCs/>
        </w:rPr>
      </w:pPr>
      <w:r w:rsidRPr="00C075A6">
        <w:rPr>
          <w:b/>
          <w:bCs/>
        </w:rPr>
        <w:lastRenderedPageBreak/>
        <w:t>BI-681</w:t>
      </w:r>
    </w:p>
    <w:p w14:paraId="279456F6" w14:textId="20FCE804" w:rsidR="00B712B7" w:rsidRPr="00295713" w:rsidRDefault="00B712B7" w:rsidP="00B712B7">
      <w:pPr>
        <w:pStyle w:val="ACMABodyText"/>
        <w:rPr>
          <w:sz w:val="18"/>
          <w:szCs w:val="18"/>
        </w:rPr>
      </w:pPr>
      <w:r>
        <w:t xml:space="preserve">In November 2023, following receipt of Radio Magic 882 Brisbane Pty Limited’s (the </w:t>
      </w:r>
      <w:r w:rsidRPr="00B712B7">
        <w:rPr>
          <w:b/>
          <w:bCs/>
        </w:rPr>
        <w:t>4BC Licensee</w:t>
      </w:r>
      <w:r>
        <w:t xml:space="preserve">) responses to enquiries from the ACMA, the ACMA commenced an investigation into the </w:t>
      </w:r>
      <w:r w:rsidR="00CF6810">
        <w:t>content</w:t>
      </w:r>
      <w:r>
        <w:t xml:space="preserve"> of the 4BC Licensee’s online register of commercial agreements.</w:t>
      </w:r>
    </w:p>
    <w:p w14:paraId="00D8F403" w14:textId="608BE7A3" w:rsidR="00B712B7" w:rsidRDefault="00B712B7" w:rsidP="00B712B7">
      <w:pPr>
        <w:pStyle w:val="ACMABodyText"/>
      </w:pPr>
      <w:r w:rsidRPr="00295713">
        <w:t xml:space="preserve">The ACMA has investigated the </w:t>
      </w:r>
      <w:r>
        <w:t>4BC</w:t>
      </w:r>
      <w:r w:rsidRPr="00295713">
        <w:t xml:space="preserve"> Licensee’s compliance with </w:t>
      </w:r>
      <w:r>
        <w:t xml:space="preserve">section 13 of the Standard, relating to the content of online registers of commercial agreements, and </w:t>
      </w:r>
      <w:r w:rsidRPr="00295713">
        <w:t xml:space="preserve">consequently, </w:t>
      </w:r>
      <w:r>
        <w:t xml:space="preserve">compliance with </w:t>
      </w:r>
      <w:r w:rsidRPr="00295713">
        <w:t xml:space="preserve">paragraph 8(1)(b) of Schedule 2 to the </w:t>
      </w:r>
      <w:r w:rsidRPr="00B712B7">
        <w:t>BSA</w:t>
      </w:r>
      <w:r w:rsidR="00B1562A">
        <w:t>, which requires licensees to comply with the Standard</w:t>
      </w:r>
      <w:r w:rsidRPr="00295713">
        <w:t>.</w:t>
      </w:r>
    </w:p>
    <w:p w14:paraId="4E4FB5C6" w14:textId="1452DD08" w:rsidR="00526070" w:rsidRPr="00526070" w:rsidRDefault="00526070" w:rsidP="00B712B7">
      <w:pPr>
        <w:pStyle w:val="ACMABodyText"/>
        <w:rPr>
          <w:b/>
          <w:bCs/>
        </w:rPr>
      </w:pPr>
      <w:r w:rsidRPr="00526070">
        <w:rPr>
          <w:b/>
          <w:bCs/>
        </w:rPr>
        <w:t>Relevant provisions</w:t>
      </w:r>
    </w:p>
    <w:p w14:paraId="2E7EB02A" w14:textId="30FB4A85" w:rsidR="00074D94" w:rsidRDefault="00F807FE" w:rsidP="0072120E">
      <w:pPr>
        <w:pStyle w:val="ACMAHeading2"/>
        <w:rPr>
          <w:b w:val="0"/>
          <w:bCs/>
          <w:sz w:val="20"/>
        </w:rPr>
      </w:pPr>
      <w:r>
        <w:rPr>
          <w:b w:val="0"/>
          <w:bCs/>
          <w:sz w:val="20"/>
        </w:rPr>
        <w:t>R</w:t>
      </w:r>
      <w:r w:rsidR="00526070">
        <w:rPr>
          <w:b w:val="0"/>
          <w:bCs/>
          <w:sz w:val="20"/>
        </w:rPr>
        <w:t xml:space="preserve">elevant provisions </w:t>
      </w:r>
      <w:r w:rsidR="00E06E53">
        <w:rPr>
          <w:b w:val="0"/>
          <w:bCs/>
          <w:sz w:val="20"/>
        </w:rPr>
        <w:t xml:space="preserve">of the Standard and the BSA </w:t>
      </w:r>
      <w:r w:rsidR="00526070">
        <w:rPr>
          <w:b w:val="0"/>
          <w:bCs/>
          <w:sz w:val="20"/>
        </w:rPr>
        <w:t xml:space="preserve">are set out at </w:t>
      </w:r>
      <w:r w:rsidR="00526070" w:rsidRPr="00F84831">
        <w:rPr>
          <w:sz w:val="20"/>
        </w:rPr>
        <w:t>Attachment A</w:t>
      </w:r>
      <w:r w:rsidR="00526070">
        <w:rPr>
          <w:b w:val="0"/>
          <w:bCs/>
          <w:sz w:val="20"/>
        </w:rPr>
        <w:t>.</w:t>
      </w:r>
      <w:bookmarkStart w:id="2" w:name="_Hlk164844135"/>
    </w:p>
    <w:p w14:paraId="6D558911" w14:textId="71B100F5" w:rsidR="001C6546" w:rsidRPr="00B3784E" w:rsidRDefault="001C6546" w:rsidP="0072120E">
      <w:pPr>
        <w:pStyle w:val="ACMAHeading2"/>
      </w:pPr>
      <w:r w:rsidRPr="00B3784E">
        <w:t xml:space="preserve">Issue 1: </w:t>
      </w:r>
      <w:r w:rsidR="00B3784E" w:rsidRPr="00B3784E">
        <w:t>On</w:t>
      </w:r>
      <w:r w:rsidR="00B3784E" w:rsidRPr="00B3784E">
        <w:rPr>
          <w:rFonts w:ascii="Cambria Math" w:hAnsi="Cambria Math" w:cs="Cambria Math"/>
        </w:rPr>
        <w:t>‑</w:t>
      </w:r>
      <w:r w:rsidR="00B3784E" w:rsidRPr="00B3784E">
        <w:t>air disclosure of commercial agreements</w:t>
      </w:r>
    </w:p>
    <w:p w14:paraId="46507FCA" w14:textId="7D53202E" w:rsidR="00B1562A" w:rsidRDefault="00B1562A" w:rsidP="000A3C43">
      <w:pPr>
        <w:pStyle w:val="ACMAHeading2"/>
      </w:pPr>
      <w:r>
        <w:t xml:space="preserve">BI-678 – </w:t>
      </w:r>
      <w:r w:rsidR="007A7D61">
        <w:t>Ben Fordham Live (2GB)</w:t>
      </w:r>
      <w:r w:rsidR="003C3FB5">
        <w:t xml:space="preserve"> </w:t>
      </w:r>
    </w:p>
    <w:p w14:paraId="5E7FDD7C" w14:textId="11331061" w:rsidR="001C1910" w:rsidRDefault="001C1910" w:rsidP="001C1910">
      <w:pPr>
        <w:pStyle w:val="ACMABodyText"/>
        <w:spacing w:after="120"/>
      </w:pPr>
      <w:r>
        <w:t xml:space="preserve">The investigation considered material broadcast by the 2GB Licensee during </w:t>
      </w:r>
      <w:r w:rsidRPr="00384760">
        <w:rPr>
          <w:i/>
          <w:iCs/>
        </w:rPr>
        <w:t xml:space="preserve">Ben Fordham Live </w:t>
      </w:r>
      <w:r>
        <w:t>on 3 August 2023 about the Uber car share service.</w:t>
      </w:r>
    </w:p>
    <w:p w14:paraId="19AC3CA8" w14:textId="7B4D0271" w:rsidR="001C6546" w:rsidRPr="00B3784E" w:rsidRDefault="00D9593A" w:rsidP="0072120E">
      <w:pPr>
        <w:pStyle w:val="ACMAHeading2"/>
      </w:pPr>
      <w:r w:rsidRPr="00B3784E">
        <w:t>Finding</w:t>
      </w:r>
    </w:p>
    <w:p w14:paraId="7F9FC814" w14:textId="0C10CF01" w:rsidR="001C6546" w:rsidRPr="007A282E" w:rsidRDefault="001C6546" w:rsidP="0072120E">
      <w:pPr>
        <w:pStyle w:val="ACMABodyText"/>
      </w:pPr>
      <w:r w:rsidRPr="00B3784E">
        <w:t xml:space="preserve">The </w:t>
      </w:r>
      <w:r w:rsidR="00BC6383">
        <w:t xml:space="preserve">ACMA </w:t>
      </w:r>
      <w:r w:rsidR="00835FD6">
        <w:t xml:space="preserve">finds </w:t>
      </w:r>
      <w:r w:rsidR="00BC6383">
        <w:t xml:space="preserve">that the </w:t>
      </w:r>
      <w:bookmarkStart w:id="3" w:name="_Hlk170799475"/>
      <w:r w:rsidR="00B3784E" w:rsidRPr="00B3784E">
        <w:t>2GB L</w:t>
      </w:r>
      <w:r w:rsidRPr="00B3784E">
        <w:t>icensee</w:t>
      </w:r>
      <w:r w:rsidR="00B3784E" w:rsidRPr="00B3784E">
        <w:t xml:space="preserve"> </w:t>
      </w:r>
      <w:r w:rsidRPr="00B3784E">
        <w:t xml:space="preserve">breached </w:t>
      </w:r>
      <w:r w:rsidR="00B3784E" w:rsidRPr="00B3784E">
        <w:t xml:space="preserve">subsection 10(2) </w:t>
      </w:r>
      <w:r w:rsidRPr="00B3784E">
        <w:t>of the Standard</w:t>
      </w:r>
      <w:r w:rsidR="00BC6383">
        <w:t xml:space="preserve"> and was therefore in breach of its licence condition </w:t>
      </w:r>
      <w:r w:rsidR="00BC6383" w:rsidRPr="00A50FDB">
        <w:t xml:space="preserve">under </w:t>
      </w:r>
      <w:r w:rsidR="003553A9" w:rsidRPr="00A50FDB">
        <w:t xml:space="preserve">paragraph </w:t>
      </w:r>
      <w:r w:rsidR="00BC6383" w:rsidRPr="00A50FDB">
        <w:t>8</w:t>
      </w:r>
      <w:r w:rsidR="003553A9" w:rsidRPr="00A50FDB">
        <w:t>(1)(b)</w:t>
      </w:r>
      <w:r w:rsidR="00BC6383" w:rsidRPr="00A50FDB">
        <w:t xml:space="preserve"> of Schedule 2 to the BSA</w:t>
      </w:r>
      <w:r w:rsidR="00DE33A9" w:rsidRPr="00A50FDB">
        <w:t>.</w:t>
      </w:r>
      <w:r>
        <w:t xml:space="preserve"> </w:t>
      </w:r>
    </w:p>
    <w:bookmarkEnd w:id="3"/>
    <w:p w14:paraId="2FCB994F" w14:textId="77777777" w:rsidR="001C6546" w:rsidRDefault="001C6546" w:rsidP="0072120E">
      <w:pPr>
        <w:pStyle w:val="ACMAHeading2"/>
      </w:pPr>
      <w:r>
        <w:t>Reasons</w:t>
      </w:r>
    </w:p>
    <w:p w14:paraId="627BD4FB" w14:textId="77777777" w:rsidR="00F84831" w:rsidRDefault="00F84831" w:rsidP="00F84831">
      <w:pPr>
        <w:pStyle w:val="ACMABodyText"/>
      </w:pPr>
      <w:r w:rsidRPr="004C08C8">
        <w:t>To assess com</w:t>
      </w:r>
      <w:r>
        <w:t>pliance, the ACMA has addressed the following questions:</w:t>
      </w:r>
    </w:p>
    <w:p w14:paraId="43A67CAC" w14:textId="5CBBC968" w:rsidR="00F84831" w:rsidRPr="009B1205" w:rsidRDefault="00F84831" w:rsidP="00F84831">
      <w:pPr>
        <w:pStyle w:val="ACMABodyText"/>
        <w:numPr>
          <w:ilvl w:val="0"/>
          <w:numId w:val="17"/>
        </w:numPr>
      </w:pPr>
      <w:r>
        <w:t xml:space="preserve">Was the material broadcast in a current affairs </w:t>
      </w:r>
      <w:r w:rsidRPr="009B1205">
        <w:t xml:space="preserve">program as defined </w:t>
      </w:r>
      <w:r w:rsidR="00B6659E" w:rsidRPr="009B1205">
        <w:t>in s</w:t>
      </w:r>
      <w:r w:rsidRPr="009B1205">
        <w:t>ection 5 of the Standard?</w:t>
      </w:r>
    </w:p>
    <w:p w14:paraId="6509A401" w14:textId="2B2A7C1D" w:rsidR="00F84831" w:rsidRPr="009B1205" w:rsidRDefault="00F84831" w:rsidP="00F84831">
      <w:pPr>
        <w:pStyle w:val="ACMAQuoteindented"/>
        <w:numPr>
          <w:ilvl w:val="0"/>
          <w:numId w:val="17"/>
        </w:numPr>
        <w:rPr>
          <w:sz w:val="20"/>
        </w:rPr>
      </w:pPr>
      <w:r w:rsidRPr="009B1205">
        <w:rPr>
          <w:sz w:val="20"/>
        </w:rPr>
        <w:t xml:space="preserve">Was there a commercial agreement as defined </w:t>
      </w:r>
      <w:r w:rsidR="00B6659E" w:rsidRPr="009B1205">
        <w:rPr>
          <w:sz w:val="20"/>
        </w:rPr>
        <w:t xml:space="preserve">in </w:t>
      </w:r>
      <w:r w:rsidRPr="009B1205">
        <w:rPr>
          <w:sz w:val="20"/>
        </w:rPr>
        <w:t xml:space="preserve">section 6 of the Standard? </w:t>
      </w:r>
    </w:p>
    <w:p w14:paraId="3DE5AC2E" w14:textId="13BD2EA6" w:rsidR="00F84831" w:rsidRPr="004A7632" w:rsidRDefault="00F84831" w:rsidP="00F84831">
      <w:pPr>
        <w:pStyle w:val="ACMAQuoteindented"/>
        <w:numPr>
          <w:ilvl w:val="0"/>
          <w:numId w:val="17"/>
        </w:numPr>
        <w:rPr>
          <w:sz w:val="20"/>
        </w:rPr>
      </w:pPr>
      <w:bookmarkStart w:id="4" w:name="_Hlk49337408"/>
      <w:r>
        <w:rPr>
          <w:sz w:val="20"/>
        </w:rPr>
        <w:t xml:space="preserve">Did </w:t>
      </w:r>
      <w:r w:rsidRPr="00C95FDD">
        <w:rPr>
          <w:sz w:val="20"/>
        </w:rPr>
        <w:t xml:space="preserve">the </w:t>
      </w:r>
      <w:r>
        <w:rPr>
          <w:sz w:val="20"/>
        </w:rPr>
        <w:t>Licensee</w:t>
      </w:r>
      <w:r w:rsidRPr="00C95FDD">
        <w:rPr>
          <w:sz w:val="20"/>
        </w:rPr>
        <w:t xml:space="preserve"> broadcast material </w:t>
      </w:r>
      <w:r w:rsidRPr="004A7632">
        <w:rPr>
          <w:sz w:val="20"/>
        </w:rPr>
        <w:t>satisfy</w:t>
      </w:r>
      <w:r>
        <w:rPr>
          <w:sz w:val="20"/>
        </w:rPr>
        <w:t>ing</w:t>
      </w:r>
      <w:r w:rsidRPr="004A7632">
        <w:rPr>
          <w:sz w:val="20"/>
        </w:rPr>
        <w:t xml:space="preserve"> at least one of the elements at subparagraphs </w:t>
      </w:r>
      <w:r>
        <w:rPr>
          <w:sz w:val="20"/>
        </w:rPr>
        <w:t>10</w:t>
      </w:r>
      <w:r w:rsidRPr="004A7632">
        <w:rPr>
          <w:sz w:val="20"/>
        </w:rPr>
        <w:t>(1)(b)(i) to (iv) of the Standard</w:t>
      </w:r>
      <w:r>
        <w:rPr>
          <w:sz w:val="20"/>
        </w:rPr>
        <w:t>?</w:t>
      </w:r>
      <w:r w:rsidRPr="004A7632">
        <w:rPr>
          <w:sz w:val="20"/>
        </w:rPr>
        <w:t xml:space="preserve"> </w:t>
      </w:r>
    </w:p>
    <w:bookmarkEnd w:id="4"/>
    <w:p w14:paraId="2F0B372E" w14:textId="2D34BB25" w:rsidR="00F84831" w:rsidRDefault="00F84831" w:rsidP="00F84831">
      <w:pPr>
        <w:pStyle w:val="ACMABodyText0"/>
        <w:spacing w:before="0" w:after="240" w:line="240" w:lineRule="atLeast"/>
        <w:rPr>
          <w:rFonts w:ascii="Arial" w:hAnsi="Arial" w:cs="Arial"/>
          <w:sz w:val="20"/>
        </w:rPr>
      </w:pPr>
      <w:r>
        <w:rPr>
          <w:rFonts w:ascii="Arial" w:hAnsi="Arial" w:cs="Arial"/>
          <w:sz w:val="20"/>
        </w:rPr>
        <w:t>If the answer to any of the questions is no, section 10 of the Standard is not applicable and there is no need to consider the remaining question</w:t>
      </w:r>
      <w:r w:rsidR="00DE33A9">
        <w:rPr>
          <w:rFonts w:ascii="Arial" w:hAnsi="Arial" w:cs="Arial"/>
          <w:sz w:val="20"/>
        </w:rPr>
        <w:t>(s)</w:t>
      </w:r>
      <w:r>
        <w:rPr>
          <w:rFonts w:ascii="Arial" w:hAnsi="Arial" w:cs="Arial"/>
          <w:sz w:val="20"/>
        </w:rPr>
        <w:t>. If the answer to all three questions is yes, the ACMA asks:</w:t>
      </w:r>
    </w:p>
    <w:p w14:paraId="5C50AAB6" w14:textId="77777777" w:rsidR="00F84831" w:rsidRDefault="00F84831" w:rsidP="00F84831">
      <w:pPr>
        <w:pStyle w:val="ACMAQuoteindented"/>
        <w:numPr>
          <w:ilvl w:val="0"/>
          <w:numId w:val="17"/>
        </w:numPr>
        <w:rPr>
          <w:sz w:val="20"/>
        </w:rPr>
      </w:pPr>
      <w:r>
        <w:rPr>
          <w:sz w:val="20"/>
        </w:rPr>
        <w:t>Did the Licensee make an on-air disclosure of the commercial agreement?</w:t>
      </w:r>
    </w:p>
    <w:p w14:paraId="1DB20181" w14:textId="7A82E001" w:rsidR="00F84831" w:rsidRDefault="00F84831" w:rsidP="00F84831">
      <w:pPr>
        <w:pStyle w:val="ACMAQuoteindented"/>
        <w:ind w:left="0"/>
        <w:rPr>
          <w:sz w:val="20"/>
        </w:rPr>
      </w:pPr>
      <w:r>
        <w:rPr>
          <w:sz w:val="20"/>
        </w:rPr>
        <w:t xml:space="preserve">If the answer to that question is no, the ACMA asks whether either of the </w:t>
      </w:r>
      <w:r w:rsidR="00E06E53">
        <w:rPr>
          <w:sz w:val="20"/>
        </w:rPr>
        <w:t xml:space="preserve">exceptions </w:t>
      </w:r>
      <w:r>
        <w:rPr>
          <w:sz w:val="20"/>
        </w:rPr>
        <w:t xml:space="preserve">under </w:t>
      </w:r>
      <w:bookmarkStart w:id="5" w:name="_Hlk165538920"/>
      <w:r w:rsidR="00B53575" w:rsidRPr="009B1205">
        <w:rPr>
          <w:sz w:val="20"/>
        </w:rPr>
        <w:t>subsection</w:t>
      </w:r>
      <w:r w:rsidRPr="009B1205">
        <w:rPr>
          <w:sz w:val="20"/>
        </w:rPr>
        <w:t xml:space="preserve"> 10(3) of the Standard apply</w:t>
      </w:r>
      <w:bookmarkEnd w:id="5"/>
      <w:r w:rsidRPr="009B1205">
        <w:rPr>
          <w:sz w:val="20"/>
        </w:rPr>
        <w:t>:</w:t>
      </w:r>
    </w:p>
    <w:p w14:paraId="50F06F3B" w14:textId="77777777" w:rsidR="00F84831" w:rsidRDefault="00F84831" w:rsidP="00F84831">
      <w:pPr>
        <w:pStyle w:val="ACMAQuoteindented"/>
        <w:numPr>
          <w:ilvl w:val="0"/>
          <w:numId w:val="17"/>
        </w:numPr>
        <w:rPr>
          <w:sz w:val="20"/>
        </w:rPr>
      </w:pPr>
      <w:r w:rsidRPr="00324A69">
        <w:rPr>
          <w:sz w:val="20"/>
        </w:rPr>
        <w:t>Was the material broadcast a news broadcast or bulletin</w:t>
      </w:r>
      <w:r>
        <w:rPr>
          <w:sz w:val="20"/>
        </w:rPr>
        <w:t>?</w:t>
      </w:r>
    </w:p>
    <w:p w14:paraId="32E7FB35" w14:textId="77777777" w:rsidR="00F84831" w:rsidRPr="00B61EBA" w:rsidRDefault="00F84831" w:rsidP="00F84831">
      <w:pPr>
        <w:pStyle w:val="ACMAQuoteindented"/>
        <w:numPr>
          <w:ilvl w:val="0"/>
          <w:numId w:val="17"/>
        </w:numPr>
        <w:rPr>
          <w:sz w:val="20"/>
        </w:rPr>
      </w:pPr>
      <w:r w:rsidRPr="00324A69">
        <w:rPr>
          <w:sz w:val="20"/>
        </w:rPr>
        <w:t xml:space="preserve">Was the material broadcast an advertisement, that was clearly identifiable to a reasonable listener as an advertisement? </w:t>
      </w:r>
    </w:p>
    <w:p w14:paraId="7914BDCD" w14:textId="77777777" w:rsidR="00B6233F" w:rsidRDefault="00B6233F" w:rsidP="00F84831">
      <w:pPr>
        <w:pStyle w:val="ACMABodyText0"/>
        <w:spacing w:after="240" w:line="240" w:lineRule="auto"/>
        <w:rPr>
          <w:rFonts w:ascii="Arial" w:hAnsi="Arial" w:cs="Arial"/>
          <w:b/>
          <w:bCs/>
          <w:sz w:val="20"/>
        </w:rPr>
      </w:pPr>
    </w:p>
    <w:p w14:paraId="089CF2C1" w14:textId="388FA0B3" w:rsidR="00F84831" w:rsidRDefault="00F84831" w:rsidP="00F84831">
      <w:pPr>
        <w:pStyle w:val="ACMABodyText0"/>
        <w:spacing w:after="240" w:line="240" w:lineRule="auto"/>
      </w:pPr>
      <w:r w:rsidRPr="00186CBD">
        <w:rPr>
          <w:rFonts w:ascii="Arial" w:hAnsi="Arial" w:cs="Arial"/>
          <w:b/>
          <w:bCs/>
          <w:sz w:val="20"/>
        </w:rPr>
        <w:lastRenderedPageBreak/>
        <w:t xml:space="preserve">Was the material broadcast in a current affairs program? </w:t>
      </w:r>
    </w:p>
    <w:p w14:paraId="08198911" w14:textId="7A93F0B8" w:rsidR="00F84831" w:rsidRDefault="00F84831" w:rsidP="00F84831">
      <w:pPr>
        <w:pStyle w:val="ACMABodyText0"/>
        <w:spacing w:before="0" w:after="240" w:line="240" w:lineRule="atLeast"/>
        <w:rPr>
          <w:rFonts w:ascii="Arial" w:hAnsi="Arial"/>
          <w:sz w:val="20"/>
        </w:rPr>
      </w:pPr>
      <w:r>
        <w:rPr>
          <w:rFonts w:ascii="Arial" w:hAnsi="Arial"/>
          <w:sz w:val="20"/>
        </w:rPr>
        <w:t>Section 5 of the Standard provides a definition of a current affairs program.</w:t>
      </w:r>
    </w:p>
    <w:p w14:paraId="56AC186E" w14:textId="77777777" w:rsidR="00F84831" w:rsidRPr="00B621AD" w:rsidRDefault="00F84831" w:rsidP="00F84831">
      <w:pPr>
        <w:suppressAutoHyphens/>
        <w:spacing w:before="0" w:line="240" w:lineRule="auto"/>
        <w:ind w:left="567"/>
        <w:rPr>
          <w:rFonts w:cs="Arial"/>
          <w:i w:val="0"/>
          <w:snapToGrid w:val="0"/>
          <w:sz w:val="18"/>
          <w:szCs w:val="18"/>
        </w:rPr>
      </w:pPr>
      <w:r w:rsidRPr="00EC0DAC">
        <w:rPr>
          <w:rFonts w:cs="Arial"/>
          <w:b/>
          <w:i w:val="0"/>
          <w:snapToGrid w:val="0"/>
          <w:sz w:val="18"/>
          <w:szCs w:val="18"/>
        </w:rPr>
        <w:t xml:space="preserve">current affairs </w:t>
      </w:r>
      <w:r>
        <w:rPr>
          <w:rFonts w:cs="Arial"/>
          <w:b/>
          <w:i w:val="0"/>
          <w:snapToGrid w:val="0"/>
          <w:sz w:val="18"/>
          <w:szCs w:val="18"/>
        </w:rPr>
        <w:t>program</w:t>
      </w:r>
      <w:r w:rsidRPr="00B621AD">
        <w:rPr>
          <w:rFonts w:cs="Arial"/>
          <w:b/>
          <w:snapToGrid w:val="0"/>
          <w:sz w:val="18"/>
          <w:szCs w:val="18"/>
        </w:rPr>
        <w:t xml:space="preserve"> </w:t>
      </w:r>
      <w:r w:rsidRPr="00B621AD">
        <w:rPr>
          <w:rFonts w:cs="Arial"/>
          <w:i w:val="0"/>
          <w:snapToGrid w:val="0"/>
          <w:sz w:val="18"/>
          <w:szCs w:val="18"/>
        </w:rPr>
        <w:t xml:space="preserve">means a </w:t>
      </w:r>
      <w:r>
        <w:rPr>
          <w:rFonts w:cs="Arial"/>
          <w:i w:val="0"/>
          <w:snapToGrid w:val="0"/>
          <w:sz w:val="18"/>
          <w:szCs w:val="18"/>
        </w:rPr>
        <w:t>program</w:t>
      </w:r>
      <w:r w:rsidRPr="00B621AD">
        <w:rPr>
          <w:rFonts w:cs="Arial"/>
          <w:i w:val="0"/>
          <w:snapToGrid w:val="0"/>
          <w:sz w:val="18"/>
          <w:szCs w:val="18"/>
        </w:rPr>
        <w:t xml:space="preserve"> a substantial purpose of which is to provide interviews, analysis, commentary or discussion, including open-line discussion with listeners, about current social, economic or political issues.</w:t>
      </w:r>
    </w:p>
    <w:p w14:paraId="23322A33" w14:textId="77777777" w:rsidR="00F84831" w:rsidRDefault="00F84831" w:rsidP="00F84831">
      <w:pPr>
        <w:pStyle w:val="ACMABodyText0"/>
        <w:spacing w:before="0" w:after="240" w:line="240" w:lineRule="atLeast"/>
        <w:rPr>
          <w:rFonts w:ascii="Arial" w:hAnsi="Arial" w:cs="Arial"/>
          <w:sz w:val="20"/>
        </w:rPr>
      </w:pPr>
      <w:r w:rsidRPr="00384760">
        <w:rPr>
          <w:rFonts w:ascii="Arial" w:hAnsi="Arial"/>
          <w:i/>
          <w:iCs/>
          <w:sz w:val="20"/>
        </w:rPr>
        <w:t>Ben Fordham Live</w:t>
      </w:r>
      <w:r w:rsidRPr="00384760">
        <w:rPr>
          <w:i/>
          <w:iCs/>
        </w:rPr>
        <w:t xml:space="preserve"> </w:t>
      </w:r>
      <w:r>
        <w:rPr>
          <w:rFonts w:ascii="Arial" w:hAnsi="Arial" w:cs="Arial"/>
          <w:sz w:val="20"/>
        </w:rPr>
        <w:t xml:space="preserve">broadcasts discussion, </w:t>
      </w:r>
      <w:r w:rsidRPr="00166F9E">
        <w:rPr>
          <w:rFonts w:ascii="Arial" w:hAnsi="Arial" w:cs="Arial"/>
          <w:sz w:val="20"/>
        </w:rPr>
        <w:t xml:space="preserve">interviews, analysis, </w:t>
      </w:r>
      <w:r>
        <w:rPr>
          <w:rFonts w:ascii="Arial" w:hAnsi="Arial" w:cs="Arial"/>
          <w:sz w:val="20"/>
        </w:rPr>
        <w:t>including talk-back discussion with listeners</w:t>
      </w:r>
      <w:r w:rsidRPr="00166F9E">
        <w:rPr>
          <w:rFonts w:ascii="Arial" w:hAnsi="Arial" w:cs="Arial"/>
          <w:sz w:val="20"/>
        </w:rPr>
        <w:t>, about current social, economic or political issues</w:t>
      </w:r>
      <w:r>
        <w:rPr>
          <w:rFonts w:ascii="Arial" w:hAnsi="Arial" w:cs="Arial"/>
          <w:sz w:val="20"/>
        </w:rPr>
        <w:t xml:space="preserve">. </w:t>
      </w:r>
    </w:p>
    <w:p w14:paraId="5689B221" w14:textId="23883A99" w:rsidR="00F84831" w:rsidRDefault="00F84831" w:rsidP="00F84831">
      <w:pPr>
        <w:pStyle w:val="ACMABodyText0"/>
        <w:spacing w:before="0" w:after="240" w:line="240" w:lineRule="atLeast"/>
        <w:rPr>
          <w:rFonts w:ascii="Arial" w:hAnsi="Arial" w:cs="Arial"/>
          <w:sz w:val="20"/>
        </w:rPr>
      </w:pPr>
      <w:r>
        <w:rPr>
          <w:rFonts w:ascii="Arial" w:hAnsi="Arial" w:cs="Arial"/>
          <w:sz w:val="20"/>
        </w:rPr>
        <w:t xml:space="preserve">The ACMA considers that </w:t>
      </w:r>
      <w:r w:rsidRPr="00384760">
        <w:rPr>
          <w:rFonts w:ascii="Arial" w:hAnsi="Arial"/>
          <w:i/>
          <w:iCs/>
          <w:sz w:val="20"/>
        </w:rPr>
        <w:t>Ben Fordham Live</w:t>
      </w:r>
      <w:r w:rsidRPr="00166F9E">
        <w:rPr>
          <w:rFonts w:ascii="Arial" w:hAnsi="Arial" w:cs="Arial"/>
          <w:sz w:val="20"/>
        </w:rPr>
        <w:t xml:space="preserve"> </w:t>
      </w:r>
      <w:r>
        <w:rPr>
          <w:rFonts w:ascii="Arial" w:hAnsi="Arial" w:cs="Arial"/>
          <w:sz w:val="20"/>
        </w:rPr>
        <w:t>is a current affairs program for the purposes of the Standard.</w:t>
      </w:r>
      <w:r w:rsidRPr="009A2FCF">
        <w:rPr>
          <w:rFonts w:ascii="Arial" w:hAnsi="Arial" w:cs="Arial"/>
          <w:sz w:val="20"/>
        </w:rPr>
        <w:t xml:space="preserve"> </w:t>
      </w:r>
    </w:p>
    <w:p w14:paraId="7B838064" w14:textId="77777777" w:rsidR="00F84831" w:rsidRPr="00186CBD" w:rsidRDefault="00F84831" w:rsidP="00F84831">
      <w:pPr>
        <w:pStyle w:val="ACMABodyText0"/>
        <w:spacing w:after="240" w:line="240" w:lineRule="auto"/>
        <w:rPr>
          <w:rFonts w:ascii="Arial" w:hAnsi="Arial" w:cs="Arial"/>
          <w:b/>
          <w:bCs/>
          <w:sz w:val="20"/>
        </w:rPr>
      </w:pPr>
      <w:r w:rsidRPr="00186CBD">
        <w:rPr>
          <w:rFonts w:ascii="Arial" w:hAnsi="Arial" w:cs="Arial"/>
          <w:b/>
          <w:bCs/>
          <w:sz w:val="20"/>
        </w:rPr>
        <w:t xml:space="preserve">Was there a commercial agreement </w:t>
      </w:r>
      <w:r>
        <w:rPr>
          <w:rFonts w:ascii="Arial" w:hAnsi="Arial" w:cs="Arial"/>
          <w:b/>
          <w:bCs/>
          <w:sz w:val="20"/>
        </w:rPr>
        <w:t>in place?</w:t>
      </w:r>
    </w:p>
    <w:p w14:paraId="7EE16573" w14:textId="21D0130B" w:rsidR="00F84831" w:rsidRDefault="00F84831" w:rsidP="00F84831">
      <w:pPr>
        <w:pStyle w:val="ACMABodyText"/>
        <w:spacing w:after="120"/>
      </w:pPr>
      <w:r w:rsidRPr="001E4BE1">
        <w:t>The 2GB Licensee submitted that Mr Fordham had a commercial agreement with Uber</w:t>
      </w:r>
      <w:r>
        <w:t>,</w:t>
      </w:r>
      <w:r w:rsidRPr="008724B8">
        <w:t xml:space="preserve"> </w:t>
      </w:r>
      <w:r w:rsidRPr="00971572">
        <w:t xml:space="preserve">as </w:t>
      </w:r>
      <w:r w:rsidRPr="009B1205">
        <w:t xml:space="preserve">defined </w:t>
      </w:r>
      <w:r w:rsidR="00CA4DA9" w:rsidRPr="009B1205">
        <w:t xml:space="preserve">in </w:t>
      </w:r>
      <w:r w:rsidRPr="009B1205">
        <w:t xml:space="preserve">section 6 of the Standard, when the material about Uber was broadcast on </w:t>
      </w:r>
      <w:r w:rsidR="00CE661F">
        <w:t xml:space="preserve">            </w:t>
      </w:r>
      <w:r w:rsidRPr="009B1205">
        <w:t>3 August 2023.</w:t>
      </w:r>
    </w:p>
    <w:p w14:paraId="27FDE6FD" w14:textId="77777777" w:rsidR="00F84831" w:rsidRDefault="00F84831" w:rsidP="00F84831">
      <w:pPr>
        <w:pStyle w:val="ACMABodyText"/>
        <w:spacing w:after="120"/>
      </w:pPr>
      <w:r>
        <w:t>The ACMA, therefore, accepts that a commercial agreement was in place.</w:t>
      </w:r>
    </w:p>
    <w:p w14:paraId="52933547" w14:textId="4245DBA8" w:rsidR="00F84831" w:rsidRPr="00932983" w:rsidRDefault="00F84831" w:rsidP="00F84831">
      <w:pPr>
        <w:pStyle w:val="ACMABodyText"/>
        <w:rPr>
          <w:rFonts w:cs="Arial"/>
          <w:b/>
          <w:bCs/>
        </w:rPr>
      </w:pPr>
      <w:r w:rsidRPr="00186CBD">
        <w:rPr>
          <w:rFonts w:cs="Arial"/>
          <w:b/>
          <w:bCs/>
        </w:rPr>
        <w:t xml:space="preserve">Did the </w:t>
      </w:r>
      <w:r>
        <w:rPr>
          <w:rFonts w:cs="Arial"/>
          <w:b/>
          <w:bCs/>
        </w:rPr>
        <w:t>Licensee broadcast material</w:t>
      </w:r>
      <w:r w:rsidRPr="00186CBD">
        <w:rPr>
          <w:rFonts w:cs="Arial"/>
          <w:b/>
          <w:bCs/>
        </w:rPr>
        <w:t xml:space="preserve"> </w:t>
      </w:r>
      <w:r w:rsidRPr="00932983">
        <w:rPr>
          <w:b/>
          <w:bCs/>
        </w:rPr>
        <w:t>satisfying at least one of the elements at subparagraphs 10(1)(b)(i) to (iv) of the Standard</w:t>
      </w:r>
      <w:r w:rsidRPr="00932983">
        <w:rPr>
          <w:rFonts w:cs="Arial"/>
          <w:b/>
          <w:bCs/>
        </w:rPr>
        <w:t>?</w:t>
      </w:r>
    </w:p>
    <w:p w14:paraId="746FB590" w14:textId="532C5C9F" w:rsidR="00F84831" w:rsidRDefault="00F84831" w:rsidP="00F84831">
      <w:pPr>
        <w:pStyle w:val="ACMABodyText"/>
        <w:spacing w:after="120"/>
      </w:pPr>
      <w:r>
        <w:t xml:space="preserve">During a regular segment, </w:t>
      </w:r>
      <w:r w:rsidRPr="003755E2">
        <w:rPr>
          <w:i/>
          <w:iCs/>
        </w:rPr>
        <w:t>Business Report with Peter Swtizer</w:t>
      </w:r>
      <w:r>
        <w:t xml:space="preserve">, </w:t>
      </w:r>
      <w:r w:rsidR="00821ECE">
        <w:t xml:space="preserve">there was a discussion about </w:t>
      </w:r>
      <w:r>
        <w:t>people taking second jobs. During the discussion, Mr Fordham revealed that he had commenced working as a driver with the Uber car share service and had just accepted his first passenger. At the conclusion of this anecdote, Mr Fordham made the following comments:</w:t>
      </w:r>
    </w:p>
    <w:p w14:paraId="7C954E2B" w14:textId="422954D1" w:rsidR="00F84831" w:rsidRPr="005D7449" w:rsidRDefault="00F84831" w:rsidP="00F84831">
      <w:pPr>
        <w:pStyle w:val="ACMABodyText"/>
        <w:spacing w:after="120"/>
        <w:ind w:left="720"/>
        <w:rPr>
          <w:sz w:val="18"/>
          <w:szCs w:val="18"/>
        </w:rPr>
      </w:pPr>
      <w:r w:rsidRPr="005D7449">
        <w:rPr>
          <w:sz w:val="18"/>
          <w:szCs w:val="18"/>
        </w:rPr>
        <w:t xml:space="preserve">it's so good. You just switch it on and think, </w:t>
      </w:r>
      <w:r w:rsidR="0053472F">
        <w:rPr>
          <w:sz w:val="18"/>
          <w:szCs w:val="18"/>
        </w:rPr>
        <w:t>a</w:t>
      </w:r>
      <w:r w:rsidRPr="005D7449">
        <w:rPr>
          <w:sz w:val="18"/>
          <w:szCs w:val="18"/>
        </w:rPr>
        <w:t xml:space="preserve">ll right. Well, I've got an hour to kill here. I may as well make a bit of money. </w:t>
      </w:r>
    </w:p>
    <w:p w14:paraId="06E4C761" w14:textId="77777777" w:rsidR="00F84831" w:rsidRDefault="00F84831" w:rsidP="00F84831">
      <w:pPr>
        <w:pStyle w:val="ACMABodyText"/>
        <w:spacing w:after="120"/>
      </w:pPr>
      <w:r>
        <w:t xml:space="preserve">Relevantly, the 2GB Licensee submitted that Mr Fordham’s comments did not: </w:t>
      </w:r>
    </w:p>
    <w:p w14:paraId="11C17C2E" w14:textId="77777777" w:rsidR="00F84831" w:rsidRPr="00FE16B5" w:rsidRDefault="00F84831" w:rsidP="00F84831">
      <w:pPr>
        <w:pStyle w:val="ACMABodyText"/>
        <w:spacing w:after="120"/>
        <w:ind w:left="720"/>
        <w:rPr>
          <w:sz w:val="18"/>
          <w:szCs w:val="18"/>
        </w:rPr>
      </w:pPr>
      <w:r w:rsidRPr="00FE16B5">
        <w:rPr>
          <w:sz w:val="18"/>
          <w:szCs w:val="18"/>
        </w:rPr>
        <w:t>promote Uber’s name, products or services. The name ‘Uber’ was mentioned merely as a means of personalising new data from the Australian Bureau of Statistics showing an uptake in second jobs by Australians.</w:t>
      </w:r>
    </w:p>
    <w:p w14:paraId="46C59D12" w14:textId="77777777" w:rsidR="00F84831" w:rsidRPr="000F7C3C" w:rsidRDefault="00F84831" w:rsidP="00F84831">
      <w:pPr>
        <w:pStyle w:val="ACMABodyText"/>
        <w:spacing w:after="120"/>
        <w:rPr>
          <w:rFonts w:cs="Arial"/>
        </w:rPr>
      </w:pPr>
      <w:r w:rsidRPr="000F7C3C">
        <w:rPr>
          <w:rFonts w:cs="Arial"/>
        </w:rPr>
        <w:t xml:space="preserve">and </w:t>
      </w:r>
    </w:p>
    <w:p w14:paraId="26278366" w14:textId="77777777" w:rsidR="00F84831" w:rsidRPr="000F7C3C" w:rsidRDefault="00F84831" w:rsidP="00F84831">
      <w:pPr>
        <w:pStyle w:val="Default"/>
        <w:ind w:firstLine="720"/>
        <w:rPr>
          <w:rFonts w:ascii="Arial" w:hAnsi="Arial" w:cs="Arial"/>
          <w:sz w:val="18"/>
          <w:szCs w:val="18"/>
        </w:rPr>
      </w:pPr>
      <w:r w:rsidRPr="000F7C3C">
        <w:rPr>
          <w:rFonts w:ascii="Arial" w:hAnsi="Arial" w:cs="Arial"/>
          <w:sz w:val="18"/>
          <w:szCs w:val="18"/>
        </w:rPr>
        <w:t>were neither scripted nor planned</w:t>
      </w:r>
    </w:p>
    <w:p w14:paraId="54E89AF3" w14:textId="77777777" w:rsidR="00F84831" w:rsidRPr="000F7C3C" w:rsidRDefault="00F84831" w:rsidP="00F84831">
      <w:pPr>
        <w:pStyle w:val="Default"/>
        <w:ind w:firstLine="720"/>
        <w:rPr>
          <w:rFonts w:ascii="Arial" w:hAnsi="Arial" w:cs="Arial"/>
          <w:sz w:val="22"/>
          <w:szCs w:val="22"/>
        </w:rPr>
      </w:pPr>
    </w:p>
    <w:p w14:paraId="7A8D2D46" w14:textId="77777777" w:rsidR="00F84831" w:rsidRPr="000F7C3C" w:rsidRDefault="00F84831" w:rsidP="00F84831">
      <w:pPr>
        <w:pStyle w:val="ACMABodyText"/>
        <w:spacing w:after="120"/>
        <w:rPr>
          <w:rFonts w:cs="Arial"/>
        </w:rPr>
      </w:pPr>
      <w:r w:rsidRPr="000F7C3C">
        <w:rPr>
          <w:rFonts w:cs="Arial"/>
        </w:rPr>
        <w:t xml:space="preserve">and that </w:t>
      </w:r>
    </w:p>
    <w:p w14:paraId="150EBDD5" w14:textId="77777777" w:rsidR="00F84831" w:rsidRPr="000F7C3C" w:rsidRDefault="00F84831" w:rsidP="00F84831">
      <w:pPr>
        <w:pStyle w:val="Default"/>
        <w:ind w:left="720"/>
        <w:rPr>
          <w:rFonts w:ascii="Arial" w:hAnsi="Arial" w:cs="Arial"/>
          <w:sz w:val="18"/>
          <w:szCs w:val="18"/>
        </w:rPr>
      </w:pPr>
      <w:r w:rsidRPr="000F7C3C">
        <w:rPr>
          <w:rFonts w:ascii="Arial" w:hAnsi="Arial" w:cs="Arial"/>
          <w:sz w:val="18"/>
          <w:szCs w:val="18"/>
        </w:rPr>
        <w:t>the Standard does not prescribe the mere mention of a sponsor’s name, products or services as material that requires an on-air disclosure</w:t>
      </w:r>
      <w:r>
        <w:rPr>
          <w:rFonts w:ascii="Arial" w:hAnsi="Arial" w:cs="Arial"/>
          <w:sz w:val="18"/>
          <w:szCs w:val="18"/>
        </w:rPr>
        <w:t>.</w:t>
      </w:r>
    </w:p>
    <w:p w14:paraId="71956154" w14:textId="77777777" w:rsidR="00F84831" w:rsidRDefault="00F84831" w:rsidP="00F84831">
      <w:pPr>
        <w:pStyle w:val="Default"/>
        <w:ind w:firstLine="720"/>
        <w:rPr>
          <w:sz w:val="22"/>
          <w:szCs w:val="22"/>
        </w:rPr>
      </w:pPr>
      <w:r>
        <w:rPr>
          <w:sz w:val="22"/>
          <w:szCs w:val="22"/>
        </w:rPr>
        <w:t xml:space="preserve"> </w:t>
      </w:r>
    </w:p>
    <w:p w14:paraId="0AC3C243" w14:textId="31A104E0" w:rsidR="00F84831" w:rsidRDefault="00F84831" w:rsidP="00F84831">
      <w:pPr>
        <w:pStyle w:val="ACMABodyText"/>
        <w:spacing w:after="120"/>
      </w:pPr>
      <w:r>
        <w:t xml:space="preserve">The ACMA agrees the comments were delivered within the context of a broader personal anecdote about Mr Fordham’s recent experiences as an Uber driver and that anecdote was itself told within the context of news about jobs data. However, the ACMA considers that the comments above did not merely mention Uber’s products or services but conveyed positive sentiments to promote Uber as a desirable employer for people who wanted to make extra money by driving a </w:t>
      </w:r>
      <w:r w:rsidR="0008495D">
        <w:t>ride</w:t>
      </w:r>
      <w:r>
        <w:t xml:space="preserve"> share vehicle. The comments conveyed this desirability by stating how easy it was for people to book passengers and make money during their spare time.</w:t>
      </w:r>
    </w:p>
    <w:p w14:paraId="130049CD" w14:textId="4F8F9A31" w:rsidR="00F84831" w:rsidRDefault="00F84831" w:rsidP="00F84831">
      <w:pPr>
        <w:pStyle w:val="ACMABodyText"/>
        <w:rPr>
          <w:rFonts w:cs="Arial"/>
        </w:rPr>
      </w:pPr>
      <w:r>
        <w:t xml:space="preserve">The ACMA considers that the Licensee broadcast material satisfying </w:t>
      </w:r>
      <w:r w:rsidRPr="00932983">
        <w:t>subparagraph 10(1)(b)(i)</w:t>
      </w:r>
      <w:r>
        <w:t xml:space="preserve"> </w:t>
      </w:r>
      <w:r w:rsidRPr="00932983">
        <w:t>of the Standard</w:t>
      </w:r>
      <w:r>
        <w:rPr>
          <w:rFonts w:cs="Arial"/>
        </w:rPr>
        <w:t>.</w:t>
      </w:r>
    </w:p>
    <w:p w14:paraId="3176DA46" w14:textId="77777777" w:rsidR="005651FE" w:rsidRDefault="005651FE" w:rsidP="00F84831">
      <w:pPr>
        <w:pStyle w:val="ACMABodyText0"/>
        <w:spacing w:after="240" w:line="240" w:lineRule="auto"/>
        <w:rPr>
          <w:rFonts w:ascii="Arial" w:hAnsi="Arial" w:cs="Arial"/>
          <w:b/>
          <w:bCs/>
          <w:sz w:val="20"/>
        </w:rPr>
      </w:pPr>
    </w:p>
    <w:p w14:paraId="0D1BFF90" w14:textId="28A08764" w:rsidR="00F84831" w:rsidRPr="00186CBD" w:rsidRDefault="00F84831" w:rsidP="00F84831">
      <w:pPr>
        <w:pStyle w:val="ACMABodyText0"/>
        <w:spacing w:after="240" w:line="240" w:lineRule="auto"/>
        <w:rPr>
          <w:rFonts w:ascii="Arial" w:hAnsi="Arial" w:cs="Arial"/>
          <w:b/>
          <w:bCs/>
          <w:sz w:val="20"/>
        </w:rPr>
      </w:pPr>
      <w:r w:rsidRPr="00186CBD">
        <w:rPr>
          <w:rFonts w:ascii="Arial" w:hAnsi="Arial" w:cs="Arial"/>
          <w:b/>
          <w:bCs/>
          <w:sz w:val="20"/>
        </w:rPr>
        <w:lastRenderedPageBreak/>
        <w:t>Did the licensee ensure an appropriate disclosure announcement was broadcast?</w:t>
      </w:r>
    </w:p>
    <w:p w14:paraId="0627F2BC" w14:textId="77777777" w:rsidR="00F84831" w:rsidRDefault="00F84831" w:rsidP="00F84831">
      <w:pPr>
        <w:pStyle w:val="ACMABodyText"/>
        <w:spacing w:after="120"/>
      </w:pPr>
      <w:r>
        <w:t>The ACMA reviewed the full broadcast of the Business Report and confirmed that no on-air disclosure of the Uber commercial agreement was made.</w:t>
      </w:r>
    </w:p>
    <w:p w14:paraId="70E8A0FB" w14:textId="4B97B3AB" w:rsidR="00D84FDF" w:rsidRDefault="00D84FDF" w:rsidP="00F84831">
      <w:pPr>
        <w:pStyle w:val="ACMABodyText"/>
        <w:spacing w:after="120"/>
        <w:rPr>
          <w:rFonts w:cs="Arial"/>
        </w:rPr>
      </w:pPr>
      <w:bookmarkStart w:id="6" w:name="_Hlk165540955"/>
      <w:r w:rsidRPr="008408C8">
        <w:rPr>
          <w:rFonts w:cs="Arial"/>
          <w:b/>
          <w:bCs/>
        </w:rPr>
        <w:t xml:space="preserve">Did an </w:t>
      </w:r>
      <w:r w:rsidR="00172400" w:rsidRPr="008408C8">
        <w:rPr>
          <w:rFonts w:cs="Arial"/>
          <w:b/>
          <w:bCs/>
        </w:rPr>
        <w:t>ex</w:t>
      </w:r>
      <w:r w:rsidR="00172400">
        <w:rPr>
          <w:rFonts w:cs="Arial"/>
          <w:b/>
          <w:bCs/>
        </w:rPr>
        <w:t>ception</w:t>
      </w:r>
      <w:r w:rsidR="00172400" w:rsidRPr="008408C8">
        <w:rPr>
          <w:rFonts w:cs="Arial"/>
          <w:b/>
          <w:bCs/>
        </w:rPr>
        <w:t xml:space="preserve"> </w:t>
      </w:r>
      <w:r w:rsidRPr="008408C8">
        <w:rPr>
          <w:rFonts w:cs="Arial"/>
          <w:b/>
          <w:bCs/>
        </w:rPr>
        <w:t xml:space="preserve">under </w:t>
      </w:r>
      <w:r>
        <w:rPr>
          <w:rFonts w:cs="Arial"/>
          <w:b/>
          <w:bCs/>
        </w:rPr>
        <w:t>subsection</w:t>
      </w:r>
      <w:r w:rsidRPr="00D84FDF">
        <w:rPr>
          <w:rFonts w:cs="Arial"/>
        </w:rPr>
        <w:t xml:space="preserve"> </w:t>
      </w:r>
      <w:r w:rsidRPr="008408C8">
        <w:rPr>
          <w:rFonts w:cs="Arial"/>
          <w:b/>
          <w:bCs/>
        </w:rPr>
        <w:t>10(3) of the Standard apply</w:t>
      </w:r>
      <w:r>
        <w:rPr>
          <w:rFonts w:cs="Arial"/>
          <w:b/>
          <w:bCs/>
        </w:rPr>
        <w:t>?</w:t>
      </w:r>
    </w:p>
    <w:bookmarkEnd w:id="6"/>
    <w:p w14:paraId="4597CB59" w14:textId="7B903D6F" w:rsidR="00F84831" w:rsidRDefault="00D84FDF" w:rsidP="00F84831">
      <w:pPr>
        <w:pStyle w:val="ACMABodyText"/>
        <w:spacing w:after="120"/>
      </w:pPr>
      <w:r>
        <w:rPr>
          <w:rFonts w:cs="Arial"/>
        </w:rPr>
        <w:t>T</w:t>
      </w:r>
      <w:r w:rsidR="00F84831" w:rsidRPr="00AA0331">
        <w:rPr>
          <w:rFonts w:cs="Arial"/>
        </w:rPr>
        <w:t xml:space="preserve">he ACMA considers that </w:t>
      </w:r>
      <w:r w:rsidR="00172400">
        <w:rPr>
          <w:rFonts w:cs="Arial"/>
        </w:rPr>
        <w:t>neither</w:t>
      </w:r>
      <w:r w:rsidR="00172400" w:rsidRPr="00AA0331">
        <w:rPr>
          <w:rFonts w:cs="Arial"/>
        </w:rPr>
        <w:t xml:space="preserve"> </w:t>
      </w:r>
      <w:r w:rsidR="00F84831" w:rsidRPr="00AA0331">
        <w:rPr>
          <w:rFonts w:cs="Arial"/>
        </w:rPr>
        <w:t xml:space="preserve">of the exceptions at subsection </w:t>
      </w:r>
      <w:r w:rsidR="00F84831">
        <w:rPr>
          <w:rFonts w:cs="Arial"/>
        </w:rPr>
        <w:t>10</w:t>
      </w:r>
      <w:r w:rsidR="00F84831" w:rsidRPr="00AA0331">
        <w:rPr>
          <w:rFonts w:cs="Arial"/>
        </w:rPr>
        <w:t>(3) of the Standard applied, as the material broadcast was not a news broadcast or bulletin, or an advertisement that was clearly identifiable to a reasonable listener as an advertisement.</w:t>
      </w:r>
    </w:p>
    <w:p w14:paraId="6B60DFE2" w14:textId="2D49A608" w:rsidR="00F84831" w:rsidRDefault="00F84831" w:rsidP="00F84831">
      <w:pPr>
        <w:pStyle w:val="ACMABodyText"/>
        <w:spacing w:after="120"/>
      </w:pPr>
      <w:r>
        <w:t xml:space="preserve">Accordingly, the ACMA </w:t>
      </w:r>
      <w:r w:rsidR="00835FD6">
        <w:t xml:space="preserve">finds </w:t>
      </w:r>
      <w:r>
        <w:t xml:space="preserve">that the 2GB Licensee breached subsection 10(2) of the Standard, and consequently, also breached paragraph 8(1)(b) of Schedule 2 to the BSA. </w:t>
      </w:r>
    </w:p>
    <w:p w14:paraId="1DCA90CD" w14:textId="2991BA52" w:rsidR="00B1562A" w:rsidRDefault="00B1562A" w:rsidP="00B1562A">
      <w:pPr>
        <w:pStyle w:val="ACMAHeading2"/>
      </w:pPr>
      <w:r>
        <w:t>BI-6</w:t>
      </w:r>
      <w:r w:rsidR="007A7D61">
        <w:t>80</w:t>
      </w:r>
      <w:r>
        <w:t xml:space="preserve"> – 3AW</w:t>
      </w:r>
      <w:r w:rsidR="007A7D61">
        <w:t xml:space="preserve"> Afternoons (3AW)</w:t>
      </w:r>
    </w:p>
    <w:p w14:paraId="070D6240" w14:textId="6879BFD4" w:rsidR="00186CBD" w:rsidRPr="00186CBD" w:rsidRDefault="00186CBD" w:rsidP="004440E4">
      <w:pPr>
        <w:pStyle w:val="ACMABodyText"/>
        <w:spacing w:after="120"/>
      </w:pPr>
      <w:r>
        <w:t xml:space="preserve">The investigation considered material broadcast by the 3AW Licensee during </w:t>
      </w:r>
      <w:r>
        <w:rPr>
          <w:i/>
          <w:iCs/>
        </w:rPr>
        <w:t xml:space="preserve">Afternoons </w:t>
      </w:r>
      <w:r>
        <w:t xml:space="preserve">on </w:t>
      </w:r>
      <w:r w:rsidR="004440E4">
        <w:t>2</w:t>
      </w:r>
      <w:r w:rsidR="00FE0AAE">
        <w:t> </w:t>
      </w:r>
      <w:r w:rsidR="004440E4">
        <w:t>August 2023 about Virgin and material broadcast on 28 August 2023 about BMW.</w:t>
      </w:r>
    </w:p>
    <w:p w14:paraId="7F21BAE5" w14:textId="7D7342B1" w:rsidR="00B1562A" w:rsidRPr="00B3784E" w:rsidRDefault="00B1562A" w:rsidP="00B1562A">
      <w:pPr>
        <w:pStyle w:val="ACMAHeading2"/>
      </w:pPr>
      <w:r w:rsidRPr="00B3784E">
        <w:t>Finding</w:t>
      </w:r>
    </w:p>
    <w:p w14:paraId="4C0BECC2" w14:textId="289C0903" w:rsidR="00B1562A" w:rsidRPr="007A282E" w:rsidRDefault="00B1562A" w:rsidP="00B1562A">
      <w:pPr>
        <w:pStyle w:val="ACMABodyText"/>
      </w:pPr>
      <w:r w:rsidRPr="00B3784E">
        <w:t xml:space="preserve">The </w:t>
      </w:r>
      <w:r>
        <w:t xml:space="preserve">ACMA </w:t>
      </w:r>
      <w:r w:rsidR="00835FD6">
        <w:t xml:space="preserve">finds </w:t>
      </w:r>
      <w:r>
        <w:t xml:space="preserve">that the </w:t>
      </w:r>
      <w:bookmarkStart w:id="7" w:name="_Hlk170799461"/>
      <w:r>
        <w:t>3AW</w:t>
      </w:r>
      <w:r w:rsidRPr="00B3784E">
        <w:t xml:space="preserve"> Licensee</w:t>
      </w:r>
      <w:r w:rsidRPr="00C45890">
        <w:t xml:space="preserve"> breach</w:t>
      </w:r>
      <w:r w:rsidR="004440E4">
        <w:t>ed</w:t>
      </w:r>
      <w:r w:rsidRPr="00B3784E">
        <w:t xml:space="preserve"> subsection 10(2) of the Standard</w:t>
      </w:r>
      <w:r>
        <w:t xml:space="preserve"> and was therefore in breach of its licence condition </w:t>
      </w:r>
      <w:r w:rsidRPr="009B1205">
        <w:t xml:space="preserve">under </w:t>
      </w:r>
      <w:r w:rsidR="003553A9" w:rsidRPr="009B1205">
        <w:t xml:space="preserve">paragraph </w:t>
      </w:r>
      <w:r w:rsidRPr="009B1205">
        <w:t>8</w:t>
      </w:r>
      <w:r w:rsidR="003553A9" w:rsidRPr="009B1205">
        <w:t>(1)(b)</w:t>
      </w:r>
      <w:r w:rsidRPr="009B1205">
        <w:t xml:space="preserve"> of Schedule 2 to the BSA</w:t>
      </w:r>
      <w:r w:rsidR="00FE0AAE">
        <w:t>.</w:t>
      </w:r>
      <w:r>
        <w:t xml:space="preserve"> </w:t>
      </w:r>
    </w:p>
    <w:bookmarkEnd w:id="7"/>
    <w:p w14:paraId="0086BB34" w14:textId="77777777" w:rsidR="00B1562A" w:rsidRDefault="00B1562A" w:rsidP="00B1562A">
      <w:pPr>
        <w:pStyle w:val="ACMAHeading2"/>
      </w:pPr>
      <w:r>
        <w:t>Reasons</w:t>
      </w:r>
    </w:p>
    <w:p w14:paraId="0E38D0B0" w14:textId="5819D4EF" w:rsidR="00AD4990" w:rsidRPr="00186CBD" w:rsidRDefault="00AD4990" w:rsidP="00AD4990">
      <w:pPr>
        <w:pStyle w:val="ACMABodyText0"/>
        <w:spacing w:after="240" w:line="240" w:lineRule="auto"/>
        <w:rPr>
          <w:rFonts w:ascii="Arial" w:hAnsi="Arial" w:cs="Arial"/>
          <w:b/>
          <w:bCs/>
          <w:sz w:val="20"/>
        </w:rPr>
      </w:pPr>
      <w:r w:rsidRPr="00186CBD">
        <w:rPr>
          <w:rFonts w:ascii="Arial" w:hAnsi="Arial" w:cs="Arial"/>
          <w:b/>
          <w:bCs/>
          <w:sz w:val="20"/>
        </w:rPr>
        <w:t xml:space="preserve">Was the material broadcast in a current affairs program? </w:t>
      </w:r>
    </w:p>
    <w:p w14:paraId="34AA9900" w14:textId="5D0240F9" w:rsidR="00AD4990" w:rsidRPr="005E17FC" w:rsidRDefault="00AD4990" w:rsidP="00AD4990">
      <w:pPr>
        <w:pStyle w:val="ACMABodyText0"/>
        <w:spacing w:before="0" w:after="240" w:line="240" w:lineRule="atLeast"/>
        <w:rPr>
          <w:rFonts w:ascii="Arial" w:hAnsi="Arial"/>
          <w:sz w:val="20"/>
        </w:rPr>
      </w:pPr>
      <w:r>
        <w:rPr>
          <w:rFonts w:ascii="Arial" w:hAnsi="Arial"/>
          <w:sz w:val="20"/>
        </w:rPr>
        <w:t>Section 5 of the Standard provides a definition of a current affairs program.</w:t>
      </w:r>
    </w:p>
    <w:p w14:paraId="0FBC5D29" w14:textId="77777777" w:rsidR="00AD4990" w:rsidRDefault="00AD4990" w:rsidP="00AD4990">
      <w:pPr>
        <w:pStyle w:val="ACMABodyText0"/>
        <w:spacing w:before="0" w:after="240" w:line="240" w:lineRule="atLeast"/>
        <w:rPr>
          <w:rFonts w:ascii="Arial" w:hAnsi="Arial" w:cs="Arial"/>
          <w:sz w:val="20"/>
        </w:rPr>
      </w:pPr>
      <w:r>
        <w:rPr>
          <w:rFonts w:ascii="Arial" w:hAnsi="Arial"/>
          <w:i/>
          <w:iCs/>
          <w:sz w:val="20"/>
        </w:rPr>
        <w:t>Afternoons</w:t>
      </w:r>
      <w:r w:rsidRPr="00384760">
        <w:rPr>
          <w:i/>
          <w:iCs/>
        </w:rPr>
        <w:t xml:space="preserve"> </w:t>
      </w:r>
      <w:r>
        <w:rPr>
          <w:rFonts w:ascii="Arial" w:hAnsi="Arial" w:cs="Arial"/>
          <w:sz w:val="20"/>
        </w:rPr>
        <w:t xml:space="preserve">broadcasts discussion, </w:t>
      </w:r>
      <w:r w:rsidRPr="00166F9E">
        <w:rPr>
          <w:rFonts w:ascii="Arial" w:hAnsi="Arial" w:cs="Arial"/>
          <w:sz w:val="20"/>
        </w:rPr>
        <w:t xml:space="preserve">interviews, analysis, </w:t>
      </w:r>
      <w:r>
        <w:rPr>
          <w:rFonts w:ascii="Arial" w:hAnsi="Arial" w:cs="Arial"/>
          <w:sz w:val="20"/>
        </w:rPr>
        <w:t>including talk-back discussion with listeners</w:t>
      </w:r>
      <w:r w:rsidRPr="00166F9E">
        <w:rPr>
          <w:rFonts w:ascii="Arial" w:hAnsi="Arial" w:cs="Arial"/>
          <w:sz w:val="20"/>
        </w:rPr>
        <w:t>, about current social, economic or political issues</w:t>
      </w:r>
      <w:r>
        <w:rPr>
          <w:rFonts w:ascii="Arial" w:hAnsi="Arial" w:cs="Arial"/>
          <w:sz w:val="20"/>
        </w:rPr>
        <w:t xml:space="preserve">. </w:t>
      </w:r>
    </w:p>
    <w:p w14:paraId="484E9E4C" w14:textId="31BC1F94" w:rsidR="00AD4990" w:rsidRDefault="00AD4990" w:rsidP="00AD4990">
      <w:pPr>
        <w:pStyle w:val="ACMABodyText0"/>
        <w:spacing w:before="0" w:after="240" w:line="240" w:lineRule="atLeast"/>
        <w:rPr>
          <w:rFonts w:ascii="Arial" w:hAnsi="Arial" w:cs="Arial"/>
          <w:sz w:val="20"/>
        </w:rPr>
      </w:pPr>
      <w:r>
        <w:rPr>
          <w:rFonts w:ascii="Arial" w:hAnsi="Arial" w:cs="Arial"/>
          <w:sz w:val="20"/>
        </w:rPr>
        <w:t xml:space="preserve">The ACMA considers that the </w:t>
      </w:r>
      <w:r>
        <w:rPr>
          <w:rFonts w:ascii="Arial" w:hAnsi="Arial"/>
          <w:i/>
          <w:iCs/>
          <w:sz w:val="20"/>
        </w:rPr>
        <w:t>Afternoons</w:t>
      </w:r>
      <w:r w:rsidRPr="00166F9E">
        <w:rPr>
          <w:rFonts w:ascii="Arial" w:hAnsi="Arial" w:cs="Arial"/>
          <w:sz w:val="20"/>
        </w:rPr>
        <w:t xml:space="preserve"> </w:t>
      </w:r>
      <w:r>
        <w:rPr>
          <w:rFonts w:ascii="Arial" w:hAnsi="Arial" w:cs="Arial"/>
          <w:sz w:val="20"/>
        </w:rPr>
        <w:t>is a current affairs program for the purposes of the Standard.</w:t>
      </w:r>
      <w:r w:rsidRPr="009A2FCF">
        <w:rPr>
          <w:rFonts w:ascii="Arial" w:hAnsi="Arial" w:cs="Arial"/>
          <w:sz w:val="20"/>
        </w:rPr>
        <w:t xml:space="preserve"> </w:t>
      </w:r>
    </w:p>
    <w:p w14:paraId="0B1BB07D" w14:textId="77777777" w:rsidR="00AD4990" w:rsidRDefault="00AD4990" w:rsidP="00AD4990">
      <w:pPr>
        <w:pStyle w:val="ACMABodyText"/>
        <w:rPr>
          <w:rFonts w:cs="Arial"/>
          <w:b/>
          <w:bCs/>
        </w:rPr>
      </w:pPr>
      <w:r w:rsidRPr="00186CBD">
        <w:rPr>
          <w:rFonts w:cs="Arial"/>
          <w:b/>
          <w:bCs/>
        </w:rPr>
        <w:t>Was a commercial agreement in place?</w:t>
      </w:r>
    </w:p>
    <w:p w14:paraId="404E6DF2" w14:textId="349C1EAD" w:rsidR="00AD4990" w:rsidRPr="002977C6" w:rsidRDefault="00AD4990" w:rsidP="00AD4990">
      <w:pPr>
        <w:pStyle w:val="ACMABodyText"/>
        <w:rPr>
          <w:rFonts w:cs="Arial"/>
          <w:b/>
          <w:bCs/>
          <w:u w:val="single"/>
        </w:rPr>
      </w:pPr>
      <w:r w:rsidRPr="002977C6">
        <w:rPr>
          <w:rFonts w:cs="Arial"/>
          <w:u w:val="single"/>
        </w:rPr>
        <w:t xml:space="preserve">The broadcast of material about </w:t>
      </w:r>
      <w:r w:rsidRPr="002977C6">
        <w:rPr>
          <w:u w:val="single"/>
        </w:rPr>
        <w:t xml:space="preserve">Virgin </w:t>
      </w:r>
    </w:p>
    <w:p w14:paraId="1BDCC225" w14:textId="09E7BD9B" w:rsidR="00AD4990" w:rsidRDefault="00AD4990" w:rsidP="00AD4990">
      <w:pPr>
        <w:pStyle w:val="ACMABodyText"/>
        <w:spacing w:after="120"/>
      </w:pPr>
      <w:r w:rsidRPr="001E4BE1">
        <w:t xml:space="preserve">The </w:t>
      </w:r>
      <w:r>
        <w:t>3AW</w:t>
      </w:r>
      <w:r w:rsidRPr="001E4BE1">
        <w:t xml:space="preserve"> Licensee submitted that M</w:t>
      </w:r>
      <w:r>
        <w:t>s Felgate</w:t>
      </w:r>
      <w:r w:rsidRPr="001E4BE1">
        <w:t xml:space="preserve"> </w:t>
      </w:r>
      <w:r>
        <w:t>did not have</w:t>
      </w:r>
      <w:r w:rsidRPr="001E4BE1">
        <w:t xml:space="preserve"> a commercial agreement with </w:t>
      </w:r>
      <w:r>
        <w:t>Virgin when the material was broadcast on 2 August 2023.</w:t>
      </w:r>
    </w:p>
    <w:p w14:paraId="7F10C820" w14:textId="177A9FCD" w:rsidR="00AD4990" w:rsidRDefault="00AD4990" w:rsidP="00AD4990">
      <w:pPr>
        <w:pStyle w:val="ACMABodyText"/>
        <w:spacing w:after="120"/>
        <w:ind w:left="720"/>
        <w:rPr>
          <w:sz w:val="18"/>
          <w:szCs w:val="18"/>
        </w:rPr>
      </w:pPr>
      <w:r w:rsidRPr="00C45890">
        <w:rPr>
          <w:sz w:val="18"/>
          <w:szCs w:val="18"/>
        </w:rPr>
        <w:t>Ms Felgate held a commercial agreement with Virgin between 5 June 2023 and 10 June 2023 (</w:t>
      </w:r>
      <w:r w:rsidRPr="00C45890">
        <w:rPr>
          <w:b/>
          <w:bCs/>
          <w:sz w:val="18"/>
          <w:szCs w:val="18"/>
        </w:rPr>
        <w:t>Virgin Agreement</w:t>
      </w:r>
      <w:r w:rsidRPr="00C45890">
        <w:rPr>
          <w:sz w:val="18"/>
          <w:szCs w:val="18"/>
        </w:rPr>
        <w:t xml:space="preserve">). </w:t>
      </w:r>
    </w:p>
    <w:p w14:paraId="41DA66CA" w14:textId="77777777" w:rsidR="00AD4990" w:rsidRPr="00C45890" w:rsidRDefault="00AD4990" w:rsidP="00AD4990">
      <w:pPr>
        <w:pStyle w:val="ACMABodyText"/>
        <w:spacing w:after="120"/>
        <w:ind w:left="720"/>
        <w:rPr>
          <w:sz w:val="18"/>
          <w:szCs w:val="18"/>
        </w:rPr>
      </w:pPr>
      <w:r>
        <w:rPr>
          <w:sz w:val="18"/>
          <w:szCs w:val="18"/>
        </w:rPr>
        <w:t>[…]</w:t>
      </w:r>
    </w:p>
    <w:p w14:paraId="72A63443" w14:textId="77777777" w:rsidR="00AD4990" w:rsidRPr="00C45890" w:rsidRDefault="00AD4990" w:rsidP="00AD4990">
      <w:pPr>
        <w:pStyle w:val="ACMABodyText"/>
        <w:spacing w:after="120"/>
        <w:ind w:left="720"/>
        <w:rPr>
          <w:sz w:val="18"/>
          <w:szCs w:val="18"/>
        </w:rPr>
      </w:pPr>
      <w:r w:rsidRPr="00C45890">
        <w:rPr>
          <w:sz w:val="18"/>
          <w:szCs w:val="18"/>
        </w:rPr>
        <w:t>Further, the Virgin Agreement had expired prior to the 2 August 2023 broadcast referred to by the ACMA. Consequently, Ms Felgate was not required to make on-air disclosures about the Virgin Agreement during the 2 August 2023 broadcast because the agreement had expired.</w:t>
      </w:r>
    </w:p>
    <w:p w14:paraId="6D2FE938" w14:textId="6F58F624" w:rsidR="00AD4990" w:rsidRDefault="00AD4990" w:rsidP="00AD4990">
      <w:pPr>
        <w:pStyle w:val="ACMABodyText"/>
        <w:spacing w:after="120"/>
      </w:pPr>
      <w:r>
        <w:t>The ACMA obtained a copy of the commercial agreement and confirmed that it expired on 10</w:t>
      </w:r>
      <w:r w:rsidR="00FE0AAE">
        <w:t> </w:t>
      </w:r>
      <w:r>
        <w:t>June 2023</w:t>
      </w:r>
      <w:r w:rsidR="0046389F">
        <w:t xml:space="preserve">, </w:t>
      </w:r>
      <w:r w:rsidR="00FE0AAE">
        <w:t xml:space="preserve">and </w:t>
      </w:r>
      <w:r w:rsidR="0046389F">
        <w:t xml:space="preserve">hence </w:t>
      </w:r>
      <w:r w:rsidR="00FE0AAE">
        <w:t xml:space="preserve">it </w:t>
      </w:r>
      <w:r w:rsidR="0046389F">
        <w:t>was not in place at the time of the broadcast</w:t>
      </w:r>
      <w:r>
        <w:t>.</w:t>
      </w:r>
    </w:p>
    <w:p w14:paraId="0EC118DA" w14:textId="0512881E" w:rsidR="00AD4990" w:rsidRDefault="00AD4990" w:rsidP="00AD4990">
      <w:pPr>
        <w:pStyle w:val="ACMABodyText"/>
      </w:pPr>
      <w:r>
        <w:t>Accordingly, the ACMA</w:t>
      </w:r>
      <w:r w:rsidR="00835FD6">
        <w:t xml:space="preserve"> finds </w:t>
      </w:r>
      <w:r>
        <w:t>that the 3AW Licensee was not required to ensure that an appropriate disclosure announcement was broadcast and did not breach subsection 10(2) of the Standard</w:t>
      </w:r>
      <w:r w:rsidR="0046389F">
        <w:t xml:space="preserve"> regarding the broadcast of material about Virgin</w:t>
      </w:r>
      <w:r>
        <w:t>.</w:t>
      </w:r>
    </w:p>
    <w:p w14:paraId="20E31DCB" w14:textId="77777777" w:rsidR="00AD4990" w:rsidRPr="002977C6" w:rsidRDefault="00AD4990" w:rsidP="00AD4990">
      <w:pPr>
        <w:pStyle w:val="ACMABodyText"/>
        <w:rPr>
          <w:rFonts w:cs="Arial"/>
          <w:b/>
          <w:bCs/>
          <w:u w:val="single"/>
        </w:rPr>
      </w:pPr>
      <w:r w:rsidRPr="002977C6">
        <w:rPr>
          <w:rFonts w:cs="Arial"/>
          <w:u w:val="single"/>
        </w:rPr>
        <w:lastRenderedPageBreak/>
        <w:t xml:space="preserve">The broadcast of material about </w:t>
      </w:r>
      <w:r>
        <w:rPr>
          <w:u w:val="single"/>
        </w:rPr>
        <w:t>BMW</w:t>
      </w:r>
    </w:p>
    <w:p w14:paraId="43FAA9DF" w14:textId="77777777" w:rsidR="00AD4990" w:rsidRDefault="00AD4990" w:rsidP="00AD4990">
      <w:pPr>
        <w:pStyle w:val="ACMABodyText"/>
        <w:spacing w:after="120"/>
      </w:pPr>
      <w:r w:rsidRPr="001E4BE1">
        <w:t xml:space="preserve">The </w:t>
      </w:r>
      <w:r>
        <w:t>3AW</w:t>
      </w:r>
      <w:r w:rsidRPr="001E4BE1">
        <w:t xml:space="preserve"> Licensee submitted that M</w:t>
      </w:r>
      <w:r>
        <w:t>s Felgate</w:t>
      </w:r>
      <w:r w:rsidRPr="001E4BE1">
        <w:t xml:space="preserve"> </w:t>
      </w:r>
      <w:r>
        <w:t>had</w:t>
      </w:r>
      <w:r w:rsidRPr="001E4BE1">
        <w:t xml:space="preserve"> a commercial agreement with </w:t>
      </w:r>
      <w:r>
        <w:t>BMW when the material was broadcast on 28 August 2023.</w:t>
      </w:r>
    </w:p>
    <w:p w14:paraId="0253A18A" w14:textId="77777777" w:rsidR="00AD4990" w:rsidRDefault="00AD4990" w:rsidP="00AD4990">
      <w:pPr>
        <w:pStyle w:val="ACMABodyText"/>
        <w:spacing w:after="120"/>
      </w:pPr>
      <w:r>
        <w:t>The ACMA, therefore, accepts that a relevant commercial agreement was in place.</w:t>
      </w:r>
    </w:p>
    <w:p w14:paraId="5D68D039" w14:textId="77777777" w:rsidR="00AD4990" w:rsidRPr="00773858" w:rsidRDefault="00AD4990" w:rsidP="00AD4990">
      <w:pPr>
        <w:pStyle w:val="ACMABodyText"/>
        <w:rPr>
          <w:rFonts w:cs="Arial"/>
          <w:b/>
          <w:bCs/>
        </w:rPr>
      </w:pPr>
      <w:r w:rsidRPr="00773858">
        <w:rPr>
          <w:rFonts w:cs="Arial"/>
          <w:b/>
          <w:bCs/>
        </w:rPr>
        <w:t xml:space="preserve">Did the Licensee broadcast material satisfying at least one of the elements at subparagraphs 10(1)(b)(i) to (iv) of the Standard? </w:t>
      </w:r>
    </w:p>
    <w:p w14:paraId="1908F12E" w14:textId="77777777" w:rsidR="00AD4990" w:rsidRPr="00AD4990" w:rsidRDefault="00AD4990" w:rsidP="00AD4990">
      <w:pPr>
        <w:pStyle w:val="ACMABodyText"/>
      </w:pPr>
      <w:r w:rsidRPr="00AD4990">
        <w:t xml:space="preserve">On 28 August 2023, the 3AW Licensee broadcast a segment during the </w:t>
      </w:r>
      <w:r w:rsidRPr="008408C8">
        <w:rPr>
          <w:i/>
          <w:iCs/>
        </w:rPr>
        <w:t>Afternoons</w:t>
      </w:r>
      <w:r>
        <w:t xml:space="preserve"> </w:t>
      </w:r>
      <w:r w:rsidRPr="00AD4990">
        <w:t>program, hosted by Ms Felgate, about electric vehicles (</w:t>
      </w:r>
      <w:r w:rsidRPr="009B1205">
        <w:t xml:space="preserve">the </w:t>
      </w:r>
      <w:r w:rsidRPr="009B1205">
        <w:rPr>
          <w:b/>
          <w:bCs/>
        </w:rPr>
        <w:t>EV Segment</w:t>
      </w:r>
      <w:r w:rsidRPr="009B1205">
        <w:t>).</w:t>
      </w:r>
      <w:r w:rsidRPr="00AD4990">
        <w:t xml:space="preserve"> </w:t>
      </w:r>
    </w:p>
    <w:p w14:paraId="07192D5C" w14:textId="1006896F" w:rsidR="00AD4990" w:rsidRPr="00AD4990" w:rsidRDefault="00AD4990" w:rsidP="00AD4990">
      <w:pPr>
        <w:pStyle w:val="ACMABodyText"/>
      </w:pPr>
      <w:r w:rsidRPr="00AD4990">
        <w:t xml:space="preserve">The EV Segment included an interview with </w:t>
      </w:r>
      <w:r w:rsidR="00734CDB">
        <w:t xml:space="preserve">an </w:t>
      </w:r>
      <w:r w:rsidRPr="00AD4990">
        <w:t xml:space="preserve">electrical engineer, who is the founder of </w:t>
      </w:r>
      <w:r w:rsidR="00734CDB">
        <w:t>a business</w:t>
      </w:r>
      <w:r w:rsidRPr="00AD4990">
        <w:t xml:space="preserve"> which </w:t>
      </w:r>
      <w:r w:rsidR="00E7359C">
        <w:t>provides</w:t>
      </w:r>
      <w:r w:rsidRPr="00AD4990">
        <w:t xml:space="preserve"> quotations and information to consumers for rooftop solar systems including batteries and charging of electric vehicles. </w:t>
      </w:r>
    </w:p>
    <w:p w14:paraId="6BEDC603" w14:textId="65D31AFB" w:rsidR="00AD4990" w:rsidRDefault="00AD4990" w:rsidP="00AD4990">
      <w:pPr>
        <w:pStyle w:val="ACMABodyText"/>
      </w:pPr>
      <w:bookmarkStart w:id="8" w:name="_Hlk164859466"/>
      <w:r>
        <w:t xml:space="preserve">The 3AW Licensee </w:t>
      </w:r>
      <w:bookmarkEnd w:id="8"/>
      <w:r>
        <w:t>submitted that t</w:t>
      </w:r>
      <w:r w:rsidRPr="00F762CB">
        <w:t xml:space="preserve">he EV Segment was prompted by </w:t>
      </w:r>
      <w:r w:rsidR="0046389F" w:rsidRPr="00F762CB">
        <w:t xml:space="preserve">a </w:t>
      </w:r>
      <w:r w:rsidRPr="00F762CB">
        <w:t xml:space="preserve">media article published the previous day in which </w:t>
      </w:r>
      <w:r w:rsidR="00734CDB">
        <w:t>the engineer</w:t>
      </w:r>
      <w:r w:rsidRPr="00F762CB">
        <w:t xml:space="preserve"> was featured and canvassed similar issues namely: when to switch to EVs</w:t>
      </w:r>
      <w:r w:rsidR="00E7359C">
        <w:t>;</w:t>
      </w:r>
      <w:r w:rsidRPr="00F762CB">
        <w:t xml:space="preserve"> the challenges of finding an EV charger on long-distance road-trips</w:t>
      </w:r>
      <w:r w:rsidR="00E7359C">
        <w:t>;</w:t>
      </w:r>
      <w:r w:rsidRPr="00F762CB">
        <w:t xml:space="preserve"> the costs of charging compared to petrol or diesel</w:t>
      </w:r>
      <w:r w:rsidR="00E7359C">
        <w:t>;</w:t>
      </w:r>
      <w:r w:rsidRPr="00F762CB">
        <w:t xml:space="preserve"> the pricing of vehicles</w:t>
      </w:r>
      <w:r w:rsidR="00E7359C">
        <w:t>;</w:t>
      </w:r>
      <w:r w:rsidRPr="00F762CB">
        <w:t xml:space="preserve"> EV tariffs</w:t>
      </w:r>
      <w:r w:rsidR="00E7359C">
        <w:t>;</w:t>
      </w:r>
      <w:r w:rsidRPr="00F762CB">
        <w:t xml:space="preserve"> and Australians’ take-up of EVs compared to overseas.</w:t>
      </w:r>
    </w:p>
    <w:p w14:paraId="1BD245A5" w14:textId="6EBEFDD5" w:rsidR="00AD4990" w:rsidRDefault="00AD4990" w:rsidP="00AD4990">
      <w:pPr>
        <w:pStyle w:val="ACMABodyText"/>
      </w:pPr>
      <w:r>
        <w:t xml:space="preserve">During the interview with </w:t>
      </w:r>
      <w:r w:rsidR="00734CDB">
        <w:t>the engineer</w:t>
      </w:r>
      <w:r>
        <w:t>,</w:t>
      </w:r>
      <w:r w:rsidRPr="00230B49">
        <w:t xml:space="preserve"> </w:t>
      </w:r>
      <w:r>
        <w:t>Ms</w:t>
      </w:r>
      <w:r w:rsidRPr="00230B49">
        <w:t xml:space="preserve"> Felgate </w:t>
      </w:r>
      <w:r>
        <w:t xml:space="preserve">revealed that one of ‘our’ cars is an EV and commented that it is sometimes difficult to find a charge point when travelling a long distance. Following the interview, Ms Felgate </w:t>
      </w:r>
      <w:r w:rsidRPr="00230B49">
        <w:t>spoke to callers about their experience of owning an electric vehicle.</w:t>
      </w:r>
    </w:p>
    <w:p w14:paraId="6CC69BC9" w14:textId="4D7C6908" w:rsidR="00AD4990" w:rsidRDefault="00AC7F2A" w:rsidP="00AD4990">
      <w:pPr>
        <w:pStyle w:val="ACMABodyText"/>
        <w:spacing w:line="80" w:lineRule="atLeast"/>
        <w:contextualSpacing/>
      </w:pPr>
      <w:r>
        <w:t xml:space="preserve">The following exchange occurred with </w:t>
      </w:r>
      <w:r w:rsidR="00AD4990">
        <w:t>Caller 2:</w:t>
      </w:r>
    </w:p>
    <w:p w14:paraId="21C4B655" w14:textId="510B438B" w:rsidR="00661748" w:rsidRDefault="00AC7F2A" w:rsidP="00661748">
      <w:pPr>
        <w:spacing w:before="0" w:after="0" w:line="240" w:lineRule="auto"/>
        <w:rPr>
          <w:i w:val="0"/>
          <w:iCs/>
          <w:sz w:val="18"/>
          <w:szCs w:val="18"/>
        </w:rPr>
      </w:pPr>
      <w:r>
        <w:rPr>
          <w:i w:val="0"/>
          <w:iCs/>
          <w:sz w:val="18"/>
          <w:szCs w:val="18"/>
        </w:rPr>
        <w:t>[Cal</w:t>
      </w:r>
      <w:r w:rsidR="00AD4990" w:rsidRPr="00FA61EE">
        <w:rPr>
          <w:i w:val="0"/>
          <w:iCs/>
          <w:sz w:val="18"/>
          <w:szCs w:val="18"/>
        </w:rPr>
        <w:t>I</w:t>
      </w:r>
      <w:r>
        <w:rPr>
          <w:i w:val="0"/>
          <w:iCs/>
          <w:sz w:val="18"/>
          <w:szCs w:val="18"/>
        </w:rPr>
        <w:t>er</w:t>
      </w:r>
      <w:r w:rsidR="00661748">
        <w:rPr>
          <w:i w:val="0"/>
          <w:iCs/>
          <w:sz w:val="18"/>
          <w:szCs w:val="18"/>
        </w:rPr>
        <w:t xml:space="preserve"> </w:t>
      </w:r>
      <w:r>
        <w:rPr>
          <w:i w:val="0"/>
          <w:iCs/>
          <w:sz w:val="18"/>
          <w:szCs w:val="18"/>
        </w:rPr>
        <w:t xml:space="preserve">2] </w:t>
      </w:r>
    </w:p>
    <w:p w14:paraId="1203DC52" w14:textId="77777777" w:rsidR="00661748" w:rsidRDefault="00661748" w:rsidP="00AD4990">
      <w:pPr>
        <w:spacing w:before="0" w:after="0" w:line="240" w:lineRule="auto"/>
        <w:ind w:left="360"/>
        <w:rPr>
          <w:i w:val="0"/>
          <w:iCs/>
          <w:sz w:val="18"/>
          <w:szCs w:val="18"/>
        </w:rPr>
      </w:pPr>
    </w:p>
    <w:p w14:paraId="1A536DDA" w14:textId="1BCC91D8" w:rsidR="00AD4990" w:rsidRPr="00FA61EE" w:rsidRDefault="00AC7F2A" w:rsidP="00AD4990">
      <w:pPr>
        <w:spacing w:before="0" w:after="0" w:line="240" w:lineRule="auto"/>
        <w:ind w:left="360"/>
        <w:rPr>
          <w:i w:val="0"/>
          <w:iCs/>
          <w:sz w:val="18"/>
          <w:szCs w:val="18"/>
        </w:rPr>
      </w:pPr>
      <w:r>
        <w:rPr>
          <w:i w:val="0"/>
          <w:iCs/>
          <w:sz w:val="18"/>
          <w:szCs w:val="18"/>
        </w:rPr>
        <w:t>I</w:t>
      </w:r>
      <w:r w:rsidR="00AD4990" w:rsidRPr="00FA61EE">
        <w:rPr>
          <w:i w:val="0"/>
          <w:iCs/>
          <w:sz w:val="18"/>
          <w:szCs w:val="18"/>
        </w:rPr>
        <w:t xml:space="preserve"> have just picked up my BMW fully electric a few days ago. I live in the country so I’m regularly up and back to Melbourne long distance driving and I have no problems. I have panels at my home and panels at my daughter’s home and we charge through the day.</w:t>
      </w:r>
    </w:p>
    <w:p w14:paraId="0DA9F32E" w14:textId="77777777" w:rsidR="00AD4990" w:rsidRDefault="00AD4990" w:rsidP="00AD4990">
      <w:pPr>
        <w:spacing w:before="0" w:after="0" w:line="240" w:lineRule="auto"/>
      </w:pPr>
    </w:p>
    <w:p w14:paraId="618FB842" w14:textId="77777777" w:rsidR="00661748" w:rsidRDefault="00AC7F2A" w:rsidP="00661748">
      <w:pPr>
        <w:spacing w:before="0" w:after="0" w:line="240" w:lineRule="auto"/>
        <w:rPr>
          <w:i w:val="0"/>
          <w:iCs/>
          <w:sz w:val="18"/>
          <w:szCs w:val="18"/>
        </w:rPr>
      </w:pPr>
      <w:r>
        <w:rPr>
          <w:i w:val="0"/>
          <w:iCs/>
          <w:sz w:val="18"/>
          <w:szCs w:val="18"/>
        </w:rPr>
        <w:t xml:space="preserve">[Jacqui Felgate] </w:t>
      </w:r>
    </w:p>
    <w:p w14:paraId="2B318B98" w14:textId="77777777" w:rsidR="00661748" w:rsidRDefault="00661748" w:rsidP="00AD4990">
      <w:pPr>
        <w:spacing w:before="0" w:after="0" w:line="240" w:lineRule="auto"/>
        <w:ind w:left="360"/>
        <w:rPr>
          <w:i w:val="0"/>
          <w:iCs/>
          <w:sz w:val="18"/>
          <w:szCs w:val="18"/>
        </w:rPr>
      </w:pPr>
    </w:p>
    <w:p w14:paraId="50DEA5CB" w14:textId="710014F9" w:rsidR="00AD4990" w:rsidRDefault="00AD4990" w:rsidP="00661748">
      <w:pPr>
        <w:spacing w:before="0" w:after="0" w:line="240" w:lineRule="auto"/>
        <w:ind w:left="357"/>
        <w:rPr>
          <w:i w:val="0"/>
          <w:iCs/>
          <w:sz w:val="18"/>
          <w:szCs w:val="18"/>
        </w:rPr>
      </w:pPr>
      <w:r w:rsidRPr="00FA61EE">
        <w:rPr>
          <w:i w:val="0"/>
          <w:iCs/>
          <w:sz w:val="18"/>
          <w:szCs w:val="18"/>
        </w:rPr>
        <w:t>Yes</w:t>
      </w:r>
      <w:r>
        <w:rPr>
          <w:i w:val="0"/>
          <w:iCs/>
          <w:sz w:val="18"/>
          <w:szCs w:val="18"/>
        </w:rPr>
        <w:t>,</w:t>
      </w:r>
      <w:r w:rsidRPr="00FA61EE">
        <w:rPr>
          <w:i w:val="0"/>
          <w:iCs/>
          <w:sz w:val="18"/>
          <w:szCs w:val="18"/>
        </w:rPr>
        <w:t xml:space="preserve"> that’s perfect isn’t it</w:t>
      </w:r>
      <w:r>
        <w:rPr>
          <w:i w:val="0"/>
          <w:iCs/>
          <w:sz w:val="18"/>
          <w:szCs w:val="18"/>
        </w:rPr>
        <w:t xml:space="preserve">. </w:t>
      </w:r>
      <w:r w:rsidRPr="00FA61EE">
        <w:rPr>
          <w:i w:val="0"/>
          <w:iCs/>
          <w:sz w:val="18"/>
          <w:szCs w:val="18"/>
        </w:rPr>
        <w:t>We just took ours, ours is a BMW as well. We took ours to Phillip Island and it was great down there because they had lots of places to charge it. And I think that is a really good distance too</w:t>
      </w:r>
      <w:r>
        <w:rPr>
          <w:i w:val="0"/>
          <w:iCs/>
          <w:sz w:val="18"/>
          <w:szCs w:val="18"/>
        </w:rPr>
        <w:t xml:space="preserve"> […]</w:t>
      </w:r>
    </w:p>
    <w:p w14:paraId="1DC53F16" w14:textId="77777777" w:rsidR="00661748" w:rsidRDefault="00661748" w:rsidP="00661748">
      <w:pPr>
        <w:spacing w:before="0" w:after="0" w:line="360" w:lineRule="auto"/>
        <w:rPr>
          <w:i w:val="0"/>
          <w:iCs/>
          <w:sz w:val="18"/>
          <w:szCs w:val="18"/>
        </w:rPr>
      </w:pPr>
    </w:p>
    <w:p w14:paraId="1FF5E93A" w14:textId="24103B72" w:rsidR="00661748" w:rsidRPr="00661748" w:rsidRDefault="00AC7F2A" w:rsidP="00661748">
      <w:pPr>
        <w:spacing w:before="0" w:after="0" w:line="360" w:lineRule="auto"/>
        <w:rPr>
          <w:i w:val="0"/>
          <w:iCs/>
          <w:sz w:val="18"/>
          <w:szCs w:val="18"/>
        </w:rPr>
      </w:pPr>
      <w:r w:rsidRPr="00661748">
        <w:rPr>
          <w:i w:val="0"/>
          <w:iCs/>
          <w:sz w:val="18"/>
          <w:szCs w:val="18"/>
        </w:rPr>
        <w:t xml:space="preserve">[CalIer 2] </w:t>
      </w:r>
    </w:p>
    <w:p w14:paraId="6AB0D8CD" w14:textId="193EE234" w:rsidR="00AC7F2A" w:rsidRPr="00661748" w:rsidRDefault="00AC7F2A" w:rsidP="00661748">
      <w:pPr>
        <w:spacing w:before="0" w:after="0" w:line="240" w:lineRule="auto"/>
        <w:ind w:left="360"/>
        <w:rPr>
          <w:i w:val="0"/>
          <w:iCs/>
          <w:sz w:val="18"/>
          <w:szCs w:val="18"/>
        </w:rPr>
      </w:pPr>
      <w:r w:rsidRPr="00661748">
        <w:rPr>
          <w:i w:val="0"/>
          <w:iCs/>
          <w:sz w:val="18"/>
          <w:szCs w:val="18"/>
        </w:rPr>
        <w:t>Oh, absolutely. There's no range anxiety. I know automatically how far I can go. I use the one-pedal function to maximize return to the battery, and there's no issue. And I do know where charging points are if I need them.</w:t>
      </w:r>
    </w:p>
    <w:p w14:paraId="3B5A44CD" w14:textId="77777777" w:rsidR="00661748" w:rsidRDefault="00661748" w:rsidP="00661748">
      <w:pPr>
        <w:spacing w:before="0" w:after="0" w:line="240" w:lineRule="auto"/>
        <w:rPr>
          <w:i w:val="0"/>
          <w:iCs/>
          <w:sz w:val="18"/>
          <w:szCs w:val="18"/>
        </w:rPr>
      </w:pPr>
    </w:p>
    <w:p w14:paraId="7F94DD1F" w14:textId="5C51709E" w:rsidR="00661748" w:rsidRDefault="00661748" w:rsidP="00661748">
      <w:pPr>
        <w:spacing w:before="0" w:after="0" w:line="360" w:lineRule="auto"/>
        <w:rPr>
          <w:i w:val="0"/>
          <w:iCs/>
          <w:sz w:val="18"/>
          <w:szCs w:val="18"/>
        </w:rPr>
      </w:pPr>
      <w:r>
        <w:rPr>
          <w:i w:val="0"/>
          <w:iCs/>
          <w:sz w:val="18"/>
          <w:szCs w:val="18"/>
        </w:rPr>
        <w:t xml:space="preserve">[Jacqui Felgate] </w:t>
      </w:r>
    </w:p>
    <w:p w14:paraId="3D3E910D" w14:textId="032BB9A6" w:rsidR="00661748" w:rsidRDefault="00661748" w:rsidP="00661748">
      <w:pPr>
        <w:pStyle w:val="ACMABodyText"/>
        <w:spacing w:line="240" w:lineRule="auto"/>
        <w:ind w:left="357"/>
        <w:rPr>
          <w:iCs/>
          <w:snapToGrid/>
          <w:sz w:val="18"/>
          <w:szCs w:val="18"/>
        </w:rPr>
      </w:pPr>
      <w:r w:rsidRPr="00661748">
        <w:rPr>
          <w:iCs/>
          <w:snapToGrid/>
          <w:sz w:val="18"/>
          <w:szCs w:val="18"/>
        </w:rPr>
        <w:t>Yeah, that's a good idea, isn't it? And do you have the little charger that you can have that boosts it and makes it quicker when you're at home too?</w:t>
      </w:r>
    </w:p>
    <w:p w14:paraId="327D1E85" w14:textId="77777777" w:rsidR="00661748" w:rsidRPr="00661748" w:rsidRDefault="00661748" w:rsidP="00661748">
      <w:pPr>
        <w:spacing w:before="0" w:after="0" w:line="360" w:lineRule="auto"/>
        <w:rPr>
          <w:i w:val="0"/>
          <w:iCs/>
          <w:sz w:val="18"/>
          <w:szCs w:val="18"/>
        </w:rPr>
      </w:pPr>
      <w:r w:rsidRPr="00661748">
        <w:rPr>
          <w:i w:val="0"/>
          <w:iCs/>
          <w:sz w:val="18"/>
          <w:szCs w:val="18"/>
        </w:rPr>
        <w:t xml:space="preserve">[CalIer 2] </w:t>
      </w:r>
    </w:p>
    <w:p w14:paraId="088B3BFC" w14:textId="7CF47F79" w:rsidR="00AD4990" w:rsidRPr="00795253" w:rsidRDefault="00661748" w:rsidP="00795253">
      <w:pPr>
        <w:pStyle w:val="ACMABodyText"/>
        <w:spacing w:line="240" w:lineRule="auto"/>
        <w:ind w:left="357"/>
        <w:rPr>
          <w:iCs/>
          <w:snapToGrid/>
          <w:sz w:val="18"/>
          <w:szCs w:val="18"/>
        </w:rPr>
      </w:pPr>
      <w:r w:rsidRPr="00661748">
        <w:rPr>
          <w:iCs/>
          <w:snapToGrid/>
          <w:sz w:val="18"/>
          <w:szCs w:val="18"/>
        </w:rPr>
        <w:t>No, I haven't invested in that. I didn't reali</w:t>
      </w:r>
      <w:r>
        <w:rPr>
          <w:iCs/>
          <w:snapToGrid/>
          <w:sz w:val="18"/>
          <w:szCs w:val="18"/>
        </w:rPr>
        <w:t>s</w:t>
      </w:r>
      <w:r w:rsidRPr="00661748">
        <w:rPr>
          <w:iCs/>
          <w:snapToGrid/>
          <w:sz w:val="18"/>
          <w:szCs w:val="18"/>
        </w:rPr>
        <w:t>e, so I'm going to look into that. But right now it's not an issue.</w:t>
      </w:r>
    </w:p>
    <w:p w14:paraId="6088E0DA" w14:textId="77777777" w:rsidR="00AD4990" w:rsidRPr="00D91364" w:rsidRDefault="00AD4990" w:rsidP="00AD4990">
      <w:pPr>
        <w:spacing w:before="0" w:after="0" w:line="240" w:lineRule="auto"/>
        <w:rPr>
          <w:i w:val="0"/>
          <w:iCs/>
        </w:rPr>
      </w:pPr>
      <w:r>
        <w:rPr>
          <w:i w:val="0"/>
          <w:iCs/>
        </w:rPr>
        <w:t>D</w:t>
      </w:r>
      <w:r w:rsidRPr="00D91364">
        <w:rPr>
          <w:i w:val="0"/>
          <w:iCs/>
        </w:rPr>
        <w:t xml:space="preserve">uring a </w:t>
      </w:r>
      <w:r>
        <w:rPr>
          <w:i w:val="0"/>
          <w:iCs/>
        </w:rPr>
        <w:t xml:space="preserve">subsequent </w:t>
      </w:r>
      <w:r w:rsidRPr="00D91364">
        <w:rPr>
          <w:i w:val="0"/>
          <w:iCs/>
        </w:rPr>
        <w:t xml:space="preserve">call [Caller 3], </w:t>
      </w:r>
      <w:r>
        <w:rPr>
          <w:i w:val="0"/>
          <w:iCs/>
        </w:rPr>
        <w:t>Ms</w:t>
      </w:r>
      <w:r w:rsidRPr="00D91364">
        <w:rPr>
          <w:i w:val="0"/>
          <w:iCs/>
        </w:rPr>
        <w:t xml:space="preserve"> Felgate said:</w:t>
      </w:r>
    </w:p>
    <w:p w14:paraId="7E26EEC6" w14:textId="77777777" w:rsidR="00AD4990" w:rsidRDefault="00AD4990" w:rsidP="00AD4990">
      <w:pPr>
        <w:pStyle w:val="ListParagraph"/>
        <w:spacing w:before="0" w:after="0" w:line="240" w:lineRule="auto"/>
        <w:contextualSpacing w:val="0"/>
      </w:pPr>
    </w:p>
    <w:p w14:paraId="36A30B21" w14:textId="77777777" w:rsidR="00AD4990" w:rsidRPr="00D91364" w:rsidRDefault="00AD4990" w:rsidP="00AD4990">
      <w:pPr>
        <w:spacing w:before="0" w:after="0" w:line="240" w:lineRule="auto"/>
        <w:ind w:left="360"/>
        <w:rPr>
          <w:i w:val="0"/>
          <w:iCs/>
          <w:sz w:val="18"/>
          <w:szCs w:val="18"/>
        </w:rPr>
      </w:pPr>
      <w:r w:rsidRPr="00D91364">
        <w:rPr>
          <w:i w:val="0"/>
          <w:iCs/>
          <w:sz w:val="18"/>
          <w:szCs w:val="18"/>
        </w:rPr>
        <w:t>Do you know what [Caller</w:t>
      </w:r>
      <w:r>
        <w:rPr>
          <w:i w:val="0"/>
          <w:iCs/>
          <w:sz w:val="18"/>
          <w:szCs w:val="18"/>
        </w:rPr>
        <w:t xml:space="preserve"> </w:t>
      </w:r>
      <w:r w:rsidRPr="00D91364">
        <w:rPr>
          <w:i w:val="0"/>
          <w:iCs/>
          <w:sz w:val="18"/>
          <w:szCs w:val="18"/>
        </w:rPr>
        <w:t>3], they are so quick off the mark, like ours is faster than our other car, like they have got so much power …. In terms of speed from a standing start they are super quick.</w:t>
      </w:r>
    </w:p>
    <w:p w14:paraId="27EECBBA" w14:textId="77777777" w:rsidR="00AD4990" w:rsidRDefault="00AD4990" w:rsidP="00AD4990">
      <w:pPr>
        <w:spacing w:before="0" w:after="0" w:line="240" w:lineRule="auto"/>
        <w:rPr>
          <w:i w:val="0"/>
          <w:iCs/>
        </w:rPr>
      </w:pPr>
    </w:p>
    <w:p w14:paraId="0F0A7724" w14:textId="23A10BD8" w:rsidR="00AD4990" w:rsidRDefault="00AD4990" w:rsidP="00AD4990">
      <w:pPr>
        <w:spacing w:before="0" w:after="0" w:line="240" w:lineRule="auto"/>
        <w:rPr>
          <w:i w:val="0"/>
          <w:iCs/>
        </w:rPr>
      </w:pPr>
      <w:r w:rsidRPr="009D11C2">
        <w:rPr>
          <w:i w:val="0"/>
          <w:iCs/>
        </w:rPr>
        <w:t>The 3AW Licensee</w:t>
      </w:r>
      <w:r>
        <w:rPr>
          <w:i w:val="0"/>
          <w:iCs/>
        </w:rPr>
        <w:t xml:space="preserve"> </w:t>
      </w:r>
      <w:r w:rsidR="00795253">
        <w:rPr>
          <w:i w:val="0"/>
          <w:iCs/>
        </w:rPr>
        <w:t>acknowledged that the exchange</w:t>
      </w:r>
      <w:r w:rsidR="00286320">
        <w:rPr>
          <w:i w:val="0"/>
          <w:iCs/>
        </w:rPr>
        <w:t>s</w:t>
      </w:r>
      <w:r w:rsidR="00795253">
        <w:rPr>
          <w:i w:val="0"/>
          <w:iCs/>
        </w:rPr>
        <w:t xml:space="preserve"> with Caller 2 and Caller 3 had the effect of promoting a product of BMW</w:t>
      </w:r>
      <w:r w:rsidR="00A37613">
        <w:rPr>
          <w:i w:val="0"/>
          <w:iCs/>
        </w:rPr>
        <w:t xml:space="preserve"> and </w:t>
      </w:r>
      <w:r w:rsidR="00795253">
        <w:rPr>
          <w:i w:val="0"/>
          <w:iCs/>
        </w:rPr>
        <w:t>therefore required an on-air disclosure of Ms Felgate’s commercial agreement with BMW.</w:t>
      </w:r>
    </w:p>
    <w:p w14:paraId="32D83B5C" w14:textId="77777777" w:rsidR="00AC7F2A" w:rsidRDefault="00AC7F2A" w:rsidP="00AD4990">
      <w:pPr>
        <w:spacing w:before="0" w:after="0" w:line="240" w:lineRule="auto"/>
        <w:rPr>
          <w:i w:val="0"/>
          <w:iCs/>
        </w:rPr>
      </w:pPr>
    </w:p>
    <w:p w14:paraId="67890323" w14:textId="45B4BB69" w:rsidR="00DA3A99" w:rsidRPr="00DA3A99" w:rsidRDefault="00AD4990" w:rsidP="00DA3A99">
      <w:pPr>
        <w:pStyle w:val="ACMABodyText"/>
        <w:spacing w:after="120"/>
      </w:pPr>
      <w:r w:rsidRPr="00795253">
        <w:t xml:space="preserve">The ACMA </w:t>
      </w:r>
      <w:r w:rsidR="00B122E4">
        <w:t xml:space="preserve">agrees with the 3AW Licensee’s submission </w:t>
      </w:r>
      <w:r w:rsidR="009869ED">
        <w:t>that</w:t>
      </w:r>
      <w:r w:rsidRPr="00795253">
        <w:t xml:space="preserve"> Ms Felgate promoted BMW products in making positive comments about the range, power and speed</w:t>
      </w:r>
      <w:r w:rsidR="00DA3A99">
        <w:t>, and accessories</w:t>
      </w:r>
      <w:r w:rsidRPr="00795253">
        <w:t xml:space="preserve"> of BMW electric vehicles</w:t>
      </w:r>
      <w:r w:rsidR="00DA3A99">
        <w:t xml:space="preserve">. </w:t>
      </w:r>
    </w:p>
    <w:p w14:paraId="2C10F8AD" w14:textId="32FC9A13" w:rsidR="00AD4990" w:rsidRPr="00795253" w:rsidRDefault="00AD4990" w:rsidP="00795253">
      <w:pPr>
        <w:pStyle w:val="ACMABodyText"/>
        <w:spacing w:after="120"/>
      </w:pPr>
      <w:r w:rsidRPr="00795253">
        <w:t xml:space="preserve">Consequently, the ACMA </w:t>
      </w:r>
      <w:r w:rsidR="00835FD6">
        <w:t xml:space="preserve">considers </w:t>
      </w:r>
      <w:r w:rsidRPr="00795253">
        <w:t xml:space="preserve">that </w:t>
      </w:r>
      <w:r w:rsidR="004F5CF7">
        <w:t xml:space="preserve">the </w:t>
      </w:r>
      <w:r>
        <w:t>Licensee broadcast material on 28</w:t>
      </w:r>
      <w:r w:rsidR="00135622">
        <w:t> </w:t>
      </w:r>
      <w:r>
        <w:t xml:space="preserve">August 2023 satisfying </w:t>
      </w:r>
      <w:r w:rsidRPr="00932983">
        <w:t>subparagraph 10(1)(b)(i)</w:t>
      </w:r>
      <w:r>
        <w:t xml:space="preserve"> </w:t>
      </w:r>
      <w:r w:rsidRPr="00932983">
        <w:t>of the Standard</w:t>
      </w:r>
      <w:r w:rsidRPr="00795253">
        <w:t>.</w:t>
      </w:r>
    </w:p>
    <w:p w14:paraId="2220C1C4" w14:textId="77777777" w:rsidR="00AD4990" w:rsidRPr="00BB58C7" w:rsidRDefault="00AD4990" w:rsidP="00AD4990">
      <w:pPr>
        <w:pStyle w:val="ACMABodyText"/>
        <w:rPr>
          <w:b/>
          <w:bCs/>
        </w:rPr>
      </w:pPr>
      <w:r w:rsidRPr="00BB58C7">
        <w:rPr>
          <w:b/>
          <w:bCs/>
          <w:color w:val="000000"/>
          <w:shd w:val="clear" w:color="auto" w:fill="FFFFFF"/>
        </w:rPr>
        <w:t>D</w:t>
      </w:r>
      <w:r>
        <w:rPr>
          <w:b/>
          <w:bCs/>
          <w:color w:val="000000"/>
          <w:shd w:val="clear" w:color="auto" w:fill="FFFFFF"/>
        </w:rPr>
        <w:t>i</w:t>
      </w:r>
      <w:r w:rsidRPr="00BB58C7">
        <w:rPr>
          <w:b/>
          <w:bCs/>
          <w:color w:val="000000"/>
          <w:shd w:val="clear" w:color="auto" w:fill="FFFFFF"/>
        </w:rPr>
        <w:t xml:space="preserve">d the licensee ensure an appropriate disclosure announcement was broadcast? </w:t>
      </w:r>
    </w:p>
    <w:p w14:paraId="5DB64987" w14:textId="67DF9FE2" w:rsidR="00AD4990" w:rsidRDefault="00AD4990" w:rsidP="00AD4990">
      <w:pPr>
        <w:pStyle w:val="ACMABodyText"/>
        <w:spacing w:after="120"/>
      </w:pPr>
      <w:r>
        <w:t xml:space="preserve">The ACMA reviewed the full broadcast of </w:t>
      </w:r>
      <w:r>
        <w:rPr>
          <w:i/>
          <w:iCs/>
        </w:rPr>
        <w:t xml:space="preserve">Afternoons </w:t>
      </w:r>
      <w:r w:rsidR="00A836E4">
        <w:t>that went to air on</w:t>
      </w:r>
      <w:r w:rsidR="00B40555">
        <w:t xml:space="preserve"> </w:t>
      </w:r>
      <w:r>
        <w:t>28 August 2023 and confirmed that no on-air disclosure of the BMW commercial agreement was made.</w:t>
      </w:r>
    </w:p>
    <w:p w14:paraId="231AEC12" w14:textId="5C5D7039" w:rsidR="00B122E4" w:rsidRPr="008408C8" w:rsidRDefault="00B122E4" w:rsidP="00AD4990">
      <w:pPr>
        <w:pStyle w:val="ACMABodyText"/>
        <w:spacing w:after="120"/>
        <w:rPr>
          <w:rFonts w:cs="Arial"/>
          <w:b/>
          <w:bCs/>
        </w:rPr>
      </w:pPr>
      <w:r w:rsidRPr="008408C8">
        <w:rPr>
          <w:rFonts w:cs="Arial"/>
          <w:b/>
          <w:bCs/>
        </w:rPr>
        <w:t xml:space="preserve">Did an </w:t>
      </w:r>
      <w:r w:rsidR="00A836E4" w:rsidRPr="008408C8">
        <w:rPr>
          <w:rFonts w:cs="Arial"/>
          <w:b/>
          <w:bCs/>
        </w:rPr>
        <w:t>ex</w:t>
      </w:r>
      <w:r w:rsidR="00A836E4">
        <w:rPr>
          <w:rFonts w:cs="Arial"/>
          <w:b/>
          <w:bCs/>
        </w:rPr>
        <w:t xml:space="preserve">ception </w:t>
      </w:r>
      <w:r w:rsidRPr="008408C8">
        <w:rPr>
          <w:rFonts w:cs="Arial"/>
          <w:b/>
          <w:bCs/>
        </w:rPr>
        <w:t>under subsection 10(3) of the Standard apply?</w:t>
      </w:r>
    </w:p>
    <w:p w14:paraId="352FAB44" w14:textId="07A7287B" w:rsidR="00AD4990" w:rsidRDefault="00B122E4" w:rsidP="00AD4990">
      <w:pPr>
        <w:pStyle w:val="ACMABodyText"/>
        <w:spacing w:after="120"/>
      </w:pPr>
      <w:r>
        <w:rPr>
          <w:rFonts w:cs="Arial"/>
        </w:rPr>
        <w:t>T</w:t>
      </w:r>
      <w:r w:rsidR="00AD4990" w:rsidRPr="00AA0331">
        <w:rPr>
          <w:rFonts w:cs="Arial"/>
        </w:rPr>
        <w:t xml:space="preserve">he ACMA considers that </w:t>
      </w:r>
      <w:r w:rsidR="00A836E4">
        <w:rPr>
          <w:rFonts w:cs="Arial"/>
        </w:rPr>
        <w:t>neither</w:t>
      </w:r>
      <w:r w:rsidR="00A836E4" w:rsidRPr="00AA0331">
        <w:rPr>
          <w:rFonts w:cs="Arial"/>
        </w:rPr>
        <w:t xml:space="preserve"> </w:t>
      </w:r>
      <w:r w:rsidR="00AD4990" w:rsidRPr="00AA0331">
        <w:rPr>
          <w:rFonts w:cs="Arial"/>
        </w:rPr>
        <w:t xml:space="preserve">of the exceptions at subsection </w:t>
      </w:r>
      <w:r w:rsidR="00AD4990">
        <w:rPr>
          <w:rFonts w:cs="Arial"/>
        </w:rPr>
        <w:t>10</w:t>
      </w:r>
      <w:r w:rsidR="00AD4990" w:rsidRPr="00AA0331">
        <w:rPr>
          <w:rFonts w:cs="Arial"/>
        </w:rPr>
        <w:t>(3) of the Standard applied, as the material broadcast was not a news broadcast or bulletin, or an advertisement that was clearly identifiable to a reasonable listener as an advertisement.</w:t>
      </w:r>
    </w:p>
    <w:p w14:paraId="3570068B" w14:textId="77777777" w:rsidR="000047C0" w:rsidRDefault="00AD4990" w:rsidP="00AD4990">
      <w:pPr>
        <w:spacing w:before="0" w:after="0" w:line="240" w:lineRule="auto"/>
        <w:rPr>
          <w:i w:val="0"/>
          <w:iCs/>
        </w:rPr>
      </w:pPr>
      <w:r w:rsidRPr="00AD4990">
        <w:rPr>
          <w:i w:val="0"/>
          <w:iCs/>
        </w:rPr>
        <w:t>Accordingly, the ACMA</w:t>
      </w:r>
      <w:r w:rsidR="00835FD6">
        <w:rPr>
          <w:i w:val="0"/>
          <w:iCs/>
        </w:rPr>
        <w:t xml:space="preserve"> finds</w:t>
      </w:r>
      <w:r w:rsidRPr="00AD4990">
        <w:rPr>
          <w:i w:val="0"/>
          <w:iCs/>
        </w:rPr>
        <w:t xml:space="preserve"> that the 3AW Licensee breached subsection 10(2) of the Standard, and </w:t>
      </w:r>
      <w:r w:rsidR="00B122E4" w:rsidRPr="00AD4990">
        <w:rPr>
          <w:i w:val="0"/>
          <w:iCs/>
        </w:rPr>
        <w:t>consequently</w:t>
      </w:r>
      <w:r w:rsidRPr="00AD4990">
        <w:rPr>
          <w:i w:val="0"/>
          <w:iCs/>
        </w:rPr>
        <w:t>, also breached paragraph 8(1)(b) of Schedule 2 to the BSA</w:t>
      </w:r>
      <w:r w:rsidR="00DA3A99">
        <w:rPr>
          <w:i w:val="0"/>
          <w:iCs/>
        </w:rPr>
        <w:t>.</w:t>
      </w:r>
    </w:p>
    <w:bookmarkEnd w:id="2"/>
    <w:p w14:paraId="7F7CCC28" w14:textId="3DED3903" w:rsidR="00C7426F" w:rsidRPr="00B3784E" w:rsidRDefault="00C7426F" w:rsidP="00C7426F">
      <w:pPr>
        <w:pStyle w:val="ACMAHeading2"/>
      </w:pPr>
      <w:r w:rsidRPr="00B3784E">
        <w:t xml:space="preserve">Issue </w:t>
      </w:r>
      <w:r>
        <w:t>2</w:t>
      </w:r>
      <w:r w:rsidRPr="00B3784E">
        <w:t xml:space="preserve">: </w:t>
      </w:r>
      <w:r>
        <w:t xml:space="preserve">Listing of </w:t>
      </w:r>
      <w:r w:rsidRPr="00B3784E">
        <w:t>commercial agreements</w:t>
      </w:r>
      <w:r>
        <w:t xml:space="preserve"> on register</w:t>
      </w:r>
    </w:p>
    <w:p w14:paraId="64451D90" w14:textId="77777777" w:rsidR="00F56D7B" w:rsidRDefault="00F56D7B" w:rsidP="00F56D7B">
      <w:pPr>
        <w:pStyle w:val="ACMAHeading2"/>
      </w:pPr>
      <w:r>
        <w:t>BI-678 – The 2GB online register</w:t>
      </w:r>
    </w:p>
    <w:p w14:paraId="4A8C1798" w14:textId="59069E40" w:rsidR="00F56D7B" w:rsidRDefault="00F56D7B" w:rsidP="00F56D7B">
      <w:pPr>
        <w:pStyle w:val="ACMABodyText"/>
      </w:pPr>
      <w:r>
        <w:t>The ACMA received information</w:t>
      </w:r>
      <w:r w:rsidR="00A836E4">
        <w:t xml:space="preserve"> alleging</w:t>
      </w:r>
      <w:r>
        <w:t xml:space="preserve"> that the 2GB Licensee had not complied with the obligation under section 13 of the Standard.</w:t>
      </w:r>
    </w:p>
    <w:p w14:paraId="5C427E57" w14:textId="44279999" w:rsidR="00F56D7B" w:rsidRPr="00B3784E" w:rsidRDefault="00F56D7B" w:rsidP="00F56D7B">
      <w:pPr>
        <w:pStyle w:val="ACMAHeading2"/>
      </w:pPr>
      <w:r w:rsidRPr="00B3784E">
        <w:t>Finding</w:t>
      </w:r>
    </w:p>
    <w:p w14:paraId="7DF5A70B" w14:textId="3E3C5441" w:rsidR="00F56D7B" w:rsidRPr="007A282E" w:rsidRDefault="00F56D7B" w:rsidP="00F56D7B">
      <w:pPr>
        <w:pStyle w:val="ACMABodyText"/>
      </w:pPr>
      <w:r w:rsidRPr="00B3784E">
        <w:t xml:space="preserve">The </w:t>
      </w:r>
      <w:r>
        <w:t xml:space="preserve">ACMA </w:t>
      </w:r>
      <w:r w:rsidR="00DC1176">
        <w:t>finds</w:t>
      </w:r>
      <w:r>
        <w:t xml:space="preserve"> that the </w:t>
      </w:r>
      <w:bookmarkStart w:id="9" w:name="_Hlk170799434"/>
      <w:r w:rsidRPr="00B3784E">
        <w:t xml:space="preserve">2GB Licensee </w:t>
      </w:r>
      <w:r w:rsidRPr="00525597">
        <w:t>breached</w:t>
      </w:r>
      <w:r w:rsidRPr="00B3784E">
        <w:t xml:space="preserve"> </w:t>
      </w:r>
      <w:bookmarkStart w:id="10" w:name="_Hlk165545176"/>
      <w:r w:rsidRPr="00B3784E">
        <w:t>section</w:t>
      </w:r>
      <w:r>
        <w:t> </w:t>
      </w:r>
      <w:r w:rsidRPr="00B3784E">
        <w:t>1</w:t>
      </w:r>
      <w:r>
        <w:t>3</w:t>
      </w:r>
      <w:r w:rsidRPr="00B3784E">
        <w:t xml:space="preserve"> of the Standard</w:t>
      </w:r>
      <w:bookmarkEnd w:id="10"/>
      <w:r>
        <w:t xml:space="preserve"> with respect to its online </w:t>
      </w:r>
      <w:r w:rsidRPr="00472334">
        <w:t xml:space="preserve">register of commercial agreements and therefore also breached its licence condition under </w:t>
      </w:r>
      <w:r w:rsidR="003553A9" w:rsidRPr="00472334">
        <w:t xml:space="preserve">paragraph </w:t>
      </w:r>
      <w:r w:rsidRPr="00472334">
        <w:t>8</w:t>
      </w:r>
      <w:r w:rsidR="003553A9" w:rsidRPr="00472334">
        <w:t>(1)(b)</w:t>
      </w:r>
      <w:r w:rsidRPr="00472334">
        <w:t xml:space="preserve"> of</w:t>
      </w:r>
      <w:r>
        <w:t xml:space="preserve"> Schedule 2 to the BSA. </w:t>
      </w:r>
    </w:p>
    <w:bookmarkEnd w:id="9"/>
    <w:p w14:paraId="54165039" w14:textId="77777777" w:rsidR="00F56D7B" w:rsidRDefault="00F56D7B" w:rsidP="00F56D7B">
      <w:pPr>
        <w:pStyle w:val="ACMAHeading2"/>
      </w:pPr>
      <w:r>
        <w:t>Reasons</w:t>
      </w:r>
    </w:p>
    <w:p w14:paraId="4D495D75" w14:textId="5BF57443" w:rsidR="008408C8" w:rsidRDefault="008408C8" w:rsidP="008408C8">
      <w:pPr>
        <w:pStyle w:val="ACMABodyText"/>
      </w:pPr>
      <w:r w:rsidRPr="004C08C8">
        <w:t>To assess com</w:t>
      </w:r>
      <w:r>
        <w:t>pliance</w:t>
      </w:r>
      <w:r w:rsidR="00EA0B1C">
        <w:t>,</w:t>
      </w:r>
      <w:r>
        <w:t xml:space="preserve"> the ACMA has addressed the following question:</w:t>
      </w:r>
    </w:p>
    <w:p w14:paraId="12933875" w14:textId="77777777" w:rsidR="008408C8" w:rsidRDefault="008408C8" w:rsidP="008408C8">
      <w:pPr>
        <w:pStyle w:val="ACMABodyText"/>
        <w:numPr>
          <w:ilvl w:val="0"/>
          <w:numId w:val="17"/>
        </w:numPr>
      </w:pPr>
      <w:r>
        <w:t>Did the online register include information about each current commercial agreement to which a presenter of the licensee was a party?</w:t>
      </w:r>
    </w:p>
    <w:p w14:paraId="262AA4EE" w14:textId="54451A76" w:rsidR="00A12A3D" w:rsidRDefault="00B851BE" w:rsidP="00B851BE">
      <w:pPr>
        <w:pStyle w:val="ACMABodyText"/>
      </w:pPr>
      <w:r>
        <w:t xml:space="preserve">A </w:t>
      </w:r>
      <w:r w:rsidR="00946369" w:rsidRPr="00946369">
        <w:t>commercial agreement becomes current on the date on which the presenter enters into it</w:t>
      </w:r>
      <w:r w:rsidR="00AB20A4">
        <w:t xml:space="preserve">, </w:t>
      </w:r>
      <w:r w:rsidR="00AB20A4" w:rsidRPr="00472334">
        <w:t>unless the commercial agreement was entered into prior to the person becoming a presenter</w:t>
      </w:r>
      <w:r w:rsidR="00CB7BF9" w:rsidRPr="00472334">
        <w:t xml:space="preserve"> </w:t>
      </w:r>
      <w:r w:rsidR="00F96407" w:rsidRPr="00472334">
        <w:t xml:space="preserve">of the licensee </w:t>
      </w:r>
      <w:r w:rsidR="00CB7BF9" w:rsidRPr="00472334">
        <w:t>(as defined in section 5 of the Standard)</w:t>
      </w:r>
      <w:r w:rsidR="000C477E">
        <w:t xml:space="preserve">. In this </w:t>
      </w:r>
      <w:r w:rsidR="00ED5512">
        <w:t>case</w:t>
      </w:r>
      <w:r w:rsidR="000C477E">
        <w:t>,</w:t>
      </w:r>
      <w:r w:rsidR="00AB20A4" w:rsidRPr="00472334">
        <w:t xml:space="preserve"> the commercial agreement becomes current on the date that the </w:t>
      </w:r>
      <w:r w:rsidR="00CB7BF9" w:rsidRPr="00472334">
        <w:t>person becomes a presenter</w:t>
      </w:r>
      <w:r w:rsidR="00F96407" w:rsidRPr="00472334">
        <w:t xml:space="preserve"> of the licensee</w:t>
      </w:r>
      <w:r w:rsidR="00A836E4">
        <w:t>.</w:t>
      </w:r>
      <w:r w:rsidR="00F96407" w:rsidRPr="00472334">
        <w:t xml:space="preserve"> </w:t>
      </w:r>
    </w:p>
    <w:p w14:paraId="262D6E50" w14:textId="1639B94F" w:rsidR="00B851BE" w:rsidRDefault="00B851BE" w:rsidP="00B851BE">
      <w:pPr>
        <w:pStyle w:val="ACMABodyText"/>
      </w:pPr>
      <w:r>
        <w:t xml:space="preserve">The ACMA assesses whether the licensee included information on the online register in a timeframe that was reasonable in the circumstances having regard to </w:t>
      </w:r>
      <w:r w:rsidR="00A12A3D" w:rsidRPr="00472334">
        <w:t>the following</w:t>
      </w:r>
      <w:r w:rsidRPr="00472334">
        <w:t>:</w:t>
      </w:r>
    </w:p>
    <w:p w14:paraId="30991279" w14:textId="23C71A2E" w:rsidR="00946369" w:rsidRPr="00472334" w:rsidRDefault="00946369" w:rsidP="00432897">
      <w:pPr>
        <w:pStyle w:val="ACMABodyText"/>
        <w:numPr>
          <w:ilvl w:val="0"/>
          <w:numId w:val="44"/>
        </w:numPr>
        <w:spacing w:after="0"/>
        <w:ind w:left="714" w:hanging="357"/>
      </w:pPr>
      <w:r w:rsidRPr="00472334">
        <w:t xml:space="preserve">the </w:t>
      </w:r>
      <w:r w:rsidR="00F605E2" w:rsidRPr="00472334">
        <w:t>o</w:t>
      </w:r>
      <w:r w:rsidRPr="00472334">
        <w:t xml:space="preserve">bject of the </w:t>
      </w:r>
      <w:r w:rsidRPr="009B66D1">
        <w:t>Standard</w:t>
      </w:r>
      <w:r w:rsidR="00606301">
        <w:t>,</w:t>
      </w:r>
      <w:r w:rsidR="009B66D1" w:rsidRPr="009B66D1">
        <w:t xml:space="preserve"> </w:t>
      </w:r>
      <w:r w:rsidR="009B66D1" w:rsidRPr="00A52E42">
        <w:t>which</w:t>
      </w:r>
      <w:r w:rsidR="00472334" w:rsidRPr="009B66D1">
        <w:t xml:space="preserve"> </w:t>
      </w:r>
      <w:r w:rsidRPr="009B66D1">
        <w:t>is</w:t>
      </w:r>
      <w:r w:rsidRPr="00472334">
        <w:t xml:space="preserve"> to encourage licensees to be responsive to the need for a fair and accurate coverage of matters of public interest by requiring the </w:t>
      </w:r>
      <w:r w:rsidRPr="00472334">
        <w:lastRenderedPageBreak/>
        <w:t>disclosure of commercial agreements</w:t>
      </w:r>
      <w:r w:rsidR="001B53A0" w:rsidRPr="00472334">
        <w:t xml:space="preserve"> that have the potential to affect the content of current affairs programs</w:t>
      </w:r>
      <w:r w:rsidR="00EF76AC" w:rsidRPr="00472334">
        <w:rPr>
          <w:vertAlign w:val="superscript"/>
        </w:rPr>
        <w:footnoteReference w:id="2"/>
      </w:r>
      <w:r w:rsidRPr="00472334">
        <w:t xml:space="preserve">. </w:t>
      </w:r>
    </w:p>
    <w:p w14:paraId="1D26FA41" w14:textId="0AF58933" w:rsidR="00946369" w:rsidRPr="00946369" w:rsidRDefault="00C41E37" w:rsidP="00946369">
      <w:pPr>
        <w:pStyle w:val="ListParagraph"/>
        <w:numPr>
          <w:ilvl w:val="0"/>
          <w:numId w:val="44"/>
        </w:numPr>
        <w:rPr>
          <w:i w:val="0"/>
          <w:snapToGrid w:val="0"/>
          <w:szCs w:val="20"/>
        </w:rPr>
      </w:pPr>
      <w:r w:rsidRPr="00472334">
        <w:rPr>
          <w:i w:val="0"/>
          <w:snapToGrid w:val="0"/>
          <w:szCs w:val="20"/>
        </w:rPr>
        <w:t>s</w:t>
      </w:r>
      <w:r w:rsidR="00946369" w:rsidRPr="00946369">
        <w:rPr>
          <w:i w:val="0"/>
          <w:snapToGrid w:val="0"/>
          <w:szCs w:val="20"/>
        </w:rPr>
        <w:t>ection 14 of the Standard</w:t>
      </w:r>
      <w:r w:rsidR="00606301" w:rsidRPr="00A52E42">
        <w:rPr>
          <w:i w:val="0"/>
          <w:snapToGrid w:val="0"/>
          <w:szCs w:val="20"/>
        </w:rPr>
        <w:t>,</w:t>
      </w:r>
      <w:r w:rsidR="00946369" w:rsidRPr="00A52E42">
        <w:rPr>
          <w:i w:val="0"/>
          <w:snapToGrid w:val="0"/>
          <w:szCs w:val="20"/>
        </w:rPr>
        <w:t xml:space="preserve"> </w:t>
      </w:r>
      <w:r w:rsidR="000C2E29" w:rsidRPr="00A52E42">
        <w:rPr>
          <w:i w:val="0"/>
          <w:snapToGrid w:val="0"/>
          <w:szCs w:val="20"/>
        </w:rPr>
        <w:t>which</w:t>
      </w:r>
      <w:r w:rsidR="000C2E29">
        <w:rPr>
          <w:i w:val="0"/>
          <w:snapToGrid w:val="0"/>
          <w:szCs w:val="20"/>
        </w:rPr>
        <w:t xml:space="preserve"> </w:t>
      </w:r>
      <w:r w:rsidR="00946369" w:rsidRPr="00946369">
        <w:rPr>
          <w:i w:val="0"/>
          <w:snapToGrid w:val="0"/>
          <w:szCs w:val="20"/>
        </w:rPr>
        <w:t xml:space="preserve">provides that a licensee must require presenters to disclose a commercial agreement, to the Licensee, within 7 days of the agreement being entered into. </w:t>
      </w:r>
    </w:p>
    <w:p w14:paraId="13910173" w14:textId="17D42D10" w:rsidR="00946369" w:rsidRPr="002E73AB" w:rsidRDefault="00946369" w:rsidP="009869ED">
      <w:pPr>
        <w:pStyle w:val="ListParagraph"/>
        <w:numPr>
          <w:ilvl w:val="0"/>
          <w:numId w:val="44"/>
        </w:numPr>
      </w:pPr>
      <w:r w:rsidRPr="00946369">
        <w:rPr>
          <w:i w:val="0"/>
          <w:snapToGrid w:val="0"/>
          <w:szCs w:val="20"/>
        </w:rPr>
        <w:t xml:space="preserve">any circumstances outside of the licensee’s control that contributed to a delay in updating the online register. </w:t>
      </w:r>
    </w:p>
    <w:p w14:paraId="6B67FBF3" w14:textId="407352E6" w:rsidR="00F56D7B" w:rsidRPr="00C774D7" w:rsidRDefault="002B3E4A" w:rsidP="00F56D7B">
      <w:pPr>
        <w:pStyle w:val="ACMABodyText"/>
        <w:rPr>
          <w:u w:val="single"/>
        </w:rPr>
      </w:pPr>
      <w:r>
        <w:rPr>
          <w:u w:val="single"/>
        </w:rPr>
        <w:t>[Presenter 1]</w:t>
      </w:r>
      <w:r w:rsidR="00F56D7B" w:rsidRPr="00C774D7">
        <w:rPr>
          <w:u w:val="single"/>
        </w:rPr>
        <w:t xml:space="preserve"> and </w:t>
      </w:r>
      <w:r>
        <w:rPr>
          <w:u w:val="single"/>
        </w:rPr>
        <w:t>[Sponsor 1]</w:t>
      </w:r>
    </w:p>
    <w:p w14:paraId="0F399549" w14:textId="77777777" w:rsidR="00F56D7B" w:rsidRDefault="00F56D7B" w:rsidP="00F56D7B">
      <w:pPr>
        <w:pStyle w:val="ACMABodyText"/>
      </w:pPr>
      <w:r>
        <w:t>The ACMA has considered whether the 2GB Licensee updated its online register to include information about this commercial agreement in a timeframe that was reasonable in the circumstances.</w:t>
      </w:r>
    </w:p>
    <w:p w14:paraId="2F20DCAD" w14:textId="77777777" w:rsidR="00F56D7B" w:rsidRDefault="00F56D7B" w:rsidP="00F56D7B">
      <w:pPr>
        <w:pStyle w:val="ACMABodyText"/>
      </w:pPr>
      <w:r>
        <w:t>The commercial agreement was:</w:t>
      </w:r>
    </w:p>
    <w:p w14:paraId="1ABE9372" w14:textId="77777777" w:rsidR="00F56D7B" w:rsidRDefault="00F56D7B" w:rsidP="00F56D7B">
      <w:pPr>
        <w:pStyle w:val="ACMABodyText"/>
        <w:numPr>
          <w:ilvl w:val="0"/>
          <w:numId w:val="31"/>
        </w:numPr>
      </w:pPr>
      <w:r>
        <w:t>entered into on 8 December 2022.</w:t>
      </w:r>
    </w:p>
    <w:p w14:paraId="1C2B318A" w14:textId="77777777" w:rsidR="00F56D7B" w:rsidRDefault="00F56D7B" w:rsidP="00F56D7B">
      <w:pPr>
        <w:pStyle w:val="ACMABodyText"/>
        <w:numPr>
          <w:ilvl w:val="0"/>
          <w:numId w:val="31"/>
        </w:numPr>
      </w:pPr>
      <w:r>
        <w:t>disclosed to the 2GB Licensee on 23 January 2023.</w:t>
      </w:r>
    </w:p>
    <w:p w14:paraId="40184CA8" w14:textId="77777777" w:rsidR="00F56D7B" w:rsidRDefault="00F56D7B" w:rsidP="00F56D7B">
      <w:pPr>
        <w:pStyle w:val="ACMABodyText"/>
        <w:numPr>
          <w:ilvl w:val="0"/>
          <w:numId w:val="31"/>
        </w:numPr>
      </w:pPr>
      <w:r>
        <w:t>added to the 2GB online register on 8 February 2023.</w:t>
      </w:r>
    </w:p>
    <w:p w14:paraId="347A75E9" w14:textId="2BAA0802" w:rsidR="001918B2" w:rsidRDefault="00F56D7B" w:rsidP="00F56D7B">
      <w:pPr>
        <w:pStyle w:val="ACMABodyText"/>
      </w:pPr>
      <w:r>
        <w:t xml:space="preserve">Section 13 of the </w:t>
      </w:r>
      <w:r w:rsidR="00F1325E">
        <w:t>S</w:t>
      </w:r>
      <w:r>
        <w:t>tandard does not apply to a presenter who is an on-air presenter of a current affairs program for less than an average of 3 hours a week over any 4 week period</w:t>
      </w:r>
      <w:r w:rsidR="00135622">
        <w:t>.</w:t>
      </w:r>
      <w:r>
        <w:rPr>
          <w:rStyle w:val="FootnoteReference"/>
        </w:rPr>
        <w:footnoteReference w:id="3"/>
      </w:r>
      <w:r w:rsidRPr="00E124A4">
        <w:t xml:space="preserve"> </w:t>
      </w:r>
    </w:p>
    <w:p w14:paraId="187FB692" w14:textId="2026CC13" w:rsidR="007571B4" w:rsidRPr="007571B4" w:rsidRDefault="007571B4" w:rsidP="007571B4">
      <w:pPr>
        <w:autoSpaceDE w:val="0"/>
        <w:autoSpaceDN w:val="0"/>
        <w:spacing w:before="0" w:after="0" w:line="240" w:lineRule="auto"/>
        <w:rPr>
          <w:rFonts w:eastAsia="Calibri" w:cs="Arial"/>
          <w:i w:val="0"/>
          <w:szCs w:val="20"/>
          <w14:ligatures w14:val="standardContextual"/>
        </w:rPr>
      </w:pPr>
      <w:r w:rsidRPr="007571B4">
        <w:rPr>
          <w:rFonts w:eastAsia="Calibri" w:cs="Arial"/>
          <w:i w:val="0"/>
          <w:szCs w:val="20"/>
          <w14:ligatures w14:val="standardContextual"/>
        </w:rPr>
        <w:t xml:space="preserve">The ACMA accepts the Licensee’s submission that </w:t>
      </w:r>
      <w:r w:rsidR="00871BAE">
        <w:rPr>
          <w:rFonts w:eastAsia="Calibri" w:cs="Arial"/>
          <w:i w:val="0"/>
          <w:szCs w:val="20"/>
          <w14:ligatures w14:val="standardContextual"/>
        </w:rPr>
        <w:t>[Presenter 1]</w:t>
      </w:r>
      <w:r w:rsidRPr="007571B4">
        <w:rPr>
          <w:rFonts w:eastAsia="Calibri" w:cs="Arial"/>
          <w:i w:val="0"/>
          <w:szCs w:val="20"/>
          <w14:ligatures w14:val="standardContextual"/>
        </w:rPr>
        <w:t xml:space="preserve"> was on leave between 9 December 2022 and 15 January 2023 and that therefore section 13 of the Standard did not apply </w:t>
      </w:r>
      <w:r w:rsidR="00222684" w:rsidRPr="00AC2FDC">
        <w:rPr>
          <w:rFonts w:eastAsia="Calibri" w:cs="Arial"/>
          <w:i w:val="0"/>
          <w:szCs w:val="20"/>
          <w14:ligatures w14:val="standardContextual"/>
        </w:rPr>
        <w:t xml:space="preserve">to </w:t>
      </w:r>
      <w:r w:rsidR="00871BAE" w:rsidRPr="00871BAE">
        <w:rPr>
          <w:rFonts w:eastAsia="Calibri" w:cs="Arial"/>
          <w:i w:val="0"/>
          <w:szCs w:val="20"/>
          <w14:ligatures w14:val="standardContextual"/>
        </w:rPr>
        <w:t xml:space="preserve">[Presenter 1] </w:t>
      </w:r>
      <w:r w:rsidRPr="00AC2FDC">
        <w:rPr>
          <w:rFonts w:eastAsia="Calibri" w:cs="Arial"/>
          <w:i w:val="0"/>
          <w:szCs w:val="20"/>
          <w14:ligatures w14:val="standardContextual"/>
        </w:rPr>
        <w:t>during</w:t>
      </w:r>
      <w:r w:rsidRPr="007571B4">
        <w:rPr>
          <w:rFonts w:eastAsia="Calibri" w:cs="Arial"/>
          <w:i w:val="0"/>
          <w:szCs w:val="20"/>
          <w14:ligatures w14:val="standardContextual"/>
        </w:rPr>
        <w:t xml:space="preserve"> this period. </w:t>
      </w:r>
    </w:p>
    <w:p w14:paraId="768BB9C8" w14:textId="77777777" w:rsidR="007571B4" w:rsidRPr="007571B4" w:rsidRDefault="007571B4" w:rsidP="007571B4">
      <w:pPr>
        <w:autoSpaceDE w:val="0"/>
        <w:autoSpaceDN w:val="0"/>
        <w:spacing w:before="0" w:after="0" w:line="240" w:lineRule="auto"/>
        <w:rPr>
          <w:rFonts w:eastAsia="Calibri" w:cs="Arial"/>
          <w:i w:val="0"/>
          <w:szCs w:val="20"/>
          <w14:ligatures w14:val="standardContextual"/>
        </w:rPr>
      </w:pPr>
    </w:p>
    <w:p w14:paraId="613249A6" w14:textId="0219A54C" w:rsidR="00AC2FDC" w:rsidRDefault="007571B4" w:rsidP="00AC2FDC">
      <w:pPr>
        <w:autoSpaceDE w:val="0"/>
        <w:autoSpaceDN w:val="0"/>
        <w:spacing w:before="0" w:after="0" w:line="240" w:lineRule="auto"/>
        <w:rPr>
          <w:rFonts w:eastAsia="Calibri" w:cs="Arial"/>
          <w:i w:val="0"/>
          <w:szCs w:val="20"/>
          <w14:ligatures w14:val="standardContextual"/>
        </w:rPr>
      </w:pPr>
      <w:r w:rsidRPr="007571B4">
        <w:rPr>
          <w:rFonts w:eastAsia="Calibri" w:cs="Arial"/>
          <w:i w:val="0"/>
          <w:szCs w:val="20"/>
          <w14:ligatures w14:val="standardContextual"/>
        </w:rPr>
        <w:t xml:space="preserve">However, once </w:t>
      </w:r>
      <w:r w:rsidR="00871BAE" w:rsidRPr="00871BAE">
        <w:rPr>
          <w:rFonts w:eastAsia="Calibri" w:cs="Arial"/>
          <w:i w:val="0"/>
          <w:szCs w:val="20"/>
          <w14:ligatures w14:val="standardContextual"/>
        </w:rPr>
        <w:t xml:space="preserve">[Presenter 1] </w:t>
      </w:r>
      <w:r w:rsidRPr="007571B4">
        <w:rPr>
          <w:rFonts w:eastAsia="Calibri" w:cs="Arial"/>
          <w:i w:val="0"/>
          <w:szCs w:val="20"/>
          <w14:ligatures w14:val="standardContextual"/>
        </w:rPr>
        <w:t xml:space="preserve">returned to presenting on 16 January 2023, section 13 of the Standard </w:t>
      </w:r>
      <w:r w:rsidR="009260EA" w:rsidRPr="00AC2FDC">
        <w:rPr>
          <w:rFonts w:eastAsia="Calibri" w:cs="Arial"/>
          <w:i w:val="0"/>
          <w:szCs w:val="20"/>
          <w14:ligatures w14:val="standardContextual"/>
        </w:rPr>
        <w:t xml:space="preserve">applied to </w:t>
      </w:r>
      <w:r w:rsidR="00871BAE" w:rsidRPr="00871BAE">
        <w:rPr>
          <w:rFonts w:eastAsia="Calibri" w:cs="Arial"/>
          <w:i w:val="0"/>
          <w:szCs w:val="20"/>
          <w14:ligatures w14:val="standardContextual"/>
        </w:rPr>
        <w:t xml:space="preserve">[Presenter 1] </w:t>
      </w:r>
      <w:r w:rsidRPr="007571B4">
        <w:rPr>
          <w:rFonts w:eastAsia="Calibri" w:cs="Arial"/>
          <w:i w:val="0"/>
          <w:szCs w:val="20"/>
          <w14:ligatures w14:val="standardContextual"/>
        </w:rPr>
        <w:t>and accordingly</w:t>
      </w:r>
      <w:r w:rsidR="009D4083">
        <w:rPr>
          <w:rFonts w:eastAsia="Calibri" w:cs="Arial"/>
          <w:i w:val="0"/>
          <w:szCs w:val="20"/>
          <w14:ligatures w14:val="standardContextual"/>
        </w:rPr>
        <w:t>,</w:t>
      </w:r>
      <w:r w:rsidRPr="007571B4">
        <w:rPr>
          <w:rFonts w:eastAsia="Calibri" w:cs="Arial"/>
          <w:i w:val="0"/>
          <w:szCs w:val="20"/>
          <w14:ligatures w14:val="standardContextual"/>
        </w:rPr>
        <w:t xml:space="preserve"> the Radio 2GB online register should have included information about </w:t>
      </w:r>
      <w:r w:rsidR="00871BAE" w:rsidRPr="00871BAE">
        <w:rPr>
          <w:rFonts w:eastAsia="Calibri" w:cs="Arial"/>
          <w:i w:val="0"/>
          <w:szCs w:val="20"/>
          <w14:ligatures w14:val="standardContextual"/>
        </w:rPr>
        <w:t xml:space="preserve">[Presenter 1] </w:t>
      </w:r>
      <w:r w:rsidRPr="007571B4">
        <w:rPr>
          <w:rFonts w:eastAsia="Calibri" w:cs="Arial"/>
          <w:i w:val="0"/>
          <w:szCs w:val="20"/>
          <w14:ligatures w14:val="standardContextual"/>
        </w:rPr>
        <w:t>'s current commercial agreement</w:t>
      </w:r>
      <w:r w:rsidR="005B7012">
        <w:rPr>
          <w:rFonts w:eastAsia="Calibri" w:cs="Arial"/>
          <w:i w:val="0"/>
          <w:szCs w:val="20"/>
          <w14:ligatures w14:val="standardContextual"/>
        </w:rPr>
        <w:t>. It</w:t>
      </w:r>
      <w:r w:rsidRPr="007571B4">
        <w:rPr>
          <w:rFonts w:eastAsia="Calibri" w:cs="Arial"/>
          <w:i w:val="0"/>
          <w:szCs w:val="20"/>
          <w14:ligatures w14:val="standardContextual"/>
        </w:rPr>
        <w:t xml:space="preserve"> did not include this information</w:t>
      </w:r>
      <w:r w:rsidR="005B7012">
        <w:rPr>
          <w:rFonts w:eastAsia="Calibri" w:cs="Arial"/>
          <w:i w:val="0"/>
          <w:szCs w:val="20"/>
          <w14:ligatures w14:val="standardContextual"/>
        </w:rPr>
        <w:t>, however,</w:t>
      </w:r>
      <w:r w:rsidRPr="007571B4">
        <w:rPr>
          <w:rFonts w:eastAsia="Calibri" w:cs="Arial"/>
          <w:i w:val="0"/>
          <w:szCs w:val="20"/>
          <w14:ligatures w14:val="standardContextual"/>
        </w:rPr>
        <w:t xml:space="preserve"> for a period of 23 days from 16 January 2023.</w:t>
      </w:r>
    </w:p>
    <w:p w14:paraId="0B671F8A" w14:textId="77777777" w:rsidR="00AC2FDC" w:rsidRPr="004421C2" w:rsidRDefault="00AC2FDC" w:rsidP="004421C2">
      <w:pPr>
        <w:pStyle w:val="ACMABodyText"/>
        <w:spacing w:after="0"/>
        <w:rPr>
          <w:rFonts w:eastAsia="Calibri"/>
        </w:rPr>
      </w:pPr>
    </w:p>
    <w:p w14:paraId="602DA61B" w14:textId="72AC4FB2" w:rsidR="00F56D7B" w:rsidRDefault="00F56D7B" w:rsidP="00F56D7B">
      <w:pPr>
        <w:pStyle w:val="ACMABodyText"/>
      </w:pPr>
      <w:r>
        <w:t>The 2GB Licensee further submitted:</w:t>
      </w:r>
    </w:p>
    <w:p w14:paraId="524A3AC4" w14:textId="77777777" w:rsidR="00F56D7B" w:rsidRPr="008A3477" w:rsidRDefault="00F56D7B" w:rsidP="00F56D7B">
      <w:pPr>
        <w:pStyle w:val="ACMABodyText"/>
        <w:ind w:left="720"/>
        <w:rPr>
          <w:sz w:val="18"/>
          <w:szCs w:val="18"/>
        </w:rPr>
      </w:pPr>
      <w:r w:rsidRPr="008A3477">
        <w:rPr>
          <w:sz w:val="18"/>
          <w:szCs w:val="18"/>
        </w:rPr>
        <w:t>the short period between its receipt of notification of the agreement and updating of the Register was a reasonable period in the circumstances - particularly noting that it included a public holiday, and relevant staff were still in the process of returning from summer leave at that time.</w:t>
      </w:r>
    </w:p>
    <w:p w14:paraId="04BD4CB2" w14:textId="77777777" w:rsidR="00F56D7B" w:rsidRDefault="00F56D7B" w:rsidP="00F56D7B">
      <w:pPr>
        <w:pStyle w:val="ACMABodyText"/>
      </w:pPr>
      <w:r>
        <w:t xml:space="preserve">The ACMA notes that eleven business days elapsed between notification of the commercial agreement and the update of the online register.  </w:t>
      </w:r>
    </w:p>
    <w:p w14:paraId="6D33F3D2" w14:textId="77777777" w:rsidR="00F56D7B" w:rsidRDefault="00F56D7B" w:rsidP="00F56D7B">
      <w:pPr>
        <w:pStyle w:val="ACMABodyText"/>
      </w:pPr>
      <w:r>
        <w:t xml:space="preserve">The 2GB Licensee’s submission provides an explanation for the time taken to update the 2GB online register but does not provide grounds to conclude that the timeframe was reasonable in the circumstances. The fact that ‘relevant staff were still in the process of returning from leave’ was not a circumstance that was out of the 2GB Licensee’s control and resources could and should have been prioritised to ensure an earlier update of the online register. </w:t>
      </w:r>
    </w:p>
    <w:p w14:paraId="7D1DB11A" w14:textId="702E37DC" w:rsidR="00F56D7B" w:rsidRDefault="00F56D7B" w:rsidP="00F56D7B">
      <w:pPr>
        <w:pStyle w:val="ACMABodyText"/>
      </w:pPr>
      <w:r>
        <w:lastRenderedPageBreak/>
        <w:t xml:space="preserve">The submission by the 2GB Licensee did not identify any additional circumstances outside of the control of the licensee that contributed to the delay in </w:t>
      </w:r>
      <w:r w:rsidR="00961505">
        <w:t>adding information to the online register</w:t>
      </w:r>
      <w:r>
        <w:t>.</w:t>
      </w:r>
    </w:p>
    <w:p w14:paraId="31E7272E" w14:textId="520E7E5C" w:rsidR="001A6F1B" w:rsidRDefault="00F56D7B" w:rsidP="00F56D7B">
      <w:pPr>
        <w:pStyle w:val="ACMABodyText"/>
      </w:pPr>
      <w:r>
        <w:t xml:space="preserve">The ACMA considers that the 2GB Licensee did not update the 2GB online register to include information about </w:t>
      </w:r>
      <w:r w:rsidR="00871BAE" w:rsidRPr="00871BAE">
        <w:t>[Presenter 1]</w:t>
      </w:r>
      <w:r>
        <w:t xml:space="preserve">’s current commercial agreement within a reasonable timeframe. </w:t>
      </w:r>
    </w:p>
    <w:p w14:paraId="77202F59" w14:textId="1B975C5D" w:rsidR="00F56D7B" w:rsidRDefault="00F56D7B" w:rsidP="00F56D7B">
      <w:pPr>
        <w:pStyle w:val="ACMABodyText"/>
      </w:pPr>
      <w:r>
        <w:t>Consequently, the ACMA</w:t>
      </w:r>
      <w:r w:rsidR="00DC1176">
        <w:t xml:space="preserve"> finds</w:t>
      </w:r>
      <w:r>
        <w:t xml:space="preserve"> that the 2GB Licensee breached </w:t>
      </w:r>
      <w:r w:rsidR="003A61D3" w:rsidRPr="005037DF">
        <w:t>section</w:t>
      </w:r>
      <w:r w:rsidR="003A61D3">
        <w:t xml:space="preserve"> </w:t>
      </w:r>
      <w:r>
        <w:t xml:space="preserve">13 of the Standard and </w:t>
      </w:r>
      <w:r w:rsidRPr="00525597">
        <w:t>therefore also breached</w:t>
      </w:r>
      <w:r>
        <w:t xml:space="preserve"> its licence condition under </w:t>
      </w:r>
      <w:r w:rsidR="003553A9" w:rsidRPr="005037DF">
        <w:t>paragraph </w:t>
      </w:r>
      <w:r w:rsidRPr="005037DF">
        <w:t>8</w:t>
      </w:r>
      <w:r w:rsidR="003553A9" w:rsidRPr="005037DF">
        <w:t>(1)(b)</w:t>
      </w:r>
      <w:r>
        <w:t xml:space="preserve"> of Schedule 2 to the BSA. </w:t>
      </w:r>
    </w:p>
    <w:p w14:paraId="28C561BE" w14:textId="7C311733" w:rsidR="00F56D7B" w:rsidRDefault="00091BF5" w:rsidP="00F56D7B">
      <w:pPr>
        <w:pStyle w:val="ACMABodyText"/>
        <w:rPr>
          <w:u w:val="single"/>
        </w:rPr>
      </w:pPr>
      <w:r>
        <w:rPr>
          <w:u w:val="single"/>
        </w:rPr>
        <w:t>[Presenter 2]</w:t>
      </w:r>
      <w:r w:rsidR="00F56D7B" w:rsidRPr="00C774D7">
        <w:rPr>
          <w:u w:val="single"/>
        </w:rPr>
        <w:t xml:space="preserve"> and</w:t>
      </w:r>
      <w:r w:rsidR="00F56D7B" w:rsidRPr="00F66C40">
        <w:rPr>
          <w:u w:val="single"/>
        </w:rPr>
        <w:t xml:space="preserve"> </w:t>
      </w:r>
      <w:r w:rsidRPr="0034724D">
        <w:rPr>
          <w:u w:val="single"/>
        </w:rPr>
        <w:t>[Sponsor 2]</w:t>
      </w:r>
    </w:p>
    <w:p w14:paraId="37438BF8" w14:textId="506E96D5" w:rsidR="00F56D7B" w:rsidRDefault="00F56D7B" w:rsidP="00F56D7B">
      <w:pPr>
        <w:pStyle w:val="ACMABodyText"/>
      </w:pPr>
      <w:r>
        <w:t>The ACMA has considered whether the 2GB Licensee updated its online register to include information about this commercial agreement in a timeframe that was reasonable in the circumstances.</w:t>
      </w:r>
    </w:p>
    <w:p w14:paraId="355D69AF" w14:textId="06CD9C88" w:rsidR="00F56D7B" w:rsidRDefault="00F56D7B" w:rsidP="00F56D7B">
      <w:pPr>
        <w:pStyle w:val="ACMABodyText"/>
        <w:rPr>
          <w:lang w:eastAsia="en-AU"/>
        </w:rPr>
      </w:pPr>
      <w:r>
        <w:rPr>
          <w:lang w:eastAsia="en-AU"/>
        </w:rPr>
        <w:t>The 2GB Licensee submitted that on 9 August 2023</w:t>
      </w:r>
      <w:r w:rsidR="00B41097">
        <w:rPr>
          <w:lang w:eastAsia="en-AU"/>
        </w:rPr>
        <w:t>,</w:t>
      </w:r>
      <w:r>
        <w:rPr>
          <w:lang w:eastAsia="en-AU"/>
        </w:rPr>
        <w:t xml:space="preserve"> it provided ‘in principle approval’ for </w:t>
      </w:r>
      <w:r w:rsidR="00672B50">
        <w:rPr>
          <w:lang w:eastAsia="en-AU"/>
        </w:rPr>
        <w:t>[Sponsor 2]</w:t>
      </w:r>
      <w:r>
        <w:rPr>
          <w:lang w:eastAsia="en-AU"/>
        </w:rPr>
        <w:t xml:space="preserve"> and </w:t>
      </w:r>
      <w:r w:rsidR="000D5681">
        <w:rPr>
          <w:lang w:eastAsia="en-AU"/>
        </w:rPr>
        <w:t>[Presenter 2]</w:t>
      </w:r>
      <w:r>
        <w:rPr>
          <w:lang w:eastAsia="en-AU"/>
        </w:rPr>
        <w:t xml:space="preserve"> to proceed with negotiating a commercial agreement.</w:t>
      </w:r>
    </w:p>
    <w:p w14:paraId="5BAC2814" w14:textId="77777777" w:rsidR="00F56D7B" w:rsidRDefault="00F56D7B" w:rsidP="00F56D7B">
      <w:pPr>
        <w:pStyle w:val="ACMABodyText"/>
      </w:pPr>
      <w:r>
        <w:t>The unwritten commercial agreement was:</w:t>
      </w:r>
    </w:p>
    <w:p w14:paraId="768A685F" w14:textId="77777777" w:rsidR="00F56D7B" w:rsidRDefault="00F56D7B" w:rsidP="00F56D7B">
      <w:pPr>
        <w:pStyle w:val="ACMABodyText"/>
        <w:numPr>
          <w:ilvl w:val="0"/>
          <w:numId w:val="32"/>
        </w:numPr>
      </w:pPr>
      <w:r>
        <w:t>entered into on 9 August 2023.</w:t>
      </w:r>
    </w:p>
    <w:p w14:paraId="36D2EDF0" w14:textId="77777777" w:rsidR="00F56D7B" w:rsidRDefault="00F56D7B" w:rsidP="00F56D7B">
      <w:pPr>
        <w:pStyle w:val="ACMABodyText"/>
        <w:numPr>
          <w:ilvl w:val="0"/>
          <w:numId w:val="32"/>
        </w:numPr>
      </w:pPr>
      <w:r>
        <w:t xml:space="preserve">disclosed to the 2GB Licensee on 14 September 2023. </w:t>
      </w:r>
    </w:p>
    <w:p w14:paraId="54FED98B" w14:textId="77777777" w:rsidR="00F56D7B" w:rsidRDefault="00F56D7B" w:rsidP="00F56D7B">
      <w:pPr>
        <w:pStyle w:val="ACMABodyText"/>
        <w:numPr>
          <w:ilvl w:val="0"/>
          <w:numId w:val="32"/>
        </w:numPr>
      </w:pPr>
      <w:r>
        <w:t>added to the 2GB online register on 15 September 2023.</w:t>
      </w:r>
    </w:p>
    <w:p w14:paraId="4FEC7CAA" w14:textId="376D6508" w:rsidR="00F56D7B" w:rsidRDefault="00F56D7B" w:rsidP="00F56D7B">
      <w:pPr>
        <w:pStyle w:val="ACMABodyText"/>
      </w:pPr>
      <w:r>
        <w:t xml:space="preserve">The 2GB online register did not include information about </w:t>
      </w:r>
      <w:r w:rsidR="000D5681">
        <w:t>[Presenter 2</w:t>
      </w:r>
      <w:r w:rsidR="00596F3D">
        <w:t>]</w:t>
      </w:r>
      <w:r>
        <w:t xml:space="preserve">’s current commercial agreement for a period of </w:t>
      </w:r>
      <w:r w:rsidRPr="005037DF">
        <w:t>37 days</w:t>
      </w:r>
      <w:r>
        <w:t xml:space="preserve">.  </w:t>
      </w:r>
    </w:p>
    <w:p w14:paraId="3E77776D" w14:textId="69440710" w:rsidR="00F56D7B" w:rsidRDefault="00F56D7B" w:rsidP="00F56D7B">
      <w:pPr>
        <w:pStyle w:val="ACMABodyText"/>
      </w:pPr>
      <w:r>
        <w:t>Under section 14 of the Standard, a licensee must require presenters to disclose information about unwritten commercial agreements within 7 days of the agreement being entered into</w:t>
      </w:r>
      <w:r w:rsidR="005D5C88">
        <w:t xml:space="preserve"> </w:t>
      </w:r>
      <w:r w:rsidR="005D5C88" w:rsidRPr="005037DF">
        <w:t>(paragraph 14(1)(b) of the Standard</w:t>
      </w:r>
      <w:r w:rsidR="005D5C88">
        <w:t>)</w:t>
      </w:r>
      <w:r>
        <w:t xml:space="preserve">.  </w:t>
      </w:r>
    </w:p>
    <w:p w14:paraId="68F99314" w14:textId="3C45B448" w:rsidR="00956527" w:rsidRDefault="00F56D7B" w:rsidP="00F56D7B">
      <w:pPr>
        <w:pStyle w:val="ACMABodyText"/>
      </w:pPr>
      <w:r>
        <w:t xml:space="preserve">The 2GB Licensee should have received information about </w:t>
      </w:r>
      <w:r w:rsidR="00596F3D" w:rsidRPr="00596F3D">
        <w:t>[Presenter 2]</w:t>
      </w:r>
      <w:r>
        <w:t>’s commercial</w:t>
      </w:r>
      <w:r w:rsidR="00780A04">
        <w:t xml:space="preserve"> </w:t>
      </w:r>
      <w:r w:rsidR="00780A04" w:rsidRPr="005037DF">
        <w:t>agreement</w:t>
      </w:r>
      <w:r>
        <w:t xml:space="preserve"> by 16 August 2023 but did not receive the information until 14 September 2023. </w:t>
      </w:r>
    </w:p>
    <w:p w14:paraId="082D5922" w14:textId="23A0C02F" w:rsidR="00F56D7B" w:rsidRDefault="00F56D7B" w:rsidP="00F56D7B">
      <w:pPr>
        <w:pStyle w:val="ACMABodyText"/>
      </w:pPr>
      <w:r>
        <w:t xml:space="preserve">Consequently, over a month elapsed between the date on which the commercial agreement should have been disclosed to the 2GB Licensee and the date on which the 2GB online register was updated to include the information required </w:t>
      </w:r>
      <w:r w:rsidRPr="005037DF">
        <w:t xml:space="preserve">by </w:t>
      </w:r>
      <w:r w:rsidR="00EF62D3" w:rsidRPr="005037DF">
        <w:t>s</w:t>
      </w:r>
      <w:r>
        <w:t>ection 13 of the Standard.</w:t>
      </w:r>
    </w:p>
    <w:p w14:paraId="4EC11A3C" w14:textId="77777777" w:rsidR="00F56D7B" w:rsidRDefault="00F56D7B" w:rsidP="00F56D7B">
      <w:pPr>
        <w:pStyle w:val="ACMABodyText"/>
        <w:rPr>
          <w:lang w:eastAsia="en-AU"/>
        </w:rPr>
      </w:pPr>
      <w:r>
        <w:t xml:space="preserve">The </w:t>
      </w:r>
      <w:r>
        <w:rPr>
          <w:lang w:eastAsia="en-AU"/>
        </w:rPr>
        <w:t>2GB Licensee submitted that the ACMA should have regard to:</w:t>
      </w:r>
    </w:p>
    <w:p w14:paraId="61184211" w14:textId="77777777" w:rsidR="00F56D7B" w:rsidRPr="00BA6C1E" w:rsidRDefault="00F56D7B" w:rsidP="00F56D7B">
      <w:pPr>
        <w:pStyle w:val="ACMABodyText"/>
        <w:ind w:left="720"/>
        <w:rPr>
          <w:sz w:val="18"/>
          <w:szCs w:val="18"/>
        </w:rPr>
      </w:pPr>
      <w:r w:rsidRPr="00BA6C1E">
        <w:rPr>
          <w:rFonts w:cstheme="minorHAnsi"/>
          <w:sz w:val="18"/>
          <w:szCs w:val="18"/>
        </w:rPr>
        <w:t xml:space="preserve">the logical impossibility of a requirement for a licensee to be obliged to update its register under clause 13 </w:t>
      </w:r>
      <w:r w:rsidRPr="00BA6C1E">
        <w:rPr>
          <w:rFonts w:cstheme="minorHAnsi"/>
          <w:i/>
          <w:iCs/>
          <w:sz w:val="18"/>
          <w:szCs w:val="18"/>
        </w:rPr>
        <w:t xml:space="preserve">before </w:t>
      </w:r>
      <w:r w:rsidRPr="00BA6C1E">
        <w:rPr>
          <w:rFonts w:cstheme="minorHAnsi"/>
          <w:sz w:val="18"/>
          <w:szCs w:val="18"/>
        </w:rPr>
        <w:t>it receives notification of the existence of a commercial agreement under clause 14.</w:t>
      </w:r>
    </w:p>
    <w:p w14:paraId="7AAB70F2" w14:textId="066150FC" w:rsidR="00F56D7B" w:rsidRDefault="00F56D7B" w:rsidP="00F56D7B">
      <w:pPr>
        <w:pStyle w:val="ACMABodyText"/>
      </w:pPr>
      <w:r>
        <w:t xml:space="preserve">The 2GB Licensee was aware, from 9 August 2023 onwards, that </w:t>
      </w:r>
      <w:r w:rsidR="00596F3D" w:rsidRPr="00596F3D">
        <w:t>[Presenter 2]</w:t>
      </w:r>
      <w:r w:rsidR="00F66C40">
        <w:t xml:space="preserve"> </w:t>
      </w:r>
      <w:r>
        <w:t xml:space="preserve">was negotiating a </w:t>
      </w:r>
      <w:r w:rsidRPr="005037DF">
        <w:t xml:space="preserve">commercial agreement with </w:t>
      </w:r>
      <w:r w:rsidR="00672B50">
        <w:t>[Sponsor 2]</w:t>
      </w:r>
      <w:r w:rsidRPr="005037DF">
        <w:t xml:space="preserve">. In these circumstances, the 2GB Licensee was well placed to make certain that </w:t>
      </w:r>
      <w:r w:rsidR="00596F3D" w:rsidRPr="00596F3D">
        <w:t>[Presenter 2]</w:t>
      </w:r>
      <w:r w:rsidR="00596F3D">
        <w:t xml:space="preserve"> </w:t>
      </w:r>
      <w:r w:rsidRPr="005037DF">
        <w:t>provided information about the commercial agreement</w:t>
      </w:r>
      <w:r w:rsidR="00EC0478" w:rsidRPr="005037DF">
        <w:t xml:space="preserve"> in accordance with section 14 of the Standard</w:t>
      </w:r>
      <w:r w:rsidRPr="005037DF">
        <w:t xml:space="preserve"> and </w:t>
      </w:r>
      <w:r w:rsidR="00137B4B" w:rsidRPr="005037DF">
        <w:t xml:space="preserve">that </w:t>
      </w:r>
      <w:r w:rsidR="00C66ED4" w:rsidRPr="005037DF">
        <w:t xml:space="preserve">this information </w:t>
      </w:r>
      <w:r w:rsidR="00137B4B" w:rsidRPr="005037DF">
        <w:t xml:space="preserve">was included </w:t>
      </w:r>
      <w:r w:rsidR="00E3567F">
        <w:t>i</w:t>
      </w:r>
      <w:r w:rsidR="00C66ED4" w:rsidRPr="005037DF">
        <w:t>n</w:t>
      </w:r>
      <w:r w:rsidR="00F42153" w:rsidRPr="005037DF">
        <w:t xml:space="preserve"> the 2GB online register as required by </w:t>
      </w:r>
      <w:r w:rsidR="00043906" w:rsidRPr="005037DF">
        <w:t xml:space="preserve">section </w:t>
      </w:r>
      <w:r w:rsidRPr="005037DF">
        <w:t>13 of the Standard.</w:t>
      </w:r>
      <w:r>
        <w:t xml:space="preserve"> </w:t>
      </w:r>
    </w:p>
    <w:p w14:paraId="1E18EDE6" w14:textId="310A4A13" w:rsidR="00F56D7B" w:rsidRDefault="00F56D7B" w:rsidP="00F56D7B">
      <w:pPr>
        <w:pStyle w:val="ACMABodyText"/>
      </w:pPr>
      <w:r>
        <w:lastRenderedPageBreak/>
        <w:t xml:space="preserve">The delay in updating the 2GB online register could have been avoided or mitigated had the 2GB Licensee followed up with </w:t>
      </w:r>
      <w:r w:rsidR="00596F3D" w:rsidRPr="00596F3D">
        <w:t>[Presenter 2]</w:t>
      </w:r>
      <w:r w:rsidR="00596F3D">
        <w:t xml:space="preserve"> </w:t>
      </w:r>
      <w:r>
        <w:t>about the status of the commercial agreement and obtained the relevant information for the 2GB online register.</w:t>
      </w:r>
    </w:p>
    <w:p w14:paraId="3D6B5F4E" w14:textId="422A8B59" w:rsidR="00F56D7B" w:rsidRDefault="00F56D7B" w:rsidP="00F56D7B">
      <w:pPr>
        <w:pStyle w:val="ACMABodyText"/>
      </w:pPr>
      <w:r>
        <w:t xml:space="preserve">The submission by the 2GB Licensee did not identify any additional circumstances outside of the control of the </w:t>
      </w:r>
      <w:r w:rsidR="00F66C40">
        <w:t>L</w:t>
      </w:r>
      <w:r>
        <w:t xml:space="preserve">icensee that contributed to the delay in </w:t>
      </w:r>
      <w:r w:rsidR="00961505" w:rsidRPr="005037DF">
        <w:t xml:space="preserve">adding </w:t>
      </w:r>
      <w:r w:rsidR="00954DA7" w:rsidRPr="005037DF">
        <w:t xml:space="preserve">this </w:t>
      </w:r>
      <w:r w:rsidR="00961505" w:rsidRPr="005037DF">
        <w:t xml:space="preserve">information to </w:t>
      </w:r>
      <w:r w:rsidRPr="005037DF">
        <w:t xml:space="preserve">the </w:t>
      </w:r>
      <w:r w:rsidR="00961505" w:rsidRPr="005037DF">
        <w:t>online</w:t>
      </w:r>
      <w:r w:rsidR="00961505">
        <w:t xml:space="preserve"> register</w:t>
      </w:r>
      <w:r>
        <w:t>.</w:t>
      </w:r>
    </w:p>
    <w:p w14:paraId="5B340981" w14:textId="0D0D65CF" w:rsidR="00F56D7B" w:rsidRDefault="00F56D7B" w:rsidP="00F56D7B">
      <w:pPr>
        <w:pStyle w:val="ACMABodyText"/>
      </w:pPr>
      <w:r>
        <w:t>The ACMA considers that the 2GB Licensee did not update the 2GB online register</w:t>
      </w:r>
      <w:r w:rsidR="00A323D4">
        <w:t>,</w:t>
      </w:r>
      <w:r>
        <w:t xml:space="preserve"> to include information about </w:t>
      </w:r>
      <w:r w:rsidR="00596F3D" w:rsidRPr="00596F3D">
        <w:t>[Presenter 2]</w:t>
      </w:r>
      <w:r>
        <w:t>’s current commercial agreement</w:t>
      </w:r>
      <w:r w:rsidR="00A323D4">
        <w:t>,</w:t>
      </w:r>
      <w:r>
        <w:t xml:space="preserve"> within a reasonable </w:t>
      </w:r>
      <w:r w:rsidRPr="005037DF">
        <w:t>timeframe. Consequently, the ACMA</w:t>
      </w:r>
      <w:r w:rsidR="00DC1176">
        <w:t xml:space="preserve"> finds</w:t>
      </w:r>
      <w:r w:rsidRPr="005037DF">
        <w:t xml:space="preserve"> that the 2GB Licensee breached </w:t>
      </w:r>
      <w:r w:rsidR="00A323D4" w:rsidRPr="005037DF">
        <w:t xml:space="preserve">section </w:t>
      </w:r>
      <w:r w:rsidRPr="005037DF">
        <w:t xml:space="preserve">13 of the Standard and therefore also breached its licence condition under </w:t>
      </w:r>
      <w:r w:rsidR="003553A9" w:rsidRPr="005037DF">
        <w:t xml:space="preserve">paragraph </w:t>
      </w:r>
      <w:r w:rsidRPr="005037DF">
        <w:t>8</w:t>
      </w:r>
      <w:r w:rsidR="003553A9" w:rsidRPr="005037DF">
        <w:t>(1)(b)</w:t>
      </w:r>
      <w:r w:rsidRPr="005037DF">
        <w:t xml:space="preserve"> of Schedule 2 to the BSA.</w:t>
      </w:r>
      <w:r>
        <w:t xml:space="preserve"> </w:t>
      </w:r>
    </w:p>
    <w:p w14:paraId="765D6F5A" w14:textId="551D5DEE" w:rsidR="00F56D7B" w:rsidRDefault="00A11475" w:rsidP="00F56D7B">
      <w:pPr>
        <w:pStyle w:val="ACMABodyText"/>
        <w:rPr>
          <w:u w:val="single"/>
        </w:rPr>
      </w:pPr>
      <w:r>
        <w:rPr>
          <w:u w:val="single"/>
        </w:rPr>
        <w:t>[Presenter 3]</w:t>
      </w:r>
      <w:r w:rsidR="00F56D7B" w:rsidRPr="00801753">
        <w:rPr>
          <w:u w:val="single"/>
        </w:rPr>
        <w:t xml:space="preserve"> </w:t>
      </w:r>
      <w:r w:rsidR="00F56D7B">
        <w:rPr>
          <w:u w:val="single"/>
        </w:rPr>
        <w:t xml:space="preserve">and </w:t>
      </w:r>
      <w:r>
        <w:rPr>
          <w:u w:val="single"/>
        </w:rPr>
        <w:t xml:space="preserve">[Sponsor 3] </w:t>
      </w:r>
      <w:r w:rsidR="00F56D7B">
        <w:rPr>
          <w:u w:val="single"/>
        </w:rPr>
        <w:t xml:space="preserve">and </w:t>
      </w:r>
      <w:r>
        <w:rPr>
          <w:u w:val="single"/>
        </w:rPr>
        <w:t>[Sponsor 4]</w:t>
      </w:r>
    </w:p>
    <w:p w14:paraId="7985D98F" w14:textId="0C474422" w:rsidR="00F56D7B" w:rsidRDefault="00F56D7B" w:rsidP="00F56D7B">
      <w:pPr>
        <w:pStyle w:val="ACMABodyText"/>
      </w:pPr>
      <w:r>
        <w:t>The ACMA has considered whether the 2GB Licensee updated its online register to include information about these commercial agreements in a timeframe that was reasonable in the circumstances.</w:t>
      </w:r>
    </w:p>
    <w:p w14:paraId="0C3F4520" w14:textId="5275F7A3" w:rsidR="00F56D7B" w:rsidRDefault="007E5286" w:rsidP="00F56D7B">
      <w:pPr>
        <w:pStyle w:val="ACMABodyText"/>
      </w:pPr>
      <w:r>
        <w:t>[Presenter 3]</w:t>
      </w:r>
      <w:r w:rsidR="00F56D7B">
        <w:t xml:space="preserve"> </w:t>
      </w:r>
      <w:r w:rsidR="007E7C6D">
        <w:t xml:space="preserve">entered into the </w:t>
      </w:r>
      <w:r w:rsidR="00F56D7B">
        <w:t xml:space="preserve">commercial agreement with </w:t>
      </w:r>
      <w:r w:rsidR="00D75DA9">
        <w:t xml:space="preserve">[Sponsor 3] </w:t>
      </w:r>
      <w:r w:rsidR="00F56D7B">
        <w:t xml:space="preserve">on </w:t>
      </w:r>
      <w:r w:rsidR="00F56D7B" w:rsidRPr="000C09D5">
        <w:t>21 December 2021</w:t>
      </w:r>
      <w:r w:rsidR="007E7C6D">
        <w:t xml:space="preserve"> and entered into t</w:t>
      </w:r>
      <w:r w:rsidR="00F56D7B">
        <w:t xml:space="preserve">he commercial agreement with </w:t>
      </w:r>
      <w:r w:rsidR="007E096B">
        <w:t>[Sponsor 4]</w:t>
      </w:r>
      <w:r w:rsidR="00F56D7B">
        <w:t xml:space="preserve"> on 1 March 2023.</w:t>
      </w:r>
    </w:p>
    <w:p w14:paraId="724B83F6" w14:textId="77777777" w:rsidR="00F56D7B" w:rsidRDefault="00F56D7B" w:rsidP="00F56D7B">
      <w:pPr>
        <w:pStyle w:val="ACMABodyText"/>
      </w:pPr>
      <w:r>
        <w:t>Both commercial agreements were:</w:t>
      </w:r>
    </w:p>
    <w:p w14:paraId="56125C11" w14:textId="77777777" w:rsidR="00F56D7B" w:rsidRDefault="00F56D7B" w:rsidP="00F56D7B">
      <w:pPr>
        <w:pStyle w:val="ACMABodyText"/>
        <w:numPr>
          <w:ilvl w:val="0"/>
          <w:numId w:val="33"/>
        </w:numPr>
      </w:pPr>
      <w:r>
        <w:t>disclosed to the 2GB Licensee on 13 September 2023.</w:t>
      </w:r>
    </w:p>
    <w:p w14:paraId="1962E101" w14:textId="77777777" w:rsidR="00F56D7B" w:rsidRDefault="00F56D7B" w:rsidP="00F56D7B">
      <w:pPr>
        <w:pStyle w:val="ACMABodyText"/>
        <w:numPr>
          <w:ilvl w:val="0"/>
          <w:numId w:val="33"/>
        </w:numPr>
      </w:pPr>
      <w:r>
        <w:t>added to the 2GB online register on 14 September 2023.</w:t>
      </w:r>
    </w:p>
    <w:p w14:paraId="015E9B44" w14:textId="0C7241E4" w:rsidR="00F56D7B" w:rsidRDefault="00F56D7B" w:rsidP="00F56D7B">
      <w:pPr>
        <w:pStyle w:val="ACMABodyText"/>
      </w:pPr>
      <w:r>
        <w:t xml:space="preserve">Between 4 April 2022 and 14 September 2023, the 2GB Licensee employed </w:t>
      </w:r>
      <w:r w:rsidR="007E5286" w:rsidRPr="007E5286">
        <w:t xml:space="preserve">[Presenter 3] </w:t>
      </w:r>
      <w:r>
        <w:t xml:space="preserve">as a part-time current affairs presenter on </w:t>
      </w:r>
      <w:r w:rsidR="00F66C40">
        <w:t xml:space="preserve">2 </w:t>
      </w:r>
      <w:r w:rsidR="00F66C40" w:rsidRPr="00F66C40">
        <w:t>current affairs programs</w:t>
      </w:r>
      <w:r w:rsidR="00F66C40">
        <w:t>.</w:t>
      </w:r>
      <w:r>
        <w:t xml:space="preserve"> </w:t>
      </w:r>
    </w:p>
    <w:p w14:paraId="25772026" w14:textId="7289DF81" w:rsidR="00F56D7B" w:rsidRDefault="007E5286" w:rsidP="00F56D7B">
      <w:pPr>
        <w:pStyle w:val="ACMABodyText"/>
      </w:pPr>
      <w:r w:rsidRPr="007E5286">
        <w:t>[Presenter 3]</w:t>
      </w:r>
      <w:r w:rsidR="00F56D7B" w:rsidRPr="005037DF">
        <w:t>’</w:t>
      </w:r>
      <w:r w:rsidR="0011453E">
        <w:t>s</w:t>
      </w:r>
      <w:r w:rsidR="00F56D7B" w:rsidRPr="005037DF">
        <w:t xml:space="preserve"> commercial agreement with </w:t>
      </w:r>
      <w:r w:rsidR="00D75DA9">
        <w:t>[Sponsor 3]</w:t>
      </w:r>
      <w:r w:rsidR="00D75DA9" w:rsidRPr="005037DF">
        <w:t xml:space="preserve"> </w:t>
      </w:r>
      <w:r w:rsidR="00F56D7B" w:rsidRPr="005037DF">
        <w:t xml:space="preserve">was a current commercial agreement for the purpose of </w:t>
      </w:r>
      <w:r w:rsidR="003024EC" w:rsidRPr="005037DF">
        <w:t xml:space="preserve">section </w:t>
      </w:r>
      <w:r w:rsidR="00F56D7B" w:rsidRPr="005037DF">
        <w:t xml:space="preserve">13 of the Standard from 4 April 2022, and </w:t>
      </w:r>
      <w:r w:rsidR="00734CDB">
        <w:t>their</w:t>
      </w:r>
      <w:r w:rsidR="00734CDB" w:rsidRPr="005037DF">
        <w:t xml:space="preserve"> </w:t>
      </w:r>
      <w:r w:rsidR="00F56D7B" w:rsidRPr="005037DF">
        <w:t xml:space="preserve">commercial agreement with </w:t>
      </w:r>
      <w:r w:rsidR="007E096B">
        <w:t>[Sponsor 4]</w:t>
      </w:r>
      <w:r w:rsidR="00F56D7B" w:rsidRPr="005037DF">
        <w:t xml:space="preserve"> was a current commercial agreement from 1 March 2023.</w:t>
      </w:r>
    </w:p>
    <w:p w14:paraId="66191E3B" w14:textId="55C42CCD" w:rsidR="00F56D7B" w:rsidRDefault="00F56D7B" w:rsidP="00F56D7B">
      <w:pPr>
        <w:pStyle w:val="ACMABodyText"/>
      </w:pPr>
      <w:r>
        <w:t xml:space="preserve">The 2GB online register did not include information about </w:t>
      </w:r>
      <w:r w:rsidR="00A35D24">
        <w:t>[Presenter 3]’s</w:t>
      </w:r>
      <w:r>
        <w:t xml:space="preserve"> current commercial agreement with:  </w:t>
      </w:r>
    </w:p>
    <w:p w14:paraId="6CA9AD43" w14:textId="4DF1D9A4" w:rsidR="00F56D7B" w:rsidRDefault="00D75DA9" w:rsidP="00F56D7B">
      <w:pPr>
        <w:pStyle w:val="ACMABodyText"/>
        <w:numPr>
          <w:ilvl w:val="0"/>
          <w:numId w:val="34"/>
        </w:numPr>
      </w:pPr>
      <w:r>
        <w:t xml:space="preserve">[Sponsor 3] </w:t>
      </w:r>
      <w:r w:rsidR="00F56D7B">
        <w:t>for a period of 529 days.</w:t>
      </w:r>
    </w:p>
    <w:p w14:paraId="4468D42F" w14:textId="20747BD7" w:rsidR="00F56D7B" w:rsidRDefault="007E096B" w:rsidP="00F56D7B">
      <w:pPr>
        <w:pStyle w:val="ACMABodyText"/>
        <w:numPr>
          <w:ilvl w:val="0"/>
          <w:numId w:val="34"/>
        </w:numPr>
      </w:pPr>
      <w:r>
        <w:t>[Sponsor 4]</w:t>
      </w:r>
      <w:r w:rsidR="00F56D7B">
        <w:t xml:space="preserve"> for a period of 198 days</w:t>
      </w:r>
      <w:r w:rsidR="00DB605F">
        <w:t>.</w:t>
      </w:r>
    </w:p>
    <w:p w14:paraId="04A0D7D5" w14:textId="2162AE29" w:rsidR="00F56D7B" w:rsidRPr="005037DF" w:rsidRDefault="00F56D7B" w:rsidP="00F56D7B">
      <w:pPr>
        <w:pStyle w:val="NormalWeb"/>
        <w:spacing w:before="240" w:beforeAutospacing="0" w:after="240" w:afterAutospacing="0"/>
        <w:rPr>
          <w:rFonts w:ascii="Arial" w:hAnsi="Arial" w:cs="Arial"/>
          <w:color w:val="000000"/>
          <w:sz w:val="20"/>
          <w:szCs w:val="20"/>
        </w:rPr>
      </w:pPr>
      <w:r>
        <w:rPr>
          <w:rFonts w:ascii="Arial" w:hAnsi="Arial" w:cs="Arial"/>
          <w:color w:val="000000"/>
          <w:sz w:val="20"/>
          <w:szCs w:val="20"/>
        </w:rPr>
        <w:t xml:space="preserve">The 2GB Licensee </w:t>
      </w:r>
      <w:r w:rsidRPr="005037DF">
        <w:rPr>
          <w:rFonts w:ascii="Arial" w:hAnsi="Arial" w:cs="Arial"/>
          <w:color w:val="000000"/>
          <w:sz w:val="20"/>
          <w:szCs w:val="20"/>
        </w:rPr>
        <w:t xml:space="preserve">acknowledged that the online register was non-compliant with </w:t>
      </w:r>
      <w:r w:rsidR="0026435B" w:rsidRPr="005037DF">
        <w:rPr>
          <w:rFonts w:ascii="Arial" w:hAnsi="Arial" w:cs="Arial"/>
          <w:color w:val="000000"/>
          <w:sz w:val="20"/>
          <w:szCs w:val="20"/>
        </w:rPr>
        <w:t>s</w:t>
      </w:r>
      <w:r w:rsidRPr="005037DF">
        <w:rPr>
          <w:rFonts w:ascii="Arial" w:hAnsi="Arial" w:cs="Arial"/>
          <w:color w:val="000000"/>
          <w:sz w:val="20"/>
          <w:szCs w:val="20"/>
        </w:rPr>
        <w:t>ection 13 of the Standard during these periods and submitted:</w:t>
      </w:r>
    </w:p>
    <w:p w14:paraId="2984C82B" w14:textId="1060780B" w:rsidR="00F56D7B" w:rsidRPr="005037DF" w:rsidRDefault="00F56D7B" w:rsidP="00F56D7B">
      <w:pPr>
        <w:pStyle w:val="NormalWeb"/>
        <w:spacing w:before="240" w:beforeAutospacing="0" w:after="240" w:afterAutospacing="0"/>
        <w:ind w:left="720"/>
        <w:rPr>
          <w:rFonts w:ascii="Arial" w:hAnsi="Arial" w:cs="Arial"/>
          <w:color w:val="000000"/>
          <w:sz w:val="18"/>
          <w:szCs w:val="18"/>
        </w:rPr>
      </w:pPr>
      <w:r w:rsidRPr="005037DF">
        <w:rPr>
          <w:rFonts w:ascii="Arial" w:hAnsi="Arial" w:cs="Arial"/>
          <w:color w:val="000000"/>
          <w:sz w:val="18"/>
          <w:szCs w:val="18"/>
        </w:rPr>
        <w:t xml:space="preserve">Due to genuine and unintended administrative oversight in relation to whether </w:t>
      </w:r>
      <w:r w:rsidR="007E5286" w:rsidRPr="007E5286">
        <w:rPr>
          <w:rFonts w:ascii="Arial" w:hAnsi="Arial" w:cs="Arial"/>
          <w:color w:val="000000"/>
          <w:sz w:val="18"/>
          <w:szCs w:val="18"/>
        </w:rPr>
        <w:t>[Presenter 3]</w:t>
      </w:r>
      <w:r w:rsidRPr="005037DF">
        <w:rPr>
          <w:rFonts w:ascii="Arial" w:hAnsi="Arial" w:cs="Arial"/>
          <w:color w:val="000000"/>
          <w:sz w:val="18"/>
          <w:szCs w:val="18"/>
        </w:rPr>
        <w:t>’</w:t>
      </w:r>
      <w:r w:rsidR="00CF21C9">
        <w:rPr>
          <w:rFonts w:ascii="Arial" w:hAnsi="Arial" w:cs="Arial"/>
          <w:color w:val="000000"/>
          <w:sz w:val="18"/>
          <w:szCs w:val="18"/>
        </w:rPr>
        <w:t>s</w:t>
      </w:r>
      <w:r w:rsidRPr="005037DF">
        <w:rPr>
          <w:rFonts w:ascii="Arial" w:hAnsi="Arial" w:cs="Arial"/>
          <w:color w:val="000000"/>
          <w:sz w:val="18"/>
          <w:szCs w:val="18"/>
        </w:rPr>
        <w:t xml:space="preserve"> average hours on air exceeded the minimum threshold, the Licensee had not received information about </w:t>
      </w:r>
      <w:r w:rsidR="007E5286" w:rsidRPr="007E5286">
        <w:rPr>
          <w:rFonts w:ascii="Arial" w:hAnsi="Arial" w:cs="Arial"/>
          <w:color w:val="000000"/>
          <w:sz w:val="18"/>
          <w:szCs w:val="18"/>
        </w:rPr>
        <w:t>[Presenter 3]</w:t>
      </w:r>
      <w:r w:rsidRPr="005037DF">
        <w:rPr>
          <w:rFonts w:ascii="Arial" w:hAnsi="Arial" w:cs="Arial"/>
          <w:color w:val="000000"/>
          <w:sz w:val="18"/>
          <w:szCs w:val="18"/>
        </w:rPr>
        <w:t>’</w:t>
      </w:r>
      <w:r w:rsidR="00CF21C9">
        <w:rPr>
          <w:rFonts w:ascii="Arial" w:hAnsi="Arial" w:cs="Arial"/>
          <w:color w:val="000000"/>
          <w:sz w:val="18"/>
          <w:szCs w:val="18"/>
        </w:rPr>
        <w:t>s</w:t>
      </w:r>
      <w:r w:rsidRPr="005037DF">
        <w:rPr>
          <w:rFonts w:ascii="Arial" w:hAnsi="Arial" w:cs="Arial"/>
          <w:color w:val="000000"/>
          <w:sz w:val="18"/>
          <w:szCs w:val="18"/>
        </w:rPr>
        <w:t xml:space="preserve"> commercial agreement with </w:t>
      </w:r>
      <w:r w:rsidR="00D75DA9">
        <w:rPr>
          <w:rFonts w:ascii="Arial" w:hAnsi="Arial" w:cs="Arial"/>
          <w:color w:val="000000"/>
          <w:sz w:val="18"/>
          <w:szCs w:val="18"/>
        </w:rPr>
        <w:t>[Sponsor 3]</w:t>
      </w:r>
      <w:r w:rsidRPr="005037DF">
        <w:rPr>
          <w:rFonts w:ascii="Arial" w:hAnsi="Arial" w:cs="Arial"/>
          <w:color w:val="000000"/>
          <w:sz w:val="18"/>
          <w:szCs w:val="18"/>
        </w:rPr>
        <w:t xml:space="preserve"> [and with </w:t>
      </w:r>
      <w:r w:rsidR="007E096B">
        <w:rPr>
          <w:rFonts w:ascii="Arial" w:hAnsi="Arial" w:cs="Arial"/>
          <w:color w:val="000000"/>
          <w:sz w:val="18"/>
          <w:szCs w:val="18"/>
        </w:rPr>
        <w:t>Sponsor 4</w:t>
      </w:r>
      <w:r w:rsidRPr="005037DF">
        <w:rPr>
          <w:rFonts w:ascii="Arial" w:hAnsi="Arial" w:cs="Arial"/>
          <w:color w:val="000000"/>
          <w:sz w:val="18"/>
          <w:szCs w:val="18"/>
        </w:rPr>
        <w:t>] until 13 September 2023.</w:t>
      </w:r>
    </w:p>
    <w:p w14:paraId="65FFDF87" w14:textId="23ABC637" w:rsidR="00F56D7B" w:rsidRDefault="00F56D7B" w:rsidP="00F56D7B">
      <w:pPr>
        <w:pStyle w:val="ACMABodyText"/>
      </w:pPr>
      <w:r w:rsidRPr="005037DF">
        <w:t xml:space="preserve">The ACMA considers that the 2GB Licensee did not update the 2GB online register to include information about </w:t>
      </w:r>
      <w:r w:rsidR="007E5286" w:rsidRPr="007E5286">
        <w:t>[Presenter 3]</w:t>
      </w:r>
      <w:r w:rsidRPr="005037DF">
        <w:t>’</w:t>
      </w:r>
      <w:r w:rsidR="00F66C40">
        <w:t>s</w:t>
      </w:r>
      <w:r w:rsidRPr="005037DF">
        <w:t xml:space="preserve"> current commercial agreements within a reasonable timeframe. Consequently, the ACMA</w:t>
      </w:r>
      <w:r w:rsidR="00DC1176">
        <w:t xml:space="preserve"> finds</w:t>
      </w:r>
      <w:r w:rsidRPr="005037DF">
        <w:t xml:space="preserve"> that the 2GB Licensee breached </w:t>
      </w:r>
      <w:r w:rsidR="0021749F" w:rsidRPr="005037DF">
        <w:t xml:space="preserve">section </w:t>
      </w:r>
      <w:r w:rsidRPr="005037DF">
        <w:t xml:space="preserve">13 of the Standard and therefore also breached its licence condition under </w:t>
      </w:r>
      <w:r w:rsidR="00CD29B6" w:rsidRPr="005037DF">
        <w:t xml:space="preserve">paragraph </w:t>
      </w:r>
      <w:r w:rsidRPr="005037DF">
        <w:t>8</w:t>
      </w:r>
      <w:r w:rsidR="00CD29B6" w:rsidRPr="005037DF">
        <w:t>(1)(b)</w:t>
      </w:r>
      <w:r w:rsidRPr="005037DF">
        <w:t xml:space="preserve"> of Schedule 2 to the BSA.</w:t>
      </w:r>
      <w:r>
        <w:t xml:space="preserve"> </w:t>
      </w:r>
    </w:p>
    <w:p w14:paraId="242F29F1" w14:textId="10E87AA8" w:rsidR="00F56D7B" w:rsidRDefault="00F56D7B" w:rsidP="00F56D7B">
      <w:pPr>
        <w:pStyle w:val="ACMAHeading2"/>
      </w:pPr>
      <w:r>
        <w:lastRenderedPageBreak/>
        <w:t xml:space="preserve">BI-680 – The 3AW </w:t>
      </w:r>
      <w:r w:rsidR="00DB605F">
        <w:t xml:space="preserve">online </w:t>
      </w:r>
      <w:r>
        <w:t>register</w:t>
      </w:r>
    </w:p>
    <w:p w14:paraId="4068CB9B" w14:textId="77777777" w:rsidR="00F56D7B" w:rsidRDefault="00F56D7B" w:rsidP="00F56D7B">
      <w:pPr>
        <w:pStyle w:val="ACMABodyText"/>
      </w:pPr>
      <w:r>
        <w:t>The ACMA has assessed compliance by the 3AW Licensee with section 13 of the Standard with respect to commercial agreements between Jacqui Felgate and various companies.</w:t>
      </w:r>
    </w:p>
    <w:p w14:paraId="0F57D6F9" w14:textId="12FA02FE" w:rsidR="00F56D7B" w:rsidRPr="00B3784E" w:rsidRDefault="00F56D7B" w:rsidP="00F56D7B">
      <w:pPr>
        <w:pStyle w:val="ACMAHeading2"/>
      </w:pPr>
      <w:r w:rsidRPr="00B3784E">
        <w:t>Finding</w:t>
      </w:r>
    </w:p>
    <w:p w14:paraId="37DEC3E2" w14:textId="1C518F0F" w:rsidR="00F56D7B" w:rsidRPr="007A282E" w:rsidRDefault="00F56D7B" w:rsidP="00F56D7B">
      <w:pPr>
        <w:pStyle w:val="ACMABodyText"/>
      </w:pPr>
      <w:r w:rsidRPr="00B3784E">
        <w:t xml:space="preserve">The </w:t>
      </w:r>
      <w:r>
        <w:t xml:space="preserve">ACMA </w:t>
      </w:r>
      <w:r w:rsidR="00DC1176">
        <w:t>finds</w:t>
      </w:r>
      <w:r>
        <w:t xml:space="preserve"> that the </w:t>
      </w:r>
      <w:bookmarkStart w:id="11" w:name="_Hlk170799415"/>
      <w:r>
        <w:t>3AW</w:t>
      </w:r>
      <w:r w:rsidRPr="00B3784E">
        <w:t xml:space="preserve"> Licensee </w:t>
      </w:r>
      <w:r w:rsidRPr="009E1C6C">
        <w:t xml:space="preserve">breached section 13 of the Standard with respect to its online register of commercial agreements and was therefore also in breach of its licence condition </w:t>
      </w:r>
      <w:r w:rsidRPr="005037DF">
        <w:t xml:space="preserve">under </w:t>
      </w:r>
      <w:r w:rsidR="00CD29B6" w:rsidRPr="005037DF">
        <w:t xml:space="preserve">paragraph </w:t>
      </w:r>
      <w:r w:rsidRPr="005037DF">
        <w:t>8</w:t>
      </w:r>
      <w:r w:rsidR="00CD29B6" w:rsidRPr="005037DF">
        <w:t>(1)(b)</w:t>
      </w:r>
      <w:r w:rsidRPr="005037DF">
        <w:t xml:space="preserve"> of</w:t>
      </w:r>
      <w:r w:rsidRPr="009E1C6C">
        <w:t xml:space="preserve"> Schedule 2 to the BSA</w:t>
      </w:r>
      <w:r w:rsidR="00BD508A">
        <w:t>.</w:t>
      </w:r>
      <w:r>
        <w:t xml:space="preserve"> </w:t>
      </w:r>
    </w:p>
    <w:bookmarkEnd w:id="11"/>
    <w:p w14:paraId="780D7C21" w14:textId="77777777" w:rsidR="00F56D7B" w:rsidRDefault="00F56D7B" w:rsidP="00F56D7B">
      <w:pPr>
        <w:pStyle w:val="ACMAHeading2"/>
      </w:pPr>
      <w:r>
        <w:t>Reasons</w:t>
      </w:r>
    </w:p>
    <w:p w14:paraId="386005AF" w14:textId="2D48BC81" w:rsidR="00F56D7B" w:rsidRDefault="00F56D7B" w:rsidP="00F56D7B">
      <w:pPr>
        <w:pStyle w:val="ACMABodyText"/>
      </w:pPr>
      <w:r w:rsidRPr="004C08C8">
        <w:t>To assess com</w:t>
      </w:r>
      <w:r>
        <w:t>pliance the ACMA has addressed the following question:</w:t>
      </w:r>
    </w:p>
    <w:p w14:paraId="56C6E29D" w14:textId="77777777" w:rsidR="00F56D7B" w:rsidRDefault="00F56D7B" w:rsidP="00F56D7B">
      <w:pPr>
        <w:pStyle w:val="ACMABodyText"/>
        <w:numPr>
          <w:ilvl w:val="0"/>
          <w:numId w:val="17"/>
        </w:numPr>
      </w:pPr>
      <w:r>
        <w:t>Did the online register include information about each current commercial agreement to which a presenter of the licensee was a party?</w:t>
      </w:r>
    </w:p>
    <w:p w14:paraId="57F572E4" w14:textId="25DC4FB5" w:rsidR="00F56D7B" w:rsidRDefault="00F56D7B" w:rsidP="00F56D7B">
      <w:pPr>
        <w:pStyle w:val="ACMABodyText0"/>
        <w:rPr>
          <w:rFonts w:ascii="Arial" w:hAnsi="Arial" w:cs="Arial"/>
          <w:sz w:val="20"/>
          <w:u w:val="single"/>
        </w:rPr>
      </w:pPr>
      <w:r>
        <w:rPr>
          <w:rFonts w:ascii="Arial" w:hAnsi="Arial" w:cs="Arial"/>
          <w:sz w:val="20"/>
          <w:u w:val="single"/>
        </w:rPr>
        <w:t>Agreements between Jacqui Felgate and various companies</w:t>
      </w:r>
      <w:r w:rsidR="00F84CC9">
        <w:rPr>
          <w:rFonts w:ascii="Arial" w:hAnsi="Arial" w:cs="Arial"/>
          <w:sz w:val="20"/>
          <w:u w:val="single"/>
        </w:rPr>
        <w:t xml:space="preserve"> that were added to the </w:t>
      </w:r>
      <w:r w:rsidR="004B1C76">
        <w:rPr>
          <w:rFonts w:ascii="Arial" w:hAnsi="Arial" w:cs="Arial"/>
          <w:sz w:val="20"/>
          <w:u w:val="single"/>
        </w:rPr>
        <w:t xml:space="preserve">online </w:t>
      </w:r>
      <w:r w:rsidR="00F84CC9">
        <w:rPr>
          <w:rFonts w:ascii="Arial" w:hAnsi="Arial" w:cs="Arial"/>
          <w:sz w:val="20"/>
          <w:u w:val="single"/>
        </w:rPr>
        <w:t>register</w:t>
      </w:r>
    </w:p>
    <w:p w14:paraId="7E4569F1" w14:textId="40FFB358" w:rsidR="00F56D7B" w:rsidRPr="00CE584A" w:rsidRDefault="00F56D7B" w:rsidP="00F56D7B">
      <w:pPr>
        <w:pStyle w:val="ACMABodyText"/>
      </w:pPr>
      <w:r>
        <w:t xml:space="preserve">The ACMA has considered whether the 3AW Licensee updated the online register to include information about Ms Felgate’s current commercial agreements in a timeframe that was reasonable in the circumstances. </w:t>
      </w:r>
      <w:r>
        <w:rPr>
          <w:rFonts w:cs="Arial"/>
        </w:rPr>
        <w:t>Information about the commercial agreements</w:t>
      </w:r>
      <w:r w:rsidR="00BB0131">
        <w:rPr>
          <w:rFonts w:cs="Arial"/>
        </w:rPr>
        <w:t xml:space="preserve"> is</w:t>
      </w:r>
      <w:r>
        <w:rPr>
          <w:rFonts w:cs="Arial"/>
        </w:rPr>
        <w:t xml:space="preserve"> at </w:t>
      </w:r>
      <w:r w:rsidRPr="003066EF">
        <w:rPr>
          <w:rFonts w:cs="Arial"/>
          <w:b/>
          <w:bCs/>
        </w:rPr>
        <w:t>Attachment B</w:t>
      </w:r>
      <w:r>
        <w:rPr>
          <w:rFonts w:cs="Arial"/>
        </w:rPr>
        <w:t>.</w:t>
      </w:r>
    </w:p>
    <w:p w14:paraId="47FE4FF1" w14:textId="77777777" w:rsidR="00F56D7B" w:rsidRDefault="00F56D7B" w:rsidP="00F56D7B">
      <w:pPr>
        <w:pStyle w:val="ACMABodyText"/>
        <w:rPr>
          <w:rFonts w:cs="Arial"/>
        </w:rPr>
      </w:pPr>
      <w:r>
        <w:rPr>
          <w:rFonts w:cs="Arial"/>
        </w:rPr>
        <w:t xml:space="preserve">Between 25 July 2023 and 15 January 2024, Ms Felgate was employed by the Radio 3AW Licensee as an on-air current affairs presenter on the </w:t>
      </w:r>
      <w:r>
        <w:rPr>
          <w:rFonts w:cs="Arial"/>
          <w:i/>
          <w:iCs/>
        </w:rPr>
        <w:t xml:space="preserve">Afternoons </w:t>
      </w:r>
      <w:r>
        <w:rPr>
          <w:rFonts w:cs="Arial"/>
        </w:rPr>
        <w:t>program.</w:t>
      </w:r>
    </w:p>
    <w:p w14:paraId="024DA11A" w14:textId="05A17EB6" w:rsidR="00F56D7B" w:rsidRDefault="00F56D7B" w:rsidP="00982AB6">
      <w:pPr>
        <w:pStyle w:val="ACMABodyText"/>
        <w:rPr>
          <w:rFonts w:cs="Arial"/>
        </w:rPr>
      </w:pPr>
      <w:r>
        <w:rPr>
          <w:rFonts w:cs="Arial"/>
        </w:rPr>
        <w:t xml:space="preserve">Ms Felgate entered into eight commercial agreements prior to commencing as a presenter on </w:t>
      </w:r>
      <w:r>
        <w:rPr>
          <w:rFonts w:cs="Arial"/>
          <w:i/>
          <w:iCs/>
        </w:rPr>
        <w:t xml:space="preserve">Afternoons. </w:t>
      </w:r>
      <w:r w:rsidRPr="00982AB6">
        <w:t>These</w:t>
      </w:r>
      <w:r>
        <w:rPr>
          <w:rFonts w:cs="Arial"/>
        </w:rPr>
        <w:t xml:space="preserve"> became current commercial agreements for the purpose </w:t>
      </w:r>
      <w:r w:rsidRPr="004B482F">
        <w:rPr>
          <w:rFonts w:cs="Arial"/>
        </w:rPr>
        <w:t xml:space="preserve">of </w:t>
      </w:r>
      <w:r w:rsidR="00717574" w:rsidRPr="004B482F">
        <w:rPr>
          <w:rFonts w:cs="Arial"/>
        </w:rPr>
        <w:t>s</w:t>
      </w:r>
      <w:r>
        <w:rPr>
          <w:rFonts w:cs="Arial"/>
        </w:rPr>
        <w:t>ection 13 of the Standard on 25 July 2023.</w:t>
      </w:r>
      <w:r w:rsidRPr="000142CA">
        <w:rPr>
          <w:rFonts w:cs="Arial"/>
        </w:rPr>
        <w:t xml:space="preserve"> </w:t>
      </w:r>
    </w:p>
    <w:p w14:paraId="772A2009" w14:textId="77777777" w:rsidR="00F56D7B" w:rsidRDefault="00F56D7B" w:rsidP="00F56D7B">
      <w:pPr>
        <w:pStyle w:val="ACMABodyText0"/>
        <w:rPr>
          <w:rFonts w:ascii="Arial" w:hAnsi="Arial" w:cs="Arial"/>
          <w:sz w:val="20"/>
        </w:rPr>
      </w:pPr>
      <w:r>
        <w:rPr>
          <w:rFonts w:ascii="Arial" w:hAnsi="Arial" w:cs="Arial"/>
          <w:sz w:val="20"/>
        </w:rPr>
        <w:t>Ms Felgate entered into six commercial agreements after 25 July 2023.</w:t>
      </w:r>
    </w:p>
    <w:p w14:paraId="261BDEF4" w14:textId="77777777" w:rsidR="00F56D7B" w:rsidRDefault="00F56D7B" w:rsidP="00F56D7B">
      <w:pPr>
        <w:autoSpaceDE w:val="0"/>
        <w:autoSpaceDN w:val="0"/>
        <w:adjustRightInd w:val="0"/>
        <w:spacing w:before="0" w:after="0" w:line="360" w:lineRule="auto"/>
        <w:rPr>
          <w:rFonts w:cs="Arial"/>
          <w:i w:val="0"/>
          <w:color w:val="000000"/>
          <w:szCs w:val="20"/>
          <w:lang w:eastAsia="en-AU"/>
        </w:rPr>
      </w:pPr>
      <w:r>
        <w:rPr>
          <w:rFonts w:cs="Arial"/>
          <w:i w:val="0"/>
          <w:color w:val="000000"/>
          <w:szCs w:val="20"/>
          <w:lang w:eastAsia="en-AU"/>
        </w:rPr>
        <w:t>The Radio 3AW Licensee submitted:</w:t>
      </w:r>
    </w:p>
    <w:p w14:paraId="1644ED6B" w14:textId="77777777" w:rsidR="00F56D7B" w:rsidRPr="0076387E" w:rsidRDefault="00F56D7B" w:rsidP="00F56D7B">
      <w:pPr>
        <w:pStyle w:val="Default"/>
        <w:widowControl w:val="0"/>
        <w:ind w:left="720"/>
        <w:contextualSpacing/>
        <w:rPr>
          <w:rFonts w:ascii="Arial" w:hAnsi="Arial" w:cs="Arial"/>
          <w:color w:val="auto"/>
          <w:sz w:val="18"/>
          <w:szCs w:val="18"/>
        </w:rPr>
      </w:pPr>
      <w:r w:rsidRPr="0076387E">
        <w:rPr>
          <w:rFonts w:ascii="Arial" w:hAnsi="Arial" w:cs="Arial"/>
          <w:color w:val="auto"/>
          <w:sz w:val="18"/>
          <w:szCs w:val="18"/>
        </w:rPr>
        <w:t xml:space="preserve">Following 3AW’s appointment of Ms Felgate as the new 2024 host of its Drive program, effective 15 January 2024, 3AW was in the process of assisting Ms Felgate transition from a sport hosting role to a current affairs hosting role. As part of that transition, 3AW had been in the process of preparing Ms Felgate’s commercial agreements for disclosure on the Register in compliance with its obligations under the Standard, as per 3AW’s practice with all new current affairs presenters. </w:t>
      </w:r>
    </w:p>
    <w:p w14:paraId="6D54CCE1" w14:textId="77777777" w:rsidR="00F56D7B" w:rsidRPr="0076387E" w:rsidRDefault="00F56D7B" w:rsidP="00F56D7B">
      <w:pPr>
        <w:pStyle w:val="ACMABodyText"/>
        <w:widowControl w:val="0"/>
        <w:spacing w:line="240" w:lineRule="auto"/>
        <w:ind w:left="720"/>
        <w:contextualSpacing/>
        <w:rPr>
          <w:sz w:val="18"/>
          <w:szCs w:val="18"/>
        </w:rPr>
      </w:pPr>
    </w:p>
    <w:p w14:paraId="6944B79E" w14:textId="77777777" w:rsidR="00F56D7B" w:rsidRPr="0076387E" w:rsidRDefault="00F56D7B" w:rsidP="00F56D7B">
      <w:pPr>
        <w:pStyle w:val="ACMABodyText"/>
        <w:widowControl w:val="0"/>
        <w:spacing w:line="240" w:lineRule="auto"/>
        <w:ind w:left="720"/>
        <w:contextualSpacing/>
      </w:pPr>
      <w:r w:rsidRPr="0076387E">
        <w:rPr>
          <w:sz w:val="18"/>
          <w:szCs w:val="18"/>
        </w:rPr>
        <w:t>Due to sudden and unforeseen changes to 3AW’s existing 2023 on-air lineup, Ms Felgate was asked to fill-in temporarily on its Afternoons program. Due to a genuine and unintended oversight during this transition period, the 3AW Register had not been updated to include Ms Felgate’s commercial agreements at that time</w:t>
      </w:r>
      <w:r w:rsidRPr="0076387E">
        <w:t>.</w:t>
      </w:r>
    </w:p>
    <w:p w14:paraId="0C450730" w14:textId="77777777" w:rsidR="00F56D7B" w:rsidRPr="00306798" w:rsidRDefault="00F56D7B" w:rsidP="00F56D7B">
      <w:pPr>
        <w:pStyle w:val="ACMABodyText"/>
        <w:widowControl w:val="0"/>
        <w:spacing w:line="240" w:lineRule="auto"/>
        <w:ind w:left="720"/>
        <w:contextualSpacing/>
        <w:rPr>
          <w:lang w:eastAsia="en-AU"/>
        </w:rPr>
      </w:pPr>
    </w:p>
    <w:p w14:paraId="4F31674C" w14:textId="77777777" w:rsidR="00F56D7B" w:rsidRDefault="00F56D7B" w:rsidP="00F56D7B">
      <w:pPr>
        <w:pStyle w:val="ACMABodyText"/>
        <w:spacing w:line="240" w:lineRule="auto"/>
      </w:pPr>
      <w:r>
        <w:t xml:space="preserve">The ACMA identified the period during which the Radio 3AW online register did not include information about each of Ms Felgate’s current commercial agreements. The timeframes are summarised below:  </w:t>
      </w:r>
    </w:p>
    <w:p w14:paraId="3554A48E" w14:textId="0F69977F" w:rsidR="00F56D7B" w:rsidRPr="004577C6" w:rsidRDefault="00F56D7B" w:rsidP="00BC3CF2">
      <w:pPr>
        <w:pStyle w:val="ACMABodyText"/>
        <w:numPr>
          <w:ilvl w:val="0"/>
          <w:numId w:val="34"/>
        </w:numPr>
      </w:pPr>
      <w:r w:rsidRPr="00BC3CF2">
        <w:t>Melbourne Airport - 62 days</w:t>
      </w:r>
      <w:r w:rsidR="0007057B">
        <w:t>.</w:t>
      </w:r>
    </w:p>
    <w:p w14:paraId="0B399C2D" w14:textId="77777777" w:rsidR="00F56D7B" w:rsidRPr="00BC3CF2" w:rsidRDefault="00F56D7B" w:rsidP="00BC3CF2">
      <w:pPr>
        <w:pStyle w:val="ACMABodyText"/>
        <w:numPr>
          <w:ilvl w:val="0"/>
          <w:numId w:val="34"/>
        </w:numPr>
      </w:pPr>
      <w:r w:rsidRPr="00BC3CF2">
        <w:t>La Roche Posay, Chemist Warehouse, Racing Victoria (Off the Track), Smile Solutions, Maybelline, BMW, and Villawood Property</w:t>
      </w:r>
      <w:r>
        <w:t xml:space="preserve"> - 58 days each.</w:t>
      </w:r>
    </w:p>
    <w:p w14:paraId="3C2933DA" w14:textId="77777777" w:rsidR="00F56D7B" w:rsidRPr="004577C6" w:rsidRDefault="00F56D7B" w:rsidP="00BC3CF2">
      <w:pPr>
        <w:pStyle w:val="ACMABodyText"/>
        <w:numPr>
          <w:ilvl w:val="0"/>
          <w:numId w:val="34"/>
        </w:numPr>
      </w:pPr>
      <w:r w:rsidRPr="00BC3CF2">
        <w:lastRenderedPageBreak/>
        <w:t>NAB AFL Auskick - 57 days.</w:t>
      </w:r>
    </w:p>
    <w:p w14:paraId="13B7134E" w14:textId="47DF27CD" w:rsidR="00F56D7B" w:rsidRPr="005E6547" w:rsidRDefault="00F56D7B" w:rsidP="00BC3CF2">
      <w:pPr>
        <w:pStyle w:val="ACMABodyText"/>
        <w:numPr>
          <w:ilvl w:val="0"/>
          <w:numId w:val="34"/>
        </w:numPr>
      </w:pPr>
      <w:r w:rsidRPr="00BC3CF2">
        <w:t>All Kinds - 18 days</w:t>
      </w:r>
      <w:r w:rsidR="0007057B">
        <w:t>.</w:t>
      </w:r>
    </w:p>
    <w:p w14:paraId="716C5A65" w14:textId="3F66B00B" w:rsidR="00F56D7B" w:rsidRPr="005E6547" w:rsidRDefault="00F56D7B" w:rsidP="00BC3CF2">
      <w:pPr>
        <w:pStyle w:val="ACMABodyText"/>
        <w:numPr>
          <w:ilvl w:val="0"/>
          <w:numId w:val="34"/>
        </w:numPr>
      </w:pPr>
      <w:r w:rsidRPr="00BC3CF2">
        <w:t>Chadstone - 13 days</w:t>
      </w:r>
      <w:r w:rsidR="0007057B">
        <w:t>.</w:t>
      </w:r>
    </w:p>
    <w:p w14:paraId="648F0C67" w14:textId="1F86C42A" w:rsidR="00C86D56" w:rsidRDefault="00F56D7B" w:rsidP="00C86D56">
      <w:pPr>
        <w:pStyle w:val="ACMABodyText"/>
        <w:numPr>
          <w:ilvl w:val="0"/>
          <w:numId w:val="34"/>
        </w:numPr>
      </w:pPr>
      <w:r w:rsidRPr="00BC3CF2">
        <w:t>Globe West and Fine Day – 12 days each</w:t>
      </w:r>
      <w:r w:rsidR="0007057B">
        <w:t>.</w:t>
      </w:r>
    </w:p>
    <w:p w14:paraId="1E521E7C" w14:textId="77777777" w:rsidR="00A50FDB" w:rsidRDefault="00C86D56" w:rsidP="00F56D7B">
      <w:pPr>
        <w:pStyle w:val="ACMABodyText"/>
      </w:pPr>
      <w:r w:rsidRPr="004B482F">
        <w:t xml:space="preserve">The ACMA considers that the Radio 3AW Licensee did not include information on the online register about </w:t>
      </w:r>
      <w:r w:rsidR="00570C2C" w:rsidRPr="00A50FDB">
        <w:t xml:space="preserve">each of </w:t>
      </w:r>
      <w:r w:rsidRPr="00A50FDB">
        <w:t>the above current commercial agreements</w:t>
      </w:r>
      <w:r w:rsidR="00570C2C" w:rsidRPr="00A50FDB">
        <w:t xml:space="preserve"> of Ms Felgate’s</w:t>
      </w:r>
      <w:r w:rsidRPr="00A50FDB">
        <w:t xml:space="preserve"> within a reasonable timeframe.</w:t>
      </w:r>
    </w:p>
    <w:p w14:paraId="394B87E7" w14:textId="7FEA028B" w:rsidR="004B413B" w:rsidRDefault="004B413B" w:rsidP="00F56D7B">
      <w:pPr>
        <w:pStyle w:val="ACMABodyText"/>
        <w:rPr>
          <w:rFonts w:cs="Arial"/>
          <w:u w:val="single"/>
        </w:rPr>
      </w:pPr>
      <w:r>
        <w:rPr>
          <w:rFonts w:cs="Arial"/>
        </w:rPr>
        <w:t>Consequently, the A</w:t>
      </w:r>
      <w:r>
        <w:t xml:space="preserve">CMA </w:t>
      </w:r>
      <w:r w:rsidR="00DC1176">
        <w:t>finds</w:t>
      </w:r>
      <w:r>
        <w:t xml:space="preserve"> that the 3AW</w:t>
      </w:r>
      <w:r w:rsidRPr="00B3784E">
        <w:t xml:space="preserve"> Licensee </w:t>
      </w:r>
      <w:r w:rsidRPr="00E75D6C">
        <w:t xml:space="preserve">breached section 13 of the Standard </w:t>
      </w:r>
      <w:r>
        <w:t>with respect to its online register of commercial agreements</w:t>
      </w:r>
      <w:r w:rsidRPr="00E75D6C">
        <w:t xml:space="preserve"> and was therefore in breach of its licence conditi</w:t>
      </w:r>
      <w:r>
        <w:t xml:space="preserve">on </w:t>
      </w:r>
      <w:r w:rsidRPr="004B482F">
        <w:t>under paragraph 8(1)(b) of</w:t>
      </w:r>
      <w:r>
        <w:t xml:space="preserve"> Schedule 2 to the BSA</w:t>
      </w:r>
      <w:r w:rsidR="00135622">
        <w:t>.</w:t>
      </w:r>
    </w:p>
    <w:p w14:paraId="32BFD78B" w14:textId="712025EA" w:rsidR="00A50FDB" w:rsidRPr="00A50FDB" w:rsidRDefault="00A50FDB" w:rsidP="00F56D7B">
      <w:pPr>
        <w:pStyle w:val="ACMABodyText"/>
        <w:rPr>
          <w:u w:val="single"/>
        </w:rPr>
      </w:pPr>
      <w:r w:rsidRPr="00A50FDB">
        <w:rPr>
          <w:rFonts w:cs="Arial"/>
          <w:u w:val="single"/>
        </w:rPr>
        <w:t>Agreement between Jacqui Felgate and Coles</w:t>
      </w:r>
      <w:r w:rsidR="00F84CC9">
        <w:rPr>
          <w:rFonts w:cs="Arial"/>
          <w:u w:val="single"/>
        </w:rPr>
        <w:t xml:space="preserve"> that was not added to the </w:t>
      </w:r>
      <w:r w:rsidR="00C6636B">
        <w:rPr>
          <w:rFonts w:cs="Arial"/>
          <w:u w:val="single"/>
        </w:rPr>
        <w:t xml:space="preserve">online </w:t>
      </w:r>
      <w:r w:rsidR="00F84CC9">
        <w:rPr>
          <w:rFonts w:cs="Arial"/>
          <w:u w:val="single"/>
        </w:rPr>
        <w:t>register</w:t>
      </w:r>
    </w:p>
    <w:p w14:paraId="02FBDFBD" w14:textId="77777777" w:rsidR="00A50FDB" w:rsidRDefault="00F56D7B" w:rsidP="00F56D7B">
      <w:pPr>
        <w:pStyle w:val="ACMABodyText"/>
      </w:pPr>
      <w:r>
        <w:t xml:space="preserve">Ms </w:t>
      </w:r>
      <w:r w:rsidRPr="00A52E42">
        <w:t xml:space="preserve">Felgate entered into a commercial agreement with Coles on 4 August 2023 that ended on 19 September 2023. </w:t>
      </w:r>
      <w:r w:rsidR="00936547" w:rsidRPr="00A52E42">
        <w:t xml:space="preserve">For the purposes of section 13 of the Standard, this was a current commercial agreement for the </w:t>
      </w:r>
      <w:r w:rsidR="00296603" w:rsidRPr="00A52E42">
        <w:t>period 4 August 2023 to 19 September 2023.</w:t>
      </w:r>
      <w:r w:rsidR="00296603">
        <w:t xml:space="preserve"> </w:t>
      </w:r>
    </w:p>
    <w:p w14:paraId="517CE398" w14:textId="4A0744AE" w:rsidR="00F56D7B" w:rsidRDefault="00F56D7B" w:rsidP="00F56D7B">
      <w:pPr>
        <w:pStyle w:val="ACMABodyText"/>
      </w:pPr>
      <w:r w:rsidRPr="00507EC2">
        <w:t xml:space="preserve">The Radio 3AW Licensee did not add information to the online register about this commercial agreement at any time because it was no longer a current agreement </w:t>
      </w:r>
      <w:r w:rsidR="00BB0131" w:rsidRPr="00507EC2">
        <w:t xml:space="preserve">on 21 September 2023 </w:t>
      </w:r>
      <w:r w:rsidRPr="00507EC2">
        <w:t xml:space="preserve">when </w:t>
      </w:r>
      <w:r w:rsidR="009A1C62" w:rsidRPr="00507EC2">
        <w:t xml:space="preserve">Ms Felgate provided </w:t>
      </w:r>
      <w:r w:rsidR="008D0A78" w:rsidRPr="00507EC2">
        <w:t xml:space="preserve">a copy </w:t>
      </w:r>
      <w:r w:rsidR="009A1C62" w:rsidRPr="00507EC2">
        <w:t xml:space="preserve">to </w:t>
      </w:r>
      <w:r w:rsidRPr="00507EC2">
        <w:t xml:space="preserve">the </w:t>
      </w:r>
      <w:r w:rsidR="00C119CB" w:rsidRPr="00507EC2">
        <w:t>l</w:t>
      </w:r>
      <w:r w:rsidRPr="00507EC2">
        <w:t>icensee</w:t>
      </w:r>
      <w:r w:rsidR="00FA04EF" w:rsidRPr="00507EC2">
        <w:t>.</w:t>
      </w:r>
    </w:p>
    <w:p w14:paraId="34843136" w14:textId="77777777" w:rsidR="004B413B" w:rsidRPr="004B413B" w:rsidRDefault="004B413B" w:rsidP="004B413B">
      <w:pPr>
        <w:pStyle w:val="ACMABodyText"/>
      </w:pPr>
      <w:r w:rsidRPr="004B413B">
        <w:t>As outlined above, the Radio 3AW Licensee submitted that delays occurred in adding information to the online register, about Ms Felgate’s commercial agreements, due to a genuine and unintended oversight.</w:t>
      </w:r>
    </w:p>
    <w:p w14:paraId="4D12E30B" w14:textId="4F70955E" w:rsidR="00F56D7B" w:rsidRDefault="004B413B" w:rsidP="00F56D7B">
      <w:pPr>
        <w:pStyle w:val="ACMABodyText"/>
        <w:rPr>
          <w:rFonts w:cs="Arial"/>
        </w:rPr>
      </w:pPr>
      <w:r w:rsidRPr="004B482F">
        <w:t xml:space="preserve">The ACMA considers that the Radio 3AW Licensee </w:t>
      </w:r>
      <w:r>
        <w:t xml:space="preserve">failed to </w:t>
      </w:r>
      <w:r w:rsidRPr="004B482F">
        <w:t>include information on the online register about</w:t>
      </w:r>
      <w:r>
        <w:t xml:space="preserve"> the commercial agreement between Ms Felgate and Coles</w:t>
      </w:r>
      <w:r w:rsidR="00F91A88">
        <w:t>.</w:t>
      </w:r>
      <w:r>
        <w:t xml:space="preserve"> </w:t>
      </w:r>
      <w:r w:rsidR="00F56D7B">
        <w:rPr>
          <w:rFonts w:cs="Arial"/>
        </w:rPr>
        <w:t>Consequently, the A</w:t>
      </w:r>
      <w:r w:rsidR="00F56D7B">
        <w:t xml:space="preserve">CMA </w:t>
      </w:r>
      <w:r w:rsidR="00DC1176">
        <w:t xml:space="preserve">finds </w:t>
      </w:r>
      <w:r w:rsidR="00F56D7B">
        <w:t>that the 3AW</w:t>
      </w:r>
      <w:r w:rsidR="00F56D7B" w:rsidRPr="00B3784E">
        <w:t xml:space="preserve"> Licensee </w:t>
      </w:r>
      <w:r w:rsidR="00F56D7B" w:rsidRPr="00E75D6C">
        <w:t xml:space="preserve">breached section 13 of the Standard </w:t>
      </w:r>
      <w:r w:rsidR="00F56D7B">
        <w:t>with respect to its online register of commercial agreements</w:t>
      </w:r>
      <w:r w:rsidR="00F56D7B" w:rsidRPr="00E75D6C">
        <w:t xml:space="preserve"> and was therefore in breach of its licence conditi</w:t>
      </w:r>
      <w:r w:rsidR="00F56D7B">
        <w:t xml:space="preserve">on </w:t>
      </w:r>
      <w:r w:rsidR="00F56D7B" w:rsidRPr="004B482F">
        <w:t xml:space="preserve">under </w:t>
      </w:r>
      <w:r w:rsidR="00CD29B6" w:rsidRPr="004B482F">
        <w:t>parag</w:t>
      </w:r>
      <w:r w:rsidR="00FA3D11" w:rsidRPr="004B482F">
        <w:t>raph</w:t>
      </w:r>
      <w:r w:rsidR="00CD29B6" w:rsidRPr="004B482F">
        <w:t xml:space="preserve"> </w:t>
      </w:r>
      <w:r w:rsidR="00F56D7B" w:rsidRPr="004B482F">
        <w:t>8</w:t>
      </w:r>
      <w:r w:rsidR="00FA3D11" w:rsidRPr="004B482F">
        <w:t>(1)(b)</w:t>
      </w:r>
      <w:r w:rsidR="00F56D7B" w:rsidRPr="004B482F">
        <w:t xml:space="preserve"> of</w:t>
      </w:r>
      <w:r w:rsidR="00F56D7B">
        <w:t xml:space="preserve"> Schedule 2 to the BSA.</w:t>
      </w:r>
    </w:p>
    <w:p w14:paraId="689CF483" w14:textId="77777777" w:rsidR="00F56D7B" w:rsidRDefault="00F56D7B" w:rsidP="00F56D7B">
      <w:pPr>
        <w:pStyle w:val="ACMAHeading2"/>
      </w:pPr>
      <w:r>
        <w:t>BI-681 – The 4BC register</w:t>
      </w:r>
    </w:p>
    <w:p w14:paraId="3E181578" w14:textId="0FE4FF88" w:rsidR="00D9115C" w:rsidRPr="00F1325E" w:rsidRDefault="00D9115C" w:rsidP="00F1325E">
      <w:pPr>
        <w:rPr>
          <w:rFonts w:ascii="Calibri" w:hAnsi="Calibri"/>
          <w:i w:val="0"/>
          <w:iCs/>
          <w:szCs w:val="22"/>
        </w:rPr>
      </w:pPr>
      <w:r w:rsidRPr="00D9115C">
        <w:rPr>
          <w:i w:val="0"/>
          <w:iCs/>
        </w:rPr>
        <w:t xml:space="preserve">The ACMA has assessed compliance by the 4BC Licensee with section 13 of the Standard with respect to a commercial agreement between Sofie Formica and the </w:t>
      </w:r>
      <w:r w:rsidRPr="00D9115C">
        <w:rPr>
          <w:i w:val="0"/>
          <w:iCs/>
          <w:color w:val="000000"/>
          <w:lang w:eastAsia="en-AU"/>
        </w:rPr>
        <w:t>Brisbane Economic Development Agency (</w:t>
      </w:r>
      <w:r w:rsidRPr="00F1325E">
        <w:rPr>
          <w:b/>
          <w:bCs/>
          <w:i w:val="0"/>
          <w:iCs/>
          <w:color w:val="000000"/>
          <w:lang w:eastAsia="en-AU"/>
        </w:rPr>
        <w:t>BED</w:t>
      </w:r>
      <w:r w:rsidR="00F1325E" w:rsidRPr="00F1325E">
        <w:rPr>
          <w:b/>
          <w:bCs/>
          <w:i w:val="0"/>
          <w:iCs/>
          <w:color w:val="000000"/>
          <w:lang w:eastAsia="en-AU"/>
        </w:rPr>
        <w:t>A</w:t>
      </w:r>
      <w:r w:rsidR="00F1325E">
        <w:rPr>
          <w:i w:val="0"/>
          <w:iCs/>
          <w:color w:val="000000"/>
          <w:lang w:eastAsia="en-AU"/>
        </w:rPr>
        <w:t>).</w:t>
      </w:r>
    </w:p>
    <w:p w14:paraId="3CFC649A" w14:textId="2D1F0F31" w:rsidR="00D9115C" w:rsidRPr="00B3784E" w:rsidRDefault="00D9115C" w:rsidP="00D9115C">
      <w:pPr>
        <w:pStyle w:val="ACMAHeading2"/>
      </w:pPr>
      <w:r w:rsidRPr="00B3784E">
        <w:t>Finding</w:t>
      </w:r>
    </w:p>
    <w:p w14:paraId="39AC30C7" w14:textId="79ECBF24" w:rsidR="00D9115C" w:rsidRPr="007A282E" w:rsidRDefault="00D9115C" w:rsidP="00D9115C">
      <w:pPr>
        <w:pStyle w:val="ACMABodyText"/>
      </w:pPr>
      <w:bookmarkStart w:id="12" w:name="_Hlk170816184"/>
      <w:r w:rsidRPr="00B3784E">
        <w:t xml:space="preserve">The </w:t>
      </w:r>
      <w:r>
        <w:t xml:space="preserve">ACMA </w:t>
      </w:r>
      <w:r w:rsidR="001E1263">
        <w:t>d</w:t>
      </w:r>
      <w:r w:rsidR="009B78B4">
        <w:t>oes</w:t>
      </w:r>
      <w:r w:rsidR="001E1263">
        <w:t xml:space="preserve"> not </w:t>
      </w:r>
      <w:r w:rsidR="00DC1176">
        <w:t>find</w:t>
      </w:r>
      <w:r>
        <w:t xml:space="preserve"> that the </w:t>
      </w:r>
      <w:bookmarkStart w:id="13" w:name="_Hlk170799401"/>
      <w:r>
        <w:t>4BC</w:t>
      </w:r>
      <w:r w:rsidRPr="00B3784E">
        <w:t xml:space="preserve"> Licensee </w:t>
      </w:r>
      <w:r w:rsidRPr="009E1C6C">
        <w:t>breach</w:t>
      </w:r>
      <w:r w:rsidR="001E1263">
        <w:t>ed</w:t>
      </w:r>
      <w:r w:rsidRPr="009E1C6C">
        <w:t xml:space="preserve"> section 13 of the Standard</w:t>
      </w:r>
      <w:bookmarkEnd w:id="12"/>
      <w:r w:rsidRPr="009E1C6C">
        <w:t xml:space="preserve"> with respect to its online register of commercial agreements and was therefore </w:t>
      </w:r>
      <w:r w:rsidR="00DF01D9">
        <w:t xml:space="preserve">not </w:t>
      </w:r>
      <w:r w:rsidRPr="009E1C6C">
        <w:t xml:space="preserve">in breach of its licence condition under </w:t>
      </w:r>
      <w:r w:rsidR="00FA3D11" w:rsidRPr="004B482F">
        <w:t xml:space="preserve">paragraph </w:t>
      </w:r>
      <w:r w:rsidRPr="004B482F">
        <w:t>8</w:t>
      </w:r>
      <w:r w:rsidR="00FA3D11" w:rsidRPr="004B482F">
        <w:t>(1)(b)</w:t>
      </w:r>
      <w:r w:rsidRPr="004B482F">
        <w:t xml:space="preserve"> of</w:t>
      </w:r>
      <w:r w:rsidRPr="009E1C6C">
        <w:t xml:space="preserve"> Schedule 2 to the BSA</w:t>
      </w:r>
      <w:r w:rsidR="00B75B3D">
        <w:t>.</w:t>
      </w:r>
      <w:r>
        <w:t xml:space="preserve"> </w:t>
      </w:r>
      <w:bookmarkEnd w:id="13"/>
    </w:p>
    <w:p w14:paraId="1639877F" w14:textId="77777777" w:rsidR="00F56D7B" w:rsidRDefault="00F56D7B" w:rsidP="00F56D7B">
      <w:pPr>
        <w:pStyle w:val="ACMAHeading2"/>
      </w:pPr>
      <w:r>
        <w:t>Reasons</w:t>
      </w:r>
    </w:p>
    <w:p w14:paraId="59AACFEB" w14:textId="5B93A649" w:rsidR="00D9115C" w:rsidRDefault="00D9115C" w:rsidP="00D9115C">
      <w:pPr>
        <w:pStyle w:val="ACMABodyText"/>
      </w:pPr>
      <w:r w:rsidRPr="004C08C8">
        <w:t>To assess com</w:t>
      </w:r>
      <w:r>
        <w:t>pliance the ACMA has addressed the following question:</w:t>
      </w:r>
    </w:p>
    <w:p w14:paraId="08F75C1E" w14:textId="77777777" w:rsidR="00D9115C" w:rsidRDefault="00D9115C" w:rsidP="00D9115C">
      <w:pPr>
        <w:pStyle w:val="ACMABodyText"/>
        <w:numPr>
          <w:ilvl w:val="0"/>
          <w:numId w:val="17"/>
        </w:numPr>
      </w:pPr>
      <w:r>
        <w:t>Did the online register include information about each current commercial agreement to which a presenter of the licensee was a party?</w:t>
      </w:r>
    </w:p>
    <w:p w14:paraId="22E50B63" w14:textId="7BBF40A8" w:rsidR="00FA04EF" w:rsidRPr="00565471" w:rsidRDefault="00FA04EF" w:rsidP="00565471">
      <w:pPr>
        <w:pStyle w:val="ACMABodyText"/>
      </w:pPr>
      <w:r w:rsidRPr="00565471">
        <w:lastRenderedPageBreak/>
        <w:t>The ACMA has considered whether the 4BC Licensee updated the online register to include information about Ms Formica’s current commercial agreement with BEDA in a timeframe that was reasonable in the circumstances.</w:t>
      </w:r>
    </w:p>
    <w:p w14:paraId="6A31365C" w14:textId="66D55FE8" w:rsidR="00FA04EF" w:rsidRDefault="00FA04EF" w:rsidP="00FA04EF">
      <w:pPr>
        <w:pStyle w:val="ACMABodyText"/>
      </w:pPr>
      <w:r>
        <w:t>Ms Formica entered into the commercial agreement with BEDA on 1 November 2019.</w:t>
      </w:r>
    </w:p>
    <w:p w14:paraId="03989B29" w14:textId="3DD3244C" w:rsidR="00565471" w:rsidRPr="00565471" w:rsidRDefault="00FA04EF" w:rsidP="00FA04EF">
      <w:pPr>
        <w:pStyle w:val="ACMABodyText"/>
      </w:pPr>
      <w:r>
        <w:t xml:space="preserve">The commercial agreement became current for the purpose of </w:t>
      </w:r>
      <w:r w:rsidR="00782C32" w:rsidRPr="004B482F">
        <w:t>section 13 of the</w:t>
      </w:r>
      <w:r w:rsidR="00782C32">
        <w:t xml:space="preserve"> </w:t>
      </w:r>
      <w:r>
        <w:t>S</w:t>
      </w:r>
      <w:r w:rsidR="00A37613">
        <w:t xml:space="preserve">tandard </w:t>
      </w:r>
      <w:r>
        <w:t xml:space="preserve">on 4 October 2021 when Ms Formica commenced working </w:t>
      </w:r>
      <w:r w:rsidR="00565471">
        <w:t xml:space="preserve">for the 4BC Licensee </w:t>
      </w:r>
      <w:r>
        <w:t xml:space="preserve">as an on-air current affairs presenter on </w:t>
      </w:r>
      <w:r w:rsidR="00565471" w:rsidRPr="00565471">
        <w:rPr>
          <w:i/>
          <w:iCs/>
        </w:rPr>
        <w:t>4BC Afternoons with Sofie Formica</w:t>
      </w:r>
      <w:r w:rsidR="00565471" w:rsidRPr="00565471">
        <w:t>.</w:t>
      </w:r>
    </w:p>
    <w:p w14:paraId="3A467CBE" w14:textId="65379BF9" w:rsidR="00FA04EF" w:rsidRDefault="00565471" w:rsidP="00FA04EF">
      <w:pPr>
        <w:pStyle w:val="ACMABodyText"/>
      </w:pPr>
      <w:r>
        <w:t>Ms Formica disclosed the commercial agreement to the 4BC Licensee on 12 September 2023 and the 4BC Licensee added information about the commercial agreement to the</w:t>
      </w:r>
      <w:r w:rsidRPr="00565471">
        <w:t xml:space="preserve"> </w:t>
      </w:r>
      <w:r>
        <w:t>4BC online register on 13 September 2023.</w:t>
      </w:r>
    </w:p>
    <w:p w14:paraId="21F92701" w14:textId="50162762" w:rsidR="00565471" w:rsidRDefault="00565471" w:rsidP="00FA04EF">
      <w:pPr>
        <w:pStyle w:val="ACMABodyText"/>
      </w:pPr>
      <w:r>
        <w:t xml:space="preserve">The 4BC online register did not include information about Ms Formica’s current commercial agreement with BEDA for a period of </w:t>
      </w:r>
      <w:r w:rsidR="0005341E">
        <w:t>710 days.</w:t>
      </w:r>
    </w:p>
    <w:p w14:paraId="3630468D" w14:textId="357225DC" w:rsidR="0005341E" w:rsidRDefault="0005341E" w:rsidP="00FA04EF">
      <w:pPr>
        <w:pStyle w:val="ACMABodyText"/>
      </w:pPr>
      <w:r>
        <w:t>The 4BC Licensee submitted:</w:t>
      </w:r>
    </w:p>
    <w:p w14:paraId="1A435A17" w14:textId="7E58A612" w:rsidR="0005341E" w:rsidRPr="0005341E" w:rsidRDefault="0005341E" w:rsidP="0005341E">
      <w:pPr>
        <w:pStyle w:val="ACMABodyText"/>
        <w:ind w:left="720"/>
        <w:rPr>
          <w:sz w:val="18"/>
          <w:szCs w:val="18"/>
        </w:rPr>
      </w:pPr>
      <w:r w:rsidRPr="0005341E">
        <w:rPr>
          <w:color w:val="212121"/>
          <w:sz w:val="18"/>
          <w:szCs w:val="18"/>
        </w:rPr>
        <w:t xml:space="preserve">Prior to </w:t>
      </w:r>
      <w:r w:rsidR="00452334">
        <w:rPr>
          <w:color w:val="212121"/>
          <w:sz w:val="18"/>
          <w:szCs w:val="18"/>
        </w:rPr>
        <w:t>[the BEDA Agreement’s]</w:t>
      </w:r>
      <w:r w:rsidR="00452334" w:rsidRPr="0005341E">
        <w:rPr>
          <w:color w:val="212121"/>
          <w:sz w:val="18"/>
          <w:szCs w:val="18"/>
        </w:rPr>
        <w:t xml:space="preserve"> </w:t>
      </w:r>
      <w:r w:rsidRPr="0005341E">
        <w:rPr>
          <w:color w:val="212121"/>
          <w:sz w:val="18"/>
          <w:szCs w:val="18"/>
        </w:rPr>
        <w:t>disclosure on the Register, 4BC was not aware of its existence. This was due to a genuine misunderstanding that the BEDA Agreement, which does not require promotional activities on her part, constitutes a commercial agreement pursuant to section 6(1)(b) of the Standard.</w:t>
      </w:r>
    </w:p>
    <w:p w14:paraId="7AA3123C" w14:textId="354AD75D" w:rsidR="00625005" w:rsidRDefault="00DF01D9" w:rsidP="00FA04EF">
      <w:pPr>
        <w:pStyle w:val="ACMABodyText"/>
      </w:pPr>
      <w:r>
        <w:t>T</w:t>
      </w:r>
      <w:r w:rsidR="0005341E">
        <w:t xml:space="preserve">he ACMA has </w:t>
      </w:r>
      <w:r w:rsidR="00570C2C">
        <w:t xml:space="preserve">had </w:t>
      </w:r>
      <w:r w:rsidR="0005341E">
        <w:t xml:space="preserve">regard to </w:t>
      </w:r>
      <w:r w:rsidR="009C103B">
        <w:t>the</w:t>
      </w:r>
      <w:r w:rsidR="0005341E">
        <w:t xml:space="preserve"> Licensee</w:t>
      </w:r>
      <w:r w:rsidR="009C103B">
        <w:t xml:space="preserve">’s obligation under section 14 of the Standard to require presenters to disclose commercial agreements within 7 days of the commercial agreement being entered into. </w:t>
      </w:r>
    </w:p>
    <w:p w14:paraId="523A886F" w14:textId="5B62DC1C" w:rsidR="009C103B" w:rsidRDefault="009C103B" w:rsidP="00FA04EF">
      <w:pPr>
        <w:pStyle w:val="ACMABodyText"/>
      </w:pPr>
      <w:r>
        <w:t>The 4BC Licensee submitted that it took the following actions</w:t>
      </w:r>
      <w:r w:rsidR="00625005">
        <w:t xml:space="preserve"> in September 2021 when Ms Formica commenced as a current affairs presenter</w:t>
      </w:r>
      <w:r>
        <w:t>:</w:t>
      </w:r>
    </w:p>
    <w:p w14:paraId="37DFE9B2" w14:textId="711F67FD" w:rsidR="0005341E" w:rsidRPr="004B482F" w:rsidRDefault="009C103B" w:rsidP="009C103B">
      <w:pPr>
        <w:pStyle w:val="ACMABodyText"/>
        <w:numPr>
          <w:ilvl w:val="0"/>
          <w:numId w:val="37"/>
        </w:numPr>
      </w:pPr>
      <w:r>
        <w:t xml:space="preserve">included a clause in Ms Formica’s employment contract that she would read, </w:t>
      </w:r>
      <w:r w:rsidRPr="004B482F">
        <w:t>understand</w:t>
      </w:r>
      <w:r w:rsidR="00F1325E" w:rsidRPr="004B482F">
        <w:t>,</w:t>
      </w:r>
      <w:r w:rsidRPr="004B482F">
        <w:t xml:space="preserve"> and comply with the Standard.</w:t>
      </w:r>
    </w:p>
    <w:p w14:paraId="79549EB6" w14:textId="4AE0B60C" w:rsidR="009C103B" w:rsidRPr="004B482F" w:rsidRDefault="00255DE5" w:rsidP="009C103B">
      <w:pPr>
        <w:pStyle w:val="ACMABodyText"/>
        <w:numPr>
          <w:ilvl w:val="0"/>
          <w:numId w:val="37"/>
        </w:numPr>
      </w:pPr>
      <w:r w:rsidRPr="004B482F">
        <w:t>provided advice and training to Ms Formica in on</w:t>
      </w:r>
      <w:r w:rsidR="00FD674C" w:rsidRPr="004B482F">
        <w:t>e</w:t>
      </w:r>
      <w:r w:rsidRPr="004B482F">
        <w:t>-on</w:t>
      </w:r>
      <w:r w:rsidR="00FD674C" w:rsidRPr="004B482F">
        <w:t>-</w:t>
      </w:r>
      <w:r w:rsidRPr="004B482F">
        <w:t>one briefings</w:t>
      </w:r>
      <w:r w:rsidR="004041AA" w:rsidRPr="004B482F">
        <w:t xml:space="preserve"> </w:t>
      </w:r>
      <w:r w:rsidRPr="004B482F">
        <w:t xml:space="preserve">that explained the obligations of presenters to disclose commercial agreements to the licensee under </w:t>
      </w:r>
      <w:r w:rsidR="00551C4C" w:rsidRPr="004B482F">
        <w:t>s</w:t>
      </w:r>
      <w:r w:rsidRPr="004B482F">
        <w:t>ection 14</w:t>
      </w:r>
      <w:r w:rsidR="004041AA" w:rsidRPr="004B482F">
        <w:t xml:space="preserve"> of the Standard and the definition of a commercial agreement under </w:t>
      </w:r>
      <w:r w:rsidR="00551C4C" w:rsidRPr="004B482F">
        <w:t>s</w:t>
      </w:r>
      <w:r w:rsidR="004041AA" w:rsidRPr="004B482F">
        <w:t>ection 6 of the Standard.</w:t>
      </w:r>
    </w:p>
    <w:p w14:paraId="23735BD6" w14:textId="4EDFFD6B" w:rsidR="00255DE5" w:rsidRPr="004B482F" w:rsidRDefault="001918B2" w:rsidP="001918B2">
      <w:pPr>
        <w:pStyle w:val="ACMABodyText"/>
      </w:pPr>
      <w:r w:rsidRPr="004B482F">
        <w:t>The 4BC</w:t>
      </w:r>
      <w:r w:rsidR="00551C4C" w:rsidRPr="004B482F">
        <w:t xml:space="preserve"> Licensee</w:t>
      </w:r>
      <w:r w:rsidRPr="004B482F">
        <w:t xml:space="preserve"> submitted that </w:t>
      </w:r>
      <w:r w:rsidR="00625005" w:rsidRPr="004B482F">
        <w:t xml:space="preserve">the </w:t>
      </w:r>
      <w:r w:rsidRPr="004B482F">
        <w:t xml:space="preserve">above </w:t>
      </w:r>
      <w:r w:rsidR="00625005" w:rsidRPr="004B482F">
        <w:t xml:space="preserve">advice </w:t>
      </w:r>
      <w:r w:rsidRPr="004B482F">
        <w:t xml:space="preserve">was supplemented with </w:t>
      </w:r>
      <w:r w:rsidR="00625005" w:rsidRPr="004B482F">
        <w:t>copies of:</w:t>
      </w:r>
    </w:p>
    <w:p w14:paraId="74EEA1BA" w14:textId="70A07E16" w:rsidR="00625005" w:rsidRPr="004B482F" w:rsidRDefault="00625005" w:rsidP="00625005">
      <w:pPr>
        <w:pStyle w:val="NormalWeb"/>
        <w:numPr>
          <w:ilvl w:val="0"/>
          <w:numId w:val="41"/>
        </w:numPr>
        <w:spacing w:before="0" w:beforeAutospacing="0" w:after="0" w:afterAutospacing="0"/>
        <w:textAlignment w:val="baseline"/>
        <w:rPr>
          <w:rFonts w:ascii="Arial" w:hAnsi="Arial" w:cs="Arial"/>
          <w:color w:val="000000"/>
          <w:sz w:val="18"/>
          <w:szCs w:val="18"/>
        </w:rPr>
      </w:pPr>
      <w:r w:rsidRPr="004B482F">
        <w:rPr>
          <w:rFonts w:ascii="Arial" w:hAnsi="Arial" w:cs="Arial"/>
          <w:color w:val="000000"/>
          <w:sz w:val="18"/>
          <w:szCs w:val="18"/>
        </w:rPr>
        <w:t>the ACMA-produced ‘</w:t>
      </w:r>
      <w:r w:rsidRPr="004B482F">
        <w:rPr>
          <w:rFonts w:ascii="Arial" w:hAnsi="Arial" w:cs="Arial"/>
          <w:i/>
          <w:iCs/>
          <w:color w:val="000000"/>
          <w:sz w:val="18"/>
          <w:szCs w:val="18"/>
        </w:rPr>
        <w:t>Guide to the commercial radio disclosure standard</w:t>
      </w:r>
      <w:r w:rsidRPr="004B482F">
        <w:rPr>
          <w:rFonts w:ascii="Arial" w:hAnsi="Arial" w:cs="Arial"/>
          <w:color w:val="000000"/>
          <w:sz w:val="18"/>
          <w:szCs w:val="18"/>
        </w:rPr>
        <w:t>’.</w:t>
      </w:r>
    </w:p>
    <w:p w14:paraId="2634B6C2" w14:textId="64128E04" w:rsidR="00625005" w:rsidRPr="004B482F" w:rsidRDefault="00625005" w:rsidP="00625005">
      <w:pPr>
        <w:pStyle w:val="NormalWeb"/>
        <w:numPr>
          <w:ilvl w:val="0"/>
          <w:numId w:val="41"/>
        </w:numPr>
        <w:spacing w:before="0" w:beforeAutospacing="0" w:after="0" w:afterAutospacing="0"/>
        <w:textAlignment w:val="baseline"/>
        <w:rPr>
          <w:rFonts w:ascii="Arial" w:hAnsi="Arial" w:cs="Arial"/>
          <w:color w:val="000000"/>
          <w:sz w:val="18"/>
          <w:szCs w:val="18"/>
        </w:rPr>
      </w:pPr>
      <w:r w:rsidRPr="004B482F">
        <w:rPr>
          <w:rFonts w:ascii="Arial" w:hAnsi="Arial" w:cs="Arial"/>
          <w:color w:val="000000"/>
          <w:sz w:val="18"/>
          <w:szCs w:val="18"/>
        </w:rPr>
        <w:t>Nine Radio’s Editorial Compliance Policy, which requires all editorial staff to familiarise themselves with, and adhere to, the Standard.</w:t>
      </w:r>
    </w:p>
    <w:p w14:paraId="4F53FAE1" w14:textId="28FA3493" w:rsidR="00625005" w:rsidRPr="004B482F" w:rsidRDefault="00625005" w:rsidP="00625005">
      <w:pPr>
        <w:pStyle w:val="NormalWeb"/>
        <w:numPr>
          <w:ilvl w:val="0"/>
          <w:numId w:val="41"/>
        </w:numPr>
        <w:spacing w:before="0" w:beforeAutospacing="0" w:after="0" w:afterAutospacing="0"/>
        <w:textAlignment w:val="baseline"/>
        <w:rPr>
          <w:rFonts w:ascii="Arial" w:hAnsi="Arial" w:cs="Arial"/>
          <w:color w:val="000000"/>
          <w:sz w:val="18"/>
          <w:szCs w:val="18"/>
        </w:rPr>
      </w:pPr>
      <w:r w:rsidRPr="004B482F">
        <w:rPr>
          <w:rFonts w:ascii="Arial" w:hAnsi="Arial" w:cs="Arial"/>
          <w:color w:val="000000"/>
          <w:sz w:val="18"/>
          <w:szCs w:val="18"/>
        </w:rPr>
        <w:t>Nine Radio’s Editorial Compliance Manual, which elaborates in detail on the specific commercial disclosure requirements under the Standard.  </w:t>
      </w:r>
    </w:p>
    <w:p w14:paraId="4EAD48DE" w14:textId="77777777" w:rsidR="00A37613" w:rsidRDefault="00A37613" w:rsidP="00962527">
      <w:pPr>
        <w:pStyle w:val="ACMABodyText"/>
        <w:spacing w:after="120"/>
      </w:pPr>
    </w:p>
    <w:p w14:paraId="6E9F064C" w14:textId="4F1AB562" w:rsidR="00FA04EF" w:rsidRDefault="00B726A5" w:rsidP="00FA04EF">
      <w:pPr>
        <w:pStyle w:val="ACMABodyText"/>
      </w:pPr>
      <w:r>
        <w:t xml:space="preserve">The 4BC Licensee submitted that Ms Formica participated in training activities between September 2021 and September 2023 </w:t>
      </w:r>
      <w:r w:rsidR="00B1778A">
        <w:t>that addressed</w:t>
      </w:r>
      <w:r>
        <w:t xml:space="preserve"> the obligations of presenters </w:t>
      </w:r>
      <w:r w:rsidRPr="00B726A5">
        <w:t>under section 14 of the Standard and the meaning of commercial agreements under section 6 of the Standard.</w:t>
      </w:r>
      <w:r w:rsidR="001918B2">
        <w:t xml:space="preserve"> This included:</w:t>
      </w:r>
    </w:p>
    <w:p w14:paraId="3A8E3B25" w14:textId="7855336C" w:rsidR="00B726A5" w:rsidRDefault="00B726A5" w:rsidP="00B726A5">
      <w:pPr>
        <w:pStyle w:val="ACMABodyText"/>
        <w:numPr>
          <w:ilvl w:val="0"/>
          <w:numId w:val="37"/>
        </w:numPr>
      </w:pPr>
      <w:r>
        <w:t>mandatory annual editorial training on 23 March 2022 and 26 July 2023</w:t>
      </w:r>
      <w:r w:rsidR="00B1778A">
        <w:t>.</w:t>
      </w:r>
    </w:p>
    <w:p w14:paraId="5C2EF69D" w14:textId="4F53BD75" w:rsidR="00B726A5" w:rsidRDefault="00B726A5" w:rsidP="00B726A5">
      <w:pPr>
        <w:pStyle w:val="ACMABodyText"/>
        <w:numPr>
          <w:ilvl w:val="0"/>
          <w:numId w:val="37"/>
        </w:numPr>
      </w:pPr>
      <w:r>
        <w:t>all staff questionnaire emails that provided information about the obligations of presenters under section 14 of the Standard and request</w:t>
      </w:r>
      <w:r w:rsidR="00B1778A">
        <w:t>ed</w:t>
      </w:r>
      <w:r>
        <w:t xml:space="preserve"> present</w:t>
      </w:r>
      <w:r w:rsidR="00B1778A">
        <w:t>er</w:t>
      </w:r>
      <w:r>
        <w:t xml:space="preserve">s to confirm that </w:t>
      </w:r>
      <w:r>
        <w:lastRenderedPageBreak/>
        <w:t xml:space="preserve">entries on the </w:t>
      </w:r>
      <w:r w:rsidR="001918B2">
        <w:t xml:space="preserve">4BC </w:t>
      </w:r>
      <w:r>
        <w:t xml:space="preserve">online register </w:t>
      </w:r>
      <w:r>
        <w:rPr>
          <w:rFonts w:cs="Arial"/>
          <w:color w:val="000000"/>
        </w:rPr>
        <w:t xml:space="preserve">concerning any commercial agreement they have </w:t>
      </w:r>
      <w:r w:rsidR="00746559">
        <w:rPr>
          <w:rFonts w:cs="Arial"/>
          <w:color w:val="000000"/>
        </w:rPr>
        <w:t>wa</w:t>
      </w:r>
      <w:r>
        <w:rPr>
          <w:rFonts w:cs="Arial"/>
          <w:color w:val="000000"/>
        </w:rPr>
        <w:t>s correct.</w:t>
      </w:r>
    </w:p>
    <w:p w14:paraId="52EA1B41" w14:textId="6E16CF4F" w:rsidR="00D90D27" w:rsidRDefault="00D90D27" w:rsidP="00731452">
      <w:pPr>
        <w:pStyle w:val="ACMABodyText"/>
      </w:pPr>
      <w:r>
        <w:t xml:space="preserve">The ACMA considers that the 4BC Licensee took reasonable steps to require </w:t>
      </w:r>
      <w:r w:rsidR="00A66DBC">
        <w:t>Ms Formica</w:t>
      </w:r>
      <w:r>
        <w:t xml:space="preserve"> to provide the required information under section 14 of the Standard</w:t>
      </w:r>
      <w:r w:rsidR="00F1325E">
        <w:t>.</w:t>
      </w:r>
    </w:p>
    <w:p w14:paraId="3EDD27F4" w14:textId="26C99A72" w:rsidR="008731B0" w:rsidRPr="000047C0" w:rsidRDefault="00731452" w:rsidP="008731B0">
      <w:pPr>
        <w:pStyle w:val="ACMABodyText"/>
      </w:pPr>
      <w:bookmarkStart w:id="14" w:name="_Hlk170816386"/>
      <w:r>
        <w:t xml:space="preserve">The 4BC Licensee did not include information </w:t>
      </w:r>
      <w:r w:rsidR="004041AA">
        <w:t xml:space="preserve">on the online register </w:t>
      </w:r>
      <w:r>
        <w:t xml:space="preserve">about Ms Formica’s current commercial agreement with BEDA within a reasonable timeframe. </w:t>
      </w:r>
      <w:r w:rsidR="005A6788">
        <w:t>N</w:t>
      </w:r>
      <w:r w:rsidR="008731B0">
        <w:t xml:space="preserve">oting that the 4BC Licensee </w:t>
      </w:r>
      <w:r w:rsidR="00DF01D9">
        <w:t xml:space="preserve">has submitted that they </w:t>
      </w:r>
      <w:r w:rsidR="008731B0">
        <w:t>did not know of the existence of the commercial agreement with BEDA before 12 September 2023, the ACMA</w:t>
      </w:r>
      <w:r w:rsidR="005A6788">
        <w:t xml:space="preserve"> do</w:t>
      </w:r>
      <w:r w:rsidR="00B26DE4">
        <w:t>es</w:t>
      </w:r>
      <w:r w:rsidR="005A6788">
        <w:t xml:space="preserve"> not pr</w:t>
      </w:r>
      <w:r w:rsidR="00A3231E">
        <w:t>o</w:t>
      </w:r>
      <w:r w:rsidR="005A6788">
        <w:t xml:space="preserve">pose to find a </w:t>
      </w:r>
      <w:r w:rsidR="008731B0">
        <w:t xml:space="preserve">breach </w:t>
      </w:r>
      <w:r w:rsidR="005A6788">
        <w:t xml:space="preserve">of </w:t>
      </w:r>
      <w:r w:rsidR="00746559">
        <w:t>s</w:t>
      </w:r>
      <w:r w:rsidR="008731B0">
        <w:t>ection 13 of the Standard</w:t>
      </w:r>
      <w:r w:rsidR="005A6788">
        <w:t xml:space="preserve">. </w:t>
      </w:r>
      <w:r w:rsidR="008731B0">
        <w:t xml:space="preserve"> </w:t>
      </w:r>
      <w:bookmarkEnd w:id="14"/>
    </w:p>
    <w:p w14:paraId="2D607D92" w14:textId="1768A18F" w:rsidR="008731B0" w:rsidRPr="00B3784E" w:rsidRDefault="008731B0" w:rsidP="008731B0">
      <w:pPr>
        <w:pStyle w:val="ACMAHeading2"/>
      </w:pPr>
      <w:r w:rsidRPr="00B3784E">
        <w:t xml:space="preserve">Issue </w:t>
      </w:r>
      <w:r>
        <w:t>3</w:t>
      </w:r>
      <w:r w:rsidRPr="00B3784E">
        <w:t xml:space="preserve">: </w:t>
      </w:r>
      <w:r>
        <w:t>Li</w:t>
      </w:r>
      <w:r w:rsidR="00D94A64">
        <w:t xml:space="preserve">censee must keep </w:t>
      </w:r>
      <w:r w:rsidRPr="00B3784E">
        <w:t>commercial agreements</w:t>
      </w:r>
    </w:p>
    <w:p w14:paraId="449D7BF2" w14:textId="0E02631B" w:rsidR="001D1BF0" w:rsidRDefault="001D1BF0" w:rsidP="007907EF">
      <w:pPr>
        <w:pStyle w:val="ACMAHeading2"/>
      </w:pPr>
      <w:r>
        <w:t>BI-678 – Information kept by the 2GB Licensee about commercial agreements</w:t>
      </w:r>
      <w:r w:rsidR="00F91A88">
        <w:t xml:space="preserve"> </w:t>
      </w:r>
    </w:p>
    <w:p w14:paraId="593B371A" w14:textId="20B63E29" w:rsidR="007907EF" w:rsidRPr="00B3784E" w:rsidRDefault="007907EF" w:rsidP="007907EF">
      <w:pPr>
        <w:pStyle w:val="ACMAHeading2"/>
      </w:pPr>
      <w:r w:rsidRPr="00B3784E">
        <w:t>Finding</w:t>
      </w:r>
    </w:p>
    <w:p w14:paraId="6AD8B1D8" w14:textId="0A7B7B12" w:rsidR="001D1BF0" w:rsidRDefault="007907EF" w:rsidP="007907EF">
      <w:pPr>
        <w:pStyle w:val="ACMABodyText"/>
      </w:pPr>
      <w:r w:rsidRPr="00B3784E">
        <w:t xml:space="preserve">The </w:t>
      </w:r>
      <w:r>
        <w:t xml:space="preserve">ACMA </w:t>
      </w:r>
      <w:r w:rsidR="009B78B4">
        <w:t>finds</w:t>
      </w:r>
      <w:r>
        <w:t xml:space="preserve"> that the </w:t>
      </w:r>
      <w:r w:rsidR="001D1BF0">
        <w:t>2GB</w:t>
      </w:r>
      <w:r w:rsidRPr="00B3784E">
        <w:t xml:space="preserve"> Licensee </w:t>
      </w:r>
      <w:r w:rsidRPr="009E1C6C">
        <w:t>breach</w:t>
      </w:r>
      <w:r w:rsidR="001D1BF0">
        <w:t>ed</w:t>
      </w:r>
      <w:r w:rsidRPr="009E1C6C">
        <w:t xml:space="preserve"> section 1</w:t>
      </w:r>
      <w:r w:rsidR="001D1BF0">
        <w:t>5</w:t>
      </w:r>
      <w:r w:rsidRPr="009E1C6C">
        <w:t xml:space="preserve"> of the Standard with respect to </w:t>
      </w:r>
      <w:r w:rsidR="001D1BF0">
        <w:t>keeping information about commercial agreements</w:t>
      </w:r>
      <w:r w:rsidR="0076387E">
        <w:t xml:space="preserve"> </w:t>
      </w:r>
      <w:r w:rsidR="00B75B3D" w:rsidRPr="009E1C6C">
        <w:t>and was therefore also in breach of its licence conditio</w:t>
      </w:r>
      <w:r w:rsidR="00B75B3D" w:rsidRPr="004B482F">
        <w:t xml:space="preserve">n under </w:t>
      </w:r>
      <w:r w:rsidR="00FA3D11" w:rsidRPr="004B482F">
        <w:t xml:space="preserve">paragraph </w:t>
      </w:r>
      <w:r w:rsidR="00B75B3D" w:rsidRPr="004B482F">
        <w:t>8</w:t>
      </w:r>
      <w:r w:rsidR="00FA3D11" w:rsidRPr="004B482F">
        <w:t>(1)(b)</w:t>
      </w:r>
      <w:r w:rsidR="00B75B3D" w:rsidRPr="004B482F">
        <w:t xml:space="preserve"> of Schedule 2 to the BSA</w:t>
      </w:r>
      <w:r w:rsidR="001D1BF0" w:rsidRPr="004B482F">
        <w:t>.</w:t>
      </w:r>
    </w:p>
    <w:p w14:paraId="005C397F" w14:textId="77777777" w:rsidR="00BA22D9" w:rsidRDefault="00BA22D9" w:rsidP="00BA22D9">
      <w:pPr>
        <w:pStyle w:val="ACMABodyText"/>
        <w:rPr>
          <w:b/>
          <w:snapToGrid/>
          <w:sz w:val="28"/>
        </w:rPr>
      </w:pPr>
      <w:r w:rsidRPr="00B75B3D">
        <w:rPr>
          <w:b/>
          <w:snapToGrid/>
          <w:sz w:val="28"/>
        </w:rPr>
        <w:t>Reasons</w:t>
      </w:r>
    </w:p>
    <w:p w14:paraId="6D165D6E" w14:textId="778AE57E" w:rsidR="00BA22D9" w:rsidRDefault="00BA22D9" w:rsidP="00BA22D9">
      <w:pPr>
        <w:pStyle w:val="ACMABodyText"/>
      </w:pPr>
      <w:r w:rsidRPr="004C08C8">
        <w:t>To assess com</w:t>
      </w:r>
      <w:r>
        <w:t>pliance the ACMA has addressed the following question</w:t>
      </w:r>
      <w:r w:rsidR="00F91A88">
        <w:t>s</w:t>
      </w:r>
      <w:r>
        <w:t>:</w:t>
      </w:r>
    </w:p>
    <w:p w14:paraId="0E0B3831" w14:textId="0DDF64AF" w:rsidR="00BA22D9" w:rsidRDefault="00BA22D9" w:rsidP="00BA22D9">
      <w:pPr>
        <w:pStyle w:val="ACMABodyText"/>
        <w:numPr>
          <w:ilvl w:val="0"/>
          <w:numId w:val="43"/>
        </w:numPr>
      </w:pPr>
      <w:r>
        <w:t>Did the licensee keep the information and documents mentioned in section 13 and section 14 of the Standard for each commercial agreement to which a presenter is a party</w:t>
      </w:r>
      <w:r w:rsidR="003D1957">
        <w:t xml:space="preserve"> as required under </w:t>
      </w:r>
      <w:r w:rsidR="00746559">
        <w:t>s</w:t>
      </w:r>
      <w:r w:rsidR="003D1957">
        <w:t xml:space="preserve">ection 15 </w:t>
      </w:r>
      <w:r w:rsidR="00385298">
        <w:t>of the Standard</w:t>
      </w:r>
      <w:r>
        <w:t xml:space="preserve">? </w:t>
      </w:r>
    </w:p>
    <w:p w14:paraId="036A5DFC" w14:textId="0724BC5A" w:rsidR="00BA22D9" w:rsidRDefault="00BA22D9" w:rsidP="00BA22D9">
      <w:pPr>
        <w:pStyle w:val="ACMABodyText"/>
      </w:pPr>
      <w:r>
        <w:t xml:space="preserve">Section 14 of the Standard </w:t>
      </w:r>
      <w:r w:rsidR="009635AA" w:rsidRPr="004B482F">
        <w:t xml:space="preserve">provides that </w:t>
      </w:r>
      <w:r w:rsidRPr="004B482F">
        <w:t xml:space="preserve">licensees </w:t>
      </w:r>
      <w:r w:rsidR="00180F06" w:rsidRPr="004B482F">
        <w:t xml:space="preserve">must </w:t>
      </w:r>
      <w:r w:rsidRPr="004B482F">
        <w:t>require presenters to provide to the licensee a copy of a written commercial agreement, or specified information about a commercial agreement that is not in writing, within seven days of the agreement being entered into</w:t>
      </w:r>
      <w:r w:rsidR="00180F06" w:rsidRPr="004B482F">
        <w:t xml:space="preserve"> (paragraph 14(1)(b) of the Standard)</w:t>
      </w:r>
      <w:r w:rsidRPr="004B482F">
        <w:t>.</w:t>
      </w:r>
    </w:p>
    <w:p w14:paraId="4FE79481" w14:textId="4E2635F6" w:rsidR="00E51CE3" w:rsidRDefault="00E51CE3" w:rsidP="00BA22D9">
      <w:pPr>
        <w:pStyle w:val="ACMABodyText"/>
      </w:pPr>
      <w:r>
        <w:t>Subparagraph 14</w:t>
      </w:r>
      <w:r w:rsidR="00746559">
        <w:t>(3)</w:t>
      </w:r>
      <w:r>
        <w:t>(b) of the Standard specifies that presenters</w:t>
      </w:r>
      <w:r w:rsidR="00CA3AE5">
        <w:t xml:space="preserve"> </w:t>
      </w:r>
      <w:r w:rsidR="003C2EB4">
        <w:t xml:space="preserve">must </w:t>
      </w:r>
      <w:r w:rsidR="00CA3AE5">
        <w:t>provide</w:t>
      </w:r>
      <w:r>
        <w:t xml:space="preserve"> the licensee with the following information </w:t>
      </w:r>
      <w:r w:rsidR="00CA3AE5">
        <w:t>about unwritten commercial agreements</w:t>
      </w:r>
      <w:r>
        <w:t>:</w:t>
      </w:r>
    </w:p>
    <w:p w14:paraId="6630EC22" w14:textId="5B9CDFAA" w:rsidR="00E51CE3" w:rsidRPr="00FD1D67" w:rsidRDefault="00E51CE3" w:rsidP="00E51CE3">
      <w:pPr>
        <w:pStyle w:val="NormalWeb"/>
        <w:spacing w:before="120" w:beforeAutospacing="0" w:after="120" w:afterAutospacing="0"/>
        <w:ind w:left="1440"/>
        <w:rPr>
          <w:rFonts w:ascii="Arial" w:hAnsi="Arial" w:cs="Arial"/>
          <w:color w:val="000000"/>
          <w:sz w:val="18"/>
          <w:szCs w:val="18"/>
        </w:rPr>
      </w:pPr>
      <w:r w:rsidRPr="00FD1D67">
        <w:rPr>
          <w:rFonts w:ascii="Arial" w:hAnsi="Arial" w:cs="Arial"/>
          <w:color w:val="000000"/>
          <w:sz w:val="18"/>
          <w:szCs w:val="18"/>
        </w:rPr>
        <w:t>(i) the date of the commercial agreement;</w:t>
      </w:r>
    </w:p>
    <w:p w14:paraId="7DDFD06E" w14:textId="09D0A3D8" w:rsidR="00E51CE3" w:rsidRPr="00FD1D67" w:rsidRDefault="00E51CE3" w:rsidP="00E51CE3">
      <w:pPr>
        <w:pStyle w:val="NormalWeb"/>
        <w:spacing w:before="120" w:beforeAutospacing="0" w:after="120" w:afterAutospacing="0"/>
        <w:ind w:left="1440"/>
        <w:rPr>
          <w:rFonts w:ascii="Arial" w:hAnsi="Arial" w:cs="Arial"/>
          <w:color w:val="000000"/>
          <w:sz w:val="18"/>
          <w:szCs w:val="18"/>
        </w:rPr>
      </w:pPr>
      <w:r w:rsidRPr="00FD1D67">
        <w:rPr>
          <w:rFonts w:ascii="Arial" w:hAnsi="Arial" w:cs="Arial"/>
          <w:color w:val="000000"/>
          <w:sz w:val="18"/>
          <w:szCs w:val="18"/>
        </w:rPr>
        <w:t>(ii) the parties to the commercial agreement;</w:t>
      </w:r>
    </w:p>
    <w:p w14:paraId="0E4C0460" w14:textId="77777777" w:rsidR="00E51CE3" w:rsidRPr="00FD1D67" w:rsidRDefault="00E51CE3" w:rsidP="00E51CE3">
      <w:pPr>
        <w:pStyle w:val="NormalWeb"/>
        <w:spacing w:before="120" w:beforeAutospacing="0" w:after="120" w:afterAutospacing="0"/>
        <w:ind w:left="1440"/>
        <w:rPr>
          <w:rFonts w:ascii="Arial" w:hAnsi="Arial" w:cs="Arial"/>
          <w:color w:val="000000"/>
          <w:sz w:val="18"/>
          <w:szCs w:val="18"/>
        </w:rPr>
      </w:pPr>
      <w:r w:rsidRPr="00FD1D67">
        <w:rPr>
          <w:rFonts w:ascii="Arial" w:hAnsi="Arial" w:cs="Arial"/>
          <w:color w:val="000000"/>
          <w:sz w:val="18"/>
          <w:szCs w:val="18"/>
        </w:rPr>
        <w:t>(iii) a brief description of the obligations imposed on the presenter or associate of the presenter under the commercial agreement;</w:t>
      </w:r>
    </w:p>
    <w:p w14:paraId="15508675" w14:textId="642C6C11" w:rsidR="00E51CE3" w:rsidRPr="00FD1D67" w:rsidRDefault="00E51CE3" w:rsidP="00E51CE3">
      <w:pPr>
        <w:pStyle w:val="NormalWeb"/>
        <w:spacing w:before="120" w:beforeAutospacing="0" w:after="120" w:afterAutospacing="0"/>
        <w:ind w:left="1440"/>
        <w:rPr>
          <w:rFonts w:ascii="Arial" w:hAnsi="Arial" w:cs="Arial"/>
          <w:color w:val="000000"/>
          <w:sz w:val="18"/>
          <w:szCs w:val="18"/>
        </w:rPr>
      </w:pPr>
      <w:r w:rsidRPr="00FD1D67">
        <w:rPr>
          <w:rFonts w:ascii="Arial" w:hAnsi="Arial" w:cs="Arial"/>
          <w:color w:val="000000"/>
          <w:sz w:val="18"/>
          <w:szCs w:val="18"/>
        </w:rPr>
        <w:t xml:space="preserve">(iv) the </w:t>
      </w:r>
      <w:bookmarkStart w:id="15" w:name="_Hlk166228768"/>
      <w:r w:rsidRPr="00FD1D67">
        <w:rPr>
          <w:rFonts w:ascii="Arial" w:hAnsi="Arial" w:cs="Arial"/>
          <w:color w:val="000000"/>
          <w:sz w:val="18"/>
          <w:szCs w:val="18"/>
        </w:rPr>
        <w:t>name of each person providing consideration under the commercial</w:t>
      </w:r>
      <w:r>
        <w:rPr>
          <w:rFonts w:ascii="Arial" w:hAnsi="Arial" w:cs="Arial"/>
          <w:color w:val="000000"/>
          <w:sz w:val="18"/>
          <w:szCs w:val="18"/>
        </w:rPr>
        <w:t xml:space="preserve"> </w:t>
      </w:r>
      <w:r w:rsidRPr="00FD1D67">
        <w:rPr>
          <w:rFonts w:ascii="Arial" w:hAnsi="Arial" w:cs="Arial"/>
          <w:color w:val="000000"/>
          <w:sz w:val="18"/>
          <w:szCs w:val="18"/>
        </w:rPr>
        <w:t>agreement;</w:t>
      </w:r>
    </w:p>
    <w:bookmarkEnd w:id="15"/>
    <w:p w14:paraId="4D42F717" w14:textId="77777777" w:rsidR="00E51CE3" w:rsidRPr="00FD1D67" w:rsidRDefault="00E51CE3" w:rsidP="00E51CE3">
      <w:pPr>
        <w:pStyle w:val="NormalWeb"/>
        <w:spacing w:before="120" w:beforeAutospacing="0" w:after="120" w:afterAutospacing="0"/>
        <w:ind w:left="2160" w:hanging="720"/>
        <w:rPr>
          <w:rFonts w:ascii="Arial" w:hAnsi="Arial" w:cs="Arial"/>
          <w:color w:val="000000"/>
          <w:sz w:val="18"/>
          <w:szCs w:val="18"/>
        </w:rPr>
      </w:pPr>
      <w:r w:rsidRPr="00FD1D67">
        <w:rPr>
          <w:rFonts w:ascii="Arial" w:hAnsi="Arial" w:cs="Arial"/>
          <w:color w:val="000000"/>
          <w:sz w:val="18"/>
          <w:szCs w:val="18"/>
        </w:rPr>
        <w:t>(v) </w:t>
      </w:r>
      <w:bookmarkStart w:id="16" w:name="_Hlk166228934"/>
      <w:r w:rsidRPr="00FD1D67">
        <w:rPr>
          <w:rFonts w:ascii="Arial" w:hAnsi="Arial" w:cs="Arial"/>
          <w:color w:val="000000"/>
          <w:sz w:val="18"/>
          <w:szCs w:val="18"/>
        </w:rPr>
        <w:t>the amount or value of consideration to be provided under the agreement</w:t>
      </w:r>
      <w:bookmarkEnd w:id="16"/>
      <w:r w:rsidRPr="00FD1D67">
        <w:rPr>
          <w:rFonts w:ascii="Arial" w:hAnsi="Arial" w:cs="Arial"/>
          <w:color w:val="000000"/>
          <w:sz w:val="18"/>
          <w:szCs w:val="18"/>
        </w:rPr>
        <w:t>.</w:t>
      </w:r>
    </w:p>
    <w:p w14:paraId="22A43E60" w14:textId="58649EC1" w:rsidR="00BA22D9" w:rsidRDefault="00BA22D9" w:rsidP="00BA22D9">
      <w:pPr>
        <w:pStyle w:val="ACMABodyText"/>
      </w:pPr>
      <w:r>
        <w:t>S</w:t>
      </w:r>
      <w:r w:rsidR="00C96DFD">
        <w:t>ubs</w:t>
      </w:r>
      <w:r>
        <w:t>ection 15</w:t>
      </w:r>
      <w:r w:rsidR="00C96DFD">
        <w:t>(1)</w:t>
      </w:r>
      <w:r>
        <w:t xml:space="preserve"> of the Standard requires licensees to keep the information and documents </w:t>
      </w:r>
      <w:r w:rsidR="008B2C0D">
        <w:t>mentioned in</w:t>
      </w:r>
      <w:r>
        <w:t xml:space="preserve"> </w:t>
      </w:r>
      <w:r w:rsidR="00A844BB" w:rsidRPr="004B482F">
        <w:t>section</w:t>
      </w:r>
      <w:r w:rsidR="00A844BB">
        <w:t xml:space="preserve"> </w:t>
      </w:r>
      <w:r>
        <w:t>14</w:t>
      </w:r>
      <w:r w:rsidR="007E7376">
        <w:t xml:space="preserve"> for each commercial agreement to which </w:t>
      </w:r>
      <w:r w:rsidR="006153C4">
        <w:t>a presenter of the licensee is a party</w:t>
      </w:r>
      <w:r w:rsidR="001510BA">
        <w:t>. Subsection 15(2) provides that th</w:t>
      </w:r>
      <w:r w:rsidR="008B2C0D">
        <w:t>is</w:t>
      </w:r>
      <w:r w:rsidR="001510BA">
        <w:t xml:space="preserve"> information </w:t>
      </w:r>
      <w:r w:rsidR="008B2C0D">
        <w:t xml:space="preserve">must be kept </w:t>
      </w:r>
      <w:r>
        <w:t xml:space="preserve">for 12 months after the expiry of the commercial agreement. </w:t>
      </w:r>
    </w:p>
    <w:p w14:paraId="1B85CB14" w14:textId="77777777" w:rsidR="00252098" w:rsidRDefault="00252098" w:rsidP="00BA22D9">
      <w:pPr>
        <w:pStyle w:val="ACMABodyText"/>
        <w:rPr>
          <w:u w:val="single"/>
        </w:rPr>
      </w:pPr>
    </w:p>
    <w:p w14:paraId="60E76404" w14:textId="05474DF1" w:rsidR="00820ED7" w:rsidRPr="00CA3AE5" w:rsidRDefault="00820ED7" w:rsidP="00BA22D9">
      <w:pPr>
        <w:pStyle w:val="ACMABodyText"/>
        <w:rPr>
          <w:u w:val="single"/>
        </w:rPr>
      </w:pPr>
      <w:r w:rsidRPr="00CA3AE5">
        <w:rPr>
          <w:u w:val="single"/>
        </w:rPr>
        <w:lastRenderedPageBreak/>
        <w:t>Written commercial agreements</w:t>
      </w:r>
    </w:p>
    <w:p w14:paraId="08A3FBC7" w14:textId="77777777" w:rsidR="00CA3AE5" w:rsidRDefault="008D69B5" w:rsidP="008D69B5">
      <w:pPr>
        <w:pStyle w:val="ACMABodyText"/>
      </w:pPr>
      <w:r>
        <w:t xml:space="preserve">The 2GB Licensee provided the ACMA with copies of written commercial agreements </w:t>
      </w:r>
      <w:r w:rsidR="00CA3AE5">
        <w:t>held by its presenters.</w:t>
      </w:r>
    </w:p>
    <w:p w14:paraId="551C67BF" w14:textId="7BBA81E9" w:rsidR="00820ED7" w:rsidRDefault="00421C38" w:rsidP="00734CDB">
      <w:pPr>
        <w:spacing w:before="0" w:line="240" w:lineRule="auto"/>
        <w:rPr>
          <w:i w:val="0"/>
          <w:iCs/>
          <w:u w:val="single"/>
        </w:rPr>
      </w:pPr>
      <w:r w:rsidRPr="000047C0">
        <w:rPr>
          <w:i w:val="0"/>
          <w:iCs/>
          <w:u w:val="single"/>
        </w:rPr>
        <w:t>Unwritten commercial agreements</w:t>
      </w:r>
    </w:p>
    <w:p w14:paraId="6D253484" w14:textId="7C4075AA" w:rsidR="00CA3AE5" w:rsidRDefault="00CA3AE5" w:rsidP="00CA3AE5">
      <w:pPr>
        <w:pStyle w:val="ACMABodyText"/>
      </w:pPr>
      <w:r>
        <w:t xml:space="preserve">The 2GB Licensee provided the ACMA with a document that included information provided by 3 presenters about 5 unwritten commercial agreements as specified in </w:t>
      </w:r>
      <w:r w:rsidR="00746559">
        <w:t xml:space="preserve">paragraph </w:t>
      </w:r>
      <w:r>
        <w:t xml:space="preserve">14(1)(b) of the Standard. </w:t>
      </w:r>
    </w:p>
    <w:p w14:paraId="26B65FBE" w14:textId="56F42DCE" w:rsidR="004B37F8" w:rsidRDefault="008D69B5" w:rsidP="00BA22D9">
      <w:pPr>
        <w:pStyle w:val="ACMABodyText"/>
      </w:pPr>
      <w:r>
        <w:t xml:space="preserve">On 12 April 2024, the ACMA </w:t>
      </w:r>
      <w:r w:rsidR="004B37F8">
        <w:t xml:space="preserve">sent a request to the 2GB Licensee for copies of documents kept for the purpose of </w:t>
      </w:r>
      <w:r w:rsidR="004B37F8" w:rsidRPr="004B482F">
        <w:t>section</w:t>
      </w:r>
      <w:r w:rsidR="004B37F8">
        <w:t xml:space="preserve"> 15 of the Standard about an unwritten commercial agreement between </w:t>
      </w:r>
      <w:r w:rsidR="00184432">
        <w:t>[Presenter 3]</w:t>
      </w:r>
      <w:r w:rsidR="004B37F8">
        <w:t xml:space="preserve"> and </w:t>
      </w:r>
      <w:r w:rsidR="000D5681">
        <w:rPr>
          <w:rFonts w:cs="Arial"/>
        </w:rPr>
        <w:t>[Sponsor 4]</w:t>
      </w:r>
      <w:r w:rsidR="004B37F8">
        <w:rPr>
          <w:rFonts w:cs="Arial"/>
        </w:rPr>
        <w:t xml:space="preserve"> that expired in December 2023. </w:t>
      </w:r>
    </w:p>
    <w:p w14:paraId="00747F94" w14:textId="3475D75A" w:rsidR="00CA3AE5" w:rsidRDefault="004B37F8" w:rsidP="00BA22D9">
      <w:pPr>
        <w:pStyle w:val="ACMABodyText"/>
      </w:pPr>
      <w:r>
        <w:t xml:space="preserve">The 2GB Licensee advised the ACMA that it has kept records of </w:t>
      </w:r>
      <w:r w:rsidRPr="004B37F8">
        <w:t>the required details of presenters’ unwritten agreements in its email archives for the purpose of sections 14 and 15</w:t>
      </w:r>
      <w:r w:rsidR="00CA3AE5">
        <w:t xml:space="preserve"> and subsequently provided a copy of two emails </w:t>
      </w:r>
      <w:r w:rsidR="00651541">
        <w:t>(</w:t>
      </w:r>
      <w:r w:rsidR="00651541" w:rsidRPr="007F5274">
        <w:rPr>
          <w:b/>
          <w:bCs/>
        </w:rPr>
        <w:t>the emails</w:t>
      </w:r>
      <w:r w:rsidR="00651541">
        <w:t xml:space="preserve">) </w:t>
      </w:r>
      <w:r w:rsidR="00CA3AE5">
        <w:t xml:space="preserve">between </w:t>
      </w:r>
      <w:r w:rsidR="00662CD6" w:rsidRPr="00662CD6">
        <w:t xml:space="preserve">[Presenter 3] </w:t>
      </w:r>
      <w:r w:rsidR="00CA3AE5">
        <w:t>and the 2GB Licensee</w:t>
      </w:r>
      <w:r w:rsidRPr="004B37F8">
        <w:t>.</w:t>
      </w:r>
      <w:r w:rsidR="000F067C">
        <w:t xml:space="preserve"> </w:t>
      </w:r>
    </w:p>
    <w:p w14:paraId="7E20B518" w14:textId="44E0EF93" w:rsidR="00E51CE3" w:rsidRDefault="00651541" w:rsidP="00BA22D9">
      <w:pPr>
        <w:pStyle w:val="ACMABodyText"/>
      </w:pPr>
      <w:r>
        <w:t>The emails did not reference ‘the date of the commercial agreement’, nor is it clear from the emails the ‘</w:t>
      </w:r>
      <w:r w:rsidRPr="00651541">
        <w:t>name of each person providing consideration</w:t>
      </w:r>
      <w:r>
        <w:t xml:space="preserve">’. While the emails </w:t>
      </w:r>
      <w:r w:rsidR="00016F58">
        <w:t>include</w:t>
      </w:r>
      <w:r w:rsidR="00702DFB">
        <w:t xml:space="preserve"> an approximat</w:t>
      </w:r>
      <w:r w:rsidR="00016F58">
        <w:t xml:space="preserve">e </w:t>
      </w:r>
      <w:r w:rsidR="00702DFB">
        <w:t>value of the consideration</w:t>
      </w:r>
      <w:bookmarkStart w:id="17" w:name="_Hlk166228696"/>
      <w:r w:rsidR="00016F58">
        <w:t xml:space="preserve"> provided,</w:t>
      </w:r>
      <w:r>
        <w:t xml:space="preserve"> they do not </w:t>
      </w:r>
      <w:r w:rsidR="00016F58">
        <w:t>specify</w:t>
      </w:r>
      <w:r>
        <w:t xml:space="preserve"> ‘</w:t>
      </w:r>
      <w:r w:rsidRPr="00651541">
        <w:t>the amount or value of consideration to be provided under the agreement</w:t>
      </w:r>
      <w:r>
        <w:t>’</w:t>
      </w:r>
      <w:r w:rsidR="00702DFB">
        <w:t>.</w:t>
      </w:r>
      <w:bookmarkEnd w:id="17"/>
    </w:p>
    <w:p w14:paraId="3316296D" w14:textId="45886F0B" w:rsidR="005778AA" w:rsidRDefault="005778AA" w:rsidP="00BA22D9">
      <w:pPr>
        <w:pStyle w:val="ACMABodyText"/>
      </w:pPr>
      <w:r w:rsidRPr="005778AA">
        <w:t>The ACMA considers that the emails do not provide a record of the information specified under subparagraphs 14(b)(3)(i), 14(b)(3)(iv) or 14(b)(3)(v)</w:t>
      </w:r>
      <w:r w:rsidR="00016F58">
        <w:t xml:space="preserve"> as required under the Standard</w:t>
      </w:r>
      <w:r w:rsidRPr="005778AA">
        <w:t xml:space="preserve">. </w:t>
      </w:r>
    </w:p>
    <w:p w14:paraId="2F0DB10B" w14:textId="3E2D22A7" w:rsidR="004B37F8" w:rsidRDefault="00746559" w:rsidP="00BA22D9">
      <w:pPr>
        <w:pStyle w:val="ACMABodyText"/>
      </w:pPr>
      <w:r>
        <w:t>Accordingly, t</w:t>
      </w:r>
      <w:r w:rsidR="004B37F8">
        <w:t xml:space="preserve">he </w:t>
      </w:r>
      <w:r w:rsidR="00702DFB">
        <w:t>ACMA</w:t>
      </w:r>
      <w:r w:rsidR="009B78B4">
        <w:t xml:space="preserve"> considers</w:t>
      </w:r>
      <w:r w:rsidR="00702DFB">
        <w:t xml:space="preserve"> that </w:t>
      </w:r>
      <w:r w:rsidR="00016F58">
        <w:t xml:space="preserve">the 2GB Licensee has </w:t>
      </w:r>
      <w:r w:rsidR="00D82837">
        <w:t xml:space="preserve">not complied </w:t>
      </w:r>
      <w:r w:rsidR="00702DFB">
        <w:t xml:space="preserve">with </w:t>
      </w:r>
      <w:r w:rsidR="00A82A97">
        <w:t>s</w:t>
      </w:r>
      <w:r w:rsidR="00702DFB">
        <w:t>ection 15 of the Standard</w:t>
      </w:r>
      <w:r w:rsidR="004B37F8">
        <w:t>.</w:t>
      </w:r>
    </w:p>
    <w:p w14:paraId="66D279F9" w14:textId="2006C996" w:rsidR="00565E53" w:rsidRDefault="00BA22D9" w:rsidP="00BA22D9">
      <w:pPr>
        <w:pStyle w:val="ACMABodyText"/>
      </w:pPr>
      <w:r>
        <w:t xml:space="preserve">The ACMA </w:t>
      </w:r>
      <w:r w:rsidR="009B78B4">
        <w:t>finds</w:t>
      </w:r>
      <w:r>
        <w:t xml:space="preserve"> that the 2GB Licensee breached </w:t>
      </w:r>
      <w:r w:rsidR="00B57F35" w:rsidRPr="004B482F">
        <w:t>section</w:t>
      </w:r>
      <w:r w:rsidR="00B57F35">
        <w:t xml:space="preserve"> </w:t>
      </w:r>
      <w:r w:rsidRPr="009E1C6C">
        <w:t>1</w:t>
      </w:r>
      <w:r>
        <w:t>5</w:t>
      </w:r>
      <w:r w:rsidR="003D1957">
        <w:t xml:space="preserve"> </w:t>
      </w:r>
      <w:r>
        <w:t xml:space="preserve">of the Standard </w:t>
      </w:r>
      <w:r w:rsidRPr="009E1C6C">
        <w:t xml:space="preserve">and was therefore also in breach of its licence condition under </w:t>
      </w:r>
      <w:r w:rsidR="00FA3D11" w:rsidRPr="001C4B3E">
        <w:t xml:space="preserve">paragraph </w:t>
      </w:r>
      <w:r w:rsidRPr="001C4B3E">
        <w:t>8</w:t>
      </w:r>
      <w:r w:rsidR="00FA3D11" w:rsidRPr="001C4B3E">
        <w:t>(1)(b)</w:t>
      </w:r>
      <w:r w:rsidRPr="001C4B3E">
        <w:t xml:space="preserve"> of Schedule 2 to the BSA.</w:t>
      </w:r>
    </w:p>
    <w:p w14:paraId="76159AF3" w14:textId="5A490E36" w:rsidR="00C7426F" w:rsidRPr="00604670" w:rsidRDefault="00565E53" w:rsidP="00604670">
      <w:pPr>
        <w:pStyle w:val="ACMABodyText"/>
      </w:pPr>
      <w:r>
        <w:br w:type="page"/>
      </w:r>
    </w:p>
    <w:p w14:paraId="0EE222B6" w14:textId="413FAB95" w:rsidR="006A02B1" w:rsidRPr="00153F9D" w:rsidRDefault="006A02B1" w:rsidP="00075F5D">
      <w:pPr>
        <w:pStyle w:val="ACMAHeading2"/>
        <w:pageBreakBefore/>
        <w:spacing w:after="240"/>
        <w:jc w:val="right"/>
      </w:pPr>
      <w:r w:rsidRPr="00153F9D">
        <w:lastRenderedPageBreak/>
        <w:t xml:space="preserve">Attachment </w:t>
      </w:r>
      <w:r w:rsidR="003C6B4D">
        <w:t>A</w:t>
      </w:r>
    </w:p>
    <w:p w14:paraId="145A6188" w14:textId="77777777" w:rsidR="001845B1" w:rsidRDefault="001845B1" w:rsidP="001845B1">
      <w:pPr>
        <w:pStyle w:val="ACMAHeading3"/>
        <w:spacing w:after="120"/>
        <w:rPr>
          <w:sz w:val="28"/>
          <w:szCs w:val="28"/>
        </w:rPr>
      </w:pPr>
      <w:r w:rsidRPr="00263F24">
        <w:rPr>
          <w:sz w:val="28"/>
          <w:szCs w:val="28"/>
        </w:rPr>
        <w:t>Relevant provisions</w:t>
      </w:r>
    </w:p>
    <w:p w14:paraId="715CC47D" w14:textId="77777777" w:rsidR="005F2A04" w:rsidRDefault="005F2A04" w:rsidP="005F2A04">
      <w:pPr>
        <w:pStyle w:val="ACMAHeading3"/>
        <w:spacing w:after="120"/>
        <w:rPr>
          <w:sz w:val="28"/>
          <w:szCs w:val="28"/>
        </w:rPr>
      </w:pPr>
      <w:r>
        <w:rPr>
          <w:sz w:val="28"/>
          <w:szCs w:val="28"/>
        </w:rPr>
        <w:t>The Standard</w:t>
      </w:r>
    </w:p>
    <w:p w14:paraId="0EEAF5AF" w14:textId="77777777" w:rsidR="005F2A04" w:rsidRPr="00BE097F" w:rsidRDefault="005F2A04" w:rsidP="005F2A04">
      <w:pPr>
        <w:pStyle w:val="ACMAQuoteindented"/>
        <w:ind w:left="0"/>
      </w:pPr>
      <w:bookmarkStart w:id="18" w:name="_Toc89699050"/>
      <w:bookmarkStart w:id="19" w:name="_Toc96680205"/>
      <w:r w:rsidRPr="00150CE7">
        <w:rPr>
          <w:b/>
          <w:bCs/>
        </w:rPr>
        <w:t>5</w:t>
      </w:r>
      <w:r w:rsidRPr="00150CE7">
        <w:rPr>
          <w:b/>
          <w:bCs/>
        </w:rPr>
        <w:tab/>
        <w:t>Definitions</w:t>
      </w:r>
      <w:bookmarkEnd w:id="18"/>
      <w:bookmarkEnd w:id="19"/>
    </w:p>
    <w:p w14:paraId="66E0013B" w14:textId="176C98CE" w:rsidR="005F2A04" w:rsidRDefault="005F2A04" w:rsidP="005F2A04">
      <w:pPr>
        <w:pStyle w:val="ACMAQuoteindented"/>
      </w:pPr>
      <w:r w:rsidRPr="00BE097F">
        <w:t>In this standard:</w:t>
      </w:r>
    </w:p>
    <w:p w14:paraId="3A9C194A" w14:textId="77777777" w:rsidR="005F2A04" w:rsidRDefault="005F2A04" w:rsidP="005F2A04">
      <w:pPr>
        <w:pStyle w:val="ACMAQuoteindented"/>
      </w:pPr>
      <w:r>
        <w:t>[…]</w:t>
      </w:r>
    </w:p>
    <w:p w14:paraId="1182F218" w14:textId="77777777" w:rsidR="005F2A04" w:rsidRDefault="005F2A04" w:rsidP="005F2A04">
      <w:pPr>
        <w:pStyle w:val="ACMAQuoteindented"/>
      </w:pPr>
      <w:r w:rsidRPr="00F17239">
        <w:rPr>
          <w:b/>
          <w:bCs/>
          <w:i/>
          <w:iCs/>
        </w:rPr>
        <w:t>current affairs program</w:t>
      </w:r>
      <w:r w:rsidRPr="00BE097F">
        <w:t xml:space="preserve"> means a program a substantial purpose of which is to provide interviews, analysis, commentary or discussion, including open</w:t>
      </w:r>
      <w:r w:rsidRPr="00BE097F">
        <w:noBreakHyphen/>
        <w:t>line discussion with listeners, about current social, economic or political issues.</w:t>
      </w:r>
    </w:p>
    <w:p w14:paraId="6004F705" w14:textId="77777777" w:rsidR="00C8024A" w:rsidRDefault="00C8024A" w:rsidP="00C8024A">
      <w:pPr>
        <w:pStyle w:val="ACMAQuoteindented"/>
      </w:pPr>
      <w:r>
        <w:t>[…]</w:t>
      </w:r>
    </w:p>
    <w:p w14:paraId="0619C51E" w14:textId="77777777" w:rsidR="00C8024A" w:rsidRPr="00C8024A" w:rsidRDefault="00C8024A" w:rsidP="00C8024A">
      <w:pPr>
        <w:pStyle w:val="ACMAQuoteindented"/>
      </w:pPr>
      <w:r w:rsidRPr="00C8024A">
        <w:rPr>
          <w:b/>
          <w:bCs/>
          <w:i/>
          <w:iCs/>
        </w:rPr>
        <w:t>presenter</w:t>
      </w:r>
      <w:r w:rsidRPr="00C8024A">
        <w:t xml:space="preserve"> means a person who:</w:t>
      </w:r>
    </w:p>
    <w:p w14:paraId="25ABB7B0" w14:textId="77777777" w:rsidR="00C8024A" w:rsidRPr="00C8024A" w:rsidRDefault="00C8024A" w:rsidP="00C8024A">
      <w:pPr>
        <w:pStyle w:val="ACMAQuoteindented"/>
      </w:pPr>
      <w:r w:rsidRPr="00C8024A">
        <w:t>(a)</w:t>
      </w:r>
      <w:r w:rsidRPr="00C8024A">
        <w:tab/>
        <w:t>is an on</w:t>
      </w:r>
      <w:r w:rsidRPr="00C8024A">
        <w:noBreakHyphen/>
        <w:t>air presenter of a current affairs program broadcast by a licensee; and</w:t>
      </w:r>
    </w:p>
    <w:p w14:paraId="47B29FB9" w14:textId="77777777" w:rsidR="00C8024A" w:rsidRPr="00C8024A" w:rsidRDefault="00C8024A" w:rsidP="00C8024A">
      <w:pPr>
        <w:pStyle w:val="ACMAQuoteindented"/>
      </w:pPr>
      <w:r w:rsidRPr="00C8024A">
        <w:t>(b)</w:t>
      </w:r>
      <w:r w:rsidRPr="00C8024A">
        <w:tab/>
        <w:t>is not a commentator or guest invited to appear on the program, even if the person appears on the program regularly.</w:t>
      </w:r>
    </w:p>
    <w:p w14:paraId="678E3DC3" w14:textId="77777777" w:rsidR="005F2A04" w:rsidRPr="00B3784E" w:rsidRDefault="005F2A04" w:rsidP="005F2A04">
      <w:pPr>
        <w:pStyle w:val="ACMAQuoteindented"/>
        <w:ind w:left="0"/>
        <w:rPr>
          <w:b/>
          <w:bCs/>
        </w:rPr>
      </w:pPr>
      <w:r w:rsidRPr="00B3784E">
        <w:rPr>
          <w:b/>
          <w:bCs/>
        </w:rPr>
        <w:t>10      On</w:t>
      </w:r>
      <w:r w:rsidRPr="00B3784E">
        <w:rPr>
          <w:rFonts w:ascii="Cambria Math" w:hAnsi="Cambria Math" w:cs="Cambria Math"/>
          <w:b/>
          <w:bCs/>
        </w:rPr>
        <w:t>‑</w:t>
      </w:r>
      <w:r w:rsidRPr="00B3784E">
        <w:rPr>
          <w:b/>
          <w:bCs/>
        </w:rPr>
        <w:t>air disclosure of commercial agreements</w:t>
      </w:r>
    </w:p>
    <w:p w14:paraId="56E440C6" w14:textId="77777777" w:rsidR="005F2A04" w:rsidRDefault="005F2A04" w:rsidP="005F2A04">
      <w:pPr>
        <w:pStyle w:val="ACMAQuoteindented"/>
      </w:pPr>
      <w:r>
        <w:t>(1)   This section applies if:</w:t>
      </w:r>
    </w:p>
    <w:p w14:paraId="0D95CB18" w14:textId="77777777" w:rsidR="005F2A04" w:rsidRDefault="005F2A04" w:rsidP="005F2A04">
      <w:pPr>
        <w:pStyle w:val="ACMAQuoteindented"/>
        <w:ind w:left="873"/>
      </w:pPr>
      <w:r>
        <w:t>(a)        a sponsor or an agent of a sponsor has a commercial agreement with a licensee, a related body corporate of a licensee, a presenter of a licensee or an associate of a presenter of a licensee; and</w:t>
      </w:r>
    </w:p>
    <w:p w14:paraId="469CFF0E" w14:textId="77777777" w:rsidR="005F2A04" w:rsidRDefault="005F2A04" w:rsidP="005F2A04">
      <w:pPr>
        <w:pStyle w:val="ACMAQuoteindented"/>
        <w:ind w:left="720" w:firstLine="153"/>
      </w:pPr>
      <w:r>
        <w:t>(b)        the licensee is broadcasting material in a current affairs program that:</w:t>
      </w:r>
    </w:p>
    <w:p w14:paraId="0FF1A3CA" w14:textId="77777777" w:rsidR="005F2A04" w:rsidRDefault="005F2A04" w:rsidP="005F2A04">
      <w:pPr>
        <w:pStyle w:val="ACMAQuoteindented"/>
        <w:ind w:left="720" w:firstLine="720"/>
      </w:pPr>
      <w:r>
        <w:t>(i)         promotes the name, products or services of the sponsor; or</w:t>
      </w:r>
    </w:p>
    <w:p w14:paraId="44253ED8" w14:textId="77777777" w:rsidR="005F2A04" w:rsidRDefault="005F2A04" w:rsidP="005F2A04">
      <w:pPr>
        <w:pStyle w:val="ACMAQuoteindented"/>
        <w:ind w:left="1440"/>
      </w:pPr>
      <w:r>
        <w:t>(ii)        includes an interview with an agent, employee or officer of the sponsor in relation to a matter that concerns the sponsor, its products, services or interests; or</w:t>
      </w:r>
    </w:p>
    <w:p w14:paraId="63E8C2BA" w14:textId="77777777" w:rsidR="005F2A04" w:rsidRDefault="005F2A04" w:rsidP="005F2A04">
      <w:pPr>
        <w:pStyle w:val="ACMAQuoteindented"/>
        <w:ind w:left="1440"/>
      </w:pPr>
      <w:r>
        <w:t>(iii)       is requested by the sponsor, or which is based on, or similar to, material provided by the sponsor; or</w:t>
      </w:r>
    </w:p>
    <w:p w14:paraId="738346BD" w14:textId="77777777" w:rsidR="005F2A04" w:rsidRDefault="005F2A04" w:rsidP="005F2A04">
      <w:pPr>
        <w:pStyle w:val="ACMAQuoteindented"/>
        <w:ind w:left="1287" w:firstLine="153"/>
      </w:pPr>
      <w:r>
        <w:t>(iv)       directly promotes an issue which is directly favourable to the sponsor.</w:t>
      </w:r>
    </w:p>
    <w:p w14:paraId="0E3DB374" w14:textId="77777777" w:rsidR="005F2A04" w:rsidRDefault="005F2A04" w:rsidP="005F2A04">
      <w:pPr>
        <w:pStyle w:val="ACMAQuoteindented"/>
      </w:pPr>
      <w:r>
        <w:t>(2)   The licensee must ensure that a disclosure announcement that is clearly identifiable to a reasonable listener as a disclosure announcement, is broadcast on air during the current affairs program at the time of, and as part of, the broadcasting of any material in subparagraph (1)(b)(i), (ii), (iii) or (iv).</w:t>
      </w:r>
    </w:p>
    <w:p w14:paraId="701A271B" w14:textId="77777777" w:rsidR="005F2A04" w:rsidRDefault="005F2A04" w:rsidP="005F2A04">
      <w:pPr>
        <w:pStyle w:val="ACMAQuoteindented"/>
      </w:pPr>
      <w:r>
        <w:t>(3)   However, a disclosure announcement is not required to be broadcast if the material is:</w:t>
      </w:r>
    </w:p>
    <w:p w14:paraId="365B18F7" w14:textId="77777777" w:rsidR="005F2A04" w:rsidRDefault="005F2A04" w:rsidP="005F2A04">
      <w:pPr>
        <w:pStyle w:val="ACMAQuoteindented"/>
        <w:ind w:left="720"/>
      </w:pPr>
      <w:r>
        <w:t>(a)     a news broadcast or bulletin; or</w:t>
      </w:r>
    </w:p>
    <w:p w14:paraId="5FD993C5" w14:textId="77777777" w:rsidR="005F2A04" w:rsidRDefault="005F2A04" w:rsidP="005F2A04">
      <w:pPr>
        <w:pStyle w:val="ACMAQuoteindented"/>
        <w:ind w:firstLine="153"/>
      </w:pPr>
      <w:r>
        <w:t>(b)     an advertisement that is clearly identifiable to a reasonable listener as an advertisement.</w:t>
      </w:r>
    </w:p>
    <w:p w14:paraId="05000E8D" w14:textId="77777777" w:rsidR="005F2A04" w:rsidRPr="002610C5" w:rsidRDefault="005F2A04" w:rsidP="005F2A04">
      <w:pPr>
        <w:pStyle w:val="ACMAQuoteindented"/>
        <w:ind w:left="0"/>
        <w:rPr>
          <w:b/>
          <w:bCs/>
        </w:rPr>
      </w:pPr>
      <w:r w:rsidRPr="002610C5">
        <w:rPr>
          <w:b/>
          <w:bCs/>
        </w:rPr>
        <w:lastRenderedPageBreak/>
        <w:t>12 Publicly available online register</w:t>
      </w:r>
    </w:p>
    <w:p w14:paraId="6E3AEF7E" w14:textId="77777777" w:rsidR="005F2A04" w:rsidRPr="002610C5" w:rsidRDefault="005F2A04" w:rsidP="005F2A04">
      <w:pPr>
        <w:pStyle w:val="NormalWeb"/>
        <w:spacing w:before="120" w:beforeAutospacing="0" w:after="120" w:afterAutospacing="0"/>
        <w:ind w:left="719" w:hanging="435"/>
        <w:rPr>
          <w:rFonts w:ascii="Arial" w:eastAsia="Times New Roman" w:hAnsi="Arial" w:cs="Arial"/>
          <w:snapToGrid w:val="0"/>
          <w:sz w:val="18"/>
          <w:szCs w:val="20"/>
          <w:lang w:eastAsia="en-US"/>
        </w:rPr>
      </w:pPr>
      <w:r w:rsidRPr="002610C5">
        <w:rPr>
          <w:rFonts w:ascii="Arial" w:eastAsia="Times New Roman" w:hAnsi="Arial" w:cs="Arial"/>
          <w:snapToGrid w:val="0"/>
          <w:sz w:val="18"/>
          <w:szCs w:val="20"/>
          <w:lang w:eastAsia="en-US"/>
        </w:rPr>
        <w:t>(1) </w:t>
      </w:r>
      <w:r>
        <w:rPr>
          <w:rFonts w:ascii="Arial" w:eastAsia="Times New Roman" w:hAnsi="Arial" w:cs="Arial"/>
          <w:snapToGrid w:val="0"/>
          <w:sz w:val="18"/>
          <w:szCs w:val="20"/>
          <w:lang w:eastAsia="en-US"/>
        </w:rPr>
        <w:t xml:space="preserve">   </w:t>
      </w:r>
      <w:r w:rsidRPr="002610C5">
        <w:rPr>
          <w:rFonts w:ascii="Arial" w:eastAsia="Times New Roman" w:hAnsi="Arial" w:cs="Arial"/>
          <w:snapToGrid w:val="0"/>
          <w:sz w:val="18"/>
          <w:szCs w:val="20"/>
          <w:lang w:eastAsia="en-US"/>
        </w:rPr>
        <w:t>For a commercial agreement mentioned in subsection 13(1), a licensee must keep a register containing the information mentioned in section 13.</w:t>
      </w:r>
    </w:p>
    <w:p w14:paraId="66029E6C" w14:textId="77777777" w:rsidR="005F2A04" w:rsidRPr="002610C5" w:rsidRDefault="005F2A04" w:rsidP="005F2A04">
      <w:pPr>
        <w:pStyle w:val="NormalWeb"/>
        <w:spacing w:before="120" w:beforeAutospacing="0" w:after="120" w:afterAutospacing="0"/>
        <w:ind w:left="284"/>
        <w:rPr>
          <w:rFonts w:ascii="Arial" w:hAnsi="Arial" w:cs="Arial"/>
          <w:color w:val="000000"/>
          <w:sz w:val="18"/>
          <w:szCs w:val="18"/>
        </w:rPr>
      </w:pPr>
      <w:r w:rsidRPr="002610C5">
        <w:rPr>
          <w:rFonts w:ascii="Arial" w:hAnsi="Arial" w:cs="Arial"/>
          <w:color w:val="000000"/>
          <w:sz w:val="18"/>
          <w:szCs w:val="18"/>
        </w:rPr>
        <w:t>(2) The licensee must:</w:t>
      </w:r>
    </w:p>
    <w:p w14:paraId="0D847393" w14:textId="77777777" w:rsidR="005F2A04" w:rsidRPr="002610C5" w:rsidRDefault="005F2A04" w:rsidP="005F2A04">
      <w:pPr>
        <w:pStyle w:val="ACMAQuoteindented"/>
        <w:ind w:left="720"/>
      </w:pPr>
      <w:r w:rsidRPr="002610C5">
        <w:t>(a) publish the register on a website operated by, or on behalf of, the licensee that is accessible online by the public; and</w:t>
      </w:r>
    </w:p>
    <w:p w14:paraId="2D5275D1" w14:textId="77777777" w:rsidR="005F2A04" w:rsidRPr="002610C5" w:rsidRDefault="005F2A04" w:rsidP="005F2A04">
      <w:pPr>
        <w:pStyle w:val="ACMAQuoteindented"/>
        <w:ind w:left="720"/>
      </w:pPr>
      <w:r w:rsidRPr="002610C5">
        <w:t>(b) provide a link from the homepage of the website to the webpage where the register can be accessed.</w:t>
      </w:r>
    </w:p>
    <w:p w14:paraId="4F7E9B3B" w14:textId="77777777" w:rsidR="005F2A04" w:rsidRPr="00B1562A" w:rsidRDefault="005F2A04" w:rsidP="005F2A04">
      <w:pPr>
        <w:pStyle w:val="ACMAQuoteindented"/>
        <w:ind w:left="0"/>
        <w:rPr>
          <w:b/>
          <w:bCs/>
        </w:rPr>
      </w:pPr>
      <w:r w:rsidRPr="00B1562A">
        <w:rPr>
          <w:b/>
          <w:bCs/>
        </w:rPr>
        <w:t>13      Contents of register</w:t>
      </w:r>
    </w:p>
    <w:p w14:paraId="47160B23" w14:textId="77777777" w:rsidR="005F2A04" w:rsidRDefault="005F2A04" w:rsidP="005F2A04">
      <w:pPr>
        <w:pStyle w:val="ACMAQuoteindented"/>
      </w:pPr>
      <w:r>
        <w:t>(1)   The register must contain the following information for each current commercial agreement to which a licensee, related body corporate of the licensee, presenter of the licensee or associate of a presenter of the licensee is a party:</w:t>
      </w:r>
    </w:p>
    <w:p w14:paraId="33B61C5A" w14:textId="77777777" w:rsidR="005F2A04" w:rsidRDefault="005F2A04" w:rsidP="005F2A04">
      <w:pPr>
        <w:pStyle w:val="ACMAQuoteindented"/>
        <w:ind w:left="720"/>
      </w:pPr>
      <w:r>
        <w:t>(a)        the parties to the commercial agreement;</w:t>
      </w:r>
    </w:p>
    <w:p w14:paraId="6C6A6BFB" w14:textId="77777777" w:rsidR="005F2A04" w:rsidRDefault="005F2A04" w:rsidP="005F2A04">
      <w:pPr>
        <w:pStyle w:val="ACMAQuoteindented"/>
        <w:ind w:left="720"/>
      </w:pPr>
      <w:r>
        <w:t>(b)        a brief description of the obligations imposed on the licensee, presenter, or associate of the presenter under the commercial agreement;</w:t>
      </w:r>
    </w:p>
    <w:p w14:paraId="49BD5A5E" w14:textId="77777777" w:rsidR="005F2A04" w:rsidRDefault="005F2A04" w:rsidP="005F2A04">
      <w:pPr>
        <w:pStyle w:val="ACMAQuoteindented"/>
        <w:ind w:left="720"/>
      </w:pPr>
      <w:r>
        <w:t>(c)        the name of each person providing consideration under the commercial agreement;</w:t>
      </w:r>
    </w:p>
    <w:p w14:paraId="0040AE6E" w14:textId="77777777" w:rsidR="005F2A04" w:rsidRDefault="005F2A04" w:rsidP="005F2A04">
      <w:pPr>
        <w:pStyle w:val="ACMAQuoteindented"/>
        <w:ind w:left="720"/>
      </w:pPr>
      <w:r>
        <w:t>(d)       if the presenter or associate of the presenter is a party to the commercial agreement—the name of the current affairs program that the presenter presents;</w:t>
      </w:r>
    </w:p>
    <w:p w14:paraId="4C70631D" w14:textId="77777777" w:rsidR="005F2A04" w:rsidRDefault="005F2A04" w:rsidP="005F2A04">
      <w:pPr>
        <w:pStyle w:val="ACMAQuoteindented"/>
        <w:ind w:left="720"/>
      </w:pPr>
      <w:r>
        <w:t>(e)        for an agreement, arrangement or understanding mentioned in subsection 6(2)—the name of the presenter doing the thing mentioned in subparagraph 6(2)(a)(i), (ii) or (iii) and the name of the current affairs program that the presenter presents.</w:t>
      </w:r>
    </w:p>
    <w:p w14:paraId="0E972F60" w14:textId="77777777" w:rsidR="005F2A04" w:rsidRDefault="005F2A04" w:rsidP="005F2A04">
      <w:pPr>
        <w:pStyle w:val="ACMAQuoteindented"/>
      </w:pPr>
      <w:r>
        <w:t>(2)   However, if a presenter of the licensee is the presenter of a related broadcast, the register must contain the following information in relation to the related broadcast:</w:t>
      </w:r>
    </w:p>
    <w:p w14:paraId="59011D96" w14:textId="77777777" w:rsidR="005F2A04" w:rsidRDefault="005F2A04" w:rsidP="005F2A04">
      <w:pPr>
        <w:pStyle w:val="ACMAQuoteindented"/>
        <w:ind w:left="720"/>
      </w:pPr>
      <w:r>
        <w:t xml:space="preserve"> (a)        the name of the current affairs program;</w:t>
      </w:r>
    </w:p>
    <w:p w14:paraId="1AD8E7AD" w14:textId="77777777" w:rsidR="005F2A04" w:rsidRDefault="005F2A04" w:rsidP="005F2A04">
      <w:pPr>
        <w:pStyle w:val="ACMAQuoteindented"/>
        <w:ind w:left="720"/>
      </w:pPr>
      <w:r>
        <w:t xml:space="preserve"> (b)        the name of the licensee which produced or commissioned the program;</w:t>
      </w:r>
    </w:p>
    <w:p w14:paraId="0E3C85B5" w14:textId="77777777" w:rsidR="005F2A04" w:rsidRDefault="005F2A04" w:rsidP="005F2A04">
      <w:pPr>
        <w:pStyle w:val="ACMAQuoteindented"/>
        <w:ind w:left="720"/>
      </w:pPr>
      <w:r>
        <w:t xml:space="preserve"> (c)        the website where the register of current commercial agreements of the licensee which produced or commissioned the program can be accessed by the public.</w:t>
      </w:r>
    </w:p>
    <w:p w14:paraId="42E22A86" w14:textId="77777777" w:rsidR="005F2A04" w:rsidRDefault="005F2A04" w:rsidP="005F2A04">
      <w:pPr>
        <w:pStyle w:val="ACMAQuoteindented"/>
      </w:pPr>
      <w:r>
        <w:t>(3)   Subsections (1) and (2) do not apply to a presenter who is an on</w:t>
      </w:r>
      <w:r w:rsidRPr="00B1562A">
        <w:rPr>
          <w:rFonts w:ascii="Cambria Math" w:hAnsi="Cambria Math" w:cs="Cambria Math"/>
        </w:rPr>
        <w:t>‑</w:t>
      </w:r>
      <w:r>
        <w:t>air presenter of a current affairs program broadcast by a licensee for less than an average of 3 hours a week over any 4 week period.</w:t>
      </w:r>
    </w:p>
    <w:p w14:paraId="5665189A" w14:textId="6F1C4C3A" w:rsidR="00FD1D67" w:rsidRDefault="00FD1D67" w:rsidP="00FD1D67">
      <w:pPr>
        <w:pStyle w:val="ACMAQuoteindented"/>
        <w:ind w:left="0"/>
        <w:rPr>
          <w:color w:val="000000"/>
          <w:sz w:val="26"/>
          <w:szCs w:val="26"/>
          <w:lang w:eastAsia="en-AU"/>
        </w:rPr>
      </w:pPr>
      <w:r w:rsidRPr="00FD1D67">
        <w:rPr>
          <w:b/>
          <w:bCs/>
        </w:rPr>
        <w:t>14 Licensee to require presenters to disclose commercial agreements to licensee</w:t>
      </w:r>
    </w:p>
    <w:p w14:paraId="7F6DAB8D" w14:textId="77777777" w:rsidR="00FD1D67" w:rsidRPr="00FD1D67" w:rsidRDefault="00FD1D67" w:rsidP="00FD1D67">
      <w:pPr>
        <w:pStyle w:val="ACMAQuoteindented"/>
      </w:pPr>
      <w:r w:rsidRPr="00FD1D67">
        <w:t>(1) A licensee must require a presenter of the licensee to provide to the licensee the information or documents mentioned in subsection (3) for any commercial agreements the presenter or an associate of the presenter is party to with a sponsor or an agent of a sponsor:</w:t>
      </w:r>
    </w:p>
    <w:p w14:paraId="2D5B37BC" w14:textId="77777777" w:rsidR="00FD1D67" w:rsidRPr="00FD1D67" w:rsidRDefault="00FD1D67" w:rsidP="00FD1D67">
      <w:pPr>
        <w:pStyle w:val="ACMAQuoteindented"/>
        <w:ind w:left="720"/>
      </w:pPr>
      <w:r w:rsidRPr="00FD1D67">
        <w:t>(a) for an existing commercial agreement—within 7 days of the commencement of this standard; and</w:t>
      </w:r>
    </w:p>
    <w:p w14:paraId="1F75F659" w14:textId="77777777" w:rsidR="00FD1D67" w:rsidRPr="00FD1D67" w:rsidRDefault="00FD1D67" w:rsidP="00FD1D67">
      <w:pPr>
        <w:pStyle w:val="ACMAQuoteindented"/>
        <w:ind w:left="720"/>
      </w:pPr>
      <w:r w:rsidRPr="00FD1D67">
        <w:t>(b) for an agreement entered into after the commencement of this standard—within 7 days of the agreement being entered into.</w:t>
      </w:r>
    </w:p>
    <w:p w14:paraId="0B788003" w14:textId="77777777" w:rsidR="00FD1D67" w:rsidRPr="00FD1D67" w:rsidRDefault="00FD1D67" w:rsidP="00FD1D67">
      <w:pPr>
        <w:pStyle w:val="ACMAQuoteindented"/>
      </w:pPr>
      <w:r w:rsidRPr="00FD1D67">
        <w:lastRenderedPageBreak/>
        <w:t>(2) In relation to any commercial agreements to which the presenter or associate of the presenter of a related broadcast is a party, the licensee who produced or commissioned the current affairs program is the licensee required to comply with subsection (1).</w:t>
      </w:r>
    </w:p>
    <w:p w14:paraId="28D3B81A" w14:textId="77777777" w:rsidR="00FD1D67" w:rsidRPr="00FD1D67" w:rsidRDefault="00FD1D67" w:rsidP="00FD1D67">
      <w:pPr>
        <w:pStyle w:val="ACMAQuoteindented"/>
      </w:pPr>
      <w:r w:rsidRPr="00FD1D67">
        <w:t>(3) For subsection (1), the following information or documents must be provided to the licensee:</w:t>
      </w:r>
    </w:p>
    <w:p w14:paraId="5D4A7C15" w14:textId="77777777" w:rsidR="00FD1D67" w:rsidRPr="00FD1D67" w:rsidRDefault="00FD1D67" w:rsidP="00FD1D67">
      <w:pPr>
        <w:pStyle w:val="ACMAQuoteindented"/>
        <w:ind w:left="720"/>
      </w:pPr>
      <w:r w:rsidRPr="00FD1D67">
        <w:t>(a) if the commercial agreement is in writing—a copy of the commercial agreement;</w:t>
      </w:r>
    </w:p>
    <w:p w14:paraId="0D872C24" w14:textId="77777777" w:rsidR="00FD1D67" w:rsidRPr="00FD1D67" w:rsidRDefault="00FD1D67" w:rsidP="00FD1D67">
      <w:pPr>
        <w:pStyle w:val="ACMAQuoteindented"/>
        <w:ind w:left="720"/>
      </w:pPr>
      <w:r>
        <w:rPr>
          <w:color w:val="000000"/>
        </w:rPr>
        <w:t> </w:t>
      </w:r>
      <w:r w:rsidRPr="00FD1D67">
        <w:t>(b) if the commercial agreement is not in writing—the following:</w:t>
      </w:r>
    </w:p>
    <w:p w14:paraId="15B513E2" w14:textId="77777777" w:rsidR="00FD1D67" w:rsidRPr="00FD1D67" w:rsidRDefault="00FD1D67" w:rsidP="00FD1D67">
      <w:pPr>
        <w:pStyle w:val="NormalWeb"/>
        <w:spacing w:before="120" w:beforeAutospacing="0" w:after="120" w:afterAutospacing="0"/>
        <w:ind w:left="1440"/>
        <w:rPr>
          <w:rFonts w:ascii="Arial" w:hAnsi="Arial" w:cs="Arial"/>
          <w:color w:val="000000"/>
          <w:sz w:val="18"/>
          <w:szCs w:val="18"/>
        </w:rPr>
      </w:pPr>
      <w:r w:rsidRPr="00FD1D67">
        <w:rPr>
          <w:rFonts w:ascii="Arial" w:hAnsi="Arial" w:cs="Arial"/>
          <w:color w:val="000000"/>
          <w:sz w:val="18"/>
          <w:szCs w:val="18"/>
        </w:rPr>
        <w:t> (i) the date of the commercial agreement;</w:t>
      </w:r>
    </w:p>
    <w:p w14:paraId="5EC87E6C" w14:textId="77777777" w:rsidR="00FD1D67" w:rsidRPr="00FD1D67" w:rsidRDefault="00FD1D67" w:rsidP="00FD1D67">
      <w:pPr>
        <w:pStyle w:val="NormalWeb"/>
        <w:spacing w:before="120" w:beforeAutospacing="0" w:after="120" w:afterAutospacing="0"/>
        <w:ind w:left="1440"/>
        <w:rPr>
          <w:rFonts w:ascii="Arial" w:hAnsi="Arial" w:cs="Arial"/>
          <w:color w:val="000000"/>
          <w:sz w:val="18"/>
          <w:szCs w:val="18"/>
        </w:rPr>
      </w:pPr>
      <w:r w:rsidRPr="00FD1D67">
        <w:rPr>
          <w:rFonts w:ascii="Arial" w:hAnsi="Arial" w:cs="Arial"/>
          <w:color w:val="000000"/>
          <w:sz w:val="18"/>
          <w:szCs w:val="18"/>
        </w:rPr>
        <w:t> (ii) the parties to the commercial agreement;</w:t>
      </w:r>
    </w:p>
    <w:p w14:paraId="4CA6CD59" w14:textId="77777777" w:rsidR="00FD1D67" w:rsidRPr="00FD1D67" w:rsidRDefault="00FD1D67" w:rsidP="00FD1D67">
      <w:pPr>
        <w:pStyle w:val="NormalWeb"/>
        <w:spacing w:before="120" w:beforeAutospacing="0" w:after="120" w:afterAutospacing="0"/>
        <w:ind w:left="2880" w:hanging="720"/>
        <w:rPr>
          <w:rFonts w:ascii="Arial" w:hAnsi="Arial" w:cs="Arial"/>
          <w:color w:val="000000"/>
          <w:sz w:val="18"/>
          <w:szCs w:val="18"/>
        </w:rPr>
      </w:pPr>
      <w:r w:rsidRPr="00FD1D67">
        <w:rPr>
          <w:rFonts w:ascii="Arial" w:hAnsi="Arial" w:cs="Arial"/>
          <w:color w:val="000000"/>
          <w:sz w:val="18"/>
          <w:szCs w:val="18"/>
        </w:rPr>
        <w:t>(iii) a brief description of the obligations imposed on the presenter or associate of the presenter under the commercial agreement;</w:t>
      </w:r>
    </w:p>
    <w:p w14:paraId="3620C08D" w14:textId="77777777" w:rsidR="00FD1D67" w:rsidRPr="00FD1D67" w:rsidRDefault="00FD1D67" w:rsidP="00FD1D67">
      <w:pPr>
        <w:pStyle w:val="NormalWeb"/>
        <w:spacing w:before="120" w:beforeAutospacing="0" w:after="120" w:afterAutospacing="0"/>
        <w:ind w:left="2880" w:hanging="720"/>
        <w:rPr>
          <w:rFonts w:ascii="Arial" w:hAnsi="Arial" w:cs="Arial"/>
          <w:color w:val="000000"/>
          <w:sz w:val="18"/>
          <w:szCs w:val="18"/>
        </w:rPr>
      </w:pPr>
      <w:r w:rsidRPr="00FD1D67">
        <w:rPr>
          <w:rFonts w:ascii="Arial" w:hAnsi="Arial" w:cs="Arial"/>
          <w:color w:val="000000"/>
          <w:sz w:val="18"/>
          <w:szCs w:val="18"/>
        </w:rPr>
        <w:t>(iv) the name of each person providing consideration under the commercial agreement;</w:t>
      </w:r>
    </w:p>
    <w:p w14:paraId="2187A64F" w14:textId="77777777" w:rsidR="00FD1D67" w:rsidRPr="00FD1D67" w:rsidRDefault="00FD1D67" w:rsidP="00FD1D67">
      <w:pPr>
        <w:pStyle w:val="NormalWeb"/>
        <w:spacing w:before="120" w:beforeAutospacing="0" w:after="120" w:afterAutospacing="0"/>
        <w:ind w:left="2880" w:hanging="720"/>
        <w:rPr>
          <w:rFonts w:ascii="Arial" w:hAnsi="Arial" w:cs="Arial"/>
          <w:color w:val="000000"/>
          <w:sz w:val="18"/>
          <w:szCs w:val="18"/>
        </w:rPr>
      </w:pPr>
      <w:r w:rsidRPr="00FD1D67">
        <w:rPr>
          <w:rFonts w:ascii="Arial" w:hAnsi="Arial" w:cs="Arial"/>
          <w:color w:val="000000"/>
          <w:sz w:val="18"/>
          <w:szCs w:val="18"/>
        </w:rPr>
        <w:t>(v) the amount or value of consideration to be provided under the agreement.</w:t>
      </w:r>
    </w:p>
    <w:p w14:paraId="33B51D01" w14:textId="77777777" w:rsidR="00C8024A" w:rsidRPr="00C8024A" w:rsidRDefault="00C8024A" w:rsidP="00C8024A">
      <w:pPr>
        <w:pStyle w:val="ACMAQuoteindented"/>
        <w:rPr>
          <w:b/>
          <w:bCs/>
        </w:rPr>
      </w:pPr>
      <w:bookmarkStart w:id="20" w:name="_Toc318216972"/>
      <w:bookmarkStart w:id="21" w:name="_Toc89699064"/>
      <w:bookmarkStart w:id="22" w:name="_Toc96680219"/>
      <w:r w:rsidRPr="00C8024A">
        <w:rPr>
          <w:b/>
          <w:bCs/>
        </w:rPr>
        <w:t>15</w:t>
      </w:r>
      <w:r w:rsidRPr="00C8024A">
        <w:rPr>
          <w:b/>
          <w:bCs/>
        </w:rPr>
        <w:tab/>
        <w:t>Licensee must keep commercial agreements</w:t>
      </w:r>
      <w:bookmarkEnd w:id="20"/>
      <w:bookmarkEnd w:id="21"/>
      <w:bookmarkEnd w:id="22"/>
    </w:p>
    <w:p w14:paraId="462684B5" w14:textId="77777777" w:rsidR="00C8024A" w:rsidRPr="00C8024A" w:rsidRDefault="00C8024A" w:rsidP="00C8024A">
      <w:pPr>
        <w:pStyle w:val="ACMAQuoteindented"/>
        <w:ind w:left="1437" w:hanging="870"/>
      </w:pPr>
      <w:r w:rsidRPr="00C8024A">
        <w:t>(1)</w:t>
      </w:r>
      <w:r w:rsidRPr="00C8024A">
        <w:tab/>
        <w:t>A licensee must keep the information and documents mentioned in sections 13 and 14 for each commercial agreement to which a licensee, related body corporate of the licensee, presenter of the licensee or associate of a presenter of the licensee is a party.</w:t>
      </w:r>
    </w:p>
    <w:p w14:paraId="4EBDE952" w14:textId="77777777" w:rsidR="00C8024A" w:rsidRPr="00C8024A" w:rsidRDefault="00C8024A" w:rsidP="00C8024A">
      <w:pPr>
        <w:pStyle w:val="ACMAQuoteindented"/>
        <w:ind w:left="1437" w:hanging="870"/>
      </w:pPr>
      <w:r w:rsidRPr="00C8024A">
        <w:t>(2)</w:t>
      </w:r>
      <w:r w:rsidRPr="00C8024A">
        <w:tab/>
        <w:t>The information and documents must be kept for 12 months after the expiration of the commercial agreement.</w:t>
      </w:r>
    </w:p>
    <w:p w14:paraId="1A09C288" w14:textId="77777777" w:rsidR="00C8024A" w:rsidRPr="00C8024A" w:rsidRDefault="00C8024A" w:rsidP="00C8024A">
      <w:pPr>
        <w:pStyle w:val="ACMAQuoteindented"/>
        <w:rPr>
          <w:b/>
          <w:bCs/>
        </w:rPr>
      </w:pPr>
      <w:bookmarkStart w:id="23" w:name="_Toc89699065"/>
      <w:bookmarkStart w:id="24" w:name="_Toc96680220"/>
      <w:r w:rsidRPr="00C8024A">
        <w:rPr>
          <w:b/>
          <w:bCs/>
        </w:rPr>
        <w:t>16</w:t>
      </w:r>
      <w:r w:rsidRPr="00C8024A">
        <w:rPr>
          <w:b/>
          <w:bCs/>
        </w:rPr>
        <w:tab/>
        <w:t>Information or documents to be provided to the ACMA</w:t>
      </w:r>
      <w:bookmarkEnd w:id="23"/>
      <w:bookmarkEnd w:id="24"/>
    </w:p>
    <w:p w14:paraId="0378988D" w14:textId="77777777" w:rsidR="00C8024A" w:rsidRPr="00C8024A" w:rsidRDefault="00C8024A" w:rsidP="00C8024A">
      <w:pPr>
        <w:pStyle w:val="ACMAQuoteindented"/>
      </w:pPr>
      <w:r w:rsidRPr="00C8024A">
        <w:t>(1)</w:t>
      </w:r>
      <w:r w:rsidRPr="00C8024A">
        <w:tab/>
        <w:t>The ACMA may request in writing any of the following:</w:t>
      </w:r>
    </w:p>
    <w:p w14:paraId="44811517" w14:textId="77777777" w:rsidR="00C8024A" w:rsidRPr="00C8024A" w:rsidRDefault="00C8024A" w:rsidP="00C8024A">
      <w:pPr>
        <w:pStyle w:val="ACMAQuoteindented"/>
        <w:ind w:left="1437" w:hanging="870"/>
      </w:pPr>
      <w:r w:rsidRPr="00C8024A">
        <w:t>(a)</w:t>
      </w:r>
      <w:r w:rsidRPr="00C8024A">
        <w:tab/>
        <w:t>any information in relation to a commercial agreement required by section 13 to be contained in the licensee’s register;</w:t>
      </w:r>
    </w:p>
    <w:p w14:paraId="2712F237" w14:textId="77777777" w:rsidR="00C8024A" w:rsidRPr="00C8024A" w:rsidRDefault="00C8024A" w:rsidP="00C8024A">
      <w:pPr>
        <w:pStyle w:val="ACMAQuoteindented"/>
        <w:ind w:left="1437" w:hanging="870"/>
      </w:pPr>
      <w:r w:rsidRPr="00C8024A">
        <w:t>(b)</w:t>
      </w:r>
      <w:r w:rsidRPr="00C8024A">
        <w:tab/>
        <w:t>a copy of a commercial agreement mentioned in subsection 6(2) or provided to the licensee under paragraph 14(3)(a);</w:t>
      </w:r>
    </w:p>
    <w:p w14:paraId="1CE3002C" w14:textId="77777777" w:rsidR="00C8024A" w:rsidRPr="00C8024A" w:rsidRDefault="00C8024A" w:rsidP="00C8024A">
      <w:pPr>
        <w:pStyle w:val="ACMAQuoteindented"/>
      </w:pPr>
      <w:r w:rsidRPr="00C8024A">
        <w:t>(c)</w:t>
      </w:r>
      <w:r w:rsidRPr="00C8024A">
        <w:tab/>
        <w:t>any information provided to the licensee under paragraph 14(3)(b);</w:t>
      </w:r>
    </w:p>
    <w:p w14:paraId="4B8A69CE" w14:textId="77777777" w:rsidR="00C8024A" w:rsidRPr="00C8024A" w:rsidRDefault="00C8024A" w:rsidP="00C8024A">
      <w:pPr>
        <w:pStyle w:val="ACMAQuoteindented"/>
      </w:pPr>
      <w:r w:rsidRPr="00C8024A">
        <w:t>(d)</w:t>
      </w:r>
      <w:r w:rsidRPr="00C8024A">
        <w:tab/>
        <w:t>any information and documents required by section 15 to be kept by the licensee;</w:t>
      </w:r>
    </w:p>
    <w:p w14:paraId="1809EB2A" w14:textId="77777777" w:rsidR="00C8024A" w:rsidRPr="00C8024A" w:rsidRDefault="00C8024A" w:rsidP="00C8024A">
      <w:pPr>
        <w:pStyle w:val="ACMAQuoteindented"/>
        <w:ind w:left="1437" w:hanging="870"/>
      </w:pPr>
      <w:r w:rsidRPr="00C8024A">
        <w:t>(e)</w:t>
      </w:r>
      <w:r w:rsidRPr="00C8024A">
        <w:tab/>
        <w:t>particular information contained in the information and documents required by section 15 to be kept by the licensee.</w:t>
      </w:r>
    </w:p>
    <w:p w14:paraId="7CA3EAEC" w14:textId="77777777" w:rsidR="00500470" w:rsidRDefault="00500470">
      <w:pPr>
        <w:spacing w:before="0" w:after="0" w:line="240" w:lineRule="auto"/>
        <w:rPr>
          <w:rFonts w:cs="Arial"/>
          <w:b/>
          <w:i w:val="0"/>
          <w:sz w:val="28"/>
          <w:szCs w:val="28"/>
        </w:rPr>
      </w:pPr>
      <w:r>
        <w:rPr>
          <w:sz w:val="28"/>
          <w:szCs w:val="28"/>
        </w:rPr>
        <w:br w:type="page"/>
      </w:r>
    </w:p>
    <w:p w14:paraId="3906D6D1" w14:textId="639595E2" w:rsidR="005F2A04" w:rsidRPr="00951990" w:rsidRDefault="005F2A04" w:rsidP="005F2A04">
      <w:pPr>
        <w:pStyle w:val="ACMAHeading3"/>
        <w:spacing w:after="120"/>
        <w:rPr>
          <w:sz w:val="28"/>
          <w:szCs w:val="28"/>
        </w:rPr>
      </w:pPr>
      <w:r>
        <w:rPr>
          <w:sz w:val="28"/>
          <w:szCs w:val="28"/>
        </w:rPr>
        <w:lastRenderedPageBreak/>
        <w:t>The BSA</w:t>
      </w:r>
    </w:p>
    <w:p w14:paraId="7C6ACD08" w14:textId="64C314B9" w:rsidR="008E4C65" w:rsidRDefault="008E4C65" w:rsidP="005F2A04">
      <w:pPr>
        <w:pStyle w:val="ACMAQuoteindented"/>
        <w:ind w:left="0"/>
        <w:rPr>
          <w:b/>
          <w:bCs/>
        </w:rPr>
      </w:pPr>
      <w:r>
        <w:rPr>
          <w:b/>
          <w:bCs/>
        </w:rPr>
        <w:t>Schedule 2</w:t>
      </w:r>
      <w:r w:rsidR="000E5ADF">
        <w:rPr>
          <w:b/>
          <w:bCs/>
        </w:rPr>
        <w:t xml:space="preserve"> – Standard conditions</w:t>
      </w:r>
    </w:p>
    <w:p w14:paraId="566BD921" w14:textId="3792238E" w:rsidR="005F2A04" w:rsidRDefault="005F2A04" w:rsidP="005F2A04">
      <w:pPr>
        <w:pStyle w:val="ACMAQuoteindented"/>
        <w:ind w:left="0"/>
        <w:rPr>
          <w:b/>
          <w:bCs/>
        </w:rPr>
      </w:pPr>
      <w:r w:rsidRPr="00B1562A">
        <w:rPr>
          <w:b/>
          <w:bCs/>
        </w:rPr>
        <w:t>Part 4—Commercial radio broadcasting licences</w:t>
      </w:r>
    </w:p>
    <w:p w14:paraId="0275B297" w14:textId="77777777" w:rsidR="005F2A04" w:rsidRPr="00B1562A" w:rsidRDefault="005F2A04" w:rsidP="005F2A04">
      <w:pPr>
        <w:pStyle w:val="ACMAQuoteindented"/>
        <w:ind w:left="0"/>
      </w:pPr>
      <w:r w:rsidRPr="00B1562A">
        <w:t>[…]</w:t>
      </w:r>
    </w:p>
    <w:p w14:paraId="7850F809" w14:textId="77777777" w:rsidR="005F2A04" w:rsidRPr="00B1562A" w:rsidRDefault="005F2A04" w:rsidP="005F2A04">
      <w:pPr>
        <w:pStyle w:val="ACMAQuoteindented"/>
        <w:ind w:left="0"/>
        <w:rPr>
          <w:b/>
          <w:bCs/>
        </w:rPr>
      </w:pPr>
      <w:r w:rsidRPr="00B1562A">
        <w:rPr>
          <w:b/>
          <w:bCs/>
        </w:rPr>
        <w:t>8  Standard conditions of commercial radio broadcasting licences</w:t>
      </w:r>
    </w:p>
    <w:p w14:paraId="55485F6A" w14:textId="77777777" w:rsidR="005F2A04" w:rsidRDefault="005F2A04" w:rsidP="005F2A04">
      <w:pPr>
        <w:pStyle w:val="ACMAQuoteindented"/>
      </w:pPr>
      <w:r>
        <w:t>(1)  Each commercial radio broadcasting licence is subject to the following conditions:</w:t>
      </w:r>
    </w:p>
    <w:p w14:paraId="548156E0" w14:textId="77777777" w:rsidR="005F2A04" w:rsidRDefault="005F2A04" w:rsidP="005F2A04">
      <w:pPr>
        <w:pStyle w:val="ACMAQuoteindented"/>
      </w:pPr>
      <w:r>
        <w:t>[…]</w:t>
      </w:r>
    </w:p>
    <w:p w14:paraId="00EEA266" w14:textId="77777777" w:rsidR="005F2A04" w:rsidRDefault="005F2A04" w:rsidP="005F2A04">
      <w:pPr>
        <w:pStyle w:val="ACMAQuoteindented"/>
        <w:ind w:left="720"/>
      </w:pPr>
      <w:r>
        <w:t>(b)  the licensee will comply with program standards applicable to the licence under Part 9 of this Act;</w:t>
      </w:r>
    </w:p>
    <w:p w14:paraId="5DD8E06B" w14:textId="77777777" w:rsidR="005F2A04" w:rsidRPr="00773F2D" w:rsidRDefault="005F2A04" w:rsidP="005F2A04">
      <w:pPr>
        <w:pStyle w:val="ACMAHeading2"/>
        <w:rPr>
          <w:b w:val="0"/>
          <w:bCs/>
          <w:sz w:val="20"/>
        </w:rPr>
      </w:pPr>
      <w:r>
        <w:rPr>
          <w:b w:val="0"/>
          <w:bCs/>
          <w:sz w:val="20"/>
        </w:rPr>
        <w:t>T</w:t>
      </w:r>
      <w:r w:rsidRPr="00773F2D">
        <w:rPr>
          <w:b w:val="0"/>
          <w:bCs/>
          <w:sz w:val="20"/>
        </w:rPr>
        <w:t xml:space="preserve">he Standard </w:t>
      </w:r>
      <w:r>
        <w:rPr>
          <w:b w:val="0"/>
          <w:bCs/>
          <w:sz w:val="20"/>
        </w:rPr>
        <w:t>wa</w:t>
      </w:r>
      <w:r w:rsidRPr="00773F2D">
        <w:rPr>
          <w:b w:val="0"/>
          <w:bCs/>
          <w:sz w:val="20"/>
        </w:rPr>
        <w:t xml:space="preserve">s made under </w:t>
      </w:r>
      <w:r w:rsidRPr="00773F2D">
        <w:rPr>
          <w:b w:val="0"/>
          <w:bCs/>
          <w:color w:val="000000"/>
          <w:sz w:val="20"/>
          <w:shd w:val="clear" w:color="auto" w:fill="FFFFFF"/>
        </w:rPr>
        <w:t>subsection 125(1) of Part 9 of the BSA</w:t>
      </w:r>
      <w:r>
        <w:rPr>
          <w:b w:val="0"/>
          <w:bCs/>
          <w:color w:val="000000"/>
          <w:sz w:val="20"/>
          <w:shd w:val="clear" w:color="auto" w:fill="FFFFFF"/>
        </w:rPr>
        <w:t>.</w:t>
      </w:r>
    </w:p>
    <w:p w14:paraId="7B271764" w14:textId="77777777" w:rsidR="0012464D" w:rsidRPr="005F2A04" w:rsidRDefault="0012464D" w:rsidP="001845B1">
      <w:pPr>
        <w:pStyle w:val="ACMAHeading3"/>
        <w:spacing w:after="120"/>
        <w:rPr>
          <w:b w:val="0"/>
          <w:bCs/>
          <w:sz w:val="20"/>
        </w:rPr>
      </w:pPr>
    </w:p>
    <w:p w14:paraId="25B942C7" w14:textId="5F6A608A" w:rsidR="006A02B1" w:rsidRDefault="006A02B1" w:rsidP="001164DF">
      <w:pPr>
        <w:pStyle w:val="ACMAHeading2"/>
        <w:pageBreakBefore/>
        <w:jc w:val="right"/>
      </w:pPr>
      <w:r w:rsidRPr="00D86A14">
        <w:lastRenderedPageBreak/>
        <w:t xml:space="preserve">Attachment </w:t>
      </w:r>
      <w:r w:rsidR="00D37B68">
        <w:t>B</w:t>
      </w:r>
    </w:p>
    <w:p w14:paraId="53AD22A9" w14:textId="569A0C56" w:rsidR="004F46BD" w:rsidRDefault="004F46BD" w:rsidP="004F46BD">
      <w:pPr>
        <w:pStyle w:val="ACMAHeading3"/>
        <w:spacing w:after="120"/>
        <w:rPr>
          <w:sz w:val="28"/>
          <w:szCs w:val="28"/>
        </w:rPr>
      </w:pPr>
      <w:r>
        <w:rPr>
          <w:sz w:val="28"/>
          <w:szCs w:val="28"/>
        </w:rPr>
        <w:t xml:space="preserve">Commercial agreements </w:t>
      </w:r>
      <w:r w:rsidR="00500470">
        <w:rPr>
          <w:sz w:val="28"/>
          <w:szCs w:val="28"/>
        </w:rPr>
        <w:t>entere</w:t>
      </w:r>
      <w:r w:rsidR="005B7012">
        <w:rPr>
          <w:sz w:val="28"/>
          <w:szCs w:val="28"/>
        </w:rPr>
        <w:t>d</w:t>
      </w:r>
      <w:r w:rsidR="00500470">
        <w:rPr>
          <w:sz w:val="28"/>
          <w:szCs w:val="28"/>
        </w:rPr>
        <w:t xml:space="preserve"> into </w:t>
      </w:r>
      <w:r w:rsidR="008D487E">
        <w:rPr>
          <w:sz w:val="28"/>
          <w:szCs w:val="28"/>
        </w:rPr>
        <w:t>by Jacqui Felgate</w:t>
      </w:r>
    </w:p>
    <w:p w14:paraId="1AC83501" w14:textId="77777777" w:rsidR="00706366" w:rsidRDefault="00706366" w:rsidP="00706366">
      <w:pPr>
        <w:pStyle w:val="ACMABodyText"/>
      </w:pPr>
    </w:p>
    <w:tbl>
      <w:tblPr>
        <w:tblStyle w:val="TableGrid"/>
        <w:tblW w:w="8251" w:type="dxa"/>
        <w:tblLook w:val="04A0" w:firstRow="1" w:lastRow="0" w:firstColumn="1" w:lastColumn="0" w:noHBand="0" w:noVBand="1"/>
      </w:tblPr>
      <w:tblGrid>
        <w:gridCol w:w="2368"/>
        <w:gridCol w:w="2764"/>
        <w:gridCol w:w="3119"/>
      </w:tblGrid>
      <w:tr w:rsidR="00706366" w14:paraId="07E2F995" w14:textId="77777777" w:rsidTr="007C49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8" w:type="dxa"/>
            <w:tcBorders>
              <w:bottom w:val="single" w:sz="4" w:space="0" w:color="auto"/>
            </w:tcBorders>
            <w:shd w:val="clear" w:color="auto" w:fill="8DB3E2" w:themeFill="text2" w:themeFillTint="66"/>
          </w:tcPr>
          <w:p w14:paraId="3E0CD123" w14:textId="58E86DAA" w:rsidR="00706366" w:rsidRPr="003066EF" w:rsidRDefault="00706366" w:rsidP="009E7676">
            <w:pPr>
              <w:pStyle w:val="ACMABodyText0"/>
              <w:rPr>
                <w:rFonts w:cs="Arial"/>
                <w:b/>
                <w:bCs/>
                <w:sz w:val="20"/>
              </w:rPr>
            </w:pPr>
            <w:r w:rsidRPr="003066EF">
              <w:rPr>
                <w:rFonts w:cs="Arial"/>
                <w:b/>
                <w:bCs/>
                <w:sz w:val="20"/>
              </w:rPr>
              <w:t xml:space="preserve">Name of </w:t>
            </w:r>
            <w:r w:rsidR="004172B2">
              <w:rPr>
                <w:rFonts w:cs="Arial"/>
                <w:b/>
                <w:bCs/>
                <w:sz w:val="20"/>
              </w:rPr>
              <w:t xml:space="preserve">other </w:t>
            </w:r>
            <w:r w:rsidRPr="003066EF">
              <w:rPr>
                <w:rFonts w:cs="Arial"/>
                <w:b/>
                <w:bCs/>
                <w:sz w:val="20"/>
              </w:rPr>
              <w:t>party to</w:t>
            </w:r>
            <w:r w:rsidR="004172B2">
              <w:rPr>
                <w:rFonts w:cs="Arial"/>
                <w:b/>
                <w:bCs/>
                <w:sz w:val="20"/>
              </w:rPr>
              <w:t xml:space="preserve"> the</w:t>
            </w:r>
            <w:r w:rsidRPr="003066EF">
              <w:rPr>
                <w:rFonts w:cs="Arial"/>
                <w:b/>
                <w:bCs/>
                <w:sz w:val="20"/>
              </w:rPr>
              <w:t xml:space="preserve"> commercial agreement </w:t>
            </w:r>
          </w:p>
        </w:tc>
        <w:tc>
          <w:tcPr>
            <w:tcW w:w="2764" w:type="dxa"/>
            <w:shd w:val="clear" w:color="auto" w:fill="8DB3E2" w:themeFill="text2" w:themeFillTint="66"/>
          </w:tcPr>
          <w:p w14:paraId="0CBFFBD1" w14:textId="77777777" w:rsidR="00706366" w:rsidRPr="003066EF" w:rsidRDefault="00706366" w:rsidP="009E7676">
            <w:pPr>
              <w:pStyle w:val="ACMABodyText0"/>
              <w:cnfStyle w:val="100000000000" w:firstRow="1" w:lastRow="0" w:firstColumn="0" w:lastColumn="0" w:oddVBand="0" w:evenVBand="0" w:oddHBand="0" w:evenHBand="0" w:firstRowFirstColumn="0" w:firstRowLastColumn="0" w:lastRowFirstColumn="0" w:lastRowLastColumn="0"/>
              <w:rPr>
                <w:rFonts w:cs="Arial"/>
                <w:b/>
                <w:bCs/>
                <w:sz w:val="20"/>
              </w:rPr>
            </w:pPr>
            <w:r w:rsidRPr="003066EF">
              <w:rPr>
                <w:rFonts w:cs="Arial"/>
                <w:b/>
                <w:bCs/>
                <w:sz w:val="20"/>
              </w:rPr>
              <w:t xml:space="preserve">Date commercial agreement became current </w:t>
            </w:r>
          </w:p>
        </w:tc>
        <w:tc>
          <w:tcPr>
            <w:tcW w:w="3119" w:type="dxa"/>
            <w:shd w:val="clear" w:color="auto" w:fill="8DB3E2" w:themeFill="text2" w:themeFillTint="66"/>
          </w:tcPr>
          <w:p w14:paraId="3C2C3B12" w14:textId="6F93E248" w:rsidR="00706366" w:rsidRPr="003066EF" w:rsidRDefault="00706366" w:rsidP="009E7676">
            <w:pPr>
              <w:pStyle w:val="ACMABodyText0"/>
              <w:cnfStyle w:val="100000000000" w:firstRow="1" w:lastRow="0" w:firstColumn="0" w:lastColumn="0" w:oddVBand="0" w:evenVBand="0" w:oddHBand="0" w:evenHBand="0" w:firstRowFirstColumn="0" w:firstRowLastColumn="0" w:lastRowFirstColumn="0" w:lastRowLastColumn="0"/>
              <w:rPr>
                <w:rFonts w:cs="Arial"/>
                <w:b/>
                <w:bCs/>
                <w:sz w:val="20"/>
              </w:rPr>
            </w:pPr>
            <w:r w:rsidRPr="003066EF">
              <w:rPr>
                <w:rFonts w:cs="Arial"/>
                <w:b/>
                <w:bCs/>
                <w:sz w:val="20"/>
              </w:rPr>
              <w:t>Date Radio 3</w:t>
            </w:r>
            <w:r>
              <w:rPr>
                <w:rFonts w:cs="Arial"/>
                <w:b/>
                <w:bCs/>
                <w:sz w:val="20"/>
              </w:rPr>
              <w:t xml:space="preserve">AW </w:t>
            </w:r>
            <w:r w:rsidRPr="003066EF">
              <w:rPr>
                <w:rFonts w:cs="Arial"/>
                <w:b/>
                <w:bCs/>
                <w:sz w:val="20"/>
              </w:rPr>
              <w:t>Licensee update</w:t>
            </w:r>
            <w:r w:rsidR="004172B2">
              <w:rPr>
                <w:rFonts w:cs="Arial"/>
                <w:b/>
                <w:bCs/>
                <w:sz w:val="20"/>
              </w:rPr>
              <w:t>d</w:t>
            </w:r>
            <w:r w:rsidRPr="003066EF">
              <w:rPr>
                <w:rFonts w:cs="Arial"/>
                <w:b/>
                <w:bCs/>
                <w:sz w:val="20"/>
              </w:rPr>
              <w:t xml:space="preserve"> the online register</w:t>
            </w:r>
          </w:p>
        </w:tc>
      </w:tr>
      <w:tr w:rsidR="00706366" w14:paraId="0662CF37" w14:textId="77777777" w:rsidTr="007C492B">
        <w:tc>
          <w:tcPr>
            <w:cnfStyle w:val="001000000000" w:firstRow="0" w:lastRow="0" w:firstColumn="1" w:lastColumn="0" w:oddVBand="0" w:evenVBand="0" w:oddHBand="0" w:evenHBand="0" w:firstRowFirstColumn="0" w:firstRowLastColumn="0" w:lastRowFirstColumn="0" w:lastRowLastColumn="0"/>
            <w:tcW w:w="2368" w:type="dxa"/>
            <w:tcBorders>
              <w:top w:val="single" w:sz="4" w:space="0" w:color="auto"/>
              <w:bottom w:val="single" w:sz="4" w:space="0" w:color="auto"/>
            </w:tcBorders>
            <w:shd w:val="clear" w:color="auto" w:fill="auto"/>
          </w:tcPr>
          <w:p w14:paraId="298D8D04" w14:textId="19068C23" w:rsidR="00706366" w:rsidRPr="003066EF" w:rsidRDefault="00706366" w:rsidP="009E7676">
            <w:pPr>
              <w:pStyle w:val="ACMABodyText"/>
              <w:rPr>
                <w:rFonts w:cs="Arial"/>
              </w:rPr>
            </w:pPr>
            <w:r w:rsidRPr="003066EF">
              <w:rPr>
                <w:rFonts w:cs="Arial"/>
              </w:rPr>
              <w:t xml:space="preserve">La Roche Posay </w:t>
            </w:r>
          </w:p>
          <w:p w14:paraId="36679BA9" w14:textId="7F0716F9" w:rsidR="00706366" w:rsidRPr="003066EF" w:rsidRDefault="00706366" w:rsidP="009E7676">
            <w:pPr>
              <w:pStyle w:val="ACMABodyText"/>
              <w:rPr>
                <w:rFonts w:cs="Arial"/>
              </w:rPr>
            </w:pPr>
            <w:r w:rsidRPr="003066EF">
              <w:rPr>
                <w:rFonts w:cs="Arial"/>
              </w:rPr>
              <w:t>Chemist Warehouse</w:t>
            </w:r>
          </w:p>
          <w:p w14:paraId="3FCB67A1" w14:textId="142B4F17" w:rsidR="00706366" w:rsidRPr="003066EF" w:rsidRDefault="00706366" w:rsidP="009E7676">
            <w:pPr>
              <w:pStyle w:val="ACMABodyText"/>
              <w:rPr>
                <w:rFonts w:cs="Arial"/>
              </w:rPr>
            </w:pPr>
            <w:r w:rsidRPr="003066EF">
              <w:rPr>
                <w:rFonts w:cs="Arial"/>
              </w:rPr>
              <w:t xml:space="preserve">Racing Victoria (Off the Track) </w:t>
            </w:r>
          </w:p>
          <w:p w14:paraId="79535F08" w14:textId="35D37EC2" w:rsidR="00706366" w:rsidRPr="003066EF" w:rsidRDefault="00706366" w:rsidP="009E7676">
            <w:pPr>
              <w:pStyle w:val="ACMABodyText"/>
              <w:rPr>
                <w:rFonts w:cs="Arial"/>
              </w:rPr>
            </w:pPr>
            <w:r w:rsidRPr="003066EF">
              <w:rPr>
                <w:rFonts w:cs="Arial"/>
              </w:rPr>
              <w:t>Smile Solutions</w:t>
            </w:r>
          </w:p>
          <w:p w14:paraId="0E71A40E" w14:textId="2F0B75B3" w:rsidR="00706366" w:rsidRPr="003066EF" w:rsidRDefault="00706366" w:rsidP="009E7676">
            <w:pPr>
              <w:pStyle w:val="ACMABodyText"/>
              <w:rPr>
                <w:rFonts w:cs="Arial"/>
              </w:rPr>
            </w:pPr>
            <w:r w:rsidRPr="003066EF">
              <w:rPr>
                <w:rFonts w:cs="Arial"/>
              </w:rPr>
              <w:t>Maybelline</w:t>
            </w:r>
          </w:p>
          <w:p w14:paraId="38AF6129" w14:textId="132A9CE8" w:rsidR="00706366" w:rsidRPr="003066EF" w:rsidRDefault="00706366" w:rsidP="009E7676">
            <w:pPr>
              <w:pStyle w:val="ACMABodyText"/>
              <w:rPr>
                <w:rFonts w:cs="Arial"/>
              </w:rPr>
            </w:pPr>
            <w:r w:rsidRPr="003066EF">
              <w:rPr>
                <w:rFonts w:cs="Arial"/>
              </w:rPr>
              <w:t xml:space="preserve">BMW </w:t>
            </w:r>
          </w:p>
          <w:p w14:paraId="3B2F44F3" w14:textId="77777777" w:rsidR="00706366" w:rsidRPr="003066EF" w:rsidRDefault="00706366" w:rsidP="009E7676">
            <w:pPr>
              <w:pStyle w:val="ACMABodyText0"/>
              <w:rPr>
                <w:rFonts w:cs="Arial"/>
                <w:sz w:val="20"/>
              </w:rPr>
            </w:pPr>
            <w:r w:rsidRPr="003066EF">
              <w:rPr>
                <w:rFonts w:cs="Arial"/>
                <w:sz w:val="20"/>
              </w:rPr>
              <w:t>Villawood Property</w:t>
            </w:r>
          </w:p>
        </w:tc>
        <w:tc>
          <w:tcPr>
            <w:tcW w:w="2764" w:type="dxa"/>
          </w:tcPr>
          <w:p w14:paraId="1F74FD10" w14:textId="77777777" w:rsidR="00706366" w:rsidRPr="003066EF" w:rsidRDefault="00706366" w:rsidP="009E7676">
            <w:pPr>
              <w:pStyle w:val="ACMABodyText0"/>
              <w:cnfStyle w:val="000000000000" w:firstRow="0" w:lastRow="0" w:firstColumn="0" w:lastColumn="0" w:oddVBand="0" w:evenVBand="0" w:oddHBand="0" w:evenHBand="0" w:firstRowFirstColumn="0" w:firstRowLastColumn="0" w:lastRowFirstColumn="0" w:lastRowLastColumn="0"/>
              <w:rPr>
                <w:rFonts w:cs="Arial"/>
                <w:sz w:val="20"/>
              </w:rPr>
            </w:pPr>
            <w:r w:rsidRPr="003066EF">
              <w:rPr>
                <w:rFonts w:cs="Arial"/>
                <w:sz w:val="20"/>
              </w:rPr>
              <w:t>25 July 2023</w:t>
            </w:r>
          </w:p>
        </w:tc>
        <w:tc>
          <w:tcPr>
            <w:tcW w:w="3119" w:type="dxa"/>
          </w:tcPr>
          <w:p w14:paraId="661D2008" w14:textId="77777777" w:rsidR="00706366" w:rsidRPr="003066EF" w:rsidRDefault="00706366" w:rsidP="009E7676">
            <w:pPr>
              <w:pStyle w:val="ACMABodyText0"/>
              <w:cnfStyle w:val="000000000000" w:firstRow="0" w:lastRow="0" w:firstColumn="0" w:lastColumn="0" w:oddVBand="0" w:evenVBand="0" w:oddHBand="0" w:evenHBand="0" w:firstRowFirstColumn="0" w:firstRowLastColumn="0" w:lastRowFirstColumn="0" w:lastRowLastColumn="0"/>
              <w:rPr>
                <w:rFonts w:cs="Arial"/>
                <w:sz w:val="20"/>
              </w:rPr>
            </w:pPr>
            <w:r w:rsidRPr="003066EF">
              <w:rPr>
                <w:rFonts w:cs="Arial"/>
                <w:sz w:val="20"/>
              </w:rPr>
              <w:t>11 September 2023</w:t>
            </w:r>
          </w:p>
        </w:tc>
      </w:tr>
      <w:tr w:rsidR="00706366" w14:paraId="52C72D5E" w14:textId="77777777" w:rsidTr="007C492B">
        <w:tc>
          <w:tcPr>
            <w:cnfStyle w:val="001000000000" w:firstRow="0" w:lastRow="0" w:firstColumn="1" w:lastColumn="0" w:oddVBand="0" w:evenVBand="0" w:oddHBand="0" w:evenHBand="0" w:firstRowFirstColumn="0" w:firstRowLastColumn="0" w:lastRowFirstColumn="0" w:lastRowLastColumn="0"/>
            <w:tcW w:w="2368" w:type="dxa"/>
            <w:tcBorders>
              <w:top w:val="single" w:sz="4" w:space="0" w:color="auto"/>
              <w:bottom w:val="single" w:sz="4" w:space="0" w:color="auto"/>
            </w:tcBorders>
            <w:shd w:val="clear" w:color="auto" w:fill="auto"/>
          </w:tcPr>
          <w:p w14:paraId="17B43192" w14:textId="77777777" w:rsidR="00706366" w:rsidRPr="003066EF" w:rsidRDefault="00706366" w:rsidP="009E7676">
            <w:pPr>
              <w:pStyle w:val="ACMABodyText0"/>
              <w:rPr>
                <w:rFonts w:cs="Arial"/>
                <w:sz w:val="20"/>
              </w:rPr>
            </w:pPr>
            <w:r w:rsidRPr="003066EF">
              <w:rPr>
                <w:rFonts w:cs="Arial"/>
                <w:sz w:val="20"/>
              </w:rPr>
              <w:t>NAB AFL Auskick</w:t>
            </w:r>
          </w:p>
        </w:tc>
        <w:tc>
          <w:tcPr>
            <w:tcW w:w="2764" w:type="dxa"/>
          </w:tcPr>
          <w:p w14:paraId="76DE778A" w14:textId="77777777" w:rsidR="00706366" w:rsidRPr="003066EF" w:rsidRDefault="00706366" w:rsidP="009E7676">
            <w:pPr>
              <w:pStyle w:val="ACMABodyText0"/>
              <w:cnfStyle w:val="000000000000" w:firstRow="0" w:lastRow="0" w:firstColumn="0" w:lastColumn="0" w:oddVBand="0" w:evenVBand="0" w:oddHBand="0" w:evenHBand="0" w:firstRowFirstColumn="0" w:firstRowLastColumn="0" w:lastRowFirstColumn="0" w:lastRowLastColumn="0"/>
              <w:rPr>
                <w:rFonts w:cs="Arial"/>
                <w:sz w:val="20"/>
              </w:rPr>
            </w:pPr>
            <w:r w:rsidRPr="003066EF">
              <w:rPr>
                <w:rFonts w:cs="Arial"/>
                <w:sz w:val="20"/>
              </w:rPr>
              <w:t>25 July 2023</w:t>
            </w:r>
          </w:p>
        </w:tc>
        <w:tc>
          <w:tcPr>
            <w:tcW w:w="3119" w:type="dxa"/>
          </w:tcPr>
          <w:p w14:paraId="4F9CF09A" w14:textId="77777777" w:rsidR="00706366" w:rsidRPr="003066EF" w:rsidRDefault="00706366" w:rsidP="009E7676">
            <w:pPr>
              <w:pStyle w:val="ACMABodyText0"/>
              <w:cnfStyle w:val="000000000000" w:firstRow="0" w:lastRow="0" w:firstColumn="0" w:lastColumn="0" w:oddVBand="0" w:evenVBand="0" w:oddHBand="0" w:evenHBand="0" w:firstRowFirstColumn="0" w:firstRowLastColumn="0" w:lastRowFirstColumn="0" w:lastRowLastColumn="0"/>
              <w:rPr>
                <w:rFonts w:cs="Arial"/>
                <w:sz w:val="20"/>
              </w:rPr>
            </w:pPr>
            <w:r w:rsidRPr="003066EF">
              <w:rPr>
                <w:rFonts w:cs="Arial"/>
                <w:sz w:val="20"/>
              </w:rPr>
              <w:t>12 September 2023</w:t>
            </w:r>
          </w:p>
        </w:tc>
      </w:tr>
      <w:tr w:rsidR="00706366" w14:paraId="2A2E7B8C" w14:textId="77777777" w:rsidTr="007C492B">
        <w:tc>
          <w:tcPr>
            <w:cnfStyle w:val="001000000000" w:firstRow="0" w:lastRow="0" w:firstColumn="1" w:lastColumn="0" w:oddVBand="0" w:evenVBand="0" w:oddHBand="0" w:evenHBand="0" w:firstRowFirstColumn="0" w:firstRowLastColumn="0" w:lastRowFirstColumn="0" w:lastRowLastColumn="0"/>
            <w:tcW w:w="2368" w:type="dxa"/>
            <w:tcBorders>
              <w:top w:val="single" w:sz="4" w:space="0" w:color="auto"/>
              <w:bottom w:val="single" w:sz="4" w:space="0" w:color="auto"/>
            </w:tcBorders>
            <w:shd w:val="clear" w:color="auto" w:fill="auto"/>
          </w:tcPr>
          <w:p w14:paraId="3E245ECB" w14:textId="77777777" w:rsidR="00706366" w:rsidRPr="003066EF" w:rsidRDefault="00706366" w:rsidP="009E7676">
            <w:pPr>
              <w:pStyle w:val="ACMABodyText0"/>
              <w:rPr>
                <w:rFonts w:cs="Arial"/>
                <w:sz w:val="20"/>
              </w:rPr>
            </w:pPr>
            <w:r w:rsidRPr="003066EF">
              <w:rPr>
                <w:rFonts w:cs="Arial"/>
                <w:sz w:val="20"/>
              </w:rPr>
              <w:t>Melbourne Airport</w:t>
            </w:r>
          </w:p>
        </w:tc>
        <w:tc>
          <w:tcPr>
            <w:tcW w:w="2764" w:type="dxa"/>
          </w:tcPr>
          <w:p w14:paraId="14555DF3" w14:textId="77777777" w:rsidR="00706366" w:rsidRPr="003066EF" w:rsidRDefault="00706366" w:rsidP="009E7676">
            <w:pPr>
              <w:pStyle w:val="ACMABodyText0"/>
              <w:cnfStyle w:val="000000000000" w:firstRow="0" w:lastRow="0" w:firstColumn="0" w:lastColumn="0" w:oddVBand="0" w:evenVBand="0" w:oddHBand="0" w:evenHBand="0" w:firstRowFirstColumn="0" w:firstRowLastColumn="0" w:lastRowFirstColumn="0" w:lastRowLastColumn="0"/>
              <w:rPr>
                <w:rFonts w:cs="Arial"/>
                <w:sz w:val="20"/>
              </w:rPr>
            </w:pPr>
            <w:r w:rsidRPr="003066EF">
              <w:rPr>
                <w:rFonts w:cs="Arial"/>
                <w:sz w:val="20"/>
              </w:rPr>
              <w:t xml:space="preserve">26 July 2023  </w:t>
            </w:r>
          </w:p>
        </w:tc>
        <w:tc>
          <w:tcPr>
            <w:tcW w:w="3119" w:type="dxa"/>
          </w:tcPr>
          <w:p w14:paraId="2A0202B4" w14:textId="77777777" w:rsidR="00706366" w:rsidRPr="003066EF" w:rsidRDefault="00706366" w:rsidP="009E7676">
            <w:pPr>
              <w:pStyle w:val="ACMABodyText0"/>
              <w:cnfStyle w:val="000000000000" w:firstRow="0" w:lastRow="0" w:firstColumn="0" w:lastColumn="0" w:oddVBand="0" w:evenVBand="0" w:oddHBand="0" w:evenHBand="0" w:firstRowFirstColumn="0" w:firstRowLastColumn="0" w:lastRowFirstColumn="0" w:lastRowLastColumn="0"/>
              <w:rPr>
                <w:rFonts w:cs="Arial"/>
                <w:sz w:val="20"/>
              </w:rPr>
            </w:pPr>
            <w:r w:rsidRPr="003066EF">
              <w:rPr>
                <w:rFonts w:cs="Arial"/>
                <w:sz w:val="20"/>
              </w:rPr>
              <w:t>25 September 2023</w:t>
            </w:r>
          </w:p>
        </w:tc>
      </w:tr>
      <w:tr w:rsidR="00706366" w14:paraId="7BC1CDC8" w14:textId="77777777" w:rsidTr="007C492B">
        <w:tc>
          <w:tcPr>
            <w:cnfStyle w:val="001000000000" w:firstRow="0" w:lastRow="0" w:firstColumn="1" w:lastColumn="0" w:oddVBand="0" w:evenVBand="0" w:oddHBand="0" w:evenHBand="0" w:firstRowFirstColumn="0" w:firstRowLastColumn="0" w:lastRowFirstColumn="0" w:lastRowLastColumn="0"/>
            <w:tcW w:w="2368" w:type="dxa"/>
            <w:tcBorders>
              <w:top w:val="single" w:sz="4" w:space="0" w:color="auto"/>
              <w:bottom w:val="single" w:sz="4" w:space="0" w:color="auto"/>
            </w:tcBorders>
            <w:shd w:val="clear" w:color="auto" w:fill="auto"/>
          </w:tcPr>
          <w:p w14:paraId="544680A0" w14:textId="77777777" w:rsidR="00706366" w:rsidRPr="003066EF" w:rsidRDefault="00706366" w:rsidP="009E7676">
            <w:pPr>
              <w:pStyle w:val="ACMABodyText0"/>
              <w:rPr>
                <w:rFonts w:cs="Arial"/>
                <w:sz w:val="20"/>
              </w:rPr>
            </w:pPr>
            <w:r w:rsidRPr="003066EF">
              <w:rPr>
                <w:rFonts w:cs="Arial"/>
                <w:sz w:val="20"/>
              </w:rPr>
              <w:t>Coles</w:t>
            </w:r>
          </w:p>
        </w:tc>
        <w:tc>
          <w:tcPr>
            <w:tcW w:w="2764" w:type="dxa"/>
          </w:tcPr>
          <w:p w14:paraId="2FC16101" w14:textId="77777777" w:rsidR="00706366" w:rsidRPr="003066EF" w:rsidRDefault="00706366" w:rsidP="009E7676">
            <w:pPr>
              <w:pStyle w:val="ACMABodyText0"/>
              <w:cnfStyle w:val="000000000000" w:firstRow="0" w:lastRow="0" w:firstColumn="0" w:lastColumn="0" w:oddVBand="0" w:evenVBand="0" w:oddHBand="0" w:evenHBand="0" w:firstRowFirstColumn="0" w:firstRowLastColumn="0" w:lastRowFirstColumn="0" w:lastRowLastColumn="0"/>
              <w:rPr>
                <w:rFonts w:cs="Arial"/>
                <w:sz w:val="20"/>
              </w:rPr>
            </w:pPr>
            <w:r w:rsidRPr="003066EF">
              <w:rPr>
                <w:rFonts w:cs="Arial"/>
                <w:sz w:val="20"/>
              </w:rPr>
              <w:t xml:space="preserve">4 August 2023   </w:t>
            </w:r>
          </w:p>
        </w:tc>
        <w:tc>
          <w:tcPr>
            <w:tcW w:w="3119" w:type="dxa"/>
          </w:tcPr>
          <w:p w14:paraId="28B325E7" w14:textId="77777777" w:rsidR="00706366" w:rsidRPr="003066EF" w:rsidRDefault="00706366" w:rsidP="009E7676">
            <w:pPr>
              <w:pStyle w:val="ACMABodyText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Not added as the commercial agreement had expired by the date the Licensee received the agreement.</w:t>
            </w:r>
          </w:p>
        </w:tc>
      </w:tr>
      <w:tr w:rsidR="00706366" w14:paraId="61E75A06" w14:textId="77777777" w:rsidTr="007C492B">
        <w:tc>
          <w:tcPr>
            <w:cnfStyle w:val="001000000000" w:firstRow="0" w:lastRow="0" w:firstColumn="1" w:lastColumn="0" w:oddVBand="0" w:evenVBand="0" w:oddHBand="0" w:evenHBand="0" w:firstRowFirstColumn="0" w:firstRowLastColumn="0" w:lastRowFirstColumn="0" w:lastRowLastColumn="0"/>
            <w:tcW w:w="2368" w:type="dxa"/>
            <w:tcBorders>
              <w:top w:val="single" w:sz="4" w:space="0" w:color="auto"/>
              <w:bottom w:val="single" w:sz="4" w:space="0" w:color="auto"/>
            </w:tcBorders>
            <w:shd w:val="clear" w:color="auto" w:fill="auto"/>
          </w:tcPr>
          <w:p w14:paraId="55005AB4" w14:textId="77777777" w:rsidR="00706366" w:rsidRPr="003066EF" w:rsidRDefault="00706366" w:rsidP="009E7676">
            <w:pPr>
              <w:pStyle w:val="ACMABodyText0"/>
              <w:rPr>
                <w:rFonts w:cs="Arial"/>
                <w:sz w:val="20"/>
              </w:rPr>
            </w:pPr>
            <w:r w:rsidRPr="003066EF">
              <w:rPr>
                <w:rFonts w:cs="Arial"/>
                <w:sz w:val="20"/>
              </w:rPr>
              <w:t>All Kinds</w:t>
            </w:r>
          </w:p>
        </w:tc>
        <w:tc>
          <w:tcPr>
            <w:tcW w:w="2764" w:type="dxa"/>
          </w:tcPr>
          <w:p w14:paraId="09A49EB5" w14:textId="77777777" w:rsidR="00706366" w:rsidRPr="003066EF" w:rsidRDefault="00706366" w:rsidP="009E7676">
            <w:pPr>
              <w:pStyle w:val="ACMABodyText0"/>
              <w:cnfStyle w:val="000000000000" w:firstRow="0" w:lastRow="0" w:firstColumn="0" w:lastColumn="0" w:oddVBand="0" w:evenVBand="0" w:oddHBand="0" w:evenHBand="0" w:firstRowFirstColumn="0" w:firstRowLastColumn="0" w:lastRowFirstColumn="0" w:lastRowLastColumn="0"/>
              <w:rPr>
                <w:rFonts w:cs="Arial"/>
                <w:sz w:val="20"/>
              </w:rPr>
            </w:pPr>
            <w:r w:rsidRPr="003066EF">
              <w:rPr>
                <w:rFonts w:cs="Arial"/>
                <w:sz w:val="20"/>
              </w:rPr>
              <w:t>25 August 2023</w:t>
            </w:r>
          </w:p>
        </w:tc>
        <w:tc>
          <w:tcPr>
            <w:tcW w:w="3119" w:type="dxa"/>
          </w:tcPr>
          <w:p w14:paraId="0B694E23" w14:textId="77777777" w:rsidR="00706366" w:rsidRPr="003066EF" w:rsidRDefault="00706366" w:rsidP="009E7676">
            <w:pPr>
              <w:pStyle w:val="ACMABodyText0"/>
              <w:cnfStyle w:val="000000000000" w:firstRow="0" w:lastRow="0" w:firstColumn="0" w:lastColumn="0" w:oddVBand="0" w:evenVBand="0" w:oddHBand="0" w:evenHBand="0" w:firstRowFirstColumn="0" w:firstRowLastColumn="0" w:lastRowFirstColumn="0" w:lastRowLastColumn="0"/>
              <w:rPr>
                <w:rFonts w:cs="Arial"/>
                <w:sz w:val="20"/>
              </w:rPr>
            </w:pPr>
            <w:r w:rsidRPr="003066EF">
              <w:rPr>
                <w:rFonts w:cs="Arial"/>
                <w:sz w:val="20"/>
              </w:rPr>
              <w:t>11 September 2023</w:t>
            </w:r>
          </w:p>
        </w:tc>
      </w:tr>
      <w:tr w:rsidR="00706366" w14:paraId="7C5A2F85" w14:textId="77777777" w:rsidTr="007C492B">
        <w:tc>
          <w:tcPr>
            <w:cnfStyle w:val="001000000000" w:firstRow="0" w:lastRow="0" w:firstColumn="1" w:lastColumn="0" w:oddVBand="0" w:evenVBand="0" w:oddHBand="0" w:evenHBand="0" w:firstRowFirstColumn="0" w:firstRowLastColumn="0" w:lastRowFirstColumn="0" w:lastRowLastColumn="0"/>
            <w:tcW w:w="2368" w:type="dxa"/>
            <w:tcBorders>
              <w:top w:val="single" w:sz="4" w:space="0" w:color="auto"/>
              <w:bottom w:val="single" w:sz="4" w:space="0" w:color="auto"/>
            </w:tcBorders>
            <w:shd w:val="clear" w:color="auto" w:fill="auto"/>
          </w:tcPr>
          <w:p w14:paraId="037572B2" w14:textId="77777777" w:rsidR="00706366" w:rsidRPr="003066EF" w:rsidRDefault="00706366" w:rsidP="009E7676">
            <w:pPr>
              <w:pStyle w:val="ACMABodyText0"/>
              <w:rPr>
                <w:rFonts w:cs="Arial"/>
                <w:sz w:val="20"/>
              </w:rPr>
            </w:pPr>
            <w:r w:rsidRPr="003066EF">
              <w:rPr>
                <w:rFonts w:cs="Arial"/>
                <w:sz w:val="20"/>
              </w:rPr>
              <w:t>Chadstone</w:t>
            </w:r>
          </w:p>
        </w:tc>
        <w:tc>
          <w:tcPr>
            <w:tcW w:w="2764" w:type="dxa"/>
          </w:tcPr>
          <w:p w14:paraId="4BBDDA53" w14:textId="77777777" w:rsidR="00706366" w:rsidRPr="003066EF" w:rsidRDefault="00706366" w:rsidP="009E7676">
            <w:pPr>
              <w:pStyle w:val="ACMABodyText0"/>
              <w:cnfStyle w:val="000000000000" w:firstRow="0" w:lastRow="0" w:firstColumn="0" w:lastColumn="0" w:oddVBand="0" w:evenVBand="0" w:oddHBand="0" w:evenHBand="0" w:firstRowFirstColumn="0" w:firstRowLastColumn="0" w:lastRowFirstColumn="0" w:lastRowLastColumn="0"/>
              <w:rPr>
                <w:rFonts w:cs="Arial"/>
                <w:sz w:val="20"/>
              </w:rPr>
            </w:pPr>
            <w:r w:rsidRPr="003066EF">
              <w:rPr>
                <w:rFonts w:cs="Arial"/>
                <w:sz w:val="20"/>
              </w:rPr>
              <w:t>30 August 2023</w:t>
            </w:r>
          </w:p>
        </w:tc>
        <w:tc>
          <w:tcPr>
            <w:tcW w:w="3119" w:type="dxa"/>
          </w:tcPr>
          <w:p w14:paraId="4D6D7CD1" w14:textId="77777777" w:rsidR="00706366" w:rsidRPr="003066EF" w:rsidRDefault="00706366" w:rsidP="009E7676">
            <w:pPr>
              <w:pStyle w:val="ACMABodyText0"/>
              <w:cnfStyle w:val="000000000000" w:firstRow="0" w:lastRow="0" w:firstColumn="0" w:lastColumn="0" w:oddVBand="0" w:evenVBand="0" w:oddHBand="0" w:evenHBand="0" w:firstRowFirstColumn="0" w:firstRowLastColumn="0" w:lastRowFirstColumn="0" w:lastRowLastColumn="0"/>
              <w:rPr>
                <w:rFonts w:cs="Arial"/>
                <w:sz w:val="20"/>
              </w:rPr>
            </w:pPr>
            <w:r w:rsidRPr="003066EF">
              <w:rPr>
                <w:rFonts w:cs="Arial"/>
                <w:sz w:val="20"/>
              </w:rPr>
              <w:t>11 September 2023</w:t>
            </w:r>
          </w:p>
        </w:tc>
      </w:tr>
      <w:tr w:rsidR="00706366" w14:paraId="53CF271F" w14:textId="77777777" w:rsidTr="007C492B">
        <w:tc>
          <w:tcPr>
            <w:cnfStyle w:val="001000000000" w:firstRow="0" w:lastRow="0" w:firstColumn="1" w:lastColumn="0" w:oddVBand="0" w:evenVBand="0" w:oddHBand="0" w:evenHBand="0" w:firstRowFirstColumn="0" w:firstRowLastColumn="0" w:lastRowFirstColumn="0" w:lastRowLastColumn="0"/>
            <w:tcW w:w="2368" w:type="dxa"/>
            <w:tcBorders>
              <w:top w:val="single" w:sz="4" w:space="0" w:color="auto"/>
              <w:bottom w:val="single" w:sz="4" w:space="0" w:color="auto"/>
            </w:tcBorders>
            <w:shd w:val="clear" w:color="auto" w:fill="auto"/>
          </w:tcPr>
          <w:p w14:paraId="2ADDFA1A" w14:textId="77777777" w:rsidR="00706366" w:rsidRPr="003066EF" w:rsidRDefault="00706366" w:rsidP="009E7676">
            <w:pPr>
              <w:pStyle w:val="ACMABodyText0"/>
              <w:rPr>
                <w:rFonts w:cs="Arial"/>
                <w:sz w:val="20"/>
              </w:rPr>
            </w:pPr>
            <w:r w:rsidRPr="003066EF">
              <w:rPr>
                <w:rFonts w:cs="Arial"/>
                <w:sz w:val="20"/>
              </w:rPr>
              <w:t>Globe West</w:t>
            </w:r>
          </w:p>
        </w:tc>
        <w:tc>
          <w:tcPr>
            <w:tcW w:w="2764" w:type="dxa"/>
          </w:tcPr>
          <w:p w14:paraId="20D089CB" w14:textId="77777777" w:rsidR="00706366" w:rsidRPr="003066EF" w:rsidRDefault="00706366" w:rsidP="009E7676">
            <w:pPr>
              <w:pStyle w:val="ACMABodyText0"/>
              <w:cnfStyle w:val="000000000000" w:firstRow="0" w:lastRow="0" w:firstColumn="0" w:lastColumn="0" w:oddVBand="0" w:evenVBand="0" w:oddHBand="0" w:evenHBand="0" w:firstRowFirstColumn="0" w:firstRowLastColumn="0" w:lastRowFirstColumn="0" w:lastRowLastColumn="0"/>
              <w:rPr>
                <w:rFonts w:cs="Arial"/>
                <w:sz w:val="20"/>
              </w:rPr>
            </w:pPr>
            <w:r w:rsidRPr="003066EF">
              <w:rPr>
                <w:rFonts w:cs="Arial"/>
                <w:sz w:val="20"/>
              </w:rPr>
              <w:t>14 September 2023</w:t>
            </w:r>
          </w:p>
        </w:tc>
        <w:tc>
          <w:tcPr>
            <w:tcW w:w="3119" w:type="dxa"/>
          </w:tcPr>
          <w:p w14:paraId="7B42FC1F" w14:textId="77777777" w:rsidR="00706366" w:rsidRPr="003066EF" w:rsidRDefault="00706366" w:rsidP="009E7676">
            <w:pPr>
              <w:pStyle w:val="ACMABodyText0"/>
              <w:cnfStyle w:val="000000000000" w:firstRow="0" w:lastRow="0" w:firstColumn="0" w:lastColumn="0" w:oddVBand="0" w:evenVBand="0" w:oddHBand="0" w:evenHBand="0" w:firstRowFirstColumn="0" w:firstRowLastColumn="0" w:lastRowFirstColumn="0" w:lastRowLastColumn="0"/>
              <w:rPr>
                <w:rFonts w:cs="Arial"/>
                <w:sz w:val="20"/>
              </w:rPr>
            </w:pPr>
            <w:r w:rsidRPr="003066EF">
              <w:rPr>
                <w:rFonts w:cs="Arial"/>
                <w:sz w:val="20"/>
              </w:rPr>
              <w:t>25 September 2023</w:t>
            </w:r>
          </w:p>
        </w:tc>
      </w:tr>
      <w:tr w:rsidR="00706366" w14:paraId="6C5AC921" w14:textId="77777777" w:rsidTr="007C492B">
        <w:tc>
          <w:tcPr>
            <w:cnfStyle w:val="001000000000" w:firstRow="0" w:lastRow="0" w:firstColumn="1" w:lastColumn="0" w:oddVBand="0" w:evenVBand="0" w:oddHBand="0" w:evenHBand="0" w:firstRowFirstColumn="0" w:firstRowLastColumn="0" w:lastRowFirstColumn="0" w:lastRowLastColumn="0"/>
            <w:tcW w:w="2368" w:type="dxa"/>
            <w:tcBorders>
              <w:top w:val="single" w:sz="4" w:space="0" w:color="auto"/>
              <w:bottom w:val="single" w:sz="4" w:space="0" w:color="auto"/>
            </w:tcBorders>
            <w:shd w:val="clear" w:color="auto" w:fill="auto"/>
          </w:tcPr>
          <w:p w14:paraId="4D1CC5D3" w14:textId="77777777" w:rsidR="00706366" w:rsidRPr="003066EF" w:rsidRDefault="00706366" w:rsidP="009E7676">
            <w:pPr>
              <w:pStyle w:val="ACMABodyText0"/>
              <w:rPr>
                <w:rFonts w:cs="Arial"/>
                <w:sz w:val="20"/>
              </w:rPr>
            </w:pPr>
            <w:r w:rsidRPr="003066EF">
              <w:rPr>
                <w:rFonts w:cs="Arial"/>
                <w:sz w:val="20"/>
              </w:rPr>
              <w:t>Fine Day</w:t>
            </w:r>
          </w:p>
        </w:tc>
        <w:tc>
          <w:tcPr>
            <w:tcW w:w="2764" w:type="dxa"/>
          </w:tcPr>
          <w:p w14:paraId="63DE0944" w14:textId="77777777" w:rsidR="00706366" w:rsidRPr="003066EF" w:rsidRDefault="00706366" w:rsidP="009E7676">
            <w:pPr>
              <w:pStyle w:val="ACMABodyText0"/>
              <w:cnfStyle w:val="000000000000" w:firstRow="0" w:lastRow="0" w:firstColumn="0" w:lastColumn="0" w:oddVBand="0" w:evenVBand="0" w:oddHBand="0" w:evenHBand="0" w:firstRowFirstColumn="0" w:firstRowLastColumn="0" w:lastRowFirstColumn="0" w:lastRowLastColumn="0"/>
              <w:rPr>
                <w:rFonts w:cs="Arial"/>
                <w:sz w:val="20"/>
              </w:rPr>
            </w:pPr>
            <w:r w:rsidRPr="003066EF">
              <w:rPr>
                <w:rFonts w:cs="Arial"/>
                <w:sz w:val="20"/>
              </w:rPr>
              <w:t>14 September 2023</w:t>
            </w:r>
          </w:p>
        </w:tc>
        <w:tc>
          <w:tcPr>
            <w:tcW w:w="3119" w:type="dxa"/>
          </w:tcPr>
          <w:p w14:paraId="581658D5" w14:textId="77777777" w:rsidR="00706366" w:rsidRPr="003066EF" w:rsidRDefault="00706366" w:rsidP="009E7676">
            <w:pPr>
              <w:pStyle w:val="ACMABodyText0"/>
              <w:cnfStyle w:val="000000000000" w:firstRow="0" w:lastRow="0" w:firstColumn="0" w:lastColumn="0" w:oddVBand="0" w:evenVBand="0" w:oddHBand="0" w:evenHBand="0" w:firstRowFirstColumn="0" w:firstRowLastColumn="0" w:lastRowFirstColumn="0" w:lastRowLastColumn="0"/>
              <w:rPr>
                <w:rFonts w:cs="Arial"/>
                <w:sz w:val="20"/>
              </w:rPr>
            </w:pPr>
            <w:r w:rsidRPr="003066EF">
              <w:rPr>
                <w:rFonts w:cs="Arial"/>
                <w:sz w:val="20"/>
              </w:rPr>
              <w:t>25 September 2023</w:t>
            </w:r>
          </w:p>
        </w:tc>
      </w:tr>
    </w:tbl>
    <w:p w14:paraId="6238D9B2" w14:textId="77777777" w:rsidR="00706366" w:rsidRPr="00706366" w:rsidRDefault="00706366" w:rsidP="00706366">
      <w:pPr>
        <w:pStyle w:val="ACMABodyText"/>
      </w:pPr>
    </w:p>
    <w:sectPr w:rsidR="00706366" w:rsidRPr="00706366" w:rsidSect="00C85B08">
      <w:headerReference w:type="even" r:id="rId8"/>
      <w:footerReference w:type="even" r:id="rId9"/>
      <w:footerReference w:type="default" r:id="rId10"/>
      <w:headerReference w:type="first" r:id="rId11"/>
      <w:footerReference w:type="first" r:id="rId12"/>
      <w:pgSz w:w="11909" w:h="16834" w:code="9"/>
      <w:pgMar w:top="1741" w:right="1797" w:bottom="1440" w:left="1797" w:header="709"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1DC4B" w14:textId="77777777" w:rsidR="006F255F" w:rsidRDefault="006F255F">
      <w:r>
        <w:separator/>
      </w:r>
    </w:p>
  </w:endnote>
  <w:endnote w:type="continuationSeparator" w:id="0">
    <w:p w14:paraId="7D7F8AC2" w14:textId="77777777" w:rsidR="006F255F" w:rsidRDefault="006F255F">
      <w:r>
        <w:continuationSeparator/>
      </w:r>
    </w:p>
  </w:endnote>
  <w:endnote w:type="continuationNotice" w:id="1">
    <w:p w14:paraId="612EFCCD" w14:textId="77777777" w:rsidR="006F255F" w:rsidRDefault="006F255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905B" w14:textId="77777777" w:rsidR="0061569D" w:rsidRDefault="0061569D">
    <w:pPr>
      <w:framePr w:wrap="around" w:vAnchor="text" w:hAnchor="margin" w:xAlign="right" w:y="1"/>
    </w:pPr>
    <w:r>
      <w:fldChar w:fldCharType="begin"/>
    </w:r>
    <w:r>
      <w:instrText xml:space="preserve">PAGE  </w:instrText>
    </w:r>
    <w:r>
      <w:fldChar w:fldCharType="separate"/>
    </w:r>
    <w:r w:rsidR="00193967">
      <w:rPr>
        <w:noProof/>
      </w:rPr>
      <w:t>2</w:t>
    </w:r>
    <w:r>
      <w:fldChar w:fldCharType="end"/>
    </w:r>
  </w:p>
  <w:p w14:paraId="0A54BD3E" w14:textId="77777777" w:rsidR="0061569D" w:rsidRDefault="0061569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C84F" w14:textId="43CCA32F" w:rsidR="0061569D" w:rsidRPr="00816ADF" w:rsidRDefault="006A02B1" w:rsidP="00EF7A2A">
    <w:pPr>
      <w:pStyle w:val="ACMAFooter"/>
      <w:rPr>
        <w:sz w:val="16"/>
        <w:szCs w:val="16"/>
      </w:rPr>
    </w:pPr>
    <w:r w:rsidRPr="00816ADF">
      <w:rPr>
        <w:sz w:val="16"/>
        <w:szCs w:val="16"/>
      </w:rPr>
      <w:t xml:space="preserve">ACMA </w:t>
    </w:r>
    <w:r w:rsidR="00495EEA">
      <w:rPr>
        <w:sz w:val="16"/>
        <w:szCs w:val="16"/>
      </w:rPr>
      <w:t>I</w:t>
    </w:r>
    <w:r w:rsidRPr="00816ADF">
      <w:rPr>
        <w:sz w:val="16"/>
        <w:szCs w:val="16"/>
      </w:rPr>
      <w:t xml:space="preserve">nvestigation </w:t>
    </w:r>
    <w:r w:rsidR="0079419E">
      <w:rPr>
        <w:sz w:val="16"/>
        <w:szCs w:val="16"/>
      </w:rPr>
      <w:t>r</w:t>
    </w:r>
    <w:r w:rsidRPr="00816ADF">
      <w:rPr>
        <w:sz w:val="16"/>
        <w:szCs w:val="16"/>
      </w:rPr>
      <w:t>eport</w:t>
    </w:r>
    <w:r w:rsidR="00495EEA">
      <w:rPr>
        <w:sz w:val="16"/>
        <w:szCs w:val="16"/>
      </w:rPr>
      <w:t xml:space="preserve"> — 2GB, 3AW and 4BC – disclosure of commercial agreements</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sidR="003470D1">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363186">
      <w:rPr>
        <w:noProof/>
        <w:sz w:val="16"/>
        <w:szCs w:val="16"/>
      </w:rPr>
      <w:t>21</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019E" w14:textId="77777777" w:rsidR="0061569D" w:rsidRPr="00211185" w:rsidRDefault="00193967" w:rsidP="00193967">
    <w:pPr>
      <w:pStyle w:val="Footer"/>
      <w:jc w:val="right"/>
    </w:pPr>
    <w:r w:rsidRPr="005E250B">
      <w:rPr>
        <w:noProof/>
        <w:vertAlign w:val="subscript"/>
      </w:rPr>
      <w:drawing>
        <wp:inline distT="0" distB="0" distL="0" distR="0" wp14:anchorId="333709B3" wp14:editId="617BD504">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B03E9" w14:textId="77777777" w:rsidR="006F255F" w:rsidRDefault="006F255F">
      <w:r>
        <w:separator/>
      </w:r>
    </w:p>
  </w:footnote>
  <w:footnote w:type="continuationSeparator" w:id="0">
    <w:p w14:paraId="068E7CA7" w14:textId="77777777" w:rsidR="006F255F" w:rsidRDefault="006F255F">
      <w:r>
        <w:continuationSeparator/>
      </w:r>
    </w:p>
  </w:footnote>
  <w:footnote w:type="continuationNotice" w:id="1">
    <w:p w14:paraId="6F215057" w14:textId="77777777" w:rsidR="006F255F" w:rsidRDefault="006F255F">
      <w:pPr>
        <w:spacing w:before="0" w:after="0" w:line="240" w:lineRule="auto"/>
      </w:pPr>
    </w:p>
  </w:footnote>
  <w:footnote w:id="2">
    <w:p w14:paraId="3BE5B039" w14:textId="14BD833B" w:rsidR="00EF76AC" w:rsidRPr="0090426C" w:rsidRDefault="00EF76AC" w:rsidP="00EF76AC">
      <w:pPr>
        <w:pStyle w:val="FootnoteText"/>
        <w:rPr>
          <w:i/>
          <w:iCs/>
          <w:szCs w:val="16"/>
        </w:rPr>
      </w:pPr>
      <w:r w:rsidRPr="00472334">
        <w:rPr>
          <w:rStyle w:val="FootnoteReference"/>
        </w:rPr>
        <w:footnoteRef/>
      </w:r>
      <w:r w:rsidRPr="00472334">
        <w:t xml:space="preserve"> </w:t>
      </w:r>
      <w:r w:rsidRPr="00472334">
        <w:rPr>
          <w:iCs/>
          <w:sz w:val="14"/>
          <w:szCs w:val="14"/>
        </w:rPr>
        <w:t>Section 8</w:t>
      </w:r>
      <w:r w:rsidRPr="00472334">
        <w:rPr>
          <w:iCs/>
          <w:szCs w:val="16"/>
        </w:rPr>
        <w:t xml:space="preserve"> </w:t>
      </w:r>
      <w:r w:rsidRPr="00472334">
        <w:rPr>
          <w:sz w:val="14"/>
          <w:szCs w:val="14"/>
        </w:rPr>
        <w:t>of the Standard</w:t>
      </w:r>
      <w:r w:rsidR="00AA76B4">
        <w:rPr>
          <w:sz w:val="14"/>
          <w:szCs w:val="14"/>
        </w:rPr>
        <w:t>,</w:t>
      </w:r>
    </w:p>
  </w:footnote>
  <w:footnote w:id="3">
    <w:p w14:paraId="495FBE5B" w14:textId="7D0B27E0" w:rsidR="00F56D7B" w:rsidRPr="00E124A4" w:rsidRDefault="00F56D7B" w:rsidP="00F56D7B">
      <w:pPr>
        <w:pStyle w:val="FootnoteText"/>
        <w:rPr>
          <w:sz w:val="14"/>
          <w:szCs w:val="14"/>
        </w:rPr>
      </w:pPr>
      <w:r>
        <w:rPr>
          <w:rStyle w:val="FootnoteReference"/>
        </w:rPr>
        <w:footnoteRef/>
      </w:r>
      <w:r>
        <w:t xml:space="preserve"> </w:t>
      </w:r>
      <w:r w:rsidRPr="005037DF">
        <w:rPr>
          <w:sz w:val="14"/>
          <w:szCs w:val="14"/>
        </w:rPr>
        <w:t>Subsection 13(3</w:t>
      </w:r>
      <w:r w:rsidRPr="005037DF">
        <w:rPr>
          <w:i/>
          <w:iCs/>
          <w:sz w:val="14"/>
          <w:szCs w:val="14"/>
        </w:rPr>
        <w:t xml:space="preserve">) </w:t>
      </w:r>
      <w:r w:rsidR="00A12A3D" w:rsidRPr="005037DF">
        <w:rPr>
          <w:sz w:val="14"/>
          <w:szCs w:val="14"/>
        </w:rPr>
        <w:t>of the Standard</w:t>
      </w:r>
      <w:r w:rsidR="00AA76B4">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ADB4" w14:textId="77777777" w:rsidR="0061569D" w:rsidRDefault="0061569D">
    <w:r>
      <w:fldChar w:fldCharType="begin"/>
    </w:r>
    <w:r>
      <w:instrText xml:space="preserve"> REF ReportTitle \h </w:instrText>
    </w:r>
    <w:r>
      <w:fldChar w:fldCharType="separate"/>
    </w:r>
    <w:r>
      <w:rPr>
        <w:b/>
      </w:rPr>
      <w:t>Error! Reference source not found.</w:t>
    </w:r>
    <w:r>
      <w:fldChar w:fldCharType="end"/>
    </w:r>
  </w:p>
  <w:p w14:paraId="592DA629" w14:textId="77777777" w:rsidR="0061569D" w:rsidRDefault="006156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0A6D" w14:textId="77777777" w:rsidR="00B30A6C" w:rsidRDefault="00B30A6C" w:rsidP="00521BCF">
    <w:pPr>
      <w:pStyle w:val="ACMAInConfidence"/>
    </w:pPr>
  </w:p>
  <w:p w14:paraId="5F53C958" w14:textId="77777777" w:rsidR="0061569D" w:rsidRPr="005F22AA" w:rsidRDefault="004D4EEE" w:rsidP="005F22AA">
    <w:pPr>
      <w:pStyle w:val="ACMAHeaderGraphicSpace"/>
    </w:pPr>
    <w:r>
      <w:rPr>
        <w:noProof/>
      </w:rPr>
      <w:drawing>
        <wp:inline distT="0" distB="0" distL="0" distR="0" wp14:anchorId="379C6B81" wp14:editId="06D4F7E7">
          <wp:extent cx="5874532" cy="540000"/>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5874532"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5FF"/>
    <w:multiLevelType w:val="hybridMultilevel"/>
    <w:tmpl w:val="9FA85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5D007A"/>
    <w:multiLevelType w:val="hybridMultilevel"/>
    <w:tmpl w:val="80084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790448"/>
    <w:multiLevelType w:val="hybridMultilevel"/>
    <w:tmpl w:val="BFFA50D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C428CA"/>
    <w:multiLevelType w:val="hybridMultilevel"/>
    <w:tmpl w:val="087271EC"/>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530742"/>
    <w:multiLevelType w:val="hybridMultilevel"/>
    <w:tmpl w:val="2D06C4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138530E"/>
    <w:multiLevelType w:val="hybridMultilevel"/>
    <w:tmpl w:val="F9340A2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850270"/>
    <w:multiLevelType w:val="hybridMultilevel"/>
    <w:tmpl w:val="6AF258B0"/>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6B3EA8"/>
    <w:multiLevelType w:val="hybridMultilevel"/>
    <w:tmpl w:val="ECAAEA00"/>
    <w:lvl w:ilvl="0" w:tplc="61C2DCFA">
      <w:start w:val="1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EC4F72"/>
    <w:multiLevelType w:val="hybridMultilevel"/>
    <w:tmpl w:val="85381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385C4F"/>
    <w:multiLevelType w:val="hybridMultilevel"/>
    <w:tmpl w:val="FAC88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337708"/>
    <w:multiLevelType w:val="hybridMultilevel"/>
    <w:tmpl w:val="64DE36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C5767C"/>
    <w:multiLevelType w:val="hybridMultilevel"/>
    <w:tmpl w:val="8464981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AD2714C"/>
    <w:multiLevelType w:val="hybridMultilevel"/>
    <w:tmpl w:val="665C64B2"/>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3645BD"/>
    <w:multiLevelType w:val="hybridMultilevel"/>
    <w:tmpl w:val="72640786"/>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D5B2A48"/>
    <w:multiLevelType w:val="hybridMultilevel"/>
    <w:tmpl w:val="B21EB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7" w15:restartNumberingAfterBreak="0">
    <w:nsid w:val="31A00D0E"/>
    <w:multiLevelType w:val="hybridMultilevel"/>
    <w:tmpl w:val="1B3AFB4A"/>
    <w:lvl w:ilvl="0" w:tplc="61C2DCFA">
      <w:start w:val="15"/>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6AA4CF1"/>
    <w:multiLevelType w:val="hybridMultilevel"/>
    <w:tmpl w:val="FE00CC62"/>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FA1F2B"/>
    <w:multiLevelType w:val="hybridMultilevel"/>
    <w:tmpl w:val="DD102AE8"/>
    <w:lvl w:ilvl="0" w:tplc="CBA077E8">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20" w15:restartNumberingAfterBreak="0">
    <w:nsid w:val="3FFE4152"/>
    <w:multiLevelType w:val="hybridMultilevel"/>
    <w:tmpl w:val="2EBA072C"/>
    <w:lvl w:ilvl="0" w:tplc="6D8C0A58">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1" w15:restartNumberingAfterBreak="0">
    <w:nsid w:val="44AF3861"/>
    <w:multiLevelType w:val="hybridMultilevel"/>
    <w:tmpl w:val="53A07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6DD62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7B93985"/>
    <w:multiLevelType w:val="hybridMultilevel"/>
    <w:tmpl w:val="C28E5B78"/>
    <w:lvl w:ilvl="0" w:tplc="61C2DCFA">
      <w:start w:val="1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AE34EA"/>
    <w:multiLevelType w:val="hybridMultilevel"/>
    <w:tmpl w:val="8C6EDB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B8B4D7C"/>
    <w:multiLevelType w:val="hybridMultilevel"/>
    <w:tmpl w:val="8CAAD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064C04"/>
    <w:multiLevelType w:val="hybridMultilevel"/>
    <w:tmpl w:val="4D08C4C8"/>
    <w:lvl w:ilvl="0" w:tplc="03A2AB32">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2746336"/>
    <w:multiLevelType w:val="hybridMultilevel"/>
    <w:tmpl w:val="D4EA8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A25601"/>
    <w:multiLevelType w:val="multilevel"/>
    <w:tmpl w:val="69E619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3DD0D51"/>
    <w:multiLevelType w:val="hybridMultilevel"/>
    <w:tmpl w:val="21901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6C6555"/>
    <w:multiLevelType w:val="hybridMultilevel"/>
    <w:tmpl w:val="51D00B02"/>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FB17DD"/>
    <w:multiLevelType w:val="hybridMultilevel"/>
    <w:tmpl w:val="660097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1A71C97"/>
    <w:multiLevelType w:val="hybridMultilevel"/>
    <w:tmpl w:val="E51AA13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3B728D6"/>
    <w:multiLevelType w:val="hybridMultilevel"/>
    <w:tmpl w:val="848C6FEA"/>
    <w:lvl w:ilvl="0" w:tplc="0ED08108">
      <w:start w:val="1"/>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700360F"/>
    <w:multiLevelType w:val="hybridMultilevel"/>
    <w:tmpl w:val="FDEE1A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90655BE"/>
    <w:multiLevelType w:val="hybridMultilevel"/>
    <w:tmpl w:val="6F56D602"/>
    <w:lvl w:ilvl="0" w:tplc="477AA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654753"/>
    <w:multiLevelType w:val="hybridMultilevel"/>
    <w:tmpl w:val="E9EA3B1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4332831"/>
    <w:multiLevelType w:val="hybridMultilevel"/>
    <w:tmpl w:val="0F1056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9D6628"/>
    <w:multiLevelType w:val="hybridMultilevel"/>
    <w:tmpl w:val="9BB4B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D303C2"/>
    <w:multiLevelType w:val="hybridMultilevel"/>
    <w:tmpl w:val="6930D14C"/>
    <w:lvl w:ilvl="0" w:tplc="25D60C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F50956"/>
    <w:multiLevelType w:val="hybridMultilevel"/>
    <w:tmpl w:val="CF78DA7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DC199E"/>
    <w:multiLevelType w:val="hybridMultilevel"/>
    <w:tmpl w:val="000E5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826184"/>
    <w:multiLevelType w:val="hybridMultilevel"/>
    <w:tmpl w:val="B87863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0012079">
    <w:abstractNumId w:val="16"/>
  </w:num>
  <w:num w:numId="2" w16cid:durableId="1800151024">
    <w:abstractNumId w:val="1"/>
  </w:num>
  <w:num w:numId="3" w16cid:durableId="1257641615">
    <w:abstractNumId w:val="19"/>
  </w:num>
  <w:num w:numId="4" w16cid:durableId="1975214908">
    <w:abstractNumId w:val="37"/>
  </w:num>
  <w:num w:numId="5" w16cid:durableId="266620316">
    <w:abstractNumId w:val="31"/>
  </w:num>
  <w:num w:numId="6" w16cid:durableId="305470825">
    <w:abstractNumId w:val="24"/>
  </w:num>
  <w:num w:numId="7" w16cid:durableId="2088263923">
    <w:abstractNumId w:val="14"/>
  </w:num>
  <w:num w:numId="8" w16cid:durableId="65692604">
    <w:abstractNumId w:val="4"/>
  </w:num>
  <w:num w:numId="9" w16cid:durableId="1471745966">
    <w:abstractNumId w:val="0"/>
  </w:num>
  <w:num w:numId="10" w16cid:durableId="896013154">
    <w:abstractNumId w:val="34"/>
  </w:num>
  <w:num w:numId="11" w16cid:durableId="566039715">
    <w:abstractNumId w:val="38"/>
  </w:num>
  <w:num w:numId="12" w16cid:durableId="80613609">
    <w:abstractNumId w:val="26"/>
  </w:num>
  <w:num w:numId="13" w16cid:durableId="1516186691">
    <w:abstractNumId w:val="11"/>
  </w:num>
  <w:num w:numId="14" w16cid:durableId="27873905">
    <w:abstractNumId w:val="41"/>
  </w:num>
  <w:num w:numId="15" w16cid:durableId="1272400764">
    <w:abstractNumId w:val="36"/>
  </w:num>
  <w:num w:numId="16" w16cid:durableId="1644114472">
    <w:abstractNumId w:val="45"/>
  </w:num>
  <w:num w:numId="17" w16cid:durableId="1703824191">
    <w:abstractNumId w:val="42"/>
  </w:num>
  <w:num w:numId="18" w16cid:durableId="1353145810">
    <w:abstractNumId w:val="22"/>
  </w:num>
  <w:num w:numId="19" w16cid:durableId="89132934">
    <w:abstractNumId w:val="8"/>
  </w:num>
  <w:num w:numId="20" w16cid:durableId="1330672962">
    <w:abstractNumId w:val="17"/>
  </w:num>
  <w:num w:numId="21" w16cid:durableId="2131242058">
    <w:abstractNumId w:val="23"/>
  </w:num>
  <w:num w:numId="22" w16cid:durableId="1778984844">
    <w:abstractNumId w:val="3"/>
  </w:num>
  <w:num w:numId="23" w16cid:durableId="1737970717">
    <w:abstractNumId w:val="15"/>
  </w:num>
  <w:num w:numId="24" w16cid:durableId="743142566">
    <w:abstractNumId w:val="25"/>
  </w:num>
  <w:num w:numId="25" w16cid:durableId="619801738">
    <w:abstractNumId w:val="10"/>
  </w:num>
  <w:num w:numId="26" w16cid:durableId="844441887">
    <w:abstractNumId w:val="44"/>
  </w:num>
  <w:num w:numId="27" w16cid:durableId="2050910648">
    <w:abstractNumId w:val="2"/>
  </w:num>
  <w:num w:numId="28" w16cid:durableId="1291281957">
    <w:abstractNumId w:val="40"/>
  </w:num>
  <w:num w:numId="29" w16cid:durableId="231309015">
    <w:abstractNumId w:val="29"/>
  </w:num>
  <w:num w:numId="30" w16cid:durableId="399981820">
    <w:abstractNumId w:val="35"/>
  </w:num>
  <w:num w:numId="31" w16cid:durableId="1154950328">
    <w:abstractNumId w:val="20"/>
  </w:num>
  <w:num w:numId="32" w16cid:durableId="1300845979">
    <w:abstractNumId w:val="7"/>
  </w:num>
  <w:num w:numId="33" w16cid:durableId="1505315519">
    <w:abstractNumId w:val="13"/>
  </w:num>
  <w:num w:numId="34" w16cid:durableId="989090329">
    <w:abstractNumId w:val="30"/>
  </w:num>
  <w:num w:numId="35" w16cid:durableId="1310402562">
    <w:abstractNumId w:val="6"/>
  </w:num>
  <w:num w:numId="36" w16cid:durableId="1304582606">
    <w:abstractNumId w:val="32"/>
  </w:num>
  <w:num w:numId="37" w16cid:durableId="1652521407">
    <w:abstractNumId w:val="39"/>
  </w:num>
  <w:num w:numId="38" w16cid:durableId="116067238">
    <w:abstractNumId w:val="28"/>
    <w:lvlOverride w:ilvl="0">
      <w:startOverride w:val="1"/>
      <w:lvl w:ilvl="0">
        <w:start w:val="1"/>
        <w:numFmt w:val="lowerLetter"/>
        <w:lvlText w:val="%1."/>
        <w:lvlJc w:val="left"/>
        <w:pPr>
          <w:ind w:left="144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9" w16cid:durableId="58291033">
    <w:abstractNumId w:val="28"/>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0" w16cid:durableId="1576430852">
    <w:abstractNumId w:val="28"/>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1" w16cid:durableId="84693326">
    <w:abstractNumId w:val="33"/>
  </w:num>
  <w:num w:numId="42" w16cid:durableId="1310865906">
    <w:abstractNumId w:val="12"/>
  </w:num>
  <w:num w:numId="43" w16cid:durableId="1093671017">
    <w:abstractNumId w:val="18"/>
  </w:num>
  <w:num w:numId="44" w16cid:durableId="1197624557">
    <w:abstractNumId w:val="27"/>
  </w:num>
  <w:num w:numId="45" w16cid:durableId="1586718356">
    <w:abstractNumId w:val="43"/>
  </w:num>
  <w:num w:numId="46" w16cid:durableId="1585919985">
    <w:abstractNumId w:val="21"/>
  </w:num>
  <w:num w:numId="47" w16cid:durableId="2051762100">
    <w:abstractNumId w:val="9"/>
  </w:num>
  <w:num w:numId="48" w16cid:durableId="210190139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trackRevisions/>
  <w:documentProtection w:edit="readOnly" w:enforcement="1" w:spinCount="100000" w:hashValue="U4Kxx2tAMCTVuF9ywwXYF/1bXBmw409avtfVd4BXnB+x4ZlyA1U+21/jAqzIuELKfI8DTyqNNZYwyvZH4KPwsw==" w:saltValue="p9qha5AASrzBOMXfsjbQlg==" w:algorithmName="SHA-512"/>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0C"/>
    <w:rsid w:val="00000ABE"/>
    <w:rsid w:val="00000DFC"/>
    <w:rsid w:val="00001254"/>
    <w:rsid w:val="000047C0"/>
    <w:rsid w:val="00004A0E"/>
    <w:rsid w:val="0000588E"/>
    <w:rsid w:val="0000661F"/>
    <w:rsid w:val="000101EF"/>
    <w:rsid w:val="00013669"/>
    <w:rsid w:val="00013EAC"/>
    <w:rsid w:val="00016F58"/>
    <w:rsid w:val="00020FBA"/>
    <w:rsid w:val="000307EE"/>
    <w:rsid w:val="000316EB"/>
    <w:rsid w:val="000332CF"/>
    <w:rsid w:val="000370C8"/>
    <w:rsid w:val="00043906"/>
    <w:rsid w:val="00043DE2"/>
    <w:rsid w:val="00046BDE"/>
    <w:rsid w:val="00046FD5"/>
    <w:rsid w:val="0005341E"/>
    <w:rsid w:val="00053457"/>
    <w:rsid w:val="000555E2"/>
    <w:rsid w:val="000569DD"/>
    <w:rsid w:val="00056A1E"/>
    <w:rsid w:val="00057AD3"/>
    <w:rsid w:val="00057F0B"/>
    <w:rsid w:val="00067EB8"/>
    <w:rsid w:val="0007057B"/>
    <w:rsid w:val="0007448D"/>
    <w:rsid w:val="00074D94"/>
    <w:rsid w:val="00075F5D"/>
    <w:rsid w:val="00076C9F"/>
    <w:rsid w:val="00076CB6"/>
    <w:rsid w:val="000817FB"/>
    <w:rsid w:val="000845A8"/>
    <w:rsid w:val="00084627"/>
    <w:rsid w:val="0008495D"/>
    <w:rsid w:val="0008659A"/>
    <w:rsid w:val="00086EE3"/>
    <w:rsid w:val="00091BF5"/>
    <w:rsid w:val="000934D1"/>
    <w:rsid w:val="00094589"/>
    <w:rsid w:val="00096137"/>
    <w:rsid w:val="000A0747"/>
    <w:rsid w:val="000A11E9"/>
    <w:rsid w:val="000A21FA"/>
    <w:rsid w:val="000A3C43"/>
    <w:rsid w:val="000B5DD2"/>
    <w:rsid w:val="000C2E29"/>
    <w:rsid w:val="000C477E"/>
    <w:rsid w:val="000C4D29"/>
    <w:rsid w:val="000D0502"/>
    <w:rsid w:val="000D4908"/>
    <w:rsid w:val="000D5681"/>
    <w:rsid w:val="000E0C29"/>
    <w:rsid w:val="000E103F"/>
    <w:rsid w:val="000E3ACD"/>
    <w:rsid w:val="000E4F0D"/>
    <w:rsid w:val="000E5ADF"/>
    <w:rsid w:val="000F067C"/>
    <w:rsid w:val="000F12E8"/>
    <w:rsid w:val="000F3189"/>
    <w:rsid w:val="000F3A4A"/>
    <w:rsid w:val="000F4935"/>
    <w:rsid w:val="000F73AA"/>
    <w:rsid w:val="000F7C3C"/>
    <w:rsid w:val="00102740"/>
    <w:rsid w:val="00102AB2"/>
    <w:rsid w:val="0010475B"/>
    <w:rsid w:val="00105C54"/>
    <w:rsid w:val="00113573"/>
    <w:rsid w:val="0011453E"/>
    <w:rsid w:val="001164DF"/>
    <w:rsid w:val="00116D94"/>
    <w:rsid w:val="0011733F"/>
    <w:rsid w:val="0012464D"/>
    <w:rsid w:val="001262BD"/>
    <w:rsid w:val="00126452"/>
    <w:rsid w:val="00131277"/>
    <w:rsid w:val="0013198F"/>
    <w:rsid w:val="0013275A"/>
    <w:rsid w:val="00134C32"/>
    <w:rsid w:val="00135622"/>
    <w:rsid w:val="00137B4B"/>
    <w:rsid w:val="00146895"/>
    <w:rsid w:val="00146E30"/>
    <w:rsid w:val="00150CE7"/>
    <w:rsid w:val="001510BA"/>
    <w:rsid w:val="001528B2"/>
    <w:rsid w:val="001573E1"/>
    <w:rsid w:val="00160831"/>
    <w:rsid w:val="00161F35"/>
    <w:rsid w:val="00170EDE"/>
    <w:rsid w:val="00172400"/>
    <w:rsid w:val="00174162"/>
    <w:rsid w:val="00180F06"/>
    <w:rsid w:val="00184432"/>
    <w:rsid w:val="001845B1"/>
    <w:rsid w:val="00186CBD"/>
    <w:rsid w:val="00187224"/>
    <w:rsid w:val="00187415"/>
    <w:rsid w:val="00187E47"/>
    <w:rsid w:val="001918B2"/>
    <w:rsid w:val="00191BDE"/>
    <w:rsid w:val="00191E26"/>
    <w:rsid w:val="00193093"/>
    <w:rsid w:val="00193967"/>
    <w:rsid w:val="00197E2F"/>
    <w:rsid w:val="001A1821"/>
    <w:rsid w:val="001A375C"/>
    <w:rsid w:val="001A5315"/>
    <w:rsid w:val="001A6F1B"/>
    <w:rsid w:val="001B2524"/>
    <w:rsid w:val="001B2EA7"/>
    <w:rsid w:val="001B53A0"/>
    <w:rsid w:val="001B7B29"/>
    <w:rsid w:val="001B7E7F"/>
    <w:rsid w:val="001C1910"/>
    <w:rsid w:val="001C285C"/>
    <w:rsid w:val="001C29CA"/>
    <w:rsid w:val="001C3EC9"/>
    <w:rsid w:val="001C4B3E"/>
    <w:rsid w:val="001C6546"/>
    <w:rsid w:val="001D10D7"/>
    <w:rsid w:val="001D1BF0"/>
    <w:rsid w:val="001D430E"/>
    <w:rsid w:val="001D5D4A"/>
    <w:rsid w:val="001D63C7"/>
    <w:rsid w:val="001E1263"/>
    <w:rsid w:val="001E2D6A"/>
    <w:rsid w:val="001E3098"/>
    <w:rsid w:val="001E4BE1"/>
    <w:rsid w:val="001E63DF"/>
    <w:rsid w:val="001E6D6E"/>
    <w:rsid w:val="001F2D5B"/>
    <w:rsid w:val="001F423C"/>
    <w:rsid w:val="001F7CAB"/>
    <w:rsid w:val="0020448C"/>
    <w:rsid w:val="00204F0C"/>
    <w:rsid w:val="0020593C"/>
    <w:rsid w:val="00205CDE"/>
    <w:rsid w:val="00210199"/>
    <w:rsid w:val="00211185"/>
    <w:rsid w:val="002114D9"/>
    <w:rsid w:val="0021377B"/>
    <w:rsid w:val="00213AFF"/>
    <w:rsid w:val="00214950"/>
    <w:rsid w:val="0021749F"/>
    <w:rsid w:val="00222151"/>
    <w:rsid w:val="00222684"/>
    <w:rsid w:val="002243C5"/>
    <w:rsid w:val="00224A5E"/>
    <w:rsid w:val="00227744"/>
    <w:rsid w:val="00230B49"/>
    <w:rsid w:val="00230D12"/>
    <w:rsid w:val="002325DB"/>
    <w:rsid w:val="0023314F"/>
    <w:rsid w:val="0024000F"/>
    <w:rsid w:val="002402BD"/>
    <w:rsid w:val="0024060D"/>
    <w:rsid w:val="00242244"/>
    <w:rsid w:val="00242366"/>
    <w:rsid w:val="00245CE7"/>
    <w:rsid w:val="00251689"/>
    <w:rsid w:val="00252098"/>
    <w:rsid w:val="00253814"/>
    <w:rsid w:val="00254BEF"/>
    <w:rsid w:val="00255DE5"/>
    <w:rsid w:val="00260D37"/>
    <w:rsid w:val="002610C5"/>
    <w:rsid w:val="0026435B"/>
    <w:rsid w:val="00264D11"/>
    <w:rsid w:val="002668D1"/>
    <w:rsid w:val="00267125"/>
    <w:rsid w:val="00270105"/>
    <w:rsid w:val="00270182"/>
    <w:rsid w:val="0027366A"/>
    <w:rsid w:val="00281F78"/>
    <w:rsid w:val="00286320"/>
    <w:rsid w:val="00286AFC"/>
    <w:rsid w:val="0028781C"/>
    <w:rsid w:val="00294C4B"/>
    <w:rsid w:val="00295713"/>
    <w:rsid w:val="00296603"/>
    <w:rsid w:val="002975EA"/>
    <w:rsid w:val="002977C6"/>
    <w:rsid w:val="002A12E7"/>
    <w:rsid w:val="002A2021"/>
    <w:rsid w:val="002B0831"/>
    <w:rsid w:val="002B1843"/>
    <w:rsid w:val="002B3E4A"/>
    <w:rsid w:val="002B6B3D"/>
    <w:rsid w:val="002B7FA0"/>
    <w:rsid w:val="002C3721"/>
    <w:rsid w:val="002C3B2E"/>
    <w:rsid w:val="002C6235"/>
    <w:rsid w:val="002C7AD5"/>
    <w:rsid w:val="002D12BF"/>
    <w:rsid w:val="002D1F99"/>
    <w:rsid w:val="002D3179"/>
    <w:rsid w:val="002D700A"/>
    <w:rsid w:val="002D7D82"/>
    <w:rsid w:val="002D7E3D"/>
    <w:rsid w:val="002E1A33"/>
    <w:rsid w:val="002E3B76"/>
    <w:rsid w:val="002E64F5"/>
    <w:rsid w:val="002E67F9"/>
    <w:rsid w:val="002E73AB"/>
    <w:rsid w:val="002E7978"/>
    <w:rsid w:val="002F1908"/>
    <w:rsid w:val="002F3B30"/>
    <w:rsid w:val="003024EC"/>
    <w:rsid w:val="00303BEE"/>
    <w:rsid w:val="00304153"/>
    <w:rsid w:val="0031195F"/>
    <w:rsid w:val="003119B7"/>
    <w:rsid w:val="003163A9"/>
    <w:rsid w:val="003169B0"/>
    <w:rsid w:val="003178BD"/>
    <w:rsid w:val="00320122"/>
    <w:rsid w:val="00321A85"/>
    <w:rsid w:val="00322C79"/>
    <w:rsid w:val="00324228"/>
    <w:rsid w:val="003252D2"/>
    <w:rsid w:val="003278D0"/>
    <w:rsid w:val="0033104B"/>
    <w:rsid w:val="003329A6"/>
    <w:rsid w:val="003364DB"/>
    <w:rsid w:val="00340051"/>
    <w:rsid w:val="003438E3"/>
    <w:rsid w:val="00344252"/>
    <w:rsid w:val="0034471F"/>
    <w:rsid w:val="00346A8C"/>
    <w:rsid w:val="003470D1"/>
    <w:rsid w:val="0034724D"/>
    <w:rsid w:val="003505C0"/>
    <w:rsid w:val="00354541"/>
    <w:rsid w:val="003553A9"/>
    <w:rsid w:val="00357507"/>
    <w:rsid w:val="00357AE2"/>
    <w:rsid w:val="003615D1"/>
    <w:rsid w:val="00363186"/>
    <w:rsid w:val="003634AA"/>
    <w:rsid w:val="003635B1"/>
    <w:rsid w:val="003643B7"/>
    <w:rsid w:val="00370FC9"/>
    <w:rsid w:val="00371957"/>
    <w:rsid w:val="003742CA"/>
    <w:rsid w:val="0037503A"/>
    <w:rsid w:val="003755E2"/>
    <w:rsid w:val="0038088D"/>
    <w:rsid w:val="00382846"/>
    <w:rsid w:val="003832F2"/>
    <w:rsid w:val="00384760"/>
    <w:rsid w:val="00384B6C"/>
    <w:rsid w:val="00385298"/>
    <w:rsid w:val="00387A7C"/>
    <w:rsid w:val="00387BEE"/>
    <w:rsid w:val="0039406A"/>
    <w:rsid w:val="0039462D"/>
    <w:rsid w:val="00395815"/>
    <w:rsid w:val="003A00D4"/>
    <w:rsid w:val="003A1225"/>
    <w:rsid w:val="003A1FF5"/>
    <w:rsid w:val="003A22C0"/>
    <w:rsid w:val="003A43F6"/>
    <w:rsid w:val="003A4C94"/>
    <w:rsid w:val="003A61D3"/>
    <w:rsid w:val="003B1977"/>
    <w:rsid w:val="003B1BE9"/>
    <w:rsid w:val="003B2BC6"/>
    <w:rsid w:val="003B6843"/>
    <w:rsid w:val="003C0345"/>
    <w:rsid w:val="003C0D2E"/>
    <w:rsid w:val="003C1096"/>
    <w:rsid w:val="003C111B"/>
    <w:rsid w:val="003C1EC7"/>
    <w:rsid w:val="003C2EB4"/>
    <w:rsid w:val="003C2EE6"/>
    <w:rsid w:val="003C3FB5"/>
    <w:rsid w:val="003C42DB"/>
    <w:rsid w:val="003C4A56"/>
    <w:rsid w:val="003C6B4D"/>
    <w:rsid w:val="003C7ED5"/>
    <w:rsid w:val="003D1957"/>
    <w:rsid w:val="003D44D5"/>
    <w:rsid w:val="003D7A22"/>
    <w:rsid w:val="003D7B26"/>
    <w:rsid w:val="003E08A5"/>
    <w:rsid w:val="003E0958"/>
    <w:rsid w:val="003E0CED"/>
    <w:rsid w:val="003E57E8"/>
    <w:rsid w:val="003E64EE"/>
    <w:rsid w:val="003E6628"/>
    <w:rsid w:val="003F2FBC"/>
    <w:rsid w:val="003F301C"/>
    <w:rsid w:val="004041AA"/>
    <w:rsid w:val="0040529A"/>
    <w:rsid w:val="004054CE"/>
    <w:rsid w:val="00411776"/>
    <w:rsid w:val="00412604"/>
    <w:rsid w:val="004132DE"/>
    <w:rsid w:val="004172B2"/>
    <w:rsid w:val="004204D4"/>
    <w:rsid w:val="00420BA9"/>
    <w:rsid w:val="00420F9B"/>
    <w:rsid w:val="00421558"/>
    <w:rsid w:val="00421C38"/>
    <w:rsid w:val="00426635"/>
    <w:rsid w:val="004266E1"/>
    <w:rsid w:val="00426A3E"/>
    <w:rsid w:val="004309E6"/>
    <w:rsid w:val="00431D5A"/>
    <w:rsid w:val="00431E14"/>
    <w:rsid w:val="00432897"/>
    <w:rsid w:val="00433DCF"/>
    <w:rsid w:val="004413F1"/>
    <w:rsid w:val="00441634"/>
    <w:rsid w:val="00441B06"/>
    <w:rsid w:val="004421C2"/>
    <w:rsid w:val="004440E4"/>
    <w:rsid w:val="00444C27"/>
    <w:rsid w:val="00447AEF"/>
    <w:rsid w:val="00452334"/>
    <w:rsid w:val="00457DF6"/>
    <w:rsid w:val="00460F9E"/>
    <w:rsid w:val="00461010"/>
    <w:rsid w:val="00463149"/>
    <w:rsid w:val="0046389F"/>
    <w:rsid w:val="00467429"/>
    <w:rsid w:val="00472334"/>
    <w:rsid w:val="00472845"/>
    <w:rsid w:val="0048135E"/>
    <w:rsid w:val="00482756"/>
    <w:rsid w:val="00483350"/>
    <w:rsid w:val="00483487"/>
    <w:rsid w:val="0048461E"/>
    <w:rsid w:val="00494F65"/>
    <w:rsid w:val="004957AC"/>
    <w:rsid w:val="00495EEA"/>
    <w:rsid w:val="0049754C"/>
    <w:rsid w:val="004A1A8A"/>
    <w:rsid w:val="004B1C76"/>
    <w:rsid w:val="004B2B42"/>
    <w:rsid w:val="004B3357"/>
    <w:rsid w:val="004B37F8"/>
    <w:rsid w:val="004B413B"/>
    <w:rsid w:val="004B482F"/>
    <w:rsid w:val="004B74B8"/>
    <w:rsid w:val="004C08C8"/>
    <w:rsid w:val="004C0AFA"/>
    <w:rsid w:val="004C3A71"/>
    <w:rsid w:val="004C7CC4"/>
    <w:rsid w:val="004D1505"/>
    <w:rsid w:val="004D4EEE"/>
    <w:rsid w:val="004D6C6A"/>
    <w:rsid w:val="004D6F66"/>
    <w:rsid w:val="004E08CB"/>
    <w:rsid w:val="004E0B99"/>
    <w:rsid w:val="004E1601"/>
    <w:rsid w:val="004E2A31"/>
    <w:rsid w:val="004E2BDB"/>
    <w:rsid w:val="004E70A2"/>
    <w:rsid w:val="004E7647"/>
    <w:rsid w:val="004F330E"/>
    <w:rsid w:val="004F46BD"/>
    <w:rsid w:val="004F5CF7"/>
    <w:rsid w:val="004F7A2B"/>
    <w:rsid w:val="00500470"/>
    <w:rsid w:val="0050049F"/>
    <w:rsid w:val="005037DF"/>
    <w:rsid w:val="005050F3"/>
    <w:rsid w:val="00507982"/>
    <w:rsid w:val="00507EC2"/>
    <w:rsid w:val="00512254"/>
    <w:rsid w:val="005122AF"/>
    <w:rsid w:val="0051306C"/>
    <w:rsid w:val="005158CB"/>
    <w:rsid w:val="00521BCF"/>
    <w:rsid w:val="00522026"/>
    <w:rsid w:val="00526070"/>
    <w:rsid w:val="005319B3"/>
    <w:rsid w:val="00532043"/>
    <w:rsid w:val="0053472F"/>
    <w:rsid w:val="00535423"/>
    <w:rsid w:val="00535EE2"/>
    <w:rsid w:val="00545F0D"/>
    <w:rsid w:val="00550001"/>
    <w:rsid w:val="00551C4C"/>
    <w:rsid w:val="00554755"/>
    <w:rsid w:val="005548ED"/>
    <w:rsid w:val="00554E5F"/>
    <w:rsid w:val="005566FE"/>
    <w:rsid w:val="00560ED3"/>
    <w:rsid w:val="005610A6"/>
    <w:rsid w:val="005631CB"/>
    <w:rsid w:val="005651FE"/>
    <w:rsid w:val="00565471"/>
    <w:rsid w:val="00565785"/>
    <w:rsid w:val="00565E53"/>
    <w:rsid w:val="005703E5"/>
    <w:rsid w:val="00570C2C"/>
    <w:rsid w:val="005778AA"/>
    <w:rsid w:val="00581AF2"/>
    <w:rsid w:val="00586B6D"/>
    <w:rsid w:val="00586E25"/>
    <w:rsid w:val="00593FDD"/>
    <w:rsid w:val="00596F3D"/>
    <w:rsid w:val="005A13B6"/>
    <w:rsid w:val="005A227A"/>
    <w:rsid w:val="005A2628"/>
    <w:rsid w:val="005A33FD"/>
    <w:rsid w:val="005A4ABC"/>
    <w:rsid w:val="005A58D4"/>
    <w:rsid w:val="005A5AE5"/>
    <w:rsid w:val="005A613B"/>
    <w:rsid w:val="005A6788"/>
    <w:rsid w:val="005B1AB7"/>
    <w:rsid w:val="005B2B37"/>
    <w:rsid w:val="005B7012"/>
    <w:rsid w:val="005C3922"/>
    <w:rsid w:val="005C5EB3"/>
    <w:rsid w:val="005C7F0A"/>
    <w:rsid w:val="005D00EB"/>
    <w:rsid w:val="005D0A26"/>
    <w:rsid w:val="005D267B"/>
    <w:rsid w:val="005D5C88"/>
    <w:rsid w:val="005D684A"/>
    <w:rsid w:val="005D7449"/>
    <w:rsid w:val="005E17FC"/>
    <w:rsid w:val="005E26C0"/>
    <w:rsid w:val="005E326B"/>
    <w:rsid w:val="005E47E5"/>
    <w:rsid w:val="005F1BE1"/>
    <w:rsid w:val="005F22AA"/>
    <w:rsid w:val="005F2A04"/>
    <w:rsid w:val="005F4FC8"/>
    <w:rsid w:val="005F4FEC"/>
    <w:rsid w:val="006017FE"/>
    <w:rsid w:val="00604670"/>
    <w:rsid w:val="00605E62"/>
    <w:rsid w:val="00606301"/>
    <w:rsid w:val="00610D68"/>
    <w:rsid w:val="006134AB"/>
    <w:rsid w:val="00613A4E"/>
    <w:rsid w:val="00614008"/>
    <w:rsid w:val="006153C4"/>
    <w:rsid w:val="0061569D"/>
    <w:rsid w:val="00615ACF"/>
    <w:rsid w:val="006162E4"/>
    <w:rsid w:val="00622D38"/>
    <w:rsid w:val="00625005"/>
    <w:rsid w:val="00625E1E"/>
    <w:rsid w:val="006308A9"/>
    <w:rsid w:val="00631C73"/>
    <w:rsid w:val="006351F2"/>
    <w:rsid w:val="00637492"/>
    <w:rsid w:val="0064261E"/>
    <w:rsid w:val="006432C0"/>
    <w:rsid w:val="00643DF0"/>
    <w:rsid w:val="00645F94"/>
    <w:rsid w:val="00647DD3"/>
    <w:rsid w:val="00650BE3"/>
    <w:rsid w:val="00650E9A"/>
    <w:rsid w:val="00651541"/>
    <w:rsid w:val="006526F9"/>
    <w:rsid w:val="00653E04"/>
    <w:rsid w:val="0065633C"/>
    <w:rsid w:val="006601D3"/>
    <w:rsid w:val="00660548"/>
    <w:rsid w:val="00661748"/>
    <w:rsid w:val="00662CD6"/>
    <w:rsid w:val="00663E0E"/>
    <w:rsid w:val="00664A53"/>
    <w:rsid w:val="006708CE"/>
    <w:rsid w:val="00672B50"/>
    <w:rsid w:val="00673AEA"/>
    <w:rsid w:val="0068051B"/>
    <w:rsid w:val="0068274C"/>
    <w:rsid w:val="00683204"/>
    <w:rsid w:val="006832F0"/>
    <w:rsid w:val="00684B32"/>
    <w:rsid w:val="006877FC"/>
    <w:rsid w:val="00691605"/>
    <w:rsid w:val="0069271F"/>
    <w:rsid w:val="006958B4"/>
    <w:rsid w:val="00695AAB"/>
    <w:rsid w:val="0069604A"/>
    <w:rsid w:val="006A02B1"/>
    <w:rsid w:val="006A40B9"/>
    <w:rsid w:val="006A6D07"/>
    <w:rsid w:val="006B1E09"/>
    <w:rsid w:val="006B38BC"/>
    <w:rsid w:val="006B7982"/>
    <w:rsid w:val="006C4490"/>
    <w:rsid w:val="006C52DF"/>
    <w:rsid w:val="006C6FCF"/>
    <w:rsid w:val="006C78D0"/>
    <w:rsid w:val="006D7DB1"/>
    <w:rsid w:val="006E1969"/>
    <w:rsid w:val="006E1C68"/>
    <w:rsid w:val="006E2405"/>
    <w:rsid w:val="006E2D96"/>
    <w:rsid w:val="006E340C"/>
    <w:rsid w:val="006E7405"/>
    <w:rsid w:val="006F24EE"/>
    <w:rsid w:val="006F255F"/>
    <w:rsid w:val="006F3066"/>
    <w:rsid w:val="006F3EA3"/>
    <w:rsid w:val="006F6CA7"/>
    <w:rsid w:val="00701E0D"/>
    <w:rsid w:val="0070213A"/>
    <w:rsid w:val="00702DFB"/>
    <w:rsid w:val="00706366"/>
    <w:rsid w:val="00713916"/>
    <w:rsid w:val="007139EA"/>
    <w:rsid w:val="00714AD5"/>
    <w:rsid w:val="00715297"/>
    <w:rsid w:val="00715579"/>
    <w:rsid w:val="00715C35"/>
    <w:rsid w:val="00717574"/>
    <w:rsid w:val="00717D60"/>
    <w:rsid w:val="00717F00"/>
    <w:rsid w:val="00720CC7"/>
    <w:rsid w:val="0072120E"/>
    <w:rsid w:val="007232C6"/>
    <w:rsid w:val="007258CC"/>
    <w:rsid w:val="00725D8A"/>
    <w:rsid w:val="00731452"/>
    <w:rsid w:val="007335E8"/>
    <w:rsid w:val="00733663"/>
    <w:rsid w:val="00733F89"/>
    <w:rsid w:val="00734881"/>
    <w:rsid w:val="00734CDB"/>
    <w:rsid w:val="007354ED"/>
    <w:rsid w:val="007379F4"/>
    <w:rsid w:val="00737EBE"/>
    <w:rsid w:val="007411F1"/>
    <w:rsid w:val="00741721"/>
    <w:rsid w:val="00743BAE"/>
    <w:rsid w:val="007451C5"/>
    <w:rsid w:val="007460FA"/>
    <w:rsid w:val="00746559"/>
    <w:rsid w:val="00747612"/>
    <w:rsid w:val="00747CC0"/>
    <w:rsid w:val="00750D40"/>
    <w:rsid w:val="00751159"/>
    <w:rsid w:val="00751C90"/>
    <w:rsid w:val="00754C70"/>
    <w:rsid w:val="00755B0C"/>
    <w:rsid w:val="007566CE"/>
    <w:rsid w:val="007571B4"/>
    <w:rsid w:val="007579B1"/>
    <w:rsid w:val="00760450"/>
    <w:rsid w:val="007616F3"/>
    <w:rsid w:val="00762A03"/>
    <w:rsid w:val="00763632"/>
    <w:rsid w:val="0076387E"/>
    <w:rsid w:val="00766D75"/>
    <w:rsid w:val="00772E29"/>
    <w:rsid w:val="00773F2D"/>
    <w:rsid w:val="00775052"/>
    <w:rsid w:val="0077691B"/>
    <w:rsid w:val="00780A04"/>
    <w:rsid w:val="00781B16"/>
    <w:rsid w:val="00782C32"/>
    <w:rsid w:val="00783189"/>
    <w:rsid w:val="00784AF5"/>
    <w:rsid w:val="00784EAB"/>
    <w:rsid w:val="00785519"/>
    <w:rsid w:val="00785DDD"/>
    <w:rsid w:val="007873B8"/>
    <w:rsid w:val="007907EF"/>
    <w:rsid w:val="0079200E"/>
    <w:rsid w:val="0079221C"/>
    <w:rsid w:val="0079419E"/>
    <w:rsid w:val="00795253"/>
    <w:rsid w:val="00797620"/>
    <w:rsid w:val="007A1329"/>
    <w:rsid w:val="007A19CA"/>
    <w:rsid w:val="007A3FE6"/>
    <w:rsid w:val="007A4A1A"/>
    <w:rsid w:val="007A56F7"/>
    <w:rsid w:val="007A5A5C"/>
    <w:rsid w:val="007A7D61"/>
    <w:rsid w:val="007B047A"/>
    <w:rsid w:val="007B368E"/>
    <w:rsid w:val="007B4828"/>
    <w:rsid w:val="007C04A5"/>
    <w:rsid w:val="007C3D2A"/>
    <w:rsid w:val="007C492B"/>
    <w:rsid w:val="007C50C6"/>
    <w:rsid w:val="007C64DA"/>
    <w:rsid w:val="007D1E0F"/>
    <w:rsid w:val="007D6412"/>
    <w:rsid w:val="007D6B6D"/>
    <w:rsid w:val="007D765D"/>
    <w:rsid w:val="007D76CF"/>
    <w:rsid w:val="007E096B"/>
    <w:rsid w:val="007E0CAE"/>
    <w:rsid w:val="007E1EAA"/>
    <w:rsid w:val="007E5286"/>
    <w:rsid w:val="007E7376"/>
    <w:rsid w:val="007E7C6D"/>
    <w:rsid w:val="007F1970"/>
    <w:rsid w:val="007F5274"/>
    <w:rsid w:val="007F5346"/>
    <w:rsid w:val="007F617B"/>
    <w:rsid w:val="007F66DE"/>
    <w:rsid w:val="007F6B41"/>
    <w:rsid w:val="00804D47"/>
    <w:rsid w:val="00805F13"/>
    <w:rsid w:val="0081181E"/>
    <w:rsid w:val="008141E3"/>
    <w:rsid w:val="0081646E"/>
    <w:rsid w:val="00816ADF"/>
    <w:rsid w:val="00817FBF"/>
    <w:rsid w:val="00820ED7"/>
    <w:rsid w:val="00821ECE"/>
    <w:rsid w:val="008238FE"/>
    <w:rsid w:val="0082736F"/>
    <w:rsid w:val="008278C9"/>
    <w:rsid w:val="008318FD"/>
    <w:rsid w:val="008321A2"/>
    <w:rsid w:val="00834AF5"/>
    <w:rsid w:val="00835FD6"/>
    <w:rsid w:val="008408C8"/>
    <w:rsid w:val="00844F3E"/>
    <w:rsid w:val="00845F36"/>
    <w:rsid w:val="008505DE"/>
    <w:rsid w:val="0085074F"/>
    <w:rsid w:val="00851F1C"/>
    <w:rsid w:val="008531F9"/>
    <w:rsid w:val="0085498B"/>
    <w:rsid w:val="00862BDF"/>
    <w:rsid w:val="00870015"/>
    <w:rsid w:val="00871BAE"/>
    <w:rsid w:val="0087222E"/>
    <w:rsid w:val="00872DD5"/>
    <w:rsid w:val="008731B0"/>
    <w:rsid w:val="0087360D"/>
    <w:rsid w:val="00874227"/>
    <w:rsid w:val="008746E9"/>
    <w:rsid w:val="008764C7"/>
    <w:rsid w:val="00880246"/>
    <w:rsid w:val="00881616"/>
    <w:rsid w:val="00881AB3"/>
    <w:rsid w:val="00883556"/>
    <w:rsid w:val="008837B5"/>
    <w:rsid w:val="0088427E"/>
    <w:rsid w:val="008946C0"/>
    <w:rsid w:val="008A3477"/>
    <w:rsid w:val="008A7415"/>
    <w:rsid w:val="008B0505"/>
    <w:rsid w:val="008B2C0D"/>
    <w:rsid w:val="008B42DA"/>
    <w:rsid w:val="008B4571"/>
    <w:rsid w:val="008B68FC"/>
    <w:rsid w:val="008C1455"/>
    <w:rsid w:val="008C2CF6"/>
    <w:rsid w:val="008C2FA3"/>
    <w:rsid w:val="008C588C"/>
    <w:rsid w:val="008D0A78"/>
    <w:rsid w:val="008D1173"/>
    <w:rsid w:val="008D271D"/>
    <w:rsid w:val="008D487E"/>
    <w:rsid w:val="008D4B1A"/>
    <w:rsid w:val="008D69B5"/>
    <w:rsid w:val="008D7F7A"/>
    <w:rsid w:val="008E014C"/>
    <w:rsid w:val="008E05A1"/>
    <w:rsid w:val="008E4AEE"/>
    <w:rsid w:val="008E4C65"/>
    <w:rsid w:val="008E54FF"/>
    <w:rsid w:val="008E5C41"/>
    <w:rsid w:val="008F0E8E"/>
    <w:rsid w:val="008F2BA5"/>
    <w:rsid w:val="008F2CB6"/>
    <w:rsid w:val="008F2EEF"/>
    <w:rsid w:val="008F3FA7"/>
    <w:rsid w:val="008F4B27"/>
    <w:rsid w:val="008F4B7B"/>
    <w:rsid w:val="008F5C92"/>
    <w:rsid w:val="008F6477"/>
    <w:rsid w:val="008F6B47"/>
    <w:rsid w:val="00902D0E"/>
    <w:rsid w:val="00903100"/>
    <w:rsid w:val="00906284"/>
    <w:rsid w:val="00910993"/>
    <w:rsid w:val="0091127E"/>
    <w:rsid w:val="00913557"/>
    <w:rsid w:val="00913D30"/>
    <w:rsid w:val="00917A58"/>
    <w:rsid w:val="00920322"/>
    <w:rsid w:val="00924654"/>
    <w:rsid w:val="009260EA"/>
    <w:rsid w:val="009276FC"/>
    <w:rsid w:val="0093002F"/>
    <w:rsid w:val="0093042F"/>
    <w:rsid w:val="00931226"/>
    <w:rsid w:val="00934ECC"/>
    <w:rsid w:val="009359FA"/>
    <w:rsid w:val="00936547"/>
    <w:rsid w:val="00937C1F"/>
    <w:rsid w:val="00946369"/>
    <w:rsid w:val="00947985"/>
    <w:rsid w:val="0095040E"/>
    <w:rsid w:val="00950B9A"/>
    <w:rsid w:val="00951990"/>
    <w:rsid w:val="0095427A"/>
    <w:rsid w:val="00954DA7"/>
    <w:rsid w:val="00956527"/>
    <w:rsid w:val="00956AE4"/>
    <w:rsid w:val="00961505"/>
    <w:rsid w:val="00962527"/>
    <w:rsid w:val="00962A0A"/>
    <w:rsid w:val="00963260"/>
    <w:rsid w:val="009635AA"/>
    <w:rsid w:val="00972DB3"/>
    <w:rsid w:val="00974ACC"/>
    <w:rsid w:val="00977291"/>
    <w:rsid w:val="009822A1"/>
    <w:rsid w:val="00982AB6"/>
    <w:rsid w:val="009869ED"/>
    <w:rsid w:val="00987325"/>
    <w:rsid w:val="00987D46"/>
    <w:rsid w:val="00987E95"/>
    <w:rsid w:val="00992766"/>
    <w:rsid w:val="00993152"/>
    <w:rsid w:val="00997E79"/>
    <w:rsid w:val="009A104E"/>
    <w:rsid w:val="009A1C2B"/>
    <w:rsid w:val="009A1C62"/>
    <w:rsid w:val="009A35E5"/>
    <w:rsid w:val="009A3D11"/>
    <w:rsid w:val="009A4630"/>
    <w:rsid w:val="009A5AC7"/>
    <w:rsid w:val="009A7B23"/>
    <w:rsid w:val="009B1205"/>
    <w:rsid w:val="009B2B79"/>
    <w:rsid w:val="009B3072"/>
    <w:rsid w:val="009B315F"/>
    <w:rsid w:val="009B461B"/>
    <w:rsid w:val="009B549E"/>
    <w:rsid w:val="009B66D1"/>
    <w:rsid w:val="009B78B4"/>
    <w:rsid w:val="009C103B"/>
    <w:rsid w:val="009D0087"/>
    <w:rsid w:val="009D0EFF"/>
    <w:rsid w:val="009D3591"/>
    <w:rsid w:val="009D4083"/>
    <w:rsid w:val="009D4132"/>
    <w:rsid w:val="009E1F57"/>
    <w:rsid w:val="009E6A9F"/>
    <w:rsid w:val="009E7E53"/>
    <w:rsid w:val="009F2329"/>
    <w:rsid w:val="009F5D03"/>
    <w:rsid w:val="00A04A54"/>
    <w:rsid w:val="00A05AF4"/>
    <w:rsid w:val="00A05D0B"/>
    <w:rsid w:val="00A11475"/>
    <w:rsid w:val="00A12A3D"/>
    <w:rsid w:val="00A15205"/>
    <w:rsid w:val="00A2236D"/>
    <w:rsid w:val="00A22475"/>
    <w:rsid w:val="00A23A32"/>
    <w:rsid w:val="00A2443C"/>
    <w:rsid w:val="00A2623E"/>
    <w:rsid w:val="00A26596"/>
    <w:rsid w:val="00A26989"/>
    <w:rsid w:val="00A31B1A"/>
    <w:rsid w:val="00A3231E"/>
    <w:rsid w:val="00A323D4"/>
    <w:rsid w:val="00A32DA4"/>
    <w:rsid w:val="00A33D8F"/>
    <w:rsid w:val="00A35D24"/>
    <w:rsid w:val="00A36C6D"/>
    <w:rsid w:val="00A37613"/>
    <w:rsid w:val="00A40EC1"/>
    <w:rsid w:val="00A42129"/>
    <w:rsid w:val="00A43C96"/>
    <w:rsid w:val="00A44ED8"/>
    <w:rsid w:val="00A46CB5"/>
    <w:rsid w:val="00A471A8"/>
    <w:rsid w:val="00A472AB"/>
    <w:rsid w:val="00A47E02"/>
    <w:rsid w:val="00A5055A"/>
    <w:rsid w:val="00A50CF2"/>
    <w:rsid w:val="00A50FDB"/>
    <w:rsid w:val="00A52E42"/>
    <w:rsid w:val="00A57D5D"/>
    <w:rsid w:val="00A65C16"/>
    <w:rsid w:val="00A66DBC"/>
    <w:rsid w:val="00A7236D"/>
    <w:rsid w:val="00A72BE6"/>
    <w:rsid w:val="00A81E5A"/>
    <w:rsid w:val="00A82A97"/>
    <w:rsid w:val="00A836E4"/>
    <w:rsid w:val="00A844BB"/>
    <w:rsid w:val="00A87527"/>
    <w:rsid w:val="00A91A3E"/>
    <w:rsid w:val="00A9394C"/>
    <w:rsid w:val="00A9441D"/>
    <w:rsid w:val="00AA0EEA"/>
    <w:rsid w:val="00AA3BAA"/>
    <w:rsid w:val="00AA3D14"/>
    <w:rsid w:val="00AA4C6F"/>
    <w:rsid w:val="00AA5690"/>
    <w:rsid w:val="00AA5CF0"/>
    <w:rsid w:val="00AA76B4"/>
    <w:rsid w:val="00AB01E8"/>
    <w:rsid w:val="00AB20A4"/>
    <w:rsid w:val="00AB26E1"/>
    <w:rsid w:val="00AB6A63"/>
    <w:rsid w:val="00AC1BE1"/>
    <w:rsid w:val="00AC22AF"/>
    <w:rsid w:val="00AC2FDC"/>
    <w:rsid w:val="00AC4AF1"/>
    <w:rsid w:val="00AC5010"/>
    <w:rsid w:val="00AC7F2A"/>
    <w:rsid w:val="00AD198A"/>
    <w:rsid w:val="00AD1C18"/>
    <w:rsid w:val="00AD1E13"/>
    <w:rsid w:val="00AD1FE2"/>
    <w:rsid w:val="00AD2B67"/>
    <w:rsid w:val="00AD4990"/>
    <w:rsid w:val="00AD7863"/>
    <w:rsid w:val="00AE20DD"/>
    <w:rsid w:val="00AF056F"/>
    <w:rsid w:val="00AF0D57"/>
    <w:rsid w:val="00AF27CD"/>
    <w:rsid w:val="00B00E4D"/>
    <w:rsid w:val="00B01248"/>
    <w:rsid w:val="00B0310E"/>
    <w:rsid w:val="00B07D45"/>
    <w:rsid w:val="00B122E4"/>
    <w:rsid w:val="00B1336E"/>
    <w:rsid w:val="00B1562A"/>
    <w:rsid w:val="00B163D6"/>
    <w:rsid w:val="00B1778A"/>
    <w:rsid w:val="00B2484A"/>
    <w:rsid w:val="00B24F9D"/>
    <w:rsid w:val="00B2534E"/>
    <w:rsid w:val="00B26DE4"/>
    <w:rsid w:val="00B30A6C"/>
    <w:rsid w:val="00B3784E"/>
    <w:rsid w:val="00B40555"/>
    <w:rsid w:val="00B40BEF"/>
    <w:rsid w:val="00B41097"/>
    <w:rsid w:val="00B43CAC"/>
    <w:rsid w:val="00B507BE"/>
    <w:rsid w:val="00B53575"/>
    <w:rsid w:val="00B54826"/>
    <w:rsid w:val="00B56B9B"/>
    <w:rsid w:val="00B57905"/>
    <w:rsid w:val="00B57F35"/>
    <w:rsid w:val="00B6233F"/>
    <w:rsid w:val="00B625F9"/>
    <w:rsid w:val="00B6659E"/>
    <w:rsid w:val="00B66835"/>
    <w:rsid w:val="00B67408"/>
    <w:rsid w:val="00B674D9"/>
    <w:rsid w:val="00B712B7"/>
    <w:rsid w:val="00B726A5"/>
    <w:rsid w:val="00B7300E"/>
    <w:rsid w:val="00B75B3D"/>
    <w:rsid w:val="00B7699F"/>
    <w:rsid w:val="00B8072C"/>
    <w:rsid w:val="00B81DAD"/>
    <w:rsid w:val="00B84BC2"/>
    <w:rsid w:val="00B851BE"/>
    <w:rsid w:val="00B86A58"/>
    <w:rsid w:val="00B94716"/>
    <w:rsid w:val="00B94A60"/>
    <w:rsid w:val="00B94DC3"/>
    <w:rsid w:val="00BA0C67"/>
    <w:rsid w:val="00BA2120"/>
    <w:rsid w:val="00BA22D9"/>
    <w:rsid w:val="00BA3BBA"/>
    <w:rsid w:val="00BA4A0B"/>
    <w:rsid w:val="00BA7DF3"/>
    <w:rsid w:val="00BB0131"/>
    <w:rsid w:val="00BB15DE"/>
    <w:rsid w:val="00BB58C7"/>
    <w:rsid w:val="00BC3CF2"/>
    <w:rsid w:val="00BC406D"/>
    <w:rsid w:val="00BC4728"/>
    <w:rsid w:val="00BC6383"/>
    <w:rsid w:val="00BC7665"/>
    <w:rsid w:val="00BD4259"/>
    <w:rsid w:val="00BD508A"/>
    <w:rsid w:val="00BD649A"/>
    <w:rsid w:val="00BE2A3C"/>
    <w:rsid w:val="00BE2E03"/>
    <w:rsid w:val="00BE3310"/>
    <w:rsid w:val="00BE3EBD"/>
    <w:rsid w:val="00BE459D"/>
    <w:rsid w:val="00BE54BE"/>
    <w:rsid w:val="00BE62B2"/>
    <w:rsid w:val="00BE67AC"/>
    <w:rsid w:val="00BE76B2"/>
    <w:rsid w:val="00BF3486"/>
    <w:rsid w:val="00BF3CC8"/>
    <w:rsid w:val="00BF554B"/>
    <w:rsid w:val="00BF6E7B"/>
    <w:rsid w:val="00BF76B7"/>
    <w:rsid w:val="00C0205F"/>
    <w:rsid w:val="00C0320D"/>
    <w:rsid w:val="00C038E9"/>
    <w:rsid w:val="00C03DE1"/>
    <w:rsid w:val="00C04AF0"/>
    <w:rsid w:val="00C05671"/>
    <w:rsid w:val="00C07073"/>
    <w:rsid w:val="00C075A6"/>
    <w:rsid w:val="00C07B88"/>
    <w:rsid w:val="00C119CB"/>
    <w:rsid w:val="00C11CE2"/>
    <w:rsid w:val="00C135BC"/>
    <w:rsid w:val="00C14F69"/>
    <w:rsid w:val="00C201F2"/>
    <w:rsid w:val="00C2160C"/>
    <w:rsid w:val="00C22B6B"/>
    <w:rsid w:val="00C24901"/>
    <w:rsid w:val="00C24A9A"/>
    <w:rsid w:val="00C24B21"/>
    <w:rsid w:val="00C2537D"/>
    <w:rsid w:val="00C30843"/>
    <w:rsid w:val="00C30E51"/>
    <w:rsid w:val="00C3399F"/>
    <w:rsid w:val="00C33E60"/>
    <w:rsid w:val="00C34603"/>
    <w:rsid w:val="00C34B4D"/>
    <w:rsid w:val="00C34F7D"/>
    <w:rsid w:val="00C35B8B"/>
    <w:rsid w:val="00C373B2"/>
    <w:rsid w:val="00C37DDE"/>
    <w:rsid w:val="00C40428"/>
    <w:rsid w:val="00C41E37"/>
    <w:rsid w:val="00C44CC1"/>
    <w:rsid w:val="00C45890"/>
    <w:rsid w:val="00C53E5D"/>
    <w:rsid w:val="00C5672B"/>
    <w:rsid w:val="00C60135"/>
    <w:rsid w:val="00C60B32"/>
    <w:rsid w:val="00C65EB0"/>
    <w:rsid w:val="00C662D2"/>
    <w:rsid w:val="00C6636B"/>
    <w:rsid w:val="00C66ED4"/>
    <w:rsid w:val="00C7426F"/>
    <w:rsid w:val="00C761C8"/>
    <w:rsid w:val="00C76D75"/>
    <w:rsid w:val="00C774D7"/>
    <w:rsid w:val="00C8024A"/>
    <w:rsid w:val="00C857F8"/>
    <w:rsid w:val="00C85B08"/>
    <w:rsid w:val="00C86D56"/>
    <w:rsid w:val="00C873A9"/>
    <w:rsid w:val="00C947E2"/>
    <w:rsid w:val="00C96DFD"/>
    <w:rsid w:val="00CA101F"/>
    <w:rsid w:val="00CA3AA6"/>
    <w:rsid w:val="00CA3AE5"/>
    <w:rsid w:val="00CA4132"/>
    <w:rsid w:val="00CA4DA9"/>
    <w:rsid w:val="00CA624A"/>
    <w:rsid w:val="00CA6577"/>
    <w:rsid w:val="00CA7AF3"/>
    <w:rsid w:val="00CB39B3"/>
    <w:rsid w:val="00CB598B"/>
    <w:rsid w:val="00CB7BF9"/>
    <w:rsid w:val="00CC16BE"/>
    <w:rsid w:val="00CC26C2"/>
    <w:rsid w:val="00CC597A"/>
    <w:rsid w:val="00CC70F6"/>
    <w:rsid w:val="00CC7A32"/>
    <w:rsid w:val="00CC7B45"/>
    <w:rsid w:val="00CD2711"/>
    <w:rsid w:val="00CD29B6"/>
    <w:rsid w:val="00CD3452"/>
    <w:rsid w:val="00CE2DC3"/>
    <w:rsid w:val="00CE5957"/>
    <w:rsid w:val="00CE661F"/>
    <w:rsid w:val="00CE6700"/>
    <w:rsid w:val="00CE6DFB"/>
    <w:rsid w:val="00CE7927"/>
    <w:rsid w:val="00CF1A23"/>
    <w:rsid w:val="00CF21C9"/>
    <w:rsid w:val="00CF246A"/>
    <w:rsid w:val="00CF2876"/>
    <w:rsid w:val="00CF3D6D"/>
    <w:rsid w:val="00CF3E93"/>
    <w:rsid w:val="00CF40D3"/>
    <w:rsid w:val="00CF5789"/>
    <w:rsid w:val="00CF5EB3"/>
    <w:rsid w:val="00CF6810"/>
    <w:rsid w:val="00D01406"/>
    <w:rsid w:val="00D05D53"/>
    <w:rsid w:val="00D11455"/>
    <w:rsid w:val="00D13D21"/>
    <w:rsid w:val="00D1637C"/>
    <w:rsid w:val="00D164E8"/>
    <w:rsid w:val="00D171F2"/>
    <w:rsid w:val="00D2288C"/>
    <w:rsid w:val="00D22F9C"/>
    <w:rsid w:val="00D2456B"/>
    <w:rsid w:val="00D24D99"/>
    <w:rsid w:val="00D25F8B"/>
    <w:rsid w:val="00D3071B"/>
    <w:rsid w:val="00D30933"/>
    <w:rsid w:val="00D31E8F"/>
    <w:rsid w:val="00D33A5A"/>
    <w:rsid w:val="00D36446"/>
    <w:rsid w:val="00D37B68"/>
    <w:rsid w:val="00D37C93"/>
    <w:rsid w:val="00D37CA5"/>
    <w:rsid w:val="00D41B74"/>
    <w:rsid w:val="00D457D5"/>
    <w:rsid w:val="00D46F22"/>
    <w:rsid w:val="00D530A5"/>
    <w:rsid w:val="00D55D79"/>
    <w:rsid w:val="00D55DF0"/>
    <w:rsid w:val="00D6266E"/>
    <w:rsid w:val="00D62F1F"/>
    <w:rsid w:val="00D668E3"/>
    <w:rsid w:val="00D6705E"/>
    <w:rsid w:val="00D6718B"/>
    <w:rsid w:val="00D67B4F"/>
    <w:rsid w:val="00D73E55"/>
    <w:rsid w:val="00D75DA9"/>
    <w:rsid w:val="00D77664"/>
    <w:rsid w:val="00D80CCA"/>
    <w:rsid w:val="00D82837"/>
    <w:rsid w:val="00D840AC"/>
    <w:rsid w:val="00D84FDF"/>
    <w:rsid w:val="00D85AE6"/>
    <w:rsid w:val="00D87DF4"/>
    <w:rsid w:val="00D90D27"/>
    <w:rsid w:val="00D9115C"/>
    <w:rsid w:val="00D91364"/>
    <w:rsid w:val="00D94A64"/>
    <w:rsid w:val="00D95456"/>
    <w:rsid w:val="00D9593A"/>
    <w:rsid w:val="00D96D95"/>
    <w:rsid w:val="00DA04D7"/>
    <w:rsid w:val="00DA3A99"/>
    <w:rsid w:val="00DA4B9A"/>
    <w:rsid w:val="00DB0321"/>
    <w:rsid w:val="00DB3052"/>
    <w:rsid w:val="00DB34DB"/>
    <w:rsid w:val="00DB605F"/>
    <w:rsid w:val="00DC099F"/>
    <w:rsid w:val="00DC1176"/>
    <w:rsid w:val="00DC2038"/>
    <w:rsid w:val="00DC2CBC"/>
    <w:rsid w:val="00DC2DE8"/>
    <w:rsid w:val="00DC4A6C"/>
    <w:rsid w:val="00DC5BD5"/>
    <w:rsid w:val="00DC66C8"/>
    <w:rsid w:val="00DC7AD3"/>
    <w:rsid w:val="00DD3965"/>
    <w:rsid w:val="00DD4EAE"/>
    <w:rsid w:val="00DE33A9"/>
    <w:rsid w:val="00DE3C77"/>
    <w:rsid w:val="00DE4CC2"/>
    <w:rsid w:val="00DF01D9"/>
    <w:rsid w:val="00DF04B7"/>
    <w:rsid w:val="00DF0C59"/>
    <w:rsid w:val="00DF3CFE"/>
    <w:rsid w:val="00DF3DE3"/>
    <w:rsid w:val="00DF4B38"/>
    <w:rsid w:val="00DF5321"/>
    <w:rsid w:val="00DF6D09"/>
    <w:rsid w:val="00E00467"/>
    <w:rsid w:val="00E01828"/>
    <w:rsid w:val="00E063E8"/>
    <w:rsid w:val="00E06BF1"/>
    <w:rsid w:val="00E06E0F"/>
    <w:rsid w:val="00E06E53"/>
    <w:rsid w:val="00E104BD"/>
    <w:rsid w:val="00E11692"/>
    <w:rsid w:val="00E13017"/>
    <w:rsid w:val="00E13AA2"/>
    <w:rsid w:val="00E164EC"/>
    <w:rsid w:val="00E27E12"/>
    <w:rsid w:val="00E30230"/>
    <w:rsid w:val="00E34D93"/>
    <w:rsid w:val="00E35210"/>
    <w:rsid w:val="00E3567F"/>
    <w:rsid w:val="00E416C9"/>
    <w:rsid w:val="00E437A9"/>
    <w:rsid w:val="00E44705"/>
    <w:rsid w:val="00E4489F"/>
    <w:rsid w:val="00E46944"/>
    <w:rsid w:val="00E46959"/>
    <w:rsid w:val="00E47CB2"/>
    <w:rsid w:val="00E51857"/>
    <w:rsid w:val="00E51CE3"/>
    <w:rsid w:val="00E52144"/>
    <w:rsid w:val="00E52BEF"/>
    <w:rsid w:val="00E53480"/>
    <w:rsid w:val="00E536EE"/>
    <w:rsid w:val="00E55CD3"/>
    <w:rsid w:val="00E574DE"/>
    <w:rsid w:val="00E57F04"/>
    <w:rsid w:val="00E57F48"/>
    <w:rsid w:val="00E60145"/>
    <w:rsid w:val="00E6218E"/>
    <w:rsid w:val="00E634CF"/>
    <w:rsid w:val="00E64144"/>
    <w:rsid w:val="00E65C5D"/>
    <w:rsid w:val="00E65C73"/>
    <w:rsid w:val="00E6673C"/>
    <w:rsid w:val="00E6739E"/>
    <w:rsid w:val="00E67573"/>
    <w:rsid w:val="00E67D3D"/>
    <w:rsid w:val="00E71217"/>
    <w:rsid w:val="00E7359C"/>
    <w:rsid w:val="00E738AF"/>
    <w:rsid w:val="00E73B1C"/>
    <w:rsid w:val="00E750DC"/>
    <w:rsid w:val="00E7519A"/>
    <w:rsid w:val="00E75D6C"/>
    <w:rsid w:val="00E7638D"/>
    <w:rsid w:val="00E76DFD"/>
    <w:rsid w:val="00E80D8F"/>
    <w:rsid w:val="00E829F9"/>
    <w:rsid w:val="00E8312E"/>
    <w:rsid w:val="00E911DD"/>
    <w:rsid w:val="00E92735"/>
    <w:rsid w:val="00E92A4F"/>
    <w:rsid w:val="00E940A8"/>
    <w:rsid w:val="00E9465F"/>
    <w:rsid w:val="00EA0B1C"/>
    <w:rsid w:val="00EA51AB"/>
    <w:rsid w:val="00EA5714"/>
    <w:rsid w:val="00EA6B1D"/>
    <w:rsid w:val="00EB2614"/>
    <w:rsid w:val="00EB7881"/>
    <w:rsid w:val="00EC0478"/>
    <w:rsid w:val="00EC0868"/>
    <w:rsid w:val="00EC491A"/>
    <w:rsid w:val="00EC6BC2"/>
    <w:rsid w:val="00EC6C3A"/>
    <w:rsid w:val="00EC7793"/>
    <w:rsid w:val="00ED079E"/>
    <w:rsid w:val="00ED5512"/>
    <w:rsid w:val="00ED616B"/>
    <w:rsid w:val="00EE20DA"/>
    <w:rsid w:val="00EE26E2"/>
    <w:rsid w:val="00EE4688"/>
    <w:rsid w:val="00EE6A45"/>
    <w:rsid w:val="00EE7343"/>
    <w:rsid w:val="00EF06A3"/>
    <w:rsid w:val="00EF0793"/>
    <w:rsid w:val="00EF1D52"/>
    <w:rsid w:val="00EF279B"/>
    <w:rsid w:val="00EF41B0"/>
    <w:rsid w:val="00EF439B"/>
    <w:rsid w:val="00EF4F75"/>
    <w:rsid w:val="00EF62D3"/>
    <w:rsid w:val="00EF6AB3"/>
    <w:rsid w:val="00EF749A"/>
    <w:rsid w:val="00EF76AC"/>
    <w:rsid w:val="00EF7A2A"/>
    <w:rsid w:val="00F03742"/>
    <w:rsid w:val="00F1325E"/>
    <w:rsid w:val="00F1388F"/>
    <w:rsid w:val="00F13AF3"/>
    <w:rsid w:val="00F13ED1"/>
    <w:rsid w:val="00F14804"/>
    <w:rsid w:val="00F15660"/>
    <w:rsid w:val="00F169A2"/>
    <w:rsid w:val="00F22F41"/>
    <w:rsid w:val="00F2457D"/>
    <w:rsid w:val="00F2595E"/>
    <w:rsid w:val="00F27593"/>
    <w:rsid w:val="00F305D1"/>
    <w:rsid w:val="00F3319C"/>
    <w:rsid w:val="00F33E7C"/>
    <w:rsid w:val="00F33FF7"/>
    <w:rsid w:val="00F354B4"/>
    <w:rsid w:val="00F35B96"/>
    <w:rsid w:val="00F40E2A"/>
    <w:rsid w:val="00F414E6"/>
    <w:rsid w:val="00F42153"/>
    <w:rsid w:val="00F42D92"/>
    <w:rsid w:val="00F43EA4"/>
    <w:rsid w:val="00F4702E"/>
    <w:rsid w:val="00F5139C"/>
    <w:rsid w:val="00F560C5"/>
    <w:rsid w:val="00F56232"/>
    <w:rsid w:val="00F56960"/>
    <w:rsid w:val="00F56D7B"/>
    <w:rsid w:val="00F605E2"/>
    <w:rsid w:val="00F621FB"/>
    <w:rsid w:val="00F63813"/>
    <w:rsid w:val="00F65FF8"/>
    <w:rsid w:val="00F66C40"/>
    <w:rsid w:val="00F72A8A"/>
    <w:rsid w:val="00F7406F"/>
    <w:rsid w:val="00F74097"/>
    <w:rsid w:val="00F757DE"/>
    <w:rsid w:val="00F762CB"/>
    <w:rsid w:val="00F80519"/>
    <w:rsid w:val="00F807FE"/>
    <w:rsid w:val="00F80927"/>
    <w:rsid w:val="00F82933"/>
    <w:rsid w:val="00F84831"/>
    <w:rsid w:val="00F84CC9"/>
    <w:rsid w:val="00F86BDB"/>
    <w:rsid w:val="00F90F0B"/>
    <w:rsid w:val="00F91A88"/>
    <w:rsid w:val="00F92C6D"/>
    <w:rsid w:val="00F94B0F"/>
    <w:rsid w:val="00F96407"/>
    <w:rsid w:val="00FA04EF"/>
    <w:rsid w:val="00FA06CD"/>
    <w:rsid w:val="00FA20DC"/>
    <w:rsid w:val="00FA3D11"/>
    <w:rsid w:val="00FA61EE"/>
    <w:rsid w:val="00FA6E41"/>
    <w:rsid w:val="00FA7524"/>
    <w:rsid w:val="00FB5742"/>
    <w:rsid w:val="00FB71F4"/>
    <w:rsid w:val="00FC0DE9"/>
    <w:rsid w:val="00FC32A9"/>
    <w:rsid w:val="00FC4DF8"/>
    <w:rsid w:val="00FC6BED"/>
    <w:rsid w:val="00FD1D67"/>
    <w:rsid w:val="00FD3843"/>
    <w:rsid w:val="00FD4482"/>
    <w:rsid w:val="00FD5197"/>
    <w:rsid w:val="00FD6149"/>
    <w:rsid w:val="00FD6639"/>
    <w:rsid w:val="00FD674C"/>
    <w:rsid w:val="00FD78BE"/>
    <w:rsid w:val="00FE0AAE"/>
    <w:rsid w:val="00FE16B5"/>
    <w:rsid w:val="00FE1D76"/>
    <w:rsid w:val="00FE254E"/>
    <w:rsid w:val="00FE2762"/>
    <w:rsid w:val="00FE43C9"/>
    <w:rsid w:val="00FE4F38"/>
    <w:rsid w:val="00FE5622"/>
    <w:rsid w:val="00FE5C98"/>
    <w:rsid w:val="00FE5DFC"/>
    <w:rsid w:val="00FE66A5"/>
    <w:rsid w:val="00FF4C2E"/>
    <w:rsid w:val="00FF7FF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589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semiHidden/>
    <w:unhideWhenUsed/>
    <w:qFormat/>
    <w:rsid w:val="00B3784E"/>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uiPriority w:val="99"/>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uiPriority w:val="39"/>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uiPriority w:val="99"/>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uiPriority w:val="99"/>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5"/>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character" w:customStyle="1" w:styleId="Heading3Char">
    <w:name w:val="Heading 3 Char"/>
    <w:basedOn w:val="DefaultParagraphFont"/>
    <w:link w:val="Heading3"/>
    <w:semiHidden/>
    <w:rsid w:val="00B3784E"/>
    <w:rPr>
      <w:rFonts w:asciiTheme="majorHAnsi" w:eastAsiaTheme="majorEastAsia" w:hAnsiTheme="majorHAnsi" w:cstheme="majorBidi"/>
      <w:i/>
      <w:color w:val="243F60" w:themeColor="accent1" w:themeShade="7F"/>
      <w:sz w:val="24"/>
      <w:szCs w:val="24"/>
      <w:lang w:eastAsia="en-US"/>
    </w:rPr>
  </w:style>
  <w:style w:type="character" w:styleId="UnresolvedMention">
    <w:name w:val="Unresolved Mention"/>
    <w:basedOn w:val="DefaultParagraphFont"/>
    <w:uiPriority w:val="99"/>
    <w:semiHidden/>
    <w:unhideWhenUsed/>
    <w:rsid w:val="00F33FF7"/>
    <w:rPr>
      <w:color w:val="605E5C"/>
      <w:shd w:val="clear" w:color="auto" w:fill="E1DFDD"/>
    </w:rPr>
  </w:style>
  <w:style w:type="paragraph" w:customStyle="1" w:styleId="Default">
    <w:name w:val="Default"/>
    <w:rsid w:val="000F7C3C"/>
    <w:pPr>
      <w:autoSpaceDE w:val="0"/>
      <w:autoSpaceDN w:val="0"/>
      <w:adjustRightInd w:val="0"/>
    </w:pPr>
    <w:rPr>
      <w:rFonts w:ascii="Calibri" w:hAnsi="Calibri" w:cs="Calibri"/>
      <w:color w:val="000000"/>
      <w:sz w:val="24"/>
      <w:szCs w:val="24"/>
    </w:rPr>
  </w:style>
  <w:style w:type="table" w:styleId="PlainTable1">
    <w:name w:val="Plain Table 1"/>
    <w:basedOn w:val="TableNormal"/>
    <w:rsid w:val="001A182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1A182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126452"/>
    <w:pPr>
      <w:ind w:left="720"/>
      <w:contextualSpacing/>
    </w:pPr>
  </w:style>
  <w:style w:type="character" w:customStyle="1" w:styleId="charsectno">
    <w:name w:val="charsectno"/>
    <w:basedOn w:val="DefaultParagraphFont"/>
    <w:rsid w:val="002610C5"/>
  </w:style>
  <w:style w:type="paragraph" w:customStyle="1" w:styleId="RecipientLetter">
    <w:name w:val="Recipient Letter"/>
    <w:basedOn w:val="Normal"/>
    <w:rsid w:val="00545F0D"/>
    <w:pPr>
      <w:spacing w:before="0" w:after="0" w:line="260" w:lineRule="atLeast"/>
    </w:pPr>
    <w:rPr>
      <w:rFonts w:eastAsiaTheme="minorHAnsi" w:cs="Arial"/>
      <w:i w:val="0"/>
      <w:color w:val="4D4D4F"/>
      <w:sz w:val="19"/>
      <w:szCs w:val="19"/>
      <w:lang w:eastAsia="en-AU"/>
    </w:rPr>
  </w:style>
  <w:style w:type="character" w:customStyle="1" w:styleId="CharSectno0">
    <w:name w:val="CharSectno"/>
    <w:basedOn w:val="DefaultParagraphFont"/>
    <w:rsid w:val="00150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8848">
      <w:bodyDiv w:val="1"/>
      <w:marLeft w:val="0"/>
      <w:marRight w:val="0"/>
      <w:marTop w:val="0"/>
      <w:marBottom w:val="0"/>
      <w:divBdr>
        <w:top w:val="none" w:sz="0" w:space="0" w:color="auto"/>
        <w:left w:val="none" w:sz="0" w:space="0" w:color="auto"/>
        <w:bottom w:val="none" w:sz="0" w:space="0" w:color="auto"/>
        <w:right w:val="none" w:sz="0" w:space="0" w:color="auto"/>
      </w:divBdr>
    </w:div>
    <w:div w:id="167449254">
      <w:bodyDiv w:val="1"/>
      <w:marLeft w:val="0"/>
      <w:marRight w:val="0"/>
      <w:marTop w:val="0"/>
      <w:marBottom w:val="0"/>
      <w:divBdr>
        <w:top w:val="none" w:sz="0" w:space="0" w:color="auto"/>
        <w:left w:val="none" w:sz="0" w:space="0" w:color="auto"/>
        <w:bottom w:val="none" w:sz="0" w:space="0" w:color="auto"/>
        <w:right w:val="none" w:sz="0" w:space="0" w:color="auto"/>
      </w:divBdr>
    </w:div>
    <w:div w:id="358236154">
      <w:bodyDiv w:val="1"/>
      <w:marLeft w:val="0"/>
      <w:marRight w:val="0"/>
      <w:marTop w:val="0"/>
      <w:marBottom w:val="0"/>
      <w:divBdr>
        <w:top w:val="none" w:sz="0" w:space="0" w:color="auto"/>
        <w:left w:val="none" w:sz="0" w:space="0" w:color="auto"/>
        <w:bottom w:val="none" w:sz="0" w:space="0" w:color="auto"/>
        <w:right w:val="none" w:sz="0" w:space="0" w:color="auto"/>
      </w:divBdr>
    </w:div>
    <w:div w:id="480738146">
      <w:bodyDiv w:val="1"/>
      <w:marLeft w:val="0"/>
      <w:marRight w:val="0"/>
      <w:marTop w:val="0"/>
      <w:marBottom w:val="0"/>
      <w:divBdr>
        <w:top w:val="none" w:sz="0" w:space="0" w:color="auto"/>
        <w:left w:val="none" w:sz="0" w:space="0" w:color="auto"/>
        <w:bottom w:val="none" w:sz="0" w:space="0" w:color="auto"/>
        <w:right w:val="none" w:sz="0" w:space="0" w:color="auto"/>
      </w:divBdr>
    </w:div>
    <w:div w:id="616909185">
      <w:bodyDiv w:val="1"/>
      <w:marLeft w:val="0"/>
      <w:marRight w:val="0"/>
      <w:marTop w:val="0"/>
      <w:marBottom w:val="0"/>
      <w:divBdr>
        <w:top w:val="none" w:sz="0" w:space="0" w:color="auto"/>
        <w:left w:val="none" w:sz="0" w:space="0" w:color="auto"/>
        <w:bottom w:val="none" w:sz="0" w:space="0" w:color="auto"/>
        <w:right w:val="none" w:sz="0" w:space="0" w:color="auto"/>
      </w:divBdr>
    </w:div>
    <w:div w:id="625697213">
      <w:bodyDiv w:val="1"/>
      <w:marLeft w:val="0"/>
      <w:marRight w:val="0"/>
      <w:marTop w:val="0"/>
      <w:marBottom w:val="0"/>
      <w:divBdr>
        <w:top w:val="none" w:sz="0" w:space="0" w:color="auto"/>
        <w:left w:val="none" w:sz="0" w:space="0" w:color="auto"/>
        <w:bottom w:val="none" w:sz="0" w:space="0" w:color="auto"/>
        <w:right w:val="none" w:sz="0" w:space="0" w:color="auto"/>
      </w:divBdr>
    </w:div>
    <w:div w:id="628054339">
      <w:bodyDiv w:val="1"/>
      <w:marLeft w:val="0"/>
      <w:marRight w:val="0"/>
      <w:marTop w:val="0"/>
      <w:marBottom w:val="0"/>
      <w:divBdr>
        <w:top w:val="none" w:sz="0" w:space="0" w:color="auto"/>
        <w:left w:val="none" w:sz="0" w:space="0" w:color="auto"/>
        <w:bottom w:val="none" w:sz="0" w:space="0" w:color="auto"/>
        <w:right w:val="none" w:sz="0" w:space="0" w:color="auto"/>
      </w:divBdr>
    </w:div>
    <w:div w:id="664675192">
      <w:bodyDiv w:val="1"/>
      <w:marLeft w:val="0"/>
      <w:marRight w:val="0"/>
      <w:marTop w:val="0"/>
      <w:marBottom w:val="0"/>
      <w:divBdr>
        <w:top w:val="none" w:sz="0" w:space="0" w:color="auto"/>
        <w:left w:val="none" w:sz="0" w:space="0" w:color="auto"/>
        <w:bottom w:val="none" w:sz="0" w:space="0" w:color="auto"/>
        <w:right w:val="none" w:sz="0" w:space="0" w:color="auto"/>
      </w:divBdr>
    </w:div>
    <w:div w:id="869226005">
      <w:bodyDiv w:val="1"/>
      <w:marLeft w:val="0"/>
      <w:marRight w:val="0"/>
      <w:marTop w:val="0"/>
      <w:marBottom w:val="0"/>
      <w:divBdr>
        <w:top w:val="none" w:sz="0" w:space="0" w:color="auto"/>
        <w:left w:val="none" w:sz="0" w:space="0" w:color="auto"/>
        <w:bottom w:val="none" w:sz="0" w:space="0" w:color="auto"/>
        <w:right w:val="none" w:sz="0" w:space="0" w:color="auto"/>
      </w:divBdr>
    </w:div>
    <w:div w:id="990253791">
      <w:bodyDiv w:val="1"/>
      <w:marLeft w:val="0"/>
      <w:marRight w:val="0"/>
      <w:marTop w:val="0"/>
      <w:marBottom w:val="0"/>
      <w:divBdr>
        <w:top w:val="none" w:sz="0" w:space="0" w:color="auto"/>
        <w:left w:val="none" w:sz="0" w:space="0" w:color="auto"/>
        <w:bottom w:val="none" w:sz="0" w:space="0" w:color="auto"/>
        <w:right w:val="none" w:sz="0" w:space="0" w:color="auto"/>
      </w:divBdr>
    </w:div>
    <w:div w:id="992024870">
      <w:bodyDiv w:val="1"/>
      <w:marLeft w:val="0"/>
      <w:marRight w:val="0"/>
      <w:marTop w:val="0"/>
      <w:marBottom w:val="0"/>
      <w:divBdr>
        <w:top w:val="none" w:sz="0" w:space="0" w:color="auto"/>
        <w:left w:val="none" w:sz="0" w:space="0" w:color="auto"/>
        <w:bottom w:val="none" w:sz="0" w:space="0" w:color="auto"/>
        <w:right w:val="none" w:sz="0" w:space="0" w:color="auto"/>
      </w:divBdr>
    </w:div>
    <w:div w:id="1086390332">
      <w:bodyDiv w:val="1"/>
      <w:marLeft w:val="0"/>
      <w:marRight w:val="0"/>
      <w:marTop w:val="0"/>
      <w:marBottom w:val="0"/>
      <w:divBdr>
        <w:top w:val="none" w:sz="0" w:space="0" w:color="auto"/>
        <w:left w:val="none" w:sz="0" w:space="0" w:color="auto"/>
        <w:bottom w:val="none" w:sz="0" w:space="0" w:color="auto"/>
        <w:right w:val="none" w:sz="0" w:space="0" w:color="auto"/>
      </w:divBdr>
    </w:div>
    <w:div w:id="1236935041">
      <w:bodyDiv w:val="1"/>
      <w:marLeft w:val="0"/>
      <w:marRight w:val="0"/>
      <w:marTop w:val="0"/>
      <w:marBottom w:val="0"/>
      <w:divBdr>
        <w:top w:val="none" w:sz="0" w:space="0" w:color="auto"/>
        <w:left w:val="none" w:sz="0" w:space="0" w:color="auto"/>
        <w:bottom w:val="none" w:sz="0" w:space="0" w:color="auto"/>
        <w:right w:val="none" w:sz="0" w:space="0" w:color="auto"/>
      </w:divBdr>
    </w:div>
    <w:div w:id="1310866506">
      <w:bodyDiv w:val="1"/>
      <w:marLeft w:val="0"/>
      <w:marRight w:val="0"/>
      <w:marTop w:val="0"/>
      <w:marBottom w:val="0"/>
      <w:divBdr>
        <w:top w:val="none" w:sz="0" w:space="0" w:color="auto"/>
        <w:left w:val="none" w:sz="0" w:space="0" w:color="auto"/>
        <w:bottom w:val="none" w:sz="0" w:space="0" w:color="auto"/>
        <w:right w:val="none" w:sz="0" w:space="0" w:color="auto"/>
      </w:divBdr>
    </w:div>
    <w:div w:id="1372413998">
      <w:bodyDiv w:val="1"/>
      <w:marLeft w:val="0"/>
      <w:marRight w:val="0"/>
      <w:marTop w:val="0"/>
      <w:marBottom w:val="0"/>
      <w:divBdr>
        <w:top w:val="none" w:sz="0" w:space="0" w:color="auto"/>
        <w:left w:val="none" w:sz="0" w:space="0" w:color="auto"/>
        <w:bottom w:val="none" w:sz="0" w:space="0" w:color="auto"/>
        <w:right w:val="none" w:sz="0" w:space="0" w:color="auto"/>
      </w:divBdr>
    </w:div>
    <w:div w:id="1543327614">
      <w:bodyDiv w:val="1"/>
      <w:marLeft w:val="0"/>
      <w:marRight w:val="0"/>
      <w:marTop w:val="0"/>
      <w:marBottom w:val="0"/>
      <w:divBdr>
        <w:top w:val="none" w:sz="0" w:space="0" w:color="auto"/>
        <w:left w:val="none" w:sz="0" w:space="0" w:color="auto"/>
        <w:bottom w:val="none" w:sz="0" w:space="0" w:color="auto"/>
        <w:right w:val="none" w:sz="0" w:space="0" w:color="auto"/>
      </w:divBdr>
    </w:div>
    <w:div w:id="1614824590">
      <w:bodyDiv w:val="1"/>
      <w:marLeft w:val="0"/>
      <w:marRight w:val="0"/>
      <w:marTop w:val="0"/>
      <w:marBottom w:val="0"/>
      <w:divBdr>
        <w:top w:val="none" w:sz="0" w:space="0" w:color="auto"/>
        <w:left w:val="none" w:sz="0" w:space="0" w:color="auto"/>
        <w:bottom w:val="none" w:sz="0" w:space="0" w:color="auto"/>
        <w:right w:val="none" w:sz="0" w:space="0" w:color="auto"/>
      </w:divBdr>
    </w:div>
    <w:div w:id="1748844246">
      <w:bodyDiv w:val="1"/>
      <w:marLeft w:val="0"/>
      <w:marRight w:val="0"/>
      <w:marTop w:val="0"/>
      <w:marBottom w:val="0"/>
      <w:divBdr>
        <w:top w:val="none" w:sz="0" w:space="0" w:color="auto"/>
        <w:left w:val="none" w:sz="0" w:space="0" w:color="auto"/>
        <w:bottom w:val="none" w:sz="0" w:space="0" w:color="auto"/>
        <w:right w:val="none" w:sz="0" w:space="0" w:color="auto"/>
      </w:divBdr>
    </w:div>
    <w:div w:id="1943301806">
      <w:bodyDiv w:val="1"/>
      <w:marLeft w:val="0"/>
      <w:marRight w:val="0"/>
      <w:marTop w:val="0"/>
      <w:marBottom w:val="0"/>
      <w:divBdr>
        <w:top w:val="none" w:sz="0" w:space="0" w:color="auto"/>
        <w:left w:val="none" w:sz="0" w:space="0" w:color="auto"/>
        <w:bottom w:val="none" w:sz="0" w:space="0" w:color="auto"/>
        <w:right w:val="none" w:sz="0" w:space="0" w:color="auto"/>
      </w:divBdr>
    </w:div>
    <w:div w:id="2093089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8AA1D-6F03-4BA9-8877-13BE26CD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6690</Words>
  <Characters>38133</Characters>
  <Application>Microsoft Office Word</Application>
  <DocSecurity>8</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2024-08-25T22:59:00Z</dcterms:created>
  <dcterms:modified xsi:type="dcterms:W3CDTF">2024-08-25T22:59:00Z</dcterms:modified>
  <cp:category/>
</cp:coreProperties>
</file>