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3385" w14:textId="3D75F3D2" w:rsidR="00F06E14" w:rsidRPr="00E162C4" w:rsidRDefault="009A71F3" w:rsidP="00A51D1A">
      <w:pPr>
        <w:pStyle w:val="Reporttitle"/>
      </w:pPr>
      <w:r>
        <w:t xml:space="preserve">Changes to </w:t>
      </w:r>
      <w:r w:rsidR="00D568AF">
        <w:t xml:space="preserve">the </w:t>
      </w:r>
      <w:r w:rsidR="00D568AF" w:rsidRPr="00D568AF">
        <w:t xml:space="preserve">Radiocommunications (Cordless Communications Devices) </w:t>
      </w:r>
      <w:r w:rsidR="00D4401F">
        <w:br/>
      </w:r>
      <w:r w:rsidR="00D568AF" w:rsidRPr="00D568AF">
        <w:t>Class Licence 20</w:t>
      </w:r>
      <w:r>
        <w:t>24</w:t>
      </w:r>
      <w:r w:rsidR="00D568AF" w:rsidRPr="00D568AF">
        <w:t xml:space="preserve"> </w:t>
      </w:r>
    </w:p>
    <w:p w14:paraId="7FCF44D0" w14:textId="7117A5F0" w:rsidR="00F06E14" w:rsidRPr="00E162C4" w:rsidRDefault="009A71F3" w:rsidP="00F06E14">
      <w:pPr>
        <w:pStyle w:val="Reportsubtitle"/>
      </w:pPr>
      <w:r>
        <w:t>C</w:t>
      </w:r>
      <w:r w:rsidR="00770B3F" w:rsidRPr="00E162C4">
        <w:t xml:space="preserve">onsultation </w:t>
      </w:r>
      <w:r w:rsidR="00D568AF">
        <w:t>paper</w:t>
      </w:r>
    </w:p>
    <w:p w14:paraId="4D8FD50D" w14:textId="1B10E02A" w:rsidR="00C97736" w:rsidRPr="00E162C4" w:rsidRDefault="00D4401F" w:rsidP="00EC2B68">
      <w:pPr>
        <w:pStyle w:val="Reportdate"/>
        <w:spacing w:after="720"/>
        <w:rPr>
          <w:rFonts w:cs="Arial"/>
        </w:rPr>
        <w:sectPr w:rsidR="00C97736" w:rsidRPr="00E162C4"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july </w:t>
      </w:r>
      <w:r w:rsidR="00BD4421" w:rsidRPr="00E162C4">
        <w:t>20</w:t>
      </w:r>
      <w:r w:rsidR="008E0428" w:rsidRPr="00E162C4">
        <w:t>2</w:t>
      </w:r>
      <w:r w:rsidR="00D04C32">
        <w:t>4</w:t>
      </w:r>
    </w:p>
    <w:p w14:paraId="21ED265F" w14:textId="77777777" w:rsidR="0005011A" w:rsidRPr="00E162C4" w:rsidRDefault="0005011A" w:rsidP="00FC07B9">
      <w:pPr>
        <w:pStyle w:val="ACMACorporateAddressHeader"/>
      </w:pPr>
      <w:r w:rsidRPr="00E162C4">
        <w:lastRenderedPageBreak/>
        <w:t>Canberra</w:t>
      </w:r>
    </w:p>
    <w:p w14:paraId="21E5CB67" w14:textId="77777777" w:rsidR="0005011A" w:rsidRPr="00E162C4" w:rsidRDefault="00C7746C" w:rsidP="00FC07B9">
      <w:pPr>
        <w:pStyle w:val="ACMACorporateAddresses"/>
      </w:pPr>
      <w:r>
        <w:t>Level 3</w:t>
      </w:r>
      <w:r>
        <w:br/>
        <w:t>40 Cameron Avenue</w:t>
      </w:r>
      <w:r w:rsidR="0005011A" w:rsidRPr="00E162C4">
        <w:t xml:space="preserve"> </w:t>
      </w:r>
      <w:r w:rsidR="0005011A" w:rsidRPr="00E162C4">
        <w:br/>
        <w:t>Belconnen ACT</w:t>
      </w:r>
    </w:p>
    <w:p w14:paraId="07B8ED70" w14:textId="77777777" w:rsidR="0005011A" w:rsidRPr="00E162C4" w:rsidRDefault="0005011A" w:rsidP="00FC07B9">
      <w:pPr>
        <w:pStyle w:val="ACMACorporateAddresses"/>
      </w:pPr>
      <w:r w:rsidRPr="00E162C4">
        <w:t>PO Box 78</w:t>
      </w:r>
      <w:r w:rsidRPr="00E162C4">
        <w:br/>
        <w:t>Belconnen ACT 2616</w:t>
      </w:r>
    </w:p>
    <w:p w14:paraId="5C798BF2"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3DFAADD6" w14:textId="77777777" w:rsidR="0005011A" w:rsidRPr="00E162C4" w:rsidRDefault="0005011A" w:rsidP="00FC07B9">
      <w:pPr>
        <w:pStyle w:val="ACMACorporateAddressHeader"/>
      </w:pPr>
      <w:r w:rsidRPr="00E162C4">
        <w:t>Melbourne</w:t>
      </w:r>
    </w:p>
    <w:p w14:paraId="54EBCC4C"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75096C7A"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0593819B"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06DFBF66" w14:textId="77777777" w:rsidR="0005011A" w:rsidRPr="00E162C4" w:rsidRDefault="0005011A" w:rsidP="00FC07B9">
      <w:pPr>
        <w:pStyle w:val="ACMACorporateAddressHeader"/>
      </w:pPr>
      <w:r w:rsidRPr="00E162C4">
        <w:t>Sydney</w:t>
      </w:r>
    </w:p>
    <w:p w14:paraId="50BE6659"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33694A4F"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69549AB4"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6DBFDBB5" w14:textId="77777777" w:rsidR="00140318" w:rsidRPr="00E162C4" w:rsidRDefault="00140318" w:rsidP="00D04C32">
      <w:pPr>
        <w:pStyle w:val="ACMACopyrightHeader"/>
        <w:spacing w:before="4560"/>
      </w:pPr>
      <w:r w:rsidRPr="00E162C4">
        <w:t>Copyright notice</w:t>
      </w:r>
    </w:p>
    <w:p w14:paraId="745C934E" w14:textId="77777777" w:rsidR="00140318" w:rsidRPr="00E162C4" w:rsidRDefault="00623FF9" w:rsidP="00623FF9">
      <w:pPr>
        <w:pStyle w:val="ACMACClogo"/>
      </w:pPr>
      <w:r w:rsidRPr="00E162C4">
        <w:rPr>
          <w:noProof/>
        </w:rPr>
        <w:drawing>
          <wp:inline distT="0" distB="0" distL="0" distR="0" wp14:anchorId="40190349" wp14:editId="1A9FDA65">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E8C0E8D" w14:textId="77777777" w:rsidR="00AA2DE5" w:rsidRPr="00E162C4" w:rsidRDefault="00C056B0" w:rsidP="00AA2DE5">
      <w:pPr>
        <w:pStyle w:val="ACMACorporateAddresses"/>
        <w:rPr>
          <w:rStyle w:val="Hyperlink"/>
        </w:rPr>
      </w:pPr>
      <w:hyperlink r:id="rId13" w:history="1">
        <w:r w:rsidR="00AA2DE5" w:rsidRPr="00E162C4">
          <w:rPr>
            <w:rStyle w:val="Hyperlink"/>
          </w:rPr>
          <w:t>https://creativecommons.org/licenses/by/4.0/</w:t>
        </w:r>
      </w:hyperlink>
    </w:p>
    <w:p w14:paraId="7E16EA65" w14:textId="77777777" w:rsidR="00AA2DE5" w:rsidRPr="00E162C4" w:rsidRDefault="00D04C32" w:rsidP="00AA2DE5">
      <w:pPr>
        <w:pStyle w:val="ACMACorporateAddresses"/>
      </w:pPr>
      <w:r>
        <w:t xml:space="preserve">Except for </w:t>
      </w:r>
      <w:r w:rsidR="007C509D">
        <w:t>the Commonwealth</w:t>
      </w:r>
      <w:r w:rsidR="00AA2DE5" w:rsidRPr="00E162C4">
        <w:t xml:space="preserve"> </w:t>
      </w:r>
      <w:r w:rsidR="007C509D">
        <w:t>C</w:t>
      </w:r>
      <w:r w:rsidR="00AA2DE5" w:rsidRPr="00E162C4">
        <w:t xml:space="preserve">oat of </w:t>
      </w:r>
      <w:r w:rsidR="007C509D">
        <w:t>A</w:t>
      </w:r>
      <w:r w:rsidR="00AA2DE5" w:rsidRPr="00E162C4">
        <w:t xml:space="preserve">rms, logos, emblems, images, other third-party </w:t>
      </w:r>
      <w:proofErr w:type="gramStart"/>
      <w:r w:rsidR="00AA2DE5" w:rsidRPr="00E162C4">
        <w:t>material</w:t>
      </w:r>
      <w:proofErr w:type="gramEnd"/>
      <w:r w:rsidR="00AA2DE5" w:rsidRPr="00E162C4">
        <w:t xml:space="preserve"> or devices protected by a trademark, this content is made available under the terms of the Creative Commons Attribution 4.0 International (CC BY 4.0) licence. </w:t>
      </w:r>
    </w:p>
    <w:p w14:paraId="502B2737" w14:textId="77777777" w:rsidR="00AA2DE5" w:rsidRPr="00E162C4" w:rsidRDefault="00AA2DE5" w:rsidP="00AA2DE5">
      <w:pPr>
        <w:pStyle w:val="ACMACorporateAddresses"/>
      </w:pPr>
      <w:r w:rsidRPr="00E162C4">
        <w:t>All other rights are reserved.</w:t>
      </w:r>
    </w:p>
    <w:p w14:paraId="228C5302" w14:textId="77777777" w:rsidR="00D04C32" w:rsidRDefault="00AA2DE5" w:rsidP="00D16FE3">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7C592806" w14:textId="77777777" w:rsidR="00D16FE3" w:rsidRPr="00D04C32" w:rsidRDefault="00D04C32" w:rsidP="00D16FE3">
      <w:pPr>
        <w:pStyle w:val="ACMACorporateAddresses"/>
        <w:rPr>
          <w:rStyle w:val="Hyperlink"/>
          <w:color w:val="auto"/>
          <w:u w:val="none"/>
        </w:rPr>
      </w:pPr>
      <w:r w:rsidRPr="00E162C4">
        <w:t>We request attribution as © Commonwealth of Australia (Australian Communications and Media Authority) 202</w:t>
      </w:r>
      <w:r>
        <w:t>4</w:t>
      </w:r>
      <w:r w:rsidRPr="00E162C4">
        <w:t>.</w:t>
      </w:r>
      <w:r w:rsidR="00AA2DE5" w:rsidRPr="00E162C4">
        <w:t xml:space="preserve"> </w:t>
      </w:r>
    </w:p>
    <w:p w14:paraId="03616625" w14:textId="77777777" w:rsidR="00D16FE3" w:rsidRPr="00E162C4" w:rsidRDefault="00D16FE3" w:rsidP="00D16FE3">
      <w:pPr>
        <w:pStyle w:val="ACMACorporateAddresses"/>
        <w:sectPr w:rsidR="00D16FE3" w:rsidRPr="00E162C4">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54520E47" w14:textId="38134F88" w:rsidR="00276881" w:rsidRDefault="006A3ECF">
      <w:pPr>
        <w:pStyle w:val="TOC1"/>
        <w:rPr>
          <w:rFonts w:asciiTheme="minorHAnsi" w:eastAsiaTheme="minorEastAsia" w:hAnsiTheme="minorHAnsi" w:cstheme="minorBidi"/>
          <w:b w:val="0"/>
          <w:spacing w:val="0"/>
          <w:kern w:val="2"/>
          <w:sz w:val="22"/>
          <w:szCs w:val="22"/>
          <w14:ligatures w14:val="standardContextual"/>
        </w:rPr>
      </w:pPr>
      <w:r w:rsidRPr="00E162C4">
        <w:rPr>
          <w:rFonts w:cs="Arial"/>
        </w:rPr>
        <w:lastRenderedPageBreak/>
        <w:fldChar w:fldCharType="begin"/>
      </w:r>
      <w:r w:rsidRPr="00E162C4">
        <w:rPr>
          <w:rFonts w:cs="Arial"/>
        </w:rPr>
        <w:instrText xml:space="preserve"> TOC \o "1-2" \h \z \t "Exec summary heading,1" </w:instrText>
      </w:r>
      <w:r w:rsidRPr="00E162C4">
        <w:rPr>
          <w:rFonts w:cs="Arial"/>
        </w:rPr>
        <w:fldChar w:fldCharType="separate"/>
      </w:r>
      <w:hyperlink w:anchor="_Toc168474269" w:history="1">
        <w:r w:rsidR="00276881" w:rsidRPr="00791F8C">
          <w:rPr>
            <w:rStyle w:val="Hyperlink"/>
          </w:rPr>
          <w:t>Executive summary</w:t>
        </w:r>
        <w:r w:rsidR="00276881">
          <w:rPr>
            <w:webHidden/>
          </w:rPr>
          <w:tab/>
        </w:r>
        <w:r w:rsidR="00276881">
          <w:rPr>
            <w:webHidden/>
          </w:rPr>
          <w:fldChar w:fldCharType="begin"/>
        </w:r>
        <w:r w:rsidR="00276881">
          <w:rPr>
            <w:webHidden/>
          </w:rPr>
          <w:instrText xml:space="preserve"> PAGEREF _Toc168474269 \h </w:instrText>
        </w:r>
        <w:r w:rsidR="00276881">
          <w:rPr>
            <w:webHidden/>
          </w:rPr>
        </w:r>
        <w:r w:rsidR="00276881">
          <w:rPr>
            <w:webHidden/>
          </w:rPr>
          <w:fldChar w:fldCharType="separate"/>
        </w:r>
        <w:r w:rsidR="00276881">
          <w:rPr>
            <w:webHidden/>
          </w:rPr>
          <w:t>1</w:t>
        </w:r>
        <w:r w:rsidR="00276881">
          <w:rPr>
            <w:webHidden/>
          </w:rPr>
          <w:fldChar w:fldCharType="end"/>
        </w:r>
      </w:hyperlink>
    </w:p>
    <w:p w14:paraId="6AFA9654" w14:textId="4230D603" w:rsidR="00276881" w:rsidRDefault="00C056B0">
      <w:pPr>
        <w:pStyle w:val="TOC1"/>
        <w:rPr>
          <w:rFonts w:asciiTheme="minorHAnsi" w:eastAsiaTheme="minorEastAsia" w:hAnsiTheme="minorHAnsi" w:cstheme="minorBidi"/>
          <w:b w:val="0"/>
          <w:spacing w:val="0"/>
          <w:kern w:val="2"/>
          <w:sz w:val="22"/>
          <w:szCs w:val="22"/>
          <w14:ligatures w14:val="standardContextual"/>
        </w:rPr>
      </w:pPr>
      <w:hyperlink w:anchor="_Toc168474270" w:history="1">
        <w:r w:rsidR="00276881" w:rsidRPr="00791F8C">
          <w:rPr>
            <w:rStyle w:val="Hyperlink"/>
          </w:rPr>
          <w:t>Issues for comment</w:t>
        </w:r>
        <w:r w:rsidR="00276881">
          <w:rPr>
            <w:webHidden/>
          </w:rPr>
          <w:tab/>
        </w:r>
        <w:r w:rsidR="00276881">
          <w:rPr>
            <w:webHidden/>
          </w:rPr>
          <w:fldChar w:fldCharType="begin"/>
        </w:r>
        <w:r w:rsidR="00276881">
          <w:rPr>
            <w:webHidden/>
          </w:rPr>
          <w:instrText xml:space="preserve"> PAGEREF _Toc168474270 \h </w:instrText>
        </w:r>
        <w:r w:rsidR="00276881">
          <w:rPr>
            <w:webHidden/>
          </w:rPr>
        </w:r>
        <w:r w:rsidR="00276881">
          <w:rPr>
            <w:webHidden/>
          </w:rPr>
          <w:fldChar w:fldCharType="separate"/>
        </w:r>
        <w:r w:rsidR="00276881">
          <w:rPr>
            <w:webHidden/>
          </w:rPr>
          <w:t>2</w:t>
        </w:r>
        <w:r w:rsidR="00276881">
          <w:rPr>
            <w:webHidden/>
          </w:rPr>
          <w:fldChar w:fldCharType="end"/>
        </w:r>
      </w:hyperlink>
    </w:p>
    <w:p w14:paraId="2A65FADF" w14:textId="4E4A4C0F" w:rsidR="00276881" w:rsidRDefault="00C056B0">
      <w:pPr>
        <w:pStyle w:val="TOC1"/>
        <w:rPr>
          <w:rFonts w:asciiTheme="minorHAnsi" w:eastAsiaTheme="minorEastAsia" w:hAnsiTheme="minorHAnsi" w:cstheme="minorBidi"/>
          <w:b w:val="0"/>
          <w:spacing w:val="0"/>
          <w:kern w:val="2"/>
          <w:sz w:val="22"/>
          <w:szCs w:val="22"/>
          <w14:ligatures w14:val="standardContextual"/>
        </w:rPr>
      </w:pPr>
      <w:hyperlink w:anchor="_Toc168474271" w:history="1">
        <w:r w:rsidR="00276881" w:rsidRPr="00791F8C">
          <w:rPr>
            <w:rStyle w:val="Hyperlink"/>
          </w:rPr>
          <w:t>Introduction</w:t>
        </w:r>
        <w:r w:rsidR="00276881">
          <w:rPr>
            <w:webHidden/>
          </w:rPr>
          <w:tab/>
        </w:r>
        <w:r w:rsidR="00276881">
          <w:rPr>
            <w:webHidden/>
          </w:rPr>
          <w:fldChar w:fldCharType="begin"/>
        </w:r>
        <w:r w:rsidR="00276881">
          <w:rPr>
            <w:webHidden/>
          </w:rPr>
          <w:instrText xml:space="preserve"> PAGEREF _Toc168474271 \h </w:instrText>
        </w:r>
        <w:r w:rsidR="00276881">
          <w:rPr>
            <w:webHidden/>
          </w:rPr>
        </w:r>
        <w:r w:rsidR="00276881">
          <w:rPr>
            <w:webHidden/>
          </w:rPr>
          <w:fldChar w:fldCharType="separate"/>
        </w:r>
        <w:r w:rsidR="00276881">
          <w:rPr>
            <w:webHidden/>
          </w:rPr>
          <w:t>3</w:t>
        </w:r>
        <w:r w:rsidR="00276881">
          <w:rPr>
            <w:webHidden/>
          </w:rPr>
          <w:fldChar w:fldCharType="end"/>
        </w:r>
      </w:hyperlink>
    </w:p>
    <w:p w14:paraId="2555F549" w14:textId="1F7AE681" w:rsidR="00276881" w:rsidRDefault="00C056B0">
      <w:pPr>
        <w:pStyle w:val="TOC2"/>
        <w:rPr>
          <w:rFonts w:asciiTheme="minorHAnsi" w:eastAsiaTheme="minorEastAsia" w:hAnsiTheme="minorHAnsi" w:cstheme="minorBidi"/>
          <w:spacing w:val="0"/>
          <w:kern w:val="2"/>
          <w:sz w:val="22"/>
          <w:szCs w:val="22"/>
          <w14:ligatures w14:val="standardContextual"/>
        </w:rPr>
      </w:pPr>
      <w:hyperlink w:anchor="_Toc168474272" w:history="1">
        <w:r w:rsidR="00276881" w:rsidRPr="00791F8C">
          <w:rPr>
            <w:rStyle w:val="Hyperlink"/>
          </w:rPr>
          <w:t>Outcomes of previous consultation</w:t>
        </w:r>
        <w:r w:rsidR="00276881">
          <w:rPr>
            <w:webHidden/>
          </w:rPr>
          <w:tab/>
        </w:r>
        <w:r w:rsidR="00276881">
          <w:rPr>
            <w:webHidden/>
          </w:rPr>
          <w:fldChar w:fldCharType="begin"/>
        </w:r>
        <w:r w:rsidR="00276881">
          <w:rPr>
            <w:webHidden/>
          </w:rPr>
          <w:instrText xml:space="preserve"> PAGEREF _Toc168474272 \h </w:instrText>
        </w:r>
        <w:r w:rsidR="00276881">
          <w:rPr>
            <w:webHidden/>
          </w:rPr>
        </w:r>
        <w:r w:rsidR="00276881">
          <w:rPr>
            <w:webHidden/>
          </w:rPr>
          <w:fldChar w:fldCharType="separate"/>
        </w:r>
        <w:r w:rsidR="00276881">
          <w:rPr>
            <w:webHidden/>
          </w:rPr>
          <w:t>3</w:t>
        </w:r>
        <w:r w:rsidR="00276881">
          <w:rPr>
            <w:webHidden/>
          </w:rPr>
          <w:fldChar w:fldCharType="end"/>
        </w:r>
      </w:hyperlink>
    </w:p>
    <w:p w14:paraId="6DAFB4CD" w14:textId="5F4907B6" w:rsidR="00276881" w:rsidRDefault="00C056B0">
      <w:pPr>
        <w:pStyle w:val="TOC1"/>
        <w:rPr>
          <w:rFonts w:asciiTheme="minorHAnsi" w:eastAsiaTheme="minorEastAsia" w:hAnsiTheme="minorHAnsi" w:cstheme="minorBidi"/>
          <w:b w:val="0"/>
          <w:spacing w:val="0"/>
          <w:kern w:val="2"/>
          <w:sz w:val="22"/>
          <w:szCs w:val="22"/>
          <w14:ligatures w14:val="standardContextual"/>
        </w:rPr>
      </w:pPr>
      <w:hyperlink w:anchor="_Toc168474273" w:history="1">
        <w:r w:rsidR="00276881" w:rsidRPr="00791F8C">
          <w:rPr>
            <w:rStyle w:val="Hyperlink"/>
          </w:rPr>
          <w:t>Proposed variation</w:t>
        </w:r>
        <w:r w:rsidR="00276881">
          <w:rPr>
            <w:webHidden/>
          </w:rPr>
          <w:tab/>
        </w:r>
        <w:r w:rsidR="00276881">
          <w:rPr>
            <w:webHidden/>
          </w:rPr>
          <w:fldChar w:fldCharType="begin"/>
        </w:r>
        <w:r w:rsidR="00276881">
          <w:rPr>
            <w:webHidden/>
          </w:rPr>
          <w:instrText xml:space="preserve"> PAGEREF _Toc168474273 \h </w:instrText>
        </w:r>
        <w:r w:rsidR="00276881">
          <w:rPr>
            <w:webHidden/>
          </w:rPr>
        </w:r>
        <w:r w:rsidR="00276881">
          <w:rPr>
            <w:webHidden/>
          </w:rPr>
          <w:fldChar w:fldCharType="separate"/>
        </w:r>
        <w:r w:rsidR="00276881">
          <w:rPr>
            <w:webHidden/>
          </w:rPr>
          <w:t>6</w:t>
        </w:r>
        <w:r w:rsidR="00276881">
          <w:rPr>
            <w:webHidden/>
          </w:rPr>
          <w:fldChar w:fldCharType="end"/>
        </w:r>
      </w:hyperlink>
    </w:p>
    <w:p w14:paraId="08B82106" w14:textId="388E5EDC" w:rsidR="00276881" w:rsidRDefault="00C056B0">
      <w:pPr>
        <w:pStyle w:val="TOC1"/>
        <w:rPr>
          <w:rFonts w:asciiTheme="minorHAnsi" w:eastAsiaTheme="minorEastAsia" w:hAnsiTheme="minorHAnsi" w:cstheme="minorBidi"/>
          <w:b w:val="0"/>
          <w:spacing w:val="0"/>
          <w:kern w:val="2"/>
          <w:sz w:val="22"/>
          <w:szCs w:val="22"/>
          <w14:ligatures w14:val="standardContextual"/>
        </w:rPr>
      </w:pPr>
      <w:hyperlink w:anchor="_Toc168474274" w:history="1">
        <w:r w:rsidR="00276881" w:rsidRPr="00791F8C">
          <w:rPr>
            <w:rStyle w:val="Hyperlink"/>
          </w:rPr>
          <w:t>Invitation to comment</w:t>
        </w:r>
        <w:r w:rsidR="00276881">
          <w:rPr>
            <w:webHidden/>
          </w:rPr>
          <w:tab/>
        </w:r>
        <w:r w:rsidR="00276881">
          <w:rPr>
            <w:webHidden/>
          </w:rPr>
          <w:fldChar w:fldCharType="begin"/>
        </w:r>
        <w:r w:rsidR="00276881">
          <w:rPr>
            <w:webHidden/>
          </w:rPr>
          <w:instrText xml:space="preserve"> PAGEREF _Toc168474274 \h </w:instrText>
        </w:r>
        <w:r w:rsidR="00276881">
          <w:rPr>
            <w:webHidden/>
          </w:rPr>
        </w:r>
        <w:r w:rsidR="00276881">
          <w:rPr>
            <w:webHidden/>
          </w:rPr>
          <w:fldChar w:fldCharType="separate"/>
        </w:r>
        <w:r w:rsidR="00276881">
          <w:rPr>
            <w:webHidden/>
          </w:rPr>
          <w:t>7</w:t>
        </w:r>
        <w:r w:rsidR="00276881">
          <w:rPr>
            <w:webHidden/>
          </w:rPr>
          <w:fldChar w:fldCharType="end"/>
        </w:r>
      </w:hyperlink>
    </w:p>
    <w:p w14:paraId="1AD7A319" w14:textId="57F627F8" w:rsidR="00276881" w:rsidRDefault="00C056B0">
      <w:pPr>
        <w:pStyle w:val="TOC2"/>
        <w:rPr>
          <w:rFonts w:asciiTheme="minorHAnsi" w:eastAsiaTheme="minorEastAsia" w:hAnsiTheme="minorHAnsi" w:cstheme="minorBidi"/>
          <w:spacing w:val="0"/>
          <w:kern w:val="2"/>
          <w:sz w:val="22"/>
          <w:szCs w:val="22"/>
          <w14:ligatures w14:val="standardContextual"/>
        </w:rPr>
      </w:pPr>
      <w:hyperlink w:anchor="_Toc168474275" w:history="1">
        <w:r w:rsidR="00276881" w:rsidRPr="00791F8C">
          <w:rPr>
            <w:rStyle w:val="Hyperlink"/>
          </w:rPr>
          <w:t>Making a submission</w:t>
        </w:r>
        <w:r w:rsidR="00276881">
          <w:rPr>
            <w:webHidden/>
          </w:rPr>
          <w:tab/>
        </w:r>
        <w:r w:rsidR="00276881">
          <w:rPr>
            <w:webHidden/>
          </w:rPr>
          <w:fldChar w:fldCharType="begin"/>
        </w:r>
        <w:r w:rsidR="00276881">
          <w:rPr>
            <w:webHidden/>
          </w:rPr>
          <w:instrText xml:space="preserve"> PAGEREF _Toc168474275 \h </w:instrText>
        </w:r>
        <w:r w:rsidR="00276881">
          <w:rPr>
            <w:webHidden/>
          </w:rPr>
        </w:r>
        <w:r w:rsidR="00276881">
          <w:rPr>
            <w:webHidden/>
          </w:rPr>
          <w:fldChar w:fldCharType="separate"/>
        </w:r>
        <w:r w:rsidR="00276881">
          <w:rPr>
            <w:webHidden/>
          </w:rPr>
          <w:t>7</w:t>
        </w:r>
        <w:r w:rsidR="00276881">
          <w:rPr>
            <w:webHidden/>
          </w:rPr>
          <w:fldChar w:fldCharType="end"/>
        </w:r>
      </w:hyperlink>
    </w:p>
    <w:p w14:paraId="685C0CAA" w14:textId="5D98A73C" w:rsidR="004D56FF" w:rsidRPr="00E162C4" w:rsidRDefault="006A3ECF">
      <w:pPr>
        <w:rPr>
          <w:rFonts w:cs="Arial"/>
        </w:rPr>
        <w:sectPr w:rsidR="004D56FF" w:rsidRPr="00E162C4" w:rsidSect="00C77380">
          <w:headerReference w:type="even" r:id="rId18"/>
          <w:headerReference w:type="default" r:id="rId19"/>
          <w:footerReference w:type="even" r:id="rId20"/>
          <w:footerReference w:type="default" r:id="rId21"/>
          <w:footerReference w:type="first" r:id="rId22"/>
          <w:pgSz w:w="11906" w:h="16838" w:code="9"/>
          <w:pgMar w:top="3646" w:right="3101" w:bottom="1134" w:left="1134" w:header="709" w:footer="119" w:gutter="0"/>
          <w:cols w:space="708"/>
          <w:titlePg/>
          <w:docGrid w:linePitch="360"/>
        </w:sectPr>
      </w:pPr>
      <w:r w:rsidRPr="00E162C4">
        <w:rPr>
          <w:rFonts w:cs="Arial"/>
          <w:noProof/>
          <w:spacing w:val="-14"/>
          <w:sz w:val="28"/>
        </w:rPr>
        <w:fldChar w:fldCharType="end"/>
      </w:r>
    </w:p>
    <w:p w14:paraId="2E5ECB3F" w14:textId="77777777" w:rsidR="009D6C71" w:rsidRPr="00E162C4" w:rsidRDefault="009D6C71" w:rsidP="009174F3">
      <w:pPr>
        <w:pStyle w:val="Execsummaryheading"/>
      </w:pPr>
      <w:bookmarkStart w:id="0" w:name="_Toc168474269"/>
      <w:r w:rsidRPr="00E162C4">
        <w:lastRenderedPageBreak/>
        <w:t>Executive summary</w:t>
      </w:r>
      <w:bookmarkEnd w:id="0"/>
    </w:p>
    <w:p w14:paraId="16034BF4" w14:textId="2DD4F360" w:rsidR="009B1C57" w:rsidRDefault="00D4401F" w:rsidP="00D568AF">
      <w:pPr>
        <w:pStyle w:val="Paragraph"/>
        <w:rPr>
          <w:szCs w:val="22"/>
        </w:rPr>
      </w:pPr>
      <w:bookmarkStart w:id="1" w:name="_Toc433122125"/>
      <w:r>
        <w:rPr>
          <w:szCs w:val="22"/>
        </w:rPr>
        <w:t xml:space="preserve">We </w:t>
      </w:r>
      <w:r w:rsidR="009B1C57">
        <w:rPr>
          <w:szCs w:val="22"/>
        </w:rPr>
        <w:t>made t</w:t>
      </w:r>
      <w:r w:rsidR="009B1C57" w:rsidRPr="00D568AF">
        <w:rPr>
          <w:szCs w:val="22"/>
        </w:rPr>
        <w:t xml:space="preserve">he </w:t>
      </w:r>
      <w:r w:rsidR="009B1C57" w:rsidRPr="00E143FD">
        <w:rPr>
          <w:szCs w:val="22"/>
        </w:rPr>
        <w:t>Radiocommunications (Cordless Communications Devices) Class Licence 2024</w:t>
      </w:r>
      <w:r w:rsidR="009B1C57">
        <w:rPr>
          <w:szCs w:val="22"/>
        </w:rPr>
        <w:t xml:space="preserve"> (</w:t>
      </w:r>
      <w:r w:rsidR="002F287E">
        <w:rPr>
          <w:szCs w:val="22"/>
        </w:rPr>
        <w:t>t</w:t>
      </w:r>
      <w:r w:rsidR="009B1C57">
        <w:rPr>
          <w:szCs w:val="22"/>
        </w:rPr>
        <w:t xml:space="preserve">he CCD class licence) and the </w:t>
      </w:r>
      <w:r w:rsidR="009B1C57" w:rsidRPr="00E143FD">
        <w:rPr>
          <w:szCs w:val="22"/>
        </w:rPr>
        <w:t>Radiocommunications Equipment (General) Amendment Rules 2024 (No. 1)</w:t>
      </w:r>
      <w:r w:rsidR="009B1C57">
        <w:rPr>
          <w:szCs w:val="22"/>
        </w:rPr>
        <w:t xml:space="preserve"> </w:t>
      </w:r>
      <w:r w:rsidR="002F287E">
        <w:rPr>
          <w:szCs w:val="22"/>
        </w:rPr>
        <w:t xml:space="preserve">(the Equipment Rules amendment) </w:t>
      </w:r>
      <w:r w:rsidR="009B1C57">
        <w:rPr>
          <w:szCs w:val="22"/>
        </w:rPr>
        <w:t xml:space="preserve">in </w:t>
      </w:r>
      <w:r>
        <w:rPr>
          <w:szCs w:val="22"/>
        </w:rPr>
        <w:br/>
      </w:r>
      <w:r w:rsidR="009B1C57">
        <w:rPr>
          <w:szCs w:val="22"/>
        </w:rPr>
        <w:t xml:space="preserve">June 2024.  </w:t>
      </w:r>
    </w:p>
    <w:p w14:paraId="46E64287" w14:textId="56D530C3" w:rsidR="00D4401F" w:rsidRDefault="009B1C57" w:rsidP="009B1C57">
      <w:pPr>
        <w:pStyle w:val="Paragraph"/>
        <w:rPr>
          <w:szCs w:val="22"/>
        </w:rPr>
      </w:pPr>
      <w:r>
        <w:rPr>
          <w:szCs w:val="22"/>
        </w:rPr>
        <w:t xml:space="preserve">In response to the consultation process on the drafts of these instruments, </w:t>
      </w:r>
      <w:r w:rsidR="00D4401F">
        <w:rPr>
          <w:szCs w:val="22"/>
        </w:rPr>
        <w:t>stakeholders</w:t>
      </w:r>
      <w:r>
        <w:rPr>
          <w:szCs w:val="22"/>
        </w:rPr>
        <w:t xml:space="preserve"> suggested that the condition</w:t>
      </w:r>
      <w:r w:rsidR="002F287E">
        <w:rPr>
          <w:szCs w:val="22"/>
        </w:rPr>
        <w:t xml:space="preserve"> in the CCD class licence</w:t>
      </w:r>
      <w:r>
        <w:rPr>
          <w:szCs w:val="22"/>
        </w:rPr>
        <w:t xml:space="preserve"> limiting the use of cordless communications devices to private use only should be removed. </w:t>
      </w:r>
    </w:p>
    <w:p w14:paraId="1FADE540" w14:textId="7499B71F" w:rsidR="009B1C57" w:rsidRDefault="00D4401F" w:rsidP="009B1C57">
      <w:pPr>
        <w:pStyle w:val="Paragraph"/>
        <w:rPr>
          <w:szCs w:val="22"/>
        </w:rPr>
      </w:pPr>
      <w:r>
        <w:rPr>
          <w:szCs w:val="22"/>
        </w:rPr>
        <w:t xml:space="preserve">We are </w:t>
      </w:r>
      <w:r w:rsidR="009B1C57">
        <w:rPr>
          <w:szCs w:val="22"/>
        </w:rPr>
        <w:t xml:space="preserve">proposing to vary the CCD class licence. </w:t>
      </w:r>
      <w:r>
        <w:rPr>
          <w:szCs w:val="22"/>
        </w:rPr>
        <w:t>We have included a</w:t>
      </w:r>
      <w:r w:rsidR="009B1C57">
        <w:rPr>
          <w:szCs w:val="22"/>
        </w:rPr>
        <w:t xml:space="preserve"> draft variation instrument – t</w:t>
      </w:r>
      <w:r w:rsidR="009B1C57" w:rsidRPr="00D568AF">
        <w:rPr>
          <w:szCs w:val="22"/>
        </w:rPr>
        <w:t xml:space="preserve">he </w:t>
      </w:r>
      <w:r w:rsidR="00530454" w:rsidRPr="00E143FD">
        <w:rPr>
          <w:szCs w:val="22"/>
        </w:rPr>
        <w:t>Radiocommunications</w:t>
      </w:r>
      <w:r w:rsidR="00530454" w:rsidRPr="00D4401F">
        <w:rPr>
          <w:szCs w:val="22"/>
        </w:rPr>
        <w:t xml:space="preserve"> </w:t>
      </w:r>
      <w:r w:rsidR="009B1C57" w:rsidRPr="00E143FD">
        <w:rPr>
          <w:szCs w:val="22"/>
        </w:rPr>
        <w:t xml:space="preserve">(Cordless Communications Devices) Class Licence </w:t>
      </w:r>
      <w:r w:rsidR="002F287E" w:rsidRPr="00E143FD">
        <w:rPr>
          <w:szCs w:val="22"/>
        </w:rPr>
        <w:t>Variation</w:t>
      </w:r>
      <w:r w:rsidR="009B1C57" w:rsidRPr="00D4401F">
        <w:rPr>
          <w:szCs w:val="22"/>
        </w:rPr>
        <w:t xml:space="preserve"> </w:t>
      </w:r>
      <w:r w:rsidR="009B1C57" w:rsidRPr="00E143FD">
        <w:rPr>
          <w:szCs w:val="22"/>
        </w:rPr>
        <w:t>2024 (No. 1)</w:t>
      </w:r>
      <w:r w:rsidR="009B1C57">
        <w:rPr>
          <w:szCs w:val="22"/>
        </w:rPr>
        <w:t xml:space="preserve"> –</w:t>
      </w:r>
      <w:r>
        <w:rPr>
          <w:szCs w:val="22"/>
        </w:rPr>
        <w:t xml:space="preserve"> </w:t>
      </w:r>
      <w:r w:rsidR="009B1C57">
        <w:rPr>
          <w:szCs w:val="22"/>
        </w:rPr>
        <w:t>as an attachment to this paper for consideration.</w:t>
      </w:r>
    </w:p>
    <w:p w14:paraId="2CD8870C" w14:textId="1BD12418" w:rsidR="00715722" w:rsidRPr="00E162C4" w:rsidRDefault="00715722" w:rsidP="00715722">
      <w:pPr>
        <w:pStyle w:val="Heading1"/>
      </w:pPr>
      <w:bookmarkStart w:id="2" w:name="_Toc168474270"/>
      <w:r w:rsidRPr="00E162C4">
        <w:lastRenderedPageBreak/>
        <w:t>Issues for comment</w:t>
      </w:r>
      <w:bookmarkEnd w:id="1"/>
      <w:bookmarkEnd w:id="2"/>
    </w:p>
    <w:p w14:paraId="1FB3C748" w14:textId="1A7EB68E" w:rsidR="005E250B" w:rsidRPr="00E162C4" w:rsidRDefault="0014512A" w:rsidP="00D61243">
      <w:pPr>
        <w:pStyle w:val="Paragraph"/>
      </w:pPr>
      <w:r w:rsidRPr="00E162C4">
        <w:t xml:space="preserve">This consultation does not </w:t>
      </w:r>
      <w:r>
        <w:t>pose</w:t>
      </w:r>
      <w:r w:rsidRPr="00E162C4">
        <w:t xml:space="preserve"> specific questions. </w:t>
      </w:r>
      <w:r w:rsidR="00D44CA6">
        <w:t>W</w:t>
      </w:r>
      <w:r w:rsidR="00584B51">
        <w:t xml:space="preserve">e </w:t>
      </w:r>
      <w:r w:rsidR="00715722" w:rsidRPr="00E162C4">
        <w:t xml:space="preserve">welcome </w:t>
      </w:r>
      <w:r w:rsidR="00D4401F">
        <w:t xml:space="preserve">your </w:t>
      </w:r>
      <w:r w:rsidR="00584B51">
        <w:t>feedback</w:t>
      </w:r>
      <w:r w:rsidR="00584B51" w:rsidRPr="00E162C4">
        <w:t xml:space="preserve"> </w:t>
      </w:r>
      <w:r w:rsidR="00715722" w:rsidRPr="00E162C4">
        <w:t xml:space="preserve">on the issues raised in this </w:t>
      </w:r>
      <w:r w:rsidR="003545E8" w:rsidRPr="00E162C4">
        <w:t>consultation</w:t>
      </w:r>
      <w:r w:rsidR="00D4401F">
        <w:t>,</w:t>
      </w:r>
      <w:r w:rsidR="00715722" w:rsidRPr="00E162C4">
        <w:t xml:space="preserve"> or any other issues relevant to </w:t>
      </w:r>
      <w:r>
        <w:t xml:space="preserve">spectrum </w:t>
      </w:r>
      <w:r w:rsidR="00D44CA6">
        <w:t>arrangements for cordless communications devices</w:t>
      </w:r>
      <w:r w:rsidR="00715722" w:rsidRPr="00E162C4">
        <w:t>.</w:t>
      </w:r>
    </w:p>
    <w:p w14:paraId="4EF0CC3A" w14:textId="0394C93A" w:rsidR="005E250B" w:rsidRPr="00E162C4" w:rsidRDefault="005845DE" w:rsidP="002C0530">
      <w:pPr>
        <w:pStyle w:val="Heading1"/>
      </w:pPr>
      <w:bookmarkStart w:id="3" w:name="_Toc168474271"/>
      <w:r>
        <w:lastRenderedPageBreak/>
        <w:t>Introduction</w:t>
      </w:r>
      <w:bookmarkEnd w:id="3"/>
    </w:p>
    <w:p w14:paraId="3DF238F2" w14:textId="63666E03" w:rsidR="005845DE" w:rsidRDefault="00D4401F" w:rsidP="00E143FD">
      <w:pPr>
        <w:pStyle w:val="Paragraphbeforelist"/>
      </w:pPr>
      <w:bookmarkStart w:id="4" w:name="_Hlk26868779"/>
      <w:r>
        <w:t>We</w:t>
      </w:r>
      <w:r w:rsidR="009B1C57">
        <w:t xml:space="preserve"> released the </w:t>
      </w:r>
      <w:r w:rsidR="009A71F3">
        <w:t xml:space="preserve">initial </w:t>
      </w:r>
      <w:r w:rsidR="009B1C57">
        <w:t xml:space="preserve">consultation paper </w:t>
      </w:r>
      <w:hyperlink r:id="rId23" w:history="1">
        <w:r w:rsidR="009B1C57" w:rsidRPr="009B1C57">
          <w:rPr>
            <w:rStyle w:val="Hyperlink"/>
          </w:rPr>
          <w:t>Remaking the Radiocommunications (Cordless Communications Devices) Class Licence 2014</w:t>
        </w:r>
      </w:hyperlink>
      <w:r w:rsidR="009B1C57" w:rsidRPr="009B1C57">
        <w:t xml:space="preserve"> </w:t>
      </w:r>
      <w:r w:rsidR="009B1C57">
        <w:t xml:space="preserve">in April 2024. In the </w:t>
      </w:r>
      <w:r w:rsidR="00F15AEB">
        <w:t>first consultation paper</w:t>
      </w:r>
      <w:r w:rsidR="009B1C57">
        <w:t>, we outlined our proposals to amend arrangements for cordless communications devices</w:t>
      </w:r>
      <w:r w:rsidR="00530454">
        <w:t xml:space="preserve"> (CCD)</w:t>
      </w:r>
      <w:r w:rsidR="009B1C57">
        <w:t xml:space="preserve">. This included </w:t>
      </w:r>
      <w:r w:rsidR="005845DE">
        <w:t xml:space="preserve">reviewing the CCD </w:t>
      </w:r>
      <w:r w:rsidR="00696AD0">
        <w:t>c</w:t>
      </w:r>
      <w:r w:rsidR="005845DE">
        <w:t xml:space="preserve">lass </w:t>
      </w:r>
      <w:r w:rsidR="00696AD0">
        <w:t>l</w:t>
      </w:r>
      <w:r w:rsidR="005845DE">
        <w:t>icence to address the following matters</w:t>
      </w:r>
      <w:r w:rsidR="00D44CA6">
        <w:t>:</w:t>
      </w:r>
    </w:p>
    <w:p w14:paraId="4C5F68E0" w14:textId="2F855B6A" w:rsidR="00D44CA6" w:rsidRDefault="00D44CA6" w:rsidP="00B15145">
      <w:pPr>
        <w:pStyle w:val="ListNumber"/>
        <w:numPr>
          <w:ilvl w:val="0"/>
          <w:numId w:val="23"/>
        </w:numPr>
      </w:pPr>
      <w:r>
        <w:t xml:space="preserve">Removal of the </w:t>
      </w:r>
      <w:r w:rsidR="00696AD0">
        <w:t xml:space="preserve">authorisation to operate CCD in the </w:t>
      </w:r>
      <w:r>
        <w:t>857</w:t>
      </w:r>
      <w:r w:rsidR="009A71F3">
        <w:t>–</w:t>
      </w:r>
      <w:r>
        <w:t xml:space="preserve">861 MHz and </w:t>
      </w:r>
      <w:r w:rsidR="009A71F3">
        <w:br/>
      </w:r>
      <w:r>
        <w:t>861</w:t>
      </w:r>
      <w:r w:rsidR="009A71F3">
        <w:t>–</w:t>
      </w:r>
      <w:r>
        <w:t>865</w:t>
      </w:r>
      <w:r w:rsidR="00696AD0">
        <w:t> </w:t>
      </w:r>
      <w:r>
        <w:t xml:space="preserve">MHz bands </w:t>
      </w:r>
      <w:r w:rsidR="005735F7">
        <w:t xml:space="preserve">to support the commencement of </w:t>
      </w:r>
      <w:r w:rsidR="00530454">
        <w:t xml:space="preserve">spectrum licences </w:t>
      </w:r>
      <w:r w:rsidR="009A71F3">
        <w:br/>
      </w:r>
      <w:r w:rsidR="00530454">
        <w:t>across these frequency bands</w:t>
      </w:r>
      <w:r w:rsidR="005735F7">
        <w:t xml:space="preserve"> on 1 July 2024</w:t>
      </w:r>
      <w:r w:rsidR="00530454">
        <w:t>.</w:t>
      </w:r>
      <w:r>
        <w:t xml:space="preserve">  </w:t>
      </w:r>
    </w:p>
    <w:p w14:paraId="03473CBC" w14:textId="70E6E0F0" w:rsidR="00D44CA6" w:rsidRDefault="00D44CA6" w:rsidP="00D44CA6">
      <w:pPr>
        <w:pStyle w:val="Numberlistlevel1"/>
      </w:pPr>
      <w:r>
        <w:t>Updating arrangements in the 1880</w:t>
      </w:r>
      <w:r w:rsidR="009A71F3">
        <w:t>–</w:t>
      </w:r>
      <w:r>
        <w:t>1900 MHz band</w:t>
      </w:r>
      <w:r w:rsidR="00530454">
        <w:t xml:space="preserve"> to reflect decisions outlined in </w:t>
      </w:r>
      <w:r w:rsidR="00530454" w:rsidRPr="0089235D">
        <w:t xml:space="preserve">the </w:t>
      </w:r>
      <w:hyperlink r:id="rId24" w:anchor="outcomes-for-this-consultation" w:history="1">
        <w:r w:rsidR="00530454" w:rsidRPr="00E143FD">
          <w:rPr>
            <w:rStyle w:val="Hyperlink"/>
            <w:i/>
            <w:iCs/>
          </w:rPr>
          <w:t>Replanning of the 1880–1920 MHz band: Outcomes paper</w:t>
        </w:r>
      </w:hyperlink>
      <w:r w:rsidR="00530454">
        <w:t xml:space="preserve"> to</w:t>
      </w:r>
      <w:r w:rsidR="00530454" w:rsidRPr="0089235D">
        <w:t xml:space="preserve"> support both </w:t>
      </w:r>
      <w:r w:rsidR="00811D65">
        <w:t>d</w:t>
      </w:r>
      <w:r w:rsidR="00530454" w:rsidRPr="000E5E76">
        <w:t xml:space="preserve">igitally </w:t>
      </w:r>
      <w:r w:rsidR="00811D65">
        <w:t>e</w:t>
      </w:r>
      <w:r w:rsidR="00530454" w:rsidRPr="000E5E76">
        <w:t xml:space="preserve">nhanced </w:t>
      </w:r>
      <w:r w:rsidR="00811D65">
        <w:t>c</w:t>
      </w:r>
      <w:r w:rsidR="00530454" w:rsidRPr="000E5E76">
        <w:t xml:space="preserve">ordless </w:t>
      </w:r>
      <w:r w:rsidR="00811D65">
        <w:t>t</w:t>
      </w:r>
      <w:r w:rsidR="00530454" w:rsidRPr="000E5E76">
        <w:t xml:space="preserve">elecommunications (DECT) </w:t>
      </w:r>
      <w:r w:rsidR="00530454" w:rsidRPr="0089235D">
        <w:t>and ‘future DECT’ technologies</w:t>
      </w:r>
      <w:r w:rsidR="00811D65">
        <w:t>,</w:t>
      </w:r>
      <w:r w:rsidR="00530454">
        <w:rPr>
          <w:rStyle w:val="FootnoteReference"/>
        </w:rPr>
        <w:footnoteReference w:id="2"/>
      </w:r>
      <w:r w:rsidR="00530454" w:rsidRPr="0089235D">
        <w:t xml:space="preserve"> and remove support for personal handy phone system (PHS) technology</w:t>
      </w:r>
      <w:r w:rsidR="00530454">
        <w:t>,</w:t>
      </w:r>
      <w:r w:rsidR="00530454" w:rsidRPr="0089235D">
        <w:t xml:space="preserve"> which has become obsolete</w:t>
      </w:r>
      <w:r>
        <w:t>.</w:t>
      </w:r>
    </w:p>
    <w:p w14:paraId="2B39E571" w14:textId="5B394A4C" w:rsidR="00D44CA6" w:rsidRDefault="00276881" w:rsidP="00D44CA6">
      <w:pPr>
        <w:pStyle w:val="Numberlistlast"/>
      </w:pPr>
      <w:r>
        <w:t xml:space="preserve">Making </w:t>
      </w:r>
      <w:r w:rsidR="00D44CA6">
        <w:t xml:space="preserve">the CCD class licence ahead of </w:t>
      </w:r>
      <w:r>
        <w:t xml:space="preserve">the </w:t>
      </w:r>
      <w:r w:rsidR="00D44CA6">
        <w:t xml:space="preserve">sunsetting date of 1 April 2025 to ensure continuity of arrangements for </w:t>
      </w:r>
      <w:r w:rsidR="00696AD0">
        <w:t>CCD</w:t>
      </w:r>
      <w:r w:rsidR="00D44CA6">
        <w:t>.</w:t>
      </w:r>
    </w:p>
    <w:p w14:paraId="7CC7AA4E" w14:textId="72503B4B" w:rsidR="001F7F94" w:rsidRDefault="001F7F94" w:rsidP="00D44CA6">
      <w:pPr>
        <w:pStyle w:val="Paragraph"/>
      </w:pPr>
      <w:r>
        <w:t xml:space="preserve">In parallel, we </w:t>
      </w:r>
      <w:r w:rsidR="00830E58">
        <w:t>proposed</w:t>
      </w:r>
      <w:r>
        <w:t xml:space="preserve"> amendments to the </w:t>
      </w:r>
      <w:hyperlink r:id="rId25" w:history="1">
        <w:r w:rsidRPr="00E143FD">
          <w:rPr>
            <w:rStyle w:val="Hyperlink"/>
          </w:rPr>
          <w:t>Radiocommunications Equipment (General) Rules 2021</w:t>
        </w:r>
      </w:hyperlink>
      <w:r>
        <w:t xml:space="preserve"> (the Equipment Rules) to </w:t>
      </w:r>
      <w:r w:rsidRPr="001F7F94">
        <w:t xml:space="preserve">ensure support for future DECT in </w:t>
      </w:r>
      <w:r>
        <w:t xml:space="preserve">the </w:t>
      </w:r>
      <w:r w:rsidRPr="001F7F94">
        <w:t>1880</w:t>
      </w:r>
      <w:r w:rsidR="00811D65">
        <w:t>–</w:t>
      </w:r>
      <w:r w:rsidRPr="001F7F94">
        <w:t>1900 MHz</w:t>
      </w:r>
      <w:r>
        <w:t xml:space="preserve"> band. </w:t>
      </w:r>
    </w:p>
    <w:p w14:paraId="15946BD4" w14:textId="07F9C301" w:rsidR="00D44CA6" w:rsidRDefault="00830E58" w:rsidP="00D44CA6">
      <w:pPr>
        <w:pStyle w:val="Heading2"/>
      </w:pPr>
      <w:bookmarkStart w:id="5" w:name="_Toc168474272"/>
      <w:r>
        <w:t>Outcomes of previous consultation</w:t>
      </w:r>
      <w:bookmarkEnd w:id="5"/>
    </w:p>
    <w:p w14:paraId="251F7699" w14:textId="0023706F" w:rsidR="00830E58" w:rsidRDefault="00811D65" w:rsidP="00D44CA6">
      <w:pPr>
        <w:pStyle w:val="Paragraph"/>
      </w:pPr>
      <w:r>
        <w:t>We</w:t>
      </w:r>
      <w:r w:rsidR="00830E58" w:rsidRPr="00830E58">
        <w:t xml:space="preserve"> received </w:t>
      </w:r>
      <w:r>
        <w:t>3</w:t>
      </w:r>
      <w:r w:rsidR="00830E58" w:rsidRPr="00830E58">
        <w:t xml:space="preserve"> submissions</w:t>
      </w:r>
      <w:r w:rsidR="00F15AEB">
        <w:t xml:space="preserve"> to the first consultation paper</w:t>
      </w:r>
      <w:r>
        <w:t>.</w:t>
      </w:r>
      <w:r w:rsidR="00521941">
        <w:rPr>
          <w:rStyle w:val="FootnoteReference"/>
        </w:rPr>
        <w:footnoteReference w:id="3"/>
      </w:r>
      <w:r w:rsidR="00830E58" w:rsidRPr="00830E58">
        <w:t xml:space="preserve"> These were from Australian Mobile Telecommunications Association (AMTA), the DECT Forum and Shure. All submitters generally supported </w:t>
      </w:r>
      <w:r>
        <w:t>our</w:t>
      </w:r>
      <w:r w:rsidR="00830E58" w:rsidRPr="00830E58">
        <w:t xml:space="preserve"> proposals in the consultation paper</w:t>
      </w:r>
      <w:r w:rsidR="00830E58">
        <w:t xml:space="preserve">, the new CCD class </w:t>
      </w:r>
      <w:proofErr w:type="gramStart"/>
      <w:r w:rsidR="00830E58">
        <w:t>licence</w:t>
      </w:r>
      <w:proofErr w:type="gramEnd"/>
      <w:r w:rsidR="00830E58">
        <w:t xml:space="preserve"> and</w:t>
      </w:r>
      <w:r w:rsidR="00A075B6">
        <w:t xml:space="preserve"> the</w:t>
      </w:r>
      <w:r w:rsidR="00830E58">
        <w:t xml:space="preserve"> </w:t>
      </w:r>
      <w:r w:rsidR="00830E58" w:rsidRPr="00830E58">
        <w:t xml:space="preserve">Equipment Rules amendment. </w:t>
      </w:r>
    </w:p>
    <w:p w14:paraId="69783D1A" w14:textId="1B70B260" w:rsidR="00830E58" w:rsidRDefault="00830E58" w:rsidP="00D44CA6">
      <w:pPr>
        <w:pStyle w:val="Paragraph"/>
      </w:pPr>
      <w:r>
        <w:t xml:space="preserve">However, concerns were raised by the DECT Forum regarding </w:t>
      </w:r>
      <w:r w:rsidR="00276881">
        <w:t>s</w:t>
      </w:r>
      <w:r>
        <w:t xml:space="preserve">ection 8 of the </w:t>
      </w:r>
      <w:r w:rsidR="00DE67A4">
        <w:t xml:space="preserve">draft </w:t>
      </w:r>
      <w:r>
        <w:t xml:space="preserve">CCD class licence. The condition as </w:t>
      </w:r>
      <w:r w:rsidR="00276881">
        <w:t xml:space="preserve">originally </w:t>
      </w:r>
      <w:r>
        <w:t>proposed is reproduced below:</w:t>
      </w:r>
    </w:p>
    <w:p w14:paraId="46391B90" w14:textId="77777777" w:rsidR="00830E58" w:rsidRPr="00830E58" w:rsidRDefault="00830E58" w:rsidP="00830E58">
      <w:pPr>
        <w:keepNext/>
        <w:keepLines/>
        <w:spacing w:before="280" w:after="0" w:line="240" w:lineRule="auto"/>
        <w:ind w:left="1418" w:hanging="1134"/>
        <w:outlineLvl w:val="4"/>
        <w:rPr>
          <w:rFonts w:ascii="Times New Roman" w:hAnsi="Times New Roman"/>
          <w:b/>
          <w:kern w:val="28"/>
          <w:szCs w:val="20"/>
        </w:rPr>
      </w:pPr>
      <w:proofErr w:type="gramStart"/>
      <w:r w:rsidRPr="00830E58">
        <w:rPr>
          <w:rFonts w:ascii="Times New Roman" w:hAnsi="Times New Roman"/>
          <w:b/>
          <w:kern w:val="28"/>
          <w:szCs w:val="20"/>
        </w:rPr>
        <w:t>8  Operation</w:t>
      </w:r>
      <w:proofErr w:type="gramEnd"/>
      <w:r w:rsidRPr="00830E58">
        <w:rPr>
          <w:rFonts w:ascii="Times New Roman" w:hAnsi="Times New Roman"/>
          <w:b/>
          <w:kern w:val="28"/>
          <w:szCs w:val="20"/>
        </w:rPr>
        <w:t xml:space="preserve"> – private use only</w:t>
      </w:r>
    </w:p>
    <w:p w14:paraId="17E34CAA" w14:textId="4455C5D2" w:rsidR="00830E58" w:rsidRPr="00830E58" w:rsidRDefault="00830E58" w:rsidP="00830E58">
      <w:pPr>
        <w:pStyle w:val="subsection"/>
        <w:ind w:left="1418" w:hanging="425"/>
        <w:rPr>
          <w:sz w:val="20"/>
        </w:rPr>
      </w:pPr>
      <w:r w:rsidRPr="00830E58">
        <w:rPr>
          <w:sz w:val="20"/>
        </w:rPr>
        <w:t>(1)</w:t>
      </w:r>
      <w:r w:rsidRPr="00830E58">
        <w:rPr>
          <w:sz w:val="20"/>
        </w:rPr>
        <w:tab/>
      </w:r>
      <w:r w:rsidRPr="00830E58">
        <w:rPr>
          <w:sz w:val="20"/>
        </w:rPr>
        <w:tab/>
        <w:t>A person must not operate a cordless communications device otherwise than on the customer side of the boundary of a telecommunications network.</w:t>
      </w:r>
    </w:p>
    <w:p w14:paraId="0600D813" w14:textId="2992D5F1" w:rsidR="00830E58" w:rsidRPr="00830E58" w:rsidRDefault="00830E58" w:rsidP="00830E58">
      <w:pPr>
        <w:pStyle w:val="subsection"/>
        <w:ind w:left="1418" w:hanging="425"/>
        <w:rPr>
          <w:sz w:val="20"/>
        </w:rPr>
      </w:pPr>
      <w:r w:rsidRPr="00830E58">
        <w:rPr>
          <w:sz w:val="20"/>
        </w:rPr>
        <w:t>(2)</w:t>
      </w:r>
      <w:r w:rsidRPr="00830E58">
        <w:rPr>
          <w:sz w:val="20"/>
        </w:rPr>
        <w:tab/>
      </w:r>
      <w:r w:rsidRPr="00830E58">
        <w:rPr>
          <w:sz w:val="20"/>
        </w:rPr>
        <w:tab/>
        <w:t>A carriage service provider must not operate a cordless communications device to provide a carriage service to a person outside the provider’s immediate circle.</w:t>
      </w:r>
    </w:p>
    <w:p w14:paraId="696DFADC" w14:textId="77777777" w:rsidR="00830E58" w:rsidRPr="00830E58" w:rsidRDefault="00830E58" w:rsidP="00830E58">
      <w:pPr>
        <w:spacing w:before="122" w:after="0" w:line="240" w:lineRule="auto"/>
        <w:ind w:left="2269" w:hanging="851"/>
        <w:rPr>
          <w:rFonts w:ascii="Times New Roman" w:hAnsi="Times New Roman"/>
          <w:sz w:val="16"/>
          <w:szCs w:val="18"/>
        </w:rPr>
      </w:pPr>
      <w:r w:rsidRPr="00830E58">
        <w:rPr>
          <w:rFonts w:ascii="Times New Roman" w:hAnsi="Times New Roman"/>
          <w:sz w:val="16"/>
          <w:szCs w:val="18"/>
        </w:rPr>
        <w:t>Note:</w:t>
      </w:r>
      <w:r w:rsidRPr="00830E58">
        <w:rPr>
          <w:rFonts w:ascii="Times New Roman" w:hAnsi="Times New Roman"/>
          <w:sz w:val="16"/>
          <w:szCs w:val="18"/>
        </w:rPr>
        <w:tab/>
        <w:t xml:space="preserve">Operation of a cordless communications device otherwise than in accordance with the conditions in this section is not authorised by this </w:t>
      </w:r>
      <w:proofErr w:type="gramStart"/>
      <w:r w:rsidRPr="00830E58">
        <w:rPr>
          <w:rFonts w:ascii="Times New Roman" w:hAnsi="Times New Roman"/>
          <w:sz w:val="16"/>
          <w:szCs w:val="18"/>
        </w:rPr>
        <w:t>instrument, but</w:t>
      </w:r>
      <w:proofErr w:type="gramEnd"/>
      <w:r w:rsidRPr="00830E58">
        <w:rPr>
          <w:rFonts w:ascii="Times New Roman" w:hAnsi="Times New Roman"/>
          <w:sz w:val="16"/>
          <w:szCs w:val="18"/>
        </w:rPr>
        <w:t xml:space="preserve"> may be authorised by another licence issued under the Act.</w:t>
      </w:r>
    </w:p>
    <w:p w14:paraId="3B3DBF56" w14:textId="77777777" w:rsidR="00830E58" w:rsidRPr="00830E58" w:rsidRDefault="00830E58" w:rsidP="00830E58">
      <w:pPr>
        <w:spacing w:before="122" w:after="0" w:line="240" w:lineRule="auto"/>
        <w:ind w:left="2269" w:hanging="851"/>
        <w:rPr>
          <w:rFonts w:ascii="Times New Roman" w:hAnsi="Times New Roman"/>
          <w:sz w:val="16"/>
          <w:szCs w:val="18"/>
        </w:rPr>
      </w:pPr>
      <w:r w:rsidRPr="00830E58">
        <w:rPr>
          <w:rFonts w:ascii="Times New Roman" w:hAnsi="Times New Roman"/>
          <w:sz w:val="16"/>
          <w:szCs w:val="18"/>
        </w:rPr>
        <w:t>Example:</w:t>
      </w:r>
      <w:r w:rsidRPr="00830E58">
        <w:rPr>
          <w:rFonts w:ascii="Times New Roman" w:hAnsi="Times New Roman"/>
          <w:sz w:val="16"/>
          <w:szCs w:val="18"/>
        </w:rPr>
        <w:tab/>
        <w:t>A cordless communications device is used to provide a carriage service to another person if:</w:t>
      </w:r>
    </w:p>
    <w:p w14:paraId="4AE211EB" w14:textId="77777777" w:rsidR="00830E58" w:rsidRPr="00830E58" w:rsidRDefault="00830E58" w:rsidP="00521941">
      <w:pPr>
        <w:tabs>
          <w:tab w:val="left" w:pos="2268"/>
        </w:tabs>
        <w:spacing w:after="0" w:line="240" w:lineRule="auto"/>
        <w:ind w:left="2694" w:hanging="1418"/>
        <w:rPr>
          <w:rFonts w:ascii="Times New Roman" w:hAnsi="Times New Roman"/>
          <w:sz w:val="16"/>
          <w:szCs w:val="18"/>
        </w:rPr>
      </w:pPr>
      <w:r w:rsidRPr="00830E58">
        <w:rPr>
          <w:rFonts w:ascii="Times New Roman" w:hAnsi="Times New Roman"/>
          <w:sz w:val="16"/>
          <w:szCs w:val="18"/>
        </w:rPr>
        <w:tab/>
        <w:t>(a)</w:t>
      </w:r>
      <w:r w:rsidRPr="00830E58">
        <w:rPr>
          <w:rFonts w:ascii="Times New Roman" w:hAnsi="Times New Roman"/>
          <w:sz w:val="16"/>
          <w:szCs w:val="18"/>
        </w:rPr>
        <w:tab/>
        <w:t>the device is used for the provision of commercial cordless telecommunications services to the public; or</w:t>
      </w:r>
    </w:p>
    <w:p w14:paraId="08451622" w14:textId="609E4F96" w:rsidR="00521941" w:rsidRPr="00521941" w:rsidRDefault="00830E58" w:rsidP="00521941">
      <w:pPr>
        <w:tabs>
          <w:tab w:val="left" w:pos="2268"/>
        </w:tabs>
        <w:spacing w:after="0" w:line="240" w:lineRule="auto"/>
        <w:ind w:left="2694" w:hanging="1418"/>
        <w:rPr>
          <w:rFonts w:ascii="Times New Roman" w:hAnsi="Times New Roman"/>
          <w:sz w:val="16"/>
          <w:szCs w:val="18"/>
        </w:rPr>
      </w:pPr>
      <w:r w:rsidRPr="00830E58">
        <w:rPr>
          <w:rFonts w:ascii="Times New Roman" w:hAnsi="Times New Roman"/>
          <w:sz w:val="16"/>
          <w:szCs w:val="18"/>
        </w:rPr>
        <w:tab/>
        <w:t>(b)</w:t>
      </w:r>
      <w:r w:rsidRPr="00830E58">
        <w:rPr>
          <w:rFonts w:ascii="Times New Roman" w:hAnsi="Times New Roman"/>
          <w:sz w:val="16"/>
          <w:szCs w:val="18"/>
        </w:rPr>
        <w:tab/>
        <w:t>the device is used for the provision of a connection under a wireless local loop arrangement.</w:t>
      </w:r>
    </w:p>
    <w:p w14:paraId="1FFE4747" w14:textId="4E4E339B" w:rsidR="00830E58" w:rsidRDefault="00F15AEB" w:rsidP="00521941">
      <w:pPr>
        <w:pStyle w:val="Paragraph"/>
        <w:spacing w:before="240"/>
      </w:pPr>
      <w:r>
        <w:lastRenderedPageBreak/>
        <w:t>The first concern was</w:t>
      </w:r>
      <w:r w:rsidR="002F287E">
        <w:t xml:space="preserve"> that </w:t>
      </w:r>
      <w:r w:rsidR="00276881">
        <w:t xml:space="preserve">subsection </w:t>
      </w:r>
      <w:r w:rsidR="002F287E">
        <w:t>8(1) may preclude existing use cases</w:t>
      </w:r>
      <w:r w:rsidR="002F287E" w:rsidRPr="002F287E">
        <w:t xml:space="preserve"> </w:t>
      </w:r>
      <w:r w:rsidR="002F287E">
        <w:t xml:space="preserve">where use is </w:t>
      </w:r>
      <w:r w:rsidR="002F287E" w:rsidRPr="002F287E">
        <w:t xml:space="preserve">not connected to a telecommunications network (for example, baby monitors). </w:t>
      </w:r>
      <w:r w:rsidR="002F287E">
        <w:t xml:space="preserve">The intent is to facilitate existing use cases, </w:t>
      </w:r>
      <w:r w:rsidR="00811D65">
        <w:t xml:space="preserve">so </w:t>
      </w:r>
      <w:r w:rsidR="002F287E">
        <w:t xml:space="preserve">we </w:t>
      </w:r>
      <w:r w:rsidR="00317BB5">
        <w:t xml:space="preserve">decided to remove </w:t>
      </w:r>
      <w:r w:rsidR="00276881">
        <w:t>subsection </w:t>
      </w:r>
      <w:r w:rsidR="00317BB5">
        <w:t>8(1)</w:t>
      </w:r>
      <w:r w:rsidR="002F287E">
        <w:t>.</w:t>
      </w:r>
    </w:p>
    <w:p w14:paraId="3F3D86D4" w14:textId="75AFE3C9" w:rsidR="00276881" w:rsidRDefault="00F15AEB" w:rsidP="00F15AEB">
      <w:pPr>
        <w:pStyle w:val="Paragraph"/>
      </w:pPr>
      <w:r>
        <w:t>The second concern was</w:t>
      </w:r>
      <w:r w:rsidR="002F287E">
        <w:t xml:space="preserve"> that limiting operation to </w:t>
      </w:r>
      <w:r w:rsidR="00276881">
        <w:t>‘</w:t>
      </w:r>
      <w:r w:rsidR="002F287E">
        <w:t>private use</w:t>
      </w:r>
      <w:r w:rsidR="00276881">
        <w:t>’</w:t>
      </w:r>
      <w:r w:rsidR="002F287E">
        <w:t xml:space="preserve"> </w:t>
      </w:r>
      <w:r w:rsidR="00276881">
        <w:t>only (i.e., not in the provision of a carriage service to the public) may not facilitate emerging use cases. Although that condition was included in the CCD class licence as made, we are seeking views on a further variation to arrangements to address this concern. This is discussed in the next section of this paper.</w:t>
      </w:r>
    </w:p>
    <w:p w14:paraId="369A4840" w14:textId="4C39E850" w:rsidR="00811D65" w:rsidRDefault="00F15AEB" w:rsidP="00F15AEB">
      <w:pPr>
        <w:pStyle w:val="Paragraph"/>
      </w:pPr>
      <w:r>
        <w:t xml:space="preserve">The proposed maximum </w:t>
      </w:r>
      <w:r w:rsidR="00276881">
        <w:t>equivalent isotopically radiated power (</w:t>
      </w:r>
      <w:r>
        <w:t>EIRP</w:t>
      </w:r>
      <w:r w:rsidR="00276881">
        <w:t>)</w:t>
      </w:r>
      <w:r>
        <w:t xml:space="preserve"> in the </w:t>
      </w:r>
      <w:r w:rsidR="00811D65">
        <w:br/>
      </w:r>
      <w:r>
        <w:t>draft CCD class licence for CCD operating in the 1.7175</w:t>
      </w:r>
      <w:r w:rsidR="00811D65">
        <w:t>–</w:t>
      </w:r>
      <w:r>
        <w:t xml:space="preserve">1.7925 MHz, </w:t>
      </w:r>
      <w:r w:rsidR="00811D65">
        <w:br/>
      </w:r>
      <w:r>
        <w:t>30.0625</w:t>
      </w:r>
      <w:r w:rsidR="00811D65">
        <w:t>–</w:t>
      </w:r>
      <w:r>
        <w:t>30.3125</w:t>
      </w:r>
      <w:r w:rsidR="00276881">
        <w:t> </w:t>
      </w:r>
      <w:r>
        <w:t>MHz or 39.7625</w:t>
      </w:r>
      <w:r w:rsidR="00811D65">
        <w:t>–</w:t>
      </w:r>
      <w:r>
        <w:t xml:space="preserve">40.250 MHz frequency ranges was 1.23 dBm. </w:t>
      </w:r>
    </w:p>
    <w:p w14:paraId="1A764935" w14:textId="1AD1FD7C" w:rsidR="00F15AEB" w:rsidRDefault="00811D65" w:rsidP="00F15AEB">
      <w:pPr>
        <w:pStyle w:val="Paragraph"/>
      </w:pPr>
      <w:r>
        <w:t>We sought c</w:t>
      </w:r>
      <w:r w:rsidR="00F15AEB">
        <w:t>omment on whether the EIRP limit should instead be aligned with the higher limit of 22 dBm</w:t>
      </w:r>
      <w:r w:rsidR="00F15AEB">
        <w:rPr>
          <w:rStyle w:val="FootnoteReference"/>
        </w:rPr>
        <w:footnoteReference w:id="4"/>
      </w:r>
      <w:r w:rsidR="00F15AEB">
        <w:t xml:space="preserve"> allowed in New Zealand. No submissions were received in relation to this matter. Therefore, the EIRP limit included in the CCD class licence </w:t>
      </w:r>
      <w:r w:rsidR="002F287E">
        <w:t>remain</w:t>
      </w:r>
      <w:r w:rsidR="00276881">
        <w:t>s</w:t>
      </w:r>
      <w:r w:rsidR="002F287E">
        <w:t xml:space="preserve"> as proposed in consultation</w:t>
      </w:r>
      <w:r w:rsidR="00F15AEB">
        <w:t>.</w:t>
      </w:r>
    </w:p>
    <w:p w14:paraId="3F35B02F" w14:textId="60FFD761" w:rsidR="00F15AEB" w:rsidRDefault="002F287E" w:rsidP="00F15AEB">
      <w:pPr>
        <w:pStyle w:val="Paragraph"/>
      </w:pPr>
      <w:bookmarkStart w:id="6" w:name="_Hlk26868712"/>
      <w:bookmarkEnd w:id="4"/>
      <w:r>
        <w:t>In t</w:t>
      </w:r>
      <w:r w:rsidR="00F15AEB">
        <w:t>he first consultation paper</w:t>
      </w:r>
      <w:r w:rsidR="00276881">
        <w:t>,</w:t>
      </w:r>
      <w:r w:rsidR="00F15AEB">
        <w:t xml:space="preserve"> comment </w:t>
      </w:r>
      <w:r>
        <w:t xml:space="preserve">was </w:t>
      </w:r>
      <w:r w:rsidR="00A075B6">
        <w:t xml:space="preserve">also </w:t>
      </w:r>
      <w:r>
        <w:t xml:space="preserve">sought </w:t>
      </w:r>
      <w:r w:rsidR="00F15AEB">
        <w:t xml:space="preserve">on whether it would be appropriate to include CCD in a future update to </w:t>
      </w:r>
      <w:hyperlink r:id="rId26" w:history="1">
        <w:r w:rsidR="00F15AEB" w:rsidRPr="00E143FD">
          <w:rPr>
            <w:rStyle w:val="Hyperlink"/>
          </w:rPr>
          <w:t>Radiocommunications (Low Interference Potential Devices) Class Licence 2015</w:t>
        </w:r>
      </w:hyperlink>
      <w:r w:rsidR="00F15AEB">
        <w:t xml:space="preserve"> (the LIPD class licence). </w:t>
      </w:r>
    </w:p>
    <w:p w14:paraId="3F161C89" w14:textId="1365D6A6" w:rsidR="00F15AEB" w:rsidRDefault="00F15AEB" w:rsidP="00F15AEB">
      <w:pPr>
        <w:pStyle w:val="Paragraph"/>
      </w:pPr>
      <w:r>
        <w:t xml:space="preserve">Given the similarities between the types of devices authorised by the CCD class licence and the LIPD class licence, there is an opportunity to include arrangements for </w:t>
      </w:r>
      <w:r w:rsidR="00276881">
        <w:t>CCD</w:t>
      </w:r>
      <w:r>
        <w:t xml:space="preserve"> in the LIPD class licence, instead of maintaining arrangements in a standalone instrument. However, </w:t>
      </w:r>
      <w:r w:rsidR="002F287E">
        <w:t xml:space="preserve">it was noted that </w:t>
      </w:r>
      <w:r>
        <w:t xml:space="preserve">the interaction between the LIPD class licence and the Equipment Rules </w:t>
      </w:r>
      <w:r w:rsidR="002F287E">
        <w:t>needed</w:t>
      </w:r>
      <w:r>
        <w:t xml:space="preserve"> to be investigated to ensure it is appropriate to include </w:t>
      </w:r>
      <w:r w:rsidR="00276881">
        <w:t>CCD</w:t>
      </w:r>
      <w:r>
        <w:t xml:space="preserve"> in the LIPD class licence. </w:t>
      </w:r>
    </w:p>
    <w:p w14:paraId="4E518CEF" w14:textId="3971C15D" w:rsidR="00F15AEB" w:rsidRDefault="00F15AEB" w:rsidP="00F15AEB">
      <w:pPr>
        <w:pStyle w:val="Paragraph"/>
      </w:pPr>
      <w:r>
        <w:t>The Equipment Rules specify standards for many devices, including short</w:t>
      </w:r>
      <w:r w:rsidR="00811D65">
        <w:t>-</w:t>
      </w:r>
      <w:r>
        <w:t xml:space="preserve">range equipment in the </w:t>
      </w:r>
      <w:proofErr w:type="gramStart"/>
      <w:r>
        <w:t>Short Range</w:t>
      </w:r>
      <w:proofErr w:type="gramEnd"/>
      <w:r>
        <w:t xml:space="preserve"> Equipment Standard in Part 15 of Schedule 5. Short</w:t>
      </w:r>
      <w:r w:rsidR="00811D65">
        <w:t>-</w:t>
      </w:r>
      <w:r>
        <w:t>range equipment includes all radiocommunications devices authorised by the LIPD class licence. By authorising CCD under the LIPD class licence, they would become, by definition, ‘short</w:t>
      </w:r>
      <w:r w:rsidR="00811D65">
        <w:t>-</w:t>
      </w:r>
      <w:r>
        <w:t xml:space="preserve">range equipment’, and therefore the </w:t>
      </w:r>
      <w:proofErr w:type="gramStart"/>
      <w:r>
        <w:t>Short Range</w:t>
      </w:r>
      <w:proofErr w:type="gramEnd"/>
      <w:r>
        <w:t xml:space="preserve"> Equipment Standard would apply, where it does not currently. </w:t>
      </w:r>
    </w:p>
    <w:p w14:paraId="29988C82" w14:textId="0BD97FB2" w:rsidR="00F15AEB" w:rsidRDefault="00F15AEB" w:rsidP="00E143FD">
      <w:pPr>
        <w:pStyle w:val="Paragraphbeforelist"/>
      </w:pPr>
      <w:r>
        <w:t>This would mean that to</w:t>
      </w:r>
      <w:r w:rsidRPr="00A23282">
        <w:t xml:space="preserve"> determine whether a </w:t>
      </w:r>
      <w:r>
        <w:t>CCD</w:t>
      </w:r>
      <w:r w:rsidRPr="00A23282">
        <w:t xml:space="preserve"> meets the requirements of the </w:t>
      </w:r>
      <w:proofErr w:type="gramStart"/>
      <w:r w:rsidRPr="00A23282">
        <w:t>Short Range</w:t>
      </w:r>
      <w:proofErr w:type="gramEnd"/>
      <w:r w:rsidRPr="00A23282">
        <w:t xml:space="preserve"> Equipment Standard, the testing methods identified </w:t>
      </w:r>
      <w:r w:rsidR="00EE0800">
        <w:t xml:space="preserve">in the </w:t>
      </w:r>
      <w:r>
        <w:t xml:space="preserve">Short Range Equipment Standard </w:t>
      </w:r>
      <w:r w:rsidRPr="00A23282">
        <w:t xml:space="preserve">for the device </w:t>
      </w:r>
      <w:r w:rsidR="00E143FD">
        <w:t>would need to</w:t>
      </w:r>
      <w:r w:rsidR="00E143FD" w:rsidRPr="00A23282">
        <w:t xml:space="preserve"> </w:t>
      </w:r>
      <w:r w:rsidRPr="00A23282">
        <w:t>be used</w:t>
      </w:r>
      <w:r>
        <w:t>. The testing methods are:</w:t>
      </w:r>
    </w:p>
    <w:p w14:paraId="5C532F57" w14:textId="3599DE2E" w:rsidR="00F15AEB" w:rsidRDefault="00E143FD" w:rsidP="00F15AEB">
      <w:pPr>
        <w:pStyle w:val="Bulletlevel1"/>
      </w:pPr>
      <w:r>
        <w:t>F</w:t>
      </w:r>
      <w:r w:rsidR="00F15AEB">
        <w:t>or the 1.7175-</w:t>
      </w:r>
      <w:r w:rsidR="00811D65">
        <w:t>–</w:t>
      </w:r>
      <w:r>
        <w:t>1</w:t>
      </w:r>
      <w:r w:rsidR="00F15AEB">
        <w:t>.7925 MHz</w:t>
      </w:r>
      <w:r w:rsidR="00F15AEB" w:rsidRPr="003F294A">
        <w:t xml:space="preserve"> </w:t>
      </w:r>
      <w:r w:rsidR="00F15AEB">
        <w:t>band</w:t>
      </w:r>
      <w:r w:rsidR="00F15AEB">
        <w:rPr>
          <w:szCs w:val="22"/>
        </w:rPr>
        <w:t xml:space="preserve"> – </w:t>
      </w:r>
      <w:r w:rsidR="00F15AEB">
        <w:t>ETSI EN 300 330</w:t>
      </w:r>
      <w:r w:rsidR="00F15AEB">
        <w:rPr>
          <w:rStyle w:val="FootnoteReference"/>
        </w:rPr>
        <w:footnoteReference w:id="5"/>
      </w:r>
    </w:p>
    <w:p w14:paraId="7E4C0DD2" w14:textId="3429FD39" w:rsidR="00F15AEB" w:rsidRDefault="00F15AEB" w:rsidP="00F15AEB">
      <w:pPr>
        <w:pStyle w:val="Bulletlevel1"/>
      </w:pPr>
      <w:r>
        <w:t>for the 30.0625</w:t>
      </w:r>
      <w:r w:rsidR="000E35E8">
        <w:t>–</w:t>
      </w:r>
      <w:r>
        <w:t>30.3125 MHz and 39.7625-40.250 MHz bands</w:t>
      </w:r>
      <w:r>
        <w:rPr>
          <w:szCs w:val="22"/>
        </w:rPr>
        <w:t xml:space="preserve"> – </w:t>
      </w:r>
      <w:r w:rsidRPr="003F294A">
        <w:t>ETSI</w:t>
      </w:r>
      <w:r>
        <w:t> </w:t>
      </w:r>
      <w:r w:rsidRPr="003F294A">
        <w:t>EN</w:t>
      </w:r>
      <w:r>
        <w:t> </w:t>
      </w:r>
      <w:r w:rsidRPr="003F294A">
        <w:t>300</w:t>
      </w:r>
      <w:r>
        <w:t> </w:t>
      </w:r>
      <w:r w:rsidRPr="003F294A">
        <w:t>220</w:t>
      </w:r>
      <w:r>
        <w:noBreakHyphen/>
      </w:r>
      <w:r w:rsidRPr="003F294A">
        <w:t>1</w:t>
      </w:r>
      <w:r>
        <w:rPr>
          <w:rStyle w:val="FootnoteReference"/>
        </w:rPr>
        <w:footnoteReference w:id="6"/>
      </w:r>
    </w:p>
    <w:p w14:paraId="46BB1CBC" w14:textId="360EA635" w:rsidR="00F15AEB" w:rsidRDefault="00F15AEB" w:rsidP="00F15AEB">
      <w:pPr>
        <w:pStyle w:val="Bulletlevel1last"/>
      </w:pPr>
      <w:r>
        <w:t>for the 1880</w:t>
      </w:r>
      <w:r w:rsidR="000E35E8">
        <w:t>–</w:t>
      </w:r>
      <w:r>
        <w:t>1900 MHz band</w:t>
      </w:r>
      <w:r>
        <w:rPr>
          <w:szCs w:val="22"/>
        </w:rPr>
        <w:t xml:space="preserve"> – </w:t>
      </w:r>
      <w:r w:rsidRPr="003F294A">
        <w:t>ETSI EN 300 440</w:t>
      </w:r>
      <w:r>
        <w:rPr>
          <w:rStyle w:val="FootnoteReference"/>
        </w:rPr>
        <w:footnoteReference w:id="7"/>
      </w:r>
    </w:p>
    <w:p w14:paraId="06435D9D" w14:textId="7D996B72" w:rsidR="005E250B" w:rsidRPr="00E162C4" w:rsidRDefault="00384552" w:rsidP="00E143FD">
      <w:pPr>
        <w:pStyle w:val="Paragraph"/>
        <w:keepNext/>
        <w:keepLines/>
        <w:rPr>
          <w:b/>
        </w:rPr>
      </w:pPr>
      <w:r w:rsidRPr="00384552">
        <w:lastRenderedPageBreak/>
        <w:t xml:space="preserve">One submitter responded to this issue, advising that it would be inappropriate for CCD to be incorporated into the LIPD class licence </w:t>
      </w:r>
      <w:r>
        <w:t xml:space="preserve">as the testing methods are not applicable to CCD. </w:t>
      </w:r>
      <w:r w:rsidR="00E8123C">
        <w:t>We will further consider this issue when we next update the LIPD class licence</w:t>
      </w:r>
      <w:r w:rsidRPr="00384552">
        <w:t>.</w:t>
      </w:r>
    </w:p>
    <w:p w14:paraId="616B03E3" w14:textId="2BC19C14" w:rsidR="000B4664" w:rsidRPr="00E162C4" w:rsidRDefault="00AD6176" w:rsidP="000B4664">
      <w:pPr>
        <w:pStyle w:val="Heading1"/>
      </w:pPr>
      <w:bookmarkStart w:id="7" w:name="_Toc168474273"/>
      <w:bookmarkEnd w:id="6"/>
      <w:r>
        <w:lastRenderedPageBreak/>
        <w:t xml:space="preserve">Proposed </w:t>
      </w:r>
      <w:r w:rsidR="00830E58">
        <w:t>variation</w:t>
      </w:r>
      <w:bookmarkEnd w:id="7"/>
    </w:p>
    <w:p w14:paraId="2D521240" w14:textId="77777777" w:rsidR="00276881" w:rsidRDefault="00276881" w:rsidP="00276881">
      <w:pPr>
        <w:pStyle w:val="Paragraph"/>
      </w:pPr>
      <w:r w:rsidRPr="007E6015">
        <w:t xml:space="preserve">A draft </w:t>
      </w:r>
      <w:r w:rsidRPr="00E143FD">
        <w:t>Radiocommunications (Cordless Communications Devices) Class Licence Variation 2024 (No. 1)</w:t>
      </w:r>
      <w:r>
        <w:t xml:space="preserve"> (draft instrument)</w:t>
      </w:r>
      <w:r w:rsidRPr="007E6015">
        <w:t xml:space="preserve"> is included with this paper for consideration.</w:t>
      </w:r>
      <w:r>
        <w:t xml:space="preserve"> </w:t>
      </w:r>
    </w:p>
    <w:p w14:paraId="4092ECA1" w14:textId="51F68A84" w:rsidR="00276881" w:rsidRDefault="00276881" w:rsidP="00276881">
      <w:pPr>
        <w:pStyle w:val="Paragraph"/>
      </w:pPr>
      <w:r>
        <w:t>In its response to the first consultation paper, t</w:t>
      </w:r>
      <w:r w:rsidRPr="00830E58">
        <w:t xml:space="preserve">he DECT Forum recommended removal of the requirement in the CCD </w:t>
      </w:r>
      <w:r>
        <w:t>class licence</w:t>
      </w:r>
      <w:r w:rsidRPr="00830E58">
        <w:t xml:space="preserve"> that </w:t>
      </w:r>
      <w:r>
        <w:t xml:space="preserve">effectively required the </w:t>
      </w:r>
      <w:r w:rsidRPr="00830E58">
        <w:t xml:space="preserve">operation of cordless communications devices be for private purposes only. </w:t>
      </w:r>
      <w:r>
        <w:t>T</w:t>
      </w:r>
      <w:r w:rsidRPr="00521941">
        <w:t>he evolution of DECT is supporting a large variety of applications beyond phones and headsets</w:t>
      </w:r>
      <w:r>
        <w:t>,</w:t>
      </w:r>
      <w:r w:rsidRPr="00521941">
        <w:t xml:space="preserve"> including IoT, smart home, smart metering, mesh networks, wireless microphones and more. The</w:t>
      </w:r>
      <w:r>
        <w:t xml:space="preserve"> DECT Forum flagged that </w:t>
      </w:r>
      <w:r w:rsidRPr="00521941">
        <w:t>the ‘private use only’ condition may not support all use cases and applications of DECT</w:t>
      </w:r>
      <w:r>
        <w:t xml:space="preserve">. </w:t>
      </w:r>
    </w:p>
    <w:p w14:paraId="5F8CABFC" w14:textId="6606ACE6" w:rsidR="00276881" w:rsidRDefault="000E35E8" w:rsidP="00276881">
      <w:pPr>
        <w:pStyle w:val="Paragraph"/>
      </w:pPr>
      <w:r>
        <w:t>We</w:t>
      </w:r>
      <w:r w:rsidR="00276881" w:rsidRPr="00830E58">
        <w:t xml:space="preserve"> considered the proposed changes recommended by the DECT Forum</w:t>
      </w:r>
      <w:r w:rsidR="00276881">
        <w:t xml:space="preserve">. Given the applications of DECT technology are broadening beyond cordless telephony and other private-only use cases, our preliminary view is to support the removal of section 8 from the CCD class licence. However, we formed the view that </w:t>
      </w:r>
      <w:r w:rsidR="00276881" w:rsidRPr="00830E58">
        <w:t>further public consultation</w:t>
      </w:r>
      <w:r w:rsidR="00276881">
        <w:t xml:space="preserve"> is required prior to the removal of section 8 entirely to ensure all stakeholders have an opportunity to consider this change. The part of section 8 that remains prevents a carriage service provider from using CCD in the provision of a carriage service to </w:t>
      </w:r>
      <w:r w:rsidR="00B50841">
        <w:br/>
      </w:r>
      <w:r w:rsidR="00276881">
        <w:t>the public.</w:t>
      </w:r>
    </w:p>
    <w:p w14:paraId="32AED809" w14:textId="70E76C1D" w:rsidR="00276881" w:rsidRDefault="00276881" w:rsidP="00276881">
      <w:pPr>
        <w:pStyle w:val="Paragraph"/>
      </w:pPr>
      <w:r>
        <w:t>During the replanning of the 1880</w:t>
      </w:r>
      <w:r w:rsidR="00B50841">
        <w:t>–</w:t>
      </w:r>
      <w:r>
        <w:t xml:space="preserve">1920 MHz band, which concluded with the release of an </w:t>
      </w:r>
      <w:hyperlink r:id="rId27" w:anchor="outcomes-for-this-consultation" w:history="1">
        <w:r w:rsidRPr="00D1565F">
          <w:rPr>
            <w:rStyle w:val="Hyperlink"/>
          </w:rPr>
          <w:t>outcomes paper</w:t>
        </w:r>
      </w:hyperlink>
      <w:r>
        <w:t xml:space="preserve"> in November 2023, there was significant support expressed in submissions for facilitating </w:t>
      </w:r>
      <w:r w:rsidRPr="0089235D">
        <w:t>future DECT technologies</w:t>
      </w:r>
      <w:r>
        <w:t xml:space="preserve">. Removal of this condition which may prevent these applications is in line with this support. </w:t>
      </w:r>
    </w:p>
    <w:p w14:paraId="78A2A3EA" w14:textId="78C612FF" w:rsidR="00276881" w:rsidRDefault="00276881" w:rsidP="00276881">
      <w:pPr>
        <w:pStyle w:val="Paragraph"/>
        <w:rPr>
          <w:szCs w:val="20"/>
          <w:shd w:val="clear" w:color="auto" w:fill="FEFEFE"/>
        </w:rPr>
      </w:pPr>
      <w:r>
        <w:t>We also note that the use of DECT in 1880</w:t>
      </w:r>
      <w:r w:rsidR="008D36F4">
        <w:t>–</w:t>
      </w:r>
      <w:r>
        <w:t>1900 MHz is not restricted to private purposes in other jurisdictions.</w:t>
      </w:r>
    </w:p>
    <w:p w14:paraId="12772F43" w14:textId="0CE5D0C3" w:rsidR="00276881" w:rsidRDefault="008D36F4" w:rsidP="00276881">
      <w:pPr>
        <w:pStyle w:val="Paragraph"/>
      </w:pPr>
      <w:r>
        <w:t>We are seeking co</w:t>
      </w:r>
      <w:r w:rsidR="00276881">
        <w:t xml:space="preserve">mment on whether </w:t>
      </w:r>
      <w:r w:rsidR="00A075B6">
        <w:t>to remove</w:t>
      </w:r>
      <w:r w:rsidR="00276881">
        <w:t xml:space="preserve"> the condition in the CCD class licence that </w:t>
      </w:r>
      <w:r w:rsidR="00276881" w:rsidRPr="00830E58">
        <w:t>operation of cordless communications devices be for private purposes only.</w:t>
      </w:r>
    </w:p>
    <w:p w14:paraId="0AFB9E5E" w14:textId="01205C81" w:rsidR="00DF66D9" w:rsidRPr="00E162C4" w:rsidRDefault="00DF66D9" w:rsidP="00DF66D9">
      <w:pPr>
        <w:pStyle w:val="Paragraph"/>
      </w:pPr>
    </w:p>
    <w:p w14:paraId="4782E214" w14:textId="61ABF35A" w:rsidR="00C02F26" w:rsidRPr="00E162C4" w:rsidRDefault="00C02F26" w:rsidP="00F71F2F">
      <w:pPr>
        <w:pStyle w:val="Paragraph"/>
      </w:pPr>
      <w:bookmarkStart w:id="8" w:name="_Toc298924672"/>
      <w:bookmarkStart w:id="9" w:name="_Toc300909555"/>
      <w:bookmarkStart w:id="10" w:name="_Toc348105636"/>
    </w:p>
    <w:p w14:paraId="0327F847" w14:textId="77777777" w:rsidR="006C1631" w:rsidRPr="00E162C4" w:rsidRDefault="006C1631" w:rsidP="006C1631">
      <w:pPr>
        <w:pStyle w:val="Heading1"/>
      </w:pPr>
      <w:bookmarkStart w:id="11" w:name="_Toc168474274"/>
      <w:bookmarkEnd w:id="8"/>
      <w:bookmarkEnd w:id="9"/>
      <w:bookmarkEnd w:id="10"/>
      <w:r w:rsidRPr="00E162C4">
        <w:lastRenderedPageBreak/>
        <w:t>Invitation to comment</w:t>
      </w:r>
      <w:bookmarkEnd w:id="11"/>
    </w:p>
    <w:p w14:paraId="2F6C7B8F" w14:textId="77777777" w:rsidR="006C1631" w:rsidRPr="00E162C4" w:rsidRDefault="006C1631" w:rsidP="006C1631">
      <w:pPr>
        <w:pStyle w:val="Heading2"/>
      </w:pPr>
      <w:bookmarkStart w:id="12" w:name="_Toc433122131"/>
      <w:bookmarkStart w:id="13" w:name="_Toc348105637"/>
      <w:bookmarkStart w:id="14" w:name="_Toc300909556"/>
      <w:bookmarkStart w:id="15" w:name="_Toc298924673"/>
      <w:bookmarkStart w:id="16" w:name="_Toc168474275"/>
      <w:bookmarkStart w:id="17" w:name="_Toc348105638"/>
      <w:bookmarkStart w:id="18" w:name="_Toc300909557"/>
      <w:bookmarkStart w:id="19" w:name="_Toc298924674"/>
      <w:bookmarkStart w:id="20" w:name="_Toc274296357"/>
      <w:r w:rsidRPr="00E162C4">
        <w:t>Making a submission</w:t>
      </w:r>
      <w:bookmarkEnd w:id="12"/>
      <w:bookmarkEnd w:id="13"/>
      <w:bookmarkEnd w:id="14"/>
      <w:bookmarkEnd w:id="15"/>
      <w:bookmarkEnd w:id="16"/>
    </w:p>
    <w:p w14:paraId="6FCCE687" w14:textId="7319D02B" w:rsidR="006C1631" w:rsidRPr="00E162C4" w:rsidRDefault="006C5FD4" w:rsidP="006C1631">
      <w:r w:rsidRPr="00E162C4">
        <w:t>We</w:t>
      </w:r>
      <w:r w:rsidR="006C1631" w:rsidRPr="00E162C4">
        <w:t xml:space="preserve"> invite comments on the issues set out in this </w:t>
      </w:r>
      <w:r w:rsidR="00315685">
        <w:t>consultation</w:t>
      </w:r>
      <w:r w:rsidR="006C1631" w:rsidRPr="00E162C4">
        <w:t xml:space="preserve"> paper. </w:t>
      </w:r>
    </w:p>
    <w:p w14:paraId="22B4C820" w14:textId="77777777" w:rsidR="0070133D" w:rsidRPr="005F046C" w:rsidRDefault="00C056B0" w:rsidP="0070133D">
      <w:pPr>
        <w:pStyle w:val="Bulletlevel1"/>
      </w:pPr>
      <w:hyperlink r:id="rId28" w:history="1">
        <w:r w:rsidR="0070133D" w:rsidRPr="00E162C4">
          <w:rPr>
            <w:rStyle w:val="Hyperlink"/>
          </w:rPr>
          <w:t>Online submissions</w:t>
        </w:r>
      </w:hyperlink>
      <w:r w:rsidR="0070133D" w:rsidRPr="00E162C4">
        <w:t xml:space="preserve"> can be made by uploading a document. Submissions in</w:t>
      </w:r>
      <w:r w:rsidR="00396DC2" w:rsidRPr="00E162C4">
        <w:t xml:space="preserve"> PDF, </w:t>
      </w:r>
      <w:r w:rsidR="0070133D" w:rsidRPr="00E162C4">
        <w:t xml:space="preserve">Microsoft Word or Rich Text Format are </w:t>
      </w:r>
      <w:r w:rsidR="0070133D" w:rsidRPr="005F046C">
        <w:t>preferred.</w:t>
      </w:r>
    </w:p>
    <w:p w14:paraId="0C6E2980" w14:textId="77777777" w:rsidR="006C1631" w:rsidRPr="005F046C" w:rsidRDefault="006C1631" w:rsidP="0070133D">
      <w:pPr>
        <w:pStyle w:val="Bulletlevel1"/>
      </w:pPr>
      <w:r w:rsidRPr="005F046C">
        <w:t xml:space="preserve">Submissions by post can be sent to: </w:t>
      </w:r>
    </w:p>
    <w:p w14:paraId="793ADDFA" w14:textId="77777777" w:rsidR="006C1631" w:rsidRPr="005F046C" w:rsidRDefault="006C1631" w:rsidP="006C1631">
      <w:pPr>
        <w:tabs>
          <w:tab w:val="num" w:pos="295"/>
        </w:tabs>
        <w:spacing w:after="0"/>
        <w:ind w:left="295"/>
        <w:rPr>
          <w:szCs w:val="20"/>
        </w:rPr>
      </w:pPr>
      <w:r w:rsidRPr="005F046C">
        <w:rPr>
          <w:szCs w:val="20"/>
        </w:rPr>
        <w:t>The Manager</w:t>
      </w:r>
    </w:p>
    <w:p w14:paraId="6262AECA" w14:textId="5682A814" w:rsidR="006C1631" w:rsidRPr="005F046C" w:rsidRDefault="005F046C" w:rsidP="006C1631">
      <w:pPr>
        <w:spacing w:after="0"/>
        <w:ind w:left="295"/>
        <w:rPr>
          <w:szCs w:val="20"/>
        </w:rPr>
      </w:pPr>
      <w:r w:rsidRPr="005F046C">
        <w:rPr>
          <w:szCs w:val="20"/>
        </w:rPr>
        <w:t>Spectrum Planning Section</w:t>
      </w:r>
    </w:p>
    <w:p w14:paraId="7ED855AB" w14:textId="77777777" w:rsidR="006C1631" w:rsidRPr="005F046C" w:rsidRDefault="006C1631" w:rsidP="006C1631">
      <w:pPr>
        <w:spacing w:after="0"/>
        <w:ind w:left="295"/>
        <w:rPr>
          <w:szCs w:val="20"/>
        </w:rPr>
      </w:pPr>
      <w:r w:rsidRPr="005F046C">
        <w:rPr>
          <w:szCs w:val="20"/>
        </w:rPr>
        <w:t>Australian Communications and Media Authority</w:t>
      </w:r>
    </w:p>
    <w:p w14:paraId="4C5B7C9A" w14:textId="77777777" w:rsidR="006C1631" w:rsidRPr="005F046C" w:rsidRDefault="006C1631" w:rsidP="006C1631">
      <w:pPr>
        <w:spacing w:after="0"/>
        <w:ind w:left="295"/>
        <w:rPr>
          <w:szCs w:val="20"/>
        </w:rPr>
      </w:pPr>
      <w:r w:rsidRPr="005F046C">
        <w:rPr>
          <w:szCs w:val="20"/>
        </w:rPr>
        <w:t>PO Box 78</w:t>
      </w:r>
    </w:p>
    <w:p w14:paraId="6CC806F8" w14:textId="77777777" w:rsidR="006C1631" w:rsidRPr="005F046C" w:rsidRDefault="006C1631" w:rsidP="006C1631">
      <w:pPr>
        <w:ind w:left="295"/>
        <w:rPr>
          <w:szCs w:val="20"/>
        </w:rPr>
      </w:pPr>
      <w:r w:rsidRPr="005F046C">
        <w:rPr>
          <w:szCs w:val="20"/>
        </w:rPr>
        <w:t>Belconnen ACT 2616</w:t>
      </w:r>
    </w:p>
    <w:p w14:paraId="50C04EEE" w14:textId="13C1DA7F" w:rsidR="006C1631" w:rsidRPr="005F046C" w:rsidRDefault="006C1631" w:rsidP="006C1631">
      <w:r w:rsidRPr="005F046C">
        <w:t xml:space="preserve">The closing date for submissions is </w:t>
      </w:r>
      <w:r w:rsidRPr="00E143FD">
        <w:rPr>
          <w:b/>
          <w:bCs/>
        </w:rPr>
        <w:t>COB,</w:t>
      </w:r>
      <w:r w:rsidRPr="005F046C">
        <w:t xml:space="preserve"> </w:t>
      </w:r>
      <w:r w:rsidR="00384552">
        <w:rPr>
          <w:b/>
          <w:bCs/>
        </w:rPr>
        <w:t xml:space="preserve">Monday </w:t>
      </w:r>
      <w:r w:rsidR="005F046C" w:rsidRPr="005F046C">
        <w:rPr>
          <w:b/>
          <w:bCs/>
        </w:rPr>
        <w:t>1</w:t>
      </w:r>
      <w:r w:rsidR="00384552">
        <w:rPr>
          <w:b/>
          <w:bCs/>
        </w:rPr>
        <w:t>2</w:t>
      </w:r>
      <w:r w:rsidR="005F046C" w:rsidRPr="005F046C">
        <w:rPr>
          <w:b/>
          <w:bCs/>
        </w:rPr>
        <w:t xml:space="preserve"> </w:t>
      </w:r>
      <w:r w:rsidR="00384552">
        <w:rPr>
          <w:b/>
          <w:bCs/>
        </w:rPr>
        <w:t>August</w:t>
      </w:r>
      <w:r w:rsidR="005F046C" w:rsidRPr="005F046C">
        <w:rPr>
          <w:b/>
          <w:bCs/>
        </w:rPr>
        <w:t xml:space="preserve"> 2024</w:t>
      </w:r>
      <w:r w:rsidRPr="005F046C">
        <w:t>.</w:t>
      </w:r>
    </w:p>
    <w:p w14:paraId="7CA0DD98" w14:textId="470B1982" w:rsidR="006C1631" w:rsidRPr="00E162C4" w:rsidRDefault="006C1631" w:rsidP="006C1631">
      <w:pPr>
        <w:rPr>
          <w:szCs w:val="20"/>
        </w:rPr>
      </w:pPr>
      <w:r w:rsidRPr="005F046C">
        <w:t xml:space="preserve">Consultation enquiries can be emailed </w:t>
      </w:r>
      <w:r w:rsidRPr="005F046C">
        <w:rPr>
          <w:szCs w:val="20"/>
        </w:rPr>
        <w:t xml:space="preserve">to </w:t>
      </w:r>
      <w:hyperlink r:id="rId29" w:history="1">
        <w:r w:rsidR="005F046C" w:rsidRPr="005F046C">
          <w:rPr>
            <w:rStyle w:val="Hyperlink"/>
            <w:szCs w:val="20"/>
          </w:rPr>
          <w:t>freqplan@acma.gov.au</w:t>
        </w:r>
      </w:hyperlink>
      <w:r w:rsidRPr="005F046C">
        <w:rPr>
          <w:szCs w:val="20"/>
        </w:rPr>
        <w:t>.</w:t>
      </w:r>
      <w:r w:rsidR="005F046C">
        <w:rPr>
          <w:szCs w:val="20"/>
        </w:rPr>
        <w:t xml:space="preserve"> </w:t>
      </w:r>
    </w:p>
    <w:p w14:paraId="426207F4" w14:textId="77777777" w:rsidR="006C1631" w:rsidRPr="00E162C4" w:rsidRDefault="006C1631" w:rsidP="005B2F0D">
      <w:pPr>
        <w:pStyle w:val="Heading4"/>
      </w:pPr>
      <w:bookmarkStart w:id="21" w:name="_Toc348105639"/>
      <w:bookmarkStart w:id="22" w:name="_Toc300909558"/>
      <w:bookmarkStart w:id="23" w:name="_Hlk59627494"/>
      <w:bookmarkEnd w:id="17"/>
      <w:bookmarkEnd w:id="18"/>
      <w:r w:rsidRPr="00E162C4">
        <w:t>Publication of submissions</w:t>
      </w:r>
      <w:bookmarkEnd w:id="19"/>
      <w:bookmarkEnd w:id="20"/>
      <w:bookmarkEnd w:id="21"/>
      <w:bookmarkEnd w:id="22"/>
    </w:p>
    <w:p w14:paraId="45D7FFAB" w14:textId="77777777" w:rsidR="006C1631" w:rsidRPr="00E162C4" w:rsidRDefault="006C5FD4" w:rsidP="006C1631">
      <w:bookmarkStart w:id="24" w:name="_Toc348105640"/>
      <w:bookmarkStart w:id="25" w:name="_Toc300909559"/>
      <w:bookmarkStart w:id="26"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0A782FC5" w14:textId="77777777" w:rsidR="006C1631" w:rsidRPr="00E162C4" w:rsidRDefault="006C1631" w:rsidP="006C1631">
      <w:r w:rsidRPr="00E162C4">
        <w:t>Confidential information will not be published or otherwise released unless required or authorised by law.</w:t>
      </w:r>
    </w:p>
    <w:p w14:paraId="3FCD5A94" w14:textId="77777777" w:rsidR="006C1631" w:rsidRPr="00E162C4" w:rsidRDefault="006C1631" w:rsidP="005B2F0D">
      <w:pPr>
        <w:pStyle w:val="Heading4"/>
      </w:pPr>
      <w:r w:rsidRPr="00E162C4">
        <w:t>Privacy</w:t>
      </w:r>
    </w:p>
    <w:p w14:paraId="4418BA94"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0"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24"/>
    <w:bookmarkEnd w:id="25"/>
    <w:bookmarkEnd w:id="26"/>
    <w:p w14:paraId="03BA9F4E" w14:textId="77777777" w:rsidR="00A4193E" w:rsidRPr="00E162C4" w:rsidRDefault="006C1631" w:rsidP="005B2F0D">
      <w:pPr>
        <w:pStyle w:val="Paragraph"/>
      </w:pPr>
      <w:r w:rsidRPr="00E162C4">
        <w:t xml:space="preserve">Information on the </w:t>
      </w:r>
      <w:r w:rsidRPr="00E162C4">
        <w:rPr>
          <w:i/>
        </w:rPr>
        <w:t>Privacy Act 1988</w:t>
      </w:r>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1" w:history="1">
        <w:r w:rsidR="00E21056" w:rsidRPr="00E162C4">
          <w:rPr>
            <w:rStyle w:val="Hyperlink"/>
          </w:rPr>
          <w:t>privacy policy</w:t>
        </w:r>
      </w:hyperlink>
      <w:r w:rsidRPr="00E162C4">
        <w:t>.</w:t>
      </w:r>
      <w:r w:rsidR="00A4193E" w:rsidRPr="00E162C4">
        <w:t xml:space="preserve"> </w:t>
      </w:r>
    </w:p>
    <w:bookmarkEnd w:id="23"/>
    <w:sectPr w:rsidR="00A4193E" w:rsidRPr="00E162C4" w:rsidSect="00C77380">
      <w:headerReference w:type="even" r:id="rId32"/>
      <w:headerReference w:type="default" r:id="rId33"/>
      <w:footerReference w:type="even" r:id="rId34"/>
      <w:footerReference w:type="default" r:id="rId35"/>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AD79" w14:textId="77777777" w:rsidR="00DA02C5" w:rsidRDefault="00DA02C5">
      <w:r>
        <w:separator/>
      </w:r>
    </w:p>
  </w:endnote>
  <w:endnote w:type="continuationSeparator" w:id="0">
    <w:p w14:paraId="28275412" w14:textId="77777777" w:rsidR="00DA02C5" w:rsidRDefault="00DA02C5">
      <w:r>
        <w:continuationSeparator/>
      </w:r>
    </w:p>
  </w:endnote>
  <w:endnote w:type="continuationNotice" w:id="1">
    <w:p w14:paraId="75CB0052" w14:textId="77777777" w:rsidR="00830DF5" w:rsidRDefault="00830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A3DA" w14:textId="77777777" w:rsidR="005E250B" w:rsidRDefault="005E250B" w:rsidP="005E250B">
    <w:pPr>
      <w:pStyle w:val="Footer"/>
      <w:jc w:val="right"/>
    </w:pPr>
    <w:r w:rsidRPr="005E250B">
      <w:rPr>
        <w:noProof/>
        <w:vertAlign w:val="subscript"/>
      </w:rPr>
      <w:drawing>
        <wp:inline distT="0" distB="0" distL="0" distR="0" wp14:anchorId="33B558CC" wp14:editId="4F1C66B8">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B39D"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4C62"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2560"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2A6FBCED"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045D"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496B3156"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396F"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3B670E79"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0E3D"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C7B1B32"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F660"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14D2B312"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CB8F" w14:textId="77777777" w:rsidR="00DA02C5" w:rsidRDefault="00DA02C5" w:rsidP="00EA0969">
      <w:pPr>
        <w:spacing w:after="0"/>
      </w:pPr>
      <w:r>
        <w:separator/>
      </w:r>
    </w:p>
  </w:footnote>
  <w:footnote w:type="continuationSeparator" w:id="0">
    <w:p w14:paraId="61D9B0D2" w14:textId="77777777" w:rsidR="00DA02C5" w:rsidRDefault="00DA02C5">
      <w:r>
        <w:continuationSeparator/>
      </w:r>
    </w:p>
  </w:footnote>
  <w:footnote w:type="continuationNotice" w:id="1">
    <w:p w14:paraId="6D96AB17" w14:textId="77777777" w:rsidR="00830DF5" w:rsidRDefault="00830DF5">
      <w:pPr>
        <w:spacing w:after="0" w:line="240" w:lineRule="auto"/>
      </w:pPr>
    </w:p>
  </w:footnote>
  <w:footnote w:id="2">
    <w:p w14:paraId="7961AD66" w14:textId="1A27EFFC" w:rsidR="00530454" w:rsidRDefault="00530454" w:rsidP="00530454">
      <w:pPr>
        <w:pStyle w:val="FootnoteText"/>
      </w:pPr>
      <w:r>
        <w:rPr>
          <w:rStyle w:val="FootnoteReference"/>
        </w:rPr>
        <w:footnoteRef/>
      </w:r>
      <w:r>
        <w:t xml:space="preserve"> DECT</w:t>
      </w:r>
      <w:r w:rsidRPr="00B373D1">
        <w:t xml:space="preserve"> technology has now matured to include </w:t>
      </w:r>
      <w:hyperlink r:id="rId1" w:anchor="page=1&amp;search=TS%20103%20636%20&amp;title=0&amp;etsiNumber=1&amp;content=0&amp;version=1&amp;onApproval=0&amp;published=1&amp;historical=0&amp;startDate=1988-01-15&amp;endDate=2020-10-07&amp;harmonized=0&amp;keyword=&amp;TB=&amp;stdType=&amp;frequency=&amp;mandate=&amp;collection=&amp;sort=1" w:history="1">
        <w:r w:rsidRPr="003035FF">
          <w:rPr>
            <w:rStyle w:val="Hyperlink"/>
          </w:rPr>
          <w:t>DECT-2020 New Radio (NR) standards</w:t>
        </w:r>
      </w:hyperlink>
      <w:r w:rsidR="00811D65">
        <w:t xml:space="preserve">. </w:t>
      </w:r>
      <w:r w:rsidRPr="00B373D1">
        <w:t>DECT-2020 NR was developed to support broad and diverse wireless</w:t>
      </w:r>
      <w:r>
        <w:t xml:space="preserve"> internet of things (</w:t>
      </w:r>
      <w:r w:rsidRPr="00B373D1">
        <w:t>IoT</w:t>
      </w:r>
      <w:r>
        <w:t>)</w:t>
      </w:r>
      <w:r w:rsidRPr="00B373D1">
        <w:t xml:space="preserve"> applications requiring both ultra-reliable and low-latency communication needed in voice and industrial applications.</w:t>
      </w:r>
    </w:p>
  </w:footnote>
  <w:footnote w:id="3">
    <w:p w14:paraId="4DD072B2" w14:textId="13642943" w:rsidR="00521941" w:rsidRDefault="00521941">
      <w:pPr>
        <w:pStyle w:val="FootnoteText"/>
      </w:pPr>
      <w:r>
        <w:rPr>
          <w:rStyle w:val="FootnoteReference"/>
        </w:rPr>
        <w:footnoteRef/>
      </w:r>
      <w:r>
        <w:t xml:space="preserve"> Submissions are available on the </w:t>
      </w:r>
      <w:hyperlink r:id="rId2" w:history="1">
        <w:r w:rsidRPr="00530454">
          <w:rPr>
            <w:rStyle w:val="Hyperlink"/>
          </w:rPr>
          <w:t>ACMA website</w:t>
        </w:r>
      </w:hyperlink>
      <w:r>
        <w:t xml:space="preserve">. </w:t>
      </w:r>
    </w:p>
  </w:footnote>
  <w:footnote w:id="4">
    <w:p w14:paraId="46E32323" w14:textId="77777777" w:rsidR="00F15AEB" w:rsidRDefault="00F15AEB" w:rsidP="00F15AEB">
      <w:pPr>
        <w:pStyle w:val="FootnoteText"/>
      </w:pPr>
      <w:r>
        <w:rPr>
          <w:rStyle w:val="FootnoteReference"/>
        </w:rPr>
        <w:footnoteRef/>
      </w:r>
      <w:r>
        <w:t xml:space="preserve"> 22 dBm is equivalent to -8 </w:t>
      </w:r>
      <w:proofErr w:type="spellStart"/>
      <w:r>
        <w:t>dBW</w:t>
      </w:r>
      <w:proofErr w:type="spellEnd"/>
      <w:r>
        <w:t xml:space="preserve">. </w:t>
      </w:r>
    </w:p>
  </w:footnote>
  <w:footnote w:id="5">
    <w:p w14:paraId="232F9AD5" w14:textId="26B329C9" w:rsidR="00F15AEB" w:rsidRDefault="00F15AEB" w:rsidP="00F15AEB">
      <w:pPr>
        <w:pStyle w:val="FootnoteText"/>
      </w:pPr>
      <w:r>
        <w:rPr>
          <w:rStyle w:val="FootnoteReference"/>
        </w:rPr>
        <w:footnoteRef/>
      </w:r>
      <w:r>
        <w:t xml:space="preserve"> </w:t>
      </w:r>
      <w:hyperlink r:id="rId3" w:history="1">
        <w:r w:rsidRPr="003F294A">
          <w:rPr>
            <w:rStyle w:val="Hyperlink"/>
          </w:rPr>
          <w:t>ETSI EN 300 330</w:t>
        </w:r>
      </w:hyperlink>
      <w:r w:rsidR="000E35E8">
        <w:t>:</w:t>
      </w:r>
      <w:r>
        <w:t xml:space="preserve"> Short </w:t>
      </w:r>
      <w:r w:rsidR="000E35E8">
        <w:t>r</w:t>
      </w:r>
      <w:r>
        <w:t xml:space="preserve">ange </w:t>
      </w:r>
      <w:r w:rsidR="000E35E8">
        <w:t>d</w:t>
      </w:r>
      <w:r>
        <w:t xml:space="preserve">evices (SRD); </w:t>
      </w:r>
      <w:r w:rsidR="000E35E8">
        <w:t>r</w:t>
      </w:r>
      <w:r>
        <w:t xml:space="preserve">adio equipment in the frequency range 9 kHz to 25 MHz and inductive loop systems in the frequency range 9 kHz to 30 MHz; </w:t>
      </w:r>
      <w:r w:rsidR="000E35E8">
        <w:t>h</w:t>
      </w:r>
      <w:r>
        <w:t xml:space="preserve">armonised </w:t>
      </w:r>
      <w:r w:rsidR="000E35E8">
        <w:t>s</w:t>
      </w:r>
      <w:r>
        <w:t>tandard covering the essential requirements of article 3.2 of Directive 2014/53/EU</w:t>
      </w:r>
      <w:r w:rsidR="000E35E8">
        <w:t>.</w:t>
      </w:r>
    </w:p>
  </w:footnote>
  <w:footnote w:id="6">
    <w:p w14:paraId="7453AEAC" w14:textId="46457C80" w:rsidR="00F15AEB" w:rsidRDefault="00F15AEB" w:rsidP="00F15AEB">
      <w:pPr>
        <w:pStyle w:val="FootnoteText"/>
      </w:pPr>
      <w:r>
        <w:rPr>
          <w:rStyle w:val="FootnoteReference"/>
        </w:rPr>
        <w:footnoteRef/>
      </w:r>
      <w:r>
        <w:t xml:space="preserve"> </w:t>
      </w:r>
      <w:hyperlink r:id="rId4" w:history="1">
        <w:r w:rsidRPr="003F294A">
          <w:rPr>
            <w:rStyle w:val="Hyperlink"/>
          </w:rPr>
          <w:t>ETSI EN 300 220-1</w:t>
        </w:r>
      </w:hyperlink>
      <w:r w:rsidR="000E35E8">
        <w:t>:</w:t>
      </w:r>
      <w:r>
        <w:t xml:space="preserve"> Short </w:t>
      </w:r>
      <w:r w:rsidR="000E35E8">
        <w:t>r</w:t>
      </w:r>
      <w:r>
        <w:t xml:space="preserve">ange </w:t>
      </w:r>
      <w:r w:rsidR="000E35E8">
        <w:t>d</w:t>
      </w:r>
      <w:r>
        <w:t xml:space="preserve">evices (SRD) operating in the frequency range 25 MHz to 1 000 </w:t>
      </w:r>
      <w:proofErr w:type="gramStart"/>
      <w:r>
        <w:t>MHz;</w:t>
      </w:r>
      <w:proofErr w:type="gramEnd"/>
      <w:r>
        <w:t xml:space="preserve"> </w:t>
      </w:r>
    </w:p>
    <w:p w14:paraId="4960FFC2" w14:textId="413BCC37" w:rsidR="00F15AEB" w:rsidRDefault="00F15AEB" w:rsidP="00F15AEB">
      <w:pPr>
        <w:pStyle w:val="FootnoteText"/>
      </w:pPr>
      <w:r>
        <w:t>Part 1: Technical characteristics and methods of measurement</w:t>
      </w:r>
      <w:r w:rsidR="000E35E8">
        <w:t>.</w:t>
      </w:r>
    </w:p>
  </w:footnote>
  <w:footnote w:id="7">
    <w:p w14:paraId="2940984F" w14:textId="7BAF7699" w:rsidR="00F15AEB" w:rsidRDefault="00F15AEB" w:rsidP="00F15AEB">
      <w:pPr>
        <w:pStyle w:val="FootnoteText"/>
      </w:pPr>
      <w:r>
        <w:rPr>
          <w:rStyle w:val="FootnoteReference"/>
        </w:rPr>
        <w:footnoteRef/>
      </w:r>
      <w:r>
        <w:t xml:space="preserve"> </w:t>
      </w:r>
      <w:hyperlink r:id="rId5" w:history="1">
        <w:r w:rsidRPr="003F294A">
          <w:rPr>
            <w:rStyle w:val="Hyperlink"/>
          </w:rPr>
          <w:t>ETSI EN 300 440</w:t>
        </w:r>
      </w:hyperlink>
      <w:r w:rsidR="000E35E8">
        <w:t>:</w:t>
      </w:r>
      <w:r>
        <w:t xml:space="preserve"> Short </w:t>
      </w:r>
      <w:r w:rsidR="000E35E8">
        <w:t>r</w:t>
      </w:r>
      <w:r>
        <w:t xml:space="preserve">ange </w:t>
      </w:r>
      <w:r w:rsidR="000E35E8">
        <w:t>d</w:t>
      </w:r>
      <w:r>
        <w:t xml:space="preserve">evices (SRD); Radio equipment to be used in the 1 GHz to 40 GHz frequency range; </w:t>
      </w:r>
      <w:r w:rsidR="000E35E8">
        <w:t>h</w:t>
      </w:r>
      <w:r>
        <w:t xml:space="preserve">armonised </w:t>
      </w:r>
      <w:r w:rsidR="000E35E8">
        <w:t>s</w:t>
      </w:r>
      <w:r>
        <w:t>tandard for access to radio spectrum</w:t>
      </w:r>
      <w:r w:rsidR="000E35E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5092" w14:textId="77777777" w:rsidR="00C053A1" w:rsidRPr="00A5474E" w:rsidRDefault="0021426C" w:rsidP="00A5474E">
    <w:pPr>
      <w:pStyle w:val="Header"/>
    </w:pPr>
    <w:r>
      <w:rPr>
        <w:noProof/>
      </w:rPr>
      <w:drawing>
        <wp:inline distT="0" distB="0" distL="0" distR="0" wp14:anchorId="0FE00B3A" wp14:editId="211B69C4">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A38B"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EE31"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D94D"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7DDBCDD" w14:textId="77777777" w:rsidTr="003B0421">
      <w:trPr>
        <w:trHeight w:hRule="exact" w:val="988"/>
      </w:trPr>
      <w:tc>
        <w:tcPr>
          <w:tcW w:w="7678" w:type="dxa"/>
          <w:shd w:val="clear" w:color="auto" w:fill="auto"/>
        </w:tcPr>
        <w:p w14:paraId="1A92413F" w14:textId="77777777" w:rsidR="00971914" w:rsidRDefault="00971914" w:rsidP="00971914">
          <w:pPr>
            <w:pStyle w:val="Header"/>
          </w:pPr>
        </w:p>
      </w:tc>
    </w:tr>
    <w:tr w:rsidR="00971914" w14:paraId="6795369A" w14:textId="77777777" w:rsidTr="003B0421">
      <w:tc>
        <w:tcPr>
          <w:tcW w:w="7678" w:type="dxa"/>
          <w:shd w:val="clear" w:color="auto" w:fill="auto"/>
        </w:tcPr>
        <w:p w14:paraId="10A36638" w14:textId="77777777" w:rsidR="00971914" w:rsidRDefault="00971914" w:rsidP="00971914">
          <w:pPr>
            <w:pStyle w:val="GridTable31"/>
          </w:pPr>
          <w:r>
            <w:t xml:space="preserve">Contents </w:t>
          </w:r>
          <w:r w:rsidRPr="00915B1C">
            <w:rPr>
              <w:b w:val="0"/>
              <w:spacing w:val="0"/>
              <w:sz w:val="28"/>
              <w:szCs w:val="28"/>
            </w:rPr>
            <w:t>(Continued)</w:t>
          </w:r>
        </w:p>
      </w:tc>
    </w:tr>
    <w:tr w:rsidR="00971914" w14:paraId="1625F045" w14:textId="77777777" w:rsidTr="003B0421">
      <w:trPr>
        <w:trHeight w:val="1220"/>
      </w:trPr>
      <w:tc>
        <w:tcPr>
          <w:tcW w:w="7678" w:type="dxa"/>
          <w:shd w:val="clear" w:color="auto" w:fill="auto"/>
        </w:tcPr>
        <w:p w14:paraId="625C9DFD" w14:textId="77777777" w:rsidR="00971914" w:rsidRDefault="00971914" w:rsidP="00971914"/>
      </w:tc>
    </w:tr>
  </w:tbl>
  <w:p w14:paraId="487F361F"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8607C5B" w14:textId="77777777" w:rsidTr="003B0421">
      <w:trPr>
        <w:trHeight w:hRule="exact" w:val="988"/>
      </w:trPr>
      <w:tc>
        <w:tcPr>
          <w:tcW w:w="7678" w:type="dxa"/>
          <w:shd w:val="clear" w:color="auto" w:fill="auto"/>
        </w:tcPr>
        <w:p w14:paraId="2A6CBB77" w14:textId="77777777" w:rsidR="00971914" w:rsidRDefault="00971914" w:rsidP="00971914">
          <w:pPr>
            <w:pStyle w:val="Header"/>
          </w:pPr>
        </w:p>
      </w:tc>
    </w:tr>
    <w:tr w:rsidR="00971914" w14:paraId="500BD035" w14:textId="77777777" w:rsidTr="003B0421">
      <w:tc>
        <w:tcPr>
          <w:tcW w:w="7678" w:type="dxa"/>
          <w:shd w:val="clear" w:color="auto" w:fill="auto"/>
        </w:tcPr>
        <w:p w14:paraId="188F6469" w14:textId="77777777" w:rsidR="00971914" w:rsidRDefault="00971914" w:rsidP="00971914">
          <w:pPr>
            <w:pStyle w:val="GridTable31"/>
          </w:pPr>
          <w:r>
            <w:t xml:space="preserve">Contents </w:t>
          </w:r>
          <w:r w:rsidRPr="00915B1C">
            <w:rPr>
              <w:b w:val="0"/>
              <w:spacing w:val="0"/>
              <w:sz w:val="28"/>
              <w:szCs w:val="28"/>
            </w:rPr>
            <w:t>(Continued)</w:t>
          </w:r>
        </w:p>
      </w:tc>
    </w:tr>
    <w:tr w:rsidR="00971914" w14:paraId="4B540558" w14:textId="77777777" w:rsidTr="003B0421">
      <w:trPr>
        <w:trHeight w:val="1220"/>
      </w:trPr>
      <w:tc>
        <w:tcPr>
          <w:tcW w:w="7678" w:type="dxa"/>
          <w:shd w:val="clear" w:color="auto" w:fill="auto"/>
        </w:tcPr>
        <w:p w14:paraId="703F66B4" w14:textId="77777777" w:rsidR="00971914" w:rsidRDefault="00971914" w:rsidP="00971914"/>
      </w:tc>
    </w:tr>
  </w:tbl>
  <w:p w14:paraId="715DE7D8"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A579"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93E2"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0346E19"/>
    <w:multiLevelType w:val="hybridMultilevel"/>
    <w:tmpl w:val="28104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ECE41AD"/>
    <w:multiLevelType w:val="hybridMultilevel"/>
    <w:tmpl w:val="0A62B07A"/>
    <w:lvl w:ilvl="0" w:tplc="764A7D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794340">
    <w:abstractNumId w:val="3"/>
  </w:num>
  <w:num w:numId="2" w16cid:durableId="961808067">
    <w:abstractNumId w:val="1"/>
  </w:num>
  <w:num w:numId="3" w16cid:durableId="823132573">
    <w:abstractNumId w:val="2"/>
  </w:num>
  <w:num w:numId="4" w16cid:durableId="1435860948">
    <w:abstractNumId w:val="0"/>
  </w:num>
  <w:num w:numId="5" w16cid:durableId="1458793115">
    <w:abstractNumId w:val="8"/>
  </w:num>
  <w:num w:numId="6" w16cid:durableId="1170756036">
    <w:abstractNumId w:val="13"/>
  </w:num>
  <w:num w:numId="7" w16cid:durableId="1179462982">
    <w:abstractNumId w:val="11"/>
  </w:num>
  <w:num w:numId="8" w16cid:durableId="2010865431">
    <w:abstractNumId w:val="12"/>
  </w:num>
  <w:num w:numId="9" w16cid:durableId="153958827">
    <w:abstractNumId w:val="14"/>
  </w:num>
  <w:num w:numId="10" w16cid:durableId="770122694">
    <w:abstractNumId w:val="6"/>
  </w:num>
  <w:num w:numId="11" w16cid:durableId="1981958685">
    <w:abstractNumId w:val="5"/>
  </w:num>
  <w:num w:numId="12" w16cid:durableId="454564071">
    <w:abstractNumId w:val="3"/>
  </w:num>
  <w:num w:numId="13" w16cid:durableId="1550874486">
    <w:abstractNumId w:val="2"/>
    <w:lvlOverride w:ilvl="0">
      <w:startOverride w:val="1"/>
    </w:lvlOverride>
  </w:num>
  <w:num w:numId="14" w16cid:durableId="825971527">
    <w:abstractNumId w:val="2"/>
    <w:lvlOverride w:ilvl="0">
      <w:startOverride w:val="1"/>
    </w:lvlOverride>
  </w:num>
  <w:num w:numId="15" w16cid:durableId="889999444">
    <w:abstractNumId w:val="2"/>
    <w:lvlOverride w:ilvl="0">
      <w:startOverride w:val="1"/>
    </w:lvlOverride>
  </w:num>
  <w:num w:numId="16" w16cid:durableId="271406163">
    <w:abstractNumId w:val="10"/>
  </w:num>
  <w:num w:numId="17" w16cid:durableId="1271475918">
    <w:abstractNumId w:val="2"/>
    <w:lvlOverride w:ilvl="0">
      <w:startOverride w:val="1"/>
    </w:lvlOverride>
  </w:num>
  <w:num w:numId="18" w16cid:durableId="2118475825">
    <w:abstractNumId w:val="3"/>
  </w:num>
  <w:num w:numId="19" w16cid:durableId="1206605668">
    <w:abstractNumId w:val="3"/>
  </w:num>
  <w:num w:numId="20" w16cid:durableId="1811243897">
    <w:abstractNumId w:val="2"/>
    <w:lvlOverride w:ilvl="0">
      <w:startOverride w:val="1"/>
    </w:lvlOverride>
  </w:num>
  <w:num w:numId="21" w16cid:durableId="1138454190">
    <w:abstractNumId w:val="2"/>
    <w:lvlOverride w:ilvl="0">
      <w:startOverride w:val="1"/>
    </w:lvlOverride>
  </w:num>
  <w:num w:numId="22" w16cid:durableId="520240222">
    <w:abstractNumId w:val="4"/>
  </w:num>
  <w:num w:numId="23" w16cid:durableId="54813810">
    <w:abstractNumId w:val="2"/>
    <w:lvlOverride w:ilvl="0">
      <w:startOverride w:val="1"/>
    </w:lvlOverride>
  </w:num>
  <w:num w:numId="24" w16cid:durableId="340856897">
    <w:abstractNumId w:val="9"/>
  </w:num>
  <w:num w:numId="25" w16cid:durableId="107354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C5"/>
    <w:rsid w:val="00010667"/>
    <w:rsid w:val="000129D5"/>
    <w:rsid w:val="00015AE7"/>
    <w:rsid w:val="00016E21"/>
    <w:rsid w:val="0001719C"/>
    <w:rsid w:val="0002224E"/>
    <w:rsid w:val="00023A36"/>
    <w:rsid w:val="000245E5"/>
    <w:rsid w:val="00026F91"/>
    <w:rsid w:val="00032621"/>
    <w:rsid w:val="0004764C"/>
    <w:rsid w:val="0005011A"/>
    <w:rsid w:val="0005045A"/>
    <w:rsid w:val="0005114D"/>
    <w:rsid w:val="00051C1E"/>
    <w:rsid w:val="000539F9"/>
    <w:rsid w:val="00054C27"/>
    <w:rsid w:val="00055924"/>
    <w:rsid w:val="00055EC3"/>
    <w:rsid w:val="000563CE"/>
    <w:rsid w:val="000659B6"/>
    <w:rsid w:val="0006686F"/>
    <w:rsid w:val="00066D59"/>
    <w:rsid w:val="0006722A"/>
    <w:rsid w:val="000732CF"/>
    <w:rsid w:val="00075B96"/>
    <w:rsid w:val="00080EA5"/>
    <w:rsid w:val="0008196A"/>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6AB4"/>
    <w:rsid w:val="000C761F"/>
    <w:rsid w:val="000D39DF"/>
    <w:rsid w:val="000D71D9"/>
    <w:rsid w:val="000D76E0"/>
    <w:rsid w:val="000D7E8B"/>
    <w:rsid w:val="000E35E8"/>
    <w:rsid w:val="000E4449"/>
    <w:rsid w:val="000E5E76"/>
    <w:rsid w:val="000E6097"/>
    <w:rsid w:val="00103829"/>
    <w:rsid w:val="00111FCE"/>
    <w:rsid w:val="001229A5"/>
    <w:rsid w:val="0012489B"/>
    <w:rsid w:val="00130017"/>
    <w:rsid w:val="00130F91"/>
    <w:rsid w:val="001349ED"/>
    <w:rsid w:val="00137424"/>
    <w:rsid w:val="00140318"/>
    <w:rsid w:val="001417A4"/>
    <w:rsid w:val="00141AD9"/>
    <w:rsid w:val="0014512A"/>
    <w:rsid w:val="00146CE6"/>
    <w:rsid w:val="00152903"/>
    <w:rsid w:val="00153FD5"/>
    <w:rsid w:val="0015614F"/>
    <w:rsid w:val="001577C2"/>
    <w:rsid w:val="001633C4"/>
    <w:rsid w:val="001704D5"/>
    <w:rsid w:val="00171591"/>
    <w:rsid w:val="00173981"/>
    <w:rsid w:val="00175D76"/>
    <w:rsid w:val="0017719D"/>
    <w:rsid w:val="00183FD7"/>
    <w:rsid w:val="00185CAB"/>
    <w:rsid w:val="001875B7"/>
    <w:rsid w:val="00187CB3"/>
    <w:rsid w:val="0019050A"/>
    <w:rsid w:val="001910D4"/>
    <w:rsid w:val="001976E3"/>
    <w:rsid w:val="001A44EC"/>
    <w:rsid w:val="001B45B7"/>
    <w:rsid w:val="001B58AA"/>
    <w:rsid w:val="001B7A97"/>
    <w:rsid w:val="001B7E48"/>
    <w:rsid w:val="001C17CE"/>
    <w:rsid w:val="001C36CA"/>
    <w:rsid w:val="001C44D1"/>
    <w:rsid w:val="001C6AEE"/>
    <w:rsid w:val="001C7630"/>
    <w:rsid w:val="001D6D15"/>
    <w:rsid w:val="001E72DE"/>
    <w:rsid w:val="001F50F7"/>
    <w:rsid w:val="001F7558"/>
    <w:rsid w:val="001F7F94"/>
    <w:rsid w:val="00200438"/>
    <w:rsid w:val="00201EE2"/>
    <w:rsid w:val="00203ED1"/>
    <w:rsid w:val="00205B57"/>
    <w:rsid w:val="0021426C"/>
    <w:rsid w:val="002157E0"/>
    <w:rsid w:val="00216047"/>
    <w:rsid w:val="00216A57"/>
    <w:rsid w:val="00217448"/>
    <w:rsid w:val="0022334F"/>
    <w:rsid w:val="00226819"/>
    <w:rsid w:val="00233101"/>
    <w:rsid w:val="00233817"/>
    <w:rsid w:val="0023539A"/>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76881"/>
    <w:rsid w:val="00281C89"/>
    <w:rsid w:val="0028282F"/>
    <w:rsid w:val="0029593B"/>
    <w:rsid w:val="00297FC5"/>
    <w:rsid w:val="002A0417"/>
    <w:rsid w:val="002A16D8"/>
    <w:rsid w:val="002A1BC8"/>
    <w:rsid w:val="002A3EF2"/>
    <w:rsid w:val="002B0DED"/>
    <w:rsid w:val="002B1856"/>
    <w:rsid w:val="002B19A2"/>
    <w:rsid w:val="002B381A"/>
    <w:rsid w:val="002B4FCC"/>
    <w:rsid w:val="002B5FA5"/>
    <w:rsid w:val="002B7408"/>
    <w:rsid w:val="002B7CFD"/>
    <w:rsid w:val="002C0530"/>
    <w:rsid w:val="002C210F"/>
    <w:rsid w:val="002D3600"/>
    <w:rsid w:val="002D5B3C"/>
    <w:rsid w:val="002E4DDC"/>
    <w:rsid w:val="002E4EC0"/>
    <w:rsid w:val="002F287E"/>
    <w:rsid w:val="00302135"/>
    <w:rsid w:val="00302480"/>
    <w:rsid w:val="00302758"/>
    <w:rsid w:val="0030350E"/>
    <w:rsid w:val="00315685"/>
    <w:rsid w:val="003165E6"/>
    <w:rsid w:val="00317BB5"/>
    <w:rsid w:val="003215B5"/>
    <w:rsid w:val="003221CF"/>
    <w:rsid w:val="003233ED"/>
    <w:rsid w:val="00324D9F"/>
    <w:rsid w:val="003253EE"/>
    <w:rsid w:val="00327948"/>
    <w:rsid w:val="0033000F"/>
    <w:rsid w:val="00332011"/>
    <w:rsid w:val="00332518"/>
    <w:rsid w:val="00332925"/>
    <w:rsid w:val="00332E3F"/>
    <w:rsid w:val="003332ED"/>
    <w:rsid w:val="00334789"/>
    <w:rsid w:val="003368DC"/>
    <w:rsid w:val="0034490B"/>
    <w:rsid w:val="00345927"/>
    <w:rsid w:val="00350584"/>
    <w:rsid w:val="00351857"/>
    <w:rsid w:val="003545E8"/>
    <w:rsid w:val="003610E1"/>
    <w:rsid w:val="003622DF"/>
    <w:rsid w:val="00364ACA"/>
    <w:rsid w:val="003671BE"/>
    <w:rsid w:val="00372485"/>
    <w:rsid w:val="00373200"/>
    <w:rsid w:val="00375EF5"/>
    <w:rsid w:val="003767A5"/>
    <w:rsid w:val="003803BD"/>
    <w:rsid w:val="00381D15"/>
    <w:rsid w:val="00384552"/>
    <w:rsid w:val="00385254"/>
    <w:rsid w:val="00390D91"/>
    <w:rsid w:val="003933E8"/>
    <w:rsid w:val="00394031"/>
    <w:rsid w:val="00396DC2"/>
    <w:rsid w:val="003A04DB"/>
    <w:rsid w:val="003A276D"/>
    <w:rsid w:val="003A5F5B"/>
    <w:rsid w:val="003A789A"/>
    <w:rsid w:val="003B12EC"/>
    <w:rsid w:val="003C03B8"/>
    <w:rsid w:val="003C77E0"/>
    <w:rsid w:val="003D17D7"/>
    <w:rsid w:val="003D2678"/>
    <w:rsid w:val="003D71A3"/>
    <w:rsid w:val="003E2B8A"/>
    <w:rsid w:val="003F10EE"/>
    <w:rsid w:val="003F16F6"/>
    <w:rsid w:val="003F294A"/>
    <w:rsid w:val="003F4DC7"/>
    <w:rsid w:val="003F5235"/>
    <w:rsid w:val="004027E4"/>
    <w:rsid w:val="0041071D"/>
    <w:rsid w:val="00414AFC"/>
    <w:rsid w:val="004151A7"/>
    <w:rsid w:val="00415310"/>
    <w:rsid w:val="00420E42"/>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67B67"/>
    <w:rsid w:val="004718CC"/>
    <w:rsid w:val="004725B0"/>
    <w:rsid w:val="00481695"/>
    <w:rsid w:val="00486FF6"/>
    <w:rsid w:val="00495A96"/>
    <w:rsid w:val="00495BB3"/>
    <w:rsid w:val="004A1A4E"/>
    <w:rsid w:val="004A3665"/>
    <w:rsid w:val="004A56BB"/>
    <w:rsid w:val="004A70D6"/>
    <w:rsid w:val="004B1751"/>
    <w:rsid w:val="004C0253"/>
    <w:rsid w:val="004C5D38"/>
    <w:rsid w:val="004D56FF"/>
    <w:rsid w:val="004E39D3"/>
    <w:rsid w:val="004E508A"/>
    <w:rsid w:val="004E616D"/>
    <w:rsid w:val="004F1BDE"/>
    <w:rsid w:val="004F2CEE"/>
    <w:rsid w:val="004F556E"/>
    <w:rsid w:val="004F591C"/>
    <w:rsid w:val="004F7F44"/>
    <w:rsid w:val="005037B4"/>
    <w:rsid w:val="005079BF"/>
    <w:rsid w:val="0051269A"/>
    <w:rsid w:val="00521941"/>
    <w:rsid w:val="005219E7"/>
    <w:rsid w:val="00530454"/>
    <w:rsid w:val="00531B9A"/>
    <w:rsid w:val="00531D15"/>
    <w:rsid w:val="00537604"/>
    <w:rsid w:val="00542377"/>
    <w:rsid w:val="005476EB"/>
    <w:rsid w:val="00551782"/>
    <w:rsid w:val="00563EF1"/>
    <w:rsid w:val="00566AB4"/>
    <w:rsid w:val="005711B2"/>
    <w:rsid w:val="005735F7"/>
    <w:rsid w:val="00573812"/>
    <w:rsid w:val="00575AC5"/>
    <w:rsid w:val="0057605D"/>
    <w:rsid w:val="00581347"/>
    <w:rsid w:val="00581AC9"/>
    <w:rsid w:val="005845DE"/>
    <w:rsid w:val="005849F8"/>
    <w:rsid w:val="00584B51"/>
    <w:rsid w:val="005938DF"/>
    <w:rsid w:val="00594E9C"/>
    <w:rsid w:val="00596C2F"/>
    <w:rsid w:val="005A099B"/>
    <w:rsid w:val="005A2D9C"/>
    <w:rsid w:val="005A55FE"/>
    <w:rsid w:val="005A6A11"/>
    <w:rsid w:val="005B2F0D"/>
    <w:rsid w:val="005B4AED"/>
    <w:rsid w:val="005C34EF"/>
    <w:rsid w:val="005D2502"/>
    <w:rsid w:val="005D40BB"/>
    <w:rsid w:val="005D47F3"/>
    <w:rsid w:val="005D49BF"/>
    <w:rsid w:val="005D4AA5"/>
    <w:rsid w:val="005D6F4E"/>
    <w:rsid w:val="005D7C73"/>
    <w:rsid w:val="005E250B"/>
    <w:rsid w:val="005E3ACD"/>
    <w:rsid w:val="005E672D"/>
    <w:rsid w:val="005E7226"/>
    <w:rsid w:val="005E7A57"/>
    <w:rsid w:val="005F046C"/>
    <w:rsid w:val="005F24B0"/>
    <w:rsid w:val="00604315"/>
    <w:rsid w:val="00604E26"/>
    <w:rsid w:val="0060523F"/>
    <w:rsid w:val="006052CF"/>
    <w:rsid w:val="00607B8D"/>
    <w:rsid w:val="00611F5C"/>
    <w:rsid w:val="00616E09"/>
    <w:rsid w:val="00622A3B"/>
    <w:rsid w:val="00622EEA"/>
    <w:rsid w:val="0062396C"/>
    <w:rsid w:val="00623FF9"/>
    <w:rsid w:val="0062437D"/>
    <w:rsid w:val="00627D4E"/>
    <w:rsid w:val="00631E44"/>
    <w:rsid w:val="00632B89"/>
    <w:rsid w:val="0063346D"/>
    <w:rsid w:val="00634478"/>
    <w:rsid w:val="00637EA5"/>
    <w:rsid w:val="00644373"/>
    <w:rsid w:val="00645915"/>
    <w:rsid w:val="00646CC4"/>
    <w:rsid w:val="006519C3"/>
    <w:rsid w:val="00652B30"/>
    <w:rsid w:val="00656345"/>
    <w:rsid w:val="00656DC6"/>
    <w:rsid w:val="00660EC6"/>
    <w:rsid w:val="00660F2F"/>
    <w:rsid w:val="00664110"/>
    <w:rsid w:val="00664D17"/>
    <w:rsid w:val="00666520"/>
    <w:rsid w:val="00667C5B"/>
    <w:rsid w:val="00691EB8"/>
    <w:rsid w:val="00692CDE"/>
    <w:rsid w:val="00693073"/>
    <w:rsid w:val="00696AD0"/>
    <w:rsid w:val="006977FF"/>
    <w:rsid w:val="006A01FA"/>
    <w:rsid w:val="006A0E9E"/>
    <w:rsid w:val="006A21D6"/>
    <w:rsid w:val="006A25C7"/>
    <w:rsid w:val="006A3ECF"/>
    <w:rsid w:val="006A4AAD"/>
    <w:rsid w:val="006A4CCA"/>
    <w:rsid w:val="006A6DA2"/>
    <w:rsid w:val="006A7AB2"/>
    <w:rsid w:val="006B0765"/>
    <w:rsid w:val="006B0912"/>
    <w:rsid w:val="006B52DE"/>
    <w:rsid w:val="006B5717"/>
    <w:rsid w:val="006B582F"/>
    <w:rsid w:val="006B5EB2"/>
    <w:rsid w:val="006C0CEB"/>
    <w:rsid w:val="006C1631"/>
    <w:rsid w:val="006C3B1E"/>
    <w:rsid w:val="006C47FD"/>
    <w:rsid w:val="006C5C19"/>
    <w:rsid w:val="006C5FD4"/>
    <w:rsid w:val="006C70A0"/>
    <w:rsid w:val="006D27CB"/>
    <w:rsid w:val="006D2F08"/>
    <w:rsid w:val="006D576C"/>
    <w:rsid w:val="006D5865"/>
    <w:rsid w:val="006E4B1B"/>
    <w:rsid w:val="006E5445"/>
    <w:rsid w:val="006E7BF7"/>
    <w:rsid w:val="006E7D93"/>
    <w:rsid w:val="0070133D"/>
    <w:rsid w:val="007029A3"/>
    <w:rsid w:val="00706E4E"/>
    <w:rsid w:val="0070791C"/>
    <w:rsid w:val="007134F7"/>
    <w:rsid w:val="0071383C"/>
    <w:rsid w:val="007141A7"/>
    <w:rsid w:val="00715722"/>
    <w:rsid w:val="00715BAF"/>
    <w:rsid w:val="00717B8A"/>
    <w:rsid w:val="00721032"/>
    <w:rsid w:val="00721B55"/>
    <w:rsid w:val="00726CE4"/>
    <w:rsid w:val="0073063B"/>
    <w:rsid w:val="00734143"/>
    <w:rsid w:val="00737E47"/>
    <w:rsid w:val="00740EAC"/>
    <w:rsid w:val="00744956"/>
    <w:rsid w:val="00745A5C"/>
    <w:rsid w:val="0074605F"/>
    <w:rsid w:val="00747E94"/>
    <w:rsid w:val="00754C83"/>
    <w:rsid w:val="00761E5C"/>
    <w:rsid w:val="00765DF8"/>
    <w:rsid w:val="00766749"/>
    <w:rsid w:val="00767C1B"/>
    <w:rsid w:val="00770B3F"/>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1AF4"/>
    <w:rsid w:val="007C509D"/>
    <w:rsid w:val="007C5D5A"/>
    <w:rsid w:val="007C607F"/>
    <w:rsid w:val="007C79DD"/>
    <w:rsid w:val="007D1A97"/>
    <w:rsid w:val="007D2CD6"/>
    <w:rsid w:val="007D3063"/>
    <w:rsid w:val="007D3CEB"/>
    <w:rsid w:val="007E6015"/>
    <w:rsid w:val="007E7683"/>
    <w:rsid w:val="007F49FA"/>
    <w:rsid w:val="007F54C4"/>
    <w:rsid w:val="007F6E9A"/>
    <w:rsid w:val="00800080"/>
    <w:rsid w:val="00800CCD"/>
    <w:rsid w:val="00801FEB"/>
    <w:rsid w:val="008044D4"/>
    <w:rsid w:val="00810AB4"/>
    <w:rsid w:val="00811D65"/>
    <w:rsid w:val="00817B56"/>
    <w:rsid w:val="00821A88"/>
    <w:rsid w:val="0082322E"/>
    <w:rsid w:val="0082495D"/>
    <w:rsid w:val="00830DF5"/>
    <w:rsid w:val="00830E58"/>
    <w:rsid w:val="00831AC3"/>
    <w:rsid w:val="008357ED"/>
    <w:rsid w:val="00836FCE"/>
    <w:rsid w:val="008408FF"/>
    <w:rsid w:val="008448F6"/>
    <w:rsid w:val="008500E5"/>
    <w:rsid w:val="00851F3F"/>
    <w:rsid w:val="00856EDC"/>
    <w:rsid w:val="008623B5"/>
    <w:rsid w:val="00870ABA"/>
    <w:rsid w:val="008710E1"/>
    <w:rsid w:val="008716E5"/>
    <w:rsid w:val="00881CA9"/>
    <w:rsid w:val="00883628"/>
    <w:rsid w:val="00885544"/>
    <w:rsid w:val="0088634E"/>
    <w:rsid w:val="00893AB8"/>
    <w:rsid w:val="008A04C8"/>
    <w:rsid w:val="008A4066"/>
    <w:rsid w:val="008A6913"/>
    <w:rsid w:val="008B70F3"/>
    <w:rsid w:val="008B71C4"/>
    <w:rsid w:val="008B76DF"/>
    <w:rsid w:val="008C10F4"/>
    <w:rsid w:val="008C65F7"/>
    <w:rsid w:val="008D36F4"/>
    <w:rsid w:val="008E0428"/>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36E95"/>
    <w:rsid w:val="0094078F"/>
    <w:rsid w:val="00940FA3"/>
    <w:rsid w:val="00941FB0"/>
    <w:rsid w:val="009426D4"/>
    <w:rsid w:val="00947F25"/>
    <w:rsid w:val="00950159"/>
    <w:rsid w:val="00952D85"/>
    <w:rsid w:val="0095490B"/>
    <w:rsid w:val="00960A33"/>
    <w:rsid w:val="009631F1"/>
    <w:rsid w:val="00971914"/>
    <w:rsid w:val="00974363"/>
    <w:rsid w:val="00974883"/>
    <w:rsid w:val="00981898"/>
    <w:rsid w:val="00983041"/>
    <w:rsid w:val="0099577C"/>
    <w:rsid w:val="009A021C"/>
    <w:rsid w:val="009A25CC"/>
    <w:rsid w:val="009A71F3"/>
    <w:rsid w:val="009B1C57"/>
    <w:rsid w:val="009B24A5"/>
    <w:rsid w:val="009B2601"/>
    <w:rsid w:val="009B4E9E"/>
    <w:rsid w:val="009C1690"/>
    <w:rsid w:val="009C2480"/>
    <w:rsid w:val="009C6881"/>
    <w:rsid w:val="009C7759"/>
    <w:rsid w:val="009D043D"/>
    <w:rsid w:val="009D07C8"/>
    <w:rsid w:val="009D4C85"/>
    <w:rsid w:val="009D53C5"/>
    <w:rsid w:val="009D6C71"/>
    <w:rsid w:val="009E0631"/>
    <w:rsid w:val="009E16D0"/>
    <w:rsid w:val="009E2051"/>
    <w:rsid w:val="009E38FD"/>
    <w:rsid w:val="009F13D6"/>
    <w:rsid w:val="009F4C6B"/>
    <w:rsid w:val="009F78A8"/>
    <w:rsid w:val="00A017E0"/>
    <w:rsid w:val="00A02AD6"/>
    <w:rsid w:val="00A07096"/>
    <w:rsid w:val="00A07318"/>
    <w:rsid w:val="00A075B6"/>
    <w:rsid w:val="00A11370"/>
    <w:rsid w:val="00A224CE"/>
    <w:rsid w:val="00A22522"/>
    <w:rsid w:val="00A23282"/>
    <w:rsid w:val="00A24AFD"/>
    <w:rsid w:val="00A24F5C"/>
    <w:rsid w:val="00A32F96"/>
    <w:rsid w:val="00A3653D"/>
    <w:rsid w:val="00A40871"/>
    <w:rsid w:val="00A412AB"/>
    <w:rsid w:val="00A4193E"/>
    <w:rsid w:val="00A43B3D"/>
    <w:rsid w:val="00A440E0"/>
    <w:rsid w:val="00A442EF"/>
    <w:rsid w:val="00A51D1A"/>
    <w:rsid w:val="00A5418D"/>
    <w:rsid w:val="00A5474E"/>
    <w:rsid w:val="00A5508B"/>
    <w:rsid w:val="00A55D0A"/>
    <w:rsid w:val="00A64234"/>
    <w:rsid w:val="00A70ADF"/>
    <w:rsid w:val="00A7142B"/>
    <w:rsid w:val="00A71466"/>
    <w:rsid w:val="00A74B5E"/>
    <w:rsid w:val="00A81BED"/>
    <w:rsid w:val="00A81EC4"/>
    <w:rsid w:val="00A824E8"/>
    <w:rsid w:val="00A82661"/>
    <w:rsid w:val="00A857B2"/>
    <w:rsid w:val="00A85C35"/>
    <w:rsid w:val="00A85EC7"/>
    <w:rsid w:val="00A967FD"/>
    <w:rsid w:val="00AA2DE5"/>
    <w:rsid w:val="00AB156C"/>
    <w:rsid w:val="00AB6814"/>
    <w:rsid w:val="00AC04BA"/>
    <w:rsid w:val="00AC0E39"/>
    <w:rsid w:val="00AD0D86"/>
    <w:rsid w:val="00AD3082"/>
    <w:rsid w:val="00AD32B4"/>
    <w:rsid w:val="00AD4AD0"/>
    <w:rsid w:val="00AD5436"/>
    <w:rsid w:val="00AD60CD"/>
    <w:rsid w:val="00AD6176"/>
    <w:rsid w:val="00AD6C8C"/>
    <w:rsid w:val="00AE091D"/>
    <w:rsid w:val="00AE3B60"/>
    <w:rsid w:val="00AE53A1"/>
    <w:rsid w:val="00AF2484"/>
    <w:rsid w:val="00AF63E7"/>
    <w:rsid w:val="00AF6E17"/>
    <w:rsid w:val="00B0165D"/>
    <w:rsid w:val="00B01B60"/>
    <w:rsid w:val="00B031F3"/>
    <w:rsid w:val="00B052A4"/>
    <w:rsid w:val="00B125DE"/>
    <w:rsid w:val="00B13FDD"/>
    <w:rsid w:val="00B15145"/>
    <w:rsid w:val="00B22EB2"/>
    <w:rsid w:val="00B27442"/>
    <w:rsid w:val="00B31167"/>
    <w:rsid w:val="00B329D8"/>
    <w:rsid w:val="00B32BB9"/>
    <w:rsid w:val="00B33AE1"/>
    <w:rsid w:val="00B37C38"/>
    <w:rsid w:val="00B40307"/>
    <w:rsid w:val="00B4288C"/>
    <w:rsid w:val="00B43262"/>
    <w:rsid w:val="00B44100"/>
    <w:rsid w:val="00B46CBA"/>
    <w:rsid w:val="00B46F94"/>
    <w:rsid w:val="00B50841"/>
    <w:rsid w:val="00B6003C"/>
    <w:rsid w:val="00B61F03"/>
    <w:rsid w:val="00B626E4"/>
    <w:rsid w:val="00B64500"/>
    <w:rsid w:val="00B72F4A"/>
    <w:rsid w:val="00B83C27"/>
    <w:rsid w:val="00B84BC3"/>
    <w:rsid w:val="00B84BDD"/>
    <w:rsid w:val="00B92812"/>
    <w:rsid w:val="00BA66BC"/>
    <w:rsid w:val="00BB0042"/>
    <w:rsid w:val="00BB45A1"/>
    <w:rsid w:val="00BB4CC6"/>
    <w:rsid w:val="00BB6335"/>
    <w:rsid w:val="00BB7686"/>
    <w:rsid w:val="00BB7802"/>
    <w:rsid w:val="00BC23F9"/>
    <w:rsid w:val="00BC3421"/>
    <w:rsid w:val="00BC732C"/>
    <w:rsid w:val="00BD12D2"/>
    <w:rsid w:val="00BD4421"/>
    <w:rsid w:val="00BE2580"/>
    <w:rsid w:val="00BE266D"/>
    <w:rsid w:val="00BE3938"/>
    <w:rsid w:val="00BE4C11"/>
    <w:rsid w:val="00BE71C0"/>
    <w:rsid w:val="00BF610C"/>
    <w:rsid w:val="00C0060B"/>
    <w:rsid w:val="00C01A6C"/>
    <w:rsid w:val="00C0277D"/>
    <w:rsid w:val="00C02F26"/>
    <w:rsid w:val="00C053A1"/>
    <w:rsid w:val="00C056B0"/>
    <w:rsid w:val="00C13CA7"/>
    <w:rsid w:val="00C16198"/>
    <w:rsid w:val="00C2083D"/>
    <w:rsid w:val="00C221C8"/>
    <w:rsid w:val="00C24466"/>
    <w:rsid w:val="00C24A53"/>
    <w:rsid w:val="00C34919"/>
    <w:rsid w:val="00C34A05"/>
    <w:rsid w:val="00C35CCE"/>
    <w:rsid w:val="00C4032F"/>
    <w:rsid w:val="00C41F21"/>
    <w:rsid w:val="00C44047"/>
    <w:rsid w:val="00C45155"/>
    <w:rsid w:val="00C5498F"/>
    <w:rsid w:val="00C55235"/>
    <w:rsid w:val="00C64CD0"/>
    <w:rsid w:val="00C65F61"/>
    <w:rsid w:val="00C6684F"/>
    <w:rsid w:val="00C70E70"/>
    <w:rsid w:val="00C75F8D"/>
    <w:rsid w:val="00C77380"/>
    <w:rsid w:val="00C7746C"/>
    <w:rsid w:val="00C879DA"/>
    <w:rsid w:val="00C87E8A"/>
    <w:rsid w:val="00C913D6"/>
    <w:rsid w:val="00C97736"/>
    <w:rsid w:val="00CA345A"/>
    <w:rsid w:val="00CB0FDF"/>
    <w:rsid w:val="00CB1E82"/>
    <w:rsid w:val="00CB4BA8"/>
    <w:rsid w:val="00CB52D7"/>
    <w:rsid w:val="00CC6732"/>
    <w:rsid w:val="00CD6ACF"/>
    <w:rsid w:val="00CE3C96"/>
    <w:rsid w:val="00CE51A8"/>
    <w:rsid w:val="00CF0BFE"/>
    <w:rsid w:val="00CF369B"/>
    <w:rsid w:val="00D00E28"/>
    <w:rsid w:val="00D0269E"/>
    <w:rsid w:val="00D03276"/>
    <w:rsid w:val="00D04C32"/>
    <w:rsid w:val="00D05AB8"/>
    <w:rsid w:val="00D05D6C"/>
    <w:rsid w:val="00D13ADB"/>
    <w:rsid w:val="00D1565F"/>
    <w:rsid w:val="00D15810"/>
    <w:rsid w:val="00D16D4E"/>
    <w:rsid w:val="00D16FE3"/>
    <w:rsid w:val="00D27F41"/>
    <w:rsid w:val="00D36441"/>
    <w:rsid w:val="00D4064E"/>
    <w:rsid w:val="00D43B47"/>
    <w:rsid w:val="00D4401F"/>
    <w:rsid w:val="00D44CA6"/>
    <w:rsid w:val="00D44E9B"/>
    <w:rsid w:val="00D47AEB"/>
    <w:rsid w:val="00D50DB9"/>
    <w:rsid w:val="00D51302"/>
    <w:rsid w:val="00D52C43"/>
    <w:rsid w:val="00D568AF"/>
    <w:rsid w:val="00D61243"/>
    <w:rsid w:val="00D6507F"/>
    <w:rsid w:val="00D71020"/>
    <w:rsid w:val="00D730BC"/>
    <w:rsid w:val="00D73912"/>
    <w:rsid w:val="00D85226"/>
    <w:rsid w:val="00D87B94"/>
    <w:rsid w:val="00D92D49"/>
    <w:rsid w:val="00D92EC1"/>
    <w:rsid w:val="00D96DEA"/>
    <w:rsid w:val="00DA02C5"/>
    <w:rsid w:val="00DA4E41"/>
    <w:rsid w:val="00DB117A"/>
    <w:rsid w:val="00DB5173"/>
    <w:rsid w:val="00DB7873"/>
    <w:rsid w:val="00DC187B"/>
    <w:rsid w:val="00DD1A43"/>
    <w:rsid w:val="00DD73C2"/>
    <w:rsid w:val="00DE319B"/>
    <w:rsid w:val="00DE67A4"/>
    <w:rsid w:val="00DF34FE"/>
    <w:rsid w:val="00DF56AA"/>
    <w:rsid w:val="00DF56AF"/>
    <w:rsid w:val="00DF66D9"/>
    <w:rsid w:val="00DF78E7"/>
    <w:rsid w:val="00E110E0"/>
    <w:rsid w:val="00E143FD"/>
    <w:rsid w:val="00E15371"/>
    <w:rsid w:val="00E162C4"/>
    <w:rsid w:val="00E205BF"/>
    <w:rsid w:val="00E21056"/>
    <w:rsid w:val="00E24104"/>
    <w:rsid w:val="00E302D0"/>
    <w:rsid w:val="00E35707"/>
    <w:rsid w:val="00E36AA1"/>
    <w:rsid w:val="00E41ECB"/>
    <w:rsid w:val="00E42676"/>
    <w:rsid w:val="00E5426D"/>
    <w:rsid w:val="00E54FDB"/>
    <w:rsid w:val="00E5617D"/>
    <w:rsid w:val="00E563D7"/>
    <w:rsid w:val="00E663F4"/>
    <w:rsid w:val="00E666F2"/>
    <w:rsid w:val="00E66DD4"/>
    <w:rsid w:val="00E71872"/>
    <w:rsid w:val="00E748CC"/>
    <w:rsid w:val="00E74F15"/>
    <w:rsid w:val="00E75415"/>
    <w:rsid w:val="00E775B1"/>
    <w:rsid w:val="00E77682"/>
    <w:rsid w:val="00E810A7"/>
    <w:rsid w:val="00E8123C"/>
    <w:rsid w:val="00E8152A"/>
    <w:rsid w:val="00E93629"/>
    <w:rsid w:val="00E93B5C"/>
    <w:rsid w:val="00E94CEC"/>
    <w:rsid w:val="00EA04EF"/>
    <w:rsid w:val="00EA0969"/>
    <w:rsid w:val="00EA53C3"/>
    <w:rsid w:val="00EA6C79"/>
    <w:rsid w:val="00EA6F19"/>
    <w:rsid w:val="00EB7090"/>
    <w:rsid w:val="00EC1BBE"/>
    <w:rsid w:val="00EC2B68"/>
    <w:rsid w:val="00EC3AEF"/>
    <w:rsid w:val="00EC5CD7"/>
    <w:rsid w:val="00EE0800"/>
    <w:rsid w:val="00EE5FB3"/>
    <w:rsid w:val="00EE7F79"/>
    <w:rsid w:val="00EF715A"/>
    <w:rsid w:val="00F06E14"/>
    <w:rsid w:val="00F1021D"/>
    <w:rsid w:val="00F1227E"/>
    <w:rsid w:val="00F15AEB"/>
    <w:rsid w:val="00F179D4"/>
    <w:rsid w:val="00F22A23"/>
    <w:rsid w:val="00F33C56"/>
    <w:rsid w:val="00F347C7"/>
    <w:rsid w:val="00F34848"/>
    <w:rsid w:val="00F361D7"/>
    <w:rsid w:val="00F42D46"/>
    <w:rsid w:val="00F4496C"/>
    <w:rsid w:val="00F44F3A"/>
    <w:rsid w:val="00F51F10"/>
    <w:rsid w:val="00F529A5"/>
    <w:rsid w:val="00F5310D"/>
    <w:rsid w:val="00F60F00"/>
    <w:rsid w:val="00F614C0"/>
    <w:rsid w:val="00F71F2F"/>
    <w:rsid w:val="00F83848"/>
    <w:rsid w:val="00F9034E"/>
    <w:rsid w:val="00F975E9"/>
    <w:rsid w:val="00FA1B7D"/>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57D7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Style 13,FR"/>
    <w:basedOn w:val="DefaultParagraphFont"/>
    <w:qFormat/>
    <w:rsid w:val="00566AB4"/>
    <w:rPr>
      <w:rFonts w:ascii="Arial" w:hAnsi="Arial"/>
      <w:vertAlign w:val="superscript"/>
    </w:rPr>
  </w:style>
  <w:style w:type="paragraph" w:styleId="FootnoteText">
    <w:name w:val="footnote text"/>
    <w:aliases w:val="Footnote text,ACMA Footnote Text,footnote text,Footnote Text Char1,Footnote Text Char Char,Footnote Text Char1 Char Char,Footnote Text Char Char Char Char,Footnote Text Char1 Char Char Char Char,Footnote Text Char Char Char Char Char Char"/>
    <w:basedOn w:val="Normal"/>
    <w:link w:val="FootnoteTextChar"/>
    <w:qFormat/>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paragraph" w:customStyle="1" w:styleId="ACMABodyText">
    <w:name w:val="ACMA Body Text"/>
    <w:rsid w:val="00D568AF"/>
    <w:pPr>
      <w:suppressAutoHyphens/>
      <w:spacing w:before="80" w:after="120" w:line="260" w:lineRule="atLeast"/>
    </w:pPr>
    <w:rPr>
      <w:rFonts w:ascii="Arial" w:hAnsi="Arial"/>
      <w:snapToGrid w:val="0"/>
      <w:sz w:val="22"/>
      <w:szCs w:val="20"/>
      <w:lang w:eastAsia="en-US"/>
    </w:rPr>
  </w:style>
  <w:style w:type="character" w:customStyle="1" w:styleId="FootnoteTextChar">
    <w:name w:val="Footnote Text Char"/>
    <w:aliases w:val="Footnote text Char,ACMA Footnote Text Char,footnote text Char,Footnote Text Char1 Char,Footnote Text Char Char Char,Footnote Text Char1 Char Char Char,Footnote Text Char Char Char Char Char,Footnote Text Char1 Char Char Char Char Char"/>
    <w:basedOn w:val="DefaultParagraphFont"/>
    <w:link w:val="FootnoteText"/>
    <w:uiPriority w:val="99"/>
    <w:qFormat/>
    <w:locked/>
    <w:rsid w:val="005845DE"/>
    <w:rPr>
      <w:rFonts w:ascii="Arial" w:hAnsi="Arial"/>
      <w:sz w:val="16"/>
      <w:szCs w:val="16"/>
    </w:rPr>
  </w:style>
  <w:style w:type="paragraph" w:styleId="NormalWeb">
    <w:name w:val="Normal (Web)"/>
    <w:basedOn w:val="Normal"/>
    <w:uiPriority w:val="99"/>
    <w:semiHidden/>
    <w:unhideWhenUsed/>
    <w:rsid w:val="00952D85"/>
    <w:pPr>
      <w:spacing w:before="100" w:beforeAutospacing="1" w:after="100" w:afterAutospacing="1" w:line="240" w:lineRule="auto"/>
    </w:pPr>
    <w:rPr>
      <w:rFonts w:ascii="Calibri" w:eastAsiaTheme="minorHAnsi" w:hAnsi="Calibri" w:cs="Calibri"/>
      <w:sz w:val="22"/>
      <w:szCs w:val="22"/>
    </w:rPr>
  </w:style>
  <w:style w:type="paragraph" w:customStyle="1" w:styleId="subsection">
    <w:name w:val="subsection"/>
    <w:aliases w:val="ss,Subsection"/>
    <w:basedOn w:val="Normal"/>
    <w:link w:val="subsectionChar"/>
    <w:rsid w:val="00830E58"/>
    <w:pPr>
      <w:tabs>
        <w:tab w:val="right" w:pos="1021"/>
      </w:tabs>
      <w:spacing w:before="180" w:after="0" w:line="240" w:lineRule="auto"/>
      <w:ind w:left="1134" w:hanging="1134"/>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830E58"/>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29496762">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legislation.gov.au/F2015L01438/latest/text" TargetMode="Externa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legislation.gov.au/F2021L00661/latest/text"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freqplan@acm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1-11/exploring-future-use-19-ghz-band-consultation-402021"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acma.gov.au/consultations/2024-04/remaking-radiocommunications-cordless-communications-devices-class-licence-2014" TargetMode="External"/><Relationship Id="rId28" Type="http://schemas.openxmlformats.org/officeDocument/2006/relationships/hyperlink" Target="https://www.acma.gov.au/have-your-say"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s://www.acma.gov.au/privacy-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ww.acma.gov.au/consultations/2021-11/exploring-future-use-19-ghz-band-consultation-402021" TargetMode="External"/><Relationship Id="rId30" Type="http://schemas.openxmlformats.org/officeDocument/2006/relationships/hyperlink" Target="https://www.acma.gov.au/publication-submissions" TargetMode="External"/><Relationship Id="rId35" Type="http://schemas.openxmlformats.org/officeDocument/2006/relationships/footer" Target="footer8.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si.org/deliver/etsi_en/300300_300399/300330/02.01.01_60/en_300330v020101p.pdf" TargetMode="External"/><Relationship Id="rId2" Type="http://schemas.openxmlformats.org/officeDocument/2006/relationships/hyperlink" Target="https://www.acma.gov.au/consultations/2024-04/remaking-radiocommunications-cordless-communications-devices-class-licence-2014" TargetMode="External"/><Relationship Id="rId1" Type="http://schemas.openxmlformats.org/officeDocument/2006/relationships/hyperlink" Target="https://www.etsi.org/standards" TargetMode="External"/><Relationship Id="rId5" Type="http://schemas.openxmlformats.org/officeDocument/2006/relationships/hyperlink" Target="https://www.etsi.org/deliver/etsi_en/300400_300499/300440/02.02.01_60/en_300440v020201p.pdf" TargetMode="External"/><Relationship Id="rId4" Type="http://schemas.openxmlformats.org/officeDocument/2006/relationships/hyperlink" Target="https://www.etsi.org/deliver/etsi_en/300200_300299/30022001/03.01.01_60/en_30022001v030101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1707</Words>
  <Characters>9289</Characters>
  <Application>Microsoft Office Word</Application>
  <DocSecurity>0</DocSecurity>
  <Lines>203</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2024-07-05T02:26:00Z</dcterms:created>
  <dcterms:modified xsi:type="dcterms:W3CDTF">2024-07-05T02:26:00Z</dcterms:modified>
  <cp:category/>
</cp:coreProperties>
</file>