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25A5" w14:textId="77777777" w:rsidR="009B62A2" w:rsidRPr="009B62A2" w:rsidRDefault="009B62A2" w:rsidP="009B62A2">
      <w:pPr>
        <w:autoSpaceDE w:val="0"/>
        <w:autoSpaceDN w:val="0"/>
        <w:adjustRightInd w:val="0"/>
        <w:spacing w:after="0" w:line="240" w:lineRule="auto"/>
        <w:rPr>
          <w:rFonts w:ascii="Arial" w:eastAsia="Times New Roman" w:hAnsi="Arial" w:cs="Arial"/>
          <w:b/>
          <w:bCs/>
          <w:sz w:val="40"/>
          <w:szCs w:val="40"/>
          <w:lang w:eastAsia="en-AU"/>
        </w:rPr>
      </w:pPr>
      <w:r w:rsidRPr="009B62A2">
        <w:rPr>
          <w:rFonts w:ascii="Arial" w:eastAsia="Times New Roman" w:hAnsi="Arial" w:cs="Times New Roman"/>
          <w:noProof/>
          <w:sz w:val="26"/>
          <w:szCs w:val="24"/>
          <w:lang w:eastAsia="en-AU"/>
        </w:rPr>
        <w:drawing>
          <wp:inline distT="0" distB="0" distL="0" distR="0" wp14:anchorId="4AF725F3" wp14:editId="6BEBEFFD">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AF725A7" w14:textId="29E92D79" w:rsidR="009B62A2" w:rsidRPr="00DF368D" w:rsidRDefault="009B62A2" w:rsidP="00DF368D">
      <w:pPr>
        <w:pStyle w:val="Title"/>
        <w:pBdr>
          <w:bottom w:val="single" w:sz="4" w:space="3" w:color="auto"/>
        </w:pBdr>
      </w:pPr>
      <w:bookmarkStart w:id="0" w:name="OLE_LINK5"/>
      <w:bookmarkStart w:id="1" w:name="OLE_LINK6"/>
      <w:r w:rsidRPr="00DF368D">
        <w:t xml:space="preserve">Broadcasting Services (Regional Commercial Radio – Local Presence) Licence Condition </w:t>
      </w:r>
      <w:r w:rsidR="00DA5EE9" w:rsidRPr="00DF368D">
        <w:t>2024</w:t>
      </w:r>
    </w:p>
    <w:bookmarkEnd w:id="0"/>
    <w:bookmarkEnd w:id="1"/>
    <w:p w14:paraId="4AF725A8" w14:textId="54F4A084" w:rsidR="009B62A2" w:rsidRPr="00DF368D" w:rsidRDefault="009B62A2" w:rsidP="00DF368D">
      <w:pPr>
        <w:pBdr>
          <w:bottom w:val="single" w:sz="4" w:space="3" w:color="auto"/>
        </w:pBdr>
        <w:spacing w:before="480" w:after="0" w:line="240" w:lineRule="auto"/>
        <w:rPr>
          <w:rFonts w:ascii="Times New Roman" w:eastAsia="Times New Roman" w:hAnsi="Times New Roman" w:cs="Times New Roman"/>
          <w:i/>
          <w:sz w:val="28"/>
          <w:szCs w:val="28"/>
          <w:lang w:val="en-US" w:eastAsia="en-AU"/>
        </w:rPr>
      </w:pPr>
    </w:p>
    <w:p w14:paraId="4AF725A9" w14:textId="47BEBB33" w:rsidR="009B62A2" w:rsidRPr="008905A2" w:rsidRDefault="009B62A2" w:rsidP="009B62A2">
      <w:pPr>
        <w:spacing w:before="360" w:after="0" w:line="240" w:lineRule="auto"/>
        <w:jc w:val="both"/>
        <w:rPr>
          <w:rFonts w:ascii="Times New Roman" w:eastAsia="Times New Roman" w:hAnsi="Times New Roman" w:cs="Times New Roman"/>
          <w:szCs w:val="24"/>
          <w:lang w:eastAsia="en-AU"/>
        </w:rPr>
      </w:pPr>
      <w:r w:rsidRPr="008905A2">
        <w:rPr>
          <w:rFonts w:ascii="Times New Roman" w:eastAsia="Times New Roman" w:hAnsi="Times New Roman" w:cs="Times New Roman"/>
          <w:szCs w:val="24"/>
          <w:lang w:eastAsia="en-AU"/>
        </w:rPr>
        <w:t xml:space="preserve">The </w:t>
      </w:r>
      <w:r w:rsidR="00ED25E1">
        <w:rPr>
          <w:rFonts w:ascii="Times New Roman" w:eastAsia="Times New Roman" w:hAnsi="Times New Roman" w:cs="Times New Roman"/>
          <w:szCs w:val="24"/>
          <w:lang w:eastAsia="en-AU"/>
        </w:rPr>
        <w:t>Australian Communications and Media Authority</w:t>
      </w:r>
      <w:r w:rsidRPr="008905A2">
        <w:rPr>
          <w:rFonts w:ascii="Times New Roman" w:eastAsia="Times New Roman" w:hAnsi="Times New Roman" w:cs="Times New Roman"/>
          <w:szCs w:val="24"/>
          <w:lang w:eastAsia="en-AU"/>
        </w:rPr>
        <w:t xml:space="preserve"> makes this condition under subsection 43(1) of the </w:t>
      </w:r>
      <w:r w:rsidRPr="008905A2">
        <w:rPr>
          <w:rFonts w:ascii="Times New Roman" w:eastAsia="Times New Roman" w:hAnsi="Times New Roman" w:cs="Times New Roman"/>
          <w:i/>
          <w:szCs w:val="24"/>
          <w:lang w:eastAsia="en-AU"/>
        </w:rPr>
        <w:t>Broadcasting Services Act 1992</w:t>
      </w:r>
      <w:r w:rsidRPr="008905A2">
        <w:rPr>
          <w:rFonts w:ascii="Times New Roman" w:eastAsia="Times New Roman" w:hAnsi="Times New Roman" w:cs="Times New Roman"/>
          <w:szCs w:val="24"/>
          <w:lang w:eastAsia="en-AU"/>
        </w:rPr>
        <w:t>.</w:t>
      </w:r>
    </w:p>
    <w:p w14:paraId="4AF725AA" w14:textId="5F3FBF56" w:rsidR="009B62A2" w:rsidRPr="008905A2" w:rsidRDefault="009B62A2" w:rsidP="009B62A2">
      <w:pPr>
        <w:suppressAutoHyphens/>
        <w:spacing w:before="80" w:after="120" w:line="280" w:lineRule="atLeast"/>
        <w:rPr>
          <w:rFonts w:ascii="Times New Roman" w:eastAsia="Times New Roman" w:hAnsi="Times New Roman" w:cs="Times New Roman"/>
          <w:snapToGrid w:val="0"/>
          <w:szCs w:val="20"/>
        </w:rPr>
      </w:pPr>
      <w:r w:rsidRPr="008905A2">
        <w:rPr>
          <w:rFonts w:ascii="Times New Roman" w:eastAsia="Times New Roman" w:hAnsi="Times New Roman" w:cs="Times New Roman"/>
          <w:snapToGrid w:val="0"/>
          <w:szCs w:val="20"/>
        </w:rPr>
        <w:t>Dated</w:t>
      </w:r>
      <w:r w:rsidR="00A42977">
        <w:rPr>
          <w:rFonts w:ascii="Times New Roman" w:eastAsia="Times New Roman" w:hAnsi="Times New Roman" w:cs="Times New Roman"/>
          <w:snapToGrid w:val="0"/>
          <w:szCs w:val="20"/>
        </w:rPr>
        <w:t xml:space="preserve">     </w:t>
      </w:r>
      <w:r w:rsidR="00A42977">
        <w:rPr>
          <w:rFonts w:ascii="Times New Roman" w:eastAsia="Times New Roman" w:hAnsi="Times New Roman" w:cs="Times New Roman"/>
          <w:snapToGrid w:val="0"/>
          <w:sz w:val="24"/>
          <w:szCs w:val="20"/>
        </w:rPr>
        <w:t xml:space="preserve">    </w:t>
      </w:r>
      <w:r w:rsidRPr="00ED25E1">
        <w:rPr>
          <w:rFonts w:ascii="Times New Roman" w:eastAsia="Times New Roman" w:hAnsi="Times New Roman" w:cs="Times New Roman"/>
          <w:snapToGrid w:val="0"/>
          <w:sz w:val="24"/>
          <w:szCs w:val="20"/>
        </w:rPr>
        <w:tab/>
      </w:r>
      <w:r w:rsidRPr="00ED25E1">
        <w:rPr>
          <w:rFonts w:ascii="Times New Roman" w:eastAsia="Times New Roman" w:hAnsi="Times New Roman" w:cs="Times New Roman"/>
          <w:snapToGrid w:val="0"/>
          <w:sz w:val="24"/>
          <w:szCs w:val="20"/>
        </w:rPr>
        <w:tab/>
      </w:r>
      <w:r w:rsidRPr="00ED25E1">
        <w:rPr>
          <w:rFonts w:ascii="Times New Roman" w:eastAsia="Times New Roman" w:hAnsi="Times New Roman" w:cs="Times New Roman"/>
          <w:snapToGrid w:val="0"/>
          <w:sz w:val="24"/>
          <w:szCs w:val="20"/>
        </w:rPr>
        <w:tab/>
      </w:r>
      <w:r w:rsidR="00A42977">
        <w:rPr>
          <w:rFonts w:ascii="Times New Roman" w:eastAsia="Times New Roman" w:hAnsi="Times New Roman" w:cs="Times New Roman"/>
          <w:snapToGrid w:val="0"/>
          <w:sz w:val="24"/>
          <w:szCs w:val="20"/>
        </w:rPr>
        <w:t xml:space="preserve">  </w:t>
      </w:r>
      <w:r w:rsidR="00A7719C">
        <w:rPr>
          <w:rFonts w:ascii="Times New Roman" w:eastAsia="Times New Roman" w:hAnsi="Times New Roman" w:cs="Times New Roman"/>
          <w:snapToGrid w:val="0"/>
          <w:sz w:val="24"/>
          <w:szCs w:val="20"/>
        </w:rPr>
        <w:tab/>
      </w:r>
      <w:r w:rsidR="00A7719C">
        <w:rPr>
          <w:rFonts w:ascii="Times New Roman" w:eastAsia="Times New Roman" w:hAnsi="Times New Roman" w:cs="Times New Roman"/>
          <w:snapToGrid w:val="0"/>
          <w:sz w:val="24"/>
          <w:szCs w:val="20"/>
        </w:rPr>
        <w:tab/>
      </w:r>
      <w:r w:rsidR="00A7719C">
        <w:rPr>
          <w:rFonts w:ascii="Times New Roman" w:eastAsia="Times New Roman" w:hAnsi="Times New Roman" w:cs="Times New Roman"/>
          <w:snapToGrid w:val="0"/>
          <w:sz w:val="24"/>
          <w:szCs w:val="20"/>
        </w:rPr>
        <w:tab/>
      </w:r>
      <w:r w:rsidR="00A7719C">
        <w:rPr>
          <w:rFonts w:ascii="Times New Roman" w:eastAsia="Times New Roman" w:hAnsi="Times New Roman" w:cs="Times New Roman"/>
          <w:snapToGrid w:val="0"/>
          <w:sz w:val="24"/>
          <w:szCs w:val="20"/>
        </w:rPr>
        <w:tab/>
      </w:r>
      <w:r w:rsidR="00A7719C">
        <w:rPr>
          <w:rFonts w:ascii="Times New Roman" w:eastAsia="Times New Roman" w:hAnsi="Times New Roman" w:cs="Times New Roman"/>
          <w:snapToGrid w:val="0"/>
          <w:szCs w:val="20"/>
        </w:rPr>
        <w:t xml:space="preserve"> </w:t>
      </w:r>
    </w:p>
    <w:p w14:paraId="4AF725AB" w14:textId="77777777" w:rsidR="009B62A2" w:rsidRPr="008905A2" w:rsidRDefault="009B62A2" w:rsidP="009B62A2">
      <w:pPr>
        <w:suppressAutoHyphens/>
        <w:spacing w:before="80" w:after="120" w:line="280" w:lineRule="atLeast"/>
        <w:rPr>
          <w:rFonts w:ascii="Times New Roman" w:eastAsia="Times New Roman" w:hAnsi="Times New Roman" w:cs="Times New Roman"/>
          <w:snapToGrid w:val="0"/>
          <w:szCs w:val="20"/>
        </w:rPr>
      </w:pPr>
    </w:p>
    <w:p w14:paraId="4AF725AC" w14:textId="77777777" w:rsidR="009B62A2" w:rsidRPr="008905A2" w:rsidRDefault="009B62A2" w:rsidP="009B62A2">
      <w:pPr>
        <w:suppressAutoHyphens/>
        <w:spacing w:before="80" w:after="120" w:line="280" w:lineRule="atLeast"/>
        <w:jc w:val="right"/>
        <w:rPr>
          <w:rFonts w:ascii="Times New Roman" w:eastAsia="Times New Roman" w:hAnsi="Times New Roman" w:cs="Times New Roman"/>
          <w:snapToGrid w:val="0"/>
          <w:szCs w:val="20"/>
        </w:rPr>
      </w:pPr>
    </w:p>
    <w:p w14:paraId="4AF725AD" w14:textId="3511CFD2" w:rsidR="009B62A2" w:rsidRPr="008905A2" w:rsidRDefault="009B62A2" w:rsidP="009B62A2">
      <w:pPr>
        <w:suppressAutoHyphens/>
        <w:spacing w:before="80" w:after="120" w:line="280" w:lineRule="atLeast"/>
        <w:jc w:val="right"/>
        <w:rPr>
          <w:rFonts w:ascii="Times New Roman" w:eastAsia="Times New Roman" w:hAnsi="Times New Roman" w:cs="Times New Roman"/>
          <w:snapToGrid w:val="0"/>
          <w:szCs w:val="20"/>
        </w:rPr>
      </w:pPr>
      <w:r w:rsidRPr="008905A2">
        <w:rPr>
          <w:rFonts w:ascii="Times New Roman" w:eastAsia="Times New Roman" w:hAnsi="Times New Roman" w:cs="Times New Roman"/>
          <w:snapToGrid w:val="0"/>
          <w:szCs w:val="20"/>
        </w:rPr>
        <w:br/>
      </w:r>
      <w:r w:rsidRPr="008905A2">
        <w:rPr>
          <w:rFonts w:ascii="Times New Roman" w:eastAsia="Times New Roman" w:hAnsi="Times New Roman" w:cs="Times New Roman"/>
          <w:snapToGrid w:val="0"/>
          <w:szCs w:val="20"/>
        </w:rPr>
        <w:br/>
        <w:t>Member</w:t>
      </w:r>
    </w:p>
    <w:p w14:paraId="4AF725AE" w14:textId="77777777" w:rsidR="009B62A2" w:rsidRPr="008905A2" w:rsidRDefault="009B62A2" w:rsidP="009B62A2">
      <w:pPr>
        <w:suppressAutoHyphens/>
        <w:spacing w:before="80" w:after="120" w:line="280" w:lineRule="atLeast"/>
        <w:jc w:val="right"/>
        <w:rPr>
          <w:rFonts w:ascii="Times New Roman" w:eastAsia="Times New Roman" w:hAnsi="Times New Roman" w:cs="Times New Roman"/>
          <w:snapToGrid w:val="0"/>
          <w:szCs w:val="20"/>
        </w:rPr>
      </w:pPr>
    </w:p>
    <w:p w14:paraId="4AF725AF" w14:textId="24F2E529" w:rsidR="009B62A2" w:rsidRDefault="009B62A2" w:rsidP="00ED25E1">
      <w:pPr>
        <w:suppressAutoHyphens/>
        <w:spacing w:before="80" w:after="120" w:line="280" w:lineRule="atLeast"/>
        <w:jc w:val="right"/>
        <w:rPr>
          <w:rFonts w:ascii="Times New Roman" w:eastAsia="Times New Roman" w:hAnsi="Times New Roman" w:cs="Times New Roman"/>
          <w:snapToGrid w:val="0"/>
          <w:szCs w:val="20"/>
        </w:rPr>
      </w:pPr>
      <w:r w:rsidRPr="008905A2">
        <w:rPr>
          <w:rFonts w:ascii="Times New Roman" w:eastAsia="Times New Roman" w:hAnsi="Times New Roman" w:cs="Times New Roman"/>
          <w:snapToGrid w:val="0"/>
          <w:szCs w:val="20"/>
        </w:rPr>
        <w:t xml:space="preserve"> </w:t>
      </w:r>
      <w:r w:rsidRPr="008905A2">
        <w:rPr>
          <w:rFonts w:ascii="Times New Roman" w:eastAsia="Times New Roman" w:hAnsi="Times New Roman" w:cs="Times New Roman"/>
          <w:snapToGrid w:val="0"/>
          <w:szCs w:val="20"/>
        </w:rPr>
        <w:br/>
      </w:r>
      <w:r w:rsidRPr="008905A2">
        <w:rPr>
          <w:rFonts w:ascii="Times New Roman" w:eastAsia="Times New Roman" w:hAnsi="Times New Roman" w:cs="Times New Roman"/>
          <w:snapToGrid w:val="0"/>
          <w:szCs w:val="20"/>
        </w:rPr>
        <w:br/>
      </w:r>
      <w:r w:rsidRPr="008905A2">
        <w:rPr>
          <w:rFonts w:ascii="Times New Roman" w:eastAsia="Times New Roman" w:hAnsi="Times New Roman" w:cs="Times New Roman"/>
          <w:snapToGrid w:val="0"/>
          <w:szCs w:val="20"/>
        </w:rPr>
        <w:br/>
        <w:t>Member/General Manager</w:t>
      </w:r>
    </w:p>
    <w:p w14:paraId="7A6AD6EB" w14:textId="77777777" w:rsidR="00ED25E1" w:rsidRPr="008905A2" w:rsidRDefault="00ED25E1" w:rsidP="008905A2">
      <w:pPr>
        <w:suppressAutoHyphens/>
        <w:spacing w:before="80" w:after="120" w:line="280" w:lineRule="atLeast"/>
        <w:jc w:val="right"/>
        <w:rPr>
          <w:rFonts w:ascii="Times New Roman" w:eastAsia="Times New Roman" w:hAnsi="Times New Roman" w:cs="Times New Roman"/>
          <w:snapToGrid w:val="0"/>
          <w:szCs w:val="20"/>
        </w:rPr>
      </w:pPr>
    </w:p>
    <w:p w14:paraId="4AF725B0" w14:textId="3BD2B242" w:rsidR="009B62A2" w:rsidRPr="008905A2" w:rsidRDefault="00ED25E1" w:rsidP="008905A2">
      <w:pPr>
        <w:pStyle w:val="SignCoverPageEnd"/>
        <w:rPr>
          <w:szCs w:val="22"/>
        </w:rPr>
      </w:pPr>
      <w:r w:rsidRPr="008905A2">
        <w:rPr>
          <w:szCs w:val="22"/>
        </w:rPr>
        <w:t>Australian Communications and Media Authority</w:t>
      </w:r>
    </w:p>
    <w:p w14:paraId="4AF725B1" w14:textId="4C26D5AD" w:rsidR="009B62A2" w:rsidRPr="009B62A2" w:rsidRDefault="009B62A2" w:rsidP="009F0868">
      <w:pPr>
        <w:pStyle w:val="SignCoverPageEnd"/>
        <w:tabs>
          <w:tab w:val="left" w:pos="1418"/>
        </w:tabs>
        <w:rPr>
          <w:rFonts w:ascii="Arial" w:hAnsi="Arial" w:cs="Arial"/>
          <w:b/>
          <w:bCs/>
          <w:kern w:val="32"/>
          <w:sz w:val="32"/>
          <w:szCs w:val="32"/>
        </w:rPr>
      </w:pPr>
      <w:r w:rsidRPr="008905A2">
        <w:rPr>
          <w:szCs w:val="22"/>
        </w:rPr>
        <w:br w:type="page"/>
      </w:r>
      <w:bookmarkStart w:id="2" w:name="_Toc158118360"/>
      <w:bookmarkStart w:id="3" w:name="_Toc391890373"/>
      <w:r w:rsidRPr="009B62A2">
        <w:rPr>
          <w:rFonts w:ascii="Arial" w:hAnsi="Arial" w:cs="Arial"/>
          <w:b/>
          <w:bCs/>
          <w:kern w:val="32"/>
          <w:sz w:val="32"/>
          <w:szCs w:val="32"/>
        </w:rPr>
        <w:lastRenderedPageBreak/>
        <w:t>PART 1</w:t>
      </w:r>
      <w:r w:rsidRPr="009B62A2">
        <w:rPr>
          <w:rFonts w:ascii="Arial" w:hAnsi="Arial" w:cs="Arial"/>
          <w:b/>
          <w:bCs/>
          <w:kern w:val="32"/>
          <w:sz w:val="32"/>
          <w:szCs w:val="32"/>
        </w:rPr>
        <w:tab/>
        <w:t>PRELIMINARY</w:t>
      </w:r>
      <w:bookmarkEnd w:id="2"/>
      <w:bookmarkEnd w:id="3"/>
    </w:p>
    <w:p w14:paraId="4AF725B2" w14:textId="77777777" w:rsidR="009B62A2" w:rsidRPr="009B62A2" w:rsidRDefault="009B62A2" w:rsidP="009B62A2">
      <w:pPr>
        <w:keepNext/>
        <w:spacing w:before="240" w:after="60" w:line="240" w:lineRule="auto"/>
        <w:outlineLvl w:val="1"/>
        <w:rPr>
          <w:rFonts w:ascii="Arial" w:eastAsia="Times New Roman" w:hAnsi="Arial" w:cs="Arial"/>
          <w:b/>
          <w:bCs/>
          <w:iCs/>
          <w:sz w:val="28"/>
          <w:szCs w:val="28"/>
          <w:lang w:eastAsia="en-AU"/>
        </w:rPr>
      </w:pPr>
      <w:bookmarkStart w:id="4" w:name="_Toc158118361"/>
      <w:bookmarkStart w:id="5" w:name="_Toc391890374"/>
      <w:r w:rsidRPr="009B62A2">
        <w:rPr>
          <w:rFonts w:ascii="Arial" w:eastAsia="Times New Roman" w:hAnsi="Arial" w:cs="Arial"/>
          <w:b/>
          <w:bCs/>
          <w:iCs/>
          <w:sz w:val="28"/>
          <w:szCs w:val="28"/>
          <w:lang w:eastAsia="en-AU"/>
        </w:rPr>
        <w:t>1</w:t>
      </w:r>
      <w:r w:rsidRPr="009B62A2">
        <w:rPr>
          <w:rFonts w:ascii="Arial" w:eastAsia="Times New Roman" w:hAnsi="Arial" w:cs="Arial"/>
          <w:b/>
          <w:bCs/>
          <w:iCs/>
          <w:sz w:val="28"/>
          <w:szCs w:val="28"/>
          <w:lang w:eastAsia="en-AU"/>
        </w:rPr>
        <w:tab/>
        <w:t>Name of Instrument</w:t>
      </w:r>
      <w:bookmarkEnd w:id="4"/>
      <w:bookmarkEnd w:id="5"/>
    </w:p>
    <w:p w14:paraId="4AF725B3" w14:textId="2C18944A" w:rsidR="009B62A2" w:rsidRPr="009B62A2" w:rsidRDefault="009B62A2" w:rsidP="009B62A2">
      <w:pPr>
        <w:suppressAutoHyphens/>
        <w:spacing w:before="80" w:after="120" w:line="280" w:lineRule="atLeast"/>
        <w:ind w:left="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 xml:space="preserve">This </w:t>
      </w:r>
      <w:r w:rsidR="002F5E8E">
        <w:rPr>
          <w:rFonts w:ascii="Times New Roman" w:eastAsia="Times New Roman" w:hAnsi="Times New Roman" w:cs="Times New Roman"/>
          <w:snapToGrid w:val="0"/>
          <w:sz w:val="24"/>
          <w:szCs w:val="20"/>
        </w:rPr>
        <w:t>i</w:t>
      </w:r>
      <w:r w:rsidRPr="009B62A2">
        <w:rPr>
          <w:rFonts w:ascii="Times New Roman" w:eastAsia="Times New Roman" w:hAnsi="Times New Roman" w:cs="Times New Roman"/>
          <w:snapToGrid w:val="0"/>
          <w:sz w:val="24"/>
          <w:szCs w:val="20"/>
        </w:rPr>
        <w:t xml:space="preserve">nstrument is the </w:t>
      </w:r>
      <w:bookmarkStart w:id="6" w:name="OLE_LINK8"/>
      <w:r w:rsidRPr="009B62A2">
        <w:rPr>
          <w:rFonts w:ascii="Times New Roman" w:eastAsia="Times New Roman" w:hAnsi="Times New Roman" w:cs="Times New Roman"/>
          <w:i/>
          <w:snapToGrid w:val="0"/>
          <w:sz w:val="24"/>
          <w:szCs w:val="20"/>
        </w:rPr>
        <w:t xml:space="preserve">Broadcasting Services (Regional Commercial Radio – Local Presence) Licence Condition </w:t>
      </w:r>
      <w:bookmarkEnd w:id="6"/>
      <w:r w:rsidRPr="009B62A2">
        <w:rPr>
          <w:rFonts w:ascii="Times New Roman" w:eastAsia="Times New Roman" w:hAnsi="Times New Roman" w:cs="Times New Roman"/>
          <w:i/>
          <w:snapToGrid w:val="0"/>
          <w:sz w:val="24"/>
          <w:szCs w:val="20"/>
        </w:rPr>
        <w:t>20</w:t>
      </w:r>
      <w:r w:rsidR="00B22ED9">
        <w:rPr>
          <w:rFonts w:ascii="Times New Roman" w:eastAsia="Times New Roman" w:hAnsi="Times New Roman" w:cs="Times New Roman"/>
          <w:i/>
          <w:snapToGrid w:val="0"/>
          <w:sz w:val="24"/>
          <w:szCs w:val="20"/>
        </w:rPr>
        <w:t>2</w:t>
      </w:r>
      <w:r w:rsidRPr="009B62A2">
        <w:rPr>
          <w:rFonts w:ascii="Times New Roman" w:eastAsia="Times New Roman" w:hAnsi="Times New Roman" w:cs="Times New Roman"/>
          <w:i/>
          <w:snapToGrid w:val="0"/>
          <w:sz w:val="24"/>
          <w:szCs w:val="20"/>
        </w:rPr>
        <w:t>4.</w:t>
      </w:r>
    </w:p>
    <w:p w14:paraId="4AF725B4" w14:textId="77777777" w:rsidR="009B62A2" w:rsidRPr="009B62A2" w:rsidRDefault="009B62A2" w:rsidP="009B62A2">
      <w:pPr>
        <w:keepNext/>
        <w:spacing w:before="240" w:after="60" w:line="240" w:lineRule="auto"/>
        <w:outlineLvl w:val="1"/>
        <w:rPr>
          <w:rFonts w:ascii="Arial" w:eastAsia="Times New Roman" w:hAnsi="Arial" w:cs="Arial"/>
          <w:b/>
          <w:bCs/>
          <w:sz w:val="28"/>
          <w:szCs w:val="28"/>
          <w:lang w:eastAsia="en-AU"/>
        </w:rPr>
      </w:pPr>
      <w:bookmarkStart w:id="7" w:name="_Toc158118362"/>
      <w:bookmarkStart w:id="8" w:name="_Toc391890375"/>
      <w:r w:rsidRPr="009B62A2">
        <w:rPr>
          <w:rFonts w:ascii="Arial" w:eastAsia="Times New Roman" w:hAnsi="Arial" w:cs="Arial"/>
          <w:b/>
          <w:bCs/>
          <w:sz w:val="28"/>
          <w:szCs w:val="28"/>
          <w:lang w:eastAsia="en-AU"/>
        </w:rPr>
        <w:t>2</w:t>
      </w:r>
      <w:r w:rsidRPr="009B62A2">
        <w:rPr>
          <w:rFonts w:ascii="Arial" w:eastAsia="Times New Roman" w:hAnsi="Arial" w:cs="Arial"/>
          <w:b/>
          <w:bCs/>
          <w:sz w:val="28"/>
          <w:szCs w:val="28"/>
          <w:lang w:eastAsia="en-AU"/>
        </w:rPr>
        <w:tab/>
        <w:t>Commencement</w:t>
      </w:r>
      <w:bookmarkEnd w:id="7"/>
      <w:bookmarkEnd w:id="8"/>
    </w:p>
    <w:p w14:paraId="4AF725B5" w14:textId="45FDA2D0" w:rsidR="009B62A2" w:rsidRDefault="009B62A2" w:rsidP="009B62A2">
      <w:pPr>
        <w:suppressAutoHyphens/>
        <w:spacing w:before="80" w:after="120" w:line="280" w:lineRule="atLeast"/>
        <w:ind w:left="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 xml:space="preserve">This </w:t>
      </w:r>
      <w:r w:rsidR="002F5E8E">
        <w:rPr>
          <w:rFonts w:ascii="Times New Roman" w:eastAsia="Times New Roman" w:hAnsi="Times New Roman" w:cs="Times New Roman"/>
          <w:snapToGrid w:val="0"/>
          <w:sz w:val="24"/>
          <w:szCs w:val="20"/>
        </w:rPr>
        <w:t>i</w:t>
      </w:r>
      <w:r w:rsidRPr="009B62A2">
        <w:rPr>
          <w:rFonts w:ascii="Times New Roman" w:eastAsia="Times New Roman" w:hAnsi="Times New Roman" w:cs="Times New Roman"/>
          <w:snapToGrid w:val="0"/>
          <w:sz w:val="24"/>
          <w:szCs w:val="20"/>
        </w:rPr>
        <w:t xml:space="preserve">nstrument commences </w:t>
      </w:r>
      <w:r w:rsidR="00873DA1">
        <w:rPr>
          <w:rFonts w:ascii="Times New Roman" w:eastAsia="Times New Roman" w:hAnsi="Times New Roman" w:cs="Times New Roman"/>
          <w:snapToGrid w:val="0"/>
          <w:sz w:val="24"/>
          <w:szCs w:val="20"/>
        </w:rPr>
        <w:t>at the start of the day after the day it is registered on the Federal Register of Legislation</w:t>
      </w:r>
      <w:r w:rsidRPr="009B62A2">
        <w:rPr>
          <w:rFonts w:ascii="Times New Roman" w:eastAsia="Times New Roman" w:hAnsi="Times New Roman" w:cs="Times New Roman"/>
          <w:snapToGrid w:val="0"/>
          <w:sz w:val="24"/>
          <w:szCs w:val="20"/>
        </w:rPr>
        <w:t>.</w:t>
      </w:r>
    </w:p>
    <w:p w14:paraId="0C251C2E" w14:textId="4AD4458C" w:rsidR="00873DA1" w:rsidRPr="008905A2" w:rsidRDefault="00873DA1" w:rsidP="008905A2">
      <w:pPr>
        <w:suppressAutoHyphens/>
        <w:spacing w:before="80" w:after="120" w:line="280" w:lineRule="atLeast"/>
        <w:ind w:left="1440" w:hanging="720"/>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 xml:space="preserve">Note: The Federal Register of Legislation may be accessed free of charge at www.legislation.gov.au </w:t>
      </w:r>
    </w:p>
    <w:p w14:paraId="12765648" w14:textId="3FAD4FC9" w:rsidR="00AA34FA" w:rsidRDefault="00AA34FA" w:rsidP="009B62A2">
      <w:pPr>
        <w:keepNext/>
        <w:spacing w:before="240" w:after="60" w:line="240" w:lineRule="auto"/>
        <w:outlineLvl w:val="1"/>
        <w:rPr>
          <w:rFonts w:ascii="Arial" w:eastAsia="Times New Roman" w:hAnsi="Arial" w:cs="Arial"/>
          <w:b/>
          <w:bCs/>
          <w:iCs/>
          <w:sz w:val="28"/>
          <w:szCs w:val="28"/>
          <w:lang w:eastAsia="en-AU"/>
        </w:rPr>
      </w:pPr>
      <w:bookmarkStart w:id="9" w:name="_Toc391890376"/>
      <w:r>
        <w:rPr>
          <w:rFonts w:ascii="Arial" w:eastAsia="Times New Roman" w:hAnsi="Arial" w:cs="Arial"/>
          <w:b/>
          <w:bCs/>
          <w:iCs/>
          <w:sz w:val="28"/>
          <w:szCs w:val="28"/>
          <w:lang w:eastAsia="en-AU"/>
        </w:rPr>
        <w:t>3</w:t>
      </w:r>
      <w:r>
        <w:rPr>
          <w:rFonts w:ascii="Arial" w:eastAsia="Times New Roman" w:hAnsi="Arial" w:cs="Arial"/>
          <w:b/>
          <w:bCs/>
          <w:iCs/>
          <w:sz w:val="28"/>
          <w:szCs w:val="28"/>
          <w:lang w:eastAsia="en-AU"/>
        </w:rPr>
        <w:tab/>
        <w:t>Authority</w:t>
      </w:r>
    </w:p>
    <w:p w14:paraId="3CA1F45F" w14:textId="466058BA" w:rsidR="00626EC7" w:rsidRPr="008905A2" w:rsidRDefault="00C2096E" w:rsidP="008905A2">
      <w:pPr>
        <w:suppressAutoHyphens/>
        <w:spacing w:before="80" w:after="120" w:line="280" w:lineRule="atLeast"/>
        <w:ind w:left="720"/>
        <w:rPr>
          <w:rFonts w:ascii="Times New Roman" w:eastAsia="Times New Roman" w:hAnsi="Times New Roman" w:cs="Times New Roman"/>
          <w:snapToGrid w:val="0"/>
          <w:sz w:val="24"/>
          <w:szCs w:val="20"/>
        </w:rPr>
      </w:pPr>
      <w:r w:rsidRPr="008905A2">
        <w:rPr>
          <w:rFonts w:ascii="Times New Roman" w:eastAsia="Times New Roman" w:hAnsi="Times New Roman" w:cs="Times New Roman"/>
          <w:snapToGrid w:val="0"/>
          <w:sz w:val="24"/>
          <w:szCs w:val="20"/>
        </w:rPr>
        <w:t>This</w:t>
      </w:r>
      <w:r w:rsidR="00B56F95">
        <w:rPr>
          <w:rFonts w:ascii="Times New Roman" w:eastAsia="Times New Roman" w:hAnsi="Times New Roman" w:cs="Times New Roman"/>
          <w:snapToGrid w:val="0"/>
          <w:sz w:val="24"/>
          <w:szCs w:val="20"/>
        </w:rPr>
        <w:t xml:space="preserve"> instrument is made under </w:t>
      </w:r>
      <w:r w:rsidR="00FE0626">
        <w:rPr>
          <w:rFonts w:ascii="Times New Roman" w:eastAsia="Times New Roman" w:hAnsi="Times New Roman" w:cs="Times New Roman"/>
          <w:snapToGrid w:val="0"/>
          <w:sz w:val="24"/>
          <w:szCs w:val="20"/>
        </w:rPr>
        <w:t>subsection 43(1) of the Act.</w:t>
      </w:r>
      <w:r w:rsidRPr="008905A2">
        <w:rPr>
          <w:rFonts w:ascii="Times New Roman" w:eastAsia="Times New Roman" w:hAnsi="Times New Roman" w:cs="Times New Roman"/>
          <w:snapToGrid w:val="0"/>
          <w:sz w:val="24"/>
          <w:szCs w:val="20"/>
        </w:rPr>
        <w:t xml:space="preserve"> </w:t>
      </w:r>
    </w:p>
    <w:p w14:paraId="4AF725B6" w14:textId="20905EE0" w:rsidR="009B62A2" w:rsidRPr="008905A2" w:rsidRDefault="00D449BF" w:rsidP="008905A2">
      <w:pPr>
        <w:keepNext/>
        <w:spacing w:before="240" w:after="60" w:line="240" w:lineRule="auto"/>
        <w:ind w:left="720" w:hanging="720"/>
        <w:outlineLvl w:val="1"/>
        <w:rPr>
          <w:rFonts w:ascii="Arial" w:eastAsia="Times New Roman" w:hAnsi="Arial" w:cs="Arial"/>
          <w:b/>
          <w:bCs/>
          <w:i/>
          <w:sz w:val="28"/>
          <w:szCs w:val="28"/>
          <w:lang w:eastAsia="en-AU"/>
        </w:rPr>
      </w:pPr>
      <w:r>
        <w:rPr>
          <w:rFonts w:ascii="Arial" w:eastAsia="Times New Roman" w:hAnsi="Arial" w:cs="Arial"/>
          <w:b/>
          <w:bCs/>
          <w:iCs/>
          <w:sz w:val="28"/>
          <w:szCs w:val="28"/>
          <w:lang w:eastAsia="en-AU"/>
        </w:rPr>
        <w:t>4</w:t>
      </w:r>
      <w:r w:rsidR="009B62A2" w:rsidRPr="009B62A2">
        <w:rPr>
          <w:rFonts w:ascii="Arial" w:eastAsia="Times New Roman" w:hAnsi="Arial" w:cs="Arial"/>
          <w:b/>
          <w:bCs/>
          <w:iCs/>
          <w:sz w:val="28"/>
          <w:szCs w:val="28"/>
          <w:lang w:eastAsia="en-AU"/>
        </w:rPr>
        <w:tab/>
      </w:r>
      <w:bookmarkEnd w:id="9"/>
      <w:r>
        <w:rPr>
          <w:rFonts w:ascii="Arial" w:eastAsia="Times New Roman" w:hAnsi="Arial" w:cs="Arial"/>
          <w:b/>
          <w:bCs/>
          <w:iCs/>
          <w:sz w:val="28"/>
          <w:szCs w:val="28"/>
          <w:lang w:eastAsia="en-AU"/>
        </w:rPr>
        <w:t xml:space="preserve">Repeal of the </w:t>
      </w:r>
      <w:r w:rsidRPr="008905A2">
        <w:rPr>
          <w:rFonts w:ascii="Arial" w:eastAsia="Times New Roman" w:hAnsi="Arial" w:cs="Arial"/>
          <w:b/>
          <w:bCs/>
          <w:i/>
          <w:sz w:val="28"/>
          <w:szCs w:val="28"/>
          <w:lang w:eastAsia="en-AU"/>
        </w:rPr>
        <w:t>Broadcasting Services (Regional Commercial Radio – Local Presence) Licence Condition 2014</w:t>
      </w:r>
    </w:p>
    <w:p w14:paraId="4AF725B7" w14:textId="5F8DD427" w:rsidR="009B62A2" w:rsidRPr="0040012C" w:rsidRDefault="009B62A2" w:rsidP="009B62A2">
      <w:pPr>
        <w:spacing w:after="0" w:line="240" w:lineRule="auto"/>
        <w:ind w:left="720"/>
        <w:rPr>
          <w:rFonts w:ascii="Times New Roman" w:eastAsia="Times New Roman" w:hAnsi="Times New Roman" w:cs="Times New Roman"/>
          <w:sz w:val="24"/>
          <w:szCs w:val="24"/>
          <w:lang w:eastAsia="en-AU"/>
        </w:rPr>
      </w:pPr>
      <w:r w:rsidRPr="0040012C">
        <w:rPr>
          <w:rFonts w:ascii="Times New Roman" w:eastAsia="Times New Roman" w:hAnsi="Times New Roman" w:cs="Times New Roman"/>
          <w:sz w:val="24"/>
          <w:szCs w:val="24"/>
          <w:lang w:eastAsia="en-AU"/>
        </w:rPr>
        <w:t xml:space="preserve">The </w:t>
      </w:r>
      <w:r w:rsidRPr="0040012C">
        <w:rPr>
          <w:rFonts w:ascii="Times New Roman" w:eastAsia="Times New Roman" w:hAnsi="Times New Roman" w:cs="Times New Roman"/>
          <w:i/>
          <w:sz w:val="24"/>
          <w:szCs w:val="24"/>
          <w:lang w:eastAsia="en-AU"/>
        </w:rPr>
        <w:t xml:space="preserve">Broadcasting Services (Regional Commercial Radio – Local Presence) Licence Condition </w:t>
      </w:r>
      <w:r w:rsidRPr="009F0868">
        <w:rPr>
          <w:rFonts w:ascii="Times New Roman" w:eastAsia="Times New Roman" w:hAnsi="Times New Roman" w:cs="Times New Roman"/>
          <w:i/>
          <w:sz w:val="24"/>
          <w:szCs w:val="24"/>
          <w:lang w:eastAsia="en-AU"/>
        </w:rPr>
        <w:t>201</w:t>
      </w:r>
      <w:r w:rsidR="00004924" w:rsidRPr="009F0868">
        <w:rPr>
          <w:rFonts w:ascii="Times New Roman" w:eastAsia="Times New Roman" w:hAnsi="Times New Roman" w:cs="Times New Roman"/>
          <w:i/>
          <w:sz w:val="24"/>
          <w:szCs w:val="24"/>
          <w:lang w:eastAsia="en-AU"/>
        </w:rPr>
        <w:t>4</w:t>
      </w:r>
      <w:r w:rsidRPr="009F0868">
        <w:rPr>
          <w:rFonts w:ascii="Arial" w:eastAsia="Times New Roman" w:hAnsi="Arial" w:cs="Times New Roman"/>
          <w:sz w:val="24"/>
          <w:szCs w:val="24"/>
          <w:lang w:eastAsia="en-AU"/>
        </w:rPr>
        <w:t xml:space="preserve"> </w:t>
      </w:r>
      <w:r w:rsidR="00622EE8" w:rsidRPr="009F0868">
        <w:rPr>
          <w:rFonts w:ascii="Times New Roman" w:eastAsia="Times New Roman" w:hAnsi="Times New Roman" w:cs="Times New Roman"/>
          <w:sz w:val="24"/>
          <w:szCs w:val="24"/>
          <w:lang w:eastAsia="en-AU"/>
        </w:rPr>
        <w:t>(FC2014L01264</w:t>
      </w:r>
      <w:r w:rsidRPr="0040012C">
        <w:rPr>
          <w:rFonts w:ascii="Times New Roman" w:eastAsia="Times New Roman" w:hAnsi="Times New Roman" w:cs="Times New Roman"/>
          <w:sz w:val="24"/>
          <w:szCs w:val="24"/>
          <w:lang w:eastAsia="en-AU"/>
        </w:rPr>
        <w:t xml:space="preserve">) is </w:t>
      </w:r>
      <w:r w:rsidR="00D449BF" w:rsidRPr="0040012C">
        <w:rPr>
          <w:rFonts w:ascii="Times New Roman" w:eastAsia="Times New Roman" w:hAnsi="Times New Roman" w:cs="Times New Roman"/>
          <w:sz w:val="24"/>
          <w:szCs w:val="24"/>
          <w:lang w:eastAsia="en-AU"/>
        </w:rPr>
        <w:t>repealed</w:t>
      </w:r>
      <w:r w:rsidRPr="0040012C">
        <w:rPr>
          <w:rFonts w:ascii="Times New Roman" w:eastAsia="Times New Roman" w:hAnsi="Times New Roman" w:cs="Times New Roman"/>
          <w:i/>
          <w:sz w:val="24"/>
          <w:szCs w:val="24"/>
          <w:lang w:eastAsia="en-AU"/>
        </w:rPr>
        <w:t>.</w:t>
      </w:r>
    </w:p>
    <w:p w14:paraId="4AF725B8" w14:textId="5F10CB36" w:rsidR="009B62A2" w:rsidRPr="009B62A2" w:rsidRDefault="00D449BF" w:rsidP="009B62A2">
      <w:pPr>
        <w:keepNext/>
        <w:spacing w:before="240" w:after="60" w:line="240" w:lineRule="auto"/>
        <w:outlineLvl w:val="1"/>
        <w:rPr>
          <w:rFonts w:ascii="Arial" w:eastAsia="Times New Roman" w:hAnsi="Arial" w:cs="Arial"/>
          <w:b/>
          <w:bCs/>
          <w:sz w:val="28"/>
          <w:szCs w:val="28"/>
          <w:lang w:eastAsia="en-AU"/>
        </w:rPr>
      </w:pPr>
      <w:bookmarkStart w:id="10" w:name="_Toc158118363"/>
      <w:bookmarkStart w:id="11" w:name="_Toc391890377"/>
      <w:r>
        <w:rPr>
          <w:rFonts w:ascii="Arial" w:eastAsia="Times New Roman" w:hAnsi="Arial" w:cs="Arial"/>
          <w:b/>
          <w:bCs/>
          <w:sz w:val="28"/>
          <w:szCs w:val="28"/>
          <w:lang w:eastAsia="en-AU"/>
        </w:rPr>
        <w:t>5</w:t>
      </w:r>
      <w:r w:rsidR="009B62A2" w:rsidRPr="009B62A2">
        <w:rPr>
          <w:rFonts w:ascii="Arial" w:eastAsia="Times New Roman" w:hAnsi="Arial" w:cs="Arial"/>
          <w:b/>
          <w:bCs/>
          <w:sz w:val="28"/>
          <w:szCs w:val="28"/>
          <w:lang w:eastAsia="en-AU"/>
        </w:rPr>
        <w:tab/>
        <w:t>Purpose and Application</w:t>
      </w:r>
      <w:bookmarkEnd w:id="10"/>
      <w:bookmarkEnd w:id="11"/>
    </w:p>
    <w:p w14:paraId="4AF725B9" w14:textId="77777777" w:rsidR="009B62A2" w:rsidRPr="009B62A2" w:rsidRDefault="009B62A2" w:rsidP="009B62A2">
      <w:pPr>
        <w:suppressAutoHyphens/>
        <w:spacing w:before="80" w:after="120" w:line="280" w:lineRule="atLeast"/>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(1)</w:t>
      </w:r>
      <w:r w:rsidRPr="009B62A2">
        <w:rPr>
          <w:rFonts w:ascii="Times New Roman" w:eastAsia="Times New Roman" w:hAnsi="Times New Roman" w:cs="Times New Roman"/>
          <w:snapToGrid w:val="0"/>
          <w:sz w:val="24"/>
          <w:szCs w:val="20"/>
        </w:rPr>
        <w:tab/>
        <w:t>For subsection 43(1) of the Act:</w:t>
      </w:r>
    </w:p>
    <w:p w14:paraId="4AF725BA" w14:textId="2E5BEDCA" w:rsidR="009B62A2" w:rsidRPr="009B62A2" w:rsidRDefault="009B62A2" w:rsidP="009B62A2">
      <w:pPr>
        <w:numPr>
          <w:ilvl w:val="1"/>
          <w:numId w:val="2"/>
        </w:numPr>
        <w:suppressAutoHyphens/>
        <w:spacing w:before="80" w:after="120" w:line="280" w:lineRule="atLeast"/>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 xml:space="preserve">the purpose of this </w:t>
      </w:r>
      <w:r w:rsidR="002F5E8E">
        <w:rPr>
          <w:rFonts w:ascii="Times New Roman" w:eastAsia="Times New Roman" w:hAnsi="Times New Roman" w:cs="Times New Roman"/>
          <w:snapToGrid w:val="0"/>
          <w:sz w:val="24"/>
          <w:szCs w:val="20"/>
        </w:rPr>
        <w:t>i</w:t>
      </w:r>
      <w:r w:rsidRPr="009B62A2">
        <w:rPr>
          <w:rFonts w:ascii="Times New Roman" w:eastAsia="Times New Roman" w:hAnsi="Times New Roman" w:cs="Times New Roman"/>
          <w:snapToGrid w:val="0"/>
          <w:sz w:val="24"/>
          <w:szCs w:val="20"/>
        </w:rPr>
        <w:t>nstrument is, pursuant to subsection 43B(1A) of the Act, to impose additional conditions on a relevant regional commercial radio broadcasting licence; and</w:t>
      </w:r>
    </w:p>
    <w:p w14:paraId="4AF725BB" w14:textId="77777777" w:rsidR="009B62A2" w:rsidRPr="009B62A2" w:rsidRDefault="009B62A2" w:rsidP="009B62A2">
      <w:pPr>
        <w:numPr>
          <w:ilvl w:val="1"/>
          <w:numId w:val="2"/>
        </w:numPr>
        <w:suppressAutoHyphens/>
        <w:spacing w:before="80" w:after="120" w:line="280" w:lineRule="atLeast"/>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those conditions create obligations on the person who holds the licence.</w:t>
      </w:r>
    </w:p>
    <w:p w14:paraId="4AF725BC" w14:textId="17BE2B43" w:rsidR="009B62A2" w:rsidRPr="009B62A2" w:rsidRDefault="009B62A2" w:rsidP="009B62A2">
      <w:pPr>
        <w:suppressAutoHyphens/>
        <w:spacing w:before="80" w:after="120" w:line="280" w:lineRule="atLeast"/>
        <w:ind w:left="720" w:hanging="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(2)</w:t>
      </w:r>
      <w:r w:rsidRPr="009B62A2">
        <w:rPr>
          <w:rFonts w:ascii="Times New Roman" w:eastAsia="Times New Roman" w:hAnsi="Times New Roman" w:cs="Times New Roman"/>
          <w:snapToGrid w:val="0"/>
          <w:sz w:val="24"/>
          <w:szCs w:val="20"/>
        </w:rPr>
        <w:tab/>
        <w:t xml:space="preserve">This </w:t>
      </w:r>
      <w:r w:rsidR="002F5E8E">
        <w:rPr>
          <w:rFonts w:ascii="Times New Roman" w:eastAsia="Times New Roman" w:hAnsi="Times New Roman" w:cs="Times New Roman"/>
          <w:snapToGrid w:val="0"/>
          <w:sz w:val="24"/>
          <w:szCs w:val="20"/>
        </w:rPr>
        <w:t>i</w:t>
      </w:r>
      <w:r w:rsidRPr="009B62A2">
        <w:rPr>
          <w:rFonts w:ascii="Times New Roman" w:eastAsia="Times New Roman" w:hAnsi="Times New Roman" w:cs="Times New Roman"/>
          <w:snapToGrid w:val="0"/>
          <w:sz w:val="24"/>
          <w:szCs w:val="20"/>
        </w:rPr>
        <w:t>nstrument does not apply to a regional commercial radio broadcasting licence that is:</w:t>
      </w:r>
    </w:p>
    <w:p w14:paraId="4AF725BD" w14:textId="77777777" w:rsidR="009B62A2" w:rsidRPr="009B62A2" w:rsidRDefault="009B62A2" w:rsidP="009B62A2">
      <w:pPr>
        <w:numPr>
          <w:ilvl w:val="0"/>
          <w:numId w:val="7"/>
        </w:numPr>
        <w:suppressAutoHyphens/>
        <w:spacing w:before="80" w:after="120" w:line="280" w:lineRule="atLeast"/>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 xml:space="preserve">a remote area service radio </w:t>
      </w:r>
      <w:proofErr w:type="gramStart"/>
      <w:r w:rsidRPr="009B62A2">
        <w:rPr>
          <w:rFonts w:ascii="Times New Roman" w:eastAsia="Times New Roman" w:hAnsi="Times New Roman" w:cs="Times New Roman"/>
          <w:snapToGrid w:val="0"/>
          <w:sz w:val="24"/>
          <w:szCs w:val="20"/>
        </w:rPr>
        <w:t>licence;</w:t>
      </w:r>
      <w:proofErr w:type="gramEnd"/>
    </w:p>
    <w:p w14:paraId="4AF725BE" w14:textId="77777777" w:rsidR="009B62A2" w:rsidRPr="009B62A2" w:rsidRDefault="009B62A2" w:rsidP="009B62A2">
      <w:pPr>
        <w:numPr>
          <w:ilvl w:val="0"/>
          <w:numId w:val="7"/>
        </w:numPr>
        <w:suppressAutoHyphens/>
        <w:spacing w:before="80" w:after="120" w:line="280" w:lineRule="atLeast"/>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a regional racing service radio licence; or</w:t>
      </w:r>
    </w:p>
    <w:p w14:paraId="4AF725BF" w14:textId="77777777" w:rsidR="009B62A2" w:rsidRPr="009B62A2" w:rsidRDefault="009B62A2" w:rsidP="009B62A2">
      <w:pPr>
        <w:numPr>
          <w:ilvl w:val="0"/>
          <w:numId w:val="7"/>
        </w:numPr>
        <w:suppressAutoHyphens/>
        <w:spacing w:before="80" w:after="120" w:line="280" w:lineRule="atLeast"/>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a licence allocated under subsection 40(1) of the Act.</w:t>
      </w:r>
    </w:p>
    <w:p w14:paraId="4AF725C0" w14:textId="77777777" w:rsidR="009B62A2" w:rsidRPr="009B62A2" w:rsidRDefault="009B62A2" w:rsidP="009F0868">
      <w:pPr>
        <w:keepNext/>
        <w:tabs>
          <w:tab w:val="left" w:pos="1418"/>
        </w:tabs>
        <w:spacing w:before="240" w:after="60" w:line="240" w:lineRule="auto"/>
        <w:outlineLvl w:val="0"/>
        <w:rPr>
          <w:rFonts w:ascii="Arial" w:eastAsia="Times New Roman" w:hAnsi="Arial" w:cs="Arial"/>
          <w:b/>
          <w:bCs/>
          <w:kern w:val="32"/>
          <w:sz w:val="32"/>
          <w:szCs w:val="32"/>
          <w:lang w:eastAsia="en-AU"/>
        </w:rPr>
      </w:pPr>
      <w:bookmarkStart w:id="12" w:name="_Toc158118365"/>
      <w:bookmarkStart w:id="13" w:name="_Toc391890378"/>
      <w:r w:rsidRPr="009B62A2">
        <w:rPr>
          <w:rFonts w:ascii="Arial" w:eastAsia="Times New Roman" w:hAnsi="Arial" w:cs="Arial"/>
          <w:b/>
          <w:bCs/>
          <w:kern w:val="32"/>
          <w:sz w:val="32"/>
          <w:szCs w:val="32"/>
          <w:lang w:eastAsia="en-AU"/>
        </w:rPr>
        <w:t>PART 2</w:t>
      </w:r>
      <w:r w:rsidRPr="009B62A2">
        <w:rPr>
          <w:rFonts w:ascii="Arial" w:eastAsia="Times New Roman" w:hAnsi="Arial" w:cs="Arial"/>
          <w:b/>
          <w:bCs/>
          <w:kern w:val="32"/>
          <w:sz w:val="32"/>
          <w:szCs w:val="32"/>
          <w:lang w:eastAsia="en-AU"/>
        </w:rPr>
        <w:tab/>
        <w:t xml:space="preserve">TERMS USED IN THIS </w:t>
      </w:r>
      <w:bookmarkEnd w:id="12"/>
      <w:r w:rsidRPr="009B62A2">
        <w:rPr>
          <w:rFonts w:ascii="Arial" w:eastAsia="Times New Roman" w:hAnsi="Arial" w:cs="Arial"/>
          <w:b/>
          <w:bCs/>
          <w:kern w:val="32"/>
          <w:sz w:val="32"/>
          <w:szCs w:val="32"/>
          <w:lang w:eastAsia="en-AU"/>
        </w:rPr>
        <w:t>INSTRUMENT</w:t>
      </w:r>
      <w:bookmarkEnd w:id="13"/>
    </w:p>
    <w:p w14:paraId="4AF725C1" w14:textId="758E6AC0" w:rsidR="009B62A2" w:rsidRPr="009B62A2" w:rsidRDefault="00D449BF" w:rsidP="009B62A2">
      <w:pPr>
        <w:keepNext/>
        <w:spacing w:before="240" w:after="60" w:line="240" w:lineRule="auto"/>
        <w:outlineLvl w:val="1"/>
        <w:rPr>
          <w:rFonts w:ascii="Arial" w:eastAsia="Times New Roman" w:hAnsi="Arial" w:cs="Arial"/>
          <w:b/>
          <w:bCs/>
          <w:sz w:val="28"/>
          <w:szCs w:val="28"/>
          <w:lang w:eastAsia="en-AU"/>
        </w:rPr>
      </w:pPr>
      <w:bookmarkStart w:id="14" w:name="_Toc158118366"/>
      <w:bookmarkStart w:id="15" w:name="_Toc391890379"/>
      <w:r>
        <w:rPr>
          <w:rFonts w:ascii="Arial" w:eastAsia="Times New Roman" w:hAnsi="Arial" w:cs="Arial"/>
          <w:b/>
          <w:bCs/>
          <w:sz w:val="28"/>
          <w:szCs w:val="28"/>
          <w:lang w:eastAsia="en-AU"/>
        </w:rPr>
        <w:t>6</w:t>
      </w:r>
      <w:r w:rsidR="009B62A2" w:rsidRPr="009B62A2">
        <w:rPr>
          <w:rFonts w:ascii="Arial" w:eastAsia="Times New Roman" w:hAnsi="Arial" w:cs="Arial"/>
          <w:b/>
          <w:bCs/>
          <w:sz w:val="28"/>
          <w:szCs w:val="28"/>
          <w:lang w:eastAsia="en-AU"/>
        </w:rPr>
        <w:tab/>
        <w:t>Definitions</w:t>
      </w:r>
      <w:bookmarkEnd w:id="14"/>
      <w:bookmarkEnd w:id="15"/>
    </w:p>
    <w:p w14:paraId="4AF725C2" w14:textId="0C2D997A" w:rsidR="009B62A2" w:rsidRPr="000715C5" w:rsidRDefault="009B62A2" w:rsidP="009B62A2">
      <w:pPr>
        <w:suppressAutoHyphens/>
        <w:spacing w:before="80" w:after="120" w:line="280" w:lineRule="atLeast"/>
        <w:ind w:left="720"/>
        <w:rPr>
          <w:rFonts w:ascii="Times New Roman" w:eastAsia="Times New Roman" w:hAnsi="Times New Roman" w:cs="Times New Roman"/>
          <w:snapToGrid w:val="0"/>
          <w:sz w:val="24"/>
          <w:szCs w:val="24"/>
        </w:rPr>
      </w:pPr>
      <w:r w:rsidRPr="000715C5">
        <w:rPr>
          <w:rFonts w:ascii="Times New Roman" w:eastAsia="Times New Roman" w:hAnsi="Times New Roman" w:cs="Times New Roman"/>
          <w:snapToGrid w:val="0"/>
          <w:sz w:val="24"/>
          <w:szCs w:val="24"/>
        </w:rPr>
        <w:t xml:space="preserve">In this </w:t>
      </w:r>
      <w:r w:rsidR="002F5E8E">
        <w:rPr>
          <w:rFonts w:ascii="Times New Roman" w:eastAsia="Times New Roman" w:hAnsi="Times New Roman" w:cs="Times New Roman"/>
          <w:snapToGrid w:val="0"/>
          <w:sz w:val="24"/>
          <w:szCs w:val="24"/>
        </w:rPr>
        <w:t>i</w:t>
      </w:r>
      <w:r w:rsidRPr="000715C5">
        <w:rPr>
          <w:rFonts w:ascii="Times New Roman" w:eastAsia="Times New Roman" w:hAnsi="Times New Roman" w:cs="Times New Roman"/>
          <w:snapToGrid w:val="0"/>
          <w:sz w:val="24"/>
          <w:szCs w:val="24"/>
        </w:rPr>
        <w:t>nstrument:</w:t>
      </w:r>
    </w:p>
    <w:p w14:paraId="4AF725C3" w14:textId="77777777" w:rsidR="009B62A2" w:rsidRPr="000715C5" w:rsidRDefault="009B62A2" w:rsidP="009B62A2">
      <w:pPr>
        <w:suppressAutoHyphens/>
        <w:spacing w:before="80" w:after="120" w:line="280" w:lineRule="atLeast"/>
        <w:ind w:left="720"/>
        <w:rPr>
          <w:rFonts w:ascii="Times New Roman" w:eastAsia="Times New Roman" w:hAnsi="Times New Roman" w:cs="Times New Roman"/>
          <w:i/>
          <w:snapToGrid w:val="0"/>
          <w:sz w:val="24"/>
          <w:szCs w:val="24"/>
        </w:rPr>
      </w:pPr>
      <w:r w:rsidRPr="000715C5">
        <w:rPr>
          <w:rFonts w:ascii="Times New Roman" w:eastAsia="Times New Roman" w:hAnsi="Times New Roman" w:cs="Times New Roman"/>
          <w:b/>
          <w:i/>
          <w:snapToGrid w:val="0"/>
          <w:sz w:val="24"/>
          <w:szCs w:val="24"/>
        </w:rPr>
        <w:t>Act</w:t>
      </w:r>
      <w:r w:rsidRPr="000715C5">
        <w:rPr>
          <w:rFonts w:ascii="Times New Roman" w:eastAsia="Times New Roman" w:hAnsi="Times New Roman" w:cs="Times New Roman"/>
          <w:snapToGrid w:val="0"/>
          <w:sz w:val="24"/>
          <w:szCs w:val="24"/>
        </w:rPr>
        <w:t xml:space="preserve"> means the </w:t>
      </w:r>
      <w:r w:rsidRPr="000715C5">
        <w:rPr>
          <w:rFonts w:ascii="Times New Roman" w:eastAsia="Times New Roman" w:hAnsi="Times New Roman" w:cs="Times New Roman"/>
          <w:i/>
          <w:snapToGrid w:val="0"/>
          <w:sz w:val="24"/>
          <w:szCs w:val="24"/>
        </w:rPr>
        <w:t>Broadcasting Services Act 1992.</w:t>
      </w:r>
    </w:p>
    <w:p w14:paraId="4AF725C4" w14:textId="77777777" w:rsidR="009B62A2" w:rsidRPr="000715C5" w:rsidRDefault="009B62A2" w:rsidP="009B62A2">
      <w:pPr>
        <w:suppressAutoHyphens/>
        <w:spacing w:before="80" w:after="120" w:line="280" w:lineRule="atLeast"/>
        <w:ind w:left="720"/>
        <w:rPr>
          <w:rFonts w:ascii="Times New Roman" w:eastAsia="Times New Roman" w:hAnsi="Times New Roman" w:cs="Times New Roman"/>
          <w:snapToGrid w:val="0"/>
          <w:sz w:val="24"/>
          <w:szCs w:val="24"/>
        </w:rPr>
      </w:pPr>
      <w:r w:rsidRPr="000715C5">
        <w:rPr>
          <w:rFonts w:ascii="Times New Roman" w:eastAsia="Times New Roman" w:hAnsi="Times New Roman" w:cs="Times New Roman"/>
          <w:b/>
          <w:i/>
          <w:snapToGrid w:val="0"/>
          <w:sz w:val="24"/>
          <w:szCs w:val="24"/>
        </w:rPr>
        <w:t xml:space="preserve">broadcast hours </w:t>
      </w:r>
      <w:proofErr w:type="gramStart"/>
      <w:r w:rsidRPr="000715C5">
        <w:rPr>
          <w:rFonts w:ascii="Times New Roman" w:eastAsia="Times New Roman" w:hAnsi="Times New Roman" w:cs="Times New Roman"/>
          <w:snapToGrid w:val="0"/>
          <w:sz w:val="24"/>
          <w:szCs w:val="24"/>
        </w:rPr>
        <w:t>means</w:t>
      </w:r>
      <w:proofErr w:type="gramEnd"/>
      <w:r w:rsidRPr="000715C5">
        <w:rPr>
          <w:rFonts w:ascii="Times New Roman" w:eastAsia="Times New Roman" w:hAnsi="Times New Roman" w:cs="Times New Roman"/>
          <w:snapToGrid w:val="0"/>
          <w:sz w:val="24"/>
          <w:szCs w:val="24"/>
        </w:rPr>
        <w:t xml:space="preserve"> the actual hours broadcast in the licence area in relation to the licence.</w:t>
      </w:r>
    </w:p>
    <w:p w14:paraId="4AF725C5" w14:textId="77777777" w:rsidR="009B62A2" w:rsidRPr="000715C5" w:rsidRDefault="009B62A2" w:rsidP="009B62A2">
      <w:pPr>
        <w:suppressAutoHyphens/>
        <w:spacing w:before="80" w:after="120" w:line="280" w:lineRule="atLeast"/>
        <w:ind w:left="720"/>
        <w:rPr>
          <w:rFonts w:ascii="Times New Roman" w:eastAsia="Times New Roman" w:hAnsi="Times New Roman" w:cs="Times New Roman"/>
          <w:b/>
          <w:i/>
          <w:snapToGrid w:val="0"/>
          <w:sz w:val="24"/>
          <w:szCs w:val="24"/>
        </w:rPr>
      </w:pPr>
      <w:r w:rsidRPr="000715C5">
        <w:rPr>
          <w:rFonts w:ascii="Times New Roman" w:eastAsia="Times New Roman" w:hAnsi="Times New Roman" w:cs="Times New Roman"/>
          <w:b/>
          <w:i/>
          <w:snapToGrid w:val="0"/>
          <w:sz w:val="24"/>
          <w:szCs w:val="24"/>
        </w:rPr>
        <w:t>former licensee</w:t>
      </w:r>
      <w:r w:rsidRPr="000715C5">
        <w:rPr>
          <w:rFonts w:ascii="Times New Roman" w:eastAsia="Times New Roman" w:hAnsi="Times New Roman" w:cs="Times New Roman"/>
          <w:snapToGrid w:val="0"/>
          <w:sz w:val="24"/>
          <w:szCs w:val="24"/>
        </w:rPr>
        <w:t xml:space="preserve"> means a person who holds a relevant regional commercial radio broadcasting licence immediately prior to a trigger event occurring for that licence.</w:t>
      </w:r>
    </w:p>
    <w:p w14:paraId="4AF725CE" w14:textId="6D70241A" w:rsidR="009B62A2" w:rsidRPr="00C77316" w:rsidRDefault="009B62A2" w:rsidP="000715C5">
      <w:pPr>
        <w:suppressAutoHyphens/>
        <w:spacing w:before="80" w:after="120" w:line="280" w:lineRule="atLeast"/>
        <w:ind w:left="720"/>
        <w:rPr>
          <w:rFonts w:ascii="Times New Roman" w:eastAsia="Times New Roman" w:hAnsi="Times New Roman" w:cs="Times New Roman"/>
          <w:snapToGrid w:val="0"/>
          <w:sz w:val="24"/>
          <w:szCs w:val="24"/>
        </w:rPr>
      </w:pPr>
      <w:r w:rsidRPr="000715C5">
        <w:rPr>
          <w:rFonts w:ascii="Times New Roman" w:eastAsia="Times New Roman" w:hAnsi="Times New Roman" w:cs="Times New Roman"/>
          <w:b/>
          <w:i/>
          <w:snapToGrid w:val="0"/>
          <w:sz w:val="24"/>
          <w:szCs w:val="24"/>
        </w:rPr>
        <w:t>licensee</w:t>
      </w:r>
      <w:r w:rsidRPr="000715C5">
        <w:rPr>
          <w:rFonts w:ascii="Times New Roman" w:eastAsia="Times New Roman" w:hAnsi="Times New Roman" w:cs="Times New Roman"/>
          <w:snapToGrid w:val="0"/>
          <w:sz w:val="24"/>
          <w:szCs w:val="24"/>
        </w:rPr>
        <w:t xml:space="preserve"> means a </w:t>
      </w:r>
      <w:bookmarkStart w:id="16" w:name="OLE_LINK11"/>
      <w:r w:rsidRPr="000715C5">
        <w:rPr>
          <w:rFonts w:ascii="Times New Roman" w:eastAsia="Times New Roman" w:hAnsi="Times New Roman" w:cs="Times New Roman"/>
          <w:snapToGrid w:val="0"/>
          <w:sz w:val="24"/>
          <w:szCs w:val="24"/>
        </w:rPr>
        <w:t>person who holds a relevant regional commercial radio broadcasting licence after a trigger event has occurred for that licence</w:t>
      </w:r>
      <w:bookmarkEnd w:id="16"/>
      <w:r w:rsidRPr="000715C5">
        <w:rPr>
          <w:rFonts w:ascii="Times New Roman" w:eastAsia="Times New Roman" w:hAnsi="Times New Roman" w:cs="Times New Roman"/>
          <w:snapToGrid w:val="0"/>
          <w:sz w:val="24"/>
          <w:szCs w:val="24"/>
        </w:rPr>
        <w:t>.</w:t>
      </w:r>
    </w:p>
    <w:p w14:paraId="4AF725D0" w14:textId="77777777" w:rsidR="009B62A2" w:rsidRPr="000715C5" w:rsidRDefault="009B62A2" w:rsidP="009B62A2">
      <w:pPr>
        <w:suppressAutoHyphens/>
        <w:spacing w:before="80" w:after="120" w:line="280" w:lineRule="atLeast"/>
        <w:ind w:left="720"/>
        <w:rPr>
          <w:rFonts w:ascii="Times New Roman" w:eastAsia="Times New Roman" w:hAnsi="Times New Roman" w:cs="Times New Roman"/>
          <w:snapToGrid w:val="0"/>
          <w:sz w:val="24"/>
          <w:szCs w:val="24"/>
        </w:rPr>
      </w:pPr>
      <w:r w:rsidRPr="000715C5">
        <w:rPr>
          <w:rFonts w:ascii="Times New Roman" w:eastAsia="Times New Roman" w:hAnsi="Times New Roman" w:cs="Times New Roman"/>
          <w:b/>
          <w:i/>
          <w:snapToGrid w:val="0"/>
          <w:sz w:val="24"/>
          <w:szCs w:val="24"/>
        </w:rPr>
        <w:t>relevant period</w:t>
      </w:r>
      <w:r w:rsidRPr="000715C5">
        <w:rPr>
          <w:rFonts w:ascii="Times New Roman" w:eastAsia="Times New Roman" w:hAnsi="Times New Roman" w:cs="Times New Roman"/>
          <w:snapToGrid w:val="0"/>
          <w:sz w:val="24"/>
          <w:szCs w:val="24"/>
        </w:rPr>
        <w:t xml:space="preserve"> means the period beginning on the date a trigger event for the licence occurs and ending 24 months later.</w:t>
      </w:r>
    </w:p>
    <w:p w14:paraId="4AF725D1" w14:textId="1C75EE9F" w:rsidR="009B62A2" w:rsidRPr="000715C5" w:rsidRDefault="009B62A2" w:rsidP="009B62A2">
      <w:pPr>
        <w:suppressAutoHyphens/>
        <w:spacing w:before="80" w:after="120" w:line="280" w:lineRule="atLeast"/>
        <w:ind w:left="720"/>
        <w:rPr>
          <w:rFonts w:ascii="Times New Roman" w:eastAsia="Times New Roman" w:hAnsi="Times New Roman" w:cs="Times New Roman"/>
          <w:b/>
          <w:bCs/>
          <w:i/>
          <w:iCs/>
          <w:snapToGrid w:val="0"/>
          <w:sz w:val="24"/>
          <w:szCs w:val="24"/>
        </w:rPr>
      </w:pPr>
      <w:r w:rsidRPr="000715C5">
        <w:rPr>
          <w:rFonts w:ascii="Times New Roman" w:eastAsia="Times New Roman" w:hAnsi="Times New Roman" w:cs="Times New Roman"/>
          <w:b/>
          <w:bCs/>
          <w:i/>
          <w:iCs/>
          <w:snapToGrid w:val="0"/>
          <w:sz w:val="24"/>
          <w:szCs w:val="24"/>
        </w:rPr>
        <w:lastRenderedPageBreak/>
        <w:t>relevant regional commercial radio broadcasting licence</w:t>
      </w:r>
      <w:r w:rsidRPr="000715C5">
        <w:rPr>
          <w:rFonts w:ascii="Times New Roman" w:eastAsia="Times New Roman" w:hAnsi="Times New Roman" w:cs="Times New Roman"/>
          <w:snapToGrid w:val="0"/>
          <w:sz w:val="24"/>
          <w:szCs w:val="24"/>
        </w:rPr>
        <w:t xml:space="preserve"> means a </w:t>
      </w:r>
      <w:r w:rsidR="000506B6" w:rsidRPr="000715C5">
        <w:rPr>
          <w:rFonts w:ascii="Times New Roman" w:eastAsia="Times New Roman" w:hAnsi="Times New Roman" w:cs="Times New Roman"/>
          <w:snapToGrid w:val="0"/>
          <w:sz w:val="24"/>
          <w:szCs w:val="24"/>
        </w:rPr>
        <w:t xml:space="preserve">regional </w:t>
      </w:r>
      <w:r w:rsidRPr="000715C5">
        <w:rPr>
          <w:rFonts w:ascii="Times New Roman" w:eastAsia="Times New Roman" w:hAnsi="Times New Roman" w:cs="Times New Roman"/>
          <w:snapToGrid w:val="0"/>
          <w:sz w:val="24"/>
          <w:szCs w:val="24"/>
        </w:rPr>
        <w:t>commercial radio broadcasting licence</w:t>
      </w:r>
      <w:r w:rsidR="006D7626" w:rsidRPr="000715C5">
        <w:rPr>
          <w:rFonts w:ascii="Times New Roman" w:eastAsia="Times New Roman" w:hAnsi="Times New Roman" w:cs="Times New Roman"/>
          <w:snapToGrid w:val="0"/>
          <w:sz w:val="24"/>
          <w:szCs w:val="24"/>
        </w:rPr>
        <w:t xml:space="preserve"> </w:t>
      </w:r>
      <w:r w:rsidRPr="000715C5">
        <w:rPr>
          <w:rFonts w:ascii="Times New Roman" w:eastAsia="Times New Roman" w:hAnsi="Times New Roman" w:cs="Times New Roman"/>
          <w:snapToGrid w:val="0"/>
          <w:sz w:val="24"/>
          <w:szCs w:val="24"/>
        </w:rPr>
        <w:t>other than a remote area service radio licence, a regional racing service radio licence or a licence allocated under subsection 40(1) of the Act.</w:t>
      </w:r>
    </w:p>
    <w:p w14:paraId="4AF725D2" w14:textId="77777777" w:rsidR="009B62A2" w:rsidRPr="000715C5" w:rsidRDefault="009B62A2" w:rsidP="009B62A2">
      <w:pPr>
        <w:suppressAutoHyphens/>
        <w:spacing w:before="80" w:after="120" w:line="280" w:lineRule="atLeast"/>
        <w:ind w:left="720"/>
        <w:rPr>
          <w:rFonts w:ascii="Times New Roman" w:eastAsia="Times New Roman" w:hAnsi="Times New Roman" w:cs="Times New Roman"/>
          <w:snapToGrid w:val="0"/>
          <w:sz w:val="24"/>
          <w:szCs w:val="24"/>
        </w:rPr>
      </w:pPr>
      <w:r w:rsidRPr="000715C5">
        <w:rPr>
          <w:rFonts w:ascii="Times New Roman" w:eastAsia="Times New Roman" w:hAnsi="Times New Roman" w:cs="Times New Roman"/>
          <w:b/>
          <w:i/>
          <w:snapToGrid w:val="0"/>
          <w:sz w:val="24"/>
          <w:szCs w:val="24"/>
        </w:rPr>
        <w:t>staff</w:t>
      </w:r>
      <w:r w:rsidRPr="000715C5">
        <w:rPr>
          <w:rFonts w:ascii="Times New Roman" w:eastAsia="Times New Roman" w:hAnsi="Times New Roman" w:cs="Times New Roman"/>
          <w:b/>
          <w:snapToGrid w:val="0"/>
          <w:sz w:val="24"/>
          <w:szCs w:val="24"/>
        </w:rPr>
        <w:t xml:space="preserve"> </w:t>
      </w:r>
      <w:r w:rsidRPr="000715C5">
        <w:rPr>
          <w:rFonts w:ascii="Times New Roman" w:eastAsia="Times New Roman" w:hAnsi="Times New Roman" w:cs="Times New Roman"/>
          <w:snapToGrid w:val="0"/>
          <w:sz w:val="24"/>
          <w:szCs w:val="24"/>
        </w:rPr>
        <w:t>includes individuals engaged as independent contractors.</w:t>
      </w:r>
    </w:p>
    <w:p w14:paraId="4AF725D3" w14:textId="77777777" w:rsidR="009B62A2" w:rsidRPr="000715C5" w:rsidRDefault="009B62A2" w:rsidP="009B62A2">
      <w:pPr>
        <w:suppressAutoHyphens/>
        <w:spacing w:before="80" w:after="120" w:line="280" w:lineRule="atLeast"/>
        <w:ind w:left="720"/>
        <w:rPr>
          <w:rFonts w:ascii="Times New Roman" w:eastAsia="Times New Roman" w:hAnsi="Times New Roman" w:cs="Times New Roman"/>
          <w:snapToGrid w:val="0"/>
          <w:sz w:val="24"/>
          <w:szCs w:val="24"/>
        </w:rPr>
      </w:pPr>
      <w:r w:rsidRPr="000715C5">
        <w:rPr>
          <w:rFonts w:ascii="Times New Roman" w:eastAsia="Times New Roman" w:hAnsi="Times New Roman" w:cs="Times New Roman"/>
          <w:b/>
          <w:i/>
          <w:snapToGrid w:val="0"/>
          <w:sz w:val="24"/>
          <w:szCs w:val="24"/>
        </w:rPr>
        <w:t>staffing levels</w:t>
      </w:r>
      <w:r w:rsidRPr="000715C5">
        <w:rPr>
          <w:rFonts w:ascii="Times New Roman" w:eastAsia="Times New Roman" w:hAnsi="Times New Roman" w:cs="Times New Roman"/>
          <w:snapToGrid w:val="0"/>
          <w:sz w:val="24"/>
          <w:szCs w:val="24"/>
        </w:rPr>
        <w:t xml:space="preserve"> means any one of the following:</w:t>
      </w:r>
    </w:p>
    <w:p w14:paraId="4AF725D4" w14:textId="73500DCB" w:rsidR="009B62A2" w:rsidRPr="000715C5" w:rsidRDefault="009B62A2" w:rsidP="009B62A2">
      <w:pPr>
        <w:numPr>
          <w:ilvl w:val="0"/>
          <w:numId w:val="5"/>
        </w:numPr>
        <w:suppressAutoHyphens/>
        <w:spacing w:before="80" w:after="120" w:line="280" w:lineRule="atLeast"/>
        <w:rPr>
          <w:rFonts w:ascii="Times New Roman" w:eastAsia="Times New Roman" w:hAnsi="Times New Roman" w:cs="Times New Roman"/>
          <w:snapToGrid w:val="0"/>
          <w:sz w:val="24"/>
          <w:szCs w:val="24"/>
        </w:rPr>
      </w:pPr>
      <w:r w:rsidRPr="000715C5">
        <w:rPr>
          <w:rFonts w:ascii="Times New Roman" w:eastAsia="Times New Roman" w:hAnsi="Times New Roman" w:cs="Times New Roman"/>
          <w:snapToGrid w:val="0"/>
          <w:sz w:val="24"/>
          <w:szCs w:val="24"/>
        </w:rPr>
        <w:t>the number of full</w:t>
      </w:r>
      <w:r w:rsidR="006C7DDD" w:rsidRPr="000715C5">
        <w:rPr>
          <w:rFonts w:ascii="Times New Roman" w:eastAsia="Times New Roman" w:hAnsi="Times New Roman" w:cs="Times New Roman"/>
          <w:snapToGrid w:val="0"/>
          <w:sz w:val="24"/>
          <w:szCs w:val="24"/>
        </w:rPr>
        <w:t>-</w:t>
      </w:r>
      <w:r w:rsidRPr="000715C5">
        <w:rPr>
          <w:rFonts w:ascii="Times New Roman" w:eastAsia="Times New Roman" w:hAnsi="Times New Roman" w:cs="Times New Roman"/>
          <w:snapToGrid w:val="0"/>
          <w:sz w:val="24"/>
          <w:szCs w:val="24"/>
        </w:rPr>
        <w:t>time equivalent staff employed; or</w:t>
      </w:r>
    </w:p>
    <w:p w14:paraId="4AF725D5" w14:textId="77777777" w:rsidR="009B62A2" w:rsidRPr="000715C5" w:rsidRDefault="009B62A2" w:rsidP="009B62A2">
      <w:pPr>
        <w:numPr>
          <w:ilvl w:val="0"/>
          <w:numId w:val="5"/>
        </w:numPr>
        <w:suppressAutoHyphens/>
        <w:spacing w:before="80" w:after="120" w:line="280" w:lineRule="atLeast"/>
        <w:rPr>
          <w:rFonts w:ascii="Times New Roman" w:eastAsia="Times New Roman" w:hAnsi="Times New Roman" w:cs="Times New Roman"/>
          <w:snapToGrid w:val="0"/>
          <w:sz w:val="24"/>
          <w:szCs w:val="24"/>
        </w:rPr>
      </w:pPr>
      <w:r w:rsidRPr="000715C5">
        <w:rPr>
          <w:rFonts w:ascii="Times New Roman" w:eastAsia="Times New Roman" w:hAnsi="Times New Roman" w:cs="Times New Roman"/>
          <w:snapToGrid w:val="0"/>
          <w:sz w:val="24"/>
          <w:szCs w:val="24"/>
        </w:rPr>
        <w:t>the number of total staff hours worked; or</w:t>
      </w:r>
    </w:p>
    <w:p w14:paraId="4AF725D6" w14:textId="77777777" w:rsidR="009B62A2" w:rsidRPr="000715C5" w:rsidRDefault="009B62A2" w:rsidP="009B62A2">
      <w:pPr>
        <w:numPr>
          <w:ilvl w:val="0"/>
          <w:numId w:val="5"/>
        </w:numPr>
        <w:suppressAutoHyphens/>
        <w:spacing w:before="80" w:after="120" w:line="280" w:lineRule="atLeast"/>
        <w:rPr>
          <w:rFonts w:ascii="Times New Roman" w:eastAsia="Times New Roman" w:hAnsi="Times New Roman" w:cs="Times New Roman"/>
          <w:snapToGrid w:val="0"/>
          <w:sz w:val="24"/>
          <w:szCs w:val="24"/>
        </w:rPr>
      </w:pPr>
      <w:r w:rsidRPr="000715C5">
        <w:rPr>
          <w:rFonts w:ascii="Times New Roman" w:eastAsia="Times New Roman" w:hAnsi="Times New Roman" w:cs="Times New Roman"/>
          <w:snapToGrid w:val="0"/>
          <w:sz w:val="24"/>
          <w:szCs w:val="24"/>
        </w:rPr>
        <w:t>the expenditure on staff.</w:t>
      </w:r>
    </w:p>
    <w:p w14:paraId="4AF725D7" w14:textId="77777777" w:rsidR="009B62A2" w:rsidRPr="009B62A2" w:rsidRDefault="009B62A2" w:rsidP="009B62A2">
      <w:pPr>
        <w:suppressAutoHyphens/>
        <w:spacing w:before="80" w:after="120" w:line="280" w:lineRule="atLeast"/>
        <w:ind w:left="720"/>
        <w:rPr>
          <w:rFonts w:ascii="Times New Roman" w:eastAsia="Times New Roman" w:hAnsi="Times New Roman" w:cs="Times New Roman"/>
          <w:snapToGrid w:val="0"/>
          <w:sz w:val="24"/>
          <w:szCs w:val="20"/>
        </w:rPr>
      </w:pPr>
      <w:r w:rsidRPr="009B62A2">
        <w:rPr>
          <w:rFonts w:ascii="Times New Roman" w:eastAsia="Times New Roman" w:hAnsi="Times New Roman" w:cs="Times New Roman"/>
          <w:b/>
          <w:i/>
          <w:snapToGrid w:val="0"/>
          <w:sz w:val="24"/>
          <w:szCs w:val="20"/>
        </w:rPr>
        <w:t>studios and other production facilities</w:t>
      </w:r>
      <w:r w:rsidRPr="009B62A2">
        <w:rPr>
          <w:rFonts w:ascii="Times New Roman" w:eastAsia="Times New Roman" w:hAnsi="Times New Roman" w:cs="Times New Roman"/>
          <w:snapToGrid w:val="0"/>
          <w:sz w:val="24"/>
          <w:szCs w:val="20"/>
        </w:rPr>
        <w:t xml:space="preserve"> means any on-air studios or production booths that are used to compile commercial radio programs, but does not include equipment used for such purposes.</w:t>
      </w:r>
    </w:p>
    <w:p w14:paraId="4AF725D8" w14:textId="0225DD8E" w:rsidR="009B62A2" w:rsidRPr="009B62A2" w:rsidRDefault="009B62A2" w:rsidP="009B62A2">
      <w:pPr>
        <w:suppressAutoHyphens/>
        <w:spacing w:before="80" w:after="120" w:line="280" w:lineRule="atLeast"/>
        <w:ind w:left="1440" w:hanging="720"/>
        <w:rPr>
          <w:rFonts w:ascii="Times New Roman" w:eastAsia="Times New Roman" w:hAnsi="Times New Roman" w:cs="Times New Roman"/>
          <w:bCs/>
          <w:iCs/>
          <w:snapToGrid w:val="0"/>
          <w:sz w:val="18"/>
          <w:szCs w:val="18"/>
        </w:rPr>
      </w:pPr>
      <w:r w:rsidRPr="009B62A2">
        <w:rPr>
          <w:rFonts w:ascii="Times New Roman" w:eastAsia="Times New Roman" w:hAnsi="Times New Roman" w:cs="Times New Roman"/>
          <w:bCs/>
          <w:i/>
          <w:iCs/>
          <w:snapToGrid w:val="0"/>
          <w:sz w:val="18"/>
          <w:szCs w:val="18"/>
        </w:rPr>
        <w:t xml:space="preserve">Note </w:t>
      </w:r>
      <w:r w:rsidRPr="009B62A2">
        <w:rPr>
          <w:rFonts w:ascii="Times New Roman" w:eastAsia="Times New Roman" w:hAnsi="Times New Roman" w:cs="Times New Roman"/>
          <w:bCs/>
          <w:i/>
          <w:iCs/>
          <w:snapToGrid w:val="0"/>
          <w:sz w:val="18"/>
          <w:szCs w:val="18"/>
        </w:rPr>
        <w:tab/>
      </w:r>
      <w:r w:rsidRPr="009B62A2">
        <w:rPr>
          <w:rFonts w:ascii="Times New Roman" w:eastAsia="Times New Roman" w:hAnsi="Times New Roman" w:cs="Times New Roman"/>
          <w:snapToGrid w:val="0"/>
          <w:sz w:val="18"/>
          <w:szCs w:val="18"/>
        </w:rPr>
        <w:t xml:space="preserve">The following terms used in this </w:t>
      </w:r>
      <w:r w:rsidR="00AA5E77">
        <w:rPr>
          <w:rFonts w:ascii="Times New Roman" w:eastAsia="Times New Roman" w:hAnsi="Times New Roman" w:cs="Times New Roman"/>
          <w:snapToGrid w:val="0"/>
          <w:sz w:val="18"/>
          <w:szCs w:val="18"/>
        </w:rPr>
        <w:t>i</w:t>
      </w:r>
      <w:r w:rsidRPr="009B62A2">
        <w:rPr>
          <w:rFonts w:ascii="Times New Roman" w:eastAsia="Times New Roman" w:hAnsi="Times New Roman" w:cs="Times New Roman"/>
          <w:snapToGrid w:val="0"/>
          <w:sz w:val="18"/>
          <w:szCs w:val="18"/>
        </w:rPr>
        <w:t>nstrument are defined in the Act and have the same meaning as in that Act</w:t>
      </w:r>
      <w:r w:rsidRPr="009B62A2">
        <w:rPr>
          <w:rFonts w:ascii="Times New Roman" w:eastAsia="Times New Roman" w:hAnsi="Times New Roman" w:cs="Times New Roman"/>
          <w:bCs/>
          <w:iCs/>
          <w:snapToGrid w:val="0"/>
          <w:sz w:val="18"/>
          <w:szCs w:val="18"/>
        </w:rPr>
        <w:t xml:space="preserve">: the </w:t>
      </w:r>
      <w:r w:rsidRPr="008905A2">
        <w:rPr>
          <w:rFonts w:ascii="Times New Roman" w:eastAsia="Times New Roman" w:hAnsi="Times New Roman" w:cs="Times New Roman"/>
          <w:iCs/>
          <w:snapToGrid w:val="0"/>
          <w:sz w:val="18"/>
          <w:szCs w:val="18"/>
        </w:rPr>
        <w:t xml:space="preserve">ACMA, </w:t>
      </w:r>
      <w:r w:rsidR="00687177" w:rsidRPr="008905A2">
        <w:rPr>
          <w:rFonts w:ascii="Times New Roman" w:eastAsia="Times New Roman" w:hAnsi="Times New Roman" w:cs="Times New Roman"/>
          <w:iCs/>
          <w:snapToGrid w:val="0"/>
          <w:sz w:val="18"/>
          <w:szCs w:val="18"/>
        </w:rPr>
        <w:t xml:space="preserve">regional </w:t>
      </w:r>
      <w:r w:rsidRPr="008905A2">
        <w:rPr>
          <w:rFonts w:ascii="Times New Roman" w:eastAsia="Times New Roman" w:hAnsi="Times New Roman" w:cs="Times New Roman"/>
          <w:snapToGrid w:val="0"/>
          <w:sz w:val="18"/>
          <w:szCs w:val="18"/>
        </w:rPr>
        <w:t>commercial radio broadcasting licence,</w:t>
      </w:r>
      <w:r w:rsidRPr="006508B7">
        <w:rPr>
          <w:rFonts w:ascii="Times New Roman" w:eastAsia="Times New Roman" w:hAnsi="Times New Roman" w:cs="Times New Roman"/>
          <w:snapToGrid w:val="0"/>
          <w:sz w:val="24"/>
          <w:szCs w:val="20"/>
        </w:rPr>
        <w:t xml:space="preserve"> </w:t>
      </w:r>
      <w:r w:rsidRPr="008905A2">
        <w:rPr>
          <w:rFonts w:ascii="Times New Roman" w:eastAsia="Times New Roman" w:hAnsi="Times New Roman" w:cs="Times New Roman"/>
          <w:iCs/>
          <w:snapToGrid w:val="0"/>
          <w:sz w:val="18"/>
          <w:szCs w:val="18"/>
        </w:rPr>
        <w:t xml:space="preserve">licence, licence area, </w:t>
      </w:r>
      <w:r w:rsidRPr="008905A2">
        <w:rPr>
          <w:rFonts w:ascii="Times New Roman" w:eastAsia="Times New Roman" w:hAnsi="Times New Roman" w:cs="Times New Roman"/>
          <w:snapToGrid w:val="0"/>
          <w:sz w:val="18"/>
          <w:szCs w:val="18"/>
        </w:rPr>
        <w:t>regional racing service radio licence [see section 8AF], remote area service radio licence,</w:t>
      </w:r>
      <w:r w:rsidRPr="008905A2">
        <w:rPr>
          <w:rFonts w:ascii="Times New Roman" w:eastAsia="Times New Roman" w:hAnsi="Times New Roman" w:cs="Times New Roman"/>
          <w:iCs/>
          <w:snapToGrid w:val="0"/>
          <w:sz w:val="18"/>
          <w:szCs w:val="18"/>
        </w:rPr>
        <w:t xml:space="preserve"> trigger event [see Division 5C of Part 5</w:t>
      </w:r>
      <w:r w:rsidRPr="006508B7">
        <w:rPr>
          <w:rFonts w:ascii="Times New Roman" w:eastAsia="Times New Roman" w:hAnsi="Times New Roman" w:cs="Times New Roman"/>
          <w:iCs/>
          <w:snapToGrid w:val="0"/>
          <w:sz w:val="18"/>
          <w:szCs w:val="18"/>
        </w:rPr>
        <w:t>].</w:t>
      </w:r>
    </w:p>
    <w:p w14:paraId="4AF725D9" w14:textId="59F63584" w:rsidR="009B62A2" w:rsidRPr="009B62A2" w:rsidRDefault="00D449BF" w:rsidP="009B62A2">
      <w:pPr>
        <w:keepNext/>
        <w:spacing w:before="240" w:after="60" w:line="240" w:lineRule="auto"/>
        <w:outlineLvl w:val="1"/>
        <w:rPr>
          <w:rFonts w:ascii="Arial" w:eastAsia="Times New Roman" w:hAnsi="Arial" w:cs="Arial"/>
          <w:bCs/>
          <w:sz w:val="28"/>
          <w:szCs w:val="28"/>
          <w:lang w:eastAsia="en-AU"/>
        </w:rPr>
      </w:pPr>
      <w:bookmarkStart w:id="17" w:name="_Toc158118368"/>
      <w:bookmarkStart w:id="18" w:name="_Toc391890380"/>
      <w:r>
        <w:rPr>
          <w:rFonts w:ascii="Arial" w:eastAsia="Times New Roman" w:hAnsi="Arial" w:cs="Arial"/>
          <w:b/>
          <w:bCs/>
          <w:sz w:val="28"/>
          <w:szCs w:val="28"/>
          <w:lang w:eastAsia="en-AU"/>
        </w:rPr>
        <w:t>7</w:t>
      </w:r>
      <w:r w:rsidR="009B62A2" w:rsidRPr="009B62A2">
        <w:rPr>
          <w:rFonts w:ascii="Arial" w:eastAsia="Times New Roman" w:hAnsi="Arial" w:cs="Arial"/>
          <w:b/>
          <w:bCs/>
          <w:sz w:val="28"/>
          <w:szCs w:val="28"/>
          <w:lang w:eastAsia="en-AU"/>
        </w:rPr>
        <w:tab/>
        <w:t xml:space="preserve">Definition of </w:t>
      </w:r>
      <w:r w:rsidR="009B62A2" w:rsidRPr="009B62A2">
        <w:rPr>
          <w:rFonts w:ascii="Arial" w:eastAsia="Times New Roman" w:hAnsi="Arial" w:cs="Arial"/>
          <w:b/>
          <w:bCs/>
          <w:i/>
          <w:sz w:val="28"/>
          <w:szCs w:val="28"/>
          <w:lang w:eastAsia="en-AU"/>
        </w:rPr>
        <w:t>existing level of local presence</w:t>
      </w:r>
      <w:bookmarkEnd w:id="17"/>
      <w:bookmarkEnd w:id="18"/>
    </w:p>
    <w:p w14:paraId="4AF725DA" w14:textId="01B1377A" w:rsidR="009B62A2" w:rsidRPr="009B62A2" w:rsidRDefault="009B62A2" w:rsidP="009B62A2">
      <w:pPr>
        <w:suppressAutoHyphens/>
        <w:spacing w:before="80" w:after="120" w:line="280" w:lineRule="atLeast"/>
        <w:ind w:left="720" w:hanging="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(1)</w:t>
      </w:r>
      <w:r w:rsidRPr="009B62A2">
        <w:rPr>
          <w:rFonts w:ascii="Times New Roman" w:eastAsia="Times New Roman" w:hAnsi="Times New Roman" w:cs="Times New Roman"/>
          <w:snapToGrid w:val="0"/>
          <w:sz w:val="24"/>
          <w:szCs w:val="20"/>
        </w:rPr>
        <w:tab/>
        <w:t xml:space="preserve">In this </w:t>
      </w:r>
      <w:r w:rsidR="002F5E8E">
        <w:rPr>
          <w:rFonts w:ascii="Times New Roman" w:eastAsia="Times New Roman" w:hAnsi="Times New Roman" w:cs="Times New Roman"/>
          <w:snapToGrid w:val="0"/>
          <w:sz w:val="24"/>
          <w:szCs w:val="20"/>
        </w:rPr>
        <w:t>i</w:t>
      </w:r>
      <w:r w:rsidRPr="009B62A2">
        <w:rPr>
          <w:rFonts w:ascii="Times New Roman" w:eastAsia="Times New Roman" w:hAnsi="Times New Roman" w:cs="Times New Roman"/>
          <w:snapToGrid w:val="0"/>
          <w:sz w:val="24"/>
          <w:szCs w:val="20"/>
        </w:rPr>
        <w:t xml:space="preserve">nstrument, </w:t>
      </w:r>
      <w:r w:rsidRPr="009B62A2">
        <w:rPr>
          <w:rFonts w:ascii="Times New Roman" w:eastAsia="Times New Roman" w:hAnsi="Times New Roman" w:cs="Times New Roman"/>
          <w:b/>
          <w:i/>
          <w:snapToGrid w:val="0"/>
          <w:sz w:val="24"/>
          <w:szCs w:val="20"/>
        </w:rPr>
        <w:t>existing level of local presence</w:t>
      </w:r>
      <w:r w:rsidRPr="009B62A2">
        <w:rPr>
          <w:rFonts w:ascii="Times New Roman" w:eastAsia="Times New Roman" w:hAnsi="Times New Roman" w:cs="Times New Roman"/>
          <w:b/>
          <w:snapToGrid w:val="0"/>
          <w:sz w:val="24"/>
          <w:szCs w:val="20"/>
        </w:rPr>
        <w:t xml:space="preserve"> </w:t>
      </w:r>
      <w:r w:rsidRPr="009B62A2">
        <w:rPr>
          <w:rFonts w:ascii="Times New Roman" w:eastAsia="Times New Roman" w:hAnsi="Times New Roman" w:cs="Times New Roman"/>
          <w:snapToGrid w:val="0"/>
          <w:sz w:val="24"/>
          <w:szCs w:val="20"/>
        </w:rPr>
        <w:t>means:</w:t>
      </w:r>
    </w:p>
    <w:p w14:paraId="4AF725DB" w14:textId="77777777" w:rsidR="009B62A2" w:rsidRPr="009B62A2" w:rsidRDefault="009B62A2" w:rsidP="009B62A2">
      <w:pPr>
        <w:numPr>
          <w:ilvl w:val="0"/>
          <w:numId w:val="6"/>
        </w:numPr>
        <w:suppressAutoHyphens/>
        <w:spacing w:before="80" w:after="120" w:line="280" w:lineRule="atLeast"/>
        <w:rPr>
          <w:rFonts w:ascii="Times New Roman" w:eastAsia="Times New Roman" w:hAnsi="Times New Roman" w:cs="Times New Roman"/>
          <w:snapToGrid w:val="0"/>
          <w:sz w:val="24"/>
          <w:szCs w:val="24"/>
        </w:rPr>
      </w:pPr>
      <w:r w:rsidRPr="009B62A2">
        <w:rPr>
          <w:rFonts w:ascii="Times New Roman" w:eastAsia="Times New Roman" w:hAnsi="Times New Roman" w:cs="Times New Roman"/>
          <w:snapToGrid w:val="0"/>
          <w:sz w:val="24"/>
          <w:szCs w:val="24"/>
        </w:rPr>
        <w:t>the staffing levels determined by subsection (2); and</w:t>
      </w:r>
    </w:p>
    <w:p w14:paraId="4AF725DC" w14:textId="77777777" w:rsidR="009B62A2" w:rsidRPr="009B62A2" w:rsidRDefault="009B62A2" w:rsidP="009B62A2">
      <w:pPr>
        <w:numPr>
          <w:ilvl w:val="0"/>
          <w:numId w:val="6"/>
        </w:numPr>
        <w:suppressAutoHyphens/>
        <w:spacing w:before="80" w:after="120" w:line="280" w:lineRule="atLeast"/>
        <w:rPr>
          <w:rFonts w:ascii="Times New Roman" w:eastAsia="Times New Roman" w:hAnsi="Times New Roman" w:cs="Times New Roman"/>
          <w:snapToGrid w:val="0"/>
          <w:sz w:val="24"/>
          <w:szCs w:val="24"/>
        </w:rPr>
      </w:pPr>
      <w:r w:rsidRPr="009B62A2">
        <w:rPr>
          <w:rFonts w:ascii="Times New Roman" w:eastAsia="Times New Roman" w:hAnsi="Times New Roman" w:cs="Times New Roman"/>
          <w:snapToGrid w:val="0"/>
          <w:sz w:val="24"/>
          <w:szCs w:val="24"/>
        </w:rPr>
        <w:t>the use of the studios and other production facilities determined by subsection (3).</w:t>
      </w:r>
    </w:p>
    <w:p w14:paraId="4AF725DD" w14:textId="32DCD6A7" w:rsidR="009B62A2" w:rsidRPr="009B62A2" w:rsidRDefault="009B62A2" w:rsidP="009B62A2">
      <w:pPr>
        <w:suppressAutoHyphens/>
        <w:spacing w:before="80" w:after="120" w:line="280" w:lineRule="atLeast"/>
        <w:ind w:left="720" w:hanging="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(2)</w:t>
      </w:r>
      <w:r w:rsidRPr="009B62A2">
        <w:rPr>
          <w:rFonts w:ascii="Times New Roman" w:eastAsia="Times New Roman" w:hAnsi="Times New Roman" w:cs="Times New Roman"/>
          <w:snapToGrid w:val="0"/>
          <w:sz w:val="24"/>
          <w:szCs w:val="20"/>
        </w:rPr>
        <w:tab/>
        <w:t xml:space="preserve">For paragraph (1)(a), staffing levels are determined by calculating the average monthly staffing levels </w:t>
      </w:r>
      <w:bookmarkStart w:id="19" w:name="OLE_LINK9"/>
      <w:bookmarkStart w:id="20" w:name="OLE_LINK15"/>
      <w:r w:rsidRPr="009B62A2">
        <w:rPr>
          <w:rFonts w:ascii="Times New Roman" w:eastAsia="Times New Roman" w:hAnsi="Times New Roman" w:cs="Times New Roman"/>
          <w:snapToGrid w:val="0"/>
          <w:sz w:val="24"/>
          <w:szCs w:val="20"/>
        </w:rPr>
        <w:t>in the licence area of the former licensee in relation to the licence over the three</w:t>
      </w:r>
      <w:r w:rsidR="00933CF6">
        <w:rPr>
          <w:rFonts w:ascii="Times New Roman" w:eastAsia="Times New Roman" w:hAnsi="Times New Roman" w:cs="Times New Roman"/>
          <w:snapToGrid w:val="0"/>
          <w:sz w:val="24"/>
          <w:szCs w:val="20"/>
        </w:rPr>
        <w:t>-</w:t>
      </w:r>
      <w:r w:rsidRPr="009B62A2">
        <w:rPr>
          <w:rFonts w:ascii="Times New Roman" w:eastAsia="Times New Roman" w:hAnsi="Times New Roman" w:cs="Times New Roman"/>
          <w:snapToGrid w:val="0"/>
          <w:sz w:val="24"/>
          <w:szCs w:val="20"/>
        </w:rPr>
        <w:t>month period ending on the Saturday before the day on which the trigger event occurred</w:t>
      </w:r>
      <w:bookmarkEnd w:id="19"/>
      <w:bookmarkEnd w:id="20"/>
      <w:r w:rsidRPr="009B62A2">
        <w:rPr>
          <w:rFonts w:ascii="Times New Roman" w:eastAsia="Times New Roman" w:hAnsi="Times New Roman" w:cs="Times New Roman"/>
          <w:snapToGrid w:val="0"/>
          <w:sz w:val="24"/>
          <w:szCs w:val="20"/>
        </w:rPr>
        <w:t>.</w:t>
      </w:r>
    </w:p>
    <w:p w14:paraId="4AF725DE" w14:textId="03EA2E23" w:rsidR="009B62A2" w:rsidRPr="009B62A2" w:rsidRDefault="009B62A2" w:rsidP="009B62A2">
      <w:pPr>
        <w:suppressAutoHyphens/>
        <w:spacing w:before="80" w:after="120" w:line="280" w:lineRule="atLeast"/>
        <w:ind w:left="720" w:hanging="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(3)</w:t>
      </w:r>
      <w:r w:rsidRPr="009B62A2">
        <w:rPr>
          <w:rFonts w:ascii="Times New Roman" w:eastAsia="Times New Roman" w:hAnsi="Times New Roman" w:cs="Times New Roman"/>
          <w:snapToGrid w:val="0"/>
          <w:sz w:val="24"/>
          <w:szCs w:val="20"/>
        </w:rPr>
        <w:tab/>
        <w:t>For paragraph (1)(b)</w:t>
      </w:r>
      <w:bookmarkStart w:id="21" w:name="OLE_LINK10"/>
      <w:bookmarkStart w:id="22" w:name="OLE_LINK12"/>
      <w:r w:rsidRPr="009B62A2">
        <w:rPr>
          <w:rFonts w:ascii="Times New Roman" w:eastAsia="Times New Roman" w:hAnsi="Times New Roman" w:cs="Times New Roman"/>
          <w:i/>
          <w:snapToGrid w:val="0"/>
          <w:sz w:val="24"/>
          <w:szCs w:val="20"/>
        </w:rPr>
        <w:t xml:space="preserve">, </w:t>
      </w:r>
      <w:r w:rsidRPr="009B62A2">
        <w:rPr>
          <w:rFonts w:ascii="Times New Roman" w:eastAsia="Times New Roman" w:hAnsi="Times New Roman" w:cs="Times New Roman"/>
          <w:snapToGrid w:val="0"/>
          <w:sz w:val="24"/>
          <w:szCs w:val="20"/>
        </w:rPr>
        <w:t>the use of studios and other production facilities is determined by calculating the number of average monthly broadcast hours produced by the former licensee using studios and other production facilities in the licence area.</w:t>
      </w:r>
      <w:bookmarkEnd w:id="21"/>
      <w:bookmarkEnd w:id="22"/>
      <w:r w:rsidR="00A42977">
        <w:rPr>
          <w:rFonts w:ascii="Times New Roman" w:eastAsia="Times New Roman" w:hAnsi="Times New Roman" w:cs="Times New Roman"/>
          <w:snapToGrid w:val="0"/>
          <w:sz w:val="24"/>
          <w:szCs w:val="20"/>
        </w:rPr>
        <w:t xml:space="preserve"> </w:t>
      </w:r>
      <w:r w:rsidRPr="009B62A2">
        <w:rPr>
          <w:rFonts w:ascii="Times New Roman" w:eastAsia="Times New Roman" w:hAnsi="Times New Roman" w:cs="Times New Roman"/>
          <w:snapToGrid w:val="0"/>
          <w:sz w:val="24"/>
          <w:szCs w:val="20"/>
        </w:rPr>
        <w:t>The number of average monthly broadcast hours produced is to be calculated over the three</w:t>
      </w:r>
      <w:r w:rsidR="00933CF6">
        <w:rPr>
          <w:rFonts w:ascii="Times New Roman" w:eastAsia="Times New Roman" w:hAnsi="Times New Roman" w:cs="Times New Roman"/>
          <w:snapToGrid w:val="0"/>
          <w:sz w:val="24"/>
          <w:szCs w:val="20"/>
        </w:rPr>
        <w:t>-</w:t>
      </w:r>
      <w:r w:rsidRPr="009B62A2">
        <w:rPr>
          <w:rFonts w:ascii="Times New Roman" w:eastAsia="Times New Roman" w:hAnsi="Times New Roman" w:cs="Times New Roman"/>
          <w:snapToGrid w:val="0"/>
          <w:sz w:val="24"/>
          <w:szCs w:val="20"/>
        </w:rPr>
        <w:t>month period ending on the Saturday before the day on which the trigger event occurred.</w:t>
      </w:r>
    </w:p>
    <w:p w14:paraId="4AF725DF" w14:textId="77777777" w:rsidR="009B62A2" w:rsidRPr="009B62A2" w:rsidRDefault="009B62A2" w:rsidP="0040012C">
      <w:pPr>
        <w:keepNext/>
        <w:tabs>
          <w:tab w:val="left" w:pos="1418"/>
        </w:tabs>
        <w:spacing w:before="240" w:after="60" w:line="240" w:lineRule="auto"/>
        <w:outlineLvl w:val="0"/>
        <w:rPr>
          <w:rFonts w:ascii="Arial" w:eastAsia="Times New Roman" w:hAnsi="Arial" w:cs="Arial"/>
          <w:b/>
          <w:bCs/>
          <w:kern w:val="32"/>
          <w:sz w:val="32"/>
          <w:szCs w:val="32"/>
          <w:lang w:eastAsia="en-AU"/>
        </w:rPr>
      </w:pPr>
      <w:bookmarkStart w:id="23" w:name="_Toc158118369"/>
      <w:bookmarkStart w:id="24" w:name="_Toc391890381"/>
      <w:r w:rsidRPr="009B62A2">
        <w:rPr>
          <w:rFonts w:ascii="Arial" w:eastAsia="Times New Roman" w:hAnsi="Arial" w:cs="Arial"/>
          <w:b/>
          <w:bCs/>
          <w:kern w:val="32"/>
          <w:sz w:val="32"/>
          <w:szCs w:val="32"/>
          <w:lang w:eastAsia="en-AU"/>
        </w:rPr>
        <w:t>PART 3</w:t>
      </w:r>
      <w:r w:rsidRPr="009B62A2">
        <w:rPr>
          <w:rFonts w:ascii="Arial" w:eastAsia="Times New Roman" w:hAnsi="Arial" w:cs="Arial"/>
          <w:b/>
          <w:bCs/>
          <w:kern w:val="32"/>
          <w:sz w:val="32"/>
          <w:szCs w:val="32"/>
          <w:lang w:eastAsia="en-AU"/>
        </w:rPr>
        <w:tab/>
        <w:t>LICENCE CONDITIONS</w:t>
      </w:r>
      <w:bookmarkEnd w:id="23"/>
      <w:bookmarkEnd w:id="24"/>
    </w:p>
    <w:p w14:paraId="4AF725E0" w14:textId="49F8AD10" w:rsidR="009B62A2" w:rsidRPr="009B62A2" w:rsidRDefault="00D449BF" w:rsidP="009B62A2">
      <w:pPr>
        <w:keepNext/>
        <w:spacing w:before="240" w:after="60" w:line="240" w:lineRule="auto"/>
        <w:ind w:left="720" w:hanging="720"/>
        <w:outlineLvl w:val="1"/>
        <w:rPr>
          <w:rFonts w:ascii="Arial" w:eastAsia="Times New Roman" w:hAnsi="Arial" w:cs="Arial"/>
          <w:b/>
          <w:bCs/>
          <w:sz w:val="28"/>
          <w:szCs w:val="28"/>
          <w:lang w:eastAsia="en-AU"/>
        </w:rPr>
      </w:pPr>
      <w:bookmarkStart w:id="25" w:name="_Toc158118370"/>
      <w:bookmarkStart w:id="26" w:name="_Toc391890382"/>
      <w:r>
        <w:rPr>
          <w:rFonts w:ascii="Arial" w:eastAsia="Times New Roman" w:hAnsi="Arial" w:cs="Arial"/>
          <w:b/>
          <w:bCs/>
          <w:sz w:val="28"/>
          <w:szCs w:val="28"/>
          <w:lang w:eastAsia="en-AU"/>
        </w:rPr>
        <w:t>8</w:t>
      </w:r>
      <w:r w:rsidR="009B62A2" w:rsidRPr="009B62A2">
        <w:rPr>
          <w:rFonts w:ascii="Arial" w:eastAsia="Times New Roman" w:hAnsi="Arial" w:cs="Arial"/>
          <w:b/>
          <w:bCs/>
          <w:sz w:val="28"/>
          <w:szCs w:val="28"/>
          <w:lang w:eastAsia="en-AU"/>
        </w:rPr>
        <w:tab/>
        <w:t xml:space="preserve">Licensee must maintain existing level of local presence after trigger </w:t>
      </w:r>
      <w:proofErr w:type="gramStart"/>
      <w:r w:rsidR="009B62A2" w:rsidRPr="009B62A2">
        <w:rPr>
          <w:rFonts w:ascii="Arial" w:eastAsia="Times New Roman" w:hAnsi="Arial" w:cs="Arial"/>
          <w:b/>
          <w:bCs/>
          <w:sz w:val="28"/>
          <w:szCs w:val="28"/>
          <w:lang w:eastAsia="en-AU"/>
        </w:rPr>
        <w:t>event</w:t>
      </w:r>
      <w:bookmarkEnd w:id="25"/>
      <w:bookmarkEnd w:id="26"/>
      <w:proofErr w:type="gramEnd"/>
    </w:p>
    <w:p w14:paraId="4AF725E1" w14:textId="77777777" w:rsidR="009B62A2" w:rsidRPr="009B62A2" w:rsidRDefault="009B62A2" w:rsidP="009B62A2">
      <w:pPr>
        <w:suppressAutoHyphens/>
        <w:spacing w:before="80" w:after="120" w:line="280" w:lineRule="atLeast"/>
        <w:ind w:left="709"/>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A licensee must maintain at least the existing level of local presence in the licence area in relation to the licence</w:t>
      </w:r>
      <w:r w:rsidRPr="009B62A2">
        <w:rPr>
          <w:rFonts w:ascii="Times New Roman" w:eastAsia="Times New Roman" w:hAnsi="Times New Roman" w:cs="Times New Roman"/>
          <w:i/>
          <w:snapToGrid w:val="0"/>
          <w:sz w:val="24"/>
          <w:szCs w:val="20"/>
        </w:rPr>
        <w:t xml:space="preserve"> </w:t>
      </w:r>
      <w:r w:rsidRPr="009B62A2">
        <w:rPr>
          <w:rFonts w:ascii="Times New Roman" w:eastAsia="Times New Roman" w:hAnsi="Times New Roman" w:cs="Times New Roman"/>
          <w:snapToGrid w:val="0"/>
          <w:sz w:val="24"/>
          <w:szCs w:val="20"/>
        </w:rPr>
        <w:t>throughout the relevant period.</w:t>
      </w:r>
    </w:p>
    <w:p w14:paraId="4AF725E2" w14:textId="4E3229BD" w:rsidR="009B62A2" w:rsidRPr="009B62A2" w:rsidRDefault="00D449BF" w:rsidP="009B62A2">
      <w:pPr>
        <w:keepNext/>
        <w:spacing w:before="240" w:after="60" w:line="240" w:lineRule="auto"/>
        <w:outlineLvl w:val="1"/>
        <w:rPr>
          <w:rFonts w:ascii="Arial" w:eastAsia="Times New Roman" w:hAnsi="Arial" w:cs="Arial"/>
          <w:b/>
          <w:bCs/>
          <w:sz w:val="28"/>
          <w:szCs w:val="28"/>
          <w:lang w:eastAsia="en-AU"/>
        </w:rPr>
      </w:pPr>
      <w:bookmarkStart w:id="27" w:name="_Toc158118371"/>
      <w:bookmarkStart w:id="28" w:name="_Toc391890383"/>
      <w:bookmarkStart w:id="29" w:name="OLE_LINK1"/>
      <w:r>
        <w:rPr>
          <w:rFonts w:ascii="Arial" w:eastAsia="Times New Roman" w:hAnsi="Arial" w:cs="Arial"/>
          <w:b/>
          <w:bCs/>
          <w:iCs/>
          <w:sz w:val="28"/>
          <w:szCs w:val="28"/>
          <w:lang w:eastAsia="en-AU"/>
        </w:rPr>
        <w:t>9</w:t>
      </w:r>
      <w:r w:rsidR="009B62A2" w:rsidRPr="009B62A2">
        <w:rPr>
          <w:rFonts w:ascii="Arial" w:eastAsia="Times New Roman" w:hAnsi="Arial" w:cs="Arial"/>
          <w:b/>
          <w:bCs/>
          <w:sz w:val="28"/>
          <w:szCs w:val="28"/>
          <w:lang w:eastAsia="en-AU"/>
        </w:rPr>
        <w:tab/>
        <w:t>Reporting to the ACMA</w:t>
      </w:r>
      <w:bookmarkEnd w:id="27"/>
      <w:bookmarkEnd w:id="28"/>
    </w:p>
    <w:p w14:paraId="4AF725E3" w14:textId="77777777" w:rsidR="009B62A2" w:rsidRPr="009B62A2" w:rsidRDefault="009B62A2" w:rsidP="009B62A2">
      <w:pPr>
        <w:keepNext/>
        <w:spacing w:before="240" w:after="60" w:line="240" w:lineRule="auto"/>
        <w:ind w:firstLine="720"/>
        <w:outlineLvl w:val="2"/>
        <w:rPr>
          <w:rFonts w:ascii="Arial" w:eastAsia="Times New Roman" w:hAnsi="Arial" w:cs="Arial"/>
          <w:b/>
          <w:bCs/>
          <w:sz w:val="24"/>
          <w:szCs w:val="24"/>
          <w:lang w:eastAsia="en-AU"/>
        </w:rPr>
      </w:pPr>
      <w:bookmarkStart w:id="30" w:name="_Toc158118372"/>
      <w:bookmarkStart w:id="31" w:name="_Toc162082771"/>
      <w:bookmarkStart w:id="32" w:name="_Toc326918491"/>
      <w:bookmarkStart w:id="33" w:name="_Toc388883055"/>
      <w:bookmarkStart w:id="34" w:name="_Toc391890147"/>
      <w:bookmarkStart w:id="35" w:name="_Toc391890384"/>
      <w:bookmarkEnd w:id="29"/>
      <w:r w:rsidRPr="009B62A2">
        <w:rPr>
          <w:rFonts w:ascii="Arial" w:eastAsia="Times New Roman" w:hAnsi="Arial" w:cs="Arial"/>
          <w:b/>
          <w:bCs/>
          <w:sz w:val="24"/>
          <w:szCs w:val="24"/>
          <w:lang w:eastAsia="en-AU"/>
        </w:rPr>
        <w:t>Reporting</w:t>
      </w:r>
      <w:bookmarkEnd w:id="30"/>
      <w:bookmarkEnd w:id="31"/>
      <w:bookmarkEnd w:id="32"/>
      <w:r w:rsidRPr="009B62A2">
        <w:rPr>
          <w:rFonts w:ascii="Arial" w:eastAsia="Times New Roman" w:hAnsi="Arial" w:cs="Arial"/>
          <w:b/>
          <w:bCs/>
          <w:sz w:val="24"/>
          <w:szCs w:val="24"/>
          <w:lang w:eastAsia="en-AU"/>
        </w:rPr>
        <w:t xml:space="preserve"> after a trigger event</w:t>
      </w:r>
      <w:bookmarkEnd w:id="33"/>
      <w:bookmarkEnd w:id="34"/>
      <w:bookmarkEnd w:id="35"/>
    </w:p>
    <w:p w14:paraId="4AF725E4" w14:textId="728370DF" w:rsidR="009B62A2" w:rsidRPr="008905A2" w:rsidRDefault="00403583" w:rsidP="008905A2">
      <w:pPr>
        <w:pStyle w:val="ListParagraph"/>
        <w:numPr>
          <w:ilvl w:val="0"/>
          <w:numId w:val="8"/>
        </w:numPr>
        <w:suppressAutoHyphens/>
        <w:spacing w:before="80" w:after="120" w:line="280" w:lineRule="atLeast"/>
        <w:ind w:hanging="720"/>
        <w:rPr>
          <w:rFonts w:ascii="Times New Roman" w:eastAsia="Times New Roman" w:hAnsi="Times New Roman" w:cs="Times New Roman"/>
          <w:snapToGrid w:val="0"/>
          <w:sz w:val="24"/>
          <w:szCs w:val="20"/>
        </w:rPr>
      </w:pPr>
      <w:r w:rsidRPr="008905A2">
        <w:rPr>
          <w:rFonts w:ascii="Times New Roman" w:eastAsia="Times New Roman" w:hAnsi="Times New Roman" w:cs="Times New Roman"/>
          <w:snapToGrid w:val="0"/>
          <w:sz w:val="24"/>
          <w:szCs w:val="20"/>
        </w:rPr>
        <w:t>A licensee must, within 3 months after the day on which a trigger event for the licence occurs, give the ACMA a report in writing on the existing level of local presence in relation to the licence.</w:t>
      </w:r>
    </w:p>
    <w:p w14:paraId="4AF725E5" w14:textId="77777777" w:rsidR="009B62A2" w:rsidRPr="009B62A2" w:rsidRDefault="009B62A2" w:rsidP="009B62A2">
      <w:pPr>
        <w:keepNext/>
        <w:spacing w:before="240" w:after="60" w:line="240" w:lineRule="auto"/>
        <w:ind w:firstLine="720"/>
        <w:outlineLvl w:val="2"/>
        <w:rPr>
          <w:rFonts w:ascii="Arial" w:eastAsia="Times New Roman" w:hAnsi="Arial" w:cs="Arial"/>
          <w:b/>
          <w:bCs/>
          <w:sz w:val="24"/>
          <w:szCs w:val="24"/>
          <w:lang w:eastAsia="en-AU"/>
        </w:rPr>
      </w:pPr>
      <w:bookmarkStart w:id="36" w:name="_Toc158118373"/>
      <w:bookmarkStart w:id="37" w:name="_Toc162082772"/>
      <w:bookmarkStart w:id="38" w:name="_Toc326918492"/>
      <w:bookmarkStart w:id="39" w:name="_Toc388883056"/>
      <w:bookmarkStart w:id="40" w:name="_Toc391890148"/>
      <w:bookmarkStart w:id="41" w:name="_Toc391890385"/>
      <w:r w:rsidRPr="009B62A2">
        <w:rPr>
          <w:rFonts w:ascii="Arial" w:eastAsia="Times New Roman" w:hAnsi="Arial" w:cs="Arial"/>
          <w:b/>
          <w:bCs/>
          <w:sz w:val="24"/>
          <w:szCs w:val="24"/>
          <w:lang w:eastAsia="en-AU"/>
        </w:rPr>
        <w:lastRenderedPageBreak/>
        <w:t>Reporting</w:t>
      </w:r>
      <w:bookmarkEnd w:id="36"/>
      <w:bookmarkEnd w:id="37"/>
      <w:bookmarkEnd w:id="38"/>
      <w:r w:rsidRPr="009B62A2">
        <w:rPr>
          <w:rFonts w:ascii="Arial" w:eastAsia="Times New Roman" w:hAnsi="Arial" w:cs="Arial"/>
          <w:b/>
          <w:bCs/>
          <w:sz w:val="24"/>
          <w:szCs w:val="24"/>
          <w:lang w:eastAsia="en-AU"/>
        </w:rPr>
        <w:t xml:space="preserve"> at end of relevant period</w:t>
      </w:r>
      <w:bookmarkEnd w:id="39"/>
      <w:bookmarkEnd w:id="40"/>
      <w:bookmarkEnd w:id="41"/>
    </w:p>
    <w:p w14:paraId="4AF725E6" w14:textId="16FF4E5B" w:rsidR="009B62A2" w:rsidRPr="008905A2" w:rsidRDefault="009B62A2" w:rsidP="008905A2">
      <w:pPr>
        <w:pStyle w:val="ListParagraph"/>
        <w:numPr>
          <w:ilvl w:val="0"/>
          <w:numId w:val="8"/>
        </w:numPr>
        <w:suppressAutoHyphens/>
        <w:spacing w:before="80" w:after="120" w:line="280" w:lineRule="atLeast"/>
        <w:ind w:hanging="720"/>
        <w:rPr>
          <w:rFonts w:ascii="Times New Roman" w:eastAsia="Times New Roman" w:hAnsi="Times New Roman" w:cs="Times New Roman"/>
          <w:snapToGrid w:val="0"/>
          <w:sz w:val="24"/>
          <w:szCs w:val="20"/>
        </w:rPr>
      </w:pPr>
      <w:r w:rsidRPr="008905A2">
        <w:rPr>
          <w:rFonts w:ascii="Times New Roman" w:eastAsia="Times New Roman" w:hAnsi="Times New Roman" w:cs="Times New Roman"/>
          <w:snapToGrid w:val="0"/>
          <w:sz w:val="24"/>
          <w:szCs w:val="20"/>
        </w:rPr>
        <w:t xml:space="preserve">A licensee must, within 3 months after the end of a relevant period, give the ACMA a report about the licensee’s compliance with section </w:t>
      </w:r>
      <w:r w:rsidR="00B05C1F">
        <w:rPr>
          <w:rFonts w:ascii="Times New Roman" w:eastAsia="Times New Roman" w:hAnsi="Times New Roman" w:cs="Times New Roman"/>
          <w:snapToGrid w:val="0"/>
          <w:sz w:val="24"/>
          <w:szCs w:val="20"/>
        </w:rPr>
        <w:t>8</w:t>
      </w:r>
      <w:r w:rsidRPr="008905A2">
        <w:rPr>
          <w:rFonts w:ascii="Times New Roman" w:eastAsia="Times New Roman" w:hAnsi="Times New Roman" w:cs="Times New Roman"/>
          <w:snapToGrid w:val="0"/>
          <w:sz w:val="24"/>
          <w:szCs w:val="20"/>
        </w:rPr>
        <w:t xml:space="preserve"> during that relevant period.</w:t>
      </w:r>
    </w:p>
    <w:p w14:paraId="4AF725E7" w14:textId="77777777" w:rsidR="009B62A2" w:rsidRPr="009B62A2" w:rsidRDefault="009B62A2" w:rsidP="009F0868">
      <w:pPr>
        <w:keepNext/>
        <w:tabs>
          <w:tab w:val="left" w:pos="1418"/>
        </w:tabs>
        <w:spacing w:before="240" w:after="60" w:line="240" w:lineRule="auto"/>
        <w:outlineLvl w:val="0"/>
        <w:rPr>
          <w:rFonts w:ascii="Arial" w:eastAsia="Times New Roman" w:hAnsi="Arial" w:cs="Arial"/>
          <w:b/>
          <w:bCs/>
          <w:kern w:val="32"/>
          <w:sz w:val="32"/>
          <w:szCs w:val="32"/>
          <w:lang w:eastAsia="en-AU"/>
        </w:rPr>
      </w:pPr>
      <w:bookmarkStart w:id="42" w:name="_Toc158118376"/>
      <w:bookmarkStart w:id="43" w:name="_Toc391890386"/>
      <w:r w:rsidRPr="009B62A2">
        <w:rPr>
          <w:rFonts w:ascii="Arial" w:eastAsia="Times New Roman" w:hAnsi="Arial" w:cs="Arial"/>
          <w:b/>
          <w:bCs/>
          <w:kern w:val="32"/>
          <w:sz w:val="32"/>
          <w:szCs w:val="32"/>
          <w:lang w:eastAsia="en-AU"/>
        </w:rPr>
        <w:t>PART 4</w:t>
      </w:r>
      <w:r w:rsidRPr="009B62A2">
        <w:rPr>
          <w:rFonts w:ascii="Arial" w:eastAsia="Times New Roman" w:hAnsi="Arial" w:cs="Arial"/>
          <w:b/>
          <w:bCs/>
          <w:kern w:val="32"/>
          <w:sz w:val="32"/>
          <w:szCs w:val="32"/>
          <w:lang w:eastAsia="en-AU"/>
        </w:rPr>
        <w:tab/>
        <w:t>MEASURING COMPLIANCE</w:t>
      </w:r>
      <w:bookmarkEnd w:id="42"/>
      <w:bookmarkEnd w:id="43"/>
    </w:p>
    <w:p w14:paraId="4AF725E8" w14:textId="34511321" w:rsidR="009B62A2" w:rsidRPr="009B62A2" w:rsidRDefault="00D449BF" w:rsidP="009B62A2">
      <w:pPr>
        <w:keepNext/>
        <w:spacing w:before="240" w:after="60" w:line="240" w:lineRule="auto"/>
        <w:outlineLvl w:val="1"/>
        <w:rPr>
          <w:rFonts w:ascii="Arial" w:eastAsia="Times New Roman" w:hAnsi="Arial" w:cs="Arial"/>
          <w:b/>
          <w:bCs/>
          <w:sz w:val="28"/>
          <w:szCs w:val="28"/>
          <w:lang w:eastAsia="en-AU"/>
        </w:rPr>
      </w:pPr>
      <w:bookmarkStart w:id="44" w:name="_Toc158118377"/>
      <w:bookmarkStart w:id="45" w:name="_Toc391890387"/>
      <w:r>
        <w:rPr>
          <w:rFonts w:ascii="Arial" w:eastAsia="Times New Roman" w:hAnsi="Arial" w:cs="Arial"/>
          <w:b/>
          <w:bCs/>
          <w:sz w:val="28"/>
          <w:szCs w:val="28"/>
          <w:lang w:eastAsia="en-AU"/>
        </w:rPr>
        <w:t>10</w:t>
      </w:r>
      <w:r w:rsidR="009B62A2" w:rsidRPr="009B62A2">
        <w:rPr>
          <w:rFonts w:ascii="Arial" w:eastAsia="Times New Roman" w:hAnsi="Arial" w:cs="Arial"/>
          <w:b/>
          <w:bCs/>
          <w:sz w:val="28"/>
          <w:szCs w:val="28"/>
          <w:lang w:eastAsia="en-AU"/>
        </w:rPr>
        <w:tab/>
        <w:t xml:space="preserve">Measuring compliance with section </w:t>
      </w:r>
      <w:bookmarkEnd w:id="44"/>
      <w:r>
        <w:rPr>
          <w:rFonts w:ascii="Arial" w:eastAsia="Times New Roman" w:hAnsi="Arial" w:cs="Arial"/>
          <w:b/>
          <w:bCs/>
          <w:sz w:val="28"/>
          <w:szCs w:val="28"/>
          <w:lang w:eastAsia="en-AU"/>
        </w:rPr>
        <w:t>8</w:t>
      </w:r>
      <w:bookmarkEnd w:id="45"/>
    </w:p>
    <w:p w14:paraId="4AF725E9" w14:textId="4F931007" w:rsidR="009B62A2" w:rsidRPr="009B62A2" w:rsidRDefault="009B62A2" w:rsidP="009B62A2">
      <w:pPr>
        <w:suppressAutoHyphens/>
        <w:spacing w:before="80" w:after="120" w:line="280" w:lineRule="atLeast"/>
        <w:ind w:left="720" w:hanging="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(1)</w:t>
      </w:r>
      <w:r w:rsidRPr="009B62A2">
        <w:rPr>
          <w:rFonts w:ascii="Times New Roman" w:eastAsia="Times New Roman" w:hAnsi="Times New Roman" w:cs="Times New Roman"/>
          <w:snapToGrid w:val="0"/>
          <w:sz w:val="24"/>
          <w:szCs w:val="20"/>
        </w:rPr>
        <w:tab/>
        <w:t xml:space="preserve">For staffing levels, the </w:t>
      </w:r>
      <w:bookmarkStart w:id="46" w:name="OLE_LINK13"/>
      <w:bookmarkStart w:id="47" w:name="OLE_LINK14"/>
      <w:r w:rsidRPr="009B62A2">
        <w:rPr>
          <w:rFonts w:ascii="Times New Roman" w:eastAsia="Times New Roman" w:hAnsi="Times New Roman" w:cs="Times New Roman"/>
          <w:snapToGrid w:val="0"/>
          <w:sz w:val="24"/>
          <w:szCs w:val="20"/>
        </w:rPr>
        <w:t>existing level of local presence is maintained if</w:t>
      </w:r>
      <w:bookmarkEnd w:id="46"/>
      <w:bookmarkEnd w:id="47"/>
      <w:r w:rsidRPr="009B62A2">
        <w:rPr>
          <w:rFonts w:ascii="Times New Roman" w:eastAsia="Times New Roman" w:hAnsi="Times New Roman" w:cs="Times New Roman"/>
          <w:snapToGrid w:val="0"/>
          <w:sz w:val="24"/>
          <w:szCs w:val="20"/>
        </w:rPr>
        <w:t xml:space="preserve">, at the conclusion of each relevant period, there has been no material reduction in the average monthly staffing levels in the licence area in relation to the licence for that relevant period or part thereof, compared with the staffing levels determined by subsection </w:t>
      </w:r>
      <w:r w:rsidR="00B05C1F">
        <w:rPr>
          <w:rFonts w:ascii="Times New Roman" w:eastAsia="Times New Roman" w:hAnsi="Times New Roman" w:cs="Times New Roman"/>
          <w:snapToGrid w:val="0"/>
          <w:sz w:val="24"/>
          <w:szCs w:val="20"/>
        </w:rPr>
        <w:t>7</w:t>
      </w:r>
      <w:r w:rsidRPr="009B62A2">
        <w:rPr>
          <w:rFonts w:ascii="Times New Roman" w:eastAsia="Times New Roman" w:hAnsi="Times New Roman" w:cs="Times New Roman"/>
          <w:snapToGrid w:val="0"/>
          <w:sz w:val="24"/>
          <w:szCs w:val="20"/>
        </w:rPr>
        <w:t xml:space="preserve">(2) in respect of one of (a), (b) or (c) of the definition of </w:t>
      </w:r>
      <w:r w:rsidRPr="009B62A2">
        <w:rPr>
          <w:rFonts w:ascii="Times New Roman" w:eastAsia="Times New Roman" w:hAnsi="Times New Roman" w:cs="Times New Roman"/>
          <w:b/>
          <w:i/>
          <w:snapToGrid w:val="0"/>
          <w:sz w:val="24"/>
          <w:szCs w:val="20"/>
        </w:rPr>
        <w:t>staffing levels</w:t>
      </w:r>
      <w:r w:rsidRPr="009B62A2">
        <w:rPr>
          <w:rFonts w:ascii="Times New Roman" w:eastAsia="Times New Roman" w:hAnsi="Times New Roman" w:cs="Times New Roman"/>
          <w:snapToGrid w:val="0"/>
          <w:sz w:val="24"/>
          <w:szCs w:val="20"/>
        </w:rPr>
        <w:t xml:space="preserve"> in section </w:t>
      </w:r>
      <w:r w:rsidR="00B05C1F">
        <w:rPr>
          <w:rFonts w:ascii="Times New Roman" w:eastAsia="Times New Roman" w:hAnsi="Times New Roman" w:cs="Times New Roman"/>
          <w:snapToGrid w:val="0"/>
          <w:sz w:val="24"/>
          <w:szCs w:val="20"/>
        </w:rPr>
        <w:t>6</w:t>
      </w:r>
      <w:r w:rsidRPr="009B62A2">
        <w:rPr>
          <w:rFonts w:ascii="Times New Roman" w:eastAsia="Times New Roman" w:hAnsi="Times New Roman" w:cs="Times New Roman"/>
          <w:snapToGrid w:val="0"/>
          <w:sz w:val="24"/>
          <w:szCs w:val="20"/>
        </w:rPr>
        <w:t>.</w:t>
      </w:r>
    </w:p>
    <w:p w14:paraId="4AF725EA" w14:textId="6F373569" w:rsidR="009B62A2" w:rsidRPr="009B62A2" w:rsidRDefault="009B62A2" w:rsidP="00FE28E2">
      <w:pPr>
        <w:suppressAutoHyphens/>
        <w:spacing w:before="80" w:after="120" w:line="240" w:lineRule="auto"/>
        <w:ind w:left="1440" w:hanging="720"/>
        <w:rPr>
          <w:rFonts w:ascii="Times New Roman" w:eastAsia="Times New Roman" w:hAnsi="Times New Roman" w:cs="Times New Roman"/>
          <w:snapToGrid w:val="0"/>
          <w:sz w:val="18"/>
          <w:szCs w:val="18"/>
        </w:rPr>
      </w:pPr>
      <w:r w:rsidRPr="009B62A2">
        <w:rPr>
          <w:rFonts w:ascii="Times New Roman" w:eastAsia="Times New Roman" w:hAnsi="Times New Roman" w:cs="Times New Roman"/>
          <w:bCs/>
          <w:i/>
          <w:iCs/>
          <w:snapToGrid w:val="0"/>
          <w:sz w:val="18"/>
          <w:szCs w:val="18"/>
        </w:rPr>
        <w:t>Note</w:t>
      </w:r>
      <w:r w:rsidRPr="009B62A2">
        <w:rPr>
          <w:rFonts w:ascii="Times New Roman" w:eastAsia="Times New Roman" w:hAnsi="Times New Roman" w:cs="Times New Roman"/>
          <w:bCs/>
          <w:i/>
          <w:iCs/>
          <w:snapToGrid w:val="0"/>
          <w:sz w:val="18"/>
          <w:szCs w:val="18"/>
        </w:rPr>
        <w:tab/>
      </w:r>
      <w:r w:rsidRPr="009B62A2">
        <w:rPr>
          <w:rFonts w:ascii="Times New Roman" w:eastAsia="Times New Roman" w:hAnsi="Times New Roman" w:cs="Times New Roman"/>
          <w:bCs/>
          <w:iCs/>
          <w:snapToGrid w:val="0"/>
          <w:sz w:val="18"/>
          <w:szCs w:val="18"/>
        </w:rPr>
        <w:t xml:space="preserve">For the avoidance of doubt, the comparison made for the purposes of this subsection must compare only one of (a), (b), or (c) of the definition of </w:t>
      </w:r>
      <w:r w:rsidRPr="009B62A2">
        <w:rPr>
          <w:rFonts w:ascii="Times New Roman" w:eastAsia="Times New Roman" w:hAnsi="Times New Roman" w:cs="Times New Roman"/>
          <w:b/>
          <w:bCs/>
          <w:i/>
          <w:iCs/>
          <w:snapToGrid w:val="0"/>
          <w:sz w:val="18"/>
          <w:szCs w:val="18"/>
        </w:rPr>
        <w:t>staffing levels</w:t>
      </w:r>
      <w:r w:rsidRPr="009B62A2">
        <w:rPr>
          <w:rFonts w:ascii="Times New Roman" w:eastAsia="Times New Roman" w:hAnsi="Times New Roman" w:cs="Times New Roman"/>
          <w:bCs/>
          <w:iCs/>
          <w:snapToGrid w:val="0"/>
          <w:sz w:val="18"/>
          <w:szCs w:val="18"/>
        </w:rPr>
        <w:t xml:space="preserve"> in section </w:t>
      </w:r>
      <w:r w:rsidR="00B05C1F">
        <w:rPr>
          <w:rFonts w:ascii="Times New Roman" w:eastAsia="Times New Roman" w:hAnsi="Times New Roman" w:cs="Times New Roman"/>
          <w:bCs/>
          <w:iCs/>
          <w:snapToGrid w:val="0"/>
          <w:sz w:val="18"/>
          <w:szCs w:val="18"/>
        </w:rPr>
        <w:t>6</w:t>
      </w:r>
      <w:r w:rsidRPr="009B62A2">
        <w:rPr>
          <w:rFonts w:ascii="Times New Roman" w:eastAsia="Times New Roman" w:hAnsi="Times New Roman" w:cs="Times New Roman"/>
          <w:bCs/>
          <w:iCs/>
          <w:snapToGrid w:val="0"/>
          <w:sz w:val="18"/>
          <w:szCs w:val="18"/>
        </w:rPr>
        <w:t xml:space="preserve"> with the corresponding measure determined by subsection </w:t>
      </w:r>
      <w:r w:rsidR="00B05C1F">
        <w:rPr>
          <w:rFonts w:ascii="Times New Roman" w:eastAsia="Times New Roman" w:hAnsi="Times New Roman" w:cs="Times New Roman"/>
          <w:bCs/>
          <w:iCs/>
          <w:snapToGrid w:val="0"/>
          <w:sz w:val="18"/>
          <w:szCs w:val="18"/>
        </w:rPr>
        <w:t>7</w:t>
      </w:r>
      <w:r w:rsidRPr="009B62A2">
        <w:rPr>
          <w:rFonts w:ascii="Times New Roman" w:eastAsia="Times New Roman" w:hAnsi="Times New Roman" w:cs="Times New Roman"/>
          <w:bCs/>
          <w:iCs/>
          <w:snapToGrid w:val="0"/>
          <w:sz w:val="18"/>
          <w:szCs w:val="18"/>
        </w:rPr>
        <w:t>(2).</w:t>
      </w:r>
      <w:r w:rsidR="00A42977">
        <w:rPr>
          <w:rFonts w:ascii="Times New Roman" w:eastAsia="Times New Roman" w:hAnsi="Times New Roman" w:cs="Times New Roman"/>
          <w:bCs/>
          <w:iCs/>
          <w:snapToGrid w:val="0"/>
          <w:sz w:val="18"/>
          <w:szCs w:val="18"/>
        </w:rPr>
        <w:t xml:space="preserve">  </w:t>
      </w:r>
      <w:r w:rsidRPr="009B62A2">
        <w:rPr>
          <w:rFonts w:ascii="Times New Roman" w:eastAsia="Times New Roman" w:hAnsi="Times New Roman" w:cs="Times New Roman"/>
          <w:bCs/>
          <w:iCs/>
          <w:snapToGrid w:val="0"/>
          <w:sz w:val="18"/>
          <w:szCs w:val="18"/>
        </w:rPr>
        <w:t xml:space="preserve">For example, the number of average monthly staff hours worked over the relevant period must be compared with the number of average monthly staff hours worked in the </w:t>
      </w:r>
      <w:r w:rsidRPr="009B62A2">
        <w:rPr>
          <w:rFonts w:ascii="Times New Roman" w:eastAsia="Times New Roman" w:hAnsi="Times New Roman" w:cs="Times New Roman"/>
          <w:snapToGrid w:val="0"/>
          <w:sz w:val="18"/>
          <w:szCs w:val="18"/>
        </w:rPr>
        <w:t>licence area of the former licensee in relation to the licence over the three</w:t>
      </w:r>
      <w:r w:rsidR="00933CF6">
        <w:rPr>
          <w:rFonts w:ascii="Times New Roman" w:eastAsia="Times New Roman" w:hAnsi="Times New Roman" w:cs="Times New Roman"/>
          <w:snapToGrid w:val="0"/>
          <w:sz w:val="18"/>
          <w:szCs w:val="18"/>
        </w:rPr>
        <w:t>-</w:t>
      </w:r>
      <w:r w:rsidRPr="009B62A2">
        <w:rPr>
          <w:rFonts w:ascii="Times New Roman" w:eastAsia="Times New Roman" w:hAnsi="Times New Roman" w:cs="Times New Roman"/>
          <w:snapToGrid w:val="0"/>
          <w:sz w:val="18"/>
          <w:szCs w:val="18"/>
        </w:rPr>
        <w:t>month period ending on the Saturday before the day on which the trigger event occurred.</w:t>
      </w:r>
    </w:p>
    <w:p w14:paraId="4AF725EB" w14:textId="657866B8" w:rsidR="009B62A2" w:rsidRPr="009B62A2" w:rsidRDefault="009B62A2" w:rsidP="009B62A2">
      <w:pPr>
        <w:numPr>
          <w:ilvl w:val="0"/>
          <w:numId w:val="1"/>
        </w:numPr>
        <w:tabs>
          <w:tab w:val="left" w:pos="900"/>
          <w:tab w:val="left" w:pos="1080"/>
        </w:tabs>
        <w:suppressAutoHyphens/>
        <w:spacing w:before="80" w:after="120" w:line="280" w:lineRule="atLeast"/>
        <w:ind w:hanging="720"/>
        <w:rPr>
          <w:rFonts w:ascii="Times New Roman" w:eastAsia="Times New Roman" w:hAnsi="Times New Roman" w:cs="Times New Roman"/>
          <w:snapToGrid w:val="0"/>
          <w:sz w:val="24"/>
          <w:szCs w:val="20"/>
        </w:rPr>
      </w:pPr>
      <w:r w:rsidRPr="009B62A2">
        <w:rPr>
          <w:rFonts w:ascii="Times New Roman" w:eastAsia="Times New Roman" w:hAnsi="Times New Roman" w:cs="Times New Roman"/>
          <w:snapToGrid w:val="0"/>
          <w:sz w:val="24"/>
          <w:szCs w:val="20"/>
        </w:rPr>
        <w:t xml:space="preserve">For studios and other production facilities, the existing level of local presence is maintained </w:t>
      </w:r>
      <w:bookmarkStart w:id="48" w:name="OLE_LINK3"/>
      <w:bookmarkStart w:id="49" w:name="OLE_LINK4"/>
      <w:r w:rsidRPr="009B62A2">
        <w:rPr>
          <w:rFonts w:ascii="Times New Roman" w:eastAsia="Times New Roman" w:hAnsi="Times New Roman" w:cs="Times New Roman"/>
          <w:snapToGrid w:val="0"/>
          <w:sz w:val="24"/>
          <w:szCs w:val="20"/>
        </w:rPr>
        <w:t>if</w:t>
      </w:r>
      <w:r w:rsidR="00933CF6">
        <w:rPr>
          <w:rFonts w:ascii="Times New Roman" w:eastAsia="Times New Roman" w:hAnsi="Times New Roman" w:cs="Times New Roman"/>
          <w:snapToGrid w:val="0"/>
          <w:sz w:val="24"/>
          <w:szCs w:val="20"/>
        </w:rPr>
        <w:t>,</w:t>
      </w:r>
      <w:r w:rsidRPr="009B62A2">
        <w:rPr>
          <w:rFonts w:ascii="Times New Roman" w:eastAsia="Times New Roman" w:hAnsi="Times New Roman" w:cs="Times New Roman"/>
          <w:snapToGrid w:val="0"/>
          <w:sz w:val="24"/>
          <w:szCs w:val="20"/>
        </w:rPr>
        <w:t xml:space="preserve"> at the conclusion of each relevant period</w:t>
      </w:r>
      <w:r w:rsidR="00933CF6">
        <w:rPr>
          <w:rFonts w:ascii="Times New Roman" w:eastAsia="Times New Roman" w:hAnsi="Times New Roman" w:cs="Times New Roman"/>
          <w:snapToGrid w:val="0"/>
          <w:sz w:val="24"/>
          <w:szCs w:val="20"/>
        </w:rPr>
        <w:t>,</w:t>
      </w:r>
      <w:r w:rsidRPr="009B62A2">
        <w:rPr>
          <w:rFonts w:ascii="Times New Roman" w:eastAsia="Times New Roman" w:hAnsi="Times New Roman" w:cs="Times New Roman"/>
          <w:snapToGrid w:val="0"/>
          <w:sz w:val="24"/>
          <w:szCs w:val="20"/>
        </w:rPr>
        <w:t xml:space="preserve"> there has been </w:t>
      </w:r>
      <w:bookmarkEnd w:id="48"/>
      <w:bookmarkEnd w:id="49"/>
      <w:r w:rsidRPr="009B62A2">
        <w:rPr>
          <w:rFonts w:ascii="Times New Roman" w:eastAsia="Times New Roman" w:hAnsi="Times New Roman" w:cs="Times New Roman"/>
          <w:snapToGrid w:val="0"/>
          <w:sz w:val="24"/>
          <w:szCs w:val="20"/>
        </w:rPr>
        <w:t xml:space="preserve">no material reduction in the number of average monthly broadcast hours produced during that relevant period or part thereof, using studios and other production facilities in the licence area, when compared with the number of average monthly broadcast hours produced using studios and other production facilities determined by subsection </w:t>
      </w:r>
      <w:r w:rsidR="00B05C1F">
        <w:rPr>
          <w:rFonts w:ascii="Times New Roman" w:eastAsia="Times New Roman" w:hAnsi="Times New Roman" w:cs="Times New Roman"/>
          <w:snapToGrid w:val="0"/>
          <w:sz w:val="24"/>
          <w:szCs w:val="20"/>
        </w:rPr>
        <w:t>7</w:t>
      </w:r>
      <w:r w:rsidRPr="009B62A2">
        <w:rPr>
          <w:rFonts w:ascii="Times New Roman" w:eastAsia="Times New Roman" w:hAnsi="Times New Roman" w:cs="Times New Roman"/>
          <w:snapToGrid w:val="0"/>
          <w:sz w:val="24"/>
          <w:szCs w:val="20"/>
        </w:rPr>
        <w:t>(3).</w:t>
      </w:r>
    </w:p>
    <w:p w14:paraId="4AF725EC" w14:textId="5709949B" w:rsidR="009B62A2" w:rsidRPr="009B62A2" w:rsidRDefault="009B62A2" w:rsidP="00FE28E2">
      <w:pPr>
        <w:suppressAutoHyphens/>
        <w:spacing w:before="80" w:after="120" w:line="240" w:lineRule="auto"/>
        <w:ind w:left="720" w:hanging="720"/>
        <w:rPr>
          <w:rFonts w:ascii="Times New Roman" w:eastAsia="Times New Roman" w:hAnsi="Times New Roman" w:cs="Times New Roman"/>
          <w:snapToGrid w:val="0"/>
          <w:sz w:val="18"/>
          <w:szCs w:val="18"/>
        </w:rPr>
      </w:pPr>
      <w:r w:rsidRPr="009B62A2">
        <w:rPr>
          <w:rFonts w:ascii="Times New Roman" w:eastAsia="Times New Roman" w:hAnsi="Times New Roman" w:cs="Times New Roman"/>
          <w:bCs/>
          <w:i/>
          <w:iCs/>
          <w:snapToGrid w:val="0"/>
          <w:sz w:val="18"/>
          <w:szCs w:val="18"/>
        </w:rPr>
        <w:t>Note 1</w:t>
      </w:r>
      <w:r w:rsidRPr="009B62A2">
        <w:rPr>
          <w:rFonts w:ascii="Times New Roman" w:eastAsia="Times New Roman" w:hAnsi="Times New Roman" w:cs="Times New Roman"/>
          <w:snapToGrid w:val="0"/>
          <w:sz w:val="18"/>
          <w:szCs w:val="18"/>
        </w:rPr>
        <w:tab/>
        <w:t>For subsection (2), the studios and other production facilities used do not necessarily have to be the studios and production facilities of the former licensee</w:t>
      </w:r>
      <w:r w:rsidR="00933CF6">
        <w:rPr>
          <w:rFonts w:ascii="Times New Roman" w:eastAsia="Times New Roman" w:hAnsi="Times New Roman" w:cs="Times New Roman"/>
          <w:snapToGrid w:val="0"/>
          <w:sz w:val="18"/>
          <w:szCs w:val="18"/>
        </w:rPr>
        <w:t>,</w:t>
      </w:r>
      <w:r w:rsidRPr="009B62A2">
        <w:rPr>
          <w:rFonts w:ascii="Times New Roman" w:eastAsia="Times New Roman" w:hAnsi="Times New Roman" w:cs="Times New Roman"/>
          <w:snapToGrid w:val="0"/>
          <w:sz w:val="18"/>
          <w:szCs w:val="18"/>
        </w:rPr>
        <w:t xml:space="preserve"> but they must be located in the licence area.</w:t>
      </w:r>
      <w:r w:rsidR="00A42977">
        <w:rPr>
          <w:rFonts w:ascii="Times New Roman" w:eastAsia="Times New Roman" w:hAnsi="Times New Roman" w:cs="Times New Roman"/>
          <w:snapToGrid w:val="0"/>
          <w:sz w:val="18"/>
          <w:szCs w:val="18"/>
        </w:rPr>
        <w:t xml:space="preserve">  </w:t>
      </w:r>
      <w:r w:rsidRPr="009B62A2">
        <w:rPr>
          <w:rFonts w:ascii="Times New Roman" w:eastAsia="Times New Roman" w:hAnsi="Times New Roman" w:cs="Times New Roman"/>
          <w:snapToGrid w:val="0"/>
          <w:sz w:val="18"/>
          <w:szCs w:val="18"/>
        </w:rPr>
        <w:t xml:space="preserve">Licensees should note that if they share studios or other production facilities with other persons holding a regional commercial radio broadcasting licence, this fact may be relevant in determining whether a person is in a position to </w:t>
      </w:r>
      <w:r w:rsidR="00933CF6">
        <w:rPr>
          <w:rFonts w:ascii="Times New Roman" w:eastAsia="Times New Roman" w:hAnsi="Times New Roman" w:cs="Times New Roman"/>
          <w:snapToGrid w:val="0"/>
          <w:sz w:val="18"/>
          <w:szCs w:val="18"/>
        </w:rPr>
        <w:t xml:space="preserve">exercise </w:t>
      </w:r>
      <w:r w:rsidRPr="009B62A2">
        <w:rPr>
          <w:rFonts w:ascii="Times New Roman" w:eastAsia="Times New Roman" w:hAnsi="Times New Roman" w:cs="Times New Roman"/>
          <w:snapToGrid w:val="0"/>
          <w:sz w:val="18"/>
          <w:szCs w:val="18"/>
        </w:rPr>
        <w:t xml:space="preserve">control </w:t>
      </w:r>
      <w:r w:rsidR="00933CF6">
        <w:rPr>
          <w:rFonts w:ascii="Times New Roman" w:eastAsia="Times New Roman" w:hAnsi="Times New Roman" w:cs="Times New Roman"/>
          <w:snapToGrid w:val="0"/>
          <w:sz w:val="18"/>
          <w:szCs w:val="18"/>
        </w:rPr>
        <w:t xml:space="preserve">of </w:t>
      </w:r>
      <w:r w:rsidRPr="009B62A2">
        <w:rPr>
          <w:rFonts w:ascii="Times New Roman" w:eastAsia="Times New Roman" w:hAnsi="Times New Roman" w:cs="Times New Roman"/>
          <w:snapToGrid w:val="0"/>
          <w:sz w:val="18"/>
          <w:szCs w:val="18"/>
        </w:rPr>
        <w:t>2 or more licences [see clause 2(5)(a) of Schedule 1 to the Act].</w:t>
      </w:r>
    </w:p>
    <w:p w14:paraId="4AF725ED" w14:textId="71E56E9E" w:rsidR="009B62A2" w:rsidRPr="009B62A2" w:rsidRDefault="009B62A2" w:rsidP="00FE28E2">
      <w:pPr>
        <w:suppressAutoHyphens/>
        <w:spacing w:before="80" w:after="120" w:line="240" w:lineRule="auto"/>
        <w:ind w:left="720" w:hanging="720"/>
        <w:rPr>
          <w:rFonts w:ascii="Times New Roman" w:eastAsia="Times New Roman" w:hAnsi="Times New Roman" w:cs="Times New Roman"/>
          <w:bCs/>
          <w:iCs/>
          <w:snapToGrid w:val="0"/>
          <w:sz w:val="18"/>
          <w:szCs w:val="18"/>
        </w:rPr>
      </w:pPr>
      <w:r w:rsidRPr="009B62A2">
        <w:rPr>
          <w:rFonts w:ascii="Times New Roman" w:eastAsia="Times New Roman" w:hAnsi="Times New Roman" w:cs="Times New Roman"/>
          <w:bCs/>
          <w:i/>
          <w:iCs/>
          <w:snapToGrid w:val="0"/>
          <w:sz w:val="18"/>
          <w:szCs w:val="18"/>
        </w:rPr>
        <w:t>Note 2</w:t>
      </w:r>
      <w:r w:rsidRPr="009B62A2">
        <w:rPr>
          <w:rFonts w:ascii="Times New Roman" w:eastAsia="Times New Roman" w:hAnsi="Times New Roman" w:cs="Times New Roman"/>
          <w:bCs/>
          <w:i/>
          <w:iCs/>
          <w:snapToGrid w:val="0"/>
          <w:sz w:val="18"/>
          <w:szCs w:val="18"/>
        </w:rPr>
        <w:tab/>
      </w:r>
      <w:r w:rsidRPr="009B62A2">
        <w:rPr>
          <w:rFonts w:ascii="Times New Roman" w:eastAsia="Times New Roman" w:hAnsi="Times New Roman" w:cs="Times New Roman"/>
          <w:bCs/>
          <w:iCs/>
          <w:snapToGrid w:val="0"/>
          <w:sz w:val="18"/>
          <w:szCs w:val="18"/>
        </w:rPr>
        <w:t>In determining what constitutes a “material reduction” in each circumstance, the ACMA will have regard to relevant standards published by the Australian Accounting Standards Board and any other considerations it regards as relevant.</w:t>
      </w:r>
    </w:p>
    <w:p w14:paraId="4AF725EE" w14:textId="77777777" w:rsidR="009B62A2" w:rsidRPr="009B62A2" w:rsidRDefault="009B62A2" w:rsidP="009B62A2">
      <w:pPr>
        <w:suppressAutoHyphens/>
        <w:spacing w:before="80" w:after="120" w:line="240" w:lineRule="auto"/>
        <w:ind w:left="720" w:hanging="720"/>
        <w:rPr>
          <w:rFonts w:ascii="Times New Roman" w:eastAsia="Times New Roman" w:hAnsi="Times New Roman" w:cs="Times New Roman"/>
          <w:bCs/>
          <w:iCs/>
          <w:snapToGrid w:val="0"/>
          <w:sz w:val="18"/>
          <w:szCs w:val="18"/>
        </w:rPr>
      </w:pPr>
    </w:p>
    <w:p w14:paraId="4AF725EF" w14:textId="77777777" w:rsidR="009B62A2" w:rsidRPr="009B62A2" w:rsidRDefault="009B62A2" w:rsidP="009B62A2">
      <w:pPr>
        <w:pBdr>
          <w:bottom w:val="single" w:sz="6" w:space="1" w:color="auto"/>
        </w:pBdr>
        <w:suppressAutoHyphens/>
        <w:spacing w:before="80" w:after="120" w:line="280" w:lineRule="atLeast"/>
        <w:jc w:val="right"/>
        <w:rPr>
          <w:rFonts w:ascii="Arial" w:eastAsia="Times New Roman" w:hAnsi="Arial" w:cs="Arial"/>
          <w:snapToGrid w:val="0"/>
          <w:szCs w:val="20"/>
        </w:rPr>
      </w:pPr>
    </w:p>
    <w:p w14:paraId="4AF725F0" w14:textId="77777777" w:rsidR="009B62A2" w:rsidRPr="009B62A2" w:rsidRDefault="009B62A2" w:rsidP="009B62A2">
      <w:pPr>
        <w:suppressAutoHyphens/>
        <w:spacing w:before="80" w:after="120" w:line="240" w:lineRule="auto"/>
        <w:rPr>
          <w:rFonts w:ascii="Arial" w:eastAsia="Times New Roman" w:hAnsi="Arial" w:cs="Times New Roman"/>
          <w:b/>
          <w:snapToGrid w:val="0"/>
          <w:sz w:val="24"/>
          <w:szCs w:val="20"/>
        </w:rPr>
      </w:pPr>
      <w:bookmarkStart w:id="50" w:name="hlhl1"/>
      <w:bookmarkStart w:id="51" w:name="hlhl2"/>
      <w:bookmarkStart w:id="52" w:name="hlhl3"/>
      <w:bookmarkStart w:id="53" w:name="hlhl4"/>
      <w:bookmarkStart w:id="54" w:name="hlhl5"/>
      <w:bookmarkStart w:id="55" w:name="hlhl6"/>
      <w:bookmarkStart w:id="56" w:name="hlhl7"/>
      <w:bookmarkStart w:id="57" w:name="hlhl8"/>
      <w:bookmarkStart w:id="58" w:name="hlhl9"/>
      <w:bookmarkStart w:id="59" w:name="_Toc90104092"/>
      <w:bookmarkEnd w:id="50"/>
      <w:bookmarkEnd w:id="51"/>
      <w:bookmarkEnd w:id="52"/>
      <w:bookmarkEnd w:id="53"/>
      <w:bookmarkEnd w:id="54"/>
      <w:bookmarkEnd w:id="55"/>
      <w:bookmarkEnd w:id="56"/>
      <w:bookmarkEnd w:id="57"/>
      <w:bookmarkEnd w:id="58"/>
      <w:bookmarkEnd w:id="59"/>
      <w:r w:rsidRPr="009B62A2">
        <w:rPr>
          <w:rFonts w:ascii="Arial" w:eastAsia="Times New Roman" w:hAnsi="Arial" w:cs="Times New Roman"/>
          <w:b/>
          <w:snapToGrid w:val="0"/>
          <w:sz w:val="24"/>
          <w:szCs w:val="20"/>
        </w:rPr>
        <w:t>Note</w:t>
      </w:r>
    </w:p>
    <w:p w14:paraId="4AF725F2" w14:textId="5D4E8278" w:rsidR="004B2753" w:rsidRPr="00424B97" w:rsidRDefault="009B62A2" w:rsidP="00FE28E2">
      <w:pPr>
        <w:keepLines/>
        <w:spacing w:before="120" w:after="0" w:line="240" w:lineRule="exact"/>
        <w:ind w:left="567" w:hanging="567"/>
      </w:pPr>
      <w:r w:rsidRPr="009B62A2">
        <w:rPr>
          <w:rFonts w:ascii="Times New Roman" w:eastAsia="Times New Roman" w:hAnsi="Times New Roman" w:cs="Times New Roman"/>
          <w:color w:val="000000"/>
          <w:szCs w:val="24"/>
          <w:lang w:eastAsia="en-AU"/>
        </w:rPr>
        <w:t>1.</w:t>
      </w:r>
      <w:r w:rsidRPr="009B62A2">
        <w:rPr>
          <w:rFonts w:ascii="Times New Roman" w:eastAsia="Times New Roman" w:hAnsi="Times New Roman" w:cs="Times New Roman"/>
          <w:color w:val="000000"/>
          <w:szCs w:val="24"/>
          <w:lang w:eastAsia="en-AU"/>
        </w:rPr>
        <w:tab/>
        <w:t xml:space="preserve">All legislative instruments and compilations are registered on the Federal Register of Legislative Instruments kept under the </w:t>
      </w:r>
      <w:r w:rsidRPr="009B62A2">
        <w:rPr>
          <w:rFonts w:ascii="Times New Roman" w:eastAsia="Times New Roman" w:hAnsi="Times New Roman" w:cs="Times New Roman"/>
          <w:i/>
          <w:color w:val="000000"/>
          <w:szCs w:val="24"/>
          <w:lang w:eastAsia="en-AU"/>
        </w:rPr>
        <w:t xml:space="preserve">Legislative Instruments Act 2003. </w:t>
      </w:r>
      <w:r w:rsidRPr="009B62A2">
        <w:rPr>
          <w:rFonts w:ascii="Times New Roman" w:eastAsia="Times New Roman" w:hAnsi="Times New Roman" w:cs="Times New Roman"/>
          <w:color w:val="000000"/>
          <w:szCs w:val="24"/>
          <w:lang w:eastAsia="en-AU"/>
        </w:rPr>
        <w:t xml:space="preserve">See </w:t>
      </w:r>
      <w:hyperlink r:id="rId13" w:history="1">
        <w:r w:rsidR="00FA2F76" w:rsidRPr="008905A2">
          <w:rPr>
            <w:rStyle w:val="Hyperlink"/>
            <w:rFonts w:ascii="Times New Roman" w:hAnsi="Times New Roman" w:cs="Times New Roman"/>
          </w:rPr>
          <w:t>https://www.legislation.gov.au</w:t>
        </w:r>
      </w:hyperlink>
      <w:r w:rsidR="00FA2F76" w:rsidRPr="008905A2">
        <w:rPr>
          <w:rFonts w:ascii="Times New Roman" w:hAnsi="Times New Roman" w:cs="Times New Roman"/>
        </w:rPr>
        <w:t>/</w:t>
      </w:r>
      <w:r w:rsidRPr="009B62A2">
        <w:rPr>
          <w:rFonts w:ascii="Times New Roman" w:eastAsia="Times New Roman" w:hAnsi="Times New Roman" w:cs="Times New Roman"/>
          <w:color w:val="000000"/>
          <w:szCs w:val="24"/>
          <w:lang w:eastAsia="en-AU"/>
        </w:rPr>
        <w:t>.</w:t>
      </w:r>
    </w:p>
    <w:sectPr w:rsidR="004B2753" w:rsidRPr="00424B97" w:rsidSect="006D5C58">
      <w:headerReference w:type="default" r:id="rId14"/>
      <w:footerReference w:type="default" r:id="rId15"/>
      <w:footerReference w:type="first" r:id="rId16"/>
      <w:type w:val="continuous"/>
      <w:pgSz w:w="11906" w:h="16838" w:code="9"/>
      <w:pgMar w:top="1134" w:right="1134" w:bottom="993" w:left="1134" w:header="567" w:footer="510" w:gutter="0"/>
      <w:pgNumType w:start="2"/>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95F6D" w14:textId="77777777" w:rsidR="00E33C73" w:rsidRDefault="00E33C73" w:rsidP="003A707F">
      <w:pPr>
        <w:spacing w:after="0" w:line="240" w:lineRule="auto"/>
      </w:pPr>
      <w:r>
        <w:separator/>
      </w:r>
    </w:p>
  </w:endnote>
  <w:endnote w:type="continuationSeparator" w:id="0">
    <w:p w14:paraId="01A8406A" w14:textId="77777777" w:rsidR="00E33C73" w:rsidRDefault="00E33C7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229"/>
      <w:gridCol w:w="1128"/>
    </w:tblGrid>
    <w:tr w:rsidR="00D966EE" w14:paraId="25B4BA27" w14:textId="77777777" w:rsidTr="00D966EE">
      <w:tc>
        <w:tcPr>
          <w:tcW w:w="1271" w:type="dxa"/>
        </w:tcPr>
        <w:p w14:paraId="3141BC1C" w14:textId="77777777" w:rsidR="00D966EE" w:rsidRDefault="00D966EE" w:rsidP="009C20B8">
          <w:pPr>
            <w:pStyle w:val="Footer"/>
            <w:tabs>
              <w:tab w:val="clear" w:pos="9026"/>
            </w:tabs>
            <w:jc w:val="center"/>
            <w:rPr>
              <w:rFonts w:ascii="Arial" w:eastAsia="Times New Roman" w:hAnsi="Arial" w:cs="Arial"/>
              <w:i/>
              <w:snapToGrid w:val="0"/>
              <w:sz w:val="18"/>
              <w:szCs w:val="18"/>
            </w:rPr>
          </w:pPr>
        </w:p>
      </w:tc>
      <w:tc>
        <w:tcPr>
          <w:tcW w:w="7229" w:type="dxa"/>
        </w:tcPr>
        <w:p w14:paraId="41DA596F" w14:textId="3C9B39BA" w:rsidR="00D966EE" w:rsidRDefault="00D966EE" w:rsidP="00D966EE">
          <w:pPr>
            <w:pStyle w:val="Footer"/>
            <w:tabs>
              <w:tab w:val="clear" w:pos="9026"/>
            </w:tabs>
            <w:jc w:val="center"/>
            <w:rPr>
              <w:rFonts w:ascii="Arial" w:eastAsia="Times New Roman" w:hAnsi="Arial" w:cs="Arial"/>
              <w:i/>
              <w:snapToGrid w:val="0"/>
              <w:sz w:val="18"/>
              <w:szCs w:val="18"/>
            </w:rPr>
          </w:pPr>
          <w:r w:rsidRPr="009C20B8">
            <w:rPr>
              <w:rFonts w:ascii="Arial" w:eastAsia="Times New Roman" w:hAnsi="Arial" w:cs="Arial"/>
              <w:i/>
              <w:snapToGrid w:val="0"/>
              <w:sz w:val="18"/>
              <w:szCs w:val="18"/>
            </w:rPr>
            <w:t>Broadcasting Services (Regional Commercial Radio – Local Presence) Licence Condition 2024</w:t>
          </w:r>
        </w:p>
      </w:tc>
      <w:tc>
        <w:tcPr>
          <w:tcW w:w="1128" w:type="dxa"/>
        </w:tcPr>
        <w:p w14:paraId="70A5DA4D" w14:textId="77777777" w:rsidR="00D966EE" w:rsidRPr="00D966EE" w:rsidRDefault="00D966EE" w:rsidP="00D966EE">
          <w:pPr>
            <w:pStyle w:val="Footer"/>
            <w:tabs>
              <w:tab w:val="clear" w:pos="9026"/>
            </w:tabs>
            <w:jc w:val="right"/>
            <w:rPr>
              <w:rFonts w:ascii="Arial" w:eastAsia="Times New Roman" w:hAnsi="Arial" w:cs="Arial"/>
              <w:iCs/>
              <w:snapToGrid w:val="0"/>
              <w:sz w:val="18"/>
              <w:szCs w:val="18"/>
            </w:rPr>
          </w:pPr>
        </w:p>
      </w:tc>
    </w:tr>
  </w:tbl>
  <w:p w14:paraId="576142A9" w14:textId="77777777" w:rsidR="002F5E8E" w:rsidRPr="00C46B1D" w:rsidRDefault="002F5E8E" w:rsidP="002F5E8E">
    <w:pPr>
      <w:pStyle w:val="Footer"/>
      <w:jc w:val="center"/>
      <w:rPr>
        <w:b/>
        <w:bCs/>
        <w:sz w:val="28"/>
        <w:szCs w:val="28"/>
      </w:rPr>
    </w:pPr>
    <w:r w:rsidRPr="00C46B1D">
      <w:rPr>
        <w:b/>
        <w:bCs/>
        <w:sz w:val="28"/>
        <w:szCs w:val="28"/>
      </w:rPr>
      <w:t>DRAFT FOR CONSULTATION</w:t>
    </w:r>
  </w:p>
  <w:p w14:paraId="277BD153" w14:textId="2AAF4A85" w:rsidR="009C20B8" w:rsidRPr="009C20B8" w:rsidRDefault="009C20B8" w:rsidP="00D966EE">
    <w:pPr>
      <w:pStyle w:val="Footer"/>
      <w:tabs>
        <w:tab w:val="clear" w:pos="9026"/>
      </w:tabs>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D75A" w14:textId="114B0964" w:rsidR="002F5E8E" w:rsidRPr="009F0868" w:rsidRDefault="002F5E8E" w:rsidP="009F0868">
    <w:pPr>
      <w:pStyle w:val="Footer"/>
      <w:jc w:val="center"/>
      <w:rPr>
        <w:b/>
        <w:bCs/>
        <w:sz w:val="28"/>
        <w:szCs w:val="28"/>
      </w:rPr>
    </w:pPr>
    <w:r w:rsidRPr="009F0868">
      <w:rPr>
        <w:b/>
        <w:bCs/>
        <w:sz w:val="28"/>
        <w:szCs w:val="28"/>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28D9" w14:textId="77777777" w:rsidR="00E33C73" w:rsidRDefault="00E33C73" w:rsidP="003A707F">
      <w:pPr>
        <w:spacing w:after="0" w:line="240" w:lineRule="auto"/>
      </w:pPr>
      <w:r>
        <w:separator/>
      </w:r>
    </w:p>
  </w:footnote>
  <w:footnote w:type="continuationSeparator" w:id="0">
    <w:p w14:paraId="2CC6D02C" w14:textId="77777777" w:rsidR="00E33C73" w:rsidRDefault="00E33C73"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202515"/>
      <w:docPartObj>
        <w:docPartGallery w:val="Watermarks"/>
        <w:docPartUnique/>
      </w:docPartObj>
    </w:sdtPr>
    <w:sdtEndPr/>
    <w:sdtContent>
      <w:p w14:paraId="0669BD6B" w14:textId="0F702AE8" w:rsidR="004C0B7C" w:rsidRDefault="009F0868">
        <w:pPr>
          <w:pStyle w:val="Header"/>
        </w:pPr>
        <w:r>
          <w:rPr>
            <w:noProof/>
          </w:rPr>
          <w:pict w14:anchorId="37508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48A"/>
    <w:multiLevelType w:val="hybridMultilevel"/>
    <w:tmpl w:val="ABD6E1FE"/>
    <w:lvl w:ilvl="0" w:tplc="A44A4ABC">
      <w:start w:val="1"/>
      <w:numFmt w:val="decimal"/>
      <w:lvlText w:val="(%1)"/>
      <w:lvlJc w:val="left"/>
      <w:pPr>
        <w:ind w:left="360" w:hanging="360"/>
      </w:pPr>
      <w:rPr>
        <w:rFonts w:hint="default"/>
      </w:rPr>
    </w:lvl>
    <w:lvl w:ilvl="1" w:tplc="C88C1E3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7E71D4"/>
    <w:multiLevelType w:val="hybridMultilevel"/>
    <w:tmpl w:val="D5C6BCD2"/>
    <w:lvl w:ilvl="0" w:tplc="62B67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9D630B"/>
    <w:multiLevelType w:val="hybridMultilevel"/>
    <w:tmpl w:val="9F38C730"/>
    <w:lvl w:ilvl="0" w:tplc="C88C1E3E">
      <w:start w:val="1"/>
      <w:numFmt w:val="lowerLetter"/>
      <w:lvlText w:val="(%1)"/>
      <w:lvlJc w:val="left"/>
      <w:pPr>
        <w:ind w:left="1080" w:hanging="360"/>
      </w:pPr>
      <w:rPr>
        <w:rFonts w:hint="default"/>
      </w:rPr>
    </w:lvl>
    <w:lvl w:ilvl="1" w:tplc="22349180">
      <w:start w:val="1"/>
      <w:numFmt w:val="lowerRoman"/>
      <w:lvlText w:val="(%2)"/>
      <w:lvlJc w:val="left"/>
      <w:pPr>
        <w:ind w:left="1440" w:hanging="360"/>
      </w:pPr>
      <w:rPr>
        <w:rFonts w:hint="default"/>
      </w:rPr>
    </w:lvl>
    <w:lvl w:ilvl="2" w:tplc="27EAB54A">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B02CBF"/>
    <w:multiLevelType w:val="hybridMultilevel"/>
    <w:tmpl w:val="78A0F82E"/>
    <w:lvl w:ilvl="0" w:tplc="C88C1E3E">
      <w:start w:val="1"/>
      <w:numFmt w:val="lowerLetter"/>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BF5091"/>
    <w:multiLevelType w:val="hybridMultilevel"/>
    <w:tmpl w:val="AADA157A"/>
    <w:lvl w:ilvl="0" w:tplc="9C5C0DDA">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50E6A6A"/>
    <w:multiLevelType w:val="hybridMultilevel"/>
    <w:tmpl w:val="78A0F82E"/>
    <w:lvl w:ilvl="0" w:tplc="C88C1E3E">
      <w:start w:val="1"/>
      <w:numFmt w:val="lowerLetter"/>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E42AF1"/>
    <w:multiLevelType w:val="hybridMultilevel"/>
    <w:tmpl w:val="292AB166"/>
    <w:lvl w:ilvl="0" w:tplc="0BD4035C">
      <w:start w:val="1"/>
      <w:numFmt w:val="bullet"/>
      <w:lvlText w:val=""/>
      <w:lvlJc w:val="left"/>
      <w:pPr>
        <w:ind w:left="720" w:hanging="360"/>
      </w:pPr>
      <w:rPr>
        <w:rFonts w:ascii="Symbol" w:hAnsi="Symbol"/>
      </w:rPr>
    </w:lvl>
    <w:lvl w:ilvl="1" w:tplc="535C87B4">
      <w:start w:val="1"/>
      <w:numFmt w:val="bullet"/>
      <w:lvlText w:val=""/>
      <w:lvlJc w:val="left"/>
      <w:pPr>
        <w:ind w:left="720" w:hanging="360"/>
      </w:pPr>
      <w:rPr>
        <w:rFonts w:ascii="Symbol" w:hAnsi="Symbol"/>
      </w:rPr>
    </w:lvl>
    <w:lvl w:ilvl="2" w:tplc="8EF83164">
      <w:start w:val="1"/>
      <w:numFmt w:val="bullet"/>
      <w:lvlText w:val=""/>
      <w:lvlJc w:val="left"/>
      <w:pPr>
        <w:ind w:left="720" w:hanging="360"/>
      </w:pPr>
      <w:rPr>
        <w:rFonts w:ascii="Symbol" w:hAnsi="Symbol"/>
      </w:rPr>
    </w:lvl>
    <w:lvl w:ilvl="3" w:tplc="236657B2">
      <w:start w:val="1"/>
      <w:numFmt w:val="bullet"/>
      <w:lvlText w:val=""/>
      <w:lvlJc w:val="left"/>
      <w:pPr>
        <w:ind w:left="720" w:hanging="360"/>
      </w:pPr>
      <w:rPr>
        <w:rFonts w:ascii="Symbol" w:hAnsi="Symbol"/>
      </w:rPr>
    </w:lvl>
    <w:lvl w:ilvl="4" w:tplc="A4305F50">
      <w:start w:val="1"/>
      <w:numFmt w:val="bullet"/>
      <w:lvlText w:val=""/>
      <w:lvlJc w:val="left"/>
      <w:pPr>
        <w:ind w:left="720" w:hanging="360"/>
      </w:pPr>
      <w:rPr>
        <w:rFonts w:ascii="Symbol" w:hAnsi="Symbol"/>
      </w:rPr>
    </w:lvl>
    <w:lvl w:ilvl="5" w:tplc="F36889B4">
      <w:start w:val="1"/>
      <w:numFmt w:val="bullet"/>
      <w:lvlText w:val=""/>
      <w:lvlJc w:val="left"/>
      <w:pPr>
        <w:ind w:left="720" w:hanging="360"/>
      </w:pPr>
      <w:rPr>
        <w:rFonts w:ascii="Symbol" w:hAnsi="Symbol"/>
      </w:rPr>
    </w:lvl>
    <w:lvl w:ilvl="6" w:tplc="669CFBB4">
      <w:start w:val="1"/>
      <w:numFmt w:val="bullet"/>
      <w:lvlText w:val=""/>
      <w:lvlJc w:val="left"/>
      <w:pPr>
        <w:ind w:left="720" w:hanging="360"/>
      </w:pPr>
      <w:rPr>
        <w:rFonts w:ascii="Symbol" w:hAnsi="Symbol"/>
      </w:rPr>
    </w:lvl>
    <w:lvl w:ilvl="7" w:tplc="C1BCD432">
      <w:start w:val="1"/>
      <w:numFmt w:val="bullet"/>
      <w:lvlText w:val=""/>
      <w:lvlJc w:val="left"/>
      <w:pPr>
        <w:ind w:left="720" w:hanging="360"/>
      </w:pPr>
      <w:rPr>
        <w:rFonts w:ascii="Symbol" w:hAnsi="Symbol"/>
      </w:rPr>
    </w:lvl>
    <w:lvl w:ilvl="8" w:tplc="22AC9158">
      <w:start w:val="1"/>
      <w:numFmt w:val="bullet"/>
      <w:lvlText w:val=""/>
      <w:lvlJc w:val="left"/>
      <w:pPr>
        <w:ind w:left="720" w:hanging="360"/>
      </w:pPr>
      <w:rPr>
        <w:rFonts w:ascii="Symbol" w:hAnsi="Symbol"/>
      </w:rPr>
    </w:lvl>
  </w:abstractNum>
  <w:abstractNum w:abstractNumId="7" w15:restartNumberingAfterBreak="0">
    <w:nsid w:val="7A961312"/>
    <w:multiLevelType w:val="hybridMultilevel"/>
    <w:tmpl w:val="78A0F82E"/>
    <w:lvl w:ilvl="0" w:tplc="C88C1E3E">
      <w:start w:val="1"/>
      <w:numFmt w:val="lowerLetter"/>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2409F7"/>
    <w:multiLevelType w:val="hybridMultilevel"/>
    <w:tmpl w:val="69127860"/>
    <w:lvl w:ilvl="0" w:tplc="ED6CF7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1073013">
    <w:abstractNumId w:val="4"/>
  </w:num>
  <w:num w:numId="2" w16cid:durableId="450589697">
    <w:abstractNumId w:val="0"/>
  </w:num>
  <w:num w:numId="3" w16cid:durableId="294453345">
    <w:abstractNumId w:val="7"/>
  </w:num>
  <w:num w:numId="4" w16cid:durableId="725567432">
    <w:abstractNumId w:val="2"/>
  </w:num>
  <w:num w:numId="5" w16cid:durableId="442505661">
    <w:abstractNumId w:val="3"/>
  </w:num>
  <w:num w:numId="6" w16cid:durableId="1641109502">
    <w:abstractNumId w:val="5"/>
  </w:num>
  <w:num w:numId="7" w16cid:durableId="2032223670">
    <w:abstractNumId w:val="1"/>
  </w:num>
  <w:num w:numId="8" w16cid:durableId="630864629">
    <w:abstractNumId w:val="8"/>
  </w:num>
  <w:num w:numId="9" w16cid:durableId="1035041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028CA"/>
    <w:rsid w:val="00004924"/>
    <w:rsid w:val="000303D1"/>
    <w:rsid w:val="000506B6"/>
    <w:rsid w:val="0005412A"/>
    <w:rsid w:val="000715C5"/>
    <w:rsid w:val="000E1F2B"/>
    <w:rsid w:val="00127ECE"/>
    <w:rsid w:val="00131E53"/>
    <w:rsid w:val="00183FF3"/>
    <w:rsid w:val="001C2AAD"/>
    <w:rsid w:val="001D72F4"/>
    <w:rsid w:val="001F6E54"/>
    <w:rsid w:val="00200C1D"/>
    <w:rsid w:val="002077B9"/>
    <w:rsid w:val="00207FBE"/>
    <w:rsid w:val="00223BC0"/>
    <w:rsid w:val="00264245"/>
    <w:rsid w:val="0026754A"/>
    <w:rsid w:val="00272FDF"/>
    <w:rsid w:val="00273ED2"/>
    <w:rsid w:val="00280BCD"/>
    <w:rsid w:val="002D56D1"/>
    <w:rsid w:val="002F5E8E"/>
    <w:rsid w:val="00307ACC"/>
    <w:rsid w:val="00323285"/>
    <w:rsid w:val="003A707F"/>
    <w:rsid w:val="003B0EC1"/>
    <w:rsid w:val="003B573B"/>
    <w:rsid w:val="003B6ADF"/>
    <w:rsid w:val="003C221A"/>
    <w:rsid w:val="003F2BDB"/>
    <w:rsid w:val="003F2CBD"/>
    <w:rsid w:val="0040012C"/>
    <w:rsid w:val="00403583"/>
    <w:rsid w:val="00407BFD"/>
    <w:rsid w:val="00424B97"/>
    <w:rsid w:val="0042652F"/>
    <w:rsid w:val="004B2753"/>
    <w:rsid w:val="004C0B7C"/>
    <w:rsid w:val="004C6886"/>
    <w:rsid w:val="004F7F4C"/>
    <w:rsid w:val="00520873"/>
    <w:rsid w:val="005247CC"/>
    <w:rsid w:val="00573D44"/>
    <w:rsid w:val="005B65C8"/>
    <w:rsid w:val="005D7A1B"/>
    <w:rsid w:val="005E29E3"/>
    <w:rsid w:val="005E3827"/>
    <w:rsid w:val="005F11E6"/>
    <w:rsid w:val="0060217D"/>
    <w:rsid w:val="00622EE8"/>
    <w:rsid w:val="00623468"/>
    <w:rsid w:val="00626EC7"/>
    <w:rsid w:val="006508B7"/>
    <w:rsid w:val="00666D34"/>
    <w:rsid w:val="00687177"/>
    <w:rsid w:val="00692CB6"/>
    <w:rsid w:val="006C7DDD"/>
    <w:rsid w:val="006D5C58"/>
    <w:rsid w:val="006D7626"/>
    <w:rsid w:val="006E78F4"/>
    <w:rsid w:val="00711CA2"/>
    <w:rsid w:val="007169D8"/>
    <w:rsid w:val="00764020"/>
    <w:rsid w:val="0078737B"/>
    <w:rsid w:val="00795EB8"/>
    <w:rsid w:val="007C35FF"/>
    <w:rsid w:val="00840A06"/>
    <w:rsid w:val="008439B7"/>
    <w:rsid w:val="0086727D"/>
    <w:rsid w:val="0087253F"/>
    <w:rsid w:val="00873DA1"/>
    <w:rsid w:val="0088688F"/>
    <w:rsid w:val="008905A2"/>
    <w:rsid w:val="0089275D"/>
    <w:rsid w:val="008B7204"/>
    <w:rsid w:val="008E4F6C"/>
    <w:rsid w:val="00933CF6"/>
    <w:rsid w:val="009526E6"/>
    <w:rsid w:val="009539C7"/>
    <w:rsid w:val="009605BE"/>
    <w:rsid w:val="009958B6"/>
    <w:rsid w:val="009961C3"/>
    <w:rsid w:val="009A3DE4"/>
    <w:rsid w:val="009B62A2"/>
    <w:rsid w:val="009C20B8"/>
    <w:rsid w:val="009E601E"/>
    <w:rsid w:val="009F0868"/>
    <w:rsid w:val="00A00F21"/>
    <w:rsid w:val="00A2488B"/>
    <w:rsid w:val="00A33846"/>
    <w:rsid w:val="00A42977"/>
    <w:rsid w:val="00A46467"/>
    <w:rsid w:val="00A54D1E"/>
    <w:rsid w:val="00A5505F"/>
    <w:rsid w:val="00A7719C"/>
    <w:rsid w:val="00A90F77"/>
    <w:rsid w:val="00AA34FA"/>
    <w:rsid w:val="00AA5E77"/>
    <w:rsid w:val="00AD4980"/>
    <w:rsid w:val="00B05C1F"/>
    <w:rsid w:val="00B160B7"/>
    <w:rsid w:val="00B22ED9"/>
    <w:rsid w:val="00B32295"/>
    <w:rsid w:val="00B56F95"/>
    <w:rsid w:val="00B82205"/>
    <w:rsid w:val="00B84226"/>
    <w:rsid w:val="00BA0212"/>
    <w:rsid w:val="00BF721C"/>
    <w:rsid w:val="00C1321D"/>
    <w:rsid w:val="00C2096E"/>
    <w:rsid w:val="00C63C4E"/>
    <w:rsid w:val="00C72C30"/>
    <w:rsid w:val="00C77316"/>
    <w:rsid w:val="00CE6D6A"/>
    <w:rsid w:val="00D12E4C"/>
    <w:rsid w:val="00D229E5"/>
    <w:rsid w:val="00D24D4E"/>
    <w:rsid w:val="00D449BF"/>
    <w:rsid w:val="00D77A88"/>
    <w:rsid w:val="00D87A77"/>
    <w:rsid w:val="00D966EE"/>
    <w:rsid w:val="00DA5EE9"/>
    <w:rsid w:val="00DE2BDF"/>
    <w:rsid w:val="00DE4991"/>
    <w:rsid w:val="00DF368D"/>
    <w:rsid w:val="00E147C1"/>
    <w:rsid w:val="00E21057"/>
    <w:rsid w:val="00E33C73"/>
    <w:rsid w:val="00E525C5"/>
    <w:rsid w:val="00ED257B"/>
    <w:rsid w:val="00ED25E1"/>
    <w:rsid w:val="00F16062"/>
    <w:rsid w:val="00F40885"/>
    <w:rsid w:val="00F431C6"/>
    <w:rsid w:val="00FA2F76"/>
    <w:rsid w:val="00FA499A"/>
    <w:rsid w:val="00FC19C1"/>
    <w:rsid w:val="00FE0626"/>
    <w:rsid w:val="00FE28E2"/>
    <w:rsid w:val="00FF3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7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Revision">
    <w:name w:val="Revision"/>
    <w:hidden/>
    <w:uiPriority w:val="99"/>
    <w:semiHidden/>
    <w:rsid w:val="000303D1"/>
    <w:pPr>
      <w:spacing w:after="0" w:line="240" w:lineRule="auto"/>
    </w:pPr>
  </w:style>
  <w:style w:type="character" w:styleId="CommentReference">
    <w:name w:val="annotation reference"/>
    <w:basedOn w:val="DefaultParagraphFont"/>
    <w:uiPriority w:val="99"/>
    <w:semiHidden/>
    <w:unhideWhenUsed/>
    <w:rsid w:val="0089275D"/>
    <w:rPr>
      <w:sz w:val="16"/>
      <w:szCs w:val="16"/>
    </w:rPr>
  </w:style>
  <w:style w:type="paragraph" w:styleId="CommentText">
    <w:name w:val="annotation text"/>
    <w:basedOn w:val="Normal"/>
    <w:link w:val="CommentTextChar"/>
    <w:uiPriority w:val="99"/>
    <w:unhideWhenUsed/>
    <w:rsid w:val="0089275D"/>
    <w:pPr>
      <w:spacing w:line="240" w:lineRule="auto"/>
    </w:pPr>
    <w:rPr>
      <w:sz w:val="20"/>
      <w:szCs w:val="20"/>
    </w:rPr>
  </w:style>
  <w:style w:type="character" w:customStyle="1" w:styleId="CommentTextChar">
    <w:name w:val="Comment Text Char"/>
    <w:basedOn w:val="DefaultParagraphFont"/>
    <w:link w:val="CommentText"/>
    <w:uiPriority w:val="99"/>
    <w:rsid w:val="0089275D"/>
    <w:rPr>
      <w:sz w:val="20"/>
      <w:szCs w:val="20"/>
    </w:rPr>
  </w:style>
  <w:style w:type="paragraph" w:styleId="CommentSubject">
    <w:name w:val="annotation subject"/>
    <w:basedOn w:val="CommentText"/>
    <w:next w:val="CommentText"/>
    <w:link w:val="CommentSubjectChar"/>
    <w:uiPriority w:val="99"/>
    <w:semiHidden/>
    <w:unhideWhenUsed/>
    <w:rsid w:val="0089275D"/>
    <w:rPr>
      <w:b/>
      <w:bCs/>
    </w:rPr>
  </w:style>
  <w:style w:type="character" w:customStyle="1" w:styleId="CommentSubjectChar">
    <w:name w:val="Comment Subject Char"/>
    <w:basedOn w:val="CommentTextChar"/>
    <w:link w:val="CommentSubject"/>
    <w:uiPriority w:val="99"/>
    <w:semiHidden/>
    <w:rsid w:val="0089275D"/>
    <w:rPr>
      <w:b/>
      <w:bCs/>
      <w:sz w:val="20"/>
      <w:szCs w:val="20"/>
    </w:rPr>
  </w:style>
  <w:style w:type="character" w:styleId="Hyperlink">
    <w:name w:val="Hyperlink"/>
    <w:basedOn w:val="DefaultParagraphFont"/>
    <w:uiPriority w:val="99"/>
    <w:unhideWhenUsed/>
    <w:rsid w:val="00D87A77"/>
    <w:rPr>
      <w:color w:val="0000FF" w:themeColor="hyperlink"/>
      <w:u w:val="single"/>
    </w:rPr>
  </w:style>
  <w:style w:type="character" w:styleId="UnresolvedMention">
    <w:name w:val="Unresolved Mention"/>
    <w:basedOn w:val="DefaultParagraphFont"/>
    <w:uiPriority w:val="99"/>
    <w:semiHidden/>
    <w:unhideWhenUsed/>
    <w:rsid w:val="00D87A77"/>
    <w:rPr>
      <w:color w:val="605E5C"/>
      <w:shd w:val="clear" w:color="auto" w:fill="E1DFDD"/>
    </w:rPr>
  </w:style>
  <w:style w:type="paragraph" w:styleId="ListParagraph">
    <w:name w:val="List Paragraph"/>
    <w:basedOn w:val="Normal"/>
    <w:uiPriority w:val="34"/>
    <w:qFormat/>
    <w:rsid w:val="00AD4980"/>
    <w:pPr>
      <w:ind w:left="720"/>
      <w:contextualSpacing/>
    </w:pPr>
  </w:style>
  <w:style w:type="paragraph" w:customStyle="1" w:styleId="SignCoverPageEnd">
    <w:name w:val="SignCoverPageEnd"/>
    <w:basedOn w:val="Normal"/>
    <w:next w:val="Normal"/>
    <w:rsid w:val="00ED25E1"/>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table" w:styleId="TableGrid">
    <w:name w:val="Table Grid"/>
    <w:basedOn w:val="TableNormal"/>
    <w:uiPriority w:val="59"/>
    <w:rsid w:val="00D96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F368D"/>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DF368D"/>
    <w:rPr>
      <w:rFonts w:ascii="Arial" w:eastAsia="Times New Roman" w:hAnsi="Arial" w:cs="Arial"/>
      <w:b/>
      <w:bCs/>
      <w:sz w:val="40"/>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C2014G01598/latest/tex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8E7EDCFF2BAF4B835C6E3637778D43" ma:contentTypeVersion="1" ma:contentTypeDescription="Create a new document." ma:contentTypeScope="" ma:versionID="fe13f13a39e557ef35e7ef01a010caa5">
  <xsd:schema xmlns:xsd="http://www.w3.org/2001/XMLSchema" xmlns:xs="http://www.w3.org/2001/XMLSchema" xmlns:p="http://schemas.microsoft.com/office/2006/metadata/properties" xmlns:ns2="d71819ef-55b9-420a-86a4-d36bc037540e" xmlns:ns3="f99080d5-e45d-4714-84e8-2af67d2f3517" targetNamespace="http://schemas.microsoft.com/office/2006/metadata/properties" ma:root="true" ma:fieldsID="95825b20114382edd3d19bda3cde56a6" ns2:_="" ns3:_="">
    <xsd:import namespace="d71819ef-55b9-420a-86a4-d36bc037540e"/>
    <xsd:import namespace="f99080d5-e45d-4714-84e8-2af67d2f351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9080d5-e45d-4714-84e8-2af67d2f35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5BEAA-AC7B-4DF8-B5BC-BF8B1051D7EB}">
  <ds:schemaRefs>
    <ds:schemaRef ds:uri="d71819ef-55b9-420a-86a4-d36bc037540e"/>
    <ds:schemaRef ds:uri="http://schemas.microsoft.com/office/2006/documentManagement/types"/>
    <ds:schemaRef ds:uri="f99080d5-e45d-4714-84e8-2af67d2f3517"/>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CA56D81-FDF7-4E35-A085-56C50F865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f99080d5-e45d-4714-84e8-2af67d2f3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715B4-7A63-493E-A61F-7BA9FB9E698C}">
  <ds:schemaRefs>
    <ds:schemaRef ds:uri="http://schemas.microsoft.com/sharepoint/events"/>
  </ds:schemaRefs>
</ds:datastoreItem>
</file>

<file path=customXml/itemProps4.xml><?xml version="1.0" encoding="utf-8"?>
<ds:datastoreItem xmlns:ds="http://schemas.openxmlformats.org/officeDocument/2006/customXml" ds:itemID="{64C7449D-540F-4A0A-AF26-296C20DA230A}">
  <ds:schemaRefs>
    <ds:schemaRef ds:uri="http://schemas.microsoft.com/sharepoint/v3/contenttype/forms"/>
  </ds:schemaRefs>
</ds:datastoreItem>
</file>

<file path=customXml/itemProps5.xml><?xml version="1.0" encoding="utf-8"?>
<ds:datastoreItem xmlns:ds="http://schemas.openxmlformats.org/officeDocument/2006/customXml" ds:itemID="{520F6297-7921-44F0-BB8A-DEF92EC2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2024-06-12T03:48:00Z</dcterms:created>
  <dcterms:modified xsi:type="dcterms:W3CDTF">2024-07-12T02:35:00Z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0x0101008A8E7EDCFF2BAF4B835C6E3637778D43</vt:lpwstr>
  </property>
</Properties>
</file>