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4652" w14:textId="77777777" w:rsidR="009B1D59" w:rsidRPr="001B7276" w:rsidRDefault="009B1D59" w:rsidP="009B1D59">
      <w:pPr>
        <w:pStyle w:val="ACMABodyText"/>
      </w:pPr>
    </w:p>
    <w:p w14:paraId="5049ADF3" w14:textId="77777777" w:rsidR="009B1D59" w:rsidRPr="00272ED8" w:rsidRDefault="009B1D59" w:rsidP="009B1D59">
      <w:pPr>
        <w:spacing w:before="0" w:after="284" w:line="240" w:lineRule="atLeast"/>
        <w:rPr>
          <w:rFonts w:ascii="Arial" w:hAnsi="Arial" w:cs="Arial"/>
          <w:b/>
          <w:bCs/>
          <w:color w:val="000000"/>
          <w:sz w:val="22"/>
          <w:szCs w:val="22"/>
          <w:lang w:eastAsia="en-AU"/>
        </w:rPr>
      </w:pPr>
      <w:r w:rsidRPr="00272ED8">
        <w:rPr>
          <w:rFonts w:ascii="Arial" w:hAnsi="Arial" w:cs="Arial"/>
          <w:b/>
          <w:bCs/>
          <w:color w:val="000000"/>
          <w:sz w:val="22"/>
          <w:szCs w:val="22"/>
          <w:lang w:eastAsia="en-AU"/>
        </w:rPr>
        <w:t xml:space="preserve">Statement of Expectations </w:t>
      </w:r>
    </w:p>
    <w:p w14:paraId="35A32E47" w14:textId="77777777" w:rsidR="009B1D59" w:rsidRPr="00272ED8" w:rsidRDefault="009B1D59" w:rsidP="009B1D59">
      <w:pPr>
        <w:spacing w:before="0" w:after="284" w:line="240" w:lineRule="atLeast"/>
        <w:rPr>
          <w:rFonts w:ascii="Arial" w:hAnsi="Arial" w:cs="Arial"/>
          <w:b/>
          <w:bCs/>
          <w:color w:val="000000"/>
          <w:sz w:val="22"/>
          <w:szCs w:val="22"/>
          <w:lang w:eastAsia="en-AU"/>
        </w:rPr>
      </w:pPr>
      <w:r w:rsidRPr="00272ED8">
        <w:rPr>
          <w:rFonts w:ascii="Arial" w:hAnsi="Arial" w:cs="Arial"/>
          <w:b/>
          <w:bCs/>
          <w:color w:val="000000"/>
          <w:sz w:val="22"/>
          <w:szCs w:val="22"/>
          <w:lang w:eastAsia="en-AU"/>
        </w:rPr>
        <w:t>Use of consent in telemarketing and e-marketing</w:t>
      </w:r>
    </w:p>
    <w:p w14:paraId="50331BF4" w14:textId="77777777" w:rsidR="009B1D59" w:rsidRPr="00272ED8" w:rsidRDefault="009B1D59" w:rsidP="009B1D59">
      <w:pPr>
        <w:spacing w:before="240" w:after="284" w:line="240" w:lineRule="atLeast"/>
        <w:rPr>
          <w:rFonts w:ascii="Arial" w:hAnsi="Arial" w:cs="Arial"/>
          <w:b/>
          <w:bCs/>
          <w:color w:val="000000"/>
          <w:sz w:val="22"/>
          <w:szCs w:val="22"/>
          <w:lang w:eastAsia="en-AU"/>
        </w:rPr>
      </w:pPr>
      <w:r w:rsidRPr="00272ED8">
        <w:rPr>
          <w:rFonts w:ascii="Arial" w:hAnsi="Arial" w:cs="Arial"/>
          <w:b/>
          <w:bCs/>
          <w:color w:val="000000"/>
          <w:sz w:val="22"/>
          <w:szCs w:val="22"/>
          <w:lang w:eastAsia="en-AU"/>
        </w:rPr>
        <w:t>Purpose</w:t>
      </w:r>
    </w:p>
    <w:p w14:paraId="41A38EF3" w14:textId="15A864EF" w:rsidR="00587184" w:rsidRDefault="009B1D59" w:rsidP="009C71A5">
      <w:pPr>
        <w:spacing w:before="0" w:line="240" w:lineRule="atLeast"/>
        <w:rPr>
          <w:rFonts w:ascii="Arial" w:hAnsi="Arial" w:cs="Arial"/>
          <w:color w:val="008000"/>
          <w:sz w:val="22"/>
          <w:szCs w:val="22"/>
          <w:lang w:eastAsia="en-AU"/>
        </w:rPr>
      </w:pPr>
      <w:r w:rsidRPr="00272ED8">
        <w:rPr>
          <w:rFonts w:ascii="Arial" w:hAnsi="Arial" w:cs="Arial"/>
          <w:color w:val="000000"/>
          <w:sz w:val="22"/>
          <w:szCs w:val="22"/>
          <w:lang w:eastAsia="en-AU"/>
        </w:rPr>
        <w:t>This statement sets out the Australian Communication and Media Authority’s (ACMA) expectations for businesses using consent to conduct telemarketing and e-marketing to improve outcomes for consumers. It covers</w:t>
      </w:r>
      <w:r w:rsidR="00587184">
        <w:rPr>
          <w:rFonts w:ascii="Arial" w:hAnsi="Arial" w:cs="Arial"/>
          <w:color w:val="000000"/>
          <w:sz w:val="22"/>
          <w:szCs w:val="22"/>
          <w:lang w:eastAsia="en-AU"/>
        </w:rPr>
        <w:t>:</w:t>
      </w:r>
      <w:r w:rsidRPr="00272ED8">
        <w:rPr>
          <w:rFonts w:ascii="Arial" w:hAnsi="Arial" w:cs="Arial"/>
          <w:color w:val="000000"/>
          <w:sz w:val="22"/>
          <w:szCs w:val="22"/>
          <w:lang w:eastAsia="en-AU"/>
        </w:rPr>
        <w:t xml:space="preserve"> </w:t>
      </w:r>
    </w:p>
    <w:p w14:paraId="72485D66" w14:textId="7E0F109A" w:rsidR="00587184" w:rsidRPr="009C71A5" w:rsidRDefault="009B1D59" w:rsidP="009C71A5">
      <w:pPr>
        <w:pStyle w:val="ListParagraph"/>
        <w:numPr>
          <w:ilvl w:val="0"/>
          <w:numId w:val="7"/>
        </w:numPr>
        <w:spacing w:before="0" w:line="240" w:lineRule="atLeast"/>
        <w:ind w:left="714" w:hanging="357"/>
        <w:contextualSpacing w:val="0"/>
        <w:rPr>
          <w:rFonts w:ascii="Arial" w:hAnsi="Arial" w:cs="Arial"/>
          <w:sz w:val="22"/>
          <w:szCs w:val="22"/>
          <w:lang w:eastAsia="en-AU"/>
        </w:rPr>
      </w:pPr>
      <w:r w:rsidRPr="009C71A5">
        <w:rPr>
          <w:rFonts w:ascii="Arial" w:hAnsi="Arial" w:cs="Arial"/>
          <w:sz w:val="22"/>
          <w:szCs w:val="22"/>
          <w:lang w:eastAsia="en-AU"/>
        </w:rPr>
        <w:t>compliance with the</w:t>
      </w:r>
      <w:r w:rsidR="00587184">
        <w:rPr>
          <w:rFonts w:ascii="Arial" w:hAnsi="Arial" w:cs="Arial"/>
          <w:sz w:val="22"/>
          <w:szCs w:val="22"/>
          <w:lang w:eastAsia="en-AU"/>
        </w:rPr>
        <w:t xml:space="preserve"> minimum rules in the</w:t>
      </w:r>
      <w:r w:rsidRPr="009C71A5">
        <w:rPr>
          <w:rFonts w:ascii="Arial" w:hAnsi="Arial" w:cs="Arial"/>
          <w:sz w:val="22"/>
          <w:szCs w:val="22"/>
          <w:lang w:eastAsia="en-AU"/>
        </w:rPr>
        <w:t xml:space="preserve"> </w:t>
      </w:r>
      <w:r w:rsidRPr="009C71A5">
        <w:rPr>
          <w:rFonts w:ascii="Arial" w:hAnsi="Arial" w:cs="Arial"/>
          <w:i/>
          <w:iCs/>
          <w:sz w:val="22"/>
          <w:szCs w:val="22"/>
          <w:lang w:eastAsia="en-AU"/>
        </w:rPr>
        <w:t>Spam Act 2003</w:t>
      </w:r>
      <w:r w:rsidRPr="009C71A5">
        <w:rPr>
          <w:rFonts w:ascii="Arial" w:hAnsi="Arial" w:cs="Arial"/>
          <w:sz w:val="22"/>
          <w:szCs w:val="22"/>
          <w:lang w:eastAsia="en-AU"/>
        </w:rPr>
        <w:t xml:space="preserve">, the </w:t>
      </w:r>
      <w:r w:rsidRPr="009C71A5">
        <w:rPr>
          <w:rFonts w:ascii="Arial" w:hAnsi="Arial" w:cs="Arial"/>
          <w:i/>
          <w:iCs/>
          <w:sz w:val="22"/>
          <w:szCs w:val="22"/>
          <w:lang w:eastAsia="en-AU"/>
        </w:rPr>
        <w:t>Do Not Call Register Act 2006</w:t>
      </w:r>
      <w:r w:rsidRPr="009C71A5">
        <w:rPr>
          <w:rFonts w:ascii="Arial" w:hAnsi="Arial" w:cs="Arial"/>
          <w:sz w:val="22"/>
          <w:szCs w:val="22"/>
          <w:lang w:eastAsia="en-AU"/>
        </w:rPr>
        <w:t xml:space="preserve"> and subordinate </w:t>
      </w:r>
      <w:r w:rsidR="00587184">
        <w:rPr>
          <w:rFonts w:ascii="Arial" w:hAnsi="Arial" w:cs="Arial"/>
          <w:sz w:val="22"/>
          <w:szCs w:val="22"/>
          <w:lang w:eastAsia="en-AU"/>
        </w:rPr>
        <w:t>instruments</w:t>
      </w:r>
      <w:r w:rsidRPr="00EA1805">
        <w:rPr>
          <w:rFonts w:ascii="Arial" w:hAnsi="Arial" w:cs="Arial"/>
          <w:sz w:val="22"/>
          <w:szCs w:val="22"/>
          <w:lang w:eastAsia="en-AU"/>
        </w:rPr>
        <w:t xml:space="preserve"> (collectively referred to as </w:t>
      </w:r>
      <w:r w:rsidRPr="00EA1805">
        <w:rPr>
          <w:rFonts w:ascii="Arial" w:hAnsi="Arial" w:cs="Arial"/>
          <w:b/>
          <w:bCs/>
          <w:sz w:val="22"/>
          <w:szCs w:val="22"/>
          <w:lang w:eastAsia="en-AU"/>
        </w:rPr>
        <w:t>the Rules</w:t>
      </w:r>
      <w:r w:rsidRPr="00EA1805">
        <w:rPr>
          <w:rFonts w:ascii="Arial" w:hAnsi="Arial" w:cs="Arial"/>
          <w:sz w:val="22"/>
          <w:szCs w:val="22"/>
          <w:lang w:eastAsia="en-AU"/>
        </w:rPr>
        <w:t>)</w:t>
      </w:r>
      <w:r w:rsidR="00587184" w:rsidRPr="009C71A5">
        <w:rPr>
          <w:rFonts w:ascii="Arial" w:hAnsi="Arial" w:cs="Arial"/>
          <w:sz w:val="22"/>
          <w:szCs w:val="22"/>
          <w:lang w:eastAsia="en-AU"/>
        </w:rPr>
        <w:t xml:space="preserve">, </w:t>
      </w:r>
      <w:r w:rsidR="00C06DA7" w:rsidRPr="00EA1805">
        <w:rPr>
          <w:rFonts w:ascii="Arial" w:hAnsi="Arial" w:cs="Arial"/>
          <w:sz w:val="22"/>
          <w:szCs w:val="22"/>
          <w:lang w:eastAsia="en-AU"/>
        </w:rPr>
        <w:t>and</w:t>
      </w:r>
    </w:p>
    <w:p w14:paraId="53C44864" w14:textId="1088FC6B" w:rsidR="009B1D59" w:rsidRPr="009C71A5" w:rsidRDefault="00FF36E5" w:rsidP="00D16596">
      <w:pPr>
        <w:pStyle w:val="ListParagraph"/>
        <w:numPr>
          <w:ilvl w:val="0"/>
          <w:numId w:val="7"/>
        </w:numPr>
        <w:spacing w:before="0" w:after="284" w:line="240" w:lineRule="atLeast"/>
        <w:rPr>
          <w:rFonts w:ascii="Arial" w:hAnsi="Arial" w:cs="Arial"/>
          <w:sz w:val="22"/>
          <w:szCs w:val="22"/>
          <w:lang w:eastAsia="en-AU"/>
        </w:rPr>
      </w:pPr>
      <w:r w:rsidRPr="009C71A5">
        <w:rPr>
          <w:rFonts w:ascii="Arial" w:hAnsi="Arial" w:cs="Arial"/>
          <w:sz w:val="22"/>
          <w:szCs w:val="22"/>
          <w:lang w:eastAsia="en-AU"/>
        </w:rPr>
        <w:t>responsible marketing practices</w:t>
      </w:r>
      <w:r w:rsidR="009B1D59" w:rsidRPr="009C71A5">
        <w:rPr>
          <w:rFonts w:ascii="Arial" w:hAnsi="Arial" w:cs="Arial"/>
          <w:sz w:val="22"/>
          <w:szCs w:val="22"/>
          <w:lang w:eastAsia="en-AU"/>
        </w:rPr>
        <w:t xml:space="preserve">. </w:t>
      </w:r>
    </w:p>
    <w:p w14:paraId="2C19FB9F" w14:textId="77777777" w:rsidR="009B1D59" w:rsidRPr="00272ED8" w:rsidRDefault="009B1D59" w:rsidP="009B1D59">
      <w:pPr>
        <w:spacing w:before="240" w:after="284" w:line="240" w:lineRule="atLeast"/>
        <w:rPr>
          <w:rFonts w:ascii="Arial" w:hAnsi="Arial" w:cs="Arial"/>
          <w:b/>
          <w:bCs/>
          <w:color w:val="000000"/>
          <w:sz w:val="22"/>
          <w:szCs w:val="22"/>
          <w:lang w:eastAsia="en-AU"/>
        </w:rPr>
      </w:pPr>
      <w:r w:rsidRPr="00272ED8">
        <w:rPr>
          <w:rFonts w:ascii="Arial" w:hAnsi="Arial" w:cs="Arial"/>
          <w:b/>
          <w:bCs/>
          <w:color w:val="000000"/>
          <w:sz w:val="22"/>
          <w:szCs w:val="22"/>
          <w:lang w:eastAsia="en-AU"/>
        </w:rPr>
        <w:t>Context</w:t>
      </w:r>
    </w:p>
    <w:p w14:paraId="7BD6CDB0" w14:textId="77777777" w:rsidR="009B1D59" w:rsidRPr="00272ED8" w:rsidRDefault="009B1D59" w:rsidP="009B1D59">
      <w:pPr>
        <w:spacing w:before="0" w:after="284" w:line="240" w:lineRule="atLeast"/>
        <w:rPr>
          <w:rFonts w:ascii="Arial" w:hAnsi="Arial" w:cs="Arial"/>
          <w:color w:val="000000"/>
          <w:sz w:val="22"/>
          <w:szCs w:val="22"/>
          <w:lang w:eastAsia="en-AU"/>
        </w:rPr>
      </w:pPr>
      <w:r w:rsidRPr="00272ED8">
        <w:rPr>
          <w:rFonts w:ascii="Arial" w:hAnsi="Arial" w:cs="Arial"/>
          <w:color w:val="000000"/>
          <w:sz w:val="22"/>
          <w:szCs w:val="22"/>
          <w:lang w:eastAsia="en-AU"/>
        </w:rPr>
        <w:t>The Rules protect Australians from unwanted intrusion on their privacy and inappropriate use of their personal information for marketing purposes. Consent (or permission) is a central pillar of these protections.</w:t>
      </w:r>
    </w:p>
    <w:p w14:paraId="7A9DCB5A" w14:textId="77777777" w:rsidR="009B1D59" w:rsidRPr="00272ED8" w:rsidRDefault="009B1D59" w:rsidP="009B1D59">
      <w:pPr>
        <w:spacing w:before="0" w:after="284" w:line="240" w:lineRule="atLeast"/>
        <w:rPr>
          <w:rFonts w:ascii="Arial" w:hAnsi="Arial" w:cs="Arial"/>
          <w:color w:val="000000"/>
          <w:sz w:val="22"/>
          <w:szCs w:val="22"/>
          <w:lang w:eastAsia="en-AU"/>
        </w:rPr>
      </w:pPr>
      <w:r w:rsidRPr="00272ED8">
        <w:rPr>
          <w:rFonts w:ascii="Arial" w:hAnsi="Arial" w:cs="Arial"/>
          <w:color w:val="000000"/>
          <w:sz w:val="22"/>
          <w:szCs w:val="22"/>
          <w:lang w:eastAsia="en-AU"/>
        </w:rPr>
        <w:t xml:space="preserve">Unwanted marketing communications create distress, </w:t>
      </w:r>
      <w:proofErr w:type="gramStart"/>
      <w:r w:rsidRPr="00272ED8">
        <w:rPr>
          <w:rFonts w:ascii="Arial" w:hAnsi="Arial" w:cs="Arial"/>
          <w:color w:val="000000"/>
          <w:sz w:val="22"/>
          <w:szCs w:val="22"/>
          <w:lang w:eastAsia="en-AU"/>
        </w:rPr>
        <w:t>anxiety</w:t>
      </w:r>
      <w:proofErr w:type="gramEnd"/>
      <w:r w:rsidRPr="00272ED8">
        <w:rPr>
          <w:rFonts w:ascii="Arial" w:hAnsi="Arial" w:cs="Arial"/>
          <w:color w:val="000000"/>
          <w:sz w:val="22"/>
          <w:szCs w:val="22"/>
          <w:lang w:eastAsia="en-AU"/>
        </w:rPr>
        <w:t xml:space="preserve"> and annoyance for Australians, and, depending on the type of product being marketed, can have significant impacts for people, including those in vulnerable circumstances.</w:t>
      </w:r>
    </w:p>
    <w:p w14:paraId="18566235" w14:textId="443FED80" w:rsidR="009B1D59" w:rsidRPr="009C71A5" w:rsidRDefault="009B1D59" w:rsidP="00AF58EC">
      <w:pPr>
        <w:spacing w:before="0" w:after="284" w:line="240" w:lineRule="atLeast"/>
        <w:rPr>
          <w:rFonts w:ascii="Arial" w:hAnsi="Arial" w:cs="Arial"/>
          <w:color w:val="000000"/>
          <w:sz w:val="22"/>
          <w:szCs w:val="22"/>
          <w:lang w:eastAsia="en-AU"/>
        </w:rPr>
      </w:pPr>
      <w:r w:rsidRPr="00AF58EC">
        <w:rPr>
          <w:rFonts w:ascii="Arial" w:hAnsi="Arial" w:cs="Arial"/>
          <w:color w:val="000000"/>
          <w:sz w:val="22"/>
          <w:szCs w:val="22"/>
          <w:lang w:eastAsia="en-AU"/>
        </w:rPr>
        <w:t>This statement is not legal advice</w:t>
      </w:r>
      <w:r w:rsidR="005754B1" w:rsidRPr="009C71A5">
        <w:rPr>
          <w:rFonts w:ascii="Arial" w:hAnsi="Arial" w:cs="Arial"/>
          <w:color w:val="000000"/>
          <w:sz w:val="22"/>
          <w:szCs w:val="22"/>
          <w:lang w:eastAsia="en-AU"/>
        </w:rPr>
        <w:t xml:space="preserve"> </w:t>
      </w:r>
      <w:r w:rsidR="00587184" w:rsidRPr="009C71A5">
        <w:rPr>
          <w:rFonts w:ascii="Arial" w:hAnsi="Arial" w:cs="Arial"/>
          <w:color w:val="000000"/>
          <w:sz w:val="22"/>
          <w:szCs w:val="22"/>
          <w:lang w:eastAsia="en-AU"/>
        </w:rPr>
        <w:t xml:space="preserve">nor is it a </w:t>
      </w:r>
      <w:r w:rsidR="005754B1" w:rsidRPr="009C71A5">
        <w:rPr>
          <w:rFonts w:ascii="Arial" w:hAnsi="Arial" w:cs="Arial"/>
          <w:color w:val="000000"/>
          <w:sz w:val="22"/>
          <w:szCs w:val="22"/>
          <w:lang w:eastAsia="en-AU"/>
        </w:rPr>
        <w:t xml:space="preserve">definitive </w:t>
      </w:r>
      <w:r w:rsidR="00587184" w:rsidRPr="009C71A5">
        <w:rPr>
          <w:rFonts w:ascii="Arial" w:hAnsi="Arial" w:cs="Arial"/>
          <w:color w:val="000000"/>
          <w:sz w:val="22"/>
          <w:szCs w:val="22"/>
          <w:lang w:eastAsia="en-AU"/>
        </w:rPr>
        <w:t xml:space="preserve">compliance guide </w:t>
      </w:r>
      <w:r w:rsidR="005754B1" w:rsidRPr="009C71A5">
        <w:rPr>
          <w:rFonts w:ascii="Arial" w:hAnsi="Arial" w:cs="Arial"/>
          <w:color w:val="000000"/>
          <w:sz w:val="22"/>
          <w:szCs w:val="22"/>
          <w:lang w:eastAsia="en-AU"/>
        </w:rPr>
        <w:t>to</w:t>
      </w:r>
      <w:r w:rsidR="00587184" w:rsidRPr="009C71A5">
        <w:rPr>
          <w:rFonts w:ascii="Arial" w:hAnsi="Arial" w:cs="Arial"/>
          <w:color w:val="000000"/>
          <w:sz w:val="22"/>
          <w:szCs w:val="22"/>
          <w:lang w:eastAsia="en-AU"/>
        </w:rPr>
        <w:t xml:space="preserve"> the Rules. It is an outcome-focused guide to better practice</w:t>
      </w:r>
      <w:r w:rsidR="00573740">
        <w:rPr>
          <w:rFonts w:ascii="Arial" w:hAnsi="Arial" w:cs="Arial"/>
          <w:color w:val="000000"/>
          <w:sz w:val="22"/>
          <w:szCs w:val="22"/>
          <w:lang w:eastAsia="en-AU"/>
        </w:rPr>
        <w:t xml:space="preserve"> - </w:t>
      </w:r>
      <w:r w:rsidR="00587184" w:rsidRPr="009C71A5">
        <w:rPr>
          <w:rFonts w:ascii="Arial" w:hAnsi="Arial" w:cs="Arial"/>
          <w:color w:val="000000"/>
          <w:sz w:val="22"/>
          <w:szCs w:val="22"/>
          <w:lang w:eastAsia="en-AU"/>
        </w:rPr>
        <w:t>to meet consumer expectations</w:t>
      </w:r>
      <w:r w:rsidR="00175949" w:rsidRPr="00175949">
        <w:rPr>
          <w:rFonts w:ascii="Arial" w:hAnsi="Arial" w:cs="Arial"/>
          <w:color w:val="000000"/>
          <w:sz w:val="22"/>
          <w:szCs w:val="22"/>
          <w:lang w:eastAsia="en-AU"/>
        </w:rPr>
        <w:t xml:space="preserve"> </w:t>
      </w:r>
      <w:r w:rsidR="00175949">
        <w:rPr>
          <w:rFonts w:ascii="Arial" w:hAnsi="Arial" w:cs="Arial"/>
          <w:color w:val="000000"/>
          <w:sz w:val="22"/>
          <w:szCs w:val="22"/>
          <w:lang w:eastAsia="en-AU"/>
        </w:rPr>
        <w:t>while at least meeting the minimum legal requirements</w:t>
      </w:r>
      <w:r w:rsidR="00587184" w:rsidRPr="009C71A5">
        <w:rPr>
          <w:rFonts w:ascii="Arial" w:hAnsi="Arial" w:cs="Arial"/>
          <w:color w:val="000000"/>
          <w:sz w:val="22"/>
          <w:szCs w:val="22"/>
          <w:lang w:eastAsia="en-AU"/>
        </w:rPr>
        <w:t xml:space="preserve">. How businesses meet these expectations and comply with the Rules is up to them. </w:t>
      </w:r>
      <w:r w:rsidR="005754B1" w:rsidRPr="009C71A5">
        <w:rPr>
          <w:rFonts w:ascii="Arial" w:hAnsi="Arial" w:cs="Arial"/>
          <w:color w:val="000000"/>
          <w:sz w:val="22"/>
          <w:szCs w:val="22"/>
          <w:lang w:eastAsia="en-AU"/>
        </w:rPr>
        <w:t>We</w:t>
      </w:r>
      <w:r w:rsidR="00587184" w:rsidRPr="009C71A5">
        <w:rPr>
          <w:rFonts w:ascii="Arial" w:hAnsi="Arial" w:cs="Arial"/>
          <w:color w:val="000000"/>
          <w:sz w:val="22"/>
          <w:szCs w:val="22"/>
          <w:lang w:eastAsia="en-AU"/>
        </w:rPr>
        <w:t xml:space="preserve"> have provided examples to consider, </w:t>
      </w:r>
      <w:r w:rsidR="005754B1" w:rsidRPr="009C71A5">
        <w:rPr>
          <w:rFonts w:ascii="Arial" w:hAnsi="Arial" w:cs="Arial"/>
          <w:color w:val="000000"/>
          <w:sz w:val="22"/>
          <w:szCs w:val="22"/>
          <w:lang w:eastAsia="en-AU"/>
        </w:rPr>
        <w:t xml:space="preserve">however </w:t>
      </w:r>
      <w:r w:rsidR="00587184" w:rsidRPr="009C71A5">
        <w:rPr>
          <w:rFonts w:ascii="Arial" w:hAnsi="Arial" w:cs="Arial"/>
          <w:color w:val="000000"/>
          <w:sz w:val="22"/>
          <w:szCs w:val="22"/>
          <w:lang w:eastAsia="en-AU"/>
        </w:rPr>
        <w:t xml:space="preserve">these </w:t>
      </w:r>
      <w:r w:rsidR="005754B1" w:rsidRPr="009C71A5">
        <w:rPr>
          <w:rFonts w:ascii="Arial" w:hAnsi="Arial" w:cs="Arial"/>
          <w:color w:val="000000"/>
          <w:sz w:val="22"/>
          <w:szCs w:val="22"/>
          <w:lang w:eastAsia="en-AU"/>
        </w:rPr>
        <w:t>may be</w:t>
      </w:r>
      <w:r w:rsidR="00587184" w:rsidRPr="009C71A5">
        <w:rPr>
          <w:rFonts w:ascii="Arial" w:hAnsi="Arial" w:cs="Arial"/>
          <w:color w:val="000000"/>
          <w:sz w:val="22"/>
          <w:szCs w:val="22"/>
          <w:lang w:eastAsia="en-AU"/>
        </w:rPr>
        <w:t xml:space="preserve"> just some of the potential options</w:t>
      </w:r>
      <w:r w:rsidR="005754B1" w:rsidRPr="009C71A5">
        <w:rPr>
          <w:rFonts w:ascii="Arial" w:hAnsi="Arial" w:cs="Arial"/>
          <w:color w:val="000000"/>
          <w:sz w:val="22"/>
          <w:szCs w:val="22"/>
          <w:lang w:eastAsia="en-AU"/>
        </w:rPr>
        <w:t>.</w:t>
      </w:r>
      <w:r w:rsidR="00587184" w:rsidRPr="009C71A5">
        <w:rPr>
          <w:rFonts w:ascii="Arial" w:hAnsi="Arial" w:cs="Arial"/>
          <w:color w:val="000000"/>
          <w:sz w:val="22"/>
          <w:szCs w:val="22"/>
          <w:lang w:eastAsia="en-AU"/>
        </w:rPr>
        <w:t xml:space="preserve"> </w:t>
      </w:r>
      <w:r w:rsidRPr="009C71A5">
        <w:rPr>
          <w:rFonts w:ascii="Arial" w:hAnsi="Arial" w:cs="Arial"/>
          <w:color w:val="000000"/>
          <w:sz w:val="22"/>
          <w:szCs w:val="22"/>
          <w:lang w:eastAsia="en-AU"/>
        </w:rPr>
        <w:t xml:space="preserve">It is each business’ responsibility to have systems, </w:t>
      </w:r>
      <w:proofErr w:type="gramStart"/>
      <w:r w:rsidRPr="009C71A5">
        <w:rPr>
          <w:rFonts w:ascii="Arial" w:hAnsi="Arial" w:cs="Arial"/>
          <w:color w:val="000000"/>
          <w:sz w:val="22"/>
          <w:szCs w:val="22"/>
          <w:lang w:eastAsia="en-AU"/>
        </w:rPr>
        <w:t>processes</w:t>
      </w:r>
      <w:proofErr w:type="gramEnd"/>
      <w:r w:rsidRPr="009C71A5">
        <w:rPr>
          <w:rFonts w:ascii="Arial" w:hAnsi="Arial" w:cs="Arial"/>
          <w:color w:val="000000"/>
          <w:sz w:val="22"/>
          <w:szCs w:val="22"/>
          <w:lang w:eastAsia="en-AU"/>
        </w:rPr>
        <w:t xml:space="preserve"> and practices in place to comply </w:t>
      </w:r>
      <w:r w:rsidR="004A7A67">
        <w:rPr>
          <w:rFonts w:ascii="Arial" w:hAnsi="Arial" w:cs="Arial"/>
          <w:color w:val="000000"/>
          <w:sz w:val="22"/>
          <w:szCs w:val="22"/>
          <w:lang w:eastAsia="en-AU"/>
        </w:rPr>
        <w:t xml:space="preserve">and, where needed, </w:t>
      </w:r>
      <w:r w:rsidRPr="009C71A5">
        <w:rPr>
          <w:rFonts w:ascii="Arial" w:hAnsi="Arial" w:cs="Arial"/>
          <w:color w:val="000000"/>
          <w:sz w:val="22"/>
          <w:szCs w:val="22"/>
          <w:lang w:eastAsia="en-AU"/>
        </w:rPr>
        <w:t>to seek professional advice about their compliance practices. Compliance arrangements should also be reviewed regularly.</w:t>
      </w:r>
    </w:p>
    <w:p w14:paraId="45023DC1" w14:textId="53EE8BBC" w:rsidR="009B1D59" w:rsidRPr="00272ED8" w:rsidRDefault="009B1D59" w:rsidP="009B1D59">
      <w:pPr>
        <w:spacing w:before="0" w:after="284" w:line="240" w:lineRule="atLeast"/>
        <w:rPr>
          <w:rFonts w:ascii="Arial" w:hAnsi="Arial" w:cs="Arial"/>
          <w:color w:val="000000"/>
          <w:sz w:val="22"/>
          <w:szCs w:val="22"/>
          <w:lang w:eastAsia="en-AU"/>
        </w:rPr>
      </w:pPr>
      <w:r w:rsidRPr="00272ED8">
        <w:rPr>
          <w:rFonts w:ascii="Arial" w:hAnsi="Arial" w:cs="Arial"/>
          <w:color w:val="000000"/>
          <w:sz w:val="22"/>
          <w:szCs w:val="22"/>
          <w:lang w:eastAsia="en-AU"/>
        </w:rPr>
        <w:t>The ACMA will consider all the relevant facts and circumstances of each case when assessing if a business is compliant with the Rules.</w:t>
      </w:r>
    </w:p>
    <w:p w14:paraId="0207FF4A" w14:textId="77777777" w:rsidR="009B1D59" w:rsidRPr="00272ED8" w:rsidRDefault="009B1D59" w:rsidP="009B1D59">
      <w:pPr>
        <w:spacing w:before="240" w:after="284" w:line="240" w:lineRule="atLeast"/>
        <w:rPr>
          <w:rFonts w:ascii="Arial" w:hAnsi="Arial" w:cs="Arial"/>
          <w:b/>
          <w:bCs/>
          <w:color w:val="000000"/>
          <w:sz w:val="22"/>
          <w:szCs w:val="22"/>
          <w:lang w:eastAsia="en-AU"/>
        </w:rPr>
      </w:pPr>
      <w:r w:rsidRPr="00272ED8">
        <w:rPr>
          <w:rFonts w:ascii="Arial" w:hAnsi="Arial" w:cs="Arial"/>
          <w:b/>
          <w:bCs/>
          <w:color w:val="000000"/>
          <w:sz w:val="22"/>
          <w:szCs w:val="22"/>
          <w:lang w:eastAsia="en-AU"/>
        </w:rPr>
        <w:t>The ACMA’s role</w:t>
      </w:r>
    </w:p>
    <w:p w14:paraId="07D97C20" w14:textId="4C13F6E9" w:rsidR="009B1D59" w:rsidRPr="00272ED8" w:rsidRDefault="009B1D59" w:rsidP="009B1D59">
      <w:pPr>
        <w:suppressAutoHyphens/>
        <w:rPr>
          <w:rFonts w:ascii="Arial" w:hAnsi="Arial" w:cs="Arial"/>
          <w:snapToGrid w:val="0"/>
          <w:sz w:val="22"/>
          <w:szCs w:val="22"/>
        </w:rPr>
      </w:pPr>
      <w:r w:rsidRPr="00272ED8">
        <w:rPr>
          <w:rFonts w:ascii="Arial" w:hAnsi="Arial" w:cs="Arial"/>
          <w:snapToGrid w:val="0"/>
          <w:sz w:val="22"/>
          <w:szCs w:val="22"/>
        </w:rPr>
        <w:t>The ACMA is Australia's regulator for telecommunications, radiocommunications, broadcasting, some online content and telemarketing and e-marketing.</w:t>
      </w:r>
      <w:r w:rsidRPr="009B1D59">
        <w:rPr>
          <w:rFonts w:ascii="Arial" w:hAnsi="Arial" w:cs="Arial"/>
          <w:snapToGrid w:val="0"/>
          <w:color w:val="008000"/>
          <w:sz w:val="22"/>
          <w:szCs w:val="22"/>
        </w:rPr>
        <w:t xml:space="preserve"> </w:t>
      </w:r>
      <w:r w:rsidRPr="009C71A5">
        <w:rPr>
          <w:rFonts w:ascii="Arial" w:hAnsi="Arial" w:cs="Arial"/>
          <w:snapToGrid w:val="0"/>
          <w:sz w:val="22"/>
          <w:szCs w:val="22"/>
        </w:rPr>
        <w:t>We administer and enforce the telemarketing and e-marketing rules and promote responsible telemarketing and commercial electronic messaging practices.</w:t>
      </w:r>
    </w:p>
    <w:p w14:paraId="3D7B7A9F" w14:textId="77777777" w:rsidR="009B1D59" w:rsidRPr="00272ED8" w:rsidRDefault="009B1D59" w:rsidP="009B1D59">
      <w:pPr>
        <w:suppressAutoHyphens/>
        <w:rPr>
          <w:rFonts w:ascii="Arial" w:hAnsi="Arial" w:cs="Arial"/>
          <w:snapToGrid w:val="0"/>
          <w:sz w:val="22"/>
          <w:szCs w:val="22"/>
        </w:rPr>
      </w:pPr>
      <w:r w:rsidRPr="00272ED8">
        <w:rPr>
          <w:rFonts w:ascii="Arial" w:hAnsi="Arial" w:cs="Arial"/>
          <w:snapToGrid w:val="0"/>
          <w:sz w:val="22"/>
          <w:szCs w:val="22"/>
        </w:rPr>
        <w:t>The financial penalties for breaking the Rules can be large and businesses must be aware of their obligations. Breaking the Rules can also damage a business’ reputation and frustrate potential customers.</w:t>
      </w:r>
    </w:p>
    <w:p w14:paraId="57C7AC73" w14:textId="77777777" w:rsidR="00837B8D" w:rsidRDefault="00837B8D">
      <w:pPr>
        <w:spacing w:before="0" w:after="160" w:line="259" w:lineRule="auto"/>
        <w:rPr>
          <w:rFonts w:ascii="Arial" w:hAnsi="Arial" w:cs="Arial"/>
          <w:b/>
          <w:bCs/>
          <w:color w:val="000000"/>
          <w:sz w:val="22"/>
          <w:szCs w:val="22"/>
          <w:lang w:eastAsia="en-AU"/>
        </w:rPr>
      </w:pPr>
      <w:r>
        <w:rPr>
          <w:rFonts w:ascii="Arial" w:hAnsi="Arial" w:cs="Arial"/>
          <w:b/>
          <w:bCs/>
          <w:color w:val="000000"/>
          <w:sz w:val="22"/>
          <w:szCs w:val="22"/>
          <w:lang w:eastAsia="en-AU"/>
        </w:rPr>
        <w:br w:type="page"/>
      </w:r>
    </w:p>
    <w:p w14:paraId="451BE990" w14:textId="11327538" w:rsidR="009B1D59" w:rsidRPr="00272ED8" w:rsidRDefault="009B1D59" w:rsidP="009C71A5">
      <w:pPr>
        <w:spacing w:before="240" w:after="284" w:line="240" w:lineRule="atLeast"/>
        <w:rPr>
          <w:rFonts w:ascii="Arial" w:hAnsi="Arial" w:cs="Arial"/>
          <w:b/>
          <w:bCs/>
          <w:color w:val="000000"/>
          <w:sz w:val="22"/>
          <w:szCs w:val="22"/>
          <w:lang w:eastAsia="en-AU"/>
        </w:rPr>
      </w:pPr>
      <w:r w:rsidRPr="00272ED8">
        <w:rPr>
          <w:rFonts w:ascii="Arial" w:hAnsi="Arial" w:cs="Arial"/>
          <w:b/>
          <w:bCs/>
          <w:color w:val="000000"/>
          <w:sz w:val="22"/>
          <w:szCs w:val="22"/>
          <w:lang w:eastAsia="en-AU"/>
        </w:rPr>
        <w:lastRenderedPageBreak/>
        <w:t>What are telemarketing calls?</w:t>
      </w:r>
    </w:p>
    <w:p w14:paraId="5ADC12A0" w14:textId="77777777" w:rsidR="009B1D59" w:rsidRPr="00272ED8" w:rsidRDefault="009B1D59" w:rsidP="009B1D59">
      <w:pPr>
        <w:spacing w:before="0" w:after="284" w:line="240" w:lineRule="atLeast"/>
        <w:rPr>
          <w:rFonts w:ascii="Arial" w:hAnsi="Arial" w:cs="Arial"/>
          <w:color w:val="000000"/>
          <w:sz w:val="22"/>
          <w:szCs w:val="22"/>
          <w:lang w:eastAsia="en-AU"/>
        </w:rPr>
      </w:pPr>
      <w:r w:rsidRPr="00272ED8">
        <w:rPr>
          <w:rFonts w:ascii="Arial" w:hAnsi="Arial" w:cs="Arial"/>
          <w:color w:val="000000"/>
          <w:sz w:val="22"/>
          <w:szCs w:val="22"/>
          <w:lang w:eastAsia="en-AU"/>
        </w:rPr>
        <w:t xml:space="preserve">Telemarketing is any call where at least one of the purposes is to offer, promote or advertise goods and services, land, a </w:t>
      </w:r>
      <w:proofErr w:type="gramStart"/>
      <w:r w:rsidRPr="00272ED8">
        <w:rPr>
          <w:rFonts w:ascii="Arial" w:hAnsi="Arial" w:cs="Arial"/>
          <w:color w:val="000000"/>
          <w:sz w:val="22"/>
          <w:szCs w:val="22"/>
          <w:lang w:eastAsia="en-AU"/>
        </w:rPr>
        <w:t>business</w:t>
      </w:r>
      <w:proofErr w:type="gramEnd"/>
      <w:r w:rsidRPr="00272ED8">
        <w:rPr>
          <w:rFonts w:ascii="Arial" w:hAnsi="Arial" w:cs="Arial"/>
          <w:color w:val="000000"/>
          <w:sz w:val="22"/>
          <w:szCs w:val="22"/>
          <w:lang w:eastAsia="en-AU"/>
        </w:rPr>
        <w:t xml:space="preserve"> or investment opportunity, or to solicit donations. </w:t>
      </w:r>
    </w:p>
    <w:p w14:paraId="47C371BF" w14:textId="77777777" w:rsidR="009B1D59" w:rsidRPr="00272ED8" w:rsidRDefault="009B1D59" w:rsidP="009B1D59">
      <w:pPr>
        <w:spacing w:before="0" w:after="284" w:line="240" w:lineRule="atLeast"/>
        <w:rPr>
          <w:rFonts w:ascii="Arial" w:hAnsi="Arial" w:cs="Arial"/>
          <w:color w:val="000000"/>
          <w:sz w:val="22"/>
          <w:szCs w:val="22"/>
          <w:lang w:eastAsia="en-AU"/>
        </w:rPr>
      </w:pPr>
      <w:r w:rsidRPr="00272ED8">
        <w:rPr>
          <w:rFonts w:ascii="Arial" w:hAnsi="Arial" w:cs="Arial"/>
          <w:color w:val="000000"/>
          <w:sz w:val="22"/>
          <w:szCs w:val="22"/>
          <w:lang w:eastAsia="en-AU"/>
        </w:rPr>
        <w:t xml:space="preserve">Commercial calls made using an auto-dialler (robocalls) or that use </w:t>
      </w:r>
      <w:proofErr w:type="gramStart"/>
      <w:r w:rsidRPr="00272ED8">
        <w:rPr>
          <w:rFonts w:ascii="Arial" w:hAnsi="Arial" w:cs="Arial"/>
          <w:color w:val="000000"/>
          <w:sz w:val="22"/>
          <w:szCs w:val="22"/>
          <w:lang w:eastAsia="en-AU"/>
        </w:rPr>
        <w:t>pre-recorded</w:t>
      </w:r>
      <w:proofErr w:type="gramEnd"/>
      <w:r w:rsidRPr="00272ED8">
        <w:rPr>
          <w:rFonts w:ascii="Arial" w:hAnsi="Arial" w:cs="Arial"/>
          <w:color w:val="000000"/>
          <w:sz w:val="22"/>
          <w:szCs w:val="22"/>
          <w:lang w:eastAsia="en-AU"/>
        </w:rPr>
        <w:t xml:space="preserve"> or AI voices are all telemarketing calls.  </w:t>
      </w:r>
    </w:p>
    <w:p w14:paraId="2FEF7C43" w14:textId="77777777" w:rsidR="009B1D59" w:rsidRPr="00272ED8" w:rsidRDefault="009B1D59" w:rsidP="009B1D59">
      <w:pPr>
        <w:spacing w:before="0" w:after="284" w:line="240" w:lineRule="atLeast"/>
        <w:rPr>
          <w:rFonts w:ascii="Arial" w:hAnsi="Arial" w:cs="Arial"/>
          <w:color w:val="000000"/>
          <w:sz w:val="22"/>
          <w:szCs w:val="22"/>
          <w:lang w:eastAsia="en-AU"/>
        </w:rPr>
      </w:pPr>
      <w:r w:rsidRPr="00272ED8">
        <w:rPr>
          <w:rFonts w:ascii="Arial" w:hAnsi="Arial" w:cs="Arial"/>
          <w:color w:val="000000"/>
          <w:sz w:val="22"/>
          <w:szCs w:val="22"/>
          <w:lang w:eastAsia="en-AU"/>
        </w:rPr>
        <w:t xml:space="preserve">Calls made by businesses that are requested by a consumer and are made within a reasonable time after the request is made are generally not telemarketing calls. Additionally, calls that are related to product recalls, fault rectification, appointments, and payments are also generally not telemarketing calls. </w:t>
      </w:r>
    </w:p>
    <w:p w14:paraId="117EE1F2" w14:textId="77777777" w:rsidR="009B1D59" w:rsidRPr="00272ED8" w:rsidRDefault="009B1D59" w:rsidP="009B1D59">
      <w:pPr>
        <w:rPr>
          <w:rFonts w:ascii="Arial" w:hAnsi="Arial" w:cs="Arial"/>
          <w:b/>
          <w:bCs/>
          <w:color w:val="000000"/>
          <w:sz w:val="22"/>
          <w:szCs w:val="22"/>
          <w:lang w:eastAsia="en-AU"/>
        </w:rPr>
      </w:pPr>
      <w:r w:rsidRPr="00272ED8">
        <w:rPr>
          <w:rFonts w:ascii="Arial" w:hAnsi="Arial" w:cs="Arial"/>
          <w:color w:val="000000"/>
          <w:sz w:val="22"/>
          <w:szCs w:val="22"/>
          <w:lang w:eastAsia="en-AU"/>
        </w:rPr>
        <w:t xml:space="preserve">It is important to understand that where calls have more than one purpose, if one of those purposes is to sell or promote goods or services, the call is commercial and must comply with the Rules. </w:t>
      </w:r>
    </w:p>
    <w:p w14:paraId="4BAEBEF4" w14:textId="77777777" w:rsidR="009B1D59" w:rsidRPr="00272ED8" w:rsidRDefault="009B1D59" w:rsidP="009B1D59">
      <w:pPr>
        <w:spacing w:before="240" w:after="284" w:line="240" w:lineRule="atLeast"/>
        <w:rPr>
          <w:rFonts w:ascii="Arial" w:hAnsi="Arial" w:cs="Arial"/>
          <w:b/>
          <w:bCs/>
          <w:color w:val="000000"/>
          <w:sz w:val="22"/>
          <w:szCs w:val="22"/>
          <w:lang w:eastAsia="en-AU"/>
        </w:rPr>
      </w:pPr>
      <w:r w:rsidRPr="00272ED8">
        <w:rPr>
          <w:rFonts w:ascii="Arial" w:hAnsi="Arial" w:cs="Arial"/>
          <w:b/>
          <w:bCs/>
          <w:color w:val="000000"/>
          <w:sz w:val="22"/>
          <w:szCs w:val="22"/>
          <w:lang w:eastAsia="en-AU"/>
        </w:rPr>
        <w:t>What is e-marketing?</w:t>
      </w:r>
    </w:p>
    <w:p w14:paraId="09E07FC5" w14:textId="51B5508B" w:rsidR="009B1D59" w:rsidRPr="00272ED8" w:rsidRDefault="009B1D59" w:rsidP="009B1D59">
      <w:pPr>
        <w:spacing w:before="0" w:after="284" w:line="240" w:lineRule="atLeast"/>
        <w:rPr>
          <w:rFonts w:ascii="Arial" w:hAnsi="Arial" w:cs="Arial"/>
          <w:color w:val="000000"/>
          <w:sz w:val="22"/>
          <w:szCs w:val="22"/>
          <w:lang w:eastAsia="en-AU"/>
        </w:rPr>
      </w:pPr>
      <w:r w:rsidRPr="00272ED8">
        <w:rPr>
          <w:rFonts w:ascii="Arial" w:hAnsi="Arial" w:cs="Arial"/>
          <w:color w:val="000000"/>
          <w:sz w:val="22"/>
          <w:szCs w:val="22"/>
          <w:lang w:eastAsia="en-AU"/>
        </w:rPr>
        <w:t>E-marketing includes email, SMS, and instant messages where at least one of the purposes is to offer, promote or advertise goods and services, land, or a business or investment opportunity</w:t>
      </w:r>
      <w:r w:rsidR="002905BF">
        <w:rPr>
          <w:rFonts w:ascii="Arial" w:hAnsi="Arial" w:cs="Arial"/>
          <w:color w:val="000000"/>
          <w:sz w:val="22"/>
          <w:szCs w:val="22"/>
          <w:lang w:eastAsia="en-AU"/>
        </w:rPr>
        <w:t xml:space="preserve"> (or a supplier or prospective supplier or provider of any of those things)</w:t>
      </w:r>
      <w:r w:rsidRPr="00272ED8">
        <w:rPr>
          <w:rFonts w:ascii="Arial" w:hAnsi="Arial" w:cs="Arial"/>
          <w:color w:val="000000"/>
          <w:sz w:val="22"/>
          <w:szCs w:val="22"/>
          <w:lang w:eastAsia="en-AU"/>
        </w:rPr>
        <w:t>.</w:t>
      </w:r>
    </w:p>
    <w:p w14:paraId="7CF90E24" w14:textId="25A094EB" w:rsidR="009B1D59" w:rsidRPr="00272ED8" w:rsidRDefault="009B1D59" w:rsidP="009B1D59">
      <w:pPr>
        <w:suppressAutoHyphens/>
        <w:rPr>
          <w:rFonts w:ascii="Arial" w:hAnsi="Arial" w:cs="Arial"/>
          <w:snapToGrid w:val="0"/>
          <w:sz w:val="22"/>
          <w:szCs w:val="22"/>
        </w:rPr>
      </w:pPr>
      <w:r w:rsidRPr="00272ED8">
        <w:rPr>
          <w:rFonts w:ascii="Arial" w:hAnsi="Arial" w:cs="Arial"/>
          <w:color w:val="000000"/>
          <w:sz w:val="22"/>
          <w:szCs w:val="22"/>
          <w:lang w:eastAsia="en-AU"/>
        </w:rPr>
        <w:t xml:space="preserve">It is important to understand that where messages have more than one purpose, if one of those purposes is to sell or promote goods or services, the message is commercial and must comply with the Rules. </w:t>
      </w:r>
      <w:r w:rsidRPr="00272ED8">
        <w:rPr>
          <w:rFonts w:ascii="Arial" w:hAnsi="Arial" w:cs="Arial"/>
          <w:snapToGrid w:val="0"/>
          <w:color w:val="000000"/>
          <w:sz w:val="22"/>
          <w:szCs w:val="22"/>
        </w:rPr>
        <w:t xml:space="preserve">In assessing whether a message is commercial, businesses should carefully consider </w:t>
      </w:r>
      <w:r w:rsidR="007D2415">
        <w:rPr>
          <w:rFonts w:ascii="Arial" w:hAnsi="Arial" w:cs="Arial"/>
          <w:snapToGrid w:val="0"/>
          <w:color w:val="000000"/>
          <w:sz w:val="22"/>
          <w:szCs w:val="22"/>
        </w:rPr>
        <w:t xml:space="preserve">the content of the message, </w:t>
      </w:r>
      <w:r w:rsidR="007D2415" w:rsidRPr="007D2415">
        <w:rPr>
          <w:rFonts w:ascii="Arial" w:hAnsi="Arial" w:cs="Arial"/>
          <w:snapToGrid w:val="0"/>
          <w:color w:val="000000"/>
          <w:sz w:val="22"/>
          <w:szCs w:val="22"/>
        </w:rPr>
        <w:t xml:space="preserve">the way in which the message is presented, and the content that can be located using the links, </w:t>
      </w:r>
      <w:r w:rsidR="007D2415">
        <w:rPr>
          <w:rFonts w:ascii="Arial" w:hAnsi="Arial" w:cs="Arial"/>
          <w:snapToGrid w:val="0"/>
          <w:color w:val="000000"/>
          <w:sz w:val="22"/>
          <w:szCs w:val="22"/>
        </w:rPr>
        <w:t xml:space="preserve">banners, </w:t>
      </w:r>
      <w:r w:rsidR="007D2415" w:rsidRPr="007D2415">
        <w:rPr>
          <w:rFonts w:ascii="Arial" w:hAnsi="Arial" w:cs="Arial"/>
          <w:snapToGrid w:val="0"/>
          <w:color w:val="000000"/>
          <w:sz w:val="22"/>
          <w:szCs w:val="22"/>
        </w:rPr>
        <w:t>telephone numbers or contact information (if any) set out in the message</w:t>
      </w:r>
      <w:r w:rsidR="007D2415" w:rsidRPr="007D2415" w:rsidDel="007D2415">
        <w:rPr>
          <w:rFonts w:ascii="Arial" w:hAnsi="Arial" w:cs="Arial"/>
          <w:snapToGrid w:val="0"/>
          <w:color w:val="000000"/>
          <w:sz w:val="22"/>
          <w:szCs w:val="22"/>
        </w:rPr>
        <w:t xml:space="preserve"> </w:t>
      </w:r>
      <w:r w:rsidRPr="00272ED8">
        <w:rPr>
          <w:rFonts w:ascii="Arial" w:hAnsi="Arial" w:cs="Arial"/>
          <w:snapToGrid w:val="0"/>
          <w:color w:val="000000"/>
          <w:sz w:val="22"/>
          <w:szCs w:val="22"/>
        </w:rPr>
        <w:t xml:space="preserve">or. A link to </w:t>
      </w:r>
      <w:r w:rsidR="00F7684D">
        <w:rPr>
          <w:rFonts w:ascii="Arial" w:hAnsi="Arial" w:cs="Arial"/>
          <w:snapToGrid w:val="0"/>
          <w:color w:val="000000"/>
          <w:sz w:val="22"/>
          <w:szCs w:val="22"/>
        </w:rPr>
        <w:t xml:space="preserve">a </w:t>
      </w:r>
      <w:r w:rsidR="00837B8D">
        <w:rPr>
          <w:rFonts w:ascii="Arial" w:hAnsi="Arial" w:cs="Arial"/>
          <w:snapToGrid w:val="0"/>
          <w:color w:val="000000"/>
          <w:sz w:val="22"/>
          <w:szCs w:val="22"/>
        </w:rPr>
        <w:t xml:space="preserve">web page </w:t>
      </w:r>
      <w:r w:rsidR="00F7684D">
        <w:rPr>
          <w:rFonts w:ascii="Arial" w:hAnsi="Arial" w:cs="Arial"/>
          <w:snapToGrid w:val="0"/>
          <w:color w:val="000000"/>
          <w:sz w:val="22"/>
          <w:szCs w:val="22"/>
        </w:rPr>
        <w:t xml:space="preserve">with </w:t>
      </w:r>
      <w:r w:rsidRPr="00272ED8">
        <w:rPr>
          <w:rFonts w:ascii="Arial" w:hAnsi="Arial" w:cs="Arial"/>
          <w:snapToGrid w:val="0"/>
          <w:color w:val="000000"/>
          <w:sz w:val="22"/>
          <w:szCs w:val="22"/>
        </w:rPr>
        <w:t xml:space="preserve">commercial content </w:t>
      </w:r>
      <w:r w:rsidRPr="009C71A5">
        <w:rPr>
          <w:rFonts w:ascii="Arial" w:hAnsi="Arial" w:cs="Arial"/>
          <w:snapToGrid w:val="0"/>
          <w:sz w:val="22"/>
          <w:szCs w:val="22"/>
        </w:rPr>
        <w:t xml:space="preserve">is likely to </w:t>
      </w:r>
      <w:r w:rsidRPr="00272ED8">
        <w:rPr>
          <w:rFonts w:ascii="Arial" w:hAnsi="Arial" w:cs="Arial"/>
          <w:snapToGrid w:val="0"/>
          <w:color w:val="000000"/>
          <w:sz w:val="22"/>
          <w:szCs w:val="22"/>
        </w:rPr>
        <w:t>mean the message is also commercial.</w:t>
      </w:r>
    </w:p>
    <w:p w14:paraId="79A06F5D" w14:textId="77777777" w:rsidR="009B1D59" w:rsidRPr="00272ED8" w:rsidRDefault="009B1D59" w:rsidP="009B1D59">
      <w:pPr>
        <w:spacing w:before="240" w:after="284" w:line="240" w:lineRule="atLeast"/>
        <w:rPr>
          <w:rFonts w:ascii="Arial" w:hAnsi="Arial" w:cs="Arial"/>
          <w:b/>
          <w:bCs/>
          <w:color w:val="000000"/>
          <w:sz w:val="22"/>
          <w:szCs w:val="22"/>
          <w:lang w:eastAsia="en-AU"/>
        </w:rPr>
      </w:pPr>
      <w:r w:rsidRPr="00272ED8">
        <w:rPr>
          <w:rFonts w:ascii="Arial" w:hAnsi="Arial" w:cs="Arial"/>
          <w:b/>
          <w:bCs/>
          <w:color w:val="000000"/>
          <w:sz w:val="22"/>
          <w:szCs w:val="22"/>
          <w:lang w:eastAsia="en-AU"/>
        </w:rPr>
        <w:t>Overview – consent rules</w:t>
      </w:r>
    </w:p>
    <w:p w14:paraId="1ADD3F65" w14:textId="77777777" w:rsidR="009B1D59" w:rsidRPr="00272ED8" w:rsidRDefault="009B1D59" w:rsidP="009B1D59">
      <w:pPr>
        <w:spacing w:before="0" w:after="284" w:line="240" w:lineRule="atLeast"/>
        <w:rPr>
          <w:rFonts w:ascii="Arial" w:hAnsi="Arial" w:cs="Arial"/>
          <w:b/>
          <w:bCs/>
          <w:color w:val="000000"/>
          <w:sz w:val="22"/>
          <w:szCs w:val="22"/>
          <w:lang w:eastAsia="en-AU"/>
        </w:rPr>
      </w:pPr>
      <w:r w:rsidRPr="00272ED8">
        <w:rPr>
          <w:rFonts w:ascii="Arial" w:hAnsi="Arial" w:cs="Arial"/>
          <w:b/>
          <w:bCs/>
          <w:color w:val="000000"/>
          <w:sz w:val="22"/>
          <w:szCs w:val="22"/>
          <w:lang w:eastAsia="en-AU"/>
        </w:rPr>
        <w:t>Privacy laws</w:t>
      </w:r>
    </w:p>
    <w:p w14:paraId="34D5BBDE" w14:textId="77777777" w:rsidR="009B1D59" w:rsidRPr="009C71A5" w:rsidRDefault="009B1D59" w:rsidP="009B1D59">
      <w:pPr>
        <w:spacing w:before="0" w:after="284" w:line="240" w:lineRule="atLeast"/>
        <w:rPr>
          <w:rFonts w:ascii="Arial" w:hAnsi="Arial" w:cs="Arial"/>
          <w:color w:val="000000"/>
          <w:sz w:val="22"/>
          <w:szCs w:val="22"/>
          <w:lang w:eastAsia="en-AU"/>
        </w:rPr>
      </w:pPr>
      <w:r w:rsidRPr="009C71A5">
        <w:rPr>
          <w:rFonts w:ascii="Arial" w:hAnsi="Arial" w:cs="Arial"/>
          <w:color w:val="000000"/>
          <w:sz w:val="22"/>
          <w:szCs w:val="22"/>
          <w:lang w:eastAsia="en-AU"/>
        </w:rPr>
        <w:t xml:space="preserve">The Office of the Australian Information Commissioner provides guidance on the four key elements of consent that apply to direct marketing under the </w:t>
      </w:r>
      <w:r w:rsidRPr="009C71A5">
        <w:rPr>
          <w:rFonts w:ascii="Arial" w:hAnsi="Arial" w:cs="Arial"/>
          <w:i/>
          <w:iCs/>
          <w:color w:val="000000"/>
          <w:sz w:val="22"/>
          <w:szCs w:val="22"/>
          <w:lang w:eastAsia="en-AU"/>
        </w:rPr>
        <w:t>Privacy Act 1988</w:t>
      </w:r>
      <w:r w:rsidRPr="009C71A5">
        <w:rPr>
          <w:rFonts w:ascii="Arial" w:hAnsi="Arial" w:cs="Arial"/>
          <w:color w:val="000000"/>
          <w:sz w:val="22"/>
          <w:szCs w:val="22"/>
          <w:lang w:eastAsia="en-AU"/>
        </w:rPr>
        <w:t>. They are:</w:t>
      </w:r>
    </w:p>
    <w:p w14:paraId="0694F3A4" w14:textId="77777777" w:rsidR="009B1D59" w:rsidRPr="009C71A5" w:rsidRDefault="009B1D59" w:rsidP="009B1D59">
      <w:pPr>
        <w:numPr>
          <w:ilvl w:val="0"/>
          <w:numId w:val="5"/>
        </w:numPr>
        <w:spacing w:before="0" w:after="284" w:line="256" w:lineRule="auto"/>
        <w:contextualSpacing/>
        <w:rPr>
          <w:rFonts w:ascii="Arial" w:eastAsia="Calibri" w:hAnsi="Arial" w:cs="Arial"/>
          <w:color w:val="000000"/>
          <w:sz w:val="22"/>
          <w:szCs w:val="22"/>
        </w:rPr>
      </w:pPr>
      <w:r w:rsidRPr="009C71A5">
        <w:rPr>
          <w:rFonts w:ascii="Arial" w:eastAsia="Calibri" w:hAnsi="Arial" w:cs="Arial"/>
          <w:color w:val="000000"/>
          <w:sz w:val="22"/>
          <w:szCs w:val="22"/>
        </w:rPr>
        <w:t xml:space="preserve">the individual is adequately informed before giving </w:t>
      </w:r>
      <w:proofErr w:type="gramStart"/>
      <w:r w:rsidRPr="009C71A5">
        <w:rPr>
          <w:rFonts w:ascii="Arial" w:eastAsia="Calibri" w:hAnsi="Arial" w:cs="Arial"/>
          <w:color w:val="000000"/>
          <w:sz w:val="22"/>
          <w:szCs w:val="22"/>
        </w:rPr>
        <w:t>consent</w:t>
      </w:r>
      <w:proofErr w:type="gramEnd"/>
      <w:r w:rsidRPr="009C71A5">
        <w:rPr>
          <w:rFonts w:ascii="Arial" w:eastAsia="Calibri" w:hAnsi="Arial" w:cs="Arial"/>
          <w:color w:val="000000"/>
          <w:sz w:val="22"/>
          <w:szCs w:val="22"/>
        </w:rPr>
        <w:t xml:space="preserve"> </w:t>
      </w:r>
    </w:p>
    <w:p w14:paraId="1B5392B4" w14:textId="77777777" w:rsidR="009B1D59" w:rsidRPr="009C71A5" w:rsidRDefault="009B1D59" w:rsidP="009B1D59">
      <w:pPr>
        <w:numPr>
          <w:ilvl w:val="0"/>
          <w:numId w:val="5"/>
        </w:numPr>
        <w:spacing w:before="0" w:after="284" w:line="256" w:lineRule="auto"/>
        <w:contextualSpacing/>
        <w:rPr>
          <w:rFonts w:ascii="Arial" w:eastAsia="Calibri" w:hAnsi="Arial" w:cs="Arial"/>
          <w:color w:val="000000"/>
          <w:sz w:val="22"/>
          <w:szCs w:val="22"/>
        </w:rPr>
      </w:pPr>
      <w:r w:rsidRPr="009C71A5">
        <w:rPr>
          <w:rFonts w:ascii="Arial" w:eastAsia="Calibri" w:hAnsi="Arial" w:cs="Arial"/>
          <w:color w:val="000000"/>
          <w:sz w:val="22"/>
          <w:szCs w:val="22"/>
        </w:rPr>
        <w:t xml:space="preserve">the individual gives consent </w:t>
      </w:r>
      <w:proofErr w:type="gramStart"/>
      <w:r w:rsidRPr="009C71A5">
        <w:rPr>
          <w:rFonts w:ascii="Arial" w:eastAsia="Calibri" w:hAnsi="Arial" w:cs="Arial"/>
          <w:color w:val="000000"/>
          <w:sz w:val="22"/>
          <w:szCs w:val="22"/>
        </w:rPr>
        <w:t>voluntarily</w:t>
      </w:r>
      <w:proofErr w:type="gramEnd"/>
      <w:r w:rsidRPr="009C71A5">
        <w:rPr>
          <w:rFonts w:ascii="Arial" w:eastAsia="Calibri" w:hAnsi="Arial" w:cs="Arial"/>
          <w:color w:val="000000"/>
          <w:sz w:val="22"/>
          <w:szCs w:val="22"/>
        </w:rPr>
        <w:t xml:space="preserve"> </w:t>
      </w:r>
    </w:p>
    <w:p w14:paraId="702FB8BD" w14:textId="77777777" w:rsidR="009B1D59" w:rsidRPr="009C71A5" w:rsidRDefault="009B1D59" w:rsidP="009B1D59">
      <w:pPr>
        <w:numPr>
          <w:ilvl w:val="0"/>
          <w:numId w:val="5"/>
        </w:numPr>
        <w:spacing w:before="0" w:after="284" w:line="256" w:lineRule="auto"/>
        <w:contextualSpacing/>
        <w:rPr>
          <w:rFonts w:ascii="Arial" w:eastAsia="Calibri" w:hAnsi="Arial" w:cs="Arial"/>
          <w:color w:val="000000"/>
          <w:sz w:val="22"/>
          <w:szCs w:val="22"/>
        </w:rPr>
      </w:pPr>
      <w:r w:rsidRPr="009C71A5">
        <w:rPr>
          <w:rFonts w:ascii="Arial" w:eastAsia="Calibri" w:hAnsi="Arial" w:cs="Arial"/>
          <w:color w:val="000000"/>
          <w:sz w:val="22"/>
          <w:szCs w:val="22"/>
        </w:rPr>
        <w:t xml:space="preserve">the consent is current and </w:t>
      </w:r>
      <w:proofErr w:type="gramStart"/>
      <w:r w:rsidRPr="009C71A5">
        <w:rPr>
          <w:rFonts w:ascii="Arial" w:eastAsia="Calibri" w:hAnsi="Arial" w:cs="Arial"/>
          <w:color w:val="000000"/>
          <w:sz w:val="22"/>
          <w:szCs w:val="22"/>
        </w:rPr>
        <w:t>specific</w:t>
      </w:r>
      <w:proofErr w:type="gramEnd"/>
    </w:p>
    <w:p w14:paraId="71CF1116" w14:textId="77777777" w:rsidR="009B1D59" w:rsidRPr="009C71A5" w:rsidRDefault="009B1D59" w:rsidP="009B1D59">
      <w:pPr>
        <w:numPr>
          <w:ilvl w:val="0"/>
          <w:numId w:val="5"/>
        </w:numPr>
        <w:spacing w:before="0" w:after="160" w:line="257" w:lineRule="auto"/>
        <w:ind w:left="714" w:hanging="357"/>
        <w:rPr>
          <w:rFonts w:ascii="Arial" w:eastAsia="Calibri" w:hAnsi="Arial" w:cs="Arial"/>
          <w:color w:val="000000"/>
          <w:sz w:val="22"/>
          <w:szCs w:val="22"/>
        </w:rPr>
      </w:pPr>
      <w:r w:rsidRPr="009C71A5">
        <w:rPr>
          <w:rFonts w:ascii="Arial" w:eastAsia="Calibri" w:hAnsi="Arial" w:cs="Arial"/>
          <w:color w:val="000000"/>
          <w:sz w:val="22"/>
          <w:szCs w:val="22"/>
        </w:rPr>
        <w:t>the individual has the capacity to understand and communicate their consent.</w:t>
      </w:r>
    </w:p>
    <w:p w14:paraId="2FCF5E85" w14:textId="2122834E" w:rsidR="009B1D59" w:rsidRPr="00272ED8" w:rsidRDefault="009B1D59" w:rsidP="009B1D59">
      <w:pPr>
        <w:spacing w:before="0" w:after="284" w:line="240" w:lineRule="atLeast"/>
        <w:rPr>
          <w:rFonts w:ascii="Arial" w:hAnsi="Arial" w:cs="Arial"/>
          <w:color w:val="0066FF"/>
          <w:sz w:val="22"/>
          <w:szCs w:val="22"/>
          <w:lang w:eastAsia="en-AU"/>
        </w:rPr>
      </w:pPr>
      <w:r w:rsidRPr="009C71A5">
        <w:rPr>
          <w:rFonts w:ascii="Arial" w:hAnsi="Arial" w:cs="Arial"/>
          <w:color w:val="000000"/>
          <w:sz w:val="22"/>
          <w:szCs w:val="22"/>
          <w:lang w:eastAsia="en-AU"/>
        </w:rPr>
        <w:t xml:space="preserve">While these elements are not </w:t>
      </w:r>
      <w:r w:rsidRPr="009C71A5">
        <w:rPr>
          <w:rFonts w:ascii="ArialMT" w:eastAsia="Calibri" w:hAnsi="ArialMT" w:cs="ArialMT"/>
          <w:sz w:val="22"/>
          <w:szCs w:val="22"/>
          <w14:ligatures w14:val="standardContextual"/>
        </w:rPr>
        <w:t xml:space="preserve">specific obligations set out in </w:t>
      </w:r>
      <w:r w:rsidRPr="009C71A5">
        <w:rPr>
          <w:rFonts w:ascii="Arial" w:hAnsi="Arial" w:cs="Arial"/>
          <w:color w:val="000000"/>
          <w:sz w:val="22"/>
          <w:szCs w:val="22"/>
          <w:lang w:eastAsia="en-AU"/>
        </w:rPr>
        <w:t xml:space="preserve">the Rules, they provide a framework to apply to consent gathering practices to ensure they are consumer friendly. More information about them is available here: </w:t>
      </w:r>
      <w:hyperlink r:id="rId11" w:anchor="key-concepts-a-to-d" w:history="1">
        <w:r w:rsidRPr="009C71A5">
          <w:rPr>
            <w:rFonts w:ascii="Arial" w:hAnsi="Arial" w:cs="Arial"/>
            <w:color w:val="0066FF"/>
            <w:sz w:val="22"/>
            <w:szCs w:val="22"/>
            <w:u w:val="single" w:color="0000FF"/>
            <w:lang w:eastAsia="en-AU"/>
          </w:rPr>
          <w:t>Chapter B: Key concepts | OAIC</w:t>
        </w:r>
      </w:hyperlink>
      <w:r w:rsidRPr="00026D90">
        <w:rPr>
          <w:rFonts w:ascii="Arial" w:hAnsi="Arial" w:cs="Arial"/>
          <w:color w:val="0066FF"/>
          <w:sz w:val="22"/>
          <w:szCs w:val="22"/>
          <w:lang w:eastAsia="en-AU"/>
        </w:rPr>
        <w:t>.</w:t>
      </w:r>
    </w:p>
    <w:p w14:paraId="4169F2F3" w14:textId="77777777" w:rsidR="009B1D59" w:rsidRPr="00272ED8" w:rsidRDefault="009B1D59" w:rsidP="009B1D59">
      <w:pPr>
        <w:spacing w:before="0" w:after="284" w:line="240" w:lineRule="atLeast"/>
        <w:rPr>
          <w:rFonts w:ascii="Arial" w:hAnsi="Arial" w:cs="Arial"/>
          <w:b/>
          <w:bCs/>
          <w:color w:val="000000"/>
          <w:sz w:val="22"/>
          <w:szCs w:val="22"/>
          <w:lang w:eastAsia="en-AU"/>
        </w:rPr>
      </w:pPr>
      <w:r w:rsidRPr="00272ED8">
        <w:rPr>
          <w:rFonts w:ascii="Arial" w:hAnsi="Arial" w:cs="Arial"/>
          <w:b/>
          <w:bCs/>
          <w:color w:val="000000"/>
          <w:sz w:val="22"/>
          <w:szCs w:val="22"/>
          <w:lang w:eastAsia="en-AU"/>
        </w:rPr>
        <w:t>The Rules</w:t>
      </w:r>
    </w:p>
    <w:p w14:paraId="189A3DEE" w14:textId="77777777" w:rsidR="009B1D59" w:rsidRPr="00272ED8" w:rsidRDefault="009B1D59" w:rsidP="009B1D59">
      <w:pPr>
        <w:spacing w:before="0" w:after="284" w:line="240" w:lineRule="atLeast"/>
        <w:rPr>
          <w:rFonts w:ascii="Arial" w:hAnsi="Arial" w:cs="Arial"/>
          <w:color w:val="000000"/>
          <w:sz w:val="22"/>
          <w:szCs w:val="22"/>
          <w:lang w:eastAsia="en-AU"/>
        </w:rPr>
      </w:pPr>
      <w:r w:rsidRPr="00272ED8">
        <w:rPr>
          <w:rFonts w:ascii="Arial" w:hAnsi="Arial" w:cs="Arial"/>
          <w:color w:val="000000"/>
          <w:sz w:val="22"/>
          <w:szCs w:val="22"/>
          <w:lang w:eastAsia="en-AU"/>
        </w:rPr>
        <w:t>The Rules contain similar obligations, however there are two key differences:</w:t>
      </w:r>
    </w:p>
    <w:p w14:paraId="70468B48" w14:textId="77777777" w:rsidR="009B1D59" w:rsidRPr="00272ED8" w:rsidRDefault="009B1D59" w:rsidP="009B1D59">
      <w:pPr>
        <w:numPr>
          <w:ilvl w:val="0"/>
          <w:numId w:val="6"/>
        </w:numPr>
        <w:spacing w:before="0" w:after="284" w:line="276" w:lineRule="auto"/>
        <w:contextualSpacing/>
        <w:rPr>
          <w:rFonts w:ascii="Arial" w:eastAsia="Calibri" w:hAnsi="Arial" w:cs="Arial"/>
          <w:color w:val="000000"/>
          <w:sz w:val="22"/>
          <w:szCs w:val="22"/>
        </w:rPr>
      </w:pPr>
      <w:r w:rsidRPr="00272ED8">
        <w:rPr>
          <w:rFonts w:ascii="Arial" w:eastAsia="Calibri" w:hAnsi="Arial" w:cs="Arial"/>
          <w:color w:val="000000"/>
          <w:sz w:val="22"/>
          <w:szCs w:val="22"/>
        </w:rPr>
        <w:lastRenderedPageBreak/>
        <w:t xml:space="preserve">for e-marketing, consent must be obtained before messages can be sent, including to </w:t>
      </w:r>
      <w:proofErr w:type="gramStart"/>
      <w:r w:rsidRPr="00272ED8">
        <w:rPr>
          <w:rFonts w:ascii="Arial" w:eastAsia="Calibri" w:hAnsi="Arial" w:cs="Arial"/>
          <w:color w:val="000000"/>
          <w:sz w:val="22"/>
          <w:szCs w:val="22"/>
        </w:rPr>
        <w:t>businesses</w:t>
      </w:r>
      <w:proofErr w:type="gramEnd"/>
    </w:p>
    <w:p w14:paraId="5D5A2F5B" w14:textId="77777777" w:rsidR="009B1D59" w:rsidRPr="00272ED8" w:rsidRDefault="009B1D59" w:rsidP="009B1D59">
      <w:pPr>
        <w:numPr>
          <w:ilvl w:val="0"/>
          <w:numId w:val="6"/>
        </w:numPr>
        <w:spacing w:before="0" w:after="200" w:line="276" w:lineRule="auto"/>
        <w:contextualSpacing/>
        <w:rPr>
          <w:rFonts w:ascii="Arial" w:eastAsia="Calibri" w:hAnsi="Arial" w:cs="Arial"/>
          <w:color w:val="000000"/>
          <w:sz w:val="22"/>
          <w:szCs w:val="22"/>
        </w:rPr>
      </w:pPr>
      <w:r w:rsidRPr="00272ED8">
        <w:rPr>
          <w:rFonts w:ascii="Arial" w:eastAsia="Calibri" w:hAnsi="Arial" w:cs="Arial"/>
          <w:color w:val="000000"/>
          <w:sz w:val="22"/>
          <w:szCs w:val="22"/>
        </w:rPr>
        <w:t>for telemarketing, consent must be obtained to call numbers on the Do Not Call Register.</w:t>
      </w:r>
    </w:p>
    <w:p w14:paraId="67D7ACF8" w14:textId="77777777" w:rsidR="009B1D59" w:rsidRPr="00272ED8" w:rsidRDefault="009B1D59" w:rsidP="009B1D59">
      <w:pPr>
        <w:suppressAutoHyphens/>
        <w:rPr>
          <w:rFonts w:ascii="Arial" w:hAnsi="Arial" w:cs="Arial"/>
          <w:snapToGrid w:val="0"/>
          <w:sz w:val="22"/>
          <w:szCs w:val="22"/>
        </w:rPr>
      </w:pPr>
      <w:r w:rsidRPr="00272ED8">
        <w:rPr>
          <w:rFonts w:ascii="Arial" w:hAnsi="Arial" w:cs="Arial"/>
          <w:snapToGrid w:val="0"/>
          <w:sz w:val="22"/>
          <w:szCs w:val="22"/>
        </w:rPr>
        <w:t xml:space="preserve">For both telemarketing and e-marketing, there are two types of consent. </w:t>
      </w:r>
    </w:p>
    <w:p w14:paraId="58138A0C" w14:textId="77777777" w:rsidR="009B1D59" w:rsidRPr="00272ED8" w:rsidRDefault="009B1D59" w:rsidP="009B1D59">
      <w:pPr>
        <w:suppressAutoHyphens/>
        <w:rPr>
          <w:rFonts w:ascii="Arial" w:hAnsi="Arial" w:cs="Arial"/>
          <w:snapToGrid w:val="0"/>
          <w:sz w:val="22"/>
          <w:szCs w:val="22"/>
        </w:rPr>
      </w:pPr>
      <w:r w:rsidRPr="00272ED8">
        <w:rPr>
          <w:rFonts w:ascii="Arial" w:hAnsi="Arial" w:cs="Arial"/>
          <w:snapToGrid w:val="0"/>
          <w:sz w:val="22"/>
          <w:szCs w:val="22"/>
        </w:rPr>
        <w:t xml:space="preserve">The main type is </w:t>
      </w:r>
      <w:r w:rsidRPr="00272ED8">
        <w:rPr>
          <w:rFonts w:ascii="Arial" w:hAnsi="Arial" w:cs="Arial"/>
          <w:i/>
          <w:iCs/>
          <w:snapToGrid w:val="0"/>
          <w:sz w:val="22"/>
          <w:szCs w:val="22"/>
        </w:rPr>
        <w:t>express</w:t>
      </w:r>
      <w:r w:rsidRPr="00272ED8">
        <w:rPr>
          <w:rFonts w:ascii="Arial" w:hAnsi="Arial" w:cs="Arial"/>
          <w:snapToGrid w:val="0"/>
          <w:sz w:val="22"/>
          <w:szCs w:val="22"/>
        </w:rPr>
        <w:t xml:space="preserve"> consent that is freely and explicitly given by the consumer. </w:t>
      </w:r>
    </w:p>
    <w:p w14:paraId="00A3D40B" w14:textId="77777777" w:rsidR="009B1D59" w:rsidRPr="00272ED8" w:rsidRDefault="009B1D59" w:rsidP="009B1D59">
      <w:pPr>
        <w:suppressAutoHyphens/>
        <w:rPr>
          <w:rFonts w:ascii="Arial" w:hAnsi="Arial" w:cs="Arial"/>
          <w:snapToGrid w:val="0"/>
          <w:sz w:val="22"/>
          <w:szCs w:val="22"/>
        </w:rPr>
      </w:pPr>
      <w:r w:rsidRPr="00272ED8">
        <w:rPr>
          <w:rFonts w:ascii="Arial" w:hAnsi="Arial" w:cs="Arial"/>
          <w:snapToGrid w:val="0"/>
          <w:sz w:val="22"/>
          <w:szCs w:val="22"/>
        </w:rPr>
        <w:t xml:space="preserve">The less common type is </w:t>
      </w:r>
      <w:r w:rsidRPr="00272ED8">
        <w:rPr>
          <w:rFonts w:ascii="Arial" w:hAnsi="Arial" w:cs="Arial"/>
          <w:i/>
          <w:iCs/>
          <w:snapToGrid w:val="0"/>
          <w:sz w:val="22"/>
          <w:szCs w:val="22"/>
        </w:rPr>
        <w:t xml:space="preserve">inferred </w:t>
      </w:r>
      <w:r w:rsidRPr="00272ED8">
        <w:rPr>
          <w:rFonts w:ascii="Arial" w:hAnsi="Arial" w:cs="Arial"/>
          <w:snapToGrid w:val="0"/>
          <w:sz w:val="22"/>
          <w:szCs w:val="22"/>
        </w:rPr>
        <w:t>consent – this consent is inferred by a business based on an existing relationship and the type of product being marketed.</w:t>
      </w:r>
    </w:p>
    <w:p w14:paraId="280A49C4" w14:textId="77777777" w:rsidR="009B1D59" w:rsidRPr="00272ED8" w:rsidRDefault="009B1D59" w:rsidP="009B1D59">
      <w:pPr>
        <w:suppressAutoHyphens/>
        <w:rPr>
          <w:rFonts w:ascii="Arial" w:hAnsi="Arial" w:cs="Arial"/>
          <w:snapToGrid w:val="0"/>
          <w:sz w:val="22"/>
          <w:szCs w:val="22"/>
        </w:rPr>
      </w:pPr>
      <w:r w:rsidRPr="00272ED8">
        <w:rPr>
          <w:rFonts w:ascii="Arial" w:hAnsi="Arial" w:cs="Arial"/>
          <w:snapToGrid w:val="0"/>
          <w:sz w:val="22"/>
          <w:szCs w:val="22"/>
        </w:rPr>
        <w:t xml:space="preserve">The ACMA recommends using express consent as it involves </w:t>
      </w:r>
      <w:r>
        <w:rPr>
          <w:rFonts w:ascii="Arial" w:hAnsi="Arial" w:cs="Arial"/>
          <w:snapToGrid w:val="0"/>
          <w:sz w:val="22"/>
          <w:szCs w:val="22"/>
        </w:rPr>
        <w:t xml:space="preserve">a </w:t>
      </w:r>
      <w:r w:rsidRPr="00272ED8">
        <w:rPr>
          <w:rFonts w:ascii="Arial" w:hAnsi="Arial" w:cs="Arial"/>
          <w:snapToGrid w:val="0"/>
          <w:sz w:val="22"/>
          <w:szCs w:val="22"/>
        </w:rPr>
        <w:t xml:space="preserve">clear and unambiguous choice </w:t>
      </w:r>
      <w:r>
        <w:rPr>
          <w:rFonts w:ascii="Arial" w:hAnsi="Arial" w:cs="Arial"/>
          <w:snapToGrid w:val="0"/>
          <w:sz w:val="22"/>
          <w:szCs w:val="22"/>
        </w:rPr>
        <w:t xml:space="preserve">made </w:t>
      </w:r>
      <w:r w:rsidRPr="00272ED8">
        <w:rPr>
          <w:rFonts w:ascii="Arial" w:hAnsi="Arial" w:cs="Arial"/>
          <w:snapToGrid w:val="0"/>
          <w:sz w:val="22"/>
          <w:szCs w:val="22"/>
        </w:rPr>
        <w:t>by a consumer.</w:t>
      </w:r>
    </w:p>
    <w:p w14:paraId="2DBCBEA5" w14:textId="478AF49A" w:rsidR="009B1D59" w:rsidRPr="00272ED8" w:rsidRDefault="009B1D59" w:rsidP="009B1D59">
      <w:pPr>
        <w:suppressAutoHyphens/>
        <w:rPr>
          <w:rFonts w:ascii="Arial" w:hAnsi="Arial" w:cs="Arial"/>
          <w:snapToGrid w:val="0"/>
          <w:sz w:val="22"/>
          <w:szCs w:val="22"/>
        </w:rPr>
      </w:pPr>
      <w:r w:rsidRPr="00272ED8">
        <w:rPr>
          <w:rFonts w:ascii="Arial" w:hAnsi="Arial" w:cs="Arial"/>
          <w:snapToGrid w:val="0"/>
          <w:sz w:val="22"/>
          <w:szCs w:val="22"/>
        </w:rPr>
        <w:t xml:space="preserve">Importantly, businesses </w:t>
      </w:r>
      <w:r w:rsidRPr="009C71A5">
        <w:rPr>
          <w:rFonts w:ascii="ArialMT" w:eastAsia="Calibri" w:hAnsi="ArialMT" w:cs="ArialMT"/>
          <w:sz w:val="22"/>
          <w:szCs w:val="22"/>
          <w14:ligatures w14:val="standardContextual"/>
        </w:rPr>
        <w:t>are responsible for</w:t>
      </w:r>
      <w:r w:rsidRPr="009C71A5" w:rsidDel="00B715E1">
        <w:rPr>
          <w:rFonts w:ascii="Arial" w:hAnsi="Arial" w:cs="Arial"/>
          <w:snapToGrid w:val="0"/>
          <w:sz w:val="22"/>
          <w:szCs w:val="22"/>
        </w:rPr>
        <w:t xml:space="preserve"> </w:t>
      </w:r>
      <w:r w:rsidRPr="00026D90">
        <w:rPr>
          <w:rFonts w:ascii="Arial" w:hAnsi="Arial" w:cs="Arial"/>
          <w:snapToGrid w:val="0"/>
          <w:sz w:val="22"/>
          <w:szCs w:val="22"/>
        </w:rPr>
        <w:t xml:space="preserve">their consent-related compliance obligations under the Rules, </w:t>
      </w:r>
      <w:r w:rsidRPr="009C71A5">
        <w:rPr>
          <w:rFonts w:ascii="Arial" w:hAnsi="Arial" w:cs="Arial"/>
          <w:snapToGrid w:val="0"/>
          <w:sz w:val="22"/>
          <w:szCs w:val="22"/>
        </w:rPr>
        <w:t xml:space="preserve">regardless of whether they outsource their telemarketing or e-marketing or consent gathering </w:t>
      </w:r>
      <w:r w:rsidRPr="00272ED8">
        <w:rPr>
          <w:rFonts w:ascii="Arial" w:hAnsi="Arial" w:cs="Arial"/>
          <w:snapToGrid w:val="0"/>
          <w:sz w:val="22"/>
          <w:szCs w:val="22"/>
        </w:rPr>
        <w:t xml:space="preserve">through third party or affiliate marketing arrangements. </w:t>
      </w:r>
    </w:p>
    <w:p w14:paraId="3CEA8823" w14:textId="63871A5E" w:rsidR="009B1D59" w:rsidRPr="00272ED8" w:rsidRDefault="009B1D59" w:rsidP="009B1D59">
      <w:pPr>
        <w:suppressAutoHyphens/>
        <w:rPr>
          <w:rFonts w:ascii="Arial" w:hAnsi="Arial" w:cs="Arial"/>
          <w:snapToGrid w:val="0"/>
          <w:sz w:val="22"/>
          <w:szCs w:val="22"/>
        </w:rPr>
      </w:pPr>
      <w:r w:rsidRPr="00272ED8">
        <w:rPr>
          <w:rFonts w:ascii="Arial" w:hAnsi="Arial" w:cs="Arial"/>
          <w:snapToGrid w:val="0"/>
          <w:sz w:val="22"/>
          <w:szCs w:val="22"/>
        </w:rPr>
        <w:t xml:space="preserve">Do not </w:t>
      </w:r>
      <w:r w:rsidR="00175949">
        <w:rPr>
          <w:rFonts w:ascii="Arial" w:hAnsi="Arial" w:cs="Arial"/>
          <w:snapToGrid w:val="0"/>
          <w:sz w:val="22"/>
          <w:szCs w:val="22"/>
        </w:rPr>
        <w:t>assume</w:t>
      </w:r>
      <w:r w:rsidRPr="00272ED8">
        <w:rPr>
          <w:rFonts w:ascii="Arial" w:hAnsi="Arial" w:cs="Arial"/>
          <w:snapToGrid w:val="0"/>
          <w:sz w:val="22"/>
          <w:szCs w:val="22"/>
        </w:rPr>
        <w:t xml:space="preserve"> third parties </w:t>
      </w:r>
      <w:r w:rsidR="002B6DAE">
        <w:rPr>
          <w:rFonts w:ascii="Arial" w:hAnsi="Arial" w:cs="Arial"/>
          <w:snapToGrid w:val="0"/>
          <w:sz w:val="22"/>
          <w:szCs w:val="22"/>
        </w:rPr>
        <w:t xml:space="preserve">working with you </w:t>
      </w:r>
      <w:r w:rsidR="00175949">
        <w:rPr>
          <w:rFonts w:ascii="Arial" w:hAnsi="Arial" w:cs="Arial"/>
          <w:snapToGrid w:val="0"/>
          <w:sz w:val="22"/>
          <w:szCs w:val="22"/>
        </w:rPr>
        <w:t>will</w:t>
      </w:r>
      <w:r w:rsidR="00175949" w:rsidRPr="00272ED8">
        <w:rPr>
          <w:rFonts w:ascii="Arial" w:hAnsi="Arial" w:cs="Arial"/>
          <w:snapToGrid w:val="0"/>
          <w:sz w:val="22"/>
          <w:szCs w:val="22"/>
        </w:rPr>
        <w:t xml:space="preserve"> </w:t>
      </w:r>
      <w:r w:rsidRPr="00272ED8">
        <w:rPr>
          <w:rFonts w:ascii="Arial" w:hAnsi="Arial" w:cs="Arial"/>
          <w:snapToGrid w:val="0"/>
          <w:sz w:val="22"/>
          <w:szCs w:val="22"/>
        </w:rPr>
        <w:t>keep/obtain records of consent and marketing</w:t>
      </w:r>
      <w:r w:rsidR="004A7A67">
        <w:rPr>
          <w:rFonts w:ascii="Arial" w:hAnsi="Arial" w:cs="Arial"/>
          <w:snapToGrid w:val="0"/>
          <w:sz w:val="22"/>
          <w:szCs w:val="22"/>
        </w:rPr>
        <w:t>.  You need to have</w:t>
      </w:r>
      <w:r w:rsidRPr="00272ED8">
        <w:rPr>
          <w:rFonts w:ascii="Arial" w:hAnsi="Arial" w:cs="Arial"/>
          <w:snapToGrid w:val="0"/>
          <w:sz w:val="22"/>
          <w:szCs w:val="22"/>
        </w:rPr>
        <w:t xml:space="preserve"> oversight and assurance process</w:t>
      </w:r>
      <w:r>
        <w:rPr>
          <w:rFonts w:ascii="Arial" w:hAnsi="Arial" w:cs="Arial"/>
          <w:snapToGrid w:val="0"/>
          <w:sz w:val="22"/>
          <w:szCs w:val="22"/>
        </w:rPr>
        <w:t>es</w:t>
      </w:r>
      <w:r w:rsidRPr="00272ED8">
        <w:rPr>
          <w:rFonts w:ascii="Arial" w:hAnsi="Arial" w:cs="Arial"/>
          <w:snapToGrid w:val="0"/>
          <w:sz w:val="22"/>
          <w:szCs w:val="22"/>
        </w:rPr>
        <w:t xml:space="preserve"> in place </w:t>
      </w:r>
      <w:r w:rsidRPr="009C71A5">
        <w:rPr>
          <w:rFonts w:ascii="Arial" w:hAnsi="Arial" w:cs="Arial"/>
          <w:snapToGrid w:val="0"/>
          <w:sz w:val="22"/>
          <w:szCs w:val="22"/>
        </w:rPr>
        <w:t>to ensure that these records are reliably kept and maintained by those third parties or yourself</w:t>
      </w:r>
      <w:r w:rsidR="004A7A67">
        <w:rPr>
          <w:rFonts w:ascii="Arial" w:hAnsi="Arial" w:cs="Arial"/>
          <w:snapToGrid w:val="0"/>
          <w:sz w:val="22"/>
          <w:szCs w:val="22"/>
        </w:rPr>
        <w:t>.  I</w:t>
      </w:r>
      <w:r w:rsidRPr="00272ED8">
        <w:rPr>
          <w:rFonts w:ascii="Arial" w:hAnsi="Arial" w:cs="Arial"/>
          <w:snapToGrid w:val="0"/>
          <w:sz w:val="22"/>
          <w:szCs w:val="22"/>
        </w:rPr>
        <w:t xml:space="preserve">f these records are </w:t>
      </w:r>
      <w:r w:rsidR="00587184" w:rsidRPr="00272ED8">
        <w:rPr>
          <w:rFonts w:ascii="Arial" w:hAnsi="Arial" w:cs="Arial"/>
          <w:snapToGrid w:val="0"/>
          <w:sz w:val="22"/>
          <w:szCs w:val="22"/>
        </w:rPr>
        <w:t>requ</w:t>
      </w:r>
      <w:r w:rsidR="00587184">
        <w:rPr>
          <w:rFonts w:ascii="Arial" w:hAnsi="Arial" w:cs="Arial"/>
          <w:snapToGrid w:val="0"/>
          <w:sz w:val="22"/>
          <w:szCs w:val="22"/>
        </w:rPr>
        <w:t>ired</w:t>
      </w:r>
      <w:r w:rsidR="00587184" w:rsidRPr="00272ED8">
        <w:rPr>
          <w:rFonts w:ascii="Arial" w:hAnsi="Arial" w:cs="Arial"/>
          <w:snapToGrid w:val="0"/>
          <w:sz w:val="22"/>
          <w:szCs w:val="22"/>
        </w:rPr>
        <w:t xml:space="preserve"> </w:t>
      </w:r>
      <w:r w:rsidRPr="00272ED8">
        <w:rPr>
          <w:rFonts w:ascii="Arial" w:hAnsi="Arial" w:cs="Arial"/>
          <w:snapToGrid w:val="0"/>
          <w:sz w:val="22"/>
          <w:szCs w:val="22"/>
        </w:rPr>
        <w:t>by the ACMA</w:t>
      </w:r>
      <w:r w:rsidR="00C06DA7">
        <w:rPr>
          <w:rFonts w:ascii="Arial" w:hAnsi="Arial" w:cs="Arial"/>
          <w:snapToGrid w:val="0"/>
          <w:sz w:val="22"/>
          <w:szCs w:val="22"/>
        </w:rPr>
        <w:t xml:space="preserve"> using its </w:t>
      </w:r>
      <w:r w:rsidR="00587184">
        <w:rPr>
          <w:rFonts w:ascii="Arial" w:hAnsi="Arial" w:cs="Arial"/>
          <w:snapToGrid w:val="0"/>
          <w:sz w:val="22"/>
          <w:szCs w:val="22"/>
        </w:rPr>
        <w:t xml:space="preserve">compulsory information gathering </w:t>
      </w:r>
      <w:r w:rsidR="00C06DA7">
        <w:rPr>
          <w:rFonts w:ascii="Arial" w:hAnsi="Arial" w:cs="Arial"/>
          <w:snapToGrid w:val="0"/>
          <w:sz w:val="22"/>
          <w:szCs w:val="22"/>
        </w:rPr>
        <w:t>powers</w:t>
      </w:r>
      <w:r w:rsidRPr="00272ED8">
        <w:rPr>
          <w:rFonts w:ascii="Arial" w:hAnsi="Arial" w:cs="Arial"/>
          <w:snapToGrid w:val="0"/>
          <w:sz w:val="22"/>
          <w:szCs w:val="22"/>
        </w:rPr>
        <w:t xml:space="preserve">, they must be produced. </w:t>
      </w:r>
    </w:p>
    <w:p w14:paraId="0C756DCA" w14:textId="77777777" w:rsidR="009B1D59" w:rsidRPr="00272ED8" w:rsidRDefault="009B1D59" w:rsidP="009B1D59">
      <w:pPr>
        <w:suppressAutoHyphens/>
        <w:rPr>
          <w:rFonts w:ascii="Arial" w:hAnsi="Arial" w:cs="Arial"/>
          <w:snapToGrid w:val="0"/>
          <w:sz w:val="22"/>
          <w:szCs w:val="22"/>
        </w:rPr>
      </w:pPr>
      <w:r w:rsidRPr="00272ED8">
        <w:rPr>
          <w:rFonts w:ascii="Arial" w:hAnsi="Arial" w:cs="Arial"/>
          <w:snapToGrid w:val="0"/>
          <w:sz w:val="22"/>
          <w:szCs w:val="22"/>
        </w:rPr>
        <w:t>Records should include the method by which the consent was obtained, the terms that applied and the date and time it was obtained.</w:t>
      </w:r>
    </w:p>
    <w:p w14:paraId="100189B2" w14:textId="77777777" w:rsidR="009B1D59" w:rsidRPr="00272ED8" w:rsidRDefault="009B1D59" w:rsidP="009B1D59">
      <w:pPr>
        <w:suppressAutoHyphens/>
        <w:rPr>
          <w:rFonts w:ascii="Arial" w:hAnsi="Arial" w:cs="Arial"/>
          <w:snapToGrid w:val="0"/>
          <w:sz w:val="22"/>
          <w:szCs w:val="22"/>
        </w:rPr>
      </w:pPr>
    </w:p>
    <w:p w14:paraId="260C24B1" w14:textId="77777777" w:rsidR="009B1D59" w:rsidRPr="00272ED8" w:rsidRDefault="009B1D59" w:rsidP="009B1D59">
      <w:pPr>
        <w:spacing w:before="0" w:after="284" w:line="240" w:lineRule="atLeast"/>
        <w:rPr>
          <w:rFonts w:ascii="Arial" w:hAnsi="Arial" w:cs="Arial"/>
          <w:b/>
          <w:bCs/>
          <w:color w:val="000000"/>
          <w:sz w:val="22"/>
          <w:szCs w:val="22"/>
          <w:lang w:eastAsia="en-AU"/>
        </w:rPr>
      </w:pPr>
      <w:r w:rsidRPr="00272ED8">
        <w:rPr>
          <w:rFonts w:ascii="Arial" w:hAnsi="Arial" w:cs="Arial"/>
          <w:b/>
          <w:bCs/>
          <w:color w:val="000000"/>
          <w:sz w:val="22"/>
          <w:szCs w:val="22"/>
          <w:lang w:eastAsia="en-AU"/>
        </w:rPr>
        <w:t>The Do Not Call Register</w:t>
      </w:r>
    </w:p>
    <w:p w14:paraId="3AE86887" w14:textId="77777777" w:rsidR="009B1D59" w:rsidRPr="00272ED8" w:rsidRDefault="009B1D59" w:rsidP="009B1D59">
      <w:pPr>
        <w:spacing w:before="0" w:after="284" w:line="240" w:lineRule="atLeast"/>
        <w:rPr>
          <w:rFonts w:ascii="Arial" w:hAnsi="Arial" w:cs="Arial"/>
          <w:color w:val="000000"/>
          <w:sz w:val="22"/>
          <w:szCs w:val="22"/>
          <w:lang w:eastAsia="en-AU"/>
        </w:rPr>
      </w:pPr>
      <w:r w:rsidRPr="00272ED8">
        <w:rPr>
          <w:rFonts w:ascii="Arial" w:hAnsi="Arial" w:cs="Arial"/>
          <w:color w:val="000000"/>
          <w:sz w:val="22"/>
          <w:szCs w:val="22"/>
          <w:lang w:eastAsia="en-AU"/>
        </w:rPr>
        <w:t>The Do Not Call Register is a database where consumers can register their mobile and fixed-line numbers for free if they don’t want to receive telemarketing calls.</w:t>
      </w:r>
    </w:p>
    <w:p w14:paraId="00FECECD" w14:textId="77777777" w:rsidR="009B1D59" w:rsidRPr="00272ED8" w:rsidRDefault="009B1D59" w:rsidP="009B1D59">
      <w:pPr>
        <w:spacing w:before="0" w:after="284" w:line="240" w:lineRule="atLeast"/>
        <w:rPr>
          <w:rFonts w:ascii="Arial" w:hAnsi="Arial" w:cs="Arial"/>
          <w:color w:val="000000"/>
          <w:sz w:val="22"/>
          <w:szCs w:val="22"/>
          <w:lang w:eastAsia="en-AU"/>
        </w:rPr>
      </w:pPr>
      <w:r w:rsidRPr="00272ED8">
        <w:rPr>
          <w:rFonts w:ascii="Arial" w:hAnsi="Arial" w:cs="Arial"/>
          <w:color w:val="000000"/>
          <w:sz w:val="22"/>
          <w:szCs w:val="22"/>
          <w:lang w:eastAsia="en-AU"/>
        </w:rPr>
        <w:t xml:space="preserve">Over half of all active numbers in Australia are on the Do Not Call Register. </w:t>
      </w:r>
    </w:p>
    <w:p w14:paraId="4A503416" w14:textId="1C7DD4B0" w:rsidR="009B1D59" w:rsidRPr="00272ED8" w:rsidRDefault="009B1D59" w:rsidP="009B1D59">
      <w:pPr>
        <w:spacing w:before="0" w:after="284" w:line="240" w:lineRule="atLeast"/>
        <w:rPr>
          <w:rFonts w:ascii="Arial" w:hAnsi="Arial" w:cs="Arial"/>
          <w:color w:val="000000"/>
          <w:sz w:val="22"/>
          <w:szCs w:val="22"/>
          <w:lang w:eastAsia="en-AU"/>
        </w:rPr>
      </w:pPr>
      <w:r w:rsidRPr="00272ED8">
        <w:rPr>
          <w:rFonts w:ascii="Arial" w:hAnsi="Arial" w:cs="Arial"/>
          <w:color w:val="000000"/>
          <w:sz w:val="22"/>
          <w:szCs w:val="22"/>
          <w:lang w:eastAsia="en-AU"/>
        </w:rPr>
        <w:t xml:space="preserve">Telemarketers can subscribe to the Do Not Call Register to check their calling lists to avoid breaking the </w:t>
      </w:r>
      <w:r w:rsidR="00F7684D">
        <w:rPr>
          <w:rFonts w:ascii="Arial" w:hAnsi="Arial" w:cs="Arial"/>
          <w:color w:val="000000"/>
          <w:sz w:val="22"/>
          <w:szCs w:val="22"/>
          <w:lang w:eastAsia="en-AU"/>
        </w:rPr>
        <w:t>R</w:t>
      </w:r>
      <w:r w:rsidR="00F7684D" w:rsidRPr="00272ED8">
        <w:rPr>
          <w:rFonts w:ascii="Arial" w:hAnsi="Arial" w:cs="Arial"/>
          <w:color w:val="000000"/>
          <w:sz w:val="22"/>
          <w:szCs w:val="22"/>
          <w:lang w:eastAsia="en-AU"/>
        </w:rPr>
        <w:t xml:space="preserve">ules </w:t>
      </w:r>
      <w:r w:rsidRPr="00272ED8">
        <w:rPr>
          <w:rFonts w:ascii="Arial" w:hAnsi="Arial" w:cs="Arial"/>
          <w:color w:val="000000"/>
          <w:sz w:val="22"/>
          <w:szCs w:val="22"/>
          <w:lang w:eastAsia="en-AU"/>
        </w:rPr>
        <w:t>and attracting what can be large financial penalties.</w:t>
      </w:r>
    </w:p>
    <w:p w14:paraId="01EB10E1" w14:textId="77777777" w:rsidR="009B1D59" w:rsidRPr="00272ED8" w:rsidRDefault="009B1D59" w:rsidP="009B1D59">
      <w:pPr>
        <w:spacing w:before="0" w:after="284" w:line="240" w:lineRule="atLeast"/>
        <w:rPr>
          <w:rFonts w:ascii="Arial" w:hAnsi="Arial" w:cs="Arial"/>
          <w:color w:val="000000"/>
          <w:sz w:val="22"/>
          <w:szCs w:val="22"/>
          <w:lang w:eastAsia="en-AU"/>
        </w:rPr>
      </w:pPr>
      <w:r w:rsidRPr="00272ED8">
        <w:rPr>
          <w:rFonts w:ascii="Arial" w:hAnsi="Arial" w:cs="Arial"/>
          <w:color w:val="000000"/>
          <w:sz w:val="22"/>
          <w:szCs w:val="22"/>
          <w:lang w:eastAsia="en-AU"/>
        </w:rPr>
        <w:t>The Do Not Call Register does not apply to business phone numbers - numbers that are primarily for business use are ineligible to be registered.</w:t>
      </w:r>
    </w:p>
    <w:p w14:paraId="31F3415C" w14:textId="77777777" w:rsidR="009B1D59" w:rsidRPr="00272ED8" w:rsidRDefault="009B1D59" w:rsidP="009B1D59">
      <w:pPr>
        <w:spacing w:before="0" w:after="0" w:line="240" w:lineRule="auto"/>
        <w:rPr>
          <w:rFonts w:ascii="Arial" w:hAnsi="Arial" w:cs="Arial"/>
          <w:color w:val="000000"/>
          <w:sz w:val="22"/>
          <w:szCs w:val="22"/>
          <w:lang w:eastAsia="en-AU"/>
        </w:rPr>
      </w:pPr>
      <w:r w:rsidRPr="00272ED8">
        <w:rPr>
          <w:rFonts w:ascii="Arial" w:hAnsi="Arial" w:cs="Arial"/>
          <w:color w:val="000000"/>
          <w:sz w:val="22"/>
          <w:szCs w:val="22"/>
          <w:lang w:eastAsia="en-AU"/>
        </w:rPr>
        <w:br w:type="page"/>
      </w:r>
    </w:p>
    <w:p w14:paraId="5C1F340C" w14:textId="77777777" w:rsidR="009B1D59" w:rsidRPr="00272ED8" w:rsidRDefault="009B1D59" w:rsidP="009B1D59">
      <w:pPr>
        <w:spacing w:before="240" w:after="284" w:line="240" w:lineRule="atLeast"/>
        <w:rPr>
          <w:rFonts w:ascii="Arial" w:hAnsi="Arial" w:cs="Arial"/>
          <w:b/>
          <w:bCs/>
          <w:color w:val="000000"/>
          <w:sz w:val="22"/>
          <w:szCs w:val="22"/>
          <w:lang w:eastAsia="en-AU"/>
        </w:rPr>
      </w:pPr>
      <w:r w:rsidRPr="00272ED8">
        <w:rPr>
          <w:rFonts w:ascii="Arial" w:hAnsi="Arial" w:cs="Arial"/>
          <w:b/>
          <w:bCs/>
          <w:color w:val="000000"/>
          <w:sz w:val="22"/>
          <w:szCs w:val="22"/>
          <w:lang w:eastAsia="en-AU"/>
        </w:rPr>
        <w:lastRenderedPageBreak/>
        <w:t xml:space="preserve">The ACMA’s expectations </w:t>
      </w:r>
    </w:p>
    <w:p w14:paraId="5AF67D94" w14:textId="77777777" w:rsidR="00956AC7" w:rsidRDefault="009B1D59" w:rsidP="009B1D59">
      <w:pPr>
        <w:spacing w:before="0" w:after="0" w:line="240" w:lineRule="atLeast"/>
        <w:rPr>
          <w:rFonts w:ascii="Arial" w:hAnsi="Arial" w:cs="Arial"/>
          <w:color w:val="000000"/>
          <w:sz w:val="22"/>
          <w:szCs w:val="22"/>
          <w:lang w:eastAsia="en-AU"/>
        </w:rPr>
      </w:pPr>
      <w:r w:rsidRPr="00272ED8">
        <w:rPr>
          <w:rFonts w:ascii="Arial" w:hAnsi="Arial" w:cs="Arial"/>
          <w:color w:val="000000"/>
          <w:sz w:val="22"/>
          <w:szCs w:val="22"/>
          <w:lang w:eastAsia="en-AU"/>
        </w:rPr>
        <w:t xml:space="preserve">This statement of expectations is to provide guidance to assist businesses to meet consumer expectations </w:t>
      </w:r>
      <w:r>
        <w:rPr>
          <w:rFonts w:ascii="Arial" w:hAnsi="Arial" w:cs="Arial"/>
          <w:color w:val="000000"/>
          <w:sz w:val="22"/>
          <w:szCs w:val="22"/>
          <w:lang w:eastAsia="en-AU"/>
        </w:rPr>
        <w:t xml:space="preserve">and </w:t>
      </w:r>
      <w:r w:rsidRPr="00272ED8">
        <w:rPr>
          <w:rFonts w:ascii="Arial" w:hAnsi="Arial" w:cs="Arial"/>
          <w:color w:val="000000"/>
          <w:sz w:val="22"/>
          <w:szCs w:val="22"/>
          <w:lang w:eastAsia="en-AU"/>
        </w:rPr>
        <w:t>conduct compliant telemarketing and e-marketing.</w:t>
      </w:r>
    </w:p>
    <w:p w14:paraId="341CA819" w14:textId="24126FFA" w:rsidR="009B1D59" w:rsidRPr="00272ED8" w:rsidRDefault="009B1D59" w:rsidP="009B1D59">
      <w:pPr>
        <w:spacing w:before="0" w:after="0" w:line="240" w:lineRule="atLeast"/>
        <w:rPr>
          <w:rFonts w:ascii="Arial" w:hAnsi="Arial" w:cs="Arial"/>
          <w:color w:val="000000"/>
          <w:sz w:val="22"/>
          <w:szCs w:val="22"/>
          <w:lang w:eastAsia="en-AU"/>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9"/>
        <w:gridCol w:w="6952"/>
      </w:tblGrid>
      <w:tr w:rsidR="009B1D59" w:rsidRPr="00272ED8" w14:paraId="16ADC781" w14:textId="77777777" w:rsidTr="008575FE">
        <w:tc>
          <w:tcPr>
            <w:tcW w:w="709" w:type="dxa"/>
            <w:shd w:val="clear" w:color="auto" w:fill="31849B"/>
            <w:hideMark/>
          </w:tcPr>
          <w:p w14:paraId="4A698499" w14:textId="77777777" w:rsidR="009B1D59" w:rsidRPr="00272ED8" w:rsidRDefault="009B1D59" w:rsidP="008575FE">
            <w:pPr>
              <w:keepNext/>
              <w:spacing w:before="0" w:after="40" w:line="240" w:lineRule="atLeast"/>
              <w:outlineLvl w:val="2"/>
              <w:rPr>
                <w:rFonts w:ascii="Arial" w:hAnsi="Arial" w:cs="Arial"/>
                <w:b/>
                <w:bCs/>
                <w:noProof/>
                <w:color w:val="FFFFFF"/>
                <w:sz w:val="22"/>
                <w:szCs w:val="22"/>
              </w:rPr>
            </w:pPr>
            <w:r w:rsidRPr="00272ED8">
              <w:rPr>
                <w:rFonts w:ascii="Arial" w:hAnsi="Arial" w:cs="Arial"/>
                <w:b/>
                <w:bCs/>
                <w:noProof/>
                <w:color w:val="FFFFFF"/>
                <w:sz w:val="22"/>
                <w:szCs w:val="22"/>
              </w:rPr>
              <w:drawing>
                <wp:inline distT="0" distB="0" distL="0" distR="0" wp14:anchorId="09FC2A6D" wp14:editId="29F45890">
                  <wp:extent cx="342900" cy="342900"/>
                  <wp:effectExtent l="0" t="0" r="0" b="0"/>
                  <wp:docPr id="7" name="Picture 7"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descr="Lights On with solid fill"/>
                          <pic:cNvPicPr>
                            <a:picLocks noChangeAspect="1" noChangeArrowheads="1"/>
                          </pic:cNvPicPr>
                        </pic:nvPicPr>
                        <pic:blipFill>
                          <a:blip r:embed="rId12">
                            <a:extLst>
                              <a:ext uri="{28A0092B-C50C-407E-A947-70E740481C1C}">
                                <a14:useLocalDpi xmlns:a14="http://schemas.microsoft.com/office/drawing/2010/main" val="0"/>
                              </a:ext>
                            </a:extLst>
                          </a:blip>
                          <a:srcRect l="-7600"/>
                          <a:stretch>
                            <a:fillRect/>
                          </a:stretch>
                        </pic:blipFill>
                        <pic:spPr bwMode="auto">
                          <a:xfrm>
                            <a:off x="0" y="0"/>
                            <a:ext cx="342900" cy="342900"/>
                          </a:xfrm>
                          <a:prstGeom prst="rect">
                            <a:avLst/>
                          </a:prstGeom>
                          <a:noFill/>
                          <a:ln>
                            <a:noFill/>
                          </a:ln>
                        </pic:spPr>
                      </pic:pic>
                    </a:graphicData>
                  </a:graphic>
                </wp:inline>
              </w:drawing>
            </w:r>
          </w:p>
        </w:tc>
        <w:tc>
          <w:tcPr>
            <w:tcW w:w="6952" w:type="dxa"/>
            <w:shd w:val="clear" w:color="auto" w:fill="31849B"/>
            <w:vAlign w:val="center"/>
            <w:hideMark/>
          </w:tcPr>
          <w:p w14:paraId="4D10C04A" w14:textId="77777777" w:rsidR="009B1D59" w:rsidRPr="00272ED8" w:rsidRDefault="009B1D59" w:rsidP="008575FE">
            <w:pPr>
              <w:keepNext/>
              <w:spacing w:before="240" w:after="0" w:line="240" w:lineRule="atLeast"/>
              <w:outlineLvl w:val="2"/>
              <w:rPr>
                <w:rFonts w:ascii="Arial" w:hAnsi="Arial" w:cs="Arial"/>
                <w:b/>
                <w:bCs/>
                <w:color w:val="FFFFFF"/>
                <w:sz w:val="22"/>
                <w:szCs w:val="22"/>
              </w:rPr>
            </w:pPr>
            <w:r w:rsidRPr="00272ED8">
              <w:rPr>
                <w:rFonts w:ascii="Arial" w:hAnsi="Arial" w:cs="Arial"/>
                <w:b/>
                <w:bCs/>
                <w:color w:val="FFFFFF"/>
                <w:sz w:val="22"/>
                <w:szCs w:val="22"/>
              </w:rPr>
              <w:t>Consumer friendly practices</w:t>
            </w:r>
          </w:p>
        </w:tc>
      </w:tr>
    </w:tbl>
    <w:p w14:paraId="23CB5391" w14:textId="77777777" w:rsidR="009B1D59" w:rsidRPr="00272ED8" w:rsidRDefault="009B1D59" w:rsidP="009B1D59">
      <w:pPr>
        <w:suppressAutoHyphens/>
        <w:rPr>
          <w:rFonts w:ascii="Arial" w:hAnsi="Arial" w:cs="Arial"/>
          <w:snapToGrid w:val="0"/>
          <w:color w:val="000000"/>
          <w:sz w:val="22"/>
          <w:szCs w:val="22"/>
        </w:rPr>
      </w:pPr>
      <w:r w:rsidRPr="00272ED8">
        <w:rPr>
          <w:rFonts w:ascii="Arial" w:hAnsi="Arial" w:cs="Arial"/>
          <w:snapToGrid w:val="0"/>
          <w:color w:val="000000"/>
          <w:sz w:val="22"/>
          <w:szCs w:val="22"/>
        </w:rPr>
        <w:t xml:space="preserve">The examples below are practices that will generally meet obligations under the Rules and are consumer friendly: </w:t>
      </w:r>
    </w:p>
    <w:p w14:paraId="4A51A1E4" w14:textId="743297B5" w:rsidR="009B1D59" w:rsidRPr="009C71A5" w:rsidRDefault="009B1D59" w:rsidP="009B1D59">
      <w:pPr>
        <w:numPr>
          <w:ilvl w:val="0"/>
          <w:numId w:val="2"/>
        </w:numPr>
        <w:spacing w:before="0" w:line="257" w:lineRule="auto"/>
        <w:rPr>
          <w:rFonts w:ascii="Arial" w:eastAsia="Calibri" w:hAnsi="Arial" w:cs="Arial"/>
          <w:color w:val="000000"/>
          <w:sz w:val="22"/>
          <w:szCs w:val="22"/>
        </w:rPr>
      </w:pPr>
      <w:r w:rsidRPr="00026D90">
        <w:rPr>
          <w:rFonts w:ascii="Arial" w:eastAsia="Calibri" w:hAnsi="Arial" w:cs="Arial"/>
          <w:color w:val="000000"/>
          <w:sz w:val="22"/>
          <w:szCs w:val="22"/>
        </w:rPr>
        <w:t xml:space="preserve">Use express consent based on clear terms and conditions that are </w:t>
      </w:r>
      <w:r w:rsidRPr="009C71A5">
        <w:rPr>
          <w:rFonts w:ascii="Arial" w:eastAsia="Calibri" w:hAnsi="Arial" w:cs="Arial"/>
          <w:sz w:val="22"/>
          <w:szCs w:val="22"/>
        </w:rPr>
        <w:t xml:space="preserve">readily accessible to consumers at the point consent is obtained and not hidden away in fine print, lengthy privacy policies or that require multiple click-throughs to </w:t>
      </w:r>
      <w:proofErr w:type="gramStart"/>
      <w:r w:rsidRPr="009C71A5">
        <w:rPr>
          <w:rFonts w:ascii="Arial" w:eastAsia="Calibri" w:hAnsi="Arial" w:cs="Arial"/>
          <w:sz w:val="22"/>
          <w:szCs w:val="22"/>
        </w:rPr>
        <w:t>find</w:t>
      </w:r>
      <w:proofErr w:type="gramEnd"/>
    </w:p>
    <w:p w14:paraId="38BC74DB" w14:textId="48AC8998" w:rsidR="009B1D59" w:rsidRPr="009C71A5" w:rsidRDefault="009B1D59" w:rsidP="009B1D59">
      <w:pPr>
        <w:numPr>
          <w:ilvl w:val="0"/>
          <w:numId w:val="2"/>
        </w:numPr>
        <w:spacing w:before="0" w:line="257" w:lineRule="auto"/>
        <w:rPr>
          <w:rFonts w:ascii="Arial" w:eastAsia="Calibri" w:hAnsi="Arial" w:cs="Arial"/>
          <w:color w:val="000000"/>
          <w:sz w:val="22"/>
          <w:szCs w:val="22"/>
        </w:rPr>
      </w:pPr>
      <w:r w:rsidRPr="009C71A5">
        <w:rPr>
          <w:rFonts w:ascii="Arial" w:eastAsia="Calibri" w:hAnsi="Arial" w:cs="Arial"/>
          <w:color w:val="000000"/>
          <w:sz w:val="22"/>
          <w:szCs w:val="22"/>
        </w:rPr>
        <w:t>Use consent terms and conditions that cover:</w:t>
      </w:r>
    </w:p>
    <w:p w14:paraId="30DBC4E9" w14:textId="77777777" w:rsidR="009B1D59" w:rsidRPr="009C71A5" w:rsidRDefault="009B1D59" w:rsidP="009B1D59">
      <w:pPr>
        <w:numPr>
          <w:ilvl w:val="1"/>
          <w:numId w:val="2"/>
        </w:numPr>
        <w:spacing w:before="0" w:line="257" w:lineRule="auto"/>
        <w:ind w:left="709"/>
        <w:rPr>
          <w:rFonts w:ascii="Arial" w:eastAsia="Calibri" w:hAnsi="Arial" w:cs="Arial"/>
          <w:color w:val="000000"/>
          <w:sz w:val="22"/>
          <w:szCs w:val="22"/>
        </w:rPr>
      </w:pPr>
      <w:r w:rsidRPr="00026D90">
        <w:rPr>
          <w:rFonts w:ascii="Arial" w:eastAsia="Calibri" w:hAnsi="Arial" w:cs="Arial"/>
          <w:color w:val="000000"/>
          <w:sz w:val="22"/>
          <w:szCs w:val="22"/>
        </w:rPr>
        <w:t xml:space="preserve">what it is for </w:t>
      </w:r>
      <w:r w:rsidRPr="009C71A5">
        <w:rPr>
          <w:rFonts w:ascii="Arial" w:eastAsia="Calibri" w:hAnsi="Arial" w:cs="Arial"/>
          <w:color w:val="000000"/>
          <w:sz w:val="22"/>
          <w:szCs w:val="22"/>
        </w:rPr>
        <w:t>(including for what types of products and marketing channels)</w:t>
      </w:r>
    </w:p>
    <w:p w14:paraId="7A1DDFD4" w14:textId="77777777" w:rsidR="009B1D59" w:rsidRPr="009C71A5" w:rsidRDefault="009B1D59" w:rsidP="009B1D59">
      <w:pPr>
        <w:numPr>
          <w:ilvl w:val="1"/>
          <w:numId w:val="2"/>
        </w:numPr>
        <w:spacing w:before="0" w:line="257" w:lineRule="auto"/>
        <w:ind w:left="709"/>
        <w:rPr>
          <w:rFonts w:ascii="Arial" w:eastAsia="Calibri" w:hAnsi="Arial" w:cs="Arial"/>
          <w:color w:val="000000"/>
          <w:sz w:val="22"/>
          <w:szCs w:val="22"/>
        </w:rPr>
      </w:pPr>
      <w:r w:rsidRPr="009C71A5">
        <w:rPr>
          <w:rFonts w:ascii="Arial" w:eastAsia="Calibri" w:hAnsi="Arial" w:cs="Arial"/>
          <w:color w:val="000000"/>
          <w:sz w:val="22"/>
          <w:szCs w:val="22"/>
        </w:rPr>
        <w:t>who will use it (including affiliates and partners)</w:t>
      </w:r>
    </w:p>
    <w:p w14:paraId="6720C944" w14:textId="77777777" w:rsidR="009B1D59" w:rsidRPr="009C71A5" w:rsidRDefault="009B1D59" w:rsidP="009B1D59">
      <w:pPr>
        <w:numPr>
          <w:ilvl w:val="1"/>
          <w:numId w:val="2"/>
        </w:numPr>
        <w:spacing w:before="0" w:line="257" w:lineRule="auto"/>
        <w:ind w:left="709"/>
        <w:rPr>
          <w:rFonts w:ascii="Arial" w:eastAsia="Calibri" w:hAnsi="Arial" w:cs="Arial"/>
          <w:color w:val="000000"/>
          <w:sz w:val="22"/>
          <w:szCs w:val="22"/>
        </w:rPr>
      </w:pPr>
      <w:r w:rsidRPr="009C71A5">
        <w:rPr>
          <w:rFonts w:ascii="Arial" w:eastAsia="Calibri" w:hAnsi="Arial" w:cs="Arial"/>
          <w:color w:val="000000"/>
          <w:sz w:val="22"/>
          <w:szCs w:val="22"/>
        </w:rPr>
        <w:t xml:space="preserve">how long it will be </w:t>
      </w:r>
      <w:proofErr w:type="gramStart"/>
      <w:r w:rsidRPr="009C71A5">
        <w:rPr>
          <w:rFonts w:ascii="Arial" w:eastAsia="Calibri" w:hAnsi="Arial" w:cs="Arial"/>
          <w:color w:val="000000"/>
          <w:sz w:val="22"/>
          <w:szCs w:val="22"/>
        </w:rPr>
        <w:t>used</w:t>
      </w:r>
      <w:proofErr w:type="gramEnd"/>
    </w:p>
    <w:p w14:paraId="6FD61C47" w14:textId="77777777" w:rsidR="009B1D59" w:rsidRPr="009C71A5" w:rsidRDefault="009B1D59" w:rsidP="009B1D59">
      <w:pPr>
        <w:numPr>
          <w:ilvl w:val="1"/>
          <w:numId w:val="2"/>
        </w:numPr>
        <w:spacing w:before="0" w:line="257" w:lineRule="auto"/>
        <w:ind w:left="709"/>
        <w:rPr>
          <w:rFonts w:ascii="Arial" w:eastAsia="Calibri" w:hAnsi="Arial" w:cs="Arial"/>
          <w:color w:val="000000"/>
          <w:sz w:val="22"/>
          <w:szCs w:val="22"/>
        </w:rPr>
      </w:pPr>
      <w:r w:rsidRPr="009C71A5">
        <w:rPr>
          <w:rFonts w:ascii="Arial" w:eastAsia="Calibri" w:hAnsi="Arial" w:cs="Arial"/>
          <w:color w:val="000000"/>
          <w:sz w:val="22"/>
          <w:szCs w:val="22"/>
        </w:rPr>
        <w:t xml:space="preserve">how it can be withdrawn </w:t>
      </w:r>
    </w:p>
    <w:p w14:paraId="0407C330" w14:textId="77777777" w:rsidR="009B1D59" w:rsidRPr="009C71A5" w:rsidRDefault="009B1D59" w:rsidP="009B1D59">
      <w:pPr>
        <w:numPr>
          <w:ilvl w:val="0"/>
          <w:numId w:val="2"/>
        </w:numPr>
        <w:spacing w:before="0" w:line="257" w:lineRule="auto"/>
        <w:ind w:left="357" w:hanging="357"/>
        <w:rPr>
          <w:rFonts w:ascii="Arial" w:eastAsia="Calibri" w:hAnsi="Arial" w:cs="Arial"/>
          <w:sz w:val="22"/>
          <w:szCs w:val="22"/>
        </w:rPr>
      </w:pPr>
      <w:r w:rsidRPr="00026D90">
        <w:rPr>
          <w:rFonts w:ascii="Arial" w:eastAsia="Calibri" w:hAnsi="Arial" w:cs="Arial"/>
          <w:color w:val="000000"/>
          <w:sz w:val="22"/>
          <w:szCs w:val="22"/>
        </w:rPr>
        <w:t>Consider using a</w:t>
      </w:r>
      <w:r w:rsidRPr="009C71A5">
        <w:rPr>
          <w:rFonts w:ascii="Arial" w:eastAsia="Calibri" w:hAnsi="Arial" w:cs="Arial"/>
          <w:sz w:val="22"/>
          <w:szCs w:val="22"/>
        </w:rPr>
        <w:t xml:space="preserve"> double opt-in when obtaining consent, such as an email confirmation that consent has been given, possibly with the confirmatory email providing a click-through link or other reference to a ‘manage user preferences’ </w:t>
      </w:r>
      <w:proofErr w:type="gramStart"/>
      <w:r w:rsidRPr="009C71A5">
        <w:rPr>
          <w:rFonts w:ascii="Arial" w:eastAsia="Calibri" w:hAnsi="Arial" w:cs="Arial"/>
          <w:sz w:val="22"/>
          <w:szCs w:val="22"/>
        </w:rPr>
        <w:t>page</w:t>
      </w:r>
      <w:proofErr w:type="gramEnd"/>
    </w:p>
    <w:p w14:paraId="38D7B16D" w14:textId="77777777" w:rsidR="009B1D59" w:rsidRPr="009C71A5" w:rsidRDefault="009B1D59" w:rsidP="009B1D59">
      <w:pPr>
        <w:numPr>
          <w:ilvl w:val="0"/>
          <w:numId w:val="2"/>
        </w:numPr>
        <w:spacing w:before="0" w:line="257" w:lineRule="auto"/>
        <w:ind w:left="357" w:hanging="357"/>
        <w:rPr>
          <w:rFonts w:ascii="Arial" w:eastAsia="Calibri" w:hAnsi="Arial" w:cs="Arial"/>
          <w:sz w:val="22"/>
          <w:szCs w:val="22"/>
        </w:rPr>
      </w:pPr>
      <w:r w:rsidRPr="009C71A5">
        <w:rPr>
          <w:rFonts w:ascii="Arial" w:eastAsia="Calibri" w:hAnsi="Arial" w:cs="Arial"/>
          <w:sz w:val="22"/>
          <w:szCs w:val="22"/>
        </w:rPr>
        <w:t xml:space="preserve">Consider carefully whether to rely upon the use of inferred consent, for example, use it only where there is a clear, current or ongoing relationship with the individual and the goods or services being marketed are directly related to that </w:t>
      </w:r>
      <w:proofErr w:type="gramStart"/>
      <w:r w:rsidRPr="009C71A5">
        <w:rPr>
          <w:rFonts w:ascii="Arial" w:eastAsia="Calibri" w:hAnsi="Arial" w:cs="Arial"/>
          <w:sz w:val="22"/>
          <w:szCs w:val="22"/>
        </w:rPr>
        <w:t>relationship</w:t>
      </w:r>
      <w:proofErr w:type="gramEnd"/>
    </w:p>
    <w:p w14:paraId="45BE63C9" w14:textId="77777777" w:rsidR="009B1D59" w:rsidRPr="009C71A5" w:rsidRDefault="009B1D59" w:rsidP="009B1D59">
      <w:pPr>
        <w:numPr>
          <w:ilvl w:val="0"/>
          <w:numId w:val="2"/>
        </w:numPr>
        <w:spacing w:before="0" w:line="257" w:lineRule="auto"/>
        <w:ind w:left="357" w:hanging="357"/>
        <w:rPr>
          <w:rFonts w:ascii="Arial" w:eastAsia="Calibri" w:hAnsi="Arial" w:cs="Arial"/>
          <w:sz w:val="22"/>
          <w:szCs w:val="22"/>
        </w:rPr>
      </w:pPr>
      <w:r w:rsidRPr="009C71A5">
        <w:rPr>
          <w:rFonts w:ascii="Arial" w:eastAsia="Calibri" w:hAnsi="Arial" w:cs="Arial"/>
          <w:sz w:val="22"/>
          <w:szCs w:val="22"/>
        </w:rPr>
        <w:t xml:space="preserve">Terminate a telemarketing call immediately if a recipient indicates in any way that they want it to </w:t>
      </w:r>
      <w:proofErr w:type="gramStart"/>
      <w:r w:rsidRPr="009C71A5">
        <w:rPr>
          <w:rFonts w:ascii="Arial" w:eastAsia="Calibri" w:hAnsi="Arial" w:cs="Arial"/>
          <w:sz w:val="22"/>
          <w:szCs w:val="22"/>
        </w:rPr>
        <w:t>stop</w:t>
      </w:r>
      <w:proofErr w:type="gramEnd"/>
      <w:r w:rsidRPr="009C71A5">
        <w:rPr>
          <w:rFonts w:ascii="Arial" w:eastAsia="Calibri" w:hAnsi="Arial" w:cs="Arial"/>
          <w:sz w:val="22"/>
          <w:szCs w:val="22"/>
        </w:rPr>
        <w:t xml:space="preserve"> </w:t>
      </w:r>
    </w:p>
    <w:p w14:paraId="3406F0E9" w14:textId="77777777" w:rsidR="009B1D59" w:rsidRPr="00026D90" w:rsidRDefault="009B1D59" w:rsidP="009B1D59">
      <w:pPr>
        <w:numPr>
          <w:ilvl w:val="0"/>
          <w:numId w:val="2"/>
        </w:numPr>
        <w:spacing w:before="0" w:line="257" w:lineRule="auto"/>
        <w:ind w:left="357" w:hanging="357"/>
        <w:rPr>
          <w:rFonts w:ascii="Arial" w:eastAsia="Calibri" w:hAnsi="Arial" w:cs="Arial"/>
          <w:sz w:val="22"/>
          <w:szCs w:val="22"/>
        </w:rPr>
      </w:pPr>
      <w:r w:rsidRPr="009C71A5">
        <w:rPr>
          <w:rFonts w:ascii="Arial" w:eastAsia="Calibri" w:hAnsi="Arial" w:cs="Arial"/>
          <w:sz w:val="22"/>
          <w:szCs w:val="22"/>
        </w:rPr>
        <w:t xml:space="preserve">Remove a person from call or marketing lists if they ask you to do </w:t>
      </w:r>
      <w:proofErr w:type="gramStart"/>
      <w:r w:rsidRPr="009C71A5">
        <w:rPr>
          <w:rFonts w:ascii="Arial" w:eastAsia="Calibri" w:hAnsi="Arial" w:cs="Arial"/>
          <w:sz w:val="22"/>
          <w:szCs w:val="22"/>
        </w:rPr>
        <w:t>so</w:t>
      </w:r>
      <w:proofErr w:type="gramEnd"/>
    </w:p>
    <w:p w14:paraId="0954DAC9" w14:textId="77777777" w:rsidR="009B1D59" w:rsidRPr="009C71A5" w:rsidRDefault="009B1D59" w:rsidP="009B1D59">
      <w:pPr>
        <w:numPr>
          <w:ilvl w:val="0"/>
          <w:numId w:val="2"/>
        </w:numPr>
        <w:spacing w:before="0" w:line="257" w:lineRule="auto"/>
        <w:ind w:left="357" w:hanging="357"/>
        <w:rPr>
          <w:rFonts w:ascii="Arial" w:eastAsia="Calibri" w:hAnsi="Arial" w:cs="Arial"/>
          <w:sz w:val="22"/>
          <w:szCs w:val="22"/>
        </w:rPr>
      </w:pPr>
      <w:r w:rsidRPr="009C71A5">
        <w:rPr>
          <w:rFonts w:ascii="Arial" w:eastAsia="Calibri" w:hAnsi="Arial" w:cs="Arial"/>
          <w:sz w:val="22"/>
          <w:szCs w:val="22"/>
        </w:rPr>
        <w:t xml:space="preserve">Have easy to use unsubscribe facilities in all commercial electronic </w:t>
      </w:r>
      <w:proofErr w:type="gramStart"/>
      <w:r w:rsidRPr="009C71A5">
        <w:rPr>
          <w:rFonts w:ascii="Arial" w:eastAsia="Calibri" w:hAnsi="Arial" w:cs="Arial"/>
          <w:sz w:val="22"/>
          <w:szCs w:val="22"/>
        </w:rPr>
        <w:t>messages</w:t>
      </w:r>
      <w:proofErr w:type="gramEnd"/>
    </w:p>
    <w:p w14:paraId="175A1715" w14:textId="77777777" w:rsidR="009B1D59" w:rsidRPr="009C71A5" w:rsidRDefault="009B1D59" w:rsidP="009B1D59">
      <w:pPr>
        <w:numPr>
          <w:ilvl w:val="0"/>
          <w:numId w:val="2"/>
        </w:numPr>
        <w:spacing w:before="0" w:line="257" w:lineRule="auto"/>
        <w:ind w:left="357" w:hanging="357"/>
        <w:rPr>
          <w:rFonts w:ascii="Arial" w:eastAsia="Calibri" w:hAnsi="Arial" w:cs="Arial"/>
          <w:sz w:val="22"/>
          <w:szCs w:val="22"/>
        </w:rPr>
      </w:pPr>
      <w:r w:rsidRPr="009C71A5">
        <w:rPr>
          <w:rFonts w:ascii="Arial" w:eastAsia="Calibri" w:hAnsi="Arial" w:cs="Arial"/>
          <w:sz w:val="22"/>
          <w:szCs w:val="22"/>
        </w:rPr>
        <w:t xml:space="preserve">Action </w:t>
      </w:r>
      <w:proofErr w:type="gramStart"/>
      <w:r w:rsidRPr="009C71A5">
        <w:rPr>
          <w:rFonts w:ascii="Arial" w:eastAsia="Calibri" w:hAnsi="Arial" w:cs="Arial"/>
          <w:sz w:val="22"/>
          <w:szCs w:val="22"/>
        </w:rPr>
        <w:t>unsubscribe</w:t>
      </w:r>
      <w:proofErr w:type="gramEnd"/>
      <w:r w:rsidRPr="009C71A5">
        <w:rPr>
          <w:rFonts w:ascii="Arial" w:eastAsia="Calibri" w:hAnsi="Arial" w:cs="Arial"/>
          <w:sz w:val="22"/>
          <w:szCs w:val="22"/>
        </w:rPr>
        <w:t xml:space="preserve"> requests as quickly as practicable, and always </w:t>
      </w:r>
      <w:r w:rsidRPr="00026D90">
        <w:rPr>
          <w:rFonts w:ascii="Arial" w:eastAsia="Calibri" w:hAnsi="Arial" w:cs="Arial"/>
          <w:sz w:val="22"/>
          <w:szCs w:val="22"/>
        </w:rPr>
        <w:t xml:space="preserve">within a maximum of </w:t>
      </w:r>
      <w:r w:rsidRPr="009C71A5">
        <w:rPr>
          <w:rFonts w:ascii="Arial" w:eastAsia="Calibri" w:hAnsi="Arial" w:cs="Arial"/>
          <w:sz w:val="22"/>
          <w:szCs w:val="22"/>
        </w:rPr>
        <w:t xml:space="preserve">5 business days </w:t>
      </w:r>
    </w:p>
    <w:p w14:paraId="76342DBC" w14:textId="22552B32" w:rsidR="009B1D59" w:rsidRPr="009C71A5" w:rsidRDefault="009B1D59" w:rsidP="009B1D59">
      <w:pPr>
        <w:numPr>
          <w:ilvl w:val="0"/>
          <w:numId w:val="2"/>
        </w:numPr>
        <w:spacing w:before="0" w:line="257" w:lineRule="auto"/>
        <w:ind w:left="357" w:hanging="357"/>
        <w:rPr>
          <w:rFonts w:ascii="Arial" w:eastAsia="Calibri" w:hAnsi="Arial" w:cs="Arial"/>
          <w:sz w:val="22"/>
          <w:szCs w:val="22"/>
        </w:rPr>
      </w:pPr>
      <w:r w:rsidRPr="009C71A5">
        <w:rPr>
          <w:rFonts w:ascii="Arial" w:eastAsia="Calibri" w:hAnsi="Arial" w:cs="Arial"/>
          <w:sz w:val="22"/>
          <w:szCs w:val="22"/>
        </w:rPr>
        <w:t>Ensure that when an individual wants to unsubscribe, they are given a straightforward option of unsubscribing from all marketing messages (</w:t>
      </w:r>
      <w:proofErr w:type="gramStart"/>
      <w:r w:rsidRPr="009C71A5">
        <w:rPr>
          <w:rFonts w:ascii="Arial" w:eastAsia="Calibri" w:hAnsi="Arial" w:cs="Arial"/>
          <w:sz w:val="22"/>
          <w:szCs w:val="22"/>
        </w:rPr>
        <w:t xml:space="preserve">not </w:t>
      </w:r>
      <w:r w:rsidR="00837B8D">
        <w:rPr>
          <w:rFonts w:ascii="Arial" w:eastAsia="Calibri" w:hAnsi="Arial" w:cs="Arial"/>
          <w:sz w:val="22"/>
          <w:szCs w:val="22"/>
        </w:rPr>
        <w:t xml:space="preserve">only </w:t>
      </w:r>
      <w:r w:rsidRPr="009C71A5">
        <w:rPr>
          <w:rFonts w:ascii="Arial" w:eastAsia="Calibri" w:hAnsi="Arial" w:cs="Arial"/>
          <w:sz w:val="22"/>
          <w:szCs w:val="22"/>
        </w:rPr>
        <w:t>some</w:t>
      </w:r>
      <w:proofErr w:type="gramEnd"/>
      <w:r w:rsidRPr="009C71A5">
        <w:rPr>
          <w:rFonts w:ascii="Arial" w:eastAsia="Calibri" w:hAnsi="Arial" w:cs="Arial"/>
          <w:sz w:val="22"/>
          <w:szCs w:val="22"/>
        </w:rPr>
        <w:t>).</w:t>
      </w:r>
    </w:p>
    <w:p w14:paraId="4ACB6C79" w14:textId="77777777" w:rsidR="009B1D59" w:rsidRPr="00272ED8" w:rsidRDefault="009B1D59" w:rsidP="009B1D59">
      <w:pPr>
        <w:spacing w:before="0" w:after="0" w:line="240" w:lineRule="auto"/>
        <w:rPr>
          <w:rFonts w:ascii="Arial" w:hAnsi="Arial" w:cs="Arial"/>
          <w:b/>
          <w:bCs/>
          <w:color w:val="000000"/>
          <w:sz w:val="22"/>
          <w:szCs w:val="22"/>
          <w:lang w:eastAsia="en-AU"/>
        </w:rPr>
      </w:pPr>
      <w:r w:rsidRPr="00272ED8">
        <w:rPr>
          <w:rFonts w:ascii="Arial" w:hAnsi="Arial" w:cs="Arial"/>
          <w:b/>
          <w:bCs/>
          <w:color w:val="000000"/>
          <w:sz w:val="22"/>
          <w:szCs w:val="22"/>
          <w:lang w:eastAsia="en-AU"/>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9"/>
        <w:gridCol w:w="6952"/>
      </w:tblGrid>
      <w:tr w:rsidR="009B1D59" w:rsidRPr="00272ED8" w14:paraId="75A89D44" w14:textId="77777777" w:rsidTr="008575FE">
        <w:tc>
          <w:tcPr>
            <w:tcW w:w="709" w:type="dxa"/>
            <w:shd w:val="clear" w:color="auto" w:fill="31849B"/>
            <w:hideMark/>
          </w:tcPr>
          <w:p w14:paraId="790D3C70" w14:textId="77777777" w:rsidR="009B1D59" w:rsidRPr="00272ED8" w:rsidRDefault="009B1D59" w:rsidP="008575FE">
            <w:pPr>
              <w:keepNext/>
              <w:spacing w:before="0" w:after="40" w:line="240" w:lineRule="atLeast"/>
              <w:outlineLvl w:val="2"/>
              <w:rPr>
                <w:rFonts w:ascii="Arial" w:hAnsi="Arial" w:cs="Arial"/>
                <w:b/>
                <w:bCs/>
                <w:noProof/>
                <w:color w:val="FFFFFF"/>
                <w:sz w:val="22"/>
                <w:szCs w:val="22"/>
              </w:rPr>
            </w:pPr>
            <w:r w:rsidRPr="00272ED8">
              <w:rPr>
                <w:rFonts w:ascii="Arial" w:hAnsi="Arial" w:cs="Arial"/>
                <w:b/>
                <w:bCs/>
                <w:noProof/>
                <w:color w:val="FFFFFF"/>
                <w:sz w:val="22"/>
                <w:szCs w:val="22"/>
              </w:rPr>
              <w:lastRenderedPageBreak/>
              <w:drawing>
                <wp:inline distT="0" distB="0" distL="0" distR="0" wp14:anchorId="1DF6524C" wp14:editId="0DBFFA1D">
                  <wp:extent cx="342900" cy="342900"/>
                  <wp:effectExtent l="0" t="0" r="0" b="0"/>
                  <wp:docPr id="3" name="Picture 3"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descr="Lights On with solid fill"/>
                          <pic:cNvPicPr>
                            <a:picLocks noChangeAspect="1" noChangeArrowheads="1"/>
                          </pic:cNvPicPr>
                        </pic:nvPicPr>
                        <pic:blipFill>
                          <a:blip r:embed="rId12">
                            <a:extLst>
                              <a:ext uri="{28A0092B-C50C-407E-A947-70E740481C1C}">
                                <a14:useLocalDpi xmlns:a14="http://schemas.microsoft.com/office/drawing/2010/main" val="0"/>
                              </a:ext>
                            </a:extLst>
                          </a:blip>
                          <a:srcRect l="-7600"/>
                          <a:stretch>
                            <a:fillRect/>
                          </a:stretch>
                        </pic:blipFill>
                        <pic:spPr bwMode="auto">
                          <a:xfrm>
                            <a:off x="0" y="0"/>
                            <a:ext cx="342900" cy="342900"/>
                          </a:xfrm>
                          <a:prstGeom prst="rect">
                            <a:avLst/>
                          </a:prstGeom>
                          <a:noFill/>
                          <a:ln>
                            <a:noFill/>
                          </a:ln>
                        </pic:spPr>
                      </pic:pic>
                    </a:graphicData>
                  </a:graphic>
                </wp:inline>
              </w:drawing>
            </w:r>
          </w:p>
        </w:tc>
        <w:tc>
          <w:tcPr>
            <w:tcW w:w="6952" w:type="dxa"/>
            <w:shd w:val="clear" w:color="auto" w:fill="31849B"/>
            <w:vAlign w:val="center"/>
            <w:hideMark/>
          </w:tcPr>
          <w:p w14:paraId="0BD496C4" w14:textId="77777777" w:rsidR="009B1D59" w:rsidRPr="00272ED8" w:rsidRDefault="009B1D59" w:rsidP="008575FE">
            <w:pPr>
              <w:keepNext/>
              <w:spacing w:before="240" w:after="0" w:line="240" w:lineRule="atLeast"/>
              <w:outlineLvl w:val="2"/>
              <w:rPr>
                <w:rFonts w:ascii="Arial" w:hAnsi="Arial" w:cs="Arial"/>
                <w:b/>
                <w:bCs/>
                <w:color w:val="FFFFFF"/>
                <w:sz w:val="22"/>
                <w:szCs w:val="22"/>
              </w:rPr>
            </w:pPr>
            <w:r w:rsidRPr="00272ED8">
              <w:rPr>
                <w:rFonts w:ascii="Arial" w:hAnsi="Arial" w:cs="Arial"/>
                <w:b/>
                <w:bCs/>
                <w:color w:val="FFFFFF"/>
                <w:sz w:val="22"/>
                <w:szCs w:val="22"/>
              </w:rPr>
              <w:t>Consumer unfriendly practices</w:t>
            </w:r>
          </w:p>
        </w:tc>
      </w:tr>
    </w:tbl>
    <w:p w14:paraId="60A61F28" w14:textId="77777777" w:rsidR="009B1D59" w:rsidRPr="00272ED8" w:rsidRDefault="009B1D59" w:rsidP="009B1D59">
      <w:pPr>
        <w:spacing w:before="120" w:after="284" w:line="240" w:lineRule="atLeast"/>
        <w:rPr>
          <w:rFonts w:ascii="Arial" w:hAnsi="Arial" w:cs="Arial"/>
          <w:color w:val="000000"/>
          <w:sz w:val="22"/>
          <w:szCs w:val="22"/>
          <w:lang w:eastAsia="en-AU"/>
        </w:rPr>
      </w:pPr>
      <w:r w:rsidRPr="00272ED8">
        <w:rPr>
          <w:rFonts w:ascii="Arial" w:hAnsi="Arial" w:cs="Arial"/>
          <w:color w:val="000000"/>
          <w:sz w:val="22"/>
          <w:szCs w:val="22"/>
          <w:lang w:eastAsia="en-AU"/>
        </w:rPr>
        <w:t>The examples below will generally not meet the ACMA’s expectations and are likely to frustrate consumers:</w:t>
      </w:r>
    </w:p>
    <w:p w14:paraId="60061945" w14:textId="36DEF3B9" w:rsidR="009B1D59" w:rsidRPr="00272ED8" w:rsidRDefault="009B1D59" w:rsidP="009B1D59">
      <w:pPr>
        <w:numPr>
          <w:ilvl w:val="0"/>
          <w:numId w:val="3"/>
        </w:numPr>
        <w:spacing w:before="0" w:line="256" w:lineRule="auto"/>
        <w:rPr>
          <w:rFonts w:ascii="Arial" w:eastAsia="Calibri" w:hAnsi="Arial" w:cs="Arial"/>
          <w:color w:val="000000"/>
          <w:sz w:val="22"/>
          <w:szCs w:val="22"/>
        </w:rPr>
      </w:pPr>
      <w:r w:rsidRPr="00272ED8">
        <w:rPr>
          <w:rFonts w:ascii="Arial" w:eastAsia="Calibri" w:hAnsi="Arial" w:cs="Arial"/>
          <w:color w:val="000000"/>
          <w:sz w:val="22"/>
          <w:szCs w:val="22"/>
        </w:rPr>
        <w:t xml:space="preserve">Do not place contact details on marketing lists or </w:t>
      </w:r>
      <w:r w:rsidRPr="009C71A5">
        <w:rPr>
          <w:rFonts w:ascii="ArialMT" w:eastAsia="Calibri" w:hAnsi="ArialMT" w:cs="ArialMT"/>
          <w:sz w:val="22"/>
          <w:szCs w:val="22"/>
        </w:rPr>
        <w:t xml:space="preserve">marketing </w:t>
      </w:r>
      <w:r w:rsidRPr="009C71A5">
        <w:rPr>
          <w:rFonts w:ascii="Arial" w:eastAsia="Calibri" w:hAnsi="Arial" w:cs="Arial"/>
          <w:sz w:val="22"/>
          <w:szCs w:val="22"/>
        </w:rPr>
        <w:t>databases without consent (for example, if a consumer visits a website or sends an email to a business it is unlikely to constitute consent</w:t>
      </w:r>
      <w:r w:rsidRPr="009C71A5">
        <w:rPr>
          <w:rFonts w:ascii="ArialMT" w:eastAsia="Calibri" w:hAnsi="ArialMT" w:cs="ArialMT"/>
          <w:sz w:val="22"/>
          <w:szCs w:val="22"/>
        </w:rPr>
        <w:t xml:space="preserve"> to inclusion on a marketing list or in a marketing database</w:t>
      </w:r>
      <w:r w:rsidRPr="00026D90">
        <w:rPr>
          <w:rFonts w:ascii="Arial" w:eastAsia="Calibri" w:hAnsi="Arial" w:cs="Arial"/>
          <w:sz w:val="22"/>
          <w:szCs w:val="22"/>
        </w:rPr>
        <w:t>)</w:t>
      </w:r>
    </w:p>
    <w:p w14:paraId="650460CE" w14:textId="3866ED0A" w:rsidR="009B1D59" w:rsidRPr="009C71A5" w:rsidRDefault="009B1D59" w:rsidP="009B1D59">
      <w:pPr>
        <w:numPr>
          <w:ilvl w:val="0"/>
          <w:numId w:val="3"/>
        </w:numPr>
        <w:spacing w:before="0" w:line="256" w:lineRule="auto"/>
        <w:rPr>
          <w:rFonts w:ascii="Arial" w:eastAsia="Calibri" w:hAnsi="Arial" w:cs="Arial"/>
          <w:color w:val="000000"/>
          <w:sz w:val="22"/>
          <w:szCs w:val="22"/>
        </w:rPr>
      </w:pPr>
      <w:r w:rsidRPr="009C71A5">
        <w:rPr>
          <w:rFonts w:ascii="Arial" w:eastAsia="Calibri" w:hAnsi="Arial" w:cs="Arial"/>
          <w:color w:val="000000"/>
          <w:sz w:val="22"/>
          <w:szCs w:val="22"/>
        </w:rPr>
        <w:t xml:space="preserve">Do not use consent that is old, where a consumer would not expect it to still apply (for example, consent </w:t>
      </w:r>
      <w:r w:rsidR="00F7684D">
        <w:rPr>
          <w:rFonts w:ascii="Arial" w:eastAsia="Calibri" w:hAnsi="Arial" w:cs="Arial"/>
          <w:color w:val="000000"/>
          <w:sz w:val="22"/>
          <w:szCs w:val="22"/>
        </w:rPr>
        <w:t xml:space="preserve">to receive telemarketing </w:t>
      </w:r>
      <w:r w:rsidRPr="009C71A5">
        <w:rPr>
          <w:rFonts w:ascii="Arial" w:eastAsia="Calibri" w:hAnsi="Arial" w:cs="Arial"/>
          <w:color w:val="000000"/>
          <w:sz w:val="22"/>
          <w:szCs w:val="22"/>
        </w:rPr>
        <w:t>that is more than 3 months old become</w:t>
      </w:r>
      <w:r w:rsidR="00F7684D">
        <w:rPr>
          <w:rFonts w:ascii="Arial" w:eastAsia="Calibri" w:hAnsi="Arial" w:cs="Arial"/>
          <w:color w:val="000000"/>
          <w:sz w:val="22"/>
          <w:szCs w:val="22"/>
        </w:rPr>
        <w:t>s</w:t>
      </w:r>
      <w:r w:rsidRPr="009C71A5">
        <w:rPr>
          <w:rFonts w:ascii="Arial" w:eastAsia="Calibri" w:hAnsi="Arial" w:cs="Arial"/>
          <w:color w:val="000000"/>
          <w:sz w:val="22"/>
          <w:szCs w:val="22"/>
        </w:rPr>
        <w:t xml:space="preserve"> stale unless a consumer has agreed to a longer period under terms and conditions)</w:t>
      </w:r>
    </w:p>
    <w:p w14:paraId="22A236C8" w14:textId="510B844E" w:rsidR="009B1D59" w:rsidRPr="004C23E4" w:rsidRDefault="009B1D59" w:rsidP="009B1D59">
      <w:pPr>
        <w:numPr>
          <w:ilvl w:val="0"/>
          <w:numId w:val="3"/>
        </w:numPr>
        <w:spacing w:before="0" w:line="256" w:lineRule="auto"/>
        <w:rPr>
          <w:rFonts w:ascii="Arial" w:eastAsia="Calibri" w:hAnsi="Arial" w:cs="Arial"/>
          <w:color w:val="000000"/>
          <w:sz w:val="22"/>
          <w:szCs w:val="22"/>
        </w:rPr>
      </w:pPr>
      <w:r w:rsidRPr="004C23E4">
        <w:rPr>
          <w:rFonts w:ascii="Arial" w:eastAsia="Calibri" w:hAnsi="Arial" w:cs="Arial"/>
          <w:color w:val="000000"/>
          <w:sz w:val="22"/>
          <w:szCs w:val="22"/>
        </w:rPr>
        <w:t xml:space="preserve">Do not require consumers to log-in to accounts or provide personal information to unsubscribe (except </w:t>
      </w:r>
      <w:r w:rsidRPr="009C71A5">
        <w:rPr>
          <w:rFonts w:ascii="Arial" w:eastAsia="Calibri" w:hAnsi="Arial" w:cs="Arial"/>
          <w:sz w:val="22"/>
          <w:szCs w:val="22"/>
        </w:rPr>
        <w:t xml:space="preserve">where it is the electronic address to which the commercial electronic message was </w:t>
      </w:r>
      <w:r w:rsidR="00EA1805" w:rsidRPr="009C71A5">
        <w:rPr>
          <w:rFonts w:ascii="Arial" w:eastAsia="Calibri" w:hAnsi="Arial" w:cs="Arial"/>
          <w:sz w:val="22"/>
          <w:szCs w:val="22"/>
        </w:rPr>
        <w:t>sent,</w:t>
      </w:r>
      <w:r w:rsidRPr="009C71A5">
        <w:rPr>
          <w:rFonts w:ascii="Arial" w:eastAsia="Calibri" w:hAnsi="Arial" w:cs="Arial"/>
          <w:sz w:val="22"/>
          <w:szCs w:val="22"/>
        </w:rPr>
        <w:t xml:space="preserve"> </w:t>
      </w:r>
      <w:r w:rsidR="00026D90" w:rsidRPr="00EA1805">
        <w:rPr>
          <w:rFonts w:ascii="Arial" w:eastAsia="Calibri" w:hAnsi="Arial" w:cs="Arial"/>
          <w:sz w:val="22"/>
          <w:szCs w:val="22"/>
        </w:rPr>
        <w:t>or</w:t>
      </w:r>
      <w:r w:rsidR="00026D90" w:rsidRPr="00476848">
        <w:rPr>
          <w:rFonts w:ascii="Arial" w:eastAsia="Calibri" w:hAnsi="Arial" w:cs="Arial"/>
          <w:color w:val="008000"/>
          <w:sz w:val="22"/>
          <w:szCs w:val="22"/>
        </w:rPr>
        <w:t xml:space="preserve"> </w:t>
      </w:r>
      <w:r w:rsidRPr="004C23E4">
        <w:rPr>
          <w:rFonts w:ascii="Arial" w:eastAsia="Calibri" w:hAnsi="Arial" w:cs="Arial"/>
          <w:color w:val="000000"/>
          <w:sz w:val="22"/>
          <w:szCs w:val="22"/>
        </w:rPr>
        <w:t>the consumer has agreed to clear terms and conditions requiring the log-in)</w:t>
      </w:r>
    </w:p>
    <w:p w14:paraId="441C51ED" w14:textId="12D64251" w:rsidR="009B1D59" w:rsidRPr="00272ED8" w:rsidRDefault="009B1D59" w:rsidP="009B1D59">
      <w:pPr>
        <w:numPr>
          <w:ilvl w:val="0"/>
          <w:numId w:val="3"/>
        </w:numPr>
        <w:spacing w:before="0" w:line="256" w:lineRule="auto"/>
        <w:rPr>
          <w:rFonts w:ascii="Arial" w:eastAsia="Calibri" w:hAnsi="Arial" w:cs="Arial"/>
          <w:color w:val="000000"/>
          <w:sz w:val="22"/>
          <w:szCs w:val="22"/>
        </w:rPr>
      </w:pPr>
      <w:r w:rsidRPr="00272ED8">
        <w:rPr>
          <w:rFonts w:ascii="Arial" w:eastAsia="Calibri" w:hAnsi="Arial" w:cs="Arial"/>
          <w:color w:val="000000"/>
          <w:sz w:val="22"/>
          <w:szCs w:val="22"/>
        </w:rPr>
        <w:t xml:space="preserve">Do not infer consent where there is an unclear relationship with a consumer or where the call or message is not relevant to an established relationship (such as a bank </w:t>
      </w:r>
      <w:r w:rsidR="001B53AC" w:rsidRPr="00272ED8">
        <w:rPr>
          <w:rFonts w:ascii="Arial" w:eastAsia="Calibri" w:hAnsi="Arial" w:cs="Arial"/>
          <w:color w:val="000000"/>
          <w:sz w:val="22"/>
          <w:szCs w:val="22"/>
        </w:rPr>
        <w:t>c</w:t>
      </w:r>
      <w:r w:rsidR="001B53AC">
        <w:rPr>
          <w:rFonts w:ascii="Arial" w:eastAsia="Calibri" w:hAnsi="Arial" w:cs="Arial"/>
          <w:color w:val="000000"/>
          <w:sz w:val="22"/>
          <w:szCs w:val="22"/>
        </w:rPr>
        <w:t>ontacting</w:t>
      </w:r>
      <w:r w:rsidR="001B53AC" w:rsidRPr="00272ED8">
        <w:rPr>
          <w:rFonts w:ascii="Arial" w:eastAsia="Calibri" w:hAnsi="Arial" w:cs="Arial"/>
          <w:color w:val="000000"/>
          <w:sz w:val="22"/>
          <w:szCs w:val="22"/>
        </w:rPr>
        <w:t xml:space="preserve"> </w:t>
      </w:r>
      <w:r w:rsidRPr="00272ED8">
        <w:rPr>
          <w:rFonts w:ascii="Arial" w:eastAsia="Calibri" w:hAnsi="Arial" w:cs="Arial"/>
          <w:color w:val="000000"/>
          <w:sz w:val="22"/>
          <w:szCs w:val="22"/>
        </w:rPr>
        <w:t xml:space="preserve">a current </w:t>
      </w:r>
      <w:r w:rsidR="001B53AC">
        <w:rPr>
          <w:rFonts w:ascii="Arial" w:eastAsia="Calibri" w:hAnsi="Arial" w:cs="Arial"/>
          <w:color w:val="000000"/>
          <w:sz w:val="22"/>
          <w:szCs w:val="22"/>
        </w:rPr>
        <w:t xml:space="preserve">savings account </w:t>
      </w:r>
      <w:r w:rsidRPr="00272ED8">
        <w:rPr>
          <w:rFonts w:ascii="Arial" w:eastAsia="Calibri" w:hAnsi="Arial" w:cs="Arial"/>
          <w:color w:val="000000"/>
          <w:sz w:val="22"/>
          <w:szCs w:val="22"/>
        </w:rPr>
        <w:t>customer</w:t>
      </w:r>
      <w:r w:rsidR="005754B1">
        <w:rPr>
          <w:rFonts w:ascii="Arial" w:eastAsia="Calibri" w:hAnsi="Arial" w:cs="Arial"/>
          <w:color w:val="000000"/>
          <w:sz w:val="22"/>
          <w:szCs w:val="22"/>
        </w:rPr>
        <w:t xml:space="preserve"> </w:t>
      </w:r>
      <w:r w:rsidRPr="00272ED8">
        <w:rPr>
          <w:rFonts w:ascii="Arial" w:eastAsia="Calibri" w:hAnsi="Arial" w:cs="Arial"/>
          <w:color w:val="000000"/>
          <w:sz w:val="22"/>
          <w:szCs w:val="22"/>
        </w:rPr>
        <w:t xml:space="preserve">to </w:t>
      </w:r>
      <w:r w:rsidR="003B7207">
        <w:rPr>
          <w:rFonts w:ascii="Arial" w:eastAsia="Calibri" w:hAnsi="Arial" w:cs="Arial"/>
          <w:color w:val="000000"/>
          <w:sz w:val="22"/>
          <w:szCs w:val="22"/>
        </w:rPr>
        <w:t xml:space="preserve">advertise </w:t>
      </w:r>
      <w:r w:rsidRPr="00272ED8">
        <w:rPr>
          <w:rFonts w:ascii="Arial" w:eastAsia="Calibri" w:hAnsi="Arial" w:cs="Arial"/>
          <w:color w:val="000000"/>
          <w:sz w:val="22"/>
          <w:szCs w:val="22"/>
        </w:rPr>
        <w:t>insurance</w:t>
      </w:r>
      <w:r w:rsidR="005754B1">
        <w:rPr>
          <w:rFonts w:ascii="Arial" w:eastAsia="Calibri" w:hAnsi="Arial" w:cs="Arial"/>
          <w:color w:val="000000"/>
          <w:sz w:val="22"/>
          <w:szCs w:val="22"/>
        </w:rPr>
        <w:t xml:space="preserve"> </w:t>
      </w:r>
      <w:r w:rsidRPr="00272ED8">
        <w:rPr>
          <w:rFonts w:ascii="Arial" w:eastAsia="Calibri" w:hAnsi="Arial" w:cs="Arial"/>
          <w:color w:val="000000"/>
          <w:sz w:val="22"/>
          <w:szCs w:val="22"/>
        </w:rPr>
        <w:t>products)</w:t>
      </w:r>
    </w:p>
    <w:p w14:paraId="0D7FBE94" w14:textId="77777777" w:rsidR="009B1D59" w:rsidRPr="009C71A5" w:rsidRDefault="009B1D59" w:rsidP="009B1D59">
      <w:pPr>
        <w:numPr>
          <w:ilvl w:val="0"/>
          <w:numId w:val="3"/>
        </w:numPr>
        <w:spacing w:before="0" w:line="256" w:lineRule="auto"/>
        <w:rPr>
          <w:rFonts w:ascii="Arial" w:eastAsia="Calibri" w:hAnsi="Arial" w:cs="Arial"/>
          <w:color w:val="000000"/>
          <w:sz w:val="22"/>
          <w:szCs w:val="22"/>
        </w:rPr>
      </w:pPr>
      <w:r w:rsidRPr="009C71A5">
        <w:rPr>
          <w:rFonts w:ascii="Arial" w:eastAsia="Calibri" w:hAnsi="Arial" w:cs="Arial"/>
          <w:color w:val="000000"/>
          <w:sz w:val="22"/>
          <w:szCs w:val="22"/>
        </w:rPr>
        <w:t xml:space="preserve">Do not infer consent from one-off purchases by consumers, including in cases where phone numbers or email addresses are obtained to send receipts or tax </w:t>
      </w:r>
      <w:proofErr w:type="gramStart"/>
      <w:r w:rsidRPr="009C71A5">
        <w:rPr>
          <w:rFonts w:ascii="Arial" w:eastAsia="Calibri" w:hAnsi="Arial" w:cs="Arial"/>
          <w:color w:val="000000"/>
          <w:sz w:val="22"/>
          <w:szCs w:val="22"/>
        </w:rPr>
        <w:t>invoices</w:t>
      </w:r>
      <w:proofErr w:type="gramEnd"/>
    </w:p>
    <w:p w14:paraId="78BEE032" w14:textId="5FA0643C" w:rsidR="009B1D59" w:rsidRPr="00026D90" w:rsidRDefault="009B1D59" w:rsidP="009B1D59">
      <w:pPr>
        <w:numPr>
          <w:ilvl w:val="0"/>
          <w:numId w:val="3"/>
        </w:numPr>
        <w:spacing w:before="0" w:line="256" w:lineRule="auto"/>
        <w:rPr>
          <w:rFonts w:ascii="Arial" w:eastAsia="Calibri" w:hAnsi="Arial" w:cs="Arial"/>
          <w:color w:val="000000"/>
          <w:sz w:val="22"/>
          <w:szCs w:val="22"/>
        </w:rPr>
      </w:pPr>
      <w:r w:rsidRPr="00026D90">
        <w:rPr>
          <w:rFonts w:ascii="Arial" w:eastAsia="Calibri" w:hAnsi="Arial" w:cs="Arial"/>
          <w:color w:val="000000"/>
          <w:sz w:val="22"/>
          <w:szCs w:val="22"/>
        </w:rPr>
        <w:t>Do not send messages based solely on the fact that the email address or phone number has been published (publication does not mean consent has been given</w:t>
      </w:r>
      <w:r w:rsidRPr="00026D90">
        <w:rPr>
          <w:rFonts w:ascii="ArialMT" w:eastAsia="Calibri" w:hAnsi="ArialMT" w:cs="ArialMT"/>
          <w:color w:val="00B050"/>
          <w:sz w:val="22"/>
          <w:szCs w:val="22"/>
        </w:rPr>
        <w:t xml:space="preserve"> </w:t>
      </w:r>
      <w:r w:rsidRPr="00026D90">
        <w:rPr>
          <w:rFonts w:ascii="ArialMT" w:eastAsia="Calibri" w:hAnsi="ArialMT" w:cs="ArialMT"/>
          <w:color w:val="008000"/>
          <w:sz w:val="22"/>
          <w:szCs w:val="22"/>
        </w:rPr>
        <w:t xml:space="preserve">- </w:t>
      </w:r>
      <w:r w:rsidRPr="009C71A5">
        <w:rPr>
          <w:rFonts w:ascii="ArialMT" w:eastAsia="Calibri" w:hAnsi="ArialMT" w:cs="ArialMT"/>
          <w:sz w:val="22"/>
          <w:szCs w:val="22"/>
        </w:rPr>
        <w:t xml:space="preserve">there are multiple other conditions that must be met as set out in the </w:t>
      </w:r>
      <w:r w:rsidR="00F7684D">
        <w:rPr>
          <w:rFonts w:ascii="ArialMT" w:eastAsia="Calibri" w:hAnsi="ArialMT" w:cs="ArialMT"/>
          <w:sz w:val="22"/>
          <w:szCs w:val="22"/>
        </w:rPr>
        <w:t>R</w:t>
      </w:r>
      <w:r w:rsidR="00F7684D" w:rsidRPr="009C71A5">
        <w:rPr>
          <w:rFonts w:ascii="ArialMT" w:eastAsia="Calibri" w:hAnsi="ArialMT" w:cs="ArialMT"/>
          <w:sz w:val="22"/>
          <w:szCs w:val="22"/>
        </w:rPr>
        <w:t>ules</w:t>
      </w:r>
      <w:r w:rsidRPr="009C71A5">
        <w:rPr>
          <w:rFonts w:ascii="Arial" w:eastAsia="Calibri" w:hAnsi="Arial" w:cs="Arial"/>
          <w:sz w:val="22"/>
          <w:szCs w:val="22"/>
        </w:rPr>
        <w:t>)</w:t>
      </w:r>
    </w:p>
    <w:p w14:paraId="4DABD35A" w14:textId="77777777" w:rsidR="009B1D59" w:rsidRPr="009C71A5" w:rsidRDefault="009B1D59" w:rsidP="009B1D59">
      <w:pPr>
        <w:numPr>
          <w:ilvl w:val="0"/>
          <w:numId w:val="3"/>
        </w:numPr>
        <w:spacing w:before="0" w:line="256" w:lineRule="auto"/>
        <w:ind w:left="357" w:hanging="357"/>
        <w:rPr>
          <w:rFonts w:ascii="Arial" w:eastAsia="Calibri" w:hAnsi="Arial" w:cs="Arial"/>
          <w:color w:val="000000"/>
          <w:sz w:val="22"/>
          <w:szCs w:val="22"/>
        </w:rPr>
      </w:pPr>
      <w:r w:rsidRPr="009C71A5">
        <w:rPr>
          <w:rFonts w:ascii="Arial" w:eastAsia="Calibri" w:hAnsi="Arial" w:cs="Arial"/>
          <w:color w:val="000000"/>
          <w:sz w:val="22"/>
          <w:szCs w:val="22"/>
        </w:rPr>
        <w:t xml:space="preserve">Do not use pre-checked tick boxes on </w:t>
      </w:r>
      <w:proofErr w:type="gramStart"/>
      <w:r w:rsidRPr="009C71A5">
        <w:rPr>
          <w:rFonts w:ascii="Arial" w:eastAsia="Calibri" w:hAnsi="Arial" w:cs="Arial"/>
          <w:color w:val="000000"/>
          <w:sz w:val="22"/>
          <w:szCs w:val="22"/>
        </w:rPr>
        <w:t>forms</w:t>
      </w:r>
      <w:proofErr w:type="gramEnd"/>
    </w:p>
    <w:p w14:paraId="53D800D5" w14:textId="77777777" w:rsidR="009B1D59" w:rsidRPr="009C71A5" w:rsidRDefault="009B1D59" w:rsidP="009B1D59">
      <w:pPr>
        <w:numPr>
          <w:ilvl w:val="0"/>
          <w:numId w:val="3"/>
        </w:numPr>
        <w:spacing w:before="0" w:line="256" w:lineRule="auto"/>
        <w:ind w:left="357" w:hanging="357"/>
        <w:rPr>
          <w:rFonts w:ascii="Arial" w:eastAsia="Calibri" w:hAnsi="Arial" w:cs="Arial"/>
          <w:color w:val="000000"/>
          <w:sz w:val="22"/>
          <w:szCs w:val="22"/>
        </w:rPr>
      </w:pPr>
      <w:r w:rsidRPr="009C71A5">
        <w:rPr>
          <w:rFonts w:ascii="Arial" w:eastAsia="Calibri" w:hAnsi="Arial" w:cs="Arial"/>
          <w:color w:val="000000"/>
          <w:sz w:val="22"/>
          <w:szCs w:val="22"/>
        </w:rPr>
        <w:t xml:space="preserve">Do not use bundled consent (bundled consent is where a single request for consent is to be used for multiple purposes that does not allow a choice about each purpose) </w:t>
      </w:r>
    </w:p>
    <w:p w14:paraId="20A4BCC1" w14:textId="77777777" w:rsidR="009B1D59" w:rsidRPr="00272ED8" w:rsidRDefault="009B1D59" w:rsidP="009B1D59">
      <w:pPr>
        <w:numPr>
          <w:ilvl w:val="0"/>
          <w:numId w:val="3"/>
        </w:numPr>
        <w:spacing w:before="0" w:line="256" w:lineRule="auto"/>
        <w:rPr>
          <w:rFonts w:ascii="Arial" w:eastAsia="Calibri" w:hAnsi="Arial" w:cs="Arial"/>
          <w:color w:val="000000"/>
          <w:sz w:val="22"/>
          <w:szCs w:val="22"/>
        </w:rPr>
      </w:pPr>
      <w:r w:rsidRPr="00272ED8">
        <w:rPr>
          <w:rFonts w:ascii="Arial" w:eastAsia="Calibri" w:hAnsi="Arial" w:cs="Arial"/>
          <w:color w:val="000000"/>
          <w:sz w:val="22"/>
          <w:szCs w:val="22"/>
        </w:rPr>
        <w:t>Do not use refer-a-friend arrangements (consent must be given by the person to whom it applies)</w:t>
      </w:r>
    </w:p>
    <w:p w14:paraId="6AE9F5A1" w14:textId="77777777" w:rsidR="009B1D59" w:rsidRPr="00272ED8" w:rsidRDefault="009B1D59" w:rsidP="009B1D59">
      <w:pPr>
        <w:numPr>
          <w:ilvl w:val="0"/>
          <w:numId w:val="3"/>
        </w:numPr>
        <w:spacing w:before="0" w:line="256" w:lineRule="auto"/>
        <w:rPr>
          <w:rFonts w:ascii="Arial" w:eastAsia="Calibri" w:hAnsi="Arial" w:cs="Arial"/>
          <w:color w:val="000000"/>
          <w:sz w:val="22"/>
          <w:szCs w:val="22"/>
        </w:rPr>
      </w:pPr>
      <w:r w:rsidRPr="00272ED8">
        <w:rPr>
          <w:rFonts w:ascii="Arial" w:eastAsia="Calibri" w:hAnsi="Arial" w:cs="Arial"/>
          <w:color w:val="000000"/>
          <w:sz w:val="22"/>
          <w:szCs w:val="22"/>
        </w:rPr>
        <w:t>Do not charge consumers to unsubscribe (other than the routine cost of a message such as SMS)</w:t>
      </w:r>
    </w:p>
    <w:p w14:paraId="6BF16EC7" w14:textId="38A09A60" w:rsidR="009B1D59" w:rsidRPr="00272ED8" w:rsidRDefault="009B1D59" w:rsidP="009B1D59">
      <w:pPr>
        <w:numPr>
          <w:ilvl w:val="0"/>
          <w:numId w:val="3"/>
        </w:numPr>
        <w:spacing w:before="0" w:line="256" w:lineRule="auto"/>
        <w:rPr>
          <w:rFonts w:ascii="Arial" w:eastAsia="Calibri" w:hAnsi="Arial" w:cs="Arial"/>
          <w:color w:val="000000"/>
          <w:sz w:val="22"/>
          <w:szCs w:val="22"/>
        </w:rPr>
      </w:pPr>
      <w:r w:rsidRPr="00272ED8">
        <w:rPr>
          <w:rFonts w:ascii="Arial" w:eastAsia="Calibri" w:hAnsi="Arial" w:cs="Arial"/>
          <w:color w:val="000000"/>
          <w:sz w:val="22"/>
          <w:szCs w:val="22"/>
        </w:rPr>
        <w:t>Do not provide an unsubscribe</w:t>
      </w:r>
      <w:r>
        <w:rPr>
          <w:rFonts w:ascii="Arial" w:eastAsia="Calibri" w:hAnsi="Arial" w:cs="Arial"/>
          <w:color w:val="000000"/>
          <w:sz w:val="22"/>
          <w:szCs w:val="22"/>
        </w:rPr>
        <w:t xml:space="preserve"> facility</w:t>
      </w:r>
      <w:r w:rsidRPr="00272ED8">
        <w:rPr>
          <w:rFonts w:ascii="Arial" w:eastAsia="Calibri" w:hAnsi="Arial" w:cs="Arial"/>
          <w:color w:val="000000"/>
          <w:sz w:val="22"/>
          <w:szCs w:val="22"/>
        </w:rPr>
        <w:t xml:space="preserve"> in a message that only allows a consumer to unsubscribe from some types of marketing messages from the business</w:t>
      </w:r>
      <w:r w:rsidR="00AA680F">
        <w:rPr>
          <w:rFonts w:ascii="Arial" w:eastAsia="Calibri" w:hAnsi="Arial" w:cs="Arial"/>
          <w:color w:val="000000"/>
          <w:sz w:val="22"/>
          <w:szCs w:val="22"/>
        </w:rPr>
        <w:t>, unless a universal unsubscribe is also provided and it is very clear what each option does.</w:t>
      </w:r>
    </w:p>
    <w:p w14:paraId="2833C8B9" w14:textId="77777777" w:rsidR="009B1D59" w:rsidRPr="00272ED8" w:rsidRDefault="009B1D59" w:rsidP="009B1D59">
      <w:pPr>
        <w:numPr>
          <w:ilvl w:val="0"/>
          <w:numId w:val="3"/>
        </w:numPr>
        <w:spacing w:before="0" w:line="256" w:lineRule="auto"/>
        <w:rPr>
          <w:rFonts w:ascii="Arial" w:eastAsia="Calibri" w:hAnsi="Arial" w:cs="Arial"/>
          <w:color w:val="000000"/>
          <w:sz w:val="22"/>
          <w:szCs w:val="22"/>
        </w:rPr>
      </w:pPr>
      <w:r w:rsidRPr="00272ED8">
        <w:rPr>
          <w:rFonts w:ascii="Arial" w:eastAsia="Calibri" w:hAnsi="Arial" w:cs="Arial"/>
          <w:color w:val="000000"/>
          <w:sz w:val="22"/>
          <w:szCs w:val="22"/>
        </w:rPr>
        <w:t xml:space="preserve">Do not continue to send marketing messages after an unsubscribe request is received on the basis that someone else is using the email address or phone number (the unsubscribe </w:t>
      </w:r>
      <w:r>
        <w:rPr>
          <w:rFonts w:ascii="Arial" w:eastAsia="Calibri" w:hAnsi="Arial" w:cs="Arial"/>
          <w:color w:val="000000"/>
          <w:sz w:val="22"/>
          <w:szCs w:val="22"/>
        </w:rPr>
        <w:t xml:space="preserve">request </w:t>
      </w:r>
      <w:r w:rsidRPr="00272ED8">
        <w:rPr>
          <w:rFonts w:ascii="Arial" w:eastAsia="Calibri" w:hAnsi="Arial" w:cs="Arial"/>
          <w:color w:val="000000"/>
          <w:sz w:val="22"/>
          <w:szCs w:val="22"/>
        </w:rPr>
        <w:t>applies to the address regardless of who may be using it)</w:t>
      </w:r>
    </w:p>
    <w:p w14:paraId="65A82192" w14:textId="77777777" w:rsidR="009B1D59" w:rsidRPr="00272ED8" w:rsidRDefault="009B1D59" w:rsidP="009B1D59">
      <w:pPr>
        <w:numPr>
          <w:ilvl w:val="0"/>
          <w:numId w:val="3"/>
        </w:numPr>
        <w:spacing w:before="0" w:line="276" w:lineRule="auto"/>
        <w:ind w:left="357" w:hanging="357"/>
        <w:rPr>
          <w:rFonts w:ascii="Arial" w:eastAsia="Calibri" w:hAnsi="Arial" w:cs="Arial"/>
          <w:color w:val="000000"/>
          <w:sz w:val="22"/>
          <w:szCs w:val="22"/>
        </w:rPr>
      </w:pPr>
      <w:r w:rsidRPr="00272ED8">
        <w:rPr>
          <w:rFonts w:ascii="Arial" w:eastAsia="Calibri" w:hAnsi="Arial" w:cs="Arial"/>
          <w:color w:val="000000"/>
          <w:sz w:val="22"/>
          <w:szCs w:val="22"/>
        </w:rPr>
        <w:t>Do not re-contact consumers who have unsubscribed to encourage them to re</w:t>
      </w:r>
      <w:r w:rsidRPr="00272ED8">
        <w:rPr>
          <w:rFonts w:ascii="Arial" w:eastAsia="Calibri" w:hAnsi="Arial" w:cs="Arial"/>
          <w:color w:val="000000"/>
          <w:sz w:val="22"/>
          <w:szCs w:val="22"/>
        </w:rPr>
        <w:noBreakHyphen/>
      </w:r>
      <w:proofErr w:type="gramStart"/>
      <w:r w:rsidRPr="00272ED8">
        <w:rPr>
          <w:rFonts w:ascii="Arial" w:eastAsia="Calibri" w:hAnsi="Arial" w:cs="Arial"/>
          <w:color w:val="000000"/>
          <w:sz w:val="22"/>
          <w:szCs w:val="22"/>
        </w:rPr>
        <w:t>subscribe</w:t>
      </w:r>
      <w:r>
        <w:rPr>
          <w:rFonts w:ascii="Arial" w:eastAsia="Calibri" w:hAnsi="Arial" w:cs="Arial"/>
          <w:color w:val="000000"/>
          <w:sz w:val="22"/>
          <w:szCs w:val="22"/>
        </w:rPr>
        <w:t xml:space="preserve">, </w:t>
      </w:r>
      <w:r w:rsidRPr="009C71A5">
        <w:rPr>
          <w:rFonts w:ascii="Arial" w:eastAsia="Calibri" w:hAnsi="Arial" w:cs="Arial"/>
          <w:sz w:val="22"/>
          <w:szCs w:val="22"/>
        </w:rPr>
        <w:t>unless</w:t>
      </w:r>
      <w:proofErr w:type="gramEnd"/>
      <w:r w:rsidRPr="009C71A5">
        <w:rPr>
          <w:rFonts w:ascii="Arial" w:eastAsia="Calibri" w:hAnsi="Arial" w:cs="Arial"/>
          <w:sz w:val="22"/>
          <w:szCs w:val="22"/>
        </w:rPr>
        <w:t xml:space="preserve"> they have subsequently given their consent to do so.</w:t>
      </w:r>
    </w:p>
    <w:p w14:paraId="7E1CB900" w14:textId="77777777" w:rsidR="009B1D59" w:rsidRPr="00272ED8" w:rsidRDefault="009B1D59" w:rsidP="009B1D59">
      <w:pPr>
        <w:spacing w:before="0" w:after="284" w:line="240" w:lineRule="atLeast"/>
        <w:rPr>
          <w:rFonts w:ascii="Arial" w:hAnsi="Arial" w:cs="Arial"/>
          <w:b/>
          <w:bCs/>
          <w:color w:val="002060"/>
          <w:sz w:val="22"/>
          <w:szCs w:val="22"/>
          <w:lang w:eastAsia="en-AU"/>
        </w:rPr>
      </w:pPr>
      <w:r w:rsidRPr="00272ED8">
        <w:rPr>
          <w:rFonts w:ascii="Arial" w:hAnsi="Arial" w:cs="Arial"/>
          <w:b/>
          <w:bCs/>
          <w:color w:val="000000"/>
          <w:sz w:val="22"/>
          <w:szCs w:val="22"/>
          <w:lang w:eastAsia="en-AU"/>
        </w:rPr>
        <w:br w:type="column"/>
      </w:r>
      <w:r w:rsidRPr="00272ED8">
        <w:rPr>
          <w:rFonts w:ascii="Arial" w:hAnsi="Arial" w:cs="Arial"/>
          <w:b/>
          <w:bCs/>
          <w:color w:val="002060"/>
          <w:sz w:val="22"/>
          <w:szCs w:val="22"/>
          <w:lang w:eastAsia="en-AU"/>
        </w:rPr>
        <w:lastRenderedPageBreak/>
        <w:t>More information about compliance</w:t>
      </w:r>
    </w:p>
    <w:p w14:paraId="2EF22279" w14:textId="77777777" w:rsidR="009B1D59" w:rsidRPr="00272ED8" w:rsidRDefault="009B1D59" w:rsidP="009B1D59">
      <w:pPr>
        <w:spacing w:before="0" w:after="284" w:line="240" w:lineRule="atLeast"/>
        <w:rPr>
          <w:rFonts w:ascii="Arial" w:hAnsi="Arial" w:cs="Arial"/>
          <w:color w:val="002060"/>
          <w:sz w:val="22"/>
          <w:szCs w:val="22"/>
          <w:lang w:eastAsia="en-AU"/>
        </w:rPr>
      </w:pPr>
      <w:r w:rsidRPr="00272ED8">
        <w:rPr>
          <w:rFonts w:ascii="Arial" w:hAnsi="Arial" w:cs="Arial"/>
          <w:color w:val="002060"/>
          <w:sz w:val="22"/>
          <w:szCs w:val="22"/>
          <w:lang w:eastAsia="en-AU"/>
        </w:rPr>
        <w:t>The following links provide more information about compliance and obligations under the Rules.</w:t>
      </w:r>
    </w:p>
    <w:p w14:paraId="1A213DF9" w14:textId="77777777" w:rsidR="009B1D59" w:rsidRPr="00272ED8" w:rsidRDefault="00BE7D66" w:rsidP="009B1D59">
      <w:pPr>
        <w:numPr>
          <w:ilvl w:val="0"/>
          <w:numId w:val="4"/>
        </w:numPr>
        <w:spacing w:before="0" w:after="240" w:line="256" w:lineRule="auto"/>
        <w:ind w:left="714" w:hanging="357"/>
        <w:contextualSpacing/>
        <w:rPr>
          <w:rFonts w:ascii="Arial" w:eastAsia="Calibri" w:hAnsi="Arial" w:cs="Arial"/>
          <w:sz w:val="22"/>
          <w:szCs w:val="22"/>
        </w:rPr>
      </w:pPr>
      <w:hyperlink r:id="rId13" w:history="1">
        <w:r w:rsidR="009B1D59" w:rsidRPr="00272ED8">
          <w:rPr>
            <w:rFonts w:ascii="Arial" w:eastAsia="Calibri" w:hAnsi="Arial" w:cs="Arial"/>
            <w:color w:val="0000FF"/>
            <w:sz w:val="22"/>
            <w:szCs w:val="22"/>
            <w:u w:val="single" w:color="0000FF"/>
          </w:rPr>
          <w:t>ACMA website: Avoid sending spam</w:t>
        </w:r>
      </w:hyperlink>
    </w:p>
    <w:p w14:paraId="08532DE9" w14:textId="77777777" w:rsidR="009B1D59" w:rsidRPr="00272ED8" w:rsidRDefault="00BE7D66" w:rsidP="009B1D59">
      <w:pPr>
        <w:numPr>
          <w:ilvl w:val="0"/>
          <w:numId w:val="4"/>
        </w:numPr>
        <w:spacing w:before="0" w:after="160" w:line="256" w:lineRule="auto"/>
        <w:contextualSpacing/>
        <w:rPr>
          <w:rFonts w:ascii="Arial" w:eastAsia="Calibri" w:hAnsi="Arial" w:cs="Arial"/>
          <w:b/>
          <w:bCs/>
          <w:sz w:val="22"/>
          <w:szCs w:val="22"/>
        </w:rPr>
      </w:pPr>
      <w:hyperlink r:id="rId14" w:history="1">
        <w:r w:rsidR="009B1D59" w:rsidRPr="00272ED8">
          <w:rPr>
            <w:rFonts w:ascii="Arial" w:eastAsia="Calibri" w:hAnsi="Arial" w:cs="Arial"/>
            <w:color w:val="0000FF"/>
            <w:sz w:val="22"/>
            <w:szCs w:val="22"/>
            <w:u w:val="single" w:color="0000FF"/>
          </w:rPr>
          <w:t>DNCR Industry Guide</w:t>
        </w:r>
      </w:hyperlink>
    </w:p>
    <w:p w14:paraId="7A14FCD0" w14:textId="77777777" w:rsidR="009B1D59" w:rsidRDefault="009B1D59" w:rsidP="009B1D59">
      <w:pPr>
        <w:spacing w:before="0" w:after="284" w:line="240" w:lineRule="atLeast"/>
        <w:rPr>
          <w:rFonts w:ascii="Arial" w:hAnsi="Arial" w:cs="Arial"/>
          <w:b/>
          <w:bCs/>
          <w:color w:val="002060"/>
          <w:sz w:val="22"/>
          <w:szCs w:val="22"/>
          <w:lang w:eastAsia="en-AU"/>
        </w:rPr>
      </w:pPr>
    </w:p>
    <w:p w14:paraId="1233A81C" w14:textId="77777777" w:rsidR="009B1D59" w:rsidRPr="00272ED8" w:rsidRDefault="009B1D59" w:rsidP="009B1D59">
      <w:pPr>
        <w:spacing w:before="0" w:after="284" w:line="240" w:lineRule="atLeast"/>
        <w:rPr>
          <w:rFonts w:ascii="Arial" w:hAnsi="Arial" w:cs="Arial"/>
          <w:b/>
          <w:bCs/>
          <w:color w:val="002060"/>
          <w:sz w:val="22"/>
          <w:szCs w:val="22"/>
          <w:lang w:eastAsia="en-AU"/>
        </w:rPr>
      </w:pPr>
      <w:r w:rsidRPr="00272ED8">
        <w:rPr>
          <w:rFonts w:ascii="Arial" w:hAnsi="Arial" w:cs="Arial"/>
          <w:b/>
          <w:bCs/>
          <w:color w:val="002060"/>
          <w:sz w:val="22"/>
          <w:szCs w:val="22"/>
          <w:lang w:eastAsia="en-AU"/>
        </w:rPr>
        <w:t>Rules – telemarketing and e-marketing</w:t>
      </w:r>
    </w:p>
    <w:p w14:paraId="62C4E70D" w14:textId="77777777" w:rsidR="009B1D59" w:rsidRPr="00272ED8" w:rsidRDefault="00BE7D66" w:rsidP="009B1D59">
      <w:pPr>
        <w:numPr>
          <w:ilvl w:val="0"/>
          <w:numId w:val="1"/>
        </w:numPr>
        <w:spacing w:before="0" w:after="240" w:line="256" w:lineRule="auto"/>
        <w:ind w:left="714" w:hanging="357"/>
        <w:contextualSpacing/>
        <w:rPr>
          <w:rFonts w:ascii="Arial" w:eastAsia="Calibri" w:hAnsi="Arial" w:cs="Arial"/>
          <w:color w:val="002060"/>
          <w:sz w:val="22"/>
          <w:szCs w:val="22"/>
        </w:rPr>
      </w:pPr>
      <w:hyperlink r:id="rId15" w:history="1">
        <w:r w:rsidR="009B1D59" w:rsidRPr="00272ED8">
          <w:rPr>
            <w:rFonts w:ascii="Arial" w:eastAsia="Calibri" w:hAnsi="Arial" w:cs="Arial"/>
            <w:color w:val="0000FF"/>
            <w:sz w:val="22"/>
            <w:szCs w:val="22"/>
            <w:u w:val="single" w:color="0000FF"/>
          </w:rPr>
          <w:t>Do Not Call Register Act 2006</w:t>
        </w:r>
      </w:hyperlink>
    </w:p>
    <w:p w14:paraId="36E0D65C" w14:textId="77777777" w:rsidR="009B1D59" w:rsidRPr="00272ED8" w:rsidRDefault="00BE7D66" w:rsidP="009B1D59">
      <w:pPr>
        <w:numPr>
          <w:ilvl w:val="0"/>
          <w:numId w:val="1"/>
        </w:numPr>
        <w:spacing w:before="0" w:after="240" w:line="256" w:lineRule="auto"/>
        <w:ind w:left="714" w:hanging="357"/>
        <w:contextualSpacing/>
        <w:rPr>
          <w:rFonts w:ascii="Arial" w:eastAsia="Calibri" w:hAnsi="Arial" w:cs="Arial"/>
          <w:color w:val="002060"/>
          <w:sz w:val="22"/>
          <w:szCs w:val="22"/>
        </w:rPr>
      </w:pPr>
      <w:hyperlink r:id="rId16" w:history="1">
        <w:r w:rsidR="009B1D59" w:rsidRPr="00272ED8">
          <w:rPr>
            <w:rFonts w:ascii="Arial" w:eastAsia="Calibri" w:hAnsi="Arial" w:cs="Arial"/>
            <w:color w:val="0000FF"/>
            <w:sz w:val="22"/>
            <w:szCs w:val="22"/>
            <w:u w:val="single" w:color="0000FF"/>
          </w:rPr>
          <w:t>Do Not Call Register Regulations 2017</w:t>
        </w:r>
      </w:hyperlink>
    </w:p>
    <w:p w14:paraId="6A8C4BD4" w14:textId="77777777" w:rsidR="009B1D59" w:rsidRPr="00272ED8" w:rsidRDefault="00BE7D66" w:rsidP="009B1D59">
      <w:pPr>
        <w:numPr>
          <w:ilvl w:val="0"/>
          <w:numId w:val="1"/>
        </w:numPr>
        <w:spacing w:before="0" w:after="240" w:line="256" w:lineRule="auto"/>
        <w:ind w:left="714" w:hanging="357"/>
        <w:contextualSpacing/>
        <w:rPr>
          <w:rFonts w:ascii="Arial" w:eastAsia="Calibri" w:hAnsi="Arial" w:cs="Arial"/>
          <w:color w:val="002060"/>
          <w:sz w:val="22"/>
          <w:szCs w:val="22"/>
        </w:rPr>
      </w:pPr>
      <w:hyperlink r:id="rId17" w:history="1">
        <w:r w:rsidR="009B1D59" w:rsidRPr="00272ED8">
          <w:rPr>
            <w:rFonts w:ascii="Arial" w:eastAsia="Calibri" w:hAnsi="Arial" w:cs="Arial"/>
            <w:color w:val="0000FF"/>
            <w:sz w:val="22"/>
            <w:szCs w:val="22"/>
            <w:u w:val="single" w:color="0000FF"/>
          </w:rPr>
          <w:t>Telecommunications (Telemarketing and Research Calls) Industry Standard 2017</w:t>
        </w:r>
      </w:hyperlink>
    </w:p>
    <w:p w14:paraId="4F2E14C0" w14:textId="644E7AD1" w:rsidR="009B1D59" w:rsidRPr="00476848" w:rsidRDefault="00BE7D66" w:rsidP="009B1D59">
      <w:pPr>
        <w:numPr>
          <w:ilvl w:val="0"/>
          <w:numId w:val="1"/>
        </w:numPr>
        <w:spacing w:before="0" w:after="240" w:line="256" w:lineRule="auto"/>
        <w:ind w:left="714" w:hanging="357"/>
        <w:contextualSpacing/>
        <w:rPr>
          <w:rFonts w:ascii="Arial" w:eastAsia="Calibri" w:hAnsi="Arial" w:cs="Arial"/>
          <w:color w:val="0000FF"/>
          <w:sz w:val="22"/>
          <w:szCs w:val="22"/>
          <w:u w:val="single" w:color="0000FF"/>
        </w:rPr>
      </w:pPr>
      <w:hyperlink r:id="rId18" w:history="1">
        <w:r w:rsidR="009B1D59" w:rsidRPr="00272ED8">
          <w:rPr>
            <w:rFonts w:ascii="Arial" w:eastAsia="Calibri" w:hAnsi="Arial" w:cs="Arial"/>
            <w:color w:val="0000FF"/>
            <w:sz w:val="22"/>
            <w:szCs w:val="22"/>
            <w:u w:val="single" w:color="0000FF"/>
          </w:rPr>
          <w:t>Spam Act 2003</w:t>
        </w:r>
      </w:hyperlink>
    </w:p>
    <w:p w14:paraId="35DEDFEB" w14:textId="77777777" w:rsidR="009B1D59" w:rsidRPr="00C87C7A" w:rsidRDefault="00BE7D66" w:rsidP="00476848">
      <w:pPr>
        <w:numPr>
          <w:ilvl w:val="0"/>
          <w:numId w:val="1"/>
        </w:numPr>
        <w:spacing w:before="0" w:after="240" w:line="256" w:lineRule="auto"/>
        <w:ind w:left="714" w:hanging="357"/>
        <w:contextualSpacing/>
        <w:rPr>
          <w:rFonts w:ascii="Arial" w:hAnsi="Arial" w:cs="Arial"/>
          <w:color w:val="0000FF"/>
          <w:sz w:val="22"/>
          <w:szCs w:val="22"/>
          <w:u w:val="single" w:color="0000FF"/>
          <w:lang w:eastAsia="en-AU"/>
        </w:rPr>
      </w:pPr>
      <w:hyperlink r:id="rId19" w:history="1">
        <w:r w:rsidR="009B1D59" w:rsidRPr="00C87C7A">
          <w:rPr>
            <w:rFonts w:ascii="Arial" w:hAnsi="Arial" w:cs="Arial"/>
            <w:color w:val="0000FF"/>
            <w:sz w:val="22"/>
            <w:szCs w:val="22"/>
            <w:u w:val="single" w:color="0000FF"/>
            <w:lang w:eastAsia="en-AU"/>
          </w:rPr>
          <w:t>Spam Regulations 2021</w:t>
        </w:r>
      </w:hyperlink>
    </w:p>
    <w:p w14:paraId="42410FDD" w14:textId="77777777" w:rsidR="009B1D59" w:rsidRDefault="009B1D59" w:rsidP="009B1D59">
      <w:pPr>
        <w:spacing w:before="0" w:after="284" w:line="240" w:lineRule="atLeast"/>
        <w:rPr>
          <w:rFonts w:ascii="Arial" w:hAnsi="Arial"/>
          <w:b/>
          <w:bCs/>
          <w:color w:val="00B050"/>
          <w:sz w:val="22"/>
          <w:szCs w:val="22"/>
          <w:lang w:eastAsia="en-AU"/>
        </w:rPr>
      </w:pPr>
    </w:p>
    <w:p w14:paraId="550A74CA" w14:textId="40BAE907" w:rsidR="009B1D59" w:rsidRPr="00EA1805" w:rsidRDefault="009B1D59" w:rsidP="009B1D59">
      <w:pPr>
        <w:spacing w:before="0" w:after="284" w:line="240" w:lineRule="atLeast"/>
        <w:rPr>
          <w:rFonts w:ascii="Arial" w:hAnsi="Arial"/>
          <w:b/>
          <w:bCs/>
          <w:sz w:val="22"/>
          <w:szCs w:val="22"/>
          <w:lang w:eastAsia="en-AU"/>
        </w:rPr>
      </w:pPr>
      <w:r w:rsidRPr="00EA1805">
        <w:rPr>
          <w:rFonts w:ascii="Arial" w:hAnsi="Arial"/>
          <w:b/>
          <w:bCs/>
          <w:sz w:val="22"/>
          <w:szCs w:val="22"/>
          <w:lang w:eastAsia="en-AU"/>
        </w:rPr>
        <w:t xml:space="preserve">Marketing not covered by the </w:t>
      </w:r>
      <w:r w:rsidR="00CC26EE" w:rsidRPr="00EA1805">
        <w:rPr>
          <w:rFonts w:ascii="Arial" w:hAnsi="Arial"/>
          <w:b/>
          <w:bCs/>
          <w:sz w:val="22"/>
          <w:szCs w:val="22"/>
          <w:lang w:eastAsia="en-AU"/>
        </w:rPr>
        <w:t>s</w:t>
      </w:r>
      <w:r w:rsidRPr="00EA1805">
        <w:rPr>
          <w:rFonts w:ascii="Arial" w:hAnsi="Arial"/>
          <w:b/>
          <w:bCs/>
          <w:sz w:val="22"/>
          <w:szCs w:val="22"/>
          <w:lang w:eastAsia="en-AU"/>
        </w:rPr>
        <w:t xml:space="preserve">pam or telemarketing </w:t>
      </w:r>
      <w:proofErr w:type="gramStart"/>
      <w:r w:rsidRPr="00EA1805">
        <w:rPr>
          <w:rFonts w:ascii="Arial" w:hAnsi="Arial"/>
          <w:b/>
          <w:bCs/>
          <w:sz w:val="22"/>
          <w:szCs w:val="22"/>
          <w:lang w:eastAsia="en-AU"/>
        </w:rPr>
        <w:t>rules</w:t>
      </w:r>
      <w:proofErr w:type="gramEnd"/>
    </w:p>
    <w:p w14:paraId="0D2F4B9E" w14:textId="5E3AFA6C" w:rsidR="009B1D59" w:rsidRPr="00EA1805" w:rsidRDefault="009B1D59" w:rsidP="009B1D59">
      <w:pPr>
        <w:spacing w:before="0" w:after="284" w:line="240" w:lineRule="atLeast"/>
        <w:rPr>
          <w:rFonts w:ascii="Arial" w:hAnsi="Arial" w:cs="Arial"/>
          <w:b/>
          <w:bCs/>
          <w:sz w:val="22"/>
          <w:szCs w:val="22"/>
          <w:lang w:eastAsia="en-AU"/>
        </w:rPr>
      </w:pPr>
      <w:r w:rsidRPr="00EA1805">
        <w:rPr>
          <w:rFonts w:ascii="Arial" w:hAnsi="Arial" w:cs="Arial"/>
          <w:sz w:val="22"/>
          <w:szCs w:val="22"/>
          <w:lang w:eastAsia="en-AU"/>
        </w:rPr>
        <w:t xml:space="preserve">In circumstances where the Spam Act and Do Not Call Register Act do not apply, entities may need to comply with APP 7 of the </w:t>
      </w:r>
      <w:r w:rsidRPr="00EA1805">
        <w:rPr>
          <w:rFonts w:ascii="Arial" w:hAnsi="Arial" w:cs="Arial"/>
          <w:i/>
          <w:iCs/>
          <w:sz w:val="22"/>
          <w:szCs w:val="22"/>
          <w:lang w:eastAsia="en-AU"/>
        </w:rPr>
        <w:t>Privacy Act 1988</w:t>
      </w:r>
      <w:r w:rsidRPr="00EA1805">
        <w:rPr>
          <w:rFonts w:ascii="Arial" w:hAnsi="Arial" w:cs="Arial"/>
          <w:sz w:val="22"/>
          <w:szCs w:val="22"/>
          <w:lang w:eastAsia="en-AU"/>
        </w:rPr>
        <w:t xml:space="preserve"> to direct market to an individual. Further guidance on these issues can be found at: OAIC, ‘</w:t>
      </w:r>
      <w:hyperlink r:id="rId20" w:history="1">
        <w:r w:rsidRPr="00EA1805">
          <w:rPr>
            <w:rFonts w:ascii="Arial" w:hAnsi="Arial" w:cs="Arial"/>
            <w:sz w:val="22"/>
            <w:szCs w:val="22"/>
            <w:u w:val="single" w:color="0000FF"/>
            <w:lang w:eastAsia="en-AU"/>
          </w:rPr>
          <w:t>Direct marketing</w:t>
        </w:r>
      </w:hyperlink>
      <w:r w:rsidRPr="00EA1805">
        <w:rPr>
          <w:rFonts w:ascii="Arial" w:hAnsi="Arial" w:cs="Arial"/>
          <w:sz w:val="22"/>
          <w:szCs w:val="22"/>
          <w:lang w:eastAsia="en-AU"/>
        </w:rPr>
        <w:t xml:space="preserve">’, 1 May 2019 and </w:t>
      </w:r>
      <w:hyperlink r:id="rId21" w:history="1">
        <w:r w:rsidRPr="00EA1805">
          <w:rPr>
            <w:rFonts w:ascii="Arial" w:hAnsi="Arial" w:cs="Arial"/>
            <w:sz w:val="22"/>
            <w:szCs w:val="22"/>
            <w:u w:val="single" w:color="0000FF"/>
            <w:lang w:eastAsia="en-AU"/>
          </w:rPr>
          <w:t>Chapter 7 of the APP Guidelines</w:t>
        </w:r>
      </w:hyperlink>
      <w:r w:rsidRPr="00EA1805">
        <w:rPr>
          <w:rFonts w:ascii="Arial" w:hAnsi="Arial" w:cs="Arial"/>
          <w:sz w:val="22"/>
          <w:szCs w:val="22"/>
          <w:u w:val="single" w:color="0000FF"/>
          <w:lang w:eastAsia="en-AU"/>
        </w:rPr>
        <w:t>.</w:t>
      </w:r>
    </w:p>
    <w:p w14:paraId="6A74A4E4" w14:textId="77777777" w:rsidR="009B1D59" w:rsidRPr="00272ED8" w:rsidRDefault="009B1D59" w:rsidP="009B1D59">
      <w:pPr>
        <w:spacing w:before="0" w:after="284" w:line="240" w:lineRule="atLeast"/>
        <w:rPr>
          <w:rFonts w:ascii="Arial" w:hAnsi="Arial"/>
          <w:color w:val="4D4D4F"/>
          <w:sz w:val="19"/>
          <w:lang w:eastAsia="en-AU"/>
        </w:rPr>
      </w:pPr>
    </w:p>
    <w:p w14:paraId="17E6BD63" w14:textId="77777777" w:rsidR="009B1D59" w:rsidRPr="00221B2F" w:rsidRDefault="009B1D59" w:rsidP="009B1D59">
      <w:pPr>
        <w:pStyle w:val="ACMABodyText"/>
      </w:pPr>
    </w:p>
    <w:p w14:paraId="39431C24" w14:textId="77777777" w:rsidR="004654D9" w:rsidRDefault="004654D9"/>
    <w:sectPr w:rsidR="004654D9" w:rsidSect="009B1D59">
      <w:headerReference w:type="default" r:id="rId22"/>
      <w:footerReference w:type="default" r:id="rId23"/>
      <w:headerReference w:type="first" r:id="rId24"/>
      <w:footerReference w:type="first" r:id="rId25"/>
      <w:pgSz w:w="11906" w:h="16838" w:code="9"/>
      <w:pgMar w:top="1560" w:right="1701" w:bottom="156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146F8" w14:textId="77777777" w:rsidR="00AE5185" w:rsidRDefault="00AE5185">
      <w:pPr>
        <w:spacing w:before="0" w:after="0" w:line="240" w:lineRule="auto"/>
      </w:pPr>
      <w:r>
        <w:separator/>
      </w:r>
    </w:p>
  </w:endnote>
  <w:endnote w:type="continuationSeparator" w:id="0">
    <w:p w14:paraId="4885BFFE" w14:textId="77777777" w:rsidR="00AE5185" w:rsidRDefault="00AE5185">
      <w:pPr>
        <w:spacing w:before="0" w:after="0" w:line="240" w:lineRule="auto"/>
      </w:pPr>
      <w:r>
        <w:continuationSeparator/>
      </w:r>
    </w:p>
  </w:endnote>
  <w:endnote w:type="continuationNotice" w:id="1">
    <w:p w14:paraId="3CE1B13B" w14:textId="77777777" w:rsidR="00AE5185" w:rsidRDefault="00AE518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E8E7" w14:textId="4FA23B28" w:rsidR="00061132" w:rsidRPr="003C2FB1" w:rsidRDefault="00061132" w:rsidP="008575FE">
    <w:pPr>
      <w:pStyle w:val="ACMAFooterEven"/>
      <w:rPr>
        <w:rFonts w:ascii="Arial" w:hAnsi="Arial" w:cs="Arial"/>
        <w:sz w:val="18"/>
        <w:szCs w:val="18"/>
      </w:rPr>
    </w:pPr>
    <w:r w:rsidRPr="003C2FB1">
      <w:rPr>
        <w:rFonts w:ascii="Arial" w:hAnsi="Arial" w:cs="Arial"/>
        <w:sz w:val="18"/>
        <w:szCs w:val="18"/>
      </w:rPr>
      <w:tab/>
      <w:t xml:space="preserve">Page </w:t>
    </w:r>
    <w:r w:rsidRPr="003C2FB1">
      <w:rPr>
        <w:rFonts w:ascii="Arial" w:hAnsi="Arial" w:cs="Arial"/>
        <w:sz w:val="18"/>
        <w:szCs w:val="18"/>
      </w:rPr>
      <w:fldChar w:fldCharType="begin"/>
    </w:r>
    <w:r w:rsidRPr="003C2FB1">
      <w:rPr>
        <w:rFonts w:ascii="Arial" w:hAnsi="Arial" w:cs="Arial"/>
        <w:sz w:val="18"/>
        <w:szCs w:val="18"/>
      </w:rPr>
      <w:instrText xml:space="preserve"> PAGE </w:instrText>
    </w:r>
    <w:r w:rsidRPr="003C2FB1">
      <w:rPr>
        <w:rFonts w:ascii="Arial" w:hAnsi="Arial" w:cs="Arial"/>
        <w:sz w:val="18"/>
        <w:szCs w:val="18"/>
      </w:rPr>
      <w:fldChar w:fldCharType="separate"/>
    </w:r>
    <w:r>
      <w:rPr>
        <w:rFonts w:ascii="Arial" w:hAnsi="Arial" w:cs="Arial"/>
        <w:noProof/>
        <w:sz w:val="18"/>
        <w:szCs w:val="18"/>
      </w:rPr>
      <w:t>2</w:t>
    </w:r>
    <w:r w:rsidRPr="003C2FB1">
      <w:rPr>
        <w:rFonts w:ascii="Arial" w:hAnsi="Arial" w:cs="Arial"/>
        <w:sz w:val="18"/>
        <w:szCs w:val="18"/>
      </w:rPr>
      <w:fldChar w:fldCharType="end"/>
    </w:r>
    <w:r w:rsidRPr="003C2FB1">
      <w:rPr>
        <w:rFonts w:ascii="Arial" w:hAnsi="Arial" w:cs="Arial"/>
        <w:sz w:val="18"/>
        <w:szCs w:val="18"/>
      </w:rPr>
      <w:t xml:space="preserve"> of </w:t>
    </w:r>
    <w:r w:rsidRPr="003C2FB1">
      <w:rPr>
        <w:rFonts w:ascii="Arial" w:hAnsi="Arial" w:cs="Arial"/>
        <w:sz w:val="18"/>
        <w:szCs w:val="18"/>
      </w:rPr>
      <w:fldChar w:fldCharType="begin"/>
    </w:r>
    <w:r w:rsidRPr="003C2FB1">
      <w:rPr>
        <w:rFonts w:ascii="Arial" w:hAnsi="Arial" w:cs="Arial"/>
        <w:sz w:val="18"/>
        <w:szCs w:val="18"/>
      </w:rPr>
      <w:instrText xml:space="preserve"> NUMPAGES </w:instrText>
    </w:r>
    <w:r w:rsidRPr="003C2FB1">
      <w:rPr>
        <w:rFonts w:ascii="Arial" w:hAnsi="Arial" w:cs="Arial"/>
        <w:sz w:val="18"/>
        <w:szCs w:val="18"/>
      </w:rPr>
      <w:fldChar w:fldCharType="separate"/>
    </w:r>
    <w:r>
      <w:rPr>
        <w:rFonts w:ascii="Arial" w:hAnsi="Arial" w:cs="Arial"/>
        <w:noProof/>
        <w:sz w:val="18"/>
        <w:szCs w:val="18"/>
      </w:rPr>
      <w:t>2</w:t>
    </w:r>
    <w:r w:rsidRPr="003C2FB1">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B3E3" w14:textId="56AA0C1E" w:rsidR="00061132" w:rsidRPr="000A4BF0" w:rsidRDefault="00061132" w:rsidP="008575FE">
    <w:pPr>
      <w:pStyle w:val="ACMAFooterEven"/>
      <w:rPr>
        <w:rFonts w:ascii="Arial" w:hAnsi="Arial" w:cs="Arial"/>
        <w:sz w:val="18"/>
        <w:szCs w:val="18"/>
      </w:rPr>
    </w:pPr>
    <w:r w:rsidRPr="003C2FB1">
      <w:rPr>
        <w:rFonts w:ascii="Arial" w:hAnsi="Arial" w:cs="Arial"/>
        <w:sz w:val="18"/>
        <w:szCs w:val="18"/>
      </w:rPr>
      <w:tab/>
      <w:t xml:space="preserve">Page </w:t>
    </w:r>
    <w:r w:rsidRPr="003C2FB1">
      <w:rPr>
        <w:rFonts w:ascii="Arial" w:hAnsi="Arial" w:cs="Arial"/>
        <w:sz w:val="18"/>
        <w:szCs w:val="18"/>
      </w:rPr>
      <w:fldChar w:fldCharType="begin"/>
    </w:r>
    <w:r w:rsidRPr="003C2FB1">
      <w:rPr>
        <w:rFonts w:ascii="Arial" w:hAnsi="Arial" w:cs="Arial"/>
        <w:sz w:val="18"/>
        <w:szCs w:val="18"/>
      </w:rPr>
      <w:instrText xml:space="preserve"> PAGE </w:instrText>
    </w:r>
    <w:r w:rsidRPr="003C2FB1">
      <w:rPr>
        <w:rFonts w:ascii="Arial" w:hAnsi="Arial" w:cs="Arial"/>
        <w:sz w:val="18"/>
        <w:szCs w:val="18"/>
      </w:rPr>
      <w:fldChar w:fldCharType="separate"/>
    </w:r>
    <w:r>
      <w:rPr>
        <w:rFonts w:ascii="Arial" w:hAnsi="Arial" w:cs="Arial"/>
        <w:noProof/>
        <w:sz w:val="18"/>
        <w:szCs w:val="18"/>
      </w:rPr>
      <w:t>1</w:t>
    </w:r>
    <w:r w:rsidRPr="003C2FB1">
      <w:rPr>
        <w:rFonts w:ascii="Arial" w:hAnsi="Arial" w:cs="Arial"/>
        <w:sz w:val="18"/>
        <w:szCs w:val="18"/>
      </w:rPr>
      <w:fldChar w:fldCharType="end"/>
    </w:r>
    <w:r w:rsidRPr="003C2FB1">
      <w:rPr>
        <w:rFonts w:ascii="Arial" w:hAnsi="Arial" w:cs="Arial"/>
        <w:sz w:val="18"/>
        <w:szCs w:val="18"/>
      </w:rPr>
      <w:t xml:space="preserve"> of </w:t>
    </w:r>
    <w:r w:rsidRPr="003C2FB1">
      <w:rPr>
        <w:rFonts w:ascii="Arial" w:hAnsi="Arial" w:cs="Arial"/>
        <w:sz w:val="18"/>
        <w:szCs w:val="18"/>
      </w:rPr>
      <w:fldChar w:fldCharType="begin"/>
    </w:r>
    <w:r w:rsidRPr="003C2FB1">
      <w:rPr>
        <w:rFonts w:ascii="Arial" w:hAnsi="Arial" w:cs="Arial"/>
        <w:sz w:val="18"/>
        <w:szCs w:val="18"/>
      </w:rPr>
      <w:instrText xml:space="preserve"> NUMPAGES </w:instrText>
    </w:r>
    <w:r w:rsidRPr="003C2FB1">
      <w:rPr>
        <w:rFonts w:ascii="Arial" w:hAnsi="Arial" w:cs="Arial"/>
        <w:sz w:val="18"/>
        <w:szCs w:val="18"/>
      </w:rPr>
      <w:fldChar w:fldCharType="separate"/>
    </w:r>
    <w:r>
      <w:rPr>
        <w:rFonts w:ascii="Arial" w:hAnsi="Arial" w:cs="Arial"/>
        <w:noProof/>
        <w:sz w:val="18"/>
        <w:szCs w:val="18"/>
      </w:rPr>
      <w:t>2</w:t>
    </w:r>
    <w:r w:rsidRPr="003C2FB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942A4" w14:textId="77777777" w:rsidR="00AE5185" w:rsidRDefault="00AE5185">
      <w:pPr>
        <w:spacing w:before="0" w:after="0" w:line="240" w:lineRule="auto"/>
      </w:pPr>
      <w:r>
        <w:separator/>
      </w:r>
    </w:p>
  </w:footnote>
  <w:footnote w:type="continuationSeparator" w:id="0">
    <w:p w14:paraId="6D043D35" w14:textId="77777777" w:rsidR="00AE5185" w:rsidRDefault="00AE5185">
      <w:pPr>
        <w:spacing w:before="0" w:after="0" w:line="240" w:lineRule="auto"/>
      </w:pPr>
      <w:r>
        <w:continuationSeparator/>
      </w:r>
    </w:p>
  </w:footnote>
  <w:footnote w:type="continuationNotice" w:id="1">
    <w:p w14:paraId="47D483BC" w14:textId="77777777" w:rsidR="00AE5185" w:rsidRDefault="00AE518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ACA2" w14:textId="77777777" w:rsidR="00061132" w:rsidRDefault="00061132" w:rsidP="008575FE">
    <w:pPr>
      <w:pStyle w:val="Header"/>
      <w:ind w:left="-56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96FB" w14:textId="77777777" w:rsidR="00061132" w:rsidRDefault="00061132" w:rsidP="008575FE">
    <w:pPr>
      <w:pStyle w:val="Header"/>
    </w:pPr>
    <w:r>
      <w:rPr>
        <w:noProof/>
      </w:rPr>
      <w:drawing>
        <wp:inline distT="0" distB="0" distL="0" distR="0" wp14:anchorId="039972B2" wp14:editId="30D1D5FB">
          <wp:extent cx="5579745" cy="512235"/>
          <wp:effectExtent l="0" t="0" r="1905" b="0"/>
          <wp:docPr id="6" name="Picture 6"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579745" cy="512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39EC"/>
    <w:multiLevelType w:val="hybridMultilevel"/>
    <w:tmpl w:val="E6F85206"/>
    <w:lvl w:ilvl="0" w:tplc="1F264CB2">
      <w:start w:val="5"/>
      <w:numFmt w:val="bullet"/>
      <w:lvlText w:val="ü"/>
      <w:lvlJc w:val="left"/>
      <w:pPr>
        <w:ind w:left="360" w:hanging="360"/>
      </w:pPr>
      <w:rPr>
        <w:rFonts w:ascii="Wingdings" w:eastAsiaTheme="minorHAnsi" w:hAnsi="Wingdings" w:hint="default"/>
        <w:color w:val="00B05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F16392A"/>
    <w:multiLevelType w:val="hybridMultilevel"/>
    <w:tmpl w:val="7598D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F747EE"/>
    <w:multiLevelType w:val="hybridMultilevel"/>
    <w:tmpl w:val="8C3082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3425616"/>
    <w:multiLevelType w:val="hybridMultilevel"/>
    <w:tmpl w:val="CB98254A"/>
    <w:lvl w:ilvl="0" w:tplc="02D868B6">
      <w:start w:val="5"/>
      <w:numFmt w:val="bullet"/>
      <w:lvlText w:val="û"/>
      <w:lvlJc w:val="left"/>
      <w:pPr>
        <w:ind w:left="360" w:hanging="360"/>
      </w:pPr>
      <w:rPr>
        <w:rFonts w:ascii="Wingdings" w:eastAsiaTheme="minorHAnsi" w:hAnsi="Wingdings" w:hint="default"/>
        <w:color w:val="FF000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89C1F70"/>
    <w:multiLevelType w:val="hybridMultilevel"/>
    <w:tmpl w:val="9F38B4B4"/>
    <w:lvl w:ilvl="0" w:tplc="FC0637B6">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FA27F8"/>
    <w:multiLevelType w:val="hybridMultilevel"/>
    <w:tmpl w:val="BBE868CE"/>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E191172"/>
    <w:multiLevelType w:val="hybridMultilevel"/>
    <w:tmpl w:val="E1D658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7750297">
    <w:abstractNumId w:val="1"/>
  </w:num>
  <w:num w:numId="2" w16cid:durableId="83308982">
    <w:abstractNumId w:val="0"/>
  </w:num>
  <w:num w:numId="3" w16cid:durableId="1172378459">
    <w:abstractNumId w:val="3"/>
  </w:num>
  <w:num w:numId="4" w16cid:durableId="1221793993">
    <w:abstractNumId w:val="6"/>
  </w:num>
  <w:num w:numId="5" w16cid:durableId="12853042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39720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9227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59"/>
    <w:rsid w:val="00026D90"/>
    <w:rsid w:val="00061132"/>
    <w:rsid w:val="000865D0"/>
    <w:rsid w:val="00096975"/>
    <w:rsid w:val="00137BBD"/>
    <w:rsid w:val="00175949"/>
    <w:rsid w:val="001B53AC"/>
    <w:rsid w:val="001E0FFC"/>
    <w:rsid w:val="00233B25"/>
    <w:rsid w:val="00247A15"/>
    <w:rsid w:val="002905BF"/>
    <w:rsid w:val="002B6DAE"/>
    <w:rsid w:val="00303CA0"/>
    <w:rsid w:val="0032296D"/>
    <w:rsid w:val="003A4D6A"/>
    <w:rsid w:val="003B7207"/>
    <w:rsid w:val="003C7892"/>
    <w:rsid w:val="00461194"/>
    <w:rsid w:val="004654D9"/>
    <w:rsid w:val="00476848"/>
    <w:rsid w:val="004834E6"/>
    <w:rsid w:val="004A7A67"/>
    <w:rsid w:val="004F39FE"/>
    <w:rsid w:val="00573740"/>
    <w:rsid w:val="005754B1"/>
    <w:rsid w:val="00587184"/>
    <w:rsid w:val="0059450D"/>
    <w:rsid w:val="00616FBC"/>
    <w:rsid w:val="006D245A"/>
    <w:rsid w:val="00763A60"/>
    <w:rsid w:val="007D2415"/>
    <w:rsid w:val="008373AE"/>
    <w:rsid w:val="00837B8D"/>
    <w:rsid w:val="008575FE"/>
    <w:rsid w:val="008E1102"/>
    <w:rsid w:val="00956AC7"/>
    <w:rsid w:val="009B1D59"/>
    <w:rsid w:val="009C71A5"/>
    <w:rsid w:val="009D7B1C"/>
    <w:rsid w:val="00A806C9"/>
    <w:rsid w:val="00AA680F"/>
    <w:rsid w:val="00AE5185"/>
    <w:rsid w:val="00AF58EC"/>
    <w:rsid w:val="00B2082F"/>
    <w:rsid w:val="00B31F3E"/>
    <w:rsid w:val="00B4318A"/>
    <w:rsid w:val="00B63FCC"/>
    <w:rsid w:val="00B7092C"/>
    <w:rsid w:val="00B82048"/>
    <w:rsid w:val="00BD16C4"/>
    <w:rsid w:val="00BE7D66"/>
    <w:rsid w:val="00C06DA7"/>
    <w:rsid w:val="00C8581F"/>
    <w:rsid w:val="00CC26EE"/>
    <w:rsid w:val="00D12051"/>
    <w:rsid w:val="00D16596"/>
    <w:rsid w:val="00D21A22"/>
    <w:rsid w:val="00D45220"/>
    <w:rsid w:val="00EA1805"/>
    <w:rsid w:val="00F0533C"/>
    <w:rsid w:val="00F7684D"/>
    <w:rsid w:val="00F812FB"/>
    <w:rsid w:val="00FB1589"/>
    <w:rsid w:val="00FF36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AC36"/>
  <w15:chartTrackingRefBased/>
  <w15:docId w15:val="{0305A035-C7A0-4294-AEB0-F5B89149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CMABodyText"/>
    <w:qFormat/>
    <w:rsid w:val="009B1D59"/>
    <w:pPr>
      <w:spacing w:before="80" w:after="120" w:line="280" w:lineRule="atLeast"/>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link w:val="ACMABodyTextChar"/>
    <w:rsid w:val="009B1D59"/>
    <w:pPr>
      <w:suppressAutoHyphens/>
      <w:spacing w:before="80" w:after="120" w:line="280" w:lineRule="atLeast"/>
    </w:pPr>
    <w:rPr>
      <w:rFonts w:ascii="Arial" w:eastAsia="Times New Roman" w:hAnsi="Arial" w:cs="Times New Roman"/>
      <w:snapToGrid w:val="0"/>
      <w:kern w:val="0"/>
      <w:szCs w:val="20"/>
      <w14:ligatures w14:val="none"/>
    </w:rPr>
  </w:style>
  <w:style w:type="paragraph" w:customStyle="1" w:styleId="ACMAFooterEven">
    <w:name w:val="ACMA Footer (Even)"/>
    <w:rsid w:val="009B1D59"/>
    <w:pPr>
      <w:pBdr>
        <w:top w:val="single" w:sz="2" w:space="4" w:color="auto"/>
      </w:pBdr>
      <w:tabs>
        <w:tab w:val="right" w:pos="8959"/>
      </w:tabs>
      <w:spacing w:after="0" w:line="240" w:lineRule="auto"/>
    </w:pPr>
    <w:rPr>
      <w:rFonts w:ascii="Times New Roman" w:eastAsia="Times New Roman" w:hAnsi="Times New Roman" w:cs="Times New Roman"/>
      <w:kern w:val="0"/>
      <w:sz w:val="20"/>
      <w:szCs w:val="20"/>
      <w14:ligatures w14:val="none"/>
    </w:rPr>
  </w:style>
  <w:style w:type="paragraph" w:styleId="Header">
    <w:name w:val="header"/>
    <w:basedOn w:val="Normal"/>
    <w:link w:val="HeaderChar"/>
    <w:rsid w:val="009B1D59"/>
    <w:pPr>
      <w:tabs>
        <w:tab w:val="center" w:pos="4320"/>
        <w:tab w:val="right" w:pos="8640"/>
      </w:tabs>
    </w:pPr>
  </w:style>
  <w:style w:type="character" w:customStyle="1" w:styleId="HeaderChar">
    <w:name w:val="Header Char"/>
    <w:basedOn w:val="DefaultParagraphFont"/>
    <w:link w:val="Header"/>
    <w:rsid w:val="009B1D59"/>
    <w:rPr>
      <w:rFonts w:ascii="Times New Roman" w:eastAsia="Times New Roman" w:hAnsi="Times New Roman" w:cs="Times New Roman"/>
      <w:kern w:val="0"/>
      <w:sz w:val="24"/>
      <w:szCs w:val="24"/>
      <w14:ligatures w14:val="none"/>
    </w:rPr>
  </w:style>
  <w:style w:type="character" w:customStyle="1" w:styleId="ACMABodyTextChar">
    <w:name w:val="ACMA Body Text Char"/>
    <w:basedOn w:val="DefaultParagraphFont"/>
    <w:link w:val="ACMABodyText"/>
    <w:locked/>
    <w:rsid w:val="009B1D59"/>
    <w:rPr>
      <w:rFonts w:ascii="Arial" w:eastAsia="Times New Roman" w:hAnsi="Arial" w:cs="Times New Roman"/>
      <w:snapToGrid w:val="0"/>
      <w:kern w:val="0"/>
      <w:szCs w:val="20"/>
      <w14:ligatures w14:val="none"/>
    </w:rPr>
  </w:style>
  <w:style w:type="character" w:styleId="CommentReference">
    <w:name w:val="annotation reference"/>
    <w:basedOn w:val="DefaultParagraphFont"/>
    <w:uiPriority w:val="99"/>
    <w:unhideWhenUsed/>
    <w:rsid w:val="009B1D59"/>
    <w:rPr>
      <w:sz w:val="16"/>
      <w:szCs w:val="16"/>
    </w:rPr>
  </w:style>
  <w:style w:type="paragraph" w:styleId="CommentText">
    <w:name w:val="annotation text"/>
    <w:basedOn w:val="Normal"/>
    <w:link w:val="CommentTextChar"/>
    <w:uiPriority w:val="99"/>
    <w:unhideWhenUsed/>
    <w:rsid w:val="009B1D59"/>
    <w:pPr>
      <w:spacing w:line="240" w:lineRule="auto"/>
    </w:pPr>
    <w:rPr>
      <w:sz w:val="20"/>
      <w:szCs w:val="20"/>
    </w:rPr>
  </w:style>
  <w:style w:type="character" w:customStyle="1" w:styleId="CommentTextChar">
    <w:name w:val="Comment Text Char"/>
    <w:basedOn w:val="DefaultParagraphFont"/>
    <w:link w:val="CommentText"/>
    <w:uiPriority w:val="99"/>
    <w:rsid w:val="009B1D59"/>
    <w:rPr>
      <w:rFonts w:ascii="Times New Roman" w:eastAsia="Times New Roman" w:hAnsi="Times New Roman" w:cs="Times New Roman"/>
      <w:kern w:val="0"/>
      <w:sz w:val="20"/>
      <w:szCs w:val="20"/>
      <w14:ligatures w14:val="none"/>
    </w:rPr>
  </w:style>
  <w:style w:type="table" w:customStyle="1" w:styleId="TableGrid1">
    <w:name w:val="Table Grid1"/>
    <w:basedOn w:val="TableNormal"/>
    <w:next w:val="TableGrid"/>
    <w:uiPriority w:val="59"/>
    <w:rsid w:val="009B1D59"/>
    <w:pPr>
      <w:spacing w:after="284" w:line="240" w:lineRule="atLeast"/>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B1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806C9"/>
    <w:rPr>
      <w:b/>
      <w:bCs/>
    </w:rPr>
  </w:style>
  <w:style w:type="character" w:customStyle="1" w:styleId="CommentSubjectChar">
    <w:name w:val="Comment Subject Char"/>
    <w:basedOn w:val="CommentTextChar"/>
    <w:link w:val="CommentSubject"/>
    <w:uiPriority w:val="99"/>
    <w:semiHidden/>
    <w:rsid w:val="00A806C9"/>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B82048"/>
    <w:pPr>
      <w:spacing w:after="0"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21A22"/>
    <w:rPr>
      <w:color w:val="0563C1" w:themeColor="hyperlink"/>
      <w:u w:val="single"/>
    </w:rPr>
  </w:style>
  <w:style w:type="character" w:styleId="UnresolvedMention">
    <w:name w:val="Unresolved Mention"/>
    <w:basedOn w:val="DefaultParagraphFont"/>
    <w:uiPriority w:val="99"/>
    <w:semiHidden/>
    <w:unhideWhenUsed/>
    <w:rsid w:val="00D21A22"/>
    <w:rPr>
      <w:color w:val="605E5C"/>
      <w:shd w:val="clear" w:color="auto" w:fill="E1DFDD"/>
    </w:rPr>
  </w:style>
  <w:style w:type="paragraph" w:styleId="ListParagraph">
    <w:name w:val="List Paragraph"/>
    <w:basedOn w:val="Normal"/>
    <w:uiPriority w:val="34"/>
    <w:qFormat/>
    <w:rsid w:val="00587184"/>
    <w:pPr>
      <w:ind w:left="720"/>
      <w:contextualSpacing/>
    </w:pPr>
  </w:style>
  <w:style w:type="paragraph" w:styleId="Footer">
    <w:name w:val="footer"/>
    <w:basedOn w:val="Normal"/>
    <w:link w:val="FooterChar"/>
    <w:uiPriority w:val="99"/>
    <w:unhideWhenUsed/>
    <w:rsid w:val="003C789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C7892"/>
    <w:rPr>
      <w:rFonts w:ascii="Times New Roman" w:eastAsia="Times New Roman" w:hAnsi="Times New Roman" w:cs="Times New Roman"/>
      <w:kern w:val="0"/>
      <w:sz w:val="24"/>
      <w:szCs w:val="24"/>
      <w14:ligatures w14:val="none"/>
    </w:rPr>
  </w:style>
  <w:style w:type="paragraph" w:customStyle="1" w:styleId="subsection2">
    <w:name w:val="subsection2"/>
    <w:basedOn w:val="Normal"/>
    <w:rsid w:val="002905BF"/>
    <w:pPr>
      <w:spacing w:before="100" w:beforeAutospacing="1" w:after="100" w:afterAutospacing="1" w:line="240" w:lineRule="auto"/>
    </w:pPr>
    <w:rPr>
      <w:lang w:eastAsia="en-AU"/>
    </w:rPr>
  </w:style>
  <w:style w:type="paragraph" w:customStyle="1" w:styleId="paragraph">
    <w:name w:val="paragraph"/>
    <w:basedOn w:val="Normal"/>
    <w:rsid w:val="002905BF"/>
    <w:pPr>
      <w:spacing w:before="100" w:beforeAutospacing="1" w:after="100" w:afterAutospacing="1" w:line="240" w:lineRule="auto"/>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345331">
      <w:bodyDiv w:val="1"/>
      <w:marLeft w:val="0"/>
      <w:marRight w:val="0"/>
      <w:marTop w:val="0"/>
      <w:marBottom w:val="0"/>
      <w:divBdr>
        <w:top w:val="none" w:sz="0" w:space="0" w:color="auto"/>
        <w:left w:val="none" w:sz="0" w:space="0" w:color="auto"/>
        <w:bottom w:val="none" w:sz="0" w:space="0" w:color="auto"/>
        <w:right w:val="none" w:sz="0" w:space="0" w:color="auto"/>
      </w:divBdr>
    </w:div>
    <w:div w:id="208452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ma.gov.au/avoid-sending-spam" TargetMode="External"/><Relationship Id="rId18" Type="http://schemas.openxmlformats.org/officeDocument/2006/relationships/hyperlink" Target="https://www.legislation.gov.au/Details/C2016C0061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aic.gov.au/privacy/australian-privacy-principles/australian-privacy-principles-guidelines/chapter-7-app-7-direct-marketing"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legislation.gov.au/Details/F2017L00323"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au/Details/F2017L00237" TargetMode="External"/><Relationship Id="rId20" Type="http://schemas.openxmlformats.org/officeDocument/2006/relationships/hyperlink" Target="https://www.oaic.gov.au/privacy/privacy-guidance-for-organisations-and-government-agencies/organisations/direct-marke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aic.gov.au/privacy/australian-privacy-principles/australian-privacy-principles-guidelines/chapter-b-key-concept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au/Details/C2021C00356"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egislation.gov.au/Details/F2021L0028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notcall.gov.au/media/1212/dncr-industry-guide.pdf"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AM7W7QW6R7VW-872359720-1732</_dlc_DocId>
    <_dlc_DocIdUrl xmlns="d71819ef-55b9-420a-86a4-d36bc037540e">
      <Url>http://collaboration/organisation/cccd/UCB/_layouts/15/DocIdRedir.aspx?ID=AM7W7QW6R7VW-872359720-1732</Url>
      <Description>AM7W7QW6R7VW-872359720-1732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0AB7FE40BDA764C8DF7B9B04F7D5A7F" ma:contentTypeVersion="2" ma:contentTypeDescription="Create a new document." ma:contentTypeScope="" ma:versionID="2e15cc47e1fd343692c5fe155333e6ee">
  <xsd:schema xmlns:xsd="http://www.w3.org/2001/XMLSchema" xmlns:xs="http://www.w3.org/2001/XMLSchema" xmlns:p="http://schemas.microsoft.com/office/2006/metadata/properties" xmlns:ns2="d71819ef-55b9-420a-86a4-d36bc037540e" targetNamespace="http://schemas.microsoft.com/office/2006/metadata/properties" ma:root="true" ma:fieldsID="b8aba70e89395fa71f799a9c735d7775"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95FE1-DCE6-4B73-9168-72B1B9562E97}">
  <ds:schemaRefs>
    <ds:schemaRef ds:uri="http://schemas.microsoft.com/office/2006/metadata/properties"/>
    <ds:schemaRef ds:uri="http://schemas.microsoft.com/office/infopath/2007/PartnerControls"/>
    <ds:schemaRef ds:uri="d71819ef-55b9-420a-86a4-d36bc037540e"/>
  </ds:schemaRefs>
</ds:datastoreItem>
</file>

<file path=customXml/itemProps2.xml><?xml version="1.0" encoding="utf-8"?>
<ds:datastoreItem xmlns:ds="http://schemas.openxmlformats.org/officeDocument/2006/customXml" ds:itemID="{9D424198-5A7A-439F-8535-611B40A3D87B}">
  <ds:schemaRefs>
    <ds:schemaRef ds:uri="http://schemas.microsoft.com/sharepoint/v3/contenttype/forms"/>
  </ds:schemaRefs>
</ds:datastoreItem>
</file>

<file path=customXml/itemProps3.xml><?xml version="1.0" encoding="utf-8"?>
<ds:datastoreItem xmlns:ds="http://schemas.openxmlformats.org/officeDocument/2006/customXml" ds:itemID="{D04BD6A5-3515-4285-A4C3-2E101C9BE1B3}">
  <ds:schemaRefs>
    <ds:schemaRef ds:uri="http://schemas.microsoft.com/sharepoint/events"/>
  </ds:schemaRefs>
</ds:datastoreItem>
</file>

<file path=customXml/itemProps4.xml><?xml version="1.0" encoding="utf-8"?>
<ds:datastoreItem xmlns:ds="http://schemas.openxmlformats.org/officeDocument/2006/customXml" ds:itemID="{4636A39B-A883-467D-A5A0-C3729739D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1981</Words>
  <Characters>10783</Characters>
  <Application>Microsoft Office Word</Application>
  <DocSecurity>0</DocSecurity>
  <Lines>449</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12437</CharactersWithSpaces>
  <SharedDoc>false</SharedDoc>
  <HLinks>
    <vt:vector size="60" baseType="variant">
      <vt:variant>
        <vt:i4>6422643</vt:i4>
      </vt:variant>
      <vt:variant>
        <vt:i4>27</vt:i4>
      </vt:variant>
      <vt:variant>
        <vt:i4>0</vt:i4>
      </vt:variant>
      <vt:variant>
        <vt:i4>5</vt:i4>
      </vt:variant>
      <vt:variant>
        <vt:lpwstr>https://www.oaic.gov.au/privacy/australian-privacy-principles/australian-privacy-principles-guidelines/chapter-7-app-7-direct-marketing</vt:lpwstr>
      </vt:variant>
      <vt:variant>
        <vt:lpwstr/>
      </vt:variant>
      <vt:variant>
        <vt:i4>655437</vt:i4>
      </vt:variant>
      <vt:variant>
        <vt:i4>24</vt:i4>
      </vt:variant>
      <vt:variant>
        <vt:i4>0</vt:i4>
      </vt:variant>
      <vt:variant>
        <vt:i4>5</vt:i4>
      </vt:variant>
      <vt:variant>
        <vt:lpwstr>https://www.oaic.gov.au/privacy/privacy-guidance-for-organisations-and-government-agencies/organisations/direct-marketing</vt:lpwstr>
      </vt:variant>
      <vt:variant>
        <vt:lpwstr/>
      </vt:variant>
      <vt:variant>
        <vt:i4>7536674</vt:i4>
      </vt:variant>
      <vt:variant>
        <vt:i4>21</vt:i4>
      </vt:variant>
      <vt:variant>
        <vt:i4>0</vt:i4>
      </vt:variant>
      <vt:variant>
        <vt:i4>5</vt:i4>
      </vt:variant>
      <vt:variant>
        <vt:lpwstr>https://www.legislation.gov.au/Details/F2021L00285</vt:lpwstr>
      </vt:variant>
      <vt:variant>
        <vt:lpwstr/>
      </vt:variant>
      <vt:variant>
        <vt:i4>7602215</vt:i4>
      </vt:variant>
      <vt:variant>
        <vt:i4>18</vt:i4>
      </vt:variant>
      <vt:variant>
        <vt:i4>0</vt:i4>
      </vt:variant>
      <vt:variant>
        <vt:i4>5</vt:i4>
      </vt:variant>
      <vt:variant>
        <vt:lpwstr>https://www.legislation.gov.au/Details/C2016C00614</vt:lpwstr>
      </vt:variant>
      <vt:variant>
        <vt:lpwstr/>
      </vt:variant>
      <vt:variant>
        <vt:i4>7471147</vt:i4>
      </vt:variant>
      <vt:variant>
        <vt:i4>15</vt:i4>
      </vt:variant>
      <vt:variant>
        <vt:i4>0</vt:i4>
      </vt:variant>
      <vt:variant>
        <vt:i4>5</vt:i4>
      </vt:variant>
      <vt:variant>
        <vt:lpwstr>https://www.legislation.gov.au/Details/F2017L00323</vt:lpwstr>
      </vt:variant>
      <vt:variant>
        <vt:lpwstr/>
      </vt:variant>
      <vt:variant>
        <vt:i4>7798826</vt:i4>
      </vt:variant>
      <vt:variant>
        <vt:i4>12</vt:i4>
      </vt:variant>
      <vt:variant>
        <vt:i4>0</vt:i4>
      </vt:variant>
      <vt:variant>
        <vt:i4>5</vt:i4>
      </vt:variant>
      <vt:variant>
        <vt:lpwstr>https://www.legislation.gov.au/Details/F2017L00237</vt:lpwstr>
      </vt:variant>
      <vt:variant>
        <vt:lpwstr/>
      </vt:variant>
      <vt:variant>
        <vt:i4>7602208</vt:i4>
      </vt:variant>
      <vt:variant>
        <vt:i4>9</vt:i4>
      </vt:variant>
      <vt:variant>
        <vt:i4>0</vt:i4>
      </vt:variant>
      <vt:variant>
        <vt:i4>5</vt:i4>
      </vt:variant>
      <vt:variant>
        <vt:lpwstr>https://www.legislation.gov.au/Details/C2021C00356</vt:lpwstr>
      </vt:variant>
      <vt:variant>
        <vt:lpwstr/>
      </vt:variant>
      <vt:variant>
        <vt:i4>8126568</vt:i4>
      </vt:variant>
      <vt:variant>
        <vt:i4>6</vt:i4>
      </vt:variant>
      <vt:variant>
        <vt:i4>0</vt:i4>
      </vt:variant>
      <vt:variant>
        <vt:i4>5</vt:i4>
      </vt:variant>
      <vt:variant>
        <vt:lpwstr>https://www.donotcall.gov.au/media/1212/dncr-industry-guide.pdf</vt:lpwstr>
      </vt:variant>
      <vt:variant>
        <vt:lpwstr/>
      </vt:variant>
      <vt:variant>
        <vt:i4>7864381</vt:i4>
      </vt:variant>
      <vt:variant>
        <vt:i4>3</vt:i4>
      </vt:variant>
      <vt:variant>
        <vt:i4>0</vt:i4>
      </vt:variant>
      <vt:variant>
        <vt:i4>5</vt:i4>
      </vt:variant>
      <vt:variant>
        <vt:lpwstr>https://www.acma.gov.au/avoid-sending-spam</vt:lpwstr>
      </vt:variant>
      <vt:variant>
        <vt:lpwstr/>
      </vt:variant>
      <vt:variant>
        <vt:i4>2621501</vt:i4>
      </vt:variant>
      <vt:variant>
        <vt:i4>0</vt:i4>
      </vt:variant>
      <vt:variant>
        <vt:i4>0</vt:i4>
      </vt:variant>
      <vt:variant>
        <vt:i4>5</vt:i4>
      </vt:variant>
      <vt:variant>
        <vt:lpwstr>https://www.oaic.gov.au/privacy/australian-privacy-principles/australian-privacy-principles-guidelines/chapter-b-key-concepts</vt:lpwstr>
      </vt:variant>
      <vt:variant>
        <vt:lpwstr>key-concepts-a-to-d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Farrell</dc:creator>
  <cp:keywords/>
  <dc:description/>
  <cp:lastModifiedBy>Peter Yates</cp:lastModifiedBy>
  <cp:revision>5</cp:revision>
  <dcterms:created xsi:type="dcterms:W3CDTF">2024-06-19T03:21:00Z</dcterms:created>
  <dcterms:modified xsi:type="dcterms:W3CDTF">2024-06-28T07:26:00Z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0x010100A0AB7FE40BDA764C8DF7B9B04F7D5A7F</vt:lpwstr>
  </property>
  <property fmtid="{D5CDD505-2E9C-101B-9397-08002B2CF9AE}" pid="3" name="_dlc_DocIdItemGuid">
    <vt:lpwstr>ea9376ce-8b77-4084-89c4-4adf139f65fe</vt:lpwstr>
  </property>
</Properties>
</file>