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1702" w14:textId="70C18B97" w:rsidR="00F06E14" w:rsidRPr="00E162C4" w:rsidRDefault="003552A7" w:rsidP="00A51D1A">
      <w:pPr>
        <w:pStyle w:val="Reporttitle"/>
      </w:pPr>
      <w:bookmarkStart w:id="0" w:name="_Hlk132194029"/>
      <w:r>
        <w:t>U</w:t>
      </w:r>
      <w:r w:rsidR="0039300D">
        <w:t xml:space="preserve">pdates to RALIs LM08, </w:t>
      </w:r>
      <w:r w:rsidR="0018382B">
        <w:br/>
      </w:r>
      <w:r w:rsidR="0039300D">
        <w:t>FX16 and FX22</w:t>
      </w:r>
    </w:p>
    <w:bookmarkEnd w:id="0"/>
    <w:p w14:paraId="76837D37" w14:textId="22221CDF" w:rsidR="00F06E14" w:rsidRPr="00E162C4" w:rsidRDefault="00BC69B2" w:rsidP="00F06E14">
      <w:pPr>
        <w:pStyle w:val="Reportsubtitle"/>
      </w:pPr>
      <w:r>
        <w:t>Outcomes</w:t>
      </w:r>
      <w:r w:rsidR="00770B3F" w:rsidRPr="00E162C4">
        <w:t xml:space="preserve"> </w:t>
      </w:r>
      <w:r w:rsidR="0039300D">
        <w:t>paper</w:t>
      </w:r>
    </w:p>
    <w:p w14:paraId="2D67B0DA" w14:textId="3DCFEC81" w:rsidR="00C97736" w:rsidRPr="00E162C4" w:rsidRDefault="00DC4D05" w:rsidP="00EC2B68">
      <w:pPr>
        <w:pStyle w:val="Reportdate"/>
        <w:spacing w:after="720"/>
        <w:rPr>
          <w:rFonts w:cs="Arial"/>
        </w:rPr>
        <w:sectPr w:rsidR="00C97736"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rsidRPr="00DC4D05">
        <w:t xml:space="preserve">May </w:t>
      </w:r>
      <w:r w:rsidR="00BD4421" w:rsidRPr="00DC4D05">
        <w:t>20</w:t>
      </w:r>
      <w:r w:rsidR="008E0428" w:rsidRPr="00DC4D05">
        <w:t>2</w:t>
      </w:r>
      <w:r w:rsidR="003552A7" w:rsidRPr="00DC4D05">
        <w:t>4</w:t>
      </w:r>
    </w:p>
    <w:p w14:paraId="7DF8570F" w14:textId="77777777" w:rsidR="0005011A" w:rsidRPr="00E162C4" w:rsidRDefault="0005011A" w:rsidP="00FC07B9">
      <w:pPr>
        <w:pStyle w:val="ACMACorporateAddressHeader"/>
      </w:pPr>
      <w:r w:rsidRPr="00E162C4">
        <w:lastRenderedPageBreak/>
        <w:t>Canberra</w:t>
      </w:r>
    </w:p>
    <w:p w14:paraId="3B30DFAC" w14:textId="77777777" w:rsidR="0005011A" w:rsidRPr="00E162C4" w:rsidRDefault="0005011A" w:rsidP="00FC07B9">
      <w:pPr>
        <w:pStyle w:val="ACMACorporateAddresses"/>
      </w:pPr>
      <w:bookmarkStart w:id="1" w:name="_Hlk166493446"/>
      <w:r w:rsidRPr="00E162C4">
        <w:t xml:space="preserve">Red Building </w:t>
      </w:r>
      <w:r w:rsidRPr="00E162C4">
        <w:br/>
        <w:t>Benjamin Offices</w:t>
      </w:r>
      <w:r w:rsidRPr="00E162C4">
        <w:br/>
        <w:t xml:space="preserve">Chan Street </w:t>
      </w:r>
      <w:r w:rsidRPr="00E162C4">
        <w:br/>
        <w:t>Belconnen ACT</w:t>
      </w:r>
    </w:p>
    <w:p w14:paraId="5D01A1D3" w14:textId="77777777" w:rsidR="0005011A" w:rsidRPr="00E162C4" w:rsidRDefault="0005011A" w:rsidP="00FC07B9">
      <w:pPr>
        <w:pStyle w:val="ACMACorporateAddresses"/>
      </w:pPr>
      <w:r w:rsidRPr="00E162C4">
        <w:t>PO Box 78</w:t>
      </w:r>
      <w:r w:rsidRPr="00E162C4">
        <w:br/>
        <w:t>Belconnen ACT 2616</w:t>
      </w:r>
    </w:p>
    <w:p w14:paraId="22A9FB6A"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bookmarkEnd w:id="1"/>
    </w:p>
    <w:p w14:paraId="6E1ECA3A" w14:textId="77777777" w:rsidR="0005011A" w:rsidRPr="00E162C4" w:rsidRDefault="0005011A" w:rsidP="00FC07B9">
      <w:pPr>
        <w:pStyle w:val="ACMACorporateAddressHeader"/>
      </w:pPr>
      <w:r w:rsidRPr="00E162C4">
        <w:t>Melbourne</w:t>
      </w:r>
    </w:p>
    <w:p w14:paraId="2E41002B"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0EB03715"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193DE2B8"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762F6842" w14:textId="77777777" w:rsidR="0005011A" w:rsidRPr="00E162C4" w:rsidRDefault="0005011A" w:rsidP="00FC07B9">
      <w:pPr>
        <w:pStyle w:val="ACMACorporateAddressHeader"/>
      </w:pPr>
      <w:r w:rsidRPr="00E162C4">
        <w:t>Sydney</w:t>
      </w:r>
    </w:p>
    <w:p w14:paraId="13BFADC1"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3B798FAB"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418962B2"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4E9C1CC2" w14:textId="77777777" w:rsidR="00140318" w:rsidRPr="00E162C4" w:rsidRDefault="00140318" w:rsidP="00FC07B9">
      <w:pPr>
        <w:pStyle w:val="ACMACopyrightHeader"/>
      </w:pPr>
      <w:r w:rsidRPr="00E162C4">
        <w:t>Copyright notice</w:t>
      </w:r>
    </w:p>
    <w:p w14:paraId="56080D00" w14:textId="77777777" w:rsidR="00140318" w:rsidRPr="00E162C4" w:rsidRDefault="00623FF9" w:rsidP="00623FF9">
      <w:pPr>
        <w:pStyle w:val="ACMACClogo"/>
      </w:pPr>
      <w:r w:rsidRPr="00E162C4">
        <w:rPr>
          <w:noProof/>
        </w:rPr>
        <w:drawing>
          <wp:inline distT="0" distB="0" distL="0" distR="0" wp14:anchorId="54BA5091" wp14:editId="0AB1B381">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0DE7A0A1" w14:textId="77777777" w:rsidR="00AA2DE5" w:rsidRPr="00E162C4" w:rsidRDefault="004D1D30" w:rsidP="00AA2DE5">
      <w:pPr>
        <w:pStyle w:val="ACMACorporateAddresses"/>
        <w:rPr>
          <w:rStyle w:val="Hyperlink"/>
        </w:rPr>
      </w:pPr>
      <w:hyperlink r:id="rId13" w:history="1">
        <w:r w:rsidR="00AA2DE5" w:rsidRPr="00E162C4">
          <w:rPr>
            <w:rStyle w:val="Hyperlink"/>
          </w:rPr>
          <w:t>https://creativecommons.org/licenses/by/4.0/</w:t>
        </w:r>
      </w:hyperlink>
    </w:p>
    <w:p w14:paraId="0A09FBFC" w14:textId="77777777" w:rsidR="00AA2DE5" w:rsidRPr="00E162C4" w:rsidRDefault="00AA2DE5" w:rsidP="00AA2DE5">
      <w:pPr>
        <w:pStyle w:val="ACMACorporateAddresses"/>
      </w:pPr>
      <w:proofErr w:type="gramStart"/>
      <w:r w:rsidRPr="00E162C4">
        <w:t>With the exception of</w:t>
      </w:r>
      <w:proofErr w:type="gramEnd"/>
      <w:r w:rsidRPr="00E162C4">
        <w:t xml:space="preserve"> coats of arms, logos, emblems, images, other third-party material or devices protected by a trademark, this content is made available under the terms of the Creative Commons Attribution 4.0 International (CC BY 4.0) licence. </w:t>
      </w:r>
    </w:p>
    <w:p w14:paraId="3C14AE91" w14:textId="0B6BF48F" w:rsidR="00AA2DE5" w:rsidRPr="00E162C4" w:rsidRDefault="00AA2DE5" w:rsidP="00AA2DE5">
      <w:pPr>
        <w:pStyle w:val="ACMACorporateAddresses"/>
      </w:pPr>
      <w:r w:rsidRPr="00E162C4">
        <w:t>We request attribution as © Commonwealth of Australia (Australian Communications and Media Authority) 20</w:t>
      </w:r>
      <w:r w:rsidR="00C41F21" w:rsidRPr="00E162C4">
        <w:t>2</w:t>
      </w:r>
      <w:r w:rsidR="00F27261">
        <w:t>4</w:t>
      </w:r>
      <w:r w:rsidRPr="00E162C4">
        <w:t>.</w:t>
      </w:r>
    </w:p>
    <w:p w14:paraId="0079B71D" w14:textId="77777777" w:rsidR="00AA2DE5" w:rsidRPr="00E162C4" w:rsidRDefault="00AA2DE5" w:rsidP="00AA2DE5">
      <w:pPr>
        <w:pStyle w:val="ACMACorporateAddresses"/>
      </w:pPr>
      <w:r w:rsidRPr="00E162C4">
        <w:t>All other rights are reserved.</w:t>
      </w:r>
    </w:p>
    <w:p w14:paraId="58727D1F" w14:textId="77777777" w:rsidR="00AA2DE5" w:rsidRPr="00E162C4" w:rsidRDefault="00AA2DE5" w:rsidP="00AA2DE5">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3B36E0D6" w14:textId="77777777" w:rsidR="00AA2DE5" w:rsidRPr="00E162C4" w:rsidRDefault="00AA2DE5" w:rsidP="00AA2DE5">
      <w:pPr>
        <w:pStyle w:val="ACMACorporateAddresses"/>
      </w:pPr>
      <w:r w:rsidRPr="00E162C4">
        <w:t>Written enquiries may be sent to:</w:t>
      </w:r>
    </w:p>
    <w:p w14:paraId="435C3720" w14:textId="77777777" w:rsidR="00AA2DE5" w:rsidRPr="00E162C4" w:rsidRDefault="00AA2DE5" w:rsidP="00AA2DE5">
      <w:pPr>
        <w:pStyle w:val="ACMACorporateAddresses"/>
        <w:rPr>
          <w:rStyle w:val="Hyperlink"/>
        </w:rPr>
      </w:pPr>
      <w:r w:rsidRPr="00E162C4">
        <w:t xml:space="preserve">Manager, Editorial </w:t>
      </w:r>
      <w:r w:rsidR="000245E5" w:rsidRPr="00E162C4">
        <w:t>Services</w:t>
      </w:r>
      <w:r w:rsidRPr="00E162C4">
        <w:br/>
        <w:t>PO Box 13112</w:t>
      </w:r>
      <w:r w:rsidRPr="00E162C4">
        <w:br/>
        <w:t>Law Courts</w:t>
      </w:r>
      <w:r w:rsidRPr="00E162C4">
        <w:br/>
        <w:t>Melbourne VIC 8010</w:t>
      </w:r>
      <w:r w:rsidRPr="00E162C4">
        <w:br/>
        <w:t xml:space="preserve">Email: </w:t>
      </w:r>
      <w:hyperlink r:id="rId14" w:history="1">
        <w:r w:rsidRPr="00E162C4">
          <w:rPr>
            <w:rStyle w:val="Hyperlink"/>
          </w:rPr>
          <w:t>info@acma.gov.au</w:t>
        </w:r>
      </w:hyperlink>
    </w:p>
    <w:p w14:paraId="43BBA81B" w14:textId="77777777" w:rsidR="00D16FE3" w:rsidRPr="00E162C4" w:rsidRDefault="00D16FE3" w:rsidP="00D16FE3">
      <w:pPr>
        <w:pStyle w:val="ACMACorporateAddresses"/>
        <w:rPr>
          <w:rStyle w:val="Hyperlink"/>
        </w:rPr>
      </w:pPr>
    </w:p>
    <w:p w14:paraId="112CF9B7" w14:textId="77777777" w:rsidR="00D16FE3" w:rsidRPr="00E162C4" w:rsidRDefault="00D16FE3" w:rsidP="00D16FE3">
      <w:pPr>
        <w:pStyle w:val="ACMACorporateAddresses"/>
        <w:sectPr w:rsidR="00D16FE3" w:rsidRPr="00E162C4">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1BD5AE9F" w14:textId="7AA16217" w:rsidR="00C60E88" w:rsidRDefault="006A3ECF">
      <w:pPr>
        <w:pStyle w:val="TOC1"/>
        <w:rPr>
          <w:rFonts w:asciiTheme="minorHAnsi" w:eastAsiaTheme="minorEastAsia" w:hAnsiTheme="minorHAnsi" w:cstheme="minorBidi"/>
          <w:b w:val="0"/>
          <w:spacing w:val="0"/>
          <w:kern w:val="2"/>
          <w:sz w:val="22"/>
          <w:szCs w:val="22"/>
          <w14:ligatures w14:val="standardContextual"/>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66499468" w:history="1">
        <w:r w:rsidR="00C60E88" w:rsidRPr="00DB65C7">
          <w:rPr>
            <w:rStyle w:val="Hyperlink"/>
          </w:rPr>
          <w:t>Introduction</w:t>
        </w:r>
        <w:r w:rsidR="00C60E88">
          <w:rPr>
            <w:webHidden/>
          </w:rPr>
          <w:tab/>
        </w:r>
        <w:r w:rsidR="00C60E88">
          <w:rPr>
            <w:webHidden/>
          </w:rPr>
          <w:fldChar w:fldCharType="begin"/>
        </w:r>
        <w:r w:rsidR="00C60E88">
          <w:rPr>
            <w:webHidden/>
          </w:rPr>
          <w:instrText xml:space="preserve"> PAGEREF _Toc166499468 \h </w:instrText>
        </w:r>
        <w:r w:rsidR="00C60E88">
          <w:rPr>
            <w:webHidden/>
          </w:rPr>
        </w:r>
        <w:r w:rsidR="00C60E88">
          <w:rPr>
            <w:webHidden/>
          </w:rPr>
          <w:fldChar w:fldCharType="separate"/>
        </w:r>
        <w:r w:rsidR="00C60E88">
          <w:rPr>
            <w:webHidden/>
          </w:rPr>
          <w:t>1</w:t>
        </w:r>
        <w:r w:rsidR="00C60E88">
          <w:rPr>
            <w:webHidden/>
          </w:rPr>
          <w:fldChar w:fldCharType="end"/>
        </w:r>
      </w:hyperlink>
    </w:p>
    <w:p w14:paraId="6F98B930" w14:textId="513E3916" w:rsidR="00C60E88" w:rsidRDefault="004D1D30">
      <w:pPr>
        <w:pStyle w:val="TOC1"/>
        <w:rPr>
          <w:rFonts w:asciiTheme="minorHAnsi" w:eastAsiaTheme="minorEastAsia" w:hAnsiTheme="minorHAnsi" w:cstheme="minorBidi"/>
          <w:b w:val="0"/>
          <w:spacing w:val="0"/>
          <w:kern w:val="2"/>
          <w:sz w:val="22"/>
          <w:szCs w:val="22"/>
          <w14:ligatures w14:val="standardContextual"/>
        </w:rPr>
      </w:pPr>
      <w:hyperlink w:anchor="_Toc166499469" w:history="1">
        <w:r w:rsidR="00C60E88" w:rsidRPr="00DB65C7">
          <w:rPr>
            <w:rStyle w:val="Hyperlink"/>
          </w:rPr>
          <w:t>Outcomes of consultation</w:t>
        </w:r>
        <w:r w:rsidR="00C60E88">
          <w:rPr>
            <w:webHidden/>
          </w:rPr>
          <w:tab/>
        </w:r>
        <w:r w:rsidR="00C60E88">
          <w:rPr>
            <w:webHidden/>
          </w:rPr>
          <w:fldChar w:fldCharType="begin"/>
        </w:r>
        <w:r w:rsidR="00C60E88">
          <w:rPr>
            <w:webHidden/>
          </w:rPr>
          <w:instrText xml:space="preserve"> PAGEREF _Toc166499469 \h </w:instrText>
        </w:r>
        <w:r w:rsidR="00C60E88">
          <w:rPr>
            <w:webHidden/>
          </w:rPr>
        </w:r>
        <w:r w:rsidR="00C60E88">
          <w:rPr>
            <w:webHidden/>
          </w:rPr>
          <w:fldChar w:fldCharType="separate"/>
        </w:r>
        <w:r w:rsidR="00C60E88">
          <w:rPr>
            <w:webHidden/>
          </w:rPr>
          <w:t>2</w:t>
        </w:r>
        <w:r w:rsidR="00C60E88">
          <w:rPr>
            <w:webHidden/>
          </w:rPr>
          <w:fldChar w:fldCharType="end"/>
        </w:r>
      </w:hyperlink>
    </w:p>
    <w:p w14:paraId="510565D1" w14:textId="5A6B672F" w:rsidR="00C60E88" w:rsidRDefault="004D1D30">
      <w:pPr>
        <w:pStyle w:val="TOC1"/>
        <w:rPr>
          <w:rFonts w:asciiTheme="minorHAnsi" w:eastAsiaTheme="minorEastAsia" w:hAnsiTheme="minorHAnsi" w:cstheme="minorBidi"/>
          <w:b w:val="0"/>
          <w:spacing w:val="0"/>
          <w:kern w:val="2"/>
          <w:sz w:val="22"/>
          <w:szCs w:val="22"/>
          <w14:ligatures w14:val="standardContextual"/>
        </w:rPr>
      </w:pPr>
      <w:hyperlink w:anchor="_Toc166499470" w:history="1">
        <w:r w:rsidR="00C60E88" w:rsidRPr="00DB65C7">
          <w:rPr>
            <w:rStyle w:val="Hyperlink"/>
          </w:rPr>
          <w:t>Summary and response to submissions</w:t>
        </w:r>
        <w:r w:rsidR="00C60E88">
          <w:rPr>
            <w:webHidden/>
          </w:rPr>
          <w:tab/>
        </w:r>
        <w:r w:rsidR="00C60E88">
          <w:rPr>
            <w:webHidden/>
          </w:rPr>
          <w:fldChar w:fldCharType="begin"/>
        </w:r>
        <w:r w:rsidR="00C60E88">
          <w:rPr>
            <w:webHidden/>
          </w:rPr>
          <w:instrText xml:space="preserve"> PAGEREF _Toc166499470 \h </w:instrText>
        </w:r>
        <w:r w:rsidR="00C60E88">
          <w:rPr>
            <w:webHidden/>
          </w:rPr>
        </w:r>
        <w:r w:rsidR="00C60E88">
          <w:rPr>
            <w:webHidden/>
          </w:rPr>
          <w:fldChar w:fldCharType="separate"/>
        </w:r>
        <w:r w:rsidR="00C60E88">
          <w:rPr>
            <w:webHidden/>
          </w:rPr>
          <w:t>3</w:t>
        </w:r>
        <w:r w:rsidR="00C60E88">
          <w:rPr>
            <w:webHidden/>
          </w:rPr>
          <w:fldChar w:fldCharType="end"/>
        </w:r>
      </w:hyperlink>
    </w:p>
    <w:p w14:paraId="571FD4AC" w14:textId="41E548E0" w:rsidR="00C60E88" w:rsidRDefault="004D1D30">
      <w:pPr>
        <w:pStyle w:val="TOC2"/>
        <w:rPr>
          <w:rFonts w:asciiTheme="minorHAnsi" w:eastAsiaTheme="minorEastAsia" w:hAnsiTheme="minorHAnsi" w:cstheme="minorBidi"/>
          <w:spacing w:val="0"/>
          <w:kern w:val="2"/>
          <w:sz w:val="22"/>
          <w:szCs w:val="22"/>
          <w14:ligatures w14:val="standardContextual"/>
        </w:rPr>
      </w:pPr>
      <w:hyperlink w:anchor="_Toc166499471" w:history="1">
        <w:r w:rsidR="00C60E88" w:rsidRPr="00DB65C7">
          <w:rPr>
            <w:rStyle w:val="Hyperlink"/>
          </w:rPr>
          <w:t>Revisions to support Milestone 5</w:t>
        </w:r>
        <w:r w:rsidR="00C60E88">
          <w:rPr>
            <w:webHidden/>
          </w:rPr>
          <w:tab/>
        </w:r>
        <w:r w:rsidR="00C60E88">
          <w:rPr>
            <w:webHidden/>
          </w:rPr>
          <w:fldChar w:fldCharType="begin"/>
        </w:r>
        <w:r w:rsidR="00C60E88">
          <w:rPr>
            <w:webHidden/>
          </w:rPr>
          <w:instrText xml:space="preserve"> PAGEREF _Toc166499471 \h </w:instrText>
        </w:r>
        <w:r w:rsidR="00C60E88">
          <w:rPr>
            <w:webHidden/>
          </w:rPr>
        </w:r>
        <w:r w:rsidR="00C60E88">
          <w:rPr>
            <w:webHidden/>
          </w:rPr>
          <w:fldChar w:fldCharType="separate"/>
        </w:r>
        <w:r w:rsidR="00C60E88">
          <w:rPr>
            <w:webHidden/>
          </w:rPr>
          <w:t>3</w:t>
        </w:r>
        <w:r w:rsidR="00C60E88">
          <w:rPr>
            <w:webHidden/>
          </w:rPr>
          <w:fldChar w:fldCharType="end"/>
        </w:r>
      </w:hyperlink>
    </w:p>
    <w:p w14:paraId="7B2EAAD7" w14:textId="1F5B395A" w:rsidR="00C60E88" w:rsidRDefault="004D1D30">
      <w:pPr>
        <w:pStyle w:val="TOC2"/>
        <w:rPr>
          <w:rFonts w:asciiTheme="minorHAnsi" w:eastAsiaTheme="minorEastAsia" w:hAnsiTheme="minorHAnsi" w:cstheme="minorBidi"/>
          <w:spacing w:val="0"/>
          <w:kern w:val="2"/>
          <w:sz w:val="22"/>
          <w:szCs w:val="22"/>
          <w14:ligatures w14:val="standardContextual"/>
        </w:rPr>
      </w:pPr>
      <w:hyperlink w:anchor="_Toc166499472" w:history="1">
        <w:r w:rsidR="00C60E88" w:rsidRPr="00DB65C7">
          <w:rPr>
            <w:rStyle w:val="Hyperlink"/>
          </w:rPr>
          <w:t>Changes to the spectrum licence technical framework</w:t>
        </w:r>
        <w:r w:rsidR="00C60E88">
          <w:rPr>
            <w:webHidden/>
          </w:rPr>
          <w:tab/>
        </w:r>
        <w:r w:rsidR="00C60E88">
          <w:rPr>
            <w:webHidden/>
          </w:rPr>
          <w:fldChar w:fldCharType="begin"/>
        </w:r>
        <w:r w:rsidR="00C60E88">
          <w:rPr>
            <w:webHidden/>
          </w:rPr>
          <w:instrText xml:space="preserve"> PAGEREF _Toc166499472 \h </w:instrText>
        </w:r>
        <w:r w:rsidR="00C60E88">
          <w:rPr>
            <w:webHidden/>
          </w:rPr>
        </w:r>
        <w:r w:rsidR="00C60E88">
          <w:rPr>
            <w:webHidden/>
          </w:rPr>
          <w:fldChar w:fldCharType="separate"/>
        </w:r>
        <w:r w:rsidR="00C60E88">
          <w:rPr>
            <w:webHidden/>
          </w:rPr>
          <w:t>3</w:t>
        </w:r>
        <w:r w:rsidR="00C60E88">
          <w:rPr>
            <w:webHidden/>
          </w:rPr>
          <w:fldChar w:fldCharType="end"/>
        </w:r>
      </w:hyperlink>
    </w:p>
    <w:p w14:paraId="485CEA93" w14:textId="009EB3C8" w:rsidR="00C60E88" w:rsidRDefault="004D1D30">
      <w:pPr>
        <w:pStyle w:val="TOC2"/>
        <w:rPr>
          <w:rFonts w:asciiTheme="minorHAnsi" w:eastAsiaTheme="minorEastAsia" w:hAnsiTheme="minorHAnsi" w:cstheme="minorBidi"/>
          <w:spacing w:val="0"/>
          <w:kern w:val="2"/>
          <w:sz w:val="22"/>
          <w:szCs w:val="22"/>
          <w14:ligatures w14:val="standardContextual"/>
        </w:rPr>
      </w:pPr>
      <w:hyperlink w:anchor="_Toc166499473" w:history="1">
        <w:r w:rsidR="00C60E88" w:rsidRPr="00DB65C7">
          <w:rPr>
            <w:rStyle w:val="Hyperlink"/>
          </w:rPr>
          <w:t>Arrangements for new apparatus-licensed assignments</w:t>
        </w:r>
        <w:r w:rsidR="00C60E88">
          <w:rPr>
            <w:webHidden/>
          </w:rPr>
          <w:tab/>
        </w:r>
        <w:r w:rsidR="00C60E88">
          <w:rPr>
            <w:webHidden/>
          </w:rPr>
          <w:fldChar w:fldCharType="begin"/>
        </w:r>
        <w:r w:rsidR="00C60E88">
          <w:rPr>
            <w:webHidden/>
          </w:rPr>
          <w:instrText xml:space="preserve"> PAGEREF _Toc166499473 \h </w:instrText>
        </w:r>
        <w:r w:rsidR="00C60E88">
          <w:rPr>
            <w:webHidden/>
          </w:rPr>
        </w:r>
        <w:r w:rsidR="00C60E88">
          <w:rPr>
            <w:webHidden/>
          </w:rPr>
          <w:fldChar w:fldCharType="separate"/>
        </w:r>
        <w:r w:rsidR="00C60E88">
          <w:rPr>
            <w:webHidden/>
          </w:rPr>
          <w:t>4</w:t>
        </w:r>
        <w:r w:rsidR="00C60E88">
          <w:rPr>
            <w:webHidden/>
          </w:rPr>
          <w:fldChar w:fldCharType="end"/>
        </w:r>
      </w:hyperlink>
    </w:p>
    <w:p w14:paraId="2F9FD59B" w14:textId="0988ABCB" w:rsidR="00C60E88" w:rsidRDefault="004D1D30">
      <w:pPr>
        <w:pStyle w:val="TOC2"/>
        <w:rPr>
          <w:rFonts w:asciiTheme="minorHAnsi" w:eastAsiaTheme="minorEastAsia" w:hAnsiTheme="minorHAnsi" w:cstheme="minorBidi"/>
          <w:spacing w:val="0"/>
          <w:kern w:val="2"/>
          <w:sz w:val="22"/>
          <w:szCs w:val="22"/>
          <w14:ligatures w14:val="standardContextual"/>
        </w:rPr>
      </w:pPr>
      <w:hyperlink w:anchor="_Toc166499474" w:history="1">
        <w:r w:rsidR="00C60E88" w:rsidRPr="00DB65C7">
          <w:rPr>
            <w:rStyle w:val="Hyperlink"/>
          </w:rPr>
          <w:t>Comments on coordination arrangements</w:t>
        </w:r>
        <w:r w:rsidR="00C60E88">
          <w:rPr>
            <w:webHidden/>
          </w:rPr>
          <w:tab/>
        </w:r>
        <w:r w:rsidR="00C60E88">
          <w:rPr>
            <w:webHidden/>
          </w:rPr>
          <w:fldChar w:fldCharType="begin"/>
        </w:r>
        <w:r w:rsidR="00C60E88">
          <w:rPr>
            <w:webHidden/>
          </w:rPr>
          <w:instrText xml:space="preserve"> PAGEREF _Toc166499474 \h </w:instrText>
        </w:r>
        <w:r w:rsidR="00C60E88">
          <w:rPr>
            <w:webHidden/>
          </w:rPr>
        </w:r>
        <w:r w:rsidR="00C60E88">
          <w:rPr>
            <w:webHidden/>
          </w:rPr>
          <w:fldChar w:fldCharType="separate"/>
        </w:r>
        <w:r w:rsidR="00C60E88">
          <w:rPr>
            <w:webHidden/>
          </w:rPr>
          <w:t>5</w:t>
        </w:r>
        <w:r w:rsidR="00C60E88">
          <w:rPr>
            <w:webHidden/>
          </w:rPr>
          <w:fldChar w:fldCharType="end"/>
        </w:r>
      </w:hyperlink>
    </w:p>
    <w:p w14:paraId="083C878B" w14:textId="21D26ABC" w:rsidR="004D56FF" w:rsidRPr="00E162C4" w:rsidRDefault="006A3ECF">
      <w:pPr>
        <w:rPr>
          <w:rFonts w:cs="Arial"/>
        </w:rPr>
        <w:sectPr w:rsidR="004D56FF" w:rsidRPr="00E162C4"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061F3F23" w14:textId="5BDCBED8" w:rsidR="00881C14" w:rsidRDefault="00881C14" w:rsidP="006C1631">
      <w:pPr>
        <w:pStyle w:val="Heading1"/>
      </w:pPr>
      <w:bookmarkStart w:id="2" w:name="_Toc166499468"/>
      <w:r>
        <w:lastRenderedPageBreak/>
        <w:t>Introduction</w:t>
      </w:r>
      <w:bookmarkEnd w:id="2"/>
    </w:p>
    <w:p w14:paraId="0A2B5573" w14:textId="311FDC3C" w:rsidR="00106148" w:rsidRDefault="00106148" w:rsidP="00881C14">
      <w:bookmarkStart w:id="3" w:name="_Hlk132194254"/>
      <w:r>
        <w:t xml:space="preserve">In November 2015, </w:t>
      </w:r>
      <w:r w:rsidR="0018382B">
        <w:t>we</w:t>
      </w:r>
      <w:r>
        <w:t xml:space="preserve"> concluded </w:t>
      </w:r>
      <w:bookmarkStart w:id="4" w:name="_Hlk132201903"/>
      <w:r w:rsidR="0018382B">
        <w:t xml:space="preserve">our </w:t>
      </w:r>
      <w:r>
        <w:t>review of the 803</w:t>
      </w:r>
      <w:r w:rsidR="0018382B">
        <w:t>–</w:t>
      </w:r>
      <w:r>
        <w:t xml:space="preserve">960 MHz band with </w:t>
      </w:r>
      <w:r w:rsidR="0018382B">
        <w:br/>
      </w:r>
      <w:r>
        <w:t xml:space="preserve">the release of </w:t>
      </w:r>
      <w:hyperlink r:id="rId24" w:history="1">
        <w:r w:rsidRPr="006A58DF">
          <w:rPr>
            <w:rStyle w:val="Hyperlink"/>
            <w:i/>
            <w:iCs/>
          </w:rPr>
          <w:t>The ACMA’s long-te</w:t>
        </w:r>
        <w:r w:rsidRPr="006A58DF">
          <w:rPr>
            <w:rStyle w:val="Hyperlink"/>
            <w:i/>
            <w:iCs/>
          </w:rPr>
          <w:t>r</w:t>
        </w:r>
        <w:r w:rsidRPr="006A58DF">
          <w:rPr>
            <w:rStyle w:val="Hyperlink"/>
            <w:i/>
            <w:iCs/>
          </w:rPr>
          <w:t>m st</w:t>
        </w:r>
        <w:r w:rsidRPr="006A58DF">
          <w:rPr>
            <w:rStyle w:val="Hyperlink"/>
            <w:i/>
            <w:iCs/>
          </w:rPr>
          <w:t>r</w:t>
        </w:r>
        <w:r w:rsidRPr="006A58DF">
          <w:rPr>
            <w:rStyle w:val="Hyperlink"/>
            <w:i/>
            <w:iCs/>
          </w:rPr>
          <w:t>ategy for the 803</w:t>
        </w:r>
        <w:r w:rsidR="0018382B" w:rsidRPr="006A58DF">
          <w:rPr>
            <w:rStyle w:val="Hyperlink"/>
            <w:i/>
            <w:iCs/>
          </w:rPr>
          <w:t>–</w:t>
        </w:r>
        <w:r w:rsidRPr="006A58DF">
          <w:rPr>
            <w:rStyle w:val="Hyperlink"/>
            <w:i/>
            <w:iCs/>
          </w:rPr>
          <w:t>960 MHz band</w:t>
        </w:r>
      </w:hyperlink>
      <w:r w:rsidR="00A71544">
        <w:t xml:space="preserve"> </w:t>
      </w:r>
      <w:bookmarkEnd w:id="4"/>
      <w:r w:rsidR="00A71544">
        <w:t xml:space="preserve">(the </w:t>
      </w:r>
      <w:r w:rsidR="0018382B">
        <w:br/>
      </w:r>
      <w:r w:rsidR="00A71544">
        <w:t>long-term strategy</w:t>
      </w:r>
      <w:r w:rsidR="007C2B0C">
        <w:t xml:space="preserve"> paper</w:t>
      </w:r>
      <w:r w:rsidR="00A71544">
        <w:t>)</w:t>
      </w:r>
      <w:r>
        <w:t xml:space="preserve">. </w:t>
      </w:r>
      <w:r w:rsidR="008719BC">
        <w:t xml:space="preserve">This paper outlined </w:t>
      </w:r>
      <w:bookmarkStart w:id="5" w:name="_Hlk132201948"/>
      <w:r w:rsidR="00836FB6">
        <w:t xml:space="preserve">an incremental re-configuration of the </w:t>
      </w:r>
      <w:r w:rsidR="0018382B">
        <w:br/>
      </w:r>
      <w:r w:rsidR="00836FB6">
        <w:t>803</w:t>
      </w:r>
      <w:r w:rsidR="0018382B">
        <w:t>–</w:t>
      </w:r>
      <w:r w:rsidR="00836FB6">
        <w:t xml:space="preserve">960 MHz band to ensure the public benefit derived from the use of the band </w:t>
      </w:r>
      <w:r w:rsidR="00FB46E7">
        <w:t xml:space="preserve">would be </w:t>
      </w:r>
      <w:r w:rsidR="00836FB6">
        <w:t xml:space="preserve">maximised. </w:t>
      </w:r>
      <w:bookmarkEnd w:id="5"/>
      <w:r w:rsidR="009A48B0">
        <w:t xml:space="preserve">This included the </w:t>
      </w:r>
      <w:r w:rsidR="00FB46E7">
        <w:t xml:space="preserve">shifting </w:t>
      </w:r>
      <w:r w:rsidR="009A48B0">
        <w:t xml:space="preserve">of </w:t>
      </w:r>
      <w:r w:rsidR="00E17F5F">
        <w:t>apparatus</w:t>
      </w:r>
      <w:r w:rsidR="0018382B">
        <w:t>-</w:t>
      </w:r>
      <w:r w:rsidR="00E17F5F">
        <w:t xml:space="preserve">licensed </w:t>
      </w:r>
      <w:r w:rsidR="0018382B">
        <w:t>t</w:t>
      </w:r>
      <w:r w:rsidR="009A48B0">
        <w:t>r</w:t>
      </w:r>
      <w:r w:rsidR="00E17F5F">
        <w:t>un</w:t>
      </w:r>
      <w:r w:rsidR="009A48B0">
        <w:t xml:space="preserve">ked </w:t>
      </w:r>
      <w:r w:rsidR="0018382B">
        <w:t>l</w:t>
      </w:r>
      <w:r w:rsidR="009A48B0">
        <w:t xml:space="preserve">and </w:t>
      </w:r>
      <w:r w:rsidR="0018382B">
        <w:t>m</w:t>
      </w:r>
      <w:r w:rsidR="009A48B0">
        <w:t>obile</w:t>
      </w:r>
      <w:r w:rsidR="00E17F5F">
        <w:t xml:space="preserve"> </w:t>
      </w:r>
      <w:r w:rsidR="0018382B">
        <w:t xml:space="preserve">systems </w:t>
      </w:r>
      <w:r w:rsidR="00E17F5F">
        <w:t xml:space="preserve">(TLMS) and </w:t>
      </w:r>
      <w:r w:rsidR="0018382B">
        <w:t>f</w:t>
      </w:r>
      <w:r w:rsidR="00E17F5F">
        <w:t>ixed services to the lower part of the 803 MHz band over 5 milestone dates.</w:t>
      </w:r>
    </w:p>
    <w:p w14:paraId="704D0FBA" w14:textId="68560DA2" w:rsidR="005E2310" w:rsidRDefault="00C3198F" w:rsidP="00171416">
      <w:pPr>
        <w:pStyle w:val="Paragraphbeforelist"/>
      </w:pPr>
      <w:bookmarkStart w:id="6" w:name="_Hlk132202060"/>
      <w:r>
        <w:t xml:space="preserve">In October 2023, we </w:t>
      </w:r>
      <w:hyperlink r:id="rId25" w:history="1">
        <w:r w:rsidRPr="00B95B4A">
          <w:rPr>
            <w:rStyle w:val="Hyperlink"/>
          </w:rPr>
          <w:t>consulted on proposed changes</w:t>
        </w:r>
      </w:hyperlink>
      <w:r>
        <w:t xml:space="preserve"> to support the final stage of the long-term strategy. </w:t>
      </w:r>
      <w:r w:rsidR="00F94701">
        <w:t xml:space="preserve">At the same time, we consulted on the </w:t>
      </w:r>
      <w:hyperlink r:id="rId26" w:history="1">
        <w:r w:rsidR="00F94701" w:rsidRPr="00F27261">
          <w:rPr>
            <w:rStyle w:val="Hyperlink"/>
          </w:rPr>
          <w:t>proposed inclusion of revised protection criteria and guidance</w:t>
        </w:r>
      </w:hyperlink>
      <w:r w:rsidR="00F94701">
        <w:t xml:space="preserve"> in</w:t>
      </w:r>
      <w:r w:rsidR="005E2310">
        <w:t xml:space="preserve"> the following </w:t>
      </w:r>
      <w:r w:rsidR="00F27261">
        <w:t>r</w:t>
      </w:r>
      <w:r w:rsidR="005E2310">
        <w:t xml:space="preserve">adiocommunications </w:t>
      </w:r>
      <w:r w:rsidR="00F27261">
        <w:t>a</w:t>
      </w:r>
      <w:r w:rsidR="005E2310">
        <w:t xml:space="preserve">ssignment and </w:t>
      </w:r>
      <w:r w:rsidR="00F27261">
        <w:t>l</w:t>
      </w:r>
      <w:r w:rsidR="005E2310">
        <w:t xml:space="preserve">icensing </w:t>
      </w:r>
      <w:r w:rsidR="00F27261">
        <w:t>i</w:t>
      </w:r>
      <w:r w:rsidR="005E2310">
        <w:t xml:space="preserve">nstructions (RALIs), to aid coordination between </w:t>
      </w:r>
      <w:r w:rsidR="00F27261">
        <w:br/>
      </w:r>
      <w:r w:rsidR="005E2310">
        <w:t>800 MHz band apparatus-licensed services and spectrum-licensed services operating below 803 MHz:</w:t>
      </w:r>
    </w:p>
    <w:p w14:paraId="6E56DE3F" w14:textId="77777777" w:rsidR="005E2310" w:rsidRDefault="00F94701" w:rsidP="005E2310">
      <w:pPr>
        <w:pStyle w:val="ListBullet"/>
      </w:pPr>
      <w:r>
        <w:t>RALI LM08</w:t>
      </w:r>
      <w:r w:rsidR="005E2310">
        <w:t xml:space="preserve"> – Frequency assignment requirements for the land mobile service</w:t>
      </w:r>
    </w:p>
    <w:p w14:paraId="67CC240B" w14:textId="683CDB8D" w:rsidR="005E2310" w:rsidRDefault="005E2310" w:rsidP="005E2310">
      <w:pPr>
        <w:pStyle w:val="ListBullet"/>
      </w:pPr>
      <w:r>
        <w:t>RALI</w:t>
      </w:r>
      <w:r w:rsidR="00F94701">
        <w:t xml:space="preserve"> FX16</w:t>
      </w:r>
      <w:r>
        <w:t xml:space="preserve"> – Point</w:t>
      </w:r>
      <w:r w:rsidR="00F27261">
        <w:t>-</w:t>
      </w:r>
      <w:r>
        <w:t>to</w:t>
      </w:r>
      <w:r w:rsidR="00F27261">
        <w:t>-</w:t>
      </w:r>
      <w:r>
        <w:t xml:space="preserve">multipoint fixed services in the VHF high, 400 MHz and </w:t>
      </w:r>
      <w:r w:rsidR="00F27261">
        <w:br/>
      </w:r>
      <w:r>
        <w:t>800 MHz bands</w:t>
      </w:r>
    </w:p>
    <w:p w14:paraId="1E48CBC3" w14:textId="2DCE32DA" w:rsidR="005E2310" w:rsidRDefault="005E2310" w:rsidP="005E2310">
      <w:pPr>
        <w:pStyle w:val="Bulletlevel1last"/>
      </w:pPr>
      <w:r>
        <w:t xml:space="preserve">RALI </w:t>
      </w:r>
      <w:r w:rsidR="00F94701">
        <w:t>FX22</w:t>
      </w:r>
      <w:r>
        <w:t xml:space="preserve"> – Frequency assignment requirements for the fixed service in the </w:t>
      </w:r>
      <w:r w:rsidR="00F27261">
        <w:br/>
      </w:r>
      <w:r>
        <w:t>800 MHz band.</w:t>
      </w:r>
    </w:p>
    <w:p w14:paraId="42ABC325" w14:textId="128444F0" w:rsidR="006E284A" w:rsidRDefault="00F27261" w:rsidP="00C3198F">
      <w:r>
        <w:t>We received 3</w:t>
      </w:r>
      <w:r w:rsidR="006E284A">
        <w:t xml:space="preserve"> submissions </w:t>
      </w:r>
      <w:r w:rsidR="000C5B46">
        <w:t>in response to</w:t>
      </w:r>
      <w:r w:rsidR="006E284A">
        <w:t xml:space="preserve"> this consultation. Th</w:t>
      </w:r>
      <w:r w:rsidR="000C5B46">
        <w:t>is</w:t>
      </w:r>
      <w:r w:rsidR="006E284A">
        <w:t xml:space="preserve"> paper </w:t>
      </w:r>
      <w:r w:rsidR="000C5B46">
        <w:t xml:space="preserve">outlines the outcomes of </w:t>
      </w:r>
      <w:r w:rsidR="00D16125">
        <w:t xml:space="preserve">the </w:t>
      </w:r>
      <w:r w:rsidR="000C5B46">
        <w:t xml:space="preserve">consultation process, </w:t>
      </w:r>
      <w:r w:rsidR="006E284A">
        <w:t>provides a summary of the submissions</w:t>
      </w:r>
      <w:r w:rsidR="000C5B46">
        <w:t xml:space="preserve"> we received and details</w:t>
      </w:r>
      <w:r w:rsidR="006E284A">
        <w:t xml:space="preserve"> our responses to the comments and issues raised in the submissions.</w:t>
      </w:r>
    </w:p>
    <w:p w14:paraId="5D0B913D" w14:textId="7559DCA7" w:rsidR="006E284A" w:rsidRDefault="006E284A" w:rsidP="00C3198F">
      <w:r>
        <w:t>The paper should also be read in conjunction with the consultation paper</w:t>
      </w:r>
      <w:r w:rsidR="00D16125">
        <w:t xml:space="preserve">, which you can find in the </w:t>
      </w:r>
      <w:hyperlink r:id="rId27" w:history="1">
        <w:r w:rsidR="00D16125" w:rsidRPr="00D16125">
          <w:rPr>
            <w:rStyle w:val="Hyperlink"/>
          </w:rPr>
          <w:t>key documents section of the consultation page</w:t>
        </w:r>
      </w:hyperlink>
      <w:r>
        <w:t>.</w:t>
      </w:r>
    </w:p>
    <w:p w14:paraId="053A93C5" w14:textId="590D08AA" w:rsidR="00C3198F" w:rsidRDefault="00C3198F" w:rsidP="00ED0098">
      <w:pPr>
        <w:pStyle w:val="Paragraphbeforelist"/>
      </w:pPr>
    </w:p>
    <w:p w14:paraId="1A99D9C1" w14:textId="3C1F54A2" w:rsidR="00F01CFC" w:rsidRDefault="00F01CFC" w:rsidP="00C310B7">
      <w:pPr>
        <w:pStyle w:val="Heading1"/>
      </w:pPr>
      <w:bookmarkStart w:id="7" w:name="_Toc166499469"/>
      <w:bookmarkEnd w:id="3"/>
      <w:bookmarkEnd w:id="6"/>
      <w:r>
        <w:lastRenderedPageBreak/>
        <w:t>Outcomes of consultation</w:t>
      </w:r>
      <w:bookmarkEnd w:id="7"/>
    </w:p>
    <w:p w14:paraId="70BABD9E" w14:textId="5C4BA027" w:rsidR="00F01CFC" w:rsidRDefault="004F3524" w:rsidP="00F01CFC">
      <w:r>
        <w:t xml:space="preserve">Submissions </w:t>
      </w:r>
      <w:r w:rsidR="00DB1B2D">
        <w:t xml:space="preserve">in response </w:t>
      </w:r>
      <w:r>
        <w:t xml:space="preserve">to </w:t>
      </w:r>
      <w:r w:rsidR="00DB1B2D">
        <w:t>the</w:t>
      </w:r>
      <w:r>
        <w:t xml:space="preserve"> consultation</w:t>
      </w:r>
      <w:r w:rsidR="00F01CFC">
        <w:t xml:space="preserve"> indicated support for the changes related to </w:t>
      </w:r>
      <w:r w:rsidR="0051107D">
        <w:t>M</w:t>
      </w:r>
      <w:r w:rsidR="00F01CFC">
        <w:t>ilestone 5 of the long-term strategy paper. We have now made these changes as proposed in the consultation paper</w:t>
      </w:r>
      <w:r w:rsidR="00D16125">
        <w:t xml:space="preserve">. This includes the </w:t>
      </w:r>
      <w:r>
        <w:t xml:space="preserve">removal of arrangements </w:t>
      </w:r>
      <w:r w:rsidR="00547412">
        <w:t xml:space="preserve">from RALI LM8 which dealt with </w:t>
      </w:r>
      <w:r>
        <w:t xml:space="preserve">the legacy land mobile frequency segment and </w:t>
      </w:r>
      <w:r w:rsidR="00547412">
        <w:t xml:space="preserve">the </w:t>
      </w:r>
      <w:r>
        <w:t>suppression of document SP 4/93</w:t>
      </w:r>
      <w:r w:rsidR="00D16125">
        <w:t>.</w:t>
      </w:r>
      <w:r>
        <w:rPr>
          <w:rStyle w:val="FootnoteReference"/>
        </w:rPr>
        <w:footnoteReference w:id="2"/>
      </w:r>
    </w:p>
    <w:p w14:paraId="47095C4C" w14:textId="66006EA9" w:rsidR="00F01CFC" w:rsidRDefault="00547412" w:rsidP="00171416">
      <w:pPr>
        <w:pStyle w:val="Paragraphbeforelist"/>
      </w:pPr>
      <w:r>
        <w:t xml:space="preserve">The submissions </w:t>
      </w:r>
      <w:r w:rsidR="00F01CFC">
        <w:t xml:space="preserve">also </w:t>
      </w:r>
      <w:r w:rsidR="001C2BF8">
        <w:t>provided some comments and concerns</w:t>
      </w:r>
      <w:r w:rsidR="00F01CFC">
        <w:t xml:space="preserve"> related to coexistence arrangements between 800 MHz </w:t>
      </w:r>
      <w:r w:rsidR="00442C7B">
        <w:t>apparatus-licensed</w:t>
      </w:r>
      <w:r w:rsidR="00F01CFC">
        <w:t xml:space="preserve"> and 700 MHz band </w:t>
      </w:r>
      <w:r w:rsidR="00442C7B">
        <w:t>spectrum-licensed</w:t>
      </w:r>
      <w:r w:rsidR="00F01CFC">
        <w:t xml:space="preserve"> services</w:t>
      </w:r>
      <w:r w:rsidR="001C2BF8">
        <w:t>. W</w:t>
      </w:r>
      <w:r w:rsidR="00F01CFC">
        <w:t>e have decided to update the RALIs as proposed in the consultation paper, with the following minor additional changes to FX22, based on input from stakeholders:</w:t>
      </w:r>
    </w:p>
    <w:p w14:paraId="53E9C8D1" w14:textId="1400FAC4" w:rsidR="00F01CFC" w:rsidRDefault="00F01CFC" w:rsidP="00F01CFC">
      <w:pPr>
        <w:pStyle w:val="Bulletlevel1"/>
      </w:pPr>
      <w:r>
        <w:t xml:space="preserve">Changing the assignment priority for </w:t>
      </w:r>
      <w:r w:rsidR="00442C7B">
        <w:t>2</w:t>
      </w:r>
      <w:r>
        <w:t xml:space="preserve">-frequency </w:t>
      </w:r>
      <w:r w:rsidR="00E63787">
        <w:t>point</w:t>
      </w:r>
      <w:r w:rsidR="00C00D00">
        <w:t>-to-point (</w:t>
      </w:r>
      <w:r>
        <w:t>PP</w:t>
      </w:r>
      <w:r w:rsidR="00C00D00">
        <w:t>)</w:t>
      </w:r>
      <w:r>
        <w:t xml:space="preserve"> services to a descending order to provide </w:t>
      </w:r>
      <w:r w:rsidR="00E41512">
        <w:t xml:space="preserve">additional frequency separation from 700 MHz band </w:t>
      </w:r>
      <w:r w:rsidR="00442C7B">
        <w:t>spectrum-licensed</w:t>
      </w:r>
      <w:r w:rsidR="00E41512">
        <w:t xml:space="preserve"> services.</w:t>
      </w:r>
    </w:p>
    <w:p w14:paraId="4AC9D5F0" w14:textId="1D470269" w:rsidR="00F01CFC" w:rsidRDefault="00E41512" w:rsidP="007547AA">
      <w:pPr>
        <w:pStyle w:val="Bulletlevel1"/>
      </w:pPr>
      <w:r>
        <w:t xml:space="preserve">Including </w:t>
      </w:r>
      <w:r w:rsidR="00E80379">
        <w:t xml:space="preserve">a receiver blocking requirement and </w:t>
      </w:r>
      <w:r>
        <w:t>a s</w:t>
      </w:r>
      <w:r w:rsidR="00F01CFC">
        <w:t>pecial condition</w:t>
      </w:r>
      <w:r>
        <w:t xml:space="preserve"> on new PP licences in the 804</w:t>
      </w:r>
      <w:r w:rsidR="00442C7B">
        <w:t>–</w:t>
      </w:r>
      <w:r>
        <w:t>805.5/849</w:t>
      </w:r>
      <w:r w:rsidR="00442C7B">
        <w:t>–</w:t>
      </w:r>
      <w:r>
        <w:t>850.5 MHz range</w:t>
      </w:r>
      <w:r w:rsidR="00442C7B">
        <w:t xml:space="preserve">. This </w:t>
      </w:r>
      <w:r>
        <w:t xml:space="preserve">requires </w:t>
      </w:r>
      <w:r w:rsidR="00F01CFC">
        <w:t xml:space="preserve">licensees to implement </w:t>
      </w:r>
      <w:r w:rsidR="00A306C2">
        <w:t xml:space="preserve">appropriate </w:t>
      </w:r>
      <w:r w:rsidR="00F01CFC">
        <w:t xml:space="preserve">site-based engineering </w:t>
      </w:r>
      <w:r>
        <w:t xml:space="preserve">practices </w:t>
      </w:r>
      <w:r w:rsidR="00F01CFC">
        <w:t xml:space="preserve">(including </w:t>
      </w:r>
      <w:r>
        <w:t xml:space="preserve">installing </w:t>
      </w:r>
      <w:r w:rsidR="00F01CFC">
        <w:t>additional filtering)</w:t>
      </w:r>
      <w:r>
        <w:t>,</w:t>
      </w:r>
      <w:r w:rsidR="00F01CFC">
        <w:t xml:space="preserve"> as necessary</w:t>
      </w:r>
      <w:r>
        <w:t>,</w:t>
      </w:r>
      <w:r w:rsidR="00F01CFC">
        <w:t xml:space="preserve"> to manage instances of blocking interference from physically close 700 MHz </w:t>
      </w:r>
      <w:r w:rsidR="00442C7B">
        <w:t>spectrum-licensed</w:t>
      </w:r>
      <w:r w:rsidR="00F01CFC">
        <w:t xml:space="preserve"> transmitters.</w:t>
      </w:r>
    </w:p>
    <w:p w14:paraId="550B97B0" w14:textId="4834439F" w:rsidR="007547AA" w:rsidRDefault="007547AA" w:rsidP="00E41512">
      <w:pPr>
        <w:pStyle w:val="Bulletlevel1last"/>
      </w:pPr>
      <w:r>
        <w:t xml:space="preserve">Providing a grandfathering provision that exempts coordination of a modified </w:t>
      </w:r>
      <w:r w:rsidR="00442C7B">
        <w:t>spectrum-licensed</w:t>
      </w:r>
      <w:r>
        <w:t xml:space="preserve"> transmitter where the modification does not increase the interference potential to existing receivers.</w:t>
      </w:r>
      <w:r w:rsidR="00B25C57">
        <w:t xml:space="preserve"> This provision was also added to the updated versions of RALIs LM8 and FX16.</w:t>
      </w:r>
    </w:p>
    <w:p w14:paraId="370B74D1" w14:textId="2B9625C6" w:rsidR="00E41512" w:rsidRDefault="001C2BF8" w:rsidP="00E41512">
      <w:pPr>
        <w:pStyle w:val="Paragraph"/>
      </w:pPr>
      <w:r>
        <w:t xml:space="preserve">We have decided not to implement the other proposals suggested in submissions. </w:t>
      </w:r>
      <w:r w:rsidR="00E41512">
        <w:t>Further rationale for our decisions, and our response to issues raised in submissions, is detailed in the following section.</w:t>
      </w:r>
      <w:r w:rsidR="008C3843">
        <w:t xml:space="preserve"> As with </w:t>
      </w:r>
      <w:proofErr w:type="gramStart"/>
      <w:r w:rsidR="008C3843">
        <w:t>all of</w:t>
      </w:r>
      <w:proofErr w:type="gramEnd"/>
      <w:r w:rsidR="008C3843">
        <w:t xml:space="preserve"> our RALIs, we welcome industry feedback at any time on the operation and relevance of arrangements</w:t>
      </w:r>
      <w:r w:rsidR="0051107D">
        <w:t xml:space="preserve"> for</w:t>
      </w:r>
      <w:r w:rsidR="008C3843">
        <w:t xml:space="preserve"> RALIs LM8, FX16, and FX22, to ensure these remain fit</w:t>
      </w:r>
      <w:r w:rsidR="0051107D">
        <w:t>-for-</w:t>
      </w:r>
      <w:r w:rsidR="008C3843">
        <w:t>purpose.</w:t>
      </w:r>
      <w:r w:rsidR="00393182">
        <w:t xml:space="preserve"> We are also able to consider exemptions to arrangements contained in RALIs on a case-by-case basis.</w:t>
      </w:r>
    </w:p>
    <w:p w14:paraId="32146815" w14:textId="77777777" w:rsidR="00F01CFC" w:rsidRDefault="00F01CFC" w:rsidP="00F01CFC"/>
    <w:p w14:paraId="18FE9FAC" w14:textId="77777777" w:rsidR="00F01CFC" w:rsidRPr="00F01CFC" w:rsidRDefault="00F01CFC" w:rsidP="00F01CFC"/>
    <w:p w14:paraId="72A223DB" w14:textId="63464A36" w:rsidR="003552A7" w:rsidRDefault="003552A7" w:rsidP="00C310B7">
      <w:pPr>
        <w:pStyle w:val="Heading1"/>
      </w:pPr>
      <w:bookmarkStart w:id="8" w:name="_Toc166499470"/>
      <w:r>
        <w:lastRenderedPageBreak/>
        <w:t xml:space="preserve">Summary </w:t>
      </w:r>
      <w:r w:rsidR="00B70667">
        <w:t xml:space="preserve">and response to </w:t>
      </w:r>
      <w:r>
        <w:t>submissions</w:t>
      </w:r>
      <w:bookmarkEnd w:id="8"/>
    </w:p>
    <w:p w14:paraId="14A60405" w14:textId="3A33FA11" w:rsidR="00420962" w:rsidRPr="004F20F7" w:rsidRDefault="0051107D" w:rsidP="00420962">
      <w:pPr>
        <w:pStyle w:val="Paragraphbeforelist"/>
      </w:pPr>
      <w:r>
        <w:t>We</w:t>
      </w:r>
      <w:r w:rsidR="00420962" w:rsidRPr="00F3631A">
        <w:t xml:space="preserve"> </w:t>
      </w:r>
      <w:r w:rsidR="00420962" w:rsidRPr="00F95D96">
        <w:t xml:space="preserve">received </w:t>
      </w:r>
      <w:r w:rsidR="00E82618">
        <w:t>3</w:t>
      </w:r>
      <w:r w:rsidR="00420962">
        <w:t xml:space="preserve"> submissions </w:t>
      </w:r>
      <w:r w:rsidR="00420962" w:rsidRPr="00F95D96">
        <w:rPr>
          <w:bCs/>
        </w:rPr>
        <w:t>to</w:t>
      </w:r>
      <w:r w:rsidR="00420962" w:rsidRPr="00F3631A">
        <w:rPr>
          <w:bCs/>
        </w:rPr>
        <w:t xml:space="preserve"> the consultation process from </w:t>
      </w:r>
      <w:r w:rsidR="00420962">
        <w:rPr>
          <w:bCs/>
        </w:rPr>
        <w:t>the following stakeholders</w:t>
      </w:r>
      <w:r w:rsidR="00420962">
        <w:t>:</w:t>
      </w:r>
    </w:p>
    <w:p w14:paraId="1D96DC57" w14:textId="6FE3FC5E" w:rsidR="00420962" w:rsidRDefault="00420962" w:rsidP="00420962">
      <w:pPr>
        <w:pStyle w:val="Bulletlevel1"/>
      </w:pPr>
      <w:r>
        <w:t>Australian Mobile Telecommunications Association</w:t>
      </w:r>
    </w:p>
    <w:p w14:paraId="3DC0C6D6" w14:textId="54A6C9C1" w:rsidR="00420962" w:rsidRPr="004F20F7" w:rsidRDefault="00420962" w:rsidP="00420962">
      <w:pPr>
        <w:pStyle w:val="Bulletlevel1"/>
      </w:pPr>
      <w:r w:rsidRPr="000166B7">
        <w:t>Optus</w:t>
      </w:r>
    </w:p>
    <w:p w14:paraId="2798E040" w14:textId="30955A2B" w:rsidR="00420962" w:rsidRPr="004F20F7" w:rsidRDefault="00420962" w:rsidP="008A04B2">
      <w:pPr>
        <w:pStyle w:val="Bulletlevel1last"/>
      </w:pPr>
      <w:r w:rsidRPr="000166B7">
        <w:t>Telstra</w:t>
      </w:r>
      <w:r w:rsidR="0051107D">
        <w:t>.</w:t>
      </w:r>
    </w:p>
    <w:p w14:paraId="26DFE5E3" w14:textId="770D2F8B" w:rsidR="008A04B2" w:rsidRDefault="008A04B2" w:rsidP="003552A7">
      <w:r>
        <w:t>A summary of comments and issues raised is submissions, together with our re</w:t>
      </w:r>
      <w:r w:rsidR="00CA1DD1">
        <w:t>s</w:t>
      </w:r>
      <w:r>
        <w:t>po</w:t>
      </w:r>
      <w:r w:rsidR="00CA1DD1">
        <w:t>n</w:t>
      </w:r>
      <w:r>
        <w:t>ses to these, are outline</w:t>
      </w:r>
      <w:r w:rsidR="0051107D">
        <w:t>d</w:t>
      </w:r>
      <w:r>
        <w:t xml:space="preserve"> in the following subsections. </w:t>
      </w:r>
      <w:r w:rsidR="00632E0B">
        <w:t>As a general observation, g</w:t>
      </w:r>
      <w:r w:rsidR="007B486B">
        <w:t>iven responses were only received from the mobile network operator sector, they were universally critical of arrangements that necessitate any form of coordination with adjacent-band apparatus</w:t>
      </w:r>
      <w:r w:rsidR="00442C7B">
        <w:t>-</w:t>
      </w:r>
      <w:r w:rsidR="007B486B">
        <w:t>licensed services.</w:t>
      </w:r>
      <w:r w:rsidR="004B6A89">
        <w:t xml:space="preserve"> It is worth mentioning that the changes have been put in place to give effect to the clearance and reallocation of the 850 MHz expansion band, which ultimately benefits that sector. </w:t>
      </w:r>
    </w:p>
    <w:p w14:paraId="31C5A144" w14:textId="4FE5F1BD" w:rsidR="003552A7" w:rsidRDefault="003552A7" w:rsidP="003552A7">
      <w:pPr>
        <w:pStyle w:val="Heading2"/>
      </w:pPr>
      <w:bookmarkStart w:id="9" w:name="_Toc166499471"/>
      <w:r>
        <w:t xml:space="preserve">Revisions to support </w:t>
      </w:r>
      <w:r w:rsidR="0051107D">
        <w:t>M</w:t>
      </w:r>
      <w:r>
        <w:t>ilestone 5</w:t>
      </w:r>
      <w:bookmarkEnd w:id="9"/>
    </w:p>
    <w:p w14:paraId="7AD6113F" w14:textId="03394920" w:rsidR="003552A7" w:rsidRDefault="00420962" w:rsidP="003552A7">
      <w:pPr>
        <w:pStyle w:val="Paragraph"/>
      </w:pPr>
      <w:r>
        <w:t xml:space="preserve">One respondent expressed support for the proposed </w:t>
      </w:r>
      <w:r w:rsidR="00512AD0">
        <w:t>revisions</w:t>
      </w:r>
      <w:r>
        <w:t xml:space="preserve"> to RALI LM8 </w:t>
      </w:r>
      <w:r w:rsidR="0051107D">
        <w:t xml:space="preserve">that </w:t>
      </w:r>
      <w:r w:rsidR="0055201C">
        <w:t xml:space="preserve">codifies </w:t>
      </w:r>
      <w:r>
        <w:t>Milestone 5 of the 803</w:t>
      </w:r>
      <w:r w:rsidR="0051107D">
        <w:t>–</w:t>
      </w:r>
      <w:r>
        <w:t>960 MHz review</w:t>
      </w:r>
      <w:r w:rsidR="0051107D">
        <w:t xml:space="preserve">. This involves </w:t>
      </w:r>
      <w:r w:rsidR="00E82618">
        <w:t>removing the channelling arrangements for the legacy TLMS frequency segment and suppression of SP 4/93.</w:t>
      </w:r>
      <w:r w:rsidR="00512AD0">
        <w:t xml:space="preserve"> These revisions were not mentioned by the other respondents.</w:t>
      </w:r>
    </w:p>
    <w:p w14:paraId="5B603E36" w14:textId="41F5A37E" w:rsidR="00E82618" w:rsidRDefault="00E82618" w:rsidP="00E82618">
      <w:pPr>
        <w:pStyle w:val="Heading3"/>
      </w:pPr>
      <w:r>
        <w:t>ACMA response</w:t>
      </w:r>
    </w:p>
    <w:p w14:paraId="078DE820" w14:textId="47B6F929" w:rsidR="00E82618" w:rsidRPr="00E82618" w:rsidRDefault="00E82618" w:rsidP="00E82618">
      <w:r>
        <w:t>Noting th</w:t>
      </w:r>
      <w:r w:rsidR="00512AD0">
        <w:t>e</w:t>
      </w:r>
      <w:r>
        <w:t xml:space="preserve"> support</w:t>
      </w:r>
      <w:r w:rsidR="00512AD0">
        <w:t xml:space="preserve"> for these revisions </w:t>
      </w:r>
      <w:r w:rsidR="005E2A84">
        <w:t>provided by</w:t>
      </w:r>
      <w:r w:rsidR="00512AD0">
        <w:t xml:space="preserve"> one respondent</w:t>
      </w:r>
      <w:r>
        <w:t xml:space="preserve">, and that </w:t>
      </w:r>
      <w:r w:rsidR="00512AD0">
        <w:t>we received no objections</w:t>
      </w:r>
      <w:r w:rsidR="00CA1DD1">
        <w:t xml:space="preserve"> to these changes</w:t>
      </w:r>
      <w:r>
        <w:t xml:space="preserve">, we </w:t>
      </w:r>
      <w:r w:rsidR="00A06CC4">
        <w:t>have</w:t>
      </w:r>
      <w:r w:rsidR="00512AD0">
        <w:t xml:space="preserve"> implement</w:t>
      </w:r>
      <w:r w:rsidR="00A06CC4">
        <w:t>ed</w:t>
      </w:r>
      <w:r w:rsidR="00512AD0">
        <w:t xml:space="preserve"> </w:t>
      </w:r>
      <w:r>
        <w:t>these changes as planned</w:t>
      </w:r>
      <w:r w:rsidR="0051107D">
        <w:t>. This is</w:t>
      </w:r>
      <w:r w:rsidR="00512AD0">
        <w:t xml:space="preserve"> namely remov</w:t>
      </w:r>
      <w:r w:rsidR="00413090">
        <w:t>al of</w:t>
      </w:r>
      <w:r w:rsidR="00512AD0">
        <w:t xml:space="preserve"> the legacy TLMS channelling arrangements from LM8 and suppress</w:t>
      </w:r>
      <w:r w:rsidR="00413090">
        <w:t>ion of</w:t>
      </w:r>
      <w:r w:rsidR="00CA1DD1">
        <w:t xml:space="preserve"> document</w:t>
      </w:r>
      <w:r w:rsidR="00512AD0">
        <w:t xml:space="preserve"> SP 4/93.</w:t>
      </w:r>
      <w:r>
        <w:t xml:space="preserve"> </w:t>
      </w:r>
    </w:p>
    <w:p w14:paraId="714EB220" w14:textId="465B468F" w:rsidR="003552A7" w:rsidRDefault="00A306C2" w:rsidP="004032B3">
      <w:pPr>
        <w:pStyle w:val="Heading2"/>
      </w:pPr>
      <w:bookmarkStart w:id="10" w:name="_Toc166499472"/>
      <w:r>
        <w:t>C</w:t>
      </w:r>
      <w:r w:rsidR="004032B3">
        <w:t xml:space="preserve">hanges to the </w:t>
      </w:r>
      <w:r w:rsidR="0051107D">
        <w:t>s</w:t>
      </w:r>
      <w:r w:rsidR="003552A7">
        <w:t xml:space="preserve">pectrum </w:t>
      </w:r>
      <w:r w:rsidR="0051107D">
        <w:t>l</w:t>
      </w:r>
      <w:r w:rsidR="003552A7">
        <w:t xml:space="preserve">icence </w:t>
      </w:r>
      <w:r w:rsidR="0051107D">
        <w:t>t</w:t>
      </w:r>
      <w:r w:rsidR="003552A7">
        <w:t xml:space="preserve">echnical </w:t>
      </w:r>
      <w:r w:rsidR="0051107D">
        <w:t>f</w:t>
      </w:r>
      <w:r w:rsidR="003552A7">
        <w:t>ramework</w:t>
      </w:r>
      <w:bookmarkEnd w:id="10"/>
    </w:p>
    <w:p w14:paraId="3D2F0BF7" w14:textId="6CD59B69" w:rsidR="007B486B" w:rsidRDefault="00E82618" w:rsidP="003552A7">
      <w:pPr>
        <w:pStyle w:val="Paragraph"/>
      </w:pPr>
      <w:r>
        <w:t xml:space="preserve">All respondents </w:t>
      </w:r>
      <w:r w:rsidR="00B70667">
        <w:t>indicated concern that the proposed changes</w:t>
      </w:r>
      <w:r w:rsidR="00CA1DD1">
        <w:t xml:space="preserve">, relating to the requirement for spectrum licensees to protect existing </w:t>
      </w:r>
      <w:r w:rsidR="00442C7B">
        <w:t>apparatus-licensed</w:t>
      </w:r>
      <w:r w:rsidR="00CA1DD1">
        <w:t xml:space="preserve"> services,</w:t>
      </w:r>
      <w:r w:rsidR="00B70667">
        <w:t xml:space="preserve"> would have a negative impact on 700 MHz band spectrum licensees</w:t>
      </w:r>
      <w:r w:rsidR="00AB4CF0">
        <w:t xml:space="preserve"> and the services they provide</w:t>
      </w:r>
      <w:r w:rsidR="00CA1DD1">
        <w:t xml:space="preserve">. </w:t>
      </w:r>
      <w:r w:rsidR="00642319">
        <w:t xml:space="preserve">Essentially, this </w:t>
      </w:r>
      <w:r w:rsidR="00CA1DD1">
        <w:t xml:space="preserve">concern </w:t>
      </w:r>
      <w:r w:rsidR="00642319">
        <w:t>relates to</w:t>
      </w:r>
      <w:r w:rsidR="00AB4CF0">
        <w:t xml:space="preserve"> the introduction of new requirements and obligation</w:t>
      </w:r>
      <w:r w:rsidR="00CA1DD1">
        <w:t>s placed</w:t>
      </w:r>
      <w:r w:rsidR="00AB4CF0">
        <w:t xml:space="preserve"> on spectrum licensee</w:t>
      </w:r>
      <w:r w:rsidR="009D0C7D">
        <w:t>s</w:t>
      </w:r>
      <w:r w:rsidR="00AB4CF0">
        <w:t xml:space="preserve"> that weren’t envisioned when they purchased </w:t>
      </w:r>
      <w:r w:rsidR="0020263C">
        <w:t>their</w:t>
      </w:r>
      <w:r w:rsidR="00AB4CF0">
        <w:t xml:space="preserve"> spectrum licences</w:t>
      </w:r>
      <w:r w:rsidR="00B70667">
        <w:t xml:space="preserve">. </w:t>
      </w:r>
      <w:r w:rsidR="005E2A84">
        <w:t>R</w:t>
      </w:r>
      <w:r w:rsidR="00F966F2">
        <w:t>espondents</w:t>
      </w:r>
      <w:r w:rsidR="00AB4CF0">
        <w:t xml:space="preserve"> </w:t>
      </w:r>
      <w:r w:rsidR="00642319">
        <w:t xml:space="preserve">suggested </w:t>
      </w:r>
      <w:r w:rsidR="00AB4CF0">
        <w:t xml:space="preserve">that the </w:t>
      </w:r>
      <w:r w:rsidR="00B22CCD">
        <w:t>‘</w:t>
      </w:r>
      <w:r w:rsidR="00AB4CF0">
        <w:t>rights</w:t>
      </w:r>
      <w:r w:rsidR="00B22CCD">
        <w:t>’</w:t>
      </w:r>
      <w:r w:rsidR="00AB4CF0">
        <w:t xml:space="preserve"> of </w:t>
      </w:r>
      <w:r w:rsidR="00B22CCD">
        <w:br/>
      </w:r>
      <w:r w:rsidR="00AB4CF0">
        <w:t xml:space="preserve">700 MHz band spectrum licensees would be eroded if a new or modified </w:t>
      </w:r>
      <w:r w:rsidR="00442C7B">
        <w:t>spectrum-licensed</w:t>
      </w:r>
      <w:r w:rsidR="00AB4CF0">
        <w:t xml:space="preserve"> transmitter is required to coordinate with an </w:t>
      </w:r>
      <w:r w:rsidR="00442C7B">
        <w:t>apparatus-licensed</w:t>
      </w:r>
      <w:r w:rsidR="00AB4CF0">
        <w:t xml:space="preserve"> receiver. </w:t>
      </w:r>
    </w:p>
    <w:p w14:paraId="4CA5CE07" w14:textId="7C25A5E7" w:rsidR="00E82618" w:rsidRDefault="00FF1D0B" w:rsidP="003552A7">
      <w:pPr>
        <w:pStyle w:val="Paragraph"/>
      </w:pPr>
      <w:r>
        <w:t xml:space="preserve">It was also </w:t>
      </w:r>
      <w:r w:rsidR="007B486B">
        <w:t xml:space="preserve">suggested </w:t>
      </w:r>
      <w:r>
        <w:t>that</w:t>
      </w:r>
      <w:r w:rsidR="00AB4CF0">
        <w:t xml:space="preserve"> </w:t>
      </w:r>
      <w:r w:rsidR="00B70667">
        <w:t xml:space="preserve">the requirement to coordinate with </w:t>
      </w:r>
      <w:r w:rsidR="00442C7B">
        <w:t>apparatus-licensed</w:t>
      </w:r>
      <w:r w:rsidR="00B70667">
        <w:t xml:space="preserve"> services was not part of the technical framework when spectrum licences were first issue</w:t>
      </w:r>
      <w:r w:rsidR="00B75982">
        <w:t>d</w:t>
      </w:r>
      <w:r w:rsidR="00B22CCD">
        <w:t xml:space="preserve">. As such, </w:t>
      </w:r>
      <w:r w:rsidR="00F668C6">
        <w:t>the additional costs and complexity that would arise from th</w:t>
      </w:r>
      <w:r w:rsidR="005E2A84">
        <w:t>is</w:t>
      </w:r>
      <w:r w:rsidR="00F668C6">
        <w:t xml:space="preserve"> require</w:t>
      </w:r>
      <w:r w:rsidR="00B75982">
        <w:t xml:space="preserve">ment </w:t>
      </w:r>
      <w:r w:rsidR="005E2A84">
        <w:t>could</w:t>
      </w:r>
      <w:r w:rsidR="00F668C6">
        <w:t xml:space="preserve"> not have been considered when purchasing the spectrum licences.</w:t>
      </w:r>
      <w:r w:rsidR="00B70667">
        <w:t xml:space="preserve"> </w:t>
      </w:r>
    </w:p>
    <w:p w14:paraId="6C3A2250" w14:textId="4B5A8994" w:rsidR="003552A7" w:rsidRDefault="00F668C6" w:rsidP="003552A7">
      <w:pPr>
        <w:pStyle w:val="Paragraph"/>
      </w:pPr>
      <w:r>
        <w:t>Respondents also question</w:t>
      </w:r>
      <w:r w:rsidR="00A7557D">
        <w:t>ed</w:t>
      </w:r>
      <w:r>
        <w:t xml:space="preserve"> whether</w:t>
      </w:r>
      <w:r w:rsidR="00CA1DD1" w:rsidRPr="00CA1DD1">
        <w:t xml:space="preserve"> </w:t>
      </w:r>
      <w:r w:rsidR="00CA1DD1">
        <w:t>the proposed arrangements maximise the public benefit derived from the use of the spectrum</w:t>
      </w:r>
      <w:r w:rsidR="00B22CCD">
        <w:t xml:space="preserve">. This is </w:t>
      </w:r>
      <w:r>
        <w:t>due to the coordination difficulties across the 803 MHz boundary</w:t>
      </w:r>
      <w:r w:rsidR="00B22CCD">
        <w:t>,</w:t>
      </w:r>
      <w:r>
        <w:t xml:space="preserve"> </w:t>
      </w:r>
      <w:r w:rsidR="00CA1DD1">
        <w:t>which may have a negative impact on mobile phone networks</w:t>
      </w:r>
      <w:r w:rsidR="00037E60">
        <w:t>.</w:t>
      </w:r>
    </w:p>
    <w:p w14:paraId="5DCD9A72" w14:textId="5A1BC7EF" w:rsidR="004032B3" w:rsidRDefault="004032B3" w:rsidP="004032B3">
      <w:pPr>
        <w:pStyle w:val="Heading3"/>
      </w:pPr>
      <w:r>
        <w:t>ACMA response</w:t>
      </w:r>
    </w:p>
    <w:p w14:paraId="68781FE7" w14:textId="04F4ADE0" w:rsidR="003552A7" w:rsidRDefault="004032B3" w:rsidP="003552A7">
      <w:pPr>
        <w:pStyle w:val="Paragraph"/>
      </w:pPr>
      <w:r>
        <w:t xml:space="preserve">It is important to </w:t>
      </w:r>
      <w:r w:rsidR="00A306C2">
        <w:t xml:space="preserve">differentiate </w:t>
      </w:r>
      <w:r>
        <w:t xml:space="preserve">between the changes proposed in the discussion paper and the changes made to the 700 MHz </w:t>
      </w:r>
      <w:r w:rsidR="00B22CCD">
        <w:t>s</w:t>
      </w:r>
      <w:r>
        <w:t xml:space="preserve">pectrum </w:t>
      </w:r>
      <w:r w:rsidR="00B22CCD">
        <w:t>l</w:t>
      </w:r>
      <w:r>
        <w:t xml:space="preserve">icence </w:t>
      </w:r>
      <w:r w:rsidR="00B22CCD">
        <w:t>t</w:t>
      </w:r>
      <w:r>
        <w:t xml:space="preserve">echnical </w:t>
      </w:r>
      <w:r w:rsidR="00B22CCD">
        <w:t>f</w:t>
      </w:r>
      <w:r>
        <w:t xml:space="preserve">ramework in </w:t>
      </w:r>
      <w:r w:rsidR="00222A1E">
        <w:br/>
      </w:r>
      <w:r>
        <w:t xml:space="preserve">March 2023. </w:t>
      </w:r>
    </w:p>
    <w:p w14:paraId="7CC3513D" w14:textId="22A159D6" w:rsidR="00417AA5" w:rsidRDefault="00222A1E" w:rsidP="003552A7">
      <w:pPr>
        <w:pStyle w:val="Paragraph"/>
      </w:pPr>
      <w:r>
        <w:t>At this time</w:t>
      </w:r>
      <w:r w:rsidR="004032B3">
        <w:t xml:space="preserve">, </w:t>
      </w:r>
      <w:r>
        <w:t>we</w:t>
      </w:r>
      <w:r w:rsidR="004032B3">
        <w:t xml:space="preserve"> </w:t>
      </w:r>
      <w:r w:rsidR="005E2A84">
        <w:t>remade the</w:t>
      </w:r>
      <w:r w:rsidR="004032B3">
        <w:t xml:space="preserve"> </w:t>
      </w:r>
      <w:hyperlink r:id="rId28" w:history="1">
        <w:r w:rsidR="005E2A84" w:rsidRPr="005E2A84">
          <w:rPr>
            <w:rStyle w:val="Hyperlink"/>
          </w:rPr>
          <w:t>Radiocommunications Advisory Guidelines (Managing Interference from Spectrum Licensed Transmitters – 700 MHz Band) 2023</w:t>
        </w:r>
      </w:hyperlink>
      <w:r w:rsidR="005E2A84">
        <w:t xml:space="preserve"> (</w:t>
      </w:r>
      <w:r w:rsidR="004032B3">
        <w:t>Tx RAG</w:t>
      </w:r>
      <w:r w:rsidR="005E2A84">
        <w:t>)</w:t>
      </w:r>
      <w:r w:rsidR="004032B3">
        <w:t xml:space="preserve"> to include </w:t>
      </w:r>
      <w:r w:rsidR="005E2A84">
        <w:t xml:space="preserve">a requirement for spectrum licensees to </w:t>
      </w:r>
      <w:r w:rsidR="004032B3">
        <w:t xml:space="preserve">protect existing </w:t>
      </w:r>
      <w:r w:rsidR="00442C7B">
        <w:t>apparatus-licensed</w:t>
      </w:r>
      <w:r w:rsidR="004032B3">
        <w:t xml:space="preserve"> fixed and land mobile receivers</w:t>
      </w:r>
      <w:r w:rsidR="00F01CFC">
        <w:t xml:space="preserve">. The new Tx RAG enacts </w:t>
      </w:r>
      <w:r w:rsidR="00AA4AA5">
        <w:t>our</w:t>
      </w:r>
      <w:r w:rsidR="00F01CFC">
        <w:t xml:space="preserve"> decision </w:t>
      </w:r>
      <w:r w:rsidR="00A306C2">
        <w:t xml:space="preserve">on </w:t>
      </w:r>
      <w:r w:rsidR="00F01CFC">
        <w:t xml:space="preserve">the requirement </w:t>
      </w:r>
      <w:r w:rsidR="00FA240C">
        <w:t>for</w:t>
      </w:r>
      <w:r w:rsidR="00417AA5">
        <w:t xml:space="preserve"> spectrum license</w:t>
      </w:r>
      <w:r w:rsidR="00FA240C">
        <w:t>es</w:t>
      </w:r>
      <w:r w:rsidR="00417AA5">
        <w:t xml:space="preserve"> to protect </w:t>
      </w:r>
      <w:r w:rsidR="00FA240C">
        <w:t xml:space="preserve">existing </w:t>
      </w:r>
      <w:r w:rsidR="00442C7B">
        <w:t>apparatus-licensed</w:t>
      </w:r>
      <w:r w:rsidR="00417AA5">
        <w:t xml:space="preserve"> receivers </w:t>
      </w:r>
      <w:r w:rsidR="00AA4AA5">
        <w:t xml:space="preserve">utilising </w:t>
      </w:r>
      <w:r w:rsidR="004032B3">
        <w:t>the established first-i</w:t>
      </w:r>
      <w:r w:rsidR="00AA4AA5">
        <w:t>n</w:t>
      </w:r>
      <w:r w:rsidR="004032B3">
        <w:t>-time principle regularly used to manage coexistence between users of the radiofrequency spectrum.</w:t>
      </w:r>
      <w:r w:rsidR="00417AA5">
        <w:t xml:space="preserve"> </w:t>
      </w:r>
      <w:r w:rsidR="00F01CFC">
        <w:t xml:space="preserve">We are not intending to change the provisions already contained in the </w:t>
      </w:r>
      <w:r w:rsidR="00A306C2">
        <w:t xml:space="preserve">Tx </w:t>
      </w:r>
      <w:r w:rsidR="00F01CFC">
        <w:t xml:space="preserve">RAG. </w:t>
      </w:r>
    </w:p>
    <w:p w14:paraId="40392D1B" w14:textId="23003964" w:rsidR="004032B3" w:rsidRDefault="00417AA5" w:rsidP="003552A7">
      <w:pPr>
        <w:pStyle w:val="Paragraph"/>
      </w:pPr>
      <w:r>
        <w:t xml:space="preserve">As detailed in the </w:t>
      </w:r>
      <w:r w:rsidR="00A306C2">
        <w:t xml:space="preserve">Tx </w:t>
      </w:r>
      <w:r>
        <w:t xml:space="preserve">RAG, </w:t>
      </w:r>
      <w:r w:rsidR="003672D1">
        <w:t>coordination is to be undertaken using the protection requirements already contained in RALIs LM8, FX16 and FX22.</w:t>
      </w:r>
      <w:r>
        <w:t xml:space="preserve"> </w:t>
      </w:r>
      <w:r w:rsidR="003672D1">
        <w:t>The changes proposed in the consultation paper,</w:t>
      </w:r>
      <w:r w:rsidR="00FA240C">
        <w:t xml:space="preserve"> and now included in the updated RALI</w:t>
      </w:r>
      <w:r w:rsidR="00F01CFC">
        <w:t>s</w:t>
      </w:r>
      <w:r w:rsidR="00FA240C">
        <w:t>, are</w:t>
      </w:r>
      <w:r w:rsidR="003672D1">
        <w:t xml:space="preserve"> made </w:t>
      </w:r>
      <w:r w:rsidR="004032B3">
        <w:t xml:space="preserve">to </w:t>
      </w:r>
      <w:r w:rsidR="00A306C2">
        <w:t xml:space="preserve">address </w:t>
      </w:r>
      <w:r w:rsidR="003672D1">
        <w:t>concerns about coordination difficulties</w:t>
      </w:r>
      <w:r w:rsidR="00FA240C">
        <w:t xml:space="preserve"> </w:t>
      </w:r>
      <w:r w:rsidR="003672D1">
        <w:t xml:space="preserve">by introducing revised (less stringent) protection requirements for certain </w:t>
      </w:r>
      <w:r w:rsidR="00442C7B">
        <w:t>apparatus-licensed</w:t>
      </w:r>
      <w:r w:rsidR="003672D1">
        <w:t xml:space="preserve"> receivers. </w:t>
      </w:r>
      <w:r w:rsidR="00A306C2">
        <w:t>In that sense</w:t>
      </w:r>
      <w:r w:rsidR="003672D1">
        <w:t>, the</w:t>
      </w:r>
      <w:r w:rsidR="00FA240C">
        <w:t>se</w:t>
      </w:r>
      <w:r w:rsidR="003672D1">
        <w:t xml:space="preserve"> changes provide a net benefit to spectrum licensees compared to the status quo.</w:t>
      </w:r>
    </w:p>
    <w:p w14:paraId="7A775C58" w14:textId="31D3D30C" w:rsidR="004032B3" w:rsidRDefault="00642319" w:rsidP="003552A7">
      <w:pPr>
        <w:pStyle w:val="Paragraph"/>
      </w:pPr>
      <w:r>
        <w:t>The</w:t>
      </w:r>
      <w:r w:rsidR="00FF1D0B">
        <w:t xml:space="preserve"> concerns </w:t>
      </w:r>
      <w:r>
        <w:t xml:space="preserve">articulated around making changes to an established spectrum license technical framework during the term of the licence </w:t>
      </w:r>
      <w:r w:rsidR="00FF1D0B">
        <w:t xml:space="preserve">relate to the March 2023 decision to update the </w:t>
      </w:r>
      <w:r>
        <w:t xml:space="preserve">Tx </w:t>
      </w:r>
      <w:r w:rsidR="00FF1D0B">
        <w:t xml:space="preserve">RAG and not </w:t>
      </w:r>
      <w:r w:rsidR="00417AA5">
        <w:t xml:space="preserve">the changes proposed in the </w:t>
      </w:r>
      <w:r w:rsidR="00FF1D0B">
        <w:t>consultation</w:t>
      </w:r>
      <w:r w:rsidR="00417AA5">
        <w:t xml:space="preserve"> paper</w:t>
      </w:r>
      <w:r w:rsidR="00FF1D0B">
        <w:t xml:space="preserve">. </w:t>
      </w:r>
      <w:r w:rsidR="00B97CCB">
        <w:t xml:space="preserve">As </w:t>
      </w:r>
      <w:r>
        <w:t xml:space="preserve">mentioned </w:t>
      </w:r>
      <w:r w:rsidR="00B97CCB">
        <w:t>above, w</w:t>
      </w:r>
      <w:r w:rsidR="00FF1D0B">
        <w:t xml:space="preserve">e do not intend to change the coexistence arrangements currently contained in the </w:t>
      </w:r>
      <w:r>
        <w:t xml:space="preserve">Tx </w:t>
      </w:r>
      <w:r w:rsidR="00FF1D0B">
        <w:t>RAG.</w:t>
      </w:r>
      <w:r w:rsidR="00AA4156">
        <w:t xml:space="preserve"> In addition, spectrum licensees were involved in the consultation process for the 803</w:t>
      </w:r>
      <w:r w:rsidR="00EF4A9E">
        <w:t>–</w:t>
      </w:r>
      <w:r w:rsidR="00AA4156">
        <w:t>960 MHz review, which</w:t>
      </w:r>
      <w:r w:rsidR="00B97CCB">
        <w:t xml:space="preserve"> resulted in the </w:t>
      </w:r>
      <w:r w:rsidR="00442C7B">
        <w:t>apparatus-licensed</w:t>
      </w:r>
      <w:r w:rsidR="00AA4156">
        <w:t xml:space="preserve"> </w:t>
      </w:r>
      <w:r w:rsidR="00B97CCB">
        <w:t xml:space="preserve">frequency segments adjacent to the 700 MHz </w:t>
      </w:r>
      <w:r w:rsidR="00442C7B">
        <w:t>spectrum-licensed</w:t>
      </w:r>
      <w:r w:rsidR="00B97CCB">
        <w:t xml:space="preserve"> band</w:t>
      </w:r>
      <w:r w:rsidR="00AA4156">
        <w:t xml:space="preserve">. </w:t>
      </w:r>
    </w:p>
    <w:p w14:paraId="5A0A348B" w14:textId="265437EC" w:rsidR="003552A7" w:rsidRDefault="00A7557D" w:rsidP="004032B3">
      <w:pPr>
        <w:pStyle w:val="Heading2"/>
      </w:pPr>
      <w:bookmarkStart w:id="11" w:name="_Toc166499473"/>
      <w:r>
        <w:t xml:space="preserve">Arrangements for new </w:t>
      </w:r>
      <w:r w:rsidR="00442C7B">
        <w:t>apparatus-licensed</w:t>
      </w:r>
      <w:r>
        <w:t xml:space="preserve"> assignments</w:t>
      </w:r>
      <w:bookmarkEnd w:id="11"/>
    </w:p>
    <w:p w14:paraId="081EC3C0" w14:textId="3ACAD161" w:rsidR="000F3B6D" w:rsidRDefault="00791379" w:rsidP="00171416">
      <w:pPr>
        <w:pStyle w:val="Paragraphbeforelist"/>
      </w:pPr>
      <w:r>
        <w:t>All respondents raised concern</w:t>
      </w:r>
      <w:r w:rsidR="004B6A89">
        <w:t>s</w:t>
      </w:r>
      <w:r>
        <w:t xml:space="preserve"> </w:t>
      </w:r>
      <w:r w:rsidR="00CE49D7">
        <w:t>that</w:t>
      </w:r>
      <w:r>
        <w:t xml:space="preserve"> </w:t>
      </w:r>
      <w:r w:rsidR="00A7557D">
        <w:t xml:space="preserve">the proposed changes are also aimed at allowing </w:t>
      </w:r>
      <w:r>
        <w:t xml:space="preserve">new apparatus </w:t>
      </w:r>
      <w:r w:rsidR="00A7557D">
        <w:t>licences to be issued</w:t>
      </w:r>
      <w:r w:rsidR="00CE49D7">
        <w:t xml:space="preserve"> in the segments near 803 MHz</w:t>
      </w:r>
      <w:r w:rsidR="00A7557D">
        <w:t>.</w:t>
      </w:r>
      <w:r w:rsidR="00121C83">
        <w:t xml:space="preserve"> This concern centred on </w:t>
      </w:r>
      <w:r w:rsidR="00193938">
        <w:t>increased</w:t>
      </w:r>
      <w:r w:rsidR="008F39E0">
        <w:t xml:space="preserve"> spectrum denial to spectrum licensees</w:t>
      </w:r>
      <w:r w:rsidR="00EF4A9E">
        <w:t>,</w:t>
      </w:r>
      <w:r w:rsidR="008F39E0">
        <w:t xml:space="preserve"> as well as </w:t>
      </w:r>
      <w:r w:rsidR="00DF0860">
        <w:t>higher</w:t>
      </w:r>
      <w:r w:rsidR="008F39E0">
        <w:t xml:space="preserve"> costs related to coordination and interference mitigation</w:t>
      </w:r>
      <w:r w:rsidR="00193938">
        <w:t xml:space="preserve"> </w:t>
      </w:r>
      <w:proofErr w:type="gramStart"/>
      <w:r w:rsidR="00193938">
        <w:t>as a result of</w:t>
      </w:r>
      <w:proofErr w:type="gramEnd"/>
      <w:r w:rsidR="00193938">
        <w:t xml:space="preserve"> </w:t>
      </w:r>
      <w:r w:rsidR="00602506">
        <w:t>increas</w:t>
      </w:r>
      <w:r w:rsidR="00193938">
        <w:t xml:space="preserve">ed </w:t>
      </w:r>
      <w:r w:rsidR="00602506">
        <w:t>number</w:t>
      </w:r>
      <w:r w:rsidR="00193938">
        <w:t>s</w:t>
      </w:r>
      <w:r w:rsidR="00602506">
        <w:t xml:space="preserve"> of new </w:t>
      </w:r>
      <w:r w:rsidR="00442C7B">
        <w:t>apparatus-licensed</w:t>
      </w:r>
      <w:r w:rsidR="00602506">
        <w:t xml:space="preserve"> services</w:t>
      </w:r>
      <w:r w:rsidR="00CE49D7">
        <w:t>.</w:t>
      </w:r>
      <w:r w:rsidR="00A7557D">
        <w:t xml:space="preserve"> Respondents suggested measures</w:t>
      </w:r>
      <w:r w:rsidR="00DF0860">
        <w:t xml:space="preserve"> that</w:t>
      </w:r>
      <w:r w:rsidR="00A7557D">
        <w:t xml:space="preserve"> </w:t>
      </w:r>
      <w:r w:rsidR="00602506">
        <w:t xml:space="preserve">could be employed </w:t>
      </w:r>
      <w:r w:rsidR="00A7557D">
        <w:t xml:space="preserve">to limit or restrict new </w:t>
      </w:r>
      <w:r w:rsidR="00442C7B">
        <w:t>apparatus-licensed</w:t>
      </w:r>
      <w:r w:rsidR="00A7557D">
        <w:t xml:space="preserve"> assignments</w:t>
      </w:r>
      <w:r w:rsidR="00DF0860">
        <w:t>, including</w:t>
      </w:r>
      <w:r w:rsidR="00A7557D">
        <w:t>:</w:t>
      </w:r>
    </w:p>
    <w:p w14:paraId="0E92BBE5" w14:textId="2B138078" w:rsidR="00A7557D" w:rsidRDefault="00A7557D" w:rsidP="00A7557D">
      <w:pPr>
        <w:pStyle w:val="Bulletlevel1"/>
      </w:pPr>
      <w:r>
        <w:t xml:space="preserve">Signalling that new apparatus licences should only be issued in </w:t>
      </w:r>
      <w:r w:rsidR="00193938">
        <w:t>frequencies</w:t>
      </w:r>
      <w:r>
        <w:t xml:space="preserve"> </w:t>
      </w:r>
      <w:r w:rsidR="00DF0860">
        <w:t xml:space="preserve">near </w:t>
      </w:r>
      <w:r>
        <w:t>the 803 MHz boundary as a last resort (i.e., prospective licensees should seek a licence in another band first)</w:t>
      </w:r>
      <w:r w:rsidR="00EF4A9E">
        <w:t>.</w:t>
      </w:r>
    </w:p>
    <w:p w14:paraId="2E3EFFCF" w14:textId="11CF5639" w:rsidR="00A7557D" w:rsidRDefault="00A7557D" w:rsidP="00A7557D">
      <w:pPr>
        <w:pStyle w:val="Bulletlevel1"/>
      </w:pPr>
      <w:r>
        <w:t>Migrati</w:t>
      </w:r>
      <w:r w:rsidR="00DF0860">
        <w:t>ng</w:t>
      </w:r>
      <w:r>
        <w:t xml:space="preserve"> </w:t>
      </w:r>
      <w:r w:rsidR="00442C7B">
        <w:t>apparatus-licensed</w:t>
      </w:r>
      <w:r>
        <w:t xml:space="preserve"> services to the frequency segment currently earmarked for </w:t>
      </w:r>
      <w:r w:rsidR="00193938">
        <w:t>Public Safety Mobile Broadband (</w:t>
      </w:r>
      <w:r>
        <w:t>PSMB</w:t>
      </w:r>
      <w:r w:rsidR="00193938">
        <w:t>) services</w:t>
      </w:r>
      <w:r>
        <w:t xml:space="preserve"> (given that a PSMB capability in this segment is not likely to eventuate)</w:t>
      </w:r>
      <w:r w:rsidR="00EF4A9E">
        <w:t>.</w:t>
      </w:r>
    </w:p>
    <w:p w14:paraId="41E863D8" w14:textId="4B7135D9" w:rsidR="00A7557D" w:rsidRDefault="00A7557D" w:rsidP="00A7557D">
      <w:pPr>
        <w:pStyle w:val="Bulletlevel1"/>
      </w:pPr>
      <w:r>
        <w:t>Retir</w:t>
      </w:r>
      <w:r w:rsidR="00DF0860">
        <w:t>ing</w:t>
      </w:r>
      <w:r w:rsidR="00193938">
        <w:t xml:space="preserve"> the point-to-multipoint (</w:t>
      </w:r>
      <w:r>
        <w:t>PMP</w:t>
      </w:r>
      <w:r w:rsidR="00193938">
        <w:t>)</w:t>
      </w:r>
      <w:r>
        <w:t xml:space="preserve"> segment</w:t>
      </w:r>
      <w:r w:rsidR="00193938">
        <w:t xml:space="preserve"> (805.5</w:t>
      </w:r>
      <w:r w:rsidR="00EF4A9E">
        <w:t>–</w:t>
      </w:r>
      <w:r w:rsidR="00193938">
        <w:t>806/850.5</w:t>
      </w:r>
      <w:r w:rsidR="00EF4A9E">
        <w:t>–</w:t>
      </w:r>
      <w:r w:rsidR="00193938">
        <w:t>851 MHz)</w:t>
      </w:r>
      <w:r>
        <w:t xml:space="preserve"> given a </w:t>
      </w:r>
      <w:r w:rsidR="004B6A89">
        <w:t xml:space="preserve">perceived </w:t>
      </w:r>
      <w:r>
        <w:t>lack of interest</w:t>
      </w:r>
      <w:r w:rsidR="00193938">
        <w:t xml:space="preserve"> for PMP services in this frequency range (</w:t>
      </w:r>
      <w:r w:rsidR="00BA66B6">
        <w:t>i.e.</w:t>
      </w:r>
      <w:r w:rsidR="00EF4A9E">
        <w:t>,</w:t>
      </w:r>
      <w:r w:rsidR="00BA66B6">
        <w:t xml:space="preserve"> </w:t>
      </w:r>
      <w:r>
        <w:t xml:space="preserve">PMP needs can be </w:t>
      </w:r>
      <w:r w:rsidR="004B6A89">
        <w:t xml:space="preserve">met with other existing arrangements </w:t>
      </w:r>
      <w:r>
        <w:t>in the 400 MHz band</w:t>
      </w:r>
      <w:r w:rsidR="00193938">
        <w:t>) and that PMP service</w:t>
      </w:r>
      <w:r w:rsidR="00DF0860">
        <w:t>s</w:t>
      </w:r>
      <w:r w:rsidR="00193938">
        <w:t xml:space="preserve"> present significant coordination difficulties for </w:t>
      </w:r>
      <w:r w:rsidR="00442C7B">
        <w:t>spectrum-licensed</w:t>
      </w:r>
      <w:r w:rsidR="00193938">
        <w:t xml:space="preserve"> services (as they typically utilise omni-direction</w:t>
      </w:r>
      <w:r w:rsidR="00DF0860">
        <w:t>al</w:t>
      </w:r>
      <w:r w:rsidR="00193938">
        <w:t xml:space="preserve"> antenna</w:t>
      </w:r>
      <w:r w:rsidR="00DF0860">
        <w:t>s</w:t>
      </w:r>
      <w:r w:rsidR="00193938">
        <w:t xml:space="preserve"> with only a small frequency separation from </w:t>
      </w:r>
      <w:r w:rsidR="00442C7B">
        <w:t>spectrum-licensed</w:t>
      </w:r>
      <w:r w:rsidR="00193938">
        <w:t xml:space="preserve"> services).</w:t>
      </w:r>
      <w:r w:rsidR="00BA66B6">
        <w:t xml:space="preserve"> A respondent also suggested </w:t>
      </w:r>
      <w:r w:rsidR="00DF0860">
        <w:t xml:space="preserve">that </w:t>
      </w:r>
      <w:r w:rsidR="00EF4A9E">
        <w:t>we</w:t>
      </w:r>
      <w:r w:rsidR="00DF0860">
        <w:t xml:space="preserve"> should</w:t>
      </w:r>
      <w:r w:rsidR="00BA66B6">
        <w:t xml:space="preserve"> immediately place an embargo on the PMP segment to prevent any new assignments. </w:t>
      </w:r>
    </w:p>
    <w:p w14:paraId="76C8BE1C" w14:textId="5435F168" w:rsidR="00A7557D" w:rsidRDefault="00A7557D" w:rsidP="00121C83">
      <w:pPr>
        <w:pStyle w:val="Bulletlevel1"/>
        <w:numPr>
          <w:ilvl w:val="0"/>
          <w:numId w:val="0"/>
        </w:numPr>
      </w:pPr>
    </w:p>
    <w:p w14:paraId="15BCBD0D" w14:textId="77777777" w:rsidR="00CE49D7" w:rsidRDefault="00CE49D7" w:rsidP="00CE49D7">
      <w:pPr>
        <w:pStyle w:val="Heading3"/>
      </w:pPr>
      <w:r>
        <w:t>ACMA response</w:t>
      </w:r>
    </w:p>
    <w:p w14:paraId="36A79E79" w14:textId="12AD4EBE" w:rsidR="001510F5" w:rsidRDefault="00CE49D7" w:rsidP="00630CEB">
      <w:pPr>
        <w:pStyle w:val="Paragraph"/>
      </w:pPr>
      <w:r>
        <w:t xml:space="preserve">The </w:t>
      </w:r>
      <w:r w:rsidR="00013BB6">
        <w:t>existing</w:t>
      </w:r>
      <w:r w:rsidR="000A7F08">
        <w:t xml:space="preserve"> apparatus licence</w:t>
      </w:r>
      <w:r>
        <w:t xml:space="preserve"> arrangements</w:t>
      </w:r>
      <w:r w:rsidR="000A7F08">
        <w:t xml:space="preserve"> in the 800 MHz band</w:t>
      </w:r>
      <w:r>
        <w:t>, as an outcome of the 803</w:t>
      </w:r>
      <w:r w:rsidR="00044EBC">
        <w:t>–</w:t>
      </w:r>
      <w:r>
        <w:t xml:space="preserve">960 MHz band review, are intended to support services </w:t>
      </w:r>
      <w:r w:rsidR="00044EBC">
        <w:t xml:space="preserve">that </w:t>
      </w:r>
      <w:r w:rsidR="00013BB6">
        <w:t xml:space="preserve">are </w:t>
      </w:r>
      <w:r>
        <w:t>required to vacate the upper parts of the band</w:t>
      </w:r>
      <w:r w:rsidR="00044EBC">
        <w:t>,</w:t>
      </w:r>
      <w:r>
        <w:t xml:space="preserve"> as well as new services.</w:t>
      </w:r>
      <w:r w:rsidR="00013BB6">
        <w:t xml:space="preserve"> </w:t>
      </w:r>
      <w:r w:rsidR="00B53431">
        <w:t>Potential deviation</w:t>
      </w:r>
      <w:r w:rsidR="00121C83">
        <w:t xml:space="preserve"> from the current </w:t>
      </w:r>
      <w:r w:rsidR="00A20C8E">
        <w:t xml:space="preserve">band planning </w:t>
      </w:r>
      <w:r w:rsidR="00121C83">
        <w:t xml:space="preserve">arrangement </w:t>
      </w:r>
      <w:r w:rsidR="00267272">
        <w:t xml:space="preserve">(such as limiting new licensees or re-purposing specific frequency segments) </w:t>
      </w:r>
      <w:r w:rsidR="00B53431">
        <w:t xml:space="preserve">would </w:t>
      </w:r>
      <w:r w:rsidR="00630CEB">
        <w:t>be a change of policy requiring</w:t>
      </w:r>
      <w:r w:rsidR="00B53431">
        <w:t xml:space="preserve"> further consultation</w:t>
      </w:r>
      <w:r w:rsidR="00630CEB">
        <w:t>. It is therefore beyond</w:t>
      </w:r>
      <w:r w:rsidR="00121C83">
        <w:t xml:space="preserve"> the scope of this review</w:t>
      </w:r>
      <w:r w:rsidR="00044EBC">
        <w:t>,</w:t>
      </w:r>
      <w:r w:rsidR="00630CEB">
        <w:t xml:space="preserve"> which is limited to implementing existing policy, however</w:t>
      </w:r>
      <w:r w:rsidR="00044EBC">
        <w:t>,</w:t>
      </w:r>
      <w:r w:rsidR="00630CEB">
        <w:t xml:space="preserve"> as always</w:t>
      </w:r>
      <w:r w:rsidR="00044EBC">
        <w:t>,</w:t>
      </w:r>
      <w:r w:rsidR="00267272">
        <w:t xml:space="preserve"> proposals relating to the potential replanning of the 800 MHz band </w:t>
      </w:r>
      <w:r w:rsidR="00630CEB">
        <w:t>can be made via</w:t>
      </w:r>
      <w:r w:rsidR="00267272">
        <w:t xml:space="preserve"> the </w:t>
      </w:r>
      <w:hyperlink r:id="rId29" w:history="1">
        <w:r w:rsidR="00267272" w:rsidRPr="00267272">
          <w:rPr>
            <w:rStyle w:val="Hyperlink"/>
          </w:rPr>
          <w:t>Five-year spectrum outlook</w:t>
        </w:r>
      </w:hyperlink>
      <w:r w:rsidR="00267272">
        <w:t xml:space="preserve"> (FYSO) process.</w:t>
      </w:r>
      <w:r w:rsidR="00267272">
        <w:rPr>
          <w:rStyle w:val="FootnoteReference"/>
        </w:rPr>
        <w:footnoteReference w:id="3"/>
      </w:r>
    </w:p>
    <w:p w14:paraId="0E40E4B0" w14:textId="6827CD6C" w:rsidR="001510F5" w:rsidRDefault="001510F5" w:rsidP="003552A7">
      <w:pPr>
        <w:pStyle w:val="Paragraph"/>
      </w:pPr>
      <w:r>
        <w:rPr>
          <w:color w:val="000000" w:themeColor="text1"/>
        </w:rPr>
        <w:t>Spectrum licensees have extensive device registrations in the 700 MHz band, in both metro and regional areas. A</w:t>
      </w:r>
      <w:r w:rsidR="002522DA">
        <w:rPr>
          <w:color w:val="000000" w:themeColor="text1"/>
        </w:rPr>
        <w:t>ny</w:t>
      </w:r>
      <w:r>
        <w:rPr>
          <w:color w:val="000000" w:themeColor="text1"/>
        </w:rPr>
        <w:t xml:space="preserve"> proposed new </w:t>
      </w:r>
      <w:r w:rsidR="00442C7B">
        <w:rPr>
          <w:color w:val="000000" w:themeColor="text1"/>
        </w:rPr>
        <w:t>apparatus-licensed</w:t>
      </w:r>
      <w:r>
        <w:rPr>
          <w:color w:val="000000" w:themeColor="text1"/>
        </w:rPr>
        <w:t xml:space="preserve"> receivers will need to be coordinated with these registrations (in effect giving spectrum licenses first-in-time status in </w:t>
      </w:r>
      <w:r w:rsidR="00145FBA">
        <w:rPr>
          <w:color w:val="000000" w:themeColor="text1"/>
        </w:rPr>
        <w:t>many</w:t>
      </w:r>
      <w:r>
        <w:rPr>
          <w:color w:val="000000" w:themeColor="text1"/>
        </w:rPr>
        <w:t xml:space="preserve"> locations). This will also act to restrict the deployment of new </w:t>
      </w:r>
      <w:r w:rsidR="00442C7B">
        <w:rPr>
          <w:color w:val="000000" w:themeColor="text1"/>
        </w:rPr>
        <w:t>apparatus-licensed</w:t>
      </w:r>
      <w:r>
        <w:rPr>
          <w:color w:val="000000" w:themeColor="text1"/>
        </w:rPr>
        <w:t xml:space="preserve"> services where coordination isn’t successful. </w:t>
      </w:r>
    </w:p>
    <w:p w14:paraId="0D8C6FC9" w14:textId="05797871" w:rsidR="00013BB6" w:rsidRDefault="00013BB6" w:rsidP="003552A7">
      <w:pPr>
        <w:pStyle w:val="Paragraph"/>
      </w:pPr>
      <w:r>
        <w:t>We</w:t>
      </w:r>
      <w:r w:rsidR="001510F5">
        <w:t xml:space="preserve"> </w:t>
      </w:r>
      <w:r w:rsidR="002522DA">
        <w:t>note</w:t>
      </w:r>
      <w:r>
        <w:t xml:space="preserve"> the comments </w:t>
      </w:r>
      <w:r w:rsidR="002C77C5">
        <w:t>about potentially</w:t>
      </w:r>
      <w:r>
        <w:t xml:space="preserve"> relocat</w:t>
      </w:r>
      <w:r w:rsidR="002C77C5">
        <w:t>ing</w:t>
      </w:r>
      <w:r>
        <w:t xml:space="preserve"> </w:t>
      </w:r>
      <w:r w:rsidR="00442C7B">
        <w:t>apparatus-licensed</w:t>
      </w:r>
      <w:r>
        <w:t xml:space="preserve"> services to the </w:t>
      </w:r>
      <w:r w:rsidR="00044EBC">
        <w:t>‘</w:t>
      </w:r>
      <w:r>
        <w:t>PSMB</w:t>
      </w:r>
      <w:r w:rsidR="00044EBC">
        <w:t>’</w:t>
      </w:r>
      <w:r>
        <w:t xml:space="preserve"> segment (</w:t>
      </w:r>
      <w:r w:rsidR="00A20C8E">
        <w:t>809</w:t>
      </w:r>
      <w:r w:rsidR="00044EBC">
        <w:t>–</w:t>
      </w:r>
      <w:r w:rsidR="00A20C8E">
        <w:t>814/854</w:t>
      </w:r>
      <w:r w:rsidR="00044EBC">
        <w:t>–</w:t>
      </w:r>
      <w:r w:rsidR="00A20C8E">
        <w:t>859 MHz</w:t>
      </w:r>
      <w:r>
        <w:t>)</w:t>
      </w:r>
      <w:r w:rsidR="00044EBC">
        <w:t>. H</w:t>
      </w:r>
      <w:r w:rsidR="00A1248B">
        <w:t>owever</w:t>
      </w:r>
      <w:r w:rsidR="00044EBC">
        <w:t>,</w:t>
      </w:r>
      <w:r w:rsidR="00A1248B">
        <w:t xml:space="preserve"> the use of this segment </w:t>
      </w:r>
      <w:r w:rsidR="002522DA">
        <w:t>remains</w:t>
      </w:r>
      <w:r w:rsidR="00A1248B">
        <w:t xml:space="preserve"> subject to ongoing consideration by the </w:t>
      </w:r>
      <w:r w:rsidR="00044EBC">
        <w:t xml:space="preserve">Australian </w:t>
      </w:r>
      <w:r w:rsidR="00AA07A3">
        <w:t>Government</w:t>
      </w:r>
      <w:r w:rsidR="00AA07A3">
        <w:rPr>
          <w:rStyle w:val="FootnoteReference"/>
        </w:rPr>
        <w:footnoteReference w:id="4"/>
      </w:r>
      <w:r w:rsidR="00A1248B">
        <w:t xml:space="preserve"> </w:t>
      </w:r>
      <w:r w:rsidR="002522DA">
        <w:t xml:space="preserve">and </w:t>
      </w:r>
      <w:r w:rsidR="00A1248B">
        <w:t>we are unable to provide further commentary on the use of th</w:t>
      </w:r>
      <w:r w:rsidR="002522DA">
        <w:t>at frequency</w:t>
      </w:r>
      <w:r w:rsidR="00A1248B">
        <w:t xml:space="preserve"> segment.</w:t>
      </w:r>
    </w:p>
    <w:p w14:paraId="4098D49B" w14:textId="1830EB36" w:rsidR="000F3B6D" w:rsidRDefault="00A7557D" w:rsidP="00FF1D0B">
      <w:pPr>
        <w:pStyle w:val="Heading2"/>
      </w:pPr>
      <w:bookmarkStart w:id="12" w:name="_Toc166499474"/>
      <w:r>
        <w:t>Comments on coordination arrangements</w:t>
      </w:r>
      <w:bookmarkEnd w:id="12"/>
    </w:p>
    <w:p w14:paraId="2E95D89F" w14:textId="58F76BAA" w:rsidR="00A7557D" w:rsidRDefault="002E067E" w:rsidP="00A7557D">
      <w:pPr>
        <w:pStyle w:val="Paragraph"/>
      </w:pPr>
      <w:r>
        <w:t>One</w:t>
      </w:r>
      <w:r w:rsidR="00A7557D">
        <w:t xml:space="preserve"> respondent indicated acceptance of the need to coordinate with </w:t>
      </w:r>
      <w:r w:rsidR="00442C7B">
        <w:t>apparatus-licensed</w:t>
      </w:r>
      <w:r w:rsidR="00A7557D">
        <w:t xml:space="preserve"> services that were required to vacate the legacy frequency segments as part of the 803</w:t>
      </w:r>
      <w:r w:rsidR="00044EBC">
        <w:t>–</w:t>
      </w:r>
      <w:r w:rsidR="00A7557D">
        <w:t xml:space="preserve">960 MHz band review. </w:t>
      </w:r>
      <w:r w:rsidR="002522DA">
        <w:t xml:space="preserve">That </w:t>
      </w:r>
      <w:r w:rsidR="00A7557D">
        <w:t xml:space="preserve">respondent also </w:t>
      </w:r>
      <w:r w:rsidR="002522DA">
        <w:t>accepted</w:t>
      </w:r>
      <w:r w:rsidR="00A7557D">
        <w:t xml:space="preserve"> that the proposed revised protection criteria could be used for coordination between th</w:t>
      </w:r>
      <w:r w:rsidR="002522DA">
        <w:t>o</w:t>
      </w:r>
      <w:r w:rsidR="00A7557D">
        <w:t xml:space="preserve">se migrating </w:t>
      </w:r>
      <w:r w:rsidR="00442C7B">
        <w:t>apparatus-licensed</w:t>
      </w:r>
      <w:r w:rsidR="00A7557D">
        <w:t xml:space="preserve"> service</w:t>
      </w:r>
      <w:r w:rsidR="002522DA">
        <w:t>s</w:t>
      </w:r>
      <w:r w:rsidR="00A7557D">
        <w:t xml:space="preserve"> and 700 MHz band </w:t>
      </w:r>
      <w:r w:rsidR="00442C7B">
        <w:t>spectrum-licensed</w:t>
      </w:r>
      <w:r w:rsidR="00A7557D">
        <w:t xml:space="preserve"> transmitters. One respondent also </w:t>
      </w:r>
      <w:r w:rsidR="002C77C5">
        <w:t xml:space="preserve">expressed </w:t>
      </w:r>
      <w:r w:rsidR="00A7557D">
        <w:t>support</w:t>
      </w:r>
      <w:r w:rsidR="002C77C5">
        <w:t xml:space="preserve"> f</w:t>
      </w:r>
      <w:r w:rsidR="00145FBA">
        <w:t xml:space="preserve">or </w:t>
      </w:r>
      <w:r w:rsidR="00A7557D">
        <w:t>attach</w:t>
      </w:r>
      <w:r w:rsidR="002C77C5">
        <w:t>ing</w:t>
      </w:r>
      <w:r w:rsidR="00A7557D">
        <w:t xml:space="preserve"> an advisory note to a licence when the licensee chooses to accept a higher level of interference. </w:t>
      </w:r>
    </w:p>
    <w:p w14:paraId="46161A21" w14:textId="3F84A13F" w:rsidR="00CE49D7" w:rsidRDefault="00CE49D7" w:rsidP="00CE49D7">
      <w:pPr>
        <w:pStyle w:val="Paragraphbeforelist"/>
      </w:pPr>
      <w:r>
        <w:t xml:space="preserve">Respondents </w:t>
      </w:r>
      <w:r w:rsidR="00602506">
        <w:t xml:space="preserve">also </w:t>
      </w:r>
      <w:r w:rsidR="00995677">
        <w:t xml:space="preserve">suggested </w:t>
      </w:r>
      <w:r>
        <w:t>a range of changes to</w:t>
      </w:r>
      <w:r w:rsidR="00602506">
        <w:t xml:space="preserve"> the proposed co</w:t>
      </w:r>
      <w:r w:rsidR="002C77C5">
        <w:t>ordination</w:t>
      </w:r>
      <w:r w:rsidR="00602506">
        <w:t xml:space="preserve"> arrangements, including</w:t>
      </w:r>
      <w:r>
        <w:t>:</w:t>
      </w:r>
    </w:p>
    <w:p w14:paraId="38976D66" w14:textId="038113CA" w:rsidR="000F3B6D" w:rsidRDefault="001E484F" w:rsidP="008476A9">
      <w:pPr>
        <w:pStyle w:val="Bulletlevel1"/>
      </w:pPr>
      <w:r>
        <w:t xml:space="preserve">Mandating that </w:t>
      </w:r>
      <w:r w:rsidR="00442C7B">
        <w:t>apparatus-licensed</w:t>
      </w:r>
      <w:r w:rsidR="008476A9">
        <w:t xml:space="preserve"> services accept</w:t>
      </w:r>
      <w:r w:rsidR="000F3B6D">
        <w:t xml:space="preserve"> interference to the level of the</w:t>
      </w:r>
      <w:r w:rsidR="002C77C5">
        <w:t xml:space="preserve"> unwanted emission limits set out on spectrum licences</w:t>
      </w:r>
      <w:r w:rsidR="00044EBC">
        <w:t>.</w:t>
      </w:r>
    </w:p>
    <w:p w14:paraId="347D12AF" w14:textId="13DEC240" w:rsidR="000F3B6D" w:rsidRDefault="008476A9" w:rsidP="008476A9">
      <w:pPr>
        <w:pStyle w:val="Bulletlevel1"/>
      </w:pPr>
      <w:r>
        <w:t>Updat</w:t>
      </w:r>
      <w:r w:rsidR="00145FBA">
        <w:t>ing</w:t>
      </w:r>
      <w:r>
        <w:t xml:space="preserve"> the </w:t>
      </w:r>
      <w:r w:rsidR="000F3B6D">
        <w:t>PP assignment priority</w:t>
      </w:r>
      <w:r>
        <w:t xml:space="preserve"> to make new assignments </w:t>
      </w:r>
      <w:r w:rsidR="001E484F">
        <w:t xml:space="preserve">at </w:t>
      </w:r>
      <w:r>
        <w:t>the top of the segment (i.e.</w:t>
      </w:r>
      <w:r w:rsidR="00044EBC">
        <w:t>,</w:t>
      </w:r>
      <w:r>
        <w:t xml:space="preserve"> </w:t>
      </w:r>
      <w:r w:rsidR="00124EBA">
        <w:t>descending from 805.5/850.5 MHz</w:t>
      </w:r>
      <w:r>
        <w:t>)</w:t>
      </w:r>
      <w:r w:rsidR="000F3B6D">
        <w:t xml:space="preserve"> and </w:t>
      </w:r>
      <w:r>
        <w:t xml:space="preserve">introduce a requirement for PP links to </w:t>
      </w:r>
      <w:r w:rsidR="0084662C">
        <w:t xml:space="preserve">utilise receiver </w:t>
      </w:r>
      <w:r w:rsidR="000F3B6D">
        <w:t>filtering</w:t>
      </w:r>
      <w:r w:rsidR="0084662C">
        <w:t>.</w:t>
      </w:r>
    </w:p>
    <w:p w14:paraId="2A62EA71" w14:textId="39D217E5" w:rsidR="00B1343E" w:rsidRDefault="001E484F" w:rsidP="008476A9">
      <w:pPr>
        <w:pStyle w:val="Bulletlevel1"/>
      </w:pPr>
      <w:r>
        <w:t>Introducing</w:t>
      </w:r>
      <w:r w:rsidR="002366AB">
        <w:t xml:space="preserve"> grandfathering arrangement</w:t>
      </w:r>
      <w:r w:rsidR="00145FBA">
        <w:t>s</w:t>
      </w:r>
      <w:r w:rsidR="002366AB">
        <w:t xml:space="preserve"> </w:t>
      </w:r>
      <w:r w:rsidR="00B1343E">
        <w:t xml:space="preserve">where the coordination arrangements do </w:t>
      </w:r>
      <w:r w:rsidR="002C77C5">
        <w:t>not</w:t>
      </w:r>
      <w:r w:rsidR="00B1343E">
        <w:t xml:space="preserve"> apply to:</w:t>
      </w:r>
    </w:p>
    <w:p w14:paraId="079C17E8" w14:textId="63CED3DC" w:rsidR="00B1343E" w:rsidRDefault="00442C7B" w:rsidP="00B1343E">
      <w:pPr>
        <w:pStyle w:val="Bulletlevel1"/>
        <w:tabs>
          <w:tab w:val="clear" w:pos="295"/>
          <w:tab w:val="num" w:pos="579"/>
        </w:tabs>
        <w:ind w:left="579"/>
      </w:pPr>
      <w:r>
        <w:t>Spectrum-licensed</w:t>
      </w:r>
      <w:r w:rsidR="002366AB">
        <w:t xml:space="preserve"> transmitters</w:t>
      </w:r>
      <w:r w:rsidR="00B1343E">
        <w:t xml:space="preserve"> registered before a certain date (16 March 2024 was suggested)</w:t>
      </w:r>
      <w:r w:rsidR="00044EBC">
        <w:t>.</w:t>
      </w:r>
    </w:p>
    <w:p w14:paraId="63CA170C" w14:textId="4A6DAC31" w:rsidR="002366AB" w:rsidRDefault="00B1343E" w:rsidP="00DA1243">
      <w:pPr>
        <w:pStyle w:val="Bulletlevel2last"/>
      </w:pPr>
      <w:r>
        <w:t xml:space="preserve">Modifications to existing </w:t>
      </w:r>
      <w:r w:rsidR="00442C7B">
        <w:t>spectrum-licensed</w:t>
      </w:r>
      <w:r>
        <w:t xml:space="preserve"> transmitters </w:t>
      </w:r>
      <w:r w:rsidR="00044EBC">
        <w:t xml:space="preserve">that </w:t>
      </w:r>
      <w:r>
        <w:t>do not significantly increase the interference potential (a 3 dB increase in interference was suggested)</w:t>
      </w:r>
      <w:r w:rsidR="00044EBC">
        <w:t>.</w:t>
      </w:r>
      <w:r w:rsidR="002366AB">
        <w:t xml:space="preserve"> </w:t>
      </w:r>
    </w:p>
    <w:p w14:paraId="3836D8AA" w14:textId="26C12F9B" w:rsidR="00DA1243" w:rsidRDefault="00DA1243" w:rsidP="00DA1243">
      <w:pPr>
        <w:pStyle w:val="Paragraph"/>
      </w:pPr>
      <w:r>
        <w:t xml:space="preserve">A respondent also highlighted that modification to existing </w:t>
      </w:r>
      <w:r w:rsidR="002C77C5">
        <w:t xml:space="preserve">device </w:t>
      </w:r>
      <w:r>
        <w:t xml:space="preserve">registrations in the </w:t>
      </w:r>
      <w:r w:rsidR="002C77C5">
        <w:t>register of radiocommunications licences (</w:t>
      </w:r>
      <w:r>
        <w:t>RRL</w:t>
      </w:r>
      <w:r w:rsidR="002C77C5">
        <w:t>)</w:t>
      </w:r>
      <w:r>
        <w:t xml:space="preserve"> result</w:t>
      </w:r>
      <w:r w:rsidR="002C77C5">
        <w:t>s</w:t>
      </w:r>
      <w:r>
        <w:t xml:space="preserve"> in the registration date being reset, which could lead to difficulties in establishing when devices where first deployed </w:t>
      </w:r>
      <w:proofErr w:type="gramStart"/>
      <w:r>
        <w:t>in the even</w:t>
      </w:r>
      <w:r w:rsidR="00145FBA">
        <w:t>t</w:t>
      </w:r>
      <w:r>
        <w:t xml:space="preserve"> that</w:t>
      </w:r>
      <w:proofErr w:type="gramEnd"/>
      <w:r>
        <w:t xml:space="preserve"> interference occurs.</w:t>
      </w:r>
    </w:p>
    <w:p w14:paraId="2751F7FC" w14:textId="77777777" w:rsidR="00124EBA" w:rsidRDefault="00124EBA" w:rsidP="00124EBA">
      <w:pPr>
        <w:pStyle w:val="Heading3"/>
      </w:pPr>
      <w:r>
        <w:t>ACMA response</w:t>
      </w:r>
    </w:p>
    <w:p w14:paraId="391F794A" w14:textId="2D5D784D" w:rsidR="00DE3902" w:rsidRDefault="00DE3902" w:rsidP="000F3B6D">
      <w:pPr>
        <w:pStyle w:val="Paragraph"/>
      </w:pPr>
      <w:r>
        <w:t xml:space="preserve">We agree that the assignment priority </w:t>
      </w:r>
      <w:r w:rsidR="00145FBA">
        <w:t xml:space="preserve">for </w:t>
      </w:r>
      <w:r w:rsidR="00044EBC">
        <w:t>2</w:t>
      </w:r>
      <w:r w:rsidR="00145FBA">
        <w:t xml:space="preserve">-frequency PP services </w:t>
      </w:r>
      <w:r>
        <w:t>should be changed to a descending order from 805.5/850.5 MHz, given that the</w:t>
      </w:r>
      <w:r w:rsidR="00145FBA">
        <w:t xml:space="preserve"> upper-adjacent</w:t>
      </w:r>
      <w:r>
        <w:t xml:space="preserve"> PMP segment is lightly used in comparison to the 700</w:t>
      </w:r>
      <w:r w:rsidR="00DF291A">
        <w:t> </w:t>
      </w:r>
      <w:r>
        <w:t xml:space="preserve">MHz </w:t>
      </w:r>
      <w:r w:rsidR="00442C7B">
        <w:t>spectrum-licensed</w:t>
      </w:r>
      <w:r>
        <w:t xml:space="preserve"> band. This change has been incorporated into RALI FX22.</w:t>
      </w:r>
    </w:p>
    <w:p w14:paraId="53D973E8" w14:textId="20AF9826" w:rsidR="00044EBC" w:rsidRDefault="0052577D" w:rsidP="000F3B6D">
      <w:pPr>
        <w:pStyle w:val="Paragraph"/>
      </w:pPr>
      <w:r w:rsidRPr="00A71A05">
        <w:t xml:space="preserve">We understand that there may be some instances of blocking interference or receiver overload when a PP receiver is physically located </w:t>
      </w:r>
      <w:proofErr w:type="gramStart"/>
      <w:r w:rsidRPr="00A71A05">
        <w:t>in close proximity to</w:t>
      </w:r>
      <w:proofErr w:type="gramEnd"/>
      <w:r w:rsidRPr="00A71A05">
        <w:t xml:space="preserve"> a 700 MHz band </w:t>
      </w:r>
      <w:r w:rsidR="00442C7B">
        <w:t>spectrum-licensed</w:t>
      </w:r>
      <w:r w:rsidRPr="00A71A05">
        <w:t xml:space="preserve"> transmitter (in particular for transmitters operating at the top of the </w:t>
      </w:r>
      <w:r w:rsidR="00442C7B">
        <w:t>spectrum-licensed</w:t>
      </w:r>
      <w:r w:rsidRPr="00A71A05">
        <w:t xml:space="preserve"> band). </w:t>
      </w:r>
      <w:r w:rsidR="008812FB" w:rsidRPr="00A71A05">
        <w:t>In</w:t>
      </w:r>
      <w:r w:rsidR="005F0E0D" w:rsidRPr="00A71A05">
        <w:t xml:space="preserve"> the updated RALI FX22</w:t>
      </w:r>
      <w:r w:rsidR="008812FB" w:rsidRPr="00A71A05">
        <w:t>,</w:t>
      </w:r>
      <w:r w:rsidRPr="00A71A05">
        <w:t xml:space="preserve"> PP receive</w:t>
      </w:r>
      <w:r w:rsidR="005F0E0D" w:rsidRPr="00A71A05">
        <w:t>r</w:t>
      </w:r>
      <w:r w:rsidRPr="00A71A05">
        <w:t xml:space="preserve">s </w:t>
      </w:r>
      <w:r w:rsidR="008812FB" w:rsidRPr="00A71A05">
        <w:t>will</w:t>
      </w:r>
      <w:r w:rsidRPr="00A71A05">
        <w:t xml:space="preserve"> be afforded protection from receiver blocking interference to a wanted-to-unwanted level of </w:t>
      </w:r>
      <w:r w:rsidR="00044EBC">
        <w:br/>
      </w:r>
      <w:r w:rsidRPr="00A71A05">
        <w:t xml:space="preserve">-30 </w:t>
      </w:r>
      <w:proofErr w:type="spellStart"/>
      <w:r w:rsidRPr="00A71A05">
        <w:t>dB</w:t>
      </w:r>
      <w:r w:rsidR="00044EBC">
        <w:t>.</w:t>
      </w:r>
      <w:proofErr w:type="spellEnd"/>
      <w:r w:rsidRPr="00A71A05">
        <w:rPr>
          <w:rStyle w:val="FootnoteReference"/>
        </w:rPr>
        <w:footnoteReference w:id="5"/>
      </w:r>
      <w:r w:rsidR="008812FB" w:rsidRPr="00A71A05">
        <w:t xml:space="preserve"> </w:t>
      </w:r>
      <w:r w:rsidR="00044EBC">
        <w:t>H</w:t>
      </w:r>
      <w:r w:rsidR="008812FB" w:rsidRPr="00A71A05">
        <w:t>owever</w:t>
      </w:r>
      <w:r w:rsidR="005D1CED">
        <w:t xml:space="preserve">, for PP licences issued after commencement of the updated </w:t>
      </w:r>
      <w:r w:rsidR="00044EBC">
        <w:br/>
      </w:r>
      <w:r w:rsidR="009474E5">
        <w:t xml:space="preserve">RALI </w:t>
      </w:r>
      <w:r w:rsidR="005D1CED">
        <w:t>FX22,</w:t>
      </w:r>
      <w:r w:rsidR="008812FB" w:rsidRPr="00A71A05">
        <w:t xml:space="preserve"> protection to this level may only be claimed if certain mitigations have been put in place by the operators of the affected receiver</w:t>
      </w:r>
      <w:r w:rsidR="00044EBC">
        <w:t xml:space="preserve">. </w:t>
      </w:r>
      <w:r w:rsidR="008812FB" w:rsidRPr="00A71A05">
        <w:t xml:space="preserve"> </w:t>
      </w:r>
    </w:p>
    <w:p w14:paraId="70492D34" w14:textId="65445200" w:rsidR="008812FB" w:rsidRPr="00A71A05" w:rsidRDefault="008812FB" w:rsidP="000F3B6D">
      <w:pPr>
        <w:pStyle w:val="Paragraph"/>
      </w:pPr>
      <w:r w:rsidRPr="00A71A05">
        <w:t>While we have decided to not mandate the use of receiver filtering on all PP services, good site</w:t>
      </w:r>
      <w:r w:rsidR="00044EBC">
        <w:t xml:space="preserve"> </w:t>
      </w:r>
      <w:r w:rsidRPr="00A71A05">
        <w:t xml:space="preserve">engineering practices are important in managing interference from co-sited (or near co-sited) transmitters. </w:t>
      </w:r>
      <w:proofErr w:type="gramStart"/>
      <w:r w:rsidRPr="00A71A05">
        <w:t>With this in mind, a</w:t>
      </w:r>
      <w:proofErr w:type="gramEnd"/>
      <w:r w:rsidRPr="00A71A05">
        <w:t xml:space="preserve"> special condition will be included on new PP licences </w:t>
      </w:r>
      <w:r w:rsidR="00044EBC">
        <w:t>that</w:t>
      </w:r>
      <w:r w:rsidR="00044EBC" w:rsidRPr="00A71A05">
        <w:t xml:space="preserve"> </w:t>
      </w:r>
      <w:r w:rsidRPr="00A71A05">
        <w:t xml:space="preserve">requires the licensee to implement </w:t>
      </w:r>
      <w:r w:rsidRPr="00171416">
        <w:t>filtering</w:t>
      </w:r>
      <w:r w:rsidRPr="00A71A05">
        <w:t>, as necessary, to mitigate cases of localised interference.</w:t>
      </w:r>
      <w:r w:rsidR="001225C2">
        <w:t xml:space="preserve"> The</w:t>
      </w:r>
      <w:r w:rsidR="00D55BA0">
        <w:t xml:space="preserve"> required</w:t>
      </w:r>
      <w:r w:rsidR="001225C2">
        <w:t xml:space="preserve"> </w:t>
      </w:r>
      <w:r w:rsidR="005D1CED">
        <w:t xml:space="preserve">minimum level of filtering is detailed in the updated </w:t>
      </w:r>
      <w:r w:rsidR="00D55BA0">
        <w:t xml:space="preserve">RALI </w:t>
      </w:r>
      <w:r w:rsidR="005D1CED">
        <w:t xml:space="preserve">FX22 and is consistent </w:t>
      </w:r>
      <w:r w:rsidR="00423F2C">
        <w:t xml:space="preserve">with </w:t>
      </w:r>
      <w:r w:rsidR="005D1CED">
        <w:t>filtering requirements for other 800 MHz services (for example</w:t>
      </w:r>
      <w:r w:rsidR="00044EBC">
        <w:t>,</w:t>
      </w:r>
      <w:r w:rsidR="005D1CED">
        <w:t xml:space="preserve"> land mobile requirements in RALI </w:t>
      </w:r>
      <w:r w:rsidR="00D55BA0">
        <w:t>LM8</w:t>
      </w:r>
      <w:r w:rsidR="005D1CED">
        <w:t>).</w:t>
      </w:r>
    </w:p>
    <w:p w14:paraId="7E712B09" w14:textId="4EF606BD" w:rsidR="0052577D" w:rsidRPr="00A71A05" w:rsidRDefault="008812FB" w:rsidP="000F3B6D">
      <w:pPr>
        <w:pStyle w:val="Paragraph"/>
      </w:pPr>
      <w:r w:rsidRPr="00A71A05">
        <w:t>This combination of measures</w:t>
      </w:r>
      <w:r w:rsidR="00177D0D" w:rsidRPr="00A71A05">
        <w:t xml:space="preserve"> is needed to </w:t>
      </w:r>
      <w:r w:rsidR="00EC301A" w:rsidRPr="00A71A05">
        <w:t xml:space="preserve">provide a basis for the </w:t>
      </w:r>
      <w:r w:rsidR="00177D0D" w:rsidRPr="00A71A05">
        <w:t>effective manage</w:t>
      </w:r>
      <w:r w:rsidR="00EC301A" w:rsidRPr="00A71A05">
        <w:t>ment</w:t>
      </w:r>
      <w:r w:rsidR="00177D0D" w:rsidRPr="00A71A05">
        <w:t xml:space="preserve"> and resol</w:t>
      </w:r>
      <w:r w:rsidR="00EC301A" w:rsidRPr="00A71A05">
        <w:t>ution of</w:t>
      </w:r>
      <w:r w:rsidR="00177D0D" w:rsidRPr="00A71A05">
        <w:t xml:space="preserve"> instances of receiver blocking interference</w:t>
      </w:r>
      <w:r w:rsidRPr="00A71A05">
        <w:t xml:space="preserve">, while minimising deployment costs by only requiring filtering when necessary. </w:t>
      </w:r>
      <w:r w:rsidR="00177D0D" w:rsidRPr="00A71A05">
        <w:t xml:space="preserve"> </w:t>
      </w:r>
    </w:p>
    <w:p w14:paraId="786C8F91" w14:textId="62A2DF81" w:rsidR="009F1C01" w:rsidRDefault="00DA457E" w:rsidP="000F3B6D">
      <w:pPr>
        <w:pStyle w:val="Paragraph"/>
      </w:pPr>
      <w:r>
        <w:t xml:space="preserve">We </w:t>
      </w:r>
      <w:r w:rsidR="00DC277C">
        <w:t>have</w:t>
      </w:r>
      <w:r w:rsidR="001F1582">
        <w:t xml:space="preserve"> also</w:t>
      </w:r>
      <w:r w:rsidR="00DC277C">
        <w:t xml:space="preserve"> </w:t>
      </w:r>
      <w:r w:rsidR="009F1C01">
        <w:t>included a provision that exempts existing transmitter</w:t>
      </w:r>
      <w:r w:rsidR="00145FBA">
        <w:t>s</w:t>
      </w:r>
      <w:r w:rsidR="009F1C01">
        <w:t xml:space="preserve"> that ha</w:t>
      </w:r>
      <w:r w:rsidR="00145FBA">
        <w:t>ve</w:t>
      </w:r>
      <w:r w:rsidR="009F1C01">
        <w:t xml:space="preserve"> been modified from re-coordinating with an existing receiver, if the modification has not resulted in any increase in interference potential for th</w:t>
      </w:r>
      <w:r w:rsidR="00145FBA">
        <w:t>ose</w:t>
      </w:r>
      <w:r w:rsidR="009F1C01">
        <w:t xml:space="preserve"> receiver</w:t>
      </w:r>
      <w:r w:rsidR="00145FBA">
        <w:t>s</w:t>
      </w:r>
      <w:r w:rsidR="009F1C01">
        <w:t xml:space="preserve">. For example, </w:t>
      </w:r>
      <w:r w:rsidR="001F1582">
        <w:t xml:space="preserve">coordination would not be required </w:t>
      </w:r>
      <w:r w:rsidR="00145FBA">
        <w:t xml:space="preserve">if </w:t>
      </w:r>
      <w:r w:rsidR="009F1C01">
        <w:t>the transmitt</w:t>
      </w:r>
      <w:r w:rsidR="001F1582">
        <w:t>ing</w:t>
      </w:r>
      <w:r w:rsidR="009F1C01">
        <w:t xml:space="preserve"> antenna has been </w:t>
      </w:r>
      <w:r w:rsidR="001F1582">
        <w:t xml:space="preserve">modified </w:t>
      </w:r>
      <w:r w:rsidR="009F1C01">
        <w:t xml:space="preserve">but the EIRP in the direction of the receiver is the same or less than produced by the old antenna. </w:t>
      </w:r>
      <w:r w:rsidR="001F1582">
        <w:t>As per normal</w:t>
      </w:r>
      <w:r w:rsidR="009F1C01">
        <w:t xml:space="preserve"> practice, modifications that result in an increased interference potential will require re-coordination. </w:t>
      </w:r>
    </w:p>
    <w:p w14:paraId="2F9B7F70" w14:textId="090AC170" w:rsidR="00DA457E" w:rsidRDefault="009F1C01" w:rsidP="000F3B6D">
      <w:pPr>
        <w:pStyle w:val="Paragraph"/>
      </w:pPr>
      <w:r>
        <w:t xml:space="preserve">We have decided </w:t>
      </w:r>
      <w:r w:rsidR="00DC277C">
        <w:t>not to</w:t>
      </w:r>
      <w:r w:rsidR="00DA457E">
        <w:t xml:space="preserve"> implement </w:t>
      </w:r>
      <w:r w:rsidR="00DA457E" w:rsidRPr="009F1C01">
        <w:t>grandfathering arrangements</w:t>
      </w:r>
      <w:r w:rsidR="00C32E99">
        <w:t xml:space="preserve"> where the interference potential has increased</w:t>
      </w:r>
      <w:r w:rsidR="00DA457E" w:rsidRPr="009F1C01">
        <w:t xml:space="preserve"> </w:t>
      </w:r>
      <w:r w:rsidR="0020523D" w:rsidRPr="009F1C01">
        <w:t xml:space="preserve">or </w:t>
      </w:r>
      <w:r w:rsidR="00BC69B2" w:rsidRPr="009F1C01">
        <w:t xml:space="preserve">other </w:t>
      </w:r>
      <w:r w:rsidR="0020523D" w:rsidRPr="009F1C01">
        <w:t>changes that</w:t>
      </w:r>
      <w:r w:rsidR="005A306B" w:rsidRPr="009F1C01">
        <w:t xml:space="preserve"> would</w:t>
      </w:r>
      <w:r w:rsidR="0020523D" w:rsidRPr="009F1C01">
        <w:t xml:space="preserve"> give automatic priority to </w:t>
      </w:r>
      <w:r w:rsidR="00442C7B">
        <w:t>spectrum-licensed</w:t>
      </w:r>
      <w:r w:rsidR="0020523D" w:rsidRPr="009F1C01">
        <w:t xml:space="preserve"> services. The long-standing system of coordinating with existing services provide</w:t>
      </w:r>
      <w:r w:rsidR="00DF291A" w:rsidRPr="009F1C01">
        <w:t>s</w:t>
      </w:r>
      <w:r w:rsidR="0020523D" w:rsidRPr="009F1C01">
        <w:t xml:space="preserve"> equitable access to different spectrum users. </w:t>
      </w:r>
      <w:r w:rsidR="00DF291A" w:rsidRPr="009F1C01">
        <w:t>As above, spectrum licensee</w:t>
      </w:r>
      <w:r w:rsidRPr="009F1C01">
        <w:t>s</w:t>
      </w:r>
      <w:r w:rsidR="00DF291A" w:rsidRPr="009F1C01">
        <w:t xml:space="preserve"> already have a</w:t>
      </w:r>
      <w:r w:rsidRPr="009F1C01">
        <w:t xml:space="preserve"> significant number of device registrations</w:t>
      </w:r>
      <w:r w:rsidR="00C60E88">
        <w:t>,</w:t>
      </w:r>
      <w:r w:rsidRPr="009F1C01">
        <w:t xml:space="preserve"> which provides a notable </w:t>
      </w:r>
      <w:r w:rsidR="005973F7">
        <w:t>f</w:t>
      </w:r>
      <w:r w:rsidRPr="009F1C01">
        <w:t>irst-in-tim</w:t>
      </w:r>
      <w:r w:rsidR="005973F7">
        <w:t>e</w:t>
      </w:r>
      <w:r w:rsidRPr="009F1C01">
        <w:t xml:space="preserve"> advantage. </w:t>
      </w:r>
      <w:r w:rsidR="0020523D" w:rsidRPr="009F1C01">
        <w:t>In addition, the revis</w:t>
      </w:r>
      <w:r w:rsidR="00FA240C" w:rsidRPr="009F1C01">
        <w:t>ed</w:t>
      </w:r>
      <w:r w:rsidR="0020523D" w:rsidRPr="009F1C01">
        <w:t xml:space="preserve"> protection criteria </w:t>
      </w:r>
      <w:r w:rsidR="001F1582">
        <w:t>represent</w:t>
      </w:r>
      <w:r w:rsidR="001F1582" w:rsidRPr="009F1C01">
        <w:t xml:space="preserve"> </w:t>
      </w:r>
      <w:r w:rsidR="0020523D" w:rsidRPr="009F1C01">
        <w:t xml:space="preserve">a </w:t>
      </w:r>
      <w:r w:rsidR="001F1582">
        <w:t xml:space="preserve">net </w:t>
      </w:r>
      <w:r w:rsidR="0020523D" w:rsidRPr="009F1C01">
        <w:t xml:space="preserve">relaxation, meaning that </w:t>
      </w:r>
      <w:r w:rsidR="00DA54CC" w:rsidRPr="009F1C01">
        <w:t>transmitters</w:t>
      </w:r>
      <w:r w:rsidR="00DA54CC">
        <w:t xml:space="preserve"> that successfully </w:t>
      </w:r>
      <w:r w:rsidR="00247461">
        <w:t xml:space="preserve">coordinated </w:t>
      </w:r>
      <w:r w:rsidR="001F1582">
        <w:t xml:space="preserve">against </w:t>
      </w:r>
      <w:r w:rsidR="00247461">
        <w:t xml:space="preserve">the previous criteria will also be able to coordinate </w:t>
      </w:r>
      <w:r w:rsidR="001F1582">
        <w:t xml:space="preserve">against </w:t>
      </w:r>
      <w:r w:rsidR="00247461">
        <w:t>the revised criteria.</w:t>
      </w:r>
    </w:p>
    <w:p w14:paraId="709E2FD1" w14:textId="3572C318" w:rsidR="00DA1243" w:rsidRDefault="00DA1243" w:rsidP="000F3B6D">
      <w:pPr>
        <w:pStyle w:val="Paragraph"/>
      </w:pPr>
      <w:r>
        <w:t xml:space="preserve">We </w:t>
      </w:r>
      <w:r w:rsidR="00DA54CC">
        <w:t>are</w:t>
      </w:r>
      <w:r w:rsidR="005B2E99">
        <w:t xml:space="preserve"> aware</w:t>
      </w:r>
      <w:r w:rsidR="00DA54CC">
        <w:t xml:space="preserve"> of the</w:t>
      </w:r>
      <w:r>
        <w:t xml:space="preserve"> points raised regarding dates recorded in the RRL and </w:t>
      </w:r>
      <w:r w:rsidR="00DA54CC">
        <w:t xml:space="preserve">note </w:t>
      </w:r>
      <w:r>
        <w:t xml:space="preserve">that this is also </w:t>
      </w:r>
      <w:r w:rsidR="005A306B">
        <w:t xml:space="preserve">an issue </w:t>
      </w:r>
      <w:r>
        <w:t xml:space="preserve">relevant to </w:t>
      </w:r>
      <w:r w:rsidR="00F54F1D">
        <w:t>apparatus licensees</w:t>
      </w:r>
      <w:r w:rsidR="00C60E88">
        <w:t>,</w:t>
      </w:r>
      <w:r w:rsidR="005A306B">
        <w:t xml:space="preserve"> as well as</w:t>
      </w:r>
      <w:r w:rsidR="00F54F1D">
        <w:t xml:space="preserve"> </w:t>
      </w:r>
      <w:r>
        <w:t>services outside the 700/800 MHz band</w:t>
      </w:r>
      <w:r w:rsidR="00D55BA0">
        <w:t>s</w:t>
      </w:r>
      <w:r>
        <w:t>.</w:t>
      </w:r>
      <w:r w:rsidR="002916E3">
        <w:t xml:space="preserve"> </w:t>
      </w:r>
      <w:r w:rsidR="005B2E99">
        <w:t xml:space="preserve">If needed, </w:t>
      </w:r>
      <w:r w:rsidR="00C60E88">
        <w:t>we</w:t>
      </w:r>
      <w:r w:rsidR="005B2E99">
        <w:t xml:space="preserve"> can use historical data to determine when services were first </w:t>
      </w:r>
      <w:r w:rsidR="005A306B">
        <w:t xml:space="preserve">registered (or </w:t>
      </w:r>
      <w:r w:rsidR="005B2E99">
        <w:t>licensed</w:t>
      </w:r>
      <w:r w:rsidR="005A306B">
        <w:t>)</w:t>
      </w:r>
      <w:r w:rsidR="005B2E99">
        <w:t xml:space="preserve"> and when any modifications where made</w:t>
      </w:r>
      <w:r w:rsidR="00C60E88">
        <w:t>. W</w:t>
      </w:r>
      <w:r w:rsidR="005B2E99">
        <w:t xml:space="preserve">e understand that some Accredited Persons also maintain historical data from the RRL. </w:t>
      </w:r>
      <w:r w:rsidR="001F1582">
        <w:t>This can be addressed on a case-by-case basis if needed.</w:t>
      </w:r>
    </w:p>
    <w:sectPr w:rsidR="00DA1243" w:rsidSect="00C77380">
      <w:headerReference w:type="even" r:id="rId30"/>
      <w:headerReference w:type="default" r:id="rId31"/>
      <w:footerReference w:type="even" r:id="rId32"/>
      <w:footerReference w:type="default" r:id="rId33"/>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16937" w14:textId="77777777" w:rsidR="00437CF0" w:rsidRDefault="00437CF0">
      <w:r>
        <w:separator/>
      </w:r>
    </w:p>
  </w:endnote>
  <w:endnote w:type="continuationSeparator" w:id="0">
    <w:p w14:paraId="4BE2A937" w14:textId="77777777" w:rsidR="00437CF0" w:rsidRDefault="00437CF0">
      <w:r>
        <w:continuationSeparator/>
      </w:r>
    </w:p>
  </w:endnote>
  <w:endnote w:type="continuationNotice" w:id="1">
    <w:p w14:paraId="14F2E1DD" w14:textId="77777777" w:rsidR="00DD5548" w:rsidRDefault="00DD55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C4EA" w14:textId="77777777" w:rsidR="005E250B" w:rsidRDefault="005E250B" w:rsidP="005E250B">
    <w:pPr>
      <w:pStyle w:val="Footer"/>
      <w:jc w:val="right"/>
    </w:pPr>
    <w:r w:rsidRPr="005E250B">
      <w:rPr>
        <w:noProof/>
        <w:vertAlign w:val="subscript"/>
      </w:rPr>
      <w:drawing>
        <wp:inline distT="0" distB="0" distL="0" distR="0" wp14:anchorId="392E49A1" wp14:editId="3FCB79DC">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0D6F"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9F3A"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DBCB"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1805F003"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98A2"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531C3CBE"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93A0"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32B7636D"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10AE"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68CFBF4C"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FDCD"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7E967AEF"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60A38" w14:textId="77777777" w:rsidR="00437CF0" w:rsidRDefault="00437CF0" w:rsidP="00EA0969">
      <w:pPr>
        <w:spacing w:after="0"/>
      </w:pPr>
      <w:r>
        <w:separator/>
      </w:r>
    </w:p>
  </w:footnote>
  <w:footnote w:type="continuationSeparator" w:id="0">
    <w:p w14:paraId="065B3A83" w14:textId="77777777" w:rsidR="00437CF0" w:rsidRDefault="00437CF0">
      <w:r>
        <w:continuationSeparator/>
      </w:r>
    </w:p>
  </w:footnote>
  <w:footnote w:type="continuationNotice" w:id="1">
    <w:p w14:paraId="5F1E3183" w14:textId="77777777" w:rsidR="00DD5548" w:rsidRDefault="00DD5548">
      <w:pPr>
        <w:spacing w:after="0" w:line="240" w:lineRule="auto"/>
      </w:pPr>
    </w:p>
  </w:footnote>
  <w:footnote w:id="2">
    <w:p w14:paraId="55BECCC2" w14:textId="0EB33541" w:rsidR="004F3524" w:rsidRDefault="004F3524">
      <w:pPr>
        <w:pStyle w:val="FootnoteText"/>
      </w:pPr>
      <w:r>
        <w:rPr>
          <w:rStyle w:val="FootnoteReference"/>
        </w:rPr>
        <w:footnoteRef/>
      </w:r>
      <w:r>
        <w:t xml:space="preserve"> Document SP 4/93 previously contained the coordination procedure for apparatus-licensed services in the 857</w:t>
      </w:r>
      <w:r w:rsidR="0051107D">
        <w:t>–</w:t>
      </w:r>
      <w:r>
        <w:t>861 MHz band.</w:t>
      </w:r>
    </w:p>
  </w:footnote>
  <w:footnote w:id="3">
    <w:p w14:paraId="0DEB9B2E" w14:textId="2E0EC8C8" w:rsidR="00267272" w:rsidRDefault="00267272">
      <w:pPr>
        <w:pStyle w:val="FootnoteText"/>
      </w:pPr>
      <w:r>
        <w:rPr>
          <w:rStyle w:val="FootnoteReference"/>
        </w:rPr>
        <w:footnoteRef/>
      </w:r>
      <w:r>
        <w:t xml:space="preserve"> We are aiming to consult on the next update to the FSYO in Q2 2024.</w:t>
      </w:r>
    </w:p>
  </w:footnote>
  <w:footnote w:id="4">
    <w:p w14:paraId="27B39A62" w14:textId="2067E873" w:rsidR="00AA07A3" w:rsidRDefault="00AA07A3">
      <w:pPr>
        <w:pStyle w:val="FootnoteText"/>
      </w:pPr>
      <w:r>
        <w:rPr>
          <w:rStyle w:val="FootnoteReference"/>
        </w:rPr>
        <w:footnoteRef/>
      </w:r>
      <w:r>
        <w:t xml:space="preserve"> </w:t>
      </w:r>
      <w:r w:rsidR="00044EBC" w:rsidRPr="00171416">
        <w:t xml:space="preserve">In May 2023, the </w:t>
      </w:r>
      <w:hyperlink r:id="rId1" w:history="1">
        <w:r w:rsidR="00044EBC" w:rsidRPr="00044EBC">
          <w:rPr>
            <w:rStyle w:val="Hyperlink"/>
          </w:rPr>
          <w:t>government committed $10.1 million</w:t>
        </w:r>
      </w:hyperlink>
      <w:r w:rsidR="00044EBC" w:rsidRPr="00171416">
        <w:t xml:space="preserve"> to establish a </w:t>
      </w:r>
      <w:r w:rsidR="00044EBC">
        <w:rPr>
          <w:u w:color="0000FF"/>
        </w:rPr>
        <w:t>t</w:t>
      </w:r>
      <w:r w:rsidR="00044EBC" w:rsidRPr="00171416">
        <w:t>askforce to drive the delivery of a PSMB capability</w:t>
      </w:r>
      <w:r>
        <w:t>.</w:t>
      </w:r>
    </w:p>
  </w:footnote>
  <w:footnote w:id="5">
    <w:p w14:paraId="03B34993" w14:textId="7C305E71" w:rsidR="0052577D" w:rsidRDefault="0052577D">
      <w:pPr>
        <w:pStyle w:val="FootnoteText"/>
      </w:pPr>
      <w:r>
        <w:rPr>
          <w:rStyle w:val="FootnoteReference"/>
        </w:rPr>
        <w:footnoteRef/>
      </w:r>
      <w:r>
        <w:t xml:space="preserve"> Based on the blocking provisions contained in ETSI EN 302 217.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ADE2" w14:textId="77777777" w:rsidR="00C053A1" w:rsidRPr="00A5474E" w:rsidRDefault="0021426C" w:rsidP="00A5474E">
    <w:pPr>
      <w:pStyle w:val="Header"/>
    </w:pPr>
    <w:r>
      <w:rPr>
        <w:noProof/>
      </w:rPr>
      <w:drawing>
        <wp:inline distT="0" distB="0" distL="0" distR="0" wp14:anchorId="31E97318" wp14:editId="63F13FED">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8F64"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A03B"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B78F"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4B84324C" w14:textId="77777777" w:rsidTr="003B0421">
      <w:trPr>
        <w:trHeight w:hRule="exact" w:val="988"/>
      </w:trPr>
      <w:tc>
        <w:tcPr>
          <w:tcW w:w="7678" w:type="dxa"/>
          <w:shd w:val="clear" w:color="auto" w:fill="auto"/>
        </w:tcPr>
        <w:p w14:paraId="4016F365" w14:textId="77777777" w:rsidR="00971914" w:rsidRDefault="00971914" w:rsidP="00971914">
          <w:pPr>
            <w:pStyle w:val="Header"/>
          </w:pPr>
        </w:p>
      </w:tc>
    </w:tr>
    <w:tr w:rsidR="00971914" w14:paraId="3DBDD7CE" w14:textId="77777777" w:rsidTr="003B0421">
      <w:tc>
        <w:tcPr>
          <w:tcW w:w="7678" w:type="dxa"/>
          <w:shd w:val="clear" w:color="auto" w:fill="auto"/>
        </w:tcPr>
        <w:p w14:paraId="298A67D3" w14:textId="77777777" w:rsidR="00971914" w:rsidRDefault="00971914" w:rsidP="00971914">
          <w:pPr>
            <w:pStyle w:val="GridTable31"/>
          </w:pPr>
          <w:r>
            <w:t xml:space="preserve">Contents </w:t>
          </w:r>
          <w:r w:rsidRPr="00915B1C">
            <w:rPr>
              <w:b w:val="0"/>
              <w:spacing w:val="0"/>
              <w:sz w:val="28"/>
              <w:szCs w:val="28"/>
            </w:rPr>
            <w:t>(Continued)</w:t>
          </w:r>
        </w:p>
      </w:tc>
    </w:tr>
    <w:tr w:rsidR="00971914" w14:paraId="7EF9A9DB" w14:textId="77777777" w:rsidTr="003B0421">
      <w:trPr>
        <w:trHeight w:val="1220"/>
      </w:trPr>
      <w:tc>
        <w:tcPr>
          <w:tcW w:w="7678" w:type="dxa"/>
          <w:shd w:val="clear" w:color="auto" w:fill="auto"/>
        </w:tcPr>
        <w:p w14:paraId="370CBE9F" w14:textId="77777777" w:rsidR="00971914" w:rsidRDefault="00971914" w:rsidP="00971914"/>
      </w:tc>
    </w:tr>
  </w:tbl>
  <w:p w14:paraId="4AF63D6E"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14058775" w14:textId="77777777" w:rsidTr="003B0421">
      <w:trPr>
        <w:trHeight w:hRule="exact" w:val="988"/>
      </w:trPr>
      <w:tc>
        <w:tcPr>
          <w:tcW w:w="7678" w:type="dxa"/>
          <w:shd w:val="clear" w:color="auto" w:fill="auto"/>
        </w:tcPr>
        <w:p w14:paraId="788B533F" w14:textId="77777777" w:rsidR="00971914" w:rsidRDefault="00971914" w:rsidP="00971914">
          <w:pPr>
            <w:pStyle w:val="Header"/>
          </w:pPr>
        </w:p>
      </w:tc>
    </w:tr>
    <w:tr w:rsidR="00971914" w14:paraId="7A9DFE13" w14:textId="77777777" w:rsidTr="003B0421">
      <w:tc>
        <w:tcPr>
          <w:tcW w:w="7678" w:type="dxa"/>
          <w:shd w:val="clear" w:color="auto" w:fill="auto"/>
        </w:tcPr>
        <w:p w14:paraId="332A58D0" w14:textId="77777777" w:rsidR="00971914" w:rsidRDefault="00971914" w:rsidP="00971914">
          <w:pPr>
            <w:pStyle w:val="GridTable31"/>
          </w:pPr>
          <w:r>
            <w:t xml:space="preserve">Contents </w:t>
          </w:r>
          <w:r w:rsidRPr="00915B1C">
            <w:rPr>
              <w:b w:val="0"/>
              <w:spacing w:val="0"/>
              <w:sz w:val="28"/>
              <w:szCs w:val="28"/>
            </w:rPr>
            <w:t>(Continued)</w:t>
          </w:r>
        </w:p>
      </w:tc>
    </w:tr>
    <w:tr w:rsidR="00971914" w14:paraId="334846D6" w14:textId="77777777" w:rsidTr="003B0421">
      <w:trPr>
        <w:trHeight w:val="1220"/>
      </w:trPr>
      <w:tc>
        <w:tcPr>
          <w:tcW w:w="7678" w:type="dxa"/>
          <w:shd w:val="clear" w:color="auto" w:fill="auto"/>
        </w:tcPr>
        <w:p w14:paraId="1A2908EE" w14:textId="77777777" w:rsidR="00971914" w:rsidRDefault="00971914" w:rsidP="00971914"/>
      </w:tc>
    </w:tr>
  </w:tbl>
  <w:p w14:paraId="76D2584E"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70A3"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ED0"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83B11"/>
    <w:multiLevelType w:val="hybridMultilevel"/>
    <w:tmpl w:val="4B124054"/>
    <w:lvl w:ilvl="0" w:tplc="D1C86270">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0915C16"/>
    <w:multiLevelType w:val="hybridMultilevel"/>
    <w:tmpl w:val="E90C1B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C95768"/>
    <w:multiLevelType w:val="hybridMultilevel"/>
    <w:tmpl w:val="A0020FBE"/>
    <w:lvl w:ilvl="0" w:tplc="FE3CD51C">
      <w:start w:val="1"/>
      <w:numFmt w:val="bullet"/>
      <w:lvlText w:val="&gt;"/>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AA21F0"/>
    <w:multiLevelType w:val="hybridMultilevel"/>
    <w:tmpl w:val="9B5CB936"/>
    <w:lvl w:ilvl="0" w:tplc="CCA08FFA">
      <w:start w:val="1"/>
      <w:numFmt w:val="decimal"/>
      <w:pStyle w:val="ACMATableHeader"/>
      <w:lvlText w:val="Table %1:"/>
      <w:lvlJc w:val="left"/>
      <w:pPr>
        <w:tabs>
          <w:tab w:val="num" w:pos="2382"/>
        </w:tabs>
        <w:ind w:left="2382"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071478"/>
    <w:multiLevelType w:val="hybridMultilevel"/>
    <w:tmpl w:val="B828539A"/>
    <w:lvl w:ilvl="0" w:tplc="3A9CF91A">
      <w:start w:val="1"/>
      <w:numFmt w:val="decimal"/>
      <w:pStyle w:val="ACMAFigureHeader"/>
      <w:lvlText w:val="Figure %1: "/>
      <w:lvlJc w:val="left"/>
      <w:pPr>
        <w:tabs>
          <w:tab w:val="num" w:pos="1021"/>
        </w:tabs>
        <w:ind w:left="1021" w:hanging="1021"/>
      </w:pPr>
      <w:rPr>
        <w:rFonts w:hint="default"/>
      </w:rPr>
    </w:lvl>
    <w:lvl w:ilvl="1" w:tplc="AD843BA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A80E42"/>
    <w:multiLevelType w:val="hybridMultilevel"/>
    <w:tmpl w:val="69A43C4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D757AE6"/>
    <w:multiLevelType w:val="hybridMultilevel"/>
    <w:tmpl w:val="D652B7A4"/>
    <w:lvl w:ilvl="0" w:tplc="0DA4929C">
      <w:start w:val="1"/>
      <w:numFmt w:val="decimal"/>
      <w:pStyle w:val="Caption"/>
      <w:lvlText w:val="Table %1:"/>
      <w:lvlJc w:val="left"/>
      <w:pPr>
        <w:tabs>
          <w:tab w:val="num" w:pos="1673"/>
        </w:tabs>
        <w:ind w:left="1673"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90236E"/>
    <w:multiLevelType w:val="hybridMultilevel"/>
    <w:tmpl w:val="E42CF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0794340">
    <w:abstractNumId w:val="3"/>
  </w:num>
  <w:num w:numId="2" w16cid:durableId="961808067">
    <w:abstractNumId w:val="1"/>
  </w:num>
  <w:num w:numId="3" w16cid:durableId="823132573">
    <w:abstractNumId w:val="2"/>
  </w:num>
  <w:num w:numId="4" w16cid:durableId="1435860948">
    <w:abstractNumId w:val="0"/>
  </w:num>
  <w:num w:numId="5" w16cid:durableId="1458793115">
    <w:abstractNumId w:val="7"/>
  </w:num>
  <w:num w:numId="6" w16cid:durableId="1170756036">
    <w:abstractNumId w:val="13"/>
  </w:num>
  <w:num w:numId="7" w16cid:durableId="1179462982">
    <w:abstractNumId w:val="11"/>
  </w:num>
  <w:num w:numId="8" w16cid:durableId="2010865431">
    <w:abstractNumId w:val="12"/>
  </w:num>
  <w:num w:numId="9" w16cid:durableId="153958827">
    <w:abstractNumId w:val="15"/>
  </w:num>
  <w:num w:numId="10" w16cid:durableId="770122694">
    <w:abstractNumId w:val="5"/>
  </w:num>
  <w:num w:numId="11" w16cid:durableId="1981958685">
    <w:abstractNumId w:val="4"/>
  </w:num>
  <w:num w:numId="12" w16cid:durableId="454564071">
    <w:abstractNumId w:val="3"/>
  </w:num>
  <w:num w:numId="13" w16cid:durableId="1550874486">
    <w:abstractNumId w:val="2"/>
    <w:lvlOverride w:ilvl="0">
      <w:startOverride w:val="1"/>
    </w:lvlOverride>
  </w:num>
  <w:num w:numId="14" w16cid:durableId="825971527">
    <w:abstractNumId w:val="2"/>
    <w:lvlOverride w:ilvl="0">
      <w:startOverride w:val="1"/>
    </w:lvlOverride>
  </w:num>
  <w:num w:numId="15" w16cid:durableId="889999444">
    <w:abstractNumId w:val="2"/>
    <w:lvlOverride w:ilvl="0">
      <w:startOverride w:val="1"/>
    </w:lvlOverride>
  </w:num>
  <w:num w:numId="16" w16cid:durableId="271406163">
    <w:abstractNumId w:val="8"/>
  </w:num>
  <w:num w:numId="17" w16cid:durableId="1271475918">
    <w:abstractNumId w:val="2"/>
    <w:lvlOverride w:ilvl="0">
      <w:startOverride w:val="1"/>
    </w:lvlOverride>
  </w:num>
  <w:num w:numId="18" w16cid:durableId="2118475825">
    <w:abstractNumId w:val="3"/>
  </w:num>
  <w:num w:numId="19" w16cid:durableId="1206605668">
    <w:abstractNumId w:val="3"/>
  </w:num>
  <w:num w:numId="20" w16cid:durableId="827137307">
    <w:abstractNumId w:val="16"/>
  </w:num>
  <w:num w:numId="21" w16cid:durableId="1496143121">
    <w:abstractNumId w:val="6"/>
  </w:num>
  <w:num w:numId="22" w16cid:durableId="1789540277">
    <w:abstractNumId w:val="14"/>
  </w:num>
  <w:num w:numId="23" w16cid:durableId="89158397">
    <w:abstractNumId w:val="10"/>
  </w:num>
  <w:num w:numId="24" w16cid:durableId="1104615658">
    <w:abstractNumId w:val="15"/>
  </w:num>
  <w:num w:numId="25" w16cid:durableId="13016143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F0"/>
    <w:rsid w:val="00001479"/>
    <w:rsid w:val="00010667"/>
    <w:rsid w:val="000129D5"/>
    <w:rsid w:val="00013BB6"/>
    <w:rsid w:val="00015AE7"/>
    <w:rsid w:val="00016E21"/>
    <w:rsid w:val="0001719C"/>
    <w:rsid w:val="0002224E"/>
    <w:rsid w:val="00023A36"/>
    <w:rsid w:val="000245E5"/>
    <w:rsid w:val="0002678A"/>
    <w:rsid w:val="00026F91"/>
    <w:rsid w:val="000274AA"/>
    <w:rsid w:val="00027D38"/>
    <w:rsid w:val="00032621"/>
    <w:rsid w:val="000376CD"/>
    <w:rsid w:val="00037E60"/>
    <w:rsid w:val="000417B1"/>
    <w:rsid w:val="00044EBC"/>
    <w:rsid w:val="0004764C"/>
    <w:rsid w:val="0005011A"/>
    <w:rsid w:val="0005045A"/>
    <w:rsid w:val="00051C1E"/>
    <w:rsid w:val="000539F9"/>
    <w:rsid w:val="00054857"/>
    <w:rsid w:val="00054C27"/>
    <w:rsid w:val="00055EC3"/>
    <w:rsid w:val="000563CE"/>
    <w:rsid w:val="00061213"/>
    <w:rsid w:val="0006195C"/>
    <w:rsid w:val="000659B6"/>
    <w:rsid w:val="00066800"/>
    <w:rsid w:val="0006686F"/>
    <w:rsid w:val="0006722A"/>
    <w:rsid w:val="000709D5"/>
    <w:rsid w:val="00070F98"/>
    <w:rsid w:val="000732CF"/>
    <w:rsid w:val="00075ADB"/>
    <w:rsid w:val="00075B96"/>
    <w:rsid w:val="000804F8"/>
    <w:rsid w:val="0008196A"/>
    <w:rsid w:val="000839FE"/>
    <w:rsid w:val="00083CAC"/>
    <w:rsid w:val="00083F6B"/>
    <w:rsid w:val="00086E70"/>
    <w:rsid w:val="0009079E"/>
    <w:rsid w:val="000915ED"/>
    <w:rsid w:val="0009209D"/>
    <w:rsid w:val="0009233B"/>
    <w:rsid w:val="000942C6"/>
    <w:rsid w:val="0009463C"/>
    <w:rsid w:val="00095228"/>
    <w:rsid w:val="000969BD"/>
    <w:rsid w:val="000969BF"/>
    <w:rsid w:val="000976DA"/>
    <w:rsid w:val="000A0604"/>
    <w:rsid w:val="000A0C22"/>
    <w:rsid w:val="000A1052"/>
    <w:rsid w:val="000A1400"/>
    <w:rsid w:val="000A3C43"/>
    <w:rsid w:val="000A4A51"/>
    <w:rsid w:val="000A5D2B"/>
    <w:rsid w:val="000A7F08"/>
    <w:rsid w:val="000B38D4"/>
    <w:rsid w:val="000B4664"/>
    <w:rsid w:val="000B5DE3"/>
    <w:rsid w:val="000B731E"/>
    <w:rsid w:val="000C0A57"/>
    <w:rsid w:val="000C230C"/>
    <w:rsid w:val="000C5B46"/>
    <w:rsid w:val="000C6AB4"/>
    <w:rsid w:val="000C7B76"/>
    <w:rsid w:val="000D20B8"/>
    <w:rsid w:val="000D2AF8"/>
    <w:rsid w:val="000D353B"/>
    <w:rsid w:val="000D3E0C"/>
    <w:rsid w:val="000D4CDD"/>
    <w:rsid w:val="000D6395"/>
    <w:rsid w:val="000D71D9"/>
    <w:rsid w:val="000D76E0"/>
    <w:rsid w:val="000D7E8B"/>
    <w:rsid w:val="000E3C2F"/>
    <w:rsid w:val="000E4449"/>
    <w:rsid w:val="000E6097"/>
    <w:rsid w:val="000E6D64"/>
    <w:rsid w:val="000E6E2A"/>
    <w:rsid w:val="000F3B6D"/>
    <w:rsid w:val="00103829"/>
    <w:rsid w:val="00106148"/>
    <w:rsid w:val="001075A1"/>
    <w:rsid w:val="0011196E"/>
    <w:rsid w:val="00111BA1"/>
    <w:rsid w:val="00111FCE"/>
    <w:rsid w:val="00121C83"/>
    <w:rsid w:val="001225C2"/>
    <w:rsid w:val="001229A5"/>
    <w:rsid w:val="00123372"/>
    <w:rsid w:val="0012400C"/>
    <w:rsid w:val="0012489B"/>
    <w:rsid w:val="00124EBA"/>
    <w:rsid w:val="00130017"/>
    <w:rsid w:val="00130D45"/>
    <w:rsid w:val="00130F91"/>
    <w:rsid w:val="00132032"/>
    <w:rsid w:val="00132B80"/>
    <w:rsid w:val="001349ED"/>
    <w:rsid w:val="00135C43"/>
    <w:rsid w:val="00137424"/>
    <w:rsid w:val="00140318"/>
    <w:rsid w:val="00141AD9"/>
    <w:rsid w:val="001451CC"/>
    <w:rsid w:val="00145261"/>
    <w:rsid w:val="00145FBA"/>
    <w:rsid w:val="00146373"/>
    <w:rsid w:val="00146CE6"/>
    <w:rsid w:val="00147800"/>
    <w:rsid w:val="00150A60"/>
    <w:rsid w:val="00150EE6"/>
    <w:rsid w:val="001510F5"/>
    <w:rsid w:val="00151C3A"/>
    <w:rsid w:val="00152903"/>
    <w:rsid w:val="00152BE1"/>
    <w:rsid w:val="00153FD5"/>
    <w:rsid w:val="001555A9"/>
    <w:rsid w:val="0015614F"/>
    <w:rsid w:val="001577C2"/>
    <w:rsid w:val="00160F1F"/>
    <w:rsid w:val="001633C4"/>
    <w:rsid w:val="001662BE"/>
    <w:rsid w:val="001704D5"/>
    <w:rsid w:val="00171416"/>
    <w:rsid w:val="00171591"/>
    <w:rsid w:val="00172736"/>
    <w:rsid w:val="00173981"/>
    <w:rsid w:val="0017452C"/>
    <w:rsid w:val="00175B0A"/>
    <w:rsid w:val="0017719D"/>
    <w:rsid w:val="00177D0D"/>
    <w:rsid w:val="0018382B"/>
    <w:rsid w:val="00183FD7"/>
    <w:rsid w:val="00184C67"/>
    <w:rsid w:val="00185CAB"/>
    <w:rsid w:val="00186603"/>
    <w:rsid w:val="001875B7"/>
    <w:rsid w:val="00187CB3"/>
    <w:rsid w:val="0019050A"/>
    <w:rsid w:val="00190EF4"/>
    <w:rsid w:val="001910D4"/>
    <w:rsid w:val="00192354"/>
    <w:rsid w:val="00193237"/>
    <w:rsid w:val="00193938"/>
    <w:rsid w:val="001976E3"/>
    <w:rsid w:val="001A35D6"/>
    <w:rsid w:val="001A42B1"/>
    <w:rsid w:val="001A44EC"/>
    <w:rsid w:val="001A63FD"/>
    <w:rsid w:val="001B58AA"/>
    <w:rsid w:val="001B7E48"/>
    <w:rsid w:val="001B7F3A"/>
    <w:rsid w:val="001C0858"/>
    <w:rsid w:val="001C17CE"/>
    <w:rsid w:val="001C1ACF"/>
    <w:rsid w:val="001C239E"/>
    <w:rsid w:val="001C2BF8"/>
    <w:rsid w:val="001C36CA"/>
    <w:rsid w:val="001C44D1"/>
    <w:rsid w:val="001C502E"/>
    <w:rsid w:val="001C6AEE"/>
    <w:rsid w:val="001C7630"/>
    <w:rsid w:val="001D1560"/>
    <w:rsid w:val="001D2726"/>
    <w:rsid w:val="001D67F3"/>
    <w:rsid w:val="001D6D15"/>
    <w:rsid w:val="001E0316"/>
    <w:rsid w:val="001E1ACE"/>
    <w:rsid w:val="001E1FE6"/>
    <w:rsid w:val="001E484F"/>
    <w:rsid w:val="001E50A0"/>
    <w:rsid w:val="001F0212"/>
    <w:rsid w:val="001F1582"/>
    <w:rsid w:val="001F378A"/>
    <w:rsid w:val="001F50F7"/>
    <w:rsid w:val="001F7558"/>
    <w:rsid w:val="0020066A"/>
    <w:rsid w:val="002006DF"/>
    <w:rsid w:val="0020101F"/>
    <w:rsid w:val="00201EE2"/>
    <w:rsid w:val="0020263C"/>
    <w:rsid w:val="0020523D"/>
    <w:rsid w:val="00205B57"/>
    <w:rsid w:val="002104A5"/>
    <w:rsid w:val="0021426C"/>
    <w:rsid w:val="002145C3"/>
    <w:rsid w:val="0021471F"/>
    <w:rsid w:val="002157D1"/>
    <w:rsid w:val="002157E0"/>
    <w:rsid w:val="00216047"/>
    <w:rsid w:val="00216A57"/>
    <w:rsid w:val="00216E26"/>
    <w:rsid w:val="00217448"/>
    <w:rsid w:val="00222A1E"/>
    <w:rsid w:val="00223103"/>
    <w:rsid w:val="0022334F"/>
    <w:rsid w:val="00223C52"/>
    <w:rsid w:val="00226819"/>
    <w:rsid w:val="002276EA"/>
    <w:rsid w:val="00230B7E"/>
    <w:rsid w:val="0023118C"/>
    <w:rsid w:val="002315D7"/>
    <w:rsid w:val="00233101"/>
    <w:rsid w:val="002335EE"/>
    <w:rsid w:val="00233817"/>
    <w:rsid w:val="00234187"/>
    <w:rsid w:val="00234CE8"/>
    <w:rsid w:val="0023539A"/>
    <w:rsid w:val="00235946"/>
    <w:rsid w:val="002366AB"/>
    <w:rsid w:val="002367FF"/>
    <w:rsid w:val="00240CE9"/>
    <w:rsid w:val="002434BA"/>
    <w:rsid w:val="00246089"/>
    <w:rsid w:val="00246093"/>
    <w:rsid w:val="00246702"/>
    <w:rsid w:val="00247461"/>
    <w:rsid w:val="00247C59"/>
    <w:rsid w:val="00247F2E"/>
    <w:rsid w:val="00250ADC"/>
    <w:rsid w:val="00250B07"/>
    <w:rsid w:val="002522DA"/>
    <w:rsid w:val="002524B2"/>
    <w:rsid w:val="0025501E"/>
    <w:rsid w:val="00257553"/>
    <w:rsid w:val="00260FB2"/>
    <w:rsid w:val="00262128"/>
    <w:rsid w:val="00267272"/>
    <w:rsid w:val="00271052"/>
    <w:rsid w:val="0027165D"/>
    <w:rsid w:val="00273CEB"/>
    <w:rsid w:val="00277F8F"/>
    <w:rsid w:val="0028067E"/>
    <w:rsid w:val="00281C89"/>
    <w:rsid w:val="0028282F"/>
    <w:rsid w:val="00285E99"/>
    <w:rsid w:val="002916E3"/>
    <w:rsid w:val="00291A2D"/>
    <w:rsid w:val="0029593B"/>
    <w:rsid w:val="00297FC5"/>
    <w:rsid w:val="002A0417"/>
    <w:rsid w:val="002A16D8"/>
    <w:rsid w:val="002A1BC8"/>
    <w:rsid w:val="002A1C91"/>
    <w:rsid w:val="002A213C"/>
    <w:rsid w:val="002A3EF2"/>
    <w:rsid w:val="002A4664"/>
    <w:rsid w:val="002A717F"/>
    <w:rsid w:val="002B0A7D"/>
    <w:rsid w:val="002B0DED"/>
    <w:rsid w:val="002B19A2"/>
    <w:rsid w:val="002B381A"/>
    <w:rsid w:val="002B4FCC"/>
    <w:rsid w:val="002B7408"/>
    <w:rsid w:val="002B743D"/>
    <w:rsid w:val="002B7CFD"/>
    <w:rsid w:val="002C0530"/>
    <w:rsid w:val="002C210F"/>
    <w:rsid w:val="002C4E9F"/>
    <w:rsid w:val="002C77C5"/>
    <w:rsid w:val="002D064E"/>
    <w:rsid w:val="002D147A"/>
    <w:rsid w:val="002D1A99"/>
    <w:rsid w:val="002D3600"/>
    <w:rsid w:val="002D489C"/>
    <w:rsid w:val="002D4FE7"/>
    <w:rsid w:val="002E067E"/>
    <w:rsid w:val="002E43E9"/>
    <w:rsid w:val="002E4518"/>
    <w:rsid w:val="002E4619"/>
    <w:rsid w:val="002E4DDC"/>
    <w:rsid w:val="002E4EC0"/>
    <w:rsid w:val="002E6F7E"/>
    <w:rsid w:val="002E7262"/>
    <w:rsid w:val="002F4697"/>
    <w:rsid w:val="002F64DA"/>
    <w:rsid w:val="00300656"/>
    <w:rsid w:val="00302480"/>
    <w:rsid w:val="00302758"/>
    <w:rsid w:val="003030EE"/>
    <w:rsid w:val="00307199"/>
    <w:rsid w:val="003165E6"/>
    <w:rsid w:val="00317B28"/>
    <w:rsid w:val="00317C3E"/>
    <w:rsid w:val="003215B5"/>
    <w:rsid w:val="0032173B"/>
    <w:rsid w:val="003221CF"/>
    <w:rsid w:val="003233ED"/>
    <w:rsid w:val="00324D9F"/>
    <w:rsid w:val="003252B3"/>
    <w:rsid w:val="003253EE"/>
    <w:rsid w:val="00325F30"/>
    <w:rsid w:val="00327948"/>
    <w:rsid w:val="0033000F"/>
    <w:rsid w:val="00332011"/>
    <w:rsid w:val="0033239B"/>
    <w:rsid w:val="00332518"/>
    <w:rsid w:val="0033291E"/>
    <w:rsid w:val="00332925"/>
    <w:rsid w:val="00332E3F"/>
    <w:rsid w:val="003332ED"/>
    <w:rsid w:val="00336070"/>
    <w:rsid w:val="003368DC"/>
    <w:rsid w:val="003415AC"/>
    <w:rsid w:val="0034490B"/>
    <w:rsid w:val="00344B8D"/>
    <w:rsid w:val="00345927"/>
    <w:rsid w:val="0034625F"/>
    <w:rsid w:val="003467D8"/>
    <w:rsid w:val="00350584"/>
    <w:rsid w:val="00351857"/>
    <w:rsid w:val="003519DB"/>
    <w:rsid w:val="00353C6B"/>
    <w:rsid w:val="003545E8"/>
    <w:rsid w:val="003552A7"/>
    <w:rsid w:val="00357028"/>
    <w:rsid w:val="00357ACB"/>
    <w:rsid w:val="0036009B"/>
    <w:rsid w:val="003601DA"/>
    <w:rsid w:val="0036088C"/>
    <w:rsid w:val="003610E1"/>
    <w:rsid w:val="00361C91"/>
    <w:rsid w:val="00363CF5"/>
    <w:rsid w:val="0036413B"/>
    <w:rsid w:val="00364B9E"/>
    <w:rsid w:val="003671BE"/>
    <w:rsid w:val="003672D1"/>
    <w:rsid w:val="00372485"/>
    <w:rsid w:val="00373200"/>
    <w:rsid w:val="00375EF5"/>
    <w:rsid w:val="003767A5"/>
    <w:rsid w:val="00377027"/>
    <w:rsid w:val="003773BA"/>
    <w:rsid w:val="003803BD"/>
    <w:rsid w:val="00381D15"/>
    <w:rsid w:val="00382E83"/>
    <w:rsid w:val="003841CE"/>
    <w:rsid w:val="00385254"/>
    <w:rsid w:val="00387A34"/>
    <w:rsid w:val="00387C8C"/>
    <w:rsid w:val="00387EAA"/>
    <w:rsid w:val="00390D91"/>
    <w:rsid w:val="0039300D"/>
    <w:rsid w:val="00393182"/>
    <w:rsid w:val="003933E8"/>
    <w:rsid w:val="00394031"/>
    <w:rsid w:val="00396D14"/>
    <w:rsid w:val="00396DC2"/>
    <w:rsid w:val="003A04DB"/>
    <w:rsid w:val="003A4D56"/>
    <w:rsid w:val="003A5F5B"/>
    <w:rsid w:val="003A73A4"/>
    <w:rsid w:val="003A7744"/>
    <w:rsid w:val="003A789A"/>
    <w:rsid w:val="003B0F12"/>
    <w:rsid w:val="003B12EC"/>
    <w:rsid w:val="003B378A"/>
    <w:rsid w:val="003B796A"/>
    <w:rsid w:val="003B7E52"/>
    <w:rsid w:val="003C03B8"/>
    <w:rsid w:val="003C33A6"/>
    <w:rsid w:val="003C77E0"/>
    <w:rsid w:val="003D17D7"/>
    <w:rsid w:val="003D1DD3"/>
    <w:rsid w:val="003D2678"/>
    <w:rsid w:val="003D313C"/>
    <w:rsid w:val="003D59E2"/>
    <w:rsid w:val="003D5C0D"/>
    <w:rsid w:val="003D71A3"/>
    <w:rsid w:val="003E0ABE"/>
    <w:rsid w:val="003E0FDA"/>
    <w:rsid w:val="003E2B8A"/>
    <w:rsid w:val="003E3EC5"/>
    <w:rsid w:val="003E446B"/>
    <w:rsid w:val="003E6B68"/>
    <w:rsid w:val="003F10EE"/>
    <w:rsid w:val="003F16F6"/>
    <w:rsid w:val="003F45A3"/>
    <w:rsid w:val="003F4DC7"/>
    <w:rsid w:val="003F4FE2"/>
    <w:rsid w:val="003F5235"/>
    <w:rsid w:val="003F60A9"/>
    <w:rsid w:val="004027E4"/>
    <w:rsid w:val="00402AD6"/>
    <w:rsid w:val="004032B3"/>
    <w:rsid w:val="00403929"/>
    <w:rsid w:val="00404EC8"/>
    <w:rsid w:val="00405D71"/>
    <w:rsid w:val="0041071D"/>
    <w:rsid w:val="00412748"/>
    <w:rsid w:val="00413090"/>
    <w:rsid w:val="00414AFC"/>
    <w:rsid w:val="004151A7"/>
    <w:rsid w:val="00415310"/>
    <w:rsid w:val="00416A8D"/>
    <w:rsid w:val="00416B5B"/>
    <w:rsid w:val="00417AA5"/>
    <w:rsid w:val="00420962"/>
    <w:rsid w:val="00420E42"/>
    <w:rsid w:val="00421709"/>
    <w:rsid w:val="00421A4A"/>
    <w:rsid w:val="00423763"/>
    <w:rsid w:val="00423F2C"/>
    <w:rsid w:val="00426619"/>
    <w:rsid w:val="0042762F"/>
    <w:rsid w:val="00427DC7"/>
    <w:rsid w:val="00431613"/>
    <w:rsid w:val="0043168C"/>
    <w:rsid w:val="00431792"/>
    <w:rsid w:val="00431C3D"/>
    <w:rsid w:val="0043297A"/>
    <w:rsid w:val="00432A08"/>
    <w:rsid w:val="00432EB2"/>
    <w:rsid w:val="0043714F"/>
    <w:rsid w:val="00437CF0"/>
    <w:rsid w:val="0044027A"/>
    <w:rsid w:val="00440A1C"/>
    <w:rsid w:val="00441337"/>
    <w:rsid w:val="00441753"/>
    <w:rsid w:val="00441B60"/>
    <w:rsid w:val="00442920"/>
    <w:rsid w:val="00442C7B"/>
    <w:rsid w:val="004438B5"/>
    <w:rsid w:val="00444B89"/>
    <w:rsid w:val="00447037"/>
    <w:rsid w:val="0045124D"/>
    <w:rsid w:val="00454596"/>
    <w:rsid w:val="0045605D"/>
    <w:rsid w:val="004600B9"/>
    <w:rsid w:val="0046135B"/>
    <w:rsid w:val="00461D47"/>
    <w:rsid w:val="00464E12"/>
    <w:rsid w:val="004718CC"/>
    <w:rsid w:val="004737D5"/>
    <w:rsid w:val="004804E7"/>
    <w:rsid w:val="00481695"/>
    <w:rsid w:val="00482907"/>
    <w:rsid w:val="00483A62"/>
    <w:rsid w:val="00484E25"/>
    <w:rsid w:val="00486FF6"/>
    <w:rsid w:val="004877D4"/>
    <w:rsid w:val="00492B5C"/>
    <w:rsid w:val="00495A96"/>
    <w:rsid w:val="00495BB3"/>
    <w:rsid w:val="00496053"/>
    <w:rsid w:val="00497270"/>
    <w:rsid w:val="004A29A0"/>
    <w:rsid w:val="004A56BB"/>
    <w:rsid w:val="004A66CD"/>
    <w:rsid w:val="004A70D6"/>
    <w:rsid w:val="004A7405"/>
    <w:rsid w:val="004B126D"/>
    <w:rsid w:val="004B1751"/>
    <w:rsid w:val="004B4D42"/>
    <w:rsid w:val="004B4DB4"/>
    <w:rsid w:val="004B6A89"/>
    <w:rsid w:val="004C0253"/>
    <w:rsid w:val="004C1E80"/>
    <w:rsid w:val="004C2D1A"/>
    <w:rsid w:val="004D1D30"/>
    <w:rsid w:val="004D28B3"/>
    <w:rsid w:val="004D54B4"/>
    <w:rsid w:val="004D56FF"/>
    <w:rsid w:val="004E11A9"/>
    <w:rsid w:val="004E39D3"/>
    <w:rsid w:val="004E4E90"/>
    <w:rsid w:val="004E508A"/>
    <w:rsid w:val="004E616D"/>
    <w:rsid w:val="004F0F2B"/>
    <w:rsid w:val="004F1BDE"/>
    <w:rsid w:val="004F2CEE"/>
    <w:rsid w:val="004F3524"/>
    <w:rsid w:val="004F43B1"/>
    <w:rsid w:val="004F556E"/>
    <w:rsid w:val="004F591C"/>
    <w:rsid w:val="004F7F44"/>
    <w:rsid w:val="004F7FF5"/>
    <w:rsid w:val="005037B4"/>
    <w:rsid w:val="00503C8D"/>
    <w:rsid w:val="00506B49"/>
    <w:rsid w:val="005079BF"/>
    <w:rsid w:val="0051107D"/>
    <w:rsid w:val="0051241B"/>
    <w:rsid w:val="0051269A"/>
    <w:rsid w:val="00512AD0"/>
    <w:rsid w:val="00513514"/>
    <w:rsid w:val="0051521B"/>
    <w:rsid w:val="00515449"/>
    <w:rsid w:val="00521393"/>
    <w:rsid w:val="005219E7"/>
    <w:rsid w:val="00521E40"/>
    <w:rsid w:val="0052577D"/>
    <w:rsid w:val="00526D26"/>
    <w:rsid w:val="005277E9"/>
    <w:rsid w:val="00527CDE"/>
    <w:rsid w:val="00531B9A"/>
    <w:rsid w:val="00531D15"/>
    <w:rsid w:val="00533197"/>
    <w:rsid w:val="00537604"/>
    <w:rsid w:val="00542377"/>
    <w:rsid w:val="005427FE"/>
    <w:rsid w:val="00542D96"/>
    <w:rsid w:val="00544DE6"/>
    <w:rsid w:val="00546240"/>
    <w:rsid w:val="00546302"/>
    <w:rsid w:val="00547412"/>
    <w:rsid w:val="005476EB"/>
    <w:rsid w:val="00551782"/>
    <w:rsid w:val="0055201C"/>
    <w:rsid w:val="00557A3C"/>
    <w:rsid w:val="0056043C"/>
    <w:rsid w:val="00563EF1"/>
    <w:rsid w:val="00564A82"/>
    <w:rsid w:val="00564A8C"/>
    <w:rsid w:val="00565A75"/>
    <w:rsid w:val="00566AB4"/>
    <w:rsid w:val="00570165"/>
    <w:rsid w:val="00573812"/>
    <w:rsid w:val="00575AC5"/>
    <w:rsid w:val="0057605D"/>
    <w:rsid w:val="00576975"/>
    <w:rsid w:val="00580253"/>
    <w:rsid w:val="00581347"/>
    <w:rsid w:val="00581AC9"/>
    <w:rsid w:val="005849F8"/>
    <w:rsid w:val="00584B51"/>
    <w:rsid w:val="005865EE"/>
    <w:rsid w:val="0058743A"/>
    <w:rsid w:val="00587A79"/>
    <w:rsid w:val="005938DF"/>
    <w:rsid w:val="00594E9C"/>
    <w:rsid w:val="005973F7"/>
    <w:rsid w:val="005A08BF"/>
    <w:rsid w:val="005A099B"/>
    <w:rsid w:val="005A2D9C"/>
    <w:rsid w:val="005A306B"/>
    <w:rsid w:val="005A40DE"/>
    <w:rsid w:val="005A55FE"/>
    <w:rsid w:val="005A6234"/>
    <w:rsid w:val="005A6A11"/>
    <w:rsid w:val="005B13E1"/>
    <w:rsid w:val="005B2E99"/>
    <w:rsid w:val="005B2F0D"/>
    <w:rsid w:val="005B3ABC"/>
    <w:rsid w:val="005B4AED"/>
    <w:rsid w:val="005B5513"/>
    <w:rsid w:val="005B69FE"/>
    <w:rsid w:val="005B792E"/>
    <w:rsid w:val="005C0652"/>
    <w:rsid w:val="005C2E41"/>
    <w:rsid w:val="005C34EF"/>
    <w:rsid w:val="005D1CED"/>
    <w:rsid w:val="005D22F3"/>
    <w:rsid w:val="005D2502"/>
    <w:rsid w:val="005D40BB"/>
    <w:rsid w:val="005D47F3"/>
    <w:rsid w:val="005D49BF"/>
    <w:rsid w:val="005D4AA5"/>
    <w:rsid w:val="005D66B7"/>
    <w:rsid w:val="005D6F4E"/>
    <w:rsid w:val="005D7C73"/>
    <w:rsid w:val="005D7D8D"/>
    <w:rsid w:val="005E19E7"/>
    <w:rsid w:val="005E1BE8"/>
    <w:rsid w:val="005E2310"/>
    <w:rsid w:val="005E250B"/>
    <w:rsid w:val="005E2A84"/>
    <w:rsid w:val="005E38F0"/>
    <w:rsid w:val="005E3ACD"/>
    <w:rsid w:val="005E41E8"/>
    <w:rsid w:val="005E4C04"/>
    <w:rsid w:val="005E7226"/>
    <w:rsid w:val="005E7A57"/>
    <w:rsid w:val="005F0E0D"/>
    <w:rsid w:val="005F24B0"/>
    <w:rsid w:val="005F6A94"/>
    <w:rsid w:val="005F746D"/>
    <w:rsid w:val="00602506"/>
    <w:rsid w:val="006031F9"/>
    <w:rsid w:val="00604315"/>
    <w:rsid w:val="00604E26"/>
    <w:rsid w:val="0060523F"/>
    <w:rsid w:val="006052CF"/>
    <w:rsid w:val="00607B8D"/>
    <w:rsid w:val="00607C13"/>
    <w:rsid w:val="00610CD2"/>
    <w:rsid w:val="0061144C"/>
    <w:rsid w:val="00611F5C"/>
    <w:rsid w:val="00616E09"/>
    <w:rsid w:val="0061740F"/>
    <w:rsid w:val="00617E1E"/>
    <w:rsid w:val="00622A3B"/>
    <w:rsid w:val="00622EEA"/>
    <w:rsid w:val="0062396C"/>
    <w:rsid w:val="00623D97"/>
    <w:rsid w:val="00623FF9"/>
    <w:rsid w:val="0062437D"/>
    <w:rsid w:val="006250D5"/>
    <w:rsid w:val="00626F0E"/>
    <w:rsid w:val="006278A6"/>
    <w:rsid w:val="00627D4E"/>
    <w:rsid w:val="00630CEB"/>
    <w:rsid w:val="0063214E"/>
    <w:rsid w:val="00632B89"/>
    <w:rsid w:val="00632E0B"/>
    <w:rsid w:val="00633077"/>
    <w:rsid w:val="0063346D"/>
    <w:rsid w:val="00634478"/>
    <w:rsid w:val="00637600"/>
    <w:rsid w:val="00637B8D"/>
    <w:rsid w:val="00640F9E"/>
    <w:rsid w:val="00642319"/>
    <w:rsid w:val="00642E29"/>
    <w:rsid w:val="006437A6"/>
    <w:rsid w:val="00643E88"/>
    <w:rsid w:val="00644042"/>
    <w:rsid w:val="00644373"/>
    <w:rsid w:val="00645915"/>
    <w:rsid w:val="00646CC4"/>
    <w:rsid w:val="00647DCF"/>
    <w:rsid w:val="006519C3"/>
    <w:rsid w:val="00651B03"/>
    <w:rsid w:val="00652B30"/>
    <w:rsid w:val="006557B4"/>
    <w:rsid w:val="00656345"/>
    <w:rsid w:val="00656DC6"/>
    <w:rsid w:val="00657C6C"/>
    <w:rsid w:val="00660EC6"/>
    <w:rsid w:val="00661C4A"/>
    <w:rsid w:val="00662976"/>
    <w:rsid w:val="00664110"/>
    <w:rsid w:val="00664D17"/>
    <w:rsid w:val="00666520"/>
    <w:rsid w:val="006670E3"/>
    <w:rsid w:val="00667C5B"/>
    <w:rsid w:val="00674901"/>
    <w:rsid w:val="006750EA"/>
    <w:rsid w:val="00675AE2"/>
    <w:rsid w:val="00680877"/>
    <w:rsid w:val="00684FEB"/>
    <w:rsid w:val="00691EB8"/>
    <w:rsid w:val="00692CDE"/>
    <w:rsid w:val="00693073"/>
    <w:rsid w:val="00693E40"/>
    <w:rsid w:val="00694A98"/>
    <w:rsid w:val="006977FF"/>
    <w:rsid w:val="006A01FA"/>
    <w:rsid w:val="006A0E9E"/>
    <w:rsid w:val="006A25C7"/>
    <w:rsid w:val="006A3ECF"/>
    <w:rsid w:val="006A47DC"/>
    <w:rsid w:val="006A4AAD"/>
    <w:rsid w:val="006A4CCA"/>
    <w:rsid w:val="006A58DF"/>
    <w:rsid w:val="006A6DA2"/>
    <w:rsid w:val="006A7AB2"/>
    <w:rsid w:val="006B0765"/>
    <w:rsid w:val="006B0912"/>
    <w:rsid w:val="006B52DE"/>
    <w:rsid w:val="006B5717"/>
    <w:rsid w:val="006B582F"/>
    <w:rsid w:val="006B5EB2"/>
    <w:rsid w:val="006C0CEB"/>
    <w:rsid w:val="006C1631"/>
    <w:rsid w:val="006C3B1E"/>
    <w:rsid w:val="006C47FD"/>
    <w:rsid w:val="006C515C"/>
    <w:rsid w:val="006C5C19"/>
    <w:rsid w:val="006C5FD4"/>
    <w:rsid w:val="006C6D64"/>
    <w:rsid w:val="006C70A0"/>
    <w:rsid w:val="006D27CB"/>
    <w:rsid w:val="006D2F08"/>
    <w:rsid w:val="006D576C"/>
    <w:rsid w:val="006D5865"/>
    <w:rsid w:val="006D6258"/>
    <w:rsid w:val="006D63A6"/>
    <w:rsid w:val="006D692E"/>
    <w:rsid w:val="006E284A"/>
    <w:rsid w:val="006E2B07"/>
    <w:rsid w:val="006E2CE0"/>
    <w:rsid w:val="006E4B1B"/>
    <w:rsid w:val="006E5445"/>
    <w:rsid w:val="006E7D93"/>
    <w:rsid w:val="006F4874"/>
    <w:rsid w:val="006F551A"/>
    <w:rsid w:val="0070133D"/>
    <w:rsid w:val="00701F91"/>
    <w:rsid w:val="007029A3"/>
    <w:rsid w:val="00703593"/>
    <w:rsid w:val="00706E4E"/>
    <w:rsid w:val="0070791C"/>
    <w:rsid w:val="0071383C"/>
    <w:rsid w:val="007141A7"/>
    <w:rsid w:val="00715722"/>
    <w:rsid w:val="00715BAF"/>
    <w:rsid w:val="00716C11"/>
    <w:rsid w:val="00716E82"/>
    <w:rsid w:val="00721032"/>
    <w:rsid w:val="00721B55"/>
    <w:rsid w:val="00723D8E"/>
    <w:rsid w:val="007249C8"/>
    <w:rsid w:val="007260C2"/>
    <w:rsid w:val="00726CE4"/>
    <w:rsid w:val="0073261C"/>
    <w:rsid w:val="00732DCB"/>
    <w:rsid w:val="00734143"/>
    <w:rsid w:val="007371AA"/>
    <w:rsid w:val="00737E47"/>
    <w:rsid w:val="00740EAC"/>
    <w:rsid w:val="00744956"/>
    <w:rsid w:val="007451DA"/>
    <w:rsid w:val="00745A5C"/>
    <w:rsid w:val="0074605F"/>
    <w:rsid w:val="00747E94"/>
    <w:rsid w:val="00750F9B"/>
    <w:rsid w:val="007547AA"/>
    <w:rsid w:val="00754C51"/>
    <w:rsid w:val="00754C83"/>
    <w:rsid w:val="00760B4E"/>
    <w:rsid w:val="00761E5C"/>
    <w:rsid w:val="007620B2"/>
    <w:rsid w:val="007638C6"/>
    <w:rsid w:val="00765DF8"/>
    <w:rsid w:val="007663B1"/>
    <w:rsid w:val="00766725"/>
    <w:rsid w:val="00766749"/>
    <w:rsid w:val="00767C1B"/>
    <w:rsid w:val="00770B3F"/>
    <w:rsid w:val="007714A9"/>
    <w:rsid w:val="00774F88"/>
    <w:rsid w:val="00774FDB"/>
    <w:rsid w:val="00777BA2"/>
    <w:rsid w:val="00781408"/>
    <w:rsid w:val="007837F0"/>
    <w:rsid w:val="007839E5"/>
    <w:rsid w:val="00784F7F"/>
    <w:rsid w:val="0078625B"/>
    <w:rsid w:val="0078721F"/>
    <w:rsid w:val="007878BD"/>
    <w:rsid w:val="00787AD8"/>
    <w:rsid w:val="00791379"/>
    <w:rsid w:val="00792A52"/>
    <w:rsid w:val="00796F25"/>
    <w:rsid w:val="007A13B8"/>
    <w:rsid w:val="007A2E98"/>
    <w:rsid w:val="007A3BA3"/>
    <w:rsid w:val="007A42F8"/>
    <w:rsid w:val="007A58DD"/>
    <w:rsid w:val="007A6AEE"/>
    <w:rsid w:val="007A6CC0"/>
    <w:rsid w:val="007A7FEC"/>
    <w:rsid w:val="007B0323"/>
    <w:rsid w:val="007B1499"/>
    <w:rsid w:val="007B162D"/>
    <w:rsid w:val="007B1AF3"/>
    <w:rsid w:val="007B1BBF"/>
    <w:rsid w:val="007B2960"/>
    <w:rsid w:val="007B2D22"/>
    <w:rsid w:val="007B355D"/>
    <w:rsid w:val="007B486B"/>
    <w:rsid w:val="007B5EBE"/>
    <w:rsid w:val="007B605B"/>
    <w:rsid w:val="007B7980"/>
    <w:rsid w:val="007C0DEF"/>
    <w:rsid w:val="007C1AF4"/>
    <w:rsid w:val="007C1D3F"/>
    <w:rsid w:val="007C2B0C"/>
    <w:rsid w:val="007C5D5A"/>
    <w:rsid w:val="007C5DB2"/>
    <w:rsid w:val="007C607F"/>
    <w:rsid w:val="007C61FE"/>
    <w:rsid w:val="007C79DD"/>
    <w:rsid w:val="007C7FAC"/>
    <w:rsid w:val="007D1592"/>
    <w:rsid w:val="007D1A97"/>
    <w:rsid w:val="007D2CD6"/>
    <w:rsid w:val="007D3063"/>
    <w:rsid w:val="007D3CEB"/>
    <w:rsid w:val="007E162C"/>
    <w:rsid w:val="007E1AC8"/>
    <w:rsid w:val="007E3217"/>
    <w:rsid w:val="007E3F62"/>
    <w:rsid w:val="007E4603"/>
    <w:rsid w:val="007E6993"/>
    <w:rsid w:val="007E7683"/>
    <w:rsid w:val="007F0ECE"/>
    <w:rsid w:val="007F111A"/>
    <w:rsid w:val="007F2BFF"/>
    <w:rsid w:val="007F4725"/>
    <w:rsid w:val="007F49BB"/>
    <w:rsid w:val="007F49FA"/>
    <w:rsid w:val="007F54C4"/>
    <w:rsid w:val="007F6E9A"/>
    <w:rsid w:val="00800977"/>
    <w:rsid w:val="00800A75"/>
    <w:rsid w:val="00800CCD"/>
    <w:rsid w:val="00801FEB"/>
    <w:rsid w:val="008044D4"/>
    <w:rsid w:val="00810AB4"/>
    <w:rsid w:val="00810F24"/>
    <w:rsid w:val="00812E5C"/>
    <w:rsid w:val="00812F6F"/>
    <w:rsid w:val="00813CF3"/>
    <w:rsid w:val="00814869"/>
    <w:rsid w:val="00817B56"/>
    <w:rsid w:val="00820B4E"/>
    <w:rsid w:val="00821A88"/>
    <w:rsid w:val="00822D57"/>
    <w:rsid w:val="0082322E"/>
    <w:rsid w:val="0082495D"/>
    <w:rsid w:val="00824B75"/>
    <w:rsid w:val="008268E3"/>
    <w:rsid w:val="00827E36"/>
    <w:rsid w:val="00831059"/>
    <w:rsid w:val="008312BC"/>
    <w:rsid w:val="00831AC3"/>
    <w:rsid w:val="00834979"/>
    <w:rsid w:val="00836FB6"/>
    <w:rsid w:val="00836FCE"/>
    <w:rsid w:val="008408FF"/>
    <w:rsid w:val="00840CE3"/>
    <w:rsid w:val="0084662C"/>
    <w:rsid w:val="008476A9"/>
    <w:rsid w:val="008500E5"/>
    <w:rsid w:val="00851F3F"/>
    <w:rsid w:val="008551FD"/>
    <w:rsid w:val="00855CD2"/>
    <w:rsid w:val="00856EDC"/>
    <w:rsid w:val="00861A4D"/>
    <w:rsid w:val="008623B5"/>
    <w:rsid w:val="00863728"/>
    <w:rsid w:val="00864342"/>
    <w:rsid w:val="00870ABA"/>
    <w:rsid w:val="008710E1"/>
    <w:rsid w:val="008716E5"/>
    <w:rsid w:val="008719BC"/>
    <w:rsid w:val="008729A4"/>
    <w:rsid w:val="008810F3"/>
    <w:rsid w:val="008812FB"/>
    <w:rsid w:val="00881402"/>
    <w:rsid w:val="008818FE"/>
    <w:rsid w:val="00881C14"/>
    <w:rsid w:val="00881CA9"/>
    <w:rsid w:val="00883628"/>
    <w:rsid w:val="00885544"/>
    <w:rsid w:val="0088634E"/>
    <w:rsid w:val="00886D2A"/>
    <w:rsid w:val="00886ECB"/>
    <w:rsid w:val="00893AB8"/>
    <w:rsid w:val="00893B4C"/>
    <w:rsid w:val="0089796A"/>
    <w:rsid w:val="008A04B2"/>
    <w:rsid w:val="008A04C8"/>
    <w:rsid w:val="008A4066"/>
    <w:rsid w:val="008A5F0C"/>
    <w:rsid w:val="008A6913"/>
    <w:rsid w:val="008B0701"/>
    <w:rsid w:val="008B70F3"/>
    <w:rsid w:val="008B71C4"/>
    <w:rsid w:val="008B76DF"/>
    <w:rsid w:val="008B76F1"/>
    <w:rsid w:val="008C014A"/>
    <w:rsid w:val="008C10F4"/>
    <w:rsid w:val="008C1F68"/>
    <w:rsid w:val="008C2D81"/>
    <w:rsid w:val="008C3843"/>
    <w:rsid w:val="008C4BCE"/>
    <w:rsid w:val="008C65F7"/>
    <w:rsid w:val="008D56A2"/>
    <w:rsid w:val="008D65DE"/>
    <w:rsid w:val="008D6C0E"/>
    <w:rsid w:val="008D6FB1"/>
    <w:rsid w:val="008E0428"/>
    <w:rsid w:val="008E14CF"/>
    <w:rsid w:val="008E3DB9"/>
    <w:rsid w:val="008E3DD4"/>
    <w:rsid w:val="008E4767"/>
    <w:rsid w:val="008E6789"/>
    <w:rsid w:val="008E69BB"/>
    <w:rsid w:val="008E7A8C"/>
    <w:rsid w:val="008F0130"/>
    <w:rsid w:val="008F39E0"/>
    <w:rsid w:val="008F5BAD"/>
    <w:rsid w:val="00901AD6"/>
    <w:rsid w:val="0090203B"/>
    <w:rsid w:val="009031D1"/>
    <w:rsid w:val="00903285"/>
    <w:rsid w:val="00906E84"/>
    <w:rsid w:val="00906F40"/>
    <w:rsid w:val="0090731E"/>
    <w:rsid w:val="00907840"/>
    <w:rsid w:val="00907A27"/>
    <w:rsid w:val="00915B1C"/>
    <w:rsid w:val="00916656"/>
    <w:rsid w:val="00917295"/>
    <w:rsid w:val="009174F3"/>
    <w:rsid w:val="0091797D"/>
    <w:rsid w:val="00917E31"/>
    <w:rsid w:val="00920597"/>
    <w:rsid w:val="009233AE"/>
    <w:rsid w:val="00923CBA"/>
    <w:rsid w:val="00926703"/>
    <w:rsid w:val="00927691"/>
    <w:rsid w:val="00927A5F"/>
    <w:rsid w:val="00930510"/>
    <w:rsid w:val="00932628"/>
    <w:rsid w:val="00932844"/>
    <w:rsid w:val="00932B23"/>
    <w:rsid w:val="00935B63"/>
    <w:rsid w:val="00936E95"/>
    <w:rsid w:val="0094078F"/>
    <w:rsid w:val="00940FA3"/>
    <w:rsid w:val="00941FB0"/>
    <w:rsid w:val="009426D4"/>
    <w:rsid w:val="009443FC"/>
    <w:rsid w:val="00944AA4"/>
    <w:rsid w:val="00945822"/>
    <w:rsid w:val="00946D98"/>
    <w:rsid w:val="009474E5"/>
    <w:rsid w:val="00947F25"/>
    <w:rsid w:val="00950159"/>
    <w:rsid w:val="00951767"/>
    <w:rsid w:val="00951E20"/>
    <w:rsid w:val="0095490B"/>
    <w:rsid w:val="0096001A"/>
    <w:rsid w:val="00960A33"/>
    <w:rsid w:val="009610FD"/>
    <w:rsid w:val="00965161"/>
    <w:rsid w:val="009663FF"/>
    <w:rsid w:val="00971914"/>
    <w:rsid w:val="00974363"/>
    <w:rsid w:val="009747D9"/>
    <w:rsid w:val="00976A73"/>
    <w:rsid w:val="00976FC5"/>
    <w:rsid w:val="00981824"/>
    <w:rsid w:val="00981898"/>
    <w:rsid w:val="00983C5F"/>
    <w:rsid w:val="00986396"/>
    <w:rsid w:val="00990C57"/>
    <w:rsid w:val="00995677"/>
    <w:rsid w:val="0099577C"/>
    <w:rsid w:val="00996554"/>
    <w:rsid w:val="009A021C"/>
    <w:rsid w:val="009A1CB8"/>
    <w:rsid w:val="009A25CC"/>
    <w:rsid w:val="009A48B0"/>
    <w:rsid w:val="009A5DB9"/>
    <w:rsid w:val="009B09D2"/>
    <w:rsid w:val="009B0E6E"/>
    <w:rsid w:val="009B24A5"/>
    <w:rsid w:val="009B2601"/>
    <w:rsid w:val="009B4B45"/>
    <w:rsid w:val="009B4E9E"/>
    <w:rsid w:val="009B62E3"/>
    <w:rsid w:val="009B7372"/>
    <w:rsid w:val="009C1690"/>
    <w:rsid w:val="009C2480"/>
    <w:rsid w:val="009C5333"/>
    <w:rsid w:val="009C6881"/>
    <w:rsid w:val="009C7759"/>
    <w:rsid w:val="009D043D"/>
    <w:rsid w:val="009D07C8"/>
    <w:rsid w:val="009D0C7D"/>
    <w:rsid w:val="009D1ADB"/>
    <w:rsid w:val="009D36ED"/>
    <w:rsid w:val="009D3C25"/>
    <w:rsid w:val="009D4C85"/>
    <w:rsid w:val="009D6C71"/>
    <w:rsid w:val="009E0631"/>
    <w:rsid w:val="009E16D0"/>
    <w:rsid w:val="009E2051"/>
    <w:rsid w:val="009E38FD"/>
    <w:rsid w:val="009E5A98"/>
    <w:rsid w:val="009E62BD"/>
    <w:rsid w:val="009E6D1C"/>
    <w:rsid w:val="009F13D6"/>
    <w:rsid w:val="009F1C01"/>
    <w:rsid w:val="009F2391"/>
    <w:rsid w:val="009F4C6B"/>
    <w:rsid w:val="009F78A8"/>
    <w:rsid w:val="00A01005"/>
    <w:rsid w:val="00A017E0"/>
    <w:rsid w:val="00A020D6"/>
    <w:rsid w:val="00A02AD6"/>
    <w:rsid w:val="00A04BEB"/>
    <w:rsid w:val="00A06CC4"/>
    <w:rsid w:val="00A07096"/>
    <w:rsid w:val="00A07318"/>
    <w:rsid w:val="00A07A6A"/>
    <w:rsid w:val="00A10C80"/>
    <w:rsid w:val="00A11370"/>
    <w:rsid w:val="00A1191E"/>
    <w:rsid w:val="00A1248B"/>
    <w:rsid w:val="00A13488"/>
    <w:rsid w:val="00A20C8E"/>
    <w:rsid w:val="00A21EF3"/>
    <w:rsid w:val="00A224CE"/>
    <w:rsid w:val="00A22522"/>
    <w:rsid w:val="00A22EA1"/>
    <w:rsid w:val="00A2348C"/>
    <w:rsid w:val="00A24AFD"/>
    <w:rsid w:val="00A24F5C"/>
    <w:rsid w:val="00A2692B"/>
    <w:rsid w:val="00A27A03"/>
    <w:rsid w:val="00A306C2"/>
    <w:rsid w:val="00A324A5"/>
    <w:rsid w:val="00A32760"/>
    <w:rsid w:val="00A32F96"/>
    <w:rsid w:val="00A35688"/>
    <w:rsid w:val="00A40871"/>
    <w:rsid w:val="00A412AB"/>
    <w:rsid w:val="00A4193E"/>
    <w:rsid w:val="00A440E0"/>
    <w:rsid w:val="00A442EF"/>
    <w:rsid w:val="00A50B61"/>
    <w:rsid w:val="00A51D1A"/>
    <w:rsid w:val="00A520E3"/>
    <w:rsid w:val="00A532E0"/>
    <w:rsid w:val="00A53F6E"/>
    <w:rsid w:val="00A5418D"/>
    <w:rsid w:val="00A5474E"/>
    <w:rsid w:val="00A56C06"/>
    <w:rsid w:val="00A56E64"/>
    <w:rsid w:val="00A571CB"/>
    <w:rsid w:val="00A57AF2"/>
    <w:rsid w:val="00A62DFC"/>
    <w:rsid w:val="00A64234"/>
    <w:rsid w:val="00A645B3"/>
    <w:rsid w:val="00A658B2"/>
    <w:rsid w:val="00A70ADF"/>
    <w:rsid w:val="00A71466"/>
    <w:rsid w:val="00A71544"/>
    <w:rsid w:val="00A71A05"/>
    <w:rsid w:val="00A72D3D"/>
    <w:rsid w:val="00A74B5E"/>
    <w:rsid w:val="00A7557D"/>
    <w:rsid w:val="00A81BED"/>
    <w:rsid w:val="00A81EC4"/>
    <w:rsid w:val="00A824E8"/>
    <w:rsid w:val="00A82661"/>
    <w:rsid w:val="00A83D86"/>
    <w:rsid w:val="00A84D9C"/>
    <w:rsid w:val="00A85C35"/>
    <w:rsid w:val="00A860CB"/>
    <w:rsid w:val="00A928D8"/>
    <w:rsid w:val="00A93BF8"/>
    <w:rsid w:val="00A9437A"/>
    <w:rsid w:val="00A967FD"/>
    <w:rsid w:val="00AA07A3"/>
    <w:rsid w:val="00AA2DE5"/>
    <w:rsid w:val="00AA4156"/>
    <w:rsid w:val="00AA4367"/>
    <w:rsid w:val="00AA4AA5"/>
    <w:rsid w:val="00AA6179"/>
    <w:rsid w:val="00AA6E72"/>
    <w:rsid w:val="00AB156C"/>
    <w:rsid w:val="00AB39A8"/>
    <w:rsid w:val="00AB4CF0"/>
    <w:rsid w:val="00AB6814"/>
    <w:rsid w:val="00AB7966"/>
    <w:rsid w:val="00AC04BA"/>
    <w:rsid w:val="00AC0E39"/>
    <w:rsid w:val="00AC1D47"/>
    <w:rsid w:val="00AC2A77"/>
    <w:rsid w:val="00AC47E2"/>
    <w:rsid w:val="00AC6368"/>
    <w:rsid w:val="00AD1060"/>
    <w:rsid w:val="00AD3082"/>
    <w:rsid w:val="00AD32B4"/>
    <w:rsid w:val="00AD3DFC"/>
    <w:rsid w:val="00AD4AD0"/>
    <w:rsid w:val="00AD4EF7"/>
    <w:rsid w:val="00AD5436"/>
    <w:rsid w:val="00AD60CD"/>
    <w:rsid w:val="00AD6C8C"/>
    <w:rsid w:val="00AE091D"/>
    <w:rsid w:val="00AE0BCB"/>
    <w:rsid w:val="00AE12B1"/>
    <w:rsid w:val="00AE2F38"/>
    <w:rsid w:val="00AE382F"/>
    <w:rsid w:val="00AE3B60"/>
    <w:rsid w:val="00AE53A1"/>
    <w:rsid w:val="00AE53BA"/>
    <w:rsid w:val="00AE6419"/>
    <w:rsid w:val="00AF2484"/>
    <w:rsid w:val="00AF63E7"/>
    <w:rsid w:val="00AF6E17"/>
    <w:rsid w:val="00B00873"/>
    <w:rsid w:val="00B00AD5"/>
    <w:rsid w:val="00B0165D"/>
    <w:rsid w:val="00B01B60"/>
    <w:rsid w:val="00B01EA7"/>
    <w:rsid w:val="00B031F3"/>
    <w:rsid w:val="00B04C59"/>
    <w:rsid w:val="00B052A4"/>
    <w:rsid w:val="00B053AD"/>
    <w:rsid w:val="00B0636F"/>
    <w:rsid w:val="00B11E02"/>
    <w:rsid w:val="00B125DE"/>
    <w:rsid w:val="00B1343E"/>
    <w:rsid w:val="00B13B74"/>
    <w:rsid w:val="00B13FDD"/>
    <w:rsid w:val="00B1731A"/>
    <w:rsid w:val="00B17F20"/>
    <w:rsid w:val="00B21EBC"/>
    <w:rsid w:val="00B22CCD"/>
    <w:rsid w:val="00B22EB2"/>
    <w:rsid w:val="00B2338C"/>
    <w:rsid w:val="00B2373A"/>
    <w:rsid w:val="00B243C2"/>
    <w:rsid w:val="00B25C57"/>
    <w:rsid w:val="00B27442"/>
    <w:rsid w:val="00B31167"/>
    <w:rsid w:val="00B329D8"/>
    <w:rsid w:val="00B32BB9"/>
    <w:rsid w:val="00B3356A"/>
    <w:rsid w:val="00B33AE1"/>
    <w:rsid w:val="00B35583"/>
    <w:rsid w:val="00B36D9C"/>
    <w:rsid w:val="00B37C38"/>
    <w:rsid w:val="00B40A1D"/>
    <w:rsid w:val="00B4288C"/>
    <w:rsid w:val="00B43262"/>
    <w:rsid w:val="00B44100"/>
    <w:rsid w:val="00B46CBA"/>
    <w:rsid w:val="00B46F94"/>
    <w:rsid w:val="00B51884"/>
    <w:rsid w:val="00B51DB0"/>
    <w:rsid w:val="00B51FF1"/>
    <w:rsid w:val="00B521AB"/>
    <w:rsid w:val="00B527E1"/>
    <w:rsid w:val="00B531D9"/>
    <w:rsid w:val="00B53431"/>
    <w:rsid w:val="00B5685A"/>
    <w:rsid w:val="00B6003C"/>
    <w:rsid w:val="00B61C7D"/>
    <w:rsid w:val="00B61F03"/>
    <w:rsid w:val="00B626E4"/>
    <w:rsid w:val="00B63005"/>
    <w:rsid w:val="00B63E11"/>
    <w:rsid w:val="00B70667"/>
    <w:rsid w:val="00B72F4A"/>
    <w:rsid w:val="00B75982"/>
    <w:rsid w:val="00B822B4"/>
    <w:rsid w:val="00B83C27"/>
    <w:rsid w:val="00B84BC3"/>
    <w:rsid w:val="00B84BDD"/>
    <w:rsid w:val="00B85399"/>
    <w:rsid w:val="00B863BC"/>
    <w:rsid w:val="00B87C5D"/>
    <w:rsid w:val="00B92812"/>
    <w:rsid w:val="00B93A0F"/>
    <w:rsid w:val="00B93F42"/>
    <w:rsid w:val="00B9454A"/>
    <w:rsid w:val="00B95B4A"/>
    <w:rsid w:val="00B97CCB"/>
    <w:rsid w:val="00BA4585"/>
    <w:rsid w:val="00BA53C8"/>
    <w:rsid w:val="00BA66A0"/>
    <w:rsid w:val="00BA66B6"/>
    <w:rsid w:val="00BA66BC"/>
    <w:rsid w:val="00BA6926"/>
    <w:rsid w:val="00BB0D67"/>
    <w:rsid w:val="00BB45A1"/>
    <w:rsid w:val="00BB6335"/>
    <w:rsid w:val="00BB7686"/>
    <w:rsid w:val="00BB7802"/>
    <w:rsid w:val="00BC23F9"/>
    <w:rsid w:val="00BC3421"/>
    <w:rsid w:val="00BC5E6F"/>
    <w:rsid w:val="00BC69B2"/>
    <w:rsid w:val="00BC732C"/>
    <w:rsid w:val="00BD12D2"/>
    <w:rsid w:val="00BD3365"/>
    <w:rsid w:val="00BD4421"/>
    <w:rsid w:val="00BD7294"/>
    <w:rsid w:val="00BE0D7F"/>
    <w:rsid w:val="00BE19DD"/>
    <w:rsid w:val="00BE2580"/>
    <w:rsid w:val="00BE266D"/>
    <w:rsid w:val="00BE3938"/>
    <w:rsid w:val="00BE4C11"/>
    <w:rsid w:val="00BE5061"/>
    <w:rsid w:val="00BE71C0"/>
    <w:rsid w:val="00BE7775"/>
    <w:rsid w:val="00BF2B06"/>
    <w:rsid w:val="00BF39B9"/>
    <w:rsid w:val="00BF44D8"/>
    <w:rsid w:val="00BF610C"/>
    <w:rsid w:val="00C0060B"/>
    <w:rsid w:val="00C00D00"/>
    <w:rsid w:val="00C01A6C"/>
    <w:rsid w:val="00C0277D"/>
    <w:rsid w:val="00C02F26"/>
    <w:rsid w:val="00C0464A"/>
    <w:rsid w:val="00C053A1"/>
    <w:rsid w:val="00C05D06"/>
    <w:rsid w:val="00C06396"/>
    <w:rsid w:val="00C10F68"/>
    <w:rsid w:val="00C11703"/>
    <w:rsid w:val="00C13CA7"/>
    <w:rsid w:val="00C16198"/>
    <w:rsid w:val="00C162B7"/>
    <w:rsid w:val="00C16C1D"/>
    <w:rsid w:val="00C2083D"/>
    <w:rsid w:val="00C23FBD"/>
    <w:rsid w:val="00C24466"/>
    <w:rsid w:val="00C24A53"/>
    <w:rsid w:val="00C30AF8"/>
    <w:rsid w:val="00C310B7"/>
    <w:rsid w:val="00C3198F"/>
    <w:rsid w:val="00C32E99"/>
    <w:rsid w:val="00C34A05"/>
    <w:rsid w:val="00C35CCE"/>
    <w:rsid w:val="00C4032F"/>
    <w:rsid w:val="00C41F21"/>
    <w:rsid w:val="00C44047"/>
    <w:rsid w:val="00C45155"/>
    <w:rsid w:val="00C45318"/>
    <w:rsid w:val="00C45686"/>
    <w:rsid w:val="00C50DDB"/>
    <w:rsid w:val="00C52F5D"/>
    <w:rsid w:val="00C5498F"/>
    <w:rsid w:val="00C55235"/>
    <w:rsid w:val="00C5557C"/>
    <w:rsid w:val="00C60E88"/>
    <w:rsid w:val="00C61CDD"/>
    <w:rsid w:val="00C64CD0"/>
    <w:rsid w:val="00C65213"/>
    <w:rsid w:val="00C65F61"/>
    <w:rsid w:val="00C6684F"/>
    <w:rsid w:val="00C70A68"/>
    <w:rsid w:val="00C70E70"/>
    <w:rsid w:val="00C73338"/>
    <w:rsid w:val="00C74BED"/>
    <w:rsid w:val="00C75F8D"/>
    <w:rsid w:val="00C76A78"/>
    <w:rsid w:val="00C77380"/>
    <w:rsid w:val="00C774BA"/>
    <w:rsid w:val="00C815FA"/>
    <w:rsid w:val="00C83F50"/>
    <w:rsid w:val="00C878BA"/>
    <w:rsid w:val="00C87E8A"/>
    <w:rsid w:val="00C913D6"/>
    <w:rsid w:val="00C92FC5"/>
    <w:rsid w:val="00C93CB8"/>
    <w:rsid w:val="00C944E0"/>
    <w:rsid w:val="00C946E7"/>
    <w:rsid w:val="00C94B38"/>
    <w:rsid w:val="00C96DDC"/>
    <w:rsid w:val="00C97736"/>
    <w:rsid w:val="00CA0259"/>
    <w:rsid w:val="00CA1DD1"/>
    <w:rsid w:val="00CA345A"/>
    <w:rsid w:val="00CA3A83"/>
    <w:rsid w:val="00CA6347"/>
    <w:rsid w:val="00CB1E82"/>
    <w:rsid w:val="00CB4BA8"/>
    <w:rsid w:val="00CB52D7"/>
    <w:rsid w:val="00CB5DFA"/>
    <w:rsid w:val="00CC0369"/>
    <w:rsid w:val="00CC44AB"/>
    <w:rsid w:val="00CC6732"/>
    <w:rsid w:val="00CC7815"/>
    <w:rsid w:val="00CD05B6"/>
    <w:rsid w:val="00CD1316"/>
    <w:rsid w:val="00CD4040"/>
    <w:rsid w:val="00CD5642"/>
    <w:rsid w:val="00CD6ACF"/>
    <w:rsid w:val="00CD7A4D"/>
    <w:rsid w:val="00CE1ECD"/>
    <w:rsid w:val="00CE1F4B"/>
    <w:rsid w:val="00CE3C96"/>
    <w:rsid w:val="00CE49D7"/>
    <w:rsid w:val="00CE51A8"/>
    <w:rsid w:val="00CE6386"/>
    <w:rsid w:val="00CE6BAD"/>
    <w:rsid w:val="00CE6CF2"/>
    <w:rsid w:val="00CE7754"/>
    <w:rsid w:val="00CF0BFE"/>
    <w:rsid w:val="00CF183D"/>
    <w:rsid w:val="00CF1E81"/>
    <w:rsid w:val="00CF369B"/>
    <w:rsid w:val="00CF40BD"/>
    <w:rsid w:val="00CF5C54"/>
    <w:rsid w:val="00CF6A63"/>
    <w:rsid w:val="00D00E1A"/>
    <w:rsid w:val="00D00E28"/>
    <w:rsid w:val="00D01161"/>
    <w:rsid w:val="00D0269E"/>
    <w:rsid w:val="00D03276"/>
    <w:rsid w:val="00D05D6C"/>
    <w:rsid w:val="00D05D6E"/>
    <w:rsid w:val="00D15810"/>
    <w:rsid w:val="00D16125"/>
    <w:rsid w:val="00D16D4E"/>
    <w:rsid w:val="00D16FE3"/>
    <w:rsid w:val="00D272A9"/>
    <w:rsid w:val="00D27F41"/>
    <w:rsid w:val="00D3137A"/>
    <w:rsid w:val="00D318AF"/>
    <w:rsid w:val="00D32DCB"/>
    <w:rsid w:val="00D36441"/>
    <w:rsid w:val="00D37D7F"/>
    <w:rsid w:val="00D4064E"/>
    <w:rsid w:val="00D40969"/>
    <w:rsid w:val="00D40CAF"/>
    <w:rsid w:val="00D43B47"/>
    <w:rsid w:val="00D4404D"/>
    <w:rsid w:val="00D44E9B"/>
    <w:rsid w:val="00D457A3"/>
    <w:rsid w:val="00D47AEB"/>
    <w:rsid w:val="00D50DB9"/>
    <w:rsid w:val="00D50FFC"/>
    <w:rsid w:val="00D51302"/>
    <w:rsid w:val="00D529C0"/>
    <w:rsid w:val="00D52C43"/>
    <w:rsid w:val="00D53A56"/>
    <w:rsid w:val="00D55BA0"/>
    <w:rsid w:val="00D60193"/>
    <w:rsid w:val="00D61243"/>
    <w:rsid w:val="00D6283B"/>
    <w:rsid w:val="00D6291B"/>
    <w:rsid w:val="00D6507F"/>
    <w:rsid w:val="00D6632C"/>
    <w:rsid w:val="00D67E63"/>
    <w:rsid w:val="00D730BC"/>
    <w:rsid w:val="00D73912"/>
    <w:rsid w:val="00D73CB1"/>
    <w:rsid w:val="00D74293"/>
    <w:rsid w:val="00D77419"/>
    <w:rsid w:val="00D77DD5"/>
    <w:rsid w:val="00D802FF"/>
    <w:rsid w:val="00D819C1"/>
    <w:rsid w:val="00D8402A"/>
    <w:rsid w:val="00D849CD"/>
    <w:rsid w:val="00D85226"/>
    <w:rsid w:val="00D87B94"/>
    <w:rsid w:val="00D87E4B"/>
    <w:rsid w:val="00D91126"/>
    <w:rsid w:val="00D91BB4"/>
    <w:rsid w:val="00D91BDD"/>
    <w:rsid w:val="00D92D49"/>
    <w:rsid w:val="00D92EC1"/>
    <w:rsid w:val="00D93740"/>
    <w:rsid w:val="00D96DEA"/>
    <w:rsid w:val="00D97EA3"/>
    <w:rsid w:val="00DA0EC2"/>
    <w:rsid w:val="00DA1243"/>
    <w:rsid w:val="00DA1663"/>
    <w:rsid w:val="00DA457E"/>
    <w:rsid w:val="00DA4E41"/>
    <w:rsid w:val="00DA5460"/>
    <w:rsid w:val="00DA54CC"/>
    <w:rsid w:val="00DB117A"/>
    <w:rsid w:val="00DB1B2D"/>
    <w:rsid w:val="00DB248E"/>
    <w:rsid w:val="00DB3BA1"/>
    <w:rsid w:val="00DB5173"/>
    <w:rsid w:val="00DB6002"/>
    <w:rsid w:val="00DB7873"/>
    <w:rsid w:val="00DC0334"/>
    <w:rsid w:val="00DC1139"/>
    <w:rsid w:val="00DC187B"/>
    <w:rsid w:val="00DC2490"/>
    <w:rsid w:val="00DC277C"/>
    <w:rsid w:val="00DC4D05"/>
    <w:rsid w:val="00DC5411"/>
    <w:rsid w:val="00DD1A43"/>
    <w:rsid w:val="00DD30B0"/>
    <w:rsid w:val="00DD4BF7"/>
    <w:rsid w:val="00DD5548"/>
    <w:rsid w:val="00DD646A"/>
    <w:rsid w:val="00DD64D1"/>
    <w:rsid w:val="00DD73C2"/>
    <w:rsid w:val="00DE0B95"/>
    <w:rsid w:val="00DE288D"/>
    <w:rsid w:val="00DE319B"/>
    <w:rsid w:val="00DE3902"/>
    <w:rsid w:val="00DE3A51"/>
    <w:rsid w:val="00DE4988"/>
    <w:rsid w:val="00DE629C"/>
    <w:rsid w:val="00DE68B3"/>
    <w:rsid w:val="00DE7013"/>
    <w:rsid w:val="00DF0860"/>
    <w:rsid w:val="00DF291A"/>
    <w:rsid w:val="00DF2E2F"/>
    <w:rsid w:val="00DF34FE"/>
    <w:rsid w:val="00DF56AA"/>
    <w:rsid w:val="00DF56AF"/>
    <w:rsid w:val="00DF5FDD"/>
    <w:rsid w:val="00DF64EF"/>
    <w:rsid w:val="00DF78E7"/>
    <w:rsid w:val="00E04F24"/>
    <w:rsid w:val="00E05CA7"/>
    <w:rsid w:val="00E05DF6"/>
    <w:rsid w:val="00E110E0"/>
    <w:rsid w:val="00E12E6B"/>
    <w:rsid w:val="00E15371"/>
    <w:rsid w:val="00E1577E"/>
    <w:rsid w:val="00E162C4"/>
    <w:rsid w:val="00E17F5F"/>
    <w:rsid w:val="00E20D64"/>
    <w:rsid w:val="00E20DB6"/>
    <w:rsid w:val="00E21056"/>
    <w:rsid w:val="00E2154A"/>
    <w:rsid w:val="00E221EF"/>
    <w:rsid w:val="00E24104"/>
    <w:rsid w:val="00E27B42"/>
    <w:rsid w:val="00E302D0"/>
    <w:rsid w:val="00E33004"/>
    <w:rsid w:val="00E3428B"/>
    <w:rsid w:val="00E34862"/>
    <w:rsid w:val="00E35707"/>
    <w:rsid w:val="00E36AA1"/>
    <w:rsid w:val="00E41512"/>
    <w:rsid w:val="00E41827"/>
    <w:rsid w:val="00E41ECB"/>
    <w:rsid w:val="00E42676"/>
    <w:rsid w:val="00E458AE"/>
    <w:rsid w:val="00E45DBB"/>
    <w:rsid w:val="00E47CD3"/>
    <w:rsid w:val="00E507C8"/>
    <w:rsid w:val="00E5426D"/>
    <w:rsid w:val="00E54FDB"/>
    <w:rsid w:val="00E5617D"/>
    <w:rsid w:val="00E563D7"/>
    <w:rsid w:val="00E56B46"/>
    <w:rsid w:val="00E5727E"/>
    <w:rsid w:val="00E6121D"/>
    <w:rsid w:val="00E634A7"/>
    <w:rsid w:val="00E63787"/>
    <w:rsid w:val="00E64F9A"/>
    <w:rsid w:val="00E663F4"/>
    <w:rsid w:val="00E666F2"/>
    <w:rsid w:val="00E66DD4"/>
    <w:rsid w:val="00E670C1"/>
    <w:rsid w:val="00E67127"/>
    <w:rsid w:val="00E67C5B"/>
    <w:rsid w:val="00E715C1"/>
    <w:rsid w:val="00E71872"/>
    <w:rsid w:val="00E7256D"/>
    <w:rsid w:val="00E748CC"/>
    <w:rsid w:val="00E74F15"/>
    <w:rsid w:val="00E75415"/>
    <w:rsid w:val="00E764DC"/>
    <w:rsid w:val="00E76C70"/>
    <w:rsid w:val="00E775B1"/>
    <w:rsid w:val="00E77682"/>
    <w:rsid w:val="00E80379"/>
    <w:rsid w:val="00E810A7"/>
    <w:rsid w:val="00E8152A"/>
    <w:rsid w:val="00E82618"/>
    <w:rsid w:val="00E85EB3"/>
    <w:rsid w:val="00E93629"/>
    <w:rsid w:val="00E93B5C"/>
    <w:rsid w:val="00E94CEC"/>
    <w:rsid w:val="00E95577"/>
    <w:rsid w:val="00E9591E"/>
    <w:rsid w:val="00EA04EF"/>
    <w:rsid w:val="00EA0969"/>
    <w:rsid w:val="00EA1196"/>
    <w:rsid w:val="00EA195F"/>
    <w:rsid w:val="00EA346B"/>
    <w:rsid w:val="00EA3EB7"/>
    <w:rsid w:val="00EA5304"/>
    <w:rsid w:val="00EA53C3"/>
    <w:rsid w:val="00EA6C79"/>
    <w:rsid w:val="00EA6F19"/>
    <w:rsid w:val="00EA7CF6"/>
    <w:rsid w:val="00EB0A28"/>
    <w:rsid w:val="00EB504F"/>
    <w:rsid w:val="00EB7090"/>
    <w:rsid w:val="00EC1BBE"/>
    <w:rsid w:val="00EC2B68"/>
    <w:rsid w:val="00EC301A"/>
    <w:rsid w:val="00EC3AEF"/>
    <w:rsid w:val="00EC3CB8"/>
    <w:rsid w:val="00EC5CD7"/>
    <w:rsid w:val="00EC7CD0"/>
    <w:rsid w:val="00ED0098"/>
    <w:rsid w:val="00ED0330"/>
    <w:rsid w:val="00ED4BAE"/>
    <w:rsid w:val="00EE5FB3"/>
    <w:rsid w:val="00EE7F79"/>
    <w:rsid w:val="00EF3DC4"/>
    <w:rsid w:val="00EF4A9E"/>
    <w:rsid w:val="00EF4B40"/>
    <w:rsid w:val="00EF6A52"/>
    <w:rsid w:val="00EF715A"/>
    <w:rsid w:val="00EF7ADC"/>
    <w:rsid w:val="00EF7FFD"/>
    <w:rsid w:val="00F00E55"/>
    <w:rsid w:val="00F01CFC"/>
    <w:rsid w:val="00F02BF5"/>
    <w:rsid w:val="00F02C76"/>
    <w:rsid w:val="00F03219"/>
    <w:rsid w:val="00F063CC"/>
    <w:rsid w:val="00F06E14"/>
    <w:rsid w:val="00F0767F"/>
    <w:rsid w:val="00F07932"/>
    <w:rsid w:val="00F07A41"/>
    <w:rsid w:val="00F07F5B"/>
    <w:rsid w:val="00F10E7B"/>
    <w:rsid w:val="00F136B5"/>
    <w:rsid w:val="00F13BE7"/>
    <w:rsid w:val="00F14627"/>
    <w:rsid w:val="00F160DB"/>
    <w:rsid w:val="00F179D4"/>
    <w:rsid w:val="00F20B32"/>
    <w:rsid w:val="00F22A23"/>
    <w:rsid w:val="00F22B9A"/>
    <w:rsid w:val="00F23B24"/>
    <w:rsid w:val="00F23D3E"/>
    <w:rsid w:val="00F24F50"/>
    <w:rsid w:val="00F2675A"/>
    <w:rsid w:val="00F27261"/>
    <w:rsid w:val="00F310E2"/>
    <w:rsid w:val="00F326FA"/>
    <w:rsid w:val="00F32D49"/>
    <w:rsid w:val="00F33C56"/>
    <w:rsid w:val="00F342A4"/>
    <w:rsid w:val="00F347C7"/>
    <w:rsid w:val="00F34848"/>
    <w:rsid w:val="00F35985"/>
    <w:rsid w:val="00F361D7"/>
    <w:rsid w:val="00F37E61"/>
    <w:rsid w:val="00F40574"/>
    <w:rsid w:val="00F40786"/>
    <w:rsid w:val="00F42D46"/>
    <w:rsid w:val="00F433D7"/>
    <w:rsid w:val="00F4496C"/>
    <w:rsid w:val="00F44F3A"/>
    <w:rsid w:val="00F51F10"/>
    <w:rsid w:val="00F529A5"/>
    <w:rsid w:val="00F5310D"/>
    <w:rsid w:val="00F54F1D"/>
    <w:rsid w:val="00F55078"/>
    <w:rsid w:val="00F60F00"/>
    <w:rsid w:val="00F614C0"/>
    <w:rsid w:val="00F61803"/>
    <w:rsid w:val="00F66459"/>
    <w:rsid w:val="00F668C6"/>
    <w:rsid w:val="00F6743E"/>
    <w:rsid w:val="00F70D53"/>
    <w:rsid w:val="00F73132"/>
    <w:rsid w:val="00F77346"/>
    <w:rsid w:val="00F81A51"/>
    <w:rsid w:val="00F825BC"/>
    <w:rsid w:val="00F83848"/>
    <w:rsid w:val="00F857C3"/>
    <w:rsid w:val="00F90EFD"/>
    <w:rsid w:val="00F916FB"/>
    <w:rsid w:val="00F91DDA"/>
    <w:rsid w:val="00F930A0"/>
    <w:rsid w:val="00F94701"/>
    <w:rsid w:val="00F966F2"/>
    <w:rsid w:val="00F968CB"/>
    <w:rsid w:val="00F975E9"/>
    <w:rsid w:val="00FA1B7D"/>
    <w:rsid w:val="00FA240C"/>
    <w:rsid w:val="00FB1F9D"/>
    <w:rsid w:val="00FB46E7"/>
    <w:rsid w:val="00FC07B9"/>
    <w:rsid w:val="00FC1DEB"/>
    <w:rsid w:val="00FC2AF9"/>
    <w:rsid w:val="00FC4E21"/>
    <w:rsid w:val="00FC5F6D"/>
    <w:rsid w:val="00FD0107"/>
    <w:rsid w:val="00FD0F72"/>
    <w:rsid w:val="00FD15D0"/>
    <w:rsid w:val="00FD2662"/>
    <w:rsid w:val="00FD2C2F"/>
    <w:rsid w:val="00FD3B31"/>
    <w:rsid w:val="00FD7836"/>
    <w:rsid w:val="00FD7C20"/>
    <w:rsid w:val="00FE1823"/>
    <w:rsid w:val="00FE1926"/>
    <w:rsid w:val="00FE487A"/>
    <w:rsid w:val="00FE4936"/>
    <w:rsid w:val="00FF0569"/>
    <w:rsid w:val="00FF0C7C"/>
    <w:rsid w:val="00FF1D0B"/>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2654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tabs>
        <w:tab w:val="clear" w:pos="1673"/>
        <w:tab w:val="num" w:pos="964"/>
      </w:tabs>
      <w:spacing w:after="0"/>
      <w:ind w:left="964"/>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aliases w:val="List Bullet 1"/>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
    <w:basedOn w:val="DefaultParagraphFont"/>
    <w:rsid w:val="00566AB4"/>
    <w:rPr>
      <w:rFonts w:ascii="Arial" w:hAnsi="Arial"/>
      <w:vertAlign w:val="superscript"/>
    </w:rPr>
  </w:style>
  <w:style w:type="paragraph" w:styleId="FootnoteText">
    <w:name w:val="footnote text"/>
    <w:aliases w:val="Footnote text"/>
    <w:basedOn w:val="Normal"/>
    <w:uiPriority w:val="23"/>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tabs>
        <w:tab w:val="clear" w:pos="2382"/>
        <w:tab w:val="num" w:pos="964"/>
      </w:tabs>
      <w:spacing w:after="160"/>
      <w:ind w:left="964"/>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styleId="ListParagraph">
    <w:name w:val="List Paragraph"/>
    <w:basedOn w:val="Normal"/>
    <w:uiPriority w:val="34"/>
    <w:qFormat/>
    <w:rsid w:val="00421A4A"/>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EndnoteText">
    <w:name w:val="endnote text"/>
    <w:basedOn w:val="Normal"/>
    <w:link w:val="EndnoteTextChar"/>
    <w:semiHidden/>
    <w:unhideWhenUsed/>
    <w:rsid w:val="004A29A0"/>
    <w:pPr>
      <w:spacing w:after="0" w:line="240" w:lineRule="auto"/>
    </w:pPr>
    <w:rPr>
      <w:szCs w:val="20"/>
    </w:rPr>
  </w:style>
  <w:style w:type="character" w:customStyle="1" w:styleId="EndnoteTextChar">
    <w:name w:val="Endnote Text Char"/>
    <w:basedOn w:val="DefaultParagraphFont"/>
    <w:link w:val="EndnoteText"/>
    <w:semiHidden/>
    <w:rsid w:val="004A29A0"/>
    <w:rPr>
      <w:rFonts w:ascii="Arial" w:hAnsi="Arial"/>
      <w:sz w:val="20"/>
      <w:szCs w:val="20"/>
    </w:rPr>
  </w:style>
  <w:style w:type="character" w:styleId="EndnoteReference">
    <w:name w:val="endnote reference"/>
    <w:basedOn w:val="DefaultParagraphFont"/>
    <w:semiHidden/>
    <w:unhideWhenUsed/>
    <w:rsid w:val="004A29A0"/>
    <w:rPr>
      <w:vertAlign w:val="superscript"/>
    </w:rPr>
  </w:style>
  <w:style w:type="table" w:customStyle="1" w:styleId="TableGrid0">
    <w:name w:val="TableGrid"/>
    <w:rsid w:val="000D2AF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f01">
    <w:name w:val="cf01"/>
    <w:basedOn w:val="DefaultParagraphFont"/>
    <w:rsid w:val="00861A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8425">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425688738">
      <w:bodyDiv w:val="1"/>
      <w:marLeft w:val="0"/>
      <w:marRight w:val="0"/>
      <w:marTop w:val="0"/>
      <w:marBottom w:val="0"/>
      <w:divBdr>
        <w:top w:val="none" w:sz="0" w:space="0" w:color="auto"/>
        <w:left w:val="none" w:sz="0" w:space="0" w:color="auto"/>
        <w:bottom w:val="none" w:sz="0" w:space="0" w:color="auto"/>
        <w:right w:val="none" w:sz="0" w:space="0" w:color="auto"/>
      </w:divBdr>
    </w:div>
    <w:div w:id="564880448">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600796437">
      <w:bodyDiv w:val="1"/>
      <w:marLeft w:val="0"/>
      <w:marRight w:val="0"/>
      <w:marTop w:val="0"/>
      <w:marBottom w:val="0"/>
      <w:divBdr>
        <w:top w:val="none" w:sz="0" w:space="0" w:color="auto"/>
        <w:left w:val="none" w:sz="0" w:space="0" w:color="auto"/>
        <w:bottom w:val="none" w:sz="0" w:space="0" w:color="auto"/>
        <w:right w:val="none" w:sz="0" w:space="0" w:color="auto"/>
      </w:divBdr>
    </w:div>
    <w:div w:id="803276108">
      <w:bodyDiv w:val="1"/>
      <w:marLeft w:val="0"/>
      <w:marRight w:val="0"/>
      <w:marTop w:val="0"/>
      <w:marBottom w:val="0"/>
      <w:divBdr>
        <w:top w:val="none" w:sz="0" w:space="0" w:color="auto"/>
        <w:left w:val="none" w:sz="0" w:space="0" w:color="auto"/>
        <w:bottom w:val="none" w:sz="0" w:space="0" w:color="auto"/>
        <w:right w:val="none" w:sz="0" w:space="0" w:color="auto"/>
      </w:divBdr>
    </w:div>
    <w:div w:id="811407282">
      <w:bodyDiv w:val="1"/>
      <w:marLeft w:val="0"/>
      <w:marRight w:val="0"/>
      <w:marTop w:val="0"/>
      <w:marBottom w:val="0"/>
      <w:divBdr>
        <w:top w:val="none" w:sz="0" w:space="0" w:color="auto"/>
        <w:left w:val="none" w:sz="0" w:space="0" w:color="auto"/>
        <w:bottom w:val="none" w:sz="0" w:space="0" w:color="auto"/>
        <w:right w:val="none" w:sz="0" w:space="0" w:color="auto"/>
      </w:divBdr>
    </w:div>
    <w:div w:id="838038827">
      <w:bodyDiv w:val="1"/>
      <w:marLeft w:val="0"/>
      <w:marRight w:val="0"/>
      <w:marTop w:val="0"/>
      <w:marBottom w:val="0"/>
      <w:divBdr>
        <w:top w:val="none" w:sz="0" w:space="0" w:color="auto"/>
        <w:left w:val="none" w:sz="0" w:space="0" w:color="auto"/>
        <w:bottom w:val="none" w:sz="0" w:space="0" w:color="auto"/>
        <w:right w:val="none" w:sz="0" w:space="0" w:color="auto"/>
      </w:divBdr>
    </w:div>
    <w:div w:id="1059354545">
      <w:bodyDiv w:val="1"/>
      <w:marLeft w:val="0"/>
      <w:marRight w:val="0"/>
      <w:marTop w:val="0"/>
      <w:marBottom w:val="0"/>
      <w:divBdr>
        <w:top w:val="none" w:sz="0" w:space="0" w:color="auto"/>
        <w:left w:val="none" w:sz="0" w:space="0" w:color="auto"/>
        <w:bottom w:val="none" w:sz="0" w:space="0" w:color="auto"/>
        <w:right w:val="none" w:sz="0" w:space="0" w:color="auto"/>
      </w:divBdr>
    </w:div>
    <w:div w:id="1070158744">
      <w:bodyDiv w:val="1"/>
      <w:marLeft w:val="0"/>
      <w:marRight w:val="0"/>
      <w:marTop w:val="0"/>
      <w:marBottom w:val="0"/>
      <w:divBdr>
        <w:top w:val="none" w:sz="0" w:space="0" w:color="auto"/>
        <w:left w:val="none" w:sz="0" w:space="0" w:color="auto"/>
        <w:bottom w:val="none" w:sz="0" w:space="0" w:color="auto"/>
        <w:right w:val="none" w:sz="0" w:space="0" w:color="auto"/>
      </w:divBdr>
    </w:div>
    <w:div w:id="1094781813">
      <w:bodyDiv w:val="1"/>
      <w:marLeft w:val="0"/>
      <w:marRight w:val="0"/>
      <w:marTop w:val="0"/>
      <w:marBottom w:val="0"/>
      <w:divBdr>
        <w:top w:val="none" w:sz="0" w:space="0" w:color="auto"/>
        <w:left w:val="none" w:sz="0" w:space="0" w:color="auto"/>
        <w:bottom w:val="none" w:sz="0" w:space="0" w:color="auto"/>
        <w:right w:val="none" w:sz="0" w:space="0" w:color="auto"/>
      </w:divBdr>
    </w:div>
    <w:div w:id="1103498477">
      <w:bodyDiv w:val="1"/>
      <w:marLeft w:val="0"/>
      <w:marRight w:val="0"/>
      <w:marTop w:val="0"/>
      <w:marBottom w:val="0"/>
      <w:divBdr>
        <w:top w:val="none" w:sz="0" w:space="0" w:color="auto"/>
        <w:left w:val="none" w:sz="0" w:space="0" w:color="auto"/>
        <w:bottom w:val="none" w:sz="0" w:space="0" w:color="auto"/>
        <w:right w:val="none" w:sz="0" w:space="0" w:color="auto"/>
      </w:divBdr>
    </w:div>
    <w:div w:id="1144662575">
      <w:bodyDiv w:val="1"/>
      <w:marLeft w:val="0"/>
      <w:marRight w:val="0"/>
      <w:marTop w:val="0"/>
      <w:marBottom w:val="0"/>
      <w:divBdr>
        <w:top w:val="none" w:sz="0" w:space="0" w:color="auto"/>
        <w:left w:val="none" w:sz="0" w:space="0" w:color="auto"/>
        <w:bottom w:val="none" w:sz="0" w:space="0" w:color="auto"/>
        <w:right w:val="none" w:sz="0" w:space="0" w:color="auto"/>
      </w:divBdr>
    </w:div>
    <w:div w:id="1149519257">
      <w:bodyDiv w:val="1"/>
      <w:marLeft w:val="0"/>
      <w:marRight w:val="0"/>
      <w:marTop w:val="0"/>
      <w:marBottom w:val="0"/>
      <w:divBdr>
        <w:top w:val="none" w:sz="0" w:space="0" w:color="auto"/>
        <w:left w:val="none" w:sz="0" w:space="0" w:color="auto"/>
        <w:bottom w:val="none" w:sz="0" w:space="0" w:color="auto"/>
        <w:right w:val="none" w:sz="0" w:space="0" w:color="auto"/>
      </w:divBdr>
    </w:div>
    <w:div w:id="1222060480">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859003876">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65112426">
      <w:bodyDiv w:val="1"/>
      <w:marLeft w:val="0"/>
      <w:marRight w:val="0"/>
      <w:marTop w:val="0"/>
      <w:marBottom w:val="0"/>
      <w:divBdr>
        <w:top w:val="none" w:sz="0" w:space="0" w:color="auto"/>
        <w:left w:val="none" w:sz="0" w:space="0" w:color="auto"/>
        <w:bottom w:val="none" w:sz="0" w:space="0" w:color="auto"/>
        <w:right w:val="none" w:sz="0" w:space="0" w:color="auto"/>
      </w:divBdr>
    </w:div>
    <w:div w:id="2114471229">
      <w:bodyDiv w:val="1"/>
      <w:marLeft w:val="0"/>
      <w:marRight w:val="0"/>
      <w:marTop w:val="0"/>
      <w:marBottom w:val="0"/>
      <w:divBdr>
        <w:top w:val="none" w:sz="0" w:space="0" w:color="auto"/>
        <w:left w:val="none" w:sz="0" w:space="0" w:color="auto"/>
        <w:bottom w:val="none" w:sz="0" w:space="0" w:color="auto"/>
        <w:right w:val="none" w:sz="0" w:space="0" w:color="auto"/>
      </w:divBdr>
    </w:div>
    <w:div w:id="211670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consultations/2023-10/proposed-updates-ralis-lm08-fx16-and-fx22"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consultations/2023-10/proposed-updates-ralis-lm08-fx16-and-fx22" TargetMode="Externa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acma.gov.au/five-year-spectrum-outl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publications/2015-12/report/acmas-long-term-strategy-803-960-mhz-band-decision-paper"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legislation.gov.au/F2023L00248/asmade"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consultations/2023-10/proposed-updates-ralis-lm08-fx16-and-fx22" TargetMode="Externa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frastructure.gov.au/department/media/news/release-public-safety-mobile-broadband-review-and-government-respo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2661</Words>
  <Characters>15206</Characters>
  <Application>Microsoft Office Word</Application>
  <DocSecurity>0</DocSecurity>
  <Lines>294</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2024-05-13T23:56:00Z</dcterms:created>
  <dcterms:modified xsi:type="dcterms:W3CDTF">2024-05-13T23:56:00Z</dcterms:modified>
  <cp:category/>
</cp:coreProperties>
</file>